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8CD8" w14:textId="77777777" w:rsidR="00C95D96" w:rsidRPr="00D21DFA" w:rsidRDefault="00C95D96" w:rsidP="00C95D96">
      <w:pPr>
        <w:widowControl w:val="0"/>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3338BA"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713ED99"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728EB8A2"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684E0593"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438D9CE"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640881E9"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56CABD3"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250891E0"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4D0F825"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6FCC7F00"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133121DB"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EEC95F7"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542028B"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06851DB"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7D1923B5"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87BDF33"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32E7886"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8D29415"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0187B696"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E743A82"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5BF578E6"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732BF587" w14:textId="77777777" w:rsidR="00C95D96" w:rsidRPr="00D21DFA" w:rsidRDefault="00C95D96" w:rsidP="00C95D96">
      <w:pPr>
        <w:tabs>
          <w:tab w:val="left" w:pos="-1440"/>
          <w:tab w:val="left" w:pos="-720"/>
          <w:tab w:val="left" w:pos="567"/>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78774469" w14:textId="77777777" w:rsidR="00C95D96" w:rsidRPr="00D21DFA" w:rsidRDefault="00C95D96" w:rsidP="00C95D96">
      <w:pPr>
        <w:keepNext/>
        <w:tabs>
          <w:tab w:val="left" w:pos="567"/>
          <w:tab w:val="left" w:pos="9214"/>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D21DFA">
        <w:rPr>
          <w:rFonts w:ascii="Times New Roman" w:eastAsia="Times New Roman" w:hAnsi="Times New Roman" w:cs="Times New Roman"/>
          <w:b/>
          <w:bCs/>
          <w:iCs/>
          <w:snapToGrid w:val="0"/>
          <w:kern w:val="0"/>
          <w:sz w:val="22"/>
          <w:szCs w:val="28"/>
          <w:lang w:eastAsia="x-none"/>
          <w14:ligatures w14:val="none"/>
        </w:rPr>
        <w:t>I PRIEDAS</w:t>
      </w:r>
    </w:p>
    <w:p w14:paraId="1288607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4E97380" w14:textId="77777777" w:rsidR="00C95D96" w:rsidRPr="00D21DFA" w:rsidRDefault="00C95D96" w:rsidP="00C95D96">
      <w:pPr>
        <w:tabs>
          <w:tab w:val="left" w:pos="-1440"/>
          <w:tab w:val="left" w:pos="-720"/>
          <w:tab w:val="left" w:pos="567"/>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PREPARATO CHARAKTERISTIKŲ SANTRAUKA</w:t>
      </w:r>
    </w:p>
    <w:p w14:paraId="5B00A6CD" w14:textId="77777777" w:rsidR="00C95D96" w:rsidRPr="00D21DFA" w:rsidRDefault="00C95D96" w:rsidP="00C95D96">
      <w:pPr>
        <w:keepNext/>
        <w:keepLines/>
        <w:tabs>
          <w:tab w:val="left" w:pos="567"/>
          <w:tab w:val="left" w:pos="9214"/>
        </w:tabs>
        <w:spacing w:after="0" w:line="240" w:lineRule="auto"/>
        <w:ind w:right="-2"/>
        <w:outlineLvl w:val="2"/>
        <w:rPr>
          <w:rFonts w:ascii="Cambria" w:eastAsia="Times New Roman" w:hAnsi="Cambria" w:cs="Times New Roman"/>
          <w:b/>
          <w:bCs/>
          <w:snapToGrid w:val="0"/>
          <w:kern w:val="0"/>
          <w:sz w:val="26"/>
          <w:szCs w:val="26"/>
          <w:lang w:eastAsia="zh-CN"/>
          <w14:ligatures w14:val="none"/>
        </w:rPr>
      </w:pPr>
    </w:p>
    <w:p w14:paraId="1EEC49B0" w14:textId="77777777" w:rsidR="00C95D96" w:rsidRPr="00D21DFA" w:rsidRDefault="00C95D96" w:rsidP="00C95D96">
      <w:pPr>
        <w:keepNext/>
        <w:keepLines/>
        <w:tabs>
          <w:tab w:val="left" w:pos="567"/>
          <w:tab w:val="left" w:pos="9214"/>
        </w:tabs>
        <w:spacing w:after="0" w:line="240" w:lineRule="auto"/>
        <w:ind w:right="-2"/>
        <w:outlineLvl w:val="2"/>
        <w:rPr>
          <w:rFonts w:ascii="Cambria" w:eastAsia="Times New Roman" w:hAnsi="Cambria" w:cs="Times New Roman"/>
          <w:b/>
          <w:bCs/>
          <w:snapToGrid w:val="0"/>
          <w:kern w:val="0"/>
          <w:sz w:val="26"/>
          <w:szCs w:val="26"/>
          <w:lang w:eastAsia="zh-CN"/>
          <w14:ligatures w14:val="none"/>
        </w:rPr>
      </w:pPr>
    </w:p>
    <w:p w14:paraId="69D39F3B"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Cambria" w:eastAsia="Times New Roman" w:hAnsi="Cambria" w:cs="Times New Roman"/>
          <w:b/>
          <w:bCs/>
          <w:snapToGrid w:val="0"/>
          <w:kern w:val="0"/>
          <w:sz w:val="26"/>
          <w:szCs w:val="26"/>
          <w:lang w:eastAsia="zh-CN"/>
          <w14:ligatures w14:val="none"/>
        </w:rPr>
        <w:br w:type="page"/>
      </w:r>
      <w:r w:rsidRPr="00D21DFA">
        <w:rPr>
          <w:rFonts w:ascii="Times New Roman" w:eastAsia="Times New Roman" w:hAnsi="Times New Roman" w:cs="Times New Roman"/>
          <w:b/>
          <w:bCs/>
          <w:snapToGrid w:val="0"/>
          <w:kern w:val="0"/>
          <w:sz w:val="22"/>
          <w:szCs w:val="26"/>
          <w:lang w:eastAsia="x-none"/>
          <w14:ligatures w14:val="none"/>
        </w:rPr>
        <w:lastRenderedPageBreak/>
        <w:t>1.</w:t>
      </w:r>
      <w:r w:rsidRPr="00D21DFA">
        <w:rPr>
          <w:rFonts w:ascii="Times New Roman" w:eastAsia="Times New Roman" w:hAnsi="Times New Roman" w:cs="Times New Roman"/>
          <w:b/>
          <w:bCs/>
          <w:snapToGrid w:val="0"/>
          <w:kern w:val="0"/>
          <w:sz w:val="22"/>
          <w:szCs w:val="26"/>
          <w:lang w:eastAsia="x-none"/>
          <w14:ligatures w14:val="none"/>
        </w:rPr>
        <w:tab/>
        <w:t>VAISTINIO PREPARATO PAVADINIMAS</w:t>
      </w:r>
    </w:p>
    <w:p w14:paraId="7690806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09B1E27" w14:textId="77777777" w:rsidR="00C95D96" w:rsidRPr="00D21DFA" w:rsidRDefault="00C95D96" w:rsidP="00C95D96">
      <w:pPr>
        <w:shd w:val="clear" w:color="auto" w:fill="FFFFFF"/>
        <w:tabs>
          <w:tab w:val="left" w:pos="567"/>
          <w:tab w:val="left" w:pos="9214"/>
        </w:tabs>
        <w:spacing w:after="0" w:line="240" w:lineRule="auto"/>
        <w:ind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bCs/>
          <w:snapToGrid w:val="0"/>
          <w:kern w:val="0"/>
          <w:sz w:val="22"/>
          <w:szCs w:val="22"/>
          <w14:ligatures w14:val="none"/>
        </w:rPr>
        <w:t xml:space="preserve"> 2,</w:t>
      </w:r>
      <w:r w:rsidRPr="00D21DFA">
        <w:rPr>
          <w:rFonts w:ascii="Times New Roman" w:eastAsia="Times New Roman" w:hAnsi="Times New Roman" w:cs="Times New Roman"/>
          <w:snapToGrid w:val="0"/>
          <w:kern w:val="0"/>
          <w:sz w:val="22"/>
          <w:szCs w:val="22"/>
          <w14:ligatures w14:val="none"/>
        </w:rPr>
        <w:t>5 mg plėvele dengtos tabletės</w:t>
      </w:r>
    </w:p>
    <w:p w14:paraId="79E0881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5D2F1D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893AFC5"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2.</w:t>
      </w:r>
      <w:r w:rsidRPr="00D21DFA">
        <w:rPr>
          <w:rFonts w:ascii="Times New Roman" w:eastAsia="Times New Roman" w:hAnsi="Times New Roman" w:cs="Times New Roman"/>
          <w:b/>
          <w:bCs/>
          <w:snapToGrid w:val="0"/>
          <w:kern w:val="0"/>
          <w:sz w:val="22"/>
          <w:szCs w:val="26"/>
          <w:lang w:eastAsia="x-none"/>
          <w14:ligatures w14:val="none"/>
        </w:rPr>
        <w:tab/>
        <w:t>KOKYBINĖ IR KIEKYBINĖ SUDĖTIS</w:t>
      </w:r>
    </w:p>
    <w:p w14:paraId="54CB186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E73B00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Kiekvienoje plėvele dengtoje tabletėje yra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
    <w:p w14:paraId="07351ED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ECE23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u w:val="single"/>
          <w14:ligatures w14:val="none"/>
        </w:rPr>
        <w:t xml:space="preserve">Pagalbinė medžiaga, </w:t>
      </w:r>
      <w:r w:rsidRPr="00D21DFA">
        <w:rPr>
          <w:rFonts w:ascii="Times New Roman" w:eastAsia="Times New Roman" w:hAnsi="Times New Roman" w:cs="Times New Roman"/>
          <w:snapToGrid w:val="0"/>
          <w:kern w:val="0"/>
          <w:sz w:val="22"/>
          <w:u w:val="single"/>
          <w14:ligatures w14:val="none"/>
        </w:rPr>
        <w:t xml:space="preserve">kurios </w:t>
      </w:r>
      <w:r w:rsidRPr="00D21DFA">
        <w:rPr>
          <w:rFonts w:ascii="Times New Roman" w:eastAsia="Times New Roman" w:hAnsi="Times New Roman" w:cs="Times New Roman"/>
          <w:snapToGrid w:val="0"/>
          <w:kern w:val="0"/>
          <w:sz w:val="22"/>
          <w:szCs w:val="20"/>
          <w:u w:val="single"/>
          <w14:ligatures w14:val="none"/>
        </w:rPr>
        <w:t>poveikis žinomas</w:t>
      </w:r>
    </w:p>
    <w:p w14:paraId="69AF361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Kiekvienoje plėvele dengtoje tabletėje yra 51 mg laktozės (bevandenės ir </w:t>
      </w:r>
      <w:proofErr w:type="spellStart"/>
      <w:r w:rsidRPr="00D21DFA">
        <w:rPr>
          <w:rFonts w:ascii="Times New Roman" w:eastAsia="Times New Roman" w:hAnsi="Times New Roman" w:cs="Times New Roman"/>
          <w:snapToGrid w:val="0"/>
          <w:kern w:val="0"/>
          <w:sz w:val="22"/>
          <w:szCs w:val="20"/>
          <w14:ligatures w14:val="none"/>
        </w:rPr>
        <w:t>monohidrato</w:t>
      </w:r>
      <w:proofErr w:type="spellEnd"/>
      <w:r w:rsidRPr="00D21DFA">
        <w:rPr>
          <w:rFonts w:ascii="Times New Roman" w:eastAsia="Times New Roman" w:hAnsi="Times New Roman" w:cs="Times New Roman"/>
          <w:snapToGrid w:val="0"/>
          <w:kern w:val="0"/>
          <w:sz w:val="22"/>
          <w:szCs w:val="20"/>
          <w14:ligatures w14:val="none"/>
        </w:rPr>
        <w:t xml:space="preserve"> pavidalu). </w:t>
      </w:r>
    </w:p>
    <w:p w14:paraId="01BAEF9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B86488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Visos pagalbinės medžiagos išvardytos 6.1 skyriuje. </w:t>
      </w:r>
    </w:p>
    <w:p w14:paraId="6999204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277842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E16AA62"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3.</w:t>
      </w:r>
      <w:r w:rsidRPr="00D21DFA">
        <w:rPr>
          <w:rFonts w:ascii="Times New Roman" w:eastAsia="Times New Roman" w:hAnsi="Times New Roman" w:cs="Times New Roman"/>
          <w:b/>
          <w:bCs/>
          <w:snapToGrid w:val="0"/>
          <w:kern w:val="0"/>
          <w:sz w:val="22"/>
          <w:szCs w:val="26"/>
          <w:lang w:eastAsia="x-none"/>
          <w14:ligatures w14:val="none"/>
        </w:rPr>
        <w:tab/>
        <w:t>FARMACINĖ FORMA</w:t>
      </w:r>
    </w:p>
    <w:p w14:paraId="36934AF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BB0C08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Plėvele dengta tabletė (tabletė)</w:t>
      </w:r>
    </w:p>
    <w:p w14:paraId="56D5BA40" w14:textId="294561F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Geltona, apvali, abipus išgaubta 6,</w:t>
      </w:r>
      <w:r w:rsidR="0044721F">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 0,2 mm skersmens plėvele dengta tabletė.</w:t>
      </w:r>
    </w:p>
    <w:p w14:paraId="60571B97"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08CA50BE"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5488372E"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4.</w:t>
      </w:r>
      <w:r w:rsidRPr="00D21DFA">
        <w:rPr>
          <w:rFonts w:ascii="Times New Roman" w:eastAsia="Times New Roman" w:hAnsi="Times New Roman" w:cs="Times New Roman"/>
          <w:b/>
          <w:bCs/>
          <w:snapToGrid w:val="0"/>
          <w:kern w:val="0"/>
          <w:sz w:val="22"/>
          <w:szCs w:val="26"/>
          <w:lang w:eastAsia="x-none"/>
          <w14:ligatures w14:val="none"/>
        </w:rPr>
        <w:tab/>
        <w:t>KLINIKINĖ INFORMACIJA</w:t>
      </w:r>
    </w:p>
    <w:p w14:paraId="08B9B55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76F2F23"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4.1</w:t>
      </w:r>
      <w:r w:rsidRPr="00D21DFA">
        <w:rPr>
          <w:rFonts w:ascii="Times New Roman" w:eastAsia="Times New Roman" w:hAnsi="Times New Roman" w:cs="Times New Roman"/>
          <w:b/>
          <w:bCs/>
          <w:snapToGrid w:val="0"/>
          <w:kern w:val="0"/>
          <w:sz w:val="22"/>
          <w:szCs w:val="28"/>
          <w:lang w:eastAsia="x-none"/>
          <w14:ligatures w14:val="none"/>
        </w:rPr>
        <w:tab/>
        <w:t>Terapinės indikacijos</w:t>
      </w:r>
    </w:p>
    <w:p w14:paraId="5F702BB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B4B1711" w14:textId="3843EC83" w:rsidR="00484ED5" w:rsidRPr="00AD1A35" w:rsidRDefault="00484ED5"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Suaugusie</w:t>
      </w:r>
      <w:r w:rsidR="00401A2C" w:rsidRPr="00D21DFA">
        <w:rPr>
          <w:rFonts w:ascii="Times New Roman" w:eastAsia="Times New Roman" w:hAnsi="Times New Roman" w:cs="Times New Roman"/>
          <w:snapToGrid w:val="0"/>
          <w:kern w:val="0"/>
          <w:sz w:val="22"/>
          <w:u w:val="single"/>
          <w14:ligatures w14:val="none"/>
        </w:rPr>
        <w:t>siems</w:t>
      </w:r>
    </w:p>
    <w:p w14:paraId="6F368D38" w14:textId="77777777" w:rsidR="00484ED5" w:rsidRPr="00D21DFA" w:rsidRDefault="00484ED5"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D4977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Venų </w:t>
      </w:r>
      <w:proofErr w:type="spellStart"/>
      <w:r w:rsidRPr="00D21DFA">
        <w:rPr>
          <w:rFonts w:ascii="Times New Roman" w:eastAsia="Times New Roman" w:hAnsi="Times New Roman" w:cs="Times New Roman"/>
          <w:snapToGrid w:val="0"/>
          <w:kern w:val="0"/>
          <w:sz w:val="22"/>
          <w:szCs w:val="20"/>
          <w14:ligatures w14:val="none"/>
        </w:rPr>
        <w:t>tromboembolinių</w:t>
      </w:r>
      <w:proofErr w:type="spellEnd"/>
      <w:r w:rsidRPr="00D21DFA">
        <w:rPr>
          <w:rFonts w:ascii="Times New Roman" w:eastAsia="Times New Roman" w:hAnsi="Times New Roman" w:cs="Times New Roman"/>
          <w:snapToGrid w:val="0"/>
          <w:kern w:val="0"/>
          <w:sz w:val="22"/>
          <w:szCs w:val="20"/>
          <w14:ligatures w14:val="none"/>
        </w:rPr>
        <w:t xml:space="preserve"> (VTE) reiškinių profilaktika suaugusiems pacientams, kuriems atlikta planinė klubo arba kelio sąnario pakeitimo operacija. </w:t>
      </w:r>
    </w:p>
    <w:p w14:paraId="368D69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07A5DA" w14:textId="3BF6637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Insulto ir sisteminės embolijos profilaktika suaugusiems pacientams, </w:t>
      </w:r>
      <w:r w:rsidR="00A87B75" w:rsidRPr="00D21DFA">
        <w:rPr>
          <w:rFonts w:ascii="Times New Roman" w:eastAsia="Times New Roman" w:hAnsi="Times New Roman" w:cs="Times New Roman"/>
          <w:snapToGrid w:val="0"/>
          <w:kern w:val="0"/>
          <w:sz w:val="22"/>
          <w:szCs w:val="20"/>
          <w14:ligatures w14:val="none"/>
        </w:rPr>
        <w:t>sergantiems</w:t>
      </w:r>
      <w:r w:rsidRPr="00D21DFA">
        <w:rPr>
          <w:rFonts w:ascii="Times New Roman" w:eastAsia="Times New Roman" w:hAnsi="Times New Roman" w:cs="Times New Roman"/>
          <w:snapToGrid w:val="0"/>
          <w:kern w:val="0"/>
          <w:sz w:val="22"/>
          <w:szCs w:val="20"/>
          <w14:ligatures w14:val="none"/>
        </w:rPr>
        <w:t xml:space="preserve"> su vožtuv</w:t>
      </w:r>
      <w:r w:rsidR="00A87B75" w:rsidRPr="00D21DFA">
        <w:rPr>
          <w:rFonts w:ascii="Times New Roman" w:eastAsia="Times New Roman" w:hAnsi="Times New Roman" w:cs="Times New Roman"/>
          <w:snapToGrid w:val="0"/>
          <w:kern w:val="0"/>
          <w:sz w:val="22"/>
          <w:szCs w:val="20"/>
          <w14:ligatures w14:val="none"/>
        </w:rPr>
        <w:t>ų liga</w:t>
      </w:r>
      <w:r w:rsidRPr="00D21DFA">
        <w:rPr>
          <w:rFonts w:ascii="Times New Roman" w:eastAsia="Times New Roman" w:hAnsi="Times New Roman" w:cs="Times New Roman"/>
          <w:snapToGrid w:val="0"/>
          <w:kern w:val="0"/>
          <w:sz w:val="22"/>
          <w:szCs w:val="20"/>
          <w14:ligatures w14:val="none"/>
        </w:rPr>
        <w:t xml:space="preserve"> nesusij</w:t>
      </w:r>
      <w:r w:rsidR="00A87B75" w:rsidRPr="00D21DFA">
        <w:rPr>
          <w:rFonts w:ascii="Times New Roman" w:eastAsia="Times New Roman" w:hAnsi="Times New Roman" w:cs="Times New Roman"/>
          <w:snapToGrid w:val="0"/>
          <w:kern w:val="0"/>
          <w:sz w:val="22"/>
          <w:szCs w:val="20"/>
          <w14:ligatures w14:val="none"/>
        </w:rPr>
        <w:t>usiu</w:t>
      </w:r>
      <w:r w:rsidRPr="00D21DFA">
        <w:rPr>
          <w:rFonts w:ascii="Times New Roman" w:eastAsia="Times New Roman" w:hAnsi="Times New Roman" w:cs="Times New Roman"/>
          <w:snapToGrid w:val="0"/>
          <w:kern w:val="0"/>
          <w:sz w:val="22"/>
          <w:szCs w:val="20"/>
          <w14:ligatures w14:val="none"/>
        </w:rPr>
        <w:t xml:space="preserve"> prieširdžių virpėjim</w:t>
      </w:r>
      <w:r w:rsidR="00D044AF"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xml:space="preserve"> (VNPV) ir </w:t>
      </w:r>
      <w:r w:rsidR="00D044AF" w:rsidRPr="00D21DFA">
        <w:rPr>
          <w:rFonts w:ascii="Times New Roman" w:eastAsia="Times New Roman" w:hAnsi="Times New Roman" w:cs="Times New Roman"/>
          <w:snapToGrid w:val="0"/>
          <w:kern w:val="0"/>
          <w:sz w:val="22"/>
          <w:szCs w:val="20"/>
          <w14:ligatures w14:val="none"/>
        </w:rPr>
        <w:t xml:space="preserve">kai </w:t>
      </w:r>
      <w:r w:rsidRPr="00D21DFA">
        <w:rPr>
          <w:rFonts w:ascii="Times New Roman" w:eastAsia="Times New Roman" w:hAnsi="Times New Roman" w:cs="Times New Roman"/>
          <w:snapToGrid w:val="0"/>
          <w:kern w:val="0"/>
          <w:sz w:val="22"/>
          <w:szCs w:val="20"/>
          <w14:ligatures w14:val="none"/>
        </w:rPr>
        <w:t>yra vienas ar daugiau rizikos veiksnių, pavyzdžiui: anksčiau patirtas insultas ar praeinantis smegenų išemijos priepuolis (PSIP), amžius ≥ 75 m., hipertenzija, cukrinis diabetas, simptomus sukeliantis širdies nepakankamumas (≥ II klasės pagal NYHA).</w:t>
      </w:r>
    </w:p>
    <w:p w14:paraId="42728E3D"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3FC77F2B"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Giliųjų venų trombozės (GVT) bei plaučių embolijos (PE) gydymas ir pasikartojančios GVT bei PE profilaktika suaugusiesiems (apie PE sergančius pacientus, kurių nestabili hemodinamika, žr. 4.4 skyrių).</w:t>
      </w:r>
    </w:p>
    <w:p w14:paraId="7136ED98" w14:textId="77777777" w:rsidR="00484ED5" w:rsidRPr="00D21DFA" w:rsidRDefault="00484ED5"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218CC523" w14:textId="31D87CEA" w:rsidR="00484ED5" w:rsidRPr="00D21DFA" w:rsidRDefault="00484ED5"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u w:val="single"/>
          <w14:ligatures w14:val="none"/>
        </w:rPr>
        <w:t>Vaikų populiacija</w:t>
      </w:r>
    </w:p>
    <w:p w14:paraId="2CE488FB" w14:textId="77777777" w:rsidR="00484ED5" w:rsidRPr="00D21DFA" w:rsidRDefault="00484ED5"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7414B4A7" w14:textId="08A89D67" w:rsidR="00484ED5" w:rsidRPr="00D21DFA" w:rsidRDefault="00484ED5" w:rsidP="00484ED5">
      <w:pPr>
        <w:tabs>
          <w:tab w:val="left" w:pos="567"/>
          <w:tab w:val="left" w:pos="9214"/>
        </w:tabs>
        <w:spacing w:after="0" w:line="260" w:lineRule="exact"/>
        <w:ind w:right="-2"/>
        <w:rPr>
          <w:rFonts w:ascii="Times New Roman" w:eastAsia="Times New Roman" w:hAnsi="Times New Roman" w:cs="Times New Roman"/>
          <w:kern w:val="0"/>
          <w:sz w:val="22"/>
          <w14:ligatures w14:val="none"/>
        </w:rPr>
      </w:pPr>
      <w:r w:rsidRPr="00D21DFA">
        <w:rPr>
          <w:rFonts w:ascii="Times New Roman" w:eastAsia="Times New Roman" w:hAnsi="Times New Roman" w:cs="Times New Roman"/>
          <w:kern w:val="0"/>
          <w:sz w:val="22"/>
          <w14:ligatures w14:val="none"/>
        </w:rPr>
        <w:t>Venų tromboembolijos (VTE) gydymas ir VTE pasikartojimo profilaktika pacientams vaikams nuo 28 dienų iki mažiau kaip 18 metų</w:t>
      </w:r>
      <w:r w:rsidR="007B29B2">
        <w:rPr>
          <w:rFonts w:ascii="Times New Roman" w:eastAsia="Times New Roman" w:hAnsi="Times New Roman" w:cs="Times New Roman"/>
          <w:kern w:val="0"/>
          <w:sz w:val="22"/>
          <w14:ligatures w14:val="none"/>
        </w:rPr>
        <w:t>.</w:t>
      </w:r>
    </w:p>
    <w:p w14:paraId="6366799F"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p>
    <w:p w14:paraId="6D54C344"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4.2</w:t>
      </w:r>
      <w:r w:rsidRPr="00D21DFA">
        <w:rPr>
          <w:rFonts w:ascii="Times New Roman" w:eastAsia="Times New Roman" w:hAnsi="Times New Roman" w:cs="Times New Roman"/>
          <w:b/>
          <w:bCs/>
          <w:snapToGrid w:val="0"/>
          <w:kern w:val="0"/>
          <w:sz w:val="22"/>
          <w:szCs w:val="28"/>
          <w:lang w:eastAsia="x-none"/>
          <w14:ligatures w14:val="none"/>
        </w:rPr>
        <w:tab/>
        <w:t>Dozavimas ir vartojimo metodas</w:t>
      </w:r>
    </w:p>
    <w:p w14:paraId="67D407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C26424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Dozavimas</w:t>
      </w:r>
    </w:p>
    <w:p w14:paraId="72C910C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694A517" w14:textId="606ED920" w:rsidR="00C95D96" w:rsidRPr="00AD1A35"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i/>
          <w:kern w:val="0"/>
          <w:sz w:val="22"/>
          <w:szCs w:val="20"/>
          <w:u w:val="single"/>
          <w14:ligatures w14:val="none"/>
        </w:rPr>
        <w:t>VTE profilaktika (</w:t>
      </w:r>
      <w:proofErr w:type="spellStart"/>
      <w:r w:rsidRPr="00D21DFA">
        <w:rPr>
          <w:rFonts w:ascii="Times New Roman" w:eastAsia="Times New Roman" w:hAnsi="Times New Roman" w:cs="Times New Roman"/>
          <w:i/>
          <w:kern w:val="0"/>
          <w:sz w:val="22"/>
          <w:szCs w:val="20"/>
          <w:u w:val="single"/>
          <w14:ligatures w14:val="none"/>
        </w:rPr>
        <w:t>VTEp</w:t>
      </w:r>
      <w:proofErr w:type="spellEnd"/>
      <w:r w:rsidRPr="00D21DFA">
        <w:rPr>
          <w:rFonts w:ascii="Times New Roman" w:eastAsia="Times New Roman" w:hAnsi="Times New Roman" w:cs="Times New Roman"/>
          <w:i/>
          <w:kern w:val="0"/>
          <w:sz w:val="22"/>
          <w:szCs w:val="20"/>
          <w:u w:val="single"/>
          <w14:ligatures w14:val="none"/>
        </w:rPr>
        <w:t>): planinė klubo arba kelio sąnario pakeitimo operacija</w:t>
      </w:r>
      <w:r w:rsidR="00484ED5" w:rsidRPr="00D21DFA">
        <w:rPr>
          <w:rFonts w:ascii="Times New Roman" w:eastAsia="Times New Roman" w:hAnsi="Times New Roman" w:cs="Times New Roman"/>
          <w:i/>
          <w:kern w:val="0"/>
          <w:sz w:val="22"/>
          <w:szCs w:val="20"/>
          <w:u w:val="single"/>
          <w14:ligatures w14:val="none"/>
        </w:rPr>
        <w:t xml:space="preserve"> suaugusiesiems</w:t>
      </w:r>
    </w:p>
    <w:p w14:paraId="2F8E2944" w14:textId="42E0A1E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yra 2,5 mg, vartojama per burną</w:t>
      </w:r>
      <w:r w:rsidR="00C92B53"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du kartus per parą. Pirmąją dozę reikia išgerti praėjus 12</w:t>
      </w:r>
      <w:r w:rsidRPr="00D21DFA">
        <w:rPr>
          <w:rFonts w:ascii="Times New Roman" w:eastAsia="Times New Roman" w:hAnsi="Times New Roman" w:cs="Times New Roman"/>
          <w:snapToGrid w:val="0"/>
          <w:kern w:val="0"/>
          <w:sz w:val="22"/>
          <w:szCs w:val="20"/>
          <w14:ligatures w14:val="none"/>
        </w:rPr>
        <w:noBreakHyphen/>
        <w:t xml:space="preserve">24 valandoms po operacijos. </w:t>
      </w:r>
    </w:p>
    <w:p w14:paraId="7BD1DB3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D47C37" w14:textId="765219F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Spręsdami dėl antikoaguliantų paskyrimo laiko šiuo laikotarpiu, gydytojai turi apsvarstyti galimą ankstyvo antikoaguliantų vartojimo VTE profilaktikai naudą ir kraujavimo po operacijos riziką. </w:t>
      </w:r>
    </w:p>
    <w:p w14:paraId="3EAE27B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367A3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lastRenderedPageBreak/>
        <w:t xml:space="preserve">Pacientams, kuriems atliekama klubo sąnario pakeitimo operacija </w:t>
      </w:r>
    </w:p>
    <w:p w14:paraId="56FC391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Rekomenduojama gydymo trukmė yra 32</w:t>
      </w:r>
      <w:r w:rsidRPr="00D21DFA">
        <w:rPr>
          <w:rFonts w:ascii="Times New Roman" w:eastAsia="Times New Roman" w:hAnsi="Times New Roman" w:cs="Times New Roman"/>
          <w:snapToGrid w:val="0"/>
          <w:kern w:val="0"/>
          <w:sz w:val="22"/>
          <w:szCs w:val="20"/>
          <w14:ligatures w14:val="none"/>
        </w:rPr>
        <w:noBreakHyphen/>
        <w:t xml:space="preserve">38 paros. </w:t>
      </w:r>
    </w:p>
    <w:p w14:paraId="2526493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D4CA5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Pacientams, kuriems atliekama kelio sąnario pakeitimo operacija </w:t>
      </w:r>
    </w:p>
    <w:p w14:paraId="2662ED8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Rekomenduojama gydymo trukmė yra 10</w:t>
      </w:r>
      <w:r w:rsidRPr="00D21DFA">
        <w:rPr>
          <w:rFonts w:ascii="Times New Roman" w:eastAsia="Times New Roman" w:hAnsi="Times New Roman" w:cs="Times New Roman"/>
          <w:snapToGrid w:val="0"/>
          <w:kern w:val="0"/>
          <w:sz w:val="22"/>
          <w:szCs w:val="20"/>
          <w14:ligatures w14:val="none"/>
        </w:rPr>
        <w:noBreakHyphen/>
        <w:t xml:space="preserve">14 parų. </w:t>
      </w:r>
    </w:p>
    <w:p w14:paraId="3C402FC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760BA3" w14:textId="0B4A50D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Insulto ir sisteminės embolijos profilaktika</w:t>
      </w:r>
      <w:r w:rsidR="00484ED5" w:rsidRPr="00D21DFA">
        <w:rPr>
          <w:rFonts w:ascii="Times New Roman" w:eastAsia="Times New Roman" w:hAnsi="Times New Roman" w:cs="Times New Roman"/>
          <w:i/>
          <w:snapToGrid w:val="0"/>
          <w:kern w:val="0"/>
          <w:sz w:val="22"/>
          <w:szCs w:val="20"/>
          <w:u w:val="single"/>
          <w14:ligatures w14:val="none"/>
        </w:rPr>
        <w:t xml:space="preserve"> suaugusiesiems</w:t>
      </w:r>
      <w:r w:rsidRPr="00D21DFA">
        <w:rPr>
          <w:rFonts w:ascii="Times New Roman" w:eastAsia="Times New Roman" w:hAnsi="Times New Roman" w:cs="Times New Roman"/>
          <w:i/>
          <w:snapToGrid w:val="0"/>
          <w:kern w:val="0"/>
          <w:sz w:val="22"/>
          <w:szCs w:val="20"/>
          <w:u w:val="single"/>
          <w14:ligatures w14:val="none"/>
        </w:rPr>
        <w:t xml:space="preserve"> pacientams, </w:t>
      </w:r>
      <w:r w:rsidR="00876C6D" w:rsidRPr="00D21DFA">
        <w:rPr>
          <w:rFonts w:ascii="Times New Roman" w:eastAsia="Times New Roman" w:hAnsi="Times New Roman" w:cs="Times New Roman"/>
          <w:i/>
          <w:snapToGrid w:val="0"/>
          <w:kern w:val="0"/>
          <w:sz w:val="22"/>
          <w:szCs w:val="20"/>
          <w:u w:val="single"/>
          <w14:ligatures w14:val="none"/>
        </w:rPr>
        <w:t>sergantiems</w:t>
      </w:r>
      <w:r w:rsidRPr="00D21DFA">
        <w:rPr>
          <w:rFonts w:ascii="Times New Roman" w:eastAsia="Times New Roman" w:hAnsi="Times New Roman" w:cs="Times New Roman"/>
          <w:i/>
          <w:snapToGrid w:val="0"/>
          <w:kern w:val="0"/>
          <w:sz w:val="22"/>
          <w:szCs w:val="20"/>
          <w:u w:val="single"/>
          <w14:ligatures w14:val="none"/>
        </w:rPr>
        <w:t xml:space="preserve"> su vožtuv</w:t>
      </w:r>
      <w:r w:rsidR="00E42C62" w:rsidRPr="00D21DFA">
        <w:rPr>
          <w:rFonts w:ascii="Times New Roman" w:eastAsia="Times New Roman" w:hAnsi="Times New Roman" w:cs="Times New Roman"/>
          <w:i/>
          <w:snapToGrid w:val="0"/>
          <w:kern w:val="0"/>
          <w:sz w:val="22"/>
          <w:szCs w:val="20"/>
          <w:u w:val="single"/>
          <w14:ligatures w14:val="none"/>
        </w:rPr>
        <w:t>ų liga</w:t>
      </w:r>
      <w:r w:rsidRPr="00D21DFA">
        <w:rPr>
          <w:rFonts w:ascii="Times New Roman" w:eastAsia="Times New Roman" w:hAnsi="Times New Roman" w:cs="Times New Roman"/>
          <w:i/>
          <w:snapToGrid w:val="0"/>
          <w:kern w:val="0"/>
          <w:sz w:val="22"/>
          <w:szCs w:val="20"/>
          <w:u w:val="single"/>
          <w14:ligatures w14:val="none"/>
        </w:rPr>
        <w:t xml:space="preserve"> nesusij</w:t>
      </w:r>
      <w:r w:rsidR="00E42C62" w:rsidRPr="00D21DFA">
        <w:rPr>
          <w:rFonts w:ascii="Times New Roman" w:eastAsia="Times New Roman" w:hAnsi="Times New Roman" w:cs="Times New Roman"/>
          <w:i/>
          <w:snapToGrid w:val="0"/>
          <w:kern w:val="0"/>
          <w:sz w:val="22"/>
          <w:szCs w:val="20"/>
          <w:u w:val="single"/>
          <w14:ligatures w14:val="none"/>
        </w:rPr>
        <w:t>usiu</w:t>
      </w:r>
      <w:r w:rsidRPr="00D21DFA">
        <w:rPr>
          <w:rFonts w:ascii="Times New Roman" w:eastAsia="Times New Roman" w:hAnsi="Times New Roman" w:cs="Times New Roman"/>
          <w:i/>
          <w:snapToGrid w:val="0"/>
          <w:kern w:val="0"/>
          <w:sz w:val="22"/>
          <w:szCs w:val="20"/>
          <w:u w:val="single"/>
          <w14:ligatures w14:val="none"/>
        </w:rPr>
        <w:t xml:space="preserve"> prieširdžių</w:t>
      </w:r>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snapToGrid w:val="0"/>
          <w:kern w:val="0"/>
          <w:sz w:val="22"/>
          <w:szCs w:val="20"/>
          <w:u w:val="single"/>
          <w14:ligatures w14:val="none"/>
        </w:rPr>
        <w:t>virpėjim</w:t>
      </w:r>
      <w:r w:rsidR="00DB3DA4" w:rsidRPr="00D21DFA">
        <w:rPr>
          <w:rFonts w:ascii="Times New Roman" w:eastAsia="Times New Roman" w:hAnsi="Times New Roman" w:cs="Times New Roman"/>
          <w:i/>
          <w:snapToGrid w:val="0"/>
          <w:kern w:val="0"/>
          <w:sz w:val="22"/>
          <w:szCs w:val="20"/>
          <w:u w:val="single"/>
          <w14:ligatures w14:val="none"/>
        </w:rPr>
        <w:t>u</w:t>
      </w:r>
      <w:r w:rsidRPr="00D21DFA">
        <w:rPr>
          <w:rFonts w:ascii="Times New Roman" w:eastAsia="Times New Roman" w:hAnsi="Times New Roman" w:cs="Times New Roman"/>
          <w:i/>
          <w:snapToGrid w:val="0"/>
          <w:kern w:val="0"/>
          <w:sz w:val="22"/>
          <w:szCs w:val="20"/>
          <w:u w:val="single"/>
          <w14:ligatures w14:val="none"/>
        </w:rPr>
        <w:t xml:space="preserve"> (VNPV) </w:t>
      </w:r>
    </w:p>
    <w:p w14:paraId="1CA928F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yra 5 mg, vartojama per burną du kartus per parą. </w:t>
      </w:r>
    </w:p>
    <w:p w14:paraId="20960AF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72E664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Dozės mažinimas </w:t>
      </w:r>
    </w:p>
    <w:p w14:paraId="0A16FB34" w14:textId="0B8D4AF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yra 2,5 mg, vartojama per burną</w:t>
      </w:r>
      <w:r w:rsidR="0013500B"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du kartus per parą pacientams, kuriems yra VNPV ir bent dvi iš toliau išvardytų savybių: amžius ≥ 80 metų, svoris ≤ 60 kg arba kreatinino koncentracija serume ≥ 1,5 mg/dl (133 </w:t>
      </w:r>
      <w:proofErr w:type="spellStart"/>
      <w:r w:rsidRPr="00D21DFA">
        <w:rPr>
          <w:rFonts w:ascii="Times New Roman" w:eastAsia="Times New Roman" w:hAnsi="Times New Roman" w:cs="Times New Roman"/>
          <w:snapToGrid w:val="0"/>
          <w:kern w:val="0"/>
          <w:sz w:val="22"/>
          <w:szCs w:val="20"/>
          <w14:ligatures w14:val="none"/>
        </w:rPr>
        <w:t>mikromoliai</w:t>
      </w:r>
      <w:proofErr w:type="spellEnd"/>
      <w:r w:rsidRPr="00D21DFA">
        <w:rPr>
          <w:rFonts w:ascii="Times New Roman" w:eastAsia="Times New Roman" w:hAnsi="Times New Roman" w:cs="Times New Roman"/>
          <w:snapToGrid w:val="0"/>
          <w:kern w:val="0"/>
          <w:sz w:val="22"/>
          <w:szCs w:val="20"/>
          <w14:ligatures w14:val="none"/>
        </w:rPr>
        <w:t xml:space="preserve">/l). </w:t>
      </w:r>
    </w:p>
    <w:p w14:paraId="2EAFB6F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0AB04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Gydymas turi būti tęsiamas ilgą laiką. </w:t>
      </w:r>
    </w:p>
    <w:p w14:paraId="031903B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AF2863" w14:textId="079BA35F"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i/>
          <w:kern w:val="0"/>
          <w:sz w:val="22"/>
          <w:szCs w:val="20"/>
          <w:u w:val="single"/>
          <w14:ligatures w14:val="none"/>
        </w:rPr>
      </w:pPr>
      <w:r w:rsidRPr="00D21DFA">
        <w:rPr>
          <w:rFonts w:ascii="Times New Roman" w:eastAsia="Times New Roman" w:hAnsi="Times New Roman" w:cs="Times New Roman"/>
          <w:i/>
          <w:kern w:val="0"/>
          <w:sz w:val="22"/>
          <w:szCs w:val="20"/>
          <w:u w:val="single"/>
          <w14:ligatures w14:val="none"/>
        </w:rPr>
        <w:t>GVT gydymas, PE gydymas ir pasikartojančios GVT bei PE profilaktika (</w:t>
      </w:r>
      <w:proofErr w:type="spellStart"/>
      <w:r w:rsidRPr="00D21DFA">
        <w:rPr>
          <w:rFonts w:ascii="Times New Roman" w:eastAsia="Times New Roman" w:hAnsi="Times New Roman" w:cs="Times New Roman"/>
          <w:i/>
          <w:kern w:val="0"/>
          <w:sz w:val="22"/>
          <w:szCs w:val="20"/>
          <w:u w:val="single"/>
          <w14:ligatures w14:val="none"/>
        </w:rPr>
        <w:t>VTEt</w:t>
      </w:r>
      <w:proofErr w:type="spellEnd"/>
      <w:r w:rsidRPr="00D21DFA">
        <w:rPr>
          <w:rFonts w:ascii="Times New Roman" w:eastAsia="Times New Roman" w:hAnsi="Times New Roman" w:cs="Times New Roman"/>
          <w:i/>
          <w:kern w:val="0"/>
          <w:sz w:val="22"/>
          <w:szCs w:val="20"/>
          <w:u w:val="single"/>
          <w14:ligatures w14:val="none"/>
        </w:rPr>
        <w:t>)</w:t>
      </w:r>
      <w:r w:rsidR="00D216FD" w:rsidRPr="00D21DFA">
        <w:rPr>
          <w:rFonts w:ascii="Times New Roman" w:eastAsia="Times New Roman" w:hAnsi="Times New Roman" w:cs="Times New Roman"/>
          <w:i/>
          <w:kern w:val="0"/>
          <w:sz w:val="22"/>
          <w:szCs w:val="20"/>
          <w:u w:val="single"/>
          <w14:ligatures w14:val="none"/>
        </w:rPr>
        <w:t xml:space="preserve"> </w:t>
      </w:r>
      <w:r w:rsidR="00484ED5" w:rsidRPr="00D21DFA">
        <w:rPr>
          <w:rFonts w:ascii="Times New Roman" w:eastAsia="Times New Roman" w:hAnsi="Times New Roman" w:cs="Times New Roman"/>
          <w:i/>
          <w:kern w:val="0"/>
          <w:sz w:val="22"/>
          <w:szCs w:val="20"/>
          <w:u w:val="single"/>
          <w14:ligatures w14:val="none"/>
        </w:rPr>
        <w:t>suaugusiesiems</w:t>
      </w:r>
    </w:p>
    <w:p w14:paraId="67AD59AC"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kern w:val="0"/>
          <w:sz w:val="22"/>
          <w:szCs w:val="20"/>
          <w14:ligatures w14:val="none"/>
        </w:rPr>
        <w:t>Pradedant gydyti ūminę GVT arba PE, pirmąsias 7 paras rekomenduojama dozė yra 10 mg du kartus per parą; po to reikia vartoti po 5 mg du kartus per parą. Pagal turimas medicinines rekomendacijas</w:t>
      </w:r>
      <w:r w:rsidRPr="00D21DFA">
        <w:rPr>
          <w:rFonts w:ascii="Times New Roman" w:eastAsia="Times New Roman" w:hAnsi="Times New Roman" w:cs="Times New Roman"/>
          <w:snapToGrid w:val="0"/>
          <w:kern w:val="0"/>
          <w:sz w:val="22"/>
          <w:szCs w:val="20"/>
          <w14:ligatures w14:val="none"/>
        </w:rPr>
        <w:t xml:space="preserve"> trumpalaikis gydymas (bent 3 mėnesius) turi būti pagrįstas laikinais rizikos veiksniais (t. y. neseniai atlikta chirurginė operacija, trauma arba </w:t>
      </w:r>
      <w:proofErr w:type="spellStart"/>
      <w:r w:rsidRPr="00D21DFA">
        <w:rPr>
          <w:rFonts w:ascii="Times New Roman" w:eastAsia="Times New Roman" w:hAnsi="Times New Roman" w:cs="Times New Roman"/>
          <w:snapToGrid w:val="0"/>
          <w:kern w:val="0"/>
          <w:sz w:val="22"/>
          <w:szCs w:val="20"/>
          <w14:ligatures w14:val="none"/>
        </w:rPr>
        <w:t>imobilizacija</w:t>
      </w:r>
      <w:proofErr w:type="spellEnd"/>
      <w:r w:rsidRPr="00D21DFA">
        <w:rPr>
          <w:rFonts w:ascii="Times New Roman" w:eastAsia="Times New Roman" w:hAnsi="Times New Roman" w:cs="Times New Roman"/>
          <w:snapToGrid w:val="0"/>
          <w:kern w:val="0"/>
          <w:sz w:val="22"/>
          <w:szCs w:val="20"/>
          <w14:ligatures w14:val="none"/>
        </w:rPr>
        <w:t>).</w:t>
      </w:r>
    </w:p>
    <w:p w14:paraId="0056080F"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7F7FE27D"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(po 5 mg du kartus per parą) ar kitu antikoaguliantu kursą, kaip nurodyta toliau 1 lentelėje (taip pat žr. 5.1 skyrių).</w:t>
      </w:r>
    </w:p>
    <w:p w14:paraId="6820DAB5"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4F733F60" w14:textId="77777777" w:rsidR="00C95D96" w:rsidRPr="00D21DFA" w:rsidRDefault="00C95D96" w:rsidP="00C95D96">
      <w:pPr>
        <w:tabs>
          <w:tab w:val="left" w:pos="567"/>
          <w:tab w:val="left" w:pos="9214"/>
        </w:tabs>
        <w:snapToGrid w:val="0"/>
        <w:spacing w:after="120" w:line="240" w:lineRule="auto"/>
        <w:ind w:right="-2"/>
        <w:rPr>
          <w:rFonts w:ascii="Times New Roman" w:eastAsia="Times New Roman" w:hAnsi="Times New Roman" w:cs="Times New Roman"/>
          <w:b/>
          <w:bCs/>
          <w:kern w:val="0"/>
          <w:sz w:val="22"/>
          <w:szCs w:val="20"/>
          <w14:ligatures w14:val="none"/>
        </w:rPr>
      </w:pPr>
      <w:r w:rsidRPr="00D21DFA">
        <w:rPr>
          <w:rFonts w:ascii="Times New Roman" w:eastAsia="Times New Roman" w:hAnsi="Times New Roman" w:cs="Times New Roman"/>
          <w:b/>
          <w:bCs/>
          <w:kern w:val="0"/>
          <w:sz w:val="22"/>
          <w:szCs w:val="20"/>
          <w14:ligatures w14:val="none"/>
        </w:rPr>
        <w:t>1 lentelė. Dozės rekomendacijos (</w:t>
      </w:r>
      <w:proofErr w:type="spellStart"/>
      <w:r w:rsidRPr="00D21DFA">
        <w:rPr>
          <w:rFonts w:ascii="Times New Roman" w:eastAsia="Times New Roman" w:hAnsi="Times New Roman" w:cs="Times New Roman"/>
          <w:b/>
          <w:bCs/>
          <w:kern w:val="0"/>
          <w:sz w:val="22"/>
          <w:szCs w:val="20"/>
          <w14:ligatures w14:val="none"/>
        </w:rPr>
        <w:t>VTEt</w:t>
      </w:r>
      <w:proofErr w:type="spellEnd"/>
      <w:r w:rsidRPr="00D21DFA">
        <w:rPr>
          <w:rFonts w:ascii="Times New Roman" w:eastAsia="Times New Roman" w:hAnsi="Times New Roman" w:cs="Times New Roman"/>
          <w:b/>
          <w:bCs/>
          <w:kern w:val="0"/>
          <w:sz w:val="22"/>
          <w:szCs w:val="20"/>
          <w14:ligatures w14:val="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8"/>
        <w:gridCol w:w="2649"/>
      </w:tblGrid>
      <w:tr w:rsidR="00C95D96" w:rsidRPr="00D21DFA" w14:paraId="28C32735" w14:textId="77777777" w:rsidTr="00446D67">
        <w:tc>
          <w:tcPr>
            <w:tcW w:w="3148" w:type="dxa"/>
          </w:tcPr>
          <w:p w14:paraId="135315C0"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tc>
        <w:tc>
          <w:tcPr>
            <w:tcW w:w="3260" w:type="dxa"/>
          </w:tcPr>
          <w:p w14:paraId="7576325A" w14:textId="77777777" w:rsidR="00C95D96" w:rsidRPr="00D21DFA" w:rsidRDefault="00C95D96" w:rsidP="00C95D96">
            <w:pPr>
              <w:tabs>
                <w:tab w:val="left" w:pos="567"/>
                <w:tab w:val="left" w:pos="9072"/>
                <w:tab w:val="left" w:pos="9214"/>
              </w:tabs>
              <w:snapToGrid w:val="0"/>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Dozavimo režimas</w:t>
            </w:r>
          </w:p>
        </w:tc>
        <w:tc>
          <w:tcPr>
            <w:tcW w:w="2693" w:type="dxa"/>
          </w:tcPr>
          <w:p w14:paraId="52768B19" w14:textId="77777777" w:rsidR="00C95D96" w:rsidRPr="00D21DFA" w:rsidRDefault="00C95D96" w:rsidP="00C95D96">
            <w:pPr>
              <w:tabs>
                <w:tab w:val="left" w:pos="567"/>
                <w:tab w:val="left" w:pos="9072"/>
                <w:tab w:val="left" w:pos="9214"/>
              </w:tabs>
              <w:snapToGrid w:val="0"/>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Didžiausia paros dozė</w:t>
            </w:r>
          </w:p>
        </w:tc>
      </w:tr>
      <w:tr w:rsidR="00C95D96" w:rsidRPr="00D21DFA" w14:paraId="41E669A5" w14:textId="77777777" w:rsidTr="00446D67">
        <w:trPr>
          <w:trHeight w:val="378"/>
        </w:trPr>
        <w:tc>
          <w:tcPr>
            <w:tcW w:w="3148" w:type="dxa"/>
            <w:vMerge w:val="restart"/>
          </w:tcPr>
          <w:p w14:paraId="61C3F006"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 xml:space="preserve">GVT ir PE gydymas </w:t>
            </w:r>
          </w:p>
        </w:tc>
        <w:tc>
          <w:tcPr>
            <w:tcW w:w="3260" w:type="dxa"/>
          </w:tcPr>
          <w:p w14:paraId="34DBF2DE"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10 mg du kartus per parą pirmas 7 paras</w:t>
            </w:r>
          </w:p>
        </w:tc>
        <w:tc>
          <w:tcPr>
            <w:tcW w:w="2693" w:type="dxa"/>
          </w:tcPr>
          <w:p w14:paraId="7500FC92"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 xml:space="preserve">20 mg </w:t>
            </w:r>
          </w:p>
        </w:tc>
      </w:tr>
      <w:tr w:rsidR="00C95D96" w:rsidRPr="00D21DFA" w14:paraId="7F4B5ECD" w14:textId="77777777" w:rsidTr="00446D67">
        <w:trPr>
          <w:trHeight w:val="378"/>
        </w:trPr>
        <w:tc>
          <w:tcPr>
            <w:tcW w:w="3148" w:type="dxa"/>
            <w:vMerge/>
          </w:tcPr>
          <w:p w14:paraId="3F6FBB7A"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p>
        </w:tc>
        <w:tc>
          <w:tcPr>
            <w:tcW w:w="3260" w:type="dxa"/>
          </w:tcPr>
          <w:p w14:paraId="3C781DAC"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Po to 5 mg du kartus per parą</w:t>
            </w:r>
          </w:p>
        </w:tc>
        <w:tc>
          <w:tcPr>
            <w:tcW w:w="2693" w:type="dxa"/>
          </w:tcPr>
          <w:p w14:paraId="67172DF8"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 xml:space="preserve">10 mg </w:t>
            </w:r>
          </w:p>
        </w:tc>
      </w:tr>
      <w:tr w:rsidR="00C95D96" w:rsidRPr="00D21DFA" w14:paraId="2F1AEFB5" w14:textId="77777777" w:rsidTr="00446D67">
        <w:tc>
          <w:tcPr>
            <w:tcW w:w="3148" w:type="dxa"/>
          </w:tcPr>
          <w:p w14:paraId="0980EB44"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Pasikartojančios GVT ir (arba) PE profilaktika užbaigus GVT arba PE 6 mėn. gydymą</w:t>
            </w:r>
          </w:p>
        </w:tc>
        <w:tc>
          <w:tcPr>
            <w:tcW w:w="3260" w:type="dxa"/>
          </w:tcPr>
          <w:p w14:paraId="31CE4EDE"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52B47935"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709AC8EF"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du kartus per parą </w:t>
            </w:r>
          </w:p>
        </w:tc>
        <w:tc>
          <w:tcPr>
            <w:tcW w:w="2693" w:type="dxa"/>
          </w:tcPr>
          <w:p w14:paraId="7D1B5B20"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1D83E6D1"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683AB411"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mg </w:t>
            </w:r>
          </w:p>
        </w:tc>
      </w:tr>
    </w:tbl>
    <w:p w14:paraId="376AAC13" w14:textId="77777777" w:rsidR="00C95D96" w:rsidRPr="00D21DFA" w:rsidRDefault="00C95D96" w:rsidP="00C95D96">
      <w:pPr>
        <w:tabs>
          <w:tab w:val="left" w:pos="567"/>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12582D05"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Bendra gydymo trukmė turi būti nustatoma individualiai, kruopščiai įvertinus gydymo naudą ir kraujavimo riziką (žr. 4.4 skyrių).</w:t>
      </w:r>
    </w:p>
    <w:p w14:paraId="5BC3E3A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019D70" w14:textId="77777777" w:rsidR="00076D55" w:rsidRPr="00AD1A35" w:rsidRDefault="00076D55" w:rsidP="00076D55">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AD1A35">
        <w:rPr>
          <w:rFonts w:ascii="Times New Roman" w:eastAsia="Times New Roman" w:hAnsi="Times New Roman" w:cs="Times New Roman"/>
          <w:i/>
          <w:iCs/>
          <w:snapToGrid w:val="0"/>
          <w:kern w:val="0"/>
          <w:sz w:val="22"/>
          <w:szCs w:val="20"/>
          <w:u w:val="single"/>
          <w14:ligatures w14:val="none"/>
        </w:rPr>
        <w:t>VTE gydymas ir VTE pasikartojimo profilaktika pacientams vaikams</w:t>
      </w:r>
    </w:p>
    <w:p w14:paraId="5ABF4FFB" w14:textId="4180C092" w:rsidR="00076D55" w:rsidRPr="00D21DFA" w:rsidRDefault="00076D55"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Vaikų, kurių amžius nuo 28 dienų iki mažiau kaip 18 metų, gydymą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reikia pradėti po mažiausiai 5 dienų trukmės pradinės </w:t>
      </w:r>
      <w:proofErr w:type="spellStart"/>
      <w:r w:rsidRPr="00D21DFA">
        <w:rPr>
          <w:rFonts w:ascii="Times New Roman" w:eastAsia="Times New Roman" w:hAnsi="Times New Roman" w:cs="Times New Roman"/>
          <w:snapToGrid w:val="0"/>
          <w:kern w:val="0"/>
          <w:sz w:val="22"/>
          <w:szCs w:val="20"/>
          <w14:ligatures w14:val="none"/>
        </w:rPr>
        <w:t>parenterinės</w:t>
      </w:r>
      <w:proofErr w:type="spellEnd"/>
      <w:r w:rsidRPr="00D21DFA">
        <w:rPr>
          <w:rFonts w:ascii="Times New Roman" w:eastAsia="Times New Roman" w:hAnsi="Times New Roman" w:cs="Times New Roman"/>
          <w:snapToGrid w:val="0"/>
          <w:kern w:val="0"/>
          <w:sz w:val="22"/>
          <w:szCs w:val="20"/>
          <w14:ligatures w14:val="none"/>
        </w:rPr>
        <w:t xml:space="preserve"> antikoaguliantų terapijos (žr. 5.1 skyrių).</w:t>
      </w:r>
    </w:p>
    <w:p w14:paraId="1D5E4D21" w14:textId="77777777" w:rsidR="00285F2A" w:rsidRPr="00D21DFA" w:rsidRDefault="00285F2A"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156B68" w14:textId="5EA451F3" w:rsidR="00076D55" w:rsidRPr="00D21DFA" w:rsidRDefault="00076D55"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Gydant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vaikus, dozė parenkama pagal kūno masės kategoriją. Rekomenduojama</w:t>
      </w:r>
      <w:r w:rsidR="00285F2A"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vaikams, kurių kūno masė ≥</w:t>
      </w:r>
      <w:r w:rsidR="00285F2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35</w:t>
      </w:r>
      <w:r w:rsidR="00285F2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kg, pateikta 2</w:t>
      </w:r>
      <w:r w:rsidR="00285F2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lentelėje.</w:t>
      </w:r>
    </w:p>
    <w:p w14:paraId="434347E5" w14:textId="77777777" w:rsidR="00076D55" w:rsidRPr="00D21DFA" w:rsidRDefault="00076D55"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96B527" w14:textId="4E185BF9" w:rsidR="00285F2A" w:rsidRPr="00D21DFA" w:rsidRDefault="00285F2A" w:rsidP="00AD1A35">
      <w:pPr>
        <w:keepNext/>
        <w:keepLines/>
        <w:tabs>
          <w:tab w:val="left" w:pos="567"/>
          <w:tab w:val="left" w:pos="9214"/>
        </w:tabs>
        <w:snapToGrid w:val="0"/>
        <w:spacing w:line="240" w:lineRule="auto"/>
        <w:rPr>
          <w:rFonts w:ascii="Times New Roman" w:eastAsia="Times New Roman" w:hAnsi="Times New Roman" w:cs="Times New Roman"/>
          <w:b/>
          <w:bCs/>
          <w:kern w:val="0"/>
          <w:sz w:val="22"/>
          <w:szCs w:val="20"/>
          <w14:ligatures w14:val="none"/>
        </w:rPr>
      </w:pPr>
      <w:r w:rsidRPr="00AD1A35">
        <w:rPr>
          <w:rFonts w:ascii="Times New Roman" w:eastAsia="Times New Roman" w:hAnsi="Times New Roman" w:cs="Times New Roman"/>
          <w:b/>
          <w:bCs/>
          <w:kern w:val="0"/>
          <w:sz w:val="22"/>
          <w:szCs w:val="20"/>
          <w14:ligatures w14:val="none"/>
        </w:rPr>
        <w:lastRenderedPageBreak/>
        <w:t>2 lentelė. Dozės rekomendacijos VTE gydymui ir VTE pasikartojimo profilaktikai pacientams</w:t>
      </w:r>
      <w:r w:rsidRPr="00D21DFA">
        <w:rPr>
          <w:rFonts w:ascii="Times New Roman" w:eastAsia="Times New Roman" w:hAnsi="Times New Roman" w:cs="Times New Roman"/>
          <w:b/>
          <w:bCs/>
          <w:kern w:val="0"/>
          <w:sz w:val="22"/>
          <w:szCs w:val="20"/>
          <w14:ligatures w14:val="none"/>
        </w:rPr>
        <w:t xml:space="preserve"> </w:t>
      </w:r>
      <w:r w:rsidRPr="00AD1A35">
        <w:rPr>
          <w:rFonts w:ascii="Times New Roman" w:eastAsia="Times New Roman" w:hAnsi="Times New Roman" w:cs="Times New Roman"/>
          <w:b/>
          <w:bCs/>
          <w:kern w:val="0"/>
          <w:sz w:val="22"/>
          <w:szCs w:val="20"/>
          <w14:ligatures w14:val="none"/>
        </w:rPr>
        <w:t>vaikams, kurių kūno masė ≥</w:t>
      </w:r>
      <w:r w:rsidRPr="00D21DFA">
        <w:rPr>
          <w:rFonts w:ascii="Times New Roman" w:eastAsia="Times New Roman" w:hAnsi="Times New Roman" w:cs="Times New Roman"/>
          <w:b/>
          <w:bCs/>
          <w:kern w:val="0"/>
          <w:sz w:val="22"/>
          <w:szCs w:val="20"/>
          <w14:ligatures w14:val="none"/>
        </w:rPr>
        <w:t> </w:t>
      </w:r>
      <w:r w:rsidRPr="00AD1A35">
        <w:rPr>
          <w:rFonts w:ascii="Times New Roman" w:eastAsia="Times New Roman" w:hAnsi="Times New Roman" w:cs="Times New Roman"/>
          <w:b/>
          <w:bCs/>
          <w:kern w:val="0"/>
          <w:sz w:val="22"/>
          <w:szCs w:val="20"/>
          <w14:ligatures w14:val="none"/>
        </w:rPr>
        <w:t>35</w:t>
      </w:r>
      <w:r w:rsidRPr="00D21DFA">
        <w:rPr>
          <w:rFonts w:ascii="Times New Roman" w:eastAsia="Times New Roman" w:hAnsi="Times New Roman" w:cs="Times New Roman"/>
          <w:b/>
          <w:bCs/>
          <w:kern w:val="0"/>
          <w:sz w:val="22"/>
          <w:szCs w:val="20"/>
          <w14:ligatures w14:val="none"/>
        </w:rPr>
        <w:t> </w:t>
      </w:r>
      <w:r w:rsidRPr="00AD1A35">
        <w:rPr>
          <w:rFonts w:ascii="Times New Roman" w:eastAsia="Times New Roman" w:hAnsi="Times New Roman" w:cs="Times New Roman"/>
          <w:b/>
          <w:bCs/>
          <w:kern w:val="0"/>
          <w:sz w:val="22"/>
          <w:szCs w:val="20"/>
          <w14:ligatures w14:val="none"/>
        </w:rPr>
        <w:t>kg</w:t>
      </w:r>
      <w:r w:rsidR="00623346">
        <w:rPr>
          <w:rFonts w:ascii="Times New Roman" w:eastAsia="Times New Roman" w:hAnsi="Times New Roman" w:cs="Times New Roman"/>
          <w:b/>
          <w:bCs/>
          <w:kern w:val="0"/>
          <w:sz w:val="22"/>
          <w:szCs w:val="20"/>
          <w14:ligatures w14:val="none"/>
        </w:rPr>
        <w:t xml:space="preserve"> </w:t>
      </w:r>
      <w:r w:rsidR="00623346" w:rsidRPr="00463BF0">
        <w:rPr>
          <w:rFonts w:ascii="Times New Roman" w:eastAsia="Times New Roman" w:hAnsi="Times New Roman" w:cs="Times New Roman"/>
          <w:b/>
          <w:bCs/>
          <w:kern w:val="0"/>
          <w:sz w:val="22"/>
          <w:szCs w:val="20"/>
          <w14:ligatures w14:val="none"/>
        </w:rPr>
        <w:t xml:space="preserve">(po pradinės </w:t>
      </w:r>
      <w:proofErr w:type="spellStart"/>
      <w:r w:rsidR="00623346" w:rsidRPr="00463BF0">
        <w:rPr>
          <w:rFonts w:ascii="Times New Roman" w:eastAsia="Times New Roman" w:hAnsi="Times New Roman" w:cs="Times New Roman"/>
          <w:b/>
          <w:bCs/>
          <w:kern w:val="0"/>
          <w:sz w:val="22"/>
          <w:szCs w:val="20"/>
          <w14:ligatures w14:val="none"/>
        </w:rPr>
        <w:t>parenterinės</w:t>
      </w:r>
      <w:proofErr w:type="spellEnd"/>
      <w:r w:rsidR="00623346" w:rsidRPr="00463BF0">
        <w:rPr>
          <w:rFonts w:ascii="Times New Roman" w:eastAsia="Times New Roman" w:hAnsi="Times New Roman" w:cs="Times New Roman"/>
          <w:b/>
          <w:bCs/>
          <w:kern w:val="0"/>
          <w:sz w:val="22"/>
          <w:szCs w:val="20"/>
          <w14:ligatures w14:val="none"/>
        </w:rPr>
        <w:t xml:space="preserve"> antikoaguliantų terapijos)</w:t>
      </w:r>
    </w:p>
    <w:tbl>
      <w:tblPr>
        <w:tblStyle w:val="TableGrid"/>
        <w:tblW w:w="9060" w:type="dxa"/>
        <w:tblInd w:w="-105" w:type="dxa"/>
        <w:tblCellMar>
          <w:top w:w="9" w:type="dxa"/>
          <w:left w:w="115" w:type="dxa"/>
          <w:right w:w="115" w:type="dxa"/>
        </w:tblCellMar>
        <w:tblLook w:val="04A0" w:firstRow="1" w:lastRow="0" w:firstColumn="1" w:lastColumn="0" w:noHBand="0" w:noVBand="1"/>
      </w:tblPr>
      <w:tblGrid>
        <w:gridCol w:w="1726"/>
        <w:gridCol w:w="1776"/>
        <w:gridCol w:w="1928"/>
        <w:gridCol w:w="1876"/>
        <w:gridCol w:w="1754"/>
      </w:tblGrid>
      <w:tr w:rsidR="00285F2A" w:rsidRPr="00D21DFA" w14:paraId="14F2A07F" w14:textId="77777777" w:rsidTr="000760BC">
        <w:trPr>
          <w:trHeight w:val="318"/>
        </w:trPr>
        <w:tc>
          <w:tcPr>
            <w:tcW w:w="1726" w:type="dxa"/>
            <w:tcBorders>
              <w:top w:val="single" w:sz="4" w:space="0" w:color="000000"/>
              <w:left w:val="single" w:sz="4" w:space="0" w:color="000000"/>
              <w:bottom w:val="single" w:sz="4" w:space="0" w:color="000000"/>
              <w:right w:val="single" w:sz="4" w:space="0" w:color="000000"/>
            </w:tcBorders>
          </w:tcPr>
          <w:p w14:paraId="2BD89D24" w14:textId="77777777" w:rsidR="00285F2A" w:rsidRPr="00D21DFA" w:rsidRDefault="00285F2A" w:rsidP="00AD1A35">
            <w:pPr>
              <w:keepNext/>
              <w:keepLines/>
              <w:ind w:left="52"/>
              <w:jc w:val="center"/>
              <w:rPr>
                <w:rFonts w:ascii="Times New Roman" w:hAnsi="Times New Roman" w:cs="Times New Roman"/>
                <w:color w:val="000000"/>
                <w:lang w:val="lt-LT"/>
              </w:rPr>
            </w:pPr>
          </w:p>
        </w:tc>
        <w:tc>
          <w:tcPr>
            <w:tcW w:w="3704" w:type="dxa"/>
            <w:gridSpan w:val="2"/>
            <w:tcBorders>
              <w:top w:val="single" w:sz="4" w:space="0" w:color="000000"/>
              <w:left w:val="single" w:sz="4" w:space="0" w:color="000000"/>
              <w:bottom w:val="single" w:sz="4" w:space="0" w:color="000000"/>
              <w:right w:val="single" w:sz="4" w:space="0" w:color="000000"/>
            </w:tcBorders>
          </w:tcPr>
          <w:p w14:paraId="3011430C" w14:textId="3199D96D" w:rsidR="00285F2A" w:rsidRPr="00D21DFA" w:rsidRDefault="00285F2A" w:rsidP="00AD1A35">
            <w:pPr>
              <w:keepNext/>
              <w:keepLines/>
              <w:ind w:right="3"/>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1-7 dienos </w:t>
            </w:r>
          </w:p>
        </w:tc>
        <w:tc>
          <w:tcPr>
            <w:tcW w:w="3630" w:type="dxa"/>
            <w:gridSpan w:val="2"/>
            <w:tcBorders>
              <w:top w:val="single" w:sz="4" w:space="0" w:color="000000"/>
              <w:left w:val="single" w:sz="4" w:space="0" w:color="000000"/>
              <w:bottom w:val="single" w:sz="4" w:space="0" w:color="000000"/>
              <w:right w:val="single" w:sz="4" w:space="0" w:color="000000"/>
            </w:tcBorders>
          </w:tcPr>
          <w:p w14:paraId="2145FC74" w14:textId="3AD59283" w:rsidR="00285F2A" w:rsidRPr="00AD1A35" w:rsidRDefault="00285F2A" w:rsidP="00AD1A35">
            <w:pPr>
              <w:keepNext/>
              <w:keepLines/>
              <w:ind w:left="1"/>
              <w:jc w:val="center"/>
              <w:rPr>
                <w:rFonts w:ascii="Times New Roman" w:hAnsi="Times New Roman" w:cs="Times New Roman"/>
                <w:color w:val="000000"/>
                <w:lang w:val="lt-LT"/>
              </w:rPr>
            </w:pPr>
            <w:r w:rsidRPr="00D21DFA">
              <w:rPr>
                <w:rFonts w:ascii="Times New Roman" w:hAnsi="Times New Roman" w:cs="Times New Roman"/>
                <w:color w:val="000000"/>
                <w:lang w:val="lt-LT"/>
              </w:rPr>
              <w:t>8 diena ir vėliau</w:t>
            </w:r>
          </w:p>
        </w:tc>
      </w:tr>
      <w:tr w:rsidR="00285F2A" w:rsidRPr="00D21DFA" w14:paraId="03B3EE5D" w14:textId="77777777" w:rsidTr="00AD1A35">
        <w:trPr>
          <w:trHeight w:val="572"/>
        </w:trPr>
        <w:tc>
          <w:tcPr>
            <w:tcW w:w="1726" w:type="dxa"/>
            <w:tcBorders>
              <w:top w:val="single" w:sz="4" w:space="0" w:color="000000"/>
              <w:left w:val="single" w:sz="4" w:space="0" w:color="000000"/>
              <w:bottom w:val="single" w:sz="4" w:space="0" w:color="000000"/>
              <w:right w:val="single" w:sz="4" w:space="0" w:color="000000"/>
            </w:tcBorders>
          </w:tcPr>
          <w:p w14:paraId="3B03DE03" w14:textId="47AB33C3" w:rsidR="00285F2A" w:rsidRPr="00D21DFA" w:rsidRDefault="00285F2A" w:rsidP="00AD1A35">
            <w:pPr>
              <w:keepNext/>
              <w:keepLines/>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Kūno </w:t>
            </w:r>
            <w:r w:rsidR="004804C6">
              <w:rPr>
                <w:rFonts w:ascii="Times New Roman" w:hAnsi="Times New Roman" w:cs="Times New Roman"/>
                <w:color w:val="000000"/>
                <w:lang w:val="lt-LT"/>
              </w:rPr>
              <w:t>masė</w:t>
            </w:r>
            <w:r w:rsidRPr="00D21DFA">
              <w:rPr>
                <w:rFonts w:ascii="Times New Roman" w:hAnsi="Times New Roman" w:cs="Times New Roman"/>
                <w:color w:val="000000"/>
                <w:lang w:val="lt-LT"/>
              </w:rPr>
              <w:t xml:space="preserve"> (kg) </w:t>
            </w:r>
          </w:p>
        </w:tc>
        <w:tc>
          <w:tcPr>
            <w:tcW w:w="1776" w:type="dxa"/>
            <w:tcBorders>
              <w:top w:val="single" w:sz="4" w:space="0" w:color="000000"/>
              <w:left w:val="single" w:sz="4" w:space="0" w:color="000000"/>
              <w:bottom w:val="single" w:sz="4" w:space="0" w:color="000000"/>
              <w:right w:val="single" w:sz="4" w:space="0" w:color="000000"/>
            </w:tcBorders>
          </w:tcPr>
          <w:p w14:paraId="1E68E392" w14:textId="241651D1" w:rsidR="00285F2A" w:rsidRPr="00D21DFA" w:rsidRDefault="00285F2A" w:rsidP="00AD1A35">
            <w:pPr>
              <w:keepNext/>
              <w:keepLines/>
              <w:ind w:right="2"/>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Dozavimo grafikas </w:t>
            </w:r>
          </w:p>
        </w:tc>
        <w:tc>
          <w:tcPr>
            <w:tcW w:w="1928" w:type="dxa"/>
            <w:tcBorders>
              <w:top w:val="single" w:sz="4" w:space="0" w:color="000000"/>
              <w:left w:val="single" w:sz="4" w:space="0" w:color="000000"/>
              <w:bottom w:val="single" w:sz="4" w:space="0" w:color="000000"/>
              <w:right w:val="single" w:sz="4" w:space="0" w:color="000000"/>
            </w:tcBorders>
          </w:tcPr>
          <w:p w14:paraId="38EF20A5" w14:textId="0669E2D7" w:rsidR="00285F2A" w:rsidRPr="00D21DFA" w:rsidRDefault="00285F2A" w:rsidP="00AD1A35">
            <w:pPr>
              <w:keepNext/>
              <w:keepLines/>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Didžiausia paros dozė </w:t>
            </w:r>
          </w:p>
        </w:tc>
        <w:tc>
          <w:tcPr>
            <w:tcW w:w="1876" w:type="dxa"/>
            <w:tcBorders>
              <w:top w:val="single" w:sz="4" w:space="0" w:color="000000"/>
              <w:left w:val="single" w:sz="4" w:space="0" w:color="000000"/>
              <w:bottom w:val="single" w:sz="4" w:space="0" w:color="000000"/>
              <w:right w:val="single" w:sz="4" w:space="0" w:color="000000"/>
            </w:tcBorders>
          </w:tcPr>
          <w:p w14:paraId="48C43428" w14:textId="6E6AFB19" w:rsidR="00285F2A" w:rsidRPr="00D21DFA" w:rsidRDefault="00285F2A" w:rsidP="00AD1A35">
            <w:pPr>
              <w:keepNext/>
              <w:keepLines/>
              <w:ind w:right="2"/>
              <w:jc w:val="center"/>
              <w:rPr>
                <w:rFonts w:ascii="Times New Roman" w:hAnsi="Times New Roman" w:cs="Times New Roman"/>
                <w:color w:val="000000"/>
                <w:lang w:val="lt-LT"/>
              </w:rPr>
            </w:pPr>
            <w:r w:rsidRPr="00D21DFA">
              <w:rPr>
                <w:rFonts w:ascii="Times New Roman" w:hAnsi="Times New Roman" w:cs="Times New Roman"/>
                <w:color w:val="000000"/>
                <w:lang w:val="lt-LT"/>
              </w:rPr>
              <w:t>Dozavimo grafikas</w:t>
            </w:r>
          </w:p>
        </w:tc>
        <w:tc>
          <w:tcPr>
            <w:tcW w:w="1754" w:type="dxa"/>
            <w:tcBorders>
              <w:top w:val="single" w:sz="4" w:space="0" w:color="000000"/>
              <w:left w:val="single" w:sz="4" w:space="0" w:color="000000"/>
              <w:bottom w:val="single" w:sz="4" w:space="0" w:color="000000"/>
              <w:right w:val="single" w:sz="4" w:space="0" w:color="000000"/>
            </w:tcBorders>
          </w:tcPr>
          <w:p w14:paraId="2A11B0AF" w14:textId="13C99563" w:rsidR="00285F2A" w:rsidRPr="00D21DFA" w:rsidRDefault="00285F2A" w:rsidP="00AD1A35">
            <w:pPr>
              <w:keepNext/>
              <w:keepLines/>
              <w:jc w:val="center"/>
              <w:rPr>
                <w:rFonts w:ascii="Times New Roman" w:hAnsi="Times New Roman" w:cs="Times New Roman"/>
                <w:color w:val="000000"/>
                <w:lang w:val="lt-LT"/>
              </w:rPr>
            </w:pPr>
            <w:r w:rsidRPr="00D21DFA">
              <w:rPr>
                <w:rFonts w:ascii="Times New Roman" w:hAnsi="Times New Roman" w:cs="Times New Roman"/>
                <w:color w:val="000000"/>
                <w:lang w:val="lt-LT"/>
              </w:rPr>
              <w:t>Didžiausia paros dozė</w:t>
            </w:r>
          </w:p>
        </w:tc>
      </w:tr>
      <w:tr w:rsidR="00285F2A" w:rsidRPr="00D21DFA" w14:paraId="6F789231" w14:textId="77777777" w:rsidTr="00AD1A35">
        <w:trPr>
          <w:trHeight w:val="319"/>
        </w:trPr>
        <w:tc>
          <w:tcPr>
            <w:tcW w:w="1726" w:type="dxa"/>
            <w:tcBorders>
              <w:top w:val="single" w:sz="4" w:space="0" w:color="000000"/>
              <w:left w:val="single" w:sz="4" w:space="0" w:color="000000"/>
              <w:bottom w:val="single" w:sz="4" w:space="0" w:color="000000"/>
              <w:right w:val="single" w:sz="4" w:space="0" w:color="000000"/>
            </w:tcBorders>
          </w:tcPr>
          <w:p w14:paraId="28CC0F86" w14:textId="22182C1F" w:rsidR="00285F2A" w:rsidRPr="00D21DFA" w:rsidRDefault="00285F2A" w:rsidP="00AD1A35">
            <w:pPr>
              <w:keepNext/>
              <w:keepLines/>
              <w:ind w:right="3"/>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35 </w:t>
            </w:r>
          </w:p>
        </w:tc>
        <w:tc>
          <w:tcPr>
            <w:tcW w:w="1776" w:type="dxa"/>
            <w:tcBorders>
              <w:top w:val="single" w:sz="4" w:space="0" w:color="000000"/>
              <w:left w:val="single" w:sz="4" w:space="0" w:color="000000"/>
              <w:bottom w:val="single" w:sz="4" w:space="0" w:color="000000"/>
              <w:right w:val="single" w:sz="4" w:space="0" w:color="000000"/>
            </w:tcBorders>
          </w:tcPr>
          <w:p w14:paraId="377C41D3" w14:textId="1090EB8F" w:rsidR="00285F2A" w:rsidRPr="00D21DFA" w:rsidRDefault="00285F2A" w:rsidP="00AD1A35">
            <w:pPr>
              <w:keepNext/>
              <w:keepLines/>
              <w:ind w:right="3"/>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10 mg du kartus per parą </w:t>
            </w:r>
          </w:p>
        </w:tc>
        <w:tc>
          <w:tcPr>
            <w:tcW w:w="1928" w:type="dxa"/>
            <w:tcBorders>
              <w:top w:val="single" w:sz="4" w:space="0" w:color="000000"/>
              <w:left w:val="single" w:sz="4" w:space="0" w:color="000000"/>
              <w:bottom w:val="single" w:sz="4" w:space="0" w:color="000000"/>
              <w:right w:val="single" w:sz="4" w:space="0" w:color="000000"/>
            </w:tcBorders>
          </w:tcPr>
          <w:p w14:paraId="34F613B2" w14:textId="749889AF" w:rsidR="00285F2A" w:rsidRPr="00D21DFA" w:rsidRDefault="00285F2A" w:rsidP="00AD1A35">
            <w:pPr>
              <w:keepNext/>
              <w:keepLines/>
              <w:ind w:right="3"/>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20 mg </w:t>
            </w:r>
          </w:p>
        </w:tc>
        <w:tc>
          <w:tcPr>
            <w:tcW w:w="1876" w:type="dxa"/>
            <w:tcBorders>
              <w:top w:val="single" w:sz="4" w:space="0" w:color="000000"/>
              <w:left w:val="single" w:sz="4" w:space="0" w:color="000000"/>
              <w:bottom w:val="single" w:sz="4" w:space="0" w:color="000000"/>
              <w:right w:val="single" w:sz="4" w:space="0" w:color="000000"/>
            </w:tcBorders>
          </w:tcPr>
          <w:p w14:paraId="5F5E578C" w14:textId="79C7FD3A" w:rsidR="00285F2A" w:rsidRPr="00D21DFA" w:rsidRDefault="00285F2A" w:rsidP="00AD1A35">
            <w:pPr>
              <w:keepNext/>
              <w:keepLines/>
              <w:ind w:right="3"/>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5 mg du kartus per parą </w:t>
            </w:r>
          </w:p>
        </w:tc>
        <w:tc>
          <w:tcPr>
            <w:tcW w:w="1754" w:type="dxa"/>
            <w:tcBorders>
              <w:top w:val="single" w:sz="4" w:space="0" w:color="000000"/>
              <w:left w:val="single" w:sz="4" w:space="0" w:color="000000"/>
              <w:bottom w:val="single" w:sz="4" w:space="0" w:color="000000"/>
              <w:right w:val="single" w:sz="4" w:space="0" w:color="000000"/>
            </w:tcBorders>
          </w:tcPr>
          <w:p w14:paraId="4151856E" w14:textId="09177CB9" w:rsidR="00285F2A" w:rsidRPr="00D21DFA" w:rsidRDefault="00285F2A" w:rsidP="00AD1A35">
            <w:pPr>
              <w:keepNext/>
              <w:keepLines/>
              <w:ind w:right="3"/>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10 mg </w:t>
            </w:r>
          </w:p>
        </w:tc>
      </w:tr>
    </w:tbl>
    <w:p w14:paraId="37938BFB" w14:textId="77777777" w:rsidR="00285F2A" w:rsidRPr="00D21DFA" w:rsidRDefault="00285F2A"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24BD9F" w14:textId="22C9D960" w:rsidR="00285F2A" w:rsidRPr="00D21DFA" w:rsidRDefault="00285F2A" w:rsidP="00285F2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Vaikams, kurių kūno masė &lt; 35 kg, </w:t>
      </w:r>
      <w:r w:rsidR="00401A2C" w:rsidRPr="00D21DFA">
        <w:rPr>
          <w:rFonts w:ascii="Times New Roman" w:eastAsia="Times New Roman" w:hAnsi="Times New Roman" w:cs="Times New Roman"/>
          <w:snapToGrid w:val="0"/>
          <w:kern w:val="0"/>
          <w:sz w:val="22"/>
          <w:szCs w:val="20"/>
          <w14:ligatures w14:val="none"/>
        </w:rPr>
        <w:t xml:space="preserve">reikia rinktis kitą rinkoje esantį bei pagal </w:t>
      </w:r>
      <w:r w:rsidR="005E4160" w:rsidRPr="00D21DFA">
        <w:rPr>
          <w:rFonts w:ascii="Times New Roman" w:eastAsia="Times New Roman" w:hAnsi="Times New Roman" w:cs="Times New Roman"/>
          <w:snapToGrid w:val="0"/>
          <w:kern w:val="0"/>
          <w:sz w:val="22"/>
          <w:szCs w:val="20"/>
          <w14:ligatures w14:val="none"/>
        </w:rPr>
        <w:t>svorį</w:t>
      </w:r>
      <w:r w:rsidR="00401A2C" w:rsidRPr="00D21DFA">
        <w:rPr>
          <w:rFonts w:ascii="Times New Roman" w:eastAsia="Times New Roman" w:hAnsi="Times New Roman" w:cs="Times New Roman"/>
          <w:snapToGrid w:val="0"/>
          <w:kern w:val="0"/>
          <w:sz w:val="22"/>
          <w:szCs w:val="20"/>
          <w14:ligatures w14:val="none"/>
        </w:rPr>
        <w:t xml:space="preserve"> tinkamą vaistinį preparatą.</w:t>
      </w:r>
    </w:p>
    <w:p w14:paraId="66F7501F" w14:textId="77777777" w:rsidR="00401A2C" w:rsidRPr="00D21DFA" w:rsidRDefault="00401A2C" w:rsidP="00285F2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DB32EC6" w14:textId="6D6A7988" w:rsidR="00285F2A" w:rsidRPr="00D21DFA" w:rsidRDefault="00285F2A" w:rsidP="00285F2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Remiantis vaikų populiacijai skirtomis VTE gydymo gairėmis, viso gydymo trukmė turi būti</w:t>
      </w:r>
      <w:r w:rsidR="00401A2C"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parenkama individualiai, atidžiai įvertinus gydymo naudos ir kraujavimo rizikos santykį (žr.</w:t>
      </w:r>
      <w:r w:rsidR="00401A2C"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4.4 skyrių).</w:t>
      </w:r>
    </w:p>
    <w:p w14:paraId="6A2B8EB1" w14:textId="77777777" w:rsidR="00285F2A" w:rsidRPr="00D21DFA" w:rsidRDefault="00285F2A" w:rsidP="00076D55">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020292" w14:textId="7A48C6D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Praleista dozė</w:t>
      </w:r>
      <w:r w:rsidR="00024FEF" w:rsidRPr="00D21DFA">
        <w:rPr>
          <w:rFonts w:ascii="Times New Roman" w:eastAsia="Times New Roman" w:hAnsi="Times New Roman" w:cs="Times New Roman"/>
          <w:i/>
          <w:snapToGrid w:val="0"/>
          <w:kern w:val="0"/>
          <w:sz w:val="22"/>
          <w:szCs w:val="20"/>
          <w:u w:val="single"/>
          <w14:ligatures w14:val="none"/>
        </w:rPr>
        <w:t xml:space="preserve"> suaugusiesiems ir vaikams</w:t>
      </w:r>
      <w:r w:rsidRPr="00D21DFA">
        <w:rPr>
          <w:rFonts w:ascii="Times New Roman" w:eastAsia="Times New Roman" w:hAnsi="Times New Roman" w:cs="Times New Roman"/>
          <w:i/>
          <w:snapToGrid w:val="0"/>
          <w:kern w:val="0"/>
          <w:sz w:val="22"/>
          <w:szCs w:val="20"/>
          <w:u w:val="single"/>
          <w14:ligatures w14:val="none"/>
        </w:rPr>
        <w:t xml:space="preserve"> </w:t>
      </w:r>
    </w:p>
    <w:p w14:paraId="392960A6" w14:textId="5F98258A" w:rsidR="00C95D96" w:rsidRPr="00D21DFA" w:rsidRDefault="00024F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Praleistą rytinę </w:t>
      </w:r>
      <w:r w:rsidR="00C95D96" w:rsidRPr="00D21DFA">
        <w:rPr>
          <w:rFonts w:ascii="Times New Roman" w:eastAsia="Times New Roman" w:hAnsi="Times New Roman" w:cs="Times New Roman"/>
          <w:snapToGrid w:val="0"/>
          <w:kern w:val="0"/>
          <w:sz w:val="22"/>
          <w:szCs w:val="20"/>
          <w14:ligatures w14:val="none"/>
        </w:rPr>
        <w:t xml:space="preserve">dozę, </w:t>
      </w:r>
      <w:r w:rsidRPr="00D21DFA">
        <w:rPr>
          <w:rFonts w:ascii="Times New Roman" w:eastAsia="Times New Roman" w:hAnsi="Times New Roman" w:cs="Times New Roman"/>
          <w:snapToGrid w:val="0"/>
          <w:kern w:val="0"/>
          <w:sz w:val="22"/>
          <w:szCs w:val="20"/>
          <w14:ligatures w14:val="none"/>
        </w:rPr>
        <w:t xml:space="preserve">reikia suvartoti iš karto prisiminus ir ją galima vartoti kartu su vakarine doze. Praleistą vakarinę dozę galima vartoti tik tą patį vakarą, </w:t>
      </w:r>
      <w:r w:rsidR="00C95D96" w:rsidRPr="00D21DFA">
        <w:rPr>
          <w:rFonts w:ascii="Times New Roman" w:eastAsia="Times New Roman" w:hAnsi="Times New Roman" w:cs="Times New Roman"/>
          <w:snapToGrid w:val="0"/>
          <w:kern w:val="0"/>
          <w:sz w:val="22"/>
          <w:szCs w:val="20"/>
          <w14:ligatures w14:val="none"/>
        </w:rPr>
        <w:t>pacient</w:t>
      </w:r>
      <w:r w:rsidRPr="00D21DFA">
        <w:rPr>
          <w:rFonts w:ascii="Times New Roman" w:eastAsia="Times New Roman" w:hAnsi="Times New Roman" w:cs="Times New Roman"/>
          <w:snapToGrid w:val="0"/>
          <w:kern w:val="0"/>
          <w:sz w:val="22"/>
          <w:szCs w:val="20"/>
          <w14:ligatures w14:val="none"/>
        </w:rPr>
        <w:t>ui negalima</w:t>
      </w:r>
      <w:r w:rsidR="00C95D96" w:rsidRPr="00D21DFA">
        <w:rPr>
          <w:rFonts w:ascii="Times New Roman" w:eastAsia="Times New Roman" w:hAnsi="Times New Roman" w:cs="Times New Roman"/>
          <w:snapToGrid w:val="0"/>
          <w:kern w:val="0"/>
          <w:sz w:val="22"/>
          <w:szCs w:val="20"/>
          <w14:ligatures w14:val="none"/>
        </w:rPr>
        <w:t xml:space="preserve"> vartoti</w:t>
      </w:r>
      <w:r w:rsidRPr="00D21DFA">
        <w:rPr>
          <w:rFonts w:ascii="Times New Roman" w:eastAsia="Times New Roman" w:hAnsi="Times New Roman" w:cs="Times New Roman"/>
          <w:snapToGrid w:val="0"/>
          <w:kern w:val="0"/>
          <w:sz w:val="22"/>
          <w:szCs w:val="20"/>
          <w14:ligatures w14:val="none"/>
        </w:rPr>
        <w:t xml:space="preserve"> dviejų dozių kitą rytą. Kitą dieną pacientas turi ir toliau vartoti įprastą dozę</w:t>
      </w:r>
      <w:r w:rsidR="00C95D96" w:rsidRPr="00D21DFA">
        <w:rPr>
          <w:rFonts w:ascii="Times New Roman" w:eastAsia="Times New Roman" w:hAnsi="Times New Roman" w:cs="Times New Roman"/>
          <w:snapToGrid w:val="0"/>
          <w:kern w:val="0"/>
          <w:sz w:val="22"/>
          <w:szCs w:val="20"/>
          <w14:ligatures w14:val="none"/>
        </w:rPr>
        <w:t xml:space="preserve"> du kartus per parą</w:t>
      </w:r>
      <w:r w:rsidRPr="00D21DFA">
        <w:rPr>
          <w:rFonts w:ascii="Times New Roman" w:eastAsia="Times New Roman" w:hAnsi="Times New Roman" w:cs="Times New Roman"/>
          <w:snapToGrid w:val="0"/>
          <w:kern w:val="0"/>
          <w:sz w:val="22"/>
          <w:szCs w:val="20"/>
          <w14:ligatures w14:val="none"/>
        </w:rPr>
        <w:t>, kaip rekomenduojama</w:t>
      </w:r>
      <w:r w:rsidR="00C95D96" w:rsidRPr="00D21DFA">
        <w:rPr>
          <w:rFonts w:ascii="Times New Roman" w:eastAsia="Times New Roman" w:hAnsi="Times New Roman" w:cs="Times New Roman"/>
          <w:snapToGrid w:val="0"/>
          <w:kern w:val="0"/>
          <w:sz w:val="22"/>
          <w:szCs w:val="20"/>
          <w14:ligatures w14:val="none"/>
        </w:rPr>
        <w:t xml:space="preserve">. </w:t>
      </w:r>
    </w:p>
    <w:p w14:paraId="036D905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D46C00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Gydymo keitimas </w:t>
      </w:r>
    </w:p>
    <w:p w14:paraId="3E42B54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Gydymą </w:t>
      </w:r>
      <w:proofErr w:type="spellStart"/>
      <w:r w:rsidRPr="00D21DFA">
        <w:rPr>
          <w:rFonts w:ascii="Times New Roman" w:eastAsia="Times New Roman" w:hAnsi="Times New Roman" w:cs="Times New Roman"/>
          <w:snapToGrid w:val="0"/>
          <w:kern w:val="0"/>
          <w:sz w:val="22"/>
          <w:szCs w:val="20"/>
          <w14:ligatures w14:val="none"/>
        </w:rPr>
        <w:t>parenteriniu</w:t>
      </w:r>
      <w:proofErr w:type="spellEnd"/>
      <w:r w:rsidRPr="00D21DFA">
        <w:rPr>
          <w:rFonts w:ascii="Times New Roman" w:eastAsia="Times New Roman" w:hAnsi="Times New Roman" w:cs="Times New Roman"/>
          <w:snapToGrid w:val="0"/>
          <w:kern w:val="0"/>
          <w:sz w:val="22"/>
          <w:szCs w:val="20"/>
          <w14:ligatures w14:val="none"/>
        </w:rPr>
        <w:t xml:space="preserve"> būdu vartojamais antikoaguliantais į gydymą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(ir atvirkščiai) galima pakeisti, atėjus kitos planinės dozės vartojimo laikui (žr. 4.5 skyrių). Kartu šių vaistinių preparatų skirti negalima.</w:t>
      </w:r>
    </w:p>
    <w:p w14:paraId="20301BC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A5D49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Gydymo vitamino K antagonistu (VKA) keitimas į gydymą </w:t>
      </w:r>
      <w:proofErr w:type="spellStart"/>
      <w:r w:rsidRPr="00D21DFA">
        <w:rPr>
          <w:rFonts w:ascii="Times New Roman" w:eastAsia="Times New Roman" w:hAnsi="Times New Roman" w:cs="Times New Roman"/>
          <w:bCs/>
          <w:i/>
          <w:snapToGrid w:val="0"/>
          <w:kern w:val="0"/>
          <w:sz w:val="22"/>
          <w:szCs w:val="22"/>
          <w14:ligatures w14:val="none"/>
        </w:rPr>
        <w:t>Apixaban</w:t>
      </w:r>
      <w:proofErr w:type="spellEnd"/>
      <w:r w:rsidRPr="00D21DFA">
        <w:rPr>
          <w:rFonts w:ascii="Times New Roman" w:eastAsia="Times New Roman" w:hAnsi="Times New Roman" w:cs="Times New Roman"/>
          <w:bCs/>
          <w:i/>
          <w:snapToGrid w:val="0"/>
          <w:kern w:val="0"/>
          <w:sz w:val="22"/>
          <w:szCs w:val="22"/>
          <w14:ligatures w14:val="none"/>
        </w:rPr>
        <w:t xml:space="preserve"> </w:t>
      </w:r>
      <w:proofErr w:type="spellStart"/>
      <w:r w:rsidRPr="00D21DFA">
        <w:rPr>
          <w:rFonts w:ascii="Times New Roman" w:eastAsia="Times New Roman" w:hAnsi="Times New Roman" w:cs="Times New Roman"/>
          <w:bCs/>
          <w:i/>
          <w:snapToGrid w:val="0"/>
          <w:kern w:val="0"/>
          <w:sz w:val="22"/>
          <w:szCs w:val="22"/>
          <w14:ligatures w14:val="none"/>
        </w:rPr>
        <w:t>Zentiva</w:t>
      </w:r>
      <w:proofErr w:type="spellEnd"/>
      <w:r w:rsidRPr="00D21DFA">
        <w:rPr>
          <w:rFonts w:ascii="Times New Roman" w:eastAsia="Times New Roman" w:hAnsi="Times New Roman" w:cs="Times New Roman"/>
          <w:i/>
          <w:snapToGrid w:val="0"/>
          <w:kern w:val="0"/>
          <w:sz w:val="22"/>
          <w:szCs w:val="20"/>
          <w14:ligatures w14:val="none"/>
        </w:rPr>
        <w:t xml:space="preserve"> </w:t>
      </w:r>
    </w:p>
    <w:p w14:paraId="24D8988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Paciento gydymą vitamino K antagonistu (VKA) keičiant į gydymą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reikia nutraukti gydymą varfarinu arba kitu VKA ir pradėti vartoti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kai tarptautinis normalizuotasis santykis (TNS) (angl., </w:t>
      </w:r>
      <w:proofErr w:type="spellStart"/>
      <w:r w:rsidRPr="00D21DFA">
        <w:rPr>
          <w:rFonts w:ascii="Times New Roman" w:eastAsia="Times New Roman" w:hAnsi="Times New Roman" w:cs="Times New Roman"/>
          <w:i/>
          <w:snapToGrid w:val="0"/>
          <w:kern w:val="0"/>
          <w:sz w:val="22"/>
          <w:szCs w:val="20"/>
          <w14:ligatures w14:val="none"/>
        </w:rPr>
        <w:t>the</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international</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normalized</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ratio</w:t>
      </w:r>
      <w:proofErr w:type="spellEnd"/>
      <w:r w:rsidRPr="00D21DFA">
        <w:rPr>
          <w:rFonts w:ascii="Times New Roman" w:eastAsia="Times New Roman" w:hAnsi="Times New Roman" w:cs="Times New Roman"/>
          <w:i/>
          <w:snapToGrid w:val="0"/>
          <w:kern w:val="0"/>
          <w:sz w:val="22"/>
          <w:szCs w:val="20"/>
          <w14:ligatures w14:val="none"/>
        </w:rPr>
        <w:t xml:space="preserve"> [INR]</w:t>
      </w:r>
      <w:r w:rsidRPr="00D21DFA">
        <w:rPr>
          <w:rFonts w:ascii="Times New Roman" w:eastAsia="Times New Roman" w:hAnsi="Times New Roman" w:cs="Times New Roman"/>
          <w:snapToGrid w:val="0"/>
          <w:kern w:val="0"/>
          <w:sz w:val="22"/>
          <w:szCs w:val="20"/>
          <w14:ligatures w14:val="none"/>
        </w:rPr>
        <w:t xml:space="preserve">) yra &lt; 2,0. </w:t>
      </w:r>
    </w:p>
    <w:p w14:paraId="245FD1B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FCA06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Gydymo </w:t>
      </w:r>
      <w:proofErr w:type="spellStart"/>
      <w:r w:rsidRPr="00D21DFA">
        <w:rPr>
          <w:rFonts w:ascii="Times New Roman" w:eastAsia="Times New Roman" w:hAnsi="Times New Roman" w:cs="Times New Roman"/>
          <w:bCs/>
          <w:i/>
          <w:snapToGrid w:val="0"/>
          <w:kern w:val="0"/>
          <w:sz w:val="22"/>
          <w:szCs w:val="22"/>
          <w14:ligatures w14:val="none"/>
        </w:rPr>
        <w:t>Apixaban</w:t>
      </w:r>
      <w:proofErr w:type="spellEnd"/>
      <w:r w:rsidRPr="00D21DFA">
        <w:rPr>
          <w:rFonts w:ascii="Times New Roman" w:eastAsia="Times New Roman" w:hAnsi="Times New Roman" w:cs="Times New Roman"/>
          <w:bCs/>
          <w:i/>
          <w:snapToGrid w:val="0"/>
          <w:kern w:val="0"/>
          <w:sz w:val="22"/>
          <w:szCs w:val="22"/>
          <w14:ligatures w14:val="none"/>
        </w:rPr>
        <w:t xml:space="preserve"> </w:t>
      </w:r>
      <w:proofErr w:type="spellStart"/>
      <w:r w:rsidRPr="00D21DFA">
        <w:rPr>
          <w:rFonts w:ascii="Times New Roman" w:eastAsia="Times New Roman" w:hAnsi="Times New Roman" w:cs="Times New Roman"/>
          <w:bCs/>
          <w:i/>
          <w:snapToGrid w:val="0"/>
          <w:kern w:val="0"/>
          <w:sz w:val="22"/>
          <w:szCs w:val="22"/>
          <w14:ligatures w14:val="none"/>
        </w:rPr>
        <w:t>Zentiva</w:t>
      </w:r>
      <w:proofErr w:type="spellEnd"/>
      <w:r w:rsidRPr="00D21DFA">
        <w:rPr>
          <w:rFonts w:ascii="Times New Roman" w:eastAsia="Times New Roman" w:hAnsi="Times New Roman" w:cs="Times New Roman"/>
          <w:i/>
          <w:snapToGrid w:val="0"/>
          <w:kern w:val="0"/>
          <w:sz w:val="22"/>
          <w:szCs w:val="20"/>
          <w14:ligatures w14:val="none"/>
        </w:rPr>
        <w:t xml:space="preserve"> keitimas į gydymą VKA </w:t>
      </w:r>
    </w:p>
    <w:p w14:paraId="18A1C01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Paciento gydymą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keičiant į gydymą VKA, reikia ir toliau vartoti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ne trumpiau kaip 2 paras po to, kai pradedamas gydymas VKA. Po 2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vartojimo kartu su VKA parų, prieš vartojant kitą planinę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dozę, reikia nustatyti TNS.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vartoti kartu su VKA reikia tol, kol TNS taps ≥ 2,0. </w:t>
      </w:r>
    </w:p>
    <w:p w14:paraId="10523EA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1E321B" w14:textId="5D317E95" w:rsidR="00623346" w:rsidRDefault="0062334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lang w:val="fr-FR"/>
          <w14:ligatures w14:val="none"/>
        </w:rPr>
      </w:pPr>
      <w:r w:rsidRPr="00623346">
        <w:rPr>
          <w:rFonts w:ascii="Times New Roman" w:eastAsia="Times New Roman" w:hAnsi="Times New Roman" w:cs="Times New Roman"/>
          <w:snapToGrid w:val="0"/>
          <w:kern w:val="0"/>
          <w:sz w:val="22"/>
          <w:szCs w:val="20"/>
          <w:lang w:val="fr-FR"/>
          <w14:ligatures w14:val="none"/>
        </w:rPr>
        <w:t>Apie pacientus vaikus duomenų nėra.</w:t>
      </w:r>
    </w:p>
    <w:p w14:paraId="68BA4422" w14:textId="77777777" w:rsidR="00623346" w:rsidRPr="00463BF0" w:rsidRDefault="0062334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lang w:val="fr-FR"/>
          <w14:ligatures w14:val="none"/>
        </w:rPr>
      </w:pPr>
    </w:p>
    <w:p w14:paraId="3E3AEE9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Senyviems pacientams</w:t>
      </w:r>
    </w:p>
    <w:p w14:paraId="75DF700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VTEp</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Dozės keitimas nereikalingas (žr. 4.4 ir 5.2 skyrius).</w:t>
      </w:r>
    </w:p>
    <w:p w14:paraId="17DA2C6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E5BC71" w14:textId="2A2AB19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VNPV. Dozės keitimas nereikalingas, nebent yra tenkinami</w:t>
      </w:r>
      <w:r w:rsidR="00BE5A5C" w:rsidRPr="00D21DFA">
        <w:rPr>
          <w:rFonts w:ascii="Times New Roman" w:eastAsia="Times New Roman" w:hAnsi="Times New Roman" w:cs="Times New Roman"/>
          <w:snapToGrid w:val="0"/>
          <w:kern w:val="0"/>
          <w:sz w:val="22"/>
          <w:szCs w:val="20"/>
          <w14:ligatures w14:val="none"/>
        </w:rPr>
        <w:t xml:space="preserve"> kiti</w:t>
      </w:r>
      <w:r w:rsidRPr="00D21DFA">
        <w:rPr>
          <w:rFonts w:ascii="Times New Roman" w:eastAsia="Times New Roman" w:hAnsi="Times New Roman" w:cs="Times New Roman"/>
          <w:snapToGrid w:val="0"/>
          <w:kern w:val="0"/>
          <w:sz w:val="22"/>
          <w:szCs w:val="20"/>
          <w14:ligatures w14:val="none"/>
        </w:rPr>
        <w:t xml:space="preserve"> dozės mažinimo kriterijai (žr. 4.2 skyriaus pradžioje poskyrį „Dozės mažinimas“).</w:t>
      </w:r>
    </w:p>
    <w:p w14:paraId="337AF2C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EC15B59" w14:textId="77777777" w:rsidR="00C95D96" w:rsidRPr="00D21DFA" w:rsidRDefault="00C95D96" w:rsidP="00C95D96">
      <w:pPr>
        <w:tabs>
          <w:tab w:val="left" w:pos="567"/>
          <w:tab w:val="left" w:pos="9214"/>
        </w:tabs>
        <w:spacing w:after="0" w:line="240" w:lineRule="auto"/>
        <w:ind w:right="-2"/>
        <w:contextualSpacing/>
        <w:outlineLvl w:val="0"/>
        <w:rPr>
          <w:rFonts w:ascii="Times New Roman" w:eastAsia="Times New Roman" w:hAnsi="Times New Roman" w:cs="Times New Roman"/>
          <w:i/>
          <w:iCs/>
          <w:snapToGrid w:val="0"/>
          <w:color w:val="000000"/>
          <w:kern w:val="0"/>
          <w:sz w:val="22"/>
          <w:szCs w:val="22"/>
          <w:u w:val="single"/>
          <w14:ligatures w14:val="none"/>
        </w:rPr>
      </w:pPr>
      <w:r w:rsidRPr="00D21DFA">
        <w:rPr>
          <w:rFonts w:ascii="Times New Roman" w:eastAsia="Times New Roman" w:hAnsi="Times New Roman" w:cs="Times New Roman"/>
          <w:i/>
          <w:iCs/>
          <w:snapToGrid w:val="0"/>
          <w:color w:val="000000"/>
          <w:kern w:val="0"/>
          <w:sz w:val="22"/>
          <w:szCs w:val="22"/>
          <w:u w:val="single"/>
          <w14:ligatures w14:val="none"/>
        </w:rPr>
        <w:t>Pacientams, kurių inkstų funkcija sutrikusi</w:t>
      </w:r>
    </w:p>
    <w:p w14:paraId="40B13F07" w14:textId="77777777" w:rsidR="00024FEF" w:rsidRPr="00D21DFA" w:rsidRDefault="00024F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ACD32B" w14:textId="381B62C4" w:rsidR="00024FEF" w:rsidRPr="00AD1A35" w:rsidRDefault="00024FEF"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sidRPr="00D21DFA">
        <w:rPr>
          <w:rFonts w:ascii="Times New Roman" w:eastAsia="Times New Roman" w:hAnsi="Times New Roman" w:cs="Times New Roman"/>
          <w:i/>
          <w:iCs/>
          <w:snapToGrid w:val="0"/>
          <w:kern w:val="0"/>
          <w:sz w:val="22"/>
          <w:szCs w:val="20"/>
          <w14:ligatures w14:val="none"/>
        </w:rPr>
        <w:t>Suaugusiesiems</w:t>
      </w:r>
    </w:p>
    <w:p w14:paraId="2ADA13A4" w14:textId="6AE5087B" w:rsidR="00C95D96" w:rsidRPr="00D21DFA" w:rsidRDefault="00024FE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Suaugusiems p</w:t>
      </w:r>
      <w:r w:rsidR="00C95D96" w:rsidRPr="00D21DFA">
        <w:rPr>
          <w:rFonts w:ascii="Times New Roman" w:eastAsia="Times New Roman" w:hAnsi="Times New Roman" w:cs="Times New Roman"/>
          <w:snapToGrid w:val="0"/>
          <w:kern w:val="0"/>
          <w:sz w:val="22"/>
          <w:szCs w:val="20"/>
          <w14:ligatures w14:val="none"/>
        </w:rPr>
        <w:t>acientams, kuriems yra lengvas arba vidutinio sunkumo inkstų funkcijos sutrikimas, taikomos tokios rekomendacijos:</w:t>
      </w:r>
    </w:p>
    <w:p w14:paraId="0B3037CC" w14:textId="77777777" w:rsidR="00C95D96" w:rsidRPr="00D21DFA" w:rsidRDefault="00C95D96" w:rsidP="00C95D96">
      <w:pPr>
        <w:numPr>
          <w:ilvl w:val="0"/>
          <w:numId w:val="22"/>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VTE profilaktikai pacientams, kuriems atlikta planinė klubo arba kelio sąnario pakeitimo operacija (</w:t>
      </w:r>
      <w:proofErr w:type="spellStart"/>
      <w:r w:rsidRPr="00D21DFA">
        <w:rPr>
          <w:rFonts w:ascii="Times New Roman" w:eastAsia="Times New Roman" w:hAnsi="Times New Roman" w:cs="Times New Roman"/>
          <w:kern w:val="0"/>
          <w:sz w:val="22"/>
          <w:szCs w:val="20"/>
          <w:lang w:eastAsia="lt-LT" w:bidi="lt-LT"/>
          <w14:ligatures w14:val="none"/>
        </w:rPr>
        <w:t>VTEp</w:t>
      </w:r>
      <w:proofErr w:type="spellEnd"/>
      <w:r w:rsidRPr="00D21DFA">
        <w:rPr>
          <w:rFonts w:ascii="Times New Roman" w:eastAsia="Times New Roman" w:hAnsi="Times New Roman" w:cs="Times New Roman"/>
          <w:kern w:val="0"/>
          <w:sz w:val="22"/>
          <w:szCs w:val="20"/>
          <w:lang w:eastAsia="lt-LT" w:bidi="lt-LT"/>
          <w14:ligatures w14:val="none"/>
        </w:rPr>
        <w:t>), GVT gydymui, PE gydymui ir pasikartojančios GVT ir PE (</w:t>
      </w:r>
      <w:proofErr w:type="spellStart"/>
      <w:r w:rsidRPr="00D21DFA">
        <w:rPr>
          <w:rFonts w:ascii="Times New Roman" w:eastAsia="Times New Roman" w:hAnsi="Times New Roman" w:cs="Times New Roman"/>
          <w:kern w:val="0"/>
          <w:sz w:val="22"/>
          <w:szCs w:val="20"/>
          <w:lang w:eastAsia="lt-LT" w:bidi="lt-LT"/>
          <w14:ligatures w14:val="none"/>
        </w:rPr>
        <w:t>VTEt</w:t>
      </w:r>
      <w:proofErr w:type="spellEnd"/>
      <w:r w:rsidRPr="00D21DFA">
        <w:rPr>
          <w:rFonts w:ascii="Times New Roman" w:eastAsia="Times New Roman" w:hAnsi="Times New Roman" w:cs="Times New Roman"/>
          <w:kern w:val="0"/>
          <w:sz w:val="22"/>
          <w:szCs w:val="20"/>
          <w:lang w:eastAsia="lt-LT" w:bidi="lt-LT"/>
          <w14:ligatures w14:val="none"/>
        </w:rPr>
        <w:t xml:space="preserve">) profilaktikai dozės keisti nereikia (žr. 5.2 skyrių); </w:t>
      </w:r>
    </w:p>
    <w:p w14:paraId="53D94FF2" w14:textId="19227CD3" w:rsidR="00C95D96" w:rsidRPr="00D21DFA" w:rsidRDefault="00C95D96" w:rsidP="00C95D96">
      <w:pPr>
        <w:numPr>
          <w:ilvl w:val="0"/>
          <w:numId w:val="22"/>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insulto ir </w:t>
      </w:r>
      <w:r w:rsidRPr="00D21DFA">
        <w:rPr>
          <w:rFonts w:ascii="Times New Roman" w:eastAsia="Times New Roman" w:hAnsi="Times New Roman" w:cs="Times New Roman"/>
          <w:snapToGrid w:val="0"/>
          <w:kern w:val="0"/>
          <w:sz w:val="22"/>
          <w:szCs w:val="20"/>
          <w14:ligatures w14:val="none"/>
        </w:rPr>
        <w:t xml:space="preserve">sisteminės embolijos profilaktikai pacientams, </w:t>
      </w:r>
      <w:r w:rsidR="00286F45" w:rsidRPr="00D21DFA">
        <w:rPr>
          <w:rFonts w:ascii="Times New Roman" w:eastAsia="Times New Roman" w:hAnsi="Times New Roman" w:cs="Times New Roman"/>
          <w:snapToGrid w:val="0"/>
          <w:kern w:val="0"/>
          <w:sz w:val="22"/>
          <w:szCs w:val="20"/>
          <w14:ligatures w14:val="none"/>
        </w:rPr>
        <w:t xml:space="preserve">sergantiems </w:t>
      </w:r>
      <w:r w:rsidRPr="00D21DFA">
        <w:rPr>
          <w:rFonts w:ascii="Times New Roman" w:eastAsia="Times New Roman" w:hAnsi="Times New Roman" w:cs="Times New Roman"/>
          <w:snapToGrid w:val="0"/>
          <w:kern w:val="0"/>
          <w:sz w:val="22"/>
          <w:szCs w:val="20"/>
          <w14:ligatures w14:val="none"/>
        </w:rPr>
        <w:t>VNPV, o kreatinino koncentracija serume yra ≥ 1,5 mg/dl (133 </w:t>
      </w:r>
      <w:proofErr w:type="spellStart"/>
      <w:r w:rsidRPr="00D21DFA">
        <w:rPr>
          <w:rFonts w:ascii="Times New Roman" w:eastAsia="Times New Roman" w:hAnsi="Times New Roman" w:cs="Times New Roman"/>
          <w:snapToGrid w:val="0"/>
          <w:kern w:val="0"/>
          <w:sz w:val="22"/>
          <w:szCs w:val="20"/>
          <w14:ligatures w14:val="none"/>
        </w:rPr>
        <w:t>mikromoliai</w:t>
      </w:r>
      <w:proofErr w:type="spellEnd"/>
      <w:r w:rsidRPr="00D21DFA">
        <w:rPr>
          <w:rFonts w:ascii="Times New Roman" w:eastAsia="Times New Roman" w:hAnsi="Times New Roman" w:cs="Times New Roman"/>
          <w:snapToGrid w:val="0"/>
          <w:kern w:val="0"/>
          <w:sz w:val="22"/>
          <w:szCs w:val="20"/>
          <w14:ligatures w14:val="none"/>
        </w:rPr>
        <w:t xml:space="preserve">/l) ir jiems yra ≥ 80 metų arba jų kūno </w:t>
      </w:r>
      <w:r w:rsidRPr="00D21DFA">
        <w:rPr>
          <w:rFonts w:ascii="Times New Roman" w:eastAsia="Times New Roman" w:hAnsi="Times New Roman" w:cs="Times New Roman"/>
          <w:snapToGrid w:val="0"/>
          <w:kern w:val="0"/>
          <w:sz w:val="22"/>
          <w:szCs w:val="20"/>
          <w14:ligatures w14:val="none"/>
        </w:rPr>
        <w:lastRenderedPageBreak/>
        <w:t>svoris ≤ 60 kg, dozę reikia mažinti</w:t>
      </w:r>
      <w:r w:rsidR="005E4160" w:rsidRPr="00D21DFA">
        <w:rPr>
          <w:rFonts w:ascii="Times New Roman" w:eastAsia="Times New Roman" w:hAnsi="Times New Roman" w:cs="Times New Roman"/>
          <w:snapToGrid w:val="0"/>
          <w:kern w:val="0"/>
          <w:sz w:val="22"/>
          <w:szCs w:val="20"/>
          <w14:ligatures w14:val="none"/>
        </w:rPr>
        <w:t xml:space="preserve"> (žr. pirmiau esančią paantraštę apie dozės mažinimą)</w:t>
      </w:r>
      <w:r w:rsidRPr="00D21DFA">
        <w:rPr>
          <w:rFonts w:ascii="Times New Roman" w:eastAsia="Times New Roman" w:hAnsi="Times New Roman" w:cs="Times New Roman"/>
          <w:snapToGrid w:val="0"/>
          <w:kern w:val="0"/>
          <w:sz w:val="22"/>
          <w:szCs w:val="20"/>
          <w14:ligatures w14:val="none"/>
        </w:rPr>
        <w:t>. Nesant kitų kriterijų dozės mažinimui (amžius, svoris) dozės keisti nereikia (žr. 5.2 skyrių).</w:t>
      </w:r>
    </w:p>
    <w:p w14:paraId="52DCD1A7" w14:textId="77777777" w:rsidR="00C95D96" w:rsidRPr="00D21DFA" w:rsidRDefault="00C95D96"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7C63CC3B" w14:textId="5B1B5A61" w:rsidR="00C95D96" w:rsidRPr="00D21DFA" w:rsidRDefault="005E4160"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Suaugusiems p</w:t>
      </w:r>
      <w:r w:rsidR="00C95D96" w:rsidRPr="00D21DFA">
        <w:rPr>
          <w:rFonts w:ascii="Times New Roman" w:eastAsia="Times New Roman" w:hAnsi="Times New Roman" w:cs="Times New Roman"/>
          <w:kern w:val="0"/>
          <w:sz w:val="22"/>
          <w:szCs w:val="20"/>
          <w:lang w:eastAsia="lt-LT" w:bidi="lt-LT"/>
          <w14:ligatures w14:val="none"/>
        </w:rPr>
        <w:t>acientams, kuriems nustatytas sunkus inkstų funkcijos sutrikimas (kreatinino klirensas 15</w:t>
      </w:r>
      <w:r w:rsidR="00C95D96" w:rsidRPr="00D21DFA">
        <w:rPr>
          <w:rFonts w:ascii="Times New Roman" w:eastAsia="Times New Roman" w:hAnsi="Times New Roman" w:cs="Times New Roman"/>
          <w:kern w:val="0"/>
          <w:sz w:val="22"/>
          <w:szCs w:val="20"/>
          <w:lang w:eastAsia="lt-LT" w:bidi="lt-LT"/>
          <w14:ligatures w14:val="none"/>
        </w:rPr>
        <w:noBreakHyphen/>
        <w:t>29 ml/min) taikomos tokios rekomendacijos (žr. 4.4 ir 5.2 skyrių):</w:t>
      </w:r>
    </w:p>
    <w:p w14:paraId="1B9EE819" w14:textId="77777777" w:rsidR="00C95D96" w:rsidRPr="00D21DFA" w:rsidRDefault="00C95D96" w:rsidP="00C95D96">
      <w:pPr>
        <w:numPr>
          <w:ilvl w:val="0"/>
          <w:numId w:val="23"/>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VTE profilaktikai pacientams, kuriems atlikta planinė klubo arba kelio sąnario pakeitimo operacija (</w:t>
      </w:r>
      <w:proofErr w:type="spellStart"/>
      <w:r w:rsidRPr="00D21DFA">
        <w:rPr>
          <w:rFonts w:ascii="Times New Roman" w:eastAsia="Times New Roman" w:hAnsi="Times New Roman" w:cs="Times New Roman"/>
          <w:kern w:val="0"/>
          <w:sz w:val="22"/>
          <w:szCs w:val="20"/>
          <w:lang w:eastAsia="lt-LT" w:bidi="lt-LT"/>
          <w14:ligatures w14:val="none"/>
        </w:rPr>
        <w:t>VTEPp</w:t>
      </w:r>
      <w:proofErr w:type="spellEnd"/>
      <w:r w:rsidRPr="00D21DFA">
        <w:rPr>
          <w:rFonts w:ascii="Times New Roman" w:eastAsia="Times New Roman" w:hAnsi="Times New Roman" w:cs="Times New Roman"/>
          <w:kern w:val="0"/>
          <w:sz w:val="22"/>
          <w:szCs w:val="20"/>
          <w:lang w:eastAsia="lt-LT" w:bidi="lt-LT"/>
          <w14:ligatures w14:val="none"/>
        </w:rPr>
        <w:t>), GVT gydymui, PE gydymui ir pasikartojančios GVT ir PE (</w:t>
      </w:r>
      <w:proofErr w:type="spellStart"/>
      <w:r w:rsidRPr="00D21DFA">
        <w:rPr>
          <w:rFonts w:ascii="Times New Roman" w:eastAsia="Times New Roman" w:hAnsi="Times New Roman" w:cs="Times New Roman"/>
          <w:kern w:val="0"/>
          <w:sz w:val="22"/>
          <w:szCs w:val="20"/>
          <w:lang w:eastAsia="lt-LT" w:bidi="lt-LT"/>
          <w14:ligatures w14:val="none"/>
        </w:rPr>
        <w:t>VTEt</w:t>
      </w:r>
      <w:proofErr w:type="spellEnd"/>
      <w:r w:rsidRPr="00D21DFA">
        <w:rPr>
          <w:rFonts w:ascii="Times New Roman" w:eastAsia="Times New Roman" w:hAnsi="Times New Roman" w:cs="Times New Roman"/>
          <w:kern w:val="0"/>
          <w:sz w:val="22"/>
          <w:szCs w:val="20"/>
          <w:lang w:eastAsia="lt-LT" w:bidi="lt-LT"/>
          <w14:ligatures w14:val="none"/>
        </w:rPr>
        <w:t xml:space="preserve">) profilaktikai, </w:t>
      </w:r>
      <w:proofErr w:type="spellStart"/>
      <w:r w:rsidRPr="00D21DFA">
        <w:rPr>
          <w:rFonts w:ascii="Times New Roman" w:eastAsia="Times New Roman" w:hAnsi="Times New Roman" w:cs="Times New Roman"/>
          <w:kern w:val="0"/>
          <w:sz w:val="22"/>
          <w:szCs w:val="20"/>
          <w:lang w:eastAsia="lt-LT" w:bidi="lt-LT"/>
          <w14:ligatures w14:val="none"/>
        </w:rPr>
        <w:t>apiksabano</w:t>
      </w:r>
      <w:proofErr w:type="spellEnd"/>
      <w:r w:rsidRPr="00D21DFA">
        <w:rPr>
          <w:rFonts w:ascii="Times New Roman" w:eastAsia="Times New Roman" w:hAnsi="Times New Roman" w:cs="Times New Roman"/>
          <w:kern w:val="0"/>
          <w:sz w:val="22"/>
          <w:szCs w:val="20"/>
          <w:lang w:eastAsia="lt-LT" w:bidi="lt-LT"/>
          <w14:ligatures w14:val="none"/>
        </w:rPr>
        <w:t xml:space="preserve"> reikia vartoti atsargiai;</w:t>
      </w:r>
    </w:p>
    <w:p w14:paraId="3A3AD9E1" w14:textId="5A970042" w:rsidR="00C95D96" w:rsidRPr="00D21DFA" w:rsidRDefault="00C95D96" w:rsidP="00C95D96">
      <w:pPr>
        <w:numPr>
          <w:ilvl w:val="0"/>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insulto ir </w:t>
      </w:r>
      <w:r w:rsidRPr="00D21DFA">
        <w:rPr>
          <w:rFonts w:ascii="Times New Roman" w:eastAsia="Times New Roman" w:hAnsi="Times New Roman" w:cs="Times New Roman"/>
          <w:snapToGrid w:val="0"/>
          <w:kern w:val="0"/>
          <w:sz w:val="22"/>
          <w:szCs w:val="20"/>
          <w:lang w:eastAsia="lt-LT" w:bidi="lt-LT"/>
          <w14:ligatures w14:val="none"/>
        </w:rPr>
        <w:t>sisteminės embolijos profilaktikai pacienta</w:t>
      </w:r>
      <w:r w:rsidR="0016348D" w:rsidRPr="00D21DFA">
        <w:rPr>
          <w:rFonts w:ascii="Times New Roman" w:eastAsia="Times New Roman" w:hAnsi="Times New Roman" w:cs="Times New Roman"/>
          <w:snapToGrid w:val="0"/>
          <w:kern w:val="0"/>
          <w:sz w:val="22"/>
          <w:szCs w:val="20"/>
          <w:lang w:eastAsia="lt-LT" w:bidi="lt-LT"/>
          <w14:ligatures w14:val="none"/>
        </w:rPr>
        <w:t>i</w:t>
      </w:r>
      <w:r w:rsidRPr="00D21DFA">
        <w:rPr>
          <w:rFonts w:ascii="Times New Roman" w:eastAsia="Times New Roman" w:hAnsi="Times New Roman" w:cs="Times New Roman"/>
          <w:snapToGrid w:val="0"/>
          <w:kern w:val="0"/>
          <w:sz w:val="22"/>
          <w:szCs w:val="20"/>
          <w:lang w:eastAsia="lt-LT" w:bidi="lt-LT"/>
          <w14:ligatures w14:val="none"/>
        </w:rPr>
        <w:t xml:space="preserve">, </w:t>
      </w:r>
      <w:r w:rsidR="00286F45" w:rsidRPr="00D21DFA">
        <w:rPr>
          <w:rFonts w:ascii="Times New Roman" w:eastAsia="Times New Roman" w:hAnsi="Times New Roman" w:cs="Times New Roman"/>
          <w:snapToGrid w:val="0"/>
          <w:kern w:val="0"/>
          <w:sz w:val="22"/>
          <w:szCs w:val="20"/>
          <w:lang w:eastAsia="lt-LT" w:bidi="lt-LT"/>
          <w14:ligatures w14:val="none"/>
        </w:rPr>
        <w:t xml:space="preserve">sergantys </w:t>
      </w:r>
      <w:r w:rsidRPr="00D21DFA">
        <w:rPr>
          <w:rFonts w:ascii="Times New Roman" w:eastAsia="Times New Roman" w:hAnsi="Times New Roman" w:cs="Times New Roman"/>
          <w:snapToGrid w:val="0"/>
          <w:kern w:val="0"/>
          <w:sz w:val="22"/>
          <w:szCs w:val="20"/>
          <w:lang w:eastAsia="lt-LT" w:bidi="lt-LT"/>
          <w14:ligatures w14:val="none"/>
        </w:rPr>
        <w:t>VNPV</w:t>
      </w:r>
      <w:r w:rsidR="004B730B" w:rsidRPr="00D21DFA">
        <w:rPr>
          <w:rFonts w:ascii="Times New Roman" w:eastAsia="Times New Roman" w:hAnsi="Times New Roman" w:cs="Times New Roman"/>
          <w:snapToGrid w:val="0"/>
          <w:kern w:val="0"/>
          <w:sz w:val="22"/>
          <w:szCs w:val="20"/>
          <w:lang w:eastAsia="lt-LT" w:bidi="lt-LT"/>
          <w14:ligatures w14:val="none"/>
        </w:rPr>
        <w:t>,</w:t>
      </w:r>
      <w:r w:rsidRPr="00D21DFA">
        <w:rPr>
          <w:rFonts w:ascii="Times New Roman" w:eastAsia="Times New Roman" w:hAnsi="Times New Roman" w:cs="Times New Roman"/>
          <w:snapToGrid w:val="0"/>
          <w:kern w:val="0"/>
          <w:sz w:val="22"/>
          <w:szCs w:val="20"/>
          <w:lang w:eastAsia="lt-LT" w:bidi="lt-LT"/>
          <w14:ligatures w14:val="none"/>
        </w:rPr>
        <w:t xml:space="preserve"> turi gauti mažesnę </w:t>
      </w:r>
      <w:proofErr w:type="spellStart"/>
      <w:r w:rsidRPr="00D21DFA">
        <w:rPr>
          <w:rFonts w:ascii="Times New Roman" w:eastAsia="Times New Roman" w:hAnsi="Times New Roman" w:cs="Times New Roman"/>
          <w:snapToGrid w:val="0"/>
          <w:kern w:val="0"/>
          <w:sz w:val="22"/>
          <w:szCs w:val="20"/>
          <w:lang w:eastAsia="lt-LT" w:bidi="lt-LT"/>
          <w14:ligatures w14:val="none"/>
        </w:rPr>
        <w:t>apiksabano</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dozę – 2,5 mg du kartus per parą.</w:t>
      </w:r>
    </w:p>
    <w:p w14:paraId="7EC55B8F" w14:textId="77777777" w:rsidR="00C95D96" w:rsidRPr="00D21DFA" w:rsidRDefault="00C95D96" w:rsidP="00C95D96">
      <w:pPr>
        <w:tabs>
          <w:tab w:val="left" w:pos="567"/>
          <w:tab w:val="left" w:pos="9214"/>
        </w:tabs>
        <w:spacing w:after="0" w:line="260" w:lineRule="exact"/>
        <w:ind w:left="567" w:right="-2"/>
        <w:contextualSpacing/>
        <w:rPr>
          <w:rFonts w:ascii="Times New Roman" w:eastAsia="Times New Roman" w:hAnsi="Times New Roman" w:cs="Times New Roman"/>
          <w:kern w:val="0"/>
          <w:sz w:val="22"/>
          <w:szCs w:val="20"/>
          <w:lang w:eastAsia="lt-LT" w:bidi="lt-LT"/>
          <w14:ligatures w14:val="none"/>
        </w:rPr>
      </w:pPr>
    </w:p>
    <w:p w14:paraId="7456807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kurių kreatinino klirensas yra &lt; 15 ml/min. ar kuriems atliekamos dializės, gydymo šiuo vaistiniu preparatu patirties nėra, todėl šiems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nerekomenduojama (žr. 4.4 ir 5.2 skyrius). </w:t>
      </w:r>
    </w:p>
    <w:p w14:paraId="5D8A237E" w14:textId="77777777" w:rsidR="005E4160" w:rsidRPr="00D21DFA"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DB2E6B" w14:textId="77777777" w:rsidR="005E4160" w:rsidRPr="00AD1A35" w:rsidRDefault="005E4160" w:rsidP="005E4160">
      <w:pPr>
        <w:tabs>
          <w:tab w:val="left" w:pos="567"/>
          <w:tab w:val="left" w:pos="9214"/>
        </w:tabs>
        <w:spacing w:after="0" w:line="240" w:lineRule="auto"/>
        <w:ind w:right="-2"/>
        <w:rPr>
          <w:rFonts w:ascii="Times New Roman" w:eastAsia="Times New Roman" w:hAnsi="Times New Roman" w:cs="Times New Roman"/>
          <w:i/>
          <w:iCs/>
          <w:kern w:val="0"/>
          <w:sz w:val="22"/>
          <w:szCs w:val="20"/>
          <w14:ligatures w14:val="none"/>
        </w:rPr>
      </w:pPr>
      <w:r w:rsidRPr="00AD1A35">
        <w:rPr>
          <w:rFonts w:ascii="Times New Roman" w:eastAsia="Times New Roman" w:hAnsi="Times New Roman" w:cs="Times New Roman"/>
          <w:i/>
          <w:iCs/>
          <w:kern w:val="0"/>
          <w:sz w:val="22"/>
          <w:szCs w:val="20"/>
          <w14:ligatures w14:val="none"/>
        </w:rPr>
        <w:t>Vaikų populiacija</w:t>
      </w:r>
    </w:p>
    <w:p w14:paraId="28D7D5CE" w14:textId="5BF05883" w:rsidR="005E4160" w:rsidRPr="00D21DFA" w:rsidRDefault="005E4160" w:rsidP="005E4160">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D21DFA">
        <w:rPr>
          <w:rFonts w:ascii="Times New Roman" w:eastAsia="Times New Roman" w:hAnsi="Times New Roman" w:cs="Times New Roman"/>
          <w:kern w:val="0"/>
          <w:sz w:val="22"/>
          <w:szCs w:val="20"/>
          <w14:ligatures w14:val="none"/>
        </w:rPr>
        <w:t>Apiksabano</w:t>
      </w:r>
      <w:proofErr w:type="spellEnd"/>
      <w:r w:rsidRPr="00D21DFA">
        <w:rPr>
          <w:rFonts w:ascii="Times New Roman" w:eastAsia="Times New Roman" w:hAnsi="Times New Roman" w:cs="Times New Roman"/>
          <w:kern w:val="0"/>
          <w:sz w:val="22"/>
          <w:szCs w:val="20"/>
          <w14:ligatures w14:val="none"/>
        </w:rPr>
        <w:t xml:space="preserve"> nerekomenduojama vartoti pacientams vaikams, kuriems yra sunkus inkstų funkcijos sutrikimas (žr. 4.4 skyrių).</w:t>
      </w:r>
    </w:p>
    <w:p w14:paraId="358A8D3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58AEA2" w14:textId="77777777" w:rsidR="00C95D96" w:rsidRPr="00D21DFA" w:rsidRDefault="00C95D96" w:rsidP="00C95D96">
      <w:pPr>
        <w:tabs>
          <w:tab w:val="left" w:pos="567"/>
          <w:tab w:val="left" w:pos="9214"/>
        </w:tabs>
        <w:spacing w:after="0" w:line="240" w:lineRule="auto"/>
        <w:ind w:right="-2"/>
        <w:contextualSpacing/>
        <w:outlineLvl w:val="0"/>
        <w:rPr>
          <w:rFonts w:ascii="Times New Roman" w:eastAsia="Times New Roman" w:hAnsi="Times New Roman" w:cs="Times New Roman"/>
          <w:iCs/>
          <w:snapToGrid w:val="0"/>
          <w:color w:val="000000"/>
          <w:kern w:val="0"/>
          <w:sz w:val="22"/>
          <w:szCs w:val="22"/>
          <w:u w:val="single"/>
          <w14:ligatures w14:val="none"/>
        </w:rPr>
      </w:pPr>
      <w:r w:rsidRPr="00D21DFA">
        <w:rPr>
          <w:rFonts w:ascii="Times New Roman" w:eastAsia="Times New Roman" w:hAnsi="Times New Roman" w:cs="Times New Roman"/>
          <w:i/>
          <w:iCs/>
          <w:snapToGrid w:val="0"/>
          <w:color w:val="000000"/>
          <w:kern w:val="0"/>
          <w:sz w:val="22"/>
          <w:szCs w:val="22"/>
          <w:u w:val="single"/>
          <w14:ligatures w14:val="none"/>
        </w:rPr>
        <w:t>Pacientams, kurių kepenų funkcija sutrikusi</w:t>
      </w:r>
    </w:p>
    <w:p w14:paraId="2830380C" w14:textId="0E0AACE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vartoti </w:t>
      </w:r>
      <w:r w:rsidR="005E4160" w:rsidRPr="00D21DFA">
        <w:rPr>
          <w:rFonts w:ascii="Times New Roman" w:eastAsia="Times New Roman" w:hAnsi="Times New Roman" w:cs="Times New Roman"/>
          <w:snapToGrid w:val="0"/>
          <w:kern w:val="0"/>
          <w:sz w:val="22"/>
          <w:szCs w:val="20"/>
          <w14:ligatures w14:val="none"/>
        </w:rPr>
        <w:t xml:space="preserve">suaugusiems </w:t>
      </w:r>
      <w:r w:rsidRPr="00D21DFA">
        <w:rPr>
          <w:rFonts w:ascii="Times New Roman" w:eastAsia="Times New Roman" w:hAnsi="Times New Roman" w:cs="Times New Roman"/>
          <w:snapToGrid w:val="0"/>
          <w:kern w:val="0"/>
          <w:sz w:val="22"/>
          <w:szCs w:val="20"/>
          <w14:ligatures w14:val="none"/>
        </w:rPr>
        <w:t xml:space="preserve">pacientams, kurie serga kepenų liga, susijusia su </w:t>
      </w:r>
      <w:proofErr w:type="spellStart"/>
      <w:r w:rsidRPr="00D21DFA">
        <w:rPr>
          <w:rFonts w:ascii="Times New Roman" w:eastAsia="Times New Roman" w:hAnsi="Times New Roman" w:cs="Times New Roman"/>
          <w:snapToGrid w:val="0"/>
          <w:kern w:val="0"/>
          <w:sz w:val="22"/>
          <w:szCs w:val="20"/>
          <w14:ligatures w14:val="none"/>
        </w:rPr>
        <w:t>koaguliopatija</w:t>
      </w:r>
      <w:proofErr w:type="spellEnd"/>
      <w:r w:rsidRPr="00D21DFA">
        <w:rPr>
          <w:rFonts w:ascii="Times New Roman" w:eastAsia="Times New Roman" w:hAnsi="Times New Roman" w:cs="Times New Roman"/>
          <w:snapToGrid w:val="0"/>
          <w:kern w:val="0"/>
          <w:sz w:val="22"/>
          <w:szCs w:val="20"/>
          <w14:ligatures w14:val="none"/>
        </w:rPr>
        <w:t xml:space="preserve"> ar kliniškai reikšminga kraujavimo rizika</w:t>
      </w:r>
      <w:r w:rsidR="006B410F" w:rsidRPr="00D21DFA">
        <w:rPr>
          <w:rFonts w:ascii="Times New Roman" w:eastAsia="Times New Roman" w:hAnsi="Times New Roman" w:cs="Times New Roman"/>
          <w:snapToGrid w:val="0"/>
          <w:kern w:val="0"/>
          <w:sz w:val="22"/>
          <w:szCs w:val="20"/>
          <w14:ligatures w14:val="none"/>
        </w:rPr>
        <w:t>, draudžiama</w:t>
      </w:r>
      <w:r w:rsidRPr="00D21DFA">
        <w:rPr>
          <w:rFonts w:ascii="Times New Roman" w:eastAsia="Times New Roman" w:hAnsi="Times New Roman" w:cs="Times New Roman"/>
          <w:snapToGrid w:val="0"/>
          <w:kern w:val="0"/>
          <w:sz w:val="22"/>
          <w:szCs w:val="20"/>
          <w14:ligatures w14:val="none"/>
        </w:rPr>
        <w:t xml:space="preserve"> (žr. 4.3 skyrių). </w:t>
      </w:r>
    </w:p>
    <w:p w14:paraId="5CE2EAD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591D9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Vaistinio preparato nerekomenduojama vartoti pacientams, kuriems yra sunkus kepenų funkcijos sutrikimas (žr. 4.4 ir 5.2 skyrius). </w:t>
      </w:r>
    </w:p>
    <w:p w14:paraId="5DD0122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543649" w14:textId="176F4BD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Vaistinio preparato reikia atsargiai vartoti pacientams, kuriems yra lengvas ar vidutinio sunkumo kepenų funkcijos sutrikimas (A arba B klasės pagal </w:t>
      </w:r>
      <w:proofErr w:type="spellStart"/>
      <w:r w:rsidRPr="00D21DFA">
        <w:rPr>
          <w:rFonts w:ascii="Times New Roman" w:eastAsia="Times New Roman" w:hAnsi="Times New Roman" w:cs="Times New Roman"/>
          <w:i/>
          <w:iCs/>
          <w:snapToGrid w:val="0"/>
          <w:kern w:val="0"/>
          <w:sz w:val="22"/>
          <w:szCs w:val="20"/>
          <w14:ligatures w14:val="none"/>
        </w:rPr>
        <w:t>Child</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Pugh</w:t>
      </w:r>
      <w:proofErr w:type="spellEnd"/>
      <w:r w:rsidR="00321C6A" w:rsidRPr="00D21DFA">
        <w:rPr>
          <w:rFonts w:ascii="Times New Roman" w:eastAsia="Times New Roman" w:hAnsi="Times New Roman" w:cs="Times New Roman"/>
          <w:i/>
          <w:iCs/>
          <w:snapToGrid w:val="0"/>
          <w:kern w:val="0"/>
          <w:sz w:val="22"/>
          <w:szCs w:val="20"/>
          <w14:ligatures w14:val="none"/>
        </w:rPr>
        <w:t xml:space="preserve"> </w:t>
      </w:r>
      <w:r w:rsidR="00321C6A" w:rsidRPr="00D21DFA">
        <w:rPr>
          <w:rFonts w:ascii="Times New Roman" w:eastAsia="Times New Roman" w:hAnsi="Times New Roman" w:cs="Times New Roman"/>
          <w:snapToGrid w:val="0"/>
          <w:kern w:val="0"/>
          <w:sz w:val="22"/>
          <w:szCs w:val="20"/>
          <w14:ligatures w14:val="none"/>
        </w:rPr>
        <w:t>skalę</w:t>
      </w:r>
      <w:r w:rsidRPr="00D21DFA">
        <w:rPr>
          <w:rFonts w:ascii="Times New Roman" w:eastAsia="Times New Roman" w:hAnsi="Times New Roman" w:cs="Times New Roman"/>
          <w:snapToGrid w:val="0"/>
          <w:kern w:val="0"/>
          <w:sz w:val="22"/>
          <w:szCs w:val="20"/>
          <w14:ligatures w14:val="none"/>
        </w:rPr>
        <w:t xml:space="preserve">). Pacientams, kuriems yra lengvas ar vidutinio sunkumo kepenų funkcijos sutrikimas, vaistinio preparato dozės keisti nereikia (žr. 4.4 ir 5.2 skyrius). </w:t>
      </w:r>
    </w:p>
    <w:p w14:paraId="43B34E2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C9505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kuriems buvo nustatytas padidėjęs kepenų fermentų aktyvumas (alaninaminotransferazės [ALT] / aspartataminotransferazės [AST] aktyvumas buvo &gt; 2 x VNR [viršutinė normos riba]) arba bendrojo </w:t>
      </w:r>
      <w:proofErr w:type="spellStart"/>
      <w:r w:rsidRPr="00D21DFA">
        <w:rPr>
          <w:rFonts w:ascii="Times New Roman" w:eastAsia="Times New Roman" w:hAnsi="Times New Roman" w:cs="Times New Roman"/>
          <w:snapToGrid w:val="0"/>
          <w:kern w:val="0"/>
          <w:sz w:val="22"/>
          <w:szCs w:val="20"/>
          <w14:ligatures w14:val="none"/>
        </w:rPr>
        <w:t>bilirubino</w:t>
      </w:r>
      <w:proofErr w:type="spellEnd"/>
      <w:r w:rsidRPr="00D21DFA">
        <w:rPr>
          <w:rFonts w:ascii="Times New Roman" w:eastAsia="Times New Roman" w:hAnsi="Times New Roman" w:cs="Times New Roman"/>
          <w:snapToGrid w:val="0"/>
          <w:kern w:val="0"/>
          <w:sz w:val="22"/>
          <w:szCs w:val="20"/>
          <w14:ligatures w14:val="none"/>
        </w:rPr>
        <w:t xml:space="preserve"> kiekis buvo ≥ 1,5 x VNR, nebuvo įtraukti į klinikinius tyrimus. Todėl šiems pacientams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reikia vartoti atsargiai (žr. 4.4 ir 5.2 skyrius). Prieš pradedant vartoti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bCs/>
          <w:snapToGrid w:val="0"/>
          <w:kern w:val="0"/>
          <w:sz w:val="22"/>
          <w:szCs w:val="22"/>
          <w14:ligatures w14:val="none"/>
        </w:rPr>
        <w:t xml:space="preserve"> turi būti atklikti</w:t>
      </w:r>
      <w:r w:rsidRPr="00D21DFA">
        <w:rPr>
          <w:rFonts w:ascii="Times New Roman" w:eastAsia="Times New Roman" w:hAnsi="Times New Roman" w:cs="Times New Roman"/>
          <w:snapToGrid w:val="0"/>
          <w:kern w:val="0"/>
          <w:sz w:val="22"/>
          <w:szCs w:val="20"/>
          <w14:ligatures w14:val="none"/>
        </w:rPr>
        <w:t xml:space="preserve"> kepenų funkcijos tyrimai. </w:t>
      </w:r>
    </w:p>
    <w:p w14:paraId="561CA36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BA0852" w14:textId="67357357" w:rsidR="005E4160" w:rsidRPr="00D21DFA"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pacientams vaikams, kurių kepenų funkcija sutrikusi.</w:t>
      </w:r>
    </w:p>
    <w:p w14:paraId="43B4E8AD" w14:textId="77777777" w:rsidR="005E4160" w:rsidRPr="00D21DFA"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B47E6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Kūno svoris</w:t>
      </w:r>
    </w:p>
    <w:p w14:paraId="5E6312A8" w14:textId="4367302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VTEp</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w:t>
      </w:r>
      <w:r w:rsidR="005E4160" w:rsidRPr="00D21DFA">
        <w:rPr>
          <w:rFonts w:ascii="Times New Roman" w:eastAsia="Times New Roman" w:hAnsi="Times New Roman" w:cs="Times New Roman"/>
          <w:snapToGrid w:val="0"/>
          <w:kern w:val="0"/>
          <w:sz w:val="22"/>
          <w:szCs w:val="20"/>
          <w14:ligatures w14:val="none"/>
        </w:rPr>
        <w:t>Suaugusiesiems d</w:t>
      </w:r>
      <w:r w:rsidRPr="00D21DFA">
        <w:rPr>
          <w:rFonts w:ascii="Times New Roman" w:eastAsia="Times New Roman" w:hAnsi="Times New Roman" w:cs="Times New Roman"/>
          <w:snapToGrid w:val="0"/>
          <w:kern w:val="0"/>
          <w:sz w:val="22"/>
          <w:szCs w:val="20"/>
          <w14:ligatures w14:val="none"/>
        </w:rPr>
        <w:t>ozės keitimas nereikalingas (žr. 4.4 ir 5.2 skyrius).</w:t>
      </w:r>
    </w:p>
    <w:p w14:paraId="19CFA8E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90432B" w14:textId="32DCD95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VNPV. Dozės keitimas nereikalingas, nebent yra tenkinami </w:t>
      </w:r>
      <w:r w:rsidR="0066401F" w:rsidRPr="00D21DFA">
        <w:rPr>
          <w:rFonts w:ascii="Times New Roman" w:eastAsia="Times New Roman" w:hAnsi="Times New Roman" w:cs="Times New Roman"/>
          <w:snapToGrid w:val="0"/>
          <w:kern w:val="0"/>
          <w:sz w:val="22"/>
          <w:szCs w:val="20"/>
          <w14:ligatures w14:val="none"/>
        </w:rPr>
        <w:t xml:space="preserve">kiti </w:t>
      </w:r>
      <w:r w:rsidRPr="00D21DFA">
        <w:rPr>
          <w:rFonts w:ascii="Times New Roman" w:eastAsia="Times New Roman" w:hAnsi="Times New Roman" w:cs="Times New Roman"/>
          <w:snapToGrid w:val="0"/>
          <w:kern w:val="0"/>
          <w:sz w:val="22"/>
          <w:szCs w:val="20"/>
          <w14:ligatures w14:val="none"/>
        </w:rPr>
        <w:t>dozės mažinimo kriterijai (žr. 4.2 skyriaus pradžioje poskyrį „Dozės mažinimas“).</w:t>
      </w:r>
    </w:p>
    <w:p w14:paraId="0F6DB5D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4093B1" w14:textId="13E5F414" w:rsidR="005E4160" w:rsidRPr="00D21DFA" w:rsidRDefault="005E4160" w:rsidP="005E4160">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skyrimas vaikams yra pagrįstas fiksuotos dozės pagal kūno masės kategoriją režimu (žr. 4.2 skyrių).</w:t>
      </w:r>
    </w:p>
    <w:p w14:paraId="27BBA267" w14:textId="77777777" w:rsidR="005E4160" w:rsidRPr="00D21DFA"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E6D90A"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Lytis </w:t>
      </w:r>
    </w:p>
    <w:p w14:paraId="79215B3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Dozės keitimas nereikalingas (žr. 5.2 skyrių). </w:t>
      </w:r>
    </w:p>
    <w:p w14:paraId="0FB4BC6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AD4FA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Pacientams, kuriems atliekama </w:t>
      </w:r>
      <w:proofErr w:type="spellStart"/>
      <w:r w:rsidRPr="00D21DFA">
        <w:rPr>
          <w:rFonts w:ascii="Times New Roman" w:eastAsia="Times New Roman" w:hAnsi="Times New Roman" w:cs="Times New Roman"/>
          <w:i/>
          <w:snapToGrid w:val="0"/>
          <w:kern w:val="0"/>
          <w:sz w:val="22"/>
          <w:szCs w:val="20"/>
          <w:u w:val="single"/>
          <w14:ligatures w14:val="none"/>
        </w:rPr>
        <w:t>kateterinė</w:t>
      </w:r>
      <w:proofErr w:type="spellEnd"/>
      <w:r w:rsidRPr="00D21DFA">
        <w:rPr>
          <w:rFonts w:ascii="Times New Roman" w:eastAsia="Times New Roman" w:hAnsi="Times New Roman" w:cs="Times New Roman"/>
          <w:i/>
          <w:snapToGrid w:val="0"/>
          <w:kern w:val="0"/>
          <w:sz w:val="22"/>
          <w:szCs w:val="20"/>
          <w:u w:val="single"/>
          <w14:ligatures w14:val="none"/>
        </w:rPr>
        <w:t xml:space="preserve"> </w:t>
      </w:r>
      <w:proofErr w:type="spellStart"/>
      <w:r w:rsidRPr="00D21DFA">
        <w:rPr>
          <w:rFonts w:ascii="Times New Roman" w:eastAsia="Times New Roman" w:hAnsi="Times New Roman" w:cs="Times New Roman"/>
          <w:i/>
          <w:snapToGrid w:val="0"/>
          <w:kern w:val="0"/>
          <w:sz w:val="22"/>
          <w:szCs w:val="20"/>
          <w:u w:val="single"/>
          <w14:ligatures w14:val="none"/>
        </w:rPr>
        <w:t>abliacija</w:t>
      </w:r>
      <w:proofErr w:type="spellEnd"/>
      <w:r w:rsidRPr="00D21DFA">
        <w:rPr>
          <w:rFonts w:ascii="Times New Roman" w:eastAsia="Times New Roman" w:hAnsi="Times New Roman" w:cs="Times New Roman"/>
          <w:i/>
          <w:snapToGrid w:val="0"/>
          <w:kern w:val="0"/>
          <w:sz w:val="22"/>
          <w:szCs w:val="20"/>
          <w:u w:val="single"/>
          <w14:ligatures w14:val="none"/>
        </w:rPr>
        <w:t xml:space="preserve"> (VNPV)</w:t>
      </w:r>
    </w:p>
    <w:p w14:paraId="4AD694E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kuriems atliekama </w:t>
      </w:r>
      <w:proofErr w:type="spellStart"/>
      <w:r w:rsidRPr="00D21DFA">
        <w:rPr>
          <w:rFonts w:ascii="Times New Roman" w:eastAsia="Times New Roman" w:hAnsi="Times New Roman" w:cs="Times New Roman"/>
          <w:snapToGrid w:val="0"/>
          <w:kern w:val="0"/>
          <w:sz w:val="22"/>
          <w:szCs w:val="20"/>
          <w14:ligatures w14:val="none"/>
        </w:rPr>
        <w:t>kateterinė</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abliacija</w:t>
      </w:r>
      <w:proofErr w:type="spellEnd"/>
      <w:r w:rsidRPr="00D21DFA">
        <w:rPr>
          <w:rFonts w:ascii="Times New Roman" w:eastAsia="Times New Roman" w:hAnsi="Times New Roman" w:cs="Times New Roman"/>
          <w:snapToGrid w:val="0"/>
          <w:kern w:val="0"/>
          <w:sz w:val="22"/>
          <w:szCs w:val="20"/>
          <w14:ligatures w14:val="none"/>
        </w:rPr>
        <w:t xml:space="preserve"> gali tęsti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(žr. 4.3, 4.4 ir 4.5 skyrius).</w:t>
      </w:r>
    </w:p>
    <w:p w14:paraId="251A97A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392E60" w14:textId="77777777" w:rsidR="00C95D96" w:rsidRPr="00D21DFA" w:rsidRDefault="00C95D96" w:rsidP="00AD1A35">
      <w:pPr>
        <w:keepNext/>
        <w:keepLines/>
        <w:tabs>
          <w:tab w:val="left" w:pos="567"/>
          <w:tab w:val="left" w:pos="9214"/>
        </w:tabs>
        <w:spacing w:after="0" w:line="240" w:lineRule="auto"/>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Pacientams, kuriems atliekama </w:t>
      </w:r>
      <w:proofErr w:type="spellStart"/>
      <w:r w:rsidRPr="00D21DFA">
        <w:rPr>
          <w:rFonts w:ascii="Times New Roman" w:eastAsia="Times New Roman" w:hAnsi="Times New Roman" w:cs="Times New Roman"/>
          <w:i/>
          <w:snapToGrid w:val="0"/>
          <w:kern w:val="0"/>
          <w:sz w:val="22"/>
          <w:szCs w:val="20"/>
          <w:u w:val="single"/>
          <w14:ligatures w14:val="none"/>
        </w:rPr>
        <w:t>kardioversija</w:t>
      </w:r>
      <w:proofErr w:type="spellEnd"/>
    </w:p>
    <w:p w14:paraId="14B4D5A5" w14:textId="68AE2340" w:rsidR="00C95D96" w:rsidRPr="00D21DFA" w:rsidRDefault="005E416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Suaugę p</w:t>
      </w:r>
      <w:r w:rsidR="00C95D96" w:rsidRPr="00D21DFA">
        <w:rPr>
          <w:rFonts w:ascii="Times New Roman" w:eastAsia="Times New Roman" w:hAnsi="Times New Roman" w:cs="Times New Roman"/>
          <w:snapToGrid w:val="0"/>
          <w:kern w:val="0"/>
          <w:sz w:val="22"/>
          <w:szCs w:val="20"/>
          <w14:ligatures w14:val="none"/>
        </w:rPr>
        <w:t xml:space="preserve">acientai, kuriems pasireiškia VNPV ir gali reikėti </w:t>
      </w:r>
      <w:proofErr w:type="spellStart"/>
      <w:r w:rsidR="00C95D96" w:rsidRPr="00D21DFA">
        <w:rPr>
          <w:rFonts w:ascii="Times New Roman" w:eastAsia="Times New Roman" w:hAnsi="Times New Roman" w:cs="Times New Roman"/>
          <w:snapToGrid w:val="0"/>
          <w:kern w:val="0"/>
          <w:sz w:val="22"/>
          <w:szCs w:val="20"/>
          <w14:ligatures w14:val="none"/>
        </w:rPr>
        <w:t>kardioversijos</w:t>
      </w:r>
      <w:proofErr w:type="spellEnd"/>
      <w:r w:rsidR="00C95D96" w:rsidRPr="00D21DFA">
        <w:rPr>
          <w:rFonts w:ascii="Times New Roman" w:eastAsia="Times New Roman" w:hAnsi="Times New Roman" w:cs="Times New Roman"/>
          <w:snapToGrid w:val="0"/>
          <w:kern w:val="0"/>
          <w:sz w:val="22"/>
          <w:szCs w:val="20"/>
          <w14:ligatures w14:val="none"/>
        </w:rPr>
        <w:t xml:space="preserve">, gali pradėti ir tęsti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vartojimą.</w:t>
      </w:r>
    </w:p>
    <w:p w14:paraId="7874DA5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E8BBF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Anksčiau antikoaguliantų nevartojusiems pacientams reikia apsvarstyti galimybę prieš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vaizdinimo metodu (pvz., atliekant </w:t>
      </w:r>
      <w:proofErr w:type="spellStart"/>
      <w:r w:rsidRPr="00D21DFA">
        <w:rPr>
          <w:rFonts w:ascii="Times New Roman" w:eastAsia="Times New Roman" w:hAnsi="Times New Roman" w:cs="Times New Roman"/>
          <w:snapToGrid w:val="0"/>
          <w:kern w:val="0"/>
          <w:sz w:val="22"/>
          <w:szCs w:val="20"/>
          <w14:ligatures w14:val="none"/>
        </w:rPr>
        <w:t>transezofaginę</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echokardiografiją</w:t>
      </w:r>
      <w:proofErr w:type="spellEnd"/>
      <w:r w:rsidRPr="00D21DFA">
        <w:rPr>
          <w:rFonts w:ascii="Times New Roman" w:eastAsia="Times New Roman" w:hAnsi="Times New Roman" w:cs="Times New Roman"/>
          <w:snapToGrid w:val="0"/>
          <w:kern w:val="0"/>
          <w:sz w:val="22"/>
          <w:szCs w:val="20"/>
          <w14:ligatures w14:val="none"/>
        </w:rPr>
        <w:t xml:space="preserve"> [TEE] arba kompiuterinės tomografijos [KT] skenavimą) paneigti </w:t>
      </w:r>
      <w:proofErr w:type="spellStart"/>
      <w:r w:rsidRPr="00D21DFA">
        <w:rPr>
          <w:rFonts w:ascii="Times New Roman" w:eastAsia="Times New Roman" w:hAnsi="Times New Roman" w:cs="Times New Roman"/>
          <w:snapToGrid w:val="0"/>
          <w:kern w:val="0"/>
          <w:sz w:val="22"/>
          <w:szCs w:val="20"/>
          <w14:ligatures w14:val="none"/>
        </w:rPr>
        <w:t>trombo</w:t>
      </w:r>
      <w:proofErr w:type="spellEnd"/>
      <w:r w:rsidRPr="00D21DFA">
        <w:rPr>
          <w:rFonts w:ascii="Times New Roman" w:eastAsia="Times New Roman" w:hAnsi="Times New Roman" w:cs="Times New Roman"/>
          <w:snapToGrid w:val="0"/>
          <w:kern w:val="0"/>
          <w:sz w:val="22"/>
          <w:szCs w:val="20"/>
          <w14:ligatures w14:val="none"/>
        </w:rPr>
        <w:t xml:space="preserve"> kairiajame prieširdyje buvimą, pagal nustatytas medicinines gaires.</w:t>
      </w:r>
    </w:p>
    <w:p w14:paraId="3C80629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528BC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Prieš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siekiant užtikrinti tinkamą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poveikį, pacientus reikia pradėti gydyti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skiriant po 5 mg du kartus per parą mažiausiai 2,5 paros (5 vienkartines dozes) (žr. 5.1 skyrių). Dozę reikia sumažinti skiriant po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 mažiausiai 2,5 paros (5 vienkartines dozes) pacientams, kurie tenkina dozės mažinimo kriterijus (žr. aukščiau skyrius „Dozės mažinimas“ ir „Pacientams, kurių inkstų funkcija</w:t>
      </w:r>
      <w:r w:rsidRPr="00D21DFA">
        <w:rPr>
          <w:rFonts w:ascii="Times New Roman" w:eastAsia="Times New Roman" w:hAnsi="Times New Roman" w:cs="Times New Roman"/>
          <w:i/>
          <w:snapToGrid w:val="0"/>
          <w:kern w:val="0"/>
          <w:sz w:val="22"/>
          <w:szCs w:val="20"/>
          <w14:ligatures w14:val="none"/>
        </w:rPr>
        <w:t xml:space="preserve"> </w:t>
      </w:r>
      <w:r w:rsidRPr="00D21DFA">
        <w:rPr>
          <w:rFonts w:ascii="Times New Roman" w:eastAsia="Times New Roman" w:hAnsi="Times New Roman" w:cs="Times New Roman"/>
          <w:iCs/>
          <w:snapToGrid w:val="0"/>
          <w:kern w:val="0"/>
          <w:sz w:val="22"/>
          <w:szCs w:val="20"/>
          <w14:ligatures w14:val="none"/>
        </w:rPr>
        <w:t>sutrikusi“</w:t>
      </w:r>
      <w:r w:rsidRPr="00D21DFA">
        <w:rPr>
          <w:rFonts w:ascii="Times New Roman" w:eastAsia="Times New Roman" w:hAnsi="Times New Roman" w:cs="Times New Roman"/>
          <w:snapToGrid w:val="0"/>
          <w:kern w:val="0"/>
          <w:sz w:val="22"/>
          <w:szCs w:val="20"/>
          <w14:ligatures w14:val="none"/>
        </w:rPr>
        <w:t>).</w:t>
      </w:r>
    </w:p>
    <w:p w14:paraId="0DCA0E9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9F8065" w14:textId="7186E48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reikia atlikti anksčiau negu galima pavartoti 5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reikia skirti 10 mg įsotinamąją dozę, o po jos – 5 mg dozę du kartus per parą. Įsotinamąją dozę reikia sumažinti iki 5 mg ir tęsti vartojimą po 2,5 mg du kartus per parą, jeigu pacientui taikomas dozės mažinimo režimas (žr. a</w:t>
      </w:r>
      <w:r w:rsidR="00580350" w:rsidRPr="00D21DFA">
        <w:rPr>
          <w:rFonts w:ascii="Times New Roman" w:eastAsia="Times New Roman" w:hAnsi="Times New Roman" w:cs="Times New Roman"/>
          <w:snapToGrid w:val="0"/>
          <w:kern w:val="0"/>
          <w:sz w:val="22"/>
          <w:szCs w:val="20"/>
          <w14:ligatures w14:val="none"/>
        </w:rPr>
        <w:t>nkstes</w:t>
      </w:r>
      <w:r w:rsidR="00921D9F" w:rsidRPr="00D21DFA">
        <w:rPr>
          <w:rFonts w:ascii="Times New Roman" w:eastAsia="Times New Roman" w:hAnsi="Times New Roman" w:cs="Times New Roman"/>
          <w:snapToGrid w:val="0"/>
          <w:kern w:val="0"/>
          <w:sz w:val="22"/>
          <w:szCs w:val="20"/>
          <w14:ligatures w14:val="none"/>
        </w:rPr>
        <w:t>nius</w:t>
      </w:r>
      <w:r w:rsidRPr="00D21DFA">
        <w:rPr>
          <w:rFonts w:ascii="Times New Roman" w:eastAsia="Times New Roman" w:hAnsi="Times New Roman" w:cs="Times New Roman"/>
          <w:snapToGrid w:val="0"/>
          <w:kern w:val="0"/>
          <w:sz w:val="22"/>
          <w:szCs w:val="20"/>
          <w14:ligatures w14:val="none"/>
        </w:rPr>
        <w:t xml:space="preserve"> skyrius „Dozės mažinimas“ ir „Pacientams, kurių inkstų funkcija sutrikusi“). Įsotinamoji dozė turi būti suvartojama iki </w:t>
      </w:r>
      <w:proofErr w:type="spellStart"/>
      <w:r w:rsidRPr="00D21DFA">
        <w:rPr>
          <w:rFonts w:ascii="Times New Roman" w:eastAsia="Times New Roman" w:hAnsi="Times New Roman" w:cs="Times New Roman"/>
          <w:snapToGrid w:val="0"/>
          <w:kern w:val="0"/>
          <w:sz w:val="22"/>
          <w:szCs w:val="20"/>
          <w14:ligatures w14:val="none"/>
        </w:rPr>
        <w:t>kardioversijos</w:t>
      </w:r>
      <w:proofErr w:type="spellEnd"/>
      <w:r w:rsidRPr="00D21DFA">
        <w:rPr>
          <w:rFonts w:ascii="Times New Roman" w:eastAsia="Times New Roman" w:hAnsi="Times New Roman" w:cs="Times New Roman"/>
          <w:snapToGrid w:val="0"/>
          <w:kern w:val="0"/>
          <w:sz w:val="22"/>
          <w:szCs w:val="20"/>
          <w14:ligatures w14:val="none"/>
        </w:rPr>
        <w:t xml:space="preserve"> likus ne mažiau kaip 2 valandoms (žr. 5.1 skyrių).</w:t>
      </w:r>
    </w:p>
    <w:p w14:paraId="510D509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DACADE" w14:textId="5EF91D1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Visiems pacientams, kuriems atliekama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 xml:space="preserve">, prieš ją atliekant reikia gauti patvirtinimą, kad pacientas suvartojo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kaip skirta. Priimant sprendimą dėl gydymo pradžios ir trukmės reikia atsižvelgti į nustatytas rekomendacines gydymo antikoaguliantais gaires pacientams, kuriems atliekama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w:t>
      </w:r>
    </w:p>
    <w:p w14:paraId="12A557B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23536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Pacientai, kuriems pasireiškia VNPV ir kurie serga ūminiu koronariniu sindromu (ŪKS) ir (arba) kuriems atliekama </w:t>
      </w:r>
      <w:proofErr w:type="spellStart"/>
      <w:r w:rsidRPr="00D21DFA">
        <w:rPr>
          <w:rFonts w:ascii="Times New Roman" w:eastAsia="Times New Roman" w:hAnsi="Times New Roman" w:cs="Times New Roman"/>
          <w:i/>
          <w:snapToGrid w:val="0"/>
          <w:kern w:val="0"/>
          <w:sz w:val="22"/>
          <w:szCs w:val="20"/>
          <w:u w:val="single"/>
          <w14:ligatures w14:val="none"/>
        </w:rPr>
        <w:t>perkutaninė</w:t>
      </w:r>
      <w:proofErr w:type="spellEnd"/>
      <w:r w:rsidRPr="00D21DFA">
        <w:rPr>
          <w:rFonts w:ascii="Times New Roman" w:eastAsia="Times New Roman" w:hAnsi="Times New Roman" w:cs="Times New Roman"/>
          <w:i/>
          <w:snapToGrid w:val="0"/>
          <w:kern w:val="0"/>
          <w:sz w:val="22"/>
          <w:szCs w:val="20"/>
          <w:u w:val="single"/>
          <w14:ligatures w14:val="none"/>
        </w:rPr>
        <w:t xml:space="preserve"> vainikinių arterijų intervencija (PVAI)</w:t>
      </w:r>
    </w:p>
    <w:p w14:paraId="2244B380" w14:textId="162E65C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snapToGrid w:val="0"/>
          <w:kern w:val="0"/>
          <w:sz w:val="22"/>
          <w:szCs w:val="20"/>
          <w14:ligatures w14:val="none"/>
        </w:rPr>
        <w:t xml:space="preserve">Patirties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rekomenduojamomis dozėmis gydant VNPV patiriančius pacientus, kai vaistinio preparato skiriama kartu su trombocitų </w:t>
      </w:r>
      <w:proofErr w:type="spellStart"/>
      <w:r w:rsidRPr="00D21DFA">
        <w:rPr>
          <w:rFonts w:ascii="Times New Roman" w:eastAsia="Times New Roman" w:hAnsi="Times New Roman" w:cs="Times New Roman"/>
          <w:snapToGrid w:val="0"/>
          <w:kern w:val="0"/>
          <w:sz w:val="22"/>
          <w:szCs w:val="20"/>
          <w14:ligatures w14:val="none"/>
        </w:rPr>
        <w:t>agregaciją</w:t>
      </w:r>
      <w:proofErr w:type="spellEnd"/>
      <w:r w:rsidRPr="00D21DFA">
        <w:rPr>
          <w:rFonts w:ascii="Times New Roman" w:eastAsia="Times New Roman" w:hAnsi="Times New Roman" w:cs="Times New Roman"/>
          <w:snapToGrid w:val="0"/>
          <w:kern w:val="0"/>
          <w:sz w:val="22"/>
          <w:szCs w:val="20"/>
          <w14:ligatures w14:val="none"/>
        </w:rPr>
        <w:t xml:space="preserve"> slopinančiais vaistiniais preparatais ŪKS sergantiems pacientams ir (arba) pacientams, kuriems atliekama PVAI, pasiekus hemostazę yra nedaug (žr. 4.4</w:t>
      </w:r>
      <w:r w:rsidR="00623346">
        <w:rPr>
          <w:rFonts w:ascii="Times New Roman" w:eastAsia="Times New Roman" w:hAnsi="Times New Roman" w:cs="Times New Roman"/>
          <w:snapToGrid w:val="0"/>
          <w:kern w:val="0"/>
          <w:sz w:val="22"/>
          <w:szCs w:val="20"/>
          <w14:ligatures w14:val="none"/>
        </w:rPr>
        <w:t xml:space="preserve"> ir</w:t>
      </w:r>
      <w:r w:rsidRPr="00D21DFA">
        <w:rPr>
          <w:rFonts w:ascii="Times New Roman" w:eastAsia="Times New Roman" w:hAnsi="Times New Roman" w:cs="Times New Roman"/>
          <w:snapToGrid w:val="0"/>
          <w:kern w:val="0"/>
          <w:sz w:val="22"/>
          <w:szCs w:val="20"/>
          <w14:ligatures w14:val="none"/>
        </w:rPr>
        <w:t xml:space="preserve"> 5.1 skyrius).</w:t>
      </w:r>
    </w:p>
    <w:p w14:paraId="40A6F7D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p>
    <w:p w14:paraId="607DB6E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Vaikų populiacija </w:t>
      </w:r>
    </w:p>
    <w:p w14:paraId="3DA77917" w14:textId="5F89BCCA" w:rsidR="008843B4" w:rsidRPr="00D21DFA" w:rsidRDefault="008843B4" w:rsidP="008843B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saugumas ir veiksmingumas pacientams vaikams,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vartoti naujagimiams ir pacientams vaikams, kurių amžius nuo 28 dienų iki mažiau kaip 18 metų, esant kitoms indikacijoms nei VTE gydymas ir VTE pasikartojimo profilaktika.</w:t>
      </w:r>
    </w:p>
    <w:p w14:paraId="19DDD8F7" w14:textId="77777777" w:rsidR="008843B4" w:rsidRPr="00D21DFA" w:rsidRDefault="008843B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DDF183" w14:textId="5D726E4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saugumas ir veiksmingumas vaikams ir jaunesniems kaip 18 metų paaugliams </w:t>
      </w:r>
      <w:r w:rsidR="008843B4" w:rsidRPr="00D21DFA">
        <w:rPr>
          <w:rFonts w:ascii="Times New Roman" w:eastAsia="Times New Roman" w:hAnsi="Times New Roman" w:cs="Times New Roman"/>
          <w:snapToGrid w:val="0"/>
          <w:kern w:val="0"/>
          <w:sz w:val="22"/>
          <w:szCs w:val="20"/>
          <w14:ligatures w14:val="none"/>
        </w:rPr>
        <w:t xml:space="preserve">tromboembolijos profilaktikos indikacijai </w:t>
      </w:r>
      <w:r w:rsidRPr="00D21DFA">
        <w:rPr>
          <w:rFonts w:ascii="Times New Roman" w:eastAsia="Times New Roman" w:hAnsi="Times New Roman" w:cs="Times New Roman"/>
          <w:snapToGrid w:val="0"/>
          <w:kern w:val="0"/>
          <w:sz w:val="22"/>
          <w:szCs w:val="20"/>
          <w14:ligatures w14:val="none"/>
        </w:rPr>
        <w:t xml:space="preserve">neištirti. </w:t>
      </w:r>
      <w:bookmarkStart w:id="0" w:name="_Hlk151379129"/>
      <w:r w:rsidRPr="00D21DFA">
        <w:rPr>
          <w:rFonts w:ascii="Times New Roman" w:eastAsia="Times New Roman" w:hAnsi="Times New Roman" w:cs="Times New Roman"/>
          <w:snapToGrid w:val="0"/>
          <w:kern w:val="0"/>
          <w:sz w:val="22"/>
          <w:szCs w:val="20"/>
          <w14:ligatures w14:val="none"/>
        </w:rPr>
        <w:t>Šiuo metu turimi duomenys apie tromboembolijos profilaktiką aprašyti 5.1 skyriuje, tačiau dozavimo rekomendacijų pateikti negalima</w:t>
      </w:r>
      <w:bookmarkEnd w:id="0"/>
      <w:r w:rsidRPr="00D21DFA">
        <w:rPr>
          <w:rFonts w:ascii="Times New Roman" w:eastAsia="Times New Roman" w:hAnsi="Times New Roman" w:cs="Times New Roman"/>
          <w:snapToGrid w:val="0"/>
          <w:kern w:val="0"/>
          <w:sz w:val="22"/>
          <w:szCs w:val="20"/>
          <w14:ligatures w14:val="none"/>
        </w:rPr>
        <w:t xml:space="preserve">. </w:t>
      </w:r>
    </w:p>
    <w:p w14:paraId="4A8720A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FBABDC" w14:textId="7051D17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Vartojimo metodas</w:t>
      </w:r>
      <w:r w:rsidR="008843B4" w:rsidRPr="00D21DFA">
        <w:rPr>
          <w:rFonts w:ascii="Times New Roman" w:eastAsia="Times New Roman" w:hAnsi="Times New Roman" w:cs="Times New Roman"/>
          <w:iCs/>
          <w:snapToGrid w:val="0"/>
          <w:kern w:val="0"/>
          <w:sz w:val="22"/>
          <w:szCs w:val="20"/>
          <w:u w:val="single"/>
          <w14:ligatures w14:val="none"/>
        </w:rPr>
        <w:t xml:space="preserve"> suaugusiesiems ir vaikams</w:t>
      </w:r>
      <w:r w:rsidRPr="00D21DFA">
        <w:rPr>
          <w:rFonts w:ascii="Times New Roman" w:eastAsia="Times New Roman" w:hAnsi="Times New Roman" w:cs="Times New Roman"/>
          <w:iCs/>
          <w:snapToGrid w:val="0"/>
          <w:kern w:val="0"/>
          <w:sz w:val="22"/>
          <w:szCs w:val="20"/>
          <w:u w:val="single"/>
          <w14:ligatures w14:val="none"/>
        </w:rPr>
        <w:t xml:space="preserve"> </w:t>
      </w:r>
    </w:p>
    <w:p w14:paraId="1DFCFBE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Vartoti per burną. </w:t>
      </w:r>
    </w:p>
    <w:p w14:paraId="0D59873F" w14:textId="15DD579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bCs/>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0"/>
          <w14:ligatures w14:val="none"/>
        </w:rPr>
        <w:t>reikia nuryti</w:t>
      </w:r>
      <w:r w:rsidR="00194A17"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užgeriant vandeniu</w:t>
      </w:r>
      <w:r w:rsidR="00194A17"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valgant arba </w:t>
      </w:r>
      <w:r w:rsidR="00994F29" w:rsidRPr="00D21DFA">
        <w:rPr>
          <w:rFonts w:ascii="Times New Roman" w:eastAsia="Times New Roman" w:hAnsi="Times New Roman" w:cs="Times New Roman"/>
          <w:snapToGrid w:val="0"/>
          <w:kern w:val="0"/>
          <w:sz w:val="22"/>
          <w:szCs w:val="20"/>
          <w14:ligatures w14:val="none"/>
        </w:rPr>
        <w:t>nevalgius</w:t>
      </w:r>
      <w:r w:rsidRPr="00D21DFA">
        <w:rPr>
          <w:rFonts w:ascii="Times New Roman" w:eastAsia="Times New Roman" w:hAnsi="Times New Roman" w:cs="Times New Roman"/>
          <w:snapToGrid w:val="0"/>
          <w:kern w:val="0"/>
          <w:sz w:val="22"/>
          <w:szCs w:val="20"/>
          <w14:ligatures w14:val="none"/>
        </w:rPr>
        <w:t>.</w:t>
      </w:r>
    </w:p>
    <w:p w14:paraId="3EA62EB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59F5A0" w14:textId="5CB79A61"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Pacientams, kurie negali nuryti </w:t>
      </w:r>
      <w:r w:rsidR="0082053A" w:rsidRPr="00D21DFA">
        <w:rPr>
          <w:rFonts w:ascii="Times New Roman" w:eastAsia="Times New Roman" w:hAnsi="Times New Roman" w:cs="Times New Roman"/>
          <w:kern w:val="0"/>
          <w:sz w:val="22"/>
          <w:szCs w:val="20"/>
          <w14:ligatures w14:val="none"/>
        </w:rPr>
        <w:t>visos</w:t>
      </w:r>
      <w:r w:rsidRPr="00D21DFA">
        <w:rPr>
          <w:rFonts w:ascii="Times New Roman" w:eastAsia="Times New Roman" w:hAnsi="Times New Roman" w:cs="Times New Roman"/>
          <w:kern w:val="0"/>
          <w:sz w:val="22"/>
          <w:szCs w:val="20"/>
          <w14:ligatures w14:val="none"/>
        </w:rPr>
        <w:t xml:space="preserve"> table</w:t>
      </w:r>
      <w:r w:rsidR="009B2934" w:rsidRPr="00D21DFA">
        <w:rPr>
          <w:rFonts w:ascii="Times New Roman" w:eastAsia="Times New Roman" w:hAnsi="Times New Roman" w:cs="Times New Roman"/>
          <w:kern w:val="0"/>
          <w:sz w:val="22"/>
          <w:szCs w:val="20"/>
          <w14:ligatures w14:val="none"/>
        </w:rPr>
        <w:t>tės</w:t>
      </w:r>
      <w:r w:rsidRPr="00D21DFA">
        <w:rPr>
          <w:rFonts w:ascii="Times New Roman" w:eastAsia="Times New Roman" w:hAnsi="Times New Roman" w:cs="Times New Roman"/>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tabletes galima susmulkinti ir, sumaišius su vandeniu arba 5 </w:t>
      </w:r>
      <w:r w:rsidRPr="00D21DFA">
        <w:rPr>
          <w:rFonts w:ascii="Times New Roman" w:eastAsia="Times New Roman" w:hAnsi="Times New Roman" w:cs="Times New Roman"/>
          <w:snapToGrid w:val="0"/>
          <w:kern w:val="0"/>
          <w:sz w:val="22"/>
          <w:szCs w:val="22"/>
          <w14:ligatures w14:val="none"/>
        </w:rPr>
        <w:t xml:space="preserve">% gliukozės vandeniniu tirpalu, </w:t>
      </w:r>
      <w:r w:rsidRPr="00D21DFA">
        <w:rPr>
          <w:rFonts w:ascii="Times New Roman" w:eastAsia="Times New Roman" w:hAnsi="Times New Roman" w:cs="Times New Roman"/>
          <w:kern w:val="0"/>
          <w:sz w:val="22"/>
          <w:szCs w:val="20"/>
          <w14:ligatures w14:val="none"/>
        </w:rPr>
        <w:t xml:space="preserve">obuolių sultimis arba tyre, nedelsiant suvartoti per burną (žr. 5.2 skyrių). Kitu atveju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tabletes galima susmulkinti ir išmaišius 60 ml vandens arba 5 </w:t>
      </w:r>
      <w:r w:rsidRPr="00D21DFA">
        <w:rPr>
          <w:rFonts w:ascii="Times New Roman" w:eastAsia="Times New Roman" w:hAnsi="Times New Roman" w:cs="Times New Roman"/>
          <w:snapToGrid w:val="0"/>
          <w:kern w:val="0"/>
          <w:sz w:val="22"/>
          <w:szCs w:val="22"/>
          <w14:ligatures w14:val="none"/>
        </w:rPr>
        <w:t>% gliukozės vandeninio tirpalo,</w:t>
      </w:r>
      <w:r w:rsidRPr="00D21DFA">
        <w:rPr>
          <w:rFonts w:ascii="Times New Roman" w:eastAsia="Times New Roman" w:hAnsi="Times New Roman" w:cs="Times New Roman"/>
          <w:kern w:val="0"/>
          <w:sz w:val="22"/>
          <w:szCs w:val="20"/>
          <w14:ligatures w14:val="none"/>
        </w:rPr>
        <w:t xml:space="preserve"> nedelsiant supilti per nosį įvestą skrandžio zondą (žr. 5.2 skyrių). </w:t>
      </w:r>
    </w:p>
    <w:p w14:paraId="7E30ACE0"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lastRenderedPageBreak/>
        <w:t xml:space="preserve">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2C64FE9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987D261"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4.3</w:t>
      </w:r>
      <w:r w:rsidRPr="00D21DFA">
        <w:rPr>
          <w:rFonts w:ascii="Times New Roman" w:eastAsia="Times New Roman" w:hAnsi="Times New Roman" w:cs="Times New Roman"/>
          <w:b/>
          <w:bCs/>
          <w:snapToGrid w:val="0"/>
          <w:kern w:val="0"/>
          <w:sz w:val="22"/>
          <w:szCs w:val="28"/>
          <w:lang w:eastAsia="x-none"/>
          <w14:ligatures w14:val="none"/>
        </w:rPr>
        <w:tab/>
        <w:t>Kontraindikacijos</w:t>
      </w:r>
    </w:p>
    <w:p w14:paraId="2A9E9FD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265E0D5" w14:textId="77777777" w:rsidR="00C95D96" w:rsidRPr="00D21DFA" w:rsidRDefault="00C95D96" w:rsidP="00C95D96">
      <w:pPr>
        <w:numPr>
          <w:ilvl w:val="0"/>
          <w:numId w:val="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Padidėjęs jautrumas veikliajai arba bet kuriai 6.1 skyriuje nurodytai pagalbinei medžiagai.</w:t>
      </w:r>
    </w:p>
    <w:p w14:paraId="396EFEEE" w14:textId="77777777" w:rsidR="00C95D96" w:rsidRPr="00D21DFA"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Kliniškai reikšmingas aktyvus kraujavimas. </w:t>
      </w:r>
    </w:p>
    <w:p w14:paraId="7236C919" w14:textId="77777777" w:rsidR="00C95D96" w:rsidRPr="00D21DFA"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Kepenų liga, susijusi su </w:t>
      </w:r>
      <w:proofErr w:type="spellStart"/>
      <w:r w:rsidRPr="00D21DFA">
        <w:rPr>
          <w:rFonts w:ascii="Times New Roman" w:eastAsia="Times New Roman" w:hAnsi="Times New Roman" w:cs="Times New Roman"/>
          <w:kern w:val="0"/>
          <w:sz w:val="22"/>
          <w:szCs w:val="20"/>
          <w:lang w:eastAsia="lt-LT" w:bidi="lt-LT"/>
          <w14:ligatures w14:val="none"/>
        </w:rPr>
        <w:t>koaguliopatija</w:t>
      </w:r>
      <w:proofErr w:type="spellEnd"/>
      <w:r w:rsidRPr="00D21DFA">
        <w:rPr>
          <w:rFonts w:ascii="Times New Roman" w:eastAsia="Times New Roman" w:hAnsi="Times New Roman" w:cs="Times New Roman"/>
          <w:kern w:val="0"/>
          <w:sz w:val="22"/>
          <w:szCs w:val="20"/>
          <w:lang w:eastAsia="lt-LT" w:bidi="lt-LT"/>
          <w14:ligatures w14:val="none"/>
        </w:rPr>
        <w:t xml:space="preserve"> ir kliniškai reikšminga kraujavimo rizika (žr. 5.2 skyrių).</w:t>
      </w:r>
    </w:p>
    <w:p w14:paraId="3ACDBFB7" w14:textId="45747C15" w:rsidR="00C95D96" w:rsidRPr="00D21DFA"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w:t>
      </w:r>
      <w:r w:rsidR="00E2246A"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stuburo arba akių operacija, neseniai patirtas </w:t>
      </w:r>
      <w:proofErr w:type="spellStart"/>
      <w:r w:rsidRPr="00D21DFA">
        <w:rPr>
          <w:rFonts w:ascii="Times New Roman" w:eastAsia="Times New Roman" w:hAnsi="Times New Roman" w:cs="Times New Roman"/>
          <w:kern w:val="0"/>
          <w:sz w:val="22"/>
          <w:szCs w:val="20"/>
          <w:lang w:eastAsia="lt-LT" w:bidi="lt-LT"/>
          <w14:ligatures w14:val="none"/>
        </w:rPr>
        <w:t>intrakranijinis</w:t>
      </w:r>
      <w:proofErr w:type="spellEnd"/>
      <w:r w:rsidRPr="00D21DFA">
        <w:rPr>
          <w:rFonts w:ascii="Times New Roman" w:eastAsia="Times New Roman" w:hAnsi="Times New Roman" w:cs="Times New Roman"/>
          <w:kern w:val="0"/>
          <w:sz w:val="22"/>
          <w:szCs w:val="20"/>
          <w:lang w:eastAsia="lt-LT" w:bidi="lt-LT"/>
          <w14:ligatures w14:val="none"/>
        </w:rPr>
        <w:t xml:space="preserve"> kraujavimas, diagnozuotos arba įtariamos stemplės venų </w:t>
      </w:r>
      <w:proofErr w:type="spellStart"/>
      <w:r w:rsidRPr="00D21DFA">
        <w:rPr>
          <w:rFonts w:ascii="Times New Roman" w:eastAsia="Times New Roman" w:hAnsi="Times New Roman" w:cs="Times New Roman"/>
          <w:kern w:val="0"/>
          <w:sz w:val="22"/>
          <w:szCs w:val="20"/>
          <w:lang w:eastAsia="lt-LT" w:bidi="lt-LT"/>
          <w14:ligatures w14:val="none"/>
        </w:rPr>
        <w:t>varikozės</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arterijoveninės</w:t>
      </w:r>
      <w:proofErr w:type="spellEnd"/>
      <w:r w:rsidRPr="00D21DFA">
        <w:rPr>
          <w:rFonts w:ascii="Times New Roman" w:eastAsia="Times New Roman" w:hAnsi="Times New Roman" w:cs="Times New Roman"/>
          <w:kern w:val="0"/>
          <w:sz w:val="22"/>
          <w:szCs w:val="20"/>
          <w:lang w:eastAsia="lt-LT" w:bidi="lt-LT"/>
          <w14:ligatures w14:val="none"/>
        </w:rPr>
        <w:t xml:space="preserve"> formavimosi ydos, kraujagyslių aneurizmos arba dideli galvos ar nugaros smegenyse esančių kraujagyslių pokyčiai. </w:t>
      </w:r>
    </w:p>
    <w:p w14:paraId="02409E3C" w14:textId="237A5E27" w:rsidR="00C95D96" w:rsidRPr="00D21DFA" w:rsidRDefault="00C95D96" w:rsidP="00C95D96">
      <w:pPr>
        <w:numPr>
          <w:ilvl w:val="0"/>
          <w:numId w:val="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Kartu taikomas gydymas kokiais nors kitais antikoaguliantais, pavyzdžiui: </w:t>
      </w:r>
      <w:proofErr w:type="spellStart"/>
      <w:r w:rsidRPr="00D21DFA">
        <w:rPr>
          <w:rFonts w:ascii="Times New Roman" w:eastAsia="Times New Roman" w:hAnsi="Times New Roman" w:cs="Times New Roman"/>
          <w:kern w:val="0"/>
          <w:sz w:val="22"/>
          <w:szCs w:val="20"/>
          <w:lang w:eastAsia="lt-LT" w:bidi="lt-LT"/>
          <w14:ligatures w14:val="none"/>
        </w:rPr>
        <w:t>nefrakcionuotu</w:t>
      </w:r>
      <w:proofErr w:type="spellEnd"/>
      <w:r w:rsidRPr="00D21DFA">
        <w:rPr>
          <w:rFonts w:ascii="Times New Roman" w:eastAsia="Times New Roman" w:hAnsi="Times New Roman" w:cs="Times New Roman"/>
          <w:kern w:val="0"/>
          <w:sz w:val="22"/>
          <w:szCs w:val="20"/>
          <w:lang w:eastAsia="lt-LT" w:bidi="lt-LT"/>
          <w14:ligatures w14:val="none"/>
        </w:rPr>
        <w:t xml:space="preserve"> heparinu (NFH), mažos molekulinės masės heparinais (</w:t>
      </w:r>
      <w:proofErr w:type="spellStart"/>
      <w:r w:rsidRPr="00D21DFA">
        <w:rPr>
          <w:rFonts w:ascii="Times New Roman" w:eastAsia="Times New Roman" w:hAnsi="Times New Roman" w:cs="Times New Roman"/>
          <w:kern w:val="0"/>
          <w:sz w:val="22"/>
          <w:szCs w:val="20"/>
          <w:lang w:eastAsia="lt-LT" w:bidi="lt-LT"/>
          <w14:ligatures w14:val="none"/>
        </w:rPr>
        <w:t>enoksaparinu</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dalteparinu</w:t>
      </w:r>
      <w:proofErr w:type="spellEnd"/>
      <w:r w:rsidRPr="00D21DFA">
        <w:rPr>
          <w:rFonts w:ascii="Times New Roman" w:eastAsia="Times New Roman" w:hAnsi="Times New Roman" w:cs="Times New Roman"/>
          <w:kern w:val="0"/>
          <w:sz w:val="22"/>
          <w:szCs w:val="20"/>
          <w:lang w:eastAsia="lt-LT" w:bidi="lt-LT"/>
          <w14:ligatures w14:val="none"/>
        </w:rPr>
        <w:t xml:space="preserve"> ir kt.), heparino dariniais (</w:t>
      </w:r>
      <w:proofErr w:type="spellStart"/>
      <w:r w:rsidRPr="00D21DFA">
        <w:rPr>
          <w:rFonts w:ascii="Times New Roman" w:eastAsia="Times New Roman" w:hAnsi="Times New Roman" w:cs="Times New Roman"/>
          <w:kern w:val="0"/>
          <w:sz w:val="22"/>
          <w:szCs w:val="20"/>
          <w:lang w:eastAsia="lt-LT" w:bidi="lt-LT"/>
          <w14:ligatures w14:val="none"/>
        </w:rPr>
        <w:t>fondaparinuksu</w:t>
      </w:r>
      <w:proofErr w:type="spellEnd"/>
      <w:r w:rsidRPr="00D21DFA">
        <w:rPr>
          <w:rFonts w:ascii="Times New Roman" w:eastAsia="Times New Roman" w:hAnsi="Times New Roman" w:cs="Times New Roman"/>
          <w:kern w:val="0"/>
          <w:sz w:val="22"/>
          <w:szCs w:val="20"/>
          <w:lang w:eastAsia="lt-LT" w:bidi="lt-LT"/>
          <w14:ligatures w14:val="none"/>
        </w:rPr>
        <w:t xml:space="preserve"> ir kt.), geriamaisiais antikoaguliantais (varfarinu, </w:t>
      </w:r>
      <w:proofErr w:type="spellStart"/>
      <w:r w:rsidRPr="00D21DFA">
        <w:rPr>
          <w:rFonts w:ascii="Times New Roman" w:eastAsia="Times New Roman" w:hAnsi="Times New Roman" w:cs="Times New Roman"/>
          <w:kern w:val="0"/>
          <w:sz w:val="22"/>
          <w:szCs w:val="20"/>
          <w:lang w:eastAsia="lt-LT" w:bidi="lt-LT"/>
          <w14:ligatures w14:val="none"/>
        </w:rPr>
        <w:t>rivaroksabanu</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dabigatran</w:t>
      </w:r>
      <w:r w:rsidR="008843B4" w:rsidRPr="00D21DFA">
        <w:rPr>
          <w:rFonts w:ascii="Times New Roman" w:eastAsia="Times New Roman" w:hAnsi="Times New Roman" w:cs="Times New Roman"/>
          <w:kern w:val="0"/>
          <w:sz w:val="22"/>
          <w:szCs w:val="20"/>
          <w:lang w:eastAsia="lt-LT" w:bidi="lt-LT"/>
          <w14:ligatures w14:val="none"/>
        </w:rPr>
        <w:t>o</w:t>
      </w:r>
      <w:proofErr w:type="spellEnd"/>
      <w:r w:rsidR="008843B4" w:rsidRPr="00D21DFA">
        <w:rPr>
          <w:rFonts w:ascii="Times New Roman" w:eastAsia="Times New Roman" w:hAnsi="Times New Roman" w:cs="Times New Roman"/>
          <w:kern w:val="0"/>
          <w:sz w:val="22"/>
          <w:szCs w:val="20"/>
          <w:lang w:eastAsia="lt-LT" w:bidi="lt-LT"/>
          <w14:ligatures w14:val="none"/>
        </w:rPr>
        <w:t xml:space="preserve"> </w:t>
      </w:r>
      <w:proofErr w:type="spellStart"/>
      <w:r w:rsidR="008843B4" w:rsidRPr="00D21DFA">
        <w:rPr>
          <w:rFonts w:ascii="Times New Roman" w:eastAsia="Times New Roman" w:hAnsi="Times New Roman" w:cs="Times New Roman"/>
          <w:kern w:val="0"/>
          <w:sz w:val="22"/>
          <w:szCs w:val="20"/>
          <w:lang w:eastAsia="lt-LT" w:bidi="lt-LT"/>
          <w14:ligatures w14:val="none"/>
        </w:rPr>
        <w:t>eteksilat</w:t>
      </w:r>
      <w:r w:rsidRPr="00D21DFA">
        <w:rPr>
          <w:rFonts w:ascii="Times New Roman" w:eastAsia="Times New Roman" w:hAnsi="Times New Roman" w:cs="Times New Roman"/>
          <w:kern w:val="0"/>
          <w:sz w:val="22"/>
          <w:szCs w:val="20"/>
          <w:lang w:eastAsia="lt-LT" w:bidi="lt-LT"/>
          <w14:ligatures w14:val="none"/>
        </w:rPr>
        <w:t>u</w:t>
      </w:r>
      <w:proofErr w:type="spellEnd"/>
      <w:r w:rsidRPr="00D21DFA">
        <w:rPr>
          <w:rFonts w:ascii="Times New Roman" w:eastAsia="Times New Roman" w:hAnsi="Times New Roman" w:cs="Times New Roman"/>
          <w:kern w:val="0"/>
          <w:sz w:val="22"/>
          <w:szCs w:val="20"/>
          <w:lang w:eastAsia="lt-LT" w:bidi="lt-LT"/>
          <w14:ligatures w14:val="none"/>
        </w:rPr>
        <w:t xml:space="preserve"> ir kt.), išskyrus tomis aplinkybėmis, kai keičiamas gydymas į gydymą </w:t>
      </w:r>
      <w:proofErr w:type="spellStart"/>
      <w:r w:rsidRPr="00D21DFA">
        <w:rPr>
          <w:rFonts w:ascii="Times New Roman" w:eastAsia="Times New Roman" w:hAnsi="Times New Roman" w:cs="Times New Roman"/>
          <w:kern w:val="0"/>
          <w:sz w:val="22"/>
          <w:szCs w:val="20"/>
          <w:lang w:eastAsia="lt-LT" w:bidi="lt-LT"/>
          <w14:ligatures w14:val="none"/>
        </w:rPr>
        <w:t>apiksabanu</w:t>
      </w:r>
      <w:proofErr w:type="spellEnd"/>
      <w:r w:rsidRPr="00D21DFA">
        <w:rPr>
          <w:rFonts w:ascii="Times New Roman" w:eastAsia="Times New Roman" w:hAnsi="Times New Roman" w:cs="Times New Roman"/>
          <w:kern w:val="0"/>
          <w:sz w:val="22"/>
          <w:szCs w:val="20"/>
          <w:lang w:eastAsia="lt-LT" w:bidi="lt-LT"/>
          <w14:ligatures w14:val="none"/>
        </w:rPr>
        <w:t xml:space="preserve"> arba vietoj gydymo </w:t>
      </w:r>
      <w:proofErr w:type="spellStart"/>
      <w:r w:rsidRPr="00D21DFA">
        <w:rPr>
          <w:rFonts w:ascii="Times New Roman" w:eastAsia="Times New Roman" w:hAnsi="Times New Roman" w:cs="Times New Roman"/>
          <w:kern w:val="0"/>
          <w:sz w:val="22"/>
          <w:szCs w:val="20"/>
          <w:lang w:eastAsia="lt-LT" w:bidi="lt-LT"/>
          <w14:ligatures w14:val="none"/>
        </w:rPr>
        <w:t>apiksabanu</w:t>
      </w:r>
      <w:proofErr w:type="spellEnd"/>
      <w:r w:rsidRPr="00D21DFA">
        <w:rPr>
          <w:rFonts w:ascii="Times New Roman" w:eastAsia="Times New Roman" w:hAnsi="Times New Roman" w:cs="Times New Roman"/>
          <w:kern w:val="0"/>
          <w:sz w:val="22"/>
          <w:szCs w:val="20"/>
          <w:lang w:eastAsia="lt-LT" w:bidi="lt-LT"/>
          <w14:ligatures w14:val="none"/>
        </w:rPr>
        <w:t xml:space="preserve"> (žr. 4.2 skyrių), arba kai skiriamos NFH dozės, kurios būtinos paciento centrinės venos arba arterijos kateterio pralaidumui palaikyti arba kai NFH skiriama </w:t>
      </w:r>
      <w:proofErr w:type="spellStart"/>
      <w:r w:rsidRPr="00D21DFA">
        <w:rPr>
          <w:rFonts w:ascii="Times New Roman" w:eastAsia="Times New Roman" w:hAnsi="Times New Roman" w:cs="Times New Roman"/>
          <w:kern w:val="0"/>
          <w:sz w:val="22"/>
          <w:szCs w:val="20"/>
          <w:lang w:eastAsia="lt-LT" w:bidi="lt-LT"/>
          <w14:ligatures w14:val="none"/>
        </w:rPr>
        <w:t>kateterinės</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abliacijos</w:t>
      </w:r>
      <w:proofErr w:type="spellEnd"/>
      <w:r w:rsidRPr="00D21DFA">
        <w:rPr>
          <w:rFonts w:ascii="Times New Roman" w:eastAsia="Times New Roman" w:hAnsi="Times New Roman" w:cs="Times New Roman"/>
          <w:kern w:val="0"/>
          <w:sz w:val="22"/>
          <w:szCs w:val="20"/>
          <w:lang w:eastAsia="lt-LT" w:bidi="lt-LT"/>
          <w14:ligatures w14:val="none"/>
        </w:rPr>
        <w:t>, atliekamos dėl prieširdžių virpėjimo, metu (žr. 4.4 ir 4.5 skyrius).</w:t>
      </w:r>
    </w:p>
    <w:p w14:paraId="0403139B" w14:textId="77777777" w:rsidR="00C95D96" w:rsidRPr="00D21DFA"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0513D072"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4.4</w:t>
      </w:r>
      <w:r w:rsidRPr="00D21DFA">
        <w:rPr>
          <w:rFonts w:ascii="Times New Roman" w:eastAsia="Times New Roman" w:hAnsi="Times New Roman" w:cs="Times New Roman"/>
          <w:b/>
          <w:bCs/>
          <w:snapToGrid w:val="0"/>
          <w:kern w:val="0"/>
          <w:sz w:val="22"/>
          <w:szCs w:val="28"/>
          <w:lang w:eastAsia="x-none"/>
          <w14:ligatures w14:val="none"/>
        </w:rPr>
        <w:tab/>
        <w:t>Specialūs įspėjimai ir atsargumo priemonės</w:t>
      </w:r>
    </w:p>
    <w:p w14:paraId="6430532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F4225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Kraujavimo rizika </w:t>
      </w:r>
    </w:p>
    <w:p w14:paraId="2CD66EF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96C1A9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Kaip ir vartojant kitų antikoaguliantų,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vartojančių pacientų būklę reikia atidžiai stebėti dėl kraujavimo požymių. Vaistinio preparato rekomenduojama vartoti atsargiai pacientams, kuriems yra kraujavimo riziką didinančių būklių. Jeigu pasireiškia stiprus kraujavimas,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vartojimas turi būti nutrauktas (žr. 4.8 ir 4.9 skyrius). </w:t>
      </w:r>
    </w:p>
    <w:p w14:paraId="03455F1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75E94D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Nors gydant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įprastai stebėti ekspozicijos nereikia, išskirtinėmis aplinkybėmis, 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ekspozicijos žinojimas gali padėti priimti klinikinį sprendimą, pavyzdžiui, perdozavimo ir neatidėliotinos operacijos atvejais, gali būti naudingas kalibruotas kiekybinis </w:t>
      </w:r>
      <w:proofErr w:type="spellStart"/>
      <w:r w:rsidRPr="00D21DFA">
        <w:rPr>
          <w:rFonts w:ascii="Times New Roman" w:eastAsia="Times New Roman" w:hAnsi="Times New Roman" w:cs="Times New Roman"/>
          <w:snapToGrid w:val="0"/>
          <w:kern w:val="0"/>
          <w:sz w:val="22"/>
          <w:szCs w:val="20"/>
          <w14:ligatures w14:val="none"/>
        </w:rPr>
        <w:t>anti-Xa</w:t>
      </w:r>
      <w:proofErr w:type="spellEnd"/>
      <w:r w:rsidRPr="00D21DFA">
        <w:rPr>
          <w:rFonts w:ascii="Times New Roman" w:eastAsia="Times New Roman" w:hAnsi="Times New Roman" w:cs="Times New Roman"/>
          <w:snapToGrid w:val="0"/>
          <w:kern w:val="0"/>
          <w:sz w:val="22"/>
          <w:szCs w:val="20"/>
          <w14:ligatures w14:val="none"/>
        </w:rPr>
        <w:t xml:space="preserve"> faktoriaus tyrimas (žr. 5.1 skyrių). </w:t>
      </w:r>
    </w:p>
    <w:p w14:paraId="07189986" w14:textId="77777777" w:rsidR="008843B4" w:rsidRPr="00D21DFA" w:rsidRDefault="008843B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E155346" w14:textId="78612FEC" w:rsidR="008843B4" w:rsidRPr="00D21DFA" w:rsidRDefault="008843B4" w:rsidP="008843B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galima skirti specifinį neutralizuojantįjį vaistinį preparatą (</w:t>
      </w:r>
      <w:proofErr w:type="spellStart"/>
      <w:r w:rsidRPr="00D21DFA">
        <w:rPr>
          <w:rFonts w:ascii="Times New Roman" w:eastAsia="Times New Roman" w:hAnsi="Times New Roman" w:cs="Times New Roman"/>
          <w:snapToGrid w:val="0"/>
          <w:kern w:val="0"/>
          <w:sz w:val="22"/>
          <w:szCs w:val="20"/>
          <w14:ligatures w14:val="none"/>
        </w:rPr>
        <w:t>andeksanetą</w:t>
      </w:r>
      <w:proofErr w:type="spellEnd"/>
      <w:r w:rsidRPr="00D21DFA">
        <w:rPr>
          <w:rFonts w:ascii="Times New Roman" w:eastAsia="Times New Roman" w:hAnsi="Times New Roman" w:cs="Times New Roman"/>
          <w:snapToGrid w:val="0"/>
          <w:kern w:val="0"/>
          <w:sz w:val="22"/>
          <w:szCs w:val="20"/>
          <w14:ligatures w14:val="none"/>
        </w:rPr>
        <w:t xml:space="preserve"> alfa), kuris</w:t>
      </w:r>
      <w:r w:rsidR="00410D0B"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slopina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farmakodinaminį</w:t>
      </w:r>
      <w:proofErr w:type="spellEnd"/>
      <w:r w:rsidRPr="00D21DFA">
        <w:rPr>
          <w:rFonts w:ascii="Times New Roman" w:eastAsia="Times New Roman" w:hAnsi="Times New Roman" w:cs="Times New Roman"/>
          <w:snapToGrid w:val="0"/>
          <w:kern w:val="0"/>
          <w:sz w:val="22"/>
          <w:szCs w:val="20"/>
          <w14:ligatures w14:val="none"/>
        </w:rPr>
        <w:t xml:space="preserve"> poveikį. Tačiau jo saugumas ir veiksmingumas pacientams</w:t>
      </w:r>
      <w:r w:rsidR="00410D0B"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vaikams nenustatyti (žr. </w:t>
      </w:r>
      <w:proofErr w:type="spellStart"/>
      <w:r w:rsidRPr="00D21DFA">
        <w:rPr>
          <w:rFonts w:ascii="Times New Roman" w:eastAsia="Times New Roman" w:hAnsi="Times New Roman" w:cs="Times New Roman"/>
          <w:snapToGrid w:val="0"/>
          <w:kern w:val="0"/>
          <w:sz w:val="22"/>
          <w:szCs w:val="20"/>
          <w14:ligatures w14:val="none"/>
        </w:rPr>
        <w:t>andeksaneto</w:t>
      </w:r>
      <w:proofErr w:type="spellEnd"/>
      <w:r w:rsidRPr="00D21DFA">
        <w:rPr>
          <w:rFonts w:ascii="Times New Roman" w:eastAsia="Times New Roman" w:hAnsi="Times New Roman" w:cs="Times New Roman"/>
          <w:snapToGrid w:val="0"/>
          <w:kern w:val="0"/>
          <w:sz w:val="22"/>
          <w:szCs w:val="20"/>
          <w14:ligatures w14:val="none"/>
        </w:rPr>
        <w:t xml:space="preserve"> alfa preparato charakteristikų santrauką). Galima spręsti dėl</w:t>
      </w:r>
      <w:r w:rsidR="00410D0B"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šviežios šaldytos plazmos transfuzijos,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komplekso koncentrato (PKK) arba</w:t>
      </w:r>
      <w:r w:rsidR="00410D0B"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skyrimo. Tačiau nėra 4</w:t>
      </w:r>
      <w:r w:rsidR="00410D0B"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faktorių PKK preparatų vartojimo klinikinėje</w:t>
      </w:r>
      <w:r w:rsidR="00410D0B"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praktikoje patirties, juos skiriant kraujavimui, kuris pasireiškė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vartojantiems vaikams ir</w:t>
      </w:r>
      <w:r w:rsidR="00410D0B"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suaugusiems pacientams, stabdyti.</w:t>
      </w:r>
    </w:p>
    <w:p w14:paraId="32EC46C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63E05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Sąveika su kitais vaistiniais preparatais, kurie veikia hemostazę </w:t>
      </w:r>
    </w:p>
    <w:p w14:paraId="6BA31FB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C0541DE" w14:textId="20C9051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Dėl padidėjusios kraujavimo rizikos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draudžiama vartoti kartu su kitais antikoaguliantais (žr. 4.3 skyrių). </w:t>
      </w:r>
    </w:p>
    <w:p w14:paraId="20BCC21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46E70C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vartojimas kartu su trombocitų funkciją slopinančiomis medžiagomis didina kraujavimo riziką (žr. 4.5 skyrių). </w:t>
      </w:r>
    </w:p>
    <w:p w14:paraId="1BE9514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0DF88C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Reikia gydyti atsargiai, jeigu pacientas kartu yra gydomas selektyviaisiais </w:t>
      </w:r>
      <w:proofErr w:type="spellStart"/>
      <w:r w:rsidRPr="00D21DFA">
        <w:rPr>
          <w:rFonts w:ascii="Times New Roman" w:eastAsia="Times New Roman" w:hAnsi="Times New Roman" w:cs="Times New Roman"/>
          <w:snapToGrid w:val="0"/>
          <w:kern w:val="0"/>
          <w:sz w:val="22"/>
          <w:szCs w:val="20"/>
          <w14:ligatures w14:val="none"/>
        </w:rPr>
        <w:t>serotonino</w:t>
      </w:r>
      <w:proofErr w:type="spellEnd"/>
      <w:r w:rsidRPr="00D21DFA">
        <w:rPr>
          <w:rFonts w:ascii="Times New Roman" w:eastAsia="Times New Roman" w:hAnsi="Times New Roman" w:cs="Times New Roman"/>
          <w:snapToGrid w:val="0"/>
          <w:kern w:val="0"/>
          <w:sz w:val="22"/>
          <w:szCs w:val="20"/>
          <w14:ligatures w14:val="none"/>
        </w:rPr>
        <w:t xml:space="preserve"> reabsorbcijos inhibitoriais (SSRI) arba </w:t>
      </w:r>
      <w:proofErr w:type="spellStart"/>
      <w:r w:rsidRPr="00D21DFA">
        <w:rPr>
          <w:rFonts w:ascii="Times New Roman" w:eastAsia="Times New Roman" w:hAnsi="Times New Roman" w:cs="Times New Roman"/>
          <w:snapToGrid w:val="0"/>
          <w:kern w:val="0"/>
          <w:sz w:val="22"/>
          <w:szCs w:val="20"/>
          <w14:ligatures w14:val="none"/>
        </w:rPr>
        <w:t>serotonino-noradrenalino</w:t>
      </w:r>
      <w:proofErr w:type="spellEnd"/>
      <w:r w:rsidRPr="00D21DFA">
        <w:rPr>
          <w:rFonts w:ascii="Times New Roman" w:eastAsia="Times New Roman" w:hAnsi="Times New Roman" w:cs="Times New Roman"/>
          <w:snapToGrid w:val="0"/>
          <w:kern w:val="0"/>
          <w:sz w:val="22"/>
          <w:szCs w:val="20"/>
          <w14:ligatures w14:val="none"/>
        </w:rPr>
        <w:t xml:space="preserve"> reabsorbcijos inhibitoriais (SNRI), arba nesteroidiniais vaistiniais preparatais nuo uždegimo (NVNU), įskaitant </w:t>
      </w:r>
      <w:proofErr w:type="spellStart"/>
      <w:r w:rsidRPr="00D21DFA">
        <w:rPr>
          <w:rFonts w:ascii="Times New Roman" w:eastAsia="Times New Roman" w:hAnsi="Times New Roman" w:cs="Times New Roman"/>
          <w:snapToGrid w:val="0"/>
          <w:kern w:val="0"/>
          <w:sz w:val="22"/>
          <w:szCs w:val="20"/>
          <w14:ligatures w14:val="none"/>
        </w:rPr>
        <w:t>acetilsalicilo</w:t>
      </w:r>
      <w:proofErr w:type="spellEnd"/>
      <w:r w:rsidRPr="00D21DFA">
        <w:rPr>
          <w:rFonts w:ascii="Times New Roman" w:eastAsia="Times New Roman" w:hAnsi="Times New Roman" w:cs="Times New Roman"/>
          <w:snapToGrid w:val="0"/>
          <w:kern w:val="0"/>
          <w:sz w:val="22"/>
          <w:szCs w:val="20"/>
          <w14:ligatures w14:val="none"/>
        </w:rPr>
        <w:t xml:space="preserve"> rūgštį (ASR). </w:t>
      </w:r>
    </w:p>
    <w:p w14:paraId="7A8F036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832AD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Po operacijos kitų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inhibitorių vartoti kartu su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nerekomenduojama (žr. 4.5 skyrių). </w:t>
      </w:r>
    </w:p>
    <w:p w14:paraId="5210380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4232E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kuriems pasireiškia prieširdžių virpėjimas ir yra būklių, dėl kurių būtina skirti </w:t>
      </w:r>
      <w:proofErr w:type="spellStart"/>
      <w:r w:rsidRPr="00D21DFA">
        <w:rPr>
          <w:rFonts w:ascii="Times New Roman" w:eastAsia="Times New Roman" w:hAnsi="Times New Roman" w:cs="Times New Roman"/>
          <w:snapToGrid w:val="0"/>
          <w:kern w:val="0"/>
          <w:sz w:val="22"/>
          <w:szCs w:val="20"/>
          <w14:ligatures w14:val="none"/>
        </w:rPr>
        <w:t>monoterapiją</w:t>
      </w:r>
      <w:proofErr w:type="spellEnd"/>
      <w:r w:rsidRPr="00D21DFA">
        <w:rPr>
          <w:rFonts w:ascii="Times New Roman" w:eastAsia="Times New Roman" w:hAnsi="Times New Roman" w:cs="Times New Roman"/>
          <w:snapToGrid w:val="0"/>
          <w:kern w:val="0"/>
          <w:sz w:val="22"/>
          <w:szCs w:val="20"/>
          <w14:ligatures w14:val="none"/>
        </w:rPr>
        <w:t xml:space="preserve"> arba gydymą dviem trombocitų funkciją slopinančiais vaistiniais preparatais, prieš pradedant kartu gydyti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reikia atidžiai įvertinti laukiamos naudos ir galimos rizikos santykį. </w:t>
      </w:r>
    </w:p>
    <w:p w14:paraId="2DA83B1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9EE988D" w14:textId="06474450" w:rsidR="00C95D96"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Suaugusių p</w:t>
      </w:r>
      <w:r w:rsidR="00C95D96" w:rsidRPr="00D21DFA">
        <w:rPr>
          <w:rFonts w:ascii="Times New Roman" w:eastAsia="Times New Roman" w:hAnsi="Times New Roman" w:cs="Times New Roman"/>
          <w:snapToGrid w:val="0"/>
          <w:kern w:val="0"/>
          <w:sz w:val="22"/>
          <w:szCs w:val="20"/>
          <w14:ligatures w14:val="none"/>
        </w:rPr>
        <w:t xml:space="preserve">acientų, </w:t>
      </w:r>
      <w:r w:rsidR="00EA69C7" w:rsidRPr="00D21DFA">
        <w:rPr>
          <w:rFonts w:ascii="Times New Roman" w:eastAsia="Times New Roman" w:hAnsi="Times New Roman" w:cs="Times New Roman"/>
          <w:snapToGrid w:val="0"/>
          <w:kern w:val="0"/>
          <w:sz w:val="22"/>
          <w:szCs w:val="20"/>
          <w14:ligatures w14:val="none"/>
        </w:rPr>
        <w:t>sergančių</w:t>
      </w:r>
      <w:r w:rsidR="00C95D96" w:rsidRPr="00D21DFA">
        <w:rPr>
          <w:rFonts w:ascii="Times New Roman" w:eastAsia="Times New Roman" w:hAnsi="Times New Roman" w:cs="Times New Roman"/>
          <w:snapToGrid w:val="0"/>
          <w:kern w:val="0"/>
          <w:sz w:val="22"/>
          <w:szCs w:val="20"/>
          <w14:ligatures w14:val="none"/>
        </w:rPr>
        <w:t xml:space="preserve"> prieširdžių virpėjim</w:t>
      </w:r>
      <w:r w:rsidR="00EA69C7" w:rsidRPr="00D21DFA">
        <w:rPr>
          <w:rFonts w:ascii="Times New Roman" w:eastAsia="Times New Roman" w:hAnsi="Times New Roman" w:cs="Times New Roman"/>
          <w:snapToGrid w:val="0"/>
          <w:kern w:val="0"/>
          <w:sz w:val="22"/>
          <w:szCs w:val="20"/>
          <w14:ligatures w14:val="none"/>
        </w:rPr>
        <w:t>u</w:t>
      </w:r>
      <w:r w:rsidR="00C95D96" w:rsidRPr="00D21DFA">
        <w:rPr>
          <w:rFonts w:ascii="Times New Roman" w:eastAsia="Times New Roman" w:hAnsi="Times New Roman" w:cs="Times New Roman"/>
          <w:snapToGrid w:val="0"/>
          <w:kern w:val="0"/>
          <w:sz w:val="22"/>
          <w:szCs w:val="20"/>
          <w14:ligatures w14:val="none"/>
        </w:rPr>
        <w:t>, klinikinio tyrimo duomenimis ASR vartojimas kartu</w:t>
      </w:r>
      <w:r w:rsidR="000D5B88" w:rsidRPr="00D21DFA">
        <w:rPr>
          <w:rFonts w:ascii="Times New Roman" w:eastAsia="Times New Roman" w:hAnsi="Times New Roman" w:cs="Times New Roman"/>
          <w:snapToGrid w:val="0"/>
          <w:kern w:val="0"/>
          <w:sz w:val="22"/>
          <w:szCs w:val="20"/>
          <w14:ligatures w14:val="none"/>
        </w:rPr>
        <w:t xml:space="preserve"> </w:t>
      </w:r>
      <w:r w:rsidR="0062111A" w:rsidRPr="00D21DFA">
        <w:rPr>
          <w:rFonts w:ascii="Times New Roman" w:eastAsia="Times New Roman" w:hAnsi="Times New Roman" w:cs="Times New Roman"/>
          <w:snapToGrid w:val="0"/>
          <w:kern w:val="0"/>
          <w:sz w:val="22"/>
          <w:szCs w:val="20"/>
          <w14:ligatures w14:val="none"/>
        </w:rPr>
        <w:t xml:space="preserve">su </w:t>
      </w:r>
      <w:proofErr w:type="spellStart"/>
      <w:r w:rsidR="0062111A" w:rsidRPr="00D21DFA">
        <w:rPr>
          <w:rFonts w:ascii="Times New Roman" w:eastAsia="Times New Roman" w:hAnsi="Times New Roman" w:cs="Times New Roman"/>
          <w:snapToGrid w:val="0"/>
          <w:kern w:val="0"/>
          <w:sz w:val="22"/>
          <w:szCs w:val="20"/>
          <w14:ligatures w14:val="none"/>
        </w:rPr>
        <w:t>apiksabanu</w:t>
      </w:r>
      <w:proofErr w:type="spellEnd"/>
      <w:r w:rsidR="00C95D96" w:rsidRPr="00D21DFA">
        <w:rPr>
          <w:rFonts w:ascii="Times New Roman" w:eastAsia="Times New Roman" w:hAnsi="Times New Roman" w:cs="Times New Roman"/>
          <w:snapToGrid w:val="0"/>
          <w:kern w:val="0"/>
          <w:sz w:val="22"/>
          <w:szCs w:val="20"/>
          <w14:ligatures w14:val="none"/>
        </w:rPr>
        <w:t xml:space="preserve"> padidino stipraus kraujavimo riziką</w:t>
      </w:r>
      <w:r w:rsidR="0062111A" w:rsidRPr="00D21DFA">
        <w:rPr>
          <w:rFonts w:ascii="Times New Roman" w:eastAsia="Times New Roman" w:hAnsi="Times New Roman" w:cs="Times New Roman"/>
          <w:snapToGrid w:val="0"/>
          <w:kern w:val="0"/>
          <w:sz w:val="22"/>
          <w:szCs w:val="20"/>
          <w14:ligatures w14:val="none"/>
        </w:rPr>
        <w:t xml:space="preserve"> </w:t>
      </w:r>
      <w:r w:rsidR="00C95D96" w:rsidRPr="00D21DFA">
        <w:rPr>
          <w:rFonts w:ascii="Times New Roman" w:eastAsia="Times New Roman" w:hAnsi="Times New Roman" w:cs="Times New Roman"/>
          <w:snapToGrid w:val="0"/>
          <w:kern w:val="0"/>
          <w:sz w:val="22"/>
          <w:szCs w:val="20"/>
          <w14:ligatures w14:val="none"/>
        </w:rPr>
        <w:t>nuo 1,8 % per metus iki 3,4 % per metus</w:t>
      </w:r>
      <w:r w:rsidR="005131AB"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w:t>
      </w:r>
      <w:r w:rsidR="00BD3077" w:rsidRPr="00D21DFA">
        <w:rPr>
          <w:rFonts w:ascii="Times New Roman" w:eastAsia="Times New Roman" w:hAnsi="Times New Roman" w:cs="Times New Roman"/>
          <w:snapToGrid w:val="0"/>
          <w:kern w:val="0"/>
          <w:sz w:val="22"/>
          <w:szCs w:val="20"/>
          <w14:ligatures w14:val="none"/>
        </w:rPr>
        <w:t>o</w:t>
      </w:r>
      <w:r w:rsidR="005131AB" w:rsidRPr="00D21DFA">
        <w:rPr>
          <w:rFonts w:ascii="Times New Roman" w:eastAsia="Times New Roman" w:hAnsi="Times New Roman" w:cs="Times New Roman"/>
          <w:snapToGrid w:val="0"/>
          <w:kern w:val="0"/>
          <w:sz w:val="22"/>
          <w:szCs w:val="20"/>
          <w14:ligatures w14:val="none"/>
        </w:rPr>
        <w:t xml:space="preserve">, </w:t>
      </w:r>
      <w:r w:rsidR="00BD3077" w:rsidRPr="00D21DFA">
        <w:rPr>
          <w:rFonts w:ascii="Times New Roman" w:eastAsia="Times New Roman" w:hAnsi="Times New Roman" w:cs="Times New Roman"/>
          <w:snapToGrid w:val="0"/>
          <w:kern w:val="0"/>
          <w:sz w:val="22"/>
          <w:szCs w:val="20"/>
          <w14:ligatures w14:val="none"/>
        </w:rPr>
        <w:t xml:space="preserve">ASR vartojimas </w:t>
      </w:r>
      <w:r w:rsidR="00D020A1" w:rsidRPr="00D21DFA">
        <w:rPr>
          <w:rFonts w:ascii="Times New Roman" w:eastAsia="Times New Roman" w:hAnsi="Times New Roman" w:cs="Times New Roman"/>
          <w:snapToGrid w:val="0"/>
          <w:kern w:val="0"/>
          <w:sz w:val="22"/>
          <w:szCs w:val="20"/>
          <w14:ligatures w14:val="none"/>
        </w:rPr>
        <w:t>su</w:t>
      </w:r>
      <w:r w:rsidR="00C95D96" w:rsidRPr="00D21DFA">
        <w:rPr>
          <w:rFonts w:ascii="Times New Roman" w:eastAsia="Times New Roman" w:hAnsi="Times New Roman" w:cs="Times New Roman"/>
          <w:snapToGrid w:val="0"/>
          <w:kern w:val="0"/>
          <w:sz w:val="22"/>
          <w:szCs w:val="20"/>
          <w14:ligatures w14:val="none"/>
        </w:rPr>
        <w:t xml:space="preserve"> varfarin</w:t>
      </w:r>
      <w:r w:rsidR="00BD3077" w:rsidRPr="00D21DFA">
        <w:rPr>
          <w:rFonts w:ascii="Times New Roman" w:eastAsia="Times New Roman" w:hAnsi="Times New Roman" w:cs="Times New Roman"/>
          <w:snapToGrid w:val="0"/>
          <w:kern w:val="0"/>
          <w:sz w:val="22"/>
          <w:szCs w:val="20"/>
          <w14:ligatures w14:val="none"/>
        </w:rPr>
        <w:t>u</w:t>
      </w:r>
      <w:r w:rsidR="00C95D96" w:rsidRPr="00D21DFA">
        <w:rPr>
          <w:rFonts w:ascii="Times New Roman" w:eastAsia="Times New Roman" w:hAnsi="Times New Roman" w:cs="Times New Roman"/>
          <w:snapToGrid w:val="0"/>
          <w:kern w:val="0"/>
          <w:sz w:val="22"/>
          <w:szCs w:val="20"/>
          <w14:ligatures w14:val="none"/>
        </w:rPr>
        <w:t xml:space="preserve"> </w:t>
      </w:r>
      <w:r w:rsidR="00771C31" w:rsidRPr="00D21DFA">
        <w:rPr>
          <w:rFonts w:ascii="Times New Roman" w:eastAsia="Times New Roman" w:hAnsi="Times New Roman" w:cs="Times New Roman"/>
          <w:snapToGrid w:val="0"/>
          <w:kern w:val="0"/>
          <w:sz w:val="22"/>
          <w:szCs w:val="20"/>
          <w14:ligatures w14:val="none"/>
        </w:rPr>
        <w:t xml:space="preserve">- </w:t>
      </w:r>
      <w:r w:rsidR="00C95D96" w:rsidRPr="00D21DFA">
        <w:rPr>
          <w:rFonts w:ascii="Times New Roman" w:eastAsia="Times New Roman" w:hAnsi="Times New Roman" w:cs="Times New Roman"/>
          <w:snapToGrid w:val="0"/>
          <w:kern w:val="0"/>
          <w:sz w:val="22"/>
          <w:szCs w:val="20"/>
          <w14:ligatures w14:val="none"/>
        </w:rPr>
        <w:t>nuo 2,7 % iki 4,6 % per metus. Šio klinikinio tyrimo duomenimis, ned</w:t>
      </w:r>
      <w:r w:rsidR="007B16F7" w:rsidRPr="00D21DFA">
        <w:rPr>
          <w:rFonts w:ascii="Times New Roman" w:eastAsia="Times New Roman" w:hAnsi="Times New Roman" w:cs="Times New Roman"/>
          <w:snapToGrid w:val="0"/>
          <w:kern w:val="0"/>
          <w:sz w:val="22"/>
          <w:szCs w:val="20"/>
          <w14:ligatures w14:val="none"/>
        </w:rPr>
        <w:t>augeliui</w:t>
      </w:r>
      <w:r w:rsidR="00C95D96" w:rsidRPr="00D21DFA">
        <w:rPr>
          <w:rFonts w:ascii="Times New Roman" w:eastAsia="Times New Roman" w:hAnsi="Times New Roman" w:cs="Times New Roman"/>
          <w:snapToGrid w:val="0"/>
          <w:kern w:val="0"/>
          <w:sz w:val="22"/>
          <w:szCs w:val="20"/>
          <w14:ligatures w14:val="none"/>
        </w:rPr>
        <w:t xml:space="preserve"> pacientų (2,1 %) buvo taikytas gydymas dviem trombocitų funkciją slopinančiais vaistiniais preparatais (žr. 5.1 skyrių).</w:t>
      </w:r>
    </w:p>
    <w:p w14:paraId="415F147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A1F33F" w14:textId="12DEA80D" w:rsidR="00C95D96" w:rsidRPr="00D21DFA" w:rsidRDefault="00D133A8"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Atliktas k</w:t>
      </w:r>
      <w:r w:rsidR="00C95D96" w:rsidRPr="00D21DFA">
        <w:rPr>
          <w:rFonts w:ascii="Times New Roman" w:eastAsia="Times New Roman" w:hAnsi="Times New Roman" w:cs="Times New Roman"/>
          <w:snapToGrid w:val="0"/>
          <w:kern w:val="0"/>
          <w:sz w:val="22"/>
          <w:szCs w:val="20"/>
          <w14:ligatures w14:val="none"/>
        </w:rPr>
        <w:t>linikini</w:t>
      </w:r>
      <w:r w:rsidRPr="00D21DFA">
        <w:rPr>
          <w:rFonts w:ascii="Times New Roman" w:eastAsia="Times New Roman" w:hAnsi="Times New Roman" w:cs="Times New Roman"/>
          <w:snapToGrid w:val="0"/>
          <w:kern w:val="0"/>
          <w:sz w:val="22"/>
          <w:szCs w:val="20"/>
          <w14:ligatures w14:val="none"/>
        </w:rPr>
        <w:t>s</w:t>
      </w:r>
      <w:r w:rsidR="00C95D96" w:rsidRPr="00D21DFA">
        <w:rPr>
          <w:rFonts w:ascii="Times New Roman" w:eastAsia="Times New Roman" w:hAnsi="Times New Roman" w:cs="Times New Roman"/>
          <w:snapToGrid w:val="0"/>
          <w:kern w:val="0"/>
          <w:sz w:val="22"/>
          <w:szCs w:val="20"/>
          <w14:ligatures w14:val="none"/>
        </w:rPr>
        <w:t xml:space="preserve"> tyrim</w:t>
      </w:r>
      <w:r w:rsidRPr="00D21DFA">
        <w:rPr>
          <w:rFonts w:ascii="Times New Roman" w:eastAsia="Times New Roman" w:hAnsi="Times New Roman" w:cs="Times New Roman"/>
          <w:snapToGrid w:val="0"/>
          <w:kern w:val="0"/>
          <w:sz w:val="22"/>
          <w:szCs w:val="20"/>
          <w14:ligatures w14:val="none"/>
        </w:rPr>
        <w:t>as</w:t>
      </w:r>
      <w:r w:rsidR="004117A5" w:rsidRPr="00D21DFA">
        <w:rPr>
          <w:rFonts w:ascii="Times New Roman" w:eastAsia="Times New Roman" w:hAnsi="Times New Roman" w:cs="Times New Roman"/>
          <w:snapToGrid w:val="0"/>
          <w:kern w:val="0"/>
          <w:sz w:val="22"/>
          <w:szCs w:val="20"/>
          <w14:ligatures w14:val="none"/>
        </w:rPr>
        <w:t>, kuriame</w:t>
      </w:r>
      <w:r w:rsidR="00C95D96" w:rsidRPr="00D21DFA">
        <w:rPr>
          <w:rFonts w:ascii="Times New Roman" w:eastAsia="Times New Roman" w:hAnsi="Times New Roman" w:cs="Times New Roman"/>
          <w:snapToGrid w:val="0"/>
          <w:kern w:val="0"/>
          <w:sz w:val="22"/>
          <w:szCs w:val="20"/>
          <w14:ligatures w14:val="none"/>
        </w:rPr>
        <w:t xml:space="preserve"> dalyvavo pacientai, </w:t>
      </w:r>
      <w:r w:rsidR="00512CE4" w:rsidRPr="00D21DFA">
        <w:rPr>
          <w:rFonts w:ascii="Times New Roman" w:eastAsia="Times New Roman" w:hAnsi="Times New Roman" w:cs="Times New Roman"/>
          <w:snapToGrid w:val="0"/>
          <w:kern w:val="0"/>
          <w:sz w:val="22"/>
          <w:szCs w:val="20"/>
          <w14:ligatures w14:val="none"/>
        </w:rPr>
        <w:t>sirg</w:t>
      </w:r>
      <w:r w:rsidR="005744A0" w:rsidRPr="00D21DFA">
        <w:rPr>
          <w:rFonts w:ascii="Times New Roman" w:eastAsia="Times New Roman" w:hAnsi="Times New Roman" w:cs="Times New Roman"/>
          <w:snapToGrid w:val="0"/>
          <w:kern w:val="0"/>
          <w:sz w:val="22"/>
          <w:szCs w:val="20"/>
          <w14:ligatures w14:val="none"/>
        </w:rPr>
        <w:t>ę</w:t>
      </w:r>
      <w:r w:rsidR="00C95D96" w:rsidRPr="00D21DFA">
        <w:rPr>
          <w:rFonts w:ascii="Times New Roman" w:eastAsia="Times New Roman" w:hAnsi="Times New Roman" w:cs="Times New Roman"/>
          <w:snapToGrid w:val="0"/>
          <w:kern w:val="0"/>
          <w:sz w:val="22"/>
          <w:szCs w:val="20"/>
          <w14:ligatures w14:val="none"/>
        </w:rPr>
        <w:t xml:space="preserve"> prieširdžių virpėjim</w:t>
      </w:r>
      <w:r w:rsidR="00714839" w:rsidRPr="00D21DFA">
        <w:rPr>
          <w:rFonts w:ascii="Times New Roman" w:eastAsia="Times New Roman" w:hAnsi="Times New Roman" w:cs="Times New Roman"/>
          <w:snapToGrid w:val="0"/>
          <w:kern w:val="0"/>
          <w:sz w:val="22"/>
          <w:szCs w:val="20"/>
          <w14:ligatures w14:val="none"/>
        </w:rPr>
        <w:t>u</w:t>
      </w:r>
      <w:r w:rsidR="00C95D96" w:rsidRPr="00D21DFA">
        <w:rPr>
          <w:rFonts w:ascii="Times New Roman" w:eastAsia="Times New Roman" w:hAnsi="Times New Roman" w:cs="Times New Roman"/>
          <w:snapToGrid w:val="0"/>
          <w:kern w:val="0"/>
          <w:sz w:val="22"/>
          <w:szCs w:val="20"/>
          <w14:ligatures w14:val="none"/>
        </w:rPr>
        <w:t xml:space="preserve"> ir ŪKS,</w:t>
      </w:r>
      <w:r w:rsidR="00714839" w:rsidRPr="00D21DFA">
        <w:rPr>
          <w:rFonts w:ascii="Times New Roman" w:eastAsia="Times New Roman" w:hAnsi="Times New Roman" w:cs="Times New Roman"/>
          <w:snapToGrid w:val="0"/>
          <w:kern w:val="0"/>
          <w:sz w:val="22"/>
          <w:szCs w:val="20"/>
          <w14:ligatures w14:val="none"/>
        </w:rPr>
        <w:t xml:space="preserve"> bei</w:t>
      </w:r>
      <w:r w:rsidR="00C95D96" w:rsidRPr="00D21DFA">
        <w:rPr>
          <w:rFonts w:ascii="Times New Roman" w:eastAsia="Times New Roman" w:hAnsi="Times New Roman" w:cs="Times New Roman"/>
          <w:snapToGrid w:val="0"/>
          <w:kern w:val="0"/>
          <w:sz w:val="22"/>
          <w:szCs w:val="20"/>
          <w14:ligatures w14:val="none"/>
        </w:rPr>
        <w:t xml:space="preserve"> kuriems ir (arba) buvo atliekama PVAI ir taikomas planinis 6 mėnesių gydymo kursas vartojant P2Y12 inhibitorių su ASR arba be jos, ir </w:t>
      </w:r>
      <w:r w:rsidR="00F90994" w:rsidRPr="00D21DFA">
        <w:rPr>
          <w:rFonts w:ascii="Times New Roman" w:eastAsia="Times New Roman" w:hAnsi="Times New Roman" w:cs="Times New Roman"/>
          <w:snapToGrid w:val="0"/>
          <w:kern w:val="0"/>
          <w:sz w:val="22"/>
          <w:szCs w:val="20"/>
          <w14:ligatures w14:val="none"/>
        </w:rPr>
        <w:t xml:space="preserve">gydymas </w:t>
      </w:r>
      <w:r w:rsidR="00C95D96" w:rsidRPr="00D21DFA">
        <w:rPr>
          <w:rFonts w:ascii="Times New Roman" w:eastAsia="Times New Roman" w:hAnsi="Times New Roman" w:cs="Times New Roman"/>
          <w:snapToGrid w:val="0"/>
          <w:kern w:val="0"/>
          <w:sz w:val="22"/>
          <w:szCs w:val="20"/>
          <w14:ligatures w14:val="none"/>
        </w:rPr>
        <w:t>geriamaisiais antikoaguliantais (</w:t>
      </w:r>
      <w:proofErr w:type="spellStart"/>
      <w:r w:rsidR="00C95D96" w:rsidRPr="00D21DFA">
        <w:rPr>
          <w:rFonts w:ascii="Times New Roman" w:eastAsia="Times New Roman" w:hAnsi="Times New Roman" w:cs="Times New Roman"/>
          <w:snapToGrid w:val="0"/>
          <w:kern w:val="0"/>
          <w:sz w:val="22"/>
          <w:szCs w:val="20"/>
          <w14:ligatures w14:val="none"/>
        </w:rPr>
        <w:t>apiksabanu</w:t>
      </w:r>
      <w:proofErr w:type="spellEnd"/>
      <w:r w:rsidR="00C95D96" w:rsidRPr="00D21DFA">
        <w:rPr>
          <w:rFonts w:ascii="Times New Roman" w:eastAsia="Times New Roman" w:hAnsi="Times New Roman" w:cs="Times New Roman"/>
          <w:snapToGrid w:val="0"/>
          <w:kern w:val="0"/>
          <w:sz w:val="22"/>
          <w:szCs w:val="20"/>
          <w14:ligatures w14:val="none"/>
        </w:rPr>
        <w:t xml:space="preserve"> arba vitamino K antagonistais [VKA]). Vartojant </w:t>
      </w:r>
      <w:r w:rsidR="00AB1325" w:rsidRPr="00D21DFA">
        <w:rPr>
          <w:rFonts w:ascii="Times New Roman" w:eastAsia="Times New Roman" w:hAnsi="Times New Roman" w:cs="Times New Roman"/>
          <w:snapToGrid w:val="0"/>
          <w:kern w:val="0"/>
          <w:sz w:val="22"/>
          <w:szCs w:val="20"/>
          <w14:ligatures w14:val="none"/>
        </w:rPr>
        <w:t xml:space="preserve">minėtą gydymą </w:t>
      </w:r>
      <w:r w:rsidR="00C95D96" w:rsidRPr="00D21DFA">
        <w:rPr>
          <w:rFonts w:ascii="Times New Roman" w:eastAsia="Times New Roman" w:hAnsi="Times New Roman" w:cs="Times New Roman"/>
          <w:snapToGrid w:val="0"/>
          <w:kern w:val="0"/>
          <w:sz w:val="22"/>
          <w:szCs w:val="20"/>
          <w14:ligatures w14:val="none"/>
        </w:rPr>
        <w:t>kartu</w:t>
      </w:r>
      <w:r w:rsidR="00AB1325" w:rsidRPr="00D21DFA">
        <w:rPr>
          <w:rFonts w:ascii="Times New Roman" w:eastAsia="Times New Roman" w:hAnsi="Times New Roman" w:cs="Times New Roman"/>
          <w:snapToGrid w:val="0"/>
          <w:kern w:val="0"/>
          <w:sz w:val="22"/>
          <w:szCs w:val="20"/>
          <w14:ligatures w14:val="none"/>
        </w:rPr>
        <w:t xml:space="preserve"> su</w:t>
      </w:r>
      <w:r w:rsidR="00C95D96" w:rsidRPr="00D21DFA">
        <w:rPr>
          <w:rFonts w:ascii="Times New Roman" w:eastAsia="Times New Roman" w:hAnsi="Times New Roman" w:cs="Times New Roman"/>
          <w:snapToGrid w:val="0"/>
          <w:kern w:val="0"/>
          <w:sz w:val="22"/>
          <w:szCs w:val="20"/>
          <w14:ligatures w14:val="none"/>
        </w:rPr>
        <w:t xml:space="preserve"> ASR, </w:t>
      </w:r>
      <w:proofErr w:type="spellStart"/>
      <w:r w:rsidR="00CD47DE" w:rsidRPr="00D21DFA">
        <w:rPr>
          <w:rFonts w:ascii="Times New Roman" w:eastAsia="Times New Roman" w:hAnsi="Times New Roman" w:cs="Times New Roman"/>
          <w:snapToGrid w:val="0"/>
          <w:kern w:val="0"/>
          <w:sz w:val="22"/>
          <w:szCs w:val="20"/>
          <w14:ligatures w14:val="none"/>
        </w:rPr>
        <w:t>apiksabanu</w:t>
      </w:r>
      <w:proofErr w:type="spellEnd"/>
      <w:r w:rsidR="00CD47DE" w:rsidRPr="00D21DFA">
        <w:rPr>
          <w:rFonts w:ascii="Times New Roman" w:eastAsia="Times New Roman" w:hAnsi="Times New Roman" w:cs="Times New Roman"/>
          <w:snapToGrid w:val="0"/>
          <w:kern w:val="0"/>
          <w:sz w:val="22"/>
          <w:szCs w:val="20"/>
          <w14:ligatures w14:val="none"/>
        </w:rPr>
        <w:t xml:space="preserve"> gydytiems pacientams </w:t>
      </w:r>
      <w:r w:rsidR="00C95D96" w:rsidRPr="00D21DFA">
        <w:rPr>
          <w:rFonts w:ascii="Times New Roman" w:eastAsia="Times New Roman" w:hAnsi="Times New Roman" w:cs="Times New Roman"/>
          <w:snapToGrid w:val="0"/>
          <w:kern w:val="0"/>
          <w:sz w:val="22"/>
          <w:szCs w:val="20"/>
          <w14:ligatures w14:val="none"/>
        </w:rPr>
        <w:t xml:space="preserve">padidėjo stipraus arba kliniškai reikšmingo nestipraus kraujavimo (KRNS) (angl. </w:t>
      </w:r>
      <w:proofErr w:type="spellStart"/>
      <w:r w:rsidR="00C95D96" w:rsidRPr="00D21DFA">
        <w:rPr>
          <w:rFonts w:ascii="Times New Roman" w:eastAsia="Times New Roman" w:hAnsi="Times New Roman" w:cs="Times New Roman"/>
          <w:i/>
          <w:snapToGrid w:val="0"/>
          <w:kern w:val="0"/>
          <w:sz w:val="22"/>
          <w:szCs w:val="20"/>
          <w14:ligatures w14:val="none"/>
        </w:rPr>
        <w:t>Clinically</w:t>
      </w:r>
      <w:proofErr w:type="spellEnd"/>
      <w:r w:rsidR="00C95D96" w:rsidRPr="00D21DFA">
        <w:rPr>
          <w:rFonts w:ascii="Times New Roman" w:eastAsia="Times New Roman" w:hAnsi="Times New Roman" w:cs="Times New Roman"/>
          <w:i/>
          <w:snapToGrid w:val="0"/>
          <w:kern w:val="0"/>
          <w:sz w:val="22"/>
          <w:szCs w:val="20"/>
          <w14:ligatures w14:val="none"/>
        </w:rPr>
        <w:t xml:space="preserve"> </w:t>
      </w:r>
      <w:proofErr w:type="spellStart"/>
      <w:r w:rsidR="00C95D96" w:rsidRPr="00D21DFA">
        <w:rPr>
          <w:rFonts w:ascii="Times New Roman" w:eastAsia="Times New Roman" w:hAnsi="Times New Roman" w:cs="Times New Roman"/>
          <w:i/>
          <w:snapToGrid w:val="0"/>
          <w:kern w:val="0"/>
          <w:sz w:val="22"/>
          <w:szCs w:val="20"/>
          <w14:ligatures w14:val="none"/>
        </w:rPr>
        <w:t>Relevant</w:t>
      </w:r>
      <w:proofErr w:type="spellEnd"/>
      <w:r w:rsidR="00C95D96" w:rsidRPr="00D21DFA">
        <w:rPr>
          <w:rFonts w:ascii="Times New Roman" w:eastAsia="Times New Roman" w:hAnsi="Times New Roman" w:cs="Times New Roman"/>
          <w:i/>
          <w:snapToGrid w:val="0"/>
          <w:kern w:val="0"/>
          <w:sz w:val="22"/>
          <w:szCs w:val="20"/>
          <w14:ligatures w14:val="none"/>
        </w:rPr>
        <w:t xml:space="preserve"> </w:t>
      </w:r>
      <w:proofErr w:type="spellStart"/>
      <w:r w:rsidR="00C95D96" w:rsidRPr="00D21DFA">
        <w:rPr>
          <w:rFonts w:ascii="Times New Roman" w:eastAsia="Times New Roman" w:hAnsi="Times New Roman" w:cs="Times New Roman"/>
          <w:i/>
          <w:snapToGrid w:val="0"/>
          <w:kern w:val="0"/>
          <w:sz w:val="22"/>
          <w:szCs w:val="20"/>
          <w14:ligatures w14:val="none"/>
        </w:rPr>
        <w:t>Non-Major</w:t>
      </w:r>
      <w:proofErr w:type="spellEnd"/>
      <w:r w:rsidR="00C95D96" w:rsidRPr="00D21DFA">
        <w:rPr>
          <w:rFonts w:ascii="Times New Roman" w:eastAsia="Times New Roman" w:hAnsi="Times New Roman" w:cs="Times New Roman"/>
          <w:snapToGrid w:val="0"/>
          <w:kern w:val="0"/>
          <w:sz w:val="22"/>
          <w:szCs w:val="20"/>
          <w14:ligatures w14:val="none"/>
        </w:rPr>
        <w:t xml:space="preserve">) rizika </w:t>
      </w:r>
      <w:r w:rsidR="00AB1325" w:rsidRPr="00D21DFA">
        <w:rPr>
          <w:rFonts w:ascii="Times New Roman" w:eastAsia="Times New Roman" w:hAnsi="Times New Roman" w:cs="Times New Roman"/>
          <w:snapToGrid w:val="0"/>
          <w:kern w:val="0"/>
          <w:sz w:val="22"/>
          <w:szCs w:val="20"/>
          <w14:ligatures w14:val="none"/>
        </w:rPr>
        <w:t xml:space="preserve">pagal Tarptautinę trombozės ir hemostazės asociacijos klasifikaciją (angl. </w:t>
      </w:r>
      <w:r w:rsidR="00AB1325" w:rsidRPr="00D21DFA">
        <w:rPr>
          <w:rFonts w:ascii="Times New Roman" w:eastAsia="Times New Roman" w:hAnsi="Times New Roman" w:cs="Times New Roman"/>
          <w:i/>
          <w:snapToGrid w:val="0"/>
          <w:kern w:val="0"/>
          <w:sz w:val="22"/>
          <w:szCs w:val="20"/>
          <w14:ligatures w14:val="none"/>
        </w:rPr>
        <w:t>International</w:t>
      </w:r>
      <w:r w:rsidR="00AB1325" w:rsidRPr="00D21DFA">
        <w:rPr>
          <w:rFonts w:ascii="Times New Roman" w:eastAsia="Times New Roman" w:hAnsi="Times New Roman" w:cs="Times New Roman"/>
          <w:snapToGrid w:val="0"/>
          <w:kern w:val="0"/>
          <w:sz w:val="22"/>
          <w:szCs w:val="20"/>
          <w14:ligatures w14:val="none"/>
        </w:rPr>
        <w:t xml:space="preserve"> </w:t>
      </w:r>
      <w:proofErr w:type="spellStart"/>
      <w:r w:rsidR="00AB1325" w:rsidRPr="00D21DFA">
        <w:rPr>
          <w:rFonts w:ascii="Times New Roman" w:eastAsia="Times New Roman" w:hAnsi="Times New Roman" w:cs="Times New Roman"/>
          <w:i/>
          <w:snapToGrid w:val="0"/>
          <w:kern w:val="0"/>
          <w:sz w:val="22"/>
          <w:szCs w:val="20"/>
          <w14:ligatures w14:val="none"/>
        </w:rPr>
        <w:t>Society</w:t>
      </w:r>
      <w:proofErr w:type="spellEnd"/>
      <w:r w:rsidR="00AB1325" w:rsidRPr="00D21DFA">
        <w:rPr>
          <w:rFonts w:ascii="Times New Roman" w:eastAsia="Times New Roman" w:hAnsi="Times New Roman" w:cs="Times New Roman"/>
          <w:i/>
          <w:snapToGrid w:val="0"/>
          <w:kern w:val="0"/>
          <w:sz w:val="22"/>
          <w:szCs w:val="20"/>
          <w14:ligatures w14:val="none"/>
        </w:rPr>
        <w:t xml:space="preserve"> </w:t>
      </w:r>
      <w:proofErr w:type="spellStart"/>
      <w:r w:rsidR="00AB1325" w:rsidRPr="00D21DFA">
        <w:rPr>
          <w:rFonts w:ascii="Times New Roman" w:eastAsia="Times New Roman" w:hAnsi="Times New Roman" w:cs="Times New Roman"/>
          <w:i/>
          <w:snapToGrid w:val="0"/>
          <w:kern w:val="0"/>
          <w:sz w:val="22"/>
          <w:szCs w:val="20"/>
          <w14:ligatures w14:val="none"/>
        </w:rPr>
        <w:t>on</w:t>
      </w:r>
      <w:proofErr w:type="spellEnd"/>
      <w:r w:rsidR="00AB1325" w:rsidRPr="00D21DFA">
        <w:rPr>
          <w:rFonts w:ascii="Times New Roman" w:eastAsia="Times New Roman" w:hAnsi="Times New Roman" w:cs="Times New Roman"/>
          <w:i/>
          <w:snapToGrid w:val="0"/>
          <w:kern w:val="0"/>
          <w:sz w:val="22"/>
          <w:szCs w:val="20"/>
          <w14:ligatures w14:val="none"/>
        </w:rPr>
        <w:t xml:space="preserve"> </w:t>
      </w:r>
      <w:proofErr w:type="spellStart"/>
      <w:r w:rsidR="00AB1325" w:rsidRPr="00D21DFA">
        <w:rPr>
          <w:rFonts w:ascii="Times New Roman" w:eastAsia="Times New Roman" w:hAnsi="Times New Roman" w:cs="Times New Roman"/>
          <w:i/>
          <w:snapToGrid w:val="0"/>
          <w:kern w:val="0"/>
          <w:sz w:val="22"/>
          <w:szCs w:val="20"/>
          <w14:ligatures w14:val="none"/>
        </w:rPr>
        <w:t>Thrombosis</w:t>
      </w:r>
      <w:proofErr w:type="spellEnd"/>
      <w:r w:rsidR="00AB1325" w:rsidRPr="00D21DFA">
        <w:rPr>
          <w:rFonts w:ascii="Times New Roman" w:eastAsia="Times New Roman" w:hAnsi="Times New Roman" w:cs="Times New Roman"/>
          <w:i/>
          <w:snapToGrid w:val="0"/>
          <w:kern w:val="0"/>
          <w:sz w:val="22"/>
          <w:szCs w:val="20"/>
          <w14:ligatures w14:val="none"/>
        </w:rPr>
        <w:t xml:space="preserve"> </w:t>
      </w:r>
      <w:proofErr w:type="spellStart"/>
      <w:r w:rsidR="00AB1325" w:rsidRPr="00D21DFA">
        <w:rPr>
          <w:rFonts w:ascii="Times New Roman" w:eastAsia="Times New Roman" w:hAnsi="Times New Roman" w:cs="Times New Roman"/>
          <w:i/>
          <w:snapToGrid w:val="0"/>
          <w:kern w:val="0"/>
          <w:sz w:val="22"/>
          <w:szCs w:val="20"/>
          <w14:ligatures w14:val="none"/>
        </w:rPr>
        <w:t>and</w:t>
      </w:r>
      <w:proofErr w:type="spellEnd"/>
      <w:r w:rsidR="00AB1325" w:rsidRPr="00D21DFA">
        <w:rPr>
          <w:rFonts w:ascii="Times New Roman" w:eastAsia="Times New Roman" w:hAnsi="Times New Roman" w:cs="Times New Roman"/>
          <w:i/>
          <w:snapToGrid w:val="0"/>
          <w:kern w:val="0"/>
          <w:sz w:val="22"/>
          <w:szCs w:val="20"/>
          <w14:ligatures w14:val="none"/>
        </w:rPr>
        <w:t xml:space="preserve"> </w:t>
      </w:r>
      <w:proofErr w:type="spellStart"/>
      <w:r w:rsidR="00AB1325" w:rsidRPr="00D21DFA">
        <w:rPr>
          <w:rFonts w:ascii="Times New Roman" w:eastAsia="Times New Roman" w:hAnsi="Times New Roman" w:cs="Times New Roman"/>
          <w:i/>
          <w:snapToGrid w:val="0"/>
          <w:kern w:val="0"/>
          <w:sz w:val="22"/>
          <w:szCs w:val="20"/>
          <w14:ligatures w14:val="none"/>
        </w:rPr>
        <w:t>Hemostasis</w:t>
      </w:r>
      <w:proofErr w:type="spellEnd"/>
      <w:r w:rsidR="00AB1325" w:rsidRPr="00D21DFA">
        <w:rPr>
          <w:rFonts w:ascii="Times New Roman" w:eastAsia="Times New Roman" w:hAnsi="Times New Roman" w:cs="Times New Roman"/>
          <w:i/>
          <w:snapToGrid w:val="0"/>
          <w:kern w:val="0"/>
          <w:sz w:val="22"/>
          <w:szCs w:val="20"/>
          <w14:ligatures w14:val="none"/>
        </w:rPr>
        <w:t>, ISTH</w:t>
      </w:r>
      <w:r w:rsidR="00AB1325" w:rsidRPr="00D21DFA">
        <w:rPr>
          <w:rFonts w:ascii="Times New Roman" w:eastAsia="Times New Roman" w:hAnsi="Times New Roman" w:cs="Times New Roman"/>
          <w:snapToGrid w:val="0"/>
          <w:kern w:val="0"/>
          <w:sz w:val="22"/>
          <w:szCs w:val="20"/>
          <w14:ligatures w14:val="none"/>
        </w:rPr>
        <w:t>)</w:t>
      </w:r>
      <w:r w:rsidR="00086D36" w:rsidRPr="00D21DFA">
        <w:rPr>
          <w:rFonts w:ascii="Times New Roman" w:eastAsia="Times New Roman" w:hAnsi="Times New Roman" w:cs="Times New Roman"/>
          <w:snapToGrid w:val="0"/>
          <w:kern w:val="0"/>
          <w:sz w:val="22"/>
          <w:szCs w:val="20"/>
          <w14:ligatures w14:val="none"/>
        </w:rPr>
        <w:t xml:space="preserve"> </w:t>
      </w:r>
      <w:r w:rsidR="00C95D96" w:rsidRPr="00D21DFA">
        <w:rPr>
          <w:rFonts w:ascii="Times New Roman" w:eastAsia="Times New Roman" w:hAnsi="Times New Roman" w:cs="Times New Roman"/>
          <w:snapToGrid w:val="0"/>
          <w:kern w:val="0"/>
          <w:sz w:val="22"/>
          <w:szCs w:val="20"/>
          <w14:ligatures w14:val="none"/>
        </w:rPr>
        <w:t>nuo 16,4 </w:t>
      </w:r>
      <w:r w:rsidR="00C95D96" w:rsidRPr="00D21DFA">
        <w:rPr>
          <w:rFonts w:ascii="Times New Roman" w:eastAsia="Times New Roman" w:hAnsi="Times New Roman" w:cs="Times New Roman"/>
          <w:snapToGrid w:val="0"/>
          <w:kern w:val="0"/>
          <w:sz w:val="22"/>
          <w:szCs w:val="22"/>
          <w14:ligatures w14:val="none"/>
        </w:rPr>
        <w:t>% iki 33,1 % per metus (žr. 5.1 skyrių).</w:t>
      </w:r>
    </w:p>
    <w:p w14:paraId="1AFDB10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7DE843" w14:textId="4E1BFDD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Klinikini</w:t>
      </w:r>
      <w:r w:rsidR="00394060" w:rsidRPr="00D21DFA">
        <w:rPr>
          <w:rFonts w:ascii="Times New Roman" w:eastAsia="Times New Roman" w:hAnsi="Times New Roman" w:cs="Times New Roman"/>
          <w:snapToGrid w:val="0"/>
          <w:kern w:val="0"/>
          <w:sz w:val="22"/>
          <w:szCs w:val="20"/>
          <w14:ligatures w14:val="none"/>
        </w:rPr>
        <w:t>s</w:t>
      </w:r>
      <w:r w:rsidRPr="00D21DFA">
        <w:rPr>
          <w:rFonts w:ascii="Times New Roman" w:eastAsia="Times New Roman" w:hAnsi="Times New Roman" w:cs="Times New Roman"/>
          <w:snapToGrid w:val="0"/>
          <w:kern w:val="0"/>
          <w:sz w:val="22"/>
          <w:szCs w:val="20"/>
          <w14:ligatures w14:val="none"/>
        </w:rPr>
        <w:t xml:space="preserve"> tyrim</w:t>
      </w:r>
      <w:r w:rsidR="00394060" w:rsidRPr="00D21DFA">
        <w:rPr>
          <w:rFonts w:ascii="Times New Roman" w:eastAsia="Times New Roman" w:hAnsi="Times New Roman" w:cs="Times New Roman"/>
          <w:snapToGrid w:val="0"/>
          <w:kern w:val="0"/>
          <w:sz w:val="22"/>
          <w:szCs w:val="20"/>
          <w14:ligatures w14:val="none"/>
        </w:rPr>
        <w:t>as</w:t>
      </w:r>
      <w:r w:rsidR="00EB13A8" w:rsidRPr="00D21DFA">
        <w:rPr>
          <w:rFonts w:ascii="Times New Roman" w:eastAsia="Times New Roman" w:hAnsi="Times New Roman" w:cs="Times New Roman"/>
          <w:snapToGrid w:val="0"/>
          <w:kern w:val="0"/>
          <w:sz w:val="22"/>
          <w:szCs w:val="20"/>
          <w14:ligatures w14:val="none"/>
        </w:rPr>
        <w:t>, kuriame dalyvavo</w:t>
      </w:r>
      <w:r w:rsidR="000758F6" w:rsidRPr="00D21DFA">
        <w:rPr>
          <w:rFonts w:ascii="Times New Roman" w:eastAsia="Times New Roman" w:hAnsi="Times New Roman" w:cs="Times New Roman"/>
          <w:snapToGrid w:val="0"/>
          <w:kern w:val="0"/>
          <w:sz w:val="22"/>
          <w:szCs w:val="20"/>
          <w14:ligatures w14:val="none"/>
        </w:rPr>
        <w:t xml:space="preserve"> didelės rizikos</w:t>
      </w:r>
      <w:r w:rsidRPr="00D21DFA">
        <w:rPr>
          <w:rFonts w:ascii="Times New Roman" w:eastAsia="Times New Roman" w:hAnsi="Times New Roman" w:cs="Times New Roman"/>
          <w:snapToGrid w:val="0"/>
          <w:kern w:val="0"/>
          <w:sz w:val="22"/>
          <w:szCs w:val="20"/>
          <w14:ligatures w14:val="none"/>
        </w:rPr>
        <w:t xml:space="preserve"> pacientai, patyr</w:t>
      </w:r>
      <w:r w:rsidR="000758F6"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ŪKS be prieširdžių virpėjimo</w:t>
      </w:r>
      <w:r w:rsidR="00E76D6A" w:rsidRPr="00D21DFA">
        <w:rPr>
          <w:rFonts w:ascii="Times New Roman" w:eastAsia="Times New Roman" w:hAnsi="Times New Roman" w:cs="Times New Roman"/>
          <w:snapToGrid w:val="0"/>
          <w:kern w:val="0"/>
          <w:sz w:val="22"/>
          <w:szCs w:val="20"/>
          <w14:ligatures w14:val="none"/>
        </w:rPr>
        <w:t xml:space="preserve"> ir</w:t>
      </w:r>
      <w:r w:rsidRPr="00D21DFA">
        <w:rPr>
          <w:rFonts w:ascii="Times New Roman" w:eastAsia="Times New Roman" w:hAnsi="Times New Roman" w:cs="Times New Roman"/>
          <w:snapToGrid w:val="0"/>
          <w:kern w:val="0"/>
          <w:sz w:val="22"/>
          <w:szCs w:val="20"/>
          <w14:ligatures w14:val="none"/>
        </w:rPr>
        <w:t xml:space="preserve"> kartu sirg</w:t>
      </w:r>
      <w:r w:rsidR="005B1934"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daugeliu širdies ir </w:t>
      </w:r>
      <w:r w:rsidR="005B1934" w:rsidRPr="00D21DFA">
        <w:rPr>
          <w:rFonts w:ascii="Times New Roman" w:eastAsia="Times New Roman" w:hAnsi="Times New Roman" w:cs="Times New Roman"/>
          <w:snapToGrid w:val="0"/>
          <w:kern w:val="0"/>
          <w:sz w:val="22"/>
          <w:szCs w:val="20"/>
          <w14:ligatures w14:val="none"/>
        </w:rPr>
        <w:t>kito</w:t>
      </w:r>
      <w:r w:rsidR="009B306E" w:rsidRPr="00D21DFA">
        <w:rPr>
          <w:rFonts w:ascii="Times New Roman" w:eastAsia="Times New Roman" w:hAnsi="Times New Roman" w:cs="Times New Roman"/>
          <w:snapToGrid w:val="0"/>
          <w:kern w:val="0"/>
          <w:sz w:val="22"/>
          <w:szCs w:val="20"/>
          <w14:ligatures w14:val="none"/>
        </w:rPr>
        <w:t>mis gretutinėmis</w:t>
      </w:r>
      <w:r w:rsidRPr="00D21DFA">
        <w:rPr>
          <w:rFonts w:ascii="Times New Roman" w:eastAsia="Times New Roman" w:hAnsi="Times New Roman" w:cs="Times New Roman"/>
          <w:snapToGrid w:val="0"/>
          <w:kern w:val="0"/>
          <w:sz w:val="22"/>
          <w:szCs w:val="20"/>
          <w14:ligatures w14:val="none"/>
        </w:rPr>
        <w:t xml:space="preserve"> lig</w:t>
      </w:r>
      <w:r w:rsidR="009B306E" w:rsidRPr="00D21DFA">
        <w:rPr>
          <w:rFonts w:ascii="Times New Roman" w:eastAsia="Times New Roman" w:hAnsi="Times New Roman" w:cs="Times New Roman"/>
          <w:snapToGrid w:val="0"/>
          <w:kern w:val="0"/>
          <w:sz w:val="22"/>
          <w:szCs w:val="20"/>
          <w14:ligatures w14:val="none"/>
        </w:rPr>
        <w:t>omis</w:t>
      </w:r>
      <w:r w:rsidRPr="00D21DFA">
        <w:rPr>
          <w:rFonts w:ascii="Times New Roman" w:eastAsia="Times New Roman" w:hAnsi="Times New Roman" w:cs="Times New Roman"/>
          <w:snapToGrid w:val="0"/>
          <w:kern w:val="0"/>
          <w:sz w:val="22"/>
          <w:szCs w:val="20"/>
          <w14:ligatures w14:val="none"/>
        </w:rPr>
        <w:t xml:space="preserve"> bei vartoj</w:t>
      </w:r>
      <w:r w:rsidR="00B83A08"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ASR arba ASR kartu su </w:t>
      </w:r>
      <w:proofErr w:type="spellStart"/>
      <w:r w:rsidRPr="00D21DFA">
        <w:rPr>
          <w:rFonts w:ascii="Times New Roman" w:eastAsia="Times New Roman" w:hAnsi="Times New Roman" w:cs="Times New Roman"/>
          <w:snapToGrid w:val="0"/>
          <w:kern w:val="0"/>
          <w:sz w:val="22"/>
          <w:szCs w:val="20"/>
          <w14:ligatures w14:val="none"/>
        </w:rPr>
        <w:t>klopidogreliu</w:t>
      </w:r>
      <w:proofErr w:type="spellEnd"/>
      <w:r w:rsidRPr="00D21DFA">
        <w:rPr>
          <w:rFonts w:ascii="Times New Roman" w:eastAsia="Times New Roman" w:hAnsi="Times New Roman" w:cs="Times New Roman"/>
          <w:snapToGrid w:val="0"/>
          <w:kern w:val="0"/>
          <w:sz w:val="22"/>
          <w:szCs w:val="20"/>
          <w14:ligatures w14:val="none"/>
        </w:rPr>
        <w:t xml:space="preserve">, </w:t>
      </w:r>
      <w:r w:rsidR="004814B0" w:rsidRPr="00D21DFA">
        <w:rPr>
          <w:rFonts w:ascii="Times New Roman" w:eastAsia="Times New Roman" w:hAnsi="Times New Roman" w:cs="Times New Roman"/>
          <w:snapToGrid w:val="0"/>
          <w:kern w:val="0"/>
          <w:sz w:val="22"/>
          <w:szCs w:val="20"/>
          <w14:ligatures w14:val="none"/>
        </w:rPr>
        <w:t>parodė</w:t>
      </w:r>
      <w:r w:rsidRPr="00D21DFA">
        <w:rPr>
          <w:rFonts w:ascii="Times New Roman" w:eastAsia="Times New Roman" w:hAnsi="Times New Roman" w:cs="Times New Roman"/>
          <w:snapToGrid w:val="0"/>
          <w:kern w:val="0"/>
          <w:sz w:val="22"/>
          <w:szCs w:val="20"/>
          <w14:ligatures w14:val="none"/>
        </w:rPr>
        <w:t xml:space="preserve"> reikšmingą stipraus kraujavimo pagal ISTH rizikos padidėjimą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(5,13 % per metus), palyginti su placebu (2,04 % per metus). </w:t>
      </w:r>
    </w:p>
    <w:p w14:paraId="421C6A8B"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45F069" w14:textId="2E25BE3B"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CV185325 metu 12 pacientų vaikų, kurie vienu metu buvo gydomi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ir ASR ≤ 165 mg per parą, kliniškai svarbių kraujavimo reiškinių nenustatyta.</w:t>
      </w:r>
    </w:p>
    <w:p w14:paraId="2644101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29C2E2" w14:textId="22E682D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Trombolizinių</w:t>
      </w:r>
      <w:proofErr w:type="spellEnd"/>
      <w:r w:rsidRPr="00D21DFA">
        <w:rPr>
          <w:rFonts w:ascii="Times New Roman" w:eastAsia="Times New Roman" w:hAnsi="Times New Roman" w:cs="Times New Roman"/>
          <w:snapToGrid w:val="0"/>
          <w:kern w:val="0"/>
          <w:sz w:val="22"/>
          <w:szCs w:val="20"/>
          <w:u w:val="single"/>
          <w14:ligatures w14:val="none"/>
        </w:rPr>
        <w:t xml:space="preserve"> </w:t>
      </w:r>
      <w:r w:rsidR="00697D4E" w:rsidRPr="00D21DFA">
        <w:rPr>
          <w:rFonts w:ascii="Times New Roman" w:eastAsia="Times New Roman" w:hAnsi="Times New Roman" w:cs="Times New Roman"/>
          <w:snapToGrid w:val="0"/>
          <w:kern w:val="0"/>
          <w:sz w:val="22"/>
          <w:szCs w:val="20"/>
          <w:u w:val="single"/>
          <w14:ligatures w14:val="none"/>
        </w:rPr>
        <w:t xml:space="preserve">vaistinių preparatų </w:t>
      </w:r>
      <w:r w:rsidRPr="00D21DFA">
        <w:rPr>
          <w:rFonts w:ascii="Times New Roman" w:eastAsia="Times New Roman" w:hAnsi="Times New Roman" w:cs="Times New Roman"/>
          <w:snapToGrid w:val="0"/>
          <w:kern w:val="0"/>
          <w:sz w:val="22"/>
          <w:szCs w:val="20"/>
          <w:u w:val="single"/>
          <w14:ligatures w14:val="none"/>
        </w:rPr>
        <w:t xml:space="preserve">vartojimas ūminio išeminio insulto gydymui </w:t>
      </w:r>
    </w:p>
    <w:p w14:paraId="092615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5268C77" w14:textId="00373CF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Trombolizinių</w:t>
      </w:r>
      <w:proofErr w:type="spellEnd"/>
      <w:r w:rsidRPr="00D21DFA">
        <w:rPr>
          <w:rFonts w:ascii="Times New Roman" w:eastAsia="Times New Roman" w:hAnsi="Times New Roman" w:cs="Times New Roman"/>
          <w:snapToGrid w:val="0"/>
          <w:kern w:val="0"/>
          <w:sz w:val="22"/>
          <w:szCs w:val="20"/>
          <w14:ligatures w14:val="none"/>
        </w:rPr>
        <w:t xml:space="preserve"> </w:t>
      </w:r>
      <w:r w:rsidR="00697D4E" w:rsidRPr="00D21DFA">
        <w:rPr>
          <w:rFonts w:ascii="Times New Roman" w:eastAsia="Times New Roman" w:hAnsi="Times New Roman" w:cs="Times New Roman"/>
          <w:snapToGrid w:val="0"/>
          <w:kern w:val="0"/>
          <w:sz w:val="22"/>
          <w:szCs w:val="20"/>
          <w14:ligatures w14:val="none"/>
        </w:rPr>
        <w:t>vaistinių preparatų</w:t>
      </w:r>
      <w:r w:rsidRPr="00D21DFA">
        <w:rPr>
          <w:rFonts w:ascii="Times New Roman" w:eastAsia="Times New Roman" w:hAnsi="Times New Roman" w:cs="Times New Roman"/>
          <w:snapToGrid w:val="0"/>
          <w:kern w:val="0"/>
          <w:sz w:val="22"/>
          <w:szCs w:val="20"/>
          <w14:ligatures w14:val="none"/>
        </w:rPr>
        <w:t xml:space="preserve"> vartojimo ūminio išeminio insulto gydymui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vartojantiems pacientams patirtis yra labai nedidelė (žr. 4.5 skyrių).</w:t>
      </w:r>
    </w:p>
    <w:p w14:paraId="02E766E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262A1A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Pacientai, kuriems protezuoti širdies vožtuvai</w:t>
      </w:r>
    </w:p>
    <w:p w14:paraId="1CE13ED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833C80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saugumas ir veiksmingumas pacientams, kuriems atliktas širdies vožtuvų protezavimas bei pasireiškia arba nepasireiškia prieširdžių virpėjimas, netirtas. Todėl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jiems nerekomenduojama.</w:t>
      </w:r>
    </w:p>
    <w:p w14:paraId="458D097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98212C" w14:textId="5293AD5B"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pacientams vaikams, kuriems protezuoti širdies vožtuvai, todėl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w:t>
      </w:r>
    </w:p>
    <w:p w14:paraId="745E4A2C"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B0BCB2"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Antifosfolipidiniu</w:t>
      </w:r>
      <w:proofErr w:type="spellEnd"/>
      <w:r w:rsidRPr="00D21DFA">
        <w:rPr>
          <w:rFonts w:ascii="Times New Roman" w:eastAsia="Times New Roman" w:hAnsi="Times New Roman" w:cs="Times New Roman"/>
          <w:snapToGrid w:val="0"/>
          <w:kern w:val="0"/>
          <w:sz w:val="22"/>
          <w:szCs w:val="20"/>
          <w:u w:val="single"/>
          <w14:ligatures w14:val="none"/>
        </w:rPr>
        <w:t xml:space="preserve"> sindromu sergantys pacientai </w:t>
      </w:r>
    </w:p>
    <w:p w14:paraId="6D43E7C8"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p>
    <w:p w14:paraId="611FCBCE" w14:textId="3CEE8226"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Tiesioginio poveikio geriamieji antikoaguliantai (TPGA</w:t>
      </w:r>
      <w:r w:rsidR="00C0709B" w:rsidRPr="00D21DFA">
        <w:rPr>
          <w:rFonts w:ascii="Times New Roman" w:eastAsia="Times New Roman" w:hAnsi="Times New Roman" w:cs="Times New Roman"/>
          <w:snapToGrid w:val="0"/>
          <w:kern w:val="0"/>
          <w:sz w:val="22"/>
          <w:szCs w:val="20"/>
          <w14:ligatures w14:val="none"/>
        </w:rPr>
        <w:t>K</w:t>
      </w:r>
      <w:r w:rsidRPr="00D21DFA">
        <w:rPr>
          <w:rFonts w:ascii="Times New Roman" w:eastAsia="Times New Roman" w:hAnsi="Times New Roman" w:cs="Times New Roman"/>
          <w:snapToGrid w:val="0"/>
          <w:kern w:val="0"/>
          <w:sz w:val="22"/>
          <w:szCs w:val="20"/>
          <w14:ligatures w14:val="none"/>
        </w:rPr>
        <w:t xml:space="preserve">), įskaitant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nerekomenduojami </w:t>
      </w:r>
      <w:proofErr w:type="spellStart"/>
      <w:r w:rsidRPr="00D21DFA">
        <w:rPr>
          <w:rFonts w:ascii="Times New Roman" w:eastAsia="Times New Roman" w:hAnsi="Times New Roman" w:cs="Times New Roman"/>
          <w:snapToGrid w:val="0"/>
          <w:kern w:val="0"/>
          <w:sz w:val="22"/>
          <w:szCs w:val="20"/>
          <w14:ligatures w14:val="none"/>
        </w:rPr>
        <w:t>antifosfolipidiniu</w:t>
      </w:r>
      <w:proofErr w:type="spellEnd"/>
      <w:r w:rsidRPr="00D21DFA">
        <w:rPr>
          <w:rFonts w:ascii="Times New Roman" w:eastAsia="Times New Roman" w:hAnsi="Times New Roman" w:cs="Times New Roman"/>
          <w:snapToGrid w:val="0"/>
          <w:kern w:val="0"/>
          <w:sz w:val="22"/>
          <w:szCs w:val="20"/>
          <w14:ligatures w14:val="none"/>
        </w:rPr>
        <w:t xml:space="preserve"> sindromu sergantiems pacientams, kuriems praeityje buvo nustatyta trombozė. Taikant gydymą TPGA</w:t>
      </w:r>
      <w:r w:rsidR="00571207" w:rsidRPr="00D21DFA">
        <w:rPr>
          <w:rFonts w:ascii="Times New Roman" w:eastAsia="Times New Roman" w:hAnsi="Times New Roman" w:cs="Times New Roman"/>
          <w:snapToGrid w:val="0"/>
          <w:kern w:val="0"/>
          <w:sz w:val="22"/>
          <w:szCs w:val="20"/>
          <w14:ligatures w14:val="none"/>
        </w:rPr>
        <w:t>K</w:t>
      </w:r>
      <w:r w:rsidRPr="00D21DFA">
        <w:rPr>
          <w:rFonts w:ascii="Times New Roman" w:eastAsia="Times New Roman" w:hAnsi="Times New Roman" w:cs="Times New Roman"/>
          <w:snapToGrid w:val="0"/>
          <w:kern w:val="0"/>
          <w:sz w:val="22"/>
          <w:szCs w:val="20"/>
          <w14:ligatures w14:val="none"/>
        </w:rPr>
        <w:t xml:space="preserve">, </w:t>
      </w:r>
      <w:r w:rsidR="005B165C" w:rsidRPr="00D21DFA">
        <w:rPr>
          <w:rFonts w:ascii="Times New Roman" w:eastAsia="Times New Roman" w:hAnsi="Times New Roman" w:cs="Times New Roman"/>
          <w:snapToGrid w:val="0"/>
          <w:kern w:val="0"/>
          <w:sz w:val="22"/>
          <w:szCs w:val="20"/>
          <w14:ligatures w14:val="none"/>
        </w:rPr>
        <w:t>ypač</w:t>
      </w:r>
      <w:r w:rsidRPr="00D21DFA">
        <w:rPr>
          <w:rFonts w:ascii="Times New Roman" w:eastAsia="Times New Roman" w:hAnsi="Times New Roman" w:cs="Times New Roman"/>
          <w:snapToGrid w:val="0"/>
          <w:kern w:val="0"/>
          <w:sz w:val="22"/>
          <w:szCs w:val="20"/>
          <w14:ligatures w14:val="none"/>
        </w:rPr>
        <w:t xml:space="preserve"> tiems pacientams, kuriems nustatyti visų trijų pogrupių </w:t>
      </w:r>
      <w:proofErr w:type="spellStart"/>
      <w:r w:rsidRPr="00D21DFA">
        <w:rPr>
          <w:rFonts w:ascii="Times New Roman" w:eastAsia="Times New Roman" w:hAnsi="Times New Roman" w:cs="Times New Roman"/>
          <w:snapToGrid w:val="0"/>
          <w:kern w:val="0"/>
          <w:sz w:val="22"/>
          <w:szCs w:val="20"/>
          <w14:ligatures w14:val="none"/>
        </w:rPr>
        <w:t>antifosfolipidiniai</w:t>
      </w:r>
      <w:proofErr w:type="spellEnd"/>
      <w:r w:rsidRPr="00D21DFA">
        <w:rPr>
          <w:rFonts w:ascii="Times New Roman" w:eastAsia="Times New Roman" w:hAnsi="Times New Roman" w:cs="Times New Roman"/>
          <w:snapToGrid w:val="0"/>
          <w:kern w:val="0"/>
          <w:sz w:val="22"/>
          <w:szCs w:val="20"/>
          <w14:ligatures w14:val="none"/>
        </w:rPr>
        <w:t xml:space="preserve"> antikūnai (vilkligės antikoaguliantai, </w:t>
      </w:r>
      <w:proofErr w:type="spellStart"/>
      <w:r w:rsidRPr="00D21DFA">
        <w:rPr>
          <w:rFonts w:ascii="Times New Roman" w:eastAsia="Times New Roman" w:hAnsi="Times New Roman" w:cs="Times New Roman"/>
          <w:snapToGrid w:val="0"/>
          <w:kern w:val="0"/>
          <w:sz w:val="22"/>
          <w:szCs w:val="20"/>
          <w14:ligatures w14:val="none"/>
        </w:rPr>
        <w:t>antikardiolipino</w:t>
      </w:r>
      <w:proofErr w:type="spellEnd"/>
      <w:r w:rsidRPr="00D21DFA">
        <w:rPr>
          <w:rFonts w:ascii="Times New Roman" w:eastAsia="Times New Roman" w:hAnsi="Times New Roman" w:cs="Times New Roman"/>
          <w:snapToGrid w:val="0"/>
          <w:kern w:val="0"/>
          <w:sz w:val="22"/>
          <w:szCs w:val="20"/>
          <w14:ligatures w14:val="none"/>
        </w:rPr>
        <w:t xml:space="preserve"> antikūnai ir </w:t>
      </w:r>
      <w:proofErr w:type="spellStart"/>
      <w:r w:rsidRPr="00D21DFA">
        <w:rPr>
          <w:rFonts w:ascii="Times New Roman" w:eastAsia="Times New Roman" w:hAnsi="Times New Roman" w:cs="Times New Roman"/>
          <w:snapToGrid w:val="0"/>
          <w:kern w:val="0"/>
          <w:sz w:val="22"/>
          <w:szCs w:val="20"/>
          <w14:ligatures w14:val="none"/>
        </w:rPr>
        <w:t>anti</w:t>
      </w:r>
      <w:proofErr w:type="spellEnd"/>
      <w:r w:rsidRPr="00D21DFA">
        <w:rPr>
          <w:rFonts w:ascii="Times New Roman" w:eastAsia="Times New Roman" w:hAnsi="Times New Roman" w:cs="Times New Roman"/>
          <w:snapToGrid w:val="0"/>
          <w:kern w:val="0"/>
          <w:sz w:val="22"/>
          <w:szCs w:val="20"/>
          <w14:ligatures w14:val="none"/>
        </w:rPr>
        <w:t xml:space="preserve">-beta 2-glikoproteino I antikūnai), </w:t>
      </w:r>
      <w:proofErr w:type="spellStart"/>
      <w:r w:rsidRPr="00D21DFA">
        <w:rPr>
          <w:rFonts w:ascii="Times New Roman" w:eastAsia="Times New Roman" w:hAnsi="Times New Roman" w:cs="Times New Roman"/>
          <w:snapToGrid w:val="0"/>
          <w:kern w:val="0"/>
          <w:sz w:val="22"/>
          <w:szCs w:val="20"/>
          <w14:ligatures w14:val="none"/>
        </w:rPr>
        <w:t>tromboziniai</w:t>
      </w:r>
      <w:proofErr w:type="spellEnd"/>
      <w:r w:rsidRPr="00D21DFA">
        <w:rPr>
          <w:rFonts w:ascii="Times New Roman" w:eastAsia="Times New Roman" w:hAnsi="Times New Roman" w:cs="Times New Roman"/>
          <w:snapToGrid w:val="0"/>
          <w:kern w:val="0"/>
          <w:sz w:val="22"/>
          <w:szCs w:val="20"/>
          <w14:ligatures w14:val="none"/>
        </w:rPr>
        <w:t xml:space="preserve"> reiškiniai gali pasikartoti dažniau nei taikant gydymą vitamino K antagonistu. </w:t>
      </w:r>
    </w:p>
    <w:p w14:paraId="1BDA8A4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9F6D97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Chirurginės operacijos ir invazinės procedūros </w:t>
      </w:r>
    </w:p>
    <w:p w14:paraId="7E00D19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0756C4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Apiksabano</w:t>
      </w:r>
      <w:proofErr w:type="spellEnd"/>
      <w:r w:rsidRPr="00D21DFA">
        <w:rPr>
          <w:rFonts w:ascii="Times New Roman" w:eastAsia="Times New Roman" w:hAnsi="Times New Roman" w:cs="Times New Roman"/>
          <w:snapToGrid w:val="0"/>
          <w:kern w:val="0"/>
          <w:sz w:val="22"/>
          <w:szCs w:val="20"/>
          <w14:ligatures w14:val="none"/>
        </w:rPr>
        <w:t xml:space="preserve"> vartojimą reikia nutraukti ne vėliau kaip likus 48 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33C7417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269CF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reikia nutraukti ne vėliau kaip likus 24 valandoms iki planuojamos operacijos arba invazinės procedūros, kurioms būdinga maža kraujavimo rizika. Tokios yra intervencijos, kurias atliekant, numatoma, kad bet koks pasireiškęs kraujavimas būtų minimalus, nekritinis dėl savo lokalizacijos arba lengvai sustabdomas.</w:t>
      </w:r>
    </w:p>
    <w:p w14:paraId="2A6079F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3322C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0ECA6C1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A24804" w14:textId="2503B20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po invazinės procedūros arba operacinės intervencijos reikia atnaujinti iš karto, kai tik leidžia klinikinės aplinkybės ir </w:t>
      </w:r>
      <w:r w:rsidR="00193C47" w:rsidRPr="00D21DFA">
        <w:rPr>
          <w:rFonts w:ascii="Times New Roman" w:eastAsia="Times New Roman" w:hAnsi="Times New Roman" w:cs="Times New Roman"/>
          <w:snapToGrid w:val="0"/>
          <w:kern w:val="0"/>
          <w:sz w:val="22"/>
          <w:szCs w:val="20"/>
          <w14:ligatures w14:val="none"/>
        </w:rPr>
        <w:t xml:space="preserve">nustatoma </w:t>
      </w:r>
      <w:r w:rsidRPr="00D21DFA">
        <w:rPr>
          <w:rFonts w:ascii="Times New Roman" w:eastAsia="Times New Roman" w:hAnsi="Times New Roman" w:cs="Times New Roman"/>
          <w:snapToGrid w:val="0"/>
          <w:kern w:val="0"/>
          <w:sz w:val="22"/>
          <w:szCs w:val="20"/>
          <w14:ligatures w14:val="none"/>
        </w:rPr>
        <w:t xml:space="preserve">pakankama hemostazė (apie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žr. 4.2 skyrių).</w:t>
      </w:r>
    </w:p>
    <w:p w14:paraId="1AB16CC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A64E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kuriems dėl prieširdžių virpėjimo atliekama </w:t>
      </w:r>
      <w:proofErr w:type="spellStart"/>
      <w:r w:rsidRPr="00D21DFA">
        <w:rPr>
          <w:rFonts w:ascii="Times New Roman" w:eastAsia="Times New Roman" w:hAnsi="Times New Roman" w:cs="Times New Roman"/>
          <w:snapToGrid w:val="0"/>
          <w:kern w:val="0"/>
          <w:sz w:val="22"/>
          <w:szCs w:val="20"/>
          <w14:ligatures w14:val="none"/>
        </w:rPr>
        <w:t>kateterinė</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abliacija</w:t>
      </w:r>
      <w:proofErr w:type="spellEnd"/>
      <w:r w:rsidRPr="00D21DFA">
        <w:rPr>
          <w:rFonts w:ascii="Times New Roman" w:eastAsia="Times New Roman" w:hAnsi="Times New Roman" w:cs="Times New Roman"/>
          <w:snapToGrid w:val="0"/>
          <w:kern w:val="0"/>
          <w:sz w:val="22"/>
          <w:szCs w:val="20"/>
          <w14:ligatures w14:val="none"/>
        </w:rPr>
        <w:t xml:space="preserve">,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pertraukti nereikia (žr. 4.2, 4.3 ir 4.5 skyrių).</w:t>
      </w:r>
    </w:p>
    <w:p w14:paraId="3E13FBA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AA4E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Laikinas vaistinio preparato vartojimo sustabdymas </w:t>
      </w:r>
    </w:p>
    <w:p w14:paraId="6384D3C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9BD808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Dėl aktyvaus kraujavimo, planuojamos operacijos arba invazinės procedūros nutraukus antikoaguliantų, įskaitant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vartojimą, didėja trombozės rizika. Gydymo nutraukimo epizodų reikia vengti ir, jeigu dėl kokių nors priežasčių reikia laikinai nutraukti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gydymą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gydymas turi būti atnaujintas iš karto, kai tik bus įmanoma.</w:t>
      </w:r>
    </w:p>
    <w:p w14:paraId="75F902A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CE7964F" w14:textId="326798A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Spinalinė</w:t>
      </w:r>
      <w:proofErr w:type="spellEnd"/>
      <w:r w:rsidRPr="00D21DFA">
        <w:rPr>
          <w:rFonts w:ascii="Times New Roman" w:eastAsia="Times New Roman" w:hAnsi="Times New Roman" w:cs="Times New Roman"/>
          <w:snapToGrid w:val="0"/>
          <w:kern w:val="0"/>
          <w:sz w:val="22"/>
          <w:szCs w:val="20"/>
          <w:u w:val="single"/>
          <w14:ligatures w14:val="none"/>
        </w:rPr>
        <w:t xml:space="preserve"> / </w:t>
      </w:r>
      <w:proofErr w:type="spellStart"/>
      <w:r w:rsidRPr="00D21DFA">
        <w:rPr>
          <w:rFonts w:ascii="Times New Roman" w:eastAsia="Times New Roman" w:hAnsi="Times New Roman" w:cs="Times New Roman"/>
          <w:snapToGrid w:val="0"/>
          <w:kern w:val="0"/>
          <w:sz w:val="22"/>
          <w:szCs w:val="20"/>
          <w:u w:val="single"/>
          <w14:ligatures w14:val="none"/>
        </w:rPr>
        <w:t>epidurinė</w:t>
      </w:r>
      <w:proofErr w:type="spellEnd"/>
      <w:r w:rsidRPr="00D21DFA">
        <w:rPr>
          <w:rFonts w:ascii="Times New Roman" w:eastAsia="Times New Roman" w:hAnsi="Times New Roman" w:cs="Times New Roman"/>
          <w:snapToGrid w:val="0"/>
          <w:kern w:val="0"/>
          <w:sz w:val="22"/>
          <w:szCs w:val="20"/>
          <w:u w:val="single"/>
          <w14:ligatures w14:val="none"/>
        </w:rPr>
        <w:t xml:space="preserve"> anestezija arba punkcija </w:t>
      </w:r>
    </w:p>
    <w:p w14:paraId="0B7E463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6588D04" w14:textId="097CB84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Atliekant laidinę anesteziją (</w:t>
      </w:r>
      <w:proofErr w:type="spellStart"/>
      <w:r w:rsidRPr="00D21DFA">
        <w:rPr>
          <w:rFonts w:ascii="Times New Roman" w:eastAsia="Times New Roman" w:hAnsi="Times New Roman" w:cs="Times New Roman"/>
          <w:snapToGrid w:val="0"/>
          <w:kern w:val="0"/>
          <w:sz w:val="22"/>
          <w:szCs w:val="20"/>
          <w14:ligatures w14:val="none"/>
        </w:rPr>
        <w:t>spinalinę</w:t>
      </w:r>
      <w:proofErr w:type="spellEnd"/>
      <w:r w:rsidRPr="00D21DFA">
        <w:rPr>
          <w:rFonts w:ascii="Times New Roman" w:eastAsia="Times New Roman" w:hAnsi="Times New Roman" w:cs="Times New Roman"/>
          <w:snapToGrid w:val="0"/>
          <w:kern w:val="0"/>
          <w:sz w:val="22"/>
          <w:szCs w:val="20"/>
          <w14:ligatures w14:val="none"/>
        </w:rPr>
        <w:t>/</w:t>
      </w:r>
      <w:proofErr w:type="spellStart"/>
      <w:r w:rsidRPr="00D21DFA">
        <w:rPr>
          <w:rFonts w:ascii="Times New Roman" w:eastAsia="Times New Roman" w:hAnsi="Times New Roman" w:cs="Times New Roman"/>
          <w:snapToGrid w:val="0"/>
          <w:kern w:val="0"/>
          <w:sz w:val="22"/>
          <w:szCs w:val="20"/>
          <w14:ligatures w14:val="none"/>
        </w:rPr>
        <w:t>epidurinę</w:t>
      </w:r>
      <w:proofErr w:type="spellEnd"/>
      <w:r w:rsidRPr="00D21DFA">
        <w:rPr>
          <w:rFonts w:ascii="Times New Roman" w:eastAsia="Times New Roman" w:hAnsi="Times New Roman" w:cs="Times New Roman"/>
          <w:snapToGrid w:val="0"/>
          <w:kern w:val="0"/>
          <w:sz w:val="22"/>
          <w:szCs w:val="20"/>
          <w14:ligatures w14:val="none"/>
        </w:rPr>
        <w:t xml:space="preserve"> anesteziją) arba </w:t>
      </w:r>
      <w:proofErr w:type="spellStart"/>
      <w:r w:rsidRPr="00D21DFA">
        <w:rPr>
          <w:rFonts w:ascii="Times New Roman" w:eastAsia="Times New Roman" w:hAnsi="Times New Roman" w:cs="Times New Roman"/>
          <w:snapToGrid w:val="0"/>
          <w:kern w:val="0"/>
          <w:sz w:val="22"/>
          <w:szCs w:val="20"/>
          <w14:ligatures w14:val="none"/>
        </w:rPr>
        <w:t>spinalinę</w:t>
      </w:r>
      <w:proofErr w:type="spellEnd"/>
      <w:r w:rsidRPr="00D21DFA">
        <w:rPr>
          <w:rFonts w:ascii="Times New Roman" w:eastAsia="Times New Roman" w:hAnsi="Times New Roman" w:cs="Times New Roman"/>
          <w:snapToGrid w:val="0"/>
          <w:kern w:val="0"/>
          <w:sz w:val="22"/>
          <w:szCs w:val="20"/>
          <w14:ligatures w14:val="none"/>
        </w:rPr>
        <w:t>/</w:t>
      </w:r>
      <w:proofErr w:type="spellStart"/>
      <w:r w:rsidRPr="00D21DFA">
        <w:rPr>
          <w:rFonts w:ascii="Times New Roman" w:eastAsia="Times New Roman" w:hAnsi="Times New Roman" w:cs="Times New Roman"/>
          <w:snapToGrid w:val="0"/>
          <w:kern w:val="0"/>
          <w:sz w:val="22"/>
          <w:szCs w:val="20"/>
          <w14:ligatures w14:val="none"/>
        </w:rPr>
        <w:t>epidurinę</w:t>
      </w:r>
      <w:proofErr w:type="spellEnd"/>
      <w:r w:rsidRPr="00D21DFA">
        <w:rPr>
          <w:rFonts w:ascii="Times New Roman" w:eastAsia="Times New Roman" w:hAnsi="Times New Roman" w:cs="Times New Roman"/>
          <w:snapToGrid w:val="0"/>
          <w:kern w:val="0"/>
          <w:sz w:val="22"/>
          <w:szCs w:val="20"/>
          <w14:ligatures w14:val="none"/>
        </w:rPr>
        <w:t xml:space="preserve"> punkciją, </w:t>
      </w:r>
      <w:proofErr w:type="spellStart"/>
      <w:r w:rsidRPr="00D21DFA">
        <w:rPr>
          <w:rFonts w:ascii="Times New Roman" w:eastAsia="Times New Roman" w:hAnsi="Times New Roman" w:cs="Times New Roman"/>
          <w:snapToGrid w:val="0"/>
          <w:kern w:val="0"/>
          <w:sz w:val="22"/>
          <w:szCs w:val="20"/>
          <w14:ligatures w14:val="none"/>
        </w:rPr>
        <w:t>antitrombozinių</w:t>
      </w:r>
      <w:proofErr w:type="spellEnd"/>
      <w:r w:rsidRPr="00D21DFA">
        <w:rPr>
          <w:rFonts w:ascii="Times New Roman" w:eastAsia="Times New Roman" w:hAnsi="Times New Roman" w:cs="Times New Roman"/>
          <w:snapToGrid w:val="0"/>
          <w:kern w:val="0"/>
          <w:sz w:val="22"/>
          <w:szCs w:val="20"/>
          <w14:ligatures w14:val="none"/>
        </w:rPr>
        <w:t xml:space="preserve"> vaistinių preparatų </w:t>
      </w:r>
      <w:proofErr w:type="spellStart"/>
      <w:r w:rsidRPr="00D21DFA">
        <w:rPr>
          <w:rFonts w:ascii="Times New Roman" w:eastAsia="Times New Roman" w:hAnsi="Times New Roman" w:cs="Times New Roman"/>
          <w:snapToGrid w:val="0"/>
          <w:kern w:val="0"/>
          <w:sz w:val="22"/>
          <w:szCs w:val="20"/>
          <w14:ligatures w14:val="none"/>
        </w:rPr>
        <w:t>tromboembolinių</w:t>
      </w:r>
      <w:proofErr w:type="spellEnd"/>
      <w:r w:rsidRPr="00D21DFA">
        <w:rPr>
          <w:rFonts w:ascii="Times New Roman" w:eastAsia="Times New Roman" w:hAnsi="Times New Roman" w:cs="Times New Roman"/>
          <w:snapToGrid w:val="0"/>
          <w:kern w:val="0"/>
          <w:sz w:val="22"/>
          <w:szCs w:val="20"/>
          <w14:ligatures w14:val="none"/>
        </w:rPr>
        <w:t xml:space="preserve"> komplikacijų profilaktikai vartojantiems pacientams, yra </w:t>
      </w:r>
      <w:proofErr w:type="spellStart"/>
      <w:r w:rsidRPr="00D21DFA">
        <w:rPr>
          <w:rFonts w:ascii="Times New Roman" w:eastAsia="Times New Roman" w:hAnsi="Times New Roman" w:cs="Times New Roman"/>
          <w:snapToGrid w:val="0"/>
          <w:kern w:val="0"/>
          <w:sz w:val="22"/>
          <w:szCs w:val="20"/>
          <w14:ligatures w14:val="none"/>
        </w:rPr>
        <w:t>epidurinės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spinalinės</w:t>
      </w:r>
      <w:proofErr w:type="spellEnd"/>
      <w:r w:rsidRPr="00D21DFA">
        <w:rPr>
          <w:rFonts w:ascii="Times New Roman" w:eastAsia="Times New Roman" w:hAnsi="Times New Roman" w:cs="Times New Roman"/>
          <w:snapToGrid w:val="0"/>
          <w:kern w:val="0"/>
          <w:sz w:val="22"/>
          <w:szCs w:val="20"/>
          <w14:ligatures w14:val="none"/>
        </w:rPr>
        <w:t xml:space="preserve"> hematomos, dėl kurios gali pasireikšti ilgalaikis arba nuolatinis paralyžius, išsivystymo rizika. Šių reiškinių rizika gali būti didesnė po operacijos naudojant nuolatinius </w:t>
      </w:r>
      <w:proofErr w:type="spellStart"/>
      <w:r w:rsidRPr="00D21DFA">
        <w:rPr>
          <w:rFonts w:ascii="Times New Roman" w:eastAsia="Times New Roman" w:hAnsi="Times New Roman" w:cs="Times New Roman"/>
          <w:snapToGrid w:val="0"/>
          <w:kern w:val="0"/>
          <w:sz w:val="22"/>
          <w:szCs w:val="20"/>
          <w14:ligatures w14:val="none"/>
        </w:rPr>
        <w:t>epidurinius</w:t>
      </w:r>
      <w:proofErr w:type="spellEnd"/>
      <w:r w:rsidRPr="00D21DFA">
        <w:rPr>
          <w:rFonts w:ascii="Times New Roman" w:eastAsia="Times New Roman" w:hAnsi="Times New Roman" w:cs="Times New Roman"/>
          <w:snapToGrid w:val="0"/>
          <w:kern w:val="0"/>
          <w:sz w:val="22"/>
          <w:szCs w:val="20"/>
          <w14:ligatures w14:val="none"/>
        </w:rPr>
        <w:t xml:space="preserve"> kateterius arba kartu vartojant vaistinių preparatų, kurie veikia hemostazę. Nuolatinius </w:t>
      </w:r>
      <w:proofErr w:type="spellStart"/>
      <w:r w:rsidRPr="00D21DFA">
        <w:rPr>
          <w:rFonts w:ascii="Times New Roman" w:eastAsia="Times New Roman" w:hAnsi="Times New Roman" w:cs="Times New Roman"/>
          <w:snapToGrid w:val="0"/>
          <w:kern w:val="0"/>
          <w:sz w:val="22"/>
          <w:szCs w:val="20"/>
          <w14:ligatures w14:val="none"/>
        </w:rPr>
        <w:t>epidurinius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intratekalinius</w:t>
      </w:r>
      <w:proofErr w:type="spellEnd"/>
      <w:r w:rsidRPr="00D21DFA">
        <w:rPr>
          <w:rFonts w:ascii="Times New Roman" w:eastAsia="Times New Roman" w:hAnsi="Times New Roman" w:cs="Times New Roman"/>
          <w:snapToGrid w:val="0"/>
          <w:kern w:val="0"/>
          <w:sz w:val="22"/>
          <w:szCs w:val="20"/>
          <w14:ligatures w14:val="none"/>
        </w:rPr>
        <w:t xml:space="preserve"> kateterius reikia pašalinti likus ne mažiau kaip 5 valandoms iki pirmosios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Ši rizika taip pat gali padidėti dėl traumos ar pakartotinių </w:t>
      </w:r>
      <w:proofErr w:type="spellStart"/>
      <w:r w:rsidRPr="00D21DFA">
        <w:rPr>
          <w:rFonts w:ascii="Times New Roman" w:eastAsia="Times New Roman" w:hAnsi="Times New Roman" w:cs="Times New Roman"/>
          <w:snapToGrid w:val="0"/>
          <w:kern w:val="0"/>
          <w:sz w:val="22"/>
          <w:szCs w:val="20"/>
          <w14:ligatures w14:val="none"/>
        </w:rPr>
        <w:t>epidurinių</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spinalinių</w:t>
      </w:r>
      <w:proofErr w:type="spellEnd"/>
      <w:r w:rsidRPr="00D21DFA">
        <w:rPr>
          <w:rFonts w:ascii="Times New Roman" w:eastAsia="Times New Roman" w:hAnsi="Times New Roman" w:cs="Times New Roman"/>
          <w:snapToGrid w:val="0"/>
          <w:kern w:val="0"/>
          <w:sz w:val="22"/>
          <w:szCs w:val="20"/>
          <w14:ligatures w14:val="none"/>
        </w:rPr>
        <w:t xml:space="preserve"> punkcijų. Reikia dažnai stebėti, ar pacientams neatsiranda neurologinio sutrikimo požymių ir simptomų (pvz., kojų nutirpimas ar silpnumas, žarnyno ar šlapimo pūslės funkcijos sutrikima</w:t>
      </w:r>
      <w:r w:rsidR="009860EA" w:rsidRPr="00D21DFA">
        <w:rPr>
          <w:rFonts w:ascii="Times New Roman" w:eastAsia="Times New Roman" w:hAnsi="Times New Roman" w:cs="Times New Roman"/>
          <w:snapToGrid w:val="0"/>
          <w:kern w:val="0"/>
          <w:sz w:val="22"/>
          <w:szCs w:val="20"/>
          <w14:ligatures w14:val="none"/>
        </w:rPr>
        <w:t>i</w:t>
      </w:r>
      <w:r w:rsidRPr="00D21DFA">
        <w:rPr>
          <w:rFonts w:ascii="Times New Roman" w:eastAsia="Times New Roman" w:hAnsi="Times New Roman" w:cs="Times New Roman"/>
          <w:snapToGrid w:val="0"/>
          <w:kern w:val="0"/>
          <w:sz w:val="22"/>
          <w:szCs w:val="20"/>
          <w14:ligatures w14:val="none"/>
        </w:rPr>
        <w:t xml:space="preserve">). Pastebėjus neurologinių sutrikimų, būtini neatidėliotina diagnostika ir gydymas. Prieš laidinę intervenciją gydytojas turi įvertinti laukiamos naudos ir rizikos santykį pacientams, kuriems taikomas </w:t>
      </w:r>
      <w:proofErr w:type="spellStart"/>
      <w:r w:rsidRPr="00D21DFA">
        <w:rPr>
          <w:rFonts w:ascii="Times New Roman" w:eastAsia="Times New Roman" w:hAnsi="Times New Roman" w:cs="Times New Roman"/>
          <w:snapToGrid w:val="0"/>
          <w:kern w:val="0"/>
          <w:sz w:val="22"/>
          <w:szCs w:val="20"/>
          <w14:ligatures w14:val="none"/>
        </w:rPr>
        <w:t>antikoaguliacinis</w:t>
      </w:r>
      <w:proofErr w:type="spellEnd"/>
      <w:r w:rsidRPr="00D21DFA">
        <w:rPr>
          <w:rFonts w:ascii="Times New Roman" w:eastAsia="Times New Roman" w:hAnsi="Times New Roman" w:cs="Times New Roman"/>
          <w:snapToGrid w:val="0"/>
          <w:kern w:val="0"/>
          <w:sz w:val="22"/>
          <w:szCs w:val="20"/>
          <w14:ligatures w14:val="none"/>
        </w:rPr>
        <w:t xml:space="preserve"> gydymas, arba pacientams, kuriems bus taikomas </w:t>
      </w:r>
      <w:proofErr w:type="spellStart"/>
      <w:r w:rsidRPr="00D21DFA">
        <w:rPr>
          <w:rFonts w:ascii="Times New Roman" w:eastAsia="Times New Roman" w:hAnsi="Times New Roman" w:cs="Times New Roman"/>
          <w:snapToGrid w:val="0"/>
          <w:kern w:val="0"/>
          <w:sz w:val="22"/>
          <w:szCs w:val="20"/>
          <w14:ligatures w14:val="none"/>
        </w:rPr>
        <w:t>antikoaguliacinis</w:t>
      </w:r>
      <w:proofErr w:type="spellEnd"/>
      <w:r w:rsidRPr="00D21DFA">
        <w:rPr>
          <w:rFonts w:ascii="Times New Roman" w:eastAsia="Times New Roman" w:hAnsi="Times New Roman" w:cs="Times New Roman"/>
          <w:snapToGrid w:val="0"/>
          <w:kern w:val="0"/>
          <w:sz w:val="22"/>
          <w:szCs w:val="20"/>
          <w14:ligatures w14:val="none"/>
        </w:rPr>
        <w:t xml:space="preserve"> gydymas trombozių profilaktikai. </w:t>
      </w:r>
    </w:p>
    <w:p w14:paraId="0E268E8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375E42" w14:textId="3923518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Klinikinės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vartojimo</w:t>
      </w:r>
      <w:r w:rsidR="00EC0250"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naudojant nuolatinius </w:t>
      </w:r>
      <w:proofErr w:type="spellStart"/>
      <w:r w:rsidRPr="00D21DFA">
        <w:rPr>
          <w:rFonts w:ascii="Times New Roman" w:eastAsia="Times New Roman" w:hAnsi="Times New Roman" w:cs="Times New Roman"/>
          <w:snapToGrid w:val="0"/>
          <w:kern w:val="0"/>
          <w:sz w:val="22"/>
          <w:szCs w:val="20"/>
          <w14:ligatures w14:val="none"/>
        </w:rPr>
        <w:t>intratekalinius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epidurinius</w:t>
      </w:r>
      <w:proofErr w:type="spellEnd"/>
      <w:r w:rsidRPr="00D21DFA">
        <w:rPr>
          <w:rFonts w:ascii="Times New Roman" w:eastAsia="Times New Roman" w:hAnsi="Times New Roman" w:cs="Times New Roman"/>
          <w:snapToGrid w:val="0"/>
          <w:kern w:val="0"/>
          <w:sz w:val="22"/>
          <w:szCs w:val="20"/>
          <w14:ligatures w14:val="none"/>
        </w:rPr>
        <w:t xml:space="preserve"> kateterius</w:t>
      </w:r>
      <w:r w:rsidR="007A7CCA"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patirties nėra. Jeigu yra tokia būtinybė, atsižvelgiant į bendrąsias vaistinio preparato FK savybes, po paskutiniosios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pavartojimo iki kateterio ištraukimo turi praeiti ne mažiau kaip 20</w:t>
      </w:r>
      <w:r w:rsidRPr="00D21DFA">
        <w:rPr>
          <w:rFonts w:ascii="Times New Roman" w:eastAsia="Times New Roman" w:hAnsi="Times New Roman" w:cs="Times New Roman"/>
          <w:snapToGrid w:val="0"/>
          <w:kern w:val="0"/>
          <w:sz w:val="22"/>
          <w:szCs w:val="20"/>
          <w14:ligatures w14:val="none"/>
        </w:rPr>
        <w:noBreakHyphen/>
        <w:t xml:space="preserve">30 valandų (t. y., 2 pusinės eliminacijos periodai) ir, prieš ištraukiant kateterį, reikia praleisti mažiausiai vieną dozę. Kitą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galima skirti, praėjus ne mažiau kaip 5 valandoms po kateterio ištraukimo. Kaip ir vartojant visų kitų naujųjų antikoaguliantų, patirtis taikant laidinę </w:t>
      </w:r>
      <w:r w:rsidR="0006462C" w:rsidRPr="00D21DFA">
        <w:rPr>
          <w:rFonts w:ascii="Times New Roman" w:eastAsia="Times New Roman" w:hAnsi="Times New Roman" w:cs="Times New Roman"/>
          <w:snapToGrid w:val="0"/>
          <w:kern w:val="0"/>
          <w:sz w:val="22"/>
          <w:szCs w:val="20"/>
          <w14:ligatures w14:val="none"/>
        </w:rPr>
        <w:t>nejautrą</w:t>
      </w:r>
      <w:r w:rsidRPr="00D21DFA">
        <w:rPr>
          <w:rFonts w:ascii="Times New Roman" w:eastAsia="Times New Roman" w:hAnsi="Times New Roman" w:cs="Times New Roman"/>
          <w:snapToGrid w:val="0"/>
          <w:kern w:val="0"/>
          <w:sz w:val="22"/>
          <w:szCs w:val="20"/>
          <w14:ligatures w14:val="none"/>
        </w:rPr>
        <w:t xml:space="preserve"> yra ribota, todėl atliekant tokią </w:t>
      </w:r>
      <w:r w:rsidR="0020077D" w:rsidRPr="00D21DFA">
        <w:rPr>
          <w:rFonts w:ascii="Times New Roman" w:eastAsia="Times New Roman" w:hAnsi="Times New Roman" w:cs="Times New Roman"/>
          <w:snapToGrid w:val="0"/>
          <w:kern w:val="0"/>
          <w:sz w:val="22"/>
          <w:szCs w:val="20"/>
          <w14:ligatures w14:val="none"/>
        </w:rPr>
        <w:t>nejautrą</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rekomenduojama vartoti labai atsargiai. </w:t>
      </w:r>
    </w:p>
    <w:p w14:paraId="7F27FC2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4EC3CB0" w14:textId="4F2EE91A"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Duomenų apie laidinės anestezijos kateterio įstūmimo arba ištraukimo laiką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vartojantiems pacientams vaikams nėra. Tokiais atvejais reikia nutraukti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ir apsvarstyti galimybę skirti trumpo poveikio </w:t>
      </w:r>
      <w:proofErr w:type="spellStart"/>
      <w:r w:rsidRPr="00D21DFA">
        <w:rPr>
          <w:rFonts w:ascii="Times New Roman" w:eastAsia="Times New Roman" w:hAnsi="Times New Roman" w:cs="Times New Roman"/>
          <w:snapToGrid w:val="0"/>
          <w:kern w:val="0"/>
          <w:sz w:val="22"/>
          <w:szCs w:val="20"/>
          <w14:ligatures w14:val="none"/>
        </w:rPr>
        <w:t>parenterinį</w:t>
      </w:r>
      <w:proofErr w:type="spellEnd"/>
      <w:r w:rsidRPr="00D21DFA">
        <w:rPr>
          <w:rFonts w:ascii="Times New Roman" w:eastAsia="Times New Roman" w:hAnsi="Times New Roman" w:cs="Times New Roman"/>
          <w:snapToGrid w:val="0"/>
          <w:kern w:val="0"/>
          <w:sz w:val="22"/>
          <w:szCs w:val="20"/>
          <w14:ligatures w14:val="none"/>
        </w:rPr>
        <w:t xml:space="preserve"> antikoaguliantą.</w:t>
      </w:r>
    </w:p>
    <w:p w14:paraId="5534CB4A"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01D091" w14:textId="1AFB486A"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lastRenderedPageBreak/>
        <w:t xml:space="preserve">PE sergantys pacientai, kurių nestabili hemodinamika arba pacientai, kuriems būtina </w:t>
      </w:r>
      <w:proofErr w:type="spellStart"/>
      <w:r w:rsidRPr="00D21DFA">
        <w:rPr>
          <w:rFonts w:ascii="Times New Roman" w:eastAsia="Times New Roman" w:hAnsi="Times New Roman" w:cs="Times New Roman"/>
          <w:snapToGrid w:val="0"/>
          <w:kern w:val="0"/>
          <w:sz w:val="22"/>
          <w:szCs w:val="20"/>
          <w:u w:val="single"/>
          <w14:ligatures w14:val="none"/>
        </w:rPr>
        <w:t>trombolizė</w:t>
      </w:r>
      <w:proofErr w:type="spellEnd"/>
      <w:r w:rsidRPr="00D21DFA">
        <w:rPr>
          <w:rFonts w:ascii="Times New Roman" w:eastAsia="Times New Roman" w:hAnsi="Times New Roman" w:cs="Times New Roman"/>
          <w:snapToGrid w:val="0"/>
          <w:kern w:val="0"/>
          <w:sz w:val="22"/>
          <w:szCs w:val="20"/>
          <w:u w:val="single"/>
          <w14:ligatures w14:val="none"/>
        </w:rPr>
        <w:t xml:space="preserve"> arba plaučių </w:t>
      </w:r>
      <w:proofErr w:type="spellStart"/>
      <w:r w:rsidRPr="00D21DFA">
        <w:rPr>
          <w:rFonts w:ascii="Times New Roman" w:eastAsia="Times New Roman" w:hAnsi="Times New Roman" w:cs="Times New Roman"/>
          <w:snapToGrid w:val="0"/>
          <w:kern w:val="0"/>
          <w:sz w:val="22"/>
          <w:szCs w:val="20"/>
          <w:u w:val="single"/>
          <w14:ligatures w14:val="none"/>
        </w:rPr>
        <w:t>embolektomija</w:t>
      </w:r>
      <w:proofErr w:type="spellEnd"/>
      <w:r w:rsidRPr="00D21DFA">
        <w:rPr>
          <w:rFonts w:ascii="Times New Roman" w:eastAsia="Times New Roman" w:hAnsi="Times New Roman" w:cs="Times New Roman"/>
          <w:snapToGrid w:val="0"/>
          <w:kern w:val="0"/>
          <w:sz w:val="22"/>
          <w:szCs w:val="20"/>
          <w:u w:val="single"/>
          <w14:ligatures w14:val="none"/>
        </w:rPr>
        <w:t xml:space="preserve"> </w:t>
      </w:r>
    </w:p>
    <w:p w14:paraId="2CAB2783"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kern w:val="0"/>
          <w:sz w:val="22"/>
          <w:szCs w:val="20"/>
          <w:u w:val="single"/>
          <w14:ligatures w14:val="none"/>
        </w:rPr>
      </w:pPr>
    </w:p>
    <w:p w14:paraId="3D17A874" w14:textId="7728A0D8"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Gydant plaučių embolija sergančius pacientus, kurių nestabili hemodinamika arba kuriems galima taikyti </w:t>
      </w:r>
      <w:proofErr w:type="spellStart"/>
      <w:r w:rsidRPr="00D21DFA">
        <w:rPr>
          <w:rFonts w:ascii="Times New Roman" w:eastAsia="Times New Roman" w:hAnsi="Times New Roman" w:cs="Times New Roman"/>
          <w:snapToGrid w:val="0"/>
          <w:kern w:val="0"/>
          <w:sz w:val="22"/>
          <w:szCs w:val="20"/>
          <w14:ligatures w14:val="none"/>
        </w:rPr>
        <w:t>trombolizę</w:t>
      </w:r>
      <w:proofErr w:type="spellEnd"/>
      <w:r w:rsidRPr="00D21DFA">
        <w:rPr>
          <w:rFonts w:ascii="Times New Roman" w:eastAsia="Times New Roman" w:hAnsi="Times New Roman" w:cs="Times New Roman"/>
          <w:snapToGrid w:val="0"/>
          <w:kern w:val="0"/>
          <w:sz w:val="22"/>
          <w:szCs w:val="20"/>
          <w14:ligatures w14:val="none"/>
        </w:rPr>
        <w:t xml:space="preserve"> ar plaučių </w:t>
      </w:r>
      <w:proofErr w:type="spellStart"/>
      <w:r w:rsidRPr="00D21DFA">
        <w:rPr>
          <w:rFonts w:ascii="Times New Roman" w:eastAsia="Times New Roman" w:hAnsi="Times New Roman" w:cs="Times New Roman"/>
          <w:snapToGrid w:val="0"/>
          <w:kern w:val="0"/>
          <w:sz w:val="22"/>
          <w:szCs w:val="20"/>
          <w14:ligatures w14:val="none"/>
        </w:rPr>
        <w:t>embolektomiją</w:t>
      </w:r>
      <w:proofErr w:type="spellEnd"/>
      <w:r w:rsidRPr="00D21DFA">
        <w:rPr>
          <w:rFonts w:ascii="Times New Roman" w:eastAsia="Times New Roman" w:hAnsi="Times New Roman" w:cs="Times New Roman"/>
          <w:snapToGrid w:val="0"/>
          <w:kern w:val="0"/>
          <w:sz w:val="22"/>
          <w:szCs w:val="20"/>
          <w14:ligatures w14:val="none"/>
        </w:rPr>
        <w:t xml:space="preserve">, </w:t>
      </w:r>
      <w:r w:rsidR="00BE3EC3" w:rsidRPr="00D21DFA">
        <w:rPr>
          <w:rFonts w:ascii="Times New Roman" w:eastAsia="Times New Roman" w:hAnsi="Times New Roman" w:cs="Times New Roman"/>
          <w:snapToGrid w:val="0"/>
          <w:kern w:val="0"/>
          <w:sz w:val="22"/>
          <w:szCs w:val="20"/>
          <w14:ligatures w14:val="none"/>
        </w:rPr>
        <w:t xml:space="preserve">nerekomenduojama vartoti </w:t>
      </w:r>
      <w:proofErr w:type="spellStart"/>
      <w:r w:rsidR="00BE3EC3" w:rsidRPr="00D21DFA">
        <w:rPr>
          <w:rFonts w:ascii="Times New Roman" w:eastAsia="Times New Roman" w:hAnsi="Times New Roman" w:cs="Times New Roman"/>
          <w:snapToGrid w:val="0"/>
          <w:kern w:val="0"/>
          <w:sz w:val="22"/>
          <w:szCs w:val="20"/>
          <w14:ligatures w14:val="none"/>
        </w:rPr>
        <w:t>apiksabano</w:t>
      </w:r>
      <w:proofErr w:type="spellEnd"/>
      <w:r w:rsidR="00BE3EC3" w:rsidRPr="00D21DFA">
        <w:rPr>
          <w:rFonts w:ascii="Times New Roman" w:eastAsia="Times New Roman" w:hAnsi="Times New Roman" w:cs="Times New Roman"/>
          <w:snapToGrid w:val="0"/>
          <w:kern w:val="0"/>
          <w:sz w:val="22"/>
          <w:szCs w:val="20"/>
          <w14:ligatures w14:val="none"/>
        </w:rPr>
        <w:t xml:space="preserve"> vietoje</w:t>
      </w:r>
      <w:r w:rsidR="001D058D"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nefrakcionuot</w:t>
      </w:r>
      <w:r w:rsidR="001D058D" w:rsidRPr="00D21DFA">
        <w:rPr>
          <w:rFonts w:ascii="Times New Roman" w:eastAsia="Times New Roman" w:hAnsi="Times New Roman" w:cs="Times New Roman"/>
          <w:snapToGrid w:val="0"/>
          <w:kern w:val="0"/>
          <w:sz w:val="22"/>
          <w:szCs w:val="20"/>
          <w14:ligatures w14:val="none"/>
        </w:rPr>
        <w:t>o</w:t>
      </w:r>
      <w:proofErr w:type="spellEnd"/>
      <w:r w:rsidRPr="00D21DFA">
        <w:rPr>
          <w:rFonts w:ascii="Times New Roman" w:eastAsia="Times New Roman" w:hAnsi="Times New Roman" w:cs="Times New Roman"/>
          <w:snapToGrid w:val="0"/>
          <w:kern w:val="0"/>
          <w:sz w:val="22"/>
          <w:szCs w:val="20"/>
          <w14:ligatures w14:val="none"/>
        </w:rPr>
        <w:t xml:space="preserve"> heparin</w:t>
      </w:r>
      <w:r w:rsidR="001D058D" w:rsidRPr="00D21DFA">
        <w:rPr>
          <w:rFonts w:ascii="Times New Roman" w:eastAsia="Times New Roman" w:hAnsi="Times New Roman" w:cs="Times New Roman"/>
          <w:snapToGrid w:val="0"/>
          <w:kern w:val="0"/>
          <w:sz w:val="22"/>
          <w:szCs w:val="20"/>
          <w14:ligatures w14:val="none"/>
        </w:rPr>
        <w:t>o</w:t>
      </w:r>
      <w:r w:rsidRPr="00D21DFA">
        <w:rPr>
          <w:rFonts w:ascii="Times New Roman" w:eastAsia="Times New Roman" w:hAnsi="Times New Roman" w:cs="Times New Roman"/>
          <w:snapToGrid w:val="0"/>
          <w:kern w:val="0"/>
          <w:sz w:val="22"/>
          <w:szCs w:val="20"/>
          <w14:ligatures w14:val="none"/>
        </w:rPr>
        <w:t xml:space="preserve">, nes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veiksmingumas ir saugumas šiomis klinikinėmis aplinkybėmis nėra ištirti.</w:t>
      </w:r>
    </w:p>
    <w:p w14:paraId="4FA6382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C49A4A" w14:textId="650755C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Pacientai, sergantys aktyviu vėžiu </w:t>
      </w:r>
    </w:p>
    <w:p w14:paraId="2F5FE13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C502778" w14:textId="5B7E8A1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sergantiems aktyviu vėžiu, gali būti didesnė venų tromboembolijos ir kraujavimo reiškinių rizika. Jeigu vėžiu sergantiems pacientams svarstoma skirti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GVT ir PE gydymui, reikia atidžiai įvertinti naudos ir rizikos santykį (žr. 4.3 ).</w:t>
      </w:r>
    </w:p>
    <w:p w14:paraId="7A06DF5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B1ED2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Pacientams, kurių inkstų funkcija sutrikusi </w:t>
      </w:r>
    </w:p>
    <w:p w14:paraId="68E4035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1BB1911" w14:textId="571C7335" w:rsidR="00410D0B" w:rsidRPr="00AD1A35" w:rsidRDefault="00410D0B"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Suaugusiesiems</w:t>
      </w:r>
    </w:p>
    <w:p w14:paraId="0E617C39" w14:textId="77777777" w:rsidR="00C95D96" w:rsidRPr="00D21DFA"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snapToGrid w:val="0"/>
          <w:kern w:val="0"/>
          <w:sz w:val="22"/>
          <w:szCs w:val="20"/>
          <w14:ligatures w14:val="none"/>
        </w:rPr>
        <w:t>Riboti klinikiniai duomenys apie vaistinio preparato vartojimą pacientams, kuriems yra sunkus inkstų funkcijos sutrikimas (kreatinino klirensas 15</w:t>
      </w:r>
      <w:r w:rsidRPr="00D21DFA">
        <w:rPr>
          <w:rFonts w:ascii="Times New Roman" w:eastAsia="Times New Roman" w:hAnsi="Times New Roman" w:cs="Times New Roman"/>
          <w:snapToGrid w:val="0"/>
          <w:kern w:val="0"/>
          <w:sz w:val="22"/>
          <w:szCs w:val="20"/>
          <w14:ligatures w14:val="none"/>
        </w:rPr>
        <w:noBreakHyphen/>
        <w:t xml:space="preserve">29 ml/min.), rodo, kad tokiems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plazmos koncentracija yra padidėjusi, todėl gali padidėti kraujavimo rizika. Esant sunkiam inkstų funkcijos sutrikimui (kreatinino klirensas 15</w:t>
      </w:r>
      <w:r w:rsidRPr="00D21DFA">
        <w:rPr>
          <w:rFonts w:ascii="Times New Roman" w:eastAsia="Times New Roman" w:hAnsi="Times New Roman" w:cs="Times New Roman"/>
          <w:snapToGrid w:val="0"/>
          <w:kern w:val="0"/>
          <w:sz w:val="22"/>
          <w:szCs w:val="20"/>
          <w14:ligatures w14:val="none"/>
        </w:rPr>
        <w:noBreakHyphen/>
        <w:t>29 ml/min.) VTE reiškinių profilaktikai (</w:t>
      </w:r>
      <w:proofErr w:type="spellStart"/>
      <w:r w:rsidRPr="00D21DFA">
        <w:rPr>
          <w:rFonts w:ascii="Times New Roman" w:eastAsia="Times New Roman" w:hAnsi="Times New Roman" w:cs="Times New Roman"/>
          <w:snapToGrid w:val="0"/>
          <w:kern w:val="0"/>
          <w:sz w:val="22"/>
          <w:szCs w:val="20"/>
          <w14:ligatures w14:val="none"/>
        </w:rPr>
        <w:t>VTEp</w:t>
      </w:r>
      <w:proofErr w:type="spellEnd"/>
      <w:r w:rsidRPr="00D21DFA">
        <w:rPr>
          <w:rFonts w:ascii="Times New Roman" w:eastAsia="Times New Roman" w:hAnsi="Times New Roman" w:cs="Times New Roman"/>
          <w:snapToGrid w:val="0"/>
          <w:kern w:val="0"/>
          <w:sz w:val="22"/>
          <w:szCs w:val="20"/>
          <w14:ligatures w14:val="none"/>
        </w:rPr>
        <w:t>) pacientams, kuriems atliekamos planinės klubo sąnario arba kelio sąnario pakeitimo operacijos, GVT gydymui, PE gydymui ir pasikartojančios GVT ir PE profilaktikai (</w:t>
      </w: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vartoti atsargiai (žr. 4.2 ir 5.2 skyrius). </w:t>
      </w:r>
    </w:p>
    <w:p w14:paraId="4CE75918" w14:textId="77777777" w:rsidR="00C95D96" w:rsidRPr="00D21DFA"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6251C502" w14:textId="693A96C3" w:rsidR="00C95D96" w:rsidRPr="00D21DFA"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snapToGrid w:val="0"/>
          <w:kern w:val="0"/>
          <w:sz w:val="22"/>
          <w:szCs w:val="20"/>
          <w:lang w:eastAsia="lt-LT" w:bidi="lt-LT"/>
          <w14:ligatures w14:val="none"/>
        </w:rPr>
        <w:t xml:space="preserve">Insulto ir </w:t>
      </w:r>
      <w:r w:rsidRPr="00D21DFA">
        <w:rPr>
          <w:rFonts w:ascii="Times New Roman" w:eastAsia="Times New Roman" w:hAnsi="Times New Roman" w:cs="Times New Roman"/>
          <w:snapToGrid w:val="0"/>
          <w:kern w:val="0"/>
          <w:sz w:val="22"/>
          <w:szCs w:val="20"/>
          <w14:ligatures w14:val="none"/>
        </w:rPr>
        <w:t xml:space="preserve">sisteminės embolijos profilaktikai suaugusiems pacientams, </w:t>
      </w:r>
      <w:r w:rsidR="00B86311" w:rsidRPr="00D21DFA">
        <w:rPr>
          <w:rFonts w:ascii="Times New Roman" w:eastAsia="Times New Roman" w:hAnsi="Times New Roman" w:cs="Times New Roman"/>
          <w:snapToGrid w:val="0"/>
          <w:kern w:val="0"/>
          <w:sz w:val="22"/>
          <w:szCs w:val="20"/>
          <w14:ligatures w14:val="none"/>
        </w:rPr>
        <w:t>sergant</w:t>
      </w:r>
      <w:r w:rsidR="001C78CE" w:rsidRPr="00D21DFA">
        <w:rPr>
          <w:rFonts w:ascii="Times New Roman" w:eastAsia="Times New Roman" w:hAnsi="Times New Roman" w:cs="Times New Roman"/>
          <w:snapToGrid w:val="0"/>
          <w:kern w:val="0"/>
          <w:sz w:val="22"/>
          <w:szCs w:val="20"/>
          <w14:ligatures w14:val="none"/>
        </w:rPr>
        <w:t>iems</w:t>
      </w:r>
      <w:r w:rsidR="00B86311"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VNPV</w:t>
      </w:r>
      <w:r w:rsidR="00B006ED" w:rsidRPr="00D21DFA">
        <w:rPr>
          <w:rFonts w:ascii="Times New Roman" w:eastAsia="Times New Roman" w:hAnsi="Times New Roman" w:cs="Times New Roman"/>
          <w:snapToGrid w:val="0"/>
          <w:kern w:val="0"/>
          <w:sz w:val="22"/>
          <w:szCs w:val="20"/>
          <w14:ligatures w14:val="none"/>
        </w:rPr>
        <w:t>.</w:t>
      </w:r>
      <w:r w:rsidR="000B1CEF"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esant sunkiam inkstų funkcijos sutrikimui (kreatinino klirensas 15</w:t>
      </w:r>
      <w:r w:rsidRPr="00D21DFA">
        <w:rPr>
          <w:rFonts w:ascii="Times New Roman" w:eastAsia="Times New Roman" w:hAnsi="Times New Roman" w:cs="Times New Roman"/>
          <w:snapToGrid w:val="0"/>
          <w:kern w:val="0"/>
          <w:sz w:val="22"/>
          <w:szCs w:val="20"/>
          <w14:ligatures w14:val="none"/>
        </w:rPr>
        <w:noBreakHyphen/>
        <w:t xml:space="preserve">29 ml/min.) ir pacientams, kurių kreatinino koncentracija serume yra </w:t>
      </w:r>
      <w:r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0"/>
          <w14:ligatures w14:val="none"/>
        </w:rPr>
        <w:t>1,5 mg/dl (133 </w:t>
      </w:r>
      <w:proofErr w:type="spellStart"/>
      <w:r w:rsidRPr="00D21DFA">
        <w:rPr>
          <w:rFonts w:ascii="Times New Roman" w:eastAsia="Times New Roman" w:hAnsi="Times New Roman" w:cs="Times New Roman"/>
          <w:snapToGrid w:val="0"/>
          <w:kern w:val="0"/>
          <w:sz w:val="22"/>
          <w:szCs w:val="20"/>
          <w14:ligatures w14:val="none"/>
        </w:rPr>
        <w:t>mikromoliai</w:t>
      </w:r>
      <w:proofErr w:type="spellEnd"/>
      <w:r w:rsidRPr="00D21DFA">
        <w:rPr>
          <w:rFonts w:ascii="Times New Roman" w:eastAsia="Times New Roman" w:hAnsi="Times New Roman" w:cs="Times New Roman"/>
          <w:snapToGrid w:val="0"/>
          <w:kern w:val="0"/>
          <w:sz w:val="22"/>
          <w:szCs w:val="20"/>
          <w14:ligatures w14:val="none"/>
        </w:rPr>
        <w:t xml:space="preserve">/l) ir yra ≥ 80 metų arba kūno svoris ≤ 60 kg, reikia vartoti mažesnę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du kartus per parą (žr. 4.2 skyrių).</w:t>
      </w:r>
    </w:p>
    <w:p w14:paraId="75FFCF0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B5BED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kurių kreatinino klirensas yra &lt; 15 ml/min. arba atliekamos dializės, gydymo šiuo vaistiniu preparatu patirties nėra, todėl šiems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nerekomenduojama (žr. 4.2 ir 5.2 skyrius). </w:t>
      </w:r>
    </w:p>
    <w:p w14:paraId="6468329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78ADBA4" w14:textId="77777777"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sidRPr="00D21DFA">
        <w:rPr>
          <w:rFonts w:ascii="Times New Roman" w:eastAsia="Times New Roman" w:hAnsi="Times New Roman" w:cs="Times New Roman"/>
          <w:i/>
          <w:iCs/>
          <w:snapToGrid w:val="0"/>
          <w:kern w:val="0"/>
          <w:sz w:val="22"/>
          <w:szCs w:val="20"/>
          <w14:ligatures w14:val="none"/>
        </w:rPr>
        <w:t>Pacientai vaikai</w:t>
      </w:r>
    </w:p>
    <w:p w14:paraId="1A735A32" w14:textId="3CC65F88"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Gydymas pacientams vaikams, kuriems nustatytas sunkus inkstų funkcijos sutrikimas, netirtas, todėl jiems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negalima (žr. 4.2 ir 5.2 skyrius).</w:t>
      </w:r>
    </w:p>
    <w:p w14:paraId="2745AF21"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C6908D9" w14:textId="07B6A07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Senyvi</w:t>
      </w:r>
      <w:r w:rsidR="00371C35" w:rsidRPr="00D21DFA">
        <w:rPr>
          <w:rFonts w:ascii="Times New Roman" w:eastAsia="Times New Roman" w:hAnsi="Times New Roman" w:cs="Times New Roman"/>
          <w:snapToGrid w:val="0"/>
          <w:kern w:val="0"/>
          <w:sz w:val="22"/>
          <w:szCs w:val="20"/>
          <w:u w:val="single"/>
          <w14:ligatures w14:val="none"/>
        </w:rPr>
        <w:t>ems</w:t>
      </w:r>
      <w:r w:rsidRPr="00D21DFA">
        <w:rPr>
          <w:rFonts w:ascii="Times New Roman" w:eastAsia="Times New Roman" w:hAnsi="Times New Roman" w:cs="Times New Roman"/>
          <w:snapToGrid w:val="0"/>
          <w:kern w:val="0"/>
          <w:sz w:val="22"/>
          <w:szCs w:val="20"/>
          <w:u w:val="single"/>
          <w14:ligatures w14:val="none"/>
        </w:rPr>
        <w:t xml:space="preserve"> pacienta</w:t>
      </w:r>
      <w:r w:rsidR="00E2301C" w:rsidRPr="00D21DFA">
        <w:rPr>
          <w:rFonts w:ascii="Times New Roman" w:eastAsia="Times New Roman" w:hAnsi="Times New Roman" w:cs="Times New Roman"/>
          <w:snapToGrid w:val="0"/>
          <w:kern w:val="0"/>
          <w:sz w:val="22"/>
          <w:szCs w:val="20"/>
          <w:u w:val="single"/>
          <w14:ligatures w14:val="none"/>
        </w:rPr>
        <w:t>ms</w:t>
      </w:r>
      <w:r w:rsidRPr="00D21DFA">
        <w:rPr>
          <w:rFonts w:ascii="Times New Roman" w:eastAsia="Times New Roman" w:hAnsi="Times New Roman" w:cs="Times New Roman"/>
          <w:snapToGrid w:val="0"/>
          <w:kern w:val="0"/>
          <w:sz w:val="22"/>
          <w:szCs w:val="20"/>
          <w:u w:val="single"/>
          <w14:ligatures w14:val="none"/>
        </w:rPr>
        <w:t xml:space="preserve"> </w:t>
      </w:r>
    </w:p>
    <w:p w14:paraId="34851F5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20FEA0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Senyviems pacientams gali būti didesnė kraujavimo rizika (žr. 5.2 skyrių). </w:t>
      </w:r>
    </w:p>
    <w:p w14:paraId="6792DD5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Taip pat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kartu su ASR senyviems pacientams reikia vartoti atsargiai dėl galimos didesnės kraujavimo rizikos.</w:t>
      </w:r>
    </w:p>
    <w:p w14:paraId="084182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388865" w14:textId="0437B999" w:rsidR="00C95D96" w:rsidRPr="00D21DFA" w:rsidRDefault="009D043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AD1A35">
        <w:rPr>
          <w:rFonts w:ascii="Times New Roman" w:eastAsia="Times New Roman" w:hAnsi="Times New Roman" w:cs="Times New Roman"/>
          <w:snapToGrid w:val="0"/>
          <w:kern w:val="0"/>
          <w:sz w:val="22"/>
          <w:szCs w:val="20"/>
          <w:u w:val="single"/>
          <w14:ligatures w14:val="none"/>
        </w:rPr>
        <w:t>Kūno s</w:t>
      </w:r>
      <w:r w:rsidR="00C95D96" w:rsidRPr="00D21DFA">
        <w:rPr>
          <w:rFonts w:ascii="Times New Roman" w:eastAsia="Times New Roman" w:hAnsi="Times New Roman" w:cs="Times New Roman"/>
          <w:snapToGrid w:val="0"/>
          <w:kern w:val="0"/>
          <w:sz w:val="22"/>
          <w:szCs w:val="20"/>
          <w:u w:val="single"/>
          <w14:ligatures w14:val="none"/>
        </w:rPr>
        <w:t>voris</w:t>
      </w:r>
    </w:p>
    <w:p w14:paraId="17D57C5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4109DF3" w14:textId="7714619D" w:rsidR="00C95D96" w:rsidRPr="00D21DFA" w:rsidRDefault="00410D0B"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m</w:t>
      </w:r>
      <w:r w:rsidR="00C95D96" w:rsidRPr="00D21DFA">
        <w:rPr>
          <w:rFonts w:ascii="Times New Roman" w:eastAsia="Times New Roman" w:hAnsi="Times New Roman" w:cs="Times New Roman"/>
          <w:snapToGrid w:val="0"/>
          <w:kern w:val="0"/>
          <w:sz w:val="22"/>
          <w:szCs w:val="20"/>
          <w14:ligatures w14:val="none"/>
        </w:rPr>
        <w:t xml:space="preserve">ažas svoris (&lt; 60 kg) gali didinti kraujavimo riziką (žr. 5.2 skyrių). </w:t>
      </w:r>
    </w:p>
    <w:p w14:paraId="3C886CE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C612C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Pacientams, kurių kepenų funkcija sutrikusi </w:t>
      </w:r>
    </w:p>
    <w:p w14:paraId="41CC80F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5D7B6D0C" w14:textId="68D7E26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pacientams, kurie serga kepenų liga, susijusia su </w:t>
      </w:r>
      <w:proofErr w:type="spellStart"/>
      <w:r w:rsidRPr="00D21DFA">
        <w:rPr>
          <w:rFonts w:ascii="Times New Roman" w:eastAsia="Times New Roman" w:hAnsi="Times New Roman" w:cs="Times New Roman"/>
          <w:snapToGrid w:val="0"/>
          <w:kern w:val="0"/>
          <w:sz w:val="22"/>
          <w:szCs w:val="20"/>
          <w14:ligatures w14:val="none"/>
        </w:rPr>
        <w:t>koaguliopatija</w:t>
      </w:r>
      <w:proofErr w:type="spellEnd"/>
      <w:r w:rsidRPr="00D21DFA">
        <w:rPr>
          <w:rFonts w:ascii="Times New Roman" w:eastAsia="Times New Roman" w:hAnsi="Times New Roman" w:cs="Times New Roman"/>
          <w:snapToGrid w:val="0"/>
          <w:kern w:val="0"/>
          <w:sz w:val="22"/>
          <w:szCs w:val="20"/>
          <w14:ligatures w14:val="none"/>
        </w:rPr>
        <w:t xml:space="preserve"> ir kliniškai reikšminga kraujavimo rizika</w:t>
      </w:r>
      <w:r w:rsidR="00097D1F" w:rsidRPr="00D21DFA">
        <w:rPr>
          <w:rFonts w:ascii="Times New Roman" w:eastAsia="Times New Roman" w:hAnsi="Times New Roman" w:cs="Times New Roman"/>
          <w:snapToGrid w:val="0"/>
          <w:kern w:val="0"/>
          <w:sz w:val="22"/>
          <w:szCs w:val="20"/>
          <w14:ligatures w14:val="none"/>
        </w:rPr>
        <w:t>, draudžiama</w:t>
      </w:r>
      <w:r w:rsidRPr="00D21DFA">
        <w:rPr>
          <w:rFonts w:ascii="Times New Roman" w:eastAsia="Times New Roman" w:hAnsi="Times New Roman" w:cs="Times New Roman"/>
          <w:snapToGrid w:val="0"/>
          <w:kern w:val="0"/>
          <w:sz w:val="22"/>
          <w:szCs w:val="20"/>
          <w14:ligatures w14:val="none"/>
        </w:rPr>
        <w:t xml:space="preserve"> (žr. 4.3 skyrių).</w:t>
      </w:r>
    </w:p>
    <w:p w14:paraId="63135AD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91097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Nerekomenduojama vartoti pacientams, kuriems nustatytas sunkus kepenų funkcijos sutrikimas (žr. 5.2 skyrių).</w:t>
      </w:r>
    </w:p>
    <w:p w14:paraId="6F25749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F5EA92" w14:textId="1D09138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Vaistinio preparato reikia atsargiai vartoti pacientams, kuriems yra lengvas ar vidutinio sunkumo kepenų funkcijos sutrikimas (A arba B klasės pagal </w:t>
      </w:r>
      <w:proofErr w:type="spellStart"/>
      <w:r w:rsidRPr="00D21DFA">
        <w:rPr>
          <w:rFonts w:ascii="Times New Roman" w:eastAsia="Times New Roman" w:hAnsi="Times New Roman" w:cs="Times New Roman"/>
          <w:i/>
          <w:iCs/>
          <w:snapToGrid w:val="0"/>
          <w:kern w:val="0"/>
          <w:sz w:val="22"/>
          <w:szCs w:val="20"/>
          <w14:ligatures w14:val="none"/>
        </w:rPr>
        <w:t>Child</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Pugh</w:t>
      </w:r>
      <w:proofErr w:type="spellEnd"/>
      <w:r w:rsidR="00CA1CCC" w:rsidRPr="00D21DFA">
        <w:rPr>
          <w:rFonts w:ascii="Times New Roman" w:eastAsia="Times New Roman" w:hAnsi="Times New Roman" w:cs="Times New Roman"/>
          <w:i/>
          <w:iCs/>
          <w:snapToGrid w:val="0"/>
          <w:kern w:val="0"/>
          <w:sz w:val="22"/>
          <w:szCs w:val="20"/>
          <w14:ligatures w14:val="none"/>
        </w:rPr>
        <w:t xml:space="preserve"> </w:t>
      </w:r>
      <w:r w:rsidR="00CA1CCC" w:rsidRPr="00D21DFA">
        <w:rPr>
          <w:rFonts w:ascii="Times New Roman" w:hAnsi="Times New Roman"/>
          <w:kern w:val="0"/>
          <w:sz w:val="22"/>
          <w14:ligatures w14:val="none"/>
        </w:rPr>
        <w:t>skalę</w:t>
      </w:r>
      <w:r w:rsidRPr="00D21DFA">
        <w:rPr>
          <w:rFonts w:ascii="Times New Roman" w:eastAsia="Times New Roman" w:hAnsi="Times New Roman" w:cs="Times New Roman"/>
          <w:snapToGrid w:val="0"/>
          <w:kern w:val="0"/>
          <w:sz w:val="22"/>
          <w:szCs w:val="20"/>
          <w14:ligatures w14:val="none"/>
        </w:rPr>
        <w:t>) (žr. 4.2 ir 5.2 skyrius).</w:t>
      </w:r>
    </w:p>
    <w:p w14:paraId="17349B5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370F5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kuriems buvo nustatytas padidėjęs kepenų fermentų aktyvumas (ALT/AST aktyvumas buvo &gt; 2 x VNR) arba bendrojo </w:t>
      </w:r>
      <w:proofErr w:type="spellStart"/>
      <w:r w:rsidRPr="00D21DFA">
        <w:rPr>
          <w:rFonts w:ascii="Times New Roman" w:eastAsia="Times New Roman" w:hAnsi="Times New Roman" w:cs="Times New Roman"/>
          <w:snapToGrid w:val="0"/>
          <w:kern w:val="0"/>
          <w:sz w:val="22"/>
          <w:szCs w:val="20"/>
          <w14:ligatures w14:val="none"/>
        </w:rPr>
        <w:t>bilirubino</w:t>
      </w:r>
      <w:proofErr w:type="spellEnd"/>
      <w:r w:rsidRPr="00D21DFA">
        <w:rPr>
          <w:rFonts w:ascii="Times New Roman" w:eastAsia="Times New Roman" w:hAnsi="Times New Roman" w:cs="Times New Roman"/>
          <w:snapToGrid w:val="0"/>
          <w:kern w:val="0"/>
          <w:sz w:val="22"/>
          <w:szCs w:val="20"/>
          <w14:ligatures w14:val="none"/>
        </w:rPr>
        <w:t xml:space="preserve"> kiekis buvo ≥ 1,5 x VNR, nebuvo įtraukti į klinikinius tyrimus. Todėl šiems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vartoti atsargiai (žr. 5.2 skyrių). Prieš pradedant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turi būti atlikti kepenų funkcijos tyrimai.</w:t>
      </w:r>
    </w:p>
    <w:p w14:paraId="192265A8"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91DAFD" w14:textId="2426D9EE"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pacientams vaikams, kurių kepenų funkcija sutrikusi.</w:t>
      </w:r>
    </w:p>
    <w:p w14:paraId="5354A78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AB5927" w14:textId="77777777" w:rsidR="00C95D96" w:rsidRPr="00D21DFA"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Sąveika su vaistiniais preparatais, kurie yra ir </w:t>
      </w:r>
      <w:proofErr w:type="spellStart"/>
      <w:r w:rsidRPr="00D21DFA">
        <w:rPr>
          <w:rFonts w:ascii="Times New Roman" w:eastAsia="Times New Roman" w:hAnsi="Times New Roman" w:cs="Times New Roman"/>
          <w:snapToGrid w:val="0"/>
          <w:kern w:val="0"/>
          <w:sz w:val="22"/>
          <w:szCs w:val="20"/>
          <w:u w:val="single"/>
          <w14:ligatures w14:val="none"/>
        </w:rPr>
        <w:t>citochromo</w:t>
      </w:r>
      <w:proofErr w:type="spellEnd"/>
      <w:r w:rsidRPr="00D21DFA">
        <w:rPr>
          <w:rFonts w:ascii="Times New Roman" w:eastAsia="Times New Roman" w:hAnsi="Times New Roman" w:cs="Times New Roman"/>
          <w:snapToGrid w:val="0"/>
          <w:kern w:val="0"/>
          <w:sz w:val="22"/>
          <w:szCs w:val="20"/>
          <w:u w:val="single"/>
          <w14:ligatures w14:val="none"/>
        </w:rPr>
        <w:t xml:space="preserve"> P450 3A4 (CYP3A4)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glikoproteino</w:t>
      </w:r>
      <w:proofErr w:type="spellEnd"/>
      <w:r w:rsidRPr="00D21DFA">
        <w:rPr>
          <w:rFonts w:ascii="Times New Roman" w:eastAsia="Times New Roman" w:hAnsi="Times New Roman" w:cs="Times New Roman"/>
          <w:snapToGrid w:val="0"/>
          <w:kern w:val="0"/>
          <w:sz w:val="22"/>
          <w:szCs w:val="20"/>
          <w:u w:val="single"/>
          <w14:ligatures w14:val="none"/>
        </w:rPr>
        <w:t xml:space="preserve">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inhibitoriai </w:t>
      </w:r>
    </w:p>
    <w:p w14:paraId="55882414" w14:textId="77777777" w:rsidR="00C95D96" w:rsidRPr="00D21DFA"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62DCF74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skirti pacientams, kuriems taikomas sisteminis gydymas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w:t>
      </w:r>
      <w:proofErr w:type="spellStart"/>
      <w:r w:rsidRPr="00D21DFA">
        <w:rPr>
          <w:rFonts w:ascii="Times New Roman" w:eastAsia="Times New Roman" w:hAnsi="Times New Roman" w:cs="Times New Roman"/>
          <w:snapToGrid w:val="0"/>
          <w:kern w:val="0"/>
          <w:sz w:val="22"/>
          <w:szCs w:val="20"/>
          <w14:ligatures w14:val="none"/>
        </w:rPr>
        <w:t>azolų</w:t>
      </w:r>
      <w:proofErr w:type="spellEnd"/>
      <w:r w:rsidRPr="00D21DFA">
        <w:rPr>
          <w:rFonts w:ascii="Times New Roman" w:eastAsia="Times New Roman" w:hAnsi="Times New Roman" w:cs="Times New Roman"/>
          <w:snapToGrid w:val="0"/>
          <w:kern w:val="0"/>
          <w:sz w:val="22"/>
          <w:szCs w:val="20"/>
          <w14:ligatures w14:val="none"/>
        </w:rPr>
        <w:t xml:space="preserve"> grupės priešgrybeliniais vaistiniais preparatais (pvz., </w:t>
      </w:r>
      <w:proofErr w:type="spellStart"/>
      <w:r w:rsidRPr="00D21DFA">
        <w:rPr>
          <w:rFonts w:ascii="Times New Roman" w:eastAsia="Times New Roman" w:hAnsi="Times New Roman" w:cs="Times New Roman"/>
          <w:snapToGrid w:val="0"/>
          <w:kern w:val="0"/>
          <w:sz w:val="22"/>
          <w:szCs w:val="20"/>
          <w14:ligatures w14:val="none"/>
        </w:rPr>
        <w:t>ketokonazolu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itrakonazolu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vorikonazolu</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pozakonazolu</w:t>
      </w:r>
      <w:proofErr w:type="spellEnd"/>
      <w:r w:rsidRPr="00D21DFA">
        <w:rPr>
          <w:rFonts w:ascii="Times New Roman" w:eastAsia="Times New Roman" w:hAnsi="Times New Roman" w:cs="Times New Roman"/>
          <w:snapToGrid w:val="0"/>
          <w:kern w:val="0"/>
          <w:sz w:val="22"/>
          <w:szCs w:val="20"/>
          <w14:ligatures w14:val="none"/>
        </w:rPr>
        <w:t xml:space="preserve">) ir ŽIV proteazės inhibitoriais (pvz., ritonaviru). Šių vaistinių preparatų vartojimas gali didinti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ekspoziciją 2 kartus (žr. 4.5 skyrių) arba dar daugiau, jeigu kartu yra papildomų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ekspoziciją didinančių veiksnių (pvz., sunkus inkstų funkcijos sutrikimas). </w:t>
      </w:r>
    </w:p>
    <w:p w14:paraId="5207E4E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EF5887" w14:textId="73CE3791"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Klinikinių duomenų apie pacientus vaikus, kurie vienu metu gauna sisteminį gydymą stipriais CYP3A4 ir P-</w:t>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nėra (žr. 4.5 skyrių).</w:t>
      </w:r>
    </w:p>
    <w:p w14:paraId="01DB0423"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E4E73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Sąveika su vaistiniais preparatais, kurie yra ir 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w:t>
      </w:r>
      <w:proofErr w:type="spellStart"/>
      <w:r w:rsidRPr="00D21DFA">
        <w:rPr>
          <w:rFonts w:ascii="Times New Roman" w:eastAsia="Times New Roman" w:hAnsi="Times New Roman" w:cs="Times New Roman"/>
          <w:snapToGrid w:val="0"/>
          <w:kern w:val="0"/>
          <w:sz w:val="22"/>
          <w:szCs w:val="20"/>
          <w:u w:val="single"/>
          <w14:ligatures w14:val="none"/>
        </w:rPr>
        <w:t>induktoriai</w:t>
      </w:r>
      <w:proofErr w:type="spellEnd"/>
      <w:r w:rsidRPr="00D21DFA">
        <w:rPr>
          <w:rFonts w:ascii="Times New Roman" w:eastAsia="Times New Roman" w:hAnsi="Times New Roman" w:cs="Times New Roman"/>
          <w:snapToGrid w:val="0"/>
          <w:kern w:val="0"/>
          <w:sz w:val="22"/>
          <w:szCs w:val="20"/>
          <w:u w:val="single"/>
          <w14:ligatures w14:val="none"/>
        </w:rPr>
        <w:t xml:space="preserve"> </w:t>
      </w:r>
    </w:p>
    <w:p w14:paraId="4F8690B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86A28EC" w14:textId="657B447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 kartu su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(pvz.: </w:t>
      </w:r>
      <w:proofErr w:type="spellStart"/>
      <w:r w:rsidRPr="00D21DFA">
        <w:rPr>
          <w:rFonts w:ascii="Times New Roman" w:eastAsia="Times New Roman" w:hAnsi="Times New Roman" w:cs="Times New Roman"/>
          <w:snapToGrid w:val="0"/>
          <w:kern w:val="0"/>
          <w:sz w:val="22"/>
          <w:szCs w:val="20"/>
          <w14:ligatures w14:val="none"/>
        </w:rPr>
        <w:t>rifampicinu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fenitoinu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karbamazepinu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fenobarbitaliu</w:t>
      </w:r>
      <w:proofErr w:type="spellEnd"/>
      <w:r w:rsidRPr="00D21DFA">
        <w:rPr>
          <w:rFonts w:ascii="Times New Roman" w:eastAsia="Times New Roman" w:hAnsi="Times New Roman" w:cs="Times New Roman"/>
          <w:snapToGrid w:val="0"/>
          <w:kern w:val="0"/>
          <w:sz w:val="22"/>
          <w:szCs w:val="20"/>
          <w14:ligatures w14:val="none"/>
        </w:rPr>
        <w:t xml:space="preserve"> ar jonažolių</w:t>
      </w:r>
      <w:r w:rsidR="00582932" w:rsidRPr="00D21DFA">
        <w:rPr>
          <w:rFonts w:ascii="Times New Roman" w:eastAsia="Times New Roman" w:hAnsi="Times New Roman" w:cs="Times New Roman"/>
          <w:snapToGrid w:val="0"/>
          <w:kern w:val="0"/>
          <w:sz w:val="22"/>
          <w:szCs w:val="20"/>
          <w14:ligatures w14:val="none"/>
        </w:rPr>
        <w:t xml:space="preserve"> žolės</w:t>
      </w:r>
      <w:r w:rsidRPr="00D21DFA">
        <w:rPr>
          <w:rFonts w:ascii="Times New Roman" w:eastAsia="Times New Roman" w:hAnsi="Times New Roman" w:cs="Times New Roman"/>
          <w:snapToGrid w:val="0"/>
          <w:kern w:val="0"/>
          <w:sz w:val="22"/>
          <w:szCs w:val="20"/>
          <w14:ligatures w14:val="none"/>
        </w:rPr>
        <w:t xml:space="preserve"> </w:t>
      </w:r>
      <w:r w:rsidR="00FA4757" w:rsidRPr="00D21DFA">
        <w:rPr>
          <w:rFonts w:ascii="Times New Roman" w:eastAsia="Times New Roman" w:hAnsi="Times New Roman" w:cs="Times New Roman"/>
          <w:snapToGrid w:val="0"/>
          <w:kern w:val="0"/>
          <w:sz w:val="22"/>
          <w:szCs w:val="20"/>
          <w14:ligatures w14:val="none"/>
        </w:rPr>
        <w:t xml:space="preserve">vaistiniais </w:t>
      </w:r>
      <w:r w:rsidRPr="00D21DFA">
        <w:rPr>
          <w:rFonts w:ascii="Times New Roman" w:eastAsia="Times New Roman" w:hAnsi="Times New Roman" w:cs="Times New Roman"/>
          <w:snapToGrid w:val="0"/>
          <w:kern w:val="0"/>
          <w:sz w:val="22"/>
          <w:szCs w:val="20"/>
          <w14:ligatures w14:val="none"/>
        </w:rPr>
        <w:t xml:space="preserve">preparatais), gali maždaug 50 % sumažėti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Klinikinio tyrimo, kuriame dalyvav</w:t>
      </w:r>
      <w:r w:rsidR="00C03A04" w:rsidRPr="00D21DFA">
        <w:rPr>
          <w:rFonts w:ascii="Times New Roman" w:eastAsia="Times New Roman" w:hAnsi="Times New Roman" w:cs="Times New Roman"/>
          <w:snapToGrid w:val="0"/>
          <w:kern w:val="0"/>
          <w:sz w:val="22"/>
          <w:szCs w:val="20"/>
          <w14:ligatures w14:val="none"/>
        </w:rPr>
        <w:t>o</w:t>
      </w:r>
      <w:r w:rsidRPr="00D21DFA">
        <w:rPr>
          <w:rFonts w:ascii="Times New Roman" w:eastAsia="Times New Roman" w:hAnsi="Times New Roman" w:cs="Times New Roman"/>
          <w:snapToGrid w:val="0"/>
          <w:kern w:val="0"/>
          <w:sz w:val="22"/>
          <w:szCs w:val="20"/>
          <w14:ligatures w14:val="none"/>
        </w:rPr>
        <w:t xml:space="preserve"> pacient</w:t>
      </w:r>
      <w:r w:rsidR="00C03A04" w:rsidRPr="00D21DFA">
        <w:rPr>
          <w:rFonts w:ascii="Times New Roman" w:eastAsia="Times New Roman" w:hAnsi="Times New Roman" w:cs="Times New Roman"/>
          <w:snapToGrid w:val="0"/>
          <w:kern w:val="0"/>
          <w:sz w:val="22"/>
          <w:szCs w:val="20"/>
          <w14:ligatures w14:val="none"/>
        </w:rPr>
        <w:t>ai, sirgę</w:t>
      </w:r>
      <w:r w:rsidRPr="00D21DFA">
        <w:rPr>
          <w:rFonts w:ascii="Times New Roman" w:eastAsia="Times New Roman" w:hAnsi="Times New Roman" w:cs="Times New Roman"/>
          <w:snapToGrid w:val="0"/>
          <w:kern w:val="0"/>
          <w:sz w:val="22"/>
          <w:szCs w:val="20"/>
          <w14:ligatures w14:val="none"/>
        </w:rPr>
        <w:t xml:space="preserve"> prieširdžių virpėjim</w:t>
      </w:r>
      <w:r w:rsidR="002C4AF8"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xml:space="preserve">, duomenimis,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 kartu su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palyginti su vieno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vartojimu, buvo nustatytas veiksmingumo sumažėjimas ir kraujavimo rizikos padidėjimas. </w:t>
      </w:r>
    </w:p>
    <w:p w14:paraId="1BB0D64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193509" w14:textId="6A7C287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kuriems taikomas sisteminis gydymas </w:t>
      </w:r>
      <w:r w:rsidR="00FC45C2" w:rsidRPr="00D21DFA">
        <w:rPr>
          <w:rFonts w:ascii="Times New Roman" w:eastAsia="Times New Roman" w:hAnsi="Times New Roman" w:cs="Times New Roman"/>
          <w:snapToGrid w:val="0"/>
          <w:kern w:val="0"/>
          <w:sz w:val="22"/>
          <w:szCs w:val="20"/>
          <w14:ligatures w14:val="none"/>
        </w:rPr>
        <w:t xml:space="preserve">kartu skiriant </w:t>
      </w:r>
      <w:r w:rsidRPr="00D21DFA">
        <w:rPr>
          <w:rFonts w:ascii="Times New Roman" w:eastAsia="Times New Roman" w:hAnsi="Times New Roman" w:cs="Times New Roman"/>
          <w:snapToGrid w:val="0"/>
          <w:kern w:val="0"/>
          <w:sz w:val="22"/>
          <w:szCs w:val="20"/>
          <w14:ligatures w14:val="none"/>
        </w:rPr>
        <w:t xml:space="preserve">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w:t>
      </w:r>
      <w:r w:rsidR="00963E53" w:rsidRPr="00D21DFA">
        <w:rPr>
          <w:rFonts w:ascii="Times New Roman" w:eastAsia="Times New Roman" w:hAnsi="Times New Roman" w:cs="Times New Roman"/>
          <w:snapToGrid w:val="0"/>
          <w:kern w:val="0"/>
          <w:sz w:val="22"/>
          <w:szCs w:val="20"/>
          <w14:ligatures w14:val="none"/>
        </w:rPr>
        <w:t>ų</w:t>
      </w:r>
      <w:proofErr w:type="spellEnd"/>
      <w:r w:rsidR="00791C57" w:rsidRPr="00D21DFA">
        <w:rPr>
          <w:rFonts w:ascii="Times New Roman" w:eastAsia="Times New Roman" w:hAnsi="Times New Roman" w:cs="Times New Roman"/>
          <w:snapToGrid w:val="0"/>
          <w:kern w:val="0"/>
          <w:sz w:val="22"/>
          <w:szCs w:val="20"/>
          <w14:ligatures w14:val="none"/>
        </w:rPr>
        <w:t xml:space="preserve"> </w:t>
      </w:r>
      <w:r w:rsidR="00D813C0" w:rsidRPr="00D21DFA">
        <w:rPr>
          <w:rFonts w:ascii="Times New Roman" w:eastAsia="Times New Roman" w:hAnsi="Times New Roman" w:cs="Times New Roman"/>
          <w:snapToGrid w:val="0"/>
          <w:kern w:val="0"/>
          <w:sz w:val="22"/>
          <w:szCs w:val="20"/>
          <w14:ligatures w14:val="none"/>
        </w:rPr>
        <w:t>bei</w:t>
      </w:r>
      <w:r w:rsidR="00791C57" w:rsidRPr="00D21DFA">
        <w:rPr>
          <w:rFonts w:ascii="Times New Roman" w:eastAsia="Times New Roman" w:hAnsi="Times New Roman" w:cs="Times New Roman"/>
          <w:snapToGrid w:val="0"/>
          <w:kern w:val="0"/>
          <w:sz w:val="22"/>
          <w:szCs w:val="20"/>
          <w14:ligatures w14:val="none"/>
        </w:rPr>
        <w:t xml:space="preserve"> </w:t>
      </w:r>
      <w:proofErr w:type="spellStart"/>
      <w:r w:rsidR="00791C57" w:rsidRPr="00D21DFA">
        <w:rPr>
          <w:rFonts w:ascii="Times New Roman" w:eastAsia="Times New Roman" w:hAnsi="Times New Roman" w:cs="Times New Roman"/>
          <w:snapToGrid w:val="0"/>
          <w:kern w:val="0"/>
          <w:sz w:val="22"/>
          <w:szCs w:val="20"/>
          <w14:ligatures w14:val="none"/>
        </w:rPr>
        <w:t>apiksaban</w:t>
      </w:r>
      <w:r w:rsidR="00BE2760" w:rsidRPr="00D21DFA">
        <w:rPr>
          <w:rFonts w:ascii="Times New Roman" w:eastAsia="Times New Roman" w:hAnsi="Times New Roman" w:cs="Times New Roman"/>
          <w:snapToGrid w:val="0"/>
          <w:kern w:val="0"/>
          <w:sz w:val="22"/>
          <w:szCs w:val="20"/>
          <w14:ligatures w14:val="none"/>
        </w:rPr>
        <w:t>o</w:t>
      </w:r>
      <w:proofErr w:type="spellEnd"/>
      <w:r w:rsidRPr="00D21DFA">
        <w:rPr>
          <w:rFonts w:ascii="Times New Roman" w:eastAsia="Times New Roman" w:hAnsi="Times New Roman" w:cs="Times New Roman"/>
          <w:snapToGrid w:val="0"/>
          <w:kern w:val="0"/>
          <w:sz w:val="22"/>
          <w:szCs w:val="20"/>
          <w14:ligatures w14:val="none"/>
        </w:rPr>
        <w:t>, galioja tokios rekomendacijos (žr. 4.5 skyrių):</w:t>
      </w:r>
    </w:p>
    <w:p w14:paraId="641492E7" w14:textId="535AB200" w:rsidR="00C95D96" w:rsidRPr="00D21DFA" w:rsidRDefault="00C95D96" w:rsidP="00C95D96">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proofErr w:type="spellStart"/>
      <w:r w:rsidRPr="00D21DFA">
        <w:rPr>
          <w:rFonts w:ascii="Times New Roman" w:eastAsia="Times New Roman" w:hAnsi="Times New Roman" w:cs="Times New Roman"/>
          <w:kern w:val="0"/>
          <w:sz w:val="22"/>
          <w:szCs w:val="20"/>
          <w:lang w:eastAsia="lt-LT" w:bidi="lt-LT"/>
          <w14:ligatures w14:val="none"/>
        </w:rPr>
        <w:t>apiksabano</w:t>
      </w:r>
      <w:proofErr w:type="spellEnd"/>
      <w:r w:rsidRPr="00D21DFA">
        <w:rPr>
          <w:rFonts w:ascii="Times New Roman" w:eastAsia="Times New Roman" w:hAnsi="Times New Roman" w:cs="Times New Roman"/>
          <w:kern w:val="0"/>
          <w:sz w:val="22"/>
          <w:szCs w:val="20"/>
          <w:lang w:eastAsia="lt-LT" w:bidi="lt-LT"/>
          <w14:ligatures w14:val="none"/>
        </w:rPr>
        <w:t xml:space="preserve"> reikia vartoti atsargiai VTE profilaktikai pacientams, kuriems atlikta planinė klubo arba kelio sąnario pakeitimo operacija (</w:t>
      </w:r>
      <w:proofErr w:type="spellStart"/>
      <w:r w:rsidRPr="00D21DFA">
        <w:rPr>
          <w:rFonts w:ascii="Times New Roman" w:eastAsia="Times New Roman" w:hAnsi="Times New Roman" w:cs="Times New Roman"/>
          <w:kern w:val="0"/>
          <w:sz w:val="22"/>
          <w:szCs w:val="20"/>
          <w:lang w:eastAsia="lt-LT" w:bidi="lt-LT"/>
          <w14:ligatures w14:val="none"/>
        </w:rPr>
        <w:t>VTEPp</w:t>
      </w:r>
      <w:proofErr w:type="spellEnd"/>
      <w:r w:rsidRPr="00D21DFA">
        <w:rPr>
          <w:rFonts w:ascii="Times New Roman" w:eastAsia="Times New Roman" w:hAnsi="Times New Roman" w:cs="Times New Roman"/>
          <w:kern w:val="0"/>
          <w:sz w:val="22"/>
          <w:szCs w:val="20"/>
          <w:lang w:eastAsia="lt-LT" w:bidi="lt-LT"/>
          <w14:ligatures w14:val="none"/>
        </w:rPr>
        <w:t xml:space="preserve">), insulto ir </w:t>
      </w:r>
      <w:r w:rsidRPr="00D21DFA">
        <w:rPr>
          <w:rFonts w:ascii="Times New Roman" w:eastAsia="Times New Roman" w:hAnsi="Times New Roman" w:cs="Times New Roman"/>
          <w:snapToGrid w:val="0"/>
          <w:kern w:val="0"/>
          <w:sz w:val="22"/>
          <w:szCs w:val="20"/>
          <w:lang w:eastAsia="lt-LT" w:bidi="lt-LT"/>
          <w14:ligatures w14:val="none"/>
        </w:rPr>
        <w:t>sisteminės embolijos profilaktikai pacientams, kuriems pasireiškia VNPV ir pasikartojančios GVT ir PE;</w:t>
      </w:r>
    </w:p>
    <w:p w14:paraId="045492B2" w14:textId="77777777" w:rsidR="00C95D96" w:rsidRPr="00D21DFA" w:rsidRDefault="00C95D96" w:rsidP="00C95D96">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snapToGrid w:val="0"/>
          <w:kern w:val="0"/>
          <w:sz w:val="22"/>
          <w:szCs w:val="20"/>
          <w:lang w:eastAsia="lt-LT" w:bidi="lt-LT"/>
          <w14:ligatures w14:val="none"/>
        </w:rPr>
        <w:t xml:space="preserve">GVT gydymui ir PE gydymui </w:t>
      </w:r>
      <w:proofErr w:type="spellStart"/>
      <w:r w:rsidRPr="00D21DFA">
        <w:rPr>
          <w:rFonts w:ascii="Times New Roman" w:eastAsia="Times New Roman" w:hAnsi="Times New Roman" w:cs="Times New Roman"/>
          <w:snapToGrid w:val="0"/>
          <w:kern w:val="0"/>
          <w:sz w:val="22"/>
          <w:szCs w:val="20"/>
          <w:lang w:eastAsia="lt-LT" w:bidi="lt-LT"/>
          <w14:ligatures w14:val="none"/>
        </w:rPr>
        <w:t>apiksabano</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vartoti negalima, nes gali būti mažesnis veiksmingumas.</w:t>
      </w:r>
    </w:p>
    <w:p w14:paraId="3B8C63EC" w14:textId="77777777" w:rsidR="00C95D96" w:rsidRPr="00AD1A35"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16A98B" w14:textId="4FD07AF6" w:rsidR="00410D0B" w:rsidRPr="00AD1A35"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AD1A35">
        <w:rPr>
          <w:rFonts w:ascii="Times New Roman" w:eastAsia="Times New Roman" w:hAnsi="Times New Roman" w:cs="Times New Roman"/>
          <w:snapToGrid w:val="0"/>
          <w:kern w:val="0"/>
          <w:sz w:val="22"/>
          <w:szCs w:val="20"/>
          <w14:ligatures w14:val="none"/>
        </w:rPr>
        <w:t>Klinikinių duomenų apie pacientus vaikus, kurie vienu metu gauna sisteminį gydymą stipriais CYP3A4 ir P-</w:t>
      </w:r>
      <w:proofErr w:type="spellStart"/>
      <w:r w:rsidRPr="00AD1A35">
        <w:rPr>
          <w:rFonts w:ascii="Times New Roman" w:eastAsia="Times New Roman" w:hAnsi="Times New Roman" w:cs="Times New Roman"/>
          <w:snapToGrid w:val="0"/>
          <w:kern w:val="0"/>
          <w:sz w:val="22"/>
          <w:szCs w:val="20"/>
          <w14:ligatures w14:val="none"/>
        </w:rPr>
        <w:t>gp</w:t>
      </w:r>
      <w:proofErr w:type="spellEnd"/>
      <w:r w:rsidRPr="00AD1A35">
        <w:rPr>
          <w:rFonts w:ascii="Times New Roman" w:eastAsia="Times New Roman" w:hAnsi="Times New Roman" w:cs="Times New Roman"/>
          <w:snapToGrid w:val="0"/>
          <w:kern w:val="0"/>
          <w:sz w:val="22"/>
          <w:szCs w:val="20"/>
          <w14:ligatures w14:val="none"/>
        </w:rPr>
        <w:t xml:space="preserve"> </w:t>
      </w:r>
      <w:proofErr w:type="spellStart"/>
      <w:r w:rsidRPr="00AD1A35">
        <w:rPr>
          <w:rFonts w:ascii="Times New Roman" w:eastAsia="Times New Roman" w:hAnsi="Times New Roman" w:cs="Times New Roman"/>
          <w:snapToGrid w:val="0"/>
          <w:kern w:val="0"/>
          <w:sz w:val="22"/>
          <w:szCs w:val="20"/>
          <w14:ligatures w14:val="none"/>
        </w:rPr>
        <w:t>induktoriais</w:t>
      </w:r>
      <w:proofErr w:type="spellEnd"/>
      <w:r w:rsidRPr="00AD1A35">
        <w:rPr>
          <w:rFonts w:ascii="Times New Roman" w:eastAsia="Times New Roman" w:hAnsi="Times New Roman" w:cs="Times New Roman"/>
          <w:snapToGrid w:val="0"/>
          <w:kern w:val="0"/>
          <w:sz w:val="22"/>
          <w:szCs w:val="20"/>
          <w14:ligatures w14:val="none"/>
        </w:rPr>
        <w:t>, nėra (žr. 4.5 skyrių).</w:t>
      </w:r>
    </w:p>
    <w:p w14:paraId="256F228B" w14:textId="77777777" w:rsidR="00410D0B" w:rsidRPr="00AD1A35"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E2237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Šlaunikaulio lūžio operacija </w:t>
      </w:r>
    </w:p>
    <w:p w14:paraId="6578223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CC56D7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veiksmingumas ir saugumas pacientams, kuriems atliekama šlaunikaulio lūžio operacija, klinikinių tyrimų metu netirtas. Todėl šiems pacientams vaistinio preparato vartoti nerekomenduojama.</w:t>
      </w:r>
    </w:p>
    <w:p w14:paraId="4D059E7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9CF71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Laboratorinių tyrimų rodikliai </w:t>
      </w:r>
    </w:p>
    <w:p w14:paraId="7FC058F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120EDE5" w14:textId="0FFABAC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Kaip ir tikėtasi, dėl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veikimo mechanizmo paveik</w:t>
      </w:r>
      <w:r w:rsidR="00B41EA8" w:rsidRPr="00D21DFA">
        <w:rPr>
          <w:rFonts w:ascii="Times New Roman" w:eastAsia="Times New Roman" w:hAnsi="Times New Roman" w:cs="Times New Roman"/>
          <w:snapToGrid w:val="0"/>
          <w:kern w:val="0"/>
          <w:sz w:val="22"/>
          <w:szCs w:val="20"/>
          <w14:ligatures w14:val="none"/>
        </w:rPr>
        <w:t>iami</w:t>
      </w:r>
      <w:r w:rsidRPr="00D21DFA">
        <w:rPr>
          <w:rFonts w:ascii="Times New Roman" w:eastAsia="Times New Roman" w:hAnsi="Times New Roman" w:cs="Times New Roman"/>
          <w:snapToGrid w:val="0"/>
          <w:kern w:val="0"/>
          <w:sz w:val="22"/>
          <w:szCs w:val="20"/>
          <w14:ligatures w14:val="none"/>
        </w:rPr>
        <w:t xml:space="preserve"> krešėjimo tyrimų (pvz.,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laiko [PL], tarptautinio normalizuotojo santykio [TNS] ir aktyvinto dalinio </w:t>
      </w:r>
      <w:proofErr w:type="spellStart"/>
      <w:r w:rsidRPr="00D21DFA">
        <w:rPr>
          <w:rFonts w:ascii="Times New Roman" w:eastAsia="Times New Roman" w:hAnsi="Times New Roman" w:cs="Times New Roman"/>
          <w:snapToGrid w:val="0"/>
          <w:kern w:val="0"/>
          <w:sz w:val="22"/>
          <w:szCs w:val="20"/>
          <w14:ligatures w14:val="none"/>
        </w:rPr>
        <w:t>tromboplastino</w:t>
      </w:r>
      <w:proofErr w:type="spellEnd"/>
      <w:r w:rsidRPr="00D21DFA">
        <w:rPr>
          <w:rFonts w:ascii="Times New Roman" w:eastAsia="Times New Roman" w:hAnsi="Times New Roman" w:cs="Times New Roman"/>
          <w:snapToGrid w:val="0"/>
          <w:kern w:val="0"/>
          <w:sz w:val="22"/>
          <w:szCs w:val="20"/>
          <w14:ligatures w14:val="none"/>
        </w:rPr>
        <w:t xml:space="preserve"> laiko [</w:t>
      </w:r>
      <w:proofErr w:type="spellStart"/>
      <w:r w:rsidRPr="00D21DFA">
        <w:rPr>
          <w:rFonts w:ascii="Times New Roman" w:eastAsia="Times New Roman" w:hAnsi="Times New Roman" w:cs="Times New Roman"/>
          <w:snapToGrid w:val="0"/>
          <w:kern w:val="0"/>
          <w:sz w:val="22"/>
          <w:szCs w:val="20"/>
          <w14:ligatures w14:val="none"/>
        </w:rPr>
        <w:t>aDTL</w:t>
      </w:r>
      <w:proofErr w:type="spellEnd"/>
      <w:r w:rsidRPr="00D21DFA">
        <w:rPr>
          <w:rFonts w:ascii="Times New Roman" w:eastAsia="Times New Roman" w:hAnsi="Times New Roman" w:cs="Times New Roman"/>
          <w:snapToGrid w:val="0"/>
          <w:kern w:val="0"/>
          <w:sz w:val="22"/>
          <w:szCs w:val="20"/>
          <w14:ligatures w14:val="none"/>
        </w:rPr>
        <w:t xml:space="preserve">]) rezultatai. Pastebėta, kad vartojant gydomąją vaistinio preparato dozę, šių krešėjimo tyrimų rezultatų pokyčiai yra nedideli ir labai skiriasi įvairiems pacientams (žr. 5.1 skyrių). </w:t>
      </w:r>
    </w:p>
    <w:p w14:paraId="375323A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8BF073" w14:textId="1B080DAD"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lastRenderedPageBreak/>
        <w:t xml:space="preserve">Pagalbinės medžiagos </w:t>
      </w:r>
    </w:p>
    <w:p w14:paraId="12942E6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59C4782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sudėtyje yra laktozės. Šio vaistinio preparato negalima vartoti pacientams, kuriems nustatytas retas paveldimas sutrikimas – </w:t>
      </w:r>
      <w:proofErr w:type="spellStart"/>
      <w:r w:rsidRPr="00D21DFA">
        <w:rPr>
          <w:rFonts w:ascii="Times New Roman" w:eastAsia="Times New Roman" w:hAnsi="Times New Roman" w:cs="Times New Roman"/>
          <w:snapToGrid w:val="0"/>
          <w:kern w:val="0"/>
          <w:sz w:val="22"/>
          <w:szCs w:val="20"/>
          <w14:ligatures w14:val="none"/>
        </w:rPr>
        <w:t>galaktozės</w:t>
      </w:r>
      <w:proofErr w:type="spellEnd"/>
      <w:r w:rsidRPr="00D21DFA">
        <w:rPr>
          <w:rFonts w:ascii="Times New Roman" w:eastAsia="Times New Roman" w:hAnsi="Times New Roman" w:cs="Times New Roman"/>
          <w:snapToGrid w:val="0"/>
          <w:kern w:val="0"/>
          <w:sz w:val="22"/>
          <w:szCs w:val="20"/>
          <w14:ligatures w14:val="none"/>
        </w:rPr>
        <w:t xml:space="preserve"> netoleravimas, visiškas laktazės stygius arba gliukozės ir </w:t>
      </w:r>
      <w:proofErr w:type="spellStart"/>
      <w:r w:rsidRPr="00D21DFA">
        <w:rPr>
          <w:rFonts w:ascii="Times New Roman" w:eastAsia="Times New Roman" w:hAnsi="Times New Roman" w:cs="Times New Roman"/>
          <w:snapToGrid w:val="0"/>
          <w:kern w:val="0"/>
          <w:sz w:val="22"/>
          <w:szCs w:val="20"/>
          <w14:ligatures w14:val="none"/>
        </w:rPr>
        <w:t>galaktozės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malabsorbcija</w:t>
      </w:r>
      <w:proofErr w:type="spellEnd"/>
      <w:r w:rsidRPr="00D21DFA">
        <w:rPr>
          <w:rFonts w:ascii="Times New Roman" w:eastAsia="Times New Roman" w:hAnsi="Times New Roman" w:cs="Times New Roman"/>
          <w:snapToGrid w:val="0"/>
          <w:kern w:val="0"/>
          <w:sz w:val="22"/>
          <w:szCs w:val="20"/>
          <w14:ligatures w14:val="none"/>
        </w:rPr>
        <w:t>.</w:t>
      </w:r>
    </w:p>
    <w:p w14:paraId="6142A1D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46E8D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Šio vaistinio preparato plėvele dengtoje</w:t>
      </w:r>
      <w:r w:rsidRPr="00D21DFA">
        <w:rPr>
          <w:rFonts w:ascii="Times New Roman" w:eastAsia="Times New Roman" w:hAnsi="Times New Roman" w:cs="Times New Roman"/>
          <w:snapToGrid w:val="0"/>
          <w:kern w:val="0"/>
          <w:sz w:val="22"/>
          <w:szCs w:val="22"/>
          <w14:ligatures w14:val="none"/>
        </w:rPr>
        <w:t xml:space="preserve"> tabletėje yra mažiau kaip 1 </w:t>
      </w:r>
      <w:proofErr w:type="spellStart"/>
      <w:r w:rsidRPr="00D21DFA">
        <w:rPr>
          <w:rFonts w:ascii="Times New Roman" w:eastAsia="Times New Roman" w:hAnsi="Times New Roman" w:cs="Times New Roman"/>
          <w:snapToGrid w:val="0"/>
          <w:kern w:val="0"/>
          <w:sz w:val="22"/>
          <w:szCs w:val="22"/>
          <w14:ligatures w14:val="none"/>
        </w:rPr>
        <w:t>mmol</w:t>
      </w:r>
      <w:proofErr w:type="spellEnd"/>
      <w:r w:rsidRPr="00D21DFA">
        <w:rPr>
          <w:rFonts w:ascii="Times New Roman" w:eastAsia="Times New Roman" w:hAnsi="Times New Roman" w:cs="Times New Roman"/>
          <w:snapToGrid w:val="0"/>
          <w:kern w:val="0"/>
          <w:sz w:val="22"/>
          <w:szCs w:val="22"/>
          <w14:ligatures w14:val="none"/>
        </w:rPr>
        <w:t xml:space="preserve"> (23 mg) natrio, t. y. jis beveik neturi reikšmės. </w:t>
      </w:r>
    </w:p>
    <w:p w14:paraId="3F5EEA4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374F6B48"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4.5</w:t>
      </w:r>
      <w:r w:rsidRPr="00D21DFA">
        <w:rPr>
          <w:rFonts w:ascii="Times New Roman" w:eastAsia="Times New Roman" w:hAnsi="Times New Roman" w:cs="Times New Roman"/>
          <w:b/>
          <w:bCs/>
          <w:snapToGrid w:val="0"/>
          <w:kern w:val="0"/>
          <w:sz w:val="22"/>
          <w:szCs w:val="28"/>
          <w:lang w:eastAsia="x-none"/>
          <w14:ligatures w14:val="none"/>
        </w:rPr>
        <w:tab/>
        <w:t>Sąveika su kitais vaistiniais preparatais ir kitokia sąveika</w:t>
      </w:r>
    </w:p>
    <w:p w14:paraId="7CD384C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99A3F3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xml:space="preserve">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inhibitoriai </w:t>
      </w:r>
    </w:p>
    <w:p w14:paraId="0D77979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000473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inhibitoriumi </w:t>
      </w:r>
      <w:proofErr w:type="spellStart"/>
      <w:r w:rsidRPr="00D21DFA">
        <w:rPr>
          <w:rFonts w:ascii="Times New Roman" w:eastAsia="Times New Roman" w:hAnsi="Times New Roman" w:cs="Times New Roman"/>
          <w:snapToGrid w:val="0"/>
          <w:kern w:val="0"/>
          <w:sz w:val="22"/>
          <w:szCs w:val="20"/>
          <w14:ligatures w14:val="none"/>
        </w:rPr>
        <w:t>ketokonazolu</w:t>
      </w:r>
      <w:proofErr w:type="spellEnd"/>
      <w:r w:rsidRPr="00D21DFA">
        <w:rPr>
          <w:rFonts w:ascii="Times New Roman" w:eastAsia="Times New Roman" w:hAnsi="Times New Roman" w:cs="Times New Roman"/>
          <w:snapToGrid w:val="0"/>
          <w:kern w:val="0"/>
          <w:sz w:val="22"/>
          <w:szCs w:val="20"/>
          <w14:ligatures w14:val="none"/>
        </w:rPr>
        <w:t xml:space="preserve"> (400 mg vieną kartą per parą),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vidutinis AUC padidėjo 2 kartus, o vidutinė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 1,6 karto. </w:t>
      </w:r>
    </w:p>
    <w:p w14:paraId="65B7DE8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E0653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skirti pacientams, kuriems kartu taikomas sisteminis gydymas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pavyzdžiui: </w:t>
      </w:r>
      <w:proofErr w:type="spellStart"/>
      <w:r w:rsidRPr="00D21DFA">
        <w:rPr>
          <w:rFonts w:ascii="Times New Roman" w:eastAsia="Times New Roman" w:hAnsi="Times New Roman" w:cs="Times New Roman"/>
          <w:snapToGrid w:val="0"/>
          <w:kern w:val="0"/>
          <w:sz w:val="22"/>
          <w:szCs w:val="20"/>
          <w14:ligatures w14:val="none"/>
        </w:rPr>
        <w:t>azolų</w:t>
      </w:r>
      <w:proofErr w:type="spellEnd"/>
      <w:r w:rsidRPr="00D21DFA">
        <w:rPr>
          <w:rFonts w:ascii="Times New Roman" w:eastAsia="Times New Roman" w:hAnsi="Times New Roman" w:cs="Times New Roman"/>
          <w:snapToGrid w:val="0"/>
          <w:kern w:val="0"/>
          <w:sz w:val="22"/>
          <w:szCs w:val="20"/>
          <w14:ligatures w14:val="none"/>
        </w:rPr>
        <w:t xml:space="preserve"> grupės priešgrybeliniais vaistiniais preparatais (pvz., </w:t>
      </w:r>
      <w:proofErr w:type="spellStart"/>
      <w:r w:rsidRPr="00D21DFA">
        <w:rPr>
          <w:rFonts w:ascii="Times New Roman" w:eastAsia="Times New Roman" w:hAnsi="Times New Roman" w:cs="Times New Roman"/>
          <w:snapToGrid w:val="0"/>
          <w:kern w:val="0"/>
          <w:sz w:val="22"/>
          <w:szCs w:val="20"/>
          <w14:ligatures w14:val="none"/>
        </w:rPr>
        <w:t>ketokonazolu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itrakonazolu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vorikonazolu</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pozakonazolu</w:t>
      </w:r>
      <w:proofErr w:type="spellEnd"/>
      <w:r w:rsidRPr="00D21DFA">
        <w:rPr>
          <w:rFonts w:ascii="Times New Roman" w:eastAsia="Times New Roman" w:hAnsi="Times New Roman" w:cs="Times New Roman"/>
          <w:snapToGrid w:val="0"/>
          <w:kern w:val="0"/>
          <w:sz w:val="22"/>
          <w:szCs w:val="20"/>
          <w14:ligatures w14:val="none"/>
        </w:rPr>
        <w:t>) ir ŽIV proteazės inhibitoriais (pvz., ritonaviru) (žr. 4.4 skyrių).</w:t>
      </w:r>
    </w:p>
    <w:p w14:paraId="1098B59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D7B594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Tikėtina, kad veikliosios medžiagos, kurios nelaikomos stipraus poveikio ir CYP3A4,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(pvz.: </w:t>
      </w:r>
      <w:proofErr w:type="spellStart"/>
      <w:r w:rsidRPr="00D21DFA">
        <w:rPr>
          <w:rFonts w:ascii="Times New Roman" w:eastAsia="Times New Roman" w:hAnsi="Times New Roman" w:cs="Times New Roman"/>
          <w:snapToGrid w:val="0"/>
          <w:kern w:val="0"/>
          <w:sz w:val="22"/>
          <w:szCs w:val="20"/>
          <w14:ligatures w14:val="none"/>
        </w:rPr>
        <w:t>amjodaronas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klaritromicinas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diltiazemas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flukonazolas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naproksenas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chinidinas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verapamilis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koncentraciją plazmoje didins mažesniu mastu. Vartojant kartu su vaistiniais preparatais, kurie nėra stiprūs CYP3A4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koreguoti nereikia. Pavyzdžiui, </w:t>
      </w:r>
      <w:proofErr w:type="spellStart"/>
      <w:r w:rsidRPr="00D21DFA">
        <w:rPr>
          <w:rFonts w:ascii="Times New Roman" w:eastAsia="Times New Roman" w:hAnsi="Times New Roman" w:cs="Times New Roman"/>
          <w:snapToGrid w:val="0"/>
          <w:kern w:val="0"/>
          <w:sz w:val="22"/>
          <w:szCs w:val="20"/>
          <w14:ligatures w14:val="none"/>
        </w:rPr>
        <w:t>diltiazemo</w:t>
      </w:r>
      <w:proofErr w:type="spellEnd"/>
      <w:r w:rsidRPr="00D21DFA">
        <w:rPr>
          <w:rFonts w:ascii="Times New Roman" w:eastAsia="Times New Roman" w:hAnsi="Times New Roman" w:cs="Times New Roman"/>
          <w:snapToGrid w:val="0"/>
          <w:kern w:val="0"/>
          <w:sz w:val="22"/>
          <w:szCs w:val="20"/>
          <w14:ligatures w14:val="none"/>
        </w:rPr>
        <w:t xml:space="preserve"> (360 mg kartą per parą), kuris laikomas vidutinio stiprumo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silpnu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inhibitoriumi, vartojimas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vidutinį AUC padidino 1,4 karto, o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 1,3 karto.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(vienkartinė 500 mg dozė), kuris yra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inhibitorius, bet neslopina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vartojimas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vidutinius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padidino atitinkamai 1,5 karto ir 1,6 karto. </w:t>
      </w:r>
      <w:proofErr w:type="spellStart"/>
      <w:r w:rsidRPr="00D21DFA">
        <w:rPr>
          <w:rFonts w:ascii="Times New Roman" w:eastAsia="Times New Roman" w:hAnsi="Times New Roman" w:cs="Times New Roman"/>
          <w:kern w:val="0"/>
          <w:sz w:val="22"/>
          <w:szCs w:val="20"/>
          <w14:ligatures w14:val="none"/>
        </w:rPr>
        <w:t>Klaritromicinas</w:t>
      </w:r>
      <w:proofErr w:type="spellEnd"/>
      <w:r w:rsidRPr="00D21DFA">
        <w:rPr>
          <w:rFonts w:ascii="Times New Roman" w:eastAsia="Times New Roman" w:hAnsi="Times New Roman" w:cs="Times New Roman"/>
          <w:kern w:val="0"/>
          <w:sz w:val="22"/>
          <w:szCs w:val="20"/>
          <w14:ligatures w14:val="none"/>
        </w:rPr>
        <w:t xml:space="preserve"> (po 500 mg du kartus per parą), kuris yra P</w:t>
      </w:r>
      <w:r w:rsidRPr="00D21DFA">
        <w:rPr>
          <w:rFonts w:ascii="Times New Roman" w:eastAsia="Times New Roman" w:hAnsi="Times New Roman" w:cs="Times New Roman"/>
          <w:kern w:val="0"/>
          <w:sz w:val="22"/>
          <w:szCs w:val="20"/>
          <w14:ligatures w14:val="none"/>
        </w:rPr>
        <w:noBreakHyphen/>
      </w:r>
      <w:proofErr w:type="spellStart"/>
      <w:r w:rsidRPr="00D21DFA">
        <w:rPr>
          <w:rFonts w:ascii="Times New Roman" w:eastAsia="Times New Roman" w:hAnsi="Times New Roman" w:cs="Times New Roman"/>
          <w:kern w:val="0"/>
          <w:sz w:val="22"/>
          <w:szCs w:val="20"/>
          <w14:ligatures w14:val="none"/>
        </w:rPr>
        <w:t>gp</w:t>
      </w:r>
      <w:proofErr w:type="spellEnd"/>
      <w:r w:rsidRPr="00D21DFA">
        <w:rPr>
          <w:rFonts w:ascii="Times New Roman" w:eastAsia="Times New Roman" w:hAnsi="Times New Roman" w:cs="Times New Roman"/>
          <w:kern w:val="0"/>
          <w:sz w:val="22"/>
          <w:szCs w:val="20"/>
          <w14:ligatures w14:val="none"/>
        </w:rPr>
        <w:t xml:space="preserve"> inhibitorius ir stipraus poveikio CYP3A4 inhibitorius,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vidutinius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padidino atitinkamai </w:t>
      </w:r>
      <w:r w:rsidRPr="00D21DFA">
        <w:rPr>
          <w:rFonts w:ascii="Times New Roman" w:eastAsia="Times New Roman" w:hAnsi="Times New Roman" w:cs="Times New Roman"/>
          <w:kern w:val="0"/>
          <w:sz w:val="22"/>
          <w:szCs w:val="20"/>
          <w14:ligatures w14:val="none"/>
        </w:rPr>
        <w:t xml:space="preserve">1,6 ir 1,3 karto. </w:t>
      </w:r>
    </w:p>
    <w:p w14:paraId="101D5A41"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kern w:val="0"/>
          <w:sz w:val="22"/>
          <w:szCs w:val="20"/>
          <w14:ligatures w14:val="none"/>
        </w:rPr>
      </w:pPr>
    </w:p>
    <w:p w14:paraId="511C387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xml:space="preserve">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w:t>
      </w:r>
      <w:proofErr w:type="spellStart"/>
      <w:r w:rsidRPr="00D21DFA">
        <w:rPr>
          <w:rFonts w:ascii="Times New Roman" w:eastAsia="Times New Roman" w:hAnsi="Times New Roman" w:cs="Times New Roman"/>
          <w:snapToGrid w:val="0"/>
          <w:kern w:val="0"/>
          <w:sz w:val="22"/>
          <w:szCs w:val="20"/>
          <w:u w:val="single"/>
          <w14:ligatures w14:val="none"/>
        </w:rPr>
        <w:t>induktoriai</w:t>
      </w:r>
      <w:proofErr w:type="spellEnd"/>
      <w:r w:rsidRPr="00D21DFA">
        <w:rPr>
          <w:rFonts w:ascii="Times New Roman" w:eastAsia="Times New Roman" w:hAnsi="Times New Roman" w:cs="Times New Roman"/>
          <w:snapToGrid w:val="0"/>
          <w:kern w:val="0"/>
          <w:sz w:val="22"/>
          <w:szCs w:val="20"/>
          <w:u w:val="single"/>
          <w14:ligatures w14:val="none"/>
        </w:rPr>
        <w:t xml:space="preserve"> </w:t>
      </w:r>
    </w:p>
    <w:p w14:paraId="42AE362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060F7C6" w14:textId="7349BD8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induktoriumi</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rifampicinu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vidutiniai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sumažėjo atitinkamai maždaug 54 % ir 42 %.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 kartu su kitais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(pvz.: </w:t>
      </w:r>
      <w:proofErr w:type="spellStart"/>
      <w:r w:rsidRPr="00D21DFA">
        <w:rPr>
          <w:rFonts w:ascii="Times New Roman" w:eastAsia="Times New Roman" w:hAnsi="Times New Roman" w:cs="Times New Roman"/>
          <w:snapToGrid w:val="0"/>
          <w:kern w:val="0"/>
          <w:sz w:val="22"/>
          <w:szCs w:val="20"/>
          <w14:ligatures w14:val="none"/>
        </w:rPr>
        <w:t>fenitoinu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karbamazepinu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fenobarbitaliu</w:t>
      </w:r>
      <w:proofErr w:type="spellEnd"/>
      <w:r w:rsidRPr="00D21DFA">
        <w:rPr>
          <w:rFonts w:ascii="Times New Roman" w:eastAsia="Times New Roman" w:hAnsi="Times New Roman" w:cs="Times New Roman"/>
          <w:snapToGrid w:val="0"/>
          <w:kern w:val="0"/>
          <w:sz w:val="22"/>
          <w:szCs w:val="20"/>
          <w14:ligatures w14:val="none"/>
        </w:rPr>
        <w:t xml:space="preserve"> ar jonažolių </w:t>
      </w:r>
      <w:r w:rsidR="00FA4757" w:rsidRPr="00D21DFA">
        <w:rPr>
          <w:rFonts w:ascii="Times New Roman" w:eastAsia="Times New Roman" w:hAnsi="Times New Roman" w:cs="Times New Roman"/>
          <w:snapToGrid w:val="0"/>
          <w:kern w:val="0"/>
          <w:sz w:val="22"/>
          <w:szCs w:val="20"/>
          <w14:ligatures w14:val="none"/>
        </w:rPr>
        <w:t xml:space="preserve">žolės </w:t>
      </w:r>
      <w:r w:rsidRPr="00D21DFA">
        <w:rPr>
          <w:rFonts w:ascii="Times New Roman" w:eastAsia="Times New Roman" w:hAnsi="Times New Roman" w:cs="Times New Roman"/>
          <w:snapToGrid w:val="0"/>
          <w:kern w:val="0"/>
          <w:sz w:val="22"/>
          <w:szCs w:val="20"/>
          <w14:ligatures w14:val="none"/>
        </w:rPr>
        <w:t xml:space="preserve">vaistiniais preparatais),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koncentracija plazmoje taip pat gali sumažėti. Kartu su šiais vaistiniais preparatais vartojamo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koreguoti nereikia</w:t>
      </w:r>
      <w:r w:rsidR="00CB748A" w:rsidRPr="00D21DFA">
        <w:rPr>
          <w:rFonts w:ascii="Times New Roman" w:eastAsia="Times New Roman" w:hAnsi="Times New Roman" w:cs="Times New Roman"/>
          <w:snapToGrid w:val="0"/>
          <w:kern w:val="0"/>
          <w:sz w:val="22"/>
          <w:szCs w:val="20"/>
          <w14:ligatures w14:val="none"/>
        </w:rPr>
        <w:t>. Vis dėlto</w:t>
      </w:r>
      <w:r w:rsidRPr="00D21DFA">
        <w:rPr>
          <w:rFonts w:ascii="Times New Roman" w:eastAsia="Times New Roman" w:hAnsi="Times New Roman" w:cs="Times New Roman"/>
          <w:snapToGrid w:val="0"/>
          <w:kern w:val="0"/>
          <w:sz w:val="22"/>
          <w:szCs w:val="20"/>
          <w14:ligatures w14:val="none"/>
        </w:rPr>
        <w:t xml:space="preserve">  pacientams, kuriems taikomas gydymas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VTE profilaktikai pacientams, kuriems atliekamos planinės klubo arba kelio sąnario pakeitimo operacijos, insulto ir sisteminės embolijos profilaktikai pacientams, kuriems pasireiškia VNPV bei GVT ir PE pasikartojimo profilaktikai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vartoti atsargiai.</w:t>
      </w:r>
    </w:p>
    <w:p w14:paraId="130E2CD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1DAF9A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GVT ir PE gydymui pacientams, kuriems kartu taikomas sisteminis gydymas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nes veiksmingumas gali būti nepakankamas (žr. 4.4 skyrių).</w:t>
      </w:r>
    </w:p>
    <w:p w14:paraId="68A7D1A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 </w:t>
      </w:r>
    </w:p>
    <w:p w14:paraId="0922118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Antikoaguliantai, trombocitų </w:t>
      </w:r>
      <w:proofErr w:type="spellStart"/>
      <w:r w:rsidRPr="00D21DFA">
        <w:rPr>
          <w:rFonts w:ascii="Times New Roman" w:eastAsia="Times New Roman" w:hAnsi="Times New Roman" w:cs="Times New Roman"/>
          <w:snapToGrid w:val="0"/>
          <w:kern w:val="0"/>
          <w:sz w:val="22"/>
          <w:szCs w:val="20"/>
          <w:u w:val="single"/>
          <w14:ligatures w14:val="none"/>
        </w:rPr>
        <w:t>agregacijos</w:t>
      </w:r>
      <w:proofErr w:type="spellEnd"/>
      <w:r w:rsidRPr="00D21DFA">
        <w:rPr>
          <w:rFonts w:ascii="Times New Roman" w:eastAsia="Times New Roman" w:hAnsi="Times New Roman" w:cs="Times New Roman"/>
          <w:snapToGrid w:val="0"/>
          <w:kern w:val="0"/>
          <w:sz w:val="22"/>
          <w:szCs w:val="20"/>
          <w:u w:val="single"/>
          <w14:ligatures w14:val="none"/>
        </w:rPr>
        <w:t xml:space="preserve"> inhibitoriai, SSRI, SNRI ir NVNU </w:t>
      </w:r>
    </w:p>
    <w:p w14:paraId="7B06AA6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9C3124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Dėl padidėjusios kraujavimo rizikos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negalima vartoti kartu su jokiais kitais antikoaguliantais išskyrus ypatingas sąlygas keičiant gydymą antikoaguliantais, kai </w:t>
      </w:r>
      <w:proofErr w:type="spellStart"/>
      <w:r w:rsidRPr="00D21DFA">
        <w:rPr>
          <w:rFonts w:ascii="Times New Roman" w:eastAsia="Times New Roman" w:hAnsi="Times New Roman" w:cs="Times New Roman"/>
          <w:snapToGrid w:val="0"/>
          <w:kern w:val="0"/>
          <w:sz w:val="22"/>
          <w:szCs w:val="20"/>
          <w14:ligatures w14:val="none"/>
        </w:rPr>
        <w:t>nefrakcionuotas</w:t>
      </w:r>
      <w:proofErr w:type="spellEnd"/>
      <w:r w:rsidRPr="00D21DFA">
        <w:rPr>
          <w:rFonts w:ascii="Times New Roman" w:eastAsia="Times New Roman" w:hAnsi="Times New Roman" w:cs="Times New Roman"/>
          <w:snapToGrid w:val="0"/>
          <w:kern w:val="0"/>
          <w:sz w:val="22"/>
          <w:szCs w:val="20"/>
          <w14:ligatures w14:val="none"/>
        </w:rPr>
        <w:t xml:space="preserve"> heparinas vartojamas tokiomis dozėmis, kurios reikalingos centrinės venos ar arterijos kateterio </w:t>
      </w:r>
      <w:r w:rsidRPr="00D21DFA">
        <w:rPr>
          <w:rFonts w:ascii="Times New Roman" w:eastAsia="Times New Roman" w:hAnsi="Times New Roman" w:cs="Times New Roman"/>
          <w:snapToGrid w:val="0"/>
          <w:kern w:val="0"/>
          <w:sz w:val="22"/>
          <w:szCs w:val="20"/>
          <w14:ligatures w14:val="none"/>
        </w:rPr>
        <w:lastRenderedPageBreak/>
        <w:t xml:space="preserve">praeinamumo palaikymui arba kai </w:t>
      </w:r>
      <w:proofErr w:type="spellStart"/>
      <w:r w:rsidRPr="00D21DFA">
        <w:rPr>
          <w:rFonts w:ascii="Times New Roman" w:eastAsia="Times New Roman" w:hAnsi="Times New Roman" w:cs="Times New Roman"/>
          <w:snapToGrid w:val="0"/>
          <w:kern w:val="0"/>
          <w:sz w:val="22"/>
          <w:szCs w:val="20"/>
          <w14:ligatures w14:val="none"/>
        </w:rPr>
        <w:t>nefrakcionuotas</w:t>
      </w:r>
      <w:proofErr w:type="spellEnd"/>
      <w:r w:rsidRPr="00D21DFA">
        <w:rPr>
          <w:rFonts w:ascii="Times New Roman" w:eastAsia="Times New Roman" w:hAnsi="Times New Roman" w:cs="Times New Roman"/>
          <w:snapToGrid w:val="0"/>
          <w:kern w:val="0"/>
          <w:sz w:val="22"/>
          <w:szCs w:val="20"/>
          <w14:ligatures w14:val="none"/>
        </w:rPr>
        <w:t xml:space="preserve"> heparinas skiriamas prieširdžių virpėjimo </w:t>
      </w:r>
      <w:proofErr w:type="spellStart"/>
      <w:r w:rsidRPr="00D21DFA">
        <w:rPr>
          <w:rFonts w:ascii="Times New Roman" w:eastAsia="Times New Roman" w:hAnsi="Times New Roman" w:cs="Times New Roman"/>
          <w:snapToGrid w:val="0"/>
          <w:kern w:val="0"/>
          <w:sz w:val="22"/>
          <w:szCs w:val="20"/>
          <w14:ligatures w14:val="none"/>
        </w:rPr>
        <w:t>kateterinės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abliacijos</w:t>
      </w:r>
      <w:proofErr w:type="spellEnd"/>
      <w:r w:rsidRPr="00D21DFA">
        <w:rPr>
          <w:rFonts w:ascii="Times New Roman" w:eastAsia="Times New Roman" w:hAnsi="Times New Roman" w:cs="Times New Roman"/>
          <w:snapToGrid w:val="0"/>
          <w:kern w:val="0"/>
          <w:sz w:val="22"/>
          <w:szCs w:val="20"/>
          <w14:ligatures w14:val="none"/>
        </w:rPr>
        <w:t xml:space="preserve"> metu (žr. 4.3 skyrių).</w:t>
      </w:r>
    </w:p>
    <w:p w14:paraId="5BA0C26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4E9B05" w14:textId="74CB3E2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(vienkartinė 40 mg dozė) pavartojimo kartu su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(5 mg vienkartinė dozė), buvo nustatytas adityvus poveikis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aktyvumui. </w:t>
      </w:r>
    </w:p>
    <w:p w14:paraId="7F9DF21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95D766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vieną kartą per parą vartojama 325 mg ASR doze, </w:t>
      </w:r>
      <w:proofErr w:type="spellStart"/>
      <w:r w:rsidRPr="00D21DFA">
        <w:rPr>
          <w:rFonts w:ascii="Times New Roman" w:eastAsia="Times New Roman" w:hAnsi="Times New Roman" w:cs="Times New Roman"/>
          <w:snapToGrid w:val="0"/>
          <w:kern w:val="0"/>
          <w:sz w:val="22"/>
          <w:szCs w:val="20"/>
          <w14:ligatures w14:val="none"/>
        </w:rPr>
        <w:t>farmakokinetinės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farmakodinaminės</w:t>
      </w:r>
      <w:proofErr w:type="spellEnd"/>
      <w:r w:rsidRPr="00D21DFA">
        <w:rPr>
          <w:rFonts w:ascii="Times New Roman" w:eastAsia="Times New Roman" w:hAnsi="Times New Roman" w:cs="Times New Roman"/>
          <w:snapToGrid w:val="0"/>
          <w:kern w:val="0"/>
          <w:sz w:val="22"/>
          <w:szCs w:val="20"/>
          <w14:ligatures w14:val="none"/>
        </w:rPr>
        <w:t xml:space="preserve"> sąveikos nenustatyta. </w:t>
      </w:r>
    </w:p>
    <w:p w14:paraId="41945F0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0D806D" w14:textId="6EF945A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 fazės klinikinių tyrimų metu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w:t>
      </w:r>
      <w:proofErr w:type="spellStart"/>
      <w:r w:rsidRPr="00D21DFA">
        <w:rPr>
          <w:rFonts w:ascii="Times New Roman" w:eastAsia="Times New Roman" w:hAnsi="Times New Roman" w:cs="Times New Roman"/>
          <w:snapToGrid w:val="0"/>
          <w:kern w:val="0"/>
          <w:sz w:val="22"/>
          <w:szCs w:val="20"/>
          <w14:ligatures w14:val="none"/>
        </w:rPr>
        <w:t>klopidogreliu</w:t>
      </w:r>
      <w:proofErr w:type="spellEnd"/>
      <w:r w:rsidRPr="00D21DFA">
        <w:rPr>
          <w:rFonts w:ascii="Times New Roman" w:eastAsia="Times New Roman" w:hAnsi="Times New Roman" w:cs="Times New Roman"/>
          <w:snapToGrid w:val="0"/>
          <w:kern w:val="0"/>
          <w:sz w:val="22"/>
          <w:szCs w:val="20"/>
          <w14:ligatures w14:val="none"/>
        </w:rPr>
        <w:t xml:space="preserve"> (75 mg vieną kartą per parą) arba kartu su vieną kartą per parą vartojamu 75 mg </w:t>
      </w:r>
      <w:proofErr w:type="spellStart"/>
      <w:r w:rsidRPr="00D21DFA">
        <w:rPr>
          <w:rFonts w:ascii="Times New Roman" w:eastAsia="Times New Roman" w:hAnsi="Times New Roman" w:cs="Times New Roman"/>
          <w:snapToGrid w:val="0"/>
          <w:kern w:val="0"/>
          <w:sz w:val="22"/>
          <w:szCs w:val="20"/>
          <w14:ligatures w14:val="none"/>
        </w:rPr>
        <w:t>klopidogrelio</w:t>
      </w:r>
      <w:proofErr w:type="spellEnd"/>
      <w:r w:rsidRPr="00D21DFA">
        <w:rPr>
          <w:rFonts w:ascii="Times New Roman" w:eastAsia="Times New Roman" w:hAnsi="Times New Roman" w:cs="Times New Roman"/>
          <w:snapToGrid w:val="0"/>
          <w:kern w:val="0"/>
          <w:sz w:val="22"/>
          <w:szCs w:val="20"/>
          <w14:ligatures w14:val="none"/>
        </w:rPr>
        <w:t xml:space="preserve"> ir 162 mg ASR deriniu, nenustatyta reikšmingų kraujavimo laiko pailgėjimo arba papildomo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slopinimo, palyginti su trombocitų funkciją slopinančių vaistinių preparatų vartojimu be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Krešėjimo tyrimų (PL, INR ir </w:t>
      </w:r>
      <w:proofErr w:type="spellStart"/>
      <w:r w:rsidRPr="00D21DFA">
        <w:rPr>
          <w:rFonts w:ascii="Times New Roman" w:eastAsia="Times New Roman" w:hAnsi="Times New Roman" w:cs="Times New Roman"/>
          <w:snapToGrid w:val="0"/>
          <w:kern w:val="0"/>
          <w:sz w:val="22"/>
          <w:szCs w:val="20"/>
          <w14:ligatures w14:val="none"/>
        </w:rPr>
        <w:t>aDTL</w:t>
      </w:r>
      <w:proofErr w:type="spellEnd"/>
      <w:r w:rsidRPr="00D21DFA">
        <w:rPr>
          <w:rFonts w:ascii="Times New Roman" w:eastAsia="Times New Roman" w:hAnsi="Times New Roman" w:cs="Times New Roman"/>
          <w:snapToGrid w:val="0"/>
          <w:kern w:val="0"/>
          <w:sz w:val="22"/>
          <w:szCs w:val="20"/>
          <w14:ligatures w14:val="none"/>
        </w:rPr>
        <w:t xml:space="preserve">) rodmenų padidėjimas atitiko </w:t>
      </w:r>
      <w:r w:rsidR="00F07A1A" w:rsidRPr="00D21DFA">
        <w:rPr>
          <w:rFonts w:ascii="Times New Roman" w:eastAsia="Times New Roman" w:hAnsi="Times New Roman" w:cs="Times New Roman"/>
          <w:snapToGrid w:val="0"/>
          <w:kern w:val="0"/>
          <w:sz w:val="22"/>
          <w:szCs w:val="20"/>
          <w14:ligatures w14:val="none"/>
        </w:rPr>
        <w:t>atskirai skiriamo</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poveikį.</w:t>
      </w:r>
    </w:p>
    <w:p w14:paraId="4504D85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5ECA6D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inhibitoriaus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(500 mg) vartojimas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vidutinius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padidino atitinkamai 1,5 karto ir 1,6 karto. Atitinkamai padidėjo su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poveikiu susijusių krešėjimo tyrimų rezultatai.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poveikio </w:t>
      </w:r>
      <w:proofErr w:type="spellStart"/>
      <w:r w:rsidRPr="00D21DFA">
        <w:rPr>
          <w:rFonts w:ascii="Times New Roman" w:eastAsia="Times New Roman" w:hAnsi="Times New Roman" w:cs="Times New Roman"/>
          <w:snapToGrid w:val="0"/>
          <w:kern w:val="0"/>
          <w:sz w:val="22"/>
          <w:szCs w:val="20"/>
          <w14:ligatures w14:val="none"/>
        </w:rPr>
        <w:t>arachidono</w:t>
      </w:r>
      <w:proofErr w:type="spellEnd"/>
      <w:r w:rsidRPr="00D21DFA">
        <w:rPr>
          <w:rFonts w:ascii="Times New Roman" w:eastAsia="Times New Roman" w:hAnsi="Times New Roman" w:cs="Times New Roman"/>
          <w:snapToGrid w:val="0"/>
          <w:kern w:val="0"/>
          <w:sz w:val="22"/>
          <w:szCs w:val="20"/>
          <w14:ligatures w14:val="none"/>
        </w:rPr>
        <w:t xml:space="preserve"> rūgšties sukeltai trombocitų </w:t>
      </w:r>
      <w:proofErr w:type="spellStart"/>
      <w:r w:rsidRPr="00D21DFA">
        <w:rPr>
          <w:rFonts w:ascii="Times New Roman" w:eastAsia="Times New Roman" w:hAnsi="Times New Roman" w:cs="Times New Roman"/>
          <w:snapToGrid w:val="0"/>
          <w:kern w:val="0"/>
          <w:sz w:val="22"/>
          <w:szCs w:val="20"/>
          <w14:ligatures w14:val="none"/>
        </w:rPr>
        <w:t>agregacijai</w:t>
      </w:r>
      <w:proofErr w:type="spellEnd"/>
      <w:r w:rsidRPr="00D21DFA">
        <w:rPr>
          <w:rFonts w:ascii="Times New Roman" w:eastAsia="Times New Roman" w:hAnsi="Times New Roman" w:cs="Times New Roman"/>
          <w:snapToGrid w:val="0"/>
          <w:kern w:val="0"/>
          <w:sz w:val="22"/>
          <w:szCs w:val="20"/>
          <w14:ligatures w14:val="none"/>
        </w:rPr>
        <w:t xml:space="preserve"> pokyčių nenustatyta, taip pat nenustatyta kliniškai reikšmingai pailgėjusio kraujavimo laiko atvejų, 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skiriama kartu su </w:t>
      </w:r>
      <w:proofErr w:type="spellStart"/>
      <w:r w:rsidRPr="00D21DFA">
        <w:rPr>
          <w:rFonts w:ascii="Times New Roman" w:eastAsia="Times New Roman" w:hAnsi="Times New Roman" w:cs="Times New Roman"/>
          <w:snapToGrid w:val="0"/>
          <w:kern w:val="0"/>
          <w:sz w:val="22"/>
          <w:szCs w:val="20"/>
          <w14:ligatures w14:val="none"/>
        </w:rPr>
        <w:t>naproksenu</w:t>
      </w:r>
      <w:proofErr w:type="spellEnd"/>
      <w:r w:rsidRPr="00D21DFA">
        <w:rPr>
          <w:rFonts w:ascii="Times New Roman" w:eastAsia="Times New Roman" w:hAnsi="Times New Roman" w:cs="Times New Roman"/>
          <w:snapToGrid w:val="0"/>
          <w:kern w:val="0"/>
          <w:sz w:val="22"/>
          <w:szCs w:val="20"/>
          <w14:ligatures w14:val="none"/>
        </w:rPr>
        <w:t xml:space="preserve">. </w:t>
      </w:r>
    </w:p>
    <w:p w14:paraId="42C8B3F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8ADA16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Nepaisant šių duomenų, kartu su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vartojant trombocitų </w:t>
      </w:r>
      <w:proofErr w:type="spellStart"/>
      <w:r w:rsidRPr="00D21DFA">
        <w:rPr>
          <w:rFonts w:ascii="Times New Roman" w:eastAsia="Times New Roman" w:hAnsi="Times New Roman" w:cs="Times New Roman"/>
          <w:snapToGrid w:val="0"/>
          <w:kern w:val="0"/>
          <w:sz w:val="22"/>
          <w:szCs w:val="20"/>
          <w14:ligatures w14:val="none"/>
        </w:rPr>
        <w:t>agregaciją</w:t>
      </w:r>
      <w:proofErr w:type="spellEnd"/>
      <w:r w:rsidRPr="00D21DFA">
        <w:rPr>
          <w:rFonts w:ascii="Times New Roman" w:eastAsia="Times New Roman" w:hAnsi="Times New Roman" w:cs="Times New Roman"/>
          <w:snapToGrid w:val="0"/>
          <w:kern w:val="0"/>
          <w:sz w:val="22"/>
          <w:szCs w:val="20"/>
          <w14:ligatures w14:val="none"/>
        </w:rPr>
        <w:t xml:space="preserve"> slopinančių vaistinių preparatų kai kuriems asmenims gali pasireikšti ryškesnis </w:t>
      </w:r>
      <w:proofErr w:type="spellStart"/>
      <w:r w:rsidRPr="00D21DFA">
        <w:rPr>
          <w:rFonts w:ascii="Times New Roman" w:eastAsia="Times New Roman" w:hAnsi="Times New Roman" w:cs="Times New Roman"/>
          <w:snapToGrid w:val="0"/>
          <w:kern w:val="0"/>
          <w:sz w:val="22"/>
          <w:szCs w:val="20"/>
          <w14:ligatures w14:val="none"/>
        </w:rPr>
        <w:t>farmakodinaminis</w:t>
      </w:r>
      <w:proofErr w:type="spellEnd"/>
      <w:r w:rsidRPr="00D21DFA">
        <w:rPr>
          <w:rFonts w:ascii="Times New Roman" w:eastAsia="Times New Roman" w:hAnsi="Times New Roman" w:cs="Times New Roman"/>
          <w:snapToGrid w:val="0"/>
          <w:kern w:val="0"/>
          <w:sz w:val="22"/>
          <w:szCs w:val="20"/>
          <w14:ligatures w14:val="none"/>
        </w:rPr>
        <w:t xml:space="preserve"> poveikis.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atsargiai vartoti kartu su SSRI arba SNRI, NVNU, ASR ir (arba) P2Y2 inhibitoriais, kadangi šie vaistiniai preparatai paprastai didina kraujavimo riziką (žr. 4.4 skyrių). </w:t>
      </w:r>
    </w:p>
    <w:p w14:paraId="281540D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6429F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Apie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kartu su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inhibitoriais (tokiais, kaip </w:t>
      </w:r>
      <w:proofErr w:type="spellStart"/>
      <w:r w:rsidRPr="00D21DFA">
        <w:rPr>
          <w:rFonts w:ascii="Times New Roman" w:eastAsia="Times New Roman" w:hAnsi="Times New Roman" w:cs="Times New Roman"/>
          <w:snapToGrid w:val="0"/>
          <w:kern w:val="0"/>
          <w:sz w:val="22"/>
          <w:szCs w:val="20"/>
          <w14:ligatures w14:val="none"/>
        </w:rPr>
        <w:t>GPIIb</w:t>
      </w:r>
      <w:proofErr w:type="spellEnd"/>
      <w:r w:rsidRPr="00D21DFA">
        <w:rPr>
          <w:rFonts w:ascii="Times New Roman" w:eastAsia="Times New Roman" w:hAnsi="Times New Roman" w:cs="Times New Roman"/>
          <w:snapToGrid w:val="0"/>
          <w:kern w:val="0"/>
          <w:sz w:val="22"/>
          <w:szCs w:val="20"/>
          <w14:ligatures w14:val="none"/>
        </w:rPr>
        <w:t xml:space="preserve"> / </w:t>
      </w:r>
      <w:proofErr w:type="spellStart"/>
      <w:r w:rsidRPr="00D21DFA">
        <w:rPr>
          <w:rFonts w:ascii="Times New Roman" w:eastAsia="Times New Roman" w:hAnsi="Times New Roman" w:cs="Times New Roman"/>
          <w:snapToGrid w:val="0"/>
          <w:kern w:val="0"/>
          <w:sz w:val="22"/>
          <w:szCs w:val="20"/>
          <w14:ligatures w14:val="none"/>
        </w:rPr>
        <w:t>IIIa</w:t>
      </w:r>
      <w:proofErr w:type="spellEnd"/>
      <w:r w:rsidRPr="00D21DFA">
        <w:rPr>
          <w:rFonts w:ascii="Times New Roman" w:eastAsia="Times New Roman" w:hAnsi="Times New Roman" w:cs="Times New Roman"/>
          <w:snapToGrid w:val="0"/>
          <w:kern w:val="0"/>
          <w:sz w:val="22"/>
          <w:szCs w:val="20"/>
          <w14:ligatures w14:val="none"/>
        </w:rPr>
        <w:t xml:space="preserve"> receptorių antagonistai, </w:t>
      </w:r>
      <w:proofErr w:type="spellStart"/>
      <w:r w:rsidRPr="00D21DFA">
        <w:rPr>
          <w:rFonts w:ascii="Times New Roman" w:eastAsia="Times New Roman" w:hAnsi="Times New Roman" w:cs="Times New Roman"/>
          <w:snapToGrid w:val="0"/>
          <w:kern w:val="0"/>
          <w:sz w:val="22"/>
          <w:szCs w:val="20"/>
          <w14:ligatures w14:val="none"/>
        </w:rPr>
        <w:t>dipiridamolis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dekstranas</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sulfinpirazonas</w:t>
      </w:r>
      <w:proofErr w:type="spellEnd"/>
      <w:r w:rsidRPr="00D21DFA">
        <w:rPr>
          <w:rFonts w:ascii="Times New Roman" w:eastAsia="Times New Roman" w:hAnsi="Times New Roman" w:cs="Times New Roman"/>
          <w:snapToGrid w:val="0"/>
          <w:kern w:val="0"/>
          <w:sz w:val="22"/>
          <w:szCs w:val="20"/>
          <w14:ligatures w14:val="none"/>
        </w:rPr>
        <w:t xml:space="preserve">) arba </w:t>
      </w:r>
      <w:proofErr w:type="spellStart"/>
      <w:r w:rsidRPr="00D21DFA">
        <w:rPr>
          <w:rFonts w:ascii="Times New Roman" w:eastAsia="Times New Roman" w:hAnsi="Times New Roman" w:cs="Times New Roman"/>
          <w:snapToGrid w:val="0"/>
          <w:kern w:val="0"/>
          <w:sz w:val="22"/>
          <w:szCs w:val="20"/>
          <w14:ligatures w14:val="none"/>
        </w:rPr>
        <w:t>tromboliziniais</w:t>
      </w:r>
      <w:proofErr w:type="spellEnd"/>
      <w:r w:rsidRPr="00D21DFA">
        <w:rPr>
          <w:rFonts w:ascii="Times New Roman" w:eastAsia="Times New Roman" w:hAnsi="Times New Roman" w:cs="Times New Roman"/>
          <w:snapToGrid w:val="0"/>
          <w:kern w:val="0"/>
          <w:sz w:val="22"/>
          <w:szCs w:val="20"/>
          <w14:ligatures w14:val="none"/>
        </w:rPr>
        <w:t xml:space="preserve"> vaistiniais preparatais patirties yra nedaug (žr. 4.4 skyrių). </w:t>
      </w:r>
    </w:p>
    <w:p w14:paraId="67AB416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0AA024" w14:textId="0EA26267" w:rsidR="00410D0B" w:rsidRPr="00D21DFA" w:rsidRDefault="00410D0B" w:rsidP="00410D0B">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CV185325 metu 12 pacientų vaikų, kurie vienu metu buvo gydomi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ir ASR ≤ 165 mg per parą, kliniškai svarbių kraujavimo reiškinių nenustatyta.</w:t>
      </w:r>
    </w:p>
    <w:p w14:paraId="5D0C5369" w14:textId="77777777" w:rsidR="00410D0B" w:rsidRPr="00D21DFA" w:rsidRDefault="00410D0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F9B1C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Kiti kartu vartojami vaistiniai preparatai </w:t>
      </w:r>
    </w:p>
    <w:p w14:paraId="1925646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A897FB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w:t>
      </w:r>
      <w:proofErr w:type="spellStart"/>
      <w:r w:rsidRPr="00D21DFA">
        <w:rPr>
          <w:rFonts w:ascii="Times New Roman" w:eastAsia="Times New Roman" w:hAnsi="Times New Roman" w:cs="Times New Roman"/>
          <w:snapToGrid w:val="0"/>
          <w:kern w:val="0"/>
          <w:sz w:val="22"/>
          <w:szCs w:val="20"/>
          <w14:ligatures w14:val="none"/>
        </w:rPr>
        <w:t>atenololiu</w:t>
      </w:r>
      <w:proofErr w:type="spellEnd"/>
      <w:r w:rsidRPr="00D21DFA">
        <w:rPr>
          <w:rFonts w:ascii="Times New Roman" w:eastAsia="Times New Roman" w:hAnsi="Times New Roman" w:cs="Times New Roman"/>
          <w:snapToGrid w:val="0"/>
          <w:kern w:val="0"/>
          <w:sz w:val="22"/>
          <w:szCs w:val="20"/>
          <w14:ligatures w14:val="none"/>
        </w:rPr>
        <w:t xml:space="preserve"> arba </w:t>
      </w:r>
      <w:proofErr w:type="spellStart"/>
      <w:r w:rsidRPr="00D21DFA">
        <w:rPr>
          <w:rFonts w:ascii="Times New Roman" w:eastAsia="Times New Roman" w:hAnsi="Times New Roman" w:cs="Times New Roman"/>
          <w:snapToGrid w:val="0"/>
          <w:kern w:val="0"/>
          <w:sz w:val="22"/>
          <w:szCs w:val="20"/>
          <w14:ligatures w14:val="none"/>
        </w:rPr>
        <w:t>famotidinu</w:t>
      </w:r>
      <w:proofErr w:type="spellEnd"/>
      <w:r w:rsidRPr="00D21DFA">
        <w:rPr>
          <w:rFonts w:ascii="Times New Roman" w:eastAsia="Times New Roman" w:hAnsi="Times New Roman" w:cs="Times New Roman"/>
          <w:snapToGrid w:val="0"/>
          <w:kern w:val="0"/>
          <w:sz w:val="22"/>
          <w:szCs w:val="20"/>
          <w14:ligatures w14:val="none"/>
        </w:rPr>
        <w:t xml:space="preserve">, kliniškai reikšmingos </w:t>
      </w:r>
      <w:proofErr w:type="spellStart"/>
      <w:r w:rsidRPr="00D21DFA">
        <w:rPr>
          <w:rFonts w:ascii="Times New Roman" w:eastAsia="Times New Roman" w:hAnsi="Times New Roman" w:cs="Times New Roman"/>
          <w:snapToGrid w:val="0"/>
          <w:kern w:val="0"/>
          <w:sz w:val="22"/>
          <w:szCs w:val="20"/>
          <w14:ligatures w14:val="none"/>
        </w:rPr>
        <w:t>farmakokinetinės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farmakodinaminės</w:t>
      </w:r>
      <w:proofErr w:type="spellEnd"/>
      <w:r w:rsidRPr="00D21DFA">
        <w:rPr>
          <w:rFonts w:ascii="Times New Roman" w:eastAsia="Times New Roman" w:hAnsi="Times New Roman" w:cs="Times New Roman"/>
          <w:snapToGrid w:val="0"/>
          <w:kern w:val="0"/>
          <w:sz w:val="22"/>
          <w:szCs w:val="20"/>
          <w14:ligatures w14:val="none"/>
        </w:rPr>
        <w:t xml:space="preserve"> sąveikos nenustatyta.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10 mg dozę skiriant kartu su 100 mg </w:t>
      </w:r>
      <w:proofErr w:type="spellStart"/>
      <w:r w:rsidRPr="00D21DFA">
        <w:rPr>
          <w:rFonts w:ascii="Times New Roman" w:eastAsia="Times New Roman" w:hAnsi="Times New Roman" w:cs="Times New Roman"/>
          <w:snapToGrid w:val="0"/>
          <w:kern w:val="0"/>
          <w:sz w:val="22"/>
          <w:szCs w:val="20"/>
          <w14:ligatures w14:val="none"/>
        </w:rPr>
        <w:t>atenololio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farmakokinetika kliniškai reikšmingai nepakito. Šių abiejų vaistinių preparatų vartojant kartu,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vidutiniai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buvo atitinkamai 15 % ir 18 % mažesni nei skiriant vieno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10 mg dozę skiriant kartu su 40 mg </w:t>
      </w:r>
      <w:proofErr w:type="spellStart"/>
      <w:r w:rsidRPr="00D21DFA">
        <w:rPr>
          <w:rFonts w:ascii="Times New Roman" w:eastAsia="Times New Roman" w:hAnsi="Times New Roman" w:cs="Times New Roman"/>
          <w:snapToGrid w:val="0"/>
          <w:kern w:val="0"/>
          <w:sz w:val="22"/>
          <w:szCs w:val="20"/>
          <w14:ligatures w14:val="none"/>
        </w:rPr>
        <w:t>famotidino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nepakito. </w:t>
      </w:r>
    </w:p>
    <w:p w14:paraId="17F6319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AD9C6C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Apiksabano</w:t>
      </w:r>
      <w:proofErr w:type="spellEnd"/>
      <w:r w:rsidRPr="00D21DFA">
        <w:rPr>
          <w:rFonts w:ascii="Times New Roman" w:eastAsia="Times New Roman" w:hAnsi="Times New Roman" w:cs="Times New Roman"/>
          <w:snapToGrid w:val="0"/>
          <w:kern w:val="0"/>
          <w:sz w:val="22"/>
          <w:szCs w:val="20"/>
          <w:u w:val="single"/>
          <w14:ligatures w14:val="none"/>
        </w:rPr>
        <w:t xml:space="preserve"> poveikis kitiems vaistiniams preparatams </w:t>
      </w:r>
    </w:p>
    <w:p w14:paraId="6FAB6D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EA7C833" w14:textId="6BF1EE8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In</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vitro</w:t>
      </w:r>
      <w:proofErr w:type="spellEnd"/>
      <w:r w:rsidRPr="00D21DFA">
        <w:rPr>
          <w:rFonts w:ascii="Times New Roman" w:eastAsia="Times New Roman" w:hAnsi="Times New Roman" w:cs="Times New Roman"/>
          <w:snapToGrid w:val="0"/>
          <w:kern w:val="0"/>
          <w:sz w:val="22"/>
          <w:szCs w:val="20"/>
          <w14:ligatures w14:val="none"/>
        </w:rPr>
        <w:t xml:space="preserve"> tyrimų metu 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neslopina CYP1A2, CYP2A6, CYP2B6, CYP2C8, CYP2C9, CYP2D6 ar CYP3A4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aktyvumo (IC50 &gt; 45 µM) ir silpnai slopina CYP2C19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aktyvumą (IC50 &gt; 20 µM), kai vaistinio preparato koncentracija yra reikšmingai didesnė nei pacientams nustatyta didžiausia koncentracija plazmoje.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neindukavo CYP1A2, CYP2B6, CYP3A4/5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kai jo koncentracija buvo iki 20 µM. Todėl nesitikima,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keistų kartu vartojamų ir minėtų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metabolizuojamų</w:t>
      </w:r>
      <w:proofErr w:type="spellEnd"/>
      <w:r w:rsidRPr="00D21DFA">
        <w:rPr>
          <w:rFonts w:ascii="Times New Roman" w:eastAsia="Times New Roman" w:hAnsi="Times New Roman" w:cs="Times New Roman"/>
          <w:snapToGrid w:val="0"/>
          <w:kern w:val="0"/>
          <w:sz w:val="22"/>
          <w:szCs w:val="20"/>
          <w14:ligatures w14:val="none"/>
        </w:rPr>
        <w:t xml:space="preserve"> vaistinių preparatų metaboli</w:t>
      </w:r>
      <w:r w:rsidR="000469C7" w:rsidRPr="00D21DFA">
        <w:rPr>
          <w:rFonts w:ascii="Times New Roman" w:eastAsia="Times New Roman" w:hAnsi="Times New Roman" w:cs="Times New Roman"/>
          <w:snapToGrid w:val="0"/>
          <w:kern w:val="0"/>
          <w:sz w:val="22"/>
          <w:szCs w:val="20"/>
          <w14:ligatures w14:val="none"/>
        </w:rPr>
        <w:t>tų</w:t>
      </w:r>
      <w:r w:rsidRPr="00D21DFA">
        <w:rPr>
          <w:rFonts w:ascii="Times New Roman" w:eastAsia="Times New Roman" w:hAnsi="Times New Roman" w:cs="Times New Roman"/>
          <w:snapToGrid w:val="0"/>
          <w:kern w:val="0"/>
          <w:sz w:val="22"/>
          <w:szCs w:val="20"/>
          <w14:ligatures w14:val="none"/>
        </w:rPr>
        <w:t xml:space="preserve"> klirensą.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reikšmingai neslopina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
    <w:p w14:paraId="25B80A0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06626B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Su sveikais savanoriais atliktų tyrimų duomenimis, kaip nurodyta toliau,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reikšmingai nekeitė </w:t>
      </w:r>
      <w:proofErr w:type="spellStart"/>
      <w:r w:rsidRPr="00D21DFA">
        <w:rPr>
          <w:rFonts w:ascii="Times New Roman" w:eastAsia="Times New Roman" w:hAnsi="Times New Roman" w:cs="Times New Roman"/>
          <w:snapToGrid w:val="0"/>
          <w:kern w:val="0"/>
          <w:sz w:val="22"/>
          <w:szCs w:val="20"/>
          <w14:ligatures w14:val="none"/>
        </w:rPr>
        <w:t>digoksino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atenololio</w:t>
      </w:r>
      <w:proofErr w:type="spellEnd"/>
      <w:r w:rsidRPr="00D21DFA">
        <w:rPr>
          <w:rFonts w:ascii="Times New Roman" w:eastAsia="Times New Roman" w:hAnsi="Times New Roman" w:cs="Times New Roman"/>
          <w:snapToGrid w:val="0"/>
          <w:kern w:val="0"/>
          <w:sz w:val="22"/>
          <w:szCs w:val="20"/>
          <w14:ligatures w14:val="none"/>
        </w:rPr>
        <w:t xml:space="preserve"> farmakokinetikos. </w:t>
      </w:r>
    </w:p>
    <w:p w14:paraId="09E7B8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8AFEC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Digoksinas</w:t>
      </w:r>
      <w:proofErr w:type="spellEnd"/>
      <w:r w:rsidRPr="00D21DFA">
        <w:rPr>
          <w:rFonts w:ascii="Times New Roman" w:eastAsia="Times New Roman" w:hAnsi="Times New Roman" w:cs="Times New Roman"/>
          <w:snapToGrid w:val="0"/>
          <w:kern w:val="0"/>
          <w:sz w:val="22"/>
          <w:szCs w:val="20"/>
          <w14:ligatures w14:val="none"/>
        </w:rPr>
        <w:t xml:space="preserve"> </w:t>
      </w:r>
    </w:p>
    <w:p w14:paraId="045D71F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Kartu skiriant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(20 mg vieną kartą per parą)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substrato </w:t>
      </w:r>
      <w:proofErr w:type="spellStart"/>
      <w:r w:rsidRPr="00D21DFA">
        <w:rPr>
          <w:rFonts w:ascii="Times New Roman" w:eastAsia="Times New Roman" w:hAnsi="Times New Roman" w:cs="Times New Roman"/>
          <w:snapToGrid w:val="0"/>
          <w:kern w:val="0"/>
          <w:sz w:val="22"/>
          <w:szCs w:val="20"/>
          <w14:ligatures w14:val="none"/>
        </w:rPr>
        <w:t>digoksino</w:t>
      </w:r>
      <w:proofErr w:type="spellEnd"/>
      <w:r w:rsidRPr="00D21DFA">
        <w:rPr>
          <w:rFonts w:ascii="Times New Roman" w:eastAsia="Times New Roman" w:hAnsi="Times New Roman" w:cs="Times New Roman"/>
          <w:snapToGrid w:val="0"/>
          <w:kern w:val="0"/>
          <w:sz w:val="22"/>
          <w:szCs w:val="20"/>
          <w14:ligatures w14:val="none"/>
        </w:rPr>
        <w:t xml:space="preserve"> (0,25 mg vieną kartą per parą), </w:t>
      </w:r>
      <w:proofErr w:type="spellStart"/>
      <w:r w:rsidRPr="00D21DFA">
        <w:rPr>
          <w:rFonts w:ascii="Times New Roman" w:eastAsia="Times New Roman" w:hAnsi="Times New Roman" w:cs="Times New Roman"/>
          <w:snapToGrid w:val="0"/>
          <w:kern w:val="0"/>
          <w:sz w:val="22"/>
          <w:szCs w:val="20"/>
          <w14:ligatures w14:val="none"/>
        </w:rPr>
        <w:t>digoksino</w:t>
      </w:r>
      <w:proofErr w:type="spellEnd"/>
      <w:r w:rsidRPr="00D21DFA">
        <w:rPr>
          <w:rFonts w:ascii="Times New Roman" w:eastAsia="Times New Roman" w:hAnsi="Times New Roman" w:cs="Times New Roman"/>
          <w:snapToGrid w:val="0"/>
          <w:kern w:val="0"/>
          <w:sz w:val="22"/>
          <w:szCs w:val="20"/>
          <w14:ligatures w14:val="none"/>
        </w:rPr>
        <w:t xml:space="preserve"> AUC ar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nepakito. Taigi,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neslopina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veikiamų substratų pernašos. </w:t>
      </w:r>
    </w:p>
    <w:p w14:paraId="0FE9B76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2D6D0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Naproksenas</w:t>
      </w:r>
      <w:proofErr w:type="spellEnd"/>
      <w:r w:rsidRPr="00D21DFA">
        <w:rPr>
          <w:rFonts w:ascii="Times New Roman" w:eastAsia="Times New Roman" w:hAnsi="Times New Roman" w:cs="Times New Roman"/>
          <w:i/>
          <w:snapToGrid w:val="0"/>
          <w:kern w:val="0"/>
          <w:sz w:val="22"/>
          <w:szCs w:val="20"/>
          <w14:ligatures w14:val="none"/>
        </w:rPr>
        <w:t xml:space="preserve"> </w:t>
      </w:r>
    </w:p>
    <w:p w14:paraId="2DBD002F" w14:textId="3B57DF2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Vienkartinę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(10 mg) skiriant kartu su dažnai vartojamu NVNU </w:t>
      </w:r>
      <w:proofErr w:type="spellStart"/>
      <w:r w:rsidRPr="00D21DFA">
        <w:rPr>
          <w:rFonts w:ascii="Times New Roman" w:eastAsia="Times New Roman" w:hAnsi="Times New Roman" w:cs="Times New Roman"/>
          <w:snapToGrid w:val="0"/>
          <w:kern w:val="0"/>
          <w:sz w:val="22"/>
          <w:szCs w:val="20"/>
          <w14:ligatures w14:val="none"/>
        </w:rPr>
        <w:t>naproksenu</w:t>
      </w:r>
      <w:proofErr w:type="spellEnd"/>
      <w:r w:rsidRPr="00D21DFA">
        <w:rPr>
          <w:rFonts w:ascii="Times New Roman" w:eastAsia="Times New Roman" w:hAnsi="Times New Roman" w:cs="Times New Roman"/>
          <w:snapToGrid w:val="0"/>
          <w:kern w:val="0"/>
          <w:sz w:val="22"/>
          <w:szCs w:val="20"/>
          <w14:ligatures w14:val="none"/>
        </w:rPr>
        <w:t xml:space="preserve"> (500 mg),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nepakito. </w:t>
      </w:r>
    </w:p>
    <w:p w14:paraId="46BCE5F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7CEF4D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Atenololis</w:t>
      </w:r>
      <w:proofErr w:type="spellEnd"/>
      <w:r w:rsidRPr="00D21DFA">
        <w:rPr>
          <w:rFonts w:ascii="Times New Roman" w:eastAsia="Times New Roman" w:hAnsi="Times New Roman" w:cs="Times New Roman"/>
          <w:i/>
          <w:snapToGrid w:val="0"/>
          <w:kern w:val="0"/>
          <w:sz w:val="22"/>
          <w:szCs w:val="20"/>
          <w14:ligatures w14:val="none"/>
        </w:rPr>
        <w:t xml:space="preserve"> </w:t>
      </w:r>
    </w:p>
    <w:p w14:paraId="3994D51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Vienkartinę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(10 mg) skiriant kartu su dažnai vartojamu beta </w:t>
      </w:r>
      <w:proofErr w:type="spellStart"/>
      <w:r w:rsidRPr="00D21DFA">
        <w:rPr>
          <w:rFonts w:ascii="Times New Roman" w:eastAsia="Times New Roman" w:hAnsi="Times New Roman" w:cs="Times New Roman"/>
          <w:snapToGrid w:val="0"/>
          <w:kern w:val="0"/>
          <w:sz w:val="22"/>
          <w:szCs w:val="20"/>
          <w14:ligatures w14:val="none"/>
        </w:rPr>
        <w:t>adrenoreceptorių</w:t>
      </w:r>
      <w:proofErr w:type="spellEnd"/>
      <w:r w:rsidRPr="00D21DFA">
        <w:rPr>
          <w:rFonts w:ascii="Times New Roman" w:eastAsia="Times New Roman" w:hAnsi="Times New Roman" w:cs="Times New Roman"/>
          <w:snapToGrid w:val="0"/>
          <w:kern w:val="0"/>
          <w:sz w:val="22"/>
          <w:szCs w:val="20"/>
          <w14:ligatures w14:val="none"/>
        </w:rPr>
        <w:t xml:space="preserve"> blokatoriumi </w:t>
      </w:r>
      <w:proofErr w:type="spellStart"/>
      <w:r w:rsidRPr="00D21DFA">
        <w:rPr>
          <w:rFonts w:ascii="Times New Roman" w:eastAsia="Times New Roman" w:hAnsi="Times New Roman" w:cs="Times New Roman"/>
          <w:snapToGrid w:val="0"/>
          <w:kern w:val="0"/>
          <w:sz w:val="22"/>
          <w:szCs w:val="20"/>
          <w14:ligatures w14:val="none"/>
        </w:rPr>
        <w:t>atenololiu</w:t>
      </w:r>
      <w:proofErr w:type="spellEnd"/>
      <w:r w:rsidRPr="00D21DFA">
        <w:rPr>
          <w:rFonts w:ascii="Times New Roman" w:eastAsia="Times New Roman" w:hAnsi="Times New Roman" w:cs="Times New Roman"/>
          <w:snapToGrid w:val="0"/>
          <w:kern w:val="0"/>
          <w:sz w:val="22"/>
          <w:szCs w:val="20"/>
          <w14:ligatures w14:val="none"/>
        </w:rPr>
        <w:t xml:space="preserve"> (100 mg), </w:t>
      </w:r>
      <w:proofErr w:type="spellStart"/>
      <w:r w:rsidRPr="00D21DFA">
        <w:rPr>
          <w:rFonts w:ascii="Times New Roman" w:eastAsia="Times New Roman" w:hAnsi="Times New Roman" w:cs="Times New Roman"/>
          <w:snapToGrid w:val="0"/>
          <w:kern w:val="0"/>
          <w:sz w:val="22"/>
          <w:szCs w:val="20"/>
          <w14:ligatures w14:val="none"/>
        </w:rPr>
        <w:t>atenololio</w:t>
      </w:r>
      <w:proofErr w:type="spellEnd"/>
      <w:r w:rsidRPr="00D21DFA">
        <w:rPr>
          <w:rFonts w:ascii="Times New Roman" w:eastAsia="Times New Roman" w:hAnsi="Times New Roman" w:cs="Times New Roman"/>
          <w:snapToGrid w:val="0"/>
          <w:kern w:val="0"/>
          <w:sz w:val="22"/>
          <w:szCs w:val="20"/>
          <w14:ligatures w14:val="none"/>
        </w:rPr>
        <w:t xml:space="preserve"> farmakokinetika nepakito. </w:t>
      </w:r>
    </w:p>
    <w:p w14:paraId="1DBEE7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B11EE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Aktyvintoji anglis </w:t>
      </w:r>
    </w:p>
    <w:p w14:paraId="08FB625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p>
    <w:p w14:paraId="2EF8054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Aktyvintosios anglies vartojimas mažina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ekspoziciją (žr. 4.9 skyrių).</w:t>
      </w:r>
    </w:p>
    <w:p w14:paraId="7BEE9F8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C0E0443" w14:textId="77777777" w:rsidR="004C6201" w:rsidRPr="00AD1A35"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AD1A35">
        <w:rPr>
          <w:rFonts w:ascii="Times New Roman" w:eastAsia="Times New Roman" w:hAnsi="Times New Roman" w:cs="Times New Roman"/>
          <w:snapToGrid w:val="0"/>
          <w:kern w:val="0"/>
          <w:sz w:val="22"/>
          <w:u w:val="single"/>
          <w14:ligatures w14:val="none"/>
        </w:rPr>
        <w:t>Vaikų populiacija</w:t>
      </w:r>
    </w:p>
    <w:p w14:paraId="0107B945" w14:textId="77777777" w:rsidR="004C6201" w:rsidRPr="00D21DFA"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0C63410" w14:textId="42959F29" w:rsidR="004C6201" w:rsidRPr="00D21DFA"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Sąveikos tyrimai su pacientais vaikais neatlikti.</w:t>
      </w:r>
    </w:p>
    <w:p w14:paraId="0A7EE376" w14:textId="77777777" w:rsidR="004C6201" w:rsidRPr="00D21DFA"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450A463" w14:textId="51A56834" w:rsidR="004C6201" w:rsidRPr="00D21DFA"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Pirmiau nurodyti sąveikos duomenys buvo gauti vertinant suaugusiuosius, todėl reikia atsižvelgti į 4.4 skyriuje pateiktus įspėjimus gydant vaikų populiacijos pacientus.</w:t>
      </w:r>
    </w:p>
    <w:p w14:paraId="79F57D68"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C6ABCC3" w14:textId="77777777" w:rsidR="00C95D96" w:rsidRPr="00D21DFA" w:rsidRDefault="00C95D96" w:rsidP="00700C7F">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4.6</w:t>
      </w:r>
      <w:r w:rsidRPr="00D21DFA">
        <w:rPr>
          <w:rFonts w:ascii="Times New Roman" w:eastAsia="Times New Roman" w:hAnsi="Times New Roman" w:cs="Times New Roman"/>
          <w:b/>
          <w:bCs/>
          <w:snapToGrid w:val="0"/>
          <w:kern w:val="0"/>
          <w:sz w:val="22"/>
          <w:szCs w:val="28"/>
          <w:lang w:eastAsia="x-none"/>
          <w14:ligatures w14:val="none"/>
        </w:rPr>
        <w:tab/>
        <w:t>Vaisingumas, nėštumo ir žindymo laikotarpis</w:t>
      </w:r>
    </w:p>
    <w:p w14:paraId="75D839A9" w14:textId="77777777" w:rsidR="00C95D96" w:rsidRPr="00D21DFA"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14:ligatures w14:val="none"/>
        </w:rPr>
      </w:pPr>
    </w:p>
    <w:p w14:paraId="03290AC6" w14:textId="77777777" w:rsidR="00C95D96" w:rsidRPr="00D21DFA" w:rsidRDefault="00C95D96" w:rsidP="00700C7F">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Nėštumas </w:t>
      </w:r>
    </w:p>
    <w:p w14:paraId="588F0381" w14:textId="77777777" w:rsidR="00C95D96" w:rsidRPr="00D21DFA" w:rsidRDefault="00C95D96" w:rsidP="00700C7F">
      <w:pPr>
        <w:keepNext/>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18640D7" w14:textId="35187A4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Duomenų apie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nėštumo metu nėra. Tyrimai su gyvūnais tiesioginio ar netiesioginio kenksmingo toksinio poveikio reprodukcijai neparodė (žr. 5.3 skyrių). Dėl atsargumo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vartojimo nėštumo metu geriau </w:t>
      </w:r>
      <w:r w:rsidR="004B6256" w:rsidRPr="00D21DFA">
        <w:rPr>
          <w:rFonts w:ascii="Times New Roman" w:eastAsia="Times New Roman" w:hAnsi="Times New Roman" w:cs="Times New Roman"/>
          <w:snapToGrid w:val="0"/>
          <w:kern w:val="0"/>
          <w:sz w:val="22"/>
          <w:szCs w:val="20"/>
          <w14:ligatures w14:val="none"/>
        </w:rPr>
        <w:t>nevartoti</w:t>
      </w:r>
      <w:r w:rsidRPr="00D21DFA">
        <w:rPr>
          <w:rFonts w:ascii="Times New Roman" w:eastAsia="Times New Roman" w:hAnsi="Times New Roman" w:cs="Times New Roman"/>
          <w:snapToGrid w:val="0"/>
          <w:kern w:val="0"/>
          <w:sz w:val="22"/>
          <w:szCs w:val="20"/>
          <w14:ligatures w14:val="none"/>
        </w:rPr>
        <w:t xml:space="preserve">. </w:t>
      </w:r>
    </w:p>
    <w:p w14:paraId="16721B7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94C09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Žindymas </w:t>
      </w:r>
    </w:p>
    <w:p w14:paraId="0FADE2E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CE55E11" w14:textId="6F00520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Nežinoma, ar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 jo metabolitų </w:t>
      </w:r>
      <w:r w:rsidR="004D7DD0" w:rsidRPr="00D21DFA">
        <w:rPr>
          <w:rFonts w:ascii="Times New Roman" w:eastAsia="Times New Roman" w:hAnsi="Times New Roman" w:cs="Times New Roman"/>
          <w:snapToGrid w:val="0"/>
          <w:kern w:val="0"/>
          <w:sz w:val="22"/>
          <w:szCs w:val="20"/>
          <w14:ligatures w14:val="none"/>
        </w:rPr>
        <w:t>išsiskiria į gydytų moterų pieną</w:t>
      </w:r>
      <w:r w:rsidRPr="00D21DFA">
        <w:rPr>
          <w:rFonts w:ascii="Times New Roman" w:eastAsia="Times New Roman" w:hAnsi="Times New Roman" w:cs="Times New Roman"/>
          <w:snapToGrid w:val="0"/>
          <w:kern w:val="0"/>
          <w:sz w:val="22"/>
          <w:szCs w:val="20"/>
          <w14:ligatures w14:val="none"/>
        </w:rPr>
        <w:t>. Esami tyrimų su gyvūnais duomenys rodo</w:t>
      </w:r>
      <w:r w:rsidR="00303C51" w:rsidRPr="00D21DFA">
        <w:rPr>
          <w:rFonts w:ascii="Times New Roman" w:eastAsia="Times New Roman" w:hAnsi="Times New Roman" w:cs="Times New Roman"/>
          <w:snapToGrid w:val="0"/>
          <w:kern w:val="0"/>
          <w:sz w:val="22"/>
          <w:szCs w:val="20"/>
          <w14:ligatures w14:val="none"/>
        </w:rPr>
        <w:t>, kad</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išs</w:t>
      </w:r>
      <w:r w:rsidR="00015A5D" w:rsidRPr="00D21DFA">
        <w:rPr>
          <w:rFonts w:ascii="Times New Roman" w:eastAsia="Times New Roman" w:hAnsi="Times New Roman" w:cs="Times New Roman"/>
          <w:snapToGrid w:val="0"/>
          <w:kern w:val="0"/>
          <w:sz w:val="22"/>
          <w:szCs w:val="20"/>
          <w14:ligatures w14:val="none"/>
        </w:rPr>
        <w:t>is</w:t>
      </w:r>
      <w:r w:rsidRPr="00D21DFA">
        <w:rPr>
          <w:rFonts w:ascii="Times New Roman" w:eastAsia="Times New Roman" w:hAnsi="Times New Roman" w:cs="Times New Roman"/>
          <w:snapToGrid w:val="0"/>
          <w:kern w:val="0"/>
          <w:sz w:val="22"/>
          <w:szCs w:val="20"/>
          <w14:ligatures w14:val="none"/>
        </w:rPr>
        <w:t>k</w:t>
      </w:r>
      <w:r w:rsidR="00015A5D" w:rsidRPr="00D21DFA">
        <w:rPr>
          <w:rFonts w:ascii="Times New Roman" w:eastAsia="Times New Roman" w:hAnsi="Times New Roman" w:cs="Times New Roman"/>
          <w:snapToGrid w:val="0"/>
          <w:kern w:val="0"/>
          <w:sz w:val="22"/>
          <w:szCs w:val="20"/>
          <w14:ligatures w14:val="none"/>
        </w:rPr>
        <w:t>iria</w:t>
      </w:r>
      <w:r w:rsidRPr="00D21DFA">
        <w:rPr>
          <w:rFonts w:ascii="Times New Roman" w:eastAsia="Times New Roman" w:hAnsi="Times New Roman" w:cs="Times New Roman"/>
          <w:snapToGrid w:val="0"/>
          <w:kern w:val="0"/>
          <w:sz w:val="22"/>
          <w:szCs w:val="20"/>
          <w14:ligatures w14:val="none"/>
        </w:rPr>
        <w:t xml:space="preserve"> į gyvūnų pieną (žr. 5.3 skyrių). </w:t>
      </w:r>
      <w:r w:rsidR="00953862" w:rsidRPr="00D21DFA">
        <w:rPr>
          <w:rFonts w:ascii="Times New Roman" w:eastAsia="Times New Roman" w:hAnsi="Times New Roman" w:cs="Times New Roman"/>
          <w:snapToGrid w:val="0"/>
          <w:kern w:val="0"/>
          <w:sz w:val="22"/>
          <w:szCs w:val="20"/>
          <w14:ligatures w14:val="none"/>
        </w:rPr>
        <w:t>Pavojaus žindomiems naujagimiams ar kūdikiams negalima atmesti.</w:t>
      </w:r>
    </w:p>
    <w:p w14:paraId="2656743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B5A02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Atsižvelgiant į žindymo naudą kūdikiui ir gydymo naudą moteriai reikia nuspręsti, ar nutraukti žindymą, ar nutraukti / susilaikyti nuo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w:t>
      </w:r>
    </w:p>
    <w:p w14:paraId="1BCF1BB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3679F4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Vaisingumas </w:t>
      </w:r>
    </w:p>
    <w:p w14:paraId="6955AE5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70F550C" w14:textId="794938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Tyrimai su gyvūnais, kuriems buvo duodama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poveikio vaisingumui neparodė (žr. 5.3 skyrių).</w:t>
      </w:r>
    </w:p>
    <w:p w14:paraId="423E5B5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color w:val="0D0D0D"/>
          <w:kern w:val="0"/>
          <w:sz w:val="22"/>
          <w:szCs w:val="22"/>
          <w:u w:val="single"/>
          <w14:ligatures w14:val="none"/>
        </w:rPr>
      </w:pPr>
    </w:p>
    <w:p w14:paraId="6D43ECDA"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4.7</w:t>
      </w:r>
      <w:r w:rsidRPr="00D21DFA">
        <w:rPr>
          <w:rFonts w:ascii="Times New Roman" w:eastAsia="Times New Roman" w:hAnsi="Times New Roman" w:cs="Times New Roman"/>
          <w:b/>
          <w:bCs/>
          <w:snapToGrid w:val="0"/>
          <w:kern w:val="0"/>
          <w:sz w:val="22"/>
          <w:szCs w:val="28"/>
          <w:lang w:eastAsia="x-none"/>
          <w14:ligatures w14:val="none"/>
        </w:rPr>
        <w:tab/>
        <w:t>Poveikis gebėjimui vairuoti ir valdyti mechanizmus</w:t>
      </w:r>
    </w:p>
    <w:p w14:paraId="61E260E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4AB70F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gebėjimo vairuoti ir valdyti mechanizmus neveikia arba veikia nereikšmingai.</w:t>
      </w:r>
    </w:p>
    <w:p w14:paraId="001A0D7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283AEF5"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4.8</w:t>
      </w:r>
      <w:r w:rsidRPr="00D21DFA">
        <w:rPr>
          <w:rFonts w:ascii="Times New Roman" w:eastAsia="Times New Roman" w:hAnsi="Times New Roman" w:cs="Times New Roman"/>
          <w:b/>
          <w:snapToGrid w:val="0"/>
          <w:kern w:val="0"/>
          <w:sz w:val="22"/>
          <w:szCs w:val="20"/>
          <w14:ligatures w14:val="none"/>
        </w:rPr>
        <w:tab/>
        <w:t>Nepageidaujamas poveikis</w:t>
      </w:r>
    </w:p>
    <w:p w14:paraId="10DB91E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p>
    <w:p w14:paraId="5277E7F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r w:rsidRPr="00D21DFA">
        <w:rPr>
          <w:rFonts w:ascii="Times New Roman" w:eastAsia="Times New Roman" w:hAnsi="Times New Roman" w:cs="Times New Roman"/>
          <w:iCs/>
          <w:snapToGrid w:val="0"/>
          <w:kern w:val="0"/>
          <w:sz w:val="22"/>
          <w:szCs w:val="22"/>
          <w:u w:val="single"/>
          <w:lang w:eastAsia="lt-LT"/>
          <w14:ligatures w14:val="none"/>
        </w:rPr>
        <w:t>Saugumo duomenų santrauka</w:t>
      </w:r>
    </w:p>
    <w:p w14:paraId="5D0A27F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p>
    <w:p w14:paraId="69ABDFE2" w14:textId="39C5CC7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saugumas</w:t>
      </w:r>
      <w:r w:rsidR="004C6201" w:rsidRPr="00D21DFA">
        <w:rPr>
          <w:rFonts w:ascii="Times New Roman" w:eastAsia="Times New Roman" w:hAnsi="Times New Roman" w:cs="Times New Roman"/>
          <w:snapToGrid w:val="0"/>
          <w:kern w:val="0"/>
          <w:sz w:val="22"/>
          <w:szCs w:val="20"/>
          <w14:ligatures w14:val="none"/>
        </w:rPr>
        <w:t xml:space="preserve"> suaugusiesiems</w:t>
      </w:r>
      <w:r w:rsidRPr="00D21DFA">
        <w:rPr>
          <w:rFonts w:ascii="Times New Roman" w:eastAsia="Times New Roman" w:hAnsi="Times New Roman" w:cs="Times New Roman"/>
          <w:snapToGrid w:val="0"/>
          <w:kern w:val="0"/>
          <w:sz w:val="22"/>
          <w:szCs w:val="20"/>
          <w14:ligatures w14:val="none"/>
        </w:rPr>
        <w:t xml:space="preserve"> buvo tirtas septynių III fazės klinikinių tyrimų metu, kuriuose dalyvavo daugiau kaip 21 000 pacientų: daugiau kaip 5 000 pacientų </w:t>
      </w:r>
      <w:proofErr w:type="spellStart"/>
      <w:r w:rsidRPr="00D21DFA">
        <w:rPr>
          <w:rFonts w:ascii="Times New Roman" w:eastAsia="Times New Roman" w:hAnsi="Times New Roman" w:cs="Times New Roman"/>
          <w:snapToGrid w:val="0"/>
          <w:kern w:val="0"/>
          <w:sz w:val="22"/>
          <w:szCs w:val="20"/>
          <w14:ligatures w14:val="none"/>
        </w:rPr>
        <w:t>VTEp</w:t>
      </w:r>
      <w:proofErr w:type="spellEnd"/>
      <w:r w:rsidRPr="00D21DFA">
        <w:rPr>
          <w:rFonts w:ascii="Times New Roman" w:eastAsia="Times New Roman" w:hAnsi="Times New Roman" w:cs="Times New Roman"/>
          <w:snapToGrid w:val="0"/>
          <w:kern w:val="0"/>
          <w:sz w:val="22"/>
          <w:szCs w:val="20"/>
          <w14:ligatures w14:val="none"/>
        </w:rPr>
        <w:t xml:space="preserve"> tyrimų metu, daugiau kaip 11 000 pacientų VNPV tyrimų metu ir daugiau kaip 4 000 pacientų VTE gydymo (</w:t>
      </w: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metu, kurių </w:t>
      </w:r>
      <w:r w:rsidRPr="00D21DFA">
        <w:rPr>
          <w:rFonts w:ascii="Times New Roman" w:eastAsia="Times New Roman" w:hAnsi="Times New Roman" w:cs="Times New Roman"/>
          <w:snapToGrid w:val="0"/>
          <w:kern w:val="0"/>
          <w:sz w:val="22"/>
          <w:szCs w:val="20"/>
          <w14:ligatures w14:val="none"/>
        </w:rPr>
        <w:lastRenderedPageBreak/>
        <w:t>metu bendra vidutinė vaistinio preparato ekspozicija buvo atitinkamai 20 parų, 1,7 metų ir 221 para (žr. 5.1 skyrių).</w:t>
      </w:r>
    </w:p>
    <w:p w14:paraId="01B8C0F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CE76E1" w14:textId="7A58193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Dažnos nepageidaujamos reakcijos buvo kraujavimas, </w:t>
      </w:r>
      <w:proofErr w:type="spellStart"/>
      <w:r w:rsidR="003F3FEB" w:rsidRPr="00D21DFA">
        <w:rPr>
          <w:rFonts w:ascii="Times New Roman" w:eastAsia="Times New Roman" w:hAnsi="Times New Roman" w:cs="Times New Roman"/>
          <w:snapToGrid w:val="0"/>
          <w:kern w:val="0"/>
          <w:sz w:val="22"/>
          <w:szCs w:val="20"/>
          <w14:ligatures w14:val="none"/>
        </w:rPr>
        <w:t>kontuzija</w:t>
      </w:r>
      <w:proofErr w:type="spellEnd"/>
      <w:r w:rsidRPr="00D21DFA">
        <w:rPr>
          <w:rFonts w:ascii="Times New Roman" w:eastAsia="Times New Roman" w:hAnsi="Times New Roman" w:cs="Times New Roman"/>
          <w:snapToGrid w:val="0"/>
          <w:kern w:val="0"/>
          <w:sz w:val="22"/>
          <w:szCs w:val="20"/>
          <w14:ligatures w14:val="none"/>
        </w:rPr>
        <w:t xml:space="preserve">, kraujavimas iš nosies, kraujosruvos (žr. 2 lentelę, kurioje aprašytas nepageidaujamų reakcijų pobūdis ir dažnis pagal indikacijas). </w:t>
      </w:r>
    </w:p>
    <w:p w14:paraId="36B3585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515189" w14:textId="46C9A61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VTEp</w:t>
      </w:r>
      <w:proofErr w:type="spellEnd"/>
      <w:r w:rsidRPr="00D21DFA">
        <w:rPr>
          <w:rFonts w:ascii="Times New Roman" w:eastAsia="Times New Roman" w:hAnsi="Times New Roman" w:cs="Times New Roman"/>
          <w:snapToGrid w:val="0"/>
          <w:kern w:val="0"/>
          <w:sz w:val="22"/>
          <w:szCs w:val="20"/>
          <w14:ligatures w14:val="none"/>
        </w:rPr>
        <w:t xml:space="preserve"> tyrimų metu iš viso 11 %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2,5 mg du kartus per parą doze gydytų pacientų patyrė nepageidaujamų reakcijų. </w:t>
      </w:r>
      <w:proofErr w:type="spellStart"/>
      <w:r w:rsidR="001670D0" w:rsidRPr="00D21DFA">
        <w:rPr>
          <w:rFonts w:ascii="Times New Roman" w:eastAsia="Times New Roman" w:hAnsi="Times New Roman" w:cs="Times New Roman"/>
          <w:snapToGrid w:val="0"/>
          <w:kern w:val="0"/>
          <w:sz w:val="22"/>
          <w:szCs w:val="20"/>
          <w14:ligatures w14:val="none"/>
        </w:rPr>
        <w:t>Apiksabano</w:t>
      </w:r>
      <w:proofErr w:type="spellEnd"/>
      <w:r w:rsidR="001670D0" w:rsidRPr="00D21DFA">
        <w:rPr>
          <w:rFonts w:ascii="Times New Roman" w:eastAsia="Times New Roman" w:hAnsi="Times New Roman" w:cs="Times New Roman"/>
          <w:snapToGrid w:val="0"/>
          <w:kern w:val="0"/>
          <w:sz w:val="22"/>
          <w:szCs w:val="20"/>
          <w14:ligatures w14:val="none"/>
        </w:rPr>
        <w:t xml:space="preserve"> ir </w:t>
      </w:r>
      <w:proofErr w:type="spellStart"/>
      <w:r w:rsidR="001670D0" w:rsidRPr="00D21DFA">
        <w:rPr>
          <w:rFonts w:ascii="Times New Roman" w:eastAsia="Times New Roman" w:hAnsi="Times New Roman" w:cs="Times New Roman"/>
          <w:snapToGrid w:val="0"/>
          <w:kern w:val="0"/>
          <w:sz w:val="22"/>
          <w:szCs w:val="20"/>
          <w14:ligatures w14:val="none"/>
        </w:rPr>
        <w:t>enoksaparino</w:t>
      </w:r>
      <w:proofErr w:type="spellEnd"/>
      <w:r w:rsidR="001670D0" w:rsidRPr="00D21DFA">
        <w:rPr>
          <w:rFonts w:ascii="Times New Roman" w:eastAsia="Times New Roman" w:hAnsi="Times New Roman" w:cs="Times New Roman"/>
          <w:snapToGrid w:val="0"/>
          <w:kern w:val="0"/>
          <w:sz w:val="22"/>
          <w:szCs w:val="20"/>
          <w14:ligatures w14:val="none"/>
        </w:rPr>
        <w:t xml:space="preserve"> palyginamųjų tyrimų metu</w:t>
      </w:r>
      <w:r w:rsidR="00911C81" w:rsidRPr="00D21DFA">
        <w:rPr>
          <w:rFonts w:ascii="Times New Roman" w:eastAsia="Times New Roman" w:hAnsi="Times New Roman" w:cs="Times New Roman"/>
          <w:snapToGrid w:val="0"/>
          <w:kern w:val="0"/>
          <w:sz w:val="22"/>
          <w:szCs w:val="20"/>
          <w14:ligatures w14:val="none"/>
        </w:rPr>
        <w:t>, b</w:t>
      </w:r>
      <w:r w:rsidRPr="00D21DFA">
        <w:rPr>
          <w:rFonts w:ascii="Times New Roman" w:eastAsia="Times New Roman" w:hAnsi="Times New Roman" w:cs="Times New Roman"/>
          <w:snapToGrid w:val="0"/>
          <w:kern w:val="0"/>
          <w:sz w:val="22"/>
          <w:szCs w:val="20"/>
          <w14:ligatures w14:val="none"/>
        </w:rPr>
        <w:t>endras su kraujavimu susijusių nepageidaujamų reakcijų dažnis</w:t>
      </w:r>
      <w:r w:rsidR="000E210C"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000E210C"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buvo 10 %. </w:t>
      </w:r>
    </w:p>
    <w:p w14:paraId="5FB1AA4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DDE711" w14:textId="307385D3" w:rsidR="00C95D96" w:rsidRPr="00D21DFA" w:rsidRDefault="0037347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VNPV serganči</w:t>
      </w:r>
      <w:r w:rsidR="001C2C38" w:rsidRPr="00D21DFA">
        <w:rPr>
          <w:rFonts w:ascii="Times New Roman" w:eastAsia="Times New Roman" w:hAnsi="Times New Roman" w:cs="Times New Roman"/>
          <w:snapToGrid w:val="0"/>
          <w:kern w:val="0"/>
          <w:sz w:val="22"/>
          <w:szCs w:val="20"/>
          <w14:ligatures w14:val="none"/>
        </w:rPr>
        <w:t>uosius įtraukusių tyrimų metu</w:t>
      </w:r>
      <w:r w:rsidR="00521B07"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bendras nepageidaujamų reakcijų</w:t>
      </w:r>
      <w:r w:rsidR="0035517B" w:rsidRPr="00D21DFA">
        <w:rPr>
          <w:rFonts w:ascii="Times New Roman" w:eastAsia="Times New Roman" w:hAnsi="Times New Roman" w:cs="Times New Roman"/>
          <w:snapToGrid w:val="0"/>
          <w:kern w:val="0"/>
          <w:sz w:val="22"/>
          <w:szCs w:val="20"/>
          <w14:ligatures w14:val="none"/>
        </w:rPr>
        <w:t>, susijusių su kraujavim</w:t>
      </w:r>
      <w:r w:rsidR="00C761C4" w:rsidRPr="00D21DFA">
        <w:rPr>
          <w:rFonts w:ascii="Times New Roman" w:eastAsia="Times New Roman" w:hAnsi="Times New Roman" w:cs="Times New Roman"/>
          <w:snapToGrid w:val="0"/>
          <w:kern w:val="0"/>
          <w:sz w:val="22"/>
          <w:szCs w:val="20"/>
          <w14:ligatures w14:val="none"/>
        </w:rPr>
        <w:t>u,</w:t>
      </w:r>
      <w:r w:rsidR="00C95D96" w:rsidRPr="00D21DFA">
        <w:rPr>
          <w:rFonts w:ascii="Times New Roman" w:eastAsia="Times New Roman" w:hAnsi="Times New Roman" w:cs="Times New Roman"/>
          <w:snapToGrid w:val="0"/>
          <w:kern w:val="0"/>
          <w:sz w:val="22"/>
          <w:szCs w:val="20"/>
          <w14:ligatures w14:val="none"/>
        </w:rPr>
        <w:t xml:space="preserve"> dažnis buvo 24,3 %</w:t>
      </w:r>
      <w:r w:rsidR="00684712"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vartojant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w:t>
      </w:r>
      <w:proofErr w:type="spellStart"/>
      <w:r w:rsidR="00971BAB" w:rsidRPr="00D21DFA">
        <w:rPr>
          <w:rFonts w:ascii="Times New Roman" w:eastAsia="Times New Roman" w:hAnsi="Times New Roman" w:cs="Times New Roman"/>
          <w:snapToGrid w:val="0"/>
          <w:kern w:val="0"/>
          <w:sz w:val="22"/>
          <w:szCs w:val="20"/>
          <w14:ligatures w14:val="none"/>
        </w:rPr>
        <w:t>apiksabano</w:t>
      </w:r>
      <w:proofErr w:type="spellEnd"/>
      <w:r w:rsidR="00971BAB" w:rsidRPr="00D21DFA">
        <w:rPr>
          <w:rFonts w:ascii="Times New Roman" w:eastAsia="Times New Roman" w:hAnsi="Times New Roman" w:cs="Times New Roman"/>
          <w:snapToGrid w:val="0"/>
          <w:kern w:val="0"/>
          <w:sz w:val="22"/>
          <w:szCs w:val="20"/>
          <w14:ligatures w14:val="none"/>
        </w:rPr>
        <w:t xml:space="preserve"> ir </w:t>
      </w:r>
      <w:r w:rsidR="00C95D96" w:rsidRPr="00D21DFA">
        <w:rPr>
          <w:rFonts w:ascii="Times New Roman" w:eastAsia="Times New Roman" w:hAnsi="Times New Roman" w:cs="Times New Roman"/>
          <w:snapToGrid w:val="0"/>
          <w:kern w:val="0"/>
          <w:sz w:val="22"/>
          <w:szCs w:val="20"/>
          <w14:ligatures w14:val="none"/>
        </w:rPr>
        <w:t>varfarin</w:t>
      </w:r>
      <w:r w:rsidR="00971BAB" w:rsidRPr="00D21DFA">
        <w:rPr>
          <w:rFonts w:ascii="Times New Roman" w:eastAsia="Times New Roman" w:hAnsi="Times New Roman" w:cs="Times New Roman"/>
          <w:snapToGrid w:val="0"/>
          <w:kern w:val="0"/>
          <w:sz w:val="22"/>
          <w:szCs w:val="20"/>
          <w14:ligatures w14:val="none"/>
        </w:rPr>
        <w:t>o palyginamojo tyrimo metu</w:t>
      </w:r>
      <w:r w:rsidR="00BB2FC7"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ir 9,6 %</w:t>
      </w:r>
      <w:r w:rsidR="00684712"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vartojant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w:t>
      </w:r>
      <w:proofErr w:type="spellStart"/>
      <w:r w:rsidR="00971BAB" w:rsidRPr="00D21DFA">
        <w:rPr>
          <w:rFonts w:ascii="Times New Roman" w:eastAsia="Times New Roman" w:hAnsi="Times New Roman" w:cs="Times New Roman"/>
          <w:snapToGrid w:val="0"/>
          <w:kern w:val="0"/>
          <w:sz w:val="22"/>
          <w:szCs w:val="20"/>
          <w14:ligatures w14:val="none"/>
        </w:rPr>
        <w:t>apiksabano</w:t>
      </w:r>
      <w:proofErr w:type="spellEnd"/>
      <w:r w:rsidR="00971BAB" w:rsidRPr="00D21DFA">
        <w:rPr>
          <w:rFonts w:ascii="Times New Roman" w:eastAsia="Times New Roman" w:hAnsi="Times New Roman" w:cs="Times New Roman"/>
          <w:snapToGrid w:val="0"/>
          <w:kern w:val="0"/>
          <w:sz w:val="22"/>
          <w:szCs w:val="20"/>
          <w14:ligatures w14:val="none"/>
        </w:rPr>
        <w:t xml:space="preserve"> ir </w:t>
      </w:r>
      <w:proofErr w:type="spellStart"/>
      <w:r w:rsidR="00C95D96" w:rsidRPr="00D21DFA">
        <w:rPr>
          <w:rFonts w:ascii="Times New Roman" w:eastAsia="Times New Roman" w:hAnsi="Times New Roman" w:cs="Times New Roman"/>
          <w:snapToGrid w:val="0"/>
          <w:kern w:val="0"/>
          <w:sz w:val="22"/>
          <w:szCs w:val="20"/>
          <w14:ligatures w14:val="none"/>
        </w:rPr>
        <w:t>acetilsalicilo</w:t>
      </w:r>
      <w:proofErr w:type="spellEnd"/>
      <w:r w:rsidR="00C95D96" w:rsidRPr="00D21DFA">
        <w:rPr>
          <w:rFonts w:ascii="Times New Roman" w:eastAsia="Times New Roman" w:hAnsi="Times New Roman" w:cs="Times New Roman"/>
          <w:snapToGrid w:val="0"/>
          <w:kern w:val="0"/>
          <w:sz w:val="22"/>
          <w:szCs w:val="20"/>
          <w14:ligatures w14:val="none"/>
        </w:rPr>
        <w:t xml:space="preserve"> rūgšti</w:t>
      </w:r>
      <w:r w:rsidR="00971BAB" w:rsidRPr="00D21DFA">
        <w:rPr>
          <w:rFonts w:ascii="Times New Roman" w:eastAsia="Times New Roman" w:hAnsi="Times New Roman" w:cs="Times New Roman"/>
          <w:snapToGrid w:val="0"/>
          <w:kern w:val="0"/>
          <w:sz w:val="22"/>
          <w:szCs w:val="20"/>
          <w14:ligatures w14:val="none"/>
        </w:rPr>
        <w:t>es palyginamojo tyrimo metu</w:t>
      </w:r>
      <w:r w:rsidR="00C95D96" w:rsidRPr="00D21DFA">
        <w:rPr>
          <w:rFonts w:ascii="Times New Roman" w:eastAsia="Times New Roman" w:hAnsi="Times New Roman" w:cs="Times New Roman"/>
          <w:snapToGrid w:val="0"/>
          <w:kern w:val="0"/>
          <w:sz w:val="22"/>
          <w:szCs w:val="20"/>
          <w14:ligatures w14:val="none"/>
        </w:rPr>
        <w:t xml:space="preserve">.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w:t>
      </w:r>
      <w:r w:rsidR="005C63C7" w:rsidRPr="00D21DFA">
        <w:rPr>
          <w:rFonts w:ascii="Times New Roman" w:eastAsia="Times New Roman" w:hAnsi="Times New Roman" w:cs="Times New Roman"/>
          <w:snapToGrid w:val="0"/>
          <w:kern w:val="0"/>
          <w:sz w:val="22"/>
          <w:szCs w:val="20"/>
          <w14:ligatures w14:val="none"/>
        </w:rPr>
        <w:t>pa</w:t>
      </w:r>
      <w:r w:rsidR="009B2F6A" w:rsidRPr="00D21DFA">
        <w:rPr>
          <w:rFonts w:ascii="Times New Roman" w:eastAsia="Times New Roman" w:hAnsi="Times New Roman" w:cs="Times New Roman"/>
          <w:snapToGrid w:val="0"/>
          <w:kern w:val="0"/>
          <w:sz w:val="22"/>
          <w:szCs w:val="20"/>
          <w14:ligatures w14:val="none"/>
        </w:rPr>
        <w:t>lyginimo</w:t>
      </w:r>
      <w:r w:rsidR="00C95D96" w:rsidRPr="00D21DFA">
        <w:rPr>
          <w:rFonts w:ascii="Times New Roman" w:eastAsia="Times New Roman" w:hAnsi="Times New Roman" w:cs="Times New Roman"/>
          <w:snapToGrid w:val="0"/>
          <w:kern w:val="0"/>
          <w:sz w:val="22"/>
          <w:szCs w:val="20"/>
          <w14:ligatures w14:val="none"/>
        </w:rPr>
        <w:t xml:space="preserve"> su varfarinu tyrimo duomenimis, stipraus kraujavimo iš virškinimo trakto (VT) (įskaitant kraujavimą iš viršutinės VT dalies, iš apatinės VT dalies ir iš tiesiosios žarnos) pagal ISTH dažnis vartojant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buvo 0,76 % per metus. Stipraus kraujavimo į ak</w:t>
      </w:r>
      <w:r w:rsidR="006B08F4" w:rsidRPr="00D21DFA">
        <w:rPr>
          <w:rFonts w:ascii="Times New Roman" w:eastAsia="Times New Roman" w:hAnsi="Times New Roman" w:cs="Times New Roman"/>
          <w:snapToGrid w:val="0"/>
          <w:kern w:val="0"/>
          <w:sz w:val="22"/>
          <w:szCs w:val="20"/>
          <w14:ligatures w14:val="none"/>
        </w:rPr>
        <w:t>ies obuolį</w:t>
      </w:r>
      <w:r w:rsidR="00C95D96" w:rsidRPr="00D21DFA">
        <w:rPr>
          <w:rFonts w:ascii="Times New Roman" w:eastAsia="Times New Roman" w:hAnsi="Times New Roman" w:cs="Times New Roman"/>
          <w:snapToGrid w:val="0"/>
          <w:kern w:val="0"/>
          <w:sz w:val="22"/>
          <w:szCs w:val="20"/>
          <w14:ligatures w14:val="none"/>
        </w:rPr>
        <w:t xml:space="preserve"> pagal ISTH dažnis vartojant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buvo 0,18 % per metus. </w:t>
      </w:r>
    </w:p>
    <w:p w14:paraId="04F6546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910324D" w14:textId="5014260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tyrimo metu bendras nepageidaujamų reakcijų</w:t>
      </w:r>
      <w:r w:rsidR="00F951F7" w:rsidRPr="00D21DFA">
        <w:rPr>
          <w:rFonts w:ascii="Times New Roman" w:eastAsia="Times New Roman" w:hAnsi="Times New Roman" w:cs="Times New Roman"/>
          <w:snapToGrid w:val="0"/>
          <w:kern w:val="0"/>
          <w:sz w:val="22"/>
          <w:szCs w:val="20"/>
          <w14:ligatures w14:val="none"/>
        </w:rPr>
        <w:t>, susijusių su kraujavim</w:t>
      </w:r>
      <w:r w:rsidR="009242CC" w:rsidRPr="00D21DFA">
        <w:rPr>
          <w:rFonts w:ascii="Times New Roman" w:eastAsia="Times New Roman" w:hAnsi="Times New Roman" w:cs="Times New Roman"/>
          <w:snapToGrid w:val="0"/>
          <w:kern w:val="0"/>
          <w:sz w:val="22"/>
          <w:szCs w:val="20"/>
          <w14:ligatures w14:val="none"/>
        </w:rPr>
        <w:t>u</w:t>
      </w:r>
      <w:r w:rsidR="00F951F7"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dažnis, siejamas su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vartojimu, buvo: 15,6 %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r w:rsidR="002D69A2" w:rsidRPr="00D21DFA">
        <w:rPr>
          <w:rFonts w:ascii="Times New Roman" w:eastAsia="Times New Roman" w:hAnsi="Times New Roman" w:cs="Times New Roman"/>
          <w:snapToGrid w:val="0"/>
          <w:kern w:val="0"/>
          <w:sz w:val="22"/>
          <w:szCs w:val="20"/>
          <w14:ligatures w14:val="none"/>
        </w:rPr>
        <w:t>ir</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enoksaparin</w:t>
      </w:r>
      <w:r w:rsidR="00397AF5" w:rsidRPr="00D21DFA">
        <w:rPr>
          <w:rFonts w:ascii="Times New Roman" w:eastAsia="Times New Roman" w:hAnsi="Times New Roman" w:cs="Times New Roman"/>
          <w:snapToGrid w:val="0"/>
          <w:kern w:val="0"/>
          <w:sz w:val="22"/>
          <w:szCs w:val="20"/>
          <w14:ligatures w14:val="none"/>
        </w:rPr>
        <w:t>o</w:t>
      </w:r>
      <w:proofErr w:type="spellEnd"/>
      <w:r w:rsidRPr="00D21DFA">
        <w:rPr>
          <w:rFonts w:ascii="Times New Roman" w:eastAsia="Times New Roman" w:hAnsi="Times New Roman" w:cs="Times New Roman"/>
          <w:snapToGrid w:val="0"/>
          <w:kern w:val="0"/>
          <w:sz w:val="22"/>
          <w:szCs w:val="20"/>
          <w14:ligatures w14:val="none"/>
        </w:rPr>
        <w:t>/varfarin</w:t>
      </w:r>
      <w:r w:rsidR="00397AF5" w:rsidRPr="00D21DFA">
        <w:rPr>
          <w:rFonts w:ascii="Times New Roman" w:eastAsia="Times New Roman" w:hAnsi="Times New Roman" w:cs="Times New Roman"/>
          <w:snapToGrid w:val="0"/>
          <w:kern w:val="0"/>
          <w:sz w:val="22"/>
          <w:szCs w:val="20"/>
          <w14:ligatures w14:val="none"/>
        </w:rPr>
        <w:t>o</w:t>
      </w:r>
      <w:r w:rsidR="002D69A2" w:rsidRPr="00D21DFA">
        <w:rPr>
          <w:rFonts w:ascii="Times New Roman" w:eastAsia="Times New Roman" w:hAnsi="Times New Roman" w:cs="Times New Roman"/>
          <w:snapToGrid w:val="0"/>
          <w:kern w:val="0"/>
          <w:sz w:val="22"/>
          <w:szCs w:val="20"/>
          <w14:ligatures w14:val="none"/>
        </w:rPr>
        <w:t xml:space="preserve"> </w:t>
      </w:r>
      <w:r w:rsidR="00FF7B45" w:rsidRPr="00D21DFA">
        <w:rPr>
          <w:rFonts w:ascii="Times New Roman" w:eastAsia="Times New Roman" w:hAnsi="Times New Roman" w:cs="Times New Roman"/>
          <w:snapToGrid w:val="0"/>
          <w:kern w:val="0"/>
          <w:sz w:val="22"/>
          <w:szCs w:val="20"/>
          <w14:ligatures w14:val="none"/>
        </w:rPr>
        <w:t>palyginamuosiuose tyrimuose</w:t>
      </w:r>
      <w:r w:rsidRPr="00D21DFA">
        <w:rPr>
          <w:rFonts w:ascii="Times New Roman" w:eastAsia="Times New Roman" w:hAnsi="Times New Roman" w:cs="Times New Roman"/>
          <w:snapToGrid w:val="0"/>
          <w:kern w:val="0"/>
          <w:sz w:val="22"/>
          <w:szCs w:val="20"/>
          <w14:ligatures w14:val="none"/>
        </w:rPr>
        <w:t xml:space="preserve"> bei 13,3 % placeb</w:t>
      </w:r>
      <w:r w:rsidR="00837E36" w:rsidRPr="00D21DFA">
        <w:rPr>
          <w:rFonts w:ascii="Times New Roman" w:eastAsia="Times New Roman" w:hAnsi="Times New Roman" w:cs="Times New Roman"/>
          <w:snapToGrid w:val="0"/>
          <w:kern w:val="0"/>
          <w:sz w:val="22"/>
          <w:szCs w:val="20"/>
          <w14:ligatures w14:val="none"/>
        </w:rPr>
        <w:t xml:space="preserve">u </w:t>
      </w:r>
      <w:r w:rsidR="005D101F" w:rsidRPr="00D21DFA">
        <w:rPr>
          <w:rFonts w:ascii="Times New Roman" w:eastAsia="Times New Roman" w:hAnsi="Times New Roman" w:cs="Times New Roman"/>
          <w:snapToGrid w:val="0"/>
          <w:kern w:val="0"/>
          <w:sz w:val="22"/>
          <w:szCs w:val="20"/>
          <w14:ligatures w14:val="none"/>
        </w:rPr>
        <w:t>kontroliuot</w:t>
      </w:r>
      <w:r w:rsidR="00577878" w:rsidRPr="00D21DFA">
        <w:rPr>
          <w:rFonts w:ascii="Times New Roman" w:eastAsia="Times New Roman" w:hAnsi="Times New Roman" w:cs="Times New Roman"/>
          <w:snapToGrid w:val="0"/>
          <w:kern w:val="0"/>
          <w:sz w:val="22"/>
          <w:szCs w:val="20"/>
          <w14:ligatures w14:val="none"/>
        </w:rPr>
        <w:t>u</w:t>
      </w:r>
      <w:r w:rsidR="005D101F" w:rsidRPr="00D21DFA">
        <w:rPr>
          <w:rFonts w:ascii="Times New Roman" w:eastAsia="Times New Roman" w:hAnsi="Times New Roman" w:cs="Times New Roman"/>
          <w:snapToGrid w:val="0"/>
          <w:kern w:val="0"/>
          <w:sz w:val="22"/>
          <w:szCs w:val="20"/>
          <w14:ligatures w14:val="none"/>
        </w:rPr>
        <w:t>ose tyrimuose</w:t>
      </w:r>
      <w:r w:rsidRPr="00D21DFA">
        <w:rPr>
          <w:rFonts w:ascii="Times New Roman" w:eastAsia="Times New Roman" w:hAnsi="Times New Roman" w:cs="Times New Roman"/>
          <w:snapToGrid w:val="0"/>
          <w:kern w:val="0"/>
          <w:sz w:val="22"/>
          <w:szCs w:val="20"/>
          <w14:ligatures w14:val="none"/>
        </w:rPr>
        <w:t xml:space="preserve"> (žr. 5.1 skyrių).</w:t>
      </w:r>
    </w:p>
    <w:p w14:paraId="7D66BA1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8FE09F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2"/>
          <w:u w:val="single"/>
          <w:lang w:eastAsia="lt-LT"/>
          <w14:ligatures w14:val="none"/>
        </w:rPr>
        <w:t xml:space="preserve">Nepageidaujamų reakcijų santrauka </w:t>
      </w:r>
      <w:r w:rsidRPr="00D21DFA">
        <w:rPr>
          <w:rFonts w:ascii="Times New Roman" w:eastAsia="Times New Roman" w:hAnsi="Times New Roman" w:cs="Times New Roman"/>
          <w:snapToGrid w:val="0"/>
          <w:kern w:val="0"/>
          <w:sz w:val="22"/>
          <w:szCs w:val="20"/>
          <w:u w:val="single"/>
          <w14:ligatures w14:val="none"/>
        </w:rPr>
        <w:t xml:space="preserve">lentelėje </w:t>
      </w:r>
    </w:p>
    <w:p w14:paraId="74D0AA62" w14:textId="0FEC5787" w:rsidR="00C95D96" w:rsidRPr="00D21DFA" w:rsidRDefault="004C6201" w:rsidP="004C62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3</w:t>
      </w:r>
      <w:r w:rsidR="00C95D96" w:rsidRPr="00D21DFA">
        <w:rPr>
          <w:rFonts w:ascii="Times New Roman" w:eastAsia="Times New Roman" w:hAnsi="Times New Roman" w:cs="Times New Roman"/>
          <w:snapToGrid w:val="0"/>
          <w:kern w:val="0"/>
          <w:sz w:val="22"/>
          <w:szCs w:val="20"/>
          <w14:ligatures w14:val="none"/>
        </w:rPr>
        <w:t xml:space="preserve"> lentelėje išvardytos nepageidaujamos reakcijos, pasireiškusios atitinkamai </w:t>
      </w:r>
      <w:r w:rsidR="003352FA">
        <w:rPr>
          <w:rFonts w:ascii="Times New Roman" w:eastAsia="Times New Roman" w:hAnsi="Times New Roman" w:cs="Times New Roman"/>
          <w:snapToGrid w:val="0"/>
          <w:kern w:val="0"/>
          <w:sz w:val="22"/>
          <w:szCs w:val="20"/>
          <w14:ligatures w14:val="none"/>
        </w:rPr>
        <w:t>skiriant s</w:t>
      </w:r>
      <w:r w:rsidR="00932BC3">
        <w:rPr>
          <w:rFonts w:ascii="Times New Roman" w:eastAsia="Times New Roman" w:hAnsi="Times New Roman" w:cs="Times New Roman"/>
          <w:snapToGrid w:val="0"/>
          <w:kern w:val="0"/>
          <w:sz w:val="22"/>
          <w:szCs w:val="20"/>
          <w14:ligatures w14:val="none"/>
        </w:rPr>
        <w:t xml:space="preserve">uaugusiesiems </w:t>
      </w:r>
      <w:proofErr w:type="spellStart"/>
      <w:r w:rsidR="00C95D96" w:rsidRPr="00D21DFA">
        <w:rPr>
          <w:rFonts w:ascii="Times New Roman" w:eastAsia="Times New Roman" w:hAnsi="Times New Roman" w:cs="Times New Roman"/>
          <w:snapToGrid w:val="0"/>
          <w:kern w:val="0"/>
          <w:sz w:val="22"/>
          <w:szCs w:val="20"/>
          <w14:ligatures w14:val="none"/>
        </w:rPr>
        <w:t>VTEp</w:t>
      </w:r>
      <w:proofErr w:type="spellEnd"/>
      <w:r w:rsidR="00C95D96" w:rsidRPr="00D21DFA">
        <w:rPr>
          <w:rFonts w:ascii="Times New Roman" w:eastAsia="Times New Roman" w:hAnsi="Times New Roman" w:cs="Times New Roman"/>
          <w:snapToGrid w:val="0"/>
          <w:kern w:val="0"/>
          <w:sz w:val="22"/>
          <w:szCs w:val="20"/>
          <w14:ligatures w14:val="none"/>
        </w:rPr>
        <w:t xml:space="preserve">, VNPV ir </w:t>
      </w:r>
      <w:proofErr w:type="spellStart"/>
      <w:r w:rsidR="00C95D96" w:rsidRPr="00D21DFA">
        <w:rPr>
          <w:rFonts w:ascii="Times New Roman" w:eastAsia="Times New Roman" w:hAnsi="Times New Roman" w:cs="Times New Roman"/>
          <w:snapToGrid w:val="0"/>
          <w:kern w:val="0"/>
          <w:sz w:val="22"/>
          <w:szCs w:val="20"/>
          <w14:ligatures w14:val="none"/>
        </w:rPr>
        <w:t>VTEt</w:t>
      </w:r>
      <w:proofErr w:type="spellEnd"/>
      <w:r w:rsidR="00C95D96" w:rsidRPr="00D21DFA">
        <w:rPr>
          <w:rFonts w:ascii="Times New Roman" w:eastAsia="Times New Roman" w:hAnsi="Times New Roman" w:cs="Times New Roman"/>
          <w:snapToGrid w:val="0"/>
          <w:kern w:val="0"/>
          <w:sz w:val="22"/>
          <w:szCs w:val="20"/>
          <w14:ligatures w14:val="none"/>
        </w:rPr>
        <w:t xml:space="preserve"> </w:t>
      </w:r>
      <w:r w:rsidR="00932BC3">
        <w:rPr>
          <w:rFonts w:ascii="Times New Roman" w:eastAsia="Times New Roman" w:hAnsi="Times New Roman" w:cs="Times New Roman"/>
          <w:snapToGrid w:val="0"/>
          <w:kern w:val="0"/>
          <w:sz w:val="22"/>
          <w:szCs w:val="20"/>
          <w14:ligatures w14:val="none"/>
        </w:rPr>
        <w:t>indikacijoms</w:t>
      </w:r>
      <w:r w:rsidRPr="00D21DFA">
        <w:rPr>
          <w:rFonts w:ascii="Times New Roman" w:eastAsia="Times New Roman" w:hAnsi="Times New Roman" w:cs="Times New Roman"/>
          <w:snapToGrid w:val="0"/>
          <w:kern w:val="0"/>
          <w:sz w:val="22"/>
          <w:szCs w:val="20"/>
          <w14:ligatures w14:val="none"/>
        </w:rPr>
        <w:t xml:space="preserve"> ir pacientams vaikams nuo 28 dienų iki &lt; 18 </w:t>
      </w:r>
      <w:proofErr w:type="spellStart"/>
      <w:r w:rsidRPr="00D21DFA">
        <w:rPr>
          <w:rFonts w:ascii="Times New Roman" w:eastAsia="Times New Roman" w:hAnsi="Times New Roman" w:cs="Times New Roman"/>
          <w:snapToGrid w:val="0"/>
          <w:kern w:val="0"/>
          <w:sz w:val="22"/>
          <w:szCs w:val="20"/>
          <w14:ligatures w14:val="none"/>
        </w:rPr>
        <w:t>metųa</w:t>
      </w:r>
      <w:proofErr w:type="spellEnd"/>
      <w:r w:rsidR="00C95D96" w:rsidRPr="00D21DFA">
        <w:rPr>
          <w:rFonts w:ascii="Times New Roman" w:eastAsia="Times New Roman" w:hAnsi="Times New Roman" w:cs="Times New Roman"/>
          <w:snapToGrid w:val="0"/>
          <w:kern w:val="0"/>
          <w:sz w:val="22"/>
          <w:szCs w:val="20"/>
          <w14:ligatures w14:val="none"/>
        </w:rPr>
        <w:t xml:space="preserve"> </w:t>
      </w:r>
      <w:proofErr w:type="spellStart"/>
      <w:r w:rsidR="001003B0" w:rsidRPr="001003B0">
        <w:rPr>
          <w:rFonts w:ascii="Times New Roman" w:eastAsia="Times New Roman" w:hAnsi="Times New Roman" w:cs="Times New Roman"/>
          <w:snapToGrid w:val="0"/>
          <w:kern w:val="0"/>
          <w:sz w:val="22"/>
          <w:szCs w:val="20"/>
          <w14:ligatures w14:val="none"/>
        </w:rPr>
        <w:t>VTEt</w:t>
      </w:r>
      <w:proofErr w:type="spellEnd"/>
      <w:r w:rsidR="001003B0" w:rsidRPr="001003B0">
        <w:rPr>
          <w:rFonts w:ascii="Times New Roman" w:eastAsia="Times New Roman" w:hAnsi="Times New Roman" w:cs="Times New Roman"/>
          <w:snapToGrid w:val="0"/>
          <w:kern w:val="0"/>
          <w:sz w:val="22"/>
          <w:szCs w:val="20"/>
          <w14:ligatures w14:val="none"/>
        </w:rPr>
        <w:t xml:space="preserve"> ir VTE pasikartojimo profilaktikos indikacijoms</w:t>
      </w:r>
      <w:r w:rsidR="001003B0">
        <w:rPr>
          <w:rFonts w:ascii="Times New Roman" w:eastAsia="Times New Roman" w:hAnsi="Times New Roman" w:cs="Times New Roman"/>
          <w:snapToGrid w:val="0"/>
          <w:kern w:val="0"/>
          <w:sz w:val="22"/>
          <w:szCs w:val="20"/>
          <w14:ligatures w14:val="none"/>
        </w:rPr>
        <w:t xml:space="preserve">, </w:t>
      </w:r>
      <w:r w:rsidR="00C95D96" w:rsidRPr="00D21DFA">
        <w:rPr>
          <w:rFonts w:ascii="Times New Roman" w:eastAsia="Times New Roman" w:hAnsi="Times New Roman" w:cs="Times New Roman"/>
          <w:snapToGrid w:val="0"/>
          <w:kern w:val="0"/>
          <w:sz w:val="22"/>
          <w:szCs w:val="20"/>
          <w14:ligatures w14:val="none"/>
        </w:rPr>
        <w:t>suklasifikuotos pagal organų sistemų klases ir dažnį, nepageidaujamo poveikio dažnis apibūdinimas taip: labai dažnas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1/10), dažnas (nuo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1/100 iki &lt; 1/10), nedažnas (nuo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1/1 000 iki &lt; 1/100), retas (nuo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1/10 000 iki &lt; 1/1 000), labai retas &lt; 1/10  000) ir nežinomas (negali būti apskaičiuotas pagal turimus duomenis). </w:t>
      </w:r>
    </w:p>
    <w:p w14:paraId="330E4EB8" w14:textId="77777777" w:rsidR="004C6201" w:rsidRPr="00AD1A35" w:rsidRDefault="004C6201" w:rsidP="00987FEC">
      <w:pPr>
        <w:tabs>
          <w:tab w:val="left" w:pos="1770"/>
        </w:tabs>
        <w:spacing w:after="0" w:line="240" w:lineRule="auto"/>
        <w:ind w:right="-2"/>
        <w:rPr>
          <w:rFonts w:ascii="Times New Roman" w:eastAsia="Times New Roman" w:hAnsi="Times New Roman" w:cs="Times New Roman"/>
          <w:snapToGrid w:val="0"/>
          <w:kern w:val="0"/>
          <w:sz w:val="22"/>
          <w:szCs w:val="20"/>
          <w14:ligatures w14:val="none"/>
        </w:rPr>
      </w:pPr>
    </w:p>
    <w:p w14:paraId="178428F3" w14:textId="6019CB55" w:rsidR="004C6201" w:rsidRPr="00AD1A35" w:rsidRDefault="004C6201" w:rsidP="00987FEC">
      <w:pPr>
        <w:tabs>
          <w:tab w:val="left" w:pos="1770"/>
        </w:tabs>
        <w:spacing w:after="0" w:line="240" w:lineRule="auto"/>
        <w:ind w:right="-2"/>
        <w:rPr>
          <w:rFonts w:ascii="Times New Roman" w:eastAsia="Times New Roman" w:hAnsi="Times New Roman" w:cs="Times New Roman"/>
          <w:snapToGrid w:val="0"/>
          <w:kern w:val="0"/>
          <w:sz w:val="22"/>
          <w:szCs w:val="20"/>
          <w14:ligatures w14:val="none"/>
        </w:rPr>
      </w:pPr>
      <w:r w:rsidRPr="00AD1A35">
        <w:rPr>
          <w:rFonts w:ascii="Times New Roman" w:eastAsia="Times New Roman" w:hAnsi="Times New Roman" w:cs="Times New Roman"/>
          <w:snapToGrid w:val="0"/>
          <w:kern w:val="0"/>
          <w:sz w:val="22"/>
          <w:szCs w:val="20"/>
          <w14:ligatures w14:val="none"/>
        </w:rPr>
        <w:t>3 lentelėje nurodytų nepageidaujamų reakcijų dažnis pacientams vaikams yra gautas iš tyrimo</w:t>
      </w:r>
      <w:r w:rsidRPr="00D21DFA">
        <w:rPr>
          <w:rFonts w:ascii="Times New Roman" w:eastAsia="Times New Roman" w:hAnsi="Times New Roman" w:cs="Times New Roman"/>
          <w:snapToGrid w:val="0"/>
          <w:kern w:val="0"/>
          <w:sz w:val="22"/>
          <w:szCs w:val="20"/>
          <w14:ligatures w14:val="none"/>
        </w:rPr>
        <w:t xml:space="preserve"> </w:t>
      </w:r>
      <w:r w:rsidRPr="00AD1A35">
        <w:rPr>
          <w:rFonts w:ascii="Times New Roman" w:eastAsia="Times New Roman" w:hAnsi="Times New Roman" w:cs="Times New Roman"/>
          <w:snapToGrid w:val="0"/>
          <w:kern w:val="0"/>
          <w:sz w:val="22"/>
          <w:szCs w:val="20"/>
          <w14:ligatures w14:val="none"/>
        </w:rPr>
        <w:t xml:space="preserve">CV185325, kuriame jie vartojo </w:t>
      </w:r>
      <w:proofErr w:type="spellStart"/>
      <w:r w:rsidRPr="00AD1A35">
        <w:rPr>
          <w:rFonts w:ascii="Times New Roman" w:eastAsia="Times New Roman" w:hAnsi="Times New Roman" w:cs="Times New Roman"/>
          <w:snapToGrid w:val="0"/>
          <w:kern w:val="0"/>
          <w:sz w:val="22"/>
          <w:szCs w:val="20"/>
          <w14:ligatures w14:val="none"/>
        </w:rPr>
        <w:t>apiksaban</w:t>
      </w:r>
      <w:r w:rsidRPr="00D21DFA">
        <w:rPr>
          <w:rFonts w:ascii="Times New Roman" w:eastAsia="Times New Roman" w:hAnsi="Times New Roman" w:cs="Times New Roman"/>
          <w:snapToGrid w:val="0"/>
          <w:kern w:val="0"/>
          <w:sz w:val="22"/>
          <w:szCs w:val="20"/>
          <w14:ligatures w14:val="none"/>
        </w:rPr>
        <w:t>o</w:t>
      </w:r>
      <w:proofErr w:type="spellEnd"/>
      <w:r w:rsidRPr="00AD1A35">
        <w:rPr>
          <w:rFonts w:ascii="Times New Roman" w:eastAsia="Times New Roman" w:hAnsi="Times New Roman" w:cs="Times New Roman"/>
          <w:snapToGrid w:val="0"/>
          <w:kern w:val="0"/>
          <w:sz w:val="22"/>
          <w:szCs w:val="20"/>
          <w14:ligatures w14:val="none"/>
        </w:rPr>
        <w:t xml:space="preserve"> VTE gydymui ir VTE pasikartojimo profilaktikai.</w:t>
      </w:r>
    </w:p>
    <w:p w14:paraId="43CAB488" w14:textId="77777777" w:rsidR="004C6201" w:rsidRPr="00AD1A35" w:rsidRDefault="004C6201" w:rsidP="00AD1A35">
      <w:pPr>
        <w:tabs>
          <w:tab w:val="left" w:pos="1770"/>
        </w:tabs>
        <w:spacing w:after="0" w:line="240" w:lineRule="auto"/>
        <w:ind w:right="-2"/>
        <w:rPr>
          <w:rFonts w:ascii="Times New Roman" w:eastAsia="Times New Roman" w:hAnsi="Times New Roman" w:cs="Times New Roman"/>
          <w:snapToGrid w:val="0"/>
          <w:kern w:val="0"/>
          <w:sz w:val="22"/>
          <w:szCs w:val="20"/>
          <w14:ligatures w14:val="none"/>
        </w:rPr>
      </w:pPr>
    </w:p>
    <w:p w14:paraId="284D0309" w14:textId="78E67D74" w:rsidR="00C95D96" w:rsidRPr="00D21DFA" w:rsidRDefault="004C6201" w:rsidP="00C95D96">
      <w:pPr>
        <w:tabs>
          <w:tab w:val="left" w:pos="567"/>
          <w:tab w:val="left" w:pos="9214"/>
        </w:tabs>
        <w:spacing w:after="120" w:line="240" w:lineRule="auto"/>
        <w:ind w:right="-2"/>
        <w:rPr>
          <w:rFonts w:ascii="Times New Roman" w:eastAsia="Times New Roman" w:hAnsi="Times New Roman" w:cs="Times New Roman"/>
          <w:b/>
          <w:bCs/>
          <w:kern w:val="0"/>
          <w:sz w:val="22"/>
          <w:szCs w:val="20"/>
          <w14:ligatures w14:val="none"/>
        </w:rPr>
      </w:pPr>
      <w:r w:rsidRPr="00D21DFA">
        <w:rPr>
          <w:rFonts w:ascii="Times New Roman" w:eastAsia="Times New Roman" w:hAnsi="Times New Roman" w:cs="Times New Roman"/>
          <w:b/>
          <w:bCs/>
          <w:kern w:val="0"/>
          <w:sz w:val="22"/>
          <w:szCs w:val="20"/>
          <w14:ligatures w14:val="none"/>
        </w:rPr>
        <w:t>3</w:t>
      </w:r>
      <w:r w:rsidR="00C95D96" w:rsidRPr="00D21DFA">
        <w:rPr>
          <w:rFonts w:ascii="Times New Roman" w:eastAsia="Times New Roman" w:hAnsi="Times New Roman" w:cs="Times New Roman"/>
          <w:b/>
          <w:bCs/>
          <w:kern w:val="0"/>
          <w:sz w:val="22"/>
          <w:szCs w:val="20"/>
          <w14:ligatures w14:val="none"/>
        </w:rPr>
        <w:t xml:space="preserve"> lentelė. Nepageidaujamos reakcijos lentelėje</w:t>
      </w:r>
    </w:p>
    <w:tbl>
      <w:tblPr>
        <w:tblW w:w="9810" w:type="dxa"/>
        <w:tblInd w:w="108" w:type="dxa"/>
        <w:tblLayout w:type="fixed"/>
        <w:tblCellMar>
          <w:top w:w="55" w:type="dxa"/>
          <w:right w:w="55" w:type="dxa"/>
        </w:tblCellMar>
        <w:tblLook w:val="04A0" w:firstRow="1" w:lastRow="0" w:firstColumn="1" w:lastColumn="0" w:noHBand="0" w:noVBand="1"/>
      </w:tblPr>
      <w:tblGrid>
        <w:gridCol w:w="2297"/>
        <w:gridCol w:w="2062"/>
        <w:gridCol w:w="2049"/>
        <w:gridCol w:w="1843"/>
        <w:gridCol w:w="1559"/>
      </w:tblGrid>
      <w:tr w:rsidR="004C6201" w:rsidRPr="00D21DFA" w14:paraId="66581E89" w14:textId="345DA1EE" w:rsidTr="00987FEC">
        <w:trPr>
          <w:trHeight w:val="2034"/>
        </w:trPr>
        <w:tc>
          <w:tcPr>
            <w:tcW w:w="2297" w:type="dxa"/>
            <w:tcBorders>
              <w:top w:val="single" w:sz="4" w:space="0" w:color="000000"/>
              <w:left w:val="single" w:sz="4" w:space="0" w:color="000000"/>
              <w:bottom w:val="single" w:sz="4" w:space="0" w:color="000000"/>
              <w:right w:val="single" w:sz="4" w:space="0" w:color="000000"/>
            </w:tcBorders>
            <w:hideMark/>
          </w:tcPr>
          <w:p w14:paraId="2D7A32F5"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t>Organų sistemų klasė</w:t>
            </w:r>
          </w:p>
        </w:tc>
        <w:tc>
          <w:tcPr>
            <w:tcW w:w="2062" w:type="dxa"/>
            <w:tcBorders>
              <w:top w:val="single" w:sz="4" w:space="0" w:color="000000"/>
              <w:left w:val="single" w:sz="4" w:space="0" w:color="000000"/>
              <w:bottom w:val="single" w:sz="4" w:space="0" w:color="000000"/>
              <w:right w:val="single" w:sz="4" w:space="0" w:color="000000"/>
            </w:tcBorders>
            <w:hideMark/>
          </w:tcPr>
          <w:p w14:paraId="4401ADCE" w14:textId="77777777" w:rsidR="004C6201" w:rsidRPr="00D21DFA" w:rsidRDefault="004C6201" w:rsidP="00C95D96">
            <w:pPr>
              <w:tabs>
                <w:tab w:val="left" w:pos="567"/>
                <w:tab w:val="left" w:pos="9214"/>
              </w:tabs>
              <w:spacing w:after="0" w:line="260" w:lineRule="exact"/>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t>VTE profilaktika pacientams, kuriems atliekamos planinės klubo arba kelio sąnario pakeitimo operacijos (</w:t>
            </w:r>
            <w:proofErr w:type="spellStart"/>
            <w:r w:rsidRPr="00D21DFA">
              <w:rPr>
                <w:rFonts w:ascii="Times New Roman" w:eastAsia="Times New Roman" w:hAnsi="Times New Roman" w:cs="Times New Roman"/>
                <w:b/>
                <w:bCs/>
                <w:snapToGrid w:val="0"/>
                <w:kern w:val="0"/>
                <w:sz w:val="22"/>
                <w:szCs w:val="20"/>
                <w14:ligatures w14:val="none"/>
              </w:rPr>
              <w:t>VTEp</w:t>
            </w:r>
            <w:proofErr w:type="spellEnd"/>
            <w:r w:rsidRPr="00D21DFA">
              <w:rPr>
                <w:rFonts w:ascii="Times New Roman" w:eastAsia="Times New Roman" w:hAnsi="Times New Roman" w:cs="Times New Roman"/>
                <w:b/>
                <w:bCs/>
                <w:snapToGrid w:val="0"/>
                <w:kern w:val="0"/>
                <w:sz w:val="22"/>
                <w:szCs w:val="20"/>
                <w14:ligatures w14:val="none"/>
              </w:rPr>
              <w:t xml:space="preserve">)  </w:t>
            </w:r>
          </w:p>
        </w:tc>
        <w:tc>
          <w:tcPr>
            <w:tcW w:w="2049" w:type="dxa"/>
            <w:tcBorders>
              <w:top w:val="single" w:sz="4" w:space="0" w:color="000000"/>
              <w:left w:val="single" w:sz="4" w:space="0" w:color="000000"/>
              <w:bottom w:val="single" w:sz="4" w:space="0" w:color="000000"/>
              <w:right w:val="single" w:sz="4" w:space="0" w:color="000000"/>
            </w:tcBorders>
            <w:hideMark/>
          </w:tcPr>
          <w:p w14:paraId="0F7598A6"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t xml:space="preserve">Insulto ir </w:t>
            </w:r>
            <w:proofErr w:type="spellStart"/>
            <w:r w:rsidRPr="00D21DFA">
              <w:rPr>
                <w:rFonts w:ascii="Times New Roman" w:eastAsia="Times New Roman" w:hAnsi="Times New Roman" w:cs="Times New Roman"/>
                <w:b/>
                <w:bCs/>
                <w:snapToGrid w:val="0"/>
                <w:kern w:val="0"/>
                <w:sz w:val="22"/>
                <w:szCs w:val="20"/>
                <w14:ligatures w14:val="none"/>
              </w:rPr>
              <w:t>siste</w:t>
            </w:r>
            <w:proofErr w:type="spellEnd"/>
            <w:r w:rsidRPr="00D21DFA">
              <w:rPr>
                <w:rFonts w:ascii="Times New Roman" w:eastAsia="Times New Roman" w:hAnsi="Times New Roman" w:cs="Times New Roman"/>
                <w:b/>
                <w:bCs/>
                <w:snapToGrid w:val="0"/>
                <w:kern w:val="0"/>
                <w:sz w:val="22"/>
                <w:szCs w:val="20"/>
                <w14:ligatures w14:val="none"/>
              </w:rPr>
              <w:t xml:space="preserve">-minės embolijos profilaktika suaugusiems pacientams, kuriems pasireiškė VNPV ir kuriems yra vienas ar daugiau rizikos veiksnių (VNPV) </w:t>
            </w:r>
          </w:p>
        </w:tc>
        <w:tc>
          <w:tcPr>
            <w:tcW w:w="1843" w:type="dxa"/>
            <w:tcBorders>
              <w:top w:val="single" w:sz="4" w:space="0" w:color="000000"/>
              <w:left w:val="single" w:sz="4" w:space="0" w:color="000000"/>
              <w:bottom w:val="single" w:sz="4" w:space="0" w:color="000000"/>
              <w:right w:val="single" w:sz="4" w:space="0" w:color="000000"/>
            </w:tcBorders>
            <w:hideMark/>
          </w:tcPr>
          <w:p w14:paraId="2D6DBF7E" w14:textId="5DA76989" w:rsidR="004C6201" w:rsidRPr="00D21DFA" w:rsidRDefault="004C6201" w:rsidP="00C95D96">
            <w:pPr>
              <w:tabs>
                <w:tab w:val="left" w:pos="567"/>
                <w:tab w:val="left" w:pos="9214"/>
              </w:tabs>
              <w:spacing w:after="0" w:line="260" w:lineRule="exact"/>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t>GVT ir PE gydymas ir GVT bei PE (</w:t>
            </w:r>
            <w:proofErr w:type="spellStart"/>
            <w:r w:rsidRPr="00D21DFA">
              <w:rPr>
                <w:rFonts w:ascii="Times New Roman" w:eastAsia="Times New Roman" w:hAnsi="Times New Roman" w:cs="Times New Roman"/>
                <w:b/>
                <w:bCs/>
                <w:snapToGrid w:val="0"/>
                <w:kern w:val="0"/>
                <w:sz w:val="22"/>
                <w:szCs w:val="20"/>
                <w14:ligatures w14:val="none"/>
              </w:rPr>
              <w:t>VTEt</w:t>
            </w:r>
            <w:proofErr w:type="spellEnd"/>
            <w:r w:rsidRPr="00D21DFA">
              <w:rPr>
                <w:rFonts w:ascii="Times New Roman" w:eastAsia="Times New Roman" w:hAnsi="Times New Roman" w:cs="Times New Roman"/>
                <w:b/>
                <w:bCs/>
                <w:snapToGrid w:val="0"/>
                <w:kern w:val="0"/>
                <w:sz w:val="22"/>
                <w:szCs w:val="20"/>
                <w14:ligatures w14:val="none"/>
              </w:rPr>
              <w:t>) pasikartojimo profilaktika suaugusiesiems</w:t>
            </w:r>
          </w:p>
        </w:tc>
        <w:tc>
          <w:tcPr>
            <w:tcW w:w="1559" w:type="dxa"/>
            <w:tcBorders>
              <w:top w:val="single" w:sz="4" w:space="0" w:color="000000"/>
              <w:left w:val="single" w:sz="4" w:space="0" w:color="000000"/>
              <w:bottom w:val="single" w:sz="4" w:space="0" w:color="000000"/>
              <w:right w:val="single" w:sz="4" w:space="0" w:color="000000"/>
            </w:tcBorders>
          </w:tcPr>
          <w:p w14:paraId="50D9100E" w14:textId="4C4E0280"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VTE gydymas ir VTE</w:t>
            </w:r>
          </w:p>
          <w:p w14:paraId="3249D163" w14:textId="77777777"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pasikartojimo</w:t>
            </w:r>
          </w:p>
          <w:p w14:paraId="54F296CF" w14:textId="77777777"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profilaktika</w:t>
            </w:r>
          </w:p>
          <w:p w14:paraId="799066DA" w14:textId="77777777"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pacientams</w:t>
            </w:r>
          </w:p>
          <w:p w14:paraId="33C6A95D" w14:textId="77777777"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vaikams nuo</w:t>
            </w:r>
          </w:p>
          <w:p w14:paraId="675C2B7A" w14:textId="2BD22171"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28 dienų iki</w:t>
            </w:r>
          </w:p>
          <w:p w14:paraId="55FCC73A" w14:textId="77777777"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mažiau kaip</w:t>
            </w:r>
          </w:p>
          <w:p w14:paraId="071A05F3" w14:textId="3D67B9CF" w:rsidR="004C6201" w:rsidRPr="00D21DFA" w:rsidRDefault="004C6201" w:rsidP="004C6201">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18 metų</w:t>
            </w:r>
          </w:p>
        </w:tc>
      </w:tr>
      <w:tr w:rsidR="004C6201" w:rsidRPr="00D21DFA" w14:paraId="397B1541" w14:textId="0C62F0A1" w:rsidTr="00AD1A35">
        <w:trPr>
          <w:trHeight w:val="368"/>
        </w:trPr>
        <w:tc>
          <w:tcPr>
            <w:tcW w:w="8251" w:type="dxa"/>
            <w:gridSpan w:val="4"/>
            <w:tcBorders>
              <w:top w:val="single" w:sz="4" w:space="0" w:color="000000"/>
              <w:left w:val="single" w:sz="4" w:space="0" w:color="000000"/>
              <w:bottom w:val="single" w:sz="4" w:space="0" w:color="000000"/>
              <w:right w:val="single" w:sz="4" w:space="0" w:color="000000"/>
            </w:tcBorders>
            <w:hideMark/>
          </w:tcPr>
          <w:p w14:paraId="5D985ED6"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Kraujo ir limfinės sistemos sutrikimai</w:t>
            </w:r>
          </w:p>
        </w:tc>
        <w:tc>
          <w:tcPr>
            <w:tcW w:w="1559" w:type="dxa"/>
            <w:tcBorders>
              <w:top w:val="single" w:sz="4" w:space="0" w:color="000000"/>
              <w:left w:val="single" w:sz="4" w:space="0" w:color="000000"/>
              <w:bottom w:val="single" w:sz="4" w:space="0" w:color="000000"/>
              <w:right w:val="single" w:sz="4" w:space="0" w:color="000000"/>
            </w:tcBorders>
          </w:tcPr>
          <w:p w14:paraId="4AB6108D"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1910563C" w14:textId="45A5D6AD" w:rsidTr="00987FEC">
        <w:trPr>
          <w:trHeight w:val="264"/>
        </w:trPr>
        <w:tc>
          <w:tcPr>
            <w:tcW w:w="2297" w:type="dxa"/>
            <w:tcBorders>
              <w:top w:val="single" w:sz="4" w:space="0" w:color="000000"/>
              <w:left w:val="single" w:sz="4" w:space="0" w:color="000000"/>
              <w:bottom w:val="single" w:sz="4" w:space="0" w:color="000000"/>
              <w:right w:val="single" w:sz="4" w:space="0" w:color="000000"/>
            </w:tcBorders>
            <w:hideMark/>
          </w:tcPr>
          <w:p w14:paraId="41EB2C77"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Anemija </w:t>
            </w:r>
          </w:p>
        </w:tc>
        <w:tc>
          <w:tcPr>
            <w:tcW w:w="2062" w:type="dxa"/>
            <w:tcBorders>
              <w:top w:val="single" w:sz="4" w:space="0" w:color="000000"/>
              <w:left w:val="single" w:sz="4" w:space="0" w:color="000000"/>
              <w:bottom w:val="single" w:sz="4" w:space="0" w:color="000000"/>
              <w:right w:val="single" w:sz="4" w:space="0" w:color="000000"/>
            </w:tcBorders>
            <w:hideMark/>
          </w:tcPr>
          <w:p w14:paraId="7615A080"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049" w:type="dxa"/>
            <w:tcBorders>
              <w:top w:val="single" w:sz="4" w:space="0" w:color="000000"/>
              <w:left w:val="single" w:sz="4" w:space="0" w:color="000000"/>
              <w:bottom w:val="single" w:sz="4" w:space="0" w:color="000000"/>
              <w:right w:val="single" w:sz="4" w:space="0" w:color="000000"/>
            </w:tcBorders>
            <w:hideMark/>
          </w:tcPr>
          <w:p w14:paraId="36BB5572"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Dažnas </w:t>
            </w:r>
          </w:p>
        </w:tc>
        <w:tc>
          <w:tcPr>
            <w:tcW w:w="1843" w:type="dxa"/>
            <w:tcBorders>
              <w:top w:val="single" w:sz="4" w:space="0" w:color="000000"/>
              <w:left w:val="single" w:sz="4" w:space="0" w:color="000000"/>
              <w:bottom w:val="single" w:sz="4" w:space="0" w:color="000000"/>
              <w:right w:val="single" w:sz="4" w:space="0" w:color="000000"/>
            </w:tcBorders>
            <w:hideMark/>
          </w:tcPr>
          <w:p w14:paraId="4BC9D57F"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Dažnas </w:t>
            </w:r>
          </w:p>
        </w:tc>
        <w:tc>
          <w:tcPr>
            <w:tcW w:w="1559" w:type="dxa"/>
            <w:tcBorders>
              <w:top w:val="single" w:sz="4" w:space="0" w:color="000000"/>
              <w:left w:val="single" w:sz="4" w:space="0" w:color="000000"/>
              <w:bottom w:val="single" w:sz="4" w:space="0" w:color="000000"/>
              <w:right w:val="single" w:sz="4" w:space="0" w:color="000000"/>
            </w:tcBorders>
          </w:tcPr>
          <w:p w14:paraId="06298271" w14:textId="31BF1A5E"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312EB968" w14:textId="017DE97E" w:rsidTr="00987FEC">
        <w:trPr>
          <w:trHeight w:val="263"/>
        </w:trPr>
        <w:tc>
          <w:tcPr>
            <w:tcW w:w="2297" w:type="dxa"/>
            <w:tcBorders>
              <w:top w:val="single" w:sz="4" w:space="0" w:color="000000"/>
              <w:left w:val="single" w:sz="4" w:space="0" w:color="000000"/>
              <w:bottom w:val="single" w:sz="4" w:space="0" w:color="000000"/>
              <w:right w:val="single" w:sz="4" w:space="0" w:color="000000"/>
            </w:tcBorders>
            <w:hideMark/>
          </w:tcPr>
          <w:p w14:paraId="22C90142"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Trombocitopenija</w:t>
            </w:r>
            <w:proofErr w:type="spellEnd"/>
            <w:r w:rsidRPr="00D21DFA">
              <w:rPr>
                <w:rFonts w:ascii="Times New Roman" w:eastAsia="Times New Roman" w:hAnsi="Times New Roman" w:cs="Times New Roman"/>
                <w:snapToGrid w:val="0"/>
                <w:kern w:val="0"/>
                <w:sz w:val="22"/>
                <w:szCs w:val="22"/>
                <w14:ligatures w14:val="none"/>
              </w:rPr>
              <w:t xml:space="preserve">  </w:t>
            </w:r>
          </w:p>
        </w:tc>
        <w:tc>
          <w:tcPr>
            <w:tcW w:w="2062" w:type="dxa"/>
            <w:tcBorders>
              <w:top w:val="single" w:sz="4" w:space="0" w:color="000000"/>
              <w:left w:val="single" w:sz="4" w:space="0" w:color="000000"/>
              <w:bottom w:val="single" w:sz="4" w:space="0" w:color="000000"/>
              <w:right w:val="single" w:sz="4" w:space="0" w:color="000000"/>
            </w:tcBorders>
            <w:hideMark/>
          </w:tcPr>
          <w:p w14:paraId="14420311"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hideMark/>
          </w:tcPr>
          <w:p w14:paraId="437C5E9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Nedažnas </w:t>
            </w:r>
          </w:p>
        </w:tc>
        <w:tc>
          <w:tcPr>
            <w:tcW w:w="1843" w:type="dxa"/>
            <w:tcBorders>
              <w:top w:val="single" w:sz="4" w:space="0" w:color="000000"/>
              <w:left w:val="single" w:sz="4" w:space="0" w:color="000000"/>
              <w:bottom w:val="single" w:sz="4" w:space="0" w:color="000000"/>
              <w:right w:val="single" w:sz="4" w:space="0" w:color="000000"/>
            </w:tcBorders>
            <w:hideMark/>
          </w:tcPr>
          <w:p w14:paraId="1545C8A2"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Dažnas </w:t>
            </w:r>
          </w:p>
        </w:tc>
        <w:tc>
          <w:tcPr>
            <w:tcW w:w="1559" w:type="dxa"/>
            <w:tcBorders>
              <w:top w:val="single" w:sz="4" w:space="0" w:color="000000"/>
              <w:left w:val="single" w:sz="4" w:space="0" w:color="000000"/>
              <w:bottom w:val="single" w:sz="4" w:space="0" w:color="000000"/>
              <w:right w:val="single" w:sz="4" w:space="0" w:color="000000"/>
            </w:tcBorders>
          </w:tcPr>
          <w:p w14:paraId="56734257" w14:textId="2EF850EA"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4EAD6B27" w14:textId="1EC4ECF5"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688B9A5A"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Imuninės sistemos sutrikimai</w:t>
            </w:r>
          </w:p>
        </w:tc>
        <w:tc>
          <w:tcPr>
            <w:tcW w:w="1559" w:type="dxa"/>
            <w:tcBorders>
              <w:top w:val="single" w:sz="4" w:space="0" w:color="000000"/>
              <w:left w:val="single" w:sz="4" w:space="0" w:color="000000"/>
              <w:bottom w:val="single" w:sz="4" w:space="0" w:color="000000"/>
              <w:right w:val="single" w:sz="4" w:space="0" w:color="000000"/>
            </w:tcBorders>
          </w:tcPr>
          <w:p w14:paraId="03C340C9"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21FDE081" w14:textId="749900F6"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6DF485B1" w14:textId="4C9EBD00"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Padidėjęs jautrumas, alerginė edema, anafilaksinė reakcija</w:t>
            </w:r>
          </w:p>
        </w:tc>
        <w:tc>
          <w:tcPr>
            <w:tcW w:w="2062" w:type="dxa"/>
            <w:tcBorders>
              <w:top w:val="single" w:sz="4" w:space="0" w:color="000000"/>
              <w:left w:val="single" w:sz="4" w:space="0" w:color="000000"/>
              <w:bottom w:val="single" w:sz="4" w:space="0" w:color="000000"/>
              <w:right w:val="single" w:sz="4" w:space="0" w:color="000000"/>
            </w:tcBorders>
          </w:tcPr>
          <w:p w14:paraId="58B9BEE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049" w:type="dxa"/>
            <w:tcBorders>
              <w:top w:val="single" w:sz="4" w:space="0" w:color="000000"/>
              <w:left w:val="single" w:sz="4" w:space="0" w:color="000000"/>
              <w:bottom w:val="single" w:sz="4" w:space="0" w:color="000000"/>
              <w:right w:val="single" w:sz="4" w:space="0" w:color="000000"/>
            </w:tcBorders>
          </w:tcPr>
          <w:p w14:paraId="68DE6C0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37E331E5"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2CC6C213" w14:textId="75FAB40F"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r w:rsidRPr="00AD1A35">
              <w:rPr>
                <w:rFonts w:ascii="Times New Roman" w:eastAsia="Times New Roman" w:hAnsi="Times New Roman" w:cs="Times New Roman" w:hint="eastAsia"/>
                <w:snapToGrid w:val="0"/>
                <w:kern w:val="0"/>
                <w:sz w:val="22"/>
                <w:szCs w:val="22"/>
                <w:vertAlign w:val="superscript"/>
                <w14:ligatures w14:val="none"/>
              </w:rPr>
              <w:t>‡</w:t>
            </w:r>
          </w:p>
        </w:tc>
      </w:tr>
      <w:tr w:rsidR="004C6201" w:rsidRPr="00D21DFA" w14:paraId="27A82388" w14:textId="60100B2C"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239A8530"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Niežėjimas</w:t>
            </w:r>
          </w:p>
        </w:tc>
        <w:tc>
          <w:tcPr>
            <w:tcW w:w="2062" w:type="dxa"/>
            <w:tcBorders>
              <w:top w:val="single" w:sz="4" w:space="0" w:color="000000"/>
              <w:left w:val="single" w:sz="4" w:space="0" w:color="000000"/>
              <w:bottom w:val="single" w:sz="4" w:space="0" w:color="000000"/>
              <w:right w:val="single" w:sz="4" w:space="0" w:color="000000"/>
            </w:tcBorders>
          </w:tcPr>
          <w:p w14:paraId="79F4517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2CE6F41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332EDB8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628980A2" w14:textId="5488AA7D"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3E2BF2A6" w14:textId="5018A509"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7867E44E"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Angioneurozinė</w:t>
            </w:r>
            <w:proofErr w:type="spellEnd"/>
            <w:r w:rsidRPr="00D21DFA">
              <w:rPr>
                <w:rFonts w:ascii="Times New Roman" w:eastAsia="Times New Roman" w:hAnsi="Times New Roman" w:cs="Times New Roman"/>
                <w:snapToGrid w:val="0"/>
                <w:kern w:val="0"/>
                <w:sz w:val="22"/>
                <w:szCs w:val="22"/>
                <w14:ligatures w14:val="none"/>
              </w:rPr>
              <w:t xml:space="preserve"> edema</w:t>
            </w:r>
          </w:p>
        </w:tc>
        <w:tc>
          <w:tcPr>
            <w:tcW w:w="2062" w:type="dxa"/>
            <w:tcBorders>
              <w:top w:val="single" w:sz="4" w:space="0" w:color="000000"/>
              <w:left w:val="single" w:sz="4" w:space="0" w:color="000000"/>
              <w:bottom w:val="single" w:sz="4" w:space="0" w:color="000000"/>
              <w:right w:val="single" w:sz="4" w:space="0" w:color="000000"/>
            </w:tcBorders>
          </w:tcPr>
          <w:p w14:paraId="44AE849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762253A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1DF0E91E"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559" w:type="dxa"/>
            <w:tcBorders>
              <w:top w:val="single" w:sz="4" w:space="0" w:color="000000"/>
              <w:left w:val="single" w:sz="4" w:space="0" w:color="000000"/>
              <w:bottom w:val="single" w:sz="4" w:space="0" w:color="000000"/>
              <w:right w:val="single" w:sz="4" w:space="0" w:color="000000"/>
            </w:tcBorders>
          </w:tcPr>
          <w:p w14:paraId="5C803078" w14:textId="25C4C0F2"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61011773" w14:textId="3CD06281"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3708A079"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lastRenderedPageBreak/>
              <w:t>Nervų sistemos sutrikimai</w:t>
            </w:r>
          </w:p>
        </w:tc>
        <w:tc>
          <w:tcPr>
            <w:tcW w:w="1559" w:type="dxa"/>
            <w:tcBorders>
              <w:top w:val="single" w:sz="4" w:space="0" w:color="000000"/>
              <w:left w:val="single" w:sz="4" w:space="0" w:color="000000"/>
              <w:bottom w:val="single" w:sz="4" w:space="0" w:color="000000"/>
              <w:right w:val="single" w:sz="4" w:space="0" w:color="000000"/>
            </w:tcBorders>
          </w:tcPr>
          <w:p w14:paraId="215FD2D2"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48BBD096" w14:textId="7427819A"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01ED7A49" w14:textId="552636AE"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smegenis</w:t>
            </w:r>
            <w:r w:rsidRPr="00D21DFA">
              <w:rPr>
                <w:rFonts w:ascii="Times New Roman" w:eastAsia="Times New Roman" w:hAnsi="Times New Roman" w:cs="Times New Roman"/>
                <w:snapToGrid w:val="0"/>
                <w:kern w:val="0"/>
                <w:sz w:val="22"/>
                <w:szCs w:val="22"/>
                <w14:ligatures w14:val="none"/>
              </w:rPr>
              <w:t>†</w:t>
            </w:r>
            <w:r w:rsidRPr="00D21DFA">
              <w:rPr>
                <w:rFonts w:ascii="Times New Roman" w:eastAsia="Times New Roman" w:hAnsi="Times New Roman" w:cs="Times New Roman"/>
                <w:snapToGrid w:val="0"/>
                <w:kern w:val="0"/>
                <w:sz w:val="22"/>
                <w:szCs w:val="20"/>
                <w14:ligatures w14:val="none"/>
              </w:rPr>
              <w:t xml:space="preserve"> </w:t>
            </w:r>
          </w:p>
        </w:tc>
        <w:tc>
          <w:tcPr>
            <w:tcW w:w="2062" w:type="dxa"/>
            <w:tcBorders>
              <w:top w:val="single" w:sz="4" w:space="0" w:color="000000"/>
              <w:left w:val="single" w:sz="4" w:space="0" w:color="000000"/>
              <w:bottom w:val="single" w:sz="4" w:space="0" w:color="000000"/>
              <w:right w:val="single" w:sz="4" w:space="0" w:color="000000"/>
            </w:tcBorders>
          </w:tcPr>
          <w:p w14:paraId="0E78FE6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52C3FAD3"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437A5FD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1559" w:type="dxa"/>
            <w:tcBorders>
              <w:top w:val="single" w:sz="4" w:space="0" w:color="000000"/>
              <w:left w:val="single" w:sz="4" w:space="0" w:color="000000"/>
              <w:bottom w:val="single" w:sz="4" w:space="0" w:color="000000"/>
              <w:right w:val="single" w:sz="4" w:space="0" w:color="000000"/>
            </w:tcBorders>
          </w:tcPr>
          <w:p w14:paraId="2AA3DD71" w14:textId="0704D9D1"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2B9269DA" w14:textId="6B73127D"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683DF2A4"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Akių sutrikimai</w:t>
            </w:r>
          </w:p>
        </w:tc>
        <w:tc>
          <w:tcPr>
            <w:tcW w:w="1559" w:type="dxa"/>
            <w:tcBorders>
              <w:top w:val="single" w:sz="4" w:space="0" w:color="000000"/>
              <w:left w:val="single" w:sz="4" w:space="0" w:color="000000"/>
              <w:bottom w:val="single" w:sz="4" w:space="0" w:color="000000"/>
              <w:right w:val="single" w:sz="4" w:space="0" w:color="000000"/>
            </w:tcBorders>
          </w:tcPr>
          <w:p w14:paraId="38992877"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5407C20C" w14:textId="66B23C2A"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2AF395BB" w14:textId="188312BC"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akies obuol</w:t>
            </w:r>
            <w:r w:rsidR="007E4946">
              <w:rPr>
                <w:rFonts w:ascii="Times New Roman" w:eastAsia="Times New Roman" w:hAnsi="Times New Roman" w:cs="Times New Roman"/>
                <w:snapToGrid w:val="0"/>
                <w:kern w:val="0"/>
                <w:sz w:val="22"/>
                <w:szCs w:val="20"/>
                <w14:ligatures w14:val="none"/>
              </w:rPr>
              <w:t>į</w:t>
            </w:r>
            <w:r w:rsidRPr="00D21DFA">
              <w:rPr>
                <w:rFonts w:ascii="Times New Roman" w:eastAsia="Times New Roman" w:hAnsi="Times New Roman" w:cs="Times New Roman"/>
                <w:snapToGrid w:val="0"/>
                <w:kern w:val="0"/>
                <w:sz w:val="22"/>
                <w:szCs w:val="20"/>
                <w14:ligatures w14:val="none"/>
              </w:rPr>
              <w:t xml:space="preserve"> (įskaitant junginės kraujosruvą)</w:t>
            </w:r>
          </w:p>
        </w:tc>
        <w:tc>
          <w:tcPr>
            <w:tcW w:w="2062" w:type="dxa"/>
            <w:tcBorders>
              <w:top w:val="single" w:sz="4" w:space="0" w:color="000000"/>
              <w:left w:val="single" w:sz="4" w:space="0" w:color="000000"/>
              <w:bottom w:val="single" w:sz="4" w:space="0" w:color="000000"/>
              <w:right w:val="single" w:sz="4" w:space="0" w:color="000000"/>
            </w:tcBorders>
          </w:tcPr>
          <w:p w14:paraId="5DC3EFF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049" w:type="dxa"/>
            <w:tcBorders>
              <w:top w:val="single" w:sz="4" w:space="0" w:color="000000"/>
              <w:left w:val="single" w:sz="4" w:space="0" w:color="000000"/>
              <w:bottom w:val="single" w:sz="4" w:space="0" w:color="000000"/>
              <w:right w:val="single" w:sz="4" w:space="0" w:color="000000"/>
            </w:tcBorders>
          </w:tcPr>
          <w:p w14:paraId="40DA9A92"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1D68AED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5EBAF66A" w14:textId="71EEA0B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0F7B8945" w14:textId="458C3492"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48AC27B1"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Kraujagyslių sutrikimai</w:t>
            </w:r>
          </w:p>
        </w:tc>
        <w:tc>
          <w:tcPr>
            <w:tcW w:w="1559" w:type="dxa"/>
            <w:tcBorders>
              <w:top w:val="single" w:sz="4" w:space="0" w:color="000000"/>
              <w:left w:val="single" w:sz="4" w:space="0" w:color="000000"/>
              <w:bottom w:val="single" w:sz="4" w:space="0" w:color="000000"/>
              <w:right w:val="single" w:sz="4" w:space="0" w:color="000000"/>
            </w:tcBorders>
          </w:tcPr>
          <w:p w14:paraId="2EC9ACBE"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11688C8C" w14:textId="09F4B77D"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114DD8FC"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hematoma</w:t>
            </w:r>
          </w:p>
        </w:tc>
        <w:tc>
          <w:tcPr>
            <w:tcW w:w="2062" w:type="dxa"/>
            <w:tcBorders>
              <w:top w:val="single" w:sz="4" w:space="0" w:color="000000"/>
              <w:left w:val="single" w:sz="4" w:space="0" w:color="000000"/>
              <w:bottom w:val="single" w:sz="4" w:space="0" w:color="000000"/>
              <w:right w:val="single" w:sz="4" w:space="0" w:color="000000"/>
            </w:tcBorders>
          </w:tcPr>
          <w:p w14:paraId="728A08DF"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049" w:type="dxa"/>
            <w:tcBorders>
              <w:top w:val="single" w:sz="4" w:space="0" w:color="000000"/>
              <w:left w:val="single" w:sz="4" w:space="0" w:color="000000"/>
              <w:bottom w:val="single" w:sz="4" w:space="0" w:color="000000"/>
              <w:right w:val="single" w:sz="4" w:space="0" w:color="000000"/>
            </w:tcBorders>
          </w:tcPr>
          <w:p w14:paraId="34833E3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29F75AF1"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0C2FEE4F" w14:textId="07C45AD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7BD3979A" w14:textId="25D61382"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72E484CA"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Hipotenzija</w:t>
            </w:r>
            <w:proofErr w:type="spellEnd"/>
            <w:r w:rsidRPr="00D21DFA">
              <w:rPr>
                <w:rFonts w:ascii="Times New Roman" w:eastAsia="Times New Roman" w:hAnsi="Times New Roman" w:cs="Times New Roman"/>
                <w:snapToGrid w:val="0"/>
                <w:kern w:val="0"/>
                <w:sz w:val="22"/>
                <w:szCs w:val="20"/>
                <w14:ligatures w14:val="none"/>
              </w:rPr>
              <w:t xml:space="preserve"> (įskaitant </w:t>
            </w:r>
            <w:proofErr w:type="spellStart"/>
            <w:r w:rsidRPr="00D21DFA">
              <w:rPr>
                <w:rFonts w:ascii="Times New Roman" w:eastAsia="Times New Roman" w:hAnsi="Times New Roman" w:cs="Times New Roman"/>
                <w:snapToGrid w:val="0"/>
                <w:kern w:val="0"/>
                <w:sz w:val="22"/>
                <w:szCs w:val="20"/>
                <w14:ligatures w14:val="none"/>
              </w:rPr>
              <w:t>hipotenziją</w:t>
            </w:r>
            <w:proofErr w:type="spellEnd"/>
            <w:r w:rsidRPr="00D21DFA">
              <w:rPr>
                <w:rFonts w:ascii="Times New Roman" w:eastAsia="Times New Roman" w:hAnsi="Times New Roman" w:cs="Times New Roman"/>
                <w:snapToGrid w:val="0"/>
                <w:kern w:val="0"/>
                <w:sz w:val="22"/>
                <w:szCs w:val="20"/>
                <w14:ligatures w14:val="none"/>
              </w:rPr>
              <w:t xml:space="preserve"> procedūros metu)</w:t>
            </w:r>
          </w:p>
        </w:tc>
        <w:tc>
          <w:tcPr>
            <w:tcW w:w="2062" w:type="dxa"/>
            <w:tcBorders>
              <w:top w:val="single" w:sz="4" w:space="0" w:color="000000"/>
              <w:left w:val="single" w:sz="4" w:space="0" w:color="000000"/>
              <w:bottom w:val="single" w:sz="4" w:space="0" w:color="000000"/>
              <w:right w:val="single" w:sz="4" w:space="0" w:color="000000"/>
            </w:tcBorders>
          </w:tcPr>
          <w:p w14:paraId="43C7207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49360C7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3989F04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20B72EA8" w14:textId="4AF28772"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62C83F60" w14:textId="2E85A100"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7F6BD78B"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pilvo ertmę</w:t>
            </w:r>
          </w:p>
        </w:tc>
        <w:tc>
          <w:tcPr>
            <w:tcW w:w="2062" w:type="dxa"/>
            <w:tcBorders>
              <w:top w:val="single" w:sz="4" w:space="0" w:color="000000"/>
              <w:left w:val="single" w:sz="4" w:space="0" w:color="000000"/>
              <w:bottom w:val="single" w:sz="4" w:space="0" w:color="000000"/>
              <w:right w:val="single" w:sz="4" w:space="0" w:color="000000"/>
            </w:tcBorders>
          </w:tcPr>
          <w:p w14:paraId="6738DF36"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0BD8143B"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7B8CC75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559" w:type="dxa"/>
            <w:tcBorders>
              <w:top w:val="single" w:sz="4" w:space="0" w:color="000000"/>
              <w:left w:val="single" w:sz="4" w:space="0" w:color="000000"/>
              <w:bottom w:val="single" w:sz="4" w:space="0" w:color="000000"/>
              <w:right w:val="single" w:sz="4" w:space="0" w:color="000000"/>
            </w:tcBorders>
          </w:tcPr>
          <w:p w14:paraId="577E38CB" w14:textId="76497123"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6A85898A" w14:textId="20559BA4"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37343FEF"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Kvėpavimo sistemos, krūtinės ląstos ir tarpuplaučio sutrikimai</w:t>
            </w:r>
          </w:p>
        </w:tc>
        <w:tc>
          <w:tcPr>
            <w:tcW w:w="1559" w:type="dxa"/>
            <w:tcBorders>
              <w:top w:val="single" w:sz="4" w:space="0" w:color="000000"/>
              <w:left w:val="single" w:sz="4" w:space="0" w:color="000000"/>
              <w:bottom w:val="single" w:sz="4" w:space="0" w:color="000000"/>
              <w:right w:val="single" w:sz="4" w:space="0" w:color="000000"/>
            </w:tcBorders>
          </w:tcPr>
          <w:p w14:paraId="0F409888"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749C9388" w14:textId="3C28447E"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1FFA6B8B"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nosies</w:t>
            </w:r>
          </w:p>
        </w:tc>
        <w:tc>
          <w:tcPr>
            <w:tcW w:w="2062" w:type="dxa"/>
            <w:tcBorders>
              <w:top w:val="single" w:sz="4" w:space="0" w:color="000000"/>
              <w:left w:val="single" w:sz="4" w:space="0" w:color="000000"/>
              <w:bottom w:val="single" w:sz="4" w:space="0" w:color="000000"/>
              <w:right w:val="single" w:sz="4" w:space="0" w:color="000000"/>
            </w:tcBorders>
          </w:tcPr>
          <w:p w14:paraId="64FC895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472E94C5"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610E1731"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6FD85A41" w14:textId="30816183"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Labai dažnas</w:t>
            </w:r>
          </w:p>
        </w:tc>
      </w:tr>
      <w:tr w:rsidR="004C6201" w:rsidRPr="00D21DFA" w14:paraId="106344A2" w14:textId="5A0B7090"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35D4B55A" w14:textId="676DAB5B"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Hemoptozė</w:t>
            </w:r>
            <w:proofErr w:type="spellEnd"/>
            <w:r w:rsidRPr="00D21DFA">
              <w:rPr>
                <w:rFonts w:ascii="Times New Roman" w:eastAsia="Times New Roman" w:hAnsi="Times New Roman" w:cs="Times New Roman"/>
                <w:snapToGrid w:val="0"/>
                <w:kern w:val="0"/>
                <w:sz w:val="22"/>
                <w:szCs w:val="20"/>
                <w14:ligatures w14:val="none"/>
              </w:rPr>
              <w:t xml:space="preserve"> (atsikosėjimas krauju)</w:t>
            </w:r>
          </w:p>
        </w:tc>
        <w:tc>
          <w:tcPr>
            <w:tcW w:w="2062" w:type="dxa"/>
            <w:tcBorders>
              <w:top w:val="single" w:sz="4" w:space="0" w:color="000000"/>
              <w:left w:val="single" w:sz="4" w:space="0" w:color="000000"/>
              <w:bottom w:val="single" w:sz="4" w:space="0" w:color="000000"/>
              <w:right w:val="single" w:sz="4" w:space="0" w:color="000000"/>
            </w:tcBorders>
          </w:tcPr>
          <w:p w14:paraId="3C3E1BBB"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049" w:type="dxa"/>
            <w:tcBorders>
              <w:top w:val="single" w:sz="4" w:space="0" w:color="000000"/>
              <w:left w:val="single" w:sz="4" w:space="0" w:color="000000"/>
              <w:bottom w:val="single" w:sz="4" w:space="0" w:color="000000"/>
              <w:right w:val="single" w:sz="4" w:space="0" w:color="000000"/>
            </w:tcBorders>
          </w:tcPr>
          <w:p w14:paraId="35BAAD33"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55935651"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03EA3562" w14:textId="509D9BC5"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4EE66E43" w14:textId="4B0EA7C0"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4B4CC135"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iš kvėpavimo takų </w:t>
            </w:r>
          </w:p>
        </w:tc>
        <w:tc>
          <w:tcPr>
            <w:tcW w:w="2062" w:type="dxa"/>
            <w:tcBorders>
              <w:top w:val="single" w:sz="4" w:space="0" w:color="000000"/>
              <w:left w:val="single" w:sz="4" w:space="0" w:color="000000"/>
              <w:bottom w:val="single" w:sz="4" w:space="0" w:color="000000"/>
              <w:right w:val="single" w:sz="4" w:space="0" w:color="000000"/>
            </w:tcBorders>
          </w:tcPr>
          <w:p w14:paraId="5A9CFD9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53B9AD46"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1843" w:type="dxa"/>
            <w:tcBorders>
              <w:top w:val="single" w:sz="4" w:space="0" w:color="000000"/>
              <w:left w:val="single" w:sz="4" w:space="0" w:color="000000"/>
              <w:bottom w:val="single" w:sz="4" w:space="0" w:color="000000"/>
              <w:right w:val="single" w:sz="4" w:space="0" w:color="000000"/>
            </w:tcBorders>
          </w:tcPr>
          <w:p w14:paraId="1539365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1559" w:type="dxa"/>
            <w:tcBorders>
              <w:top w:val="single" w:sz="4" w:space="0" w:color="000000"/>
              <w:left w:val="single" w:sz="4" w:space="0" w:color="000000"/>
              <w:bottom w:val="single" w:sz="4" w:space="0" w:color="000000"/>
              <w:right w:val="single" w:sz="4" w:space="0" w:color="000000"/>
            </w:tcBorders>
          </w:tcPr>
          <w:p w14:paraId="0C463E9B" w14:textId="773F5A55"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7E05755E" w14:textId="7DDC6937"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7920E531"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2"/>
                <w14:ligatures w14:val="none"/>
              </w:rPr>
              <w:t>Virškinimo trakto sutrikimai</w:t>
            </w:r>
          </w:p>
        </w:tc>
        <w:tc>
          <w:tcPr>
            <w:tcW w:w="1559" w:type="dxa"/>
            <w:tcBorders>
              <w:top w:val="single" w:sz="4" w:space="0" w:color="000000"/>
              <w:left w:val="single" w:sz="4" w:space="0" w:color="000000"/>
              <w:bottom w:val="single" w:sz="4" w:space="0" w:color="000000"/>
              <w:right w:val="single" w:sz="4" w:space="0" w:color="000000"/>
            </w:tcBorders>
          </w:tcPr>
          <w:p w14:paraId="0BBD69EE"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p>
        </w:tc>
      </w:tr>
      <w:tr w:rsidR="004C6201" w:rsidRPr="00D21DFA" w14:paraId="6A0B3503" w14:textId="7C95882E"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32749EFF"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Pykinimas</w:t>
            </w:r>
          </w:p>
        </w:tc>
        <w:tc>
          <w:tcPr>
            <w:tcW w:w="2062" w:type="dxa"/>
            <w:tcBorders>
              <w:top w:val="single" w:sz="4" w:space="0" w:color="000000"/>
              <w:left w:val="single" w:sz="4" w:space="0" w:color="000000"/>
              <w:bottom w:val="single" w:sz="4" w:space="0" w:color="000000"/>
              <w:right w:val="single" w:sz="4" w:space="0" w:color="000000"/>
            </w:tcBorders>
          </w:tcPr>
          <w:p w14:paraId="3F045C40"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049" w:type="dxa"/>
            <w:tcBorders>
              <w:top w:val="single" w:sz="4" w:space="0" w:color="000000"/>
              <w:left w:val="single" w:sz="4" w:space="0" w:color="000000"/>
              <w:bottom w:val="single" w:sz="4" w:space="0" w:color="000000"/>
              <w:right w:val="single" w:sz="4" w:space="0" w:color="000000"/>
            </w:tcBorders>
          </w:tcPr>
          <w:p w14:paraId="2553E542"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1E8EDEEF"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0F9639CF" w14:textId="42682458"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7B381572" w14:textId="11347FA9"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4AFDAB27"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virškinimo trakto</w:t>
            </w:r>
          </w:p>
        </w:tc>
        <w:tc>
          <w:tcPr>
            <w:tcW w:w="2062" w:type="dxa"/>
            <w:tcBorders>
              <w:top w:val="single" w:sz="4" w:space="0" w:color="000000"/>
              <w:left w:val="single" w:sz="4" w:space="0" w:color="000000"/>
              <w:bottom w:val="single" w:sz="4" w:space="0" w:color="000000"/>
              <w:right w:val="single" w:sz="4" w:space="0" w:color="000000"/>
            </w:tcBorders>
          </w:tcPr>
          <w:p w14:paraId="009BC2B3"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7289041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0D6F2055"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2612387C" w14:textId="4D0CE824"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16E2534C" w14:textId="240DA878"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319BBBF0" w14:textId="7553A7E2"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iš </w:t>
            </w:r>
            <w:proofErr w:type="spellStart"/>
            <w:r w:rsidRPr="00D21DFA">
              <w:rPr>
                <w:rFonts w:ascii="Times New Roman" w:eastAsia="Times New Roman" w:hAnsi="Times New Roman" w:cs="Times New Roman"/>
                <w:snapToGrid w:val="0"/>
                <w:kern w:val="0"/>
                <w:sz w:val="22"/>
                <w:szCs w:val="20"/>
                <w14:ligatures w14:val="none"/>
              </w:rPr>
              <w:t>hemorojinių</w:t>
            </w:r>
            <w:proofErr w:type="spellEnd"/>
            <w:r w:rsidRPr="00D21DFA">
              <w:rPr>
                <w:rFonts w:ascii="Times New Roman" w:eastAsia="Times New Roman" w:hAnsi="Times New Roman" w:cs="Times New Roman"/>
                <w:snapToGrid w:val="0"/>
                <w:kern w:val="0"/>
                <w:sz w:val="22"/>
                <w:szCs w:val="20"/>
                <w14:ligatures w14:val="none"/>
              </w:rPr>
              <w:t xml:space="preserve"> mazgų</w:t>
            </w:r>
          </w:p>
        </w:tc>
        <w:tc>
          <w:tcPr>
            <w:tcW w:w="2062" w:type="dxa"/>
            <w:tcBorders>
              <w:top w:val="single" w:sz="4" w:space="0" w:color="000000"/>
              <w:left w:val="single" w:sz="4" w:space="0" w:color="000000"/>
              <w:bottom w:val="single" w:sz="4" w:space="0" w:color="000000"/>
              <w:right w:val="single" w:sz="4" w:space="0" w:color="000000"/>
            </w:tcBorders>
          </w:tcPr>
          <w:p w14:paraId="3E85B40A"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2A58B2E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27D44EDE"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3B04B8A5" w14:textId="0F58AF0A"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7B8DD12C" w14:textId="3F2C5C7F"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03A24A61"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burnos</w:t>
            </w:r>
          </w:p>
        </w:tc>
        <w:tc>
          <w:tcPr>
            <w:tcW w:w="2062" w:type="dxa"/>
            <w:tcBorders>
              <w:top w:val="single" w:sz="4" w:space="0" w:color="000000"/>
              <w:left w:val="single" w:sz="4" w:space="0" w:color="000000"/>
              <w:bottom w:val="single" w:sz="4" w:space="0" w:color="000000"/>
              <w:right w:val="single" w:sz="4" w:space="0" w:color="000000"/>
            </w:tcBorders>
          </w:tcPr>
          <w:p w14:paraId="040C0E75"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5D93603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79DF034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23E543B6" w14:textId="028AE883"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6D679AB2" w14:textId="2D637336"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0A9E741B"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2"/>
                <w14:ligatures w14:val="none"/>
              </w:rPr>
              <w:t>Hematochezija</w:t>
            </w:r>
            <w:proofErr w:type="spellEnd"/>
            <w:r w:rsidRPr="00D21DFA">
              <w:rPr>
                <w:rFonts w:ascii="Times New Roman" w:eastAsia="Times New Roman" w:hAnsi="Times New Roman" w:cs="Times New Roman"/>
                <w:snapToGrid w:val="0"/>
                <w:kern w:val="0"/>
                <w:sz w:val="22"/>
                <w:szCs w:val="22"/>
                <w14:ligatures w14:val="none"/>
              </w:rPr>
              <w:t xml:space="preserve"> (šviežias kraujas išmatose)</w:t>
            </w:r>
          </w:p>
        </w:tc>
        <w:tc>
          <w:tcPr>
            <w:tcW w:w="2062" w:type="dxa"/>
            <w:tcBorders>
              <w:top w:val="single" w:sz="4" w:space="0" w:color="000000"/>
              <w:left w:val="single" w:sz="4" w:space="0" w:color="000000"/>
              <w:bottom w:val="single" w:sz="4" w:space="0" w:color="000000"/>
              <w:right w:val="single" w:sz="4" w:space="0" w:color="000000"/>
            </w:tcBorders>
          </w:tcPr>
          <w:p w14:paraId="7BD8F1AB"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4CBC205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6832515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5B47AD24" w14:textId="05250CA8"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6BBA7707" w14:textId="67CA25B4"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3AA696ED"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Kraujavimas iš tiesiosios žarnos, dantenų</w:t>
            </w:r>
          </w:p>
        </w:tc>
        <w:tc>
          <w:tcPr>
            <w:tcW w:w="2062" w:type="dxa"/>
            <w:tcBorders>
              <w:top w:val="single" w:sz="4" w:space="0" w:color="000000"/>
              <w:left w:val="single" w:sz="4" w:space="0" w:color="000000"/>
              <w:bottom w:val="single" w:sz="4" w:space="0" w:color="000000"/>
              <w:right w:val="single" w:sz="4" w:space="0" w:color="000000"/>
            </w:tcBorders>
          </w:tcPr>
          <w:p w14:paraId="23F8CA1B"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049" w:type="dxa"/>
            <w:tcBorders>
              <w:top w:val="single" w:sz="4" w:space="0" w:color="000000"/>
              <w:left w:val="single" w:sz="4" w:space="0" w:color="000000"/>
              <w:bottom w:val="single" w:sz="4" w:space="0" w:color="000000"/>
              <w:right w:val="single" w:sz="4" w:space="0" w:color="000000"/>
            </w:tcBorders>
          </w:tcPr>
          <w:p w14:paraId="1A6E36A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1132FA56"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51154C3F" w14:textId="1C9E152C"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58C4AC92" w14:textId="391AEF45"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6B7533D0" w14:textId="692EF11D"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į </w:t>
            </w:r>
            <w:proofErr w:type="spellStart"/>
            <w:r w:rsidRPr="00D21DFA">
              <w:rPr>
                <w:rFonts w:ascii="Times New Roman" w:eastAsia="Times New Roman" w:hAnsi="Times New Roman" w:cs="Times New Roman"/>
                <w:snapToGrid w:val="0"/>
                <w:kern w:val="0"/>
                <w:sz w:val="22"/>
                <w:szCs w:val="20"/>
                <w14:ligatures w14:val="none"/>
              </w:rPr>
              <w:t>retroperitoninį</w:t>
            </w:r>
            <w:proofErr w:type="spellEnd"/>
            <w:r w:rsidRPr="00D21DFA">
              <w:rPr>
                <w:rFonts w:ascii="Times New Roman" w:eastAsia="Times New Roman" w:hAnsi="Times New Roman" w:cs="Times New Roman"/>
                <w:snapToGrid w:val="0"/>
                <w:kern w:val="0"/>
                <w:sz w:val="22"/>
                <w:szCs w:val="20"/>
                <w14:ligatures w14:val="none"/>
              </w:rPr>
              <w:t xml:space="preserve"> tarpą</w:t>
            </w:r>
          </w:p>
        </w:tc>
        <w:tc>
          <w:tcPr>
            <w:tcW w:w="2062" w:type="dxa"/>
            <w:tcBorders>
              <w:top w:val="single" w:sz="4" w:space="0" w:color="000000"/>
              <w:left w:val="single" w:sz="4" w:space="0" w:color="000000"/>
              <w:bottom w:val="single" w:sz="4" w:space="0" w:color="000000"/>
              <w:right w:val="single" w:sz="4" w:space="0" w:color="000000"/>
            </w:tcBorders>
          </w:tcPr>
          <w:p w14:paraId="0A519E8A"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783BBDD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1843" w:type="dxa"/>
            <w:tcBorders>
              <w:top w:val="single" w:sz="4" w:space="0" w:color="000000"/>
              <w:left w:val="single" w:sz="4" w:space="0" w:color="000000"/>
              <w:bottom w:val="single" w:sz="4" w:space="0" w:color="000000"/>
              <w:right w:val="single" w:sz="4" w:space="0" w:color="000000"/>
            </w:tcBorders>
          </w:tcPr>
          <w:p w14:paraId="26EFCE2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559" w:type="dxa"/>
            <w:tcBorders>
              <w:top w:val="single" w:sz="4" w:space="0" w:color="000000"/>
              <w:left w:val="single" w:sz="4" w:space="0" w:color="000000"/>
              <w:bottom w:val="single" w:sz="4" w:space="0" w:color="000000"/>
              <w:right w:val="single" w:sz="4" w:space="0" w:color="000000"/>
            </w:tcBorders>
          </w:tcPr>
          <w:p w14:paraId="5959F07F" w14:textId="34FDF849"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5A44AB16" w14:textId="6A6C2E72"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0C1D474A"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Kepenų, tulžies pūslės ir latakų sutrikimai</w:t>
            </w:r>
            <w:r w:rsidRPr="00D21DFA">
              <w:rPr>
                <w:rFonts w:ascii="Times New Roman" w:eastAsia="Times New Roman" w:hAnsi="Times New Roman" w:cs="Times New Roman"/>
                <w:snapToGrid w:val="0"/>
                <w:kern w:val="0"/>
                <w:sz w:val="22"/>
                <w:szCs w:val="20"/>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33EC459"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30EF55C9" w14:textId="29FF6A9E"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17645698"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Nenormalūs kepenų funkcijos tyrimų rodmenys, aspartataminotransferazės, šarminės fosfatazės suaktyvėjimas kraujyje, </w:t>
            </w:r>
            <w:proofErr w:type="spellStart"/>
            <w:r w:rsidRPr="00D21DFA">
              <w:rPr>
                <w:rFonts w:ascii="Times New Roman" w:eastAsia="Times New Roman" w:hAnsi="Times New Roman" w:cs="Times New Roman"/>
                <w:snapToGrid w:val="0"/>
                <w:kern w:val="0"/>
                <w:sz w:val="22"/>
                <w:szCs w:val="20"/>
                <w14:ligatures w14:val="none"/>
              </w:rPr>
              <w:t>bilirubino</w:t>
            </w:r>
            <w:proofErr w:type="spellEnd"/>
            <w:r w:rsidRPr="00D21DFA">
              <w:rPr>
                <w:rFonts w:ascii="Times New Roman" w:eastAsia="Times New Roman" w:hAnsi="Times New Roman" w:cs="Times New Roman"/>
                <w:snapToGrid w:val="0"/>
                <w:kern w:val="0"/>
                <w:sz w:val="22"/>
                <w:szCs w:val="20"/>
                <w14:ligatures w14:val="none"/>
              </w:rPr>
              <w:t xml:space="preserve"> kiekio padidėjimas kraujyje</w:t>
            </w:r>
          </w:p>
        </w:tc>
        <w:tc>
          <w:tcPr>
            <w:tcW w:w="2062" w:type="dxa"/>
            <w:tcBorders>
              <w:top w:val="single" w:sz="4" w:space="0" w:color="000000"/>
              <w:left w:val="single" w:sz="4" w:space="0" w:color="000000"/>
              <w:bottom w:val="single" w:sz="4" w:space="0" w:color="000000"/>
              <w:right w:val="single" w:sz="4" w:space="0" w:color="000000"/>
            </w:tcBorders>
          </w:tcPr>
          <w:p w14:paraId="7F5AB266"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557AE133"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661E3BF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46A9F289" w14:textId="1089D95B"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4D7F35A9" w14:textId="00CA4206"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68BADECD"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Gama-</w:t>
            </w:r>
            <w:proofErr w:type="spellStart"/>
            <w:r w:rsidRPr="00D21DFA">
              <w:rPr>
                <w:rFonts w:ascii="Times New Roman" w:eastAsia="Times New Roman" w:hAnsi="Times New Roman" w:cs="Times New Roman"/>
                <w:snapToGrid w:val="0"/>
                <w:kern w:val="0"/>
                <w:sz w:val="22"/>
                <w:szCs w:val="22"/>
                <w14:ligatures w14:val="none"/>
              </w:rPr>
              <w:t>gliutamiltransferazės</w:t>
            </w:r>
            <w:proofErr w:type="spellEnd"/>
            <w:r w:rsidRPr="00D21DFA">
              <w:rPr>
                <w:rFonts w:ascii="Times New Roman" w:eastAsia="Times New Roman" w:hAnsi="Times New Roman" w:cs="Times New Roman"/>
                <w:snapToGrid w:val="0"/>
                <w:kern w:val="0"/>
                <w:sz w:val="22"/>
                <w:szCs w:val="22"/>
                <w14:ligatures w14:val="none"/>
              </w:rPr>
              <w:t xml:space="preserve"> aktyvumo padidėjimas kraujyje</w:t>
            </w:r>
          </w:p>
        </w:tc>
        <w:tc>
          <w:tcPr>
            <w:tcW w:w="2062" w:type="dxa"/>
            <w:tcBorders>
              <w:top w:val="single" w:sz="4" w:space="0" w:color="000000"/>
              <w:left w:val="single" w:sz="4" w:space="0" w:color="000000"/>
              <w:bottom w:val="single" w:sz="4" w:space="0" w:color="000000"/>
              <w:right w:val="single" w:sz="4" w:space="0" w:color="000000"/>
            </w:tcBorders>
          </w:tcPr>
          <w:p w14:paraId="6402560E"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48AC536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16080A4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6A5381E5" w14:textId="046C058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3ED9CC37" w14:textId="20AB245B"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243A7581"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lastRenderedPageBreak/>
              <w:t>Alanintransferazės</w:t>
            </w:r>
            <w:proofErr w:type="spellEnd"/>
            <w:r w:rsidRPr="00D21DFA">
              <w:rPr>
                <w:rFonts w:ascii="Times New Roman" w:eastAsia="Times New Roman" w:hAnsi="Times New Roman" w:cs="Times New Roman"/>
                <w:snapToGrid w:val="0"/>
                <w:kern w:val="0"/>
                <w:sz w:val="22"/>
                <w:szCs w:val="22"/>
                <w14:ligatures w14:val="none"/>
              </w:rPr>
              <w:t xml:space="preserve"> aktyvumo padidėjimas kraujyje</w:t>
            </w:r>
          </w:p>
        </w:tc>
        <w:tc>
          <w:tcPr>
            <w:tcW w:w="2062" w:type="dxa"/>
            <w:tcBorders>
              <w:top w:val="single" w:sz="4" w:space="0" w:color="000000"/>
              <w:left w:val="single" w:sz="4" w:space="0" w:color="000000"/>
              <w:bottom w:val="single" w:sz="4" w:space="0" w:color="000000"/>
              <w:right w:val="single" w:sz="4" w:space="0" w:color="000000"/>
            </w:tcBorders>
          </w:tcPr>
          <w:p w14:paraId="71BA98E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1E898561"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1CCEA69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609E8728" w14:textId="1582CF9C"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12F1F09C" w14:textId="3CB3EA0A" w:rsidTr="00AD1A35">
        <w:trPr>
          <w:trHeight w:val="263"/>
        </w:trPr>
        <w:tc>
          <w:tcPr>
            <w:tcW w:w="6408" w:type="dxa"/>
            <w:gridSpan w:val="3"/>
            <w:tcBorders>
              <w:top w:val="single" w:sz="4" w:space="0" w:color="000000"/>
              <w:left w:val="single" w:sz="4" w:space="0" w:color="000000"/>
              <w:bottom w:val="single" w:sz="4" w:space="0" w:color="000000"/>
              <w:right w:val="single" w:sz="4" w:space="0" w:color="000000"/>
            </w:tcBorders>
          </w:tcPr>
          <w:p w14:paraId="447C4042"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2"/>
                <w14:ligatures w14:val="none"/>
              </w:rPr>
              <w:t>Odos ir poodinio audinio sutrikimai</w:t>
            </w:r>
          </w:p>
        </w:tc>
        <w:tc>
          <w:tcPr>
            <w:tcW w:w="1843" w:type="dxa"/>
            <w:tcBorders>
              <w:top w:val="single" w:sz="4" w:space="0" w:color="000000"/>
              <w:left w:val="single" w:sz="4" w:space="0" w:color="000000"/>
              <w:bottom w:val="single" w:sz="4" w:space="0" w:color="000000"/>
              <w:right w:val="single" w:sz="4" w:space="0" w:color="000000"/>
            </w:tcBorders>
          </w:tcPr>
          <w:p w14:paraId="6DB9FB7E"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D2659AC"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r>
      <w:tr w:rsidR="004C6201" w:rsidRPr="00D21DFA" w14:paraId="09E9343D" w14:textId="234B05BC"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66A8506F"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Išbėrimas</w:t>
            </w:r>
          </w:p>
        </w:tc>
        <w:tc>
          <w:tcPr>
            <w:tcW w:w="2062" w:type="dxa"/>
            <w:tcBorders>
              <w:top w:val="single" w:sz="4" w:space="0" w:color="000000"/>
              <w:left w:val="single" w:sz="4" w:space="0" w:color="000000"/>
              <w:bottom w:val="single" w:sz="4" w:space="0" w:color="000000"/>
              <w:right w:val="single" w:sz="4" w:space="0" w:color="000000"/>
            </w:tcBorders>
          </w:tcPr>
          <w:p w14:paraId="6222A24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65B7F2C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5CE9A19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1027C681" w14:textId="3491AA6B"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2FAF2946" w14:textId="60F70818"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5285D0D7"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Nuplikimas</w:t>
            </w:r>
          </w:p>
        </w:tc>
        <w:tc>
          <w:tcPr>
            <w:tcW w:w="2062" w:type="dxa"/>
            <w:tcBorders>
              <w:top w:val="single" w:sz="4" w:space="0" w:color="000000"/>
              <w:left w:val="single" w:sz="4" w:space="0" w:color="000000"/>
              <w:bottom w:val="single" w:sz="4" w:space="0" w:color="000000"/>
              <w:right w:val="single" w:sz="4" w:space="0" w:color="000000"/>
            </w:tcBorders>
          </w:tcPr>
          <w:p w14:paraId="72A9A94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049" w:type="dxa"/>
            <w:tcBorders>
              <w:top w:val="single" w:sz="4" w:space="0" w:color="000000"/>
              <w:left w:val="single" w:sz="4" w:space="0" w:color="000000"/>
              <w:bottom w:val="single" w:sz="4" w:space="0" w:color="000000"/>
              <w:right w:val="single" w:sz="4" w:space="0" w:color="000000"/>
            </w:tcBorders>
          </w:tcPr>
          <w:p w14:paraId="71D045E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5E16E72A"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7FFE7AA0" w14:textId="1FF03624"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4C6201" w:rsidRPr="00D21DFA" w14:paraId="50BC729A" w14:textId="60B33A45"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6DCF354C" w14:textId="2F3C520E"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Daugiaformė raudonė (</w:t>
            </w:r>
            <w:proofErr w:type="spellStart"/>
            <w:r w:rsidRPr="00D21DFA">
              <w:rPr>
                <w:rFonts w:ascii="Times New Roman" w:eastAsia="Times New Roman" w:hAnsi="Times New Roman" w:cs="Times New Roman"/>
                <w:snapToGrid w:val="0"/>
                <w:kern w:val="0"/>
                <w:sz w:val="22"/>
                <w:szCs w:val="22"/>
                <w14:ligatures w14:val="none"/>
              </w:rPr>
              <w:t>eritema</w:t>
            </w:r>
            <w:proofErr w:type="spellEnd"/>
            <w:r w:rsidRPr="00D21DFA">
              <w:rPr>
                <w:rFonts w:ascii="Times New Roman" w:eastAsia="Times New Roman" w:hAnsi="Times New Roman" w:cs="Times New Roman"/>
                <w:snapToGrid w:val="0"/>
                <w:kern w:val="0"/>
                <w:sz w:val="22"/>
                <w:szCs w:val="22"/>
                <w14:ligatures w14:val="none"/>
              </w:rPr>
              <w:t>)</w:t>
            </w:r>
          </w:p>
        </w:tc>
        <w:tc>
          <w:tcPr>
            <w:tcW w:w="2062" w:type="dxa"/>
            <w:tcBorders>
              <w:top w:val="single" w:sz="4" w:space="0" w:color="000000"/>
              <w:left w:val="single" w:sz="4" w:space="0" w:color="000000"/>
              <w:bottom w:val="single" w:sz="4" w:space="0" w:color="000000"/>
              <w:right w:val="single" w:sz="4" w:space="0" w:color="000000"/>
            </w:tcBorders>
          </w:tcPr>
          <w:p w14:paraId="413CA0C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4DF0584B"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Labai retas</w:t>
            </w:r>
          </w:p>
        </w:tc>
        <w:tc>
          <w:tcPr>
            <w:tcW w:w="1843" w:type="dxa"/>
            <w:tcBorders>
              <w:top w:val="single" w:sz="4" w:space="0" w:color="000000"/>
              <w:left w:val="single" w:sz="4" w:space="0" w:color="000000"/>
              <w:bottom w:val="single" w:sz="4" w:space="0" w:color="000000"/>
              <w:right w:val="single" w:sz="4" w:space="0" w:color="000000"/>
            </w:tcBorders>
          </w:tcPr>
          <w:p w14:paraId="18780DF7"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559" w:type="dxa"/>
            <w:tcBorders>
              <w:top w:val="single" w:sz="4" w:space="0" w:color="000000"/>
              <w:left w:val="single" w:sz="4" w:space="0" w:color="000000"/>
              <w:bottom w:val="single" w:sz="4" w:space="0" w:color="000000"/>
              <w:right w:val="single" w:sz="4" w:space="0" w:color="000000"/>
            </w:tcBorders>
          </w:tcPr>
          <w:p w14:paraId="56CF4381" w14:textId="144A6BFF"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44051F14" w14:textId="685D8EEB"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68856EC9"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Odos </w:t>
            </w:r>
            <w:proofErr w:type="spellStart"/>
            <w:r w:rsidRPr="00D21DFA">
              <w:rPr>
                <w:rFonts w:ascii="Times New Roman" w:eastAsia="Times New Roman" w:hAnsi="Times New Roman" w:cs="Times New Roman"/>
                <w:snapToGrid w:val="0"/>
                <w:kern w:val="0"/>
                <w:sz w:val="22"/>
                <w:szCs w:val="22"/>
                <w14:ligatures w14:val="none"/>
              </w:rPr>
              <w:t>vaskulitas</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61F803FD"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02BDDB21"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488C28C6"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559" w:type="dxa"/>
            <w:tcBorders>
              <w:top w:val="single" w:sz="4" w:space="0" w:color="000000"/>
              <w:left w:val="single" w:sz="4" w:space="0" w:color="000000"/>
              <w:bottom w:val="single" w:sz="4" w:space="0" w:color="000000"/>
              <w:right w:val="single" w:sz="4" w:space="0" w:color="000000"/>
            </w:tcBorders>
          </w:tcPr>
          <w:p w14:paraId="6840AC27" w14:textId="6BC9ADFA"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6AB4C3B8" w14:textId="14194BC2" w:rsidTr="00AD1A35">
        <w:trPr>
          <w:trHeight w:val="263"/>
        </w:trPr>
        <w:tc>
          <w:tcPr>
            <w:tcW w:w="6408" w:type="dxa"/>
            <w:gridSpan w:val="3"/>
            <w:tcBorders>
              <w:top w:val="single" w:sz="4" w:space="0" w:color="000000"/>
              <w:left w:val="single" w:sz="4" w:space="0" w:color="000000"/>
              <w:bottom w:val="single" w:sz="4" w:space="0" w:color="000000"/>
              <w:right w:val="single" w:sz="4" w:space="0" w:color="000000"/>
            </w:tcBorders>
          </w:tcPr>
          <w:p w14:paraId="1386295F"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Skeleto, raumenų ir jungiamojo audinio sutrikimai</w:t>
            </w:r>
          </w:p>
        </w:tc>
        <w:tc>
          <w:tcPr>
            <w:tcW w:w="1843" w:type="dxa"/>
            <w:tcBorders>
              <w:top w:val="single" w:sz="4" w:space="0" w:color="000000"/>
              <w:left w:val="single" w:sz="4" w:space="0" w:color="000000"/>
              <w:bottom w:val="single" w:sz="4" w:space="0" w:color="000000"/>
              <w:right w:val="single" w:sz="4" w:space="0" w:color="000000"/>
            </w:tcBorders>
          </w:tcPr>
          <w:p w14:paraId="1CEDD298"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97C010F"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r>
      <w:tr w:rsidR="004C6201" w:rsidRPr="00D21DFA" w14:paraId="1CF3602A" w14:textId="15415D0A"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33C55405"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raumenis</w:t>
            </w:r>
          </w:p>
        </w:tc>
        <w:tc>
          <w:tcPr>
            <w:tcW w:w="2062" w:type="dxa"/>
            <w:tcBorders>
              <w:top w:val="single" w:sz="4" w:space="0" w:color="000000"/>
              <w:left w:val="single" w:sz="4" w:space="0" w:color="000000"/>
              <w:bottom w:val="single" w:sz="4" w:space="0" w:color="000000"/>
              <w:right w:val="single" w:sz="4" w:space="0" w:color="000000"/>
            </w:tcBorders>
          </w:tcPr>
          <w:p w14:paraId="3435060E"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049" w:type="dxa"/>
            <w:tcBorders>
              <w:top w:val="single" w:sz="4" w:space="0" w:color="000000"/>
              <w:left w:val="single" w:sz="4" w:space="0" w:color="000000"/>
              <w:bottom w:val="single" w:sz="4" w:space="0" w:color="000000"/>
              <w:right w:val="single" w:sz="4" w:space="0" w:color="000000"/>
            </w:tcBorders>
          </w:tcPr>
          <w:p w14:paraId="71361070"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1843" w:type="dxa"/>
            <w:tcBorders>
              <w:top w:val="single" w:sz="4" w:space="0" w:color="000000"/>
              <w:left w:val="single" w:sz="4" w:space="0" w:color="000000"/>
              <w:bottom w:val="single" w:sz="4" w:space="0" w:color="000000"/>
              <w:right w:val="single" w:sz="4" w:space="0" w:color="000000"/>
            </w:tcBorders>
          </w:tcPr>
          <w:p w14:paraId="4221923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079B1224" w14:textId="3D001C89"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4C6201" w:rsidRPr="00D21DFA" w14:paraId="4B3849CA" w14:textId="6313A9D2"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3FBCDB5D"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Inkstų ir šlapimo takų sutrikimai</w:t>
            </w:r>
          </w:p>
        </w:tc>
        <w:tc>
          <w:tcPr>
            <w:tcW w:w="1559" w:type="dxa"/>
            <w:tcBorders>
              <w:top w:val="single" w:sz="4" w:space="0" w:color="000000"/>
              <w:left w:val="single" w:sz="4" w:space="0" w:color="000000"/>
              <w:bottom w:val="single" w:sz="4" w:space="0" w:color="000000"/>
              <w:right w:val="single" w:sz="4" w:space="0" w:color="000000"/>
            </w:tcBorders>
          </w:tcPr>
          <w:p w14:paraId="0466C6B8"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4C6201" w:rsidRPr="00D21DFA" w14:paraId="3F498165" w14:textId="75E223C2"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49739D67" w14:textId="77777777" w:rsidR="004C6201" w:rsidRPr="00D21DFA" w:rsidRDefault="004C62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Hematurija</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736A5C25"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525DEE94"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78967669" w14:textId="7777777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7F82BC0A" w14:textId="5E079557" w:rsidR="004C6201" w:rsidRPr="00D21DFA" w:rsidRDefault="004C6201" w:rsidP="00C95D96">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765612D8" w14:textId="77777777"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714D2D45" w14:textId="16E7D51B"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Pr>
                <w:rFonts w:ascii="Times New Roman" w:eastAsia="Times New Roman" w:hAnsi="Times New Roman" w:cs="Times New Roman"/>
                <w:snapToGrid w:val="0"/>
                <w:kern w:val="0"/>
                <w:sz w:val="22"/>
                <w:szCs w:val="20"/>
                <w14:ligatures w14:val="none"/>
              </w:rPr>
              <w:t xml:space="preserve">Su antikoaguliantais susijusi </w:t>
            </w:r>
            <w:proofErr w:type="spellStart"/>
            <w:r>
              <w:rPr>
                <w:rFonts w:ascii="Times New Roman" w:eastAsia="Times New Roman" w:hAnsi="Times New Roman" w:cs="Times New Roman"/>
                <w:snapToGrid w:val="0"/>
                <w:kern w:val="0"/>
                <w:sz w:val="22"/>
                <w:szCs w:val="20"/>
                <w14:ligatures w14:val="none"/>
              </w:rPr>
              <w:t>nefropatija</w:t>
            </w:r>
            <w:proofErr w:type="spellEnd"/>
          </w:p>
        </w:tc>
        <w:tc>
          <w:tcPr>
            <w:tcW w:w="2062" w:type="dxa"/>
            <w:tcBorders>
              <w:top w:val="single" w:sz="4" w:space="0" w:color="000000"/>
              <w:left w:val="single" w:sz="4" w:space="0" w:color="000000"/>
              <w:bottom w:val="single" w:sz="4" w:space="0" w:color="000000"/>
              <w:right w:val="single" w:sz="4" w:space="0" w:color="000000"/>
            </w:tcBorders>
          </w:tcPr>
          <w:p w14:paraId="38CE93B9" w14:textId="56E72D19"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6805EA29" w14:textId="7DB9EC13"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843" w:type="dxa"/>
            <w:tcBorders>
              <w:top w:val="single" w:sz="4" w:space="0" w:color="000000"/>
              <w:left w:val="single" w:sz="4" w:space="0" w:color="000000"/>
              <w:bottom w:val="single" w:sz="4" w:space="0" w:color="000000"/>
              <w:right w:val="single" w:sz="4" w:space="0" w:color="000000"/>
            </w:tcBorders>
          </w:tcPr>
          <w:p w14:paraId="45F50B73" w14:textId="60A2867E"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1559" w:type="dxa"/>
            <w:tcBorders>
              <w:top w:val="single" w:sz="4" w:space="0" w:color="000000"/>
              <w:left w:val="single" w:sz="4" w:space="0" w:color="000000"/>
              <w:bottom w:val="single" w:sz="4" w:space="0" w:color="000000"/>
              <w:right w:val="single" w:sz="4" w:space="0" w:color="000000"/>
            </w:tcBorders>
          </w:tcPr>
          <w:p w14:paraId="64C50B79" w14:textId="560E77B3"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516773E7" w14:textId="5574C17E"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01F5E539"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Lytinės sistemos ir krūties sutrikimai</w:t>
            </w:r>
          </w:p>
        </w:tc>
        <w:tc>
          <w:tcPr>
            <w:tcW w:w="1559" w:type="dxa"/>
            <w:tcBorders>
              <w:top w:val="single" w:sz="4" w:space="0" w:color="000000"/>
              <w:left w:val="single" w:sz="4" w:space="0" w:color="000000"/>
              <w:bottom w:val="single" w:sz="4" w:space="0" w:color="000000"/>
              <w:right w:val="single" w:sz="4" w:space="0" w:color="000000"/>
            </w:tcBorders>
          </w:tcPr>
          <w:p w14:paraId="7B2FF455"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76650CDE" w14:textId="79BD60DA"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08D6479B"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Nenormalus kraujavimas iš makšties, kraujavimas iš šlapimo ir lyties organų</w:t>
            </w:r>
          </w:p>
        </w:tc>
        <w:tc>
          <w:tcPr>
            <w:tcW w:w="2062" w:type="dxa"/>
            <w:tcBorders>
              <w:top w:val="single" w:sz="4" w:space="0" w:color="000000"/>
              <w:left w:val="single" w:sz="4" w:space="0" w:color="000000"/>
              <w:bottom w:val="single" w:sz="4" w:space="0" w:color="000000"/>
              <w:right w:val="single" w:sz="4" w:space="0" w:color="000000"/>
            </w:tcBorders>
          </w:tcPr>
          <w:p w14:paraId="1F85B1E5"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67065496"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78E7F9BF"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713994B0" w14:textId="6DC08E88"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Labai dažnas</w:t>
            </w:r>
            <w:r w:rsidRPr="00AD1A35">
              <w:rPr>
                <w:rFonts w:ascii="Times New Roman" w:eastAsia="Times New Roman" w:hAnsi="Times New Roman" w:cs="Times New Roman" w:hint="eastAsia"/>
                <w:snapToGrid w:val="0"/>
                <w:kern w:val="0"/>
                <w:sz w:val="22"/>
                <w:szCs w:val="22"/>
                <w:vertAlign w:val="superscript"/>
                <w14:ligatures w14:val="none"/>
              </w:rPr>
              <w:t>§</w:t>
            </w:r>
          </w:p>
        </w:tc>
      </w:tr>
      <w:tr w:rsidR="008A3802" w:rsidRPr="00D21DFA" w14:paraId="5CB997C5" w14:textId="490A09C4"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1DABA3DA"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Bendrieji sutrikimai ir vartojimo vietos pažeidimai</w:t>
            </w:r>
          </w:p>
        </w:tc>
        <w:tc>
          <w:tcPr>
            <w:tcW w:w="1559" w:type="dxa"/>
            <w:tcBorders>
              <w:top w:val="single" w:sz="4" w:space="0" w:color="000000"/>
              <w:left w:val="single" w:sz="4" w:space="0" w:color="000000"/>
              <w:bottom w:val="single" w:sz="4" w:space="0" w:color="000000"/>
              <w:right w:val="single" w:sz="4" w:space="0" w:color="000000"/>
            </w:tcBorders>
          </w:tcPr>
          <w:p w14:paraId="2125785A"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512D26B2" w14:textId="3586C77F"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57003589"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vartojimo vietos</w:t>
            </w:r>
          </w:p>
        </w:tc>
        <w:tc>
          <w:tcPr>
            <w:tcW w:w="2062" w:type="dxa"/>
            <w:tcBorders>
              <w:top w:val="single" w:sz="4" w:space="0" w:color="000000"/>
              <w:left w:val="single" w:sz="4" w:space="0" w:color="000000"/>
              <w:bottom w:val="single" w:sz="4" w:space="0" w:color="000000"/>
              <w:right w:val="single" w:sz="4" w:space="0" w:color="000000"/>
            </w:tcBorders>
          </w:tcPr>
          <w:p w14:paraId="3E12A1DC"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6BD84DA2"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64274273"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0EA032D3" w14:textId="30B78F1B"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4056DC41" w14:textId="32CA7A68"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4C324A3D"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 xml:space="preserve">Tyrimai </w:t>
            </w:r>
          </w:p>
        </w:tc>
        <w:tc>
          <w:tcPr>
            <w:tcW w:w="1559" w:type="dxa"/>
            <w:tcBorders>
              <w:top w:val="single" w:sz="4" w:space="0" w:color="000000"/>
              <w:left w:val="single" w:sz="4" w:space="0" w:color="000000"/>
              <w:bottom w:val="single" w:sz="4" w:space="0" w:color="000000"/>
              <w:right w:val="single" w:sz="4" w:space="0" w:color="000000"/>
            </w:tcBorders>
          </w:tcPr>
          <w:p w14:paraId="1CC6B2A3"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565043C2" w14:textId="0DBFDC4D"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5F4C7823"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Teigiamas slapto kraujavimo mėginys</w:t>
            </w:r>
          </w:p>
        </w:tc>
        <w:tc>
          <w:tcPr>
            <w:tcW w:w="2062" w:type="dxa"/>
            <w:tcBorders>
              <w:top w:val="single" w:sz="4" w:space="0" w:color="000000"/>
              <w:left w:val="single" w:sz="4" w:space="0" w:color="000000"/>
              <w:bottom w:val="single" w:sz="4" w:space="0" w:color="000000"/>
              <w:right w:val="single" w:sz="4" w:space="0" w:color="000000"/>
            </w:tcBorders>
          </w:tcPr>
          <w:p w14:paraId="13A9BE58"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71F7F176"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4FF71E3F"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14733B96" w14:textId="3899519E"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35673124" w14:textId="23C19328" w:rsidTr="00AD1A35">
        <w:trPr>
          <w:trHeight w:val="263"/>
        </w:trPr>
        <w:tc>
          <w:tcPr>
            <w:tcW w:w="8251" w:type="dxa"/>
            <w:gridSpan w:val="4"/>
            <w:tcBorders>
              <w:top w:val="single" w:sz="4" w:space="0" w:color="000000"/>
              <w:left w:val="single" w:sz="4" w:space="0" w:color="000000"/>
              <w:bottom w:val="single" w:sz="4" w:space="0" w:color="000000"/>
              <w:right w:val="single" w:sz="4" w:space="0" w:color="000000"/>
            </w:tcBorders>
          </w:tcPr>
          <w:p w14:paraId="60444064"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Sužalojimai, apsinuodijimai ir procedūrų komplikacijos</w:t>
            </w:r>
          </w:p>
        </w:tc>
        <w:tc>
          <w:tcPr>
            <w:tcW w:w="1559" w:type="dxa"/>
            <w:tcBorders>
              <w:top w:val="single" w:sz="4" w:space="0" w:color="000000"/>
              <w:left w:val="single" w:sz="4" w:space="0" w:color="000000"/>
              <w:bottom w:val="single" w:sz="4" w:space="0" w:color="000000"/>
              <w:right w:val="single" w:sz="4" w:space="0" w:color="000000"/>
            </w:tcBorders>
          </w:tcPr>
          <w:p w14:paraId="543718B5"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4E1B2522" w14:textId="60BBB3EA"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52D512BC"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Sumušimas</w:t>
            </w:r>
          </w:p>
        </w:tc>
        <w:tc>
          <w:tcPr>
            <w:tcW w:w="2062" w:type="dxa"/>
            <w:tcBorders>
              <w:top w:val="single" w:sz="4" w:space="0" w:color="000000"/>
              <w:left w:val="single" w:sz="4" w:space="0" w:color="000000"/>
              <w:bottom w:val="single" w:sz="4" w:space="0" w:color="000000"/>
              <w:right w:val="single" w:sz="4" w:space="0" w:color="000000"/>
            </w:tcBorders>
          </w:tcPr>
          <w:p w14:paraId="533C9C46"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049" w:type="dxa"/>
            <w:tcBorders>
              <w:top w:val="single" w:sz="4" w:space="0" w:color="000000"/>
              <w:left w:val="single" w:sz="4" w:space="0" w:color="000000"/>
              <w:bottom w:val="single" w:sz="4" w:space="0" w:color="000000"/>
              <w:right w:val="single" w:sz="4" w:space="0" w:color="000000"/>
            </w:tcBorders>
          </w:tcPr>
          <w:p w14:paraId="57440B6F"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843" w:type="dxa"/>
            <w:tcBorders>
              <w:top w:val="single" w:sz="4" w:space="0" w:color="000000"/>
              <w:left w:val="single" w:sz="4" w:space="0" w:color="000000"/>
              <w:bottom w:val="single" w:sz="4" w:space="0" w:color="000000"/>
              <w:right w:val="single" w:sz="4" w:space="0" w:color="000000"/>
            </w:tcBorders>
          </w:tcPr>
          <w:p w14:paraId="687791A4"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1559" w:type="dxa"/>
            <w:tcBorders>
              <w:top w:val="single" w:sz="4" w:space="0" w:color="000000"/>
              <w:left w:val="single" w:sz="4" w:space="0" w:color="000000"/>
              <w:bottom w:val="single" w:sz="4" w:space="0" w:color="000000"/>
              <w:right w:val="single" w:sz="4" w:space="0" w:color="000000"/>
            </w:tcBorders>
          </w:tcPr>
          <w:p w14:paraId="1BF201E2" w14:textId="066CABD1"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2825D5FC" w14:textId="2E3F07D4"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026C5A0E"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2062" w:type="dxa"/>
            <w:tcBorders>
              <w:top w:val="single" w:sz="4" w:space="0" w:color="000000"/>
              <w:left w:val="single" w:sz="4" w:space="0" w:color="000000"/>
              <w:bottom w:val="single" w:sz="4" w:space="0" w:color="000000"/>
              <w:right w:val="single" w:sz="4" w:space="0" w:color="000000"/>
            </w:tcBorders>
          </w:tcPr>
          <w:p w14:paraId="11C77041"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049" w:type="dxa"/>
            <w:tcBorders>
              <w:top w:val="single" w:sz="4" w:space="0" w:color="000000"/>
              <w:left w:val="single" w:sz="4" w:space="0" w:color="000000"/>
              <w:bottom w:val="single" w:sz="4" w:space="0" w:color="000000"/>
              <w:right w:val="single" w:sz="4" w:space="0" w:color="000000"/>
            </w:tcBorders>
          </w:tcPr>
          <w:p w14:paraId="2B2A24B1"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0ACE51D4"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431C29DB" w14:textId="5562269D"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4BEDD905" w14:textId="2A7E883B" w:rsidTr="00987FEC">
        <w:trPr>
          <w:trHeight w:val="263"/>
        </w:trPr>
        <w:tc>
          <w:tcPr>
            <w:tcW w:w="2297" w:type="dxa"/>
            <w:tcBorders>
              <w:top w:val="single" w:sz="4" w:space="0" w:color="000000"/>
              <w:left w:val="single" w:sz="4" w:space="0" w:color="000000"/>
              <w:bottom w:val="single" w:sz="4" w:space="0" w:color="000000"/>
              <w:right w:val="single" w:sz="4" w:space="0" w:color="000000"/>
            </w:tcBorders>
          </w:tcPr>
          <w:p w14:paraId="4E8EDF37"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dėl traumos</w:t>
            </w:r>
          </w:p>
        </w:tc>
        <w:tc>
          <w:tcPr>
            <w:tcW w:w="2062" w:type="dxa"/>
            <w:tcBorders>
              <w:top w:val="single" w:sz="4" w:space="0" w:color="000000"/>
              <w:left w:val="single" w:sz="4" w:space="0" w:color="000000"/>
              <w:bottom w:val="single" w:sz="4" w:space="0" w:color="000000"/>
              <w:right w:val="single" w:sz="4" w:space="0" w:color="000000"/>
            </w:tcBorders>
          </w:tcPr>
          <w:p w14:paraId="5A16236F"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049" w:type="dxa"/>
            <w:tcBorders>
              <w:top w:val="single" w:sz="4" w:space="0" w:color="000000"/>
              <w:left w:val="single" w:sz="4" w:space="0" w:color="000000"/>
              <w:bottom w:val="single" w:sz="4" w:space="0" w:color="000000"/>
              <w:right w:val="single" w:sz="4" w:space="0" w:color="000000"/>
            </w:tcBorders>
          </w:tcPr>
          <w:p w14:paraId="1E5A4D17"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843" w:type="dxa"/>
            <w:tcBorders>
              <w:top w:val="single" w:sz="4" w:space="0" w:color="000000"/>
              <w:left w:val="single" w:sz="4" w:space="0" w:color="000000"/>
              <w:bottom w:val="single" w:sz="4" w:space="0" w:color="000000"/>
              <w:right w:val="single" w:sz="4" w:space="0" w:color="000000"/>
            </w:tcBorders>
          </w:tcPr>
          <w:p w14:paraId="094C3730"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1559" w:type="dxa"/>
            <w:tcBorders>
              <w:top w:val="single" w:sz="4" w:space="0" w:color="000000"/>
              <w:left w:val="single" w:sz="4" w:space="0" w:color="000000"/>
              <w:bottom w:val="single" w:sz="4" w:space="0" w:color="000000"/>
              <w:right w:val="single" w:sz="4" w:space="0" w:color="000000"/>
            </w:tcBorders>
          </w:tcPr>
          <w:p w14:paraId="533D18D2" w14:textId="1F4BEA3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bl>
    <w:p w14:paraId="7EAB7193" w14:textId="48E4D747" w:rsidR="00C95D96" w:rsidRPr="00D21DFA" w:rsidRDefault="00C95D96" w:rsidP="00C95D96">
      <w:pPr>
        <w:tabs>
          <w:tab w:val="left" w:pos="567"/>
          <w:tab w:val="left" w:pos="9214"/>
        </w:tabs>
        <w:autoSpaceDE w:val="0"/>
        <w:autoSpaceDN w:val="0"/>
        <w:adjustRightInd w:val="0"/>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*Išplitusio niež</w:t>
      </w:r>
      <w:r w:rsidR="00A671BF" w:rsidRPr="00D21DFA">
        <w:rPr>
          <w:rFonts w:ascii="Times New Roman" w:eastAsia="Times New Roman" w:hAnsi="Times New Roman" w:cs="Times New Roman"/>
          <w:snapToGrid w:val="0"/>
          <w:kern w:val="0"/>
          <w:sz w:val="22"/>
          <w:szCs w:val="22"/>
          <w14:ligatures w14:val="none"/>
        </w:rPr>
        <w:t>ėjimo</w:t>
      </w:r>
      <w:r w:rsidRPr="00D21DFA">
        <w:rPr>
          <w:rFonts w:ascii="Times New Roman" w:eastAsia="Times New Roman" w:hAnsi="Times New Roman" w:cs="Times New Roman"/>
          <w:snapToGrid w:val="0"/>
          <w:kern w:val="0"/>
          <w:sz w:val="22"/>
          <w:szCs w:val="22"/>
          <w14:ligatures w14:val="none"/>
        </w:rPr>
        <w:t xml:space="preserve"> nepasireiškė CV185057 atveju (ilgalaikė VTE reiškinių profilaktika)</w:t>
      </w:r>
    </w:p>
    <w:p w14:paraId="12310FAA" w14:textId="0D02D597" w:rsidR="00C95D96" w:rsidRPr="00D21DFA" w:rsidRDefault="00C95D96" w:rsidP="00C95D96">
      <w:pPr>
        <w:tabs>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†Terminas </w:t>
      </w:r>
      <w:r w:rsidR="00E12898">
        <w:rPr>
          <w:rFonts w:ascii="Times New Roman" w:eastAsia="Times New Roman" w:hAnsi="Times New Roman" w:cs="Times New Roman"/>
          <w:snapToGrid w:val="0"/>
          <w:kern w:val="0"/>
          <w:sz w:val="22"/>
          <w:szCs w:val="22"/>
          <w14:ligatures w14:val="none"/>
        </w:rPr>
        <w:t>„</w:t>
      </w:r>
      <w:r w:rsidRPr="00D21DFA">
        <w:rPr>
          <w:rFonts w:ascii="Times New Roman" w:eastAsia="Times New Roman" w:hAnsi="Times New Roman" w:cs="Times New Roman"/>
          <w:snapToGrid w:val="0"/>
          <w:kern w:val="0"/>
          <w:sz w:val="22"/>
          <w:szCs w:val="22"/>
          <w14:ligatures w14:val="none"/>
        </w:rPr>
        <w:t xml:space="preserve">Kraujavimas į smegenis” apima visas </w:t>
      </w:r>
      <w:proofErr w:type="spellStart"/>
      <w:r w:rsidRPr="00D21DFA">
        <w:rPr>
          <w:rFonts w:ascii="Times New Roman" w:eastAsia="Times New Roman" w:hAnsi="Times New Roman" w:cs="Times New Roman"/>
          <w:snapToGrid w:val="0"/>
          <w:kern w:val="0"/>
          <w:sz w:val="22"/>
          <w:szCs w:val="22"/>
          <w14:ligatures w14:val="none"/>
        </w:rPr>
        <w:t>intrakranijines</w:t>
      </w:r>
      <w:proofErr w:type="spellEnd"/>
      <w:r w:rsidRPr="00D21DFA">
        <w:rPr>
          <w:rFonts w:ascii="Times New Roman" w:eastAsia="Times New Roman" w:hAnsi="Times New Roman" w:cs="Times New Roman"/>
          <w:snapToGrid w:val="0"/>
          <w:kern w:val="0"/>
          <w:sz w:val="22"/>
          <w:szCs w:val="22"/>
          <w14:ligatures w14:val="none"/>
        </w:rPr>
        <w:t xml:space="preserve"> ir stuburo kanalo kraujosruvas (tai yra hemoraginį insultą, kraujo išsiliejimą </w:t>
      </w:r>
      <w:proofErr w:type="spellStart"/>
      <w:r w:rsidRPr="00D21DFA">
        <w:rPr>
          <w:rFonts w:ascii="Times New Roman" w:eastAsia="Times New Roman" w:hAnsi="Times New Roman" w:cs="Times New Roman"/>
          <w:snapToGrid w:val="0"/>
          <w:kern w:val="0"/>
          <w:sz w:val="22"/>
          <w:szCs w:val="22"/>
          <w14:ligatures w14:val="none"/>
        </w:rPr>
        <w:t>uodeguotame</w:t>
      </w:r>
      <w:proofErr w:type="spellEnd"/>
      <w:r w:rsidRPr="00D21DFA">
        <w:rPr>
          <w:rFonts w:ascii="Times New Roman" w:eastAsia="Times New Roman" w:hAnsi="Times New Roman" w:cs="Times New Roman"/>
          <w:snapToGrid w:val="0"/>
          <w:kern w:val="0"/>
          <w:sz w:val="22"/>
          <w:szCs w:val="22"/>
          <w14:ligatures w14:val="none"/>
        </w:rPr>
        <w:t xml:space="preserve"> branduolyje (</w:t>
      </w:r>
      <w:proofErr w:type="spellStart"/>
      <w:r w:rsidRPr="00D21DFA">
        <w:rPr>
          <w:rFonts w:ascii="Times New Roman" w:eastAsia="Times New Roman" w:hAnsi="Times New Roman" w:cs="Times New Roman"/>
          <w:i/>
          <w:snapToGrid w:val="0"/>
          <w:kern w:val="0"/>
          <w:sz w:val="22"/>
          <w:szCs w:val="22"/>
          <w14:ligatures w14:val="none"/>
        </w:rPr>
        <w:t>Putamen</w:t>
      </w:r>
      <w:proofErr w:type="spellEnd"/>
      <w:r w:rsidRPr="00D21DFA">
        <w:rPr>
          <w:rFonts w:ascii="Times New Roman" w:eastAsia="Times New Roman" w:hAnsi="Times New Roman" w:cs="Times New Roman"/>
          <w:snapToGrid w:val="0"/>
          <w:kern w:val="0"/>
          <w:sz w:val="22"/>
          <w:szCs w:val="22"/>
          <w14:ligatures w14:val="none"/>
        </w:rPr>
        <w:t>), smegenėlėse, skilveliuose arba po kietuoju dangalu).</w:t>
      </w:r>
    </w:p>
    <w:p w14:paraId="6C62B538" w14:textId="77777777" w:rsidR="009F6B18" w:rsidRPr="00D21DFA" w:rsidRDefault="009F6B18" w:rsidP="00AD1A35">
      <w:pPr>
        <w:tabs>
          <w:tab w:val="left" w:pos="9214"/>
        </w:tabs>
        <w:spacing w:after="0" w:line="240" w:lineRule="auto"/>
        <w:ind w:left="142"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Apima anafilaksinę reakciją, padidėjusį jautrumą vaistams ir padidėjusį jautrumą.</w:t>
      </w:r>
    </w:p>
    <w:p w14:paraId="7F329896" w14:textId="21CF08BD" w:rsidR="00C95D96" w:rsidRPr="00D21DFA" w:rsidRDefault="009F6B18" w:rsidP="00AD1A35">
      <w:pPr>
        <w:tabs>
          <w:tab w:val="left" w:pos="9214"/>
        </w:tabs>
        <w:spacing w:after="0" w:line="240" w:lineRule="auto"/>
        <w:ind w:left="142"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Apima gausų menstruacinį kraujavimą, kraujavimą tarp menstruacijų ir kraujavimą iš makšties.</w:t>
      </w:r>
    </w:p>
    <w:p w14:paraId="5314BCA9"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vartojimas gali būti susijęs su padidėjusia slapto ar akivaizdaus kraujavimo iš bet kurio audinio arba organo rizika, dėl kurios galima </w:t>
      </w:r>
      <w:proofErr w:type="spellStart"/>
      <w:r w:rsidRPr="00D21DFA">
        <w:rPr>
          <w:rFonts w:ascii="Times New Roman" w:eastAsia="Times New Roman" w:hAnsi="Times New Roman" w:cs="Times New Roman"/>
          <w:snapToGrid w:val="0"/>
          <w:kern w:val="0"/>
          <w:sz w:val="22"/>
          <w:szCs w:val="20"/>
          <w14:ligatures w14:val="none"/>
        </w:rPr>
        <w:t>pohemoraginė</w:t>
      </w:r>
      <w:proofErr w:type="spellEnd"/>
      <w:r w:rsidRPr="00D21DFA">
        <w:rPr>
          <w:rFonts w:ascii="Times New Roman" w:eastAsia="Times New Roman" w:hAnsi="Times New Roman" w:cs="Times New Roman"/>
          <w:snapToGrid w:val="0"/>
          <w:kern w:val="0"/>
          <w:sz w:val="22"/>
          <w:szCs w:val="20"/>
          <w14:ligatures w14:val="none"/>
        </w:rPr>
        <w:t xml:space="preserve"> anemija. Sutrikimo požymiai, simptomai ir sunkumas gali būti skirtingi pagal kraujavimo vietą, mastą ir intensyvumą (žr. 4.4 ir 5.1 skyrius).</w:t>
      </w:r>
    </w:p>
    <w:p w14:paraId="5D967722" w14:textId="77777777" w:rsidR="00C95D96" w:rsidRPr="00D21DFA" w:rsidRDefault="00C95D96"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49551B02" w14:textId="77777777" w:rsidR="009F6B18" w:rsidRPr="00D21DFA" w:rsidRDefault="009F6B18" w:rsidP="009F6B18">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u w:val="single"/>
          <w:lang w:eastAsia="lt-LT"/>
          <w14:ligatures w14:val="none"/>
        </w:rPr>
      </w:pPr>
      <w:r w:rsidRPr="00AD1A35">
        <w:rPr>
          <w:rFonts w:ascii="Times New Roman" w:eastAsia="Times New Roman" w:hAnsi="Times New Roman" w:cs="Times New Roman"/>
          <w:iCs/>
          <w:snapToGrid w:val="0"/>
          <w:kern w:val="0"/>
          <w:sz w:val="22"/>
          <w:szCs w:val="22"/>
          <w:u w:val="single"/>
          <w:lang w:eastAsia="lt-LT"/>
          <w14:ligatures w14:val="none"/>
        </w:rPr>
        <w:t>Vaikų populiacija</w:t>
      </w:r>
    </w:p>
    <w:p w14:paraId="1FD35DC9" w14:textId="77777777" w:rsidR="009F6B18" w:rsidRPr="00AD1A35" w:rsidRDefault="009F6B18" w:rsidP="009F6B18">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u w:val="single"/>
          <w:lang w:eastAsia="lt-LT"/>
          <w14:ligatures w14:val="none"/>
        </w:rPr>
      </w:pPr>
    </w:p>
    <w:p w14:paraId="651FE6EC" w14:textId="77777777" w:rsidR="009F6B18" w:rsidRPr="00D21DFA"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saugumas tirtas viename I fazės ir trijuose II/III fazės klinikiniuose tyrimuose, kuriuose dalyvavo 970 pacientų. 568 iš šių pacientų gavo vieną ar daugiau </w:t>
      </w: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dozių, ir bendra vidutinė vaistinio preparato ekspozicija buvo atitinkamai 1, 24, 331 ir 80 dienų (žr. 5.1 skyrių). Pacientai vartojo pagal amžių pritaikytų </w:t>
      </w: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farmacinių formų pagal kūno svorį koreguotas dozes. </w:t>
      </w:r>
    </w:p>
    <w:p w14:paraId="1943DFC5" w14:textId="77777777" w:rsidR="009F6B18" w:rsidRPr="00D21DFA"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268577E4" w14:textId="4F501EFA" w:rsidR="009F6B18" w:rsidRPr="00D21DFA"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r w:rsidRPr="00D21DFA">
        <w:rPr>
          <w:rFonts w:ascii="Times New Roman" w:eastAsia="Times New Roman" w:hAnsi="Times New Roman" w:cs="Times New Roman"/>
          <w:iCs/>
          <w:snapToGrid w:val="0"/>
          <w:kern w:val="0"/>
          <w:sz w:val="22"/>
          <w:szCs w:val="22"/>
          <w:lang w:eastAsia="lt-LT"/>
          <w14:ligatures w14:val="none"/>
        </w:rPr>
        <w:t xml:space="preserve">Apskritai </w:t>
      </w: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saugumo duomenys pacientams vaikams nuo 28 dienų iki &lt; 18 metų buvo panašūs kaip suaugusiesiems ir iš esmės nesiskyrė tarp skirtingų vaikų amžiaus grupių.</w:t>
      </w:r>
    </w:p>
    <w:p w14:paraId="77B1DEC3" w14:textId="77777777" w:rsidR="009F6B18" w:rsidRPr="00D21DFA"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51F55AAB" w14:textId="50AF278B" w:rsidR="009F6B18" w:rsidRPr="00D21DFA" w:rsidRDefault="009F6B18" w:rsidP="00987FEC">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r w:rsidRPr="00D21DFA">
        <w:rPr>
          <w:rFonts w:ascii="Times New Roman" w:eastAsia="Times New Roman" w:hAnsi="Times New Roman" w:cs="Times New Roman"/>
          <w:iCs/>
          <w:snapToGrid w:val="0"/>
          <w:kern w:val="0"/>
          <w:sz w:val="22"/>
          <w:szCs w:val="22"/>
          <w:lang w:eastAsia="lt-LT"/>
          <w14:ligatures w14:val="none"/>
        </w:rPr>
        <w:t>Dažniausiai pasireiškusios nepageidaujamos reakcijos pacientams vaikams buvo kraujavimas iš nosies ir nenormalus kraujavimas iš makšties (žr. 3 lentelę, kurioje pateikiamas nepageidaujamų reakcijų sąrašas ir dažnis pagal indikacijas).</w:t>
      </w:r>
    </w:p>
    <w:p w14:paraId="458A2A92" w14:textId="77777777" w:rsidR="009F6B18" w:rsidRPr="00D21DFA"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097814AD" w14:textId="4FC1426C" w:rsidR="009F6B18" w:rsidRPr="00D21DFA"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r w:rsidRPr="00D21DFA">
        <w:rPr>
          <w:rFonts w:ascii="Times New Roman" w:eastAsia="Times New Roman" w:hAnsi="Times New Roman" w:cs="Times New Roman"/>
          <w:iCs/>
          <w:snapToGrid w:val="0"/>
          <w:kern w:val="0"/>
          <w:sz w:val="22"/>
          <w:szCs w:val="22"/>
          <w:lang w:eastAsia="lt-LT"/>
          <w14:ligatures w14:val="none"/>
        </w:rPr>
        <w:t xml:space="preserve">Pacientams vaikams kraujavimas iš nosies (labai dažnas), nenormalus kraujavimas iš makšties (labai dažnas), padidėjęs jautrumas ir </w:t>
      </w:r>
      <w:proofErr w:type="spellStart"/>
      <w:r w:rsidRPr="00D21DFA">
        <w:rPr>
          <w:rFonts w:ascii="Times New Roman" w:eastAsia="Times New Roman" w:hAnsi="Times New Roman" w:cs="Times New Roman"/>
          <w:iCs/>
          <w:snapToGrid w:val="0"/>
          <w:kern w:val="0"/>
          <w:sz w:val="22"/>
          <w:szCs w:val="22"/>
          <w:lang w:eastAsia="lt-LT"/>
          <w14:ligatures w14:val="none"/>
        </w:rPr>
        <w:t>anafilaksija</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(dažnas), niežėjimas (dažnas), </w:t>
      </w:r>
      <w:proofErr w:type="spellStart"/>
      <w:r w:rsidRPr="00D21DFA">
        <w:rPr>
          <w:rFonts w:ascii="Times New Roman" w:eastAsia="Times New Roman" w:hAnsi="Times New Roman" w:cs="Times New Roman"/>
          <w:iCs/>
          <w:snapToGrid w:val="0"/>
          <w:kern w:val="0"/>
          <w:sz w:val="22"/>
          <w:szCs w:val="22"/>
          <w:lang w:eastAsia="lt-LT"/>
          <w14:ligatures w14:val="none"/>
        </w:rPr>
        <w:t>hipotenzija</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(dažnas), </w:t>
      </w:r>
      <w:r w:rsidR="002C0C62">
        <w:rPr>
          <w:rFonts w:ascii="Times New Roman" w:eastAsia="Times New Roman" w:hAnsi="Times New Roman" w:cs="Times New Roman"/>
          <w:iCs/>
          <w:snapToGrid w:val="0"/>
          <w:kern w:val="0"/>
          <w:sz w:val="22"/>
          <w:szCs w:val="22"/>
          <w:lang w:eastAsia="lt-LT"/>
          <w14:ligatures w14:val="none"/>
        </w:rPr>
        <w:t>k</w:t>
      </w:r>
      <w:r w:rsidRPr="00D21DFA">
        <w:rPr>
          <w:rFonts w:ascii="Times New Roman" w:eastAsia="Times New Roman" w:hAnsi="Times New Roman" w:cs="Times New Roman"/>
          <w:iCs/>
          <w:snapToGrid w:val="0"/>
          <w:kern w:val="0"/>
          <w:sz w:val="22"/>
          <w:szCs w:val="22"/>
          <w:lang w:eastAsia="lt-LT"/>
          <w14:ligatures w14:val="none"/>
        </w:rPr>
        <w:t xml:space="preserve">raujingos išmatos (dažnas), padidėjęs aspartataminotransferazės aktyvumas (dažnas), </w:t>
      </w:r>
      <w:proofErr w:type="spellStart"/>
      <w:r w:rsidRPr="00D21DFA">
        <w:rPr>
          <w:rFonts w:ascii="Times New Roman" w:eastAsia="Times New Roman" w:hAnsi="Times New Roman" w:cs="Times New Roman"/>
          <w:iCs/>
          <w:snapToGrid w:val="0"/>
          <w:kern w:val="0"/>
          <w:sz w:val="22"/>
          <w:szCs w:val="22"/>
          <w:lang w:eastAsia="lt-LT"/>
          <w14:ligatures w14:val="none"/>
        </w:rPr>
        <w:t>alopecija</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(dažnas) ir kraujavimas po procedūros (dažnas) buvo registruojami dažniau, palyginti su suaugusiaisiais, gydytais </w:t>
      </w:r>
      <w:proofErr w:type="spellStart"/>
      <w:r w:rsidRPr="00D21DFA">
        <w:rPr>
          <w:rFonts w:ascii="Times New Roman" w:eastAsia="Times New Roman" w:hAnsi="Times New Roman" w:cs="Times New Roman"/>
          <w:iCs/>
          <w:snapToGrid w:val="0"/>
          <w:kern w:val="0"/>
          <w:sz w:val="22"/>
          <w:szCs w:val="22"/>
          <w:lang w:eastAsia="lt-LT"/>
          <w14:ligatures w14:val="none"/>
        </w:rPr>
        <w:t>apiksabanu</w:t>
      </w:r>
      <w:proofErr w:type="spellEnd"/>
      <w:r w:rsidRPr="00D21DFA">
        <w:rPr>
          <w:rFonts w:ascii="Times New Roman" w:eastAsia="Times New Roman" w:hAnsi="Times New Roman" w:cs="Times New Roman"/>
          <w:iCs/>
          <w:snapToGrid w:val="0"/>
          <w:kern w:val="0"/>
          <w:sz w:val="22"/>
          <w:szCs w:val="22"/>
          <w:lang w:eastAsia="lt-LT"/>
          <w14:ligatures w14:val="none"/>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D21DFA">
        <w:rPr>
          <w:rFonts w:ascii="Times New Roman" w:eastAsia="Times New Roman" w:hAnsi="Times New Roman" w:cs="Times New Roman"/>
          <w:iCs/>
          <w:snapToGrid w:val="0"/>
          <w:kern w:val="0"/>
          <w:sz w:val="22"/>
          <w:szCs w:val="22"/>
          <w:lang w:eastAsia="lt-LT"/>
          <w14:ligatures w14:val="none"/>
        </w:rPr>
        <w:t>transaminazių</w:t>
      </w:r>
      <w:proofErr w:type="spellEnd"/>
      <w:r w:rsidRPr="00D21DFA">
        <w:rPr>
          <w:rFonts w:ascii="Times New Roman" w:eastAsia="Times New Roman" w:hAnsi="Times New Roman" w:cs="Times New Roman"/>
          <w:iCs/>
          <w:snapToGrid w:val="0"/>
          <w:kern w:val="0"/>
          <w:sz w:val="22"/>
          <w:szCs w:val="22"/>
          <w:lang w:eastAsia="lt-LT"/>
          <w14:ligatures w14:val="none"/>
        </w:rPr>
        <w:t xml:space="preserve"> aktyvumo padidėjimą pacientams vaikams, kurie kartu buvo gydomi chemoterapija dėl piktybinio naviko.</w:t>
      </w:r>
    </w:p>
    <w:p w14:paraId="0A8E4E5A" w14:textId="77777777" w:rsidR="009F6B18" w:rsidRPr="00D21DFA" w:rsidRDefault="009F6B18" w:rsidP="00AD1A35">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2"/>
          <w:lang w:eastAsia="lt-LT"/>
          <w14:ligatures w14:val="none"/>
        </w:rPr>
      </w:pPr>
    </w:p>
    <w:p w14:paraId="70654816" w14:textId="77777777" w:rsidR="00C95D96" w:rsidRPr="00D21DFA" w:rsidRDefault="00C95D96"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Pranešimas apie įtariamas nepageidaujamas reakcijas</w:t>
      </w:r>
    </w:p>
    <w:p w14:paraId="788B740B" w14:textId="699F593F" w:rsidR="00C95D96" w:rsidRPr="00D21DFA" w:rsidRDefault="00AB36A5"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kern w:val="0"/>
          <w:sz w:val="22"/>
          <w:szCs w:val="22"/>
          <w:lang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21DFA">
        <w:rPr>
          <w:rFonts w:ascii="Times New Roman" w:eastAsia="Times New Roman" w:hAnsi="Times New Roman" w:cs="Times New Roman"/>
          <w:color w:val="0000EE"/>
          <w:kern w:val="0"/>
          <w:sz w:val="22"/>
          <w:szCs w:val="22"/>
          <w:u w:val="single"/>
          <w:lang w:eastAsia="lt-LT"/>
          <w14:ligatures w14:val="none"/>
        </w:rPr>
        <w:t>https://vvkt.lrv.lt/lt/</w:t>
      </w:r>
      <w:r w:rsidRPr="00D21DFA">
        <w:rPr>
          <w:rFonts w:ascii="Times New Roman" w:eastAsia="Times New Roman" w:hAnsi="Times New Roman" w:cs="Times New Roman"/>
          <w:kern w:val="0"/>
          <w:sz w:val="22"/>
          <w:szCs w:val="22"/>
          <w:lang w:eastAsia="lt-LT"/>
          <w14:ligatures w14:val="none"/>
        </w:rPr>
        <w:t xml:space="preserve"> nurodytais būdais</w:t>
      </w:r>
      <w:r w:rsidR="00C95D96" w:rsidRPr="00D21DFA">
        <w:rPr>
          <w:rFonts w:ascii="Times New Roman" w:eastAsia="Times New Roman" w:hAnsi="Times New Roman" w:cs="Times New Roman"/>
          <w:snapToGrid w:val="0"/>
          <w:kern w:val="0"/>
          <w:sz w:val="22"/>
          <w14:ligatures w14:val="none"/>
        </w:rPr>
        <w:t>.</w:t>
      </w:r>
    </w:p>
    <w:p w14:paraId="18EFB42C"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p>
    <w:p w14:paraId="3EDFBE4C"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4.9</w:t>
      </w:r>
      <w:r w:rsidRPr="00D21DFA">
        <w:rPr>
          <w:rFonts w:ascii="Times New Roman" w:eastAsia="Times New Roman" w:hAnsi="Times New Roman" w:cs="Times New Roman"/>
          <w:b/>
          <w:bCs/>
          <w:snapToGrid w:val="0"/>
          <w:kern w:val="0"/>
          <w:sz w:val="22"/>
          <w:szCs w:val="28"/>
          <w:lang w:eastAsia="x-none"/>
          <w14:ligatures w14:val="none"/>
        </w:rPr>
        <w:tab/>
        <w:t>Perdozavimas</w:t>
      </w:r>
    </w:p>
    <w:p w14:paraId="289439E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97F54DF" w14:textId="7C62732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Perdozavus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gali padidėti kraujavimo rizika. Atsiradus kraujavimo sukeltų komplikacijų, būtina nutraukti vaistinio preparato vartojimą ir nustatyti kraujavimo šaltinį. Turi būti apsvarstytas tinkamo gydymo, pvz., chirurginės hemostazės arba šviežios šaldytos kraujo plazmos perpylimo</w:t>
      </w:r>
      <w:r w:rsidR="00E96A2D"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arba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inhibitoriaus poveikį naikinančio medžiagos taikymas</w:t>
      </w:r>
      <w:r w:rsidR="009F6B18" w:rsidRPr="00D21DFA">
        <w:rPr>
          <w:rFonts w:ascii="Times New Roman" w:eastAsia="Times New Roman" w:hAnsi="Times New Roman" w:cs="Times New Roman"/>
          <w:snapToGrid w:val="0"/>
          <w:kern w:val="0"/>
          <w:sz w:val="22"/>
          <w:szCs w:val="20"/>
          <w14:ligatures w14:val="none"/>
        </w:rPr>
        <w:t xml:space="preserve"> (žr. 4.4 skyrių)</w:t>
      </w:r>
      <w:r w:rsidRPr="00D21DFA">
        <w:rPr>
          <w:rFonts w:ascii="Times New Roman" w:eastAsia="Times New Roman" w:hAnsi="Times New Roman" w:cs="Times New Roman"/>
          <w:snapToGrid w:val="0"/>
          <w:kern w:val="0"/>
          <w:sz w:val="22"/>
          <w:szCs w:val="20"/>
          <w14:ligatures w14:val="none"/>
        </w:rPr>
        <w:t xml:space="preserve">. </w:t>
      </w:r>
    </w:p>
    <w:p w14:paraId="04E7E10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B19B18" w14:textId="78CC5EC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Kontroliuojamų klinikinių tyrimų duomenimis, sveikiems </w:t>
      </w:r>
      <w:r w:rsidR="009F6B18" w:rsidRPr="00D21DFA">
        <w:rPr>
          <w:rFonts w:ascii="Times New Roman" w:eastAsia="Times New Roman" w:hAnsi="Times New Roman" w:cs="Times New Roman"/>
          <w:snapToGrid w:val="0"/>
          <w:kern w:val="0"/>
          <w:sz w:val="22"/>
          <w:szCs w:val="20"/>
          <w14:ligatures w14:val="none"/>
        </w:rPr>
        <w:t xml:space="preserve">suaugusiems </w:t>
      </w:r>
      <w:r w:rsidRPr="00D21DFA">
        <w:rPr>
          <w:rFonts w:ascii="Times New Roman" w:eastAsia="Times New Roman" w:hAnsi="Times New Roman" w:cs="Times New Roman"/>
          <w:snapToGrid w:val="0"/>
          <w:kern w:val="0"/>
          <w:sz w:val="22"/>
          <w:szCs w:val="20"/>
          <w14:ligatures w14:val="none"/>
        </w:rPr>
        <w:t xml:space="preserve">tiriamiesiems asmenims skyrus iki 50 mg geriamojo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paros dozę 3</w:t>
      </w:r>
      <w:r w:rsidRPr="00D21DFA">
        <w:rPr>
          <w:rFonts w:ascii="Times New Roman" w:eastAsia="Times New Roman" w:hAnsi="Times New Roman" w:cs="Times New Roman"/>
          <w:snapToGrid w:val="0"/>
          <w:kern w:val="0"/>
          <w:sz w:val="22"/>
          <w:szCs w:val="20"/>
          <w14:ligatures w14:val="none"/>
        </w:rPr>
        <w:noBreakHyphen/>
        <w:t>7 paras (po 25 mg du kartus per parą 7 paras arba 50 mg vieną kartą per parą 3 paras), kliniškai reikšming</w:t>
      </w:r>
      <w:r w:rsidR="002858EE"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nepageidaujam</w:t>
      </w:r>
      <w:r w:rsidR="002858EE" w:rsidRPr="00D21DFA">
        <w:rPr>
          <w:rFonts w:ascii="Times New Roman" w:eastAsia="Times New Roman" w:hAnsi="Times New Roman" w:cs="Times New Roman"/>
          <w:snapToGrid w:val="0"/>
          <w:kern w:val="0"/>
          <w:sz w:val="22"/>
          <w:szCs w:val="20"/>
          <w14:ligatures w14:val="none"/>
        </w:rPr>
        <w:t>ų reakcijų</w:t>
      </w:r>
      <w:r w:rsidRPr="00D21DFA">
        <w:rPr>
          <w:rFonts w:ascii="Times New Roman" w:eastAsia="Times New Roman" w:hAnsi="Times New Roman" w:cs="Times New Roman"/>
          <w:snapToGrid w:val="0"/>
          <w:kern w:val="0"/>
          <w:sz w:val="22"/>
          <w:szCs w:val="20"/>
          <w14:ligatures w14:val="none"/>
        </w:rPr>
        <w:t xml:space="preserve"> nepasireiškė. </w:t>
      </w:r>
    </w:p>
    <w:p w14:paraId="0E97CCB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95A959" w14:textId="72B211A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Remiantis sveikų</w:t>
      </w:r>
      <w:r w:rsidR="009F6B18" w:rsidRPr="00D21DFA">
        <w:rPr>
          <w:rFonts w:ascii="Times New Roman" w:eastAsia="Times New Roman" w:hAnsi="Times New Roman" w:cs="Times New Roman"/>
          <w:snapToGrid w:val="0"/>
          <w:kern w:val="0"/>
          <w:sz w:val="22"/>
          <w:szCs w:val="20"/>
          <w14:ligatures w14:val="none"/>
        </w:rPr>
        <w:t xml:space="preserve"> suaugusių</w:t>
      </w:r>
      <w:r w:rsidRPr="00D21DFA">
        <w:rPr>
          <w:rFonts w:ascii="Times New Roman" w:eastAsia="Times New Roman" w:hAnsi="Times New Roman" w:cs="Times New Roman"/>
          <w:snapToGrid w:val="0"/>
          <w:kern w:val="0"/>
          <w:sz w:val="22"/>
          <w:szCs w:val="20"/>
          <w14:ligatures w14:val="none"/>
        </w:rPr>
        <w:t xml:space="preserve"> tiriamųjų duomenimis, pavartojus aktyvintosios anglies praėjus 2 ir 6 valandoms po 20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r w:rsidR="00CE0B1D" w:rsidRPr="00D21DFA">
        <w:rPr>
          <w:rFonts w:ascii="Times New Roman" w:eastAsia="Times New Roman" w:hAnsi="Times New Roman" w:cs="Times New Roman"/>
          <w:snapToGrid w:val="0"/>
          <w:kern w:val="0"/>
          <w:sz w:val="22"/>
          <w:szCs w:val="20"/>
          <w14:ligatures w14:val="none"/>
        </w:rPr>
        <w:t>pavartojimo</w:t>
      </w:r>
      <w:r w:rsidRPr="00D21DFA">
        <w:rPr>
          <w:rFonts w:ascii="Times New Roman" w:eastAsia="Times New Roman" w:hAnsi="Times New Roman" w:cs="Times New Roman"/>
          <w:snapToGrid w:val="0"/>
          <w:kern w:val="0"/>
          <w:sz w:val="22"/>
          <w:szCs w:val="20"/>
          <w14:ligatures w14:val="none"/>
        </w:rPr>
        <w:t xml:space="preserve">, vidutinis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sumažėjo atitinkamai 50 % ir 27 %, o poveikio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nebuvo. Vidutinis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pusinės eliminacijos </w:t>
      </w:r>
      <w:r w:rsidR="00074D0E" w:rsidRPr="00D21DFA">
        <w:rPr>
          <w:rFonts w:ascii="Times New Roman" w:eastAsia="Times New Roman" w:hAnsi="Times New Roman" w:cs="Times New Roman"/>
          <w:snapToGrid w:val="0"/>
          <w:kern w:val="0"/>
          <w:sz w:val="22"/>
          <w:szCs w:val="20"/>
          <w14:ligatures w14:val="none"/>
        </w:rPr>
        <w:t>laikas</w:t>
      </w:r>
      <w:r w:rsidRPr="00D21DFA">
        <w:rPr>
          <w:rFonts w:ascii="Times New Roman" w:eastAsia="Times New Roman" w:hAnsi="Times New Roman" w:cs="Times New Roman"/>
          <w:snapToGrid w:val="0"/>
          <w:kern w:val="0"/>
          <w:sz w:val="22"/>
          <w:szCs w:val="20"/>
          <w14:ligatures w14:val="none"/>
        </w:rPr>
        <w:t xml:space="preserve"> sutrumpėjo nuo 13,4 valand</w:t>
      </w:r>
      <w:r w:rsidR="00BC70E7"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vartojant vieno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iki atitinkamai 5,3 valand</w:t>
      </w:r>
      <w:r w:rsidR="000C5AA2"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ir 4,9 valand</w:t>
      </w:r>
      <w:r w:rsidR="000A48E1"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pavartojus aktyvintosios anglies praėjus 2 ir 6 valandoms po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suvartojimo. Taigi, aktyvintosios anglies vartojimas gali būti naudingas taikant gydymą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perdozavimo arba atsitiktinio nurijimo atvej</w:t>
      </w:r>
      <w:r w:rsidR="0057045E" w:rsidRPr="00D21DFA">
        <w:rPr>
          <w:rFonts w:ascii="Times New Roman" w:eastAsia="Times New Roman" w:hAnsi="Times New Roman" w:cs="Times New Roman"/>
          <w:snapToGrid w:val="0"/>
          <w:kern w:val="0"/>
          <w:sz w:val="22"/>
          <w:szCs w:val="20"/>
          <w14:ligatures w14:val="none"/>
        </w:rPr>
        <w:t>ais</w:t>
      </w:r>
      <w:r w:rsidRPr="00D21DFA">
        <w:rPr>
          <w:rFonts w:ascii="Times New Roman" w:eastAsia="Times New Roman" w:hAnsi="Times New Roman" w:cs="Times New Roman"/>
          <w:snapToGrid w:val="0"/>
          <w:kern w:val="0"/>
          <w:sz w:val="22"/>
          <w:szCs w:val="20"/>
          <w14:ligatures w14:val="none"/>
        </w:rPr>
        <w:t xml:space="preserve">. </w:t>
      </w:r>
    </w:p>
    <w:p w14:paraId="388EBAD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D26ADE" w14:textId="720EC51B" w:rsidR="009F6B18" w:rsidRDefault="009F6B18" w:rsidP="009F6B18">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Pacientams, sergantiems galutinės stadijos inkstų liga (GSIL), per burną skiriant vienkartinę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iCs/>
          <w:snapToGrid w:val="0"/>
          <w:kern w:val="0"/>
          <w:sz w:val="22"/>
          <w:szCs w:val="20"/>
          <w14:ligatures w14:val="none"/>
        </w:rPr>
        <w:t xml:space="preserve">AUC </w:t>
      </w:r>
      <w:r w:rsidRPr="00D21DFA">
        <w:rPr>
          <w:rFonts w:ascii="Times New Roman" w:eastAsia="Times New Roman" w:hAnsi="Times New Roman" w:cs="Times New Roman"/>
          <w:snapToGrid w:val="0"/>
          <w:kern w:val="0"/>
          <w:sz w:val="22"/>
          <w:szCs w:val="20"/>
          <w14:ligatures w14:val="none"/>
        </w:rPr>
        <w:t xml:space="preserve">dėl hemodializės sumažėjo 14 %. Todėl hemodializė nėra veiksminga priemonė perdozavus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34B21823" w14:textId="77777777" w:rsidR="006B0E8F" w:rsidRPr="00D21DFA" w:rsidRDefault="006B0E8F" w:rsidP="009F6B18">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A369C1" w14:textId="50292D66"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Tais atvejais, kai reikalinga panaikinti krešėjimą slopinantį poveikį dėl gyvybei pavojingos būklės arba nekontroliuojamo kraujavimo, galima pavartoti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inhibitoriaus poveikį naikinančią medžiagą</w:t>
      </w:r>
      <w:r w:rsidR="009F6B18" w:rsidRPr="00D21DFA">
        <w:rPr>
          <w:rFonts w:ascii="TimesNewRoman" w:eastAsia="TimesNewRoman" w:cs="TimesNewRoman"/>
          <w:kern w:val="0"/>
          <w:sz w:val="22"/>
          <w:szCs w:val="22"/>
        </w:rPr>
        <w:t xml:space="preserve"> </w:t>
      </w:r>
      <w:r w:rsidR="009F6B18" w:rsidRPr="00D21DFA">
        <w:rPr>
          <w:rFonts w:ascii="Times New Roman" w:eastAsia="Times New Roman" w:hAnsi="Times New Roman" w:cs="Times New Roman"/>
          <w:snapToGrid w:val="0"/>
          <w:kern w:val="0"/>
          <w:sz w:val="22"/>
          <w:szCs w:val="20"/>
          <w14:ligatures w14:val="none"/>
        </w:rPr>
        <w:t>(</w:t>
      </w:r>
      <w:proofErr w:type="spellStart"/>
      <w:r w:rsidR="009F6B18" w:rsidRPr="00D21DFA">
        <w:rPr>
          <w:rFonts w:ascii="Times New Roman" w:eastAsia="Times New Roman" w:hAnsi="Times New Roman" w:cs="Times New Roman"/>
          <w:snapToGrid w:val="0"/>
          <w:kern w:val="0"/>
          <w:sz w:val="22"/>
          <w:szCs w:val="20"/>
          <w14:ligatures w14:val="none"/>
        </w:rPr>
        <w:t>andeksanetą</w:t>
      </w:r>
      <w:proofErr w:type="spellEnd"/>
      <w:r w:rsidR="009F6B18" w:rsidRPr="00D21DFA">
        <w:rPr>
          <w:rFonts w:ascii="Times New Roman" w:eastAsia="Times New Roman" w:hAnsi="Times New Roman" w:cs="Times New Roman"/>
          <w:snapToGrid w:val="0"/>
          <w:kern w:val="0"/>
          <w:sz w:val="22"/>
          <w:szCs w:val="20"/>
          <w14:ligatures w14:val="none"/>
        </w:rPr>
        <w:t xml:space="preserve"> alfa) suaugusiesiems</w:t>
      </w:r>
      <w:r w:rsidRPr="00D21DFA">
        <w:rPr>
          <w:rFonts w:ascii="Times New Roman" w:eastAsia="Times New Roman" w:hAnsi="Times New Roman" w:cs="Times New Roman"/>
          <w:snapToGrid w:val="0"/>
          <w:kern w:val="0"/>
          <w:sz w:val="22"/>
          <w:szCs w:val="20"/>
          <w14:ligatures w14:val="none"/>
        </w:rPr>
        <w:t xml:space="preserve"> (žr. 4.4 skyrių). Gali reikėti spręsti dėl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komplekso koncentratų (PKK) ar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(r-</w:t>
      </w:r>
      <w:proofErr w:type="spellStart"/>
      <w:r w:rsidRPr="00D21DFA">
        <w:rPr>
          <w:rFonts w:ascii="Times New Roman" w:eastAsia="Times New Roman" w:hAnsi="Times New Roman" w:cs="Times New Roman"/>
          <w:snapToGrid w:val="0"/>
          <w:kern w:val="0"/>
          <w:sz w:val="22"/>
          <w:szCs w:val="20"/>
          <w14:ligatures w14:val="none"/>
        </w:rPr>
        <w:t>FVIIa</w:t>
      </w:r>
      <w:proofErr w:type="spellEnd"/>
      <w:r w:rsidRPr="00D21DFA">
        <w:rPr>
          <w:rFonts w:ascii="Times New Roman" w:eastAsia="Times New Roman" w:hAnsi="Times New Roman" w:cs="Times New Roman"/>
          <w:snapToGrid w:val="0"/>
          <w:kern w:val="0"/>
          <w:sz w:val="22"/>
          <w:szCs w:val="20"/>
          <w14:ligatures w14:val="none"/>
        </w:rPr>
        <w:t xml:space="preserve">) skyrimo.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farmakodinaminio</w:t>
      </w:r>
      <w:proofErr w:type="spellEnd"/>
      <w:r w:rsidRPr="00D21DFA">
        <w:rPr>
          <w:rFonts w:ascii="Times New Roman" w:eastAsia="Times New Roman" w:hAnsi="Times New Roman" w:cs="Times New Roman"/>
          <w:snapToGrid w:val="0"/>
          <w:kern w:val="0"/>
          <w:sz w:val="22"/>
          <w:szCs w:val="20"/>
          <w14:ligatures w14:val="none"/>
        </w:rPr>
        <w:t xml:space="preserve"> poveikio panaikinimas, nustatytas trombino </w:t>
      </w:r>
      <w:r w:rsidR="006071ED" w:rsidRPr="00D21DFA">
        <w:rPr>
          <w:rFonts w:ascii="Times New Roman" w:eastAsia="Times New Roman" w:hAnsi="Times New Roman" w:cs="Times New Roman"/>
          <w:snapToGrid w:val="0"/>
          <w:kern w:val="0"/>
          <w:sz w:val="22"/>
          <w:szCs w:val="20"/>
          <w14:ligatures w14:val="none"/>
        </w:rPr>
        <w:t>susidarymo tyrimų rezultatais</w:t>
      </w:r>
      <w:r w:rsidRPr="00D21DFA">
        <w:rPr>
          <w:rFonts w:ascii="Times New Roman" w:eastAsia="Times New Roman" w:hAnsi="Times New Roman" w:cs="Times New Roman"/>
          <w:snapToGrid w:val="0"/>
          <w:kern w:val="0"/>
          <w:sz w:val="22"/>
          <w:szCs w:val="20"/>
          <w14:ligatures w14:val="none"/>
        </w:rPr>
        <w:t>, buvo akivaizd</w:t>
      </w:r>
      <w:r w:rsidR="00B4099E"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s infuzijos pabaigoje</w:t>
      </w:r>
      <w:r w:rsidR="00AF66E5" w:rsidRPr="00D21DFA">
        <w:rPr>
          <w:rFonts w:ascii="Times New Roman" w:eastAsia="Times New Roman" w:hAnsi="Times New Roman" w:cs="Times New Roman"/>
          <w:snapToGrid w:val="0"/>
          <w:kern w:val="0"/>
          <w:sz w:val="22"/>
          <w:szCs w:val="20"/>
          <w14:ligatures w14:val="none"/>
        </w:rPr>
        <w:t>, o</w:t>
      </w:r>
      <w:r w:rsidRPr="00D21DFA">
        <w:rPr>
          <w:rFonts w:ascii="Times New Roman" w:eastAsia="Times New Roman" w:hAnsi="Times New Roman" w:cs="Times New Roman"/>
          <w:snapToGrid w:val="0"/>
          <w:kern w:val="0"/>
          <w:sz w:val="22"/>
          <w:szCs w:val="20"/>
          <w14:ligatures w14:val="none"/>
        </w:rPr>
        <w:t xml:space="preserve"> pradines vertes</w:t>
      </w:r>
      <w:r w:rsidR="00AF66E5" w:rsidRPr="00D21DFA">
        <w:rPr>
          <w:rFonts w:ascii="Times New Roman" w:eastAsia="Times New Roman" w:hAnsi="Times New Roman" w:cs="Times New Roman"/>
          <w:snapToGrid w:val="0"/>
          <w:kern w:val="0"/>
          <w:sz w:val="22"/>
          <w:szCs w:val="20"/>
          <w14:ligatures w14:val="none"/>
        </w:rPr>
        <w:t xml:space="preserve"> pasiekė</w:t>
      </w:r>
      <w:r w:rsidRPr="00D21DFA">
        <w:rPr>
          <w:rFonts w:ascii="Times New Roman" w:eastAsia="Times New Roman" w:hAnsi="Times New Roman" w:cs="Times New Roman"/>
          <w:snapToGrid w:val="0"/>
          <w:kern w:val="0"/>
          <w:sz w:val="22"/>
          <w:szCs w:val="20"/>
          <w14:ligatures w14:val="none"/>
        </w:rPr>
        <w:t xml:space="preserve"> praėjus 4 valandoms po </w:t>
      </w:r>
      <w:r w:rsidR="009F6B18" w:rsidRPr="00D21DFA">
        <w:rPr>
          <w:rFonts w:ascii="Times New Roman" w:eastAsia="Times New Roman" w:hAnsi="Times New Roman" w:cs="Times New Roman"/>
          <w:snapToGrid w:val="0"/>
          <w:kern w:val="0"/>
          <w:sz w:val="22"/>
          <w:szCs w:val="20"/>
          <w14:ligatures w14:val="none"/>
        </w:rPr>
        <w:t xml:space="preserve">30 minučių </w:t>
      </w:r>
      <w:r w:rsidRPr="00D21DFA">
        <w:rPr>
          <w:rFonts w:ascii="Times New Roman" w:eastAsia="Times New Roman" w:hAnsi="Times New Roman" w:cs="Times New Roman"/>
          <w:snapToGrid w:val="0"/>
          <w:kern w:val="0"/>
          <w:sz w:val="22"/>
          <w:szCs w:val="20"/>
          <w14:ligatures w14:val="none"/>
        </w:rPr>
        <w:t>4</w:t>
      </w:r>
      <w:r w:rsidR="009F6B18"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faktori</w:t>
      </w:r>
      <w:r w:rsidR="00AF66E5"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komplekso koncentrato (PKK) infuzijos </w:t>
      </w:r>
      <w:r w:rsidR="00732A22" w:rsidRPr="00D21DFA">
        <w:rPr>
          <w:rFonts w:ascii="Times New Roman" w:eastAsia="Times New Roman" w:hAnsi="Times New Roman" w:cs="Times New Roman"/>
          <w:snapToGrid w:val="0"/>
          <w:kern w:val="0"/>
          <w:sz w:val="22"/>
          <w:szCs w:val="20"/>
          <w14:ligatures w14:val="none"/>
        </w:rPr>
        <w:t xml:space="preserve">pradžios </w:t>
      </w:r>
      <w:r w:rsidRPr="00D21DFA">
        <w:rPr>
          <w:rFonts w:ascii="Times New Roman" w:eastAsia="Times New Roman" w:hAnsi="Times New Roman" w:cs="Times New Roman"/>
          <w:snapToGrid w:val="0"/>
          <w:kern w:val="0"/>
          <w:sz w:val="22"/>
          <w:szCs w:val="20"/>
          <w14:ligatures w14:val="none"/>
        </w:rPr>
        <w:t>sveikiems tiriamiesiems. Tačiau klinikinės patirties</w:t>
      </w:r>
      <w:r w:rsidR="00D368FD"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vartojant 4 faktori</w:t>
      </w:r>
      <w:r w:rsidR="005B1A8B"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PKK vaistinių preparatų kraujavimui sustabdyti</w:t>
      </w:r>
      <w:r w:rsidR="00D368FD"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vartojusiems asmenims nėra.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skyrimo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vartojantiems pacientams patirties iki šiol nėra. Atsižvelgiant į kraujavimo mažėjimą, reikėtų apsvarstyti kartotinės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dozės </w:t>
      </w:r>
      <w:r w:rsidR="00B9493B" w:rsidRPr="00D21DFA">
        <w:rPr>
          <w:rFonts w:ascii="Times New Roman" w:eastAsia="Times New Roman" w:hAnsi="Times New Roman" w:cs="Times New Roman"/>
          <w:snapToGrid w:val="0"/>
          <w:kern w:val="0"/>
          <w:sz w:val="22"/>
          <w:szCs w:val="20"/>
          <w14:ligatures w14:val="none"/>
        </w:rPr>
        <w:t>nustatymą ir</w:t>
      </w:r>
      <w:r w:rsidRPr="00D21DFA">
        <w:rPr>
          <w:rFonts w:ascii="Times New Roman" w:eastAsia="Times New Roman" w:hAnsi="Times New Roman" w:cs="Times New Roman"/>
          <w:snapToGrid w:val="0"/>
          <w:kern w:val="0"/>
          <w:sz w:val="22"/>
          <w:szCs w:val="20"/>
          <w14:ligatures w14:val="none"/>
        </w:rPr>
        <w:t xml:space="preserve"> koregavimą.</w:t>
      </w:r>
    </w:p>
    <w:p w14:paraId="6914BF47" w14:textId="77777777" w:rsidR="00987FEC" w:rsidRPr="00D21DFA" w:rsidRDefault="00987FEC"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5C40D14A" w14:textId="6CF74BF9" w:rsidR="00987FEC" w:rsidRPr="00D21DFA" w:rsidRDefault="00987FEC" w:rsidP="00987FEC">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Specifinis neutralizuojantysis vaistinis preparatas (</w:t>
      </w:r>
      <w:proofErr w:type="spellStart"/>
      <w:r w:rsidRPr="00D21DFA">
        <w:rPr>
          <w:rFonts w:ascii="Times New Roman" w:eastAsia="Times New Roman" w:hAnsi="Times New Roman" w:cs="Times New Roman"/>
          <w:snapToGrid w:val="0"/>
          <w:kern w:val="0"/>
          <w:sz w:val="22"/>
          <w:szCs w:val="20"/>
          <w14:ligatures w14:val="none"/>
        </w:rPr>
        <w:t>andeksanetas</w:t>
      </w:r>
      <w:proofErr w:type="spellEnd"/>
      <w:r w:rsidRPr="00D21DFA">
        <w:rPr>
          <w:rFonts w:ascii="Times New Roman" w:eastAsia="Times New Roman" w:hAnsi="Times New Roman" w:cs="Times New Roman"/>
          <w:snapToGrid w:val="0"/>
          <w:kern w:val="0"/>
          <w:sz w:val="22"/>
          <w:szCs w:val="20"/>
          <w14:ligatures w14:val="none"/>
        </w:rPr>
        <w:t xml:space="preserve"> alfa), kuris slopina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farmakodinaminį</w:t>
      </w:r>
      <w:proofErr w:type="spellEnd"/>
      <w:r w:rsidRPr="00D21DFA">
        <w:rPr>
          <w:rFonts w:ascii="Times New Roman" w:eastAsia="Times New Roman" w:hAnsi="Times New Roman" w:cs="Times New Roman"/>
          <w:snapToGrid w:val="0"/>
          <w:kern w:val="0"/>
          <w:sz w:val="22"/>
          <w:szCs w:val="20"/>
          <w14:ligatures w14:val="none"/>
        </w:rPr>
        <w:t xml:space="preserve"> poveikį, vaikų populiacijai nėra patvirtintas (žr. </w:t>
      </w:r>
      <w:proofErr w:type="spellStart"/>
      <w:r w:rsidRPr="00D21DFA">
        <w:rPr>
          <w:rFonts w:ascii="Times New Roman" w:eastAsia="Times New Roman" w:hAnsi="Times New Roman" w:cs="Times New Roman"/>
          <w:snapToGrid w:val="0"/>
          <w:kern w:val="0"/>
          <w:sz w:val="22"/>
          <w:szCs w:val="20"/>
          <w14:ligatures w14:val="none"/>
        </w:rPr>
        <w:t>andeksaneto</w:t>
      </w:r>
      <w:proofErr w:type="spellEnd"/>
      <w:r w:rsidRPr="00D21DFA">
        <w:rPr>
          <w:rFonts w:ascii="Times New Roman" w:eastAsia="Times New Roman" w:hAnsi="Times New Roman" w:cs="Times New Roman"/>
          <w:snapToGrid w:val="0"/>
          <w:kern w:val="0"/>
          <w:sz w:val="22"/>
          <w:szCs w:val="20"/>
          <w14:ligatures w14:val="none"/>
        </w:rPr>
        <w:t xml:space="preserve"> alfa preparato charakteristikų santrauką). Taip pat galima spręsti dėl šviežios šaldytos plazmos transfuzijos, PKK arba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skyrimo.</w:t>
      </w:r>
    </w:p>
    <w:p w14:paraId="30CF34B8" w14:textId="77777777" w:rsidR="00987FEC" w:rsidRPr="00D21DFA" w:rsidRDefault="00987FEC" w:rsidP="00987FEC">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042EF3C" w14:textId="44CF3569"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Atsižvelgiant į vietines galimybes, stipraus kraujavimo atveju turi būti apsvarstyta krešėjimo eksperto konsultacijos galimybė.</w:t>
      </w:r>
    </w:p>
    <w:p w14:paraId="12E096A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1A142A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2869340"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5.</w:t>
      </w:r>
      <w:r w:rsidRPr="00D21DFA">
        <w:rPr>
          <w:rFonts w:ascii="Times New Roman" w:eastAsia="Times New Roman" w:hAnsi="Times New Roman" w:cs="Times New Roman"/>
          <w:b/>
          <w:bCs/>
          <w:snapToGrid w:val="0"/>
          <w:kern w:val="0"/>
          <w:sz w:val="22"/>
          <w:szCs w:val="26"/>
          <w:lang w:eastAsia="x-none"/>
          <w14:ligatures w14:val="none"/>
        </w:rPr>
        <w:tab/>
        <w:t>FARMAKOLOGINĖS SAVYBĖS</w:t>
      </w:r>
    </w:p>
    <w:p w14:paraId="2FCBE56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C2BF52F"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5.1</w:t>
      </w:r>
      <w:r w:rsidRPr="00D21DFA">
        <w:rPr>
          <w:rFonts w:ascii="Times New Roman" w:eastAsia="Times New Roman" w:hAnsi="Times New Roman" w:cs="Times New Roman"/>
          <w:b/>
          <w:snapToGrid w:val="0"/>
          <w:kern w:val="0"/>
          <w:sz w:val="22"/>
          <w:lang w:eastAsia="x-none"/>
          <w14:ligatures w14:val="none"/>
        </w:rPr>
        <w:t xml:space="preserve"> </w:t>
      </w:r>
      <w:r w:rsidRPr="00D21DFA">
        <w:rPr>
          <w:rFonts w:ascii="Times New Roman" w:eastAsia="Times New Roman" w:hAnsi="Times New Roman" w:cs="Times New Roman"/>
          <w:b/>
          <w:bCs/>
          <w:snapToGrid w:val="0"/>
          <w:kern w:val="0"/>
          <w:sz w:val="22"/>
          <w:szCs w:val="28"/>
          <w:lang w:eastAsia="x-none"/>
          <w14:ligatures w14:val="none"/>
        </w:rPr>
        <w:tab/>
      </w:r>
      <w:proofErr w:type="spellStart"/>
      <w:r w:rsidRPr="00D21DFA">
        <w:rPr>
          <w:rFonts w:ascii="Times New Roman" w:eastAsia="Times New Roman" w:hAnsi="Times New Roman" w:cs="Times New Roman"/>
          <w:b/>
          <w:bCs/>
          <w:snapToGrid w:val="0"/>
          <w:kern w:val="0"/>
          <w:sz w:val="22"/>
          <w:szCs w:val="28"/>
          <w:lang w:eastAsia="x-none"/>
          <w14:ligatures w14:val="none"/>
        </w:rPr>
        <w:t>Farmakodinaminės</w:t>
      </w:r>
      <w:proofErr w:type="spellEnd"/>
      <w:r w:rsidRPr="00D21DFA">
        <w:rPr>
          <w:rFonts w:ascii="Times New Roman" w:eastAsia="Times New Roman" w:hAnsi="Times New Roman" w:cs="Times New Roman"/>
          <w:b/>
          <w:bCs/>
          <w:snapToGrid w:val="0"/>
          <w:kern w:val="0"/>
          <w:sz w:val="22"/>
          <w:szCs w:val="28"/>
          <w:lang w:eastAsia="x-none"/>
          <w14:ligatures w14:val="none"/>
        </w:rPr>
        <w:t xml:space="preserve"> savybės</w:t>
      </w:r>
    </w:p>
    <w:p w14:paraId="7D69ED5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3C2A6E0"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kern w:val="0"/>
          <w:sz w:val="22"/>
          <w:szCs w:val="20"/>
          <w14:ligatures w14:val="none"/>
        </w:rPr>
      </w:pPr>
      <w:proofErr w:type="spellStart"/>
      <w:r w:rsidRPr="00D21DFA">
        <w:rPr>
          <w:rFonts w:ascii="Times New Roman" w:eastAsia="Times New Roman" w:hAnsi="Times New Roman" w:cs="Times New Roman"/>
          <w:snapToGrid w:val="0"/>
          <w:kern w:val="0"/>
          <w:sz w:val="22"/>
          <w14:ligatures w14:val="none"/>
        </w:rPr>
        <w:t>Farmakoterapinė</w:t>
      </w:r>
      <w:proofErr w:type="spellEnd"/>
      <w:r w:rsidRPr="00D21DFA">
        <w:rPr>
          <w:rFonts w:ascii="Times New Roman" w:eastAsia="Times New Roman" w:hAnsi="Times New Roman" w:cs="Times New Roman"/>
          <w:snapToGrid w:val="0"/>
          <w:kern w:val="0"/>
          <w:sz w:val="22"/>
          <w14:ligatures w14:val="none"/>
        </w:rPr>
        <w:t xml:space="preserve"> grupė – </w:t>
      </w:r>
      <w:proofErr w:type="spellStart"/>
      <w:r w:rsidRPr="00D21DFA">
        <w:rPr>
          <w:rFonts w:ascii="Times New Roman" w:eastAsia="Times New Roman" w:hAnsi="Times New Roman" w:cs="Times New Roman"/>
          <w:kern w:val="0"/>
          <w:sz w:val="22"/>
          <w:szCs w:val="20"/>
          <w14:ligatures w14:val="none"/>
        </w:rPr>
        <w:t>antitromboziniai</w:t>
      </w:r>
      <w:proofErr w:type="spellEnd"/>
      <w:r w:rsidRPr="00D21DFA">
        <w:rPr>
          <w:rFonts w:ascii="Times New Roman" w:eastAsia="Times New Roman" w:hAnsi="Times New Roman" w:cs="Times New Roman"/>
          <w:kern w:val="0"/>
          <w:sz w:val="22"/>
          <w:szCs w:val="20"/>
          <w14:ligatures w14:val="none"/>
        </w:rPr>
        <w:t xml:space="preserve"> vaistiniai preparatai, tiesioginiai </w:t>
      </w:r>
      <w:proofErr w:type="spellStart"/>
      <w:r w:rsidRPr="00D21DFA">
        <w:rPr>
          <w:rFonts w:ascii="Times New Roman" w:eastAsia="Times New Roman" w:hAnsi="Times New Roman" w:cs="Times New Roman"/>
          <w:kern w:val="0"/>
          <w:sz w:val="22"/>
          <w:szCs w:val="20"/>
          <w14:ligatures w14:val="none"/>
        </w:rPr>
        <w:t>Xa</w:t>
      </w:r>
      <w:proofErr w:type="spellEnd"/>
      <w:r w:rsidRPr="00D21DFA">
        <w:rPr>
          <w:rFonts w:ascii="Times New Roman" w:eastAsia="Times New Roman" w:hAnsi="Times New Roman" w:cs="Times New Roman"/>
          <w:kern w:val="0"/>
          <w:sz w:val="22"/>
          <w:szCs w:val="20"/>
          <w14:ligatures w14:val="none"/>
        </w:rPr>
        <w:t xml:space="preserve"> faktoriaus inhibitoriai, ATC kodas – B01AF02. </w:t>
      </w:r>
    </w:p>
    <w:p w14:paraId="3D88C6D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3416D1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Veikimo mechanizmas</w:t>
      </w:r>
    </w:p>
    <w:p w14:paraId="4003DC2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F21D69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yra stiprus, per burną vartojamas, grįžtamojo poveikio, tiesioginis ir labai selektyvus aktyvios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vietos inhibitorius. Jo </w:t>
      </w:r>
      <w:proofErr w:type="spellStart"/>
      <w:r w:rsidRPr="00D21DFA">
        <w:rPr>
          <w:rFonts w:ascii="Times New Roman" w:eastAsia="Times New Roman" w:hAnsi="Times New Roman" w:cs="Times New Roman"/>
          <w:snapToGrid w:val="0"/>
          <w:kern w:val="0"/>
          <w:sz w:val="22"/>
          <w:szCs w:val="20"/>
          <w14:ligatures w14:val="none"/>
        </w:rPr>
        <w:t>antitromboziniam</w:t>
      </w:r>
      <w:proofErr w:type="spellEnd"/>
      <w:r w:rsidRPr="00D21DFA">
        <w:rPr>
          <w:rFonts w:ascii="Times New Roman" w:eastAsia="Times New Roman" w:hAnsi="Times New Roman" w:cs="Times New Roman"/>
          <w:snapToGrid w:val="0"/>
          <w:kern w:val="0"/>
          <w:sz w:val="22"/>
          <w:szCs w:val="20"/>
          <w14:ligatures w14:val="none"/>
        </w:rPr>
        <w:t xml:space="preserve"> poveikiui pasireikšti nereikia </w:t>
      </w:r>
      <w:proofErr w:type="spellStart"/>
      <w:r w:rsidRPr="00D21DFA">
        <w:rPr>
          <w:rFonts w:ascii="Times New Roman" w:eastAsia="Times New Roman" w:hAnsi="Times New Roman" w:cs="Times New Roman"/>
          <w:snapToGrid w:val="0"/>
          <w:kern w:val="0"/>
          <w:sz w:val="22"/>
          <w:szCs w:val="20"/>
          <w14:ligatures w14:val="none"/>
        </w:rPr>
        <w:t>antitrombino</w:t>
      </w:r>
      <w:proofErr w:type="spellEnd"/>
      <w:r w:rsidRPr="00D21DFA">
        <w:rPr>
          <w:rFonts w:ascii="Times New Roman" w:eastAsia="Times New Roman" w:hAnsi="Times New Roman" w:cs="Times New Roman"/>
          <w:snapToGrid w:val="0"/>
          <w:kern w:val="0"/>
          <w:sz w:val="22"/>
          <w:szCs w:val="20"/>
          <w14:ligatures w14:val="none"/>
        </w:rPr>
        <w:t xml:space="preserve"> III.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slopina ir laisvąjį, ir krešulio sudėtyje esantį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bei </w:t>
      </w:r>
      <w:proofErr w:type="spellStart"/>
      <w:r w:rsidRPr="00D21DFA">
        <w:rPr>
          <w:rFonts w:ascii="Times New Roman" w:eastAsia="Times New Roman" w:hAnsi="Times New Roman" w:cs="Times New Roman"/>
          <w:snapToGrid w:val="0"/>
          <w:kern w:val="0"/>
          <w:sz w:val="22"/>
          <w:szCs w:val="20"/>
          <w14:ligatures w14:val="none"/>
        </w:rPr>
        <w:t>protrombinazės</w:t>
      </w:r>
      <w:proofErr w:type="spellEnd"/>
      <w:r w:rsidRPr="00D21DFA">
        <w:rPr>
          <w:rFonts w:ascii="Times New Roman" w:eastAsia="Times New Roman" w:hAnsi="Times New Roman" w:cs="Times New Roman"/>
          <w:snapToGrid w:val="0"/>
          <w:kern w:val="0"/>
          <w:sz w:val="22"/>
          <w:szCs w:val="20"/>
          <w14:ligatures w14:val="none"/>
        </w:rPr>
        <w:t xml:space="preserve"> aktyvumą.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tiesiogiai neveikia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tačiau netiesiogiai slopina trombino indukuotą trombocitų </w:t>
      </w:r>
      <w:proofErr w:type="spellStart"/>
      <w:r w:rsidRPr="00D21DFA">
        <w:rPr>
          <w:rFonts w:ascii="Times New Roman" w:eastAsia="Times New Roman" w:hAnsi="Times New Roman" w:cs="Times New Roman"/>
          <w:snapToGrid w:val="0"/>
          <w:kern w:val="0"/>
          <w:sz w:val="22"/>
          <w:szCs w:val="20"/>
          <w14:ligatures w14:val="none"/>
        </w:rPr>
        <w:t>agregaciją</w:t>
      </w:r>
      <w:proofErr w:type="spellEnd"/>
      <w:r w:rsidRPr="00D21DFA">
        <w:rPr>
          <w:rFonts w:ascii="Times New Roman" w:eastAsia="Times New Roman" w:hAnsi="Times New Roman" w:cs="Times New Roman"/>
          <w:snapToGrid w:val="0"/>
          <w:kern w:val="0"/>
          <w:sz w:val="22"/>
          <w:szCs w:val="20"/>
          <w14:ligatures w14:val="none"/>
        </w:rPr>
        <w:t xml:space="preserve">. Slopindamas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trukdo trombino gamybą ir </w:t>
      </w:r>
      <w:proofErr w:type="spellStart"/>
      <w:r w:rsidRPr="00D21DFA">
        <w:rPr>
          <w:rFonts w:ascii="Times New Roman" w:eastAsia="Times New Roman" w:hAnsi="Times New Roman" w:cs="Times New Roman"/>
          <w:snapToGrid w:val="0"/>
          <w:kern w:val="0"/>
          <w:sz w:val="22"/>
          <w:szCs w:val="20"/>
          <w14:ligatures w14:val="none"/>
        </w:rPr>
        <w:t>trombo</w:t>
      </w:r>
      <w:proofErr w:type="spellEnd"/>
      <w:r w:rsidRPr="00D21DFA">
        <w:rPr>
          <w:rFonts w:ascii="Times New Roman" w:eastAsia="Times New Roman" w:hAnsi="Times New Roman" w:cs="Times New Roman"/>
          <w:snapToGrid w:val="0"/>
          <w:kern w:val="0"/>
          <w:sz w:val="22"/>
          <w:szCs w:val="20"/>
          <w14:ligatures w14:val="none"/>
        </w:rPr>
        <w:t xml:space="preserve"> formavimąsi. Ikiklinikinių tyrimų duomenimis 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gyvūnų modeliuose sukelia </w:t>
      </w:r>
      <w:proofErr w:type="spellStart"/>
      <w:r w:rsidRPr="00D21DFA">
        <w:rPr>
          <w:rFonts w:ascii="Times New Roman" w:eastAsia="Times New Roman" w:hAnsi="Times New Roman" w:cs="Times New Roman"/>
          <w:snapToGrid w:val="0"/>
          <w:kern w:val="0"/>
          <w:sz w:val="22"/>
          <w:szCs w:val="20"/>
          <w14:ligatures w14:val="none"/>
        </w:rPr>
        <w:t>antitrombozinį</w:t>
      </w:r>
      <w:proofErr w:type="spellEnd"/>
      <w:r w:rsidRPr="00D21DFA">
        <w:rPr>
          <w:rFonts w:ascii="Times New Roman" w:eastAsia="Times New Roman" w:hAnsi="Times New Roman" w:cs="Times New Roman"/>
          <w:snapToGrid w:val="0"/>
          <w:kern w:val="0"/>
          <w:sz w:val="22"/>
          <w:szCs w:val="20"/>
          <w14:ligatures w14:val="none"/>
        </w:rPr>
        <w:t xml:space="preserve"> poveikį ir apsaugo nuo arterijų bei venų trombozės, jo skiriant tokiomis dozėmis, kurios nekeičia hemostazės.</w:t>
      </w:r>
    </w:p>
    <w:p w14:paraId="0031C2C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00961F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Farmakodinaminis</w:t>
      </w:r>
      <w:proofErr w:type="spellEnd"/>
      <w:r w:rsidRPr="00D21DFA">
        <w:rPr>
          <w:rFonts w:ascii="Times New Roman" w:eastAsia="Times New Roman" w:hAnsi="Times New Roman" w:cs="Times New Roman"/>
          <w:snapToGrid w:val="0"/>
          <w:kern w:val="0"/>
          <w:sz w:val="22"/>
          <w:szCs w:val="20"/>
          <w:u w:val="single"/>
          <w14:ligatures w14:val="none"/>
        </w:rPr>
        <w:t xml:space="preserve"> poveikis </w:t>
      </w:r>
    </w:p>
    <w:p w14:paraId="53004A9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D3AC02E" w14:textId="0566AB0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Farmakodinaminis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poveikis atitinka jo veikimo mechanizmą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slopinimą). Dėl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slopinimo,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ilgina krešėjimo tyrimų rezultatų rodmenis, pavyzdžiui,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laiką (PL), TNS ir aktyvinto dalinio </w:t>
      </w:r>
      <w:proofErr w:type="spellStart"/>
      <w:r w:rsidRPr="00D21DFA">
        <w:rPr>
          <w:rFonts w:ascii="Times New Roman" w:eastAsia="Times New Roman" w:hAnsi="Times New Roman" w:cs="Times New Roman"/>
          <w:snapToGrid w:val="0"/>
          <w:kern w:val="0"/>
          <w:sz w:val="22"/>
          <w:szCs w:val="20"/>
          <w14:ligatures w14:val="none"/>
        </w:rPr>
        <w:t>tromboplastino</w:t>
      </w:r>
      <w:proofErr w:type="spellEnd"/>
      <w:r w:rsidRPr="00D21DFA">
        <w:rPr>
          <w:rFonts w:ascii="Times New Roman" w:eastAsia="Times New Roman" w:hAnsi="Times New Roman" w:cs="Times New Roman"/>
          <w:snapToGrid w:val="0"/>
          <w:kern w:val="0"/>
          <w:sz w:val="22"/>
          <w:szCs w:val="20"/>
          <w14:ligatures w14:val="none"/>
        </w:rPr>
        <w:t xml:space="preserve"> laiką (</w:t>
      </w:r>
      <w:proofErr w:type="spellStart"/>
      <w:r w:rsidRPr="00D21DFA">
        <w:rPr>
          <w:rFonts w:ascii="Times New Roman" w:eastAsia="Times New Roman" w:hAnsi="Times New Roman" w:cs="Times New Roman"/>
          <w:snapToGrid w:val="0"/>
          <w:kern w:val="0"/>
          <w:sz w:val="22"/>
          <w:szCs w:val="20"/>
          <w14:ligatures w14:val="none"/>
        </w:rPr>
        <w:t>aDTL</w:t>
      </w:r>
      <w:proofErr w:type="spellEnd"/>
      <w:r w:rsidRPr="00D21DFA">
        <w:rPr>
          <w:rFonts w:ascii="Times New Roman" w:eastAsia="Times New Roman" w:hAnsi="Times New Roman" w:cs="Times New Roman"/>
          <w:snapToGrid w:val="0"/>
          <w:kern w:val="0"/>
          <w:sz w:val="22"/>
          <w:szCs w:val="20"/>
          <w14:ligatures w14:val="none"/>
        </w:rPr>
        <w:t xml:space="preserve">). </w:t>
      </w:r>
      <w:r w:rsidR="00912B24" w:rsidRPr="00D21DFA">
        <w:rPr>
          <w:rFonts w:ascii="Times New Roman" w:eastAsia="Times New Roman" w:hAnsi="Times New Roman" w:cs="Times New Roman"/>
          <w:snapToGrid w:val="0"/>
          <w:kern w:val="0"/>
          <w:sz w:val="22"/>
          <w:szCs w:val="20"/>
          <w14:ligatures w14:val="none"/>
        </w:rPr>
        <w:t>Suaugusiesiems v</w:t>
      </w:r>
      <w:r w:rsidRPr="00D21DFA">
        <w:rPr>
          <w:rFonts w:ascii="Times New Roman" w:eastAsia="Times New Roman" w:hAnsi="Times New Roman" w:cs="Times New Roman"/>
          <w:snapToGrid w:val="0"/>
          <w:kern w:val="0"/>
          <w:sz w:val="22"/>
          <w:szCs w:val="20"/>
          <w14:ligatures w14:val="none"/>
        </w:rPr>
        <w:t xml:space="preserve">artojant gydomąją vaistinio preparato dozę, šių krešėjimo tyrimų rezultatų pokyčiai yra nedideli ir labai skiriasi įvairiems pacientams. Vertinant </w:t>
      </w:r>
      <w:proofErr w:type="spellStart"/>
      <w:r w:rsidRPr="00D21DFA">
        <w:rPr>
          <w:rFonts w:ascii="Times New Roman" w:eastAsia="Times New Roman" w:hAnsi="Times New Roman" w:cs="Times New Roman"/>
          <w:snapToGrid w:val="0"/>
          <w:kern w:val="0"/>
          <w:sz w:val="22"/>
          <w:szCs w:val="20"/>
          <w14:ligatures w14:val="none"/>
        </w:rPr>
        <w:t>farmakodinaminį</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poveikį, šių tyrimų atlikinėti nerekomenduojama. Atliekant trombino </w:t>
      </w:r>
      <w:r w:rsidR="007433D4" w:rsidRPr="00D21DFA">
        <w:rPr>
          <w:rFonts w:ascii="Times New Roman" w:eastAsia="Times New Roman" w:hAnsi="Times New Roman" w:cs="Times New Roman"/>
          <w:snapToGrid w:val="0"/>
          <w:kern w:val="0"/>
          <w:sz w:val="22"/>
          <w:szCs w:val="20"/>
          <w14:ligatures w14:val="none"/>
        </w:rPr>
        <w:t>susidarymo</w:t>
      </w:r>
      <w:r w:rsidRPr="00D21DFA">
        <w:rPr>
          <w:rFonts w:ascii="Times New Roman" w:eastAsia="Times New Roman" w:hAnsi="Times New Roman" w:cs="Times New Roman"/>
          <w:snapToGrid w:val="0"/>
          <w:kern w:val="0"/>
          <w:sz w:val="22"/>
          <w:szCs w:val="20"/>
          <w14:ligatures w14:val="none"/>
        </w:rPr>
        <w:t xml:space="preserve"> tyrimą</w:t>
      </w:r>
      <w:r w:rsidR="007433D4"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sumažino endogeninio trombino potencialą, trombino susidarymo žmogaus plazmoje matą.</w:t>
      </w:r>
    </w:p>
    <w:p w14:paraId="61EB86A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3992AEE" w14:textId="45EB843E" w:rsidR="00C95D96" w:rsidRPr="00D21DFA" w:rsidRDefault="00C95D96"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slopinamasis poveikis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aktyvumui taip pat nustatytas įrodžius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fermento aktyvumo sumažėjimą, naudojant daugelį prekyboje esančių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aktyvumo tyrimo rinkinių, tačiau naudojant šiuos rinkinius gaunami rezultatai tarpusavyje skiriasi. Klinikinių tyrimų </w:t>
      </w:r>
      <w:r w:rsidR="00912B24" w:rsidRPr="00D21DFA">
        <w:rPr>
          <w:rFonts w:ascii="Times New Roman" w:eastAsia="Times New Roman" w:hAnsi="Times New Roman" w:cs="Times New Roman"/>
          <w:snapToGrid w:val="0"/>
          <w:kern w:val="0"/>
          <w:sz w:val="22"/>
          <w:szCs w:val="20"/>
          <w14:ligatures w14:val="none"/>
        </w:rPr>
        <w:t xml:space="preserve">su </w:t>
      </w:r>
      <w:r w:rsidR="00912B24" w:rsidRPr="00D21DFA">
        <w:rPr>
          <w:rFonts w:ascii="Times New Roman" w:eastAsia="Times New Roman" w:hAnsi="Times New Roman" w:cs="Times New Roman"/>
          <w:snapToGrid w:val="0"/>
          <w:kern w:val="0"/>
          <w:sz w:val="22"/>
          <w:szCs w:val="20"/>
          <w14:ligatures w14:val="none"/>
        </w:rPr>
        <w:lastRenderedPageBreak/>
        <w:t xml:space="preserve">suaugusiaisiais </w:t>
      </w:r>
      <w:r w:rsidRPr="00D21DFA">
        <w:rPr>
          <w:rFonts w:ascii="Times New Roman" w:eastAsia="Times New Roman" w:hAnsi="Times New Roman" w:cs="Times New Roman"/>
          <w:snapToGrid w:val="0"/>
          <w:kern w:val="0"/>
          <w:sz w:val="22"/>
          <w:szCs w:val="20"/>
          <w14:ligatures w14:val="none"/>
        </w:rPr>
        <w:t xml:space="preserve">metu surinkti duomenys gauti tik atliekant </w:t>
      </w:r>
      <w:proofErr w:type="spellStart"/>
      <w:r w:rsidRPr="00D21DFA">
        <w:rPr>
          <w:rFonts w:ascii="Times New Roman" w:eastAsia="Times New Roman" w:hAnsi="Times New Roman" w:cs="Times New Roman"/>
          <w:i/>
          <w:iCs/>
          <w:snapToGrid w:val="0"/>
          <w:kern w:val="0"/>
          <w:sz w:val="22"/>
          <w:szCs w:val="20"/>
          <w14:ligatures w14:val="none"/>
        </w:rPr>
        <w:t>Rotachrom</w:t>
      </w:r>
      <w:proofErr w:type="spellEnd"/>
      <w:r w:rsidRPr="00D21DFA">
        <w:rPr>
          <w:rFonts w:ascii="Times New Roman" w:eastAsia="Times New Roman" w:hAnsi="Times New Roman" w:cs="Times New Roman"/>
          <w:i/>
          <w:iCs/>
          <w:snapToGrid w:val="0"/>
          <w:kern w:val="0"/>
          <w:sz w:val="22"/>
          <w:szCs w:val="20"/>
          <w:vertAlign w:val="superscript"/>
          <w14:ligatures w14:val="none"/>
        </w:rPr>
        <w:t>®</w:t>
      </w:r>
      <w:r w:rsidRPr="00D21DFA">
        <w:rPr>
          <w:rFonts w:ascii="Times New Roman" w:eastAsia="Times New Roman" w:hAnsi="Times New Roman" w:cs="Times New Roman"/>
          <w:snapToGrid w:val="0"/>
          <w:kern w:val="0"/>
          <w:sz w:val="22"/>
          <w:szCs w:val="20"/>
          <w14:ligatures w14:val="none"/>
        </w:rPr>
        <w:t xml:space="preserve"> heparino </w:t>
      </w:r>
      <w:proofErr w:type="spellStart"/>
      <w:r w:rsidRPr="00D21DFA">
        <w:rPr>
          <w:rFonts w:ascii="Times New Roman" w:eastAsia="Times New Roman" w:hAnsi="Times New Roman" w:cs="Times New Roman"/>
          <w:snapToGrid w:val="0"/>
          <w:kern w:val="0"/>
          <w:sz w:val="22"/>
          <w:szCs w:val="20"/>
          <w14:ligatures w14:val="none"/>
        </w:rPr>
        <w:t>chromogeninį</w:t>
      </w:r>
      <w:proofErr w:type="spellEnd"/>
      <w:r w:rsidRPr="00D21DFA">
        <w:rPr>
          <w:rFonts w:ascii="Times New Roman" w:eastAsia="Times New Roman" w:hAnsi="Times New Roman" w:cs="Times New Roman"/>
          <w:snapToGrid w:val="0"/>
          <w:kern w:val="0"/>
          <w:sz w:val="22"/>
          <w:szCs w:val="20"/>
          <w14:ligatures w14:val="none"/>
        </w:rPr>
        <w:t xml:space="preserve"> tyrimą. </w:t>
      </w:r>
      <w:proofErr w:type="spellStart"/>
      <w:r w:rsidRPr="00D21DFA">
        <w:rPr>
          <w:rFonts w:ascii="Times New Roman" w:eastAsia="Times New Roman" w:hAnsi="Times New Roman" w:cs="Times New Roman"/>
          <w:snapToGrid w:val="0"/>
          <w:kern w:val="0"/>
          <w:sz w:val="22"/>
          <w:szCs w:val="20"/>
          <w14:ligatures w14:val="none"/>
        </w:rPr>
        <w:t>Anti</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aktyvumas rodo tiksl</w:t>
      </w:r>
      <w:r w:rsidR="00540593" w:rsidRPr="00D21DFA">
        <w:rPr>
          <w:rFonts w:ascii="Times New Roman" w:eastAsia="Times New Roman" w:hAnsi="Times New Roman" w:cs="Times New Roman"/>
          <w:snapToGrid w:val="0"/>
          <w:kern w:val="0"/>
          <w:sz w:val="22"/>
          <w:szCs w:val="20"/>
          <w14:ligatures w14:val="none"/>
        </w:rPr>
        <w:t>ią</w:t>
      </w:r>
      <w:r w:rsidRPr="00D21DFA">
        <w:rPr>
          <w:rFonts w:ascii="Times New Roman" w:eastAsia="Times New Roman" w:hAnsi="Times New Roman" w:cs="Times New Roman"/>
          <w:snapToGrid w:val="0"/>
          <w:kern w:val="0"/>
          <w:sz w:val="22"/>
          <w:szCs w:val="20"/>
          <w14:ligatures w14:val="none"/>
        </w:rPr>
        <w:t xml:space="preserve"> tiesiogin</w:t>
      </w:r>
      <w:r w:rsidR="00540593"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tiesin</w:t>
      </w:r>
      <w:r w:rsidR="00540593"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priklausom</w:t>
      </w:r>
      <w:r w:rsidR="00540593" w:rsidRPr="00D21DFA">
        <w:rPr>
          <w:rFonts w:ascii="Times New Roman" w:eastAsia="Times New Roman" w:hAnsi="Times New Roman" w:cs="Times New Roman"/>
          <w:snapToGrid w:val="0"/>
          <w:kern w:val="0"/>
          <w:sz w:val="22"/>
          <w:szCs w:val="20"/>
          <w14:ligatures w14:val="none"/>
        </w:rPr>
        <w:t>ybę</w:t>
      </w:r>
      <w:r w:rsidRPr="00D21DFA">
        <w:rPr>
          <w:rFonts w:ascii="Times New Roman" w:eastAsia="Times New Roman" w:hAnsi="Times New Roman" w:cs="Times New Roman"/>
          <w:snapToGrid w:val="0"/>
          <w:kern w:val="0"/>
          <w:sz w:val="22"/>
          <w:szCs w:val="20"/>
          <w14:ligatures w14:val="none"/>
        </w:rPr>
        <w:t xml:space="preserve"> nuo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ir šis poveikis būna stipriausias susidarius didžiausiai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koncentracijai plazmoje. Priklausomybė tarp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ir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slopinimo yra beveik tiesinė, skiriant įvairias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w:t>
      </w:r>
      <w:proofErr w:type="spellStart"/>
      <w:r w:rsidR="00912B24" w:rsidRPr="00D21DFA">
        <w:rPr>
          <w:rFonts w:ascii="Times New Roman" w:eastAsia="Times New Roman" w:hAnsi="Times New Roman" w:cs="Times New Roman"/>
          <w:snapToGrid w:val="0"/>
          <w:kern w:val="0"/>
          <w:sz w:val="22"/>
          <w:szCs w:val="20"/>
          <w14:ligatures w14:val="none"/>
        </w:rPr>
        <w:t>Apiksabano</w:t>
      </w:r>
      <w:proofErr w:type="spellEnd"/>
      <w:r w:rsidR="00912B24" w:rsidRPr="00D21DFA">
        <w:rPr>
          <w:rFonts w:ascii="Times New Roman" w:eastAsia="Times New Roman" w:hAnsi="Times New Roman" w:cs="Times New Roman"/>
          <w:snapToGrid w:val="0"/>
          <w:kern w:val="0"/>
          <w:sz w:val="22"/>
          <w:szCs w:val="20"/>
          <w14:ligatures w14:val="none"/>
        </w:rPr>
        <w:t xml:space="preserve"> tyrimų su vaikais rezultatai rodo, kad tiesinis ryšys tarp </w:t>
      </w:r>
      <w:proofErr w:type="spellStart"/>
      <w:r w:rsidR="00912B24" w:rsidRPr="00D21DFA">
        <w:rPr>
          <w:rFonts w:ascii="Times New Roman" w:eastAsia="Times New Roman" w:hAnsi="Times New Roman" w:cs="Times New Roman"/>
          <w:snapToGrid w:val="0"/>
          <w:kern w:val="0"/>
          <w:sz w:val="22"/>
          <w:szCs w:val="20"/>
          <w14:ligatures w14:val="none"/>
        </w:rPr>
        <w:t>apiksabano</w:t>
      </w:r>
      <w:proofErr w:type="spellEnd"/>
      <w:r w:rsidR="00912B24" w:rsidRPr="00D21DFA">
        <w:rPr>
          <w:rFonts w:ascii="Times New Roman" w:eastAsia="Times New Roman" w:hAnsi="Times New Roman" w:cs="Times New Roman"/>
          <w:snapToGrid w:val="0"/>
          <w:kern w:val="0"/>
          <w:sz w:val="22"/>
          <w:szCs w:val="20"/>
          <w14:ligatures w14:val="none"/>
        </w:rPr>
        <w:t xml:space="preserve"> koncentracijos ir AXA atitinka anksčiau nustatytą ryšį suaugusiesiems. Tai patvirtina dokumentuotą </w:t>
      </w:r>
      <w:proofErr w:type="spellStart"/>
      <w:r w:rsidR="00912B24" w:rsidRPr="00D21DFA">
        <w:rPr>
          <w:rFonts w:ascii="Times New Roman" w:eastAsia="Times New Roman" w:hAnsi="Times New Roman" w:cs="Times New Roman"/>
          <w:snapToGrid w:val="0"/>
          <w:kern w:val="0"/>
          <w:sz w:val="22"/>
          <w:szCs w:val="20"/>
          <w14:ligatures w14:val="none"/>
        </w:rPr>
        <w:t>apiksabano</w:t>
      </w:r>
      <w:proofErr w:type="spellEnd"/>
      <w:r w:rsidR="00912B24" w:rsidRPr="00D21DFA">
        <w:rPr>
          <w:rFonts w:ascii="Times New Roman" w:eastAsia="Times New Roman" w:hAnsi="Times New Roman" w:cs="Times New Roman"/>
          <w:snapToGrid w:val="0"/>
          <w:kern w:val="0"/>
          <w:sz w:val="22"/>
          <w:szCs w:val="20"/>
          <w14:ligatures w14:val="none"/>
        </w:rPr>
        <w:t xml:space="preserve">, kaip selektyvaus </w:t>
      </w:r>
      <w:proofErr w:type="spellStart"/>
      <w:r w:rsidR="00912B24" w:rsidRPr="00D21DFA">
        <w:rPr>
          <w:rFonts w:ascii="Times New Roman" w:eastAsia="Times New Roman" w:hAnsi="Times New Roman" w:cs="Times New Roman"/>
          <w:snapToGrid w:val="0"/>
          <w:kern w:val="0"/>
          <w:sz w:val="22"/>
          <w:szCs w:val="20"/>
          <w14:ligatures w14:val="none"/>
        </w:rPr>
        <w:t>FXa</w:t>
      </w:r>
      <w:proofErr w:type="spellEnd"/>
      <w:r w:rsidR="00912B24" w:rsidRPr="00D21DFA">
        <w:rPr>
          <w:rFonts w:ascii="Times New Roman" w:eastAsia="Times New Roman" w:hAnsi="Times New Roman" w:cs="Times New Roman"/>
          <w:snapToGrid w:val="0"/>
          <w:kern w:val="0"/>
          <w:sz w:val="22"/>
          <w:szCs w:val="20"/>
          <w14:ligatures w14:val="none"/>
        </w:rPr>
        <w:t xml:space="preserve"> inhibitoriaus, veikimo mechanizmą.</w:t>
      </w:r>
    </w:p>
    <w:p w14:paraId="4610AEC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90DB242" w14:textId="4EBCA3C8" w:rsidR="00C95D96" w:rsidRPr="00D21DFA" w:rsidRDefault="00912B2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4</w:t>
      </w:r>
      <w:r w:rsidR="00C95D96" w:rsidRPr="00D21DFA">
        <w:rPr>
          <w:rFonts w:ascii="Times New Roman" w:eastAsia="Times New Roman" w:hAnsi="Times New Roman" w:cs="Times New Roman"/>
          <w:snapToGrid w:val="0"/>
          <w:kern w:val="0"/>
          <w:sz w:val="22"/>
          <w:szCs w:val="20"/>
          <w14:ligatures w14:val="none"/>
        </w:rPr>
        <w:t xml:space="preserve"> lentelėje pateikiama kiekvienos </w:t>
      </w:r>
      <w:r w:rsidRPr="00D21DFA">
        <w:rPr>
          <w:rFonts w:ascii="Times New Roman" w:eastAsia="Times New Roman" w:hAnsi="Times New Roman" w:cs="Times New Roman"/>
          <w:snapToGrid w:val="0"/>
          <w:kern w:val="0"/>
          <w:sz w:val="22"/>
          <w:szCs w:val="20"/>
          <w14:ligatures w14:val="none"/>
        </w:rPr>
        <w:t xml:space="preserve">suaugusiųjų </w:t>
      </w:r>
      <w:r w:rsidR="00C95D96" w:rsidRPr="00D21DFA">
        <w:rPr>
          <w:rFonts w:ascii="Times New Roman" w:eastAsia="Times New Roman" w:hAnsi="Times New Roman" w:cs="Times New Roman"/>
          <w:snapToGrid w:val="0"/>
          <w:kern w:val="0"/>
          <w:sz w:val="22"/>
          <w:szCs w:val="20"/>
          <w14:ligatures w14:val="none"/>
        </w:rPr>
        <w:t>indikacijos tikėtina ekspozicija</w:t>
      </w:r>
      <w:r w:rsidR="00226049"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esant nusistovėjusiai </w:t>
      </w:r>
      <w:proofErr w:type="spellStart"/>
      <w:r w:rsidR="00C95D96" w:rsidRPr="00D21DFA">
        <w:rPr>
          <w:rFonts w:ascii="Times New Roman" w:eastAsia="Times New Roman" w:hAnsi="Times New Roman" w:cs="Times New Roman"/>
          <w:snapToGrid w:val="0"/>
          <w:kern w:val="0"/>
          <w:sz w:val="22"/>
          <w:szCs w:val="20"/>
          <w14:ligatures w14:val="none"/>
        </w:rPr>
        <w:t>pusiausvyrinei</w:t>
      </w:r>
      <w:proofErr w:type="spellEnd"/>
      <w:r w:rsidR="00C95D96" w:rsidRPr="00D21DFA">
        <w:rPr>
          <w:rFonts w:ascii="Times New Roman" w:eastAsia="Times New Roman" w:hAnsi="Times New Roman" w:cs="Times New Roman"/>
          <w:snapToGrid w:val="0"/>
          <w:kern w:val="0"/>
          <w:sz w:val="22"/>
          <w:szCs w:val="20"/>
          <w14:ligatures w14:val="none"/>
        </w:rPr>
        <w:t xml:space="preserve"> </w:t>
      </w:r>
      <w:r w:rsidR="000717FD" w:rsidRPr="00D21DFA">
        <w:rPr>
          <w:rFonts w:ascii="Times New Roman" w:eastAsia="Times New Roman" w:hAnsi="Times New Roman" w:cs="Times New Roman"/>
          <w:snapToGrid w:val="0"/>
          <w:kern w:val="0"/>
          <w:sz w:val="22"/>
          <w:szCs w:val="20"/>
          <w14:ligatures w14:val="none"/>
        </w:rPr>
        <w:t>koncentracijai,</w:t>
      </w:r>
      <w:r w:rsidR="00C95D96" w:rsidRPr="00D21DFA">
        <w:rPr>
          <w:rFonts w:ascii="Times New Roman" w:eastAsia="Times New Roman" w:hAnsi="Times New Roman" w:cs="Times New Roman"/>
          <w:snapToGrid w:val="0"/>
          <w:kern w:val="0"/>
          <w:sz w:val="22"/>
          <w:szCs w:val="20"/>
          <w14:ligatures w14:val="none"/>
        </w:rPr>
        <w:t xml:space="preserve"> ir </w:t>
      </w:r>
      <w:proofErr w:type="spellStart"/>
      <w:r w:rsidR="00C95D96" w:rsidRPr="00D21DFA">
        <w:rPr>
          <w:rFonts w:ascii="Times New Roman" w:eastAsia="Times New Roman" w:hAnsi="Times New Roman" w:cs="Times New Roman"/>
          <w:snapToGrid w:val="0"/>
          <w:kern w:val="0"/>
          <w:sz w:val="22"/>
          <w:szCs w:val="20"/>
          <w14:ligatures w14:val="none"/>
        </w:rPr>
        <w:t>Xa</w:t>
      </w:r>
      <w:proofErr w:type="spellEnd"/>
      <w:r w:rsidR="00C95D96" w:rsidRPr="00D21DFA">
        <w:rPr>
          <w:rFonts w:ascii="Times New Roman" w:eastAsia="Times New Roman" w:hAnsi="Times New Roman" w:cs="Times New Roman"/>
          <w:snapToGrid w:val="0"/>
          <w:kern w:val="0"/>
          <w:sz w:val="22"/>
          <w:szCs w:val="20"/>
          <w14:ligatures w14:val="none"/>
        </w:rPr>
        <w:t xml:space="preserve"> faktoriaus slopinimo aktyvumas. Pacientų, vartojusių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VTE profilaktikai po klubo ar kelio sąnario pakeitimo operacijos, rezultatai rodo mažesnį nei 1,6 karto svyravimą tarp didžiausios ir mažiausios vaistinio preparato koncentracijos. Pacientų, kuriems pasireiškia VNPV, vartojusių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insulto ir sisteminės embolijos profilaktikai, rezultatai rodo mažesnį nei 1,7 karto svyravimą tarp didžiausios ir mažiausios vaistinio preparato koncentracijos. Pacientų, vartojusių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GVT bei PE gydyti ir pasikartojančios GVT bei PE profilaktikai, rezultatai rodo mažesnį nei 2,2 karto svyravimą tarp didžiausios ir mažiausios vaistinio preparato koncentracijos.</w:t>
      </w:r>
    </w:p>
    <w:p w14:paraId="6D7C36A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5149E36F" w14:textId="35E400E1" w:rsidR="00C95D96" w:rsidRPr="00D21DFA" w:rsidRDefault="00912B24" w:rsidP="00C95D96">
      <w:pPr>
        <w:tabs>
          <w:tab w:val="left" w:pos="567"/>
        </w:tabs>
        <w:spacing w:after="0" w:line="240" w:lineRule="auto"/>
        <w:ind w:left="851" w:right="-2" w:hanging="851"/>
        <w:rPr>
          <w:rFonts w:ascii="Times New Roman" w:eastAsia="Times New Roman" w:hAnsi="Times New Roman" w:cs="Times New Roman"/>
          <w:b/>
          <w:bCs/>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4</w:t>
      </w:r>
      <w:r w:rsidR="00C95D96" w:rsidRPr="00D21DFA">
        <w:rPr>
          <w:rFonts w:ascii="Times New Roman" w:eastAsia="Times New Roman" w:hAnsi="Times New Roman" w:cs="Times New Roman"/>
          <w:b/>
          <w:bCs/>
          <w:snapToGrid w:val="0"/>
          <w:kern w:val="0"/>
          <w:sz w:val="22"/>
          <w:szCs w:val="22"/>
          <w14:ligatures w14:val="none"/>
        </w:rPr>
        <w:t xml:space="preserve"> lentelė. Prognozuojama </w:t>
      </w:r>
      <w:proofErr w:type="spellStart"/>
      <w:r w:rsidR="00C95D96" w:rsidRPr="00D21DFA">
        <w:rPr>
          <w:rFonts w:ascii="Times New Roman" w:eastAsia="Times New Roman" w:hAnsi="Times New Roman" w:cs="Times New Roman"/>
          <w:b/>
          <w:bCs/>
          <w:snapToGrid w:val="0"/>
          <w:kern w:val="0"/>
          <w:sz w:val="22"/>
          <w:szCs w:val="22"/>
          <w14:ligatures w14:val="none"/>
        </w:rPr>
        <w:t>apiksabano</w:t>
      </w:r>
      <w:proofErr w:type="spellEnd"/>
      <w:r w:rsidR="00C95D96" w:rsidRPr="00D21DFA">
        <w:rPr>
          <w:rFonts w:ascii="Times New Roman" w:eastAsia="Times New Roman" w:hAnsi="Times New Roman" w:cs="Times New Roman"/>
          <w:b/>
          <w:bCs/>
          <w:snapToGrid w:val="0"/>
          <w:kern w:val="0"/>
          <w:sz w:val="22"/>
          <w:szCs w:val="22"/>
          <w14:ligatures w14:val="none"/>
        </w:rPr>
        <w:t xml:space="preserve"> ekspozicija</w:t>
      </w:r>
      <w:r w:rsidR="009610B9" w:rsidRPr="00D21DFA">
        <w:rPr>
          <w:rFonts w:ascii="Times New Roman" w:eastAsia="Times New Roman" w:hAnsi="Times New Roman" w:cs="Times New Roman"/>
          <w:b/>
          <w:bCs/>
          <w:snapToGrid w:val="0"/>
          <w:kern w:val="0"/>
          <w:sz w:val="22"/>
          <w:szCs w:val="22"/>
          <w14:ligatures w14:val="none"/>
        </w:rPr>
        <w:t>,</w:t>
      </w:r>
      <w:r w:rsidR="00C95D96" w:rsidRPr="00D21DFA">
        <w:rPr>
          <w:rFonts w:ascii="Times New Roman" w:eastAsia="Times New Roman" w:hAnsi="Times New Roman" w:cs="Times New Roman"/>
          <w:b/>
          <w:bCs/>
          <w:snapToGrid w:val="0"/>
          <w:kern w:val="0"/>
          <w:sz w:val="22"/>
          <w:szCs w:val="22"/>
          <w14:ligatures w14:val="none"/>
        </w:rPr>
        <w:t xml:space="preserve"> nusistovėjus </w:t>
      </w:r>
      <w:proofErr w:type="spellStart"/>
      <w:r w:rsidR="00C95D96" w:rsidRPr="00D21DFA">
        <w:rPr>
          <w:rFonts w:ascii="Times New Roman" w:eastAsia="Times New Roman" w:hAnsi="Times New Roman" w:cs="Times New Roman"/>
          <w:b/>
          <w:bCs/>
          <w:snapToGrid w:val="0"/>
          <w:kern w:val="0"/>
          <w:sz w:val="22"/>
          <w:szCs w:val="22"/>
          <w14:ligatures w14:val="none"/>
        </w:rPr>
        <w:t>pusiausvyrinei</w:t>
      </w:r>
      <w:proofErr w:type="spellEnd"/>
      <w:r w:rsidR="00C95D96" w:rsidRPr="00D21DFA">
        <w:rPr>
          <w:rFonts w:ascii="Times New Roman" w:eastAsia="Times New Roman" w:hAnsi="Times New Roman" w:cs="Times New Roman"/>
          <w:b/>
          <w:bCs/>
          <w:snapToGrid w:val="0"/>
          <w:kern w:val="0"/>
          <w:sz w:val="22"/>
          <w:szCs w:val="22"/>
          <w14:ligatures w14:val="none"/>
        </w:rPr>
        <w:t xml:space="preserve"> </w:t>
      </w:r>
      <w:r w:rsidR="009610B9" w:rsidRPr="00D21DFA">
        <w:rPr>
          <w:rFonts w:ascii="Times New Roman" w:eastAsia="Times New Roman" w:hAnsi="Times New Roman" w:cs="Times New Roman"/>
          <w:b/>
          <w:bCs/>
          <w:snapToGrid w:val="0"/>
          <w:kern w:val="0"/>
          <w:sz w:val="22"/>
          <w:szCs w:val="22"/>
          <w14:ligatures w14:val="none"/>
        </w:rPr>
        <w:t>koncentracijai,</w:t>
      </w:r>
      <w:r w:rsidR="00C95D96" w:rsidRPr="00D21DFA">
        <w:rPr>
          <w:rFonts w:ascii="Times New Roman" w:eastAsia="Times New Roman" w:hAnsi="Times New Roman" w:cs="Times New Roman"/>
          <w:b/>
          <w:bCs/>
          <w:snapToGrid w:val="0"/>
          <w:kern w:val="0"/>
          <w:sz w:val="22"/>
          <w:szCs w:val="22"/>
          <w14:ligatures w14:val="none"/>
        </w:rPr>
        <w:t xml:space="preserve"> ir </w:t>
      </w:r>
      <w:proofErr w:type="spellStart"/>
      <w:r w:rsidR="00C95D96" w:rsidRPr="00D21DFA">
        <w:rPr>
          <w:rFonts w:ascii="Times New Roman" w:eastAsia="Times New Roman" w:hAnsi="Times New Roman" w:cs="Times New Roman"/>
          <w:b/>
          <w:bCs/>
          <w:snapToGrid w:val="0"/>
          <w:kern w:val="0"/>
          <w:sz w:val="22"/>
          <w:szCs w:val="22"/>
          <w14:ligatures w14:val="none"/>
        </w:rPr>
        <w:t>anti-Xa</w:t>
      </w:r>
      <w:proofErr w:type="spellEnd"/>
      <w:r w:rsidR="00C95D96" w:rsidRPr="00D21DFA">
        <w:rPr>
          <w:rFonts w:ascii="Times New Roman" w:eastAsia="Times New Roman" w:hAnsi="Times New Roman" w:cs="Times New Roman"/>
          <w:b/>
          <w:bCs/>
          <w:snapToGrid w:val="0"/>
          <w:kern w:val="0"/>
          <w:sz w:val="22"/>
          <w:szCs w:val="22"/>
          <w14:ligatures w14:val="none"/>
        </w:rPr>
        <w:t xml:space="preserve"> faktoriaus aktyvumas</w:t>
      </w:r>
    </w:p>
    <w:p w14:paraId="1AA704D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C95D96" w:rsidRPr="00D21DFA" w14:paraId="17CCD10E" w14:textId="77777777" w:rsidTr="00446D67">
        <w:trPr>
          <w:trHeight w:val="889"/>
        </w:trPr>
        <w:tc>
          <w:tcPr>
            <w:tcW w:w="2581" w:type="dxa"/>
            <w:tcBorders>
              <w:top w:val="single" w:sz="4" w:space="0" w:color="000000"/>
              <w:left w:val="single" w:sz="4" w:space="0" w:color="000000"/>
              <w:bottom w:val="single" w:sz="4" w:space="0" w:color="000000"/>
              <w:right w:val="single" w:sz="4" w:space="0" w:color="000000"/>
            </w:tcBorders>
          </w:tcPr>
          <w:p w14:paraId="1471C56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BAF190B" w14:textId="77777777" w:rsidR="00C95D96" w:rsidRPr="00D21DFA" w:rsidRDefault="00C95D96" w:rsidP="00C95D96">
            <w:pPr>
              <w:tabs>
                <w:tab w:val="left" w:pos="567"/>
              </w:tabs>
              <w:spacing w:after="0" w:line="240" w:lineRule="auto"/>
              <w:ind w:left="228" w:right="-2" w:hanging="55"/>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r w:rsidRPr="00D21DFA">
              <w:rPr>
                <w:rFonts w:ascii="Times New Roman" w:eastAsia="Times New Roman" w:hAnsi="Times New Roman" w:cs="Times New Roman"/>
                <w:b/>
                <w:kern w:val="0"/>
                <w:sz w:val="22"/>
                <w:szCs w:val="22"/>
                <w14:ligatures w14:val="none"/>
              </w:rPr>
              <w:t xml:space="preserve"> </w:t>
            </w:r>
          </w:p>
          <w:p w14:paraId="3760BB46" w14:textId="77777777" w:rsidR="00C95D96" w:rsidRPr="00D21DFA" w:rsidRDefault="00C95D96" w:rsidP="00C95D96">
            <w:pPr>
              <w:tabs>
                <w:tab w:val="left" w:pos="567"/>
              </w:tabs>
              <w:spacing w:after="0" w:line="240" w:lineRule="auto"/>
              <w:ind w:left="228"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C</w:t>
            </w:r>
            <w:r w:rsidRPr="00D21DFA">
              <w:rPr>
                <w:rFonts w:ascii="Times New Roman" w:eastAsia="Times New Roman" w:hAnsi="Times New Roman" w:cs="Times New Roman"/>
                <w:b/>
                <w:kern w:val="0"/>
                <w:sz w:val="22"/>
                <w:szCs w:val="22"/>
                <w:vertAlign w:val="subscript"/>
                <w14:ligatures w14:val="none"/>
              </w:rPr>
              <w:t>max</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ng</w:t>
            </w:r>
            <w:proofErr w:type="spellEnd"/>
            <w:r w:rsidRPr="00D21DFA">
              <w:rPr>
                <w:rFonts w:ascii="Times New Roman" w:eastAsia="Times New Roman" w:hAnsi="Times New Roman" w:cs="Times New Roman"/>
                <w:b/>
                <w:kern w:val="0"/>
                <w:sz w:val="22"/>
                <w:szCs w:val="22"/>
                <w14:ligatures w14:val="none"/>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14FD4513" w14:textId="77777777" w:rsidR="00C95D96" w:rsidRPr="00D21DFA" w:rsidRDefault="00C95D96" w:rsidP="00C95D96">
            <w:pPr>
              <w:tabs>
                <w:tab w:val="left" w:pos="978"/>
              </w:tabs>
              <w:spacing w:after="0" w:line="240" w:lineRule="auto"/>
              <w:ind w:left="240" w:right="-2" w:hanging="240"/>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C</w:t>
            </w:r>
            <w:r w:rsidRPr="00D21DFA">
              <w:rPr>
                <w:rFonts w:ascii="Times New Roman" w:eastAsia="Times New Roman" w:hAnsi="Times New Roman" w:cs="Times New Roman"/>
                <w:b/>
                <w:kern w:val="0"/>
                <w:sz w:val="22"/>
                <w:szCs w:val="22"/>
                <w:vertAlign w:val="subscript"/>
                <w14:ligatures w14:val="none"/>
              </w:rPr>
              <w:t>min</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ng</w:t>
            </w:r>
            <w:proofErr w:type="spellEnd"/>
            <w:r w:rsidRPr="00D21DFA">
              <w:rPr>
                <w:rFonts w:ascii="Times New Roman" w:eastAsia="Times New Roman" w:hAnsi="Times New Roman" w:cs="Times New Roman"/>
                <w:b/>
                <w:kern w:val="0"/>
                <w:sz w:val="22"/>
                <w:szCs w:val="22"/>
                <w14:ligatures w14:val="none"/>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534F98CE" w14:textId="77777777" w:rsidR="00C95D96" w:rsidRPr="00D21DFA" w:rsidRDefault="00C95D96" w:rsidP="00C95D96">
            <w:pPr>
              <w:tabs>
                <w:tab w:val="left" w:pos="172"/>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p>
          <w:p w14:paraId="2FA60BC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anti-Xa</w:t>
            </w:r>
            <w:proofErr w:type="spellEnd"/>
            <w:r w:rsidRPr="00D21DFA">
              <w:rPr>
                <w:rFonts w:ascii="Times New Roman" w:eastAsia="Times New Roman" w:hAnsi="Times New Roman" w:cs="Times New Roman"/>
                <w:b/>
                <w:kern w:val="0"/>
                <w:sz w:val="22"/>
                <w:szCs w:val="22"/>
                <w14:ligatures w14:val="none"/>
              </w:rPr>
              <w:t xml:space="preserve"> faktoriaus </w:t>
            </w:r>
          </w:p>
          <w:p w14:paraId="101F7FB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aktyvumas </w:t>
            </w:r>
            <w:proofErr w:type="spellStart"/>
            <w:r w:rsidRPr="00D21DFA">
              <w:rPr>
                <w:rFonts w:ascii="Times New Roman" w:eastAsia="Times New Roman" w:hAnsi="Times New Roman" w:cs="Times New Roman"/>
                <w:b/>
                <w:kern w:val="0"/>
                <w:sz w:val="22"/>
                <w:szCs w:val="22"/>
                <w14:ligatures w14:val="none"/>
              </w:rPr>
              <w:t>maks</w:t>
            </w:r>
            <w:proofErr w:type="spellEnd"/>
            <w:r w:rsidRPr="00D21DFA">
              <w:rPr>
                <w:rFonts w:ascii="Times New Roman" w:eastAsia="Times New Roman" w:hAnsi="Times New Roman" w:cs="Times New Roman"/>
                <w:b/>
                <w:kern w:val="0"/>
                <w:sz w:val="22"/>
                <w:szCs w:val="22"/>
                <w14:ligatures w14:val="none"/>
              </w:rPr>
              <w:t xml:space="preserve"> </w:t>
            </w:r>
          </w:p>
          <w:p w14:paraId="2372FA2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(TV/ml) </w:t>
            </w:r>
          </w:p>
        </w:tc>
        <w:tc>
          <w:tcPr>
            <w:tcW w:w="1701" w:type="dxa"/>
            <w:tcBorders>
              <w:top w:val="single" w:sz="4" w:space="0" w:color="000000"/>
              <w:left w:val="single" w:sz="4" w:space="0" w:color="000000"/>
              <w:bottom w:val="single" w:sz="4" w:space="0" w:color="000000"/>
              <w:right w:val="single" w:sz="4" w:space="0" w:color="000000"/>
            </w:tcBorders>
          </w:tcPr>
          <w:p w14:paraId="0CF2806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anti</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Xa</w:t>
            </w:r>
            <w:proofErr w:type="spellEnd"/>
            <w:r w:rsidRPr="00D21DFA">
              <w:rPr>
                <w:rFonts w:ascii="Times New Roman" w:eastAsia="Times New Roman" w:hAnsi="Times New Roman" w:cs="Times New Roman"/>
                <w:b/>
                <w:kern w:val="0"/>
                <w:sz w:val="22"/>
                <w:szCs w:val="22"/>
                <w14:ligatures w14:val="none"/>
              </w:rPr>
              <w:t xml:space="preserve"> </w:t>
            </w:r>
          </w:p>
          <w:p w14:paraId="4E33F28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faktoriaus aktyvumas min </w:t>
            </w:r>
          </w:p>
          <w:p w14:paraId="39EB6D4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(TV/ml) </w:t>
            </w:r>
          </w:p>
        </w:tc>
      </w:tr>
      <w:tr w:rsidR="00C95D96" w:rsidRPr="00D21DFA" w14:paraId="0C09B540" w14:textId="77777777" w:rsidTr="00446D67">
        <w:trPr>
          <w:trHeight w:val="336"/>
        </w:trPr>
        <w:tc>
          <w:tcPr>
            <w:tcW w:w="2581" w:type="dxa"/>
            <w:tcBorders>
              <w:top w:val="single" w:sz="4" w:space="0" w:color="000000"/>
              <w:left w:val="single" w:sz="4" w:space="0" w:color="000000"/>
              <w:bottom w:val="single" w:sz="4" w:space="0" w:color="000000"/>
              <w:right w:val="single" w:sz="4" w:space="0" w:color="000000"/>
            </w:tcBorders>
          </w:tcPr>
          <w:p w14:paraId="277CD4C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7AFB0C0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Mediana [5 </w:t>
            </w:r>
            <w:proofErr w:type="spellStart"/>
            <w:r w:rsidRPr="00D21DFA">
              <w:rPr>
                <w:rFonts w:ascii="Times New Roman" w:eastAsia="Times New Roman" w:hAnsi="Times New Roman" w:cs="Times New Roman"/>
                <w:kern w:val="0"/>
                <w:sz w:val="22"/>
                <w:szCs w:val="22"/>
                <w14:ligatures w14:val="none"/>
              </w:rPr>
              <w:t>procentilė</w:t>
            </w:r>
            <w:proofErr w:type="spellEnd"/>
            <w:r w:rsidRPr="00D21DFA">
              <w:rPr>
                <w:rFonts w:ascii="Times New Roman" w:eastAsia="Times New Roman" w:hAnsi="Times New Roman" w:cs="Times New Roman"/>
                <w:kern w:val="0"/>
                <w:sz w:val="22"/>
                <w:szCs w:val="22"/>
                <w14:ligatures w14:val="none"/>
              </w:rPr>
              <w:t xml:space="preserve">, 95 </w:t>
            </w:r>
            <w:proofErr w:type="spellStart"/>
            <w:r w:rsidRPr="00D21DFA">
              <w:rPr>
                <w:rFonts w:ascii="Times New Roman" w:eastAsia="Times New Roman" w:hAnsi="Times New Roman" w:cs="Times New Roman"/>
                <w:kern w:val="0"/>
                <w:sz w:val="22"/>
                <w:szCs w:val="22"/>
                <w14:ligatures w14:val="none"/>
              </w:rPr>
              <w:t>procentilė</w:t>
            </w:r>
            <w:proofErr w:type="spellEnd"/>
            <w:r w:rsidRPr="00D21DFA">
              <w:rPr>
                <w:rFonts w:ascii="Times New Roman" w:eastAsia="Times New Roman" w:hAnsi="Times New Roman" w:cs="Times New Roman"/>
                <w:kern w:val="0"/>
                <w:sz w:val="22"/>
                <w:szCs w:val="22"/>
                <w14:ligatures w14:val="none"/>
              </w:rPr>
              <w:t>]</w:t>
            </w:r>
          </w:p>
        </w:tc>
      </w:tr>
      <w:tr w:rsidR="00C95D96" w:rsidRPr="00D21DFA" w14:paraId="6BE22034" w14:textId="77777777" w:rsidTr="00446D67">
        <w:trPr>
          <w:trHeight w:val="315"/>
        </w:trPr>
        <w:tc>
          <w:tcPr>
            <w:tcW w:w="9192" w:type="dxa"/>
            <w:gridSpan w:val="5"/>
            <w:tcBorders>
              <w:top w:val="single" w:sz="4" w:space="0" w:color="000000"/>
              <w:left w:val="single" w:sz="4" w:space="0" w:color="000000"/>
              <w:bottom w:val="single" w:sz="4" w:space="0" w:color="000000"/>
              <w:right w:val="single" w:sz="4" w:space="0" w:color="000000"/>
            </w:tcBorders>
          </w:tcPr>
          <w:p w14:paraId="6B7B150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i/>
                <w:kern w:val="0"/>
                <w:sz w:val="22"/>
                <w:szCs w:val="22"/>
                <w14:ligatures w14:val="none"/>
              </w:rPr>
              <w:t>VTE profilaktika</w:t>
            </w:r>
            <w:r w:rsidRPr="00D21DFA">
              <w:rPr>
                <w:rFonts w:ascii="Times New Roman" w:eastAsia="Times New Roman" w:hAnsi="Times New Roman" w:cs="Times New Roman"/>
                <w:kern w:val="0"/>
                <w:sz w:val="22"/>
                <w:szCs w:val="22"/>
                <w14:ligatures w14:val="none"/>
              </w:rPr>
              <w:t xml:space="preserve">: </w:t>
            </w:r>
            <w:r w:rsidRPr="00D21DFA">
              <w:rPr>
                <w:rFonts w:ascii="Times New Roman" w:eastAsia="Times New Roman" w:hAnsi="Times New Roman" w:cs="Times New Roman"/>
                <w:snapToGrid w:val="0"/>
                <w:kern w:val="0"/>
                <w:sz w:val="22"/>
                <w:szCs w:val="20"/>
                <w14:ligatures w14:val="none"/>
              </w:rPr>
              <w:t>planinė kelio arba klubo sąnario pakeitimo operacija</w:t>
            </w:r>
          </w:p>
        </w:tc>
      </w:tr>
      <w:tr w:rsidR="00C95D96" w:rsidRPr="00D21DFA" w14:paraId="3DABA950" w14:textId="77777777" w:rsidTr="00446D67">
        <w:trPr>
          <w:trHeight w:val="384"/>
        </w:trPr>
        <w:tc>
          <w:tcPr>
            <w:tcW w:w="2581" w:type="dxa"/>
            <w:tcBorders>
              <w:top w:val="single" w:sz="4" w:space="0" w:color="000000"/>
              <w:left w:val="single" w:sz="4" w:space="0" w:color="000000"/>
              <w:bottom w:val="single" w:sz="4" w:space="0" w:color="000000"/>
              <w:right w:val="single" w:sz="4" w:space="0" w:color="000000"/>
            </w:tcBorders>
          </w:tcPr>
          <w:p w14:paraId="5CFA5E8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0C085F3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77 [41, 146] </w:t>
            </w:r>
          </w:p>
        </w:tc>
        <w:tc>
          <w:tcPr>
            <w:tcW w:w="1559" w:type="dxa"/>
            <w:tcBorders>
              <w:top w:val="single" w:sz="4" w:space="0" w:color="000000"/>
              <w:left w:val="single" w:sz="4" w:space="0" w:color="000000"/>
              <w:bottom w:val="single" w:sz="4" w:space="0" w:color="000000"/>
              <w:right w:val="single" w:sz="4" w:space="0" w:color="000000"/>
            </w:tcBorders>
          </w:tcPr>
          <w:p w14:paraId="3838BCF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51 [23, 109] </w:t>
            </w:r>
          </w:p>
        </w:tc>
        <w:tc>
          <w:tcPr>
            <w:tcW w:w="1790" w:type="dxa"/>
            <w:tcBorders>
              <w:top w:val="single" w:sz="4" w:space="0" w:color="000000"/>
              <w:left w:val="single" w:sz="4" w:space="0" w:color="000000"/>
              <w:bottom w:val="single" w:sz="4" w:space="0" w:color="000000"/>
              <w:right w:val="single" w:sz="4" w:space="0" w:color="000000"/>
            </w:tcBorders>
          </w:tcPr>
          <w:p w14:paraId="73B5DAE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 [0,67, 2,4] </w:t>
            </w:r>
          </w:p>
        </w:tc>
        <w:tc>
          <w:tcPr>
            <w:tcW w:w="1701" w:type="dxa"/>
            <w:tcBorders>
              <w:top w:val="single" w:sz="4" w:space="0" w:color="000000"/>
              <w:left w:val="single" w:sz="4" w:space="0" w:color="000000"/>
              <w:bottom w:val="single" w:sz="4" w:space="0" w:color="000000"/>
              <w:right w:val="single" w:sz="4" w:space="0" w:color="000000"/>
            </w:tcBorders>
          </w:tcPr>
          <w:p w14:paraId="229B5F8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0,84 [0,37, 1,8] </w:t>
            </w:r>
          </w:p>
        </w:tc>
      </w:tr>
      <w:tr w:rsidR="00C95D96" w:rsidRPr="00D21DFA" w14:paraId="5E52A372" w14:textId="77777777" w:rsidTr="00446D6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7D8B268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i/>
                <w:kern w:val="0"/>
                <w:sz w:val="22"/>
                <w:szCs w:val="22"/>
                <w14:ligatures w14:val="none"/>
              </w:rPr>
              <w:t xml:space="preserve">Insulto ir sisteminės embolijos profilaktika: VNPV </w:t>
            </w:r>
          </w:p>
        </w:tc>
      </w:tr>
      <w:tr w:rsidR="00C95D96" w:rsidRPr="00D21DFA" w14:paraId="484B202D" w14:textId="77777777" w:rsidTr="00446D67">
        <w:trPr>
          <w:trHeight w:val="305"/>
        </w:trPr>
        <w:tc>
          <w:tcPr>
            <w:tcW w:w="2581" w:type="dxa"/>
            <w:tcBorders>
              <w:top w:val="single" w:sz="4" w:space="0" w:color="000000"/>
              <w:left w:val="single" w:sz="4" w:space="0" w:color="000000"/>
              <w:bottom w:val="single" w:sz="4" w:space="0" w:color="000000"/>
              <w:right w:val="single" w:sz="4" w:space="0" w:color="000000"/>
            </w:tcBorders>
          </w:tcPr>
          <w:p w14:paraId="23553D7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1824753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49B0CD0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1EB5E1B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1,8 [1,0, 3,3] </w:t>
            </w:r>
          </w:p>
        </w:tc>
        <w:tc>
          <w:tcPr>
            <w:tcW w:w="1701" w:type="dxa"/>
            <w:tcBorders>
              <w:top w:val="single" w:sz="4" w:space="0" w:color="000000"/>
              <w:left w:val="single" w:sz="4" w:space="0" w:color="000000"/>
              <w:bottom w:val="single" w:sz="4" w:space="0" w:color="000000"/>
              <w:right w:val="single" w:sz="4" w:space="0" w:color="000000"/>
            </w:tcBorders>
          </w:tcPr>
          <w:p w14:paraId="42A17D2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 [0,51, 2,4] </w:t>
            </w:r>
          </w:p>
        </w:tc>
      </w:tr>
      <w:tr w:rsidR="00C95D96" w:rsidRPr="00D21DFA" w14:paraId="7C027FFC" w14:textId="77777777" w:rsidTr="00446D67">
        <w:trPr>
          <w:trHeight w:val="383"/>
        </w:trPr>
        <w:tc>
          <w:tcPr>
            <w:tcW w:w="2581" w:type="dxa"/>
            <w:tcBorders>
              <w:top w:val="single" w:sz="4" w:space="0" w:color="000000"/>
              <w:left w:val="single" w:sz="4" w:space="0" w:color="000000"/>
              <w:bottom w:val="single" w:sz="4" w:space="0" w:color="000000"/>
              <w:right w:val="single" w:sz="4" w:space="0" w:color="000000"/>
            </w:tcBorders>
          </w:tcPr>
          <w:p w14:paraId="051E447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7535C5E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2AF5F0A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381D35D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2,6 [1,4, 4,8] </w:t>
            </w:r>
          </w:p>
        </w:tc>
        <w:tc>
          <w:tcPr>
            <w:tcW w:w="1701" w:type="dxa"/>
            <w:tcBorders>
              <w:top w:val="single" w:sz="4" w:space="0" w:color="000000"/>
              <w:left w:val="single" w:sz="4" w:space="0" w:color="000000"/>
              <w:bottom w:val="single" w:sz="4" w:space="0" w:color="000000"/>
              <w:right w:val="single" w:sz="4" w:space="0" w:color="000000"/>
            </w:tcBorders>
          </w:tcPr>
          <w:p w14:paraId="53A8564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 [0,61, 3,4] </w:t>
            </w:r>
          </w:p>
        </w:tc>
      </w:tr>
      <w:tr w:rsidR="00C95D96" w:rsidRPr="00D21DFA" w14:paraId="7D6D383F" w14:textId="77777777" w:rsidTr="00446D6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06F4EE7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i/>
                <w:kern w:val="0"/>
                <w:sz w:val="22"/>
                <w:szCs w:val="22"/>
                <w14:ligatures w14:val="none"/>
              </w:rPr>
              <w:t>GVT gydymas, PE gydymas ir pasikartojančios GVT ir PE profilaktika (</w:t>
            </w:r>
            <w:proofErr w:type="spellStart"/>
            <w:r w:rsidRPr="00D21DFA">
              <w:rPr>
                <w:rFonts w:ascii="Times New Roman" w:eastAsia="Times New Roman" w:hAnsi="Times New Roman" w:cs="Times New Roman"/>
                <w:i/>
                <w:kern w:val="0"/>
                <w:sz w:val="22"/>
                <w:szCs w:val="22"/>
                <w14:ligatures w14:val="none"/>
              </w:rPr>
              <w:t>VTEt</w:t>
            </w:r>
            <w:proofErr w:type="spellEnd"/>
            <w:r w:rsidRPr="00D21DFA">
              <w:rPr>
                <w:rFonts w:ascii="Times New Roman" w:eastAsia="Times New Roman" w:hAnsi="Times New Roman" w:cs="Times New Roman"/>
                <w:i/>
                <w:kern w:val="0"/>
                <w:sz w:val="22"/>
                <w:szCs w:val="22"/>
                <w14:ligatures w14:val="none"/>
              </w:rPr>
              <w:t>)</w:t>
            </w:r>
            <w:r w:rsidRPr="00D21DFA">
              <w:rPr>
                <w:rFonts w:ascii="Times New Roman" w:eastAsia="Times New Roman" w:hAnsi="Times New Roman" w:cs="Times New Roman"/>
                <w:kern w:val="0"/>
                <w:sz w:val="22"/>
                <w:szCs w:val="22"/>
                <w14:ligatures w14:val="none"/>
              </w:rPr>
              <w:t xml:space="preserve"> </w:t>
            </w:r>
          </w:p>
        </w:tc>
      </w:tr>
      <w:tr w:rsidR="00C95D96" w:rsidRPr="00D21DFA" w14:paraId="55F61D48" w14:textId="77777777" w:rsidTr="00446D67">
        <w:trPr>
          <w:trHeight w:val="383"/>
        </w:trPr>
        <w:tc>
          <w:tcPr>
            <w:tcW w:w="2581" w:type="dxa"/>
            <w:tcBorders>
              <w:top w:val="single" w:sz="4" w:space="0" w:color="000000"/>
              <w:left w:val="single" w:sz="4" w:space="0" w:color="000000"/>
              <w:bottom w:val="single" w:sz="4" w:space="0" w:color="000000"/>
              <w:right w:val="single" w:sz="4" w:space="0" w:color="000000"/>
            </w:tcBorders>
          </w:tcPr>
          <w:p w14:paraId="6213D41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w:t>
            </w:r>
            <w:r w:rsidRPr="00D21DFA">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DBCD62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4070F89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48FE02A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 [0,46, 2,5] </w:t>
            </w:r>
          </w:p>
        </w:tc>
        <w:tc>
          <w:tcPr>
            <w:tcW w:w="1701" w:type="dxa"/>
            <w:tcBorders>
              <w:top w:val="single" w:sz="4" w:space="0" w:color="000000"/>
              <w:left w:val="single" w:sz="4" w:space="0" w:color="000000"/>
              <w:bottom w:val="single" w:sz="4" w:space="0" w:color="000000"/>
              <w:right w:val="single" w:sz="4" w:space="0" w:color="000000"/>
            </w:tcBorders>
          </w:tcPr>
          <w:p w14:paraId="53B8071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0,49 [0,17, 1,4]</w:t>
            </w:r>
          </w:p>
        </w:tc>
      </w:tr>
      <w:tr w:rsidR="00C95D96" w:rsidRPr="00D21DFA" w14:paraId="05514C54" w14:textId="77777777" w:rsidTr="00446D67">
        <w:trPr>
          <w:trHeight w:val="383"/>
        </w:trPr>
        <w:tc>
          <w:tcPr>
            <w:tcW w:w="2581" w:type="dxa"/>
            <w:tcBorders>
              <w:top w:val="single" w:sz="4" w:space="0" w:color="000000"/>
              <w:left w:val="single" w:sz="4" w:space="0" w:color="000000"/>
              <w:bottom w:val="single" w:sz="4" w:space="0" w:color="000000"/>
              <w:right w:val="single" w:sz="4" w:space="0" w:color="000000"/>
            </w:tcBorders>
          </w:tcPr>
          <w:p w14:paraId="5DCE380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mg </w:t>
            </w:r>
            <w:r w:rsidRPr="00D21DFA">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4B47914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139DF20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2D5A626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2,1 [0,91, 5,2] </w:t>
            </w:r>
          </w:p>
        </w:tc>
        <w:tc>
          <w:tcPr>
            <w:tcW w:w="1701" w:type="dxa"/>
            <w:tcBorders>
              <w:top w:val="single" w:sz="4" w:space="0" w:color="000000"/>
              <w:left w:val="single" w:sz="4" w:space="0" w:color="000000"/>
              <w:bottom w:val="single" w:sz="4" w:space="0" w:color="000000"/>
              <w:right w:val="single" w:sz="4" w:space="0" w:color="000000"/>
            </w:tcBorders>
          </w:tcPr>
          <w:p w14:paraId="7F7D4F1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 [0,33, 2,9] </w:t>
            </w:r>
          </w:p>
        </w:tc>
      </w:tr>
      <w:tr w:rsidR="00C95D96" w:rsidRPr="00D21DFA" w14:paraId="77BD05D3" w14:textId="77777777" w:rsidTr="00446D67">
        <w:trPr>
          <w:trHeight w:val="384"/>
        </w:trPr>
        <w:tc>
          <w:tcPr>
            <w:tcW w:w="2581" w:type="dxa"/>
            <w:tcBorders>
              <w:top w:val="single" w:sz="4" w:space="0" w:color="000000"/>
              <w:left w:val="single" w:sz="4" w:space="0" w:color="000000"/>
              <w:bottom w:val="single" w:sz="4" w:space="0" w:color="000000"/>
              <w:right w:val="single" w:sz="4" w:space="0" w:color="000000"/>
            </w:tcBorders>
          </w:tcPr>
          <w:p w14:paraId="1AE9F3E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 mg </w:t>
            </w:r>
            <w:r w:rsidRPr="00D21DFA">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1C3FBAE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53F196F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76396F4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4,2 [1,8, 10,8] </w:t>
            </w:r>
          </w:p>
        </w:tc>
        <w:tc>
          <w:tcPr>
            <w:tcW w:w="1701" w:type="dxa"/>
            <w:tcBorders>
              <w:top w:val="single" w:sz="4" w:space="0" w:color="000000"/>
              <w:left w:val="single" w:sz="4" w:space="0" w:color="000000"/>
              <w:bottom w:val="single" w:sz="4" w:space="0" w:color="000000"/>
              <w:right w:val="single" w:sz="4" w:space="0" w:color="000000"/>
            </w:tcBorders>
          </w:tcPr>
          <w:p w14:paraId="146EBFB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1,9 [0,64, 5,8] </w:t>
            </w:r>
          </w:p>
        </w:tc>
      </w:tr>
    </w:tbl>
    <w:p w14:paraId="29955AA7" w14:textId="77777777" w:rsidR="00C95D96" w:rsidRPr="00D21DFA" w:rsidRDefault="00C95D96" w:rsidP="00C95D96">
      <w:pPr>
        <w:tabs>
          <w:tab w:val="left" w:pos="720"/>
        </w:tabs>
        <w:autoSpaceDE w:val="0"/>
        <w:autoSpaceDN w:val="0"/>
        <w:adjustRightInd w:val="0"/>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14:ligatures w14:val="none"/>
        </w:rPr>
        <w:t xml:space="preserve">* </w:t>
      </w:r>
      <w:r w:rsidRPr="00D21DFA">
        <w:rPr>
          <w:rFonts w:ascii="Times New Roman" w:eastAsia="Times New Roman" w:hAnsi="Times New Roman" w:cs="Times New Roman"/>
          <w:snapToGrid w:val="0"/>
          <w:kern w:val="0"/>
          <w:sz w:val="22"/>
          <w:szCs w:val="22"/>
          <w14:ligatures w14:val="none"/>
        </w:rPr>
        <w:t xml:space="preserve">Populiacija su pakoreguota doze pagal ARISTOTLE tyrimo 2 iš 3 dozės mažinimo kriterijus </w:t>
      </w:r>
    </w:p>
    <w:p w14:paraId="61C37AD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18"/>
          <w:szCs w:val="18"/>
          <w14:ligatures w14:val="none"/>
        </w:rPr>
      </w:pPr>
    </w:p>
    <w:p w14:paraId="234BFFC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Nors gydant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jo ekspozicijos įprastai stebėti nereikia, gali būti naudinga atlikti poveikio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faktoriui kalibruotą kiekybinį tyrimą išskirtinėmis aplinkybėmis, 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ekspozicijos nustatymas gali padėti priimti klinikinius sprendimus, pavyzdžiui: perdozavimo ar neatidėliotinų operacijų atvejais.</w:t>
      </w:r>
    </w:p>
    <w:p w14:paraId="359FD97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C55E59" w14:textId="77777777"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AD1A35">
        <w:rPr>
          <w:rFonts w:ascii="Times New Roman" w:eastAsia="Times New Roman" w:hAnsi="Times New Roman" w:cs="Times New Roman"/>
          <w:snapToGrid w:val="0"/>
          <w:kern w:val="0"/>
          <w:sz w:val="22"/>
          <w:szCs w:val="20"/>
          <w:u w:val="single"/>
          <w14:ligatures w14:val="none"/>
        </w:rPr>
        <w:t>Vaik</w:t>
      </w:r>
      <w:r w:rsidRPr="00AD1A35">
        <w:rPr>
          <w:rFonts w:ascii="Times New Roman" w:eastAsia="Times New Roman" w:hAnsi="Times New Roman" w:cs="Times New Roman" w:hint="eastAsia"/>
          <w:snapToGrid w:val="0"/>
          <w:kern w:val="0"/>
          <w:sz w:val="22"/>
          <w:szCs w:val="20"/>
          <w:u w:val="single"/>
          <w14:ligatures w14:val="none"/>
        </w:rPr>
        <w:t>ų</w:t>
      </w:r>
      <w:r w:rsidRPr="00AD1A35">
        <w:rPr>
          <w:rFonts w:ascii="Times New Roman" w:eastAsia="Times New Roman" w:hAnsi="Times New Roman" w:cs="Times New Roman"/>
          <w:snapToGrid w:val="0"/>
          <w:kern w:val="0"/>
          <w:sz w:val="22"/>
          <w:szCs w:val="20"/>
          <w:u w:val="single"/>
          <w14:ligatures w14:val="none"/>
        </w:rPr>
        <w:t xml:space="preserve"> populiacija</w:t>
      </w:r>
    </w:p>
    <w:p w14:paraId="5BFC9AC2" w14:textId="77777777" w:rsidR="00912B24" w:rsidRPr="00AD1A35"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61C68D6" w14:textId="38287846"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Apiksabano</w:t>
      </w:r>
      <w:proofErr w:type="spellEnd"/>
      <w:r w:rsidRPr="00D21DFA">
        <w:rPr>
          <w:rFonts w:ascii="Times New Roman" w:eastAsia="Times New Roman" w:hAnsi="Times New Roman" w:cs="Times New Roman"/>
          <w:snapToGrid w:val="0"/>
          <w:kern w:val="0"/>
          <w:sz w:val="22"/>
          <w:szCs w:val="20"/>
          <w14:ligatures w14:val="none"/>
        </w:rPr>
        <w:t xml:space="preserve"> tyrimuose su vaikais buvo naudojama „STA® </w:t>
      </w:r>
      <w:proofErr w:type="spellStart"/>
      <w:r w:rsidRPr="00D21DFA">
        <w:rPr>
          <w:rFonts w:ascii="Times New Roman" w:eastAsia="Times New Roman" w:hAnsi="Times New Roman" w:cs="Times New Roman"/>
          <w:snapToGrid w:val="0"/>
          <w:kern w:val="0"/>
          <w:sz w:val="22"/>
          <w:szCs w:val="20"/>
          <w14:ligatures w14:val="none"/>
        </w:rPr>
        <w:t>Liquid</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Anti-Xa</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mėginių analizė. Šių tyrimų rezultatai rodo, kad tiesinis ryšys tarp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ir slopinamojo poveikio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aktyvumui (</w:t>
      </w:r>
      <w:r w:rsidRPr="00D21DFA">
        <w:rPr>
          <w:rFonts w:ascii="Times New Roman" w:eastAsia="Times New Roman" w:hAnsi="Times New Roman" w:cs="Times New Roman"/>
          <w:i/>
          <w:iCs/>
          <w:snapToGrid w:val="0"/>
          <w:kern w:val="0"/>
          <w:sz w:val="22"/>
          <w:szCs w:val="20"/>
          <w14:ligatures w14:val="none"/>
        </w:rPr>
        <w:t xml:space="preserve">angl. </w:t>
      </w:r>
      <w:proofErr w:type="spellStart"/>
      <w:r w:rsidRPr="00D21DFA">
        <w:rPr>
          <w:rFonts w:ascii="Times New Roman" w:eastAsia="Times New Roman" w:hAnsi="Times New Roman" w:cs="Times New Roman"/>
          <w:i/>
          <w:iCs/>
          <w:snapToGrid w:val="0"/>
          <w:kern w:val="0"/>
          <w:sz w:val="22"/>
          <w:szCs w:val="20"/>
          <w14:ligatures w14:val="none"/>
        </w:rPr>
        <w:t>anti-Factor</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Xa</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activity</w:t>
      </w:r>
      <w:proofErr w:type="spellEnd"/>
      <w:r w:rsidRPr="00D21DFA">
        <w:rPr>
          <w:rFonts w:ascii="Times New Roman" w:eastAsia="Times New Roman" w:hAnsi="Times New Roman" w:cs="Times New Roman"/>
          <w:i/>
          <w:iCs/>
          <w:snapToGrid w:val="0"/>
          <w:kern w:val="0"/>
          <w:sz w:val="22"/>
          <w:szCs w:val="20"/>
          <w14:ligatures w14:val="none"/>
        </w:rPr>
        <w:t>, AXA</w:t>
      </w:r>
      <w:r w:rsidRPr="00D21DFA">
        <w:rPr>
          <w:rFonts w:ascii="Times New Roman" w:eastAsia="Times New Roman" w:hAnsi="Times New Roman" w:cs="Times New Roman"/>
          <w:snapToGrid w:val="0"/>
          <w:kern w:val="0"/>
          <w:sz w:val="22"/>
          <w:szCs w:val="20"/>
          <w14:ligatures w14:val="none"/>
        </w:rPr>
        <w:t xml:space="preserve">) atitinka anksčiau nustatytą ryšį suaugusiesiems. Tai patvirtina dokumentuotą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kaip selektyvaus </w:t>
      </w:r>
      <w:proofErr w:type="spellStart"/>
      <w:r w:rsidRPr="00D21DFA">
        <w:rPr>
          <w:rFonts w:ascii="Times New Roman" w:eastAsia="Times New Roman" w:hAnsi="Times New Roman" w:cs="Times New Roman"/>
          <w:snapToGrid w:val="0"/>
          <w:kern w:val="0"/>
          <w:sz w:val="22"/>
          <w:szCs w:val="20"/>
          <w14:ligatures w14:val="none"/>
        </w:rPr>
        <w:t>FXa</w:t>
      </w:r>
      <w:proofErr w:type="spellEnd"/>
      <w:r w:rsidRPr="00D21DFA">
        <w:rPr>
          <w:rFonts w:ascii="Times New Roman" w:eastAsia="Times New Roman" w:hAnsi="Times New Roman" w:cs="Times New Roman"/>
          <w:snapToGrid w:val="0"/>
          <w:kern w:val="0"/>
          <w:sz w:val="22"/>
          <w:szCs w:val="20"/>
          <w14:ligatures w14:val="none"/>
        </w:rPr>
        <w:t xml:space="preserve"> inhibitoriaus, veikimo mechanizmą.</w:t>
      </w:r>
    </w:p>
    <w:p w14:paraId="1A3D55E0" w14:textId="77777777"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00BCE7" w14:textId="1E8BDA34"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CV185155 metu svorio kategorijoje nuo 9 iki ≥ 35 kg geometrinio vidurkio (%CV) </w:t>
      </w:r>
      <w:proofErr w:type="spellStart"/>
      <w:r w:rsidRPr="00D21DFA">
        <w:rPr>
          <w:rFonts w:ascii="Times New Roman" w:eastAsia="Times New Roman" w:hAnsi="Times New Roman" w:cs="Times New Roman"/>
          <w:snapToGrid w:val="0"/>
          <w:kern w:val="0"/>
          <w:sz w:val="22"/>
          <w:szCs w:val="20"/>
          <w14:ligatures w14:val="none"/>
        </w:rPr>
        <w:t>AXAmin</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AXAmax</w:t>
      </w:r>
      <w:proofErr w:type="spellEnd"/>
      <w:r w:rsidRPr="00D21DFA">
        <w:rPr>
          <w:rFonts w:ascii="Times New Roman" w:eastAsia="Times New Roman" w:hAnsi="Times New Roman" w:cs="Times New Roman"/>
          <w:snapToGrid w:val="0"/>
          <w:kern w:val="0"/>
          <w:sz w:val="22"/>
          <w:szCs w:val="20"/>
          <w14:ligatures w14:val="none"/>
        </w:rPr>
        <w:t xml:space="preserve"> buvo nuo 27,1 (22,2)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iki 71,9 (17,3)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ir tai atitiko geometrinio vidurkio (%CV) reikšmes </w:t>
      </w:r>
      <w:proofErr w:type="spellStart"/>
      <w:r w:rsidRPr="00D21DFA">
        <w:rPr>
          <w:rFonts w:ascii="Times New Roman" w:eastAsia="Times New Roman" w:hAnsi="Times New Roman" w:cs="Times New Roman"/>
          <w:snapToGrid w:val="0"/>
          <w:kern w:val="0"/>
          <w:sz w:val="22"/>
          <w:szCs w:val="20"/>
          <w14:ligatures w14:val="none"/>
        </w:rPr>
        <w:t>Cminss</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Cmaxss</w:t>
      </w:r>
      <w:proofErr w:type="spellEnd"/>
      <w:r w:rsidRPr="00D21DFA">
        <w:rPr>
          <w:rFonts w:ascii="Times New Roman" w:eastAsia="Times New Roman" w:hAnsi="Times New Roman" w:cs="Times New Roman"/>
          <w:snapToGrid w:val="0"/>
          <w:kern w:val="0"/>
          <w:sz w:val="22"/>
          <w:szCs w:val="20"/>
          <w14:ligatures w14:val="none"/>
        </w:rPr>
        <w:t xml:space="preserve"> 30,3 (22)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80,8 (16,8)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Naudojant vaikams skirtą dozavimo režimą šiuose AXA diapazonuose pasiektos ekspozicijos buvo panašios į tas, kurios buvo nustatytos suaugusiesiems, du kartus per parą vartojantiems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w:t>
      </w:r>
    </w:p>
    <w:p w14:paraId="2B452E81" w14:textId="77777777"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10C7E3" w14:textId="2DEC0ACE"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CV185362 metu svorio kategorijoje nuo 6 iki ≥ 35 kg geometrinio vidurkio (%CV) </w:t>
      </w:r>
      <w:proofErr w:type="spellStart"/>
      <w:r w:rsidRPr="00D21DFA">
        <w:rPr>
          <w:rFonts w:ascii="Times New Roman" w:eastAsia="Times New Roman" w:hAnsi="Times New Roman" w:cs="Times New Roman"/>
          <w:snapToGrid w:val="0"/>
          <w:kern w:val="0"/>
          <w:sz w:val="22"/>
          <w:szCs w:val="20"/>
          <w14:ligatures w14:val="none"/>
        </w:rPr>
        <w:t>AXAmin</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AXAmax</w:t>
      </w:r>
      <w:proofErr w:type="spellEnd"/>
      <w:r w:rsidRPr="00D21DFA">
        <w:rPr>
          <w:rFonts w:ascii="Times New Roman" w:eastAsia="Times New Roman" w:hAnsi="Times New Roman" w:cs="Times New Roman"/>
          <w:snapToGrid w:val="0"/>
          <w:kern w:val="0"/>
          <w:sz w:val="22"/>
          <w:szCs w:val="20"/>
          <w14:ligatures w14:val="none"/>
        </w:rPr>
        <w:t xml:space="preserve"> buvo nuo 67,1 (30,2)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iki 213 (41,7)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ir tai atitiko geometrinio vidurkio (%CV) reikšmes </w:t>
      </w:r>
      <w:proofErr w:type="spellStart"/>
      <w:r w:rsidRPr="00D21DFA">
        <w:rPr>
          <w:rFonts w:ascii="Times New Roman" w:eastAsia="Times New Roman" w:hAnsi="Times New Roman" w:cs="Times New Roman"/>
          <w:snapToGrid w:val="0"/>
          <w:kern w:val="0"/>
          <w:sz w:val="22"/>
          <w:szCs w:val="20"/>
          <w14:ligatures w14:val="none"/>
        </w:rPr>
        <w:t>C</w:t>
      </w:r>
      <w:r w:rsidRPr="00AD1A35">
        <w:rPr>
          <w:rFonts w:ascii="Times New Roman" w:eastAsia="Times New Roman" w:hAnsi="Times New Roman" w:cs="Times New Roman"/>
          <w:snapToGrid w:val="0"/>
          <w:kern w:val="0"/>
          <w:sz w:val="22"/>
          <w:szCs w:val="20"/>
          <w:vertAlign w:val="subscript"/>
          <w14:ligatures w14:val="none"/>
        </w:rPr>
        <w:t>minss</w:t>
      </w:r>
      <w:proofErr w:type="spellEnd"/>
      <w:r w:rsidRPr="00AD1A35">
        <w:rPr>
          <w:rFonts w:ascii="Times New Roman" w:eastAsia="Times New Roman" w:hAnsi="Times New Roman" w:cs="Times New Roman"/>
          <w:snapToGrid w:val="0"/>
          <w:kern w:val="0"/>
          <w:sz w:val="22"/>
          <w:szCs w:val="20"/>
          <w:vertAlign w:val="subscript"/>
          <w14:ligatures w14:val="none"/>
        </w:rPr>
        <w:t xml:space="preserve"> </w:t>
      </w:r>
      <w:r w:rsidRPr="00D21DFA">
        <w:rPr>
          <w:rFonts w:ascii="Times New Roman" w:eastAsia="Times New Roman" w:hAnsi="Times New Roman" w:cs="Times New Roman"/>
          <w:snapToGrid w:val="0"/>
          <w:kern w:val="0"/>
          <w:sz w:val="22"/>
          <w:szCs w:val="20"/>
          <w14:ligatures w14:val="none"/>
        </w:rPr>
        <w:t xml:space="preserve">ir </w:t>
      </w:r>
      <w:proofErr w:type="spellStart"/>
      <w:r w:rsidRPr="00D21DFA">
        <w:rPr>
          <w:rFonts w:ascii="Times New Roman" w:eastAsia="Times New Roman" w:hAnsi="Times New Roman" w:cs="Times New Roman"/>
          <w:snapToGrid w:val="0"/>
          <w:kern w:val="0"/>
          <w:sz w:val="22"/>
          <w:szCs w:val="20"/>
          <w14:ligatures w14:val="none"/>
        </w:rPr>
        <w:t>C</w:t>
      </w:r>
      <w:r w:rsidRPr="00AD1A35">
        <w:rPr>
          <w:rFonts w:ascii="Times New Roman" w:eastAsia="Times New Roman" w:hAnsi="Times New Roman" w:cs="Times New Roman"/>
          <w:snapToGrid w:val="0"/>
          <w:kern w:val="0"/>
          <w:sz w:val="22"/>
          <w:szCs w:val="20"/>
          <w:vertAlign w:val="subscript"/>
          <w14:ligatures w14:val="none"/>
        </w:rPr>
        <w:t>maxss</w:t>
      </w:r>
      <w:proofErr w:type="spellEnd"/>
      <w:r w:rsidRPr="00D21DFA">
        <w:rPr>
          <w:rFonts w:ascii="Times New Roman" w:eastAsia="Times New Roman" w:hAnsi="Times New Roman" w:cs="Times New Roman"/>
          <w:snapToGrid w:val="0"/>
          <w:kern w:val="0"/>
          <w:sz w:val="22"/>
          <w:szCs w:val="20"/>
          <w14:ligatures w14:val="none"/>
        </w:rPr>
        <w:t xml:space="preserve"> 71,3 (61,3)</w:t>
      </w:r>
      <w:r w:rsidR="005738CA" w:rsidRPr="00D21DFA">
        <w:rPr>
          <w:rFonts w:ascii="Times New Roman" w:eastAsia="Times New Roman" w:hAnsi="Times New Roman" w:cs="Times New Roman"/>
          <w:snapToGrid w:val="0"/>
          <w:kern w:val="0"/>
          <w:sz w:val="22"/>
          <w:szCs w:val="20"/>
          <w14:ligatures w14:val="none"/>
        </w:rPr>
        <w:t>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230 (39,5)</w:t>
      </w:r>
      <w:r w:rsidR="005738CA" w:rsidRPr="00D21DFA">
        <w:rPr>
          <w:rFonts w:ascii="Times New Roman" w:eastAsia="Times New Roman" w:hAnsi="Times New Roman" w:cs="Times New Roman"/>
          <w:snapToGrid w:val="0"/>
          <w:kern w:val="0"/>
          <w:sz w:val="22"/>
          <w:szCs w:val="20"/>
          <w14:ligatures w14:val="none"/>
        </w:rPr>
        <w:t>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Naudojant vaikams skirtą</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dozavimo</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režimą šiuose AXA diapazonuose pasiektos ekspozicijos buvo panašios į tas, kurios buvo</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nustatytos</w:t>
      </w:r>
    </w:p>
    <w:p w14:paraId="6CD116F2" w14:textId="418D955E"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du kartus per parą vartojantiems 5</w:t>
      </w:r>
      <w:r w:rsidR="005738C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 xml:space="preserve">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w:t>
      </w:r>
    </w:p>
    <w:p w14:paraId="29E31EAF" w14:textId="77777777" w:rsidR="005738CA" w:rsidRPr="00D21DFA" w:rsidRDefault="005738CA"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88BC3E" w14:textId="2B12CBD4"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Tyrimo CV185325 metu svorio kategorijoje nuo 6 iki ≥</w:t>
      </w:r>
      <w:r w:rsidR="005738C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35</w:t>
      </w:r>
      <w:r w:rsidR="005738C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 xml:space="preserve">kg geometrinio vidurkio (%CV) </w:t>
      </w:r>
      <w:proofErr w:type="spellStart"/>
      <w:r w:rsidRPr="00D21DFA">
        <w:rPr>
          <w:rFonts w:ascii="Times New Roman" w:eastAsia="Times New Roman" w:hAnsi="Times New Roman" w:cs="Times New Roman"/>
          <w:snapToGrid w:val="0"/>
          <w:kern w:val="0"/>
          <w:sz w:val="22"/>
          <w:szCs w:val="20"/>
          <w14:ligatures w14:val="none"/>
        </w:rPr>
        <w:t>AXAmin</w:t>
      </w:r>
      <w:proofErr w:type="spellEnd"/>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ir </w:t>
      </w:r>
      <w:proofErr w:type="spellStart"/>
      <w:r w:rsidRPr="00D21DFA">
        <w:rPr>
          <w:rFonts w:ascii="Times New Roman" w:eastAsia="Times New Roman" w:hAnsi="Times New Roman" w:cs="Times New Roman"/>
          <w:snapToGrid w:val="0"/>
          <w:kern w:val="0"/>
          <w:sz w:val="22"/>
          <w:szCs w:val="20"/>
          <w14:ligatures w14:val="none"/>
        </w:rPr>
        <w:t>AXAmax</w:t>
      </w:r>
      <w:proofErr w:type="spellEnd"/>
      <w:r w:rsidRPr="00D21DFA">
        <w:rPr>
          <w:rFonts w:ascii="Times New Roman" w:eastAsia="Times New Roman" w:hAnsi="Times New Roman" w:cs="Times New Roman"/>
          <w:snapToGrid w:val="0"/>
          <w:kern w:val="0"/>
          <w:sz w:val="22"/>
          <w:szCs w:val="20"/>
          <w14:ligatures w14:val="none"/>
        </w:rPr>
        <w:t xml:space="preserve"> buvo nuo 47,1 (57,2)</w:t>
      </w:r>
      <w:r w:rsidR="005738CA" w:rsidRPr="00D21DFA">
        <w:rPr>
          <w:rFonts w:ascii="Times New Roman" w:eastAsia="Times New Roman" w:hAnsi="Times New Roman" w:cs="Times New Roman"/>
          <w:snapToGrid w:val="0"/>
          <w:kern w:val="0"/>
          <w:sz w:val="22"/>
          <w:szCs w:val="20"/>
          <w14:ligatures w14:val="none"/>
        </w:rPr>
        <w:t>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iki 146 (40,2)</w:t>
      </w:r>
      <w:r w:rsidR="005738CA" w:rsidRPr="00D21DFA">
        <w:rPr>
          <w:rFonts w:ascii="Times New Roman" w:eastAsia="Times New Roman" w:hAnsi="Times New Roman" w:cs="Times New Roman"/>
          <w:snapToGrid w:val="0"/>
          <w:kern w:val="0"/>
          <w:sz w:val="22"/>
          <w:szCs w:val="20"/>
          <w14:ligatures w14:val="none"/>
        </w:rPr>
        <w:t>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tai atitiko geometrinio vidurkio (%CV)</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reikšmes </w:t>
      </w:r>
      <w:proofErr w:type="spellStart"/>
      <w:r w:rsidRPr="00D21DFA">
        <w:rPr>
          <w:rFonts w:ascii="Times New Roman" w:eastAsia="Times New Roman" w:hAnsi="Times New Roman" w:cs="Times New Roman"/>
          <w:snapToGrid w:val="0"/>
          <w:kern w:val="0"/>
          <w:sz w:val="22"/>
          <w:szCs w:val="20"/>
          <w14:ligatures w14:val="none"/>
        </w:rPr>
        <w:t>C</w:t>
      </w:r>
      <w:r w:rsidRPr="00AD1A35">
        <w:rPr>
          <w:rFonts w:ascii="Times New Roman" w:eastAsia="Times New Roman" w:hAnsi="Times New Roman" w:cs="Times New Roman"/>
          <w:snapToGrid w:val="0"/>
          <w:kern w:val="0"/>
          <w:sz w:val="22"/>
          <w:szCs w:val="20"/>
          <w:vertAlign w:val="subscript"/>
          <w14:ligatures w14:val="none"/>
        </w:rPr>
        <w:t>minss</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C</w:t>
      </w:r>
      <w:r w:rsidRPr="00AD1A35">
        <w:rPr>
          <w:rFonts w:ascii="Times New Roman" w:eastAsia="Times New Roman" w:hAnsi="Times New Roman" w:cs="Times New Roman"/>
          <w:snapToGrid w:val="0"/>
          <w:kern w:val="0"/>
          <w:sz w:val="22"/>
          <w:szCs w:val="20"/>
          <w:vertAlign w:val="subscript"/>
          <w14:ligatures w14:val="none"/>
        </w:rPr>
        <w:t>maxss</w:t>
      </w:r>
      <w:proofErr w:type="spellEnd"/>
      <w:r w:rsidRPr="00D21DFA">
        <w:rPr>
          <w:rFonts w:ascii="Times New Roman" w:eastAsia="Times New Roman" w:hAnsi="Times New Roman" w:cs="Times New Roman"/>
          <w:snapToGrid w:val="0"/>
          <w:kern w:val="0"/>
          <w:sz w:val="22"/>
          <w:szCs w:val="20"/>
          <w14:ligatures w14:val="none"/>
        </w:rPr>
        <w:t xml:space="preserve"> 50 (54,5)</w:t>
      </w:r>
      <w:r w:rsidR="005738CA" w:rsidRPr="00D21DFA">
        <w:rPr>
          <w:rFonts w:ascii="Times New Roman" w:eastAsia="Times New Roman" w:hAnsi="Times New Roman" w:cs="Times New Roman"/>
          <w:snapToGrid w:val="0"/>
          <w:kern w:val="0"/>
          <w:sz w:val="22"/>
          <w:szCs w:val="20"/>
          <w14:ligatures w14:val="none"/>
        </w:rPr>
        <w:t>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144 (36,9)</w:t>
      </w:r>
      <w:r w:rsidR="005738CA" w:rsidRPr="00D21DFA">
        <w:rPr>
          <w:rFonts w:ascii="Times New Roman" w:eastAsia="Times New Roman" w:hAnsi="Times New Roman" w:cs="Times New Roman"/>
          <w:snapToGrid w:val="0"/>
          <w:kern w:val="0"/>
          <w:sz w:val="22"/>
          <w:szCs w:val="20"/>
          <w14:ligatures w14:val="none"/>
        </w:rPr>
        <w:t>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Naudojant vaikams skirtą dozavimo</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režimą šiuose AXA diapazonuose pasiektos ekspozicijos buvo panašios į tas, kurios buvo nustatytos</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suaugusiesiems, vartojantiems 5</w:t>
      </w:r>
      <w:r w:rsidR="005738C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 xml:space="preserve">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w:t>
      </w:r>
    </w:p>
    <w:p w14:paraId="68FD0AB7" w14:textId="77777777" w:rsidR="005738CA" w:rsidRPr="00D21DFA" w:rsidRDefault="005738CA"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45CE30" w14:textId="36442998" w:rsidR="00912B24" w:rsidRPr="00D21DFA" w:rsidRDefault="00912B24" w:rsidP="00912B24">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Numanoma </w:t>
      </w:r>
      <w:proofErr w:type="spellStart"/>
      <w:r w:rsidRPr="00D21DFA">
        <w:rPr>
          <w:rFonts w:ascii="Times New Roman" w:eastAsia="Times New Roman" w:hAnsi="Times New Roman" w:cs="Times New Roman"/>
          <w:snapToGrid w:val="0"/>
          <w:kern w:val="0"/>
          <w:sz w:val="22"/>
          <w:szCs w:val="20"/>
          <w14:ligatures w14:val="none"/>
        </w:rPr>
        <w:t>pusiausvyrinės</w:t>
      </w:r>
      <w:proofErr w:type="spellEnd"/>
      <w:r w:rsidRPr="00D21DFA">
        <w:rPr>
          <w:rFonts w:ascii="Times New Roman" w:eastAsia="Times New Roman" w:hAnsi="Times New Roman" w:cs="Times New Roman"/>
          <w:snapToGrid w:val="0"/>
          <w:kern w:val="0"/>
          <w:sz w:val="22"/>
          <w:szCs w:val="20"/>
          <w14:ligatures w14:val="none"/>
        </w:rPr>
        <w:t xml:space="preserve"> koncentracijos ekspozicija ir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slopinimo aktyvumas</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pediatriniuose tyrimuose rodo, kad </w:t>
      </w:r>
      <w:proofErr w:type="spellStart"/>
      <w:r w:rsidRPr="00D21DFA">
        <w:rPr>
          <w:rFonts w:ascii="Times New Roman" w:eastAsia="Times New Roman" w:hAnsi="Times New Roman" w:cs="Times New Roman"/>
          <w:snapToGrid w:val="0"/>
          <w:kern w:val="0"/>
          <w:sz w:val="22"/>
          <w:szCs w:val="20"/>
          <w14:ligatures w14:val="none"/>
        </w:rPr>
        <w:t>pusiausvyrinės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ir AXA svyravimai nuo</w:t>
      </w:r>
      <w:r w:rsidR="005738C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didžiausios iki mažiausios reikšmės bendroje populiacijoje buvo maždaug 3</w:t>
      </w:r>
      <w:r w:rsidR="005738CA"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 xml:space="preserve">kartai (min., </w:t>
      </w:r>
      <w:proofErr w:type="spellStart"/>
      <w:r w:rsidRPr="00D21DFA">
        <w:rPr>
          <w:rFonts w:ascii="Times New Roman" w:eastAsia="Times New Roman" w:hAnsi="Times New Roman" w:cs="Times New Roman"/>
          <w:snapToGrid w:val="0"/>
          <w:kern w:val="0"/>
          <w:sz w:val="22"/>
          <w:szCs w:val="20"/>
          <w14:ligatures w14:val="none"/>
        </w:rPr>
        <w:t>maks</w:t>
      </w:r>
      <w:proofErr w:type="spellEnd"/>
      <w:r w:rsidRPr="00D21DFA">
        <w:rPr>
          <w:rFonts w:ascii="Times New Roman" w:eastAsia="Times New Roman" w:hAnsi="Times New Roman" w:cs="Times New Roman"/>
          <w:snapToGrid w:val="0"/>
          <w:kern w:val="0"/>
          <w:sz w:val="22"/>
          <w:szCs w:val="20"/>
          <w14:ligatures w14:val="none"/>
        </w:rPr>
        <w:t>.: 2,65</w:t>
      </w:r>
      <w:r w:rsidR="005738CA" w:rsidRPr="00D21DFA">
        <w:rPr>
          <w:rFonts w:ascii="Times New Roman" w:eastAsia="Times New Roman" w:hAnsi="Times New Roman" w:cs="Times New Roman"/>
          <w:snapToGrid w:val="0"/>
          <w:kern w:val="0"/>
          <w:sz w:val="22"/>
          <w:szCs w:val="20"/>
          <w14:ligatures w14:val="none"/>
        </w:rPr>
        <w:noBreakHyphen/>
      </w:r>
      <w:r w:rsidRPr="00D21DFA">
        <w:rPr>
          <w:rFonts w:ascii="Times New Roman" w:eastAsia="Times New Roman" w:hAnsi="Times New Roman" w:cs="Times New Roman"/>
          <w:snapToGrid w:val="0"/>
          <w:kern w:val="0"/>
          <w:sz w:val="22"/>
          <w:szCs w:val="20"/>
          <w14:ligatures w14:val="none"/>
        </w:rPr>
        <w:t>3,22).</w:t>
      </w:r>
    </w:p>
    <w:p w14:paraId="2269E5C0" w14:textId="77777777" w:rsidR="00912B24" w:rsidRPr="00D21DFA" w:rsidRDefault="00912B24"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67A81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Klinikinis veiksmingumas ir saugumas </w:t>
      </w:r>
    </w:p>
    <w:p w14:paraId="33A760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72378E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VTE profilaktika (</w:t>
      </w:r>
      <w:proofErr w:type="spellStart"/>
      <w:r w:rsidRPr="00D21DFA">
        <w:rPr>
          <w:rFonts w:ascii="Times New Roman" w:eastAsia="Times New Roman" w:hAnsi="Times New Roman" w:cs="Times New Roman"/>
          <w:i/>
          <w:snapToGrid w:val="0"/>
          <w:kern w:val="0"/>
          <w:sz w:val="22"/>
          <w:szCs w:val="20"/>
          <w:u w:val="single"/>
          <w14:ligatures w14:val="none"/>
        </w:rPr>
        <w:t>VTEp</w:t>
      </w:r>
      <w:proofErr w:type="spellEnd"/>
      <w:r w:rsidRPr="00D21DFA">
        <w:rPr>
          <w:rFonts w:ascii="Times New Roman" w:eastAsia="Times New Roman" w:hAnsi="Times New Roman" w:cs="Times New Roman"/>
          <w:i/>
          <w:snapToGrid w:val="0"/>
          <w:kern w:val="0"/>
          <w:sz w:val="22"/>
          <w:szCs w:val="20"/>
          <w:u w:val="single"/>
          <w14:ligatures w14:val="none"/>
        </w:rPr>
        <w:t xml:space="preserve">): planinė klubo arba kelio pakeitimo operacija </w:t>
      </w:r>
    </w:p>
    <w:p w14:paraId="66E2C621" w14:textId="07028DA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klinikinių tyrimų programa buvo sukurta, siekiant nustatyti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veiksmingumą ir saugumą jo skiriant VTE profilaktikai plačiai suaugusių pacientų, kuriems atliekama planinė klubo arba kelio sąnario pakeitimo operacija, populiacijai. Į du pagrindinius, dvigubai </w:t>
      </w:r>
      <w:r w:rsidR="001D5196" w:rsidRPr="00D21DFA">
        <w:rPr>
          <w:rFonts w:ascii="Times New Roman" w:eastAsia="Times New Roman" w:hAnsi="Times New Roman" w:cs="Times New Roman"/>
          <w:snapToGrid w:val="0"/>
          <w:kern w:val="0"/>
          <w:sz w:val="22"/>
          <w:szCs w:val="20"/>
          <w14:ligatures w14:val="none"/>
        </w:rPr>
        <w:t>koduotus</w:t>
      </w:r>
      <w:r w:rsidR="002F6B91"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daugelyje šalių atliktus tyrimus atsitiktinės atrankos būdu buvo įtraukti iš viso 8 464 pacientai; tyrimų metu buvo palygintas per burną vartojamo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 2,5 mg du kartus per parą (4 236 pacientai) ir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40 mg kartą per parą (4 228 pacientai) poveikis. Tarp tiriamųjų asmenų buvo įtraukti 1 262 pacientai, kurie buvo 75 metų ir vyresni (iš jų 618 buvo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vartojusiųjų grupėje), 1 004 pacientai, kurių kūno masė buvo nedidelė (≤ 60 kg; iš jų 499 buvo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vartojusiųjų grupėje), 1 495 pacientai, kurių KMI buvo ≥ 33 kg/m</w:t>
      </w:r>
      <w:r w:rsidRPr="00D21DFA">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xml:space="preserve"> (iš jų 743 buvo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vartojusiųjų grupėje), ir 415 pacientų, kuriems buvo vidutinio sunkumo inkstų funkcijos sutrikimas (iš jų 203 buvo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vartojusiųjų grupėje). </w:t>
      </w:r>
    </w:p>
    <w:p w14:paraId="24D7DC5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2DF01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14:ligatures w14:val="none"/>
        </w:rPr>
        <w:t>ADVANCE</w:t>
      </w:r>
      <w:r w:rsidRPr="00D21DFA">
        <w:rPr>
          <w:rFonts w:ascii="Times New Roman" w:eastAsia="Times New Roman" w:hAnsi="Times New Roman" w:cs="Times New Roman"/>
          <w:snapToGrid w:val="0"/>
          <w:kern w:val="0"/>
          <w:sz w:val="22"/>
          <w:szCs w:val="20"/>
          <w14:ligatures w14:val="none"/>
        </w:rPr>
        <w:noBreakHyphen/>
        <w:t>3 tyrime dalyvavo 5 407 pacientai, kuriems buvo atliekama planinė klubo sąnario pakeitimo operacija, o ADVANCE</w:t>
      </w:r>
      <w:r w:rsidRPr="00D21DFA">
        <w:rPr>
          <w:rFonts w:ascii="Times New Roman" w:eastAsia="Times New Roman" w:hAnsi="Times New Roman" w:cs="Times New Roman"/>
          <w:snapToGrid w:val="0"/>
          <w:kern w:val="0"/>
          <w:sz w:val="22"/>
          <w:szCs w:val="20"/>
          <w14:ligatures w14:val="none"/>
        </w:rPr>
        <w:noBreakHyphen/>
        <w:t xml:space="preserve">2 tyrime dalyvavo 3 057 pacientai, kuriems buvo atliekama planinė kelio sąnario pakeitimo operacija. Tiriamiesiems asmenims buvo skiriama arba per burną vartojamo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 2,5 mg du kartus per parą (toliau lentelėse – po </w:t>
      </w:r>
      <w:proofErr w:type="spellStart"/>
      <w:r w:rsidRPr="00D21DFA">
        <w:rPr>
          <w:rFonts w:ascii="Times New Roman" w:eastAsia="Times New Roman" w:hAnsi="Times New Roman" w:cs="Times New Roman"/>
          <w:snapToGrid w:val="0"/>
          <w:kern w:val="0"/>
          <w:sz w:val="22"/>
          <w:szCs w:val="20"/>
          <w14:ligatures w14:val="none"/>
        </w:rPr>
        <w:t>bid</w:t>
      </w:r>
      <w:proofErr w:type="spellEnd"/>
      <w:r w:rsidRPr="00D21DFA">
        <w:rPr>
          <w:rFonts w:ascii="Times New Roman" w:eastAsia="Times New Roman" w:hAnsi="Times New Roman" w:cs="Times New Roman"/>
          <w:snapToGrid w:val="0"/>
          <w:kern w:val="0"/>
          <w:sz w:val="22"/>
          <w:szCs w:val="20"/>
          <w14:ligatures w14:val="none"/>
        </w:rPr>
        <w:t xml:space="preserve">) arba po oda skiriamo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40 mg kartą per parą (toliau lentelėse – </w:t>
      </w:r>
      <w:proofErr w:type="spellStart"/>
      <w:r w:rsidRPr="00D21DFA">
        <w:rPr>
          <w:rFonts w:ascii="Times New Roman" w:eastAsia="Times New Roman" w:hAnsi="Times New Roman" w:cs="Times New Roman"/>
          <w:snapToGrid w:val="0"/>
          <w:kern w:val="0"/>
          <w:sz w:val="22"/>
          <w:szCs w:val="20"/>
          <w14:ligatures w14:val="none"/>
        </w:rPr>
        <w:t>sc</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od</w:t>
      </w:r>
      <w:proofErr w:type="spellEnd"/>
      <w:r w:rsidRPr="00D21DFA">
        <w:rPr>
          <w:rFonts w:ascii="Times New Roman" w:eastAsia="Times New Roman" w:hAnsi="Times New Roman" w:cs="Times New Roman"/>
          <w:snapToGrid w:val="0"/>
          <w:kern w:val="0"/>
          <w:sz w:val="22"/>
          <w:szCs w:val="20"/>
          <w14:ligatures w14:val="none"/>
        </w:rPr>
        <w:t xml:space="preserve">). Pirmoji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buvo skiriama praėjus 12</w:t>
      </w:r>
      <w:r w:rsidRPr="00D21DFA">
        <w:rPr>
          <w:rFonts w:ascii="Times New Roman" w:eastAsia="Times New Roman" w:hAnsi="Times New Roman" w:cs="Times New Roman"/>
          <w:snapToGrid w:val="0"/>
          <w:kern w:val="0"/>
          <w:sz w:val="22"/>
          <w:szCs w:val="20"/>
          <w14:ligatures w14:val="none"/>
        </w:rPr>
        <w:noBreakHyphen/>
        <w:t xml:space="preserve">24 valandoms po operacijos, o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buvo pradedama skirti 9</w:t>
      </w:r>
      <w:r w:rsidRPr="00D21DFA">
        <w:rPr>
          <w:rFonts w:ascii="Times New Roman" w:eastAsia="Times New Roman" w:hAnsi="Times New Roman" w:cs="Times New Roman"/>
          <w:snapToGrid w:val="0"/>
          <w:kern w:val="0"/>
          <w:sz w:val="22"/>
          <w:szCs w:val="20"/>
          <w14:ligatures w14:val="none"/>
        </w:rPr>
        <w:noBreakHyphen/>
        <w:t xml:space="preserve">15 valandų prieš operaciją. Tiek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tiek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buvo skiriama 32</w:t>
      </w:r>
      <w:r w:rsidRPr="00D21DFA">
        <w:rPr>
          <w:rFonts w:ascii="Times New Roman" w:eastAsia="Times New Roman" w:hAnsi="Times New Roman" w:cs="Times New Roman"/>
          <w:snapToGrid w:val="0"/>
          <w:kern w:val="0"/>
          <w:sz w:val="22"/>
          <w:szCs w:val="20"/>
          <w14:ligatures w14:val="none"/>
        </w:rPr>
        <w:noBreakHyphen/>
        <w:t>38 paras ADVANCE</w:t>
      </w:r>
      <w:r w:rsidRPr="00D21DFA">
        <w:rPr>
          <w:rFonts w:ascii="Times New Roman" w:eastAsia="Times New Roman" w:hAnsi="Times New Roman" w:cs="Times New Roman"/>
          <w:snapToGrid w:val="0"/>
          <w:kern w:val="0"/>
          <w:sz w:val="22"/>
          <w:szCs w:val="20"/>
          <w14:ligatures w14:val="none"/>
        </w:rPr>
        <w:noBreakHyphen/>
        <w:t>3 tyrimo metu arba 10</w:t>
      </w:r>
      <w:r w:rsidRPr="00D21DFA">
        <w:rPr>
          <w:rFonts w:ascii="Times New Roman" w:eastAsia="Times New Roman" w:hAnsi="Times New Roman" w:cs="Times New Roman"/>
          <w:snapToGrid w:val="0"/>
          <w:kern w:val="0"/>
          <w:sz w:val="22"/>
          <w:szCs w:val="20"/>
          <w14:ligatures w14:val="none"/>
        </w:rPr>
        <w:noBreakHyphen/>
        <w:t>14 parų ADVANCE</w:t>
      </w:r>
      <w:r w:rsidRPr="00D21DFA">
        <w:rPr>
          <w:rFonts w:ascii="Times New Roman" w:eastAsia="Times New Roman" w:hAnsi="Times New Roman" w:cs="Times New Roman"/>
          <w:snapToGrid w:val="0"/>
          <w:kern w:val="0"/>
          <w:sz w:val="22"/>
          <w:szCs w:val="20"/>
          <w14:ligatures w14:val="none"/>
        </w:rPr>
        <w:noBreakHyphen/>
        <w:t>2 tyrimo metu.</w:t>
      </w:r>
    </w:p>
    <w:p w14:paraId="655FA7E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1B9EA38" w14:textId="4F08284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Remiantis ADVANCE</w:t>
      </w:r>
      <w:r w:rsidRPr="00D21DFA">
        <w:rPr>
          <w:rFonts w:ascii="Times New Roman" w:eastAsia="Times New Roman" w:hAnsi="Times New Roman" w:cs="Times New Roman"/>
          <w:snapToGrid w:val="0"/>
          <w:kern w:val="0"/>
          <w:sz w:val="22"/>
          <w:szCs w:val="20"/>
          <w14:ligatures w14:val="none"/>
        </w:rPr>
        <w:noBreakHyphen/>
        <w:t>3 ir ADVANCE</w:t>
      </w:r>
      <w:r w:rsidRPr="00D21DFA">
        <w:rPr>
          <w:rFonts w:ascii="Times New Roman" w:eastAsia="Times New Roman" w:hAnsi="Times New Roman" w:cs="Times New Roman"/>
          <w:snapToGrid w:val="0"/>
          <w:kern w:val="0"/>
          <w:sz w:val="22"/>
          <w:szCs w:val="20"/>
          <w14:ligatures w14:val="none"/>
        </w:rPr>
        <w:noBreakHyphen/>
        <w:t xml:space="preserve">2 tyrimuose dalyvavusių tiriamųjų asmenų (8 464 pacientų) medicininės anamnezės duomenimis, 46 % pacientų </w:t>
      </w:r>
      <w:r w:rsidR="006225F8" w:rsidRPr="00D21DFA">
        <w:rPr>
          <w:rFonts w:ascii="Times New Roman" w:eastAsia="Times New Roman" w:hAnsi="Times New Roman" w:cs="Times New Roman"/>
          <w:snapToGrid w:val="0"/>
          <w:kern w:val="0"/>
          <w:sz w:val="22"/>
          <w:szCs w:val="20"/>
          <w14:ligatures w14:val="none"/>
        </w:rPr>
        <w:t>sirgo</w:t>
      </w:r>
      <w:r w:rsidRPr="00D21DFA">
        <w:rPr>
          <w:rFonts w:ascii="Times New Roman" w:eastAsia="Times New Roman" w:hAnsi="Times New Roman" w:cs="Times New Roman"/>
          <w:snapToGrid w:val="0"/>
          <w:kern w:val="0"/>
          <w:sz w:val="22"/>
          <w:szCs w:val="20"/>
          <w14:ligatures w14:val="none"/>
        </w:rPr>
        <w:t xml:space="preserve"> hipertenzija, 10 % – </w:t>
      </w:r>
      <w:proofErr w:type="spellStart"/>
      <w:r w:rsidRPr="00D21DFA">
        <w:rPr>
          <w:rFonts w:ascii="Times New Roman" w:eastAsia="Times New Roman" w:hAnsi="Times New Roman" w:cs="Times New Roman"/>
          <w:snapToGrid w:val="0"/>
          <w:kern w:val="0"/>
          <w:sz w:val="22"/>
          <w:szCs w:val="20"/>
          <w14:ligatures w14:val="none"/>
        </w:rPr>
        <w:t>hiperlipidemija</w:t>
      </w:r>
      <w:proofErr w:type="spellEnd"/>
      <w:r w:rsidRPr="00D21DFA">
        <w:rPr>
          <w:rFonts w:ascii="Times New Roman" w:eastAsia="Times New Roman" w:hAnsi="Times New Roman" w:cs="Times New Roman"/>
          <w:snapToGrid w:val="0"/>
          <w:kern w:val="0"/>
          <w:sz w:val="22"/>
          <w:szCs w:val="20"/>
          <w14:ligatures w14:val="none"/>
        </w:rPr>
        <w:t>, 9 % – cukrini</w:t>
      </w:r>
      <w:r w:rsidR="00CC4E08"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xml:space="preserve"> diabet</w:t>
      </w:r>
      <w:r w:rsidR="00CC4E08"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xml:space="preserve">, o 8 % – vainikinių arterijų liga. </w:t>
      </w:r>
    </w:p>
    <w:p w14:paraId="745B25E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7C92A23" w14:textId="0802332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statistiškai reikšmingai labiau sumažino pagrindinės vertinamosios baigties rodiklius (sudėtinį visų VTE atvejų ir mirties dėl </w:t>
      </w:r>
      <w:r w:rsidR="00054B97"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054B97" w:rsidRPr="00D21DFA">
        <w:rPr>
          <w:rFonts w:ascii="Times New Roman" w:eastAsia="Times New Roman" w:hAnsi="Times New Roman" w:cs="Times New Roman"/>
          <w:snapToGrid w:val="0"/>
          <w:kern w:val="0"/>
          <w:sz w:val="22"/>
          <w:szCs w:val="20"/>
          <w14:ligatures w14:val="none"/>
        </w:rPr>
        <w:t>čių</w:t>
      </w:r>
      <w:r w:rsidRPr="00D21DFA">
        <w:rPr>
          <w:rFonts w:ascii="Times New Roman" w:eastAsia="Times New Roman" w:hAnsi="Times New Roman" w:cs="Times New Roman"/>
          <w:snapToGrid w:val="0"/>
          <w:kern w:val="0"/>
          <w:sz w:val="22"/>
          <w:szCs w:val="20"/>
          <w14:ligatures w14:val="none"/>
        </w:rPr>
        <w:t xml:space="preserve">, dažnį) bei didžiųjų VTE atvejų vertinamosios baigties rodiklius (sudėtinį proksimalinės giliųjų venų trombozės, </w:t>
      </w:r>
      <w:r w:rsidR="00B00070" w:rsidRPr="00D21DFA">
        <w:rPr>
          <w:rFonts w:ascii="Times New Roman" w:eastAsia="Times New Roman" w:hAnsi="Times New Roman" w:cs="Times New Roman"/>
          <w:snapToGrid w:val="0"/>
          <w:kern w:val="0"/>
          <w:sz w:val="22"/>
          <w:szCs w:val="20"/>
          <w14:ligatures w14:val="none"/>
        </w:rPr>
        <w:t>nemirtinos</w:t>
      </w:r>
      <w:r w:rsidRPr="00D21DFA">
        <w:rPr>
          <w:rFonts w:ascii="Times New Roman" w:eastAsia="Times New Roman" w:hAnsi="Times New Roman" w:cs="Times New Roman"/>
          <w:snapToGrid w:val="0"/>
          <w:kern w:val="0"/>
          <w:sz w:val="22"/>
          <w:szCs w:val="20"/>
          <w14:ligatures w14:val="none"/>
        </w:rPr>
        <w:t xml:space="preserve"> plaučių embolijos, ir su VTE susijusių mirčių dažnį), palyginti su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poveikiu tiek pacientams, kuriems atlikta planinė klubo sąnario pakeitimo operacija, tiek tiems, kuriems atlikta planinė kelio sąnario pakeitimo operacija (žr. </w:t>
      </w:r>
      <w:r w:rsidR="005738CA" w:rsidRPr="00D21DFA">
        <w:rPr>
          <w:rFonts w:ascii="Times New Roman" w:eastAsia="Times New Roman" w:hAnsi="Times New Roman" w:cs="Times New Roman"/>
          <w:snapToGrid w:val="0"/>
          <w:kern w:val="0"/>
          <w:sz w:val="22"/>
          <w:szCs w:val="20"/>
          <w14:ligatures w14:val="none"/>
        </w:rPr>
        <w:t>5</w:t>
      </w:r>
      <w:r w:rsidRPr="00D21DFA">
        <w:rPr>
          <w:rFonts w:ascii="Times New Roman" w:eastAsia="Times New Roman" w:hAnsi="Times New Roman" w:cs="Times New Roman"/>
          <w:snapToGrid w:val="0"/>
          <w:kern w:val="0"/>
          <w:sz w:val="22"/>
          <w:szCs w:val="20"/>
          <w14:ligatures w14:val="none"/>
        </w:rPr>
        <w:t xml:space="preserve"> lentelę).</w:t>
      </w:r>
    </w:p>
    <w:p w14:paraId="2B6275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B381D37" w14:textId="57719BC3" w:rsidR="00C95D96" w:rsidRPr="00D21DFA" w:rsidRDefault="005738CA" w:rsidP="00C95D96">
      <w:pPr>
        <w:tabs>
          <w:tab w:val="left" w:pos="567"/>
          <w:tab w:val="left" w:pos="9214"/>
        </w:tabs>
        <w:spacing w:after="120" w:line="240" w:lineRule="auto"/>
        <w:ind w:right="-2"/>
        <w:rPr>
          <w:rFonts w:ascii="Times New Roman" w:eastAsia="Times New Roman" w:hAnsi="Times New Roman" w:cs="Times New Roman"/>
          <w:b/>
          <w:bCs/>
          <w:snapToGrid w:val="0"/>
          <w:kern w:val="0"/>
          <w:sz w:val="22"/>
          <w:szCs w:val="20"/>
          <w:u w:val="single"/>
          <w14:ligatures w14:val="none"/>
        </w:rPr>
      </w:pPr>
      <w:r w:rsidRPr="00D21DFA">
        <w:rPr>
          <w:rFonts w:ascii="Times New Roman" w:eastAsia="Times New Roman" w:hAnsi="Times New Roman" w:cs="Times New Roman"/>
          <w:b/>
          <w:bCs/>
          <w:snapToGrid w:val="0"/>
          <w:kern w:val="0"/>
          <w:sz w:val="22"/>
          <w:szCs w:val="20"/>
          <w14:ligatures w14:val="none"/>
        </w:rPr>
        <w:t>5</w:t>
      </w:r>
      <w:r w:rsidR="00C95D96" w:rsidRPr="00D21DFA">
        <w:rPr>
          <w:rFonts w:ascii="Times New Roman" w:eastAsia="Times New Roman" w:hAnsi="Times New Roman" w:cs="Times New Roman"/>
          <w:b/>
          <w:bCs/>
          <w:snapToGrid w:val="0"/>
          <w:kern w:val="0"/>
          <w:sz w:val="22"/>
          <w:szCs w:val="20"/>
          <w14:ligatures w14:val="none"/>
        </w:rPr>
        <w:t xml:space="preserve"> lentelė. Pagrindinių III fazės tyrimų metu gauti veiksmingumo rezultatai</w:t>
      </w:r>
    </w:p>
    <w:tbl>
      <w:tblPr>
        <w:tblW w:w="9157" w:type="dxa"/>
        <w:tblInd w:w="52" w:type="dxa"/>
        <w:tblLayout w:type="fixed"/>
        <w:tblCellMar>
          <w:top w:w="55" w:type="dxa"/>
          <w:right w:w="36" w:type="dxa"/>
        </w:tblCellMar>
        <w:tblLook w:val="04A0" w:firstRow="1" w:lastRow="0" w:firstColumn="1" w:lastColumn="0" w:noHBand="0" w:noVBand="1"/>
      </w:tblPr>
      <w:tblGrid>
        <w:gridCol w:w="1580"/>
        <w:gridCol w:w="1340"/>
        <w:gridCol w:w="1418"/>
        <w:gridCol w:w="992"/>
        <w:gridCol w:w="1200"/>
        <w:gridCol w:w="1493"/>
        <w:gridCol w:w="1134"/>
      </w:tblGrid>
      <w:tr w:rsidR="00C95D96" w:rsidRPr="00D21DFA" w14:paraId="78E9870C" w14:textId="77777777" w:rsidTr="00446D67">
        <w:trPr>
          <w:trHeight w:val="707"/>
        </w:trPr>
        <w:tc>
          <w:tcPr>
            <w:tcW w:w="1580" w:type="dxa"/>
            <w:tcBorders>
              <w:top w:val="single" w:sz="4" w:space="0" w:color="000000"/>
              <w:left w:val="single" w:sz="4" w:space="0" w:color="000000"/>
              <w:bottom w:val="single" w:sz="4" w:space="0" w:color="000000"/>
              <w:right w:val="single" w:sz="4" w:space="0" w:color="000000"/>
            </w:tcBorders>
          </w:tcPr>
          <w:p w14:paraId="32C5BD7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Tyrimas</w:t>
            </w:r>
          </w:p>
        </w:tc>
        <w:tc>
          <w:tcPr>
            <w:tcW w:w="3750" w:type="dxa"/>
            <w:gridSpan w:val="3"/>
            <w:tcBorders>
              <w:top w:val="single" w:sz="4" w:space="0" w:color="000000"/>
              <w:left w:val="single" w:sz="4" w:space="0" w:color="000000"/>
              <w:bottom w:val="single" w:sz="4" w:space="0" w:color="000000"/>
              <w:right w:val="single" w:sz="4" w:space="0" w:color="000000"/>
            </w:tcBorders>
          </w:tcPr>
          <w:p w14:paraId="670178A2" w14:textId="77777777" w:rsidR="00C95D96" w:rsidRPr="00D21DFA" w:rsidRDefault="00C95D96" w:rsidP="00C95D96">
            <w:pPr>
              <w:tabs>
                <w:tab w:val="left" w:pos="567"/>
              </w:tabs>
              <w:spacing w:after="0" w:line="240" w:lineRule="auto"/>
              <w:ind w:left="-38"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ADVANCE-3 (klubo sąnario pakeitimo operacija)</w:t>
            </w:r>
          </w:p>
        </w:tc>
        <w:tc>
          <w:tcPr>
            <w:tcW w:w="3827" w:type="dxa"/>
            <w:gridSpan w:val="3"/>
            <w:tcBorders>
              <w:top w:val="single" w:sz="4" w:space="0" w:color="000000"/>
              <w:left w:val="single" w:sz="4" w:space="0" w:color="000000"/>
              <w:bottom w:val="single" w:sz="4" w:space="0" w:color="000000"/>
              <w:right w:val="single" w:sz="4" w:space="0" w:color="000000"/>
            </w:tcBorders>
          </w:tcPr>
          <w:p w14:paraId="3E7DBDD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ADVANCE-2 (kelio sąnario pakeitimo operacija)</w:t>
            </w:r>
          </w:p>
        </w:tc>
      </w:tr>
      <w:tr w:rsidR="00C95D96" w:rsidRPr="00D21DFA" w14:paraId="6F4EF55B" w14:textId="77777777" w:rsidTr="00446D67">
        <w:trPr>
          <w:trHeight w:val="1022"/>
        </w:trPr>
        <w:tc>
          <w:tcPr>
            <w:tcW w:w="1580" w:type="dxa"/>
            <w:tcBorders>
              <w:top w:val="single" w:sz="4" w:space="0" w:color="000000"/>
              <w:left w:val="single" w:sz="4" w:space="0" w:color="000000"/>
              <w:bottom w:val="single" w:sz="4" w:space="0" w:color="000000"/>
              <w:right w:val="single" w:sz="4" w:space="0" w:color="000000"/>
            </w:tcBorders>
          </w:tcPr>
          <w:p w14:paraId="31EEC74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Tiriamasis preparatas </w:t>
            </w:r>
          </w:p>
          <w:p w14:paraId="3060BD3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Dozė </w:t>
            </w:r>
          </w:p>
          <w:p w14:paraId="0A471A6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64CCC93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1F4F4C9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Gydymo trukmė</w:t>
            </w:r>
          </w:p>
        </w:tc>
        <w:tc>
          <w:tcPr>
            <w:tcW w:w="1340" w:type="dxa"/>
            <w:tcBorders>
              <w:top w:val="single" w:sz="4" w:space="0" w:color="000000"/>
              <w:left w:val="single" w:sz="4" w:space="0" w:color="000000"/>
              <w:bottom w:val="single" w:sz="4" w:space="0" w:color="000000"/>
              <w:right w:val="single" w:sz="4" w:space="0" w:color="000000"/>
            </w:tcBorders>
          </w:tcPr>
          <w:p w14:paraId="403A3D5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Apiksabanas</w:t>
            </w:r>
            <w:proofErr w:type="spellEnd"/>
            <w:r w:rsidRPr="00D21DFA">
              <w:rPr>
                <w:rFonts w:ascii="Times New Roman" w:eastAsia="Times New Roman" w:hAnsi="Times New Roman" w:cs="Times New Roman"/>
                <w:snapToGrid w:val="0"/>
                <w:kern w:val="0"/>
                <w:sz w:val="22"/>
                <w:szCs w:val="22"/>
                <w14:ligatures w14:val="none"/>
              </w:rPr>
              <w:t xml:space="preserve"> </w:t>
            </w:r>
          </w:p>
          <w:p w14:paraId="1550B99B"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p>
          <w:p w14:paraId="54ED3836"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2,5 mg, gerti du kartus per parą</w:t>
            </w:r>
          </w:p>
          <w:p w14:paraId="2B9265B5"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35 ± 3 d.</w:t>
            </w:r>
          </w:p>
        </w:tc>
        <w:tc>
          <w:tcPr>
            <w:tcW w:w="1418" w:type="dxa"/>
            <w:tcBorders>
              <w:top w:val="single" w:sz="4" w:space="0" w:color="000000"/>
              <w:left w:val="single" w:sz="4" w:space="0" w:color="000000"/>
              <w:bottom w:val="single" w:sz="4" w:space="0" w:color="000000"/>
              <w:right w:val="single" w:sz="4" w:space="0" w:color="000000"/>
            </w:tcBorders>
          </w:tcPr>
          <w:p w14:paraId="2A548E6C" w14:textId="77777777" w:rsidR="00C95D96" w:rsidRPr="00D21DFA" w:rsidRDefault="00C95D96" w:rsidP="00C95D96">
            <w:pPr>
              <w:tabs>
                <w:tab w:val="left" w:pos="567"/>
              </w:tabs>
              <w:spacing w:after="0" w:line="240" w:lineRule="auto"/>
              <w:ind w:left="-105" w:right="-2" w:hanging="10"/>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Enoksaparinas</w:t>
            </w:r>
            <w:proofErr w:type="spellEnd"/>
            <w:r w:rsidRPr="00D21DFA">
              <w:rPr>
                <w:rFonts w:ascii="Times New Roman" w:eastAsia="Times New Roman" w:hAnsi="Times New Roman" w:cs="Times New Roman"/>
                <w:snapToGrid w:val="0"/>
                <w:kern w:val="0"/>
                <w:sz w:val="22"/>
                <w:szCs w:val="22"/>
                <w14:ligatures w14:val="none"/>
              </w:rPr>
              <w:t xml:space="preserve"> </w:t>
            </w:r>
          </w:p>
          <w:p w14:paraId="08E88B85"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p>
          <w:p w14:paraId="5C3D2F5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40 mg po oda </w:t>
            </w:r>
          </w:p>
          <w:p w14:paraId="324D845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vieną kartą </w:t>
            </w:r>
          </w:p>
          <w:p w14:paraId="62DA6A0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35 ± 3 d.</w:t>
            </w:r>
          </w:p>
        </w:tc>
        <w:tc>
          <w:tcPr>
            <w:tcW w:w="992" w:type="dxa"/>
            <w:tcBorders>
              <w:top w:val="single" w:sz="4" w:space="0" w:color="000000"/>
              <w:left w:val="single" w:sz="4" w:space="0" w:color="000000"/>
              <w:bottom w:val="single" w:sz="4" w:space="0" w:color="000000"/>
              <w:right w:val="single" w:sz="4" w:space="0" w:color="000000"/>
            </w:tcBorders>
          </w:tcPr>
          <w:p w14:paraId="70233EE6"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p reikšmė</w:t>
            </w:r>
          </w:p>
        </w:tc>
        <w:tc>
          <w:tcPr>
            <w:tcW w:w="1200" w:type="dxa"/>
            <w:tcBorders>
              <w:top w:val="single" w:sz="4" w:space="0" w:color="000000"/>
              <w:left w:val="single" w:sz="4" w:space="0" w:color="000000"/>
              <w:bottom w:val="single" w:sz="4" w:space="0" w:color="000000"/>
              <w:right w:val="single" w:sz="4" w:space="0" w:color="000000"/>
            </w:tcBorders>
          </w:tcPr>
          <w:p w14:paraId="1330F704" w14:textId="77777777" w:rsidR="00C95D96" w:rsidRPr="00D21DFA" w:rsidRDefault="00C95D96" w:rsidP="00C95D96">
            <w:pPr>
              <w:tabs>
                <w:tab w:val="left" w:pos="567"/>
              </w:tabs>
              <w:spacing w:after="0" w:line="240" w:lineRule="auto"/>
              <w:ind w:left="-104"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Apiksabanas</w:t>
            </w:r>
            <w:proofErr w:type="spellEnd"/>
            <w:r w:rsidRPr="00D21DFA">
              <w:rPr>
                <w:rFonts w:ascii="Times New Roman" w:eastAsia="Times New Roman" w:hAnsi="Times New Roman" w:cs="Times New Roman"/>
                <w:snapToGrid w:val="0"/>
                <w:kern w:val="0"/>
                <w:sz w:val="22"/>
                <w:szCs w:val="22"/>
                <w14:ligatures w14:val="none"/>
              </w:rPr>
              <w:t xml:space="preserve"> </w:t>
            </w:r>
          </w:p>
          <w:p w14:paraId="588118D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p w14:paraId="6BA3A9E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2,5 mg gerti</w:t>
            </w:r>
          </w:p>
          <w:p w14:paraId="00B9F80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du kartus per parą</w:t>
            </w:r>
          </w:p>
          <w:p w14:paraId="796D212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12 ± 2 d.</w:t>
            </w:r>
          </w:p>
        </w:tc>
        <w:tc>
          <w:tcPr>
            <w:tcW w:w="1493" w:type="dxa"/>
            <w:tcBorders>
              <w:top w:val="single" w:sz="4" w:space="0" w:color="000000"/>
              <w:left w:val="single" w:sz="4" w:space="0" w:color="000000"/>
              <w:bottom w:val="single" w:sz="4" w:space="0" w:color="000000"/>
              <w:right w:val="single" w:sz="4" w:space="0" w:color="000000"/>
            </w:tcBorders>
          </w:tcPr>
          <w:p w14:paraId="6A9D8B44" w14:textId="77777777" w:rsidR="00C95D96" w:rsidRPr="00D21DFA" w:rsidRDefault="00C95D96" w:rsidP="00C95D96">
            <w:pPr>
              <w:tabs>
                <w:tab w:val="left" w:pos="567"/>
              </w:tabs>
              <w:spacing w:after="0" w:line="240" w:lineRule="auto"/>
              <w:ind w:left="-26"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Enoksaparinas</w:t>
            </w:r>
            <w:proofErr w:type="spellEnd"/>
            <w:r w:rsidRPr="00D21DFA">
              <w:rPr>
                <w:rFonts w:ascii="Times New Roman" w:eastAsia="Times New Roman" w:hAnsi="Times New Roman" w:cs="Times New Roman"/>
                <w:snapToGrid w:val="0"/>
                <w:kern w:val="0"/>
                <w:sz w:val="22"/>
                <w:szCs w:val="22"/>
                <w14:ligatures w14:val="none"/>
              </w:rPr>
              <w:t xml:space="preserve"> </w:t>
            </w:r>
          </w:p>
          <w:p w14:paraId="38F49AA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p w14:paraId="1ADCCDA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40 mg po oda </w:t>
            </w:r>
          </w:p>
          <w:p w14:paraId="23CB791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vieną kartą per parą </w:t>
            </w:r>
          </w:p>
          <w:p w14:paraId="4FF0F18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12 ± 2 d.</w:t>
            </w:r>
          </w:p>
        </w:tc>
        <w:tc>
          <w:tcPr>
            <w:tcW w:w="1134" w:type="dxa"/>
            <w:tcBorders>
              <w:top w:val="single" w:sz="4" w:space="0" w:color="000000"/>
              <w:left w:val="single" w:sz="4" w:space="0" w:color="000000"/>
              <w:bottom w:val="single" w:sz="4" w:space="0" w:color="000000"/>
              <w:right w:val="single" w:sz="4" w:space="0" w:color="000000"/>
            </w:tcBorders>
          </w:tcPr>
          <w:p w14:paraId="696F564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p reikšmė</w:t>
            </w:r>
          </w:p>
        </w:tc>
      </w:tr>
      <w:tr w:rsidR="00C95D96" w:rsidRPr="00D21DFA" w14:paraId="5EE75D59" w14:textId="77777777" w:rsidTr="00446D67">
        <w:trPr>
          <w:trHeight w:val="263"/>
        </w:trPr>
        <w:tc>
          <w:tcPr>
            <w:tcW w:w="9157" w:type="dxa"/>
            <w:gridSpan w:val="7"/>
            <w:tcBorders>
              <w:top w:val="single" w:sz="4" w:space="0" w:color="000000"/>
              <w:left w:val="single" w:sz="4" w:space="0" w:color="000000"/>
              <w:bottom w:val="single" w:sz="4" w:space="0" w:color="000000"/>
              <w:right w:val="single" w:sz="4" w:space="0" w:color="000000"/>
            </w:tcBorders>
          </w:tcPr>
          <w:p w14:paraId="43278A09" w14:textId="30D2162F" w:rsidR="00C95D96" w:rsidRPr="00D21DFA"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Iš viso VTE ir </w:t>
            </w:r>
            <w:proofErr w:type="spellStart"/>
            <w:r w:rsidRPr="00D21DFA">
              <w:rPr>
                <w:rFonts w:ascii="Times New Roman" w:eastAsia="Times New Roman" w:hAnsi="Times New Roman" w:cs="Times New Roman"/>
                <w:snapToGrid w:val="0"/>
                <w:kern w:val="0"/>
                <w:sz w:val="22"/>
                <w:szCs w:val="22"/>
                <w14:ligatures w14:val="none"/>
              </w:rPr>
              <w:t>mirtiesdėl</w:t>
            </w:r>
            <w:proofErr w:type="spellEnd"/>
            <w:r w:rsidRPr="00D21DFA">
              <w:rPr>
                <w:rFonts w:ascii="Times New Roman" w:eastAsia="Times New Roman" w:hAnsi="Times New Roman" w:cs="Times New Roman"/>
                <w:snapToGrid w:val="0"/>
                <w:kern w:val="0"/>
                <w:sz w:val="22"/>
                <w:szCs w:val="22"/>
                <w14:ligatures w14:val="none"/>
              </w:rPr>
              <w:t xml:space="preserve"> </w:t>
            </w:r>
            <w:r w:rsidR="00054B97" w:rsidRPr="00D21DFA">
              <w:rPr>
                <w:rFonts w:ascii="Times New Roman" w:eastAsia="Times New Roman" w:hAnsi="Times New Roman" w:cs="Times New Roman"/>
                <w:snapToGrid w:val="0"/>
                <w:kern w:val="0"/>
                <w:sz w:val="22"/>
                <w:szCs w:val="22"/>
                <w14:ligatures w14:val="none"/>
              </w:rPr>
              <w:t>įvairių</w:t>
            </w:r>
            <w:r w:rsidRPr="00D21DFA">
              <w:rPr>
                <w:rFonts w:ascii="Times New Roman" w:eastAsia="Times New Roman" w:hAnsi="Times New Roman" w:cs="Times New Roman"/>
                <w:snapToGrid w:val="0"/>
                <w:kern w:val="0"/>
                <w:sz w:val="22"/>
                <w:szCs w:val="22"/>
                <w14:ligatures w14:val="none"/>
              </w:rPr>
              <w:t xml:space="preserve"> priežas</w:t>
            </w:r>
            <w:r w:rsidR="00054B97" w:rsidRPr="00D21DFA">
              <w:rPr>
                <w:rFonts w:ascii="Times New Roman" w:eastAsia="Times New Roman" w:hAnsi="Times New Roman" w:cs="Times New Roman"/>
                <w:snapToGrid w:val="0"/>
                <w:kern w:val="0"/>
                <w:sz w:val="22"/>
                <w:szCs w:val="22"/>
                <w14:ligatures w14:val="none"/>
              </w:rPr>
              <w:t>čių</w:t>
            </w:r>
            <w:r w:rsidRPr="00D21DFA">
              <w:rPr>
                <w:rFonts w:ascii="Times New Roman" w:eastAsia="Times New Roman" w:hAnsi="Times New Roman" w:cs="Times New Roman"/>
                <w:snapToGrid w:val="0"/>
                <w:kern w:val="0"/>
                <w:sz w:val="22"/>
                <w:szCs w:val="22"/>
                <w14:ligatures w14:val="none"/>
              </w:rPr>
              <w:t>, atvejų</w:t>
            </w:r>
          </w:p>
        </w:tc>
      </w:tr>
      <w:tr w:rsidR="00C95D96" w:rsidRPr="00D21DFA" w14:paraId="2B9B759D" w14:textId="77777777" w:rsidTr="00446D67">
        <w:trPr>
          <w:trHeight w:val="769"/>
        </w:trPr>
        <w:tc>
          <w:tcPr>
            <w:tcW w:w="1580" w:type="dxa"/>
            <w:tcBorders>
              <w:top w:val="single" w:sz="4" w:space="0" w:color="000000"/>
              <w:left w:val="single" w:sz="4" w:space="0" w:color="000000"/>
              <w:bottom w:val="single" w:sz="4" w:space="0" w:color="000000"/>
              <w:right w:val="single" w:sz="4" w:space="0" w:color="000000"/>
            </w:tcBorders>
          </w:tcPr>
          <w:p w14:paraId="6CF5169E" w14:textId="77777777" w:rsidR="00C95D96" w:rsidRPr="00D21DFA"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Atvejų skaičius/ tiriamųjų asmenų skaičius Atvejų dažnis</w:t>
            </w:r>
          </w:p>
        </w:tc>
        <w:tc>
          <w:tcPr>
            <w:tcW w:w="1340" w:type="dxa"/>
            <w:tcBorders>
              <w:top w:val="single" w:sz="4" w:space="0" w:color="000000"/>
              <w:left w:val="single" w:sz="4" w:space="0" w:color="000000"/>
              <w:bottom w:val="single" w:sz="4" w:space="0" w:color="000000"/>
              <w:right w:val="single" w:sz="4" w:space="0" w:color="000000"/>
            </w:tcBorders>
          </w:tcPr>
          <w:p w14:paraId="11718BD6"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27/1949 </w:t>
            </w:r>
          </w:p>
          <w:p w14:paraId="4C0E3B87"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90E790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1B457987"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353F92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78AF19D"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1,39 % </w:t>
            </w:r>
          </w:p>
        </w:tc>
        <w:tc>
          <w:tcPr>
            <w:tcW w:w="1418" w:type="dxa"/>
            <w:tcBorders>
              <w:top w:val="single" w:sz="4" w:space="0" w:color="000000"/>
              <w:left w:val="single" w:sz="4" w:space="0" w:color="000000"/>
              <w:bottom w:val="single" w:sz="4" w:space="0" w:color="000000"/>
              <w:right w:val="single" w:sz="4" w:space="0" w:color="000000"/>
            </w:tcBorders>
          </w:tcPr>
          <w:p w14:paraId="0863EBB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74/1917 </w:t>
            </w:r>
          </w:p>
          <w:p w14:paraId="7C561FCB"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F0EB2E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41F2CB18"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1A663CE0"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F3A1917"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3,86 %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52E17EA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&lt; 0,000 1 </w:t>
            </w:r>
          </w:p>
        </w:tc>
        <w:tc>
          <w:tcPr>
            <w:tcW w:w="1200" w:type="dxa"/>
            <w:tcBorders>
              <w:top w:val="single" w:sz="4" w:space="0" w:color="000000"/>
              <w:left w:val="single" w:sz="4" w:space="0" w:color="000000"/>
              <w:bottom w:val="single" w:sz="4" w:space="0" w:color="000000"/>
              <w:right w:val="single" w:sz="4" w:space="0" w:color="000000"/>
            </w:tcBorders>
          </w:tcPr>
          <w:p w14:paraId="2FC43A0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147/976 </w:t>
            </w:r>
          </w:p>
          <w:p w14:paraId="15F2562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0CE0514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149A668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025C5E8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2CA322D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15,06 % </w:t>
            </w:r>
          </w:p>
        </w:tc>
        <w:tc>
          <w:tcPr>
            <w:tcW w:w="1493" w:type="dxa"/>
            <w:tcBorders>
              <w:top w:val="single" w:sz="4" w:space="0" w:color="000000"/>
              <w:left w:val="single" w:sz="4" w:space="0" w:color="000000"/>
              <w:bottom w:val="single" w:sz="4" w:space="0" w:color="000000"/>
              <w:right w:val="single" w:sz="4" w:space="0" w:color="000000"/>
            </w:tcBorders>
          </w:tcPr>
          <w:p w14:paraId="097C0B4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243/997 </w:t>
            </w:r>
          </w:p>
          <w:p w14:paraId="76C9F26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3C65D93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2A4B3E5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23A3794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516F90C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24,37 %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4012C850" w14:textId="77777777" w:rsidR="00C95D96" w:rsidRPr="00D21DFA" w:rsidRDefault="00C95D96" w:rsidP="00C95D96">
            <w:pPr>
              <w:tabs>
                <w:tab w:val="left" w:pos="567"/>
              </w:tabs>
              <w:spacing w:after="0" w:line="240" w:lineRule="auto"/>
              <w:ind w:left="53"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&lt; 0,0001 </w:t>
            </w:r>
          </w:p>
        </w:tc>
      </w:tr>
      <w:tr w:rsidR="00C95D96" w:rsidRPr="00D21DFA" w14:paraId="2FEFE5FA" w14:textId="77777777" w:rsidTr="00446D67">
        <w:trPr>
          <w:trHeight w:val="516"/>
        </w:trPr>
        <w:tc>
          <w:tcPr>
            <w:tcW w:w="1580" w:type="dxa"/>
            <w:tcBorders>
              <w:top w:val="single" w:sz="4" w:space="0" w:color="000000"/>
              <w:left w:val="single" w:sz="4" w:space="0" w:color="000000"/>
              <w:bottom w:val="single" w:sz="4" w:space="0" w:color="000000"/>
              <w:right w:val="single" w:sz="4" w:space="0" w:color="000000"/>
            </w:tcBorders>
          </w:tcPr>
          <w:p w14:paraId="05FBC5A1" w14:textId="77777777" w:rsidR="00C95D96" w:rsidRPr="00D21DFA" w:rsidRDefault="00C95D96" w:rsidP="00C95D96">
            <w:pPr>
              <w:tabs>
                <w:tab w:val="left" w:pos="567"/>
              </w:tabs>
              <w:spacing w:after="0" w:line="240" w:lineRule="auto"/>
              <w:ind w:left="180"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Santykinė rizika</w:t>
            </w:r>
          </w:p>
          <w:p w14:paraId="26D970CE" w14:textId="77777777" w:rsidR="00C95D96" w:rsidRPr="00D21DFA"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95 % PI</w:t>
            </w:r>
          </w:p>
        </w:tc>
        <w:tc>
          <w:tcPr>
            <w:tcW w:w="1340" w:type="dxa"/>
            <w:tcBorders>
              <w:top w:val="single" w:sz="4" w:space="0" w:color="000000"/>
              <w:left w:val="single" w:sz="4" w:space="0" w:color="000000"/>
              <w:bottom w:val="single" w:sz="4" w:space="0" w:color="000000"/>
              <w:right w:val="single" w:sz="4" w:space="0" w:color="000000"/>
            </w:tcBorders>
          </w:tcPr>
          <w:p w14:paraId="7EC954F7"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0,36 </w:t>
            </w:r>
          </w:p>
          <w:p w14:paraId="0CCD8889"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43FBAC89"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(0,22, 0,54) </w:t>
            </w:r>
          </w:p>
        </w:tc>
        <w:tc>
          <w:tcPr>
            <w:tcW w:w="1418" w:type="dxa"/>
            <w:tcBorders>
              <w:top w:val="single" w:sz="4" w:space="0" w:color="000000"/>
              <w:left w:val="single" w:sz="4" w:space="0" w:color="000000"/>
              <w:bottom w:val="single" w:sz="4" w:space="0" w:color="000000"/>
              <w:right w:val="single" w:sz="4" w:space="0" w:color="000000"/>
            </w:tcBorders>
          </w:tcPr>
          <w:p w14:paraId="2916E986"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992" w:type="dxa"/>
            <w:vMerge/>
            <w:tcBorders>
              <w:top w:val="nil"/>
              <w:left w:val="single" w:sz="4" w:space="0" w:color="000000"/>
              <w:bottom w:val="single" w:sz="4" w:space="0" w:color="000000"/>
              <w:right w:val="single" w:sz="4" w:space="0" w:color="000000"/>
            </w:tcBorders>
          </w:tcPr>
          <w:p w14:paraId="6F0986C7" w14:textId="77777777" w:rsidR="00C95D96" w:rsidRPr="00D21DFA"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p>
        </w:tc>
        <w:tc>
          <w:tcPr>
            <w:tcW w:w="1200" w:type="dxa"/>
            <w:tcBorders>
              <w:top w:val="single" w:sz="4" w:space="0" w:color="000000"/>
              <w:left w:val="single" w:sz="4" w:space="0" w:color="000000"/>
              <w:bottom w:val="single" w:sz="4" w:space="0" w:color="000000"/>
              <w:right w:val="single" w:sz="4" w:space="0" w:color="000000"/>
            </w:tcBorders>
          </w:tcPr>
          <w:p w14:paraId="5B847CF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0,62 </w:t>
            </w:r>
          </w:p>
          <w:p w14:paraId="04BB3FE4" w14:textId="77777777" w:rsidR="00C95D96" w:rsidRPr="00D21DFA"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p>
          <w:p w14:paraId="1E8EC2BB" w14:textId="77777777" w:rsidR="00C95D96" w:rsidRPr="00D21DFA"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(0,51, 0,74) </w:t>
            </w:r>
          </w:p>
        </w:tc>
        <w:tc>
          <w:tcPr>
            <w:tcW w:w="1493" w:type="dxa"/>
            <w:tcBorders>
              <w:top w:val="single" w:sz="4" w:space="0" w:color="000000"/>
              <w:left w:val="single" w:sz="4" w:space="0" w:color="000000"/>
              <w:bottom w:val="single" w:sz="4" w:space="0" w:color="000000"/>
              <w:right w:val="single" w:sz="4" w:space="0" w:color="000000"/>
            </w:tcBorders>
          </w:tcPr>
          <w:p w14:paraId="65D13C8C" w14:textId="77777777" w:rsidR="00C95D96" w:rsidRPr="00D21DFA"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134" w:type="dxa"/>
            <w:vMerge/>
            <w:tcBorders>
              <w:top w:val="nil"/>
              <w:left w:val="single" w:sz="4" w:space="0" w:color="000000"/>
              <w:bottom w:val="single" w:sz="4" w:space="0" w:color="000000"/>
              <w:right w:val="single" w:sz="4" w:space="0" w:color="000000"/>
            </w:tcBorders>
          </w:tcPr>
          <w:p w14:paraId="270CC50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
        </w:tc>
      </w:tr>
      <w:tr w:rsidR="00C95D96" w:rsidRPr="00D21DFA" w14:paraId="0E152971" w14:textId="77777777" w:rsidTr="00446D67">
        <w:trPr>
          <w:trHeight w:val="263"/>
        </w:trPr>
        <w:tc>
          <w:tcPr>
            <w:tcW w:w="9157" w:type="dxa"/>
            <w:gridSpan w:val="7"/>
            <w:tcBorders>
              <w:top w:val="single" w:sz="4" w:space="0" w:color="000000"/>
              <w:left w:val="single" w:sz="4" w:space="0" w:color="000000"/>
              <w:bottom w:val="single" w:sz="4" w:space="0" w:color="000000"/>
              <w:right w:val="single" w:sz="4" w:space="0" w:color="000000"/>
            </w:tcBorders>
          </w:tcPr>
          <w:p w14:paraId="21567D64" w14:textId="77777777" w:rsidR="00C95D96" w:rsidRPr="00D21DFA"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Didžiųjų VTE atvejų</w:t>
            </w:r>
          </w:p>
        </w:tc>
      </w:tr>
      <w:tr w:rsidR="00C95D96" w:rsidRPr="00D21DFA" w14:paraId="0B911C0A" w14:textId="77777777" w:rsidTr="00446D67">
        <w:trPr>
          <w:trHeight w:val="769"/>
        </w:trPr>
        <w:tc>
          <w:tcPr>
            <w:tcW w:w="1580" w:type="dxa"/>
            <w:tcBorders>
              <w:top w:val="single" w:sz="4" w:space="0" w:color="000000"/>
              <w:left w:val="single" w:sz="4" w:space="0" w:color="000000"/>
              <w:bottom w:val="single" w:sz="4" w:space="0" w:color="000000"/>
              <w:right w:val="single" w:sz="4" w:space="0" w:color="000000"/>
            </w:tcBorders>
          </w:tcPr>
          <w:p w14:paraId="5CE38BCC" w14:textId="77777777" w:rsidR="00C95D96" w:rsidRPr="00D21DFA"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Atvejų skaičius/ tiriamųjų asmenų skaičius Atvejų dažnis</w:t>
            </w:r>
          </w:p>
        </w:tc>
        <w:tc>
          <w:tcPr>
            <w:tcW w:w="1340" w:type="dxa"/>
            <w:tcBorders>
              <w:top w:val="single" w:sz="4" w:space="0" w:color="000000"/>
              <w:left w:val="single" w:sz="4" w:space="0" w:color="000000"/>
              <w:bottom w:val="single" w:sz="4" w:space="0" w:color="000000"/>
              <w:right w:val="single" w:sz="4" w:space="0" w:color="000000"/>
            </w:tcBorders>
          </w:tcPr>
          <w:p w14:paraId="2076F058"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10/2199 </w:t>
            </w:r>
          </w:p>
          <w:p w14:paraId="0DEF34A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2CC334C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57CD38F2"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770E76A6"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0EABD3D"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0,45 % </w:t>
            </w:r>
          </w:p>
        </w:tc>
        <w:tc>
          <w:tcPr>
            <w:tcW w:w="1418" w:type="dxa"/>
            <w:tcBorders>
              <w:top w:val="single" w:sz="4" w:space="0" w:color="000000"/>
              <w:left w:val="single" w:sz="4" w:space="0" w:color="000000"/>
              <w:bottom w:val="single" w:sz="4" w:space="0" w:color="000000"/>
              <w:right w:val="single" w:sz="4" w:space="0" w:color="000000"/>
            </w:tcBorders>
          </w:tcPr>
          <w:p w14:paraId="486A753F"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25/2195 </w:t>
            </w:r>
          </w:p>
          <w:p w14:paraId="3720D28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13A0FF1"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2B82442E"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3F7E51F5"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6C1B00A6"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1,14 %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2F4E454"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67E84673"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0,0107 </w:t>
            </w:r>
          </w:p>
        </w:tc>
        <w:tc>
          <w:tcPr>
            <w:tcW w:w="1200" w:type="dxa"/>
            <w:tcBorders>
              <w:top w:val="single" w:sz="4" w:space="0" w:color="000000"/>
              <w:left w:val="single" w:sz="4" w:space="0" w:color="000000"/>
              <w:bottom w:val="single" w:sz="4" w:space="0" w:color="000000"/>
              <w:right w:val="single" w:sz="4" w:space="0" w:color="000000"/>
            </w:tcBorders>
          </w:tcPr>
          <w:p w14:paraId="54E3A51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13/1195 </w:t>
            </w:r>
          </w:p>
          <w:p w14:paraId="3C41FC4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4A776F0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62EC485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1D9F62A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0697A97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1,09 % </w:t>
            </w:r>
          </w:p>
        </w:tc>
        <w:tc>
          <w:tcPr>
            <w:tcW w:w="1493" w:type="dxa"/>
            <w:tcBorders>
              <w:top w:val="single" w:sz="4" w:space="0" w:color="000000"/>
              <w:left w:val="single" w:sz="4" w:space="0" w:color="000000"/>
              <w:bottom w:val="single" w:sz="4" w:space="0" w:color="000000"/>
              <w:right w:val="single" w:sz="4" w:space="0" w:color="000000"/>
            </w:tcBorders>
          </w:tcPr>
          <w:p w14:paraId="034CC7B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26/1199 </w:t>
            </w:r>
          </w:p>
          <w:p w14:paraId="3396ABF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36511A6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606F885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31CE22A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4C156C7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2,17 %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CEDEED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
          <w:p w14:paraId="7EF1568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0,0373 </w:t>
            </w:r>
          </w:p>
        </w:tc>
      </w:tr>
      <w:tr w:rsidR="00C95D96" w:rsidRPr="00D21DFA" w14:paraId="13606ACD" w14:textId="77777777" w:rsidTr="00446D67">
        <w:trPr>
          <w:trHeight w:val="516"/>
        </w:trPr>
        <w:tc>
          <w:tcPr>
            <w:tcW w:w="1580" w:type="dxa"/>
            <w:tcBorders>
              <w:top w:val="single" w:sz="4" w:space="0" w:color="000000"/>
              <w:left w:val="single" w:sz="4" w:space="0" w:color="000000"/>
              <w:bottom w:val="single" w:sz="4" w:space="0" w:color="000000"/>
              <w:right w:val="single" w:sz="4" w:space="0" w:color="000000"/>
            </w:tcBorders>
          </w:tcPr>
          <w:p w14:paraId="58ED5883" w14:textId="77777777" w:rsidR="00C95D96" w:rsidRPr="00D21DFA" w:rsidRDefault="00C95D96" w:rsidP="00C95D96">
            <w:pPr>
              <w:tabs>
                <w:tab w:val="left" w:pos="567"/>
              </w:tabs>
              <w:spacing w:after="0" w:line="240" w:lineRule="auto"/>
              <w:ind w:left="180"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Santykinė rizika</w:t>
            </w:r>
          </w:p>
          <w:p w14:paraId="2469923A" w14:textId="77777777" w:rsidR="00C95D96" w:rsidRPr="00D21DFA" w:rsidRDefault="00C95D96" w:rsidP="00C95D96">
            <w:pPr>
              <w:tabs>
                <w:tab w:val="left" w:pos="567"/>
              </w:tabs>
              <w:spacing w:after="0" w:line="240" w:lineRule="auto"/>
              <w:ind w:left="18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2"/>
                <w14:ligatures w14:val="none"/>
              </w:rPr>
              <w:t>95 % PI</w:t>
            </w:r>
          </w:p>
        </w:tc>
        <w:tc>
          <w:tcPr>
            <w:tcW w:w="1340" w:type="dxa"/>
            <w:tcBorders>
              <w:top w:val="single" w:sz="4" w:space="0" w:color="000000"/>
              <w:left w:val="single" w:sz="4" w:space="0" w:color="000000"/>
              <w:bottom w:val="single" w:sz="4" w:space="0" w:color="000000"/>
              <w:right w:val="single" w:sz="4" w:space="0" w:color="000000"/>
            </w:tcBorders>
          </w:tcPr>
          <w:p w14:paraId="011B7F7C"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0,40 </w:t>
            </w:r>
          </w:p>
          <w:p w14:paraId="16F6654E"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p>
          <w:p w14:paraId="05993017"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(0,15, 0,80) </w:t>
            </w:r>
          </w:p>
        </w:tc>
        <w:tc>
          <w:tcPr>
            <w:tcW w:w="1418" w:type="dxa"/>
            <w:tcBorders>
              <w:top w:val="single" w:sz="4" w:space="0" w:color="000000"/>
              <w:left w:val="single" w:sz="4" w:space="0" w:color="000000"/>
              <w:bottom w:val="single" w:sz="4" w:space="0" w:color="000000"/>
              <w:right w:val="single" w:sz="4" w:space="0" w:color="000000"/>
            </w:tcBorders>
          </w:tcPr>
          <w:p w14:paraId="60D69DA9" w14:textId="77777777" w:rsidR="00C95D96" w:rsidRPr="00D21DFA" w:rsidRDefault="00C95D96" w:rsidP="00C95D96">
            <w:pPr>
              <w:tabs>
                <w:tab w:val="left" w:pos="567"/>
              </w:tabs>
              <w:spacing w:after="0" w:line="240" w:lineRule="auto"/>
              <w:ind w:left="-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992" w:type="dxa"/>
            <w:vMerge/>
            <w:tcBorders>
              <w:top w:val="nil"/>
              <w:left w:val="single" w:sz="4" w:space="0" w:color="000000"/>
              <w:bottom w:val="single" w:sz="4" w:space="0" w:color="000000"/>
              <w:right w:val="single" w:sz="4" w:space="0" w:color="000000"/>
            </w:tcBorders>
          </w:tcPr>
          <w:p w14:paraId="246B408A" w14:textId="77777777" w:rsidR="00C95D96" w:rsidRPr="00D21DFA"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p>
        </w:tc>
        <w:tc>
          <w:tcPr>
            <w:tcW w:w="1200" w:type="dxa"/>
            <w:tcBorders>
              <w:top w:val="single" w:sz="4" w:space="0" w:color="000000"/>
              <w:left w:val="single" w:sz="4" w:space="0" w:color="000000"/>
              <w:bottom w:val="single" w:sz="4" w:space="0" w:color="000000"/>
              <w:right w:val="single" w:sz="4" w:space="0" w:color="000000"/>
            </w:tcBorders>
          </w:tcPr>
          <w:p w14:paraId="4197ABB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0,50 </w:t>
            </w:r>
          </w:p>
          <w:p w14:paraId="72A3BDE2" w14:textId="77777777" w:rsidR="00C95D96" w:rsidRPr="00D21DFA"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p>
          <w:p w14:paraId="0EB8739A" w14:textId="77777777" w:rsidR="00C95D96" w:rsidRPr="00D21DFA" w:rsidRDefault="00C95D96" w:rsidP="00C95D96">
            <w:pPr>
              <w:tabs>
                <w:tab w:val="left" w:pos="567"/>
              </w:tabs>
              <w:spacing w:after="0" w:line="240" w:lineRule="auto"/>
              <w:ind w:left="31"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(0,26, 0,97) </w:t>
            </w:r>
          </w:p>
        </w:tc>
        <w:tc>
          <w:tcPr>
            <w:tcW w:w="1493" w:type="dxa"/>
            <w:tcBorders>
              <w:top w:val="single" w:sz="4" w:space="0" w:color="000000"/>
              <w:left w:val="single" w:sz="4" w:space="0" w:color="000000"/>
              <w:bottom w:val="single" w:sz="4" w:space="0" w:color="000000"/>
              <w:right w:val="single" w:sz="4" w:space="0" w:color="000000"/>
            </w:tcBorders>
          </w:tcPr>
          <w:p w14:paraId="55378F05" w14:textId="77777777" w:rsidR="00C95D96" w:rsidRPr="00D21DFA"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134" w:type="dxa"/>
            <w:vMerge/>
            <w:tcBorders>
              <w:top w:val="nil"/>
              <w:left w:val="single" w:sz="4" w:space="0" w:color="000000"/>
              <w:bottom w:val="single" w:sz="4" w:space="0" w:color="000000"/>
              <w:right w:val="single" w:sz="4" w:space="0" w:color="000000"/>
            </w:tcBorders>
          </w:tcPr>
          <w:p w14:paraId="4F7695D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
        </w:tc>
      </w:tr>
    </w:tbl>
    <w:p w14:paraId="74EDE55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583C3D2" w14:textId="3C7168F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arba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40 mg dozę vartojusiems pacientams nustatyti saugumo vertinamųjų baigčių, stipraus kraujavimo, sudėtinio stipraus ir KRNS kraujavimo bei visų kraujavimų dažnio rodikliai buvo panašūs (žr. </w:t>
      </w:r>
      <w:r w:rsidR="005738CA" w:rsidRPr="00D21DFA">
        <w:rPr>
          <w:rFonts w:ascii="Times New Roman" w:eastAsia="Times New Roman" w:hAnsi="Times New Roman" w:cs="Times New Roman"/>
          <w:snapToGrid w:val="0"/>
          <w:kern w:val="0"/>
          <w:sz w:val="22"/>
          <w:szCs w:val="20"/>
          <w14:ligatures w14:val="none"/>
        </w:rPr>
        <w:t>6</w:t>
      </w:r>
      <w:r w:rsidRPr="00D21DFA">
        <w:rPr>
          <w:rFonts w:ascii="Times New Roman" w:eastAsia="Times New Roman" w:hAnsi="Times New Roman" w:cs="Times New Roman"/>
          <w:snapToGrid w:val="0"/>
          <w:kern w:val="0"/>
          <w:sz w:val="22"/>
          <w:szCs w:val="20"/>
          <w14:ligatures w14:val="none"/>
        </w:rPr>
        <w:t xml:space="preserve"> lentelę). Visi kraujavimo kriterijai apėmė ir operaci</w:t>
      </w:r>
      <w:r w:rsidR="00977539" w:rsidRPr="00D21DFA">
        <w:rPr>
          <w:rFonts w:ascii="Times New Roman" w:eastAsia="Times New Roman" w:hAnsi="Times New Roman" w:cs="Times New Roman"/>
          <w:snapToGrid w:val="0"/>
          <w:kern w:val="0"/>
          <w:sz w:val="22"/>
          <w:szCs w:val="20"/>
          <w14:ligatures w14:val="none"/>
        </w:rPr>
        <w:t>nės vietos</w:t>
      </w:r>
      <w:r w:rsidRPr="00D21DFA">
        <w:rPr>
          <w:rFonts w:ascii="Times New Roman" w:eastAsia="Times New Roman" w:hAnsi="Times New Roman" w:cs="Times New Roman"/>
          <w:snapToGrid w:val="0"/>
          <w:kern w:val="0"/>
          <w:sz w:val="22"/>
          <w:szCs w:val="20"/>
          <w14:ligatures w14:val="none"/>
        </w:rPr>
        <w:t xml:space="preserve"> kraujavimą. </w:t>
      </w:r>
    </w:p>
    <w:p w14:paraId="0AFC365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BC91E7" w14:textId="65D3F556" w:rsidR="00C95D96" w:rsidRPr="00D21DFA" w:rsidRDefault="005738CA"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6</w:t>
      </w:r>
      <w:r w:rsidR="00C95D96" w:rsidRPr="00D21DFA">
        <w:rPr>
          <w:rFonts w:ascii="Times New Roman" w:eastAsia="Times New Roman" w:hAnsi="Times New Roman" w:cs="Times New Roman"/>
          <w:b/>
          <w:bCs/>
          <w:snapToGrid w:val="0"/>
          <w:kern w:val="0"/>
          <w:sz w:val="22"/>
          <w:szCs w:val="20"/>
          <w14:ligatures w14:val="none"/>
        </w:rPr>
        <w:t xml:space="preserve"> lentelė. Pagrindinių III fazės tyrimų metu gauti kraujavimo dažnio rezultatai*</w:t>
      </w:r>
    </w:p>
    <w:tbl>
      <w:tblPr>
        <w:tblW w:w="9072" w:type="dxa"/>
        <w:tblInd w:w="52" w:type="dxa"/>
        <w:tblCellMar>
          <w:top w:w="55" w:type="dxa"/>
          <w:right w:w="88" w:type="dxa"/>
        </w:tblCellMar>
        <w:tblLook w:val="04A0" w:firstRow="1" w:lastRow="0" w:firstColumn="1" w:lastColumn="0" w:noHBand="0" w:noVBand="1"/>
      </w:tblPr>
      <w:tblGrid>
        <w:gridCol w:w="1727"/>
        <w:gridCol w:w="1816"/>
        <w:gridCol w:w="1702"/>
        <w:gridCol w:w="1700"/>
        <w:gridCol w:w="2127"/>
      </w:tblGrid>
      <w:tr w:rsidR="00C95D96" w:rsidRPr="00D21DFA" w14:paraId="52BE4417"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4536018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3E5F4E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ADVANCE</w:t>
            </w:r>
            <w:r w:rsidRPr="00D21DFA">
              <w:rPr>
                <w:rFonts w:ascii="Times New Roman" w:eastAsia="Times New Roman" w:hAnsi="Times New Roman" w:cs="Times New Roman"/>
                <w:b/>
                <w:snapToGrid w:val="0"/>
                <w:kern w:val="0"/>
                <w:sz w:val="22"/>
                <w:szCs w:val="20"/>
                <w14:ligatures w14:val="none"/>
              </w:rPr>
              <w:noBreakHyphen/>
              <w:t>3 tyrimas</w:t>
            </w:r>
          </w:p>
        </w:tc>
        <w:tc>
          <w:tcPr>
            <w:tcW w:w="3827" w:type="dxa"/>
            <w:gridSpan w:val="2"/>
            <w:tcBorders>
              <w:top w:val="single" w:sz="4" w:space="0" w:color="000000"/>
              <w:left w:val="single" w:sz="4" w:space="0" w:color="000000"/>
              <w:bottom w:val="single" w:sz="4" w:space="0" w:color="000000"/>
              <w:right w:val="single" w:sz="4" w:space="0" w:color="000000"/>
            </w:tcBorders>
          </w:tcPr>
          <w:p w14:paraId="67F23A9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ADVANCE</w:t>
            </w:r>
            <w:r w:rsidRPr="00D21DFA">
              <w:rPr>
                <w:rFonts w:ascii="Times New Roman" w:eastAsia="Times New Roman" w:hAnsi="Times New Roman" w:cs="Times New Roman"/>
                <w:b/>
                <w:snapToGrid w:val="0"/>
                <w:kern w:val="0"/>
                <w:sz w:val="22"/>
                <w:szCs w:val="20"/>
                <w14:ligatures w14:val="none"/>
              </w:rPr>
              <w:noBreakHyphen/>
              <w:t>2 tyrimas</w:t>
            </w:r>
          </w:p>
        </w:tc>
      </w:tr>
      <w:tr w:rsidR="00C95D96" w:rsidRPr="00D21DFA" w14:paraId="56C2C42E" w14:textId="77777777" w:rsidTr="00446D67">
        <w:trPr>
          <w:trHeight w:val="1022"/>
        </w:trPr>
        <w:tc>
          <w:tcPr>
            <w:tcW w:w="1727" w:type="dxa"/>
            <w:tcBorders>
              <w:top w:val="single" w:sz="4" w:space="0" w:color="000000"/>
              <w:left w:val="single" w:sz="4" w:space="0" w:color="000000"/>
              <w:bottom w:val="single" w:sz="4" w:space="0" w:color="000000"/>
              <w:right w:val="single" w:sz="4" w:space="0" w:color="000000"/>
            </w:tcBorders>
          </w:tcPr>
          <w:p w14:paraId="6846F7A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05979E9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2,5 mg gerti </w:t>
            </w:r>
          </w:p>
          <w:p w14:paraId="24AB769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du kartus per parą</w:t>
            </w:r>
          </w:p>
          <w:p w14:paraId="60F19576" w14:textId="73270598"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35</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3</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d.</w:t>
            </w:r>
          </w:p>
        </w:tc>
        <w:tc>
          <w:tcPr>
            <w:tcW w:w="1702" w:type="dxa"/>
            <w:tcBorders>
              <w:top w:val="single" w:sz="4" w:space="0" w:color="000000"/>
              <w:left w:val="single" w:sz="4" w:space="0" w:color="000000"/>
              <w:bottom w:val="single" w:sz="4" w:space="0" w:color="000000"/>
              <w:right w:val="single" w:sz="4" w:space="0" w:color="000000"/>
            </w:tcBorders>
          </w:tcPr>
          <w:p w14:paraId="2EFFAD7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Enoksaparinas</w:t>
            </w:r>
            <w:proofErr w:type="spellEnd"/>
            <w:r w:rsidRPr="00D21DFA">
              <w:rPr>
                <w:rFonts w:ascii="Times New Roman" w:eastAsia="Times New Roman" w:hAnsi="Times New Roman" w:cs="Times New Roman"/>
                <w:snapToGrid w:val="0"/>
                <w:kern w:val="0"/>
                <w:sz w:val="22"/>
                <w:szCs w:val="20"/>
                <w14:ligatures w14:val="none"/>
              </w:rPr>
              <w:t xml:space="preserve"> 40 mg po oda </w:t>
            </w:r>
          </w:p>
          <w:p w14:paraId="21AE0FF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vieną kartą per parą</w:t>
            </w:r>
          </w:p>
          <w:p w14:paraId="2DA71B86" w14:textId="0C8E7F73"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 35</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3</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d.</w:t>
            </w:r>
          </w:p>
        </w:tc>
        <w:tc>
          <w:tcPr>
            <w:tcW w:w="1700" w:type="dxa"/>
            <w:tcBorders>
              <w:top w:val="single" w:sz="4" w:space="0" w:color="000000"/>
              <w:left w:val="single" w:sz="4" w:space="0" w:color="000000"/>
              <w:bottom w:val="single" w:sz="4" w:space="0" w:color="000000"/>
              <w:right w:val="single" w:sz="4" w:space="0" w:color="000000"/>
            </w:tcBorders>
          </w:tcPr>
          <w:p w14:paraId="7ED79E45" w14:textId="51BC14A6"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2,5 mg gerti</w:t>
            </w:r>
          </w:p>
          <w:p w14:paraId="30DFBEE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du kartus per parą </w:t>
            </w:r>
          </w:p>
          <w:p w14:paraId="12AC0EF9" w14:textId="5E39655B"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12</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2</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d.</w:t>
            </w:r>
          </w:p>
        </w:tc>
        <w:tc>
          <w:tcPr>
            <w:tcW w:w="2127" w:type="dxa"/>
            <w:tcBorders>
              <w:top w:val="single" w:sz="4" w:space="0" w:color="000000"/>
              <w:left w:val="single" w:sz="4" w:space="0" w:color="000000"/>
              <w:bottom w:val="single" w:sz="4" w:space="0" w:color="000000"/>
              <w:right w:val="single" w:sz="4" w:space="0" w:color="000000"/>
            </w:tcBorders>
          </w:tcPr>
          <w:p w14:paraId="6DC7128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Enoksaparinas</w:t>
            </w:r>
            <w:proofErr w:type="spellEnd"/>
            <w:r w:rsidRPr="00D21DFA">
              <w:rPr>
                <w:rFonts w:ascii="Times New Roman" w:eastAsia="Times New Roman" w:hAnsi="Times New Roman" w:cs="Times New Roman"/>
                <w:snapToGrid w:val="0"/>
                <w:kern w:val="0"/>
                <w:sz w:val="22"/>
                <w:szCs w:val="20"/>
                <w14:ligatures w14:val="none"/>
              </w:rPr>
              <w:t xml:space="preserve"> </w:t>
            </w:r>
          </w:p>
          <w:p w14:paraId="091E244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40 mg po oda</w:t>
            </w:r>
          </w:p>
          <w:p w14:paraId="6463696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 vieną kartą per parą</w:t>
            </w:r>
          </w:p>
          <w:p w14:paraId="54D05110" w14:textId="2062A58A"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 12</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2</w:t>
            </w:r>
            <w:r w:rsidR="00895A76"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d</w:t>
            </w:r>
          </w:p>
        </w:tc>
      </w:tr>
      <w:tr w:rsidR="00C95D96" w:rsidRPr="00D21DFA" w14:paraId="0F54450F"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08ECEBB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Visi tiriamieji</w:t>
            </w:r>
          </w:p>
        </w:tc>
        <w:tc>
          <w:tcPr>
            <w:tcW w:w="1816" w:type="dxa"/>
            <w:tcBorders>
              <w:top w:val="single" w:sz="4" w:space="0" w:color="000000"/>
              <w:left w:val="single" w:sz="4" w:space="0" w:color="000000"/>
              <w:bottom w:val="single" w:sz="4" w:space="0" w:color="000000"/>
              <w:right w:val="single" w:sz="4" w:space="0" w:color="000000"/>
            </w:tcBorders>
          </w:tcPr>
          <w:p w14:paraId="041C48AB" w14:textId="2FCE65A1" w:rsidR="00C95D96" w:rsidRPr="00D21DFA" w:rsidRDefault="00FA7303"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 </w:t>
            </w:r>
            <w:r w:rsidR="00C95D96" w:rsidRPr="00D21DFA">
              <w:rPr>
                <w:rFonts w:ascii="Times New Roman" w:eastAsia="Times New Roman" w:hAnsi="Times New Roman" w:cs="Times New Roman"/>
                <w:snapToGrid w:val="0"/>
                <w:kern w:val="0"/>
                <w:sz w:val="22"/>
                <w:szCs w:val="22"/>
                <w14:ligatures w14:val="none"/>
              </w:rPr>
              <w:t>=</w:t>
            </w:r>
            <w:r w:rsidRPr="00D21DFA">
              <w:rPr>
                <w:rFonts w:ascii="Times New Roman" w:eastAsia="Times New Roman" w:hAnsi="Times New Roman" w:cs="Times New Roman"/>
                <w:snapToGrid w:val="0"/>
                <w:kern w:val="0"/>
                <w:sz w:val="22"/>
                <w:szCs w:val="22"/>
                <w14:ligatures w14:val="none"/>
              </w:rPr>
              <w:t> </w:t>
            </w:r>
            <w:r w:rsidR="00C95D96" w:rsidRPr="00D21DFA">
              <w:rPr>
                <w:rFonts w:ascii="Times New Roman" w:eastAsia="Times New Roman" w:hAnsi="Times New Roman" w:cs="Times New Roman"/>
                <w:snapToGrid w:val="0"/>
                <w:kern w:val="0"/>
                <w:sz w:val="22"/>
                <w:szCs w:val="22"/>
                <w14:ligatures w14:val="none"/>
              </w:rPr>
              <w:t xml:space="preserve">2673 </w:t>
            </w:r>
          </w:p>
        </w:tc>
        <w:tc>
          <w:tcPr>
            <w:tcW w:w="1702" w:type="dxa"/>
            <w:tcBorders>
              <w:top w:val="single" w:sz="4" w:space="0" w:color="000000"/>
              <w:left w:val="single" w:sz="4" w:space="0" w:color="000000"/>
              <w:bottom w:val="single" w:sz="4" w:space="0" w:color="000000"/>
              <w:right w:val="single" w:sz="4" w:space="0" w:color="000000"/>
            </w:tcBorders>
          </w:tcPr>
          <w:p w14:paraId="4C1C7288" w14:textId="2739421A" w:rsidR="00C95D96" w:rsidRPr="00D21DFA" w:rsidRDefault="00FA7303"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 </w:t>
            </w:r>
            <w:r w:rsidR="00C95D96" w:rsidRPr="00D21DFA">
              <w:rPr>
                <w:rFonts w:ascii="Times New Roman" w:eastAsia="Times New Roman" w:hAnsi="Times New Roman" w:cs="Times New Roman"/>
                <w:snapToGrid w:val="0"/>
                <w:kern w:val="0"/>
                <w:sz w:val="22"/>
                <w:szCs w:val="22"/>
                <w14:ligatures w14:val="none"/>
              </w:rPr>
              <w:t>=</w:t>
            </w:r>
            <w:r w:rsidRPr="00D21DFA">
              <w:rPr>
                <w:rFonts w:ascii="Times New Roman" w:eastAsia="Times New Roman" w:hAnsi="Times New Roman" w:cs="Times New Roman"/>
                <w:snapToGrid w:val="0"/>
                <w:kern w:val="0"/>
                <w:sz w:val="22"/>
                <w:szCs w:val="22"/>
                <w14:ligatures w14:val="none"/>
              </w:rPr>
              <w:t> </w:t>
            </w:r>
            <w:r w:rsidR="00C95D96" w:rsidRPr="00D21DFA">
              <w:rPr>
                <w:rFonts w:ascii="Times New Roman" w:eastAsia="Times New Roman" w:hAnsi="Times New Roman" w:cs="Times New Roman"/>
                <w:snapToGrid w:val="0"/>
                <w:kern w:val="0"/>
                <w:sz w:val="22"/>
                <w:szCs w:val="22"/>
                <w14:ligatures w14:val="none"/>
              </w:rPr>
              <w:t xml:space="preserve">2659 </w:t>
            </w:r>
          </w:p>
        </w:tc>
        <w:tc>
          <w:tcPr>
            <w:tcW w:w="1700" w:type="dxa"/>
            <w:tcBorders>
              <w:top w:val="single" w:sz="4" w:space="0" w:color="000000"/>
              <w:left w:val="single" w:sz="4" w:space="0" w:color="000000"/>
              <w:bottom w:val="single" w:sz="4" w:space="0" w:color="000000"/>
              <w:right w:val="single" w:sz="4" w:space="0" w:color="000000"/>
            </w:tcBorders>
          </w:tcPr>
          <w:p w14:paraId="7A629DE6" w14:textId="3981365C"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w:t>
            </w:r>
            <w:r w:rsidR="00FA7303"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w:t>
            </w:r>
            <w:r w:rsidR="00FA7303"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 xml:space="preserve">1501 </w:t>
            </w:r>
          </w:p>
        </w:tc>
        <w:tc>
          <w:tcPr>
            <w:tcW w:w="2127" w:type="dxa"/>
            <w:tcBorders>
              <w:top w:val="single" w:sz="4" w:space="0" w:color="000000"/>
              <w:left w:val="single" w:sz="4" w:space="0" w:color="000000"/>
              <w:bottom w:val="single" w:sz="4" w:space="0" w:color="000000"/>
              <w:right w:val="single" w:sz="4" w:space="0" w:color="000000"/>
            </w:tcBorders>
          </w:tcPr>
          <w:p w14:paraId="3450803C" w14:textId="3C926129"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w:t>
            </w:r>
            <w:r w:rsidR="00FA7303"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w:t>
            </w:r>
            <w:r w:rsidR="00FA7303"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 xml:space="preserve">1508 </w:t>
            </w:r>
          </w:p>
        </w:tc>
      </w:tr>
      <w:tr w:rsidR="00C95D96" w:rsidRPr="00D21DFA" w14:paraId="61271DF8" w14:textId="77777777" w:rsidTr="00446D67">
        <w:trPr>
          <w:trHeight w:val="263"/>
        </w:trPr>
        <w:tc>
          <w:tcPr>
            <w:tcW w:w="9072" w:type="dxa"/>
            <w:gridSpan w:val="5"/>
            <w:tcBorders>
              <w:top w:val="single" w:sz="4" w:space="0" w:color="000000"/>
              <w:left w:val="single" w:sz="4" w:space="0" w:color="000000"/>
              <w:bottom w:val="single" w:sz="4" w:space="0" w:color="000000"/>
              <w:right w:val="single" w:sz="4" w:space="0" w:color="000000"/>
            </w:tcBorders>
          </w:tcPr>
          <w:p w14:paraId="2EE9F9F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bCs/>
                <w:i/>
                <w:snapToGrid w:val="0"/>
                <w:kern w:val="0"/>
                <w:sz w:val="22"/>
                <w:szCs w:val="22"/>
                <w14:ligatures w14:val="none"/>
              </w:rPr>
            </w:pPr>
            <w:r w:rsidRPr="00D21DFA">
              <w:rPr>
                <w:rFonts w:ascii="Times New Roman" w:eastAsia="Times New Roman" w:hAnsi="Times New Roman" w:cs="Times New Roman"/>
                <w:bCs/>
                <w:i/>
                <w:snapToGrid w:val="0"/>
                <w:kern w:val="0"/>
                <w:sz w:val="22"/>
                <w:szCs w:val="20"/>
                <w14:ligatures w14:val="none"/>
              </w:rPr>
              <w:t>Gydymo laikotarpis</w:t>
            </w:r>
            <w:r w:rsidRPr="00D21DFA">
              <w:rPr>
                <w:rFonts w:ascii="Times New Roman" w:eastAsia="Times New Roman" w:hAnsi="Times New Roman" w:cs="Times New Roman"/>
                <w:bCs/>
                <w:i/>
                <w:snapToGrid w:val="0"/>
                <w:kern w:val="0"/>
                <w:sz w:val="22"/>
                <w:szCs w:val="22"/>
                <w:vertAlign w:val="superscript"/>
                <w14:ligatures w14:val="none"/>
              </w:rPr>
              <w:t xml:space="preserve">1 </w:t>
            </w:r>
          </w:p>
        </w:tc>
      </w:tr>
      <w:tr w:rsidR="00C95D96" w:rsidRPr="00D21DFA" w14:paraId="56B3CC13"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34B5978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Stiprus kraujavimas </w:t>
            </w: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3581CC43" w14:textId="455FA81E"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22 (0,8</w:t>
            </w:r>
            <w:r w:rsidR="00270552"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F85FA1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18 (0,7 %) </w:t>
            </w:r>
          </w:p>
        </w:tc>
        <w:tc>
          <w:tcPr>
            <w:tcW w:w="1700" w:type="dxa"/>
            <w:tcBorders>
              <w:top w:val="single" w:sz="4" w:space="0" w:color="000000"/>
              <w:left w:val="single" w:sz="4" w:space="0" w:color="000000"/>
              <w:bottom w:val="single" w:sz="4" w:space="0" w:color="000000"/>
              <w:right w:val="single" w:sz="4" w:space="0" w:color="000000"/>
            </w:tcBorders>
          </w:tcPr>
          <w:p w14:paraId="61D8E0D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 (0,6 %) </w:t>
            </w:r>
          </w:p>
        </w:tc>
        <w:tc>
          <w:tcPr>
            <w:tcW w:w="2127" w:type="dxa"/>
            <w:tcBorders>
              <w:top w:val="single" w:sz="4" w:space="0" w:color="000000"/>
              <w:left w:val="single" w:sz="4" w:space="0" w:color="000000"/>
              <w:bottom w:val="single" w:sz="4" w:space="0" w:color="000000"/>
              <w:right w:val="single" w:sz="4" w:space="0" w:color="000000"/>
            </w:tcBorders>
          </w:tcPr>
          <w:p w14:paraId="583725D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14 (0,9 %) </w:t>
            </w:r>
          </w:p>
        </w:tc>
      </w:tr>
      <w:tr w:rsidR="00C95D96" w:rsidRPr="00D21DFA" w14:paraId="1C9608C8"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4AA8D15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0"/>
                <w14:ligatures w14:val="none"/>
              </w:rPr>
              <w:t xml:space="preserve">Mirtinas </w:t>
            </w: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4974BC2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E63A03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F06AC6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6E10FBB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r>
      <w:tr w:rsidR="00C95D96" w:rsidRPr="00D21DFA" w14:paraId="178CD9E5"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42DB9E0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Stiprus + KRNS</w:t>
            </w:r>
          </w:p>
        </w:tc>
        <w:tc>
          <w:tcPr>
            <w:tcW w:w="1816" w:type="dxa"/>
            <w:tcBorders>
              <w:top w:val="single" w:sz="4" w:space="0" w:color="000000"/>
              <w:left w:val="single" w:sz="4" w:space="0" w:color="000000"/>
              <w:bottom w:val="single" w:sz="4" w:space="0" w:color="000000"/>
              <w:right w:val="single" w:sz="4" w:space="0" w:color="000000"/>
            </w:tcBorders>
          </w:tcPr>
          <w:p w14:paraId="7E4A1CF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129 (4,8 %) </w:t>
            </w:r>
          </w:p>
        </w:tc>
        <w:tc>
          <w:tcPr>
            <w:tcW w:w="1702" w:type="dxa"/>
            <w:tcBorders>
              <w:top w:val="single" w:sz="4" w:space="0" w:color="000000"/>
              <w:left w:val="single" w:sz="4" w:space="0" w:color="000000"/>
              <w:bottom w:val="single" w:sz="4" w:space="0" w:color="000000"/>
              <w:right w:val="single" w:sz="4" w:space="0" w:color="000000"/>
            </w:tcBorders>
          </w:tcPr>
          <w:p w14:paraId="7C458F2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134 (5,0 %) </w:t>
            </w:r>
          </w:p>
        </w:tc>
        <w:tc>
          <w:tcPr>
            <w:tcW w:w="1700" w:type="dxa"/>
            <w:tcBorders>
              <w:top w:val="single" w:sz="4" w:space="0" w:color="000000"/>
              <w:left w:val="single" w:sz="4" w:space="0" w:color="000000"/>
              <w:bottom w:val="single" w:sz="4" w:space="0" w:color="000000"/>
              <w:right w:val="single" w:sz="4" w:space="0" w:color="000000"/>
            </w:tcBorders>
          </w:tcPr>
          <w:p w14:paraId="13910B1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53 (3,5 %) </w:t>
            </w:r>
          </w:p>
        </w:tc>
        <w:tc>
          <w:tcPr>
            <w:tcW w:w="2127" w:type="dxa"/>
            <w:tcBorders>
              <w:top w:val="single" w:sz="4" w:space="0" w:color="000000"/>
              <w:left w:val="single" w:sz="4" w:space="0" w:color="000000"/>
              <w:bottom w:val="single" w:sz="4" w:space="0" w:color="000000"/>
              <w:right w:val="single" w:sz="4" w:space="0" w:color="000000"/>
            </w:tcBorders>
          </w:tcPr>
          <w:p w14:paraId="3E63D91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72 (4,8 %) </w:t>
            </w:r>
          </w:p>
        </w:tc>
      </w:tr>
      <w:tr w:rsidR="00C95D96" w:rsidRPr="00D21DFA" w14:paraId="0D4322F2"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118FEE0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Visi kraujavimai </w:t>
            </w: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9AC239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313 (11,7 %) </w:t>
            </w:r>
          </w:p>
        </w:tc>
        <w:tc>
          <w:tcPr>
            <w:tcW w:w="1702" w:type="dxa"/>
            <w:tcBorders>
              <w:top w:val="single" w:sz="4" w:space="0" w:color="000000"/>
              <w:left w:val="single" w:sz="4" w:space="0" w:color="000000"/>
              <w:bottom w:val="single" w:sz="4" w:space="0" w:color="000000"/>
              <w:right w:val="single" w:sz="4" w:space="0" w:color="000000"/>
            </w:tcBorders>
          </w:tcPr>
          <w:p w14:paraId="3BDF356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334 (12,6 %) </w:t>
            </w:r>
          </w:p>
        </w:tc>
        <w:tc>
          <w:tcPr>
            <w:tcW w:w="1700" w:type="dxa"/>
            <w:tcBorders>
              <w:top w:val="single" w:sz="4" w:space="0" w:color="000000"/>
              <w:left w:val="single" w:sz="4" w:space="0" w:color="000000"/>
              <w:bottom w:val="single" w:sz="4" w:space="0" w:color="000000"/>
              <w:right w:val="single" w:sz="4" w:space="0" w:color="000000"/>
            </w:tcBorders>
          </w:tcPr>
          <w:p w14:paraId="7D104B1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104 (6,9 %) </w:t>
            </w:r>
          </w:p>
        </w:tc>
        <w:tc>
          <w:tcPr>
            <w:tcW w:w="2127" w:type="dxa"/>
            <w:tcBorders>
              <w:top w:val="single" w:sz="4" w:space="0" w:color="000000"/>
              <w:left w:val="single" w:sz="4" w:space="0" w:color="000000"/>
              <w:bottom w:val="single" w:sz="4" w:space="0" w:color="000000"/>
              <w:right w:val="single" w:sz="4" w:space="0" w:color="000000"/>
            </w:tcBorders>
          </w:tcPr>
          <w:p w14:paraId="751DA4A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126 (8,4 %) </w:t>
            </w:r>
          </w:p>
        </w:tc>
      </w:tr>
      <w:tr w:rsidR="00C95D96" w:rsidRPr="00D21DFA" w14:paraId="1659D248" w14:textId="77777777" w:rsidTr="00446D67">
        <w:trPr>
          <w:trHeight w:val="264"/>
        </w:trPr>
        <w:tc>
          <w:tcPr>
            <w:tcW w:w="9072" w:type="dxa"/>
            <w:gridSpan w:val="5"/>
            <w:tcBorders>
              <w:top w:val="single" w:sz="4" w:space="0" w:color="000000"/>
              <w:left w:val="single" w:sz="4" w:space="0" w:color="000000"/>
              <w:bottom w:val="single" w:sz="4" w:space="0" w:color="000000"/>
              <w:right w:val="single" w:sz="4" w:space="0" w:color="000000"/>
            </w:tcBorders>
          </w:tcPr>
          <w:p w14:paraId="63A043E7" w14:textId="40E71D22" w:rsidR="00C95D96" w:rsidRPr="00D21DFA" w:rsidRDefault="00B35D0D" w:rsidP="00C95D96">
            <w:pPr>
              <w:tabs>
                <w:tab w:val="left" w:pos="567"/>
              </w:tabs>
              <w:spacing w:after="0" w:line="240" w:lineRule="auto"/>
              <w:ind w:right="-2"/>
              <w:rPr>
                <w:rFonts w:ascii="Times New Roman" w:eastAsia="Times New Roman" w:hAnsi="Times New Roman" w:cs="Times New Roman"/>
                <w:bCs/>
                <w:snapToGrid w:val="0"/>
                <w:kern w:val="0"/>
                <w:sz w:val="22"/>
                <w:szCs w:val="22"/>
                <w14:ligatures w14:val="none"/>
              </w:rPr>
            </w:pPr>
            <w:r w:rsidRPr="00D21DFA">
              <w:rPr>
                <w:rFonts w:ascii="Times New Roman" w:eastAsia="Times New Roman" w:hAnsi="Times New Roman" w:cs="Times New Roman"/>
                <w:bCs/>
                <w:snapToGrid w:val="0"/>
                <w:kern w:val="0"/>
                <w:sz w:val="22"/>
                <w:szCs w:val="20"/>
                <w14:ligatures w14:val="none"/>
              </w:rPr>
              <w:t>Pooperacinis g</w:t>
            </w:r>
            <w:r w:rsidR="00C95D96" w:rsidRPr="00D21DFA">
              <w:rPr>
                <w:rFonts w:ascii="Times New Roman" w:eastAsia="Times New Roman" w:hAnsi="Times New Roman" w:cs="Times New Roman"/>
                <w:bCs/>
                <w:snapToGrid w:val="0"/>
                <w:kern w:val="0"/>
                <w:sz w:val="22"/>
                <w:szCs w:val="20"/>
                <w14:ligatures w14:val="none"/>
              </w:rPr>
              <w:t xml:space="preserve">ydymo laikotarpis </w:t>
            </w:r>
            <w:r w:rsidR="00C95D96" w:rsidRPr="00D21DFA">
              <w:rPr>
                <w:rFonts w:ascii="Times New Roman" w:eastAsia="Times New Roman" w:hAnsi="Times New Roman" w:cs="Times New Roman"/>
                <w:bCs/>
                <w:snapToGrid w:val="0"/>
                <w:kern w:val="0"/>
                <w:sz w:val="22"/>
                <w:szCs w:val="20"/>
                <w:vertAlign w:val="superscript"/>
                <w14:ligatures w14:val="none"/>
              </w:rPr>
              <w:t>2</w:t>
            </w:r>
          </w:p>
        </w:tc>
      </w:tr>
      <w:tr w:rsidR="00C95D96" w:rsidRPr="00D21DFA" w14:paraId="5C758A57"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0EE4D41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Stiprus kraujavimas </w:t>
            </w: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BA88E0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 (0,3 %) </w:t>
            </w:r>
          </w:p>
        </w:tc>
        <w:tc>
          <w:tcPr>
            <w:tcW w:w="1702" w:type="dxa"/>
            <w:tcBorders>
              <w:top w:val="single" w:sz="4" w:space="0" w:color="000000"/>
              <w:left w:val="single" w:sz="4" w:space="0" w:color="000000"/>
              <w:bottom w:val="single" w:sz="4" w:space="0" w:color="000000"/>
              <w:right w:val="single" w:sz="4" w:space="0" w:color="000000"/>
            </w:tcBorders>
          </w:tcPr>
          <w:p w14:paraId="0C5E8EE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11 (0,4 %) </w:t>
            </w:r>
          </w:p>
        </w:tc>
        <w:tc>
          <w:tcPr>
            <w:tcW w:w="1700" w:type="dxa"/>
            <w:tcBorders>
              <w:top w:val="single" w:sz="4" w:space="0" w:color="000000"/>
              <w:left w:val="single" w:sz="4" w:space="0" w:color="000000"/>
              <w:bottom w:val="single" w:sz="4" w:space="0" w:color="000000"/>
              <w:right w:val="single" w:sz="4" w:space="0" w:color="000000"/>
            </w:tcBorders>
          </w:tcPr>
          <w:p w14:paraId="229DB38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 (0,3 %) </w:t>
            </w:r>
          </w:p>
        </w:tc>
        <w:tc>
          <w:tcPr>
            <w:tcW w:w="2127" w:type="dxa"/>
            <w:tcBorders>
              <w:top w:val="single" w:sz="4" w:space="0" w:color="000000"/>
              <w:left w:val="single" w:sz="4" w:space="0" w:color="000000"/>
              <w:bottom w:val="single" w:sz="4" w:space="0" w:color="000000"/>
              <w:right w:val="single" w:sz="4" w:space="0" w:color="000000"/>
            </w:tcBorders>
          </w:tcPr>
          <w:p w14:paraId="16FBFF1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 (0,6 %) </w:t>
            </w:r>
          </w:p>
        </w:tc>
      </w:tr>
      <w:tr w:rsidR="00C95D96" w:rsidRPr="00D21DFA" w14:paraId="7F929419"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244910E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0"/>
                <w14:ligatures w14:val="none"/>
              </w:rPr>
              <w:t xml:space="preserve">Mirtinas </w:t>
            </w: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221A844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6E5246A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56D55D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c>
          <w:tcPr>
            <w:tcW w:w="2127" w:type="dxa"/>
            <w:tcBorders>
              <w:top w:val="single" w:sz="4" w:space="0" w:color="000000"/>
              <w:left w:val="single" w:sz="4" w:space="0" w:color="000000"/>
              <w:bottom w:val="single" w:sz="4" w:space="0" w:color="000000"/>
              <w:right w:val="single" w:sz="4" w:space="0" w:color="000000"/>
            </w:tcBorders>
          </w:tcPr>
          <w:p w14:paraId="2E83564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 </w:t>
            </w:r>
          </w:p>
        </w:tc>
      </w:tr>
      <w:tr w:rsidR="00C95D96" w:rsidRPr="00D21DFA" w14:paraId="207950AA" w14:textId="77777777" w:rsidTr="00446D67">
        <w:trPr>
          <w:trHeight w:val="263"/>
        </w:trPr>
        <w:tc>
          <w:tcPr>
            <w:tcW w:w="1727" w:type="dxa"/>
            <w:tcBorders>
              <w:top w:val="single" w:sz="4" w:space="0" w:color="000000"/>
              <w:left w:val="single" w:sz="4" w:space="0" w:color="000000"/>
              <w:bottom w:val="single" w:sz="4" w:space="0" w:color="000000"/>
              <w:right w:val="single" w:sz="4" w:space="0" w:color="000000"/>
            </w:tcBorders>
          </w:tcPr>
          <w:p w14:paraId="354871E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Stiprus + KRNS</w:t>
            </w:r>
          </w:p>
        </w:tc>
        <w:tc>
          <w:tcPr>
            <w:tcW w:w="1816" w:type="dxa"/>
            <w:tcBorders>
              <w:top w:val="single" w:sz="4" w:space="0" w:color="000000"/>
              <w:left w:val="single" w:sz="4" w:space="0" w:color="000000"/>
              <w:bottom w:val="single" w:sz="4" w:space="0" w:color="000000"/>
              <w:right w:val="single" w:sz="4" w:space="0" w:color="000000"/>
            </w:tcBorders>
          </w:tcPr>
          <w:p w14:paraId="3746774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96 (3,6 %) </w:t>
            </w:r>
          </w:p>
        </w:tc>
        <w:tc>
          <w:tcPr>
            <w:tcW w:w="1702" w:type="dxa"/>
            <w:tcBorders>
              <w:top w:val="single" w:sz="4" w:space="0" w:color="000000"/>
              <w:left w:val="single" w:sz="4" w:space="0" w:color="000000"/>
              <w:bottom w:val="single" w:sz="4" w:space="0" w:color="000000"/>
              <w:right w:val="single" w:sz="4" w:space="0" w:color="000000"/>
            </w:tcBorders>
          </w:tcPr>
          <w:p w14:paraId="255A6F6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115 (4,3 %) </w:t>
            </w:r>
          </w:p>
        </w:tc>
        <w:tc>
          <w:tcPr>
            <w:tcW w:w="1700" w:type="dxa"/>
            <w:tcBorders>
              <w:top w:val="single" w:sz="4" w:space="0" w:color="000000"/>
              <w:left w:val="single" w:sz="4" w:space="0" w:color="000000"/>
              <w:bottom w:val="single" w:sz="4" w:space="0" w:color="000000"/>
              <w:right w:val="single" w:sz="4" w:space="0" w:color="000000"/>
            </w:tcBorders>
          </w:tcPr>
          <w:p w14:paraId="19718EE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41 (2,7 %) </w:t>
            </w:r>
          </w:p>
        </w:tc>
        <w:tc>
          <w:tcPr>
            <w:tcW w:w="2127" w:type="dxa"/>
            <w:tcBorders>
              <w:top w:val="single" w:sz="4" w:space="0" w:color="000000"/>
              <w:left w:val="single" w:sz="4" w:space="0" w:color="000000"/>
              <w:bottom w:val="single" w:sz="4" w:space="0" w:color="000000"/>
              <w:right w:val="single" w:sz="4" w:space="0" w:color="000000"/>
            </w:tcBorders>
          </w:tcPr>
          <w:p w14:paraId="3482FEE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56 (3,7 %) </w:t>
            </w:r>
          </w:p>
        </w:tc>
      </w:tr>
      <w:tr w:rsidR="00C95D96" w:rsidRPr="00D21DFA" w14:paraId="69A94F4D" w14:textId="77777777" w:rsidTr="00446D67">
        <w:trPr>
          <w:trHeight w:val="264"/>
        </w:trPr>
        <w:tc>
          <w:tcPr>
            <w:tcW w:w="1727" w:type="dxa"/>
            <w:tcBorders>
              <w:top w:val="single" w:sz="4" w:space="0" w:color="000000"/>
              <w:left w:val="single" w:sz="4" w:space="0" w:color="000000"/>
              <w:bottom w:val="single" w:sz="4" w:space="0" w:color="000000"/>
              <w:right w:val="single" w:sz="4" w:space="0" w:color="000000"/>
            </w:tcBorders>
          </w:tcPr>
          <w:p w14:paraId="6918497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Visi kraujavimai</w:t>
            </w:r>
            <w:r w:rsidRPr="00D21DFA">
              <w:rPr>
                <w:rFonts w:ascii="Times New Roman" w:eastAsia="Times New Roman" w:hAnsi="Times New Roman" w:cs="Times New Roman"/>
                <w:snapToGrid w:val="0"/>
                <w:kern w:val="0"/>
                <w:sz w:val="22"/>
                <w:szCs w:val="22"/>
                <w14:ligatures w14:val="none"/>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63C6836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261 (9,8</w:t>
            </w:r>
            <w:r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2"/>
                <w14:ligatures w14:val="none"/>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1AB592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293 (11,0 %) </w:t>
            </w:r>
          </w:p>
        </w:tc>
        <w:tc>
          <w:tcPr>
            <w:tcW w:w="1700" w:type="dxa"/>
            <w:tcBorders>
              <w:top w:val="single" w:sz="4" w:space="0" w:color="000000"/>
              <w:left w:val="single" w:sz="4" w:space="0" w:color="000000"/>
              <w:bottom w:val="single" w:sz="4" w:space="0" w:color="000000"/>
              <w:right w:val="single" w:sz="4" w:space="0" w:color="000000"/>
            </w:tcBorders>
          </w:tcPr>
          <w:p w14:paraId="35885ED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89 (5,9 %) </w:t>
            </w:r>
          </w:p>
        </w:tc>
        <w:tc>
          <w:tcPr>
            <w:tcW w:w="2127" w:type="dxa"/>
            <w:tcBorders>
              <w:top w:val="single" w:sz="4" w:space="0" w:color="000000"/>
              <w:left w:val="single" w:sz="4" w:space="0" w:color="000000"/>
              <w:bottom w:val="single" w:sz="4" w:space="0" w:color="000000"/>
              <w:right w:val="single" w:sz="4" w:space="0" w:color="000000"/>
            </w:tcBorders>
          </w:tcPr>
          <w:p w14:paraId="4BAA91D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103 (6,8 %) </w:t>
            </w:r>
          </w:p>
        </w:tc>
      </w:tr>
    </w:tbl>
    <w:p w14:paraId="1F541C49" w14:textId="7D558B26"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Visi kraujavimo kriterijai apėmė ir operaci</w:t>
      </w:r>
      <w:r w:rsidR="009D556C" w:rsidRPr="00D21DFA">
        <w:rPr>
          <w:rFonts w:ascii="Times New Roman" w:eastAsia="Times New Roman" w:hAnsi="Times New Roman" w:cs="Times New Roman"/>
          <w:snapToGrid w:val="0"/>
          <w:kern w:val="0"/>
          <w:sz w:val="22"/>
          <w:szCs w:val="22"/>
          <w14:ligatures w14:val="none"/>
        </w:rPr>
        <w:t>nės vietos</w:t>
      </w:r>
      <w:r w:rsidRPr="00D21DFA">
        <w:rPr>
          <w:rFonts w:ascii="Times New Roman" w:eastAsia="Times New Roman" w:hAnsi="Times New Roman" w:cs="Times New Roman"/>
          <w:snapToGrid w:val="0"/>
          <w:kern w:val="0"/>
          <w:sz w:val="22"/>
          <w:szCs w:val="22"/>
          <w14:ligatures w14:val="none"/>
        </w:rPr>
        <w:t xml:space="preserve"> kraujavimą. </w:t>
      </w:r>
    </w:p>
    <w:p w14:paraId="78CDD1CA" w14:textId="77777777"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vertAlign w:val="superscript"/>
          <w14:ligatures w14:val="none"/>
        </w:rPr>
        <w:t>1</w:t>
      </w:r>
      <w:r w:rsidRPr="00D21DFA">
        <w:rPr>
          <w:rFonts w:ascii="Times New Roman" w:eastAsia="Times New Roman" w:hAnsi="Times New Roman" w:cs="Times New Roman"/>
          <w:snapToGrid w:val="0"/>
          <w:kern w:val="0"/>
          <w:sz w:val="22"/>
          <w:szCs w:val="22"/>
          <w14:ligatures w14:val="none"/>
        </w:rPr>
        <w:t xml:space="preserve"> Įskaitant atvejus, pasireiškusius po pirmosios </w:t>
      </w:r>
      <w:proofErr w:type="spellStart"/>
      <w:r w:rsidRPr="00D21DFA">
        <w:rPr>
          <w:rFonts w:ascii="Times New Roman" w:eastAsia="Times New Roman" w:hAnsi="Times New Roman" w:cs="Times New Roman"/>
          <w:snapToGrid w:val="0"/>
          <w:kern w:val="0"/>
          <w:sz w:val="22"/>
          <w:szCs w:val="22"/>
          <w14:ligatures w14:val="none"/>
        </w:rPr>
        <w:t>enoksaparino</w:t>
      </w:r>
      <w:proofErr w:type="spellEnd"/>
      <w:r w:rsidRPr="00D21DFA">
        <w:rPr>
          <w:rFonts w:ascii="Times New Roman" w:eastAsia="Times New Roman" w:hAnsi="Times New Roman" w:cs="Times New Roman"/>
          <w:snapToGrid w:val="0"/>
          <w:kern w:val="0"/>
          <w:sz w:val="22"/>
          <w:szCs w:val="22"/>
          <w14:ligatures w14:val="none"/>
        </w:rPr>
        <w:t xml:space="preserve"> dozės pavartojimo (prieš operaciją). </w:t>
      </w:r>
    </w:p>
    <w:p w14:paraId="0AF63835" w14:textId="77777777"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u w:val="single"/>
          <w14:ligatures w14:val="none"/>
        </w:rPr>
      </w:pPr>
      <w:r w:rsidRPr="00D21DFA">
        <w:rPr>
          <w:rFonts w:ascii="Times New Roman" w:eastAsia="Times New Roman" w:hAnsi="Times New Roman" w:cs="Times New Roman"/>
          <w:snapToGrid w:val="0"/>
          <w:kern w:val="0"/>
          <w:sz w:val="22"/>
          <w:szCs w:val="22"/>
          <w:vertAlign w:val="superscript"/>
          <w14:ligatures w14:val="none"/>
        </w:rPr>
        <w:t>2</w:t>
      </w:r>
      <w:r w:rsidRPr="00D21DFA">
        <w:rPr>
          <w:rFonts w:ascii="Times New Roman" w:eastAsia="Times New Roman" w:hAnsi="Times New Roman" w:cs="Times New Roman"/>
          <w:snapToGrid w:val="0"/>
          <w:kern w:val="0"/>
          <w:sz w:val="22"/>
          <w:szCs w:val="22"/>
          <w14:ligatures w14:val="none"/>
        </w:rPr>
        <w:t xml:space="preserve"> Įskaitant atvejus, pasireiškusius po pirmosios </w:t>
      </w:r>
      <w:proofErr w:type="spellStart"/>
      <w:r w:rsidRPr="00D21DFA">
        <w:rPr>
          <w:rFonts w:ascii="Times New Roman" w:eastAsia="Times New Roman" w:hAnsi="Times New Roman" w:cs="Times New Roman"/>
          <w:snapToGrid w:val="0"/>
          <w:kern w:val="0"/>
          <w:sz w:val="22"/>
          <w:szCs w:val="22"/>
          <w14:ligatures w14:val="none"/>
        </w:rPr>
        <w:t>apiksabano</w:t>
      </w:r>
      <w:proofErr w:type="spellEnd"/>
      <w:r w:rsidRPr="00D21DFA">
        <w:rPr>
          <w:rFonts w:ascii="Times New Roman" w:eastAsia="Times New Roman" w:hAnsi="Times New Roman" w:cs="Times New Roman"/>
          <w:snapToGrid w:val="0"/>
          <w:kern w:val="0"/>
          <w:sz w:val="22"/>
          <w:szCs w:val="22"/>
          <w14:ligatures w14:val="none"/>
        </w:rPr>
        <w:t xml:space="preserve"> dozės pavartojimo (po operacijos).</w:t>
      </w:r>
    </w:p>
    <w:p w14:paraId="22D70C9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0"/>
          <w:szCs w:val="20"/>
          <w:u w:val="single"/>
          <w14:ligatures w14:val="none"/>
        </w:rPr>
      </w:pPr>
    </w:p>
    <w:p w14:paraId="2F0BC831" w14:textId="24FB869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II fazės ir III fazės tyrimų duomenimis, bendrasis nepageidaujamų </w:t>
      </w:r>
      <w:r w:rsidR="00BC05F4" w:rsidRPr="00D21DFA">
        <w:rPr>
          <w:rFonts w:ascii="Times New Roman" w:eastAsia="Times New Roman" w:hAnsi="Times New Roman" w:cs="Times New Roman"/>
          <w:snapToGrid w:val="0"/>
          <w:kern w:val="0"/>
          <w:sz w:val="22"/>
          <w:szCs w:val="20"/>
          <w14:ligatures w14:val="none"/>
        </w:rPr>
        <w:t xml:space="preserve">reakcijų, susijusių su </w:t>
      </w:r>
      <w:r w:rsidRPr="00D21DFA">
        <w:rPr>
          <w:rFonts w:ascii="Times New Roman" w:eastAsia="Times New Roman" w:hAnsi="Times New Roman" w:cs="Times New Roman"/>
          <w:snapToGrid w:val="0"/>
          <w:kern w:val="0"/>
          <w:sz w:val="22"/>
          <w:szCs w:val="20"/>
          <w14:ligatures w14:val="none"/>
        </w:rPr>
        <w:t>kraujavim</w:t>
      </w:r>
      <w:r w:rsidR="00BC05F4"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anemij</w:t>
      </w:r>
      <w:r w:rsidR="00BC05F4" w:rsidRPr="00D21DFA">
        <w:rPr>
          <w:rFonts w:ascii="Times New Roman" w:eastAsia="Times New Roman" w:hAnsi="Times New Roman" w:cs="Times New Roman"/>
          <w:snapToGrid w:val="0"/>
          <w:kern w:val="0"/>
          <w:sz w:val="22"/>
          <w:szCs w:val="20"/>
          <w14:ligatures w14:val="none"/>
        </w:rPr>
        <w:t>a</w:t>
      </w:r>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transaminazių</w:t>
      </w:r>
      <w:proofErr w:type="spellEnd"/>
      <w:r w:rsidRPr="00D21DFA">
        <w:rPr>
          <w:rFonts w:ascii="Times New Roman" w:eastAsia="Times New Roman" w:hAnsi="Times New Roman" w:cs="Times New Roman"/>
          <w:snapToGrid w:val="0"/>
          <w:kern w:val="0"/>
          <w:sz w:val="22"/>
          <w:szCs w:val="20"/>
          <w14:ligatures w14:val="none"/>
        </w:rPr>
        <w:t xml:space="preserve"> aktyvumo pokyči</w:t>
      </w:r>
      <w:r w:rsidR="00EC3331" w:rsidRPr="00D21DFA">
        <w:rPr>
          <w:rFonts w:ascii="Times New Roman" w:eastAsia="Times New Roman" w:hAnsi="Times New Roman" w:cs="Times New Roman"/>
          <w:snapToGrid w:val="0"/>
          <w:kern w:val="0"/>
          <w:sz w:val="22"/>
          <w:szCs w:val="20"/>
          <w14:ligatures w14:val="none"/>
        </w:rPr>
        <w:t>ais</w:t>
      </w:r>
      <w:r w:rsidRPr="00D21DFA">
        <w:rPr>
          <w:rFonts w:ascii="Times New Roman" w:eastAsia="Times New Roman" w:hAnsi="Times New Roman" w:cs="Times New Roman"/>
          <w:snapToGrid w:val="0"/>
          <w:kern w:val="0"/>
          <w:sz w:val="22"/>
          <w:szCs w:val="20"/>
          <w14:ligatures w14:val="none"/>
        </w:rPr>
        <w:t xml:space="preserve"> (pvz., padidėjusio alaninaminotransferazės aktyvumo)</w:t>
      </w:r>
      <w:r w:rsidR="00EC3331"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pasireiškimo dažnis skaitine verte buvo mažesnis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vartojusiems pacientams, kuriems buvo atliekama planinė klubo arba kelio sąnario pakeitimo operacija, palyginti su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vartojusiųjų grupe. </w:t>
      </w:r>
    </w:p>
    <w:p w14:paraId="720BBB8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725AE3D" w14:textId="18ACB86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 tyrime dalyvavo pacientai, kuriems buvo atliekama kelio sąnario pakeitimo operacija, numatytu tiriamojo vaistinio preparato vartojimo laikotarpiu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diagnozuoti 4 PE atvejai, kai tuo tarpu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vartojusiųjų grupėje </w:t>
      </w:r>
      <w:r w:rsidR="00E50922" w:rsidRPr="00D21DFA">
        <w:rPr>
          <w:rFonts w:ascii="Times New Roman" w:eastAsia="Times New Roman" w:hAnsi="Times New Roman" w:cs="Times New Roman"/>
          <w:snapToGrid w:val="0"/>
          <w:kern w:val="0"/>
          <w:sz w:val="22"/>
          <w:szCs w:val="20"/>
          <w14:ligatures w14:val="none"/>
        </w:rPr>
        <w:t>PE</w:t>
      </w:r>
      <w:r w:rsidRPr="00D21DFA">
        <w:rPr>
          <w:rFonts w:ascii="Times New Roman" w:eastAsia="Times New Roman" w:hAnsi="Times New Roman" w:cs="Times New Roman"/>
          <w:snapToGrid w:val="0"/>
          <w:kern w:val="0"/>
          <w:sz w:val="22"/>
          <w:szCs w:val="20"/>
          <w14:ligatures w14:val="none"/>
        </w:rPr>
        <w:t xml:space="preserve"> atvejų nebuvo. Šio didesnio plaučių embolijos atvejų skaičiaus paaiškinti negalima. </w:t>
      </w:r>
    </w:p>
    <w:p w14:paraId="0B9A3A9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C6AA4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Insulto ir sisteminės embolijos profilaktika pacientams, kuriems pasireiškia su vožtuvais nesusijęs prieširdžių virpėjimas (VNPV) </w:t>
      </w:r>
    </w:p>
    <w:p w14:paraId="7E7FC740" w14:textId="2D435FB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Klinikinės programos (ARISTOTLE: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palyginti su varfarinu; AVERROES: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palyginti su ASR) metu į grupes atsitiktinės atrankos būdu buvo suskirstyti iš viso 23 799 </w:t>
      </w:r>
      <w:r w:rsidR="005738CA"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įskaitant 11 927, kuriems atsitiktinės atrankos būdu buvo paskirta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Programa buvo suplanuota taip, kad </w:t>
      </w:r>
      <w:r w:rsidR="00195B2E" w:rsidRPr="00D21DFA">
        <w:rPr>
          <w:rFonts w:ascii="Times New Roman" w:eastAsia="Times New Roman" w:hAnsi="Times New Roman" w:cs="Times New Roman"/>
          <w:snapToGrid w:val="0"/>
          <w:kern w:val="0"/>
          <w:sz w:val="22"/>
          <w:szCs w:val="20"/>
          <w14:ligatures w14:val="none"/>
        </w:rPr>
        <w:t>įrodytų</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vartojamo insulto ir sisteminės embolijos profilaktikai, veiksmingumą ir saugumą pacientams, kuriems pasireiškia VNPV ir yra vienas ar daugiau papildomų rizikos veiksnių, pavyzdžiui: </w:t>
      </w:r>
    </w:p>
    <w:p w14:paraId="070BD173" w14:textId="40F9C980"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anksčiau patirtas insultas arba PSIP; </w:t>
      </w:r>
    </w:p>
    <w:p w14:paraId="6B6ECB2B"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amžius ≥ 75 metų; </w:t>
      </w:r>
    </w:p>
    <w:p w14:paraId="147518C6"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hipertenzija; </w:t>
      </w:r>
    </w:p>
    <w:p w14:paraId="6B4429FC"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cukrinis diabetas; </w:t>
      </w:r>
    </w:p>
    <w:p w14:paraId="310BA262"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simptomus sukeliantis širdies nepakankamumas (≥ II klasės pagal NYHA). </w:t>
      </w:r>
    </w:p>
    <w:p w14:paraId="26614A9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7662A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ARISTOTLE tyrimas </w:t>
      </w:r>
    </w:p>
    <w:p w14:paraId="41B3B9E6" w14:textId="3B21AEA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ARISTOTLE tyrimo metu iš viso 18 201 </w:t>
      </w:r>
      <w:r w:rsidR="005738CA" w:rsidRPr="00D21DFA">
        <w:rPr>
          <w:rFonts w:ascii="Times New Roman" w:eastAsia="Times New Roman" w:hAnsi="Times New Roman" w:cs="Times New Roman"/>
          <w:snapToGrid w:val="0"/>
          <w:kern w:val="0"/>
          <w:sz w:val="22"/>
          <w:szCs w:val="20"/>
          <w14:ligatures w14:val="none"/>
        </w:rPr>
        <w:t xml:space="preserve">suaugusiam </w:t>
      </w:r>
      <w:r w:rsidRPr="00D21DFA">
        <w:rPr>
          <w:rFonts w:ascii="Times New Roman" w:eastAsia="Times New Roman" w:hAnsi="Times New Roman" w:cs="Times New Roman"/>
          <w:snapToGrid w:val="0"/>
          <w:kern w:val="0"/>
          <w:sz w:val="22"/>
          <w:szCs w:val="20"/>
          <w14:ligatures w14:val="none"/>
        </w:rPr>
        <w:t xml:space="preserve">pacientui atsitiktinės atrankos būdu buvo paskirtas dvigubai koduotas gydymas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 du kartus per parą (arba 2,5 mg doze du kartus per parą atrinktiems pacientams [4,7 %], žr. 4.2 skyrių) arba varfarinu (tikslinė TNS kitimo sritis 2,0</w:t>
      </w:r>
      <w:r w:rsidRPr="00D21DFA">
        <w:rPr>
          <w:rFonts w:ascii="Times New Roman" w:eastAsia="Times New Roman" w:hAnsi="Times New Roman" w:cs="Times New Roman"/>
          <w:snapToGrid w:val="0"/>
          <w:kern w:val="0"/>
          <w:sz w:val="22"/>
          <w:szCs w:val="20"/>
          <w14:ligatures w14:val="none"/>
        </w:rPr>
        <w:noBreakHyphen/>
        <w:t>3,0), pacientai vartojo tiriamąją veikliąją medžiagą vidutiniškai 20 mėnesių. Vidutinis tiriamųjų amžius buvo 69,1 metų, vidutinis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balas buvo 2,1 ir 18,9 % pacientų anksčiau buvo patyrę insultą arba PSIP. </w:t>
      </w:r>
    </w:p>
    <w:p w14:paraId="26EF719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E48651" w14:textId="0F77D3E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duomenimis,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pasiektas statistiškai reikšmingas svarbiausiosios vertinamosios baigties </w:t>
      </w:r>
      <w:r w:rsidR="00607BEC"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apsaugos nuo insulto (hemoraginio arba išeminio) ir sisteminės embolijos </w:t>
      </w:r>
      <w:r w:rsidR="00C25960"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pranašumas (žr. </w:t>
      </w:r>
      <w:r w:rsidR="005738CA" w:rsidRPr="00D21DFA">
        <w:rPr>
          <w:rFonts w:ascii="Times New Roman" w:eastAsia="Times New Roman" w:hAnsi="Times New Roman" w:cs="Times New Roman"/>
          <w:snapToGrid w:val="0"/>
          <w:kern w:val="0"/>
          <w:sz w:val="22"/>
          <w:szCs w:val="20"/>
          <w14:ligatures w14:val="none"/>
        </w:rPr>
        <w:t>7</w:t>
      </w:r>
      <w:r w:rsidRPr="00D21DFA">
        <w:rPr>
          <w:rFonts w:ascii="Times New Roman" w:eastAsia="Times New Roman" w:hAnsi="Times New Roman" w:cs="Times New Roman"/>
          <w:snapToGrid w:val="0"/>
          <w:kern w:val="0"/>
          <w:sz w:val="22"/>
          <w:szCs w:val="20"/>
          <w14:ligatures w14:val="none"/>
        </w:rPr>
        <w:t xml:space="preserve"> lentelę), palyginti su varfarinu.</w:t>
      </w:r>
    </w:p>
    <w:p w14:paraId="3C01A59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39AB35" w14:textId="030877AC" w:rsidR="00C95D96" w:rsidRPr="00D21DFA" w:rsidRDefault="005738CA" w:rsidP="00C95D96">
      <w:pPr>
        <w:tabs>
          <w:tab w:val="left" w:pos="567"/>
          <w:tab w:val="left" w:pos="9214"/>
        </w:tabs>
        <w:spacing w:after="120" w:line="240" w:lineRule="auto"/>
        <w:ind w:left="1080" w:right="-2" w:hanging="938"/>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7</w:t>
      </w:r>
      <w:r w:rsidR="00C95D96" w:rsidRPr="00D21DFA">
        <w:rPr>
          <w:rFonts w:ascii="Times New Roman" w:eastAsia="Times New Roman" w:hAnsi="Times New Roman" w:cs="Times New Roman"/>
          <w:b/>
          <w:bCs/>
          <w:snapToGrid w:val="0"/>
          <w:kern w:val="0"/>
          <w:sz w:val="22"/>
          <w:szCs w:val="20"/>
          <w14:ligatures w14:val="none"/>
        </w:rPr>
        <w:t xml:space="preserve"> lentelė. Veiksmingumo vertinamosios baigtys pacientams, kuriems yra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3095"/>
        <w:gridCol w:w="1470"/>
        <w:gridCol w:w="1591"/>
        <w:gridCol w:w="1677"/>
        <w:gridCol w:w="1098"/>
      </w:tblGrid>
      <w:tr w:rsidR="00C95D96" w:rsidRPr="00D21DFA" w14:paraId="49611369" w14:textId="77777777" w:rsidTr="00446D67">
        <w:trPr>
          <w:trHeight w:val="769"/>
        </w:trPr>
        <w:tc>
          <w:tcPr>
            <w:tcW w:w="3095" w:type="dxa"/>
            <w:tcBorders>
              <w:top w:val="single" w:sz="4" w:space="0" w:color="000000"/>
              <w:left w:val="single" w:sz="4" w:space="0" w:color="000000"/>
              <w:bottom w:val="single" w:sz="4" w:space="0" w:color="000000"/>
              <w:right w:val="single" w:sz="4" w:space="0" w:color="000000"/>
            </w:tcBorders>
          </w:tcPr>
          <w:p w14:paraId="0D69C99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lastRenderedPageBreak/>
              <w:t xml:space="preserve"> </w:t>
            </w:r>
          </w:p>
        </w:tc>
        <w:tc>
          <w:tcPr>
            <w:tcW w:w="1470" w:type="dxa"/>
            <w:tcBorders>
              <w:top w:val="single" w:sz="4" w:space="0" w:color="000000"/>
              <w:left w:val="single" w:sz="4" w:space="0" w:color="000000"/>
              <w:bottom w:val="single" w:sz="4" w:space="0" w:color="000000"/>
              <w:right w:val="single" w:sz="4" w:space="0" w:color="000000"/>
            </w:tcBorders>
          </w:tcPr>
          <w:p w14:paraId="2E66E485" w14:textId="77777777" w:rsidR="00C95D96" w:rsidRPr="00D21DFA" w:rsidRDefault="00C95D96" w:rsidP="00C95D96">
            <w:pPr>
              <w:tabs>
                <w:tab w:val="left" w:pos="567"/>
              </w:tabs>
              <w:spacing w:after="0" w:line="240" w:lineRule="auto"/>
              <w:ind w:left="4" w:right="-2" w:hanging="4"/>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N=9 120 </w:t>
            </w:r>
          </w:p>
          <w:p w14:paraId="3C598D2C" w14:textId="77777777" w:rsidR="00C95D96" w:rsidRPr="00D21DFA" w:rsidRDefault="00C95D96" w:rsidP="00C95D96">
            <w:pPr>
              <w:tabs>
                <w:tab w:val="left" w:pos="567"/>
              </w:tabs>
              <w:spacing w:after="0" w:line="240" w:lineRule="auto"/>
              <w:ind w:left="4" w:right="-2" w:hanging="4"/>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591" w:type="dxa"/>
            <w:tcBorders>
              <w:top w:val="single" w:sz="4" w:space="0" w:color="000000"/>
              <w:left w:val="single" w:sz="4" w:space="0" w:color="000000"/>
              <w:bottom w:val="single" w:sz="4" w:space="0" w:color="000000"/>
              <w:right w:val="single" w:sz="4" w:space="0" w:color="000000"/>
            </w:tcBorders>
          </w:tcPr>
          <w:p w14:paraId="52899611" w14:textId="77777777" w:rsidR="00C95D96" w:rsidRPr="00D21DFA" w:rsidRDefault="00C95D96" w:rsidP="00C95D96">
            <w:pPr>
              <w:tabs>
                <w:tab w:val="left" w:pos="567"/>
              </w:tabs>
              <w:spacing w:after="0" w:line="240" w:lineRule="auto"/>
              <w:ind w:left="10" w:right="-2" w:hanging="3"/>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Varfarinas</w:t>
            </w:r>
          </w:p>
          <w:p w14:paraId="034EF627" w14:textId="77777777" w:rsidR="00C95D96" w:rsidRPr="00D21DFA" w:rsidRDefault="00C95D96" w:rsidP="00C95D96">
            <w:pPr>
              <w:tabs>
                <w:tab w:val="left" w:pos="567"/>
              </w:tabs>
              <w:spacing w:after="0" w:line="240" w:lineRule="auto"/>
              <w:ind w:left="10" w:right="-2" w:hanging="3"/>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N=9 081 </w:t>
            </w:r>
          </w:p>
          <w:p w14:paraId="0745DFD5" w14:textId="77777777" w:rsidR="00C95D96" w:rsidRPr="00D21DFA" w:rsidRDefault="00C95D96" w:rsidP="00C95D96">
            <w:pPr>
              <w:tabs>
                <w:tab w:val="left" w:pos="567"/>
              </w:tabs>
              <w:spacing w:after="0" w:line="240" w:lineRule="auto"/>
              <w:ind w:left="10" w:right="-2" w:hanging="3"/>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677" w:type="dxa"/>
            <w:tcBorders>
              <w:top w:val="single" w:sz="4" w:space="0" w:color="000000"/>
              <w:left w:val="single" w:sz="4" w:space="0" w:color="000000"/>
              <w:bottom w:val="single" w:sz="4" w:space="0" w:color="000000"/>
              <w:right w:val="single" w:sz="4" w:space="0" w:color="000000"/>
            </w:tcBorders>
          </w:tcPr>
          <w:p w14:paraId="1EA8A18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Santykinė rizika</w:t>
            </w:r>
          </w:p>
          <w:p w14:paraId="464AB7B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(95 % PI) </w:t>
            </w:r>
          </w:p>
        </w:tc>
        <w:tc>
          <w:tcPr>
            <w:tcW w:w="1098" w:type="dxa"/>
            <w:tcBorders>
              <w:top w:val="single" w:sz="4" w:space="0" w:color="000000"/>
              <w:left w:val="single" w:sz="4" w:space="0" w:color="000000"/>
              <w:bottom w:val="single" w:sz="4" w:space="0" w:color="000000"/>
              <w:right w:val="single" w:sz="4" w:space="0" w:color="000000"/>
            </w:tcBorders>
          </w:tcPr>
          <w:p w14:paraId="3B77C59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p w14:paraId="7CE3C74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p-reikšmė </w:t>
            </w:r>
          </w:p>
        </w:tc>
      </w:tr>
      <w:tr w:rsidR="00C95D96" w:rsidRPr="00D21DFA" w14:paraId="68BF9D1E"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2C327F8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Insultas arba sisteminė embolija</w:t>
            </w:r>
          </w:p>
        </w:tc>
        <w:tc>
          <w:tcPr>
            <w:tcW w:w="1470" w:type="dxa"/>
            <w:tcBorders>
              <w:top w:val="single" w:sz="4" w:space="0" w:color="000000"/>
              <w:left w:val="single" w:sz="4" w:space="0" w:color="000000"/>
              <w:bottom w:val="single" w:sz="4" w:space="0" w:color="000000"/>
              <w:right w:val="single" w:sz="4" w:space="0" w:color="000000"/>
            </w:tcBorders>
          </w:tcPr>
          <w:p w14:paraId="28535CD3" w14:textId="77777777" w:rsidR="00C95D96" w:rsidRPr="00D21DFA" w:rsidRDefault="00C95D96" w:rsidP="00C95D96">
            <w:pPr>
              <w:tabs>
                <w:tab w:val="left" w:pos="567"/>
              </w:tabs>
              <w:spacing w:after="0" w:line="240" w:lineRule="auto"/>
              <w:ind w:left="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212 (1,27)</w:t>
            </w:r>
          </w:p>
        </w:tc>
        <w:tc>
          <w:tcPr>
            <w:tcW w:w="1591" w:type="dxa"/>
            <w:tcBorders>
              <w:top w:val="single" w:sz="4" w:space="0" w:color="000000"/>
              <w:left w:val="single" w:sz="4" w:space="0" w:color="000000"/>
              <w:bottom w:val="single" w:sz="4" w:space="0" w:color="000000"/>
              <w:right w:val="single" w:sz="4" w:space="0" w:color="000000"/>
            </w:tcBorders>
          </w:tcPr>
          <w:p w14:paraId="211CCB05" w14:textId="77777777" w:rsidR="00C95D96" w:rsidRPr="00D21DFA"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265 (1,60)</w:t>
            </w:r>
          </w:p>
        </w:tc>
        <w:tc>
          <w:tcPr>
            <w:tcW w:w="1677" w:type="dxa"/>
            <w:tcBorders>
              <w:top w:val="single" w:sz="4" w:space="0" w:color="000000"/>
              <w:left w:val="single" w:sz="4" w:space="0" w:color="000000"/>
              <w:bottom w:val="single" w:sz="4" w:space="0" w:color="000000"/>
              <w:right w:val="single" w:sz="4" w:space="0" w:color="000000"/>
            </w:tcBorders>
          </w:tcPr>
          <w:p w14:paraId="68A5336A" w14:textId="77777777" w:rsidR="00C95D96" w:rsidRPr="00D21DFA" w:rsidRDefault="00C95D96" w:rsidP="00C95D96">
            <w:pPr>
              <w:tabs>
                <w:tab w:val="left" w:pos="567"/>
              </w:tabs>
              <w:spacing w:after="0" w:line="240" w:lineRule="auto"/>
              <w:ind w:left="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0,79 (0,66, 0,95)</w:t>
            </w:r>
          </w:p>
        </w:tc>
        <w:tc>
          <w:tcPr>
            <w:tcW w:w="1098" w:type="dxa"/>
            <w:tcBorders>
              <w:top w:val="single" w:sz="4" w:space="0" w:color="000000"/>
              <w:left w:val="single" w:sz="4" w:space="0" w:color="000000"/>
              <w:bottom w:val="single" w:sz="4" w:space="0" w:color="000000"/>
              <w:right w:val="single" w:sz="4" w:space="0" w:color="000000"/>
            </w:tcBorders>
          </w:tcPr>
          <w:p w14:paraId="24B256FB" w14:textId="77777777" w:rsidR="00C95D96" w:rsidRPr="00D21DFA" w:rsidRDefault="00C95D96" w:rsidP="00C95D96">
            <w:pPr>
              <w:tabs>
                <w:tab w:val="left" w:pos="567"/>
              </w:tabs>
              <w:spacing w:after="0" w:line="240" w:lineRule="auto"/>
              <w:ind w:left="4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0,0114</w:t>
            </w:r>
          </w:p>
        </w:tc>
      </w:tr>
      <w:tr w:rsidR="00C95D96" w:rsidRPr="00D21DFA" w14:paraId="1EE32490"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19FB821C" w14:textId="77777777" w:rsidR="00C95D96" w:rsidRPr="00D21DFA" w:rsidRDefault="00C95D96" w:rsidP="00C95D96">
            <w:pPr>
              <w:tabs>
                <w:tab w:val="left" w:pos="567"/>
              </w:tabs>
              <w:spacing w:after="0" w:line="240" w:lineRule="auto"/>
              <w:ind w:left="17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Insultas</w:t>
            </w:r>
          </w:p>
        </w:tc>
        <w:tc>
          <w:tcPr>
            <w:tcW w:w="1470" w:type="dxa"/>
            <w:tcBorders>
              <w:top w:val="single" w:sz="4" w:space="0" w:color="000000"/>
              <w:left w:val="single" w:sz="4" w:space="0" w:color="000000"/>
              <w:bottom w:val="single" w:sz="4" w:space="0" w:color="000000"/>
              <w:right w:val="single" w:sz="4" w:space="0" w:color="000000"/>
            </w:tcBorders>
          </w:tcPr>
          <w:p w14:paraId="60BB297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0732840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380023E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786D946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3D10E98A" w14:textId="77777777" w:rsidTr="00446D67">
        <w:trPr>
          <w:trHeight w:val="264"/>
        </w:trPr>
        <w:tc>
          <w:tcPr>
            <w:tcW w:w="3095" w:type="dxa"/>
            <w:tcBorders>
              <w:top w:val="single" w:sz="4" w:space="0" w:color="000000"/>
              <w:left w:val="single" w:sz="4" w:space="0" w:color="000000"/>
              <w:bottom w:val="single" w:sz="4" w:space="0" w:color="000000"/>
              <w:right w:val="single" w:sz="4" w:space="0" w:color="000000"/>
            </w:tcBorders>
          </w:tcPr>
          <w:p w14:paraId="0AFE6695" w14:textId="77777777" w:rsidR="00C95D96" w:rsidRPr="00D21DFA" w:rsidRDefault="00C95D96" w:rsidP="00C95D96">
            <w:pPr>
              <w:tabs>
                <w:tab w:val="left" w:pos="342"/>
              </w:tabs>
              <w:spacing w:after="0" w:line="240" w:lineRule="auto"/>
              <w:ind w:left="34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Išeminis arba neapibūdintas</w:t>
            </w:r>
          </w:p>
        </w:tc>
        <w:tc>
          <w:tcPr>
            <w:tcW w:w="1470" w:type="dxa"/>
            <w:tcBorders>
              <w:top w:val="single" w:sz="4" w:space="0" w:color="000000"/>
              <w:left w:val="single" w:sz="4" w:space="0" w:color="000000"/>
              <w:bottom w:val="single" w:sz="4" w:space="0" w:color="000000"/>
              <w:right w:val="single" w:sz="4" w:space="0" w:color="000000"/>
            </w:tcBorders>
          </w:tcPr>
          <w:p w14:paraId="5CB2136E"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162 (0,97)</w:t>
            </w:r>
          </w:p>
        </w:tc>
        <w:tc>
          <w:tcPr>
            <w:tcW w:w="1591" w:type="dxa"/>
            <w:tcBorders>
              <w:top w:val="single" w:sz="4" w:space="0" w:color="000000"/>
              <w:left w:val="single" w:sz="4" w:space="0" w:color="000000"/>
              <w:bottom w:val="single" w:sz="4" w:space="0" w:color="000000"/>
              <w:right w:val="single" w:sz="4" w:space="0" w:color="000000"/>
            </w:tcBorders>
          </w:tcPr>
          <w:p w14:paraId="36A050BB" w14:textId="77777777" w:rsidR="00C95D96" w:rsidRPr="00D21DFA" w:rsidRDefault="00C95D96" w:rsidP="00C95D96">
            <w:pPr>
              <w:tabs>
                <w:tab w:val="left" w:pos="567"/>
              </w:tabs>
              <w:spacing w:after="0" w:line="240" w:lineRule="auto"/>
              <w:ind w:left="4"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175 (1,05)</w:t>
            </w:r>
          </w:p>
        </w:tc>
        <w:tc>
          <w:tcPr>
            <w:tcW w:w="1677" w:type="dxa"/>
            <w:tcBorders>
              <w:top w:val="single" w:sz="4" w:space="0" w:color="000000"/>
              <w:left w:val="single" w:sz="4" w:space="0" w:color="000000"/>
              <w:bottom w:val="single" w:sz="4" w:space="0" w:color="000000"/>
              <w:right w:val="single" w:sz="4" w:space="0" w:color="000000"/>
            </w:tcBorders>
          </w:tcPr>
          <w:p w14:paraId="3F45F3BF" w14:textId="77777777" w:rsidR="00C95D96" w:rsidRPr="00D21DFA"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0,92 (0,74, 1,13)</w:t>
            </w:r>
          </w:p>
        </w:tc>
        <w:tc>
          <w:tcPr>
            <w:tcW w:w="1098" w:type="dxa"/>
            <w:tcBorders>
              <w:top w:val="single" w:sz="4" w:space="0" w:color="000000"/>
              <w:left w:val="single" w:sz="4" w:space="0" w:color="000000"/>
              <w:bottom w:val="single" w:sz="4" w:space="0" w:color="000000"/>
              <w:right w:val="single" w:sz="4" w:space="0" w:color="000000"/>
            </w:tcBorders>
          </w:tcPr>
          <w:p w14:paraId="79A4A9B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D33B90C"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4CDC355D" w14:textId="77777777" w:rsidR="00C95D96" w:rsidRPr="00D21DFA" w:rsidRDefault="00C95D96" w:rsidP="00C95D96">
            <w:pPr>
              <w:tabs>
                <w:tab w:val="left" w:pos="567"/>
              </w:tabs>
              <w:spacing w:after="0" w:line="240" w:lineRule="auto"/>
              <w:ind w:left="34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Hemoraginis</w:t>
            </w:r>
          </w:p>
        </w:tc>
        <w:tc>
          <w:tcPr>
            <w:tcW w:w="1470" w:type="dxa"/>
            <w:tcBorders>
              <w:top w:val="single" w:sz="4" w:space="0" w:color="000000"/>
              <w:left w:val="single" w:sz="4" w:space="0" w:color="000000"/>
              <w:bottom w:val="single" w:sz="4" w:space="0" w:color="000000"/>
              <w:right w:val="single" w:sz="4" w:space="0" w:color="000000"/>
            </w:tcBorders>
          </w:tcPr>
          <w:p w14:paraId="36F80FA5" w14:textId="77777777" w:rsidR="00C95D96" w:rsidRPr="00D21DFA"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40 (0,24)</w:t>
            </w:r>
          </w:p>
        </w:tc>
        <w:tc>
          <w:tcPr>
            <w:tcW w:w="1591" w:type="dxa"/>
            <w:tcBorders>
              <w:top w:val="single" w:sz="4" w:space="0" w:color="000000"/>
              <w:left w:val="single" w:sz="4" w:space="0" w:color="000000"/>
              <w:bottom w:val="single" w:sz="4" w:space="0" w:color="000000"/>
              <w:right w:val="single" w:sz="4" w:space="0" w:color="000000"/>
            </w:tcBorders>
          </w:tcPr>
          <w:p w14:paraId="657D0521" w14:textId="77777777" w:rsidR="00C95D96" w:rsidRPr="00D21DFA"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78 (0,47)</w:t>
            </w:r>
          </w:p>
        </w:tc>
        <w:tc>
          <w:tcPr>
            <w:tcW w:w="1677" w:type="dxa"/>
            <w:tcBorders>
              <w:top w:val="single" w:sz="4" w:space="0" w:color="000000"/>
              <w:left w:val="single" w:sz="4" w:space="0" w:color="000000"/>
              <w:bottom w:val="single" w:sz="4" w:space="0" w:color="000000"/>
              <w:right w:val="single" w:sz="4" w:space="0" w:color="000000"/>
            </w:tcBorders>
          </w:tcPr>
          <w:p w14:paraId="083ABB2D" w14:textId="77777777" w:rsidR="00C95D96" w:rsidRPr="00D21DFA" w:rsidRDefault="00C95D96" w:rsidP="00C95D96">
            <w:pPr>
              <w:tabs>
                <w:tab w:val="left" w:pos="567"/>
              </w:tabs>
              <w:spacing w:after="0" w:line="240" w:lineRule="auto"/>
              <w:ind w:left="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0,51 (0,35, 0,75)</w:t>
            </w:r>
          </w:p>
        </w:tc>
        <w:tc>
          <w:tcPr>
            <w:tcW w:w="1098" w:type="dxa"/>
            <w:tcBorders>
              <w:top w:val="single" w:sz="4" w:space="0" w:color="000000"/>
              <w:left w:val="single" w:sz="4" w:space="0" w:color="000000"/>
              <w:bottom w:val="single" w:sz="4" w:space="0" w:color="000000"/>
              <w:right w:val="single" w:sz="4" w:space="0" w:color="000000"/>
            </w:tcBorders>
          </w:tcPr>
          <w:p w14:paraId="502B6E4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4BEB919D"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344ECDDD" w14:textId="77777777" w:rsidR="00C95D96" w:rsidRPr="00D21DFA" w:rsidRDefault="00C95D96" w:rsidP="00C95D96">
            <w:pPr>
              <w:tabs>
                <w:tab w:val="left" w:pos="567"/>
              </w:tabs>
              <w:spacing w:after="0" w:line="240" w:lineRule="auto"/>
              <w:ind w:left="17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Sisteminė embolija </w:t>
            </w:r>
          </w:p>
        </w:tc>
        <w:tc>
          <w:tcPr>
            <w:tcW w:w="1470" w:type="dxa"/>
            <w:tcBorders>
              <w:top w:val="single" w:sz="4" w:space="0" w:color="000000"/>
              <w:left w:val="single" w:sz="4" w:space="0" w:color="000000"/>
              <w:bottom w:val="single" w:sz="4" w:space="0" w:color="000000"/>
              <w:right w:val="single" w:sz="4" w:space="0" w:color="000000"/>
            </w:tcBorders>
          </w:tcPr>
          <w:p w14:paraId="4E3C5C38" w14:textId="77777777" w:rsidR="00C95D96" w:rsidRPr="00D21DFA"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15 (0,09)</w:t>
            </w:r>
          </w:p>
        </w:tc>
        <w:tc>
          <w:tcPr>
            <w:tcW w:w="1591" w:type="dxa"/>
            <w:tcBorders>
              <w:top w:val="single" w:sz="4" w:space="0" w:color="000000"/>
              <w:left w:val="single" w:sz="4" w:space="0" w:color="000000"/>
              <w:bottom w:val="single" w:sz="4" w:space="0" w:color="000000"/>
              <w:right w:val="single" w:sz="4" w:space="0" w:color="000000"/>
            </w:tcBorders>
          </w:tcPr>
          <w:p w14:paraId="7CAAAE60" w14:textId="77777777" w:rsidR="00C95D96" w:rsidRPr="00D21DFA" w:rsidRDefault="00C95D96" w:rsidP="00C95D96">
            <w:pPr>
              <w:tabs>
                <w:tab w:val="left" w:pos="567"/>
              </w:tabs>
              <w:spacing w:after="0" w:line="240" w:lineRule="auto"/>
              <w:ind w:left="5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17 (0,10)</w:t>
            </w:r>
          </w:p>
        </w:tc>
        <w:tc>
          <w:tcPr>
            <w:tcW w:w="1677" w:type="dxa"/>
            <w:tcBorders>
              <w:top w:val="single" w:sz="4" w:space="0" w:color="000000"/>
              <w:left w:val="single" w:sz="4" w:space="0" w:color="000000"/>
              <w:bottom w:val="single" w:sz="4" w:space="0" w:color="000000"/>
              <w:right w:val="single" w:sz="4" w:space="0" w:color="000000"/>
            </w:tcBorders>
          </w:tcPr>
          <w:p w14:paraId="3AF0978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0.87 (0,44, 1,75)</w:t>
            </w:r>
          </w:p>
        </w:tc>
        <w:tc>
          <w:tcPr>
            <w:tcW w:w="1098" w:type="dxa"/>
            <w:tcBorders>
              <w:top w:val="single" w:sz="4" w:space="0" w:color="000000"/>
              <w:left w:val="single" w:sz="4" w:space="0" w:color="000000"/>
              <w:bottom w:val="single" w:sz="4" w:space="0" w:color="000000"/>
              <w:right w:val="single" w:sz="4" w:space="0" w:color="000000"/>
            </w:tcBorders>
          </w:tcPr>
          <w:p w14:paraId="3AF108C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bl>
    <w:p w14:paraId="273E188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0"/>
          <w14:ligatures w14:val="none"/>
        </w:rPr>
      </w:pPr>
    </w:p>
    <w:p w14:paraId="143F49B0" w14:textId="338D000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kuriems atsitiktinės atrankos būdu buvo paskirta vartoti varfarino, buvimo gydomajame </w:t>
      </w:r>
      <w:r w:rsidR="00A12FDF" w:rsidRPr="00D21DFA">
        <w:rPr>
          <w:rFonts w:ascii="Times New Roman" w:eastAsia="Times New Roman" w:hAnsi="Times New Roman" w:cs="Times New Roman"/>
          <w:snapToGrid w:val="0"/>
          <w:kern w:val="0"/>
          <w:sz w:val="22"/>
          <w:szCs w:val="20"/>
          <w14:ligatures w14:val="none"/>
        </w:rPr>
        <w:t>TNS intervale</w:t>
      </w:r>
      <w:r w:rsidRPr="00D21DFA">
        <w:rPr>
          <w:rFonts w:ascii="Times New Roman" w:eastAsia="Times New Roman" w:hAnsi="Times New Roman" w:cs="Times New Roman"/>
          <w:snapToGrid w:val="0"/>
          <w:kern w:val="0"/>
          <w:sz w:val="22"/>
          <w:szCs w:val="20"/>
          <w14:ligatures w14:val="none"/>
        </w:rPr>
        <w:t xml:space="preserve"> (angl. </w:t>
      </w:r>
      <w:proofErr w:type="spellStart"/>
      <w:r w:rsidRPr="00D21DFA">
        <w:rPr>
          <w:rFonts w:ascii="Times New Roman" w:eastAsia="Times New Roman" w:hAnsi="Times New Roman" w:cs="Times New Roman"/>
          <w:i/>
          <w:snapToGrid w:val="0"/>
          <w:kern w:val="0"/>
          <w:sz w:val="22"/>
          <w:szCs w:val="20"/>
          <w14:ligatures w14:val="none"/>
        </w:rPr>
        <w:t>time</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in</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therapeutic</w:t>
      </w:r>
      <w:proofErr w:type="spellEnd"/>
      <w:r w:rsidRPr="00D21DFA">
        <w:rPr>
          <w:rFonts w:ascii="Times New Roman" w:eastAsia="Times New Roman" w:hAnsi="Times New Roman" w:cs="Times New Roman"/>
          <w:i/>
          <w:snapToGrid w:val="0"/>
          <w:kern w:val="0"/>
          <w:sz w:val="22"/>
          <w:szCs w:val="20"/>
          <w14:ligatures w14:val="none"/>
        </w:rPr>
        <w:t xml:space="preserve"> range (TTR)</w:t>
      </w:r>
      <w:r w:rsidRPr="00D21DFA">
        <w:rPr>
          <w:rFonts w:ascii="Times New Roman" w:eastAsia="Times New Roman" w:hAnsi="Times New Roman" w:cs="Times New Roman"/>
          <w:snapToGrid w:val="0"/>
          <w:kern w:val="0"/>
          <w:sz w:val="22"/>
          <w:szCs w:val="20"/>
          <w14:ligatures w14:val="none"/>
        </w:rPr>
        <w:t>) (TNS 2</w:t>
      </w:r>
      <w:r w:rsidRPr="00D21DFA">
        <w:rPr>
          <w:rFonts w:ascii="Times New Roman" w:eastAsia="Times New Roman" w:hAnsi="Times New Roman" w:cs="Times New Roman"/>
          <w:snapToGrid w:val="0"/>
          <w:kern w:val="0"/>
          <w:sz w:val="22"/>
          <w:szCs w:val="20"/>
          <w14:ligatures w14:val="none"/>
        </w:rPr>
        <w:noBreakHyphen/>
        <w:t xml:space="preserve">3) </w:t>
      </w:r>
      <w:r w:rsidR="00464440" w:rsidRPr="00D21DFA">
        <w:rPr>
          <w:rFonts w:ascii="Times New Roman" w:eastAsia="Times New Roman" w:hAnsi="Times New Roman" w:cs="Times New Roman"/>
          <w:snapToGrid w:val="0"/>
          <w:kern w:val="0"/>
          <w:sz w:val="22"/>
          <w:szCs w:val="20"/>
          <w14:ligatures w14:val="none"/>
        </w:rPr>
        <w:t xml:space="preserve">laiko </w:t>
      </w:r>
      <w:r w:rsidRPr="00D21DFA">
        <w:rPr>
          <w:rFonts w:ascii="Times New Roman" w:eastAsia="Times New Roman" w:hAnsi="Times New Roman" w:cs="Times New Roman"/>
          <w:snapToGrid w:val="0"/>
          <w:kern w:val="0"/>
          <w:sz w:val="22"/>
          <w:szCs w:val="20"/>
          <w14:ligatures w14:val="none"/>
        </w:rPr>
        <w:t xml:space="preserve">procentinė mediana buvo 66 %. </w:t>
      </w:r>
    </w:p>
    <w:p w14:paraId="5AFA8E3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2EFDC4" w14:textId="4347DAB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sumažino insulto ir sisteminės embolijos atvejų skaičių, palyginti su varfarinu, esant bet k</w:t>
      </w:r>
      <w:r w:rsidR="00BB677D" w:rsidRPr="00D21DFA">
        <w:rPr>
          <w:rFonts w:ascii="Times New Roman" w:eastAsia="Times New Roman" w:hAnsi="Times New Roman" w:cs="Times New Roman"/>
          <w:snapToGrid w:val="0"/>
          <w:kern w:val="0"/>
          <w:sz w:val="22"/>
          <w:szCs w:val="20"/>
          <w14:ligatures w14:val="none"/>
        </w:rPr>
        <w:t>okiam</w:t>
      </w:r>
      <w:r w:rsidRPr="00D21DFA">
        <w:rPr>
          <w:rFonts w:ascii="Times New Roman" w:eastAsia="Times New Roman" w:hAnsi="Times New Roman" w:cs="Times New Roman"/>
          <w:snapToGrid w:val="0"/>
          <w:kern w:val="0"/>
          <w:sz w:val="22"/>
          <w:szCs w:val="20"/>
          <w14:ligatures w14:val="none"/>
        </w:rPr>
        <w:t xml:space="preserve"> nukrypimui nuo centrinio TTR. Didžiausios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nuo centrinio TTR santykinė rizika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palyginti su varfarinu, buvo 0,73 (95 % PI, 0,38, 1,40). </w:t>
      </w:r>
    </w:p>
    <w:p w14:paraId="7ACA38F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F86A18" w14:textId="76E3AA8B" w:rsidR="00C95D96" w:rsidRPr="00D21DFA" w:rsidRDefault="00C95D96" w:rsidP="00C95D96">
      <w:pPr>
        <w:tabs>
          <w:tab w:val="left" w:pos="567"/>
          <w:tab w:val="left" w:pos="8505"/>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Buvo įvertintos pagrindinės antrinės vertinamosios baigtys – stiprus kraujavimas ir mirtis dėl </w:t>
      </w:r>
      <w:r w:rsidR="0096558D"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pagal iš anksto nustatytą hierarchinę bandymų strategiją I tipo paklaidoms kontroliuoti tyrimų metu. Buvo pasiektas taip pat ir pagrindinių antrinių vertinamųjų baigčių – stipraus kraujavimo ir mirties dėl </w:t>
      </w:r>
      <w:r w:rsidR="00464440"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statistiškai reikšmingas pranašumas (žr. </w:t>
      </w:r>
      <w:r w:rsidR="005738CA" w:rsidRPr="00D21DFA">
        <w:rPr>
          <w:rFonts w:ascii="Times New Roman" w:eastAsia="Times New Roman" w:hAnsi="Times New Roman" w:cs="Times New Roman"/>
          <w:snapToGrid w:val="0"/>
          <w:kern w:val="0"/>
          <w:sz w:val="22"/>
          <w:szCs w:val="20"/>
          <w14:ligatures w14:val="none"/>
        </w:rPr>
        <w:t>8</w:t>
      </w:r>
      <w:r w:rsidRPr="00D21DFA">
        <w:rPr>
          <w:rFonts w:ascii="Times New Roman" w:eastAsia="Times New Roman" w:hAnsi="Times New Roman" w:cs="Times New Roman"/>
          <w:snapToGrid w:val="0"/>
          <w:kern w:val="0"/>
          <w:sz w:val="22"/>
          <w:szCs w:val="20"/>
          <w14:ligatures w14:val="none"/>
        </w:rPr>
        <w:t xml:space="preserve"> lentelę). Gerėjant TNS stebėjimui, pastebėti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pranašumai, palyginti su varfarinu, mirties dėl </w:t>
      </w:r>
      <w:r w:rsidR="00464440"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atžvilgiu buvo mažesni. </w:t>
      </w:r>
    </w:p>
    <w:p w14:paraId="670AF90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015BDD" w14:textId="17128505" w:rsidR="00C95D96" w:rsidRPr="00D21DFA" w:rsidRDefault="005738CA" w:rsidP="00C95D96">
      <w:pPr>
        <w:tabs>
          <w:tab w:val="left" w:pos="567"/>
          <w:tab w:val="left" w:pos="9214"/>
        </w:tabs>
        <w:spacing w:after="120" w:line="240" w:lineRule="auto"/>
        <w:ind w:left="990" w:right="-2" w:hanging="848"/>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8</w:t>
      </w:r>
      <w:r w:rsidR="00C95D96" w:rsidRPr="00D21DFA">
        <w:rPr>
          <w:rFonts w:ascii="Times New Roman" w:eastAsia="Times New Roman" w:hAnsi="Times New Roman" w:cs="Times New Roman"/>
          <w:b/>
          <w:bCs/>
          <w:snapToGrid w:val="0"/>
          <w:kern w:val="0"/>
          <w:sz w:val="22"/>
          <w:szCs w:val="20"/>
          <w14:ligatures w14:val="none"/>
        </w:rPr>
        <w:t xml:space="preserve"> lentelė. Antrinės vertinamosios baigtys pacientams, kuriems yra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C95D96" w:rsidRPr="00D21DFA" w14:paraId="344B2B1F" w14:textId="77777777" w:rsidTr="00446D67">
        <w:trPr>
          <w:trHeight w:val="769"/>
        </w:trPr>
        <w:tc>
          <w:tcPr>
            <w:tcW w:w="2114" w:type="dxa"/>
            <w:tcBorders>
              <w:top w:val="single" w:sz="4" w:space="0" w:color="000000"/>
              <w:left w:val="single" w:sz="4" w:space="0" w:color="000000"/>
              <w:bottom w:val="single" w:sz="4" w:space="0" w:color="000000"/>
              <w:right w:val="single" w:sz="4" w:space="0" w:color="000000"/>
            </w:tcBorders>
          </w:tcPr>
          <w:p w14:paraId="6E2DF59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2026" w:type="dxa"/>
            <w:tcBorders>
              <w:top w:val="single" w:sz="4" w:space="0" w:color="000000"/>
              <w:left w:val="single" w:sz="4" w:space="0" w:color="000000"/>
              <w:bottom w:val="single" w:sz="4" w:space="0" w:color="000000"/>
              <w:right w:val="single" w:sz="4" w:space="0" w:color="000000"/>
            </w:tcBorders>
          </w:tcPr>
          <w:p w14:paraId="7433868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r w:rsidRPr="00D21DFA">
              <w:rPr>
                <w:rFonts w:ascii="Times New Roman" w:eastAsia="Times New Roman" w:hAnsi="Times New Roman" w:cs="Times New Roman"/>
                <w:b/>
                <w:snapToGrid w:val="0"/>
                <w:kern w:val="0"/>
                <w:sz w:val="22"/>
                <w:szCs w:val="22"/>
                <w14:ligatures w14:val="none"/>
              </w:rPr>
              <w:t xml:space="preserve"> </w:t>
            </w:r>
          </w:p>
          <w:p w14:paraId="77BDFA95" w14:textId="77777777" w:rsidR="00C95D96" w:rsidRPr="00D21DFA" w:rsidRDefault="00C95D96" w:rsidP="00C95D96">
            <w:pPr>
              <w:tabs>
                <w:tab w:val="left" w:pos="567"/>
              </w:tabs>
              <w:spacing w:after="0" w:line="240" w:lineRule="auto"/>
              <w:ind w:left="82"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 = 9 088 </w:t>
            </w:r>
          </w:p>
          <w:p w14:paraId="4E430FDA" w14:textId="77777777" w:rsidR="00C95D96" w:rsidRPr="00D21DFA" w:rsidRDefault="00C95D96" w:rsidP="00C95D96">
            <w:pPr>
              <w:tabs>
                <w:tab w:val="left" w:pos="567"/>
              </w:tabs>
              <w:spacing w:after="0" w:line="240" w:lineRule="auto"/>
              <w:ind w:left="221"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7DC4036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Varfarinas</w:t>
            </w:r>
          </w:p>
          <w:p w14:paraId="63C42F48" w14:textId="77777777" w:rsidR="00C95D96" w:rsidRPr="00D21DFA" w:rsidRDefault="00C95D96" w:rsidP="00C95D96">
            <w:pPr>
              <w:tabs>
                <w:tab w:val="left" w:pos="567"/>
              </w:tabs>
              <w:spacing w:after="0" w:line="240" w:lineRule="auto"/>
              <w:ind w:left="-104"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 = 9 052 </w:t>
            </w:r>
          </w:p>
          <w:p w14:paraId="7856D078" w14:textId="77777777" w:rsidR="00C95D96" w:rsidRPr="00D21DFA" w:rsidRDefault="00C95D96" w:rsidP="00C95D96">
            <w:pPr>
              <w:tabs>
                <w:tab w:val="left" w:pos="463"/>
              </w:tabs>
              <w:spacing w:after="0" w:line="240" w:lineRule="auto"/>
              <w:ind w:left="372" w:right="-2" w:hanging="51"/>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35887A5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Santykinė rizika </w:t>
            </w:r>
          </w:p>
          <w:p w14:paraId="4FCA211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18634B4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p-reikšmė </w:t>
            </w:r>
          </w:p>
        </w:tc>
      </w:tr>
      <w:tr w:rsidR="00C95D96" w:rsidRPr="00D21DFA" w14:paraId="2C45FA67" w14:textId="77777777" w:rsidTr="00446D6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42C21FA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Kraujavimo baigtys</w:t>
            </w:r>
          </w:p>
        </w:tc>
      </w:tr>
      <w:tr w:rsidR="00C95D96" w:rsidRPr="00D21DFA" w14:paraId="1A6FDAED" w14:textId="77777777" w:rsidTr="00446D67">
        <w:trPr>
          <w:trHeight w:val="289"/>
        </w:trPr>
        <w:tc>
          <w:tcPr>
            <w:tcW w:w="2114" w:type="dxa"/>
            <w:tcBorders>
              <w:top w:val="single" w:sz="4" w:space="0" w:color="000000"/>
              <w:left w:val="single" w:sz="4" w:space="0" w:color="000000"/>
              <w:bottom w:val="single" w:sz="4" w:space="0" w:color="000000"/>
              <w:right w:val="single" w:sz="4" w:space="0" w:color="000000"/>
            </w:tcBorders>
          </w:tcPr>
          <w:p w14:paraId="13A410F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182CB65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065D02A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393C681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5D72DC0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&lt; 0,0001 </w:t>
            </w:r>
          </w:p>
        </w:tc>
      </w:tr>
      <w:tr w:rsidR="00C95D96" w:rsidRPr="00D21DFA" w14:paraId="4FD5C56C" w14:textId="77777777" w:rsidTr="00446D67">
        <w:trPr>
          <w:trHeight w:val="281"/>
        </w:trPr>
        <w:tc>
          <w:tcPr>
            <w:tcW w:w="2114" w:type="dxa"/>
            <w:tcBorders>
              <w:top w:val="single" w:sz="4" w:space="0" w:color="000000"/>
              <w:left w:val="single" w:sz="4" w:space="0" w:color="000000"/>
              <w:bottom w:val="single" w:sz="4" w:space="0" w:color="000000"/>
              <w:right w:val="single" w:sz="4" w:space="0" w:color="000000"/>
            </w:tcBorders>
          </w:tcPr>
          <w:p w14:paraId="502E7C88" w14:textId="77777777" w:rsidR="00C95D96" w:rsidRPr="00D21DFA" w:rsidRDefault="00C95D96" w:rsidP="00C95D96">
            <w:pPr>
              <w:tabs>
                <w:tab w:val="left" w:pos="567"/>
              </w:tabs>
              <w:spacing w:after="0" w:line="240" w:lineRule="auto"/>
              <w:ind w:left="346"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226C3D5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2D7A9EA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542466C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3877D1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r w:rsidR="00C95D96" w:rsidRPr="00D21DFA" w14:paraId="629B6BDD" w14:textId="77777777" w:rsidTr="00446D67">
        <w:trPr>
          <w:trHeight w:val="263"/>
        </w:trPr>
        <w:tc>
          <w:tcPr>
            <w:tcW w:w="2114" w:type="dxa"/>
            <w:tcBorders>
              <w:top w:val="single" w:sz="4" w:space="0" w:color="000000"/>
              <w:left w:val="single" w:sz="4" w:space="0" w:color="000000"/>
              <w:bottom w:val="single" w:sz="4" w:space="0" w:color="000000"/>
              <w:right w:val="single" w:sz="4" w:space="0" w:color="000000"/>
            </w:tcBorders>
          </w:tcPr>
          <w:p w14:paraId="5703AEAD" w14:textId="77777777" w:rsidR="00C95D96" w:rsidRPr="00D21DFA" w:rsidRDefault="00C95D96" w:rsidP="00C95D96">
            <w:pPr>
              <w:tabs>
                <w:tab w:val="left" w:pos="567"/>
              </w:tabs>
              <w:spacing w:after="0" w:line="240" w:lineRule="auto"/>
              <w:ind w:left="346"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Intrakranijinis</w:t>
            </w:r>
            <w:proofErr w:type="spellEnd"/>
            <w:r w:rsidRPr="00D21DFA">
              <w:rPr>
                <w:rFonts w:ascii="Times New Roman" w:eastAsia="Times New Roman" w:hAnsi="Times New Roman" w:cs="Times New Roman"/>
                <w:snapToGrid w:val="0"/>
                <w:kern w:val="0"/>
                <w:sz w:val="22"/>
                <w:szCs w:val="22"/>
                <w14:ligatures w14:val="none"/>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4351190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19394CB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46413DB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4FEA17A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r w:rsidR="00C95D96" w:rsidRPr="00D21DFA" w14:paraId="1653BB8D" w14:textId="77777777" w:rsidTr="00446D67">
        <w:trPr>
          <w:trHeight w:val="288"/>
        </w:trPr>
        <w:tc>
          <w:tcPr>
            <w:tcW w:w="2114" w:type="dxa"/>
            <w:tcBorders>
              <w:top w:val="single" w:sz="4" w:space="0" w:color="000000"/>
              <w:left w:val="single" w:sz="4" w:space="0" w:color="000000"/>
              <w:bottom w:val="single" w:sz="4" w:space="0" w:color="000000"/>
              <w:right w:val="single" w:sz="4" w:space="0" w:color="000000"/>
            </w:tcBorders>
          </w:tcPr>
          <w:p w14:paraId="7F85EE9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Stiprus + KRNS</w:t>
            </w:r>
            <w:r w:rsidRPr="00D21DFA">
              <w:rPr>
                <w:rFonts w:ascii="Times New Roman" w:eastAsia="Times New Roman" w:hAnsi="Times New Roman" w:cs="Times New Roman"/>
                <w:snapToGrid w:val="0"/>
                <w:color w:val="000000"/>
                <w:kern w:val="0"/>
                <w:sz w:val="22"/>
                <w:szCs w:val="22"/>
                <w:vertAlign w:val="superscript"/>
                <w14:ligatures w14:val="none"/>
              </w:rPr>
              <w:t>†</w:t>
            </w:r>
          </w:p>
        </w:tc>
        <w:tc>
          <w:tcPr>
            <w:tcW w:w="2026" w:type="dxa"/>
            <w:tcBorders>
              <w:top w:val="single" w:sz="4" w:space="0" w:color="000000"/>
              <w:left w:val="single" w:sz="4" w:space="0" w:color="000000"/>
              <w:bottom w:val="single" w:sz="4" w:space="0" w:color="000000"/>
              <w:right w:val="single" w:sz="4" w:space="0" w:color="000000"/>
            </w:tcBorders>
          </w:tcPr>
          <w:p w14:paraId="501E6FD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3AB48CD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3B8C5E9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13148C3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&lt; 0,0001 </w:t>
            </w:r>
          </w:p>
        </w:tc>
      </w:tr>
      <w:tr w:rsidR="00C95D96" w:rsidRPr="00D21DFA" w14:paraId="025AC3C3" w14:textId="77777777" w:rsidTr="00446D67">
        <w:trPr>
          <w:trHeight w:val="263"/>
        </w:trPr>
        <w:tc>
          <w:tcPr>
            <w:tcW w:w="2114" w:type="dxa"/>
            <w:tcBorders>
              <w:top w:val="single" w:sz="4" w:space="0" w:color="000000"/>
              <w:left w:val="single" w:sz="4" w:space="0" w:color="000000"/>
              <w:bottom w:val="single" w:sz="4" w:space="0" w:color="000000"/>
              <w:right w:val="single" w:sz="4" w:space="0" w:color="000000"/>
            </w:tcBorders>
          </w:tcPr>
          <w:p w14:paraId="254ED21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5BDE62D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7D83C66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43600D0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6E09FA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&lt; 0,0001 </w:t>
            </w:r>
          </w:p>
        </w:tc>
      </w:tr>
      <w:tr w:rsidR="00C95D96" w:rsidRPr="00D21DFA" w14:paraId="080C2955" w14:textId="77777777" w:rsidTr="00446D6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6F14B26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Kitos vertinamosios baigtys</w:t>
            </w:r>
          </w:p>
        </w:tc>
      </w:tr>
      <w:tr w:rsidR="00C95D96" w:rsidRPr="00D21DFA" w14:paraId="579C089D" w14:textId="77777777" w:rsidTr="00446D67">
        <w:trPr>
          <w:trHeight w:val="361"/>
        </w:trPr>
        <w:tc>
          <w:tcPr>
            <w:tcW w:w="2114" w:type="dxa"/>
            <w:tcBorders>
              <w:top w:val="single" w:sz="4" w:space="0" w:color="000000"/>
              <w:left w:val="single" w:sz="4" w:space="0" w:color="000000"/>
              <w:bottom w:val="single" w:sz="4" w:space="0" w:color="000000"/>
              <w:right w:val="single" w:sz="4" w:space="0" w:color="000000"/>
            </w:tcBorders>
          </w:tcPr>
          <w:p w14:paraId="559A5042" w14:textId="189ED702"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Mirtis dėl </w:t>
            </w:r>
            <w:r w:rsidR="00464440"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w:t>
            </w:r>
          </w:p>
        </w:tc>
        <w:tc>
          <w:tcPr>
            <w:tcW w:w="2026" w:type="dxa"/>
            <w:tcBorders>
              <w:top w:val="single" w:sz="4" w:space="0" w:color="000000"/>
              <w:left w:val="single" w:sz="4" w:space="0" w:color="000000"/>
              <w:bottom w:val="single" w:sz="4" w:space="0" w:color="000000"/>
              <w:right w:val="single" w:sz="4" w:space="0" w:color="000000"/>
            </w:tcBorders>
          </w:tcPr>
          <w:p w14:paraId="1C05DE8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28369FC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529BB09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39D265E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0,0465 </w:t>
            </w:r>
          </w:p>
        </w:tc>
      </w:tr>
      <w:tr w:rsidR="00C95D96" w:rsidRPr="00D21DFA" w14:paraId="1E34A0EE" w14:textId="77777777" w:rsidTr="00446D67">
        <w:trPr>
          <w:trHeight w:val="170"/>
        </w:trPr>
        <w:tc>
          <w:tcPr>
            <w:tcW w:w="2114" w:type="dxa"/>
            <w:tcBorders>
              <w:top w:val="single" w:sz="4" w:space="0" w:color="000000"/>
              <w:left w:val="single" w:sz="4" w:space="0" w:color="000000"/>
              <w:bottom w:val="single" w:sz="4" w:space="0" w:color="000000"/>
              <w:right w:val="single" w:sz="4" w:space="0" w:color="000000"/>
            </w:tcBorders>
          </w:tcPr>
          <w:p w14:paraId="180343A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5046541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3515306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08EEB9C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495A09B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bl>
    <w:p w14:paraId="640E9B4F" w14:textId="77777777" w:rsidR="00C95D96" w:rsidRPr="00D21DFA" w:rsidRDefault="00C95D96" w:rsidP="00C95D96">
      <w:pPr>
        <w:tabs>
          <w:tab w:val="left" w:pos="567"/>
        </w:tabs>
        <w:spacing w:after="0" w:line="240" w:lineRule="auto"/>
        <w:ind w:left="360" w:right="-2" w:hanging="18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Stiprus kraujavimas apibūdinamas pagal tarptautinės trombozės ir hemostazės asociacijos (angl. </w:t>
      </w:r>
      <w:r w:rsidRPr="00D21DFA">
        <w:rPr>
          <w:rFonts w:ascii="Times New Roman" w:eastAsia="Times New Roman" w:hAnsi="Times New Roman" w:cs="Times New Roman"/>
          <w:i/>
          <w:snapToGrid w:val="0"/>
          <w:kern w:val="0"/>
          <w:sz w:val="22"/>
          <w:szCs w:val="22"/>
          <w14:ligatures w14:val="none"/>
        </w:rPr>
        <w:t xml:space="preserve">International </w:t>
      </w:r>
      <w:proofErr w:type="spellStart"/>
      <w:r w:rsidRPr="00D21DFA">
        <w:rPr>
          <w:rFonts w:ascii="Times New Roman" w:eastAsia="Times New Roman" w:hAnsi="Times New Roman" w:cs="Times New Roman"/>
          <w:i/>
          <w:snapToGrid w:val="0"/>
          <w:kern w:val="0"/>
          <w:sz w:val="22"/>
          <w:szCs w:val="22"/>
          <w14:ligatures w14:val="none"/>
        </w:rPr>
        <w:t>Society</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on</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Thrombosis</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and</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Haemostasis</w:t>
      </w:r>
      <w:proofErr w:type="spellEnd"/>
      <w:r w:rsidRPr="00D21DFA">
        <w:rPr>
          <w:rFonts w:ascii="Times New Roman" w:eastAsia="Times New Roman" w:hAnsi="Times New Roman" w:cs="Times New Roman"/>
          <w:i/>
          <w:snapToGrid w:val="0"/>
          <w:kern w:val="0"/>
          <w:sz w:val="22"/>
          <w:szCs w:val="22"/>
          <w14:ligatures w14:val="none"/>
        </w:rPr>
        <w:t xml:space="preserve"> [ISTH]</w:t>
      </w:r>
      <w:r w:rsidRPr="00D21DFA">
        <w:rPr>
          <w:rFonts w:ascii="Times New Roman" w:eastAsia="Times New Roman" w:hAnsi="Times New Roman" w:cs="Times New Roman"/>
          <w:snapToGrid w:val="0"/>
          <w:kern w:val="0"/>
          <w:sz w:val="22"/>
          <w:szCs w:val="22"/>
          <w14:ligatures w14:val="none"/>
        </w:rPr>
        <w:t>) kriterijus.</w:t>
      </w:r>
    </w:p>
    <w:p w14:paraId="1F68FF2A" w14:textId="77777777" w:rsidR="00C95D96" w:rsidRPr="00D21DFA" w:rsidRDefault="00C95D96" w:rsidP="00C95D96">
      <w:pPr>
        <w:spacing w:after="8" w:line="247" w:lineRule="auto"/>
        <w:ind w:left="180" w:right="-2"/>
        <w:rPr>
          <w:rFonts w:ascii="Times New Roman" w:eastAsia="Times New Roman" w:hAnsi="Times New Roman" w:cs="Times New Roman"/>
          <w:color w:val="000000"/>
          <w:kern w:val="0"/>
          <w:sz w:val="22"/>
          <w:szCs w:val="22"/>
          <w14:ligatures w14:val="none"/>
        </w:rPr>
      </w:pPr>
      <w:r w:rsidRPr="00D21DFA">
        <w:rPr>
          <w:rFonts w:ascii="Times New Roman" w:eastAsia="Times New Roman" w:hAnsi="Times New Roman" w:cs="Times New Roman"/>
          <w:color w:val="000000"/>
          <w:kern w:val="0"/>
          <w:sz w:val="22"/>
          <w:szCs w:val="22"/>
          <w14:ligatures w14:val="none"/>
        </w:rPr>
        <w:t>† Klinikiniu požiūriu reikšmingas nestiprus kraujavimas.</w:t>
      </w:r>
    </w:p>
    <w:p w14:paraId="1A11C37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18"/>
          <w:szCs w:val="18"/>
          <w14:ligatures w14:val="none"/>
        </w:rPr>
      </w:pPr>
    </w:p>
    <w:p w14:paraId="368400C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Bendrasis gydymo nutraukimo dėl nepageidaujamų reakcijų dažnis ARISTOTLE tyrimo metu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1,8 %, o vartojant varfarino – 2,6 %. </w:t>
      </w:r>
    </w:p>
    <w:p w14:paraId="011E784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F93F85" w14:textId="20AB385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Veiksmingumo rezultatai iš anksto apibūdintuose pogrupiuose, įskaitant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balą, amžių, kūno svorį, lytį, inkstų funkcijos būklę, anksčiau patirtą insultą arba PSIP ir cukrinį diabetą, atitiko svarbiausius veiksmingumo rezultatus bendrojoje populiacijoje, dalyvavusioje klinikiniame tyrime.</w:t>
      </w:r>
    </w:p>
    <w:p w14:paraId="5D0691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FE677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0,86 % per metus vartojant varfarino. </w:t>
      </w:r>
    </w:p>
    <w:p w14:paraId="3DD3953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9107B81" w14:textId="639D994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Stipraus kraujavimo rezultatai iš anksto apibūdintuose pogrupiuose, įskaitant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balą, amžių, svorį, lytį, inkstų funkcijos būklę, anksčiau patirtą insultą arba PSIP ir cukrinį diabetą, atitiko rezultatus bendrojoje populiacijoje, dalyvavusioje klinikiniame tyrime. </w:t>
      </w:r>
    </w:p>
    <w:p w14:paraId="085EEED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FE567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AVERROES tyrimas </w:t>
      </w:r>
    </w:p>
    <w:p w14:paraId="04473C2B" w14:textId="3BE5493D"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AVERROES tyrimo metu tyrėjams nusprendus, kad iš viso 5 598 </w:t>
      </w:r>
      <w:r w:rsidR="005738CA"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netinkami gydyti VKA, jiems atsitiktinės atrankos būdu buvo paskirtas gydymas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 metai, vidutinis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balas – 2,0, 13,6 % pacientų anksčiau buvo patyrę insultą arba PSIP. </w:t>
      </w:r>
    </w:p>
    <w:p w14:paraId="3BDBEE8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5B62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Dažnos priežastys, dėl kurių netiko gydymas VKA, AVERROES tyrimo metu buvo negalėjimas arba maža galimybė nustatyti TNS reikiamais laiko intervalais (42,6 %), pacientas atsisakė gydymo VKA (37,4 %),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balas = 1 ir gydytojas nerekomendavo gydymo VKA (21,3 %), pacientas gali nedrausmingai laikytis VKA vartojimo nurodymų (15,0 %) ir bus sunku arba tikėtina, kad bus sunku susisiekti su pacientu, prireikus neatidėliojant keisti dozę (11,7 %). </w:t>
      </w:r>
    </w:p>
    <w:p w14:paraId="6FD13E3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94CD245" w14:textId="77777777" w:rsidR="00C95D96" w:rsidRPr="00D21DFA" w:rsidRDefault="00C95D96" w:rsidP="00C95D96">
      <w:pPr>
        <w:tabs>
          <w:tab w:val="left" w:pos="567"/>
          <w:tab w:val="left" w:pos="8505"/>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AVERROES tyrimas buvo nutrauktas anksčiau nei numatyta, remiantis nepriklausomo duomenų stebėjimo komiteto rekomendacija, gavus aiškius insulto ir sisteminės embolijos sumažėjimo įrodymus ir priimtinus saugumo duomenis. </w:t>
      </w:r>
    </w:p>
    <w:p w14:paraId="232B78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5BAEC1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Bendrasis gydymo nutraukimo dėl nepageidaujamų reakcijų dažnis AVERROES tyrimo metu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1,5 %, o vartojant ASR – 1,3 %. </w:t>
      </w:r>
    </w:p>
    <w:p w14:paraId="7F00188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B9DBA5" w14:textId="3C85D83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 tyrimo duomenimis,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pasiektas statistiškai reikšmingas svarbiausiosios vertinamosios baigties </w:t>
      </w:r>
      <w:r w:rsidR="0082016C"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apsaugos nuo insulto (hemoraginio, išeminio ar neapibūdinto) ar sisteminės embolijos</w:t>
      </w:r>
      <w:r w:rsidR="0082016C"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 pranašumas (žr. </w:t>
      </w:r>
      <w:r w:rsidR="005738CA" w:rsidRPr="00D21DFA">
        <w:rPr>
          <w:rFonts w:ascii="Times New Roman" w:eastAsia="Times New Roman" w:hAnsi="Times New Roman" w:cs="Times New Roman"/>
          <w:snapToGrid w:val="0"/>
          <w:kern w:val="0"/>
          <w:sz w:val="22"/>
          <w:szCs w:val="20"/>
          <w14:ligatures w14:val="none"/>
        </w:rPr>
        <w:t>9</w:t>
      </w:r>
      <w:r w:rsidRPr="00D21DFA">
        <w:rPr>
          <w:rFonts w:ascii="Times New Roman" w:eastAsia="Times New Roman" w:hAnsi="Times New Roman" w:cs="Times New Roman"/>
          <w:snapToGrid w:val="0"/>
          <w:kern w:val="0"/>
          <w:sz w:val="22"/>
          <w:szCs w:val="20"/>
          <w14:ligatures w14:val="none"/>
        </w:rPr>
        <w:t xml:space="preserve"> lentelę), palyginti su ASR. </w:t>
      </w:r>
    </w:p>
    <w:p w14:paraId="122C124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C6C0C8" w14:textId="75C4E084" w:rsidR="00C95D96" w:rsidRPr="00D21DFA" w:rsidRDefault="005738CA" w:rsidP="00C95D96">
      <w:pPr>
        <w:tabs>
          <w:tab w:val="left" w:pos="709"/>
          <w:tab w:val="left" w:pos="9214"/>
        </w:tabs>
        <w:spacing w:after="120" w:line="240" w:lineRule="auto"/>
        <w:ind w:left="993" w:right="-2" w:hanging="851"/>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9</w:t>
      </w:r>
      <w:r w:rsidR="00C95D96" w:rsidRPr="00D21DFA">
        <w:rPr>
          <w:rFonts w:ascii="Times New Roman" w:eastAsia="Times New Roman" w:hAnsi="Times New Roman" w:cs="Times New Roman"/>
          <w:b/>
          <w:bCs/>
          <w:snapToGrid w:val="0"/>
          <w:kern w:val="0"/>
          <w:sz w:val="22"/>
          <w:szCs w:val="20"/>
          <w14:ligatures w14:val="none"/>
        </w:rPr>
        <w:t xml:space="preserve"> lentelė. Svarbiausios veiksmingumo vertinamosios baigtys pacientams, kuriems yra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228"/>
      </w:tblGrid>
      <w:tr w:rsidR="00C95D96" w:rsidRPr="00D21DFA" w14:paraId="784A6229" w14:textId="77777777" w:rsidTr="00446D67">
        <w:trPr>
          <w:trHeight w:val="768"/>
        </w:trPr>
        <w:tc>
          <w:tcPr>
            <w:tcW w:w="2724" w:type="dxa"/>
            <w:tcBorders>
              <w:top w:val="single" w:sz="4" w:space="0" w:color="000000"/>
              <w:left w:val="single" w:sz="4" w:space="0" w:color="000000"/>
              <w:bottom w:val="single" w:sz="4" w:space="0" w:color="000000"/>
              <w:right w:val="single" w:sz="4" w:space="0" w:color="000000"/>
            </w:tcBorders>
          </w:tcPr>
          <w:p w14:paraId="46DE83F6" w14:textId="77777777"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0"/>
                <w14:ligatures w14:val="none"/>
              </w:rPr>
              <w:t xml:space="preserve"> </w:t>
            </w:r>
            <w:r w:rsidRPr="00D21DFA">
              <w:rPr>
                <w:rFonts w:ascii="Times New Roman" w:eastAsia="Times New Roman" w:hAnsi="Times New Roman" w:cs="Times New Roman"/>
                <w:b/>
                <w:kern w:val="0"/>
                <w:sz w:val="22"/>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1793CE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p>
          <w:p w14:paraId="032216CE" w14:textId="0597427F" w:rsidR="00C95D96" w:rsidRPr="00D21DFA" w:rsidRDefault="00C95D96" w:rsidP="00C95D96">
            <w:pPr>
              <w:tabs>
                <w:tab w:val="left" w:pos="567"/>
              </w:tabs>
              <w:spacing w:after="0" w:line="240" w:lineRule="auto"/>
              <w:ind w:left="138"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N</w:t>
            </w:r>
            <w:r w:rsidR="00DB3688" w:rsidRPr="00D21DFA">
              <w:rPr>
                <w:rFonts w:ascii="Times New Roman" w:eastAsia="Times New Roman" w:hAnsi="Times New Roman" w:cs="Times New Roman"/>
                <w:b/>
                <w:kern w:val="0"/>
                <w:sz w:val="22"/>
                <w:szCs w:val="22"/>
                <w14:ligatures w14:val="none"/>
              </w:rPr>
              <w:t> </w:t>
            </w:r>
            <w:r w:rsidRPr="00D21DFA">
              <w:rPr>
                <w:rFonts w:ascii="Times New Roman" w:eastAsia="Times New Roman" w:hAnsi="Times New Roman" w:cs="Times New Roman"/>
                <w:b/>
                <w:kern w:val="0"/>
                <w:sz w:val="22"/>
                <w:szCs w:val="22"/>
                <w14:ligatures w14:val="none"/>
              </w:rPr>
              <w:t>=</w:t>
            </w:r>
            <w:r w:rsidR="00DB3688" w:rsidRPr="00D21DFA">
              <w:rPr>
                <w:rFonts w:ascii="Times New Roman" w:eastAsia="Times New Roman" w:hAnsi="Times New Roman" w:cs="Times New Roman"/>
                <w:b/>
                <w:kern w:val="0"/>
                <w:sz w:val="22"/>
                <w:szCs w:val="22"/>
                <w14:ligatures w14:val="none"/>
              </w:rPr>
              <w:t> </w:t>
            </w:r>
            <w:r w:rsidRPr="00D21DFA">
              <w:rPr>
                <w:rFonts w:ascii="Times New Roman" w:eastAsia="Times New Roman" w:hAnsi="Times New Roman" w:cs="Times New Roman"/>
                <w:b/>
                <w:kern w:val="0"/>
                <w:sz w:val="22"/>
                <w:szCs w:val="22"/>
                <w14:ligatures w14:val="none"/>
              </w:rPr>
              <w:t>2 807</w:t>
            </w:r>
          </w:p>
          <w:p w14:paraId="4DD188BE" w14:textId="77777777" w:rsidR="00C95D96" w:rsidRPr="00D21DFA" w:rsidRDefault="00C95D96" w:rsidP="00C95D96">
            <w:pPr>
              <w:tabs>
                <w:tab w:val="left" w:pos="567"/>
              </w:tabs>
              <w:spacing w:after="0" w:line="240" w:lineRule="auto"/>
              <w:ind w:left="1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7A77CBC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ASR  </w:t>
            </w:r>
          </w:p>
          <w:p w14:paraId="60D23BBB" w14:textId="7879FEBF" w:rsidR="00C95D96" w:rsidRPr="00D21DFA" w:rsidRDefault="00C95D96" w:rsidP="00C95D96">
            <w:pPr>
              <w:tabs>
                <w:tab w:val="left" w:pos="567"/>
              </w:tabs>
              <w:spacing w:after="0" w:line="240" w:lineRule="auto"/>
              <w:ind w:left="233"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N</w:t>
            </w:r>
            <w:r w:rsidR="00DB3688" w:rsidRPr="00D21DFA">
              <w:rPr>
                <w:rFonts w:ascii="Times New Roman" w:eastAsia="Times New Roman" w:hAnsi="Times New Roman" w:cs="Times New Roman"/>
                <w:b/>
                <w:kern w:val="0"/>
                <w:sz w:val="22"/>
                <w:szCs w:val="22"/>
                <w14:ligatures w14:val="none"/>
              </w:rPr>
              <w:t> </w:t>
            </w:r>
            <w:r w:rsidRPr="00D21DFA">
              <w:rPr>
                <w:rFonts w:ascii="Times New Roman" w:eastAsia="Times New Roman" w:hAnsi="Times New Roman" w:cs="Times New Roman"/>
                <w:b/>
                <w:kern w:val="0"/>
                <w:sz w:val="22"/>
                <w:szCs w:val="22"/>
                <w14:ligatures w14:val="none"/>
              </w:rPr>
              <w:t>=</w:t>
            </w:r>
            <w:r w:rsidR="00DB3688" w:rsidRPr="00D21DFA">
              <w:rPr>
                <w:rFonts w:ascii="Times New Roman" w:eastAsia="Times New Roman" w:hAnsi="Times New Roman" w:cs="Times New Roman"/>
                <w:b/>
                <w:kern w:val="0"/>
                <w:sz w:val="22"/>
                <w:szCs w:val="22"/>
                <w14:ligatures w14:val="none"/>
              </w:rPr>
              <w:t> </w:t>
            </w:r>
            <w:r w:rsidRPr="00D21DFA">
              <w:rPr>
                <w:rFonts w:ascii="Times New Roman" w:eastAsia="Times New Roman" w:hAnsi="Times New Roman" w:cs="Times New Roman"/>
                <w:b/>
                <w:kern w:val="0"/>
                <w:sz w:val="22"/>
                <w:szCs w:val="22"/>
                <w14:ligatures w14:val="none"/>
              </w:rPr>
              <w:t xml:space="preserve">2 791 </w:t>
            </w:r>
          </w:p>
          <w:p w14:paraId="7C4A610D" w14:textId="77777777" w:rsidR="00C95D96" w:rsidRPr="00D21DFA" w:rsidRDefault="00C95D96" w:rsidP="00C95D96">
            <w:pPr>
              <w:tabs>
                <w:tab w:val="left" w:pos="567"/>
              </w:tabs>
              <w:spacing w:after="0" w:line="240" w:lineRule="auto"/>
              <w:ind w:left="23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4C7A340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Santykinė rizika</w:t>
            </w:r>
          </w:p>
          <w:p w14:paraId="072B81C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(95 % PI) </w:t>
            </w:r>
          </w:p>
        </w:tc>
        <w:tc>
          <w:tcPr>
            <w:tcW w:w="1228" w:type="dxa"/>
            <w:tcBorders>
              <w:top w:val="single" w:sz="4" w:space="0" w:color="000000"/>
              <w:left w:val="single" w:sz="4" w:space="0" w:color="000000"/>
              <w:bottom w:val="single" w:sz="4" w:space="0" w:color="000000"/>
              <w:right w:val="single" w:sz="4" w:space="0" w:color="000000"/>
            </w:tcBorders>
          </w:tcPr>
          <w:p w14:paraId="2B1FA6AF" w14:textId="77777777" w:rsidR="00C95D96" w:rsidRPr="00D21DFA" w:rsidRDefault="00C95D96" w:rsidP="00C95D96">
            <w:pPr>
              <w:tabs>
                <w:tab w:val="left" w:pos="567"/>
              </w:tabs>
              <w:spacing w:after="0" w:line="240" w:lineRule="auto"/>
              <w:ind w:left="44"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p-reikšmė </w:t>
            </w:r>
          </w:p>
        </w:tc>
      </w:tr>
      <w:tr w:rsidR="00C95D96" w:rsidRPr="00D21DFA" w14:paraId="3D1E2D24"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58A4AFE3" w14:textId="77777777"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40FC6E0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2F1514B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56C7E5E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0,45 (0,32, 0,62) </w:t>
            </w:r>
          </w:p>
        </w:tc>
        <w:tc>
          <w:tcPr>
            <w:tcW w:w="1228" w:type="dxa"/>
            <w:tcBorders>
              <w:top w:val="single" w:sz="4" w:space="0" w:color="000000"/>
              <w:left w:val="single" w:sz="4" w:space="0" w:color="000000"/>
              <w:bottom w:val="single" w:sz="4" w:space="0" w:color="000000"/>
              <w:right w:val="single" w:sz="4" w:space="0" w:color="000000"/>
            </w:tcBorders>
          </w:tcPr>
          <w:p w14:paraId="4DCC993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&lt; 0,0001</w:t>
            </w:r>
          </w:p>
        </w:tc>
      </w:tr>
      <w:tr w:rsidR="00C95D96" w:rsidRPr="00D21DFA" w14:paraId="6F3781B5"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49B6A255" w14:textId="77777777" w:rsidR="00C95D96" w:rsidRPr="00D21DFA" w:rsidRDefault="00C95D96" w:rsidP="00C95D96">
            <w:pPr>
              <w:tabs>
                <w:tab w:val="left" w:pos="567"/>
              </w:tabs>
              <w:spacing w:after="0" w:line="240" w:lineRule="auto"/>
              <w:ind w:left="272" w:right="-2" w:hanging="20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7E7E7210" w14:textId="77777777" w:rsidR="00C95D96" w:rsidRPr="00D21DFA" w:rsidRDefault="00C95D96" w:rsidP="00C95D96">
            <w:pPr>
              <w:tabs>
                <w:tab w:val="left" w:pos="567"/>
              </w:tabs>
              <w:spacing w:after="0" w:line="240" w:lineRule="auto"/>
              <w:ind w:left="2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3EAD230" w14:textId="77777777" w:rsidR="00C95D96" w:rsidRPr="00D21DFA" w:rsidRDefault="00C95D96" w:rsidP="00C95D96">
            <w:pPr>
              <w:tabs>
                <w:tab w:val="left" w:pos="567"/>
              </w:tabs>
              <w:spacing w:after="0" w:line="240" w:lineRule="auto"/>
              <w:ind w:left="29"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728E575F" w14:textId="77777777" w:rsidR="00C95D96" w:rsidRPr="00D21DFA" w:rsidRDefault="00C95D96" w:rsidP="00C95D96">
            <w:pPr>
              <w:tabs>
                <w:tab w:val="left" w:pos="567"/>
              </w:tabs>
              <w:spacing w:after="0" w:line="240" w:lineRule="auto"/>
              <w:ind w:left="3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59BAD2D8" w14:textId="77777777" w:rsidR="00C95D96" w:rsidRPr="00D21DFA" w:rsidRDefault="00C95D96" w:rsidP="00C95D96">
            <w:pPr>
              <w:tabs>
                <w:tab w:val="left" w:pos="567"/>
              </w:tabs>
              <w:spacing w:after="0" w:line="240" w:lineRule="auto"/>
              <w:ind w:left="2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5A52733E"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3F77E368" w14:textId="77777777" w:rsidR="00C95D96" w:rsidRPr="00D21DFA" w:rsidRDefault="00C95D96" w:rsidP="00C95D96">
            <w:pPr>
              <w:tabs>
                <w:tab w:val="left" w:pos="567"/>
              </w:tabs>
              <w:spacing w:after="0" w:line="240" w:lineRule="auto"/>
              <w:ind w:right="-2"/>
              <w:jc w:val="right"/>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755BE0E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60D0BD4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42F9932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0,44 (0,31, 0,63) </w:t>
            </w:r>
          </w:p>
        </w:tc>
        <w:tc>
          <w:tcPr>
            <w:tcW w:w="1228" w:type="dxa"/>
            <w:tcBorders>
              <w:top w:val="single" w:sz="4" w:space="0" w:color="000000"/>
              <w:left w:val="single" w:sz="4" w:space="0" w:color="000000"/>
              <w:bottom w:val="single" w:sz="4" w:space="0" w:color="000000"/>
              <w:right w:val="single" w:sz="4" w:space="0" w:color="000000"/>
            </w:tcBorders>
          </w:tcPr>
          <w:p w14:paraId="7B8FE509" w14:textId="77777777" w:rsidR="00C95D96" w:rsidRPr="00D21DFA"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887712A" w14:textId="77777777" w:rsidTr="00446D67">
        <w:trPr>
          <w:trHeight w:val="264"/>
        </w:trPr>
        <w:tc>
          <w:tcPr>
            <w:tcW w:w="2724" w:type="dxa"/>
            <w:tcBorders>
              <w:top w:val="single" w:sz="4" w:space="0" w:color="000000"/>
              <w:left w:val="single" w:sz="4" w:space="0" w:color="000000"/>
              <w:bottom w:val="single" w:sz="4" w:space="0" w:color="000000"/>
              <w:right w:val="single" w:sz="4" w:space="0" w:color="000000"/>
            </w:tcBorders>
          </w:tcPr>
          <w:p w14:paraId="281BFDCC" w14:textId="77777777" w:rsidR="00C95D96" w:rsidRPr="00D21DFA" w:rsidRDefault="00C95D96" w:rsidP="00C95D96">
            <w:pPr>
              <w:tabs>
                <w:tab w:val="left" w:pos="567"/>
              </w:tabs>
              <w:spacing w:after="0" w:line="240" w:lineRule="auto"/>
              <w:ind w:left="21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Hemoraginis</w:t>
            </w:r>
          </w:p>
        </w:tc>
        <w:tc>
          <w:tcPr>
            <w:tcW w:w="1560" w:type="dxa"/>
            <w:tcBorders>
              <w:top w:val="single" w:sz="4" w:space="0" w:color="000000"/>
              <w:left w:val="single" w:sz="4" w:space="0" w:color="000000"/>
              <w:bottom w:val="single" w:sz="4" w:space="0" w:color="000000"/>
              <w:right w:val="single" w:sz="4" w:space="0" w:color="000000"/>
            </w:tcBorders>
          </w:tcPr>
          <w:p w14:paraId="54E440A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5390C2F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73958E4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0,67 (0,24, 1,88) </w:t>
            </w:r>
          </w:p>
        </w:tc>
        <w:tc>
          <w:tcPr>
            <w:tcW w:w="1228" w:type="dxa"/>
            <w:tcBorders>
              <w:top w:val="single" w:sz="4" w:space="0" w:color="000000"/>
              <w:left w:val="single" w:sz="4" w:space="0" w:color="000000"/>
              <w:bottom w:val="single" w:sz="4" w:space="0" w:color="000000"/>
              <w:right w:val="single" w:sz="4" w:space="0" w:color="000000"/>
            </w:tcBorders>
          </w:tcPr>
          <w:p w14:paraId="4B80D565" w14:textId="77777777" w:rsidR="00C95D96" w:rsidRPr="00D21DFA" w:rsidRDefault="00C95D96" w:rsidP="00C95D96">
            <w:pPr>
              <w:tabs>
                <w:tab w:val="left" w:pos="567"/>
              </w:tabs>
              <w:spacing w:after="0" w:line="240" w:lineRule="auto"/>
              <w:ind w:left="249"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0F3AA333"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6F0D1A3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64B2C40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3916647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2B18AD4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0,15 (0,03, 0,68) </w:t>
            </w:r>
          </w:p>
        </w:tc>
        <w:tc>
          <w:tcPr>
            <w:tcW w:w="1228" w:type="dxa"/>
            <w:tcBorders>
              <w:top w:val="single" w:sz="4" w:space="0" w:color="000000"/>
              <w:left w:val="single" w:sz="4" w:space="0" w:color="000000"/>
              <w:bottom w:val="single" w:sz="4" w:space="0" w:color="000000"/>
              <w:right w:val="single" w:sz="4" w:space="0" w:color="000000"/>
            </w:tcBorders>
          </w:tcPr>
          <w:p w14:paraId="6CBC4F49" w14:textId="77777777" w:rsidR="00C95D96" w:rsidRPr="00D21DFA"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6B1F143A" w14:textId="77777777" w:rsidTr="00446D67">
        <w:trPr>
          <w:trHeight w:val="516"/>
        </w:trPr>
        <w:tc>
          <w:tcPr>
            <w:tcW w:w="2724" w:type="dxa"/>
            <w:tcBorders>
              <w:top w:val="single" w:sz="4" w:space="0" w:color="000000"/>
              <w:left w:val="single" w:sz="4" w:space="0" w:color="000000"/>
              <w:bottom w:val="single" w:sz="4" w:space="0" w:color="000000"/>
              <w:right w:val="single" w:sz="4" w:space="0" w:color="000000"/>
            </w:tcBorders>
          </w:tcPr>
          <w:p w14:paraId="5793A2C8" w14:textId="77777777"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Insultas, sisteminė embolija, MI arba mirtis, kurios priežastis – kraujagyslių sutrikimai *</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5D8C8E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789FC4C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244D842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0,66 (0,53, 0,83) </w:t>
            </w:r>
          </w:p>
        </w:tc>
        <w:tc>
          <w:tcPr>
            <w:tcW w:w="1228" w:type="dxa"/>
            <w:tcBorders>
              <w:top w:val="single" w:sz="4" w:space="0" w:color="000000"/>
              <w:left w:val="single" w:sz="4" w:space="0" w:color="000000"/>
              <w:bottom w:val="single" w:sz="4" w:space="0" w:color="000000"/>
              <w:right w:val="single" w:sz="4" w:space="0" w:color="000000"/>
            </w:tcBorders>
          </w:tcPr>
          <w:p w14:paraId="4CD38EE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0,003 </w:t>
            </w:r>
          </w:p>
        </w:tc>
      </w:tr>
      <w:tr w:rsidR="00C95D96" w:rsidRPr="00D21DFA" w14:paraId="024F147F"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2257F81F" w14:textId="77777777" w:rsidR="00C95D96" w:rsidRPr="00D21DFA" w:rsidRDefault="00C95D96" w:rsidP="00C95D96">
            <w:pPr>
              <w:tabs>
                <w:tab w:val="left" w:pos="567"/>
              </w:tabs>
              <w:spacing w:after="0" w:line="240" w:lineRule="auto"/>
              <w:ind w:left="275"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Miokardo infarktas</w:t>
            </w:r>
          </w:p>
        </w:tc>
        <w:tc>
          <w:tcPr>
            <w:tcW w:w="1560" w:type="dxa"/>
            <w:tcBorders>
              <w:top w:val="single" w:sz="4" w:space="0" w:color="000000"/>
              <w:left w:val="single" w:sz="4" w:space="0" w:color="000000"/>
              <w:bottom w:val="single" w:sz="4" w:space="0" w:color="000000"/>
              <w:right w:val="single" w:sz="4" w:space="0" w:color="000000"/>
            </w:tcBorders>
          </w:tcPr>
          <w:p w14:paraId="23D68B4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78A9668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15D0079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0,86 (0,50, 1,48) </w:t>
            </w:r>
          </w:p>
        </w:tc>
        <w:tc>
          <w:tcPr>
            <w:tcW w:w="1228" w:type="dxa"/>
            <w:tcBorders>
              <w:top w:val="single" w:sz="4" w:space="0" w:color="000000"/>
              <w:left w:val="single" w:sz="4" w:space="0" w:color="000000"/>
              <w:bottom w:val="single" w:sz="4" w:space="0" w:color="000000"/>
              <w:right w:val="single" w:sz="4" w:space="0" w:color="000000"/>
            </w:tcBorders>
          </w:tcPr>
          <w:p w14:paraId="68BEFF25" w14:textId="77777777" w:rsidR="00C95D96" w:rsidRPr="00D21DFA"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C6ABEA7"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2ED20EC0" w14:textId="77777777" w:rsidR="00C95D96" w:rsidRPr="00D21DFA" w:rsidRDefault="00C95D96" w:rsidP="00C95D96">
            <w:pPr>
              <w:tabs>
                <w:tab w:val="left" w:pos="567"/>
              </w:tabs>
              <w:spacing w:after="0" w:line="240" w:lineRule="auto"/>
              <w:ind w:left="275"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4B8CA19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6D1FCD0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780AA2E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0,87 (0,65, 1,17) </w:t>
            </w:r>
          </w:p>
        </w:tc>
        <w:tc>
          <w:tcPr>
            <w:tcW w:w="1228" w:type="dxa"/>
            <w:tcBorders>
              <w:top w:val="single" w:sz="4" w:space="0" w:color="000000"/>
              <w:left w:val="single" w:sz="4" w:space="0" w:color="000000"/>
              <w:bottom w:val="single" w:sz="4" w:space="0" w:color="000000"/>
              <w:right w:val="single" w:sz="4" w:space="0" w:color="000000"/>
            </w:tcBorders>
          </w:tcPr>
          <w:p w14:paraId="4B1915EB" w14:textId="77777777" w:rsidR="00C95D96" w:rsidRPr="00D21DFA" w:rsidRDefault="00C95D96" w:rsidP="00C95D96">
            <w:pPr>
              <w:tabs>
                <w:tab w:val="left" w:pos="567"/>
              </w:tabs>
              <w:spacing w:after="0" w:line="240" w:lineRule="auto"/>
              <w:ind w:left="29"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6D19BD16"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4620BDD2" w14:textId="1EDDAF4D"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Mirtis dėl </w:t>
            </w:r>
            <w:r w:rsidR="00E037FC"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0"/>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11F011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4D7AE85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7F2F2E2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0,79 (0,62, 1,02) </w:t>
            </w:r>
          </w:p>
        </w:tc>
        <w:tc>
          <w:tcPr>
            <w:tcW w:w="1228" w:type="dxa"/>
            <w:tcBorders>
              <w:top w:val="single" w:sz="4" w:space="0" w:color="000000"/>
              <w:left w:val="single" w:sz="4" w:space="0" w:color="000000"/>
              <w:bottom w:val="single" w:sz="4" w:space="0" w:color="000000"/>
              <w:right w:val="single" w:sz="4" w:space="0" w:color="000000"/>
            </w:tcBorders>
          </w:tcPr>
          <w:p w14:paraId="500BBB3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0,068 </w:t>
            </w:r>
          </w:p>
        </w:tc>
      </w:tr>
    </w:tbl>
    <w:p w14:paraId="0F77F739" w14:textId="77777777" w:rsidR="00C95D96" w:rsidRPr="00D21DFA" w:rsidRDefault="00C95D96" w:rsidP="00C95D96">
      <w:pPr>
        <w:tabs>
          <w:tab w:val="left" w:pos="567"/>
          <w:tab w:val="left" w:pos="9214"/>
        </w:tabs>
        <w:spacing w:after="0" w:line="240" w:lineRule="auto"/>
        <w:ind w:right="-2" w:firstLine="14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Įvertinant pagal nuosekliąją bandymų strategiją, skirtą I tipo paklaidoms kontroliuoti tyrimų metu. </w:t>
      </w:r>
    </w:p>
    <w:p w14:paraId="0853ED7F" w14:textId="77777777" w:rsidR="00C95D96" w:rsidRPr="00D21DFA" w:rsidRDefault="00C95D96" w:rsidP="00C95D96">
      <w:pPr>
        <w:tabs>
          <w:tab w:val="left" w:pos="567"/>
          <w:tab w:val="left" w:pos="9214"/>
        </w:tabs>
        <w:spacing w:after="0" w:line="240" w:lineRule="auto"/>
        <w:ind w:right="-2" w:firstLine="14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Antrinė vertinamoji baigtis.</w:t>
      </w:r>
    </w:p>
    <w:p w14:paraId="16CAE5E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0E35ED6" w14:textId="1CE611A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Statistiškai reikšmingų stipraus kraujavimo dažnio skirtumų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 ASR nebuvo (žr. </w:t>
      </w:r>
      <w:r w:rsidR="005738CA" w:rsidRPr="00D21DFA">
        <w:rPr>
          <w:rFonts w:ascii="Times New Roman" w:eastAsia="Times New Roman" w:hAnsi="Times New Roman" w:cs="Times New Roman"/>
          <w:snapToGrid w:val="0"/>
          <w:kern w:val="0"/>
          <w:sz w:val="22"/>
          <w:szCs w:val="20"/>
          <w14:ligatures w14:val="none"/>
        </w:rPr>
        <w:t>10</w:t>
      </w:r>
      <w:r w:rsidRPr="00D21DFA">
        <w:rPr>
          <w:rFonts w:ascii="Times New Roman" w:eastAsia="Times New Roman" w:hAnsi="Times New Roman" w:cs="Times New Roman"/>
          <w:snapToGrid w:val="0"/>
          <w:kern w:val="0"/>
          <w:sz w:val="22"/>
          <w:szCs w:val="20"/>
          <w14:ligatures w14:val="none"/>
        </w:rPr>
        <w:t xml:space="preserve"> lentelę). </w:t>
      </w:r>
    </w:p>
    <w:p w14:paraId="2DB9F1E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816982" w14:textId="4140FF13" w:rsidR="00C95D96" w:rsidRPr="00D21DFA" w:rsidRDefault="005738CA" w:rsidP="00C95D96">
      <w:pPr>
        <w:tabs>
          <w:tab w:val="left" w:pos="567"/>
          <w:tab w:val="left" w:pos="9214"/>
        </w:tabs>
        <w:spacing w:after="120" w:line="240" w:lineRule="auto"/>
        <w:ind w:left="993" w:right="-2" w:hanging="851"/>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10</w:t>
      </w:r>
      <w:r w:rsidR="00C95D96" w:rsidRPr="00D21DFA">
        <w:rPr>
          <w:rFonts w:ascii="Times New Roman" w:eastAsia="Times New Roman" w:hAnsi="Times New Roman" w:cs="Times New Roman"/>
          <w:b/>
          <w:bCs/>
          <w:snapToGrid w:val="0"/>
          <w:kern w:val="0"/>
          <w:sz w:val="22"/>
          <w:szCs w:val="20"/>
          <w14:ligatures w14:val="none"/>
        </w:rPr>
        <w:t xml:space="preserve"> lentelė. Kraujavimo reiškiniai pacientams, kuriems yra prieširdžių virpėjimas, AVERROES tyrimo metu</w:t>
      </w:r>
    </w:p>
    <w:tbl>
      <w:tblPr>
        <w:tblW w:w="8818" w:type="dxa"/>
        <w:tblInd w:w="108" w:type="dxa"/>
        <w:tblCellMar>
          <w:top w:w="55" w:type="dxa"/>
          <w:right w:w="92" w:type="dxa"/>
        </w:tblCellMar>
        <w:tblLook w:val="04A0" w:firstRow="1" w:lastRow="0" w:firstColumn="1" w:lastColumn="0" w:noHBand="0" w:noVBand="1"/>
      </w:tblPr>
      <w:tblGrid>
        <w:gridCol w:w="1834"/>
        <w:gridCol w:w="1980"/>
        <w:gridCol w:w="1710"/>
        <w:gridCol w:w="2070"/>
        <w:gridCol w:w="1224"/>
      </w:tblGrid>
      <w:tr w:rsidR="00C95D96" w:rsidRPr="00D21DFA" w14:paraId="58172DC7" w14:textId="77777777" w:rsidTr="00446D67">
        <w:trPr>
          <w:trHeight w:val="769"/>
        </w:trPr>
        <w:tc>
          <w:tcPr>
            <w:tcW w:w="1834" w:type="dxa"/>
            <w:tcBorders>
              <w:top w:val="single" w:sz="4" w:space="0" w:color="000000"/>
              <w:left w:val="single" w:sz="4" w:space="0" w:color="000000"/>
              <w:bottom w:val="single" w:sz="4" w:space="0" w:color="000000"/>
              <w:right w:val="single" w:sz="4" w:space="0" w:color="000000"/>
            </w:tcBorders>
          </w:tcPr>
          <w:p w14:paraId="6CB96F9C" w14:textId="77777777" w:rsidR="00C95D96" w:rsidRPr="00D21DFA" w:rsidRDefault="00C95D96" w:rsidP="00C95D96">
            <w:pPr>
              <w:tabs>
                <w:tab w:val="left" w:pos="567"/>
              </w:tabs>
              <w:spacing w:after="0" w:line="240" w:lineRule="auto"/>
              <w:ind w:left="3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0FBB1D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p>
          <w:p w14:paraId="72E2CD8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2 798 </w:t>
            </w:r>
          </w:p>
          <w:p w14:paraId="01F3FCB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083249A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ASR </w:t>
            </w:r>
          </w:p>
          <w:p w14:paraId="0C40515B" w14:textId="77777777" w:rsidR="00C95D96" w:rsidRPr="00D21DFA" w:rsidRDefault="00C95D96" w:rsidP="00C95D96">
            <w:pPr>
              <w:tabs>
                <w:tab w:val="left" w:pos="567"/>
              </w:tabs>
              <w:spacing w:after="0" w:line="240" w:lineRule="auto"/>
              <w:ind w:left="236"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2 780 </w:t>
            </w:r>
          </w:p>
          <w:p w14:paraId="1A7DD7AF" w14:textId="77777777" w:rsidR="00C95D96" w:rsidRPr="00D21DFA" w:rsidRDefault="00C95D96" w:rsidP="00C95D96">
            <w:pPr>
              <w:tabs>
                <w:tab w:val="left" w:pos="567"/>
              </w:tabs>
              <w:spacing w:after="0" w:line="240" w:lineRule="auto"/>
              <w:ind w:left="236" w:right="-2" w:hanging="154"/>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68C811A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Santykinė rizika (95 %PI) </w:t>
            </w:r>
          </w:p>
        </w:tc>
        <w:tc>
          <w:tcPr>
            <w:tcW w:w="1224" w:type="dxa"/>
            <w:tcBorders>
              <w:top w:val="single" w:sz="4" w:space="0" w:color="000000"/>
              <w:left w:val="single" w:sz="4" w:space="0" w:color="000000"/>
              <w:bottom w:val="single" w:sz="4" w:space="0" w:color="000000"/>
              <w:right w:val="single" w:sz="4" w:space="0" w:color="000000"/>
            </w:tcBorders>
          </w:tcPr>
          <w:p w14:paraId="5E5AAFCD" w14:textId="77777777" w:rsidR="00C95D96" w:rsidRPr="00D21DFA"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p-reikšmė</w:t>
            </w:r>
          </w:p>
        </w:tc>
      </w:tr>
      <w:tr w:rsidR="00C95D96" w:rsidRPr="00D21DFA" w14:paraId="0B1F7E84" w14:textId="77777777" w:rsidTr="00446D67">
        <w:trPr>
          <w:trHeight w:val="289"/>
        </w:trPr>
        <w:tc>
          <w:tcPr>
            <w:tcW w:w="1834" w:type="dxa"/>
            <w:tcBorders>
              <w:top w:val="single" w:sz="4" w:space="0" w:color="000000"/>
              <w:left w:val="single" w:sz="4" w:space="0" w:color="000000"/>
              <w:bottom w:val="single" w:sz="4" w:space="0" w:color="000000"/>
              <w:right w:val="single" w:sz="4" w:space="0" w:color="000000"/>
            </w:tcBorders>
          </w:tcPr>
          <w:p w14:paraId="0C44112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Stiprus*</w:t>
            </w:r>
            <w:r w:rsidRPr="00D21DFA">
              <w:rPr>
                <w:rFonts w:ascii="Times New Roman" w:eastAsia="Times New Roman" w:hAnsi="Times New Roman" w:cs="Times New Roman"/>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A51A65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1966DD1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1A3C05B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1,54 (0,96, 2,45)  </w:t>
            </w:r>
          </w:p>
        </w:tc>
        <w:tc>
          <w:tcPr>
            <w:tcW w:w="1224" w:type="dxa"/>
            <w:tcBorders>
              <w:top w:val="single" w:sz="4" w:space="0" w:color="000000"/>
              <w:left w:val="single" w:sz="4" w:space="0" w:color="000000"/>
              <w:bottom w:val="single" w:sz="4" w:space="0" w:color="000000"/>
              <w:right w:val="single" w:sz="4" w:space="0" w:color="000000"/>
            </w:tcBorders>
          </w:tcPr>
          <w:p w14:paraId="0BB3C88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0,0716 </w:t>
            </w:r>
          </w:p>
        </w:tc>
      </w:tr>
      <w:tr w:rsidR="00C95D96" w:rsidRPr="00D21DFA" w14:paraId="397DCA07" w14:textId="77777777" w:rsidTr="00446D67">
        <w:trPr>
          <w:trHeight w:val="280"/>
        </w:trPr>
        <w:tc>
          <w:tcPr>
            <w:tcW w:w="1834" w:type="dxa"/>
            <w:tcBorders>
              <w:top w:val="single" w:sz="4" w:space="0" w:color="000000"/>
              <w:left w:val="single" w:sz="4" w:space="0" w:color="000000"/>
              <w:bottom w:val="single" w:sz="4" w:space="0" w:color="000000"/>
              <w:right w:val="single" w:sz="4" w:space="0" w:color="000000"/>
            </w:tcBorders>
          </w:tcPr>
          <w:p w14:paraId="5245414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45E62AE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2A084E7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1BB6D258"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FB04CC4"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4C026F9D" w14:textId="77777777" w:rsidTr="00446D67">
        <w:trPr>
          <w:trHeight w:val="264"/>
        </w:trPr>
        <w:tc>
          <w:tcPr>
            <w:tcW w:w="1834" w:type="dxa"/>
            <w:tcBorders>
              <w:top w:val="single" w:sz="4" w:space="0" w:color="000000"/>
              <w:left w:val="single" w:sz="4" w:space="0" w:color="000000"/>
              <w:bottom w:val="single" w:sz="4" w:space="0" w:color="000000"/>
              <w:right w:val="single" w:sz="4" w:space="0" w:color="000000"/>
            </w:tcBorders>
          </w:tcPr>
          <w:p w14:paraId="29BC4BA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kern w:val="0"/>
                <w:sz w:val="22"/>
                <w:szCs w:val="22"/>
                <w14:ligatures w14:val="none"/>
              </w:rPr>
              <w:t>Intrakranijinis</w:t>
            </w:r>
            <w:proofErr w:type="spellEnd"/>
            <w:r w:rsidRPr="00D21DFA">
              <w:rPr>
                <w:rFonts w:ascii="Times New Roman" w:eastAsia="Times New Roman" w:hAnsi="Times New Roman" w:cs="Times New Roman"/>
                <w:kern w:val="0"/>
                <w:sz w:val="22"/>
                <w:szCs w:val="22"/>
                <w14:ligatures w14:val="none"/>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37B0239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7B51EF0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114AFE70"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50FD8F2"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2C3697A" w14:textId="77777777" w:rsidTr="00446D67">
        <w:trPr>
          <w:trHeight w:val="288"/>
        </w:trPr>
        <w:tc>
          <w:tcPr>
            <w:tcW w:w="1834" w:type="dxa"/>
            <w:tcBorders>
              <w:top w:val="single" w:sz="4" w:space="0" w:color="000000"/>
              <w:left w:val="single" w:sz="4" w:space="0" w:color="000000"/>
              <w:bottom w:val="single" w:sz="4" w:space="0" w:color="000000"/>
              <w:right w:val="single" w:sz="4" w:space="0" w:color="000000"/>
            </w:tcBorders>
          </w:tcPr>
          <w:p w14:paraId="1480C09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2A6A141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4290792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3B85017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1,38 (1,07, 1,78) </w:t>
            </w:r>
          </w:p>
        </w:tc>
        <w:tc>
          <w:tcPr>
            <w:tcW w:w="1224" w:type="dxa"/>
            <w:tcBorders>
              <w:top w:val="single" w:sz="4" w:space="0" w:color="000000"/>
              <w:left w:val="single" w:sz="4" w:space="0" w:color="000000"/>
              <w:bottom w:val="single" w:sz="4" w:space="0" w:color="000000"/>
              <w:right w:val="single" w:sz="4" w:space="0" w:color="000000"/>
            </w:tcBorders>
          </w:tcPr>
          <w:p w14:paraId="78954D4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0,0144 </w:t>
            </w:r>
          </w:p>
        </w:tc>
      </w:tr>
      <w:tr w:rsidR="00C95D96" w:rsidRPr="00D21DFA" w14:paraId="7BAB9323" w14:textId="77777777" w:rsidTr="00446D67">
        <w:trPr>
          <w:trHeight w:val="350"/>
        </w:trPr>
        <w:tc>
          <w:tcPr>
            <w:tcW w:w="1834" w:type="dxa"/>
            <w:tcBorders>
              <w:top w:val="single" w:sz="4" w:space="0" w:color="000000"/>
              <w:left w:val="single" w:sz="4" w:space="0" w:color="000000"/>
              <w:bottom w:val="single" w:sz="4" w:space="0" w:color="000000"/>
              <w:right w:val="single" w:sz="4" w:space="0" w:color="000000"/>
            </w:tcBorders>
          </w:tcPr>
          <w:p w14:paraId="6DB2336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6869E3B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41517E1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6E5EB19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1,30 (1,10, 1,53) </w:t>
            </w:r>
          </w:p>
        </w:tc>
        <w:tc>
          <w:tcPr>
            <w:tcW w:w="1224" w:type="dxa"/>
            <w:tcBorders>
              <w:top w:val="single" w:sz="4" w:space="0" w:color="000000"/>
              <w:left w:val="single" w:sz="4" w:space="0" w:color="000000"/>
              <w:bottom w:val="single" w:sz="4" w:space="0" w:color="000000"/>
              <w:right w:val="single" w:sz="4" w:space="0" w:color="000000"/>
            </w:tcBorders>
          </w:tcPr>
          <w:p w14:paraId="41D0A08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0,0017 </w:t>
            </w:r>
          </w:p>
        </w:tc>
      </w:tr>
    </w:tbl>
    <w:p w14:paraId="0038B116" w14:textId="77777777" w:rsidR="00C95D96" w:rsidRPr="00D21DFA"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Stiprus kraujavimas apibūdinamas pagal tarptautinės trombozės ir hemostazės asociacijos (angl</w:t>
      </w:r>
      <w:r w:rsidRPr="00D21DFA">
        <w:rPr>
          <w:rFonts w:ascii="Times New Roman" w:eastAsia="Times New Roman" w:hAnsi="Times New Roman" w:cs="Times New Roman"/>
          <w:i/>
          <w:snapToGrid w:val="0"/>
          <w:kern w:val="0"/>
          <w:sz w:val="22"/>
          <w:szCs w:val="22"/>
          <w14:ligatures w14:val="none"/>
        </w:rPr>
        <w:t xml:space="preserve">., International </w:t>
      </w:r>
      <w:proofErr w:type="spellStart"/>
      <w:r w:rsidRPr="00D21DFA">
        <w:rPr>
          <w:rFonts w:ascii="Times New Roman" w:eastAsia="Times New Roman" w:hAnsi="Times New Roman" w:cs="Times New Roman"/>
          <w:i/>
          <w:snapToGrid w:val="0"/>
          <w:kern w:val="0"/>
          <w:sz w:val="22"/>
          <w:szCs w:val="22"/>
          <w14:ligatures w14:val="none"/>
        </w:rPr>
        <w:t>Society</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on</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Thrombosis</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and</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Haemostasis</w:t>
      </w:r>
      <w:proofErr w:type="spellEnd"/>
      <w:r w:rsidRPr="00D21DFA">
        <w:rPr>
          <w:rFonts w:ascii="Times New Roman" w:eastAsia="Times New Roman" w:hAnsi="Times New Roman" w:cs="Times New Roman"/>
          <w:i/>
          <w:snapToGrid w:val="0"/>
          <w:kern w:val="0"/>
          <w:sz w:val="22"/>
          <w:szCs w:val="22"/>
          <w14:ligatures w14:val="none"/>
        </w:rPr>
        <w:t xml:space="preserve"> [ISTH]</w:t>
      </w:r>
      <w:r w:rsidRPr="00D21DFA">
        <w:rPr>
          <w:rFonts w:ascii="Times New Roman" w:eastAsia="Times New Roman" w:hAnsi="Times New Roman" w:cs="Times New Roman"/>
          <w:snapToGrid w:val="0"/>
          <w:kern w:val="0"/>
          <w:sz w:val="22"/>
          <w:szCs w:val="22"/>
          <w14:ligatures w14:val="none"/>
        </w:rPr>
        <w:t>) kriterijus.</w:t>
      </w:r>
    </w:p>
    <w:p w14:paraId="19EE46C7" w14:textId="77777777"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Klinikiniu požiūriu reikšmingas nestiprus kraujavimas.</w:t>
      </w:r>
    </w:p>
    <w:p w14:paraId="651DF31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0"/>
          <w:szCs w:val="20"/>
          <w14:ligatures w14:val="none"/>
        </w:rPr>
      </w:pPr>
    </w:p>
    <w:p w14:paraId="4903CDC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Pacientai, kuriems pasireiškia VPNV, ir serga ŪKS ir (arba) atliekama PVAI</w:t>
      </w:r>
    </w:p>
    <w:p w14:paraId="31F9D9C1" w14:textId="10360248"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AUGUSTUS atvirajame atsitiktinių imčių, kontroliuojamame</w:t>
      </w:r>
      <w:r w:rsidR="00A92FE5"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2</w:t>
      </w:r>
      <w:r w:rsidRPr="00D21DFA">
        <w:rPr>
          <w:rFonts w:ascii="Times New Roman" w:eastAsia="Times New Roman" w:hAnsi="Times New Roman" w:cs="Times New Roman"/>
          <w:snapToGrid w:val="0"/>
          <w:kern w:val="0"/>
          <w:sz w:val="22"/>
          <w:szCs w:val="20"/>
          <w14:ligatures w14:val="none"/>
        </w:rPr>
        <w:noBreakHyphen/>
        <w:t xml:space="preserve">2 veiksnių modelio tyrime dalyvavo 4614 VNPV patiriantys </w:t>
      </w:r>
      <w:r w:rsidR="005738CA"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sergantys ŪKS (43 %) ir (arba) kuriems buvo atlikta </w:t>
      </w:r>
      <w:proofErr w:type="spellStart"/>
      <w:r w:rsidRPr="00D21DFA">
        <w:rPr>
          <w:rFonts w:ascii="Times New Roman" w:eastAsia="Times New Roman" w:hAnsi="Times New Roman" w:cs="Times New Roman"/>
          <w:snapToGrid w:val="0"/>
          <w:kern w:val="0"/>
          <w:sz w:val="22"/>
          <w:szCs w:val="20"/>
          <w14:ligatures w14:val="none"/>
        </w:rPr>
        <w:t>perkutaninė</w:t>
      </w:r>
      <w:proofErr w:type="spellEnd"/>
      <w:r w:rsidRPr="00D21DFA">
        <w:rPr>
          <w:rFonts w:ascii="Times New Roman" w:eastAsia="Times New Roman" w:hAnsi="Times New Roman" w:cs="Times New Roman"/>
          <w:snapToGrid w:val="0"/>
          <w:kern w:val="0"/>
          <w:sz w:val="22"/>
          <w:szCs w:val="20"/>
          <w14:ligatures w14:val="none"/>
        </w:rPr>
        <w:t xml:space="preserve"> </w:t>
      </w:r>
      <w:r w:rsidR="009A2441" w:rsidRPr="00D21DFA">
        <w:rPr>
          <w:rFonts w:ascii="Times New Roman" w:eastAsia="Times New Roman" w:hAnsi="Times New Roman" w:cs="Times New Roman"/>
          <w:snapToGrid w:val="0"/>
          <w:kern w:val="0"/>
          <w:sz w:val="22"/>
          <w:szCs w:val="20"/>
          <w14:ligatures w14:val="none"/>
        </w:rPr>
        <w:t>vainikinių arterijų</w:t>
      </w:r>
      <w:r w:rsidRPr="00D21DFA">
        <w:rPr>
          <w:rFonts w:ascii="Times New Roman" w:eastAsia="Times New Roman" w:hAnsi="Times New Roman" w:cs="Times New Roman"/>
          <w:snapToGrid w:val="0"/>
          <w:kern w:val="0"/>
          <w:sz w:val="22"/>
          <w:szCs w:val="20"/>
          <w14:ligatures w14:val="none"/>
        </w:rPr>
        <w:t xml:space="preserve"> intervencija (PVAI) (56 %). Visiems pacientams skirtas bazinis gydymas P2Y12 inhibitoriumi (</w:t>
      </w:r>
      <w:proofErr w:type="spellStart"/>
      <w:r w:rsidRPr="00D21DFA">
        <w:rPr>
          <w:rFonts w:ascii="Times New Roman" w:eastAsia="Times New Roman" w:hAnsi="Times New Roman" w:cs="Times New Roman"/>
          <w:snapToGrid w:val="0"/>
          <w:kern w:val="0"/>
          <w:sz w:val="22"/>
          <w:szCs w:val="20"/>
          <w14:ligatures w14:val="none"/>
        </w:rPr>
        <w:t>klopidogreliu</w:t>
      </w:r>
      <w:proofErr w:type="spellEnd"/>
      <w:r w:rsidRPr="00D21DFA">
        <w:rPr>
          <w:rFonts w:ascii="Times New Roman" w:eastAsia="Times New Roman" w:hAnsi="Times New Roman" w:cs="Times New Roman"/>
          <w:snapToGrid w:val="0"/>
          <w:kern w:val="0"/>
          <w:sz w:val="22"/>
          <w:szCs w:val="20"/>
          <w14:ligatures w14:val="none"/>
        </w:rPr>
        <w:t xml:space="preserve"> 90,3 %), laikantis vietinių gydymo standartų.</w:t>
      </w:r>
    </w:p>
    <w:p w14:paraId="59239D2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64FB090" w14:textId="08EB2D3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per 14 parų po ŪKS ir (arba) PVAI buvo atsitiktinės atrankos būdu suskirstyti į grupes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 5 mg du kartus per parą (po 2,5 mg du kartus per parą jeigu atitiko du ar daugiau dozės mažinimo kriterijų; tokių buvo 4,2 %) arba VKA, kartu skiriant ASR (81 mg kartą per parą) arba placebo. Amžiaus vidurkis buvo 69,9 metų, 94 % atsitiktinės atrankos būdu paskirstytų pacientų pagal CHA2DS2-Vasc skalę įvertinti &gt; 2 balais, o 47 % atitiko HAS-BLED skalės &gt; 3 balus. Pacientai, kuriems atsitiktinės atrankos būdu paskirta vartoti VKA, laiko, kai vertės atitiko gydomąjį </w:t>
      </w:r>
      <w:r w:rsidR="00C916BD" w:rsidRPr="00D21DFA">
        <w:rPr>
          <w:rFonts w:ascii="Times New Roman" w:eastAsia="Times New Roman" w:hAnsi="Times New Roman" w:cs="Times New Roman"/>
          <w:snapToGrid w:val="0"/>
          <w:kern w:val="0"/>
          <w:sz w:val="22"/>
          <w:szCs w:val="20"/>
          <w14:ligatures w14:val="none"/>
        </w:rPr>
        <w:t>intervalą</w:t>
      </w:r>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snapToGrid w:val="0"/>
          <w:kern w:val="0"/>
          <w:sz w:val="22"/>
          <w:szCs w:val="20"/>
          <w14:ligatures w14:val="none"/>
        </w:rPr>
        <w:t>TTR</w:t>
      </w:r>
      <w:r w:rsidRPr="00D21DFA">
        <w:rPr>
          <w:rFonts w:ascii="Times New Roman" w:eastAsia="Times New Roman" w:hAnsi="Times New Roman" w:cs="Times New Roman"/>
          <w:snapToGrid w:val="0"/>
          <w:kern w:val="0"/>
          <w:sz w:val="22"/>
          <w:szCs w:val="20"/>
          <w14:ligatures w14:val="none"/>
        </w:rPr>
        <w:t>) (TNS 2</w:t>
      </w:r>
      <w:r w:rsidRPr="00D21DFA">
        <w:rPr>
          <w:rFonts w:ascii="Times New Roman" w:eastAsia="Times New Roman" w:hAnsi="Times New Roman" w:cs="Times New Roman"/>
          <w:snapToGrid w:val="0"/>
          <w:kern w:val="0"/>
          <w:sz w:val="22"/>
          <w:szCs w:val="20"/>
          <w14:ligatures w14:val="none"/>
        </w:rPr>
        <w:noBreakHyphen/>
        <w:t>3), proporcinė dalis buvo 56 %; laiko, kai vertės buvo mažesnės nei TTR – 32 %, o laiko, kai vertės buvo aukštesnės už TTR – 12 %.</w:t>
      </w:r>
    </w:p>
    <w:p w14:paraId="7A35594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AEF83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Pagrindinis AUGUSTUS tyrimo tikslas buvo saugumo įvertinimas, o pagrindinė vertinamoji baigtis - stiprus kraujavimas pagal </w:t>
      </w:r>
      <w:r w:rsidRPr="00D21DFA">
        <w:rPr>
          <w:rFonts w:ascii="Times New Roman" w:eastAsia="Times New Roman" w:hAnsi="Times New Roman" w:cs="Times New Roman"/>
          <w:i/>
          <w:snapToGrid w:val="0"/>
          <w:kern w:val="0"/>
          <w:sz w:val="22"/>
          <w:szCs w:val="20"/>
          <w14:ligatures w14:val="none"/>
        </w:rPr>
        <w:t xml:space="preserve">ISTH </w:t>
      </w:r>
      <w:r w:rsidRPr="00D21DFA">
        <w:rPr>
          <w:rFonts w:ascii="Times New Roman" w:eastAsia="Times New Roman" w:hAnsi="Times New Roman" w:cs="Times New Roman"/>
          <w:snapToGrid w:val="0"/>
          <w:kern w:val="0"/>
          <w:sz w:val="22"/>
          <w:szCs w:val="20"/>
          <w14:ligatures w14:val="none"/>
        </w:rPr>
        <w:t xml:space="preserve">arba KRNS kraujavimas. Palyginus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su VKA, pagrindinė saugumo vertinamoji baigtis buvo stiprus kraujavimas pagal</w:t>
      </w:r>
      <w:r w:rsidRPr="00D21DFA">
        <w:rPr>
          <w:rFonts w:ascii="Times New Roman" w:eastAsia="Times New Roman" w:hAnsi="Times New Roman" w:cs="Times New Roman"/>
          <w:i/>
          <w:snapToGrid w:val="0"/>
          <w:kern w:val="0"/>
          <w:sz w:val="22"/>
          <w:szCs w:val="20"/>
          <w14:ligatures w14:val="none"/>
        </w:rPr>
        <w:t xml:space="preserve"> ISTH</w:t>
      </w:r>
      <w:r w:rsidRPr="00D21DFA">
        <w:rPr>
          <w:rFonts w:ascii="Times New Roman" w:eastAsia="Times New Roman" w:hAnsi="Times New Roman" w:cs="Times New Roman"/>
          <w:snapToGrid w:val="0"/>
          <w:kern w:val="0"/>
          <w:sz w:val="22"/>
          <w:szCs w:val="20"/>
          <w14:ligatures w14:val="none"/>
        </w:rPr>
        <w:t xml:space="preserve"> arba KRNS, 6</w:t>
      </w:r>
      <w:r w:rsidRPr="00D21DFA">
        <w:rPr>
          <w:rFonts w:ascii="Times New Roman" w:eastAsia="Times New Roman" w:hAnsi="Times New Roman" w:cs="Times New Roman"/>
          <w:snapToGrid w:val="0"/>
          <w:kern w:val="0"/>
          <w:sz w:val="22"/>
          <w:szCs w:val="20"/>
          <w14:ligatures w14:val="none"/>
        </w:rPr>
        <w:noBreakHyphen/>
        <w:t xml:space="preserve">tą mėnesį pasireiškęs atitinkamai 241 pacientui (10,5 %)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332 (14,7 %) pacientams VKA grupėje (SR=0,69. 95 % PI 0,58, 0,82; dvipusio kriterijaus p &lt; 0,0001, rodanti ne prastesnį rezultatą ir p &lt; 0,0001, rodanti geresnį rezultatą). Vertinant VKA poveikį, buvo pritaikyta papildoma analizė pogrupiuose pagal TTR ir nustatyta, kad didžiausias kraujavimų dažnis susijęs su žemiausios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TTR. Kraujavimų dažnis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didžiausios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TTR pogrupiuose buvo panašus.</w:t>
      </w:r>
    </w:p>
    <w:p w14:paraId="327661A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Palyginus ASR su placebu, pagrindinė vertinamoji baigtis stiprus kraujavimas pagal</w:t>
      </w:r>
      <w:r w:rsidRPr="00D21DFA">
        <w:rPr>
          <w:rFonts w:ascii="Times New Roman" w:eastAsia="Times New Roman" w:hAnsi="Times New Roman" w:cs="Times New Roman"/>
          <w:i/>
          <w:snapToGrid w:val="0"/>
          <w:kern w:val="0"/>
          <w:sz w:val="22"/>
          <w:szCs w:val="20"/>
          <w14:ligatures w14:val="none"/>
        </w:rPr>
        <w:t xml:space="preserve"> ISTH</w:t>
      </w:r>
      <w:r w:rsidRPr="00D21DFA">
        <w:rPr>
          <w:rFonts w:ascii="Times New Roman" w:eastAsia="Times New Roman" w:hAnsi="Times New Roman" w:cs="Times New Roman"/>
          <w:snapToGrid w:val="0"/>
          <w:kern w:val="0"/>
          <w:sz w:val="22"/>
          <w:szCs w:val="20"/>
          <w14:ligatures w14:val="none"/>
        </w:rPr>
        <w:t xml:space="preserve"> arba KRNS kraujavimas 6</w:t>
      </w:r>
      <w:r w:rsidRPr="00D21DFA">
        <w:rPr>
          <w:rFonts w:ascii="Times New Roman" w:eastAsia="Times New Roman" w:hAnsi="Times New Roman" w:cs="Times New Roman"/>
          <w:snapToGrid w:val="0"/>
          <w:kern w:val="0"/>
          <w:sz w:val="22"/>
          <w:szCs w:val="20"/>
          <w14:ligatures w14:val="none"/>
        </w:rPr>
        <w:noBreakHyphen/>
        <w:t xml:space="preserve">tą mėnesį, pasireiškė atitinkamai 367 (16,1 %) ASR grupėje ir 204 (9,0 %) pacientams placebo grupėje </w:t>
      </w:r>
      <w:r w:rsidRPr="00D21DFA">
        <w:rPr>
          <w:rFonts w:ascii="Times New Roman" w:eastAsia="Times New Roman" w:hAnsi="Times New Roman" w:cs="Times New Roman"/>
          <w:kern w:val="0"/>
          <w:sz w:val="22"/>
          <w:szCs w:val="20"/>
          <w14:ligatures w14:val="none"/>
        </w:rPr>
        <w:t xml:space="preserve">(SR=1,88, 95% PI: 1,58, 2,23; dvipusio kriterijaus p &lt; 0,0001). </w:t>
      </w:r>
    </w:p>
    <w:p w14:paraId="028E0D2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E9A785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Konkrečiai,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gydytiems pacientams stiprus kraujavimas pagal </w:t>
      </w:r>
      <w:r w:rsidRPr="00D21DFA">
        <w:rPr>
          <w:rFonts w:ascii="Times New Roman" w:eastAsia="Times New Roman" w:hAnsi="Times New Roman" w:cs="Times New Roman"/>
          <w:i/>
          <w:snapToGrid w:val="0"/>
          <w:kern w:val="0"/>
          <w:sz w:val="22"/>
          <w:szCs w:val="20"/>
          <w14:ligatures w14:val="none"/>
        </w:rPr>
        <w:t>ISTH</w:t>
      </w:r>
      <w:r w:rsidRPr="00D21DFA">
        <w:rPr>
          <w:rFonts w:ascii="Times New Roman" w:eastAsia="Times New Roman" w:hAnsi="Times New Roman" w:cs="Times New Roman"/>
          <w:snapToGrid w:val="0"/>
          <w:kern w:val="0"/>
          <w:sz w:val="22"/>
          <w:szCs w:val="20"/>
          <w14:ligatures w14:val="none"/>
        </w:rPr>
        <w:t xml:space="preserve"> arba KRNS kraujavimas pasireiškė 157 (13,7 %) pacientams, vartojusiems ASR, ir 84 (7,4 %) pacientams, vartojusiems placebo. VKA gydytų pacientų grupėje stiprus kraujavimas pagal </w:t>
      </w:r>
      <w:r w:rsidRPr="00D21DFA">
        <w:rPr>
          <w:rFonts w:ascii="Times New Roman" w:eastAsia="Times New Roman" w:hAnsi="Times New Roman" w:cs="Times New Roman"/>
          <w:i/>
          <w:snapToGrid w:val="0"/>
          <w:kern w:val="0"/>
          <w:sz w:val="22"/>
          <w:szCs w:val="20"/>
          <w14:ligatures w14:val="none"/>
        </w:rPr>
        <w:t>ISTH</w:t>
      </w:r>
      <w:r w:rsidRPr="00D21DFA">
        <w:rPr>
          <w:rFonts w:ascii="Times New Roman" w:eastAsia="Times New Roman" w:hAnsi="Times New Roman" w:cs="Times New Roman"/>
          <w:snapToGrid w:val="0"/>
          <w:kern w:val="0"/>
          <w:sz w:val="22"/>
          <w:szCs w:val="20"/>
          <w14:ligatures w14:val="none"/>
        </w:rPr>
        <w:t xml:space="preserve"> arba KRNS </w:t>
      </w:r>
      <w:r w:rsidRPr="00D21DFA">
        <w:rPr>
          <w:rFonts w:ascii="Times New Roman" w:eastAsia="Times New Roman" w:hAnsi="Times New Roman" w:cs="Times New Roman"/>
          <w:snapToGrid w:val="0"/>
          <w:kern w:val="0"/>
          <w:sz w:val="22"/>
          <w:szCs w:val="20"/>
          <w14:ligatures w14:val="none"/>
        </w:rPr>
        <w:lastRenderedPageBreak/>
        <w:t>kraujavimas pasireiškė 208 (18,5 %), vartojusiems ASR, ir 122 (10,8 %) pacientams vartojusiems placebo.</w:t>
      </w:r>
    </w:p>
    <w:p w14:paraId="2706804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745E97" w14:textId="5544D70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Kiti gydymo </w:t>
      </w:r>
      <w:r w:rsidR="006375D6" w:rsidRPr="00D21DFA">
        <w:rPr>
          <w:rFonts w:ascii="Times New Roman" w:eastAsia="Times New Roman" w:hAnsi="Times New Roman" w:cs="Times New Roman"/>
          <w:snapToGrid w:val="0"/>
          <w:kern w:val="0"/>
          <w:sz w:val="22"/>
          <w:szCs w:val="20"/>
          <w14:ligatures w14:val="none"/>
        </w:rPr>
        <w:t xml:space="preserve">poveikiai </w:t>
      </w:r>
      <w:r w:rsidRPr="00D21DFA">
        <w:rPr>
          <w:rFonts w:ascii="Times New Roman" w:eastAsia="Times New Roman" w:hAnsi="Times New Roman" w:cs="Times New Roman"/>
          <w:snapToGrid w:val="0"/>
          <w:kern w:val="0"/>
          <w:sz w:val="22"/>
          <w:szCs w:val="20"/>
          <w14:ligatures w14:val="none"/>
        </w:rPr>
        <w:t>vertinti kaip antr</w:t>
      </w:r>
      <w:r w:rsidR="00FC6A1E" w:rsidRPr="00D21DFA">
        <w:rPr>
          <w:rFonts w:ascii="Times New Roman" w:eastAsia="Times New Roman" w:hAnsi="Times New Roman" w:cs="Times New Roman"/>
          <w:snapToGrid w:val="0"/>
          <w:kern w:val="0"/>
          <w:sz w:val="22"/>
          <w:szCs w:val="20"/>
          <w14:ligatures w14:val="none"/>
        </w:rPr>
        <w:t xml:space="preserve">inis </w:t>
      </w:r>
      <w:proofErr w:type="spellStart"/>
      <w:r w:rsidR="00FC6A1E" w:rsidRPr="00D21DFA">
        <w:rPr>
          <w:rFonts w:ascii="Times New Roman" w:eastAsia="Times New Roman" w:hAnsi="Times New Roman" w:cs="Times New Roman"/>
          <w:snapToGrid w:val="0"/>
          <w:kern w:val="0"/>
          <w:sz w:val="22"/>
          <w:szCs w:val="20"/>
          <w14:ligatures w14:val="none"/>
        </w:rPr>
        <w:t>tyrimo</w:t>
      </w:r>
      <w:r w:rsidRPr="00D21DFA">
        <w:rPr>
          <w:rFonts w:ascii="Times New Roman" w:eastAsia="Times New Roman" w:hAnsi="Times New Roman" w:cs="Times New Roman"/>
          <w:snapToGrid w:val="0"/>
          <w:kern w:val="0"/>
          <w:sz w:val="22"/>
          <w:szCs w:val="20"/>
          <w14:ligatures w14:val="none"/>
        </w:rPr>
        <w:t>tikslas</w:t>
      </w:r>
      <w:proofErr w:type="spellEnd"/>
      <w:r w:rsidRPr="00D21DFA">
        <w:rPr>
          <w:rFonts w:ascii="Times New Roman" w:eastAsia="Times New Roman" w:hAnsi="Times New Roman" w:cs="Times New Roman"/>
          <w:snapToGrid w:val="0"/>
          <w:kern w:val="0"/>
          <w:sz w:val="22"/>
          <w:szCs w:val="20"/>
          <w14:ligatures w14:val="none"/>
        </w:rPr>
        <w:t xml:space="preserve"> kartu su sudėtinėmis vertinamosiomis baigtimis. Palyginus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su VKA, sudėtinė vertinamoji baigtis</w:t>
      </w:r>
      <w:r w:rsidR="004640A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 mirtis arba kartotinė hospitalizacija</w:t>
      </w:r>
      <w:r w:rsidR="00DC7462"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nustatyta atitinkamai 541 (23,5 %) pacientui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632 (27,4 %) pacientams VKA grupėje. Sudėtinė vertinamoji baigtis</w:t>
      </w:r>
      <w:r w:rsidR="004640A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 mirtis arba išeminis įvykis (insultas, miokardo infarktas, </w:t>
      </w:r>
      <w:proofErr w:type="spellStart"/>
      <w:r w:rsidRPr="00D21DFA">
        <w:rPr>
          <w:rFonts w:ascii="Times New Roman" w:eastAsia="Times New Roman" w:hAnsi="Times New Roman" w:cs="Times New Roman"/>
          <w:snapToGrid w:val="0"/>
          <w:kern w:val="0"/>
          <w:sz w:val="22"/>
          <w:szCs w:val="20"/>
          <w14:ligatures w14:val="none"/>
        </w:rPr>
        <w:t>stento</w:t>
      </w:r>
      <w:proofErr w:type="spellEnd"/>
      <w:r w:rsidRPr="00D21DFA">
        <w:rPr>
          <w:rFonts w:ascii="Times New Roman" w:eastAsia="Times New Roman" w:hAnsi="Times New Roman" w:cs="Times New Roman"/>
          <w:snapToGrid w:val="0"/>
          <w:kern w:val="0"/>
          <w:sz w:val="22"/>
          <w:szCs w:val="20"/>
          <w14:ligatures w14:val="none"/>
        </w:rPr>
        <w:t xml:space="preserve"> trombozė arba skubi </w:t>
      </w:r>
      <w:proofErr w:type="spellStart"/>
      <w:r w:rsidRPr="00D21DFA">
        <w:rPr>
          <w:rFonts w:ascii="Times New Roman" w:eastAsia="Times New Roman" w:hAnsi="Times New Roman" w:cs="Times New Roman"/>
          <w:snapToGrid w:val="0"/>
          <w:kern w:val="0"/>
          <w:sz w:val="22"/>
          <w:szCs w:val="20"/>
          <w14:ligatures w14:val="none"/>
        </w:rPr>
        <w:t>revaskuliarizacija</w:t>
      </w:r>
      <w:proofErr w:type="spellEnd"/>
      <w:r w:rsidRPr="00D21DFA">
        <w:rPr>
          <w:rFonts w:ascii="Times New Roman" w:eastAsia="Times New Roman" w:hAnsi="Times New Roman" w:cs="Times New Roman"/>
          <w:snapToGrid w:val="0"/>
          <w:kern w:val="0"/>
          <w:sz w:val="22"/>
          <w:szCs w:val="20"/>
          <w14:ligatures w14:val="none"/>
        </w:rPr>
        <w:t>)</w:t>
      </w:r>
      <w:r w:rsidR="00DA293F"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nustatyta atitinkamai 170 (7,4 %) pacientų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182 (7,9 %) pacientams VKA grupėje. </w:t>
      </w:r>
    </w:p>
    <w:p w14:paraId="6E5D9A2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7F08997" w14:textId="5BC22CB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Palyginus ASR su placebu, sudėtinė vertinamoji baigtis</w:t>
      </w:r>
      <w:r w:rsidR="004640AA"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 mirtis arba kartotinė hospitalizacija</w:t>
      </w:r>
      <w:r w:rsidR="009153C0"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nustatyta atitinkamai 604 (26,2 %) pacientams ASR grupėje ir 569 (24,7 %) pacientams placebo grupėje. Sudėtinė vertinamoji baigtis</w:t>
      </w:r>
      <w:r w:rsidR="000002B5"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 mirtis arba išeminis įvykis (insultas, miokardo infarktas, </w:t>
      </w:r>
      <w:proofErr w:type="spellStart"/>
      <w:r w:rsidRPr="00D21DFA">
        <w:rPr>
          <w:rFonts w:ascii="Times New Roman" w:eastAsia="Times New Roman" w:hAnsi="Times New Roman" w:cs="Times New Roman"/>
          <w:snapToGrid w:val="0"/>
          <w:kern w:val="0"/>
          <w:sz w:val="22"/>
          <w:szCs w:val="20"/>
          <w14:ligatures w14:val="none"/>
        </w:rPr>
        <w:t>stento</w:t>
      </w:r>
      <w:proofErr w:type="spellEnd"/>
      <w:r w:rsidRPr="00D21DFA">
        <w:rPr>
          <w:rFonts w:ascii="Times New Roman" w:eastAsia="Times New Roman" w:hAnsi="Times New Roman" w:cs="Times New Roman"/>
          <w:snapToGrid w:val="0"/>
          <w:kern w:val="0"/>
          <w:sz w:val="22"/>
          <w:szCs w:val="20"/>
          <w14:ligatures w14:val="none"/>
        </w:rPr>
        <w:t xml:space="preserve"> trombozė arba skubi </w:t>
      </w:r>
      <w:proofErr w:type="spellStart"/>
      <w:r w:rsidRPr="00D21DFA">
        <w:rPr>
          <w:rFonts w:ascii="Times New Roman" w:eastAsia="Times New Roman" w:hAnsi="Times New Roman" w:cs="Times New Roman"/>
          <w:snapToGrid w:val="0"/>
          <w:kern w:val="0"/>
          <w:sz w:val="22"/>
          <w:szCs w:val="20"/>
          <w14:ligatures w14:val="none"/>
        </w:rPr>
        <w:t>revaskuliarizacija</w:t>
      </w:r>
      <w:proofErr w:type="spellEnd"/>
      <w:r w:rsidRPr="00D21DFA">
        <w:rPr>
          <w:rFonts w:ascii="Times New Roman" w:eastAsia="Times New Roman" w:hAnsi="Times New Roman" w:cs="Times New Roman"/>
          <w:snapToGrid w:val="0"/>
          <w:kern w:val="0"/>
          <w:sz w:val="22"/>
          <w:szCs w:val="20"/>
          <w14:ligatures w14:val="none"/>
        </w:rPr>
        <w:t>)</w:t>
      </w:r>
      <w:r w:rsidR="00CF400D"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nustatyta atitinkamai 163 (7,1 %) pacientams ASR grupėje ir 189 (8,2 %) pacientams placebo grupėje.</w:t>
      </w:r>
    </w:p>
    <w:p w14:paraId="01DB263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560D4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Pacientai, kuriems atlikta </w:t>
      </w:r>
      <w:proofErr w:type="spellStart"/>
      <w:r w:rsidRPr="00D21DFA">
        <w:rPr>
          <w:rFonts w:ascii="Times New Roman" w:eastAsia="Times New Roman" w:hAnsi="Times New Roman" w:cs="Times New Roman"/>
          <w:i/>
          <w:snapToGrid w:val="0"/>
          <w:kern w:val="0"/>
          <w:sz w:val="22"/>
          <w:szCs w:val="20"/>
          <w:u w:val="single"/>
          <w14:ligatures w14:val="none"/>
        </w:rPr>
        <w:t>kardioversija</w:t>
      </w:r>
      <w:proofErr w:type="spellEnd"/>
    </w:p>
    <w:p w14:paraId="334956CF" w14:textId="3561E91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Atvirajame </w:t>
      </w:r>
      <w:proofErr w:type="spellStart"/>
      <w:r w:rsidRPr="00D21DFA">
        <w:rPr>
          <w:rFonts w:ascii="Times New Roman" w:eastAsia="Times New Roman" w:hAnsi="Times New Roman" w:cs="Times New Roman"/>
          <w:snapToGrid w:val="0"/>
          <w:kern w:val="0"/>
          <w:sz w:val="22"/>
          <w:szCs w:val="20"/>
          <w14:ligatures w14:val="none"/>
        </w:rPr>
        <w:t>daugiacentriame</w:t>
      </w:r>
      <w:proofErr w:type="spellEnd"/>
      <w:r w:rsidRPr="00D21DFA">
        <w:rPr>
          <w:rFonts w:ascii="Times New Roman" w:eastAsia="Times New Roman" w:hAnsi="Times New Roman" w:cs="Times New Roman"/>
          <w:snapToGrid w:val="0"/>
          <w:kern w:val="0"/>
          <w:sz w:val="22"/>
          <w:szCs w:val="20"/>
          <w14:ligatures w14:val="none"/>
        </w:rPr>
        <w:t xml:space="preserve"> tyrime EMANATE dalyvavo 1 500 </w:t>
      </w:r>
      <w:r w:rsidR="005738CA" w:rsidRPr="00D21DFA">
        <w:rPr>
          <w:rFonts w:ascii="Times New Roman" w:eastAsia="Times New Roman" w:hAnsi="Times New Roman" w:cs="Times New Roman"/>
          <w:snapToGrid w:val="0"/>
          <w:kern w:val="0"/>
          <w:sz w:val="22"/>
          <w:szCs w:val="20"/>
          <w14:ligatures w14:val="none"/>
        </w:rPr>
        <w:t xml:space="preserve">suaugusių </w:t>
      </w:r>
      <w:r w:rsidRPr="00D21DFA">
        <w:rPr>
          <w:rFonts w:ascii="Times New Roman" w:eastAsia="Times New Roman" w:hAnsi="Times New Roman" w:cs="Times New Roman"/>
          <w:snapToGrid w:val="0"/>
          <w:kern w:val="0"/>
          <w:sz w:val="22"/>
          <w:szCs w:val="20"/>
          <w14:ligatures w14:val="none"/>
        </w:rPr>
        <w:t xml:space="preserve">pacientų, kuriems paskirta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 xml:space="preserve"> dėl VNPV ir kurie anksčiau negydyti per burną vartojamais antikoaguliantais arba paskutinę jų dozę suvartojo mažiau kaip prieš 48 valandas. Pacientai atsitiktinių imčių būdu</w:t>
      </w:r>
      <w:r w:rsidR="009353F0"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santykiu 1:1 paskirti į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arba heparino ir (arba) VKA, vartojamų širdies ir kraujagyslių reiškinių profilaktikai, grupes. Elektrinė ir (arba) farmakologinė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 xml:space="preserve"> atlikta suvartojus ne mažiau kaip 5 (penkias) 5 mg du kartus per parą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atlikti anksčiau.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įsotinamąją dozę gavo 342 pacientai (331 pacientas – 10 mg dozę ir 11 pacientų – 5 mg dozę). </w:t>
      </w:r>
    </w:p>
    <w:p w14:paraId="1F941C2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0085BD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insultų nebuvo (0 %) (n = 753), o heparino ir (arba) VKA grupėje įvyko 6 (0,80 %) insultai (n = 747; RS 0,00; 95 % PI 0,00; 0,64). Mirtis dėl įvairių priežasčių ištiko 2 pacientus (0,27 %)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1 pacientą (0,13 %) heparino ir (arba) VKA grupėje. Apie sisteminės embolijos reiškinius pranešimų negauta. </w:t>
      </w:r>
    </w:p>
    <w:p w14:paraId="2BB8C50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6BDA5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Stipraus kraujavimo ir KRNS kraujavimo reiškinių atitinkamai patyrė 3 (0,41 %) ir 11 (1,50 %) pacientų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palyginti su 6 (0,83 %) ir 13 (1,80 %) pacientų heparino ir (arba) VKA grupėje. </w:t>
      </w:r>
    </w:p>
    <w:p w14:paraId="46A4F16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CF0C6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Šis žvalgomasis tyrimas parodė, kad veiksmingumas ir saugumas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heparino bei (arba) VKA grupėse, vaistinių preparatų skiriant prieš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panašūs.</w:t>
      </w:r>
    </w:p>
    <w:p w14:paraId="621AFC5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p>
    <w:p w14:paraId="40508A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GVT gydymas, PE gydymas bei GVT ir PE pasikartojimo profilaktika (</w:t>
      </w:r>
      <w:proofErr w:type="spellStart"/>
      <w:r w:rsidRPr="00D21DFA">
        <w:rPr>
          <w:rFonts w:ascii="Times New Roman" w:eastAsia="Times New Roman" w:hAnsi="Times New Roman" w:cs="Times New Roman"/>
          <w:i/>
          <w:snapToGrid w:val="0"/>
          <w:kern w:val="0"/>
          <w:sz w:val="22"/>
          <w:szCs w:val="20"/>
          <w:u w:val="single"/>
          <w14:ligatures w14:val="none"/>
        </w:rPr>
        <w:t>VTEt</w:t>
      </w:r>
      <w:proofErr w:type="spellEnd"/>
      <w:r w:rsidRPr="00D21DFA">
        <w:rPr>
          <w:rFonts w:ascii="Times New Roman" w:eastAsia="Times New Roman" w:hAnsi="Times New Roman" w:cs="Times New Roman"/>
          <w:i/>
          <w:snapToGrid w:val="0"/>
          <w:kern w:val="0"/>
          <w:sz w:val="22"/>
          <w:szCs w:val="20"/>
          <w:u w:val="single"/>
          <w14:ligatures w14:val="none"/>
        </w:rPr>
        <w:t>)</w:t>
      </w:r>
    </w:p>
    <w:p w14:paraId="6CD0B223" w14:textId="758664F3" w:rsidR="00C95D96" w:rsidRPr="00D21DFA" w:rsidRDefault="005738C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Suaugusiųjų k</w:t>
      </w:r>
      <w:r w:rsidR="00C95D96" w:rsidRPr="00D21DFA">
        <w:rPr>
          <w:rFonts w:ascii="Times New Roman" w:eastAsia="Times New Roman" w:hAnsi="Times New Roman" w:cs="Times New Roman"/>
          <w:snapToGrid w:val="0"/>
          <w:kern w:val="0"/>
          <w:sz w:val="22"/>
          <w:szCs w:val="20"/>
          <w14:ligatures w14:val="none"/>
        </w:rPr>
        <w:t xml:space="preserve">linikinė programa (AMPLIFY: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palyginimas su </w:t>
      </w:r>
      <w:proofErr w:type="spellStart"/>
      <w:r w:rsidR="00C95D96" w:rsidRPr="00D21DFA">
        <w:rPr>
          <w:rFonts w:ascii="Times New Roman" w:eastAsia="Times New Roman" w:hAnsi="Times New Roman" w:cs="Times New Roman"/>
          <w:snapToGrid w:val="0"/>
          <w:kern w:val="0"/>
          <w:sz w:val="22"/>
          <w:szCs w:val="20"/>
          <w14:ligatures w14:val="none"/>
        </w:rPr>
        <w:t>enoksaparinu</w:t>
      </w:r>
      <w:proofErr w:type="spellEnd"/>
      <w:r w:rsidR="00C95D96" w:rsidRPr="00D21DFA">
        <w:rPr>
          <w:rFonts w:ascii="Times New Roman" w:eastAsia="Times New Roman" w:hAnsi="Times New Roman" w:cs="Times New Roman"/>
          <w:snapToGrid w:val="0"/>
          <w:kern w:val="0"/>
          <w:sz w:val="22"/>
          <w:szCs w:val="20"/>
          <w14:ligatures w14:val="none"/>
        </w:rPr>
        <w:t xml:space="preserve">/varfarinu, AMPLIFY-EXT: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palyginimas su placebo) buvo suplanuota taip, kad parodytų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veiksmingumą ir saugumą gydant GVT ir (arba) PE (AMPLIFY) ir kai po 6</w:t>
      </w:r>
      <w:r w:rsidR="00C95D96" w:rsidRPr="00D21DFA">
        <w:rPr>
          <w:rFonts w:ascii="Times New Roman" w:eastAsia="Times New Roman" w:hAnsi="Times New Roman" w:cs="Times New Roman"/>
          <w:snapToGrid w:val="0"/>
          <w:kern w:val="0"/>
          <w:sz w:val="22"/>
          <w:szCs w:val="20"/>
          <w14:ligatures w14:val="none"/>
        </w:rPr>
        <w:noBreakHyphen/>
        <w:t xml:space="preserve">12 mėnesių trukmės GVT ir (arba) PE gydymo antikoaguliantais šis vaistinis preparatas skiriamas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1D4EDCD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57B86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AMPLIFY tyrimas</w:t>
      </w:r>
    </w:p>
    <w:p w14:paraId="1ED113BC" w14:textId="64F8D88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Į AMPLIFY tyrimą atsitiktinės atrankos būdu iš viso buvo atrinkti 5 395 </w:t>
      </w:r>
      <w:r w:rsidR="005738CA"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kurie buvo gydomi per burną vartojamu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(7 paras du kartus per parą po 10 mg, po to 6 mėnesius du kartus per parą po 5 mg) arba po oda skiriamu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 (bent 5 paras du kartus per parą po 1 mg/kg (tol, kol INR pasieks ≥ 2)) ir 6 mėnesius per burną vartojamu varfarinu (tikslinis INR: 2,0</w:t>
      </w:r>
      <w:r w:rsidRPr="00D21DFA">
        <w:rPr>
          <w:rFonts w:ascii="Times New Roman" w:eastAsia="Times New Roman" w:hAnsi="Times New Roman" w:cs="Times New Roman"/>
          <w:snapToGrid w:val="0"/>
          <w:kern w:val="0"/>
          <w:sz w:val="22"/>
          <w:szCs w:val="20"/>
          <w14:ligatures w14:val="none"/>
        </w:rPr>
        <w:noBreakHyphen/>
        <w:t xml:space="preserve">3,0). </w:t>
      </w:r>
    </w:p>
    <w:p w14:paraId="55EEC37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3CDF14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Vidutinis tiriamųjų amžius buvo 56,9 metų ir 89,8 % pacientų buvo patyrę neišprovokuotų VTE reiškinių. </w:t>
      </w:r>
    </w:p>
    <w:p w14:paraId="4EAE992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36048C" w14:textId="4CF959F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kuriems atsitiktinės atrankos būdu buvo paskirta vartoti varfarino, vidutinis buvimo gydomojo </w:t>
      </w:r>
      <w:r w:rsidR="00701598" w:rsidRPr="00D21DFA">
        <w:rPr>
          <w:rFonts w:ascii="Times New Roman" w:eastAsia="Times New Roman" w:hAnsi="Times New Roman" w:cs="Times New Roman"/>
          <w:snapToGrid w:val="0"/>
          <w:kern w:val="0"/>
          <w:sz w:val="22"/>
          <w:szCs w:val="20"/>
          <w14:ligatures w14:val="none"/>
        </w:rPr>
        <w:t>intervalo</w:t>
      </w:r>
      <w:r w:rsidRPr="00D21DFA">
        <w:rPr>
          <w:rFonts w:ascii="Times New Roman" w:eastAsia="Times New Roman" w:hAnsi="Times New Roman" w:cs="Times New Roman"/>
          <w:snapToGrid w:val="0"/>
          <w:kern w:val="0"/>
          <w:sz w:val="22"/>
          <w:szCs w:val="20"/>
          <w14:ligatures w14:val="none"/>
        </w:rPr>
        <w:t xml:space="preserve"> ribose (INR 2,0</w:t>
      </w:r>
      <w:r w:rsidRPr="00D21DFA">
        <w:rPr>
          <w:rFonts w:ascii="Times New Roman" w:eastAsia="Times New Roman" w:hAnsi="Times New Roman" w:cs="Times New Roman"/>
          <w:snapToGrid w:val="0"/>
          <w:kern w:val="0"/>
          <w:sz w:val="22"/>
          <w:szCs w:val="20"/>
          <w14:ligatures w14:val="none"/>
        </w:rPr>
        <w:noBreakHyphen/>
        <w:t xml:space="preserve">3,0) laiko procentas buvo 60,9. 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sumažino pasikartojančių simptominių VTE reiškinių arba su VTE susijusios mirties atvejų skaičių, esant bet kuriam nukrypimui nuo centrinio TTR; didžiausios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nuo centrinio TTR santykinė rizika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palyginti su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 / varfarinu, buvo 0,79 (95 % PI, 0,39; 1,61). </w:t>
      </w:r>
    </w:p>
    <w:p w14:paraId="02593C1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463E26D" w14:textId="3FDBB17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 / varfarinu nebuvo pranašesnis už gydymą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(žr. 1</w:t>
      </w:r>
      <w:r w:rsidR="005738CA" w:rsidRPr="00D21DFA">
        <w:rPr>
          <w:rFonts w:ascii="Times New Roman" w:eastAsia="Times New Roman" w:hAnsi="Times New Roman" w:cs="Times New Roman"/>
          <w:snapToGrid w:val="0"/>
          <w:kern w:val="0"/>
          <w:sz w:val="22"/>
          <w:szCs w:val="20"/>
          <w14:ligatures w14:val="none"/>
        </w:rPr>
        <w:t>1</w:t>
      </w:r>
      <w:r w:rsidRPr="00D21DFA">
        <w:rPr>
          <w:rFonts w:ascii="Times New Roman" w:eastAsia="Times New Roman" w:hAnsi="Times New Roman" w:cs="Times New Roman"/>
          <w:snapToGrid w:val="0"/>
          <w:kern w:val="0"/>
          <w:sz w:val="22"/>
          <w:szCs w:val="20"/>
          <w14:ligatures w14:val="none"/>
        </w:rPr>
        <w:t xml:space="preserve"> lentelę).</w:t>
      </w:r>
    </w:p>
    <w:p w14:paraId="76F24AC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2BF409" w14:textId="6A331CEE" w:rsidR="00C95D96" w:rsidRPr="00D21DFA" w:rsidRDefault="00C95D96" w:rsidP="00C95D96">
      <w:pPr>
        <w:tabs>
          <w:tab w:val="left" w:pos="567"/>
        </w:tabs>
        <w:spacing w:after="120" w:line="240" w:lineRule="auto"/>
        <w:ind w:left="142" w:right="-2"/>
        <w:rPr>
          <w:rFonts w:ascii="Times New Roman" w:eastAsia="Times New Roman" w:hAnsi="Times New Roman" w:cs="Times New Roman"/>
          <w:b/>
          <w:bCs/>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5738CA" w:rsidRPr="00D21DFA">
        <w:rPr>
          <w:rFonts w:ascii="Times New Roman" w:eastAsia="Times New Roman" w:hAnsi="Times New Roman" w:cs="Times New Roman"/>
          <w:b/>
          <w:bCs/>
          <w:snapToGrid w:val="0"/>
          <w:kern w:val="0"/>
          <w:sz w:val="22"/>
          <w:szCs w:val="20"/>
          <w14:ligatures w14:val="none"/>
        </w:rPr>
        <w:t>1</w:t>
      </w:r>
      <w:r w:rsidRPr="00D21DFA">
        <w:rPr>
          <w:rFonts w:ascii="Times New Roman" w:eastAsia="Times New Roman" w:hAnsi="Times New Roman" w:cs="Times New Roman"/>
          <w:b/>
          <w:bCs/>
          <w:snapToGrid w:val="0"/>
          <w:kern w:val="0"/>
          <w:sz w:val="22"/>
          <w:szCs w:val="20"/>
          <w14:ligatures w14:val="none"/>
        </w:rPr>
        <w:t xml:space="preserve"> 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C95D96" w:rsidRPr="00D21DFA" w14:paraId="653F819C" w14:textId="77777777" w:rsidTr="00446D67">
        <w:trPr>
          <w:trHeight w:val="835"/>
        </w:trPr>
        <w:tc>
          <w:tcPr>
            <w:tcW w:w="1874" w:type="dxa"/>
            <w:tcBorders>
              <w:top w:val="single" w:sz="4" w:space="0" w:color="000000"/>
              <w:left w:val="single" w:sz="4" w:space="0" w:color="000000"/>
              <w:bottom w:val="single" w:sz="4" w:space="0" w:color="000000"/>
              <w:right w:val="single" w:sz="4" w:space="0" w:color="000000"/>
            </w:tcBorders>
          </w:tcPr>
          <w:p w14:paraId="593DD03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3369AAB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w:t>
            </w:r>
          </w:p>
          <w:p w14:paraId="77C80FEA" w14:textId="77777777" w:rsidR="00C95D96" w:rsidRPr="00D21DFA" w:rsidRDefault="00C95D96" w:rsidP="00C95D96">
            <w:pPr>
              <w:tabs>
                <w:tab w:val="left" w:pos="567"/>
              </w:tabs>
              <w:spacing w:after="0" w:line="240" w:lineRule="auto"/>
              <w:ind w:left="268"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N=2609 </w:t>
            </w:r>
          </w:p>
          <w:p w14:paraId="51177C7E" w14:textId="77777777" w:rsidR="00C95D96" w:rsidRPr="00D21DFA" w:rsidRDefault="00C95D96" w:rsidP="00C95D96">
            <w:pPr>
              <w:tabs>
                <w:tab w:val="left" w:pos="567"/>
              </w:tabs>
              <w:spacing w:after="0" w:line="240" w:lineRule="auto"/>
              <w:ind w:left="26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0D0FCA9D" w14:textId="77777777" w:rsidR="00C95D96" w:rsidRPr="00D21DFA" w:rsidRDefault="00C95D96" w:rsidP="00C95D96">
            <w:pPr>
              <w:tabs>
                <w:tab w:val="left" w:pos="567"/>
              </w:tabs>
              <w:spacing w:after="0" w:line="240" w:lineRule="auto"/>
              <w:ind w:left="13"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Enoksaparinas</w:t>
            </w:r>
            <w:proofErr w:type="spellEnd"/>
            <w:r w:rsidRPr="00D21DFA">
              <w:rPr>
                <w:rFonts w:ascii="Times New Roman" w:eastAsia="Times New Roman" w:hAnsi="Times New Roman" w:cs="Times New Roman"/>
                <w:b/>
                <w:kern w:val="0"/>
                <w:sz w:val="22"/>
                <w:szCs w:val="22"/>
                <w14:ligatures w14:val="none"/>
              </w:rPr>
              <w:t xml:space="preserve">/varfarinas </w:t>
            </w:r>
          </w:p>
          <w:p w14:paraId="31DC9E89" w14:textId="77777777" w:rsidR="00C95D96" w:rsidRPr="00D21DFA" w:rsidRDefault="00C95D96" w:rsidP="00C95D96">
            <w:pPr>
              <w:tabs>
                <w:tab w:val="left" w:pos="567"/>
              </w:tabs>
              <w:spacing w:after="0" w:line="240" w:lineRule="auto"/>
              <w:ind w:left="504"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N=2635 </w:t>
            </w:r>
          </w:p>
          <w:p w14:paraId="77BABBC4" w14:textId="77777777" w:rsidR="00C95D96" w:rsidRPr="00D21DFA" w:rsidRDefault="00C95D96" w:rsidP="00C95D96">
            <w:pPr>
              <w:tabs>
                <w:tab w:val="left" w:pos="567"/>
              </w:tabs>
              <w:spacing w:after="0" w:line="240" w:lineRule="auto"/>
              <w:ind w:left="504"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51C251C7"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Santykinė rizika</w:t>
            </w:r>
          </w:p>
          <w:p w14:paraId="26C817A3"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(95 % PI) </w:t>
            </w:r>
          </w:p>
        </w:tc>
      </w:tr>
      <w:tr w:rsidR="00C95D96" w:rsidRPr="00D21DFA" w14:paraId="2629A824" w14:textId="77777777" w:rsidTr="00446D67">
        <w:trPr>
          <w:trHeight w:val="588"/>
        </w:trPr>
        <w:tc>
          <w:tcPr>
            <w:tcW w:w="1874" w:type="dxa"/>
            <w:tcBorders>
              <w:top w:val="single" w:sz="4" w:space="0" w:color="000000"/>
              <w:left w:val="single" w:sz="4" w:space="0" w:color="000000"/>
              <w:bottom w:val="single" w:sz="4" w:space="0" w:color="000000"/>
              <w:right w:val="single" w:sz="4" w:space="0" w:color="000000"/>
            </w:tcBorders>
          </w:tcPr>
          <w:p w14:paraId="505C1CC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78C80535"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2C7CAE1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462EF76D"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12D6F95A"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5C28A29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1DF39F0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0,84 (0,60, 1,18)* </w:t>
            </w:r>
          </w:p>
        </w:tc>
      </w:tr>
      <w:tr w:rsidR="00C95D96" w:rsidRPr="00D21DFA" w14:paraId="1E2956A2" w14:textId="77777777" w:rsidTr="00446D67">
        <w:trPr>
          <w:trHeight w:val="300"/>
        </w:trPr>
        <w:tc>
          <w:tcPr>
            <w:tcW w:w="1874" w:type="dxa"/>
            <w:tcBorders>
              <w:top w:val="single" w:sz="4" w:space="0" w:color="000000"/>
              <w:left w:val="single" w:sz="4" w:space="0" w:color="000000"/>
              <w:bottom w:val="single" w:sz="4" w:space="0" w:color="000000"/>
              <w:right w:val="single" w:sz="4" w:space="0" w:color="000000"/>
            </w:tcBorders>
          </w:tcPr>
          <w:p w14:paraId="27242E91" w14:textId="77777777" w:rsidR="00C95D96" w:rsidRPr="00D21DFA" w:rsidRDefault="00C95D96" w:rsidP="00C95D96">
            <w:pPr>
              <w:tabs>
                <w:tab w:val="center" w:pos="586"/>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r w:rsidRPr="00D21DFA">
              <w:rPr>
                <w:rFonts w:ascii="Times New Roman" w:eastAsia="Times New Roman" w:hAnsi="Times New Roman" w:cs="Times New Roman"/>
                <w:kern w:val="0"/>
                <w:sz w:val="22"/>
                <w:szCs w:val="22"/>
                <w14:ligatures w14:val="none"/>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321B4113"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5A9C4BEB"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3919644B" w14:textId="77777777" w:rsidR="00C95D96" w:rsidRPr="00D21DFA" w:rsidRDefault="00C95D96" w:rsidP="00C95D96">
            <w:pPr>
              <w:tabs>
                <w:tab w:val="left" w:pos="567"/>
              </w:tabs>
              <w:spacing w:after="0" w:line="240" w:lineRule="auto"/>
              <w:ind w:left="6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5E3EE6E9" w14:textId="77777777" w:rsidTr="00446D67">
        <w:trPr>
          <w:trHeight w:val="306"/>
        </w:trPr>
        <w:tc>
          <w:tcPr>
            <w:tcW w:w="1874" w:type="dxa"/>
            <w:tcBorders>
              <w:top w:val="single" w:sz="4" w:space="0" w:color="000000"/>
              <w:left w:val="single" w:sz="4" w:space="0" w:color="000000"/>
              <w:bottom w:val="single" w:sz="4" w:space="0" w:color="000000"/>
              <w:right w:val="single" w:sz="4" w:space="0" w:color="000000"/>
            </w:tcBorders>
          </w:tcPr>
          <w:p w14:paraId="32ED3FF9" w14:textId="77777777" w:rsidR="00C95D96" w:rsidRPr="00D21DFA" w:rsidRDefault="00C95D96" w:rsidP="00C95D96">
            <w:pPr>
              <w:tabs>
                <w:tab w:val="center" w:pos="488"/>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r w:rsidRPr="00D21DFA">
              <w:rPr>
                <w:rFonts w:ascii="Times New Roman" w:eastAsia="Times New Roman" w:hAnsi="Times New Roman" w:cs="Times New Roman"/>
                <w:kern w:val="0"/>
                <w:sz w:val="22"/>
                <w:szCs w:val="22"/>
                <w14:ligatures w14:val="none"/>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52BBF2FF"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0F65FBAE"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5674E9E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461CD9DA" w14:textId="77777777" w:rsidTr="00446D67">
        <w:trPr>
          <w:trHeight w:val="440"/>
        </w:trPr>
        <w:tc>
          <w:tcPr>
            <w:tcW w:w="1874" w:type="dxa"/>
            <w:tcBorders>
              <w:top w:val="single" w:sz="4" w:space="0" w:color="000000"/>
              <w:left w:val="single" w:sz="4" w:space="0" w:color="000000"/>
              <w:bottom w:val="single" w:sz="4" w:space="0" w:color="000000"/>
              <w:right w:val="single" w:sz="4" w:space="0" w:color="000000"/>
            </w:tcBorders>
          </w:tcPr>
          <w:p w14:paraId="2E2D733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20AA5835"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42069E7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12F9A0A2"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0D942E30"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08BC97EB" w14:textId="77777777" w:rsidR="00C95D96" w:rsidRPr="00D21DFA" w:rsidRDefault="00C95D96" w:rsidP="00C95D96">
            <w:pPr>
              <w:tabs>
                <w:tab w:val="left" w:pos="567"/>
              </w:tabs>
              <w:spacing w:after="0" w:line="240" w:lineRule="auto"/>
              <w:ind w:left="6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B9E0AB8" w14:textId="77777777" w:rsidTr="00446D67">
        <w:trPr>
          <w:trHeight w:val="636"/>
        </w:trPr>
        <w:tc>
          <w:tcPr>
            <w:tcW w:w="1874" w:type="dxa"/>
            <w:tcBorders>
              <w:top w:val="single" w:sz="4" w:space="0" w:color="000000"/>
              <w:left w:val="single" w:sz="4" w:space="0" w:color="000000"/>
              <w:bottom w:val="single" w:sz="4" w:space="0" w:color="000000"/>
              <w:right w:val="single" w:sz="4" w:space="0" w:color="000000"/>
            </w:tcBorders>
          </w:tcPr>
          <w:p w14:paraId="5BDE64F9" w14:textId="44A66F85"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VTE arba mirtis dėl </w:t>
            </w:r>
            <w:r w:rsidR="00287598"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287598" w:rsidRPr="00D21DFA">
              <w:rPr>
                <w:rFonts w:ascii="Times New Roman" w:eastAsia="Times New Roman" w:hAnsi="Times New Roman" w:cs="Times New Roman"/>
                <w:snapToGrid w:val="0"/>
                <w:kern w:val="0"/>
                <w:sz w:val="22"/>
                <w:szCs w:val="20"/>
                <w14:ligatures w14:val="none"/>
              </w:rPr>
              <w:t>čių</w:t>
            </w:r>
          </w:p>
        </w:tc>
        <w:tc>
          <w:tcPr>
            <w:tcW w:w="1610" w:type="dxa"/>
            <w:tcBorders>
              <w:top w:val="single" w:sz="4" w:space="0" w:color="000000"/>
              <w:left w:val="single" w:sz="4" w:space="0" w:color="000000"/>
              <w:bottom w:val="single" w:sz="4" w:space="0" w:color="000000"/>
              <w:right w:val="single" w:sz="4" w:space="0" w:color="000000"/>
            </w:tcBorders>
          </w:tcPr>
          <w:p w14:paraId="7DD48A0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DC146FA"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ACCC37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7C7322C9"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80A7D91"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758009F3"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4C0AAD28"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0A1B75D"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670450D6"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0,82 (0,61, 1,08) </w:t>
            </w:r>
          </w:p>
        </w:tc>
      </w:tr>
      <w:tr w:rsidR="00C95D96" w:rsidRPr="00D21DFA" w14:paraId="4C105656" w14:textId="77777777" w:rsidTr="00446D67">
        <w:trPr>
          <w:trHeight w:val="636"/>
        </w:trPr>
        <w:tc>
          <w:tcPr>
            <w:tcW w:w="1874" w:type="dxa"/>
            <w:tcBorders>
              <w:top w:val="single" w:sz="4" w:space="0" w:color="000000"/>
              <w:left w:val="single" w:sz="4" w:space="0" w:color="000000"/>
              <w:bottom w:val="single" w:sz="4" w:space="0" w:color="000000"/>
              <w:right w:val="single" w:sz="4" w:space="0" w:color="000000"/>
            </w:tcBorders>
          </w:tcPr>
          <w:p w14:paraId="690DFAA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VTE arba su širdies ir kraujagyslių reiškiniais susijusi mirtis</w:t>
            </w:r>
            <w:r w:rsidRPr="00D21DFA">
              <w:rPr>
                <w:rFonts w:ascii="Times New Roman" w:eastAsia="Times New Roman" w:hAnsi="Times New Roman" w:cs="Times New Roman"/>
                <w:kern w:val="0"/>
                <w:sz w:val="22"/>
                <w:szCs w:val="22"/>
                <w14:ligatures w14:val="none"/>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5856A3C6"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ED5D679"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C9196E1"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856150C"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97248F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10673E19"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3C6084A"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3F38FC77"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083A2532"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39B198FA"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6D466FEE"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4240F7BE"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516D1EA5"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623D8BFC"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6E303FE6"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0,80 (0,57, 1,11) </w:t>
            </w:r>
          </w:p>
        </w:tc>
      </w:tr>
      <w:tr w:rsidR="00C95D96" w:rsidRPr="00D21DFA" w14:paraId="4AA3F180" w14:textId="77777777" w:rsidTr="00446D67">
        <w:trPr>
          <w:trHeight w:val="889"/>
        </w:trPr>
        <w:tc>
          <w:tcPr>
            <w:tcW w:w="1874" w:type="dxa"/>
            <w:tcBorders>
              <w:top w:val="single" w:sz="4" w:space="0" w:color="000000"/>
              <w:left w:val="single" w:sz="4" w:space="0" w:color="000000"/>
              <w:bottom w:val="single" w:sz="4" w:space="0" w:color="000000"/>
              <w:right w:val="single" w:sz="4" w:space="0" w:color="000000"/>
            </w:tcBorders>
          </w:tcPr>
          <w:p w14:paraId="29CCFDC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3830A1A5"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CB6156D"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060D250"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D710721"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442B3C14"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49ACA2DB"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7EF0925B"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E2BB55A"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1DD9271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2EBE999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61181591"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74004D57"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0,62 (0,47, 0,83) </w:t>
            </w:r>
          </w:p>
        </w:tc>
      </w:tr>
    </w:tbl>
    <w:p w14:paraId="0E748EC0" w14:textId="77777777" w:rsidR="00C95D96" w:rsidRPr="00D21DFA" w:rsidRDefault="00C95D96" w:rsidP="00C95D96">
      <w:pPr>
        <w:tabs>
          <w:tab w:val="left" w:pos="567"/>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Rezultatai nebuvo blogesni nei </w:t>
      </w:r>
      <w:proofErr w:type="spellStart"/>
      <w:r w:rsidRPr="00D21DFA">
        <w:rPr>
          <w:rFonts w:ascii="Times New Roman" w:eastAsia="Times New Roman" w:hAnsi="Times New Roman" w:cs="Times New Roman"/>
          <w:snapToGrid w:val="0"/>
          <w:kern w:val="0"/>
          <w:sz w:val="22"/>
          <w:szCs w:val="22"/>
          <w14:ligatures w14:val="none"/>
        </w:rPr>
        <w:t>enoksaparino</w:t>
      </w:r>
      <w:proofErr w:type="spellEnd"/>
      <w:r w:rsidRPr="00D21DFA">
        <w:rPr>
          <w:rFonts w:ascii="Times New Roman" w:eastAsia="Times New Roman" w:hAnsi="Times New Roman" w:cs="Times New Roman"/>
          <w:snapToGrid w:val="0"/>
          <w:kern w:val="0"/>
          <w:sz w:val="22"/>
          <w:szCs w:val="22"/>
          <w14:ligatures w14:val="none"/>
        </w:rPr>
        <w:t xml:space="preserve"> / varfarino (p reikšmė &lt; 0,0001) </w:t>
      </w:r>
    </w:p>
    <w:p w14:paraId="289507A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7853A2CD" w14:textId="4011177C"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VTE gydymo pradžioje </w:t>
      </w:r>
      <w:proofErr w:type="spellStart"/>
      <w:r w:rsidRPr="00D21DFA">
        <w:rPr>
          <w:rFonts w:ascii="Times New Roman" w:eastAsia="Times New Roman" w:hAnsi="Times New Roman" w:cs="Times New Roman"/>
          <w:snapToGrid w:val="0"/>
          <w:kern w:val="0"/>
          <w:sz w:val="22"/>
          <w:szCs w:val="20"/>
          <w14:ligatures w14:val="none"/>
        </w:rPr>
        <w:t>apiksabanui</w:t>
      </w:r>
      <w:proofErr w:type="spellEnd"/>
      <w:r w:rsidRPr="00D21DFA">
        <w:rPr>
          <w:rFonts w:ascii="Times New Roman" w:eastAsia="Times New Roman" w:hAnsi="Times New Roman" w:cs="Times New Roman"/>
          <w:snapToGrid w:val="0"/>
          <w:kern w:val="0"/>
          <w:sz w:val="22"/>
          <w:szCs w:val="20"/>
          <w14:ligatures w14:val="none"/>
        </w:rPr>
        <w:t xml:space="preserve"> nustatytas panašus veiksmingumas tiek gydant PE sergančius pacientus [santykinė rizika 0,9; 95 % PI (0,5; 1,6)], tiek ir GVT sergančius pacientus [santykinė rizika 0,8; 95 % PI (0,5; 1,3)]. Veiksmingumo rezultatai pogrupiuose, atsižvelgiant į amžių, lytį, kūno masės indeksą (KMI), inkstų funkcij</w:t>
      </w:r>
      <w:r w:rsidR="00640A60" w:rsidRPr="00D21DFA">
        <w:rPr>
          <w:rFonts w:ascii="Times New Roman" w:eastAsia="Times New Roman" w:hAnsi="Times New Roman" w:cs="Times New Roman"/>
          <w:snapToGrid w:val="0"/>
          <w:kern w:val="0"/>
          <w:sz w:val="22"/>
          <w:szCs w:val="20"/>
          <w14:ligatures w14:val="none"/>
        </w:rPr>
        <w:t>ą</w:t>
      </w:r>
      <w:r w:rsidRPr="00D21DFA">
        <w:rPr>
          <w:rFonts w:ascii="Times New Roman" w:eastAsia="Times New Roman" w:hAnsi="Times New Roman" w:cs="Times New Roman"/>
          <w:snapToGrid w:val="0"/>
          <w:kern w:val="0"/>
          <w:sz w:val="22"/>
          <w:szCs w:val="20"/>
          <w14:ligatures w14:val="none"/>
        </w:rPr>
        <w:t xml:space="preserve">, PE indeksą, GVT </w:t>
      </w:r>
      <w:proofErr w:type="spellStart"/>
      <w:r w:rsidRPr="00D21DFA">
        <w:rPr>
          <w:rFonts w:ascii="Times New Roman" w:eastAsia="Times New Roman" w:hAnsi="Times New Roman" w:cs="Times New Roman"/>
          <w:snapToGrid w:val="0"/>
          <w:kern w:val="0"/>
          <w:sz w:val="22"/>
          <w:szCs w:val="20"/>
          <w14:ligatures w14:val="none"/>
        </w:rPr>
        <w:t>trombo</w:t>
      </w:r>
      <w:proofErr w:type="spellEnd"/>
      <w:r w:rsidRPr="00D21DFA">
        <w:rPr>
          <w:rFonts w:ascii="Times New Roman" w:eastAsia="Times New Roman" w:hAnsi="Times New Roman" w:cs="Times New Roman"/>
          <w:snapToGrid w:val="0"/>
          <w:kern w:val="0"/>
          <w:sz w:val="22"/>
          <w:szCs w:val="20"/>
          <w14:ligatures w14:val="none"/>
        </w:rPr>
        <w:t xml:space="preserve"> vietą ir tai, ar pacientas anksčiau buvo gydomas </w:t>
      </w:r>
      <w:proofErr w:type="spellStart"/>
      <w:r w:rsidRPr="00D21DFA">
        <w:rPr>
          <w:rFonts w:ascii="Times New Roman" w:eastAsia="Times New Roman" w:hAnsi="Times New Roman" w:cs="Times New Roman"/>
          <w:snapToGrid w:val="0"/>
          <w:kern w:val="0"/>
          <w:sz w:val="22"/>
          <w:szCs w:val="20"/>
          <w14:ligatures w14:val="none"/>
        </w:rPr>
        <w:t>parenteriniu</w:t>
      </w:r>
      <w:proofErr w:type="spellEnd"/>
      <w:r w:rsidRPr="00D21DFA">
        <w:rPr>
          <w:rFonts w:ascii="Times New Roman" w:eastAsia="Times New Roman" w:hAnsi="Times New Roman" w:cs="Times New Roman"/>
          <w:snapToGrid w:val="0"/>
          <w:kern w:val="0"/>
          <w:sz w:val="22"/>
          <w:szCs w:val="20"/>
          <w14:ligatures w14:val="none"/>
        </w:rPr>
        <w:t xml:space="preserve"> būdu vartojamu heparinu, iš esmės buvo panašūs.</w:t>
      </w:r>
    </w:p>
    <w:p w14:paraId="3B998C7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i/>
          <w:kern w:val="0"/>
          <w:sz w:val="22"/>
          <w:szCs w:val="20"/>
          <w:u w:val="single"/>
          <w14:ligatures w14:val="none"/>
        </w:rPr>
      </w:pPr>
    </w:p>
    <w:p w14:paraId="0CAE3342" w14:textId="45E9D158"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saugumo vertinamoji baigtis buvo stiprus kraujavimas. Šio tyrimo duomenys rodo, kad pagrindinės vertinamosios baigties požiūriu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buvo statistiškai pranašesnis už </w:t>
      </w:r>
      <w:proofErr w:type="spellStart"/>
      <w:r w:rsidRPr="00D21DFA">
        <w:rPr>
          <w:rFonts w:ascii="Times New Roman" w:eastAsia="Times New Roman" w:hAnsi="Times New Roman" w:cs="Times New Roman"/>
          <w:snapToGrid w:val="0"/>
          <w:kern w:val="0"/>
          <w:sz w:val="22"/>
          <w:szCs w:val="20"/>
          <w14:ligatures w14:val="none"/>
        </w:rPr>
        <w:t>enoksapariną</w:t>
      </w:r>
      <w:proofErr w:type="spellEnd"/>
      <w:r w:rsidRPr="00D21DFA">
        <w:rPr>
          <w:rFonts w:ascii="Times New Roman" w:eastAsia="Times New Roman" w:hAnsi="Times New Roman" w:cs="Times New Roman"/>
          <w:snapToGrid w:val="0"/>
          <w:kern w:val="0"/>
          <w:sz w:val="22"/>
          <w:szCs w:val="20"/>
          <w14:ligatures w14:val="none"/>
        </w:rPr>
        <w:t xml:space="preserve">/varfariną [santykinė rizika 0,31, 95 % </w:t>
      </w:r>
      <w:proofErr w:type="spellStart"/>
      <w:r w:rsidRPr="00D21DFA">
        <w:rPr>
          <w:rFonts w:ascii="Times New Roman" w:eastAsia="Times New Roman" w:hAnsi="Times New Roman" w:cs="Times New Roman"/>
          <w:snapToGrid w:val="0"/>
          <w:kern w:val="0"/>
          <w:sz w:val="22"/>
          <w:szCs w:val="20"/>
          <w14:ligatures w14:val="none"/>
        </w:rPr>
        <w:t>pasikliautinasis</w:t>
      </w:r>
      <w:proofErr w:type="spellEnd"/>
      <w:r w:rsidRPr="00D21DFA">
        <w:rPr>
          <w:rFonts w:ascii="Times New Roman" w:eastAsia="Times New Roman" w:hAnsi="Times New Roman" w:cs="Times New Roman"/>
          <w:snapToGrid w:val="0"/>
          <w:kern w:val="0"/>
          <w:sz w:val="22"/>
          <w:szCs w:val="20"/>
          <w14:ligatures w14:val="none"/>
        </w:rPr>
        <w:t xml:space="preserve"> intervalas (0,17; 0,55), p reikšmė &lt; 0,0001] (žr. 1</w:t>
      </w:r>
      <w:r w:rsidR="005738CA" w:rsidRPr="00D21DFA">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xml:space="preserve"> lentelę).</w:t>
      </w:r>
    </w:p>
    <w:p w14:paraId="11F11AC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99D4026" w14:textId="3610F29D" w:rsidR="00C95D96" w:rsidRPr="00D21DFA" w:rsidRDefault="00C95D96" w:rsidP="00C95D96">
      <w:pPr>
        <w:tabs>
          <w:tab w:val="left" w:pos="567"/>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5738CA" w:rsidRPr="00D21DFA">
        <w:rPr>
          <w:rFonts w:ascii="Times New Roman" w:eastAsia="Times New Roman" w:hAnsi="Times New Roman" w:cs="Times New Roman"/>
          <w:b/>
          <w:bCs/>
          <w:snapToGrid w:val="0"/>
          <w:kern w:val="0"/>
          <w:sz w:val="22"/>
          <w:szCs w:val="20"/>
          <w14:ligatures w14:val="none"/>
        </w:rPr>
        <w:t>2</w:t>
      </w:r>
      <w:r w:rsidRPr="00D21DFA">
        <w:rPr>
          <w:rFonts w:ascii="Times New Roman" w:eastAsia="Times New Roman" w:hAnsi="Times New Roman" w:cs="Times New Roman"/>
          <w:b/>
          <w:bCs/>
          <w:snapToGrid w:val="0"/>
          <w:kern w:val="0"/>
          <w:sz w:val="22"/>
          <w:szCs w:val="20"/>
          <w14:ligatures w14:val="none"/>
        </w:rPr>
        <w:t xml:space="preserve"> 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C95D96" w:rsidRPr="00D21DFA" w14:paraId="5C52644E" w14:textId="77777777" w:rsidTr="00446D67">
        <w:trPr>
          <w:trHeight w:val="850"/>
        </w:trPr>
        <w:tc>
          <w:tcPr>
            <w:tcW w:w="2023" w:type="dxa"/>
            <w:tcBorders>
              <w:top w:val="single" w:sz="4" w:space="0" w:color="000000"/>
              <w:left w:val="single" w:sz="4" w:space="0" w:color="000000"/>
              <w:bottom w:val="single" w:sz="4" w:space="0" w:color="000000"/>
              <w:right w:val="single" w:sz="4" w:space="0" w:color="000000"/>
            </w:tcBorders>
          </w:tcPr>
          <w:p w14:paraId="50B2D54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lastRenderedPageBreak/>
              <w:t xml:space="preserve"> </w:t>
            </w:r>
          </w:p>
        </w:tc>
        <w:tc>
          <w:tcPr>
            <w:tcW w:w="2190" w:type="dxa"/>
            <w:tcBorders>
              <w:top w:val="single" w:sz="4" w:space="0" w:color="000000"/>
              <w:left w:val="single" w:sz="4" w:space="0" w:color="000000"/>
              <w:bottom w:val="single" w:sz="4" w:space="0" w:color="000000"/>
              <w:right w:val="single" w:sz="4" w:space="0" w:color="000000"/>
            </w:tcBorders>
          </w:tcPr>
          <w:p w14:paraId="77AE19ED" w14:textId="77777777" w:rsidR="00C95D96" w:rsidRPr="00D21DFA" w:rsidRDefault="00C95D96" w:rsidP="00C95D96">
            <w:pPr>
              <w:tabs>
                <w:tab w:val="left" w:pos="445"/>
              </w:tabs>
              <w:spacing w:after="0" w:line="240" w:lineRule="auto"/>
              <w:ind w:left="-122" w:right="-38"/>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p>
          <w:p w14:paraId="6D259E51" w14:textId="77777777" w:rsidR="00C95D96" w:rsidRPr="00D21DFA" w:rsidRDefault="00C95D96" w:rsidP="00C95D96">
            <w:pPr>
              <w:tabs>
                <w:tab w:val="left" w:pos="586"/>
              </w:tabs>
              <w:spacing w:after="0" w:line="240" w:lineRule="auto"/>
              <w:ind w:left="-122" w:right="-38"/>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N=2 676</w:t>
            </w:r>
          </w:p>
          <w:p w14:paraId="57378821" w14:textId="77777777" w:rsidR="00C95D96" w:rsidRPr="00D21DFA" w:rsidRDefault="00C95D96" w:rsidP="00C95D96">
            <w:pPr>
              <w:tabs>
                <w:tab w:val="left" w:pos="445"/>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 (%)</w:t>
            </w:r>
          </w:p>
        </w:tc>
        <w:tc>
          <w:tcPr>
            <w:tcW w:w="2189" w:type="dxa"/>
            <w:tcBorders>
              <w:top w:val="single" w:sz="4" w:space="0" w:color="000000"/>
              <w:left w:val="single" w:sz="4" w:space="0" w:color="000000"/>
              <w:bottom w:val="single" w:sz="4" w:space="0" w:color="000000"/>
              <w:right w:val="single" w:sz="4" w:space="0" w:color="000000"/>
            </w:tcBorders>
          </w:tcPr>
          <w:p w14:paraId="086E39D3"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Enoksaparinas</w:t>
            </w:r>
            <w:proofErr w:type="spellEnd"/>
            <w:r w:rsidRPr="00D21DFA">
              <w:rPr>
                <w:rFonts w:ascii="Times New Roman" w:eastAsia="Times New Roman" w:hAnsi="Times New Roman" w:cs="Times New Roman"/>
                <w:b/>
                <w:snapToGrid w:val="0"/>
                <w:kern w:val="0"/>
                <w:sz w:val="22"/>
                <w:szCs w:val="22"/>
                <w14:ligatures w14:val="none"/>
              </w:rPr>
              <w:t>/</w:t>
            </w:r>
          </w:p>
          <w:p w14:paraId="07AD1358"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varfarinas</w:t>
            </w:r>
          </w:p>
          <w:p w14:paraId="15CBD995"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N=2 689</w:t>
            </w:r>
          </w:p>
          <w:p w14:paraId="4866EEF6"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 (%)</w:t>
            </w:r>
          </w:p>
        </w:tc>
        <w:tc>
          <w:tcPr>
            <w:tcW w:w="2189" w:type="dxa"/>
            <w:tcBorders>
              <w:top w:val="single" w:sz="4" w:space="0" w:color="000000"/>
              <w:left w:val="single" w:sz="4" w:space="0" w:color="000000"/>
              <w:bottom w:val="single" w:sz="4" w:space="0" w:color="000000"/>
              <w:right w:val="single" w:sz="4" w:space="0" w:color="000000"/>
            </w:tcBorders>
          </w:tcPr>
          <w:p w14:paraId="2FEA384C"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Santykinė rizika</w:t>
            </w:r>
          </w:p>
          <w:p w14:paraId="477E88C9"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(95 % PI)</w:t>
            </w:r>
          </w:p>
        </w:tc>
      </w:tr>
      <w:tr w:rsidR="00C95D96" w:rsidRPr="00D21DFA" w14:paraId="08A93660" w14:textId="77777777" w:rsidTr="00446D67">
        <w:trPr>
          <w:trHeight w:val="284"/>
        </w:trPr>
        <w:tc>
          <w:tcPr>
            <w:tcW w:w="2023" w:type="dxa"/>
            <w:tcBorders>
              <w:top w:val="single" w:sz="4" w:space="0" w:color="000000"/>
              <w:left w:val="single" w:sz="4" w:space="0" w:color="000000"/>
              <w:bottom w:val="single" w:sz="4" w:space="0" w:color="000000"/>
              <w:right w:val="single" w:sz="4" w:space="0" w:color="000000"/>
            </w:tcBorders>
          </w:tcPr>
          <w:p w14:paraId="5FDEE3A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04D00C95"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15 (0,6),</w:t>
            </w:r>
          </w:p>
        </w:tc>
        <w:tc>
          <w:tcPr>
            <w:tcW w:w="2189" w:type="dxa"/>
            <w:tcBorders>
              <w:top w:val="single" w:sz="4" w:space="0" w:color="000000"/>
              <w:left w:val="single" w:sz="4" w:space="0" w:color="000000"/>
              <w:bottom w:val="single" w:sz="4" w:space="0" w:color="000000"/>
              <w:right w:val="single" w:sz="4" w:space="0" w:color="000000"/>
            </w:tcBorders>
          </w:tcPr>
          <w:p w14:paraId="3C7F693A"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7EF49947"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0,31 (0,17, 0,55) </w:t>
            </w:r>
          </w:p>
        </w:tc>
      </w:tr>
      <w:tr w:rsidR="00C95D96" w:rsidRPr="00D21DFA" w14:paraId="3E3AB739" w14:textId="77777777" w:rsidTr="00446D67">
        <w:trPr>
          <w:trHeight w:val="304"/>
        </w:trPr>
        <w:tc>
          <w:tcPr>
            <w:tcW w:w="2023" w:type="dxa"/>
            <w:tcBorders>
              <w:top w:val="single" w:sz="4" w:space="0" w:color="000000"/>
              <w:left w:val="single" w:sz="4" w:space="0" w:color="000000"/>
              <w:bottom w:val="single" w:sz="4" w:space="0" w:color="000000"/>
              <w:right w:val="single" w:sz="4" w:space="0" w:color="000000"/>
            </w:tcBorders>
          </w:tcPr>
          <w:p w14:paraId="5E97C4D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Stiprus + KRNS</w:t>
            </w:r>
          </w:p>
        </w:tc>
        <w:tc>
          <w:tcPr>
            <w:tcW w:w="2190" w:type="dxa"/>
            <w:tcBorders>
              <w:top w:val="single" w:sz="4" w:space="0" w:color="000000"/>
              <w:left w:val="single" w:sz="4" w:space="0" w:color="000000"/>
              <w:bottom w:val="single" w:sz="4" w:space="0" w:color="000000"/>
              <w:right w:val="single" w:sz="4" w:space="0" w:color="000000"/>
            </w:tcBorders>
          </w:tcPr>
          <w:p w14:paraId="7F6715E9"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30C0997C"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67CCFE0A"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0,44 (0,36, 0,55) </w:t>
            </w:r>
          </w:p>
        </w:tc>
      </w:tr>
      <w:tr w:rsidR="00C95D96" w:rsidRPr="00D21DFA" w14:paraId="272A2126" w14:textId="77777777" w:rsidTr="00446D67">
        <w:trPr>
          <w:trHeight w:val="296"/>
        </w:trPr>
        <w:tc>
          <w:tcPr>
            <w:tcW w:w="2023" w:type="dxa"/>
            <w:tcBorders>
              <w:top w:val="single" w:sz="4" w:space="0" w:color="000000"/>
              <w:left w:val="single" w:sz="4" w:space="0" w:color="000000"/>
              <w:bottom w:val="single" w:sz="4" w:space="0" w:color="000000"/>
              <w:right w:val="single" w:sz="4" w:space="0" w:color="000000"/>
            </w:tcBorders>
          </w:tcPr>
          <w:p w14:paraId="6D93EDA1" w14:textId="1416A973"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Nestiprus </w:t>
            </w:r>
          </w:p>
        </w:tc>
        <w:tc>
          <w:tcPr>
            <w:tcW w:w="2190" w:type="dxa"/>
            <w:tcBorders>
              <w:top w:val="single" w:sz="4" w:space="0" w:color="000000"/>
              <w:left w:val="single" w:sz="4" w:space="0" w:color="000000"/>
              <w:bottom w:val="single" w:sz="4" w:space="0" w:color="000000"/>
              <w:right w:val="single" w:sz="4" w:space="0" w:color="000000"/>
            </w:tcBorders>
          </w:tcPr>
          <w:p w14:paraId="5F103737"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0C233165"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3D2A9F32"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0,62 (0,54, 0,70) </w:t>
            </w:r>
          </w:p>
        </w:tc>
      </w:tr>
      <w:tr w:rsidR="00C95D96" w:rsidRPr="00D21DFA" w14:paraId="579B1F42" w14:textId="77777777" w:rsidTr="00446D67">
        <w:trPr>
          <w:trHeight w:val="160"/>
        </w:trPr>
        <w:tc>
          <w:tcPr>
            <w:tcW w:w="2023" w:type="dxa"/>
            <w:tcBorders>
              <w:top w:val="single" w:sz="4" w:space="0" w:color="000000"/>
              <w:left w:val="single" w:sz="4" w:space="0" w:color="000000"/>
              <w:bottom w:val="single" w:sz="4" w:space="0" w:color="000000"/>
              <w:right w:val="single" w:sz="4" w:space="0" w:color="000000"/>
            </w:tcBorders>
          </w:tcPr>
          <w:p w14:paraId="16467C6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292068B2"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5B5D3B3F"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22B6BDC6"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0,59 (0,53, 0,66) </w:t>
            </w:r>
          </w:p>
        </w:tc>
      </w:tr>
    </w:tbl>
    <w:p w14:paraId="750B080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433F172F" w14:textId="7EC0AA9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Palyginti su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 varfarino grupe, pripažinto stipraus kraujavimo ir KRNS kraujavimo iš bet kurios anatominės vietos atvejų skaičius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paprastai buvo mažesnis. Pripažintas stiprus kraujavimas iš virškinimo trakto pagal ISTH pasireiškė 6 (0,2 %)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gydytiems pacientams ir 17 (0,6 %)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/varfarinu gydytų pacientų. </w:t>
      </w:r>
    </w:p>
    <w:p w14:paraId="6669339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EE5AE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AMPLIFY</w:t>
      </w:r>
      <w:r w:rsidRPr="00D21DFA">
        <w:rPr>
          <w:rFonts w:ascii="Times New Roman" w:eastAsia="Times New Roman" w:hAnsi="Times New Roman" w:cs="Times New Roman"/>
          <w:i/>
          <w:snapToGrid w:val="0"/>
          <w:kern w:val="0"/>
          <w:sz w:val="22"/>
          <w:szCs w:val="20"/>
          <w:u w:val="single"/>
          <w14:ligatures w14:val="none"/>
        </w:rPr>
        <w:noBreakHyphen/>
        <w:t xml:space="preserve">EXT tyrimas </w:t>
      </w:r>
    </w:p>
    <w:p w14:paraId="0F21A789" w14:textId="11D8B42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Į AMPLIFY-EXT tyrimą atsitiktinės atrankos būdu iš viso buvo atrinkti 2 482 </w:t>
      </w:r>
      <w:r w:rsidR="005738CA"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kurie 12 mėnesių buvo gydomi per burną vartojamu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(du kartus per parą po 2,5 mg arba du kartus per parą po 5 mg) arba placebu po to, kai buvo baigtas 6</w:t>
      </w:r>
      <w:r w:rsidRPr="00D21DFA">
        <w:rPr>
          <w:rFonts w:ascii="Times New Roman" w:eastAsia="Times New Roman" w:hAnsi="Times New Roman" w:cs="Times New Roman"/>
          <w:snapToGrid w:val="0"/>
          <w:kern w:val="0"/>
          <w:sz w:val="22"/>
          <w:szCs w:val="20"/>
          <w14:ligatures w14:val="none"/>
        </w:rPr>
        <w:noBreakHyphen/>
        <w:t>12 mėnesių trukmės pradinis gydymas antikoaguliantais. Prieš pradėdami dalyvauti AMPLIFY</w:t>
      </w:r>
      <w:r w:rsidRPr="00D21DFA">
        <w:rPr>
          <w:rFonts w:ascii="Times New Roman" w:eastAsia="Times New Roman" w:hAnsi="Times New Roman" w:cs="Times New Roman"/>
          <w:snapToGrid w:val="0"/>
          <w:kern w:val="0"/>
          <w:sz w:val="22"/>
          <w:szCs w:val="20"/>
          <w14:ligatures w14:val="none"/>
        </w:rPr>
        <w:noBreakHyphen/>
        <w:t xml:space="preserve">EXT tyrime 836 iš šių pacientų (33,7 %) dalyvavo AMPLIFY tyrime. </w:t>
      </w:r>
    </w:p>
    <w:p w14:paraId="1924E9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8318A1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Vidutinis tiriamųjų amžius buvo 56,7 metai ir 91,7 % pacientų buvo patyrę neišprovokuotų VTE reiškinių.</w:t>
      </w:r>
    </w:p>
    <w:p w14:paraId="5F8B85D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9B9CF9" w14:textId="43383C1D"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 tyrimo duomenimis, vertinant pagal svarbiausiąją vertinamąją baigtį (simptominiai pasikartojantys VTE reiškiniai [nemirtina GVT arba nemirtina PE] arba mirtis dėl </w:t>
      </w:r>
      <w:r w:rsidR="008E4459"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8E4459" w:rsidRPr="00D21DFA">
        <w:rPr>
          <w:rFonts w:ascii="Times New Roman" w:eastAsia="Times New Roman" w:hAnsi="Times New Roman" w:cs="Times New Roman"/>
          <w:snapToGrid w:val="0"/>
          <w:kern w:val="0"/>
          <w:sz w:val="22"/>
          <w:szCs w:val="20"/>
          <w14:ligatures w14:val="none"/>
        </w:rPr>
        <w:t>čių</w:t>
      </w:r>
      <w:r w:rsidRPr="00D21DFA">
        <w:rPr>
          <w:rFonts w:ascii="Times New Roman" w:eastAsia="Times New Roman" w:hAnsi="Times New Roman" w:cs="Times New Roman"/>
          <w:snapToGrid w:val="0"/>
          <w:kern w:val="0"/>
          <w:sz w:val="22"/>
          <w:szCs w:val="20"/>
          <w14:ligatures w14:val="none"/>
        </w:rPr>
        <w:t xml:space="preserve">), abi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buvo statistiškai pranašesnės už placebą (žr. 1</w:t>
      </w:r>
      <w:r w:rsidR="005738CA" w:rsidRPr="00D21DFA">
        <w:rPr>
          <w:rFonts w:ascii="Times New Roman" w:eastAsia="Times New Roman" w:hAnsi="Times New Roman" w:cs="Times New Roman"/>
          <w:snapToGrid w:val="0"/>
          <w:kern w:val="0"/>
          <w:sz w:val="22"/>
          <w:szCs w:val="20"/>
          <w14:ligatures w14:val="none"/>
        </w:rPr>
        <w:t>3</w:t>
      </w:r>
      <w:r w:rsidRPr="00D21DFA">
        <w:rPr>
          <w:rFonts w:ascii="Times New Roman" w:eastAsia="Times New Roman" w:hAnsi="Times New Roman" w:cs="Times New Roman"/>
          <w:snapToGrid w:val="0"/>
          <w:kern w:val="0"/>
          <w:sz w:val="22"/>
          <w:szCs w:val="20"/>
          <w14:ligatures w14:val="none"/>
        </w:rPr>
        <w:t xml:space="preserve"> lentelę). </w:t>
      </w:r>
    </w:p>
    <w:p w14:paraId="1AE1B19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6672A6" w14:textId="5F66FE86" w:rsidR="00C95D96" w:rsidRPr="00D21DFA" w:rsidRDefault="00C95D96"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5738CA" w:rsidRPr="00D21DFA">
        <w:rPr>
          <w:rFonts w:ascii="Times New Roman" w:eastAsia="Times New Roman" w:hAnsi="Times New Roman" w:cs="Times New Roman"/>
          <w:b/>
          <w:bCs/>
          <w:snapToGrid w:val="0"/>
          <w:kern w:val="0"/>
          <w:sz w:val="22"/>
          <w:szCs w:val="20"/>
          <w14:ligatures w14:val="none"/>
        </w:rPr>
        <w:t>3</w:t>
      </w:r>
      <w:r w:rsidRPr="00D21DFA">
        <w:rPr>
          <w:rFonts w:ascii="Times New Roman" w:eastAsia="Times New Roman" w:hAnsi="Times New Roman" w:cs="Times New Roman"/>
          <w:b/>
          <w:bCs/>
          <w:snapToGrid w:val="0"/>
          <w:kern w:val="0"/>
          <w:sz w:val="22"/>
          <w:szCs w:val="20"/>
          <w14:ligatures w14:val="none"/>
        </w:rPr>
        <w:t xml:space="preserve"> lentelė. AMPLIFY-EXT tyrimo metu gauti veiksmingumo rezultatai</w:t>
      </w:r>
    </w:p>
    <w:tbl>
      <w:tblPr>
        <w:tblW w:w="8931" w:type="dxa"/>
        <w:tblInd w:w="108" w:type="dxa"/>
        <w:tblCellMar>
          <w:top w:w="55" w:type="dxa"/>
          <w:right w:w="75" w:type="dxa"/>
        </w:tblCellMar>
        <w:tblLook w:val="04A0" w:firstRow="1" w:lastRow="0" w:firstColumn="1" w:lastColumn="0" w:noHBand="0" w:noVBand="1"/>
      </w:tblPr>
      <w:tblGrid>
        <w:gridCol w:w="1528"/>
        <w:gridCol w:w="1466"/>
        <w:gridCol w:w="1475"/>
        <w:gridCol w:w="1032"/>
        <w:gridCol w:w="1672"/>
        <w:gridCol w:w="1758"/>
      </w:tblGrid>
      <w:tr w:rsidR="00C95D96" w:rsidRPr="00D21DFA" w14:paraId="6C2FD9CC"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78493C1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C9447BB" w14:textId="77777777" w:rsidR="00C95D96" w:rsidRPr="00D21DFA" w:rsidRDefault="00C95D96" w:rsidP="00C95D96">
            <w:pPr>
              <w:tabs>
                <w:tab w:val="left" w:pos="567"/>
              </w:tabs>
              <w:spacing w:after="0" w:line="240" w:lineRule="auto"/>
              <w:ind w:left="72"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4F909C16" w14:textId="77777777" w:rsidR="00C95D96" w:rsidRPr="00D21DFA" w:rsidRDefault="00C95D96" w:rsidP="00C95D96">
            <w:pPr>
              <w:tabs>
                <w:tab w:val="left" w:pos="567"/>
              </w:tabs>
              <w:spacing w:after="0" w:line="240" w:lineRule="auto"/>
              <w:ind w:left="81"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79C0D8F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764FBDC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Santykinė rizika (95% PI) </w:t>
            </w:r>
          </w:p>
        </w:tc>
      </w:tr>
      <w:tr w:rsidR="00C95D96" w:rsidRPr="00D21DFA" w14:paraId="44DCCDA9" w14:textId="77777777" w:rsidTr="00446D67">
        <w:trPr>
          <w:trHeight w:val="537"/>
        </w:trPr>
        <w:tc>
          <w:tcPr>
            <w:tcW w:w="1528" w:type="dxa"/>
            <w:tcBorders>
              <w:top w:val="single" w:sz="4" w:space="0" w:color="000000"/>
              <w:left w:val="single" w:sz="4" w:space="0" w:color="000000"/>
              <w:bottom w:val="single" w:sz="4" w:space="0" w:color="000000"/>
              <w:right w:val="single" w:sz="4" w:space="0" w:color="000000"/>
            </w:tcBorders>
          </w:tcPr>
          <w:p w14:paraId="02C35FF9"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C45867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2,5 mg </w:t>
            </w:r>
          </w:p>
          <w:p w14:paraId="3245114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1EB48D3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5,0 mg </w:t>
            </w:r>
          </w:p>
          <w:p w14:paraId="0F992D5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(N=813) </w:t>
            </w:r>
          </w:p>
        </w:tc>
        <w:tc>
          <w:tcPr>
            <w:tcW w:w="1032" w:type="dxa"/>
            <w:tcBorders>
              <w:top w:val="single" w:sz="4" w:space="0" w:color="000000"/>
              <w:left w:val="single" w:sz="4" w:space="0" w:color="000000"/>
              <w:bottom w:val="single" w:sz="4" w:space="0" w:color="000000"/>
              <w:right w:val="single" w:sz="4" w:space="0" w:color="000000"/>
            </w:tcBorders>
          </w:tcPr>
          <w:p w14:paraId="026D910B"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p w14:paraId="4062011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(N=829) </w:t>
            </w:r>
          </w:p>
        </w:tc>
        <w:tc>
          <w:tcPr>
            <w:tcW w:w="1672" w:type="dxa"/>
            <w:tcBorders>
              <w:top w:val="single" w:sz="4" w:space="0" w:color="000000"/>
              <w:left w:val="single" w:sz="4" w:space="0" w:color="000000"/>
              <w:bottom w:val="single" w:sz="4" w:space="0" w:color="000000"/>
              <w:right w:val="single" w:sz="4" w:space="0" w:color="000000"/>
            </w:tcBorders>
          </w:tcPr>
          <w:p w14:paraId="0AD02AF2" w14:textId="77777777" w:rsidR="00C95D96" w:rsidRPr="00D21DFA" w:rsidRDefault="00C95D96" w:rsidP="00C95D96">
            <w:pPr>
              <w:tabs>
                <w:tab w:val="left" w:pos="567"/>
              </w:tabs>
              <w:spacing w:after="0" w:line="240" w:lineRule="auto"/>
              <w:ind w:left="134"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2,5 mg lyginant su placebu </w:t>
            </w:r>
          </w:p>
        </w:tc>
        <w:tc>
          <w:tcPr>
            <w:tcW w:w="1758" w:type="dxa"/>
            <w:tcBorders>
              <w:top w:val="single" w:sz="4" w:space="0" w:color="000000"/>
              <w:left w:val="single" w:sz="4" w:space="0" w:color="000000"/>
              <w:bottom w:val="single" w:sz="4" w:space="0" w:color="000000"/>
              <w:right w:val="single" w:sz="4" w:space="0" w:color="000000"/>
            </w:tcBorders>
          </w:tcPr>
          <w:p w14:paraId="6F0C45C0" w14:textId="77777777" w:rsidR="00C95D96" w:rsidRPr="00D21DFA" w:rsidRDefault="00C95D96" w:rsidP="00C95D96">
            <w:pPr>
              <w:tabs>
                <w:tab w:val="left" w:pos="567"/>
              </w:tabs>
              <w:spacing w:after="0" w:line="240" w:lineRule="auto"/>
              <w:ind w:left="193"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5,0 mg lyginant su placebu </w:t>
            </w:r>
          </w:p>
        </w:tc>
      </w:tr>
      <w:tr w:rsidR="00C95D96" w:rsidRPr="00D21DFA" w14:paraId="4E9A93DD"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65CAB06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2BDF0BE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26D79F1E"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8FFF659"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77039E96" w14:textId="77777777" w:rsidTr="00446D67">
        <w:trPr>
          <w:trHeight w:val="889"/>
        </w:trPr>
        <w:tc>
          <w:tcPr>
            <w:tcW w:w="1528" w:type="dxa"/>
            <w:tcBorders>
              <w:top w:val="single" w:sz="4" w:space="0" w:color="000000"/>
              <w:left w:val="single" w:sz="4" w:space="0" w:color="000000"/>
              <w:bottom w:val="single" w:sz="4" w:space="0" w:color="000000"/>
              <w:right w:val="single" w:sz="4" w:space="0" w:color="000000"/>
            </w:tcBorders>
          </w:tcPr>
          <w:p w14:paraId="1B2775D4" w14:textId="026433CE"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Pasikartojantys VTE reiškiniai arba mirtis, dėl </w:t>
            </w:r>
            <w:r w:rsidR="008E4459"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8E4459" w:rsidRPr="00D21DFA">
              <w:rPr>
                <w:rFonts w:ascii="Times New Roman" w:eastAsia="Times New Roman" w:hAnsi="Times New Roman" w:cs="Times New Roman"/>
                <w:snapToGrid w:val="0"/>
                <w:kern w:val="0"/>
                <w:sz w:val="22"/>
                <w:szCs w:val="20"/>
                <w14:ligatures w14:val="none"/>
              </w:rPr>
              <w:t>čių</w:t>
            </w:r>
          </w:p>
        </w:tc>
        <w:tc>
          <w:tcPr>
            <w:tcW w:w="1466" w:type="dxa"/>
            <w:tcBorders>
              <w:top w:val="single" w:sz="4" w:space="0" w:color="000000"/>
              <w:left w:val="single" w:sz="4" w:space="0" w:color="000000"/>
              <w:bottom w:val="single" w:sz="4" w:space="0" w:color="000000"/>
              <w:right w:val="single" w:sz="4" w:space="0" w:color="000000"/>
            </w:tcBorders>
          </w:tcPr>
          <w:p w14:paraId="53E0191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573031D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6EF604A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77 (9,3) </w:t>
            </w:r>
          </w:p>
        </w:tc>
        <w:tc>
          <w:tcPr>
            <w:tcW w:w="1672" w:type="dxa"/>
            <w:tcBorders>
              <w:top w:val="single" w:sz="4" w:space="0" w:color="000000"/>
              <w:left w:val="single" w:sz="4" w:space="0" w:color="000000"/>
              <w:bottom w:val="single" w:sz="4" w:space="0" w:color="000000"/>
              <w:right w:val="single" w:sz="4" w:space="0" w:color="000000"/>
            </w:tcBorders>
          </w:tcPr>
          <w:p w14:paraId="6F1DC0A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0,24 </w:t>
            </w:r>
          </w:p>
          <w:p w14:paraId="6373B66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(0,15, 0,40)</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92A80F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0,19 </w:t>
            </w:r>
          </w:p>
          <w:p w14:paraId="1EA33A6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(0,11, 0,33)</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r>
      <w:tr w:rsidR="00C95D96" w:rsidRPr="00D21DFA" w14:paraId="4A8C9556"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60E7CA4A" w14:textId="77777777" w:rsidR="00C95D96" w:rsidRPr="00D21DFA" w:rsidRDefault="00C95D96" w:rsidP="00C95D96">
            <w:pPr>
              <w:tabs>
                <w:tab w:val="left" w:pos="567"/>
              </w:tabs>
              <w:spacing w:after="0" w:line="240" w:lineRule="auto"/>
              <w:ind w:right="-2" w:firstLine="34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3748650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6F57B55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 (0,9) </w:t>
            </w:r>
          </w:p>
        </w:tc>
        <w:tc>
          <w:tcPr>
            <w:tcW w:w="1032" w:type="dxa"/>
            <w:tcBorders>
              <w:top w:val="single" w:sz="4" w:space="0" w:color="000000"/>
              <w:left w:val="single" w:sz="4" w:space="0" w:color="000000"/>
              <w:bottom w:val="single" w:sz="4" w:space="0" w:color="000000"/>
              <w:right w:val="single" w:sz="4" w:space="0" w:color="000000"/>
            </w:tcBorders>
          </w:tcPr>
          <w:p w14:paraId="12D4027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6A6ED2C3" w14:textId="77777777" w:rsidR="00C95D96" w:rsidRPr="00D21DFA" w:rsidRDefault="00C95D96" w:rsidP="00C95D96">
            <w:pPr>
              <w:tabs>
                <w:tab w:val="left" w:pos="567"/>
              </w:tabs>
              <w:spacing w:after="0" w:line="240" w:lineRule="auto"/>
              <w:ind w:left="2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38986CA4" w14:textId="77777777" w:rsidR="00C95D96" w:rsidRPr="00D21DFA" w:rsidRDefault="00C95D96" w:rsidP="00C95D96">
            <w:pPr>
              <w:tabs>
                <w:tab w:val="left" w:pos="567"/>
              </w:tabs>
              <w:spacing w:after="0" w:line="240" w:lineRule="auto"/>
              <w:ind w:left="2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3D910CB"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0E49E235" w14:textId="77777777" w:rsidR="00C95D96" w:rsidRPr="00D21DFA" w:rsidRDefault="00C95D96" w:rsidP="00C95D96">
            <w:pPr>
              <w:tabs>
                <w:tab w:val="left" w:pos="567"/>
              </w:tabs>
              <w:spacing w:after="0" w:line="240" w:lineRule="auto"/>
              <w:ind w:left="346"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4377B63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62952C5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0FD3352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 (1,6) </w:t>
            </w:r>
          </w:p>
        </w:tc>
        <w:tc>
          <w:tcPr>
            <w:tcW w:w="1672" w:type="dxa"/>
            <w:tcBorders>
              <w:top w:val="single" w:sz="4" w:space="0" w:color="000000"/>
              <w:left w:val="single" w:sz="4" w:space="0" w:color="000000"/>
              <w:bottom w:val="single" w:sz="4" w:space="0" w:color="000000"/>
              <w:right w:val="single" w:sz="4" w:space="0" w:color="000000"/>
            </w:tcBorders>
          </w:tcPr>
          <w:p w14:paraId="34AB5623"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C145A4D"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5B5FE59E" w14:textId="77777777" w:rsidTr="00446D67">
        <w:trPr>
          <w:trHeight w:val="636"/>
        </w:trPr>
        <w:tc>
          <w:tcPr>
            <w:tcW w:w="1528" w:type="dxa"/>
            <w:tcBorders>
              <w:top w:val="single" w:sz="4" w:space="0" w:color="000000"/>
              <w:left w:val="single" w:sz="4" w:space="0" w:color="000000"/>
              <w:bottom w:val="single" w:sz="4" w:space="0" w:color="000000"/>
              <w:right w:val="single" w:sz="4" w:space="0" w:color="000000"/>
            </w:tcBorders>
          </w:tcPr>
          <w:p w14:paraId="596606E6" w14:textId="516FA65E"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Mirtis,  dėl </w:t>
            </w:r>
            <w:r w:rsidR="008E4459"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8E4459" w:rsidRPr="00D21DFA">
              <w:rPr>
                <w:rFonts w:ascii="Times New Roman" w:eastAsia="Times New Roman" w:hAnsi="Times New Roman" w:cs="Times New Roman"/>
                <w:snapToGrid w:val="0"/>
                <w:kern w:val="0"/>
                <w:sz w:val="22"/>
                <w:szCs w:val="20"/>
                <w14:ligatures w14:val="none"/>
              </w:rPr>
              <w:t>čių</w:t>
            </w:r>
          </w:p>
        </w:tc>
        <w:tc>
          <w:tcPr>
            <w:tcW w:w="1466" w:type="dxa"/>
            <w:tcBorders>
              <w:top w:val="single" w:sz="4" w:space="0" w:color="000000"/>
              <w:left w:val="single" w:sz="4" w:space="0" w:color="000000"/>
              <w:bottom w:val="single" w:sz="4" w:space="0" w:color="000000"/>
              <w:right w:val="single" w:sz="4" w:space="0" w:color="000000"/>
            </w:tcBorders>
          </w:tcPr>
          <w:p w14:paraId="3A23868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7FEC2B1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223D6FC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 (1,3) </w:t>
            </w:r>
          </w:p>
        </w:tc>
        <w:tc>
          <w:tcPr>
            <w:tcW w:w="1672" w:type="dxa"/>
            <w:tcBorders>
              <w:top w:val="single" w:sz="4" w:space="0" w:color="000000"/>
              <w:left w:val="single" w:sz="4" w:space="0" w:color="000000"/>
              <w:bottom w:val="single" w:sz="4" w:space="0" w:color="000000"/>
              <w:right w:val="single" w:sz="4" w:space="0" w:color="000000"/>
            </w:tcBorders>
          </w:tcPr>
          <w:p w14:paraId="29F663D6"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C60DF35"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7CFE86A" w14:textId="77777777" w:rsidTr="00446D67">
        <w:trPr>
          <w:trHeight w:val="889"/>
        </w:trPr>
        <w:tc>
          <w:tcPr>
            <w:tcW w:w="1528" w:type="dxa"/>
            <w:tcBorders>
              <w:top w:val="single" w:sz="4" w:space="0" w:color="000000"/>
              <w:left w:val="single" w:sz="4" w:space="0" w:color="000000"/>
              <w:bottom w:val="single" w:sz="4" w:space="0" w:color="000000"/>
              <w:right w:val="single" w:sz="4" w:space="0" w:color="000000"/>
            </w:tcBorders>
          </w:tcPr>
          <w:p w14:paraId="08F8D7D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4D7DD74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6FB7CBA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790BB25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73 (8,8) </w:t>
            </w:r>
          </w:p>
        </w:tc>
        <w:tc>
          <w:tcPr>
            <w:tcW w:w="1672" w:type="dxa"/>
            <w:tcBorders>
              <w:top w:val="single" w:sz="4" w:space="0" w:color="000000"/>
              <w:left w:val="single" w:sz="4" w:space="0" w:color="000000"/>
              <w:bottom w:val="single" w:sz="4" w:space="0" w:color="000000"/>
              <w:right w:val="single" w:sz="4" w:space="0" w:color="000000"/>
            </w:tcBorders>
          </w:tcPr>
          <w:p w14:paraId="50C6495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0,19 </w:t>
            </w:r>
          </w:p>
          <w:p w14:paraId="61F95BC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36440B0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0,20 </w:t>
            </w:r>
          </w:p>
          <w:p w14:paraId="6B68354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(0,11, 0,34) </w:t>
            </w:r>
          </w:p>
        </w:tc>
      </w:tr>
      <w:tr w:rsidR="00C95D96" w:rsidRPr="00D21DFA" w14:paraId="4D63497C" w14:textId="77777777" w:rsidTr="00446D67">
        <w:trPr>
          <w:trHeight w:val="889"/>
        </w:trPr>
        <w:tc>
          <w:tcPr>
            <w:tcW w:w="1528" w:type="dxa"/>
            <w:tcBorders>
              <w:top w:val="single" w:sz="4" w:space="0" w:color="000000"/>
              <w:left w:val="single" w:sz="4" w:space="0" w:color="000000"/>
              <w:bottom w:val="single" w:sz="4" w:space="0" w:color="000000"/>
              <w:right w:val="single" w:sz="4" w:space="0" w:color="000000"/>
            </w:tcBorders>
          </w:tcPr>
          <w:p w14:paraId="1E13F04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7DF53EA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4471D10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5D6DE31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76 (9,2) </w:t>
            </w:r>
          </w:p>
        </w:tc>
        <w:tc>
          <w:tcPr>
            <w:tcW w:w="1672" w:type="dxa"/>
            <w:tcBorders>
              <w:top w:val="single" w:sz="4" w:space="0" w:color="000000"/>
              <w:left w:val="single" w:sz="4" w:space="0" w:color="000000"/>
              <w:bottom w:val="single" w:sz="4" w:space="0" w:color="000000"/>
              <w:right w:val="single" w:sz="4" w:space="0" w:color="000000"/>
            </w:tcBorders>
          </w:tcPr>
          <w:p w14:paraId="5BAD135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0,18 </w:t>
            </w:r>
          </w:p>
          <w:p w14:paraId="19CBB65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371FEBB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0,19 </w:t>
            </w:r>
          </w:p>
          <w:p w14:paraId="5EA3CFA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(0,11, 0,33) </w:t>
            </w:r>
          </w:p>
        </w:tc>
      </w:tr>
      <w:tr w:rsidR="00C95D96" w:rsidRPr="00D21DFA" w14:paraId="5946EB39" w14:textId="77777777" w:rsidTr="00446D67">
        <w:trPr>
          <w:trHeight w:val="696"/>
        </w:trPr>
        <w:tc>
          <w:tcPr>
            <w:tcW w:w="1528" w:type="dxa"/>
            <w:tcBorders>
              <w:top w:val="single" w:sz="4" w:space="0" w:color="000000"/>
              <w:left w:val="single" w:sz="4" w:space="0" w:color="000000"/>
              <w:bottom w:val="single" w:sz="4" w:space="0" w:color="000000"/>
              <w:right w:val="single" w:sz="4" w:space="0" w:color="000000"/>
            </w:tcBorders>
          </w:tcPr>
          <w:p w14:paraId="7506FCE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Nemirtina</w:t>
            </w:r>
          </w:p>
          <w:p w14:paraId="28200D9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GVT</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0B7442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41BDAF1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 (1,0) </w:t>
            </w:r>
          </w:p>
        </w:tc>
        <w:tc>
          <w:tcPr>
            <w:tcW w:w="1032" w:type="dxa"/>
            <w:tcBorders>
              <w:top w:val="single" w:sz="4" w:space="0" w:color="000000"/>
              <w:left w:val="single" w:sz="4" w:space="0" w:color="000000"/>
              <w:bottom w:val="single" w:sz="4" w:space="0" w:color="000000"/>
              <w:right w:val="single" w:sz="4" w:space="0" w:color="000000"/>
            </w:tcBorders>
          </w:tcPr>
          <w:p w14:paraId="24F3883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2DBE2F1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w:t>
            </w:r>
          </w:p>
          <w:p w14:paraId="7420DE7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2C03710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0,15 </w:t>
            </w:r>
          </w:p>
          <w:p w14:paraId="1B1394F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(0,07, 0,32) </w:t>
            </w:r>
          </w:p>
        </w:tc>
      </w:tr>
      <w:tr w:rsidR="00C95D96" w:rsidRPr="00D21DFA" w14:paraId="148FBF09"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10BAD09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Nemirtina PE</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9E0CD0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70266AC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0CDAF09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 (1,8) </w:t>
            </w:r>
          </w:p>
        </w:tc>
        <w:tc>
          <w:tcPr>
            <w:tcW w:w="1672" w:type="dxa"/>
            <w:tcBorders>
              <w:top w:val="single" w:sz="4" w:space="0" w:color="000000"/>
              <w:left w:val="single" w:sz="4" w:space="0" w:color="000000"/>
              <w:bottom w:val="single" w:sz="4" w:space="0" w:color="000000"/>
              <w:right w:val="single" w:sz="4" w:space="0" w:color="000000"/>
            </w:tcBorders>
          </w:tcPr>
          <w:p w14:paraId="464DAA5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0,51 </w:t>
            </w:r>
          </w:p>
          <w:p w14:paraId="2C8D071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(0,22, 1,21)</w:t>
            </w:r>
          </w:p>
        </w:tc>
        <w:tc>
          <w:tcPr>
            <w:tcW w:w="1758" w:type="dxa"/>
            <w:tcBorders>
              <w:top w:val="single" w:sz="4" w:space="0" w:color="000000"/>
              <w:left w:val="single" w:sz="4" w:space="0" w:color="000000"/>
              <w:bottom w:val="single" w:sz="4" w:space="0" w:color="000000"/>
              <w:right w:val="single" w:sz="4" w:space="0" w:color="000000"/>
            </w:tcBorders>
          </w:tcPr>
          <w:p w14:paraId="39554F9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0,27 </w:t>
            </w:r>
          </w:p>
          <w:p w14:paraId="18DA94E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(0,09, 0,80)</w:t>
            </w:r>
          </w:p>
        </w:tc>
      </w:tr>
      <w:tr w:rsidR="00C95D96" w:rsidRPr="00D21DFA" w14:paraId="357E1D9E" w14:textId="77777777" w:rsidTr="00446D67">
        <w:trPr>
          <w:trHeight w:val="697"/>
        </w:trPr>
        <w:tc>
          <w:tcPr>
            <w:tcW w:w="1528" w:type="dxa"/>
            <w:tcBorders>
              <w:top w:val="single" w:sz="4" w:space="0" w:color="000000"/>
              <w:left w:val="single" w:sz="4" w:space="0" w:color="000000"/>
              <w:bottom w:val="single" w:sz="4" w:space="0" w:color="000000"/>
              <w:right w:val="single" w:sz="4" w:space="0" w:color="000000"/>
            </w:tcBorders>
          </w:tcPr>
          <w:p w14:paraId="69A0709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4B0B62A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0ED3D9A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7051148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 (0,8) </w:t>
            </w:r>
          </w:p>
        </w:tc>
        <w:tc>
          <w:tcPr>
            <w:tcW w:w="1672" w:type="dxa"/>
            <w:tcBorders>
              <w:top w:val="single" w:sz="4" w:space="0" w:color="000000"/>
              <w:left w:val="single" w:sz="4" w:space="0" w:color="000000"/>
              <w:bottom w:val="single" w:sz="4" w:space="0" w:color="000000"/>
              <w:right w:val="single" w:sz="4" w:space="0" w:color="000000"/>
            </w:tcBorders>
          </w:tcPr>
          <w:p w14:paraId="718EA3B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0,28 </w:t>
            </w:r>
          </w:p>
          <w:p w14:paraId="082A8CF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636E236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0,45</w:t>
            </w:r>
          </w:p>
          <w:p w14:paraId="13516AE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(0,12 1,71) </w:t>
            </w:r>
          </w:p>
        </w:tc>
      </w:tr>
    </w:tbl>
    <w:p w14:paraId="4243151C" w14:textId="77777777"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kern w:val="0"/>
          <w:sz w:val="22"/>
          <w:szCs w:val="22"/>
          <w:vertAlign w:val="superscript"/>
          <w14:ligatures w14:val="none"/>
        </w:rPr>
        <w:t xml:space="preserve">¥ </w:t>
      </w:r>
      <w:r w:rsidRPr="00D21DFA">
        <w:rPr>
          <w:rFonts w:ascii="Times New Roman" w:eastAsia="Times New Roman" w:hAnsi="Times New Roman" w:cs="Times New Roman"/>
          <w:snapToGrid w:val="0"/>
          <w:kern w:val="0"/>
          <w:sz w:val="22"/>
          <w:szCs w:val="22"/>
          <w14:ligatures w14:val="none"/>
        </w:rPr>
        <w:t xml:space="preserve">p vertė &lt; 0,0001 </w:t>
      </w:r>
    </w:p>
    <w:p w14:paraId="228D9D6E" w14:textId="77777777" w:rsidR="00C95D96" w:rsidRPr="00D21DFA"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DDD38AA" w14:textId="77777777" w:rsidR="00C95D96" w:rsidRPr="00D21DFA"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Kai kuriems tiriamiesiems gali pasireikšti daugiau nei vienas reiškinys ir jie gali būti pateikti abiejose klasifikacijose.</w:t>
      </w:r>
    </w:p>
    <w:p w14:paraId="1AD391F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Cs w:val="22"/>
          <w14:ligatures w14:val="none"/>
        </w:rPr>
      </w:pPr>
    </w:p>
    <w:p w14:paraId="4193CA7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veiksmingumas VTE pasikartojimo profilaktikai išliko panašus visuose pogrupiuose, įskaitant pagal amžių, lytį, KMI ir inkstų funkciją sudarytus pogrupius. </w:t>
      </w:r>
    </w:p>
    <w:p w14:paraId="5DCBC66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86F83D" w14:textId="0D3F3A4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Svarbiausioji vertinamoji baigtis buvo stiprus kraujavimas gydymo laikotarpiu. Šio tyrimo duomenys rodo, kad stipraus kraujavimo dažnis abiejų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dozių grupėse statistiškai nesiskyrė nuo to, kuris pasireiškė placebo grupėje. Tarp tų, kurie du kartus per parą vartojo po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placebo grupės nebuvo pastebėta statistiškai reikšmingų stipraus kraujavimo + KRNS, nestipraus kraujavimo ir visų kraujavimų dažnio skirtumų (žr. 1</w:t>
      </w:r>
      <w:r w:rsidR="005738CA" w:rsidRPr="00D21DFA">
        <w:rPr>
          <w:rFonts w:ascii="Times New Roman" w:eastAsia="Times New Roman" w:hAnsi="Times New Roman" w:cs="Times New Roman"/>
          <w:snapToGrid w:val="0"/>
          <w:kern w:val="0"/>
          <w:sz w:val="22"/>
          <w:szCs w:val="20"/>
          <w14:ligatures w14:val="none"/>
        </w:rPr>
        <w:t>4</w:t>
      </w:r>
      <w:r w:rsidRPr="00D21DFA">
        <w:rPr>
          <w:rFonts w:ascii="Times New Roman" w:eastAsia="Times New Roman" w:hAnsi="Times New Roman" w:cs="Times New Roman"/>
          <w:snapToGrid w:val="0"/>
          <w:kern w:val="0"/>
          <w:sz w:val="22"/>
          <w:szCs w:val="20"/>
          <w14:ligatures w14:val="none"/>
        </w:rPr>
        <w:t xml:space="preserve"> lentelę).</w:t>
      </w:r>
    </w:p>
    <w:p w14:paraId="6DEE3D6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7B6CBB8" w14:textId="4DABFA08" w:rsidR="00C95D96" w:rsidRPr="00D21DFA" w:rsidRDefault="00C95D96"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5738CA" w:rsidRPr="00D21DFA">
        <w:rPr>
          <w:rFonts w:ascii="Times New Roman" w:eastAsia="Times New Roman" w:hAnsi="Times New Roman" w:cs="Times New Roman"/>
          <w:b/>
          <w:bCs/>
          <w:snapToGrid w:val="0"/>
          <w:kern w:val="0"/>
          <w:sz w:val="22"/>
          <w:szCs w:val="20"/>
          <w14:ligatures w14:val="none"/>
        </w:rPr>
        <w:t>4</w:t>
      </w:r>
      <w:r w:rsidRPr="00D21DFA">
        <w:rPr>
          <w:rFonts w:ascii="Times New Roman" w:eastAsia="Times New Roman" w:hAnsi="Times New Roman" w:cs="Times New Roman"/>
          <w:b/>
          <w:bCs/>
          <w:snapToGrid w:val="0"/>
          <w:kern w:val="0"/>
          <w:sz w:val="22"/>
          <w:szCs w:val="20"/>
          <w14:ligatures w14:val="none"/>
        </w:rPr>
        <w:t xml:space="preserve"> 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87"/>
        <w:gridCol w:w="1439"/>
        <w:gridCol w:w="1440"/>
        <w:gridCol w:w="1320"/>
        <w:gridCol w:w="1874"/>
        <w:gridCol w:w="1812"/>
      </w:tblGrid>
      <w:tr w:rsidR="00C95D96" w:rsidRPr="00D21DFA" w14:paraId="54F80BC2" w14:textId="77777777" w:rsidTr="00446D67">
        <w:trPr>
          <w:trHeight w:val="383"/>
        </w:trPr>
        <w:tc>
          <w:tcPr>
            <w:tcW w:w="1204" w:type="dxa"/>
            <w:tcBorders>
              <w:top w:val="single" w:sz="4" w:space="0" w:color="000000"/>
              <w:left w:val="single" w:sz="4" w:space="0" w:color="000000"/>
              <w:bottom w:val="single" w:sz="4" w:space="0" w:color="000000"/>
              <w:right w:val="single" w:sz="4" w:space="0" w:color="000000"/>
            </w:tcBorders>
          </w:tcPr>
          <w:p w14:paraId="6AB2454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419BE04"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r w:rsidRPr="00D21DFA">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A9B82E1"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r w:rsidRPr="00D21DFA">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AF8F35D" w14:textId="77777777" w:rsidR="00C95D96" w:rsidRPr="00D21DFA" w:rsidRDefault="00C95D96" w:rsidP="00C95D96">
            <w:pPr>
              <w:tabs>
                <w:tab w:val="left" w:pos="567"/>
              </w:tabs>
              <w:spacing w:after="0" w:line="240" w:lineRule="auto"/>
              <w:ind w:left="3"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7B9D19E9"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Santykinė rizika (95 % PI) </w:t>
            </w:r>
          </w:p>
        </w:tc>
      </w:tr>
      <w:tr w:rsidR="00C95D96" w:rsidRPr="00D21DFA" w14:paraId="46AA16C5" w14:textId="77777777" w:rsidTr="00446D67">
        <w:trPr>
          <w:trHeight w:val="301"/>
        </w:trPr>
        <w:tc>
          <w:tcPr>
            <w:tcW w:w="1204" w:type="dxa"/>
            <w:tcBorders>
              <w:top w:val="single" w:sz="4" w:space="0" w:color="000000"/>
              <w:left w:val="single" w:sz="4" w:space="0" w:color="000000"/>
              <w:bottom w:val="single" w:sz="4" w:space="0" w:color="000000"/>
              <w:right w:val="single" w:sz="4" w:space="0" w:color="000000"/>
            </w:tcBorders>
          </w:tcPr>
          <w:p w14:paraId="4AE8051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218279C"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2,5 mg </w:t>
            </w:r>
          </w:p>
          <w:p w14:paraId="33B466DC"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2ADAE1E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5,0 mg </w:t>
            </w:r>
          </w:p>
          <w:p w14:paraId="2A1A69C3"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525832C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 </w:t>
            </w:r>
          </w:p>
          <w:p w14:paraId="1CA2084B"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0F24D79A" w14:textId="77777777" w:rsidR="00C95D96" w:rsidRPr="00D21DFA" w:rsidRDefault="00C95D96" w:rsidP="00C95D96">
            <w:pPr>
              <w:tabs>
                <w:tab w:val="left" w:pos="567"/>
              </w:tabs>
              <w:spacing w:after="0" w:line="240" w:lineRule="auto"/>
              <w:ind w:left="164"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Apiksabano</w:t>
            </w:r>
            <w:proofErr w:type="spellEnd"/>
            <w:r w:rsidRPr="00D21DFA">
              <w:rPr>
                <w:rFonts w:ascii="Times New Roman" w:eastAsia="Times New Roman" w:hAnsi="Times New Roman" w:cs="Times New Roman"/>
                <w:b/>
                <w:snapToGrid w:val="0"/>
                <w:kern w:val="0"/>
                <w:sz w:val="22"/>
                <w:szCs w:val="22"/>
                <w14:ligatures w14:val="none"/>
              </w:rPr>
              <w:t xml:space="preserve"> 2,5 mg plg. su</w:t>
            </w:r>
            <w:r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b/>
                <w:snapToGrid w:val="0"/>
                <w:kern w:val="0"/>
                <w:sz w:val="22"/>
                <w:szCs w:val="22"/>
                <w14:ligatures w14:val="none"/>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136FE4D2" w14:textId="77777777" w:rsidR="00C95D96" w:rsidRPr="00D21DFA" w:rsidRDefault="00C95D96" w:rsidP="00C95D96">
            <w:pPr>
              <w:tabs>
                <w:tab w:val="left" w:pos="567"/>
              </w:tabs>
              <w:spacing w:after="0" w:line="240" w:lineRule="auto"/>
              <w:ind w:left="282"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Apiksabano</w:t>
            </w:r>
            <w:proofErr w:type="spellEnd"/>
            <w:r w:rsidRPr="00D21DFA">
              <w:rPr>
                <w:rFonts w:ascii="Times New Roman" w:eastAsia="Times New Roman" w:hAnsi="Times New Roman" w:cs="Times New Roman"/>
                <w:b/>
                <w:snapToGrid w:val="0"/>
                <w:kern w:val="0"/>
                <w:sz w:val="22"/>
                <w:szCs w:val="22"/>
                <w14:ligatures w14:val="none"/>
              </w:rPr>
              <w:t xml:space="preserve"> 5,0 mg </w:t>
            </w:r>
            <w:proofErr w:type="spellStart"/>
            <w:r w:rsidRPr="00D21DFA">
              <w:rPr>
                <w:rFonts w:ascii="Times New Roman" w:eastAsia="Times New Roman" w:hAnsi="Times New Roman" w:cs="Times New Roman"/>
                <w:b/>
                <w:snapToGrid w:val="0"/>
                <w:kern w:val="0"/>
                <w:sz w:val="22"/>
                <w:szCs w:val="22"/>
                <w14:ligatures w14:val="none"/>
              </w:rPr>
              <w:t>plg</w:t>
            </w:r>
            <w:proofErr w:type="spellEnd"/>
            <w:r w:rsidRPr="00D21DFA">
              <w:rPr>
                <w:rFonts w:ascii="Times New Roman" w:eastAsia="Times New Roman" w:hAnsi="Times New Roman" w:cs="Times New Roman"/>
                <w:b/>
                <w:snapToGrid w:val="0"/>
                <w:kern w:val="0"/>
                <w:sz w:val="22"/>
                <w:szCs w:val="22"/>
                <w14:ligatures w14:val="none"/>
              </w:rPr>
              <w:t xml:space="preserve"> su placebu</w:t>
            </w:r>
          </w:p>
        </w:tc>
      </w:tr>
      <w:tr w:rsidR="00C95D96" w:rsidRPr="00D21DFA" w14:paraId="4228D7A8" w14:textId="77777777" w:rsidTr="00446D67">
        <w:trPr>
          <w:trHeight w:val="384"/>
        </w:trPr>
        <w:tc>
          <w:tcPr>
            <w:tcW w:w="1204" w:type="dxa"/>
            <w:tcBorders>
              <w:top w:val="single" w:sz="4" w:space="0" w:color="000000"/>
              <w:left w:val="single" w:sz="4" w:space="0" w:color="000000"/>
              <w:bottom w:val="single" w:sz="4" w:space="0" w:color="000000"/>
              <w:right w:val="single" w:sz="4" w:space="0" w:color="000000"/>
            </w:tcBorders>
          </w:tcPr>
          <w:p w14:paraId="06384C2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38CF0E3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7A6088AD"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64683FFE" w14:textId="77777777" w:rsidR="00C95D96" w:rsidRPr="00D21DFA" w:rsidRDefault="00C95D96" w:rsidP="00C95D96">
            <w:pPr>
              <w:tabs>
                <w:tab w:val="left" w:pos="567"/>
              </w:tabs>
              <w:spacing w:after="0" w:line="240" w:lineRule="auto"/>
              <w:ind w:left="63"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n (%)</w:t>
            </w:r>
          </w:p>
        </w:tc>
        <w:tc>
          <w:tcPr>
            <w:tcW w:w="1926" w:type="dxa"/>
            <w:tcBorders>
              <w:top w:val="single" w:sz="4" w:space="0" w:color="000000"/>
              <w:left w:val="single" w:sz="4" w:space="0" w:color="000000"/>
              <w:bottom w:val="single" w:sz="4" w:space="0" w:color="000000"/>
              <w:right w:val="single" w:sz="4" w:space="0" w:color="000000"/>
            </w:tcBorders>
          </w:tcPr>
          <w:p w14:paraId="0E6BE9E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5CF8718B" w14:textId="77777777" w:rsidR="00C95D96" w:rsidRPr="00D21DFA" w:rsidRDefault="00C95D96" w:rsidP="00C95D96">
            <w:pPr>
              <w:tabs>
                <w:tab w:val="left" w:pos="567"/>
              </w:tabs>
              <w:spacing w:after="0" w:line="240" w:lineRule="auto"/>
              <w:ind w:left="63"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r w:rsidR="00C95D96" w:rsidRPr="00D21DFA" w14:paraId="50FAC95F" w14:textId="77777777" w:rsidTr="00446D67">
        <w:trPr>
          <w:trHeight w:val="696"/>
        </w:trPr>
        <w:tc>
          <w:tcPr>
            <w:tcW w:w="1204" w:type="dxa"/>
            <w:tcBorders>
              <w:top w:val="single" w:sz="4" w:space="0" w:color="000000"/>
              <w:left w:val="single" w:sz="4" w:space="0" w:color="000000"/>
              <w:bottom w:val="single" w:sz="4" w:space="0" w:color="000000"/>
              <w:right w:val="single" w:sz="4" w:space="0" w:color="000000"/>
            </w:tcBorders>
          </w:tcPr>
          <w:p w14:paraId="33E6330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21407C12"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41E480ED"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7632DB63"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18175642"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0,49 </w:t>
            </w:r>
          </w:p>
          <w:p w14:paraId="5254EE07"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1F3C6A65"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0,25 </w:t>
            </w:r>
          </w:p>
          <w:p w14:paraId="6BCA7516"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(0,03, 2,24) </w:t>
            </w:r>
          </w:p>
        </w:tc>
      </w:tr>
      <w:tr w:rsidR="00C95D96" w:rsidRPr="00D21DFA" w14:paraId="68BD2F08" w14:textId="77777777" w:rsidTr="00446D6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400C2F6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p w14:paraId="2E847AB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2B64533D"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2DA0AB3"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1D95011"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48E16A40"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1,20 </w:t>
            </w:r>
          </w:p>
          <w:p w14:paraId="0AB5FD6F"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02C8392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1,62 </w:t>
            </w:r>
          </w:p>
          <w:p w14:paraId="564679D8"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(0,96, 2,73) </w:t>
            </w:r>
          </w:p>
        </w:tc>
      </w:tr>
      <w:tr w:rsidR="00C95D96" w:rsidRPr="00D21DFA" w14:paraId="1053E673" w14:textId="77777777" w:rsidTr="00446D67">
        <w:trPr>
          <w:trHeight w:val="695"/>
        </w:trPr>
        <w:tc>
          <w:tcPr>
            <w:tcW w:w="1204" w:type="dxa"/>
            <w:tcBorders>
              <w:top w:val="single" w:sz="4" w:space="0" w:color="000000"/>
              <w:left w:val="single" w:sz="4" w:space="0" w:color="000000"/>
              <w:bottom w:val="single" w:sz="4" w:space="0" w:color="000000"/>
              <w:right w:val="single" w:sz="4" w:space="0" w:color="000000"/>
            </w:tcBorders>
          </w:tcPr>
          <w:p w14:paraId="3CC2356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01876EB0"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43AE073E"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06589CEF"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10893FBD"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1,26 </w:t>
            </w:r>
          </w:p>
          <w:p w14:paraId="7C5EF100"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615087C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1,70 </w:t>
            </w:r>
          </w:p>
          <w:p w14:paraId="6976DEF2"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(1,25, 2,31)  </w:t>
            </w:r>
          </w:p>
        </w:tc>
      </w:tr>
      <w:tr w:rsidR="00C95D96" w:rsidRPr="00D21DFA" w14:paraId="5AA2B47E" w14:textId="77777777" w:rsidTr="00446D67">
        <w:trPr>
          <w:trHeight w:val="697"/>
        </w:trPr>
        <w:tc>
          <w:tcPr>
            <w:tcW w:w="1204" w:type="dxa"/>
            <w:tcBorders>
              <w:top w:val="single" w:sz="4" w:space="0" w:color="000000"/>
              <w:left w:val="single" w:sz="4" w:space="0" w:color="000000"/>
              <w:bottom w:val="single" w:sz="4" w:space="0" w:color="000000"/>
              <w:right w:val="single" w:sz="4" w:space="0" w:color="000000"/>
            </w:tcBorders>
          </w:tcPr>
          <w:p w14:paraId="7DBC78E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Visi</w:t>
            </w:r>
          </w:p>
        </w:tc>
        <w:tc>
          <w:tcPr>
            <w:tcW w:w="1368" w:type="dxa"/>
            <w:tcBorders>
              <w:top w:val="single" w:sz="4" w:space="0" w:color="000000"/>
              <w:left w:val="single" w:sz="4" w:space="0" w:color="000000"/>
              <w:bottom w:val="single" w:sz="4" w:space="0" w:color="000000"/>
              <w:right w:val="single" w:sz="4" w:space="0" w:color="000000"/>
            </w:tcBorders>
          </w:tcPr>
          <w:p w14:paraId="42773FC9" w14:textId="77777777" w:rsidR="00C95D96" w:rsidRPr="00D21DFA" w:rsidRDefault="00C95D96" w:rsidP="00C95D96">
            <w:pPr>
              <w:tabs>
                <w:tab w:val="left" w:pos="567"/>
              </w:tabs>
              <w:spacing w:after="0" w:line="240" w:lineRule="auto"/>
              <w:ind w:left="10"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73D6E43F" w14:textId="77777777" w:rsidR="00C95D96" w:rsidRPr="00D21DFA" w:rsidRDefault="00C95D96" w:rsidP="00C95D96">
            <w:pPr>
              <w:tabs>
                <w:tab w:val="left" w:pos="567"/>
              </w:tabs>
              <w:spacing w:after="0" w:line="240" w:lineRule="auto"/>
              <w:ind w:left="10"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15FF4A1D"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7DCAEC82"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1,24 </w:t>
            </w:r>
          </w:p>
          <w:p w14:paraId="6CE03D59"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719E5E90"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1,65 </w:t>
            </w:r>
          </w:p>
          <w:p w14:paraId="639EB56B"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(1,26, 2,16)  </w:t>
            </w:r>
          </w:p>
        </w:tc>
      </w:tr>
    </w:tbl>
    <w:p w14:paraId="2EF331D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42CB1C4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Pripažintas stiprus kraujavimas iš virškinimo trakto pagal ISTH pasireiškė 1 (0,1 %) pacientui, vartojusiam po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 nepasireiškė nei vienam po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 vartojusiam pacientui ir pasireiškė 1 (0,1 %) placebu gydytam pacientui.</w:t>
      </w:r>
    </w:p>
    <w:p w14:paraId="0508CB9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D76A2F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Vaikų populiacija </w:t>
      </w:r>
    </w:p>
    <w:p w14:paraId="233368F2" w14:textId="77777777" w:rsidR="001D145F" w:rsidRPr="00D21DFA" w:rsidRDefault="001D145F"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bookmarkStart w:id="1" w:name="_Hlk151380871"/>
    </w:p>
    <w:p w14:paraId="796B1397" w14:textId="6B6B4E04" w:rsidR="001D145F" w:rsidRPr="00AD1A35" w:rsidRDefault="001D145F" w:rsidP="001D145F">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AD1A35">
        <w:rPr>
          <w:rFonts w:ascii="Times New Roman" w:eastAsia="Times New Roman" w:hAnsi="Times New Roman" w:cs="Times New Roman"/>
          <w:i/>
          <w:iCs/>
          <w:snapToGrid w:val="0"/>
          <w:kern w:val="0"/>
          <w:sz w:val="22"/>
          <w:szCs w:val="20"/>
          <w:u w:val="single"/>
          <w14:ligatures w14:val="none"/>
        </w:rPr>
        <w:t>Venų tromboembolijos (VTE) gydymas ir VTE pasikartojimo profilaktika pacientams vaikams nuo</w:t>
      </w:r>
      <w:r w:rsidR="007B29B2">
        <w:rPr>
          <w:rFonts w:ascii="Times New Roman" w:eastAsia="Times New Roman" w:hAnsi="Times New Roman" w:cs="Times New Roman"/>
          <w:i/>
          <w:iCs/>
          <w:snapToGrid w:val="0"/>
          <w:kern w:val="0"/>
          <w:sz w:val="22"/>
          <w:szCs w:val="20"/>
          <w:u w:val="single"/>
          <w14:ligatures w14:val="none"/>
        </w:rPr>
        <w:t> </w:t>
      </w:r>
    </w:p>
    <w:p w14:paraId="1BDB7939" w14:textId="59A3D3E1" w:rsidR="001D145F" w:rsidRPr="00AD1A35" w:rsidRDefault="001D145F" w:rsidP="001D145F">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AD1A35">
        <w:rPr>
          <w:rFonts w:ascii="Times New Roman" w:eastAsia="Times New Roman" w:hAnsi="Times New Roman" w:cs="Times New Roman"/>
          <w:i/>
          <w:iCs/>
          <w:snapToGrid w:val="0"/>
          <w:kern w:val="0"/>
          <w:sz w:val="22"/>
          <w:szCs w:val="20"/>
          <w:u w:val="single"/>
          <w14:ligatures w14:val="none"/>
        </w:rPr>
        <w:t>28 dienų iki &lt; 18 metų</w:t>
      </w:r>
    </w:p>
    <w:p w14:paraId="3D63F904" w14:textId="3E2F57ED"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Tyrimas CV185325 buvo atsitiktinių imčių, aktyviai kontroliuojamas, atviras, </w:t>
      </w:r>
      <w:proofErr w:type="spellStart"/>
      <w:r w:rsidRPr="00D21DFA">
        <w:rPr>
          <w:rFonts w:ascii="Times New Roman" w:eastAsia="Times New Roman" w:hAnsi="Times New Roman" w:cs="Times New Roman"/>
          <w:snapToGrid w:val="0"/>
          <w:kern w:val="0"/>
          <w:sz w:val="22"/>
          <w:szCs w:val="20"/>
          <w14:ligatures w14:val="none"/>
        </w:rPr>
        <w:t>daugiacentris</w:t>
      </w:r>
      <w:proofErr w:type="spellEnd"/>
      <w:r w:rsidRPr="00D21DFA">
        <w:rPr>
          <w:rFonts w:ascii="Times New Roman" w:eastAsia="Times New Roman" w:hAnsi="Times New Roman" w:cs="Times New Roman"/>
          <w:snapToGrid w:val="0"/>
          <w:kern w:val="0"/>
          <w:sz w:val="22"/>
          <w:szCs w:val="20"/>
          <w14:ligatures w14:val="none"/>
        </w:rPr>
        <w:t xml:space="preserve"> tyrimas, skirtas įvertinti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pacientų vaikų VTE gydymui. Šiame aprašomajame veiksmingumo ir saugumo tyrime dalyvavo 217 pacientų vaikų, kuriems reikėjo </w:t>
      </w:r>
      <w:proofErr w:type="spellStart"/>
      <w:r w:rsidRPr="00D21DFA">
        <w:rPr>
          <w:rFonts w:ascii="Times New Roman" w:eastAsia="Times New Roman" w:hAnsi="Times New Roman" w:cs="Times New Roman"/>
          <w:snapToGrid w:val="0"/>
          <w:kern w:val="0"/>
          <w:sz w:val="22"/>
          <w:szCs w:val="20"/>
          <w14:ligatures w14:val="none"/>
        </w:rPr>
        <w:t>antikoaguliacinio</w:t>
      </w:r>
      <w:proofErr w:type="spellEnd"/>
      <w:r w:rsidRPr="00D21DFA">
        <w:rPr>
          <w:rFonts w:ascii="Times New Roman" w:eastAsia="Times New Roman" w:hAnsi="Times New Roman" w:cs="Times New Roman"/>
          <w:snapToGrid w:val="0"/>
          <w:kern w:val="0"/>
          <w:sz w:val="22"/>
          <w:szCs w:val="20"/>
          <w14:ligatures w14:val="none"/>
        </w:rPr>
        <w:t xml:space="preserve"> gydymo dėl VTE ir dėl VTE pasikartojimo profilaktikos; 137 pacientai pateko į 1</w:t>
      </w:r>
      <w:r w:rsidRPr="00D21DFA">
        <w:rPr>
          <w:rFonts w:ascii="Times New Roman" w:eastAsia="Times New Roman" w:hAnsi="Times New Roman" w:cs="Times New Roman"/>
          <w:snapToGrid w:val="0"/>
          <w:kern w:val="0"/>
          <w:sz w:val="22"/>
          <w:szCs w:val="20"/>
          <w14:ligatures w14:val="none"/>
        </w:rPr>
        <w:noBreakHyphen/>
        <w:t>ąją amžiaus grupę (nuo 12 iki &lt; 18 metų), 44 pacientai – į 2</w:t>
      </w:r>
      <w:r w:rsidRPr="00D21DFA">
        <w:rPr>
          <w:rFonts w:ascii="Times New Roman" w:eastAsia="Times New Roman" w:hAnsi="Times New Roman" w:cs="Times New Roman"/>
          <w:snapToGrid w:val="0"/>
          <w:kern w:val="0"/>
          <w:sz w:val="22"/>
          <w:szCs w:val="20"/>
          <w14:ligatures w14:val="none"/>
        </w:rPr>
        <w:noBreakHyphen/>
        <w:t>ąją amžiaus grupę (nuo 2 iki &lt; 12 metų), 32 pacientai – į 3</w:t>
      </w:r>
      <w:r w:rsidRPr="00D21DFA">
        <w:rPr>
          <w:rFonts w:ascii="Times New Roman" w:eastAsia="Times New Roman" w:hAnsi="Times New Roman" w:cs="Times New Roman"/>
          <w:snapToGrid w:val="0"/>
          <w:kern w:val="0"/>
          <w:sz w:val="22"/>
          <w:szCs w:val="20"/>
          <w14:ligatures w14:val="none"/>
        </w:rPr>
        <w:noBreakHyphen/>
        <w:t>iąją amžiaus grupę (nuo 28 dienų iki &lt; 2 metų) ir 4 pacientai – į 4</w:t>
      </w:r>
      <w:r w:rsidRPr="00D21DFA">
        <w:rPr>
          <w:rFonts w:ascii="Times New Roman" w:eastAsia="Times New Roman" w:hAnsi="Times New Roman" w:cs="Times New Roman"/>
          <w:snapToGrid w:val="0"/>
          <w:kern w:val="0"/>
          <w:sz w:val="22"/>
          <w:szCs w:val="20"/>
          <w14:ligatures w14:val="none"/>
        </w:rPr>
        <w:noBreakHyphen/>
        <w:t>ąją amžiaus grupę (nuo gimimo iki &lt; 28 dienų). Pradinė VTE buvo patvirtinta vaizdiniu tyrimu ir nepriklausomai įvertinta. Prieš</w:t>
      </w:r>
      <w:r w:rsidR="00887466">
        <w:rPr>
          <w:rFonts w:ascii="Times New Roman" w:eastAsia="Times New Roman" w:hAnsi="Times New Roman" w:cs="Times New Roman"/>
          <w:snapToGrid w:val="0"/>
          <w:kern w:val="0"/>
          <w:sz w:val="22"/>
          <w:szCs w:val="20"/>
          <w14:ligatures w14:val="none"/>
        </w:rPr>
        <w:t xml:space="preserve"> </w:t>
      </w:r>
    </w:p>
    <w:p w14:paraId="357F9189" w14:textId="42F5982D"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randomizaciją</w:t>
      </w:r>
      <w:proofErr w:type="spellEnd"/>
      <w:r w:rsidRPr="00D21DFA">
        <w:rPr>
          <w:rFonts w:ascii="Times New Roman" w:eastAsia="Times New Roman" w:hAnsi="Times New Roman" w:cs="Times New Roman"/>
          <w:snapToGrid w:val="0"/>
          <w:kern w:val="0"/>
          <w:sz w:val="22"/>
          <w:szCs w:val="20"/>
          <w14:ligatures w14:val="none"/>
        </w:rPr>
        <w:t xml:space="preserve"> pacientai gavo standartinį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gydymą iki 14 dienų (vidutinė standartinio </w:t>
      </w:r>
      <w:proofErr w:type="spellStart"/>
      <w:r w:rsidRPr="00D21DFA">
        <w:rPr>
          <w:rFonts w:ascii="Times New Roman" w:eastAsia="Times New Roman" w:hAnsi="Times New Roman" w:cs="Times New Roman"/>
          <w:snapToGrid w:val="0"/>
          <w:kern w:val="0"/>
          <w:sz w:val="22"/>
          <w:szCs w:val="20"/>
          <w14:ligatures w14:val="none"/>
        </w:rPr>
        <w:t>antikoaguliacinio</w:t>
      </w:r>
      <w:proofErr w:type="spellEnd"/>
      <w:r w:rsidRPr="00D21DFA">
        <w:rPr>
          <w:rFonts w:ascii="Times New Roman" w:eastAsia="Times New Roman" w:hAnsi="Times New Roman" w:cs="Times New Roman"/>
          <w:snapToGrid w:val="0"/>
          <w:kern w:val="0"/>
          <w:sz w:val="22"/>
          <w:szCs w:val="20"/>
          <w14:ligatures w14:val="none"/>
        </w:rPr>
        <w:t xml:space="preserve"> gydymo trukmė (SN) prieš tiriamojo vaistinio preparato vartojimo pradžią buvo 4,8 (2,5) dienos, o 92,3 % pacientų tyrimą pradėjo po ≤ 7 dienų). Pacientai buvo santykiu 2:1 </w:t>
      </w:r>
      <w:proofErr w:type="spellStart"/>
      <w:r w:rsidRPr="00D21DFA">
        <w:rPr>
          <w:rFonts w:ascii="Times New Roman" w:eastAsia="Times New Roman" w:hAnsi="Times New Roman" w:cs="Times New Roman"/>
          <w:snapToGrid w:val="0"/>
          <w:kern w:val="0"/>
          <w:sz w:val="22"/>
          <w:szCs w:val="20"/>
          <w14:ligatures w14:val="none"/>
        </w:rPr>
        <w:t>randomizuoti</w:t>
      </w:r>
      <w:proofErr w:type="spellEnd"/>
      <w:r w:rsidRPr="00D21DFA">
        <w:rPr>
          <w:rFonts w:ascii="Times New Roman" w:eastAsia="Times New Roman" w:hAnsi="Times New Roman" w:cs="Times New Roman"/>
          <w:snapToGrid w:val="0"/>
          <w:kern w:val="0"/>
          <w:sz w:val="22"/>
          <w:szCs w:val="20"/>
          <w14:ligatures w14:val="none"/>
        </w:rPr>
        <w:t xml:space="preserve"> vartoti pagal amžių pritaikytą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formą (dozės koreguotos pagal svorį, kad atitiktų dozavimą suaugusiesiems, kai iš pradžių skiriama įsotinamoji 10 mg dozė du kartus per parą 7 paras, o paskui po 5 mg du kartus per parą) arba gauti standartinį gydymą (SG). Pacientams nuo 2 iki &lt; 18 metų SG sudarė mažos molekulinės masės heparinai (MMMH), </w:t>
      </w:r>
      <w:proofErr w:type="spellStart"/>
      <w:r w:rsidRPr="00D21DFA">
        <w:rPr>
          <w:rFonts w:ascii="Times New Roman" w:eastAsia="Times New Roman" w:hAnsi="Times New Roman" w:cs="Times New Roman"/>
          <w:snapToGrid w:val="0"/>
          <w:kern w:val="0"/>
          <w:sz w:val="22"/>
          <w:szCs w:val="20"/>
          <w14:ligatures w14:val="none"/>
        </w:rPr>
        <w:t>nefrakcionuoti</w:t>
      </w:r>
      <w:proofErr w:type="spellEnd"/>
      <w:r w:rsidRPr="00D21DFA">
        <w:rPr>
          <w:rFonts w:ascii="Times New Roman" w:eastAsia="Times New Roman" w:hAnsi="Times New Roman" w:cs="Times New Roman"/>
          <w:snapToGrid w:val="0"/>
          <w:kern w:val="0"/>
          <w:sz w:val="22"/>
          <w:szCs w:val="20"/>
          <w14:ligatures w14:val="none"/>
        </w:rPr>
        <w:t xml:space="preserve"> heparinai (NFH) arba vitamino K antagonistai (VKA). Pacientams, kurių amžius nuo 28 dienų iki &lt; 2 metų, SG</w:t>
      </w:r>
      <w:r w:rsidR="00052930">
        <w:rPr>
          <w:rFonts w:ascii="Times New Roman" w:eastAsia="Times New Roman" w:hAnsi="Times New Roman" w:cs="Times New Roman"/>
          <w:snapToGrid w:val="0"/>
          <w:kern w:val="0"/>
          <w:sz w:val="22"/>
          <w:szCs w:val="20"/>
          <w14:ligatures w14:val="none"/>
        </w:rPr>
        <w:t xml:space="preserve"> </w:t>
      </w:r>
    </w:p>
    <w:p w14:paraId="79FEF594" w14:textId="31D11EA3"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apsiribos heparinais (NFH arba MMMH). Pagrindinis gydymo etapas truko nuo 42 iki 84 dienų</w:t>
      </w:r>
    </w:p>
    <w:p w14:paraId="4520338A" w14:textId="289079B2"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&lt; 2 metų pacientams ir 84 dienas &gt; 2 metų pacientams. Nuo 28 dienų iki &lt; 18 metų</w:t>
      </w:r>
      <w:r w:rsidR="00A04D88">
        <w:rPr>
          <w:rFonts w:ascii="Times New Roman" w:eastAsia="Times New Roman" w:hAnsi="Times New Roman" w:cs="Times New Roman"/>
          <w:snapToGrid w:val="0"/>
          <w:kern w:val="0"/>
          <w:sz w:val="22"/>
          <w:szCs w:val="20"/>
          <w14:ligatures w14:val="none"/>
        </w:rPr>
        <w:t xml:space="preserve"> </w:t>
      </w:r>
    </w:p>
    <w:p w14:paraId="7F6609E0" w14:textId="49995FEE"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 buvo </w:t>
      </w:r>
      <w:proofErr w:type="spellStart"/>
      <w:r w:rsidRPr="00D21DFA">
        <w:rPr>
          <w:rFonts w:ascii="Times New Roman" w:eastAsia="Times New Roman" w:hAnsi="Times New Roman" w:cs="Times New Roman"/>
          <w:snapToGrid w:val="0"/>
          <w:kern w:val="0"/>
          <w:sz w:val="22"/>
          <w:szCs w:val="20"/>
          <w14:ligatures w14:val="none"/>
        </w:rPr>
        <w:t>randomizuoti</w:t>
      </w:r>
      <w:proofErr w:type="spellEnd"/>
      <w:r w:rsidRPr="00D21DFA">
        <w:rPr>
          <w:rFonts w:ascii="Times New Roman" w:eastAsia="Times New Roman" w:hAnsi="Times New Roman" w:cs="Times New Roman"/>
          <w:snapToGrid w:val="0"/>
          <w:kern w:val="0"/>
          <w:sz w:val="22"/>
          <w:szCs w:val="20"/>
          <w14:ligatures w14:val="none"/>
        </w:rPr>
        <w:t xml:space="preserve"> vartoti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turėjo galimybę tęsti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00A04D88">
        <w:rPr>
          <w:rFonts w:ascii="Times New Roman" w:eastAsia="Times New Roman" w:hAnsi="Times New Roman" w:cs="Times New Roman"/>
          <w:snapToGrid w:val="0"/>
          <w:kern w:val="0"/>
          <w:sz w:val="22"/>
          <w:szCs w:val="20"/>
          <w14:ligatures w14:val="none"/>
        </w:rPr>
        <w:t xml:space="preserve"> </w:t>
      </w:r>
    </w:p>
    <w:p w14:paraId="52315B42" w14:textId="1286A8AE"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vartojimą dar nuo 6 iki 12 savaičių tęstiniame etape.</w:t>
      </w:r>
    </w:p>
    <w:p w14:paraId="6B3D8769" w14:textId="77777777"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1CC9E8B" w14:textId="4554F49F"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2 (2,8 %) pacientai SG grupėje patyrė bent 1 nepriklausomų vertintojų patvirtintą simptominį arba nesimptominį VTE pasikartojimo reiškinį.</w:t>
      </w:r>
    </w:p>
    <w:p w14:paraId="5247803D" w14:textId="77777777"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F01D2EA" w14:textId="1C020521" w:rsidR="001D145F" w:rsidRPr="00D21DFA" w:rsidRDefault="001D145F" w:rsidP="001D145F">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Ekspozicijos trukmės mediana 143 gydytiems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84,0 dienos. Ekspozicija buvo ilgesnė nei 84 dienos 67 pacientams (46,9 %). Pagrindinė (pirminė) saugumo vertinamoji baigtis, kurią sudarė sudėtinis stipraus ir KRNS kraujavimo rodiklis, buvo fiksuota 2 (1,4 %)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plg. su 1 (1,4 %) pacientu SG grupėje, o RS buvo 0,99 (95 % PI 0,1;10,8). Visais atvejais tai buvo susiję su KRNS kraujavimu. Mažas kraujavimas pasireiškė 51 (35,7 %) pacientui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21 (29,6 %) pacientui SG grupėje, o RS buvo 1,19 (95 % PI 0,8; 1,8).</w:t>
      </w:r>
    </w:p>
    <w:p w14:paraId="7E19BEFC" w14:textId="77777777" w:rsidR="001D145F" w:rsidRPr="00D21DFA" w:rsidRDefault="001D145F"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7304BD" w14:textId="243C76C5"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Dideliu kraujavimu buvo apibūdinamas kraujavimas, atitinkantis vieną ar daugiau iš šių kriterijų: i) mirtinas kraujavimas; ii) kliniškai ryškus kraujavimas, susijęs su hemoglobino (HB) koncentracijos sumažėjimu bent 20 g/l (2 g/dl) per 24 valandas; iii) kraujavimas, kuris yra </w:t>
      </w:r>
      <w:proofErr w:type="spellStart"/>
      <w:r w:rsidRPr="00D21DFA">
        <w:rPr>
          <w:rFonts w:ascii="Times New Roman" w:eastAsia="Times New Roman" w:hAnsi="Times New Roman" w:cs="Times New Roman"/>
          <w:snapToGrid w:val="0"/>
          <w:kern w:val="0"/>
          <w:sz w:val="22"/>
          <w:szCs w:val="20"/>
          <w14:ligatures w14:val="none"/>
        </w:rPr>
        <w:t>retroperitoninis</w:t>
      </w:r>
      <w:proofErr w:type="spellEnd"/>
      <w:r w:rsidRPr="00D21DFA">
        <w:rPr>
          <w:rFonts w:ascii="Times New Roman" w:eastAsia="Times New Roman" w:hAnsi="Times New Roman" w:cs="Times New Roman"/>
          <w:snapToGrid w:val="0"/>
          <w:kern w:val="0"/>
          <w:sz w:val="22"/>
          <w:szCs w:val="20"/>
          <w14:ligatures w14:val="none"/>
        </w:rPr>
        <w:t xml:space="preserve">, plaučių, </w:t>
      </w:r>
      <w:proofErr w:type="spellStart"/>
      <w:r w:rsidRPr="00D21DFA">
        <w:rPr>
          <w:rFonts w:ascii="Times New Roman" w:eastAsia="Times New Roman" w:hAnsi="Times New Roman" w:cs="Times New Roman"/>
          <w:snapToGrid w:val="0"/>
          <w:kern w:val="0"/>
          <w:sz w:val="22"/>
          <w:szCs w:val="20"/>
          <w14:ligatures w14:val="none"/>
        </w:rPr>
        <w:t>intrakranijinis</w:t>
      </w:r>
      <w:proofErr w:type="spellEnd"/>
      <w:r w:rsidRPr="00D21DFA">
        <w:rPr>
          <w:rFonts w:ascii="Times New Roman" w:eastAsia="Times New Roman" w:hAnsi="Times New Roman" w:cs="Times New Roman"/>
          <w:snapToGrid w:val="0"/>
          <w:kern w:val="0"/>
          <w:sz w:val="22"/>
          <w:szCs w:val="20"/>
          <w14:ligatures w14:val="none"/>
        </w:rPr>
        <w:t xml:space="preserve"> ar kitaip susijęs su centrine nervų sistema; iv) kraujavimas, dėl kurio reikia chirurginės intervencijos operacinėje (įskaitant intervencinę radiologiją).</w:t>
      </w:r>
    </w:p>
    <w:p w14:paraId="1F31245F" w14:textId="77777777"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7E9DD3C" w14:textId="7F0E40B5"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73D45A73" w14:textId="77777777"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02ED50" w14:textId="3145B9F2"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Mažas kraujavimas buvo apibrėžiamas kaip bet koks akivaizdus ar </w:t>
      </w:r>
      <w:proofErr w:type="spellStart"/>
      <w:r w:rsidRPr="00D21DFA">
        <w:rPr>
          <w:rFonts w:ascii="Times New Roman" w:eastAsia="Times New Roman" w:hAnsi="Times New Roman" w:cs="Times New Roman"/>
          <w:snapToGrid w:val="0"/>
          <w:kern w:val="0"/>
          <w:sz w:val="22"/>
          <w:szCs w:val="20"/>
          <w14:ligatures w14:val="none"/>
        </w:rPr>
        <w:t>makroskopinis</w:t>
      </w:r>
      <w:proofErr w:type="spellEnd"/>
      <w:r w:rsidRPr="00D21DFA">
        <w:rPr>
          <w:rFonts w:ascii="Times New Roman" w:eastAsia="Times New Roman" w:hAnsi="Times New Roman" w:cs="Times New Roman"/>
          <w:snapToGrid w:val="0"/>
          <w:kern w:val="0"/>
          <w:sz w:val="22"/>
          <w:szCs w:val="20"/>
          <w14:ligatures w14:val="none"/>
        </w:rPr>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4182F0D4" w14:textId="77777777"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B9AC39" w14:textId="1AA7E868"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Tarp 53 pacientų, kurie perėjo į tęstinį etapą ir vartojo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simptominės ir nesimptominės pasikartojančios VTE ar su VTE susijusios mirties atvejų neužfiksuota. Tęstinio etapo metu nė vienas pacientas nepatyrė nepriklausomų vertintojų patvirtinto stipraus ar KRNS kraujavimo reiškinio.</w:t>
      </w:r>
    </w:p>
    <w:p w14:paraId="4010FB5F" w14:textId="59944E0F"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Aštuoni (8/53; 15,1 %) pacientai tęstinio etapo metu patyrė mažo kraujavimo reiškinius.</w:t>
      </w:r>
    </w:p>
    <w:p w14:paraId="38B23FAB" w14:textId="77777777"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45190D0" w14:textId="74F7DBAE"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0B725C9A" w14:textId="77777777"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7E6E8E" w14:textId="03705ACF" w:rsidR="00BA4849" w:rsidRPr="00D21DFA" w:rsidRDefault="00BA4849" w:rsidP="00BA4849">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w:t>
      </w:r>
    </w:p>
    <w:p w14:paraId="511B1EE1" w14:textId="77777777" w:rsidR="00BA4849" w:rsidRPr="00D21DFA" w:rsidRDefault="00BA4849"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6F079D" w14:textId="51E9219D" w:rsidR="00C95D96" w:rsidRPr="00D21DFA" w:rsidRDefault="00BA4849"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Patvirtintos pediatrinės indikacijos pirminei VTE profilaktikai nėra.</w:t>
      </w:r>
    </w:p>
    <w:p w14:paraId="29EDA938" w14:textId="77777777" w:rsidR="00BA4849" w:rsidRPr="00D21DFA" w:rsidRDefault="00BA4849"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884141D"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 xml:space="preserve">VTE profilaktika vaikų populiacijos pacientams, sergantiems ūmine </w:t>
      </w:r>
      <w:proofErr w:type="spellStart"/>
      <w:r w:rsidRPr="00D21DFA">
        <w:rPr>
          <w:rFonts w:ascii="Times New Roman" w:eastAsia="Times New Roman" w:hAnsi="Times New Roman" w:cs="Times New Roman"/>
          <w:i/>
          <w:iCs/>
          <w:snapToGrid w:val="0"/>
          <w:kern w:val="0"/>
          <w:sz w:val="22"/>
          <w:szCs w:val="20"/>
          <w:u w:val="single"/>
          <w14:ligatures w14:val="none"/>
        </w:rPr>
        <w:t>limfoblastine</w:t>
      </w:r>
      <w:proofErr w:type="spellEnd"/>
      <w:r w:rsidRPr="00D21DFA">
        <w:rPr>
          <w:rFonts w:ascii="Times New Roman" w:eastAsia="Times New Roman" w:hAnsi="Times New Roman" w:cs="Times New Roman"/>
          <w:i/>
          <w:iCs/>
          <w:snapToGrid w:val="0"/>
          <w:kern w:val="0"/>
          <w:sz w:val="22"/>
          <w:szCs w:val="20"/>
          <w:u w:val="single"/>
          <w14:ligatures w14:val="none"/>
        </w:rPr>
        <w:t xml:space="preserve"> leukemija arba </w:t>
      </w:r>
      <w:proofErr w:type="spellStart"/>
      <w:r w:rsidRPr="00D21DFA">
        <w:rPr>
          <w:rFonts w:ascii="Times New Roman" w:eastAsia="Times New Roman" w:hAnsi="Times New Roman" w:cs="Times New Roman"/>
          <w:i/>
          <w:iCs/>
          <w:snapToGrid w:val="0"/>
          <w:kern w:val="0"/>
          <w:sz w:val="22"/>
          <w:szCs w:val="20"/>
          <w:u w:val="single"/>
          <w14:ligatures w14:val="none"/>
        </w:rPr>
        <w:t>limfoblastine</w:t>
      </w:r>
      <w:proofErr w:type="spellEnd"/>
      <w:r w:rsidRPr="00D21DFA">
        <w:rPr>
          <w:rFonts w:ascii="Times New Roman" w:eastAsia="Times New Roman" w:hAnsi="Times New Roman" w:cs="Times New Roman"/>
          <w:i/>
          <w:iCs/>
          <w:snapToGrid w:val="0"/>
          <w:kern w:val="0"/>
          <w:sz w:val="22"/>
          <w:szCs w:val="20"/>
          <w:u w:val="single"/>
          <w14:ligatures w14:val="none"/>
        </w:rPr>
        <w:t xml:space="preserve"> limfoma (ŪLL, LL)</w:t>
      </w:r>
    </w:p>
    <w:p w14:paraId="6E045C99" w14:textId="48492280"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Atliekant tyrimą PREVAPIX-ALL, iš viso 512 naujai diagnozuota ŪLL arba LL sergančių pacientų, kurių amžius nuo ≥ 1 iki &lt; 18 metų ir kuriems taikoma indukcinė chemoterapija (įskaitant </w:t>
      </w:r>
      <w:proofErr w:type="spellStart"/>
      <w:r w:rsidRPr="00D21DFA">
        <w:rPr>
          <w:rFonts w:ascii="Times New Roman" w:eastAsia="Times New Roman" w:hAnsi="Times New Roman" w:cs="Times New Roman"/>
          <w:snapToGrid w:val="0"/>
          <w:kern w:val="0"/>
          <w:sz w:val="22"/>
          <w:szCs w:val="20"/>
          <w14:ligatures w14:val="none"/>
        </w:rPr>
        <w:t>asparaginazės</w:t>
      </w:r>
      <w:proofErr w:type="spellEnd"/>
      <w:r w:rsidRPr="00D21DFA">
        <w:rPr>
          <w:rFonts w:ascii="Times New Roman" w:eastAsia="Times New Roman" w:hAnsi="Times New Roman" w:cs="Times New Roman"/>
          <w:snapToGrid w:val="0"/>
          <w:kern w:val="0"/>
          <w:sz w:val="22"/>
          <w:szCs w:val="20"/>
          <w14:ligatures w14:val="none"/>
        </w:rPr>
        <w:t xml:space="preserve"> leidimą nuolatiniu centrinės venos prieigos įrenginiu), atsitiktinių imčių būdu, santykiu 1:1, suskirstyti į atvirojo gydymo trombozės profilaktikai grupes: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arba standartinės priežiūros (neskiriant sisteminių antikoaguliantų).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vartotas pagal kūno masę nustatomos fiksuotos dozės režimu, kurį taikant susidaro ekspozicija, panaši į susidarančią suaugusiesiems, vartojantiems po 2,5 mg du kartus per parą (žr. 1</w:t>
      </w:r>
      <w:r w:rsidR="00BA4849" w:rsidRPr="00D21DFA">
        <w:rPr>
          <w:rFonts w:ascii="Times New Roman" w:eastAsia="Times New Roman" w:hAnsi="Times New Roman" w:cs="Times New Roman"/>
          <w:snapToGrid w:val="0"/>
          <w:kern w:val="0"/>
          <w:sz w:val="22"/>
          <w:szCs w:val="20"/>
          <w14:ligatures w14:val="none"/>
        </w:rPr>
        <w:t>5</w:t>
      </w:r>
      <w:r w:rsidRPr="00D21DFA">
        <w:rPr>
          <w:rFonts w:ascii="Times New Roman" w:eastAsia="Times New Roman" w:hAnsi="Times New Roman" w:cs="Times New Roman"/>
          <w:snapToGrid w:val="0"/>
          <w:kern w:val="0"/>
          <w:sz w:val="22"/>
          <w:szCs w:val="20"/>
          <w14:ligatures w14:val="none"/>
        </w:rPr>
        <w:t xml:space="preserve"> lentelę).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skirta 2,5 mg tablečių, 0,5 mg tablečių arba 0,4 mg/ml geriamojo tirpalo forma. Ekspozicijos trukmės mediana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25 paros.</w:t>
      </w:r>
      <w:r w:rsidRPr="00D21DFA">
        <w:rPr>
          <w:rFonts w:ascii="Times New Roman" w:eastAsia="Times New Roman" w:hAnsi="Times New Roman" w:cs="Times New Roman"/>
          <w:snapToGrid w:val="0"/>
          <w:kern w:val="0"/>
          <w:sz w:val="22"/>
          <w:szCs w:val="20"/>
          <w14:ligatures w14:val="none"/>
        </w:rPr>
        <w:cr/>
      </w:r>
    </w:p>
    <w:p w14:paraId="38613F09" w14:textId="38BD7239" w:rsidR="00C95D96" w:rsidRPr="00D21DFA" w:rsidRDefault="00C95D96" w:rsidP="00C95D96">
      <w:pPr>
        <w:tabs>
          <w:tab w:val="left" w:pos="0"/>
          <w:tab w:val="left" w:pos="9214"/>
        </w:tabs>
        <w:spacing w:after="12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BA4849" w:rsidRPr="00D21DFA">
        <w:rPr>
          <w:rFonts w:ascii="Times New Roman" w:eastAsia="Times New Roman" w:hAnsi="Times New Roman" w:cs="Times New Roman"/>
          <w:b/>
          <w:bCs/>
          <w:snapToGrid w:val="0"/>
          <w:kern w:val="0"/>
          <w:sz w:val="22"/>
          <w:szCs w:val="20"/>
          <w14:ligatures w14:val="none"/>
        </w:rPr>
        <w:t>5</w:t>
      </w:r>
      <w:r w:rsidRPr="00D21DFA">
        <w:rPr>
          <w:rFonts w:ascii="Times New Roman" w:eastAsia="Times New Roman" w:hAnsi="Times New Roman" w:cs="Times New Roman"/>
          <w:b/>
          <w:bCs/>
          <w:snapToGrid w:val="0"/>
          <w:kern w:val="0"/>
          <w:sz w:val="22"/>
          <w:szCs w:val="20"/>
          <w14:ligatures w14:val="none"/>
        </w:rPr>
        <w:t xml:space="preserve"> lentelė. </w:t>
      </w:r>
      <w:proofErr w:type="spellStart"/>
      <w:r w:rsidRPr="00D21DFA">
        <w:rPr>
          <w:rFonts w:ascii="Times New Roman" w:eastAsia="Times New Roman" w:hAnsi="Times New Roman" w:cs="Times New Roman"/>
          <w:b/>
          <w:bCs/>
          <w:snapToGrid w:val="0"/>
          <w:kern w:val="0"/>
          <w:sz w:val="22"/>
          <w:szCs w:val="20"/>
          <w14:ligatures w14:val="none"/>
        </w:rPr>
        <w:t>Apiksabano</w:t>
      </w:r>
      <w:proofErr w:type="spellEnd"/>
      <w:r w:rsidRPr="00D21DFA">
        <w:rPr>
          <w:rFonts w:ascii="Times New Roman" w:eastAsia="Times New Roman" w:hAnsi="Times New Roman" w:cs="Times New Roman"/>
          <w:b/>
          <w:bCs/>
          <w:snapToGrid w:val="0"/>
          <w:kern w:val="0"/>
          <w:sz w:val="22"/>
          <w:szCs w:val="20"/>
          <w14:ligatures w14:val="none"/>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C95D96" w:rsidRPr="00D21DFA" w14:paraId="2E04FFEC" w14:textId="77777777" w:rsidTr="00446D67">
        <w:trPr>
          <w:jc w:val="center"/>
        </w:trPr>
        <w:tc>
          <w:tcPr>
            <w:tcW w:w="4530" w:type="dxa"/>
          </w:tcPr>
          <w:p w14:paraId="05BC1404"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Kūno masės diapazonas</w:t>
            </w:r>
          </w:p>
        </w:tc>
        <w:tc>
          <w:tcPr>
            <w:tcW w:w="4530" w:type="dxa"/>
          </w:tcPr>
          <w:p w14:paraId="1B588578"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Dozavimo planas</w:t>
            </w:r>
          </w:p>
        </w:tc>
      </w:tr>
      <w:tr w:rsidR="00C95D96" w:rsidRPr="00D21DFA" w14:paraId="0491AB8D" w14:textId="77777777" w:rsidTr="00446D67">
        <w:trPr>
          <w:jc w:val="center"/>
        </w:trPr>
        <w:tc>
          <w:tcPr>
            <w:tcW w:w="4530" w:type="dxa"/>
          </w:tcPr>
          <w:p w14:paraId="10DAC479"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6 iki &lt; 10,5 kg</w:t>
            </w:r>
          </w:p>
        </w:tc>
        <w:tc>
          <w:tcPr>
            <w:tcW w:w="4530" w:type="dxa"/>
          </w:tcPr>
          <w:p w14:paraId="33B0113A"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0,5 mg du kartus per parą</w:t>
            </w:r>
          </w:p>
        </w:tc>
      </w:tr>
      <w:tr w:rsidR="00C95D96" w:rsidRPr="00D21DFA" w14:paraId="258F29B2" w14:textId="77777777" w:rsidTr="00446D67">
        <w:trPr>
          <w:jc w:val="center"/>
        </w:trPr>
        <w:tc>
          <w:tcPr>
            <w:tcW w:w="4530" w:type="dxa"/>
          </w:tcPr>
          <w:p w14:paraId="636EECA7"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10,5 iki &lt; 18 kg</w:t>
            </w:r>
          </w:p>
        </w:tc>
        <w:tc>
          <w:tcPr>
            <w:tcW w:w="4530" w:type="dxa"/>
          </w:tcPr>
          <w:p w14:paraId="3179B7DB"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 mg du kartus per parą</w:t>
            </w:r>
          </w:p>
        </w:tc>
      </w:tr>
      <w:tr w:rsidR="00C95D96" w:rsidRPr="00D21DFA" w14:paraId="67287483" w14:textId="77777777" w:rsidTr="00446D67">
        <w:trPr>
          <w:jc w:val="center"/>
        </w:trPr>
        <w:tc>
          <w:tcPr>
            <w:tcW w:w="4530" w:type="dxa"/>
          </w:tcPr>
          <w:p w14:paraId="003F630A"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18 iki &lt; 25 kg</w:t>
            </w:r>
          </w:p>
        </w:tc>
        <w:tc>
          <w:tcPr>
            <w:tcW w:w="4530" w:type="dxa"/>
          </w:tcPr>
          <w:p w14:paraId="1AC73427"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1,5 mg du kartus per parą</w:t>
            </w:r>
          </w:p>
        </w:tc>
      </w:tr>
      <w:tr w:rsidR="00C95D96" w:rsidRPr="00D21DFA" w14:paraId="3D5F1A03" w14:textId="77777777" w:rsidTr="00446D67">
        <w:trPr>
          <w:jc w:val="center"/>
        </w:trPr>
        <w:tc>
          <w:tcPr>
            <w:tcW w:w="4530" w:type="dxa"/>
          </w:tcPr>
          <w:p w14:paraId="160AC499"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25 iki &lt; 35 kg</w:t>
            </w:r>
          </w:p>
        </w:tc>
        <w:tc>
          <w:tcPr>
            <w:tcW w:w="4530" w:type="dxa"/>
          </w:tcPr>
          <w:p w14:paraId="3624D07D"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2 mg du kartus per parą</w:t>
            </w:r>
          </w:p>
        </w:tc>
      </w:tr>
      <w:tr w:rsidR="00C95D96" w:rsidRPr="00D21DFA" w14:paraId="232BF770" w14:textId="77777777" w:rsidTr="00446D67">
        <w:trPr>
          <w:jc w:val="center"/>
        </w:trPr>
        <w:tc>
          <w:tcPr>
            <w:tcW w:w="4530" w:type="dxa"/>
          </w:tcPr>
          <w:p w14:paraId="0475AD53"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 35 kg</w:t>
            </w:r>
          </w:p>
        </w:tc>
        <w:tc>
          <w:tcPr>
            <w:tcW w:w="4530" w:type="dxa"/>
          </w:tcPr>
          <w:p w14:paraId="31870087"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2,5 mg du kartus per parą</w:t>
            </w:r>
          </w:p>
        </w:tc>
      </w:tr>
    </w:tbl>
    <w:p w14:paraId="68C04699"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3613D4A"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31 (12,1 %), palyginti su 45 (17,6 %) standartinės priežiūros grupėje. Santykinis rizikos sumažėjimas nebuvo reikšmingas.</w:t>
      </w:r>
    </w:p>
    <w:p w14:paraId="34791454"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0DA931"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pacientų ir 3 (1,2 %) standartinės priežiūros grupės pacientams. Dažniausiai KRNS kraujavimo reiškinys, prisidėjęs prie gydymo grupių skirtumo, buvo lengvas ar vidutinio intensyvumo kraujavimas iš nosies. Nestipraus kraujavimo atvejų pasireiškė 37 (14,5 %)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pacientams ir 20 (7,8 %) standartinės priežiūros grupės pacientų.</w:t>
      </w:r>
    </w:p>
    <w:p w14:paraId="3B208C00"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A7B59D"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Tromboembolijos (TE) profilaktika vaikų populiacijos pacientams, kuriems yra įgimta arba įgyta širdies liga</w:t>
      </w:r>
    </w:p>
    <w:p w14:paraId="3EEF2B2A" w14:textId="1859AF01"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SAXOPHONE buvo atsitiktinių imčių santykiu 2:1, atvirasis </w:t>
      </w:r>
      <w:proofErr w:type="spellStart"/>
      <w:r w:rsidRPr="00D21DFA">
        <w:rPr>
          <w:rFonts w:ascii="Times New Roman" w:eastAsia="Times New Roman" w:hAnsi="Times New Roman" w:cs="Times New Roman"/>
          <w:snapToGrid w:val="0"/>
          <w:kern w:val="0"/>
          <w:sz w:val="22"/>
          <w:szCs w:val="20"/>
          <w14:ligatures w14:val="none"/>
        </w:rPr>
        <w:t>daugiacentris</w:t>
      </w:r>
      <w:proofErr w:type="spellEnd"/>
      <w:r w:rsidRPr="00D21DFA">
        <w:rPr>
          <w:rFonts w:ascii="Times New Roman" w:eastAsia="Times New Roman" w:hAnsi="Times New Roman" w:cs="Times New Roman"/>
          <w:snapToGrid w:val="0"/>
          <w:kern w:val="0"/>
          <w:sz w:val="22"/>
          <w:szCs w:val="20"/>
          <w14:ligatures w14:val="none"/>
        </w:rPr>
        <w:t xml:space="preserve"> palyginamasis tyrimas, kuriame dalyvavusiems nuo 28 parų iki &lt; 18 metų pacientams, sergantiems įgimta arba įgyta širdies liga, reikėjo taikyti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gydymą. Pacientai vartojo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arba jiems pagal sveikatos priežiūros standartą taikyta trombozės profilaktika vitamino K antagonistu ar mažos molekulinės </w:t>
      </w:r>
      <w:r w:rsidRPr="00D21DFA">
        <w:rPr>
          <w:rFonts w:ascii="Times New Roman" w:eastAsia="Times New Roman" w:hAnsi="Times New Roman" w:cs="Times New Roman"/>
          <w:snapToGrid w:val="0"/>
          <w:kern w:val="0"/>
          <w:sz w:val="22"/>
          <w:szCs w:val="20"/>
          <w14:ligatures w14:val="none"/>
        </w:rPr>
        <w:lastRenderedPageBreak/>
        <w:t xml:space="preserve">masės heparinu.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vartotas fiksuotos dozės pagal kūno masę nustatomu režimu, kurį taikant susidaro ekspozicija, panaši į susidarančią suaugusiesiems, vartojantiems po 5 mg dozę du kartus per parą (žr. 1</w:t>
      </w:r>
      <w:r w:rsidR="00BA4849" w:rsidRPr="00D21DFA">
        <w:rPr>
          <w:rFonts w:ascii="Times New Roman" w:eastAsia="Times New Roman" w:hAnsi="Times New Roman" w:cs="Times New Roman"/>
          <w:snapToGrid w:val="0"/>
          <w:kern w:val="0"/>
          <w:sz w:val="22"/>
          <w:szCs w:val="20"/>
          <w14:ligatures w14:val="none"/>
        </w:rPr>
        <w:t>6</w:t>
      </w:r>
      <w:r w:rsidRPr="00D21DFA">
        <w:rPr>
          <w:rFonts w:ascii="Times New Roman" w:eastAsia="Times New Roman" w:hAnsi="Times New Roman" w:cs="Times New Roman"/>
          <w:snapToGrid w:val="0"/>
          <w:kern w:val="0"/>
          <w:sz w:val="22"/>
          <w:szCs w:val="20"/>
          <w14:ligatures w14:val="none"/>
        </w:rPr>
        <w:t xml:space="preserve"> lentelę).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skirta 5 mg tablečių, 0,5 mg tablečių arba 0,4 mg/ml geriamojo tirpalo forma. Vidutinė ekspozicijos trukmė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331 para.</w:t>
      </w:r>
    </w:p>
    <w:p w14:paraId="7857D002"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D3D031" w14:textId="439B8A49" w:rsidR="00C95D96" w:rsidRPr="00D21DFA" w:rsidRDefault="00C95D96" w:rsidP="00C95D96">
      <w:pPr>
        <w:tabs>
          <w:tab w:val="left" w:pos="0"/>
          <w:tab w:val="left" w:pos="9214"/>
        </w:tabs>
        <w:spacing w:after="12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BA4849" w:rsidRPr="00D21DFA">
        <w:rPr>
          <w:rFonts w:ascii="Times New Roman" w:eastAsia="Times New Roman" w:hAnsi="Times New Roman" w:cs="Times New Roman"/>
          <w:b/>
          <w:bCs/>
          <w:snapToGrid w:val="0"/>
          <w:kern w:val="0"/>
          <w:sz w:val="22"/>
          <w:szCs w:val="20"/>
          <w14:ligatures w14:val="none"/>
        </w:rPr>
        <w:t>6</w:t>
      </w:r>
      <w:r w:rsidRPr="00D21DFA">
        <w:rPr>
          <w:rFonts w:ascii="Times New Roman" w:eastAsia="Times New Roman" w:hAnsi="Times New Roman" w:cs="Times New Roman"/>
          <w:b/>
          <w:bCs/>
          <w:snapToGrid w:val="0"/>
          <w:kern w:val="0"/>
          <w:sz w:val="22"/>
          <w:szCs w:val="20"/>
          <w14:ligatures w14:val="none"/>
        </w:rPr>
        <w:t xml:space="preserve"> lentelė. </w:t>
      </w:r>
      <w:proofErr w:type="spellStart"/>
      <w:r w:rsidRPr="00D21DFA">
        <w:rPr>
          <w:rFonts w:ascii="Times New Roman" w:eastAsia="Times New Roman" w:hAnsi="Times New Roman" w:cs="Times New Roman"/>
          <w:b/>
          <w:bCs/>
          <w:snapToGrid w:val="0"/>
          <w:kern w:val="0"/>
          <w:sz w:val="22"/>
          <w:szCs w:val="20"/>
          <w14:ligatures w14:val="none"/>
        </w:rPr>
        <w:t>Apiksabano</w:t>
      </w:r>
      <w:proofErr w:type="spellEnd"/>
      <w:r w:rsidRPr="00D21DFA">
        <w:rPr>
          <w:rFonts w:ascii="Times New Roman" w:eastAsia="Times New Roman" w:hAnsi="Times New Roman" w:cs="Times New Roman"/>
          <w:b/>
          <w:bCs/>
          <w:snapToGrid w:val="0"/>
          <w:kern w:val="0"/>
          <w:sz w:val="22"/>
          <w:szCs w:val="20"/>
          <w14:ligatures w14:val="none"/>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C95D96" w:rsidRPr="00D21DFA" w14:paraId="23ADA3AC" w14:textId="77777777" w:rsidTr="00446D67">
        <w:trPr>
          <w:jc w:val="center"/>
        </w:trPr>
        <w:tc>
          <w:tcPr>
            <w:tcW w:w="4476" w:type="dxa"/>
          </w:tcPr>
          <w:p w14:paraId="67E6BE31"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Kūno masės diapazonas</w:t>
            </w:r>
          </w:p>
        </w:tc>
        <w:tc>
          <w:tcPr>
            <w:tcW w:w="4473" w:type="dxa"/>
          </w:tcPr>
          <w:p w14:paraId="1A1B4834"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Dozavimo planas</w:t>
            </w:r>
          </w:p>
        </w:tc>
      </w:tr>
      <w:tr w:rsidR="00C95D96" w:rsidRPr="00D21DFA" w14:paraId="4349A423" w14:textId="77777777" w:rsidTr="00446D67">
        <w:trPr>
          <w:jc w:val="center"/>
        </w:trPr>
        <w:tc>
          <w:tcPr>
            <w:tcW w:w="4476" w:type="dxa"/>
          </w:tcPr>
          <w:p w14:paraId="576CBA7A"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6 iki &lt; 9 kg</w:t>
            </w:r>
          </w:p>
        </w:tc>
        <w:tc>
          <w:tcPr>
            <w:tcW w:w="4473" w:type="dxa"/>
          </w:tcPr>
          <w:p w14:paraId="013AAE9E"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 mg du kartus per parą</w:t>
            </w:r>
          </w:p>
        </w:tc>
      </w:tr>
      <w:tr w:rsidR="00C95D96" w:rsidRPr="00D21DFA" w14:paraId="48976E27" w14:textId="77777777" w:rsidTr="00446D67">
        <w:trPr>
          <w:jc w:val="center"/>
        </w:trPr>
        <w:tc>
          <w:tcPr>
            <w:tcW w:w="4476" w:type="dxa"/>
          </w:tcPr>
          <w:p w14:paraId="7B2AAA27"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9 iki &lt; 12 kg</w:t>
            </w:r>
          </w:p>
        </w:tc>
        <w:tc>
          <w:tcPr>
            <w:tcW w:w="4473" w:type="dxa"/>
          </w:tcPr>
          <w:p w14:paraId="2ECEA4DD"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1,5 mg du kartus per parą</w:t>
            </w:r>
          </w:p>
        </w:tc>
      </w:tr>
      <w:tr w:rsidR="00C95D96" w:rsidRPr="00D21DFA" w14:paraId="7DBEA731" w14:textId="77777777" w:rsidTr="00446D67">
        <w:trPr>
          <w:jc w:val="center"/>
        </w:trPr>
        <w:tc>
          <w:tcPr>
            <w:tcW w:w="4476" w:type="dxa"/>
          </w:tcPr>
          <w:p w14:paraId="7469AD06"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12 iki &lt; 18 kg</w:t>
            </w:r>
          </w:p>
        </w:tc>
        <w:tc>
          <w:tcPr>
            <w:tcW w:w="4473" w:type="dxa"/>
          </w:tcPr>
          <w:p w14:paraId="151FBDBD"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2 mg du kartus per parą</w:t>
            </w:r>
          </w:p>
        </w:tc>
      </w:tr>
      <w:tr w:rsidR="00C95D96" w:rsidRPr="00D21DFA" w14:paraId="63F9C9CA" w14:textId="77777777" w:rsidTr="00446D67">
        <w:trPr>
          <w:jc w:val="center"/>
        </w:trPr>
        <w:tc>
          <w:tcPr>
            <w:tcW w:w="4476" w:type="dxa"/>
          </w:tcPr>
          <w:p w14:paraId="1620F119"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18 iki &lt; 25 kg</w:t>
            </w:r>
          </w:p>
        </w:tc>
        <w:tc>
          <w:tcPr>
            <w:tcW w:w="4473" w:type="dxa"/>
          </w:tcPr>
          <w:p w14:paraId="08CE0DF3"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3 mg du kartus per parą</w:t>
            </w:r>
          </w:p>
        </w:tc>
      </w:tr>
      <w:tr w:rsidR="00C95D96" w:rsidRPr="00D21DFA" w14:paraId="4C56024B" w14:textId="77777777" w:rsidTr="00446D67">
        <w:trPr>
          <w:jc w:val="center"/>
        </w:trPr>
        <w:tc>
          <w:tcPr>
            <w:tcW w:w="4476" w:type="dxa"/>
          </w:tcPr>
          <w:p w14:paraId="00BF322A"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25 iki &lt; 35 kg</w:t>
            </w:r>
          </w:p>
        </w:tc>
        <w:tc>
          <w:tcPr>
            <w:tcW w:w="4473" w:type="dxa"/>
          </w:tcPr>
          <w:p w14:paraId="41F41853"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4 mg du kartus per parą</w:t>
            </w:r>
          </w:p>
        </w:tc>
      </w:tr>
      <w:tr w:rsidR="00C95D96" w:rsidRPr="00D21DFA" w14:paraId="070A3FA6" w14:textId="77777777" w:rsidTr="00446D67">
        <w:trPr>
          <w:jc w:val="center"/>
        </w:trPr>
        <w:tc>
          <w:tcPr>
            <w:tcW w:w="4476" w:type="dxa"/>
          </w:tcPr>
          <w:p w14:paraId="1AA2C9E5"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 35 kg</w:t>
            </w:r>
          </w:p>
        </w:tc>
        <w:tc>
          <w:tcPr>
            <w:tcW w:w="4473" w:type="dxa"/>
          </w:tcPr>
          <w:p w14:paraId="72281714"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5 mg du kartus per parą</w:t>
            </w:r>
          </w:p>
        </w:tc>
      </w:tr>
    </w:tbl>
    <w:p w14:paraId="2F386DA4"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2D2F81C"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saugumo vertinamoji baigtis, susidedanti iš įvertinto pagal ISTH apibrėžimą stipraus ir KRNS kraujavimo, nustatyta 1 (0,8 %) iš 126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 7 (5,6 %)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asmenims ir 1 (1,6 %) standartinės priežiūros grupės asmeniui. Nė vienas pacientas jokioje gydymo grupėje nepatyrė tromboembolijos reiškinio. Nė vienoje gydymo grupėje neregistruota mirties atvejų. </w:t>
      </w:r>
    </w:p>
    <w:p w14:paraId="1285013F"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8D94C6"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39911CF6"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F10E994" w14:textId="434E40FC"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Europos vaistų agentūra atidėjo įpareigojimą pateikti venų tromboembolijos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tyrimų su vienu ar daugiau vaikų populiacijos pogrupių duomenis (žr. 4.2 skyriuje informaciją apie vartojimą vaikams).</w:t>
      </w:r>
    </w:p>
    <w:bookmarkEnd w:id="1"/>
    <w:p w14:paraId="16DD8EF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CC13B31" w14:textId="77777777" w:rsidR="00C95D96" w:rsidRPr="00D21DFA" w:rsidRDefault="00C95D96" w:rsidP="00C95D96">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5.2</w:t>
      </w:r>
      <w:r w:rsidRPr="00D21DFA">
        <w:rPr>
          <w:rFonts w:ascii="Times New Roman" w:eastAsia="Times New Roman" w:hAnsi="Times New Roman" w:cs="Times New Roman"/>
          <w:b/>
          <w:bCs/>
          <w:snapToGrid w:val="0"/>
          <w:kern w:val="0"/>
          <w:sz w:val="22"/>
          <w:szCs w:val="28"/>
          <w:lang w:eastAsia="x-none"/>
          <w14:ligatures w14:val="none"/>
        </w:rPr>
        <w:tab/>
      </w:r>
      <w:proofErr w:type="spellStart"/>
      <w:r w:rsidRPr="00D21DFA">
        <w:rPr>
          <w:rFonts w:ascii="Times New Roman" w:eastAsia="Times New Roman" w:hAnsi="Times New Roman" w:cs="Times New Roman"/>
          <w:b/>
          <w:bCs/>
          <w:snapToGrid w:val="0"/>
          <w:kern w:val="0"/>
          <w:sz w:val="22"/>
          <w:szCs w:val="28"/>
          <w:lang w:eastAsia="x-none"/>
          <w14:ligatures w14:val="none"/>
        </w:rPr>
        <w:t>Farmakokinetinės</w:t>
      </w:r>
      <w:proofErr w:type="spellEnd"/>
      <w:r w:rsidRPr="00D21DFA">
        <w:rPr>
          <w:rFonts w:ascii="Times New Roman" w:eastAsia="Times New Roman" w:hAnsi="Times New Roman" w:cs="Times New Roman"/>
          <w:b/>
          <w:bCs/>
          <w:snapToGrid w:val="0"/>
          <w:kern w:val="0"/>
          <w:sz w:val="22"/>
          <w:szCs w:val="28"/>
          <w:lang w:eastAsia="x-none"/>
          <w14:ligatures w14:val="none"/>
        </w:rPr>
        <w:t xml:space="preserve"> savybės</w:t>
      </w:r>
    </w:p>
    <w:p w14:paraId="2C08B4DF" w14:textId="77777777" w:rsidR="00C95D96" w:rsidRPr="00D21DFA" w:rsidRDefault="00C95D96" w:rsidP="00C95D96">
      <w:pPr>
        <w:keepNext/>
        <w:tabs>
          <w:tab w:val="left" w:pos="9214"/>
        </w:tabs>
        <w:spacing w:after="0" w:line="240" w:lineRule="auto"/>
        <w:rPr>
          <w:rFonts w:ascii="Times New Roman" w:eastAsia="Times New Roman" w:hAnsi="Times New Roman" w:cs="Times New Roman"/>
          <w:snapToGrid w:val="0"/>
          <w:kern w:val="0"/>
          <w:sz w:val="22"/>
          <w14:ligatures w14:val="none"/>
        </w:rPr>
      </w:pPr>
    </w:p>
    <w:p w14:paraId="650FA254"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Absorbcija</w:t>
      </w:r>
    </w:p>
    <w:p w14:paraId="23D3701F"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0181158E" w14:textId="60FD55F1" w:rsidR="00C95D96" w:rsidRPr="00D21DFA" w:rsidRDefault="00BA4849"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i</w:t>
      </w:r>
      <w:r w:rsidR="00C95D96" w:rsidRPr="00D21DFA">
        <w:rPr>
          <w:rFonts w:ascii="Times New Roman" w:eastAsia="Times New Roman" w:hAnsi="Times New Roman" w:cs="Times New Roman"/>
          <w:snapToGrid w:val="0"/>
          <w:kern w:val="0"/>
          <w:sz w:val="22"/>
          <w:szCs w:val="20"/>
          <w14:ligatures w14:val="none"/>
        </w:rPr>
        <w:t xml:space="preserve">ki 10 mg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dozių absoliutus biologinis prieinamumas yra maždaug 50 %. </w:t>
      </w:r>
      <w:proofErr w:type="spellStart"/>
      <w:r w:rsidR="00C95D96" w:rsidRPr="00D21DFA">
        <w:rPr>
          <w:rFonts w:ascii="Times New Roman" w:eastAsia="Times New Roman" w:hAnsi="Times New Roman" w:cs="Times New Roman"/>
          <w:snapToGrid w:val="0"/>
          <w:kern w:val="0"/>
          <w:sz w:val="22"/>
          <w:szCs w:val="20"/>
          <w14:ligatures w14:val="none"/>
        </w:rPr>
        <w:t>Apiksabanas</w:t>
      </w:r>
      <w:proofErr w:type="spellEnd"/>
      <w:r w:rsidR="00C95D96" w:rsidRPr="00D21DFA">
        <w:rPr>
          <w:rFonts w:ascii="Times New Roman" w:eastAsia="Times New Roman" w:hAnsi="Times New Roman" w:cs="Times New Roman"/>
          <w:snapToGrid w:val="0"/>
          <w:kern w:val="0"/>
          <w:sz w:val="22"/>
          <w:szCs w:val="20"/>
          <w14:ligatures w14:val="none"/>
        </w:rPr>
        <w:t xml:space="preserve"> greitai absorbuojamas, o didžiausia jo koncentracija (</w:t>
      </w:r>
      <w:proofErr w:type="spellStart"/>
      <w:r w:rsidR="00C95D96" w:rsidRPr="00D21DFA">
        <w:rPr>
          <w:rFonts w:ascii="Times New Roman" w:eastAsia="Times New Roman" w:hAnsi="Times New Roman" w:cs="Times New Roman"/>
          <w:snapToGrid w:val="0"/>
          <w:kern w:val="0"/>
          <w:sz w:val="22"/>
          <w:szCs w:val="20"/>
          <w14:ligatures w14:val="none"/>
        </w:rPr>
        <w:t>C</w:t>
      </w:r>
      <w:r w:rsidR="00C95D96" w:rsidRPr="00D21DFA">
        <w:rPr>
          <w:rFonts w:ascii="Times New Roman" w:eastAsia="Times New Roman" w:hAnsi="Times New Roman" w:cs="Times New Roman"/>
          <w:snapToGrid w:val="0"/>
          <w:kern w:val="0"/>
          <w:sz w:val="22"/>
          <w:szCs w:val="20"/>
          <w:vertAlign w:val="subscript"/>
          <w14:ligatures w14:val="none"/>
        </w:rPr>
        <w:t>max</w:t>
      </w:r>
      <w:proofErr w:type="spellEnd"/>
      <w:r w:rsidR="00C95D96" w:rsidRPr="00D21DFA">
        <w:rPr>
          <w:rFonts w:ascii="Times New Roman" w:eastAsia="Times New Roman" w:hAnsi="Times New Roman" w:cs="Times New Roman"/>
          <w:snapToGrid w:val="0"/>
          <w:kern w:val="0"/>
          <w:sz w:val="22"/>
          <w:szCs w:val="20"/>
          <w14:ligatures w14:val="none"/>
        </w:rPr>
        <w:t>) atsiranda praėjus 3</w:t>
      </w:r>
      <w:r w:rsidR="00C95D96" w:rsidRPr="00D21DFA">
        <w:rPr>
          <w:rFonts w:ascii="Times New Roman" w:eastAsia="Times New Roman" w:hAnsi="Times New Roman" w:cs="Times New Roman"/>
          <w:snapToGrid w:val="0"/>
          <w:kern w:val="0"/>
          <w:sz w:val="22"/>
          <w:szCs w:val="20"/>
          <w14:ligatures w14:val="none"/>
        </w:rPr>
        <w:noBreakHyphen/>
        <w:t xml:space="preserve">4 valandoms po tabletės išgėrimo. Vartojant 10 mg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dozę su maistu, vaistinio preparato AUC ir </w:t>
      </w:r>
      <w:proofErr w:type="spellStart"/>
      <w:r w:rsidR="00C95D96" w:rsidRPr="00D21DFA">
        <w:rPr>
          <w:rFonts w:ascii="Times New Roman" w:eastAsia="Times New Roman" w:hAnsi="Times New Roman" w:cs="Times New Roman"/>
          <w:snapToGrid w:val="0"/>
          <w:kern w:val="0"/>
          <w:sz w:val="22"/>
          <w:szCs w:val="20"/>
          <w14:ligatures w14:val="none"/>
        </w:rPr>
        <w:t>C</w:t>
      </w:r>
      <w:r w:rsidR="00C95D96" w:rsidRPr="00D21DFA">
        <w:rPr>
          <w:rFonts w:ascii="Times New Roman" w:eastAsia="Times New Roman" w:hAnsi="Times New Roman" w:cs="Times New Roman"/>
          <w:snapToGrid w:val="0"/>
          <w:kern w:val="0"/>
          <w:sz w:val="22"/>
          <w:szCs w:val="20"/>
          <w:vertAlign w:val="subscript"/>
          <w14:ligatures w14:val="none"/>
        </w:rPr>
        <w:t>max</w:t>
      </w:r>
      <w:proofErr w:type="spellEnd"/>
      <w:r w:rsidR="00C95D96" w:rsidRPr="00D21DFA">
        <w:rPr>
          <w:rFonts w:ascii="Times New Roman" w:eastAsia="Times New Roman" w:hAnsi="Times New Roman" w:cs="Times New Roman"/>
          <w:snapToGrid w:val="0"/>
          <w:kern w:val="0"/>
          <w:sz w:val="22"/>
          <w:szCs w:val="20"/>
          <w14:ligatures w14:val="none"/>
        </w:rPr>
        <w:t xml:space="preserve"> nekinta.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galima vartoti valgant arba </w:t>
      </w:r>
      <w:r w:rsidR="00B54E72" w:rsidRPr="00D21DFA">
        <w:rPr>
          <w:rFonts w:ascii="Times New Roman" w:eastAsia="Times New Roman" w:hAnsi="Times New Roman" w:cs="Times New Roman"/>
          <w:snapToGrid w:val="0"/>
          <w:kern w:val="0"/>
          <w:sz w:val="22"/>
          <w:szCs w:val="20"/>
          <w14:ligatures w14:val="none"/>
        </w:rPr>
        <w:t>nevalgius</w:t>
      </w:r>
      <w:r w:rsidR="00C95D96" w:rsidRPr="00D21DFA">
        <w:rPr>
          <w:rFonts w:ascii="Times New Roman" w:eastAsia="Times New Roman" w:hAnsi="Times New Roman" w:cs="Times New Roman"/>
          <w:snapToGrid w:val="0"/>
          <w:kern w:val="0"/>
          <w:sz w:val="22"/>
          <w:szCs w:val="20"/>
          <w14:ligatures w14:val="none"/>
        </w:rPr>
        <w:t xml:space="preserve">. </w:t>
      </w:r>
    </w:p>
    <w:p w14:paraId="5024963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A3AD93" w14:textId="378EAB2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 burną vartojant iki 10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vaistinio preparato farmakokinetika yra tiesinė, didinant dozę</w:t>
      </w:r>
      <w:r w:rsidR="00AD2FC8"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ekspozicija proporcingai didėja. Vartojant 25 mg ir didesnėmis dozėmis </w:t>
      </w:r>
      <w:proofErr w:type="spellStart"/>
      <w:r w:rsidRPr="00D21DFA">
        <w:rPr>
          <w:rFonts w:ascii="Times New Roman" w:eastAsia="Times New Roman" w:hAnsi="Times New Roman" w:cs="Times New Roman"/>
          <w:snapToGrid w:val="0"/>
          <w:kern w:val="0"/>
          <w:sz w:val="22"/>
          <w:szCs w:val="20"/>
          <w14:ligatures w14:val="none"/>
        </w:rPr>
        <w:t>apiksabanui</w:t>
      </w:r>
      <w:proofErr w:type="spellEnd"/>
      <w:r w:rsidRPr="00D21DFA">
        <w:rPr>
          <w:rFonts w:ascii="Times New Roman" w:eastAsia="Times New Roman" w:hAnsi="Times New Roman" w:cs="Times New Roman"/>
          <w:snapToGrid w:val="0"/>
          <w:kern w:val="0"/>
          <w:sz w:val="22"/>
          <w:szCs w:val="20"/>
          <w14:ligatures w14:val="none"/>
        </w:rPr>
        <w:t xml:space="preserve"> yra būdinga farmacinės formos skaidymosi ribojama absorbcija ir dėl to sumažėjęs biologinis prieinamumas.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ekspozicijos rodiklių kintamumas yra nedidelis ar vidutinis, t. y. kintamumas tam pačiam pacientui ir tarp pacientų yra atitinkamai maždaug 20 % VK ir 30 % VK. </w:t>
      </w:r>
    </w:p>
    <w:p w14:paraId="7046AD6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278244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 burną vartojant 10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kaip 2 susmulkintas tabletes po 5 mg 30 ml suspensijos vandenyje pavidalu, ekspozicija buvo panaši, kaip ir per burną vartojant 2 nesmulkintas tabletes po 5 mg. </w:t>
      </w:r>
    </w:p>
    <w:p w14:paraId="3615D25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329C0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 burną vartojant 10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susmulkinus 2 tabletes po 5 mg ir sumaišius su 30 g obuolių tyrės,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ir AUC buvo atitinkamai 21 % ir 16 % mažesni nei vartojant 2 nesmulkintas tabletes po 5 mg. Ekspozicijos sumažėjimas nelaikomas klinikiniu požiūriu reikšmingu. </w:t>
      </w:r>
    </w:p>
    <w:p w14:paraId="7697DB1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BD87A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Vartojant susmulkintą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tabletę, 60 ml suspensijos vandeniniame 5 % gliukozės tirpale pavidalu pro </w:t>
      </w:r>
      <w:proofErr w:type="spellStart"/>
      <w:r w:rsidRPr="00D21DFA">
        <w:rPr>
          <w:rFonts w:ascii="Times New Roman" w:eastAsia="Times New Roman" w:hAnsi="Times New Roman" w:cs="Times New Roman"/>
          <w:snapToGrid w:val="0"/>
          <w:kern w:val="0"/>
          <w:sz w:val="22"/>
          <w:szCs w:val="20"/>
          <w14:ligatures w14:val="none"/>
        </w:rPr>
        <w:t>nazogastrinį</w:t>
      </w:r>
      <w:proofErr w:type="spellEnd"/>
      <w:r w:rsidRPr="00D21DFA">
        <w:rPr>
          <w:rFonts w:ascii="Times New Roman" w:eastAsia="Times New Roman" w:hAnsi="Times New Roman" w:cs="Times New Roman"/>
          <w:snapToGrid w:val="0"/>
          <w:kern w:val="0"/>
          <w:sz w:val="22"/>
          <w:szCs w:val="20"/>
          <w14:ligatures w14:val="none"/>
        </w:rPr>
        <w:t xml:space="preserve"> zondą, ekspozicija buvo panaši, kaip ir kituose klinikiniuose tyrimuose, </w:t>
      </w:r>
      <w:r w:rsidRPr="00D21DFA">
        <w:rPr>
          <w:rFonts w:ascii="Times New Roman" w:eastAsia="Times New Roman" w:hAnsi="Times New Roman" w:cs="Times New Roman"/>
          <w:snapToGrid w:val="0"/>
          <w:kern w:val="0"/>
          <w:sz w:val="22"/>
          <w:szCs w:val="20"/>
          <w14:ligatures w14:val="none"/>
        </w:rPr>
        <w:lastRenderedPageBreak/>
        <w:t xml:space="preserve">kuriuose dalyvavo sveiki tiriamieji, kurie per burną vartojo vienkartinę dozę –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tabletę. </w:t>
      </w:r>
    </w:p>
    <w:p w14:paraId="140AF53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36DA15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Atsižvelgiant į nuspėjamas dozei proporcingas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farmakokinetines</w:t>
      </w:r>
      <w:proofErr w:type="spellEnd"/>
      <w:r w:rsidRPr="00D21DFA">
        <w:rPr>
          <w:rFonts w:ascii="Times New Roman" w:eastAsia="Times New Roman" w:hAnsi="Times New Roman" w:cs="Times New Roman"/>
          <w:snapToGrid w:val="0"/>
          <w:kern w:val="0"/>
          <w:sz w:val="22"/>
          <w:szCs w:val="20"/>
          <w14:ligatures w14:val="none"/>
        </w:rPr>
        <w:t xml:space="preserve"> savybes, atliktų biologinis prieinamumas tyrimų rezultatai yra pritaikomi mažesnėms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dozėms.</w:t>
      </w:r>
    </w:p>
    <w:p w14:paraId="1FD2303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92976BA" w14:textId="77777777" w:rsidR="00BA4849" w:rsidRPr="00AD1A35"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AD1A35">
        <w:rPr>
          <w:rFonts w:ascii="Times New Roman" w:eastAsia="Times New Roman" w:hAnsi="Times New Roman" w:cs="Times New Roman"/>
          <w:snapToGrid w:val="0"/>
          <w:kern w:val="0"/>
          <w:sz w:val="22"/>
          <w:szCs w:val="20"/>
          <w:u w:val="single"/>
          <w14:ligatures w14:val="none"/>
        </w:rPr>
        <w:t>Vaikų populiacija</w:t>
      </w:r>
    </w:p>
    <w:p w14:paraId="61F4B84A" w14:textId="77777777" w:rsidR="00BA4849" w:rsidRPr="00D21DFA"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F582303" w14:textId="3745ED16" w:rsidR="00BA4849" w:rsidRPr="00D21DFA"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greitai absorbuojamas, o didžiausia jo koncentracija (</w:t>
      </w:r>
      <w:proofErr w:type="spellStart"/>
      <w:r w:rsidRPr="00D21DFA">
        <w:rPr>
          <w:rFonts w:ascii="Times New Roman" w:eastAsia="Times New Roman" w:hAnsi="Times New Roman" w:cs="Times New Roman"/>
          <w:snapToGrid w:val="0"/>
          <w:kern w:val="0"/>
          <w:sz w:val="22"/>
          <w:szCs w:val="20"/>
          <w14:ligatures w14:val="none"/>
        </w:rPr>
        <w:t>C</w:t>
      </w:r>
      <w:r w:rsidRPr="00AD1A35">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susidaro praėjus maždaug 2 valandoms po vienos dozės suvartojimo.</w:t>
      </w:r>
    </w:p>
    <w:p w14:paraId="64C1830B" w14:textId="77777777" w:rsidR="00BA4849" w:rsidRPr="00D21DFA" w:rsidRDefault="00BA4849" w:rsidP="00BA4849">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9154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Pasiskirstymas </w:t>
      </w:r>
    </w:p>
    <w:p w14:paraId="2B56144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0553699" w14:textId="5CFB662F" w:rsidR="00C95D96"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p</w:t>
      </w:r>
      <w:r w:rsidR="00C95D96" w:rsidRPr="00D21DFA">
        <w:rPr>
          <w:rFonts w:ascii="Times New Roman" w:eastAsia="Times New Roman" w:hAnsi="Times New Roman" w:cs="Times New Roman"/>
          <w:snapToGrid w:val="0"/>
          <w:kern w:val="0"/>
          <w:sz w:val="22"/>
          <w:szCs w:val="20"/>
          <w14:ligatures w14:val="none"/>
        </w:rPr>
        <w:t>rie plazmos baltymų jungiasi apytiksliai 87 % veikliosios medžiagos. Pasiskirstymo tūris (</w:t>
      </w:r>
      <w:proofErr w:type="spellStart"/>
      <w:r w:rsidR="00C95D96" w:rsidRPr="00D21DFA">
        <w:rPr>
          <w:rFonts w:ascii="Times New Roman" w:eastAsia="Times New Roman" w:hAnsi="Times New Roman" w:cs="Times New Roman"/>
          <w:snapToGrid w:val="0"/>
          <w:kern w:val="0"/>
          <w:sz w:val="22"/>
          <w:szCs w:val="20"/>
          <w14:ligatures w14:val="none"/>
        </w:rPr>
        <w:t>V</w:t>
      </w:r>
      <w:r w:rsidR="00C95D96" w:rsidRPr="00D21DFA">
        <w:rPr>
          <w:rFonts w:ascii="Times New Roman" w:eastAsia="Times New Roman" w:hAnsi="Times New Roman" w:cs="Times New Roman"/>
          <w:snapToGrid w:val="0"/>
          <w:kern w:val="0"/>
          <w:sz w:val="22"/>
          <w:szCs w:val="20"/>
          <w:vertAlign w:val="subscript"/>
          <w14:ligatures w14:val="none"/>
        </w:rPr>
        <w:t>ss</w:t>
      </w:r>
      <w:proofErr w:type="spellEnd"/>
      <w:r w:rsidR="00C95D96" w:rsidRPr="00D21DFA">
        <w:rPr>
          <w:rFonts w:ascii="Times New Roman" w:eastAsia="Times New Roman" w:hAnsi="Times New Roman" w:cs="Times New Roman"/>
          <w:snapToGrid w:val="0"/>
          <w:kern w:val="0"/>
          <w:sz w:val="22"/>
          <w:szCs w:val="20"/>
          <w14:ligatures w14:val="none"/>
        </w:rPr>
        <w:t xml:space="preserve">) yra maždaug 21 litras. </w:t>
      </w:r>
    </w:p>
    <w:p w14:paraId="159B022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AD3919" w14:textId="77777777" w:rsidR="00747CA1"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Vaikų populiacijos duomenų apie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jungimąsi prie plazmos baltymų nėra.</w:t>
      </w:r>
    </w:p>
    <w:p w14:paraId="001C4BA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8EDE6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Biotransformacija</w:t>
      </w:r>
      <w:proofErr w:type="spellEnd"/>
      <w:r w:rsidRPr="00D21DFA">
        <w:rPr>
          <w:rFonts w:ascii="Times New Roman" w:eastAsia="Times New Roman" w:hAnsi="Times New Roman" w:cs="Times New Roman"/>
          <w:snapToGrid w:val="0"/>
          <w:kern w:val="0"/>
          <w:sz w:val="22"/>
          <w:szCs w:val="20"/>
          <w:u w:val="single"/>
          <w14:ligatures w14:val="none"/>
        </w:rPr>
        <w:t xml:space="preserve"> ir eliminacija </w:t>
      </w:r>
    </w:p>
    <w:p w14:paraId="7BF6A04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F6FDF58" w14:textId="1E2EA77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šalinamas daugeliu būdų. Maždaug 25 % </w:t>
      </w:r>
      <w:r w:rsidR="00747CA1" w:rsidRPr="00D21DFA">
        <w:rPr>
          <w:rFonts w:ascii="Times New Roman" w:eastAsia="Times New Roman" w:hAnsi="Times New Roman" w:cs="Times New Roman"/>
          <w:snapToGrid w:val="0"/>
          <w:kern w:val="0"/>
          <w:sz w:val="22"/>
          <w:szCs w:val="20"/>
          <w14:ligatures w14:val="none"/>
        </w:rPr>
        <w:t xml:space="preserve">suaugusiųjų </w:t>
      </w:r>
      <w:r w:rsidRPr="00D21DFA">
        <w:rPr>
          <w:rFonts w:ascii="Times New Roman" w:eastAsia="Times New Roman" w:hAnsi="Times New Roman" w:cs="Times New Roman"/>
          <w:snapToGrid w:val="0"/>
          <w:kern w:val="0"/>
          <w:sz w:val="22"/>
          <w:szCs w:val="20"/>
          <w14:ligatures w14:val="none"/>
        </w:rPr>
        <w:t xml:space="preserve">suvartotos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šalinama metabolitų pavidalu, kurių daugelis šalinama su išmatomis. </w:t>
      </w:r>
      <w:r w:rsidR="00747CA1" w:rsidRPr="00D21DFA">
        <w:rPr>
          <w:rFonts w:ascii="Times New Roman" w:eastAsia="Times New Roman" w:hAnsi="Times New Roman" w:cs="Times New Roman"/>
          <w:snapToGrid w:val="0"/>
          <w:kern w:val="0"/>
          <w:sz w:val="22"/>
          <w:szCs w:val="20"/>
          <w14:ligatures w14:val="none"/>
        </w:rPr>
        <w:t xml:space="preserve">Suaugusiesiems </w:t>
      </w:r>
      <w:proofErr w:type="spellStart"/>
      <w:r w:rsidR="00747CA1" w:rsidRPr="00D21DFA">
        <w:rPr>
          <w:rFonts w:ascii="Times New Roman" w:eastAsia="Times New Roman" w:hAnsi="Times New Roman" w:cs="Times New Roman"/>
          <w:snapToGrid w:val="0"/>
          <w:kern w:val="0"/>
          <w:sz w:val="22"/>
          <w:szCs w:val="20"/>
          <w14:ligatures w14:val="none"/>
        </w:rPr>
        <w:t>a</w:t>
      </w:r>
      <w:r w:rsidRPr="00D21DFA">
        <w:rPr>
          <w:rFonts w:ascii="Times New Roman" w:eastAsia="Times New Roman" w:hAnsi="Times New Roman" w:cs="Times New Roman"/>
          <w:snapToGrid w:val="0"/>
          <w:kern w:val="0"/>
          <w:sz w:val="22"/>
          <w:szCs w:val="20"/>
          <w14:ligatures w14:val="none"/>
        </w:rPr>
        <w:t>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ekskrecija</w:t>
      </w:r>
      <w:proofErr w:type="spellEnd"/>
      <w:r w:rsidRPr="00D21DFA">
        <w:rPr>
          <w:rFonts w:ascii="Times New Roman" w:eastAsia="Times New Roman" w:hAnsi="Times New Roman" w:cs="Times New Roman"/>
          <w:snapToGrid w:val="0"/>
          <w:kern w:val="0"/>
          <w:sz w:val="22"/>
          <w:szCs w:val="20"/>
          <w14:ligatures w14:val="none"/>
        </w:rPr>
        <w:t xml:space="preserve"> per inkstus sudaro maždaug 27 % bendrojo klirenso. Klinikinių ir ikiklinikinių tyrimų metu nustatyta, kad veiklioji medžiaga papildomai šalinama atitinkamai su tulžimi ir tiesioginės </w:t>
      </w:r>
      <w:proofErr w:type="spellStart"/>
      <w:r w:rsidRPr="00D21DFA">
        <w:rPr>
          <w:rFonts w:ascii="Times New Roman" w:eastAsia="Times New Roman" w:hAnsi="Times New Roman" w:cs="Times New Roman"/>
          <w:snapToGrid w:val="0"/>
          <w:kern w:val="0"/>
          <w:sz w:val="22"/>
          <w:szCs w:val="20"/>
          <w14:ligatures w14:val="none"/>
        </w:rPr>
        <w:t>ekskrecijos</w:t>
      </w:r>
      <w:proofErr w:type="spellEnd"/>
      <w:r w:rsidRPr="00D21DFA">
        <w:rPr>
          <w:rFonts w:ascii="Times New Roman" w:eastAsia="Times New Roman" w:hAnsi="Times New Roman" w:cs="Times New Roman"/>
          <w:snapToGrid w:val="0"/>
          <w:kern w:val="0"/>
          <w:sz w:val="22"/>
          <w:szCs w:val="20"/>
          <w14:ligatures w14:val="none"/>
        </w:rPr>
        <w:t xml:space="preserve"> žarnyne būdu. </w:t>
      </w:r>
    </w:p>
    <w:p w14:paraId="41D8101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8EEAD2F" w14:textId="7EDA291C" w:rsidR="00C95D96"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b</w:t>
      </w:r>
      <w:r w:rsidR="00C95D96" w:rsidRPr="00D21DFA">
        <w:rPr>
          <w:rFonts w:ascii="Times New Roman" w:eastAsia="Times New Roman" w:hAnsi="Times New Roman" w:cs="Times New Roman"/>
          <w:snapToGrid w:val="0"/>
          <w:kern w:val="0"/>
          <w:sz w:val="22"/>
          <w:szCs w:val="20"/>
          <w14:ligatures w14:val="none"/>
        </w:rPr>
        <w:t xml:space="preserve">endrasis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klirensas yra apie 3,3 l/val., o jo pusinės eliminacijos laikas – maždaug 12 valandų. </w:t>
      </w:r>
    </w:p>
    <w:p w14:paraId="1776A19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50D9611" w14:textId="30551E33" w:rsidR="00747CA1"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Vaikams bendrasis tariamasis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klirensas yra maždaug 3,0 l/val.</w:t>
      </w:r>
    </w:p>
    <w:p w14:paraId="43CC7C92" w14:textId="77777777" w:rsidR="00747CA1"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21FC9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Svarbiausieji </w:t>
      </w:r>
      <w:proofErr w:type="spellStart"/>
      <w:r w:rsidRPr="00D21DFA">
        <w:rPr>
          <w:rFonts w:ascii="Times New Roman" w:eastAsia="Times New Roman" w:hAnsi="Times New Roman" w:cs="Times New Roman"/>
          <w:snapToGrid w:val="0"/>
          <w:kern w:val="0"/>
          <w:sz w:val="22"/>
          <w:szCs w:val="20"/>
          <w14:ligatures w14:val="none"/>
        </w:rPr>
        <w:t>biotransformacijos</w:t>
      </w:r>
      <w:proofErr w:type="spellEnd"/>
      <w:r w:rsidRPr="00D21DFA">
        <w:rPr>
          <w:rFonts w:ascii="Times New Roman" w:eastAsia="Times New Roman" w:hAnsi="Times New Roman" w:cs="Times New Roman"/>
          <w:snapToGrid w:val="0"/>
          <w:kern w:val="0"/>
          <w:sz w:val="22"/>
          <w:szCs w:val="20"/>
          <w14:ligatures w14:val="none"/>
        </w:rPr>
        <w:t xml:space="preserve"> būdai yra O</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demetilinimas</w:t>
      </w:r>
      <w:proofErr w:type="spellEnd"/>
      <w:r w:rsidRPr="00D21DFA">
        <w:rPr>
          <w:rFonts w:ascii="Times New Roman" w:eastAsia="Times New Roman" w:hAnsi="Times New Roman" w:cs="Times New Roman"/>
          <w:snapToGrid w:val="0"/>
          <w:kern w:val="0"/>
          <w:sz w:val="22"/>
          <w:szCs w:val="20"/>
          <w14:ligatures w14:val="none"/>
        </w:rPr>
        <w:t xml:space="preserve"> ir 3</w:t>
      </w:r>
      <w:r w:rsidRPr="00D21DFA">
        <w:rPr>
          <w:rFonts w:ascii="Times New Roman" w:eastAsia="Times New Roman" w:hAnsi="Times New Roman" w:cs="Times New Roman"/>
          <w:snapToGrid w:val="0"/>
          <w:kern w:val="0"/>
          <w:sz w:val="22"/>
          <w:szCs w:val="20"/>
          <w14:ligatures w14:val="none"/>
        </w:rPr>
        <w:noBreakHyphen/>
        <w:t xml:space="preserve">oksopiperidinilo dalies </w:t>
      </w:r>
      <w:proofErr w:type="spellStart"/>
      <w:r w:rsidRPr="00D21DFA">
        <w:rPr>
          <w:rFonts w:ascii="Times New Roman" w:eastAsia="Times New Roman" w:hAnsi="Times New Roman" w:cs="Times New Roman"/>
          <w:snapToGrid w:val="0"/>
          <w:kern w:val="0"/>
          <w:sz w:val="22"/>
          <w:szCs w:val="20"/>
          <w14:ligatures w14:val="none"/>
        </w:rPr>
        <w:t>hidroksilinimas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daugiausia </w:t>
      </w:r>
      <w:proofErr w:type="spellStart"/>
      <w:r w:rsidRPr="00D21DFA">
        <w:rPr>
          <w:rFonts w:ascii="Times New Roman" w:eastAsia="Times New Roman" w:hAnsi="Times New Roman" w:cs="Times New Roman"/>
          <w:snapToGrid w:val="0"/>
          <w:kern w:val="0"/>
          <w:sz w:val="22"/>
          <w:szCs w:val="20"/>
          <w14:ligatures w14:val="none"/>
        </w:rPr>
        <w:t>metabolizuojamas</w:t>
      </w:r>
      <w:proofErr w:type="spellEnd"/>
      <w:r w:rsidRPr="00D21DFA">
        <w:rPr>
          <w:rFonts w:ascii="Times New Roman" w:eastAsia="Times New Roman" w:hAnsi="Times New Roman" w:cs="Times New Roman"/>
          <w:snapToGrid w:val="0"/>
          <w:kern w:val="0"/>
          <w:sz w:val="22"/>
          <w:szCs w:val="20"/>
          <w14:ligatures w14:val="none"/>
        </w:rPr>
        <w:t xml:space="preserve"> veikiant CYP3A4/5 </w:t>
      </w:r>
      <w:proofErr w:type="spellStart"/>
      <w:r w:rsidRPr="00D21DFA">
        <w:rPr>
          <w:rFonts w:ascii="Times New Roman" w:eastAsia="Times New Roman" w:hAnsi="Times New Roman" w:cs="Times New Roman"/>
          <w:snapToGrid w:val="0"/>
          <w:kern w:val="0"/>
          <w:sz w:val="22"/>
          <w:szCs w:val="20"/>
          <w14:ligatures w14:val="none"/>
        </w:rPr>
        <w:t>izofermentams</w:t>
      </w:r>
      <w:proofErr w:type="spellEnd"/>
      <w:r w:rsidRPr="00D21DFA">
        <w:rPr>
          <w:rFonts w:ascii="Times New Roman" w:eastAsia="Times New Roman" w:hAnsi="Times New Roman" w:cs="Times New Roman"/>
          <w:snapToGrid w:val="0"/>
          <w:kern w:val="0"/>
          <w:sz w:val="22"/>
          <w:szCs w:val="20"/>
          <w14:ligatures w14:val="none"/>
        </w:rPr>
        <w:t xml:space="preserve">, o CYP1A2, 2C8, 2C9, 2C19 ir 2J2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įtaka nedidelė. Svarbiausias su veikliosios medžiagos poveikiu susijęs žmogaus kraujo plazmoje nustatomas komponentas yra nepakitęs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o veiklių kraujo apykaitoje esančių metabolitų neaptikta.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yra pernašos baltymų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ir krūties vėžio atsparumo baltymo (BCRP) substratas. </w:t>
      </w:r>
    </w:p>
    <w:p w14:paraId="6D513A10" w14:textId="77777777" w:rsidR="00747CA1"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10D5487" w14:textId="5DCA8D25"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Senyvi</w:t>
      </w:r>
      <w:r w:rsidR="009D2A08" w:rsidRPr="00D21DFA">
        <w:rPr>
          <w:rFonts w:ascii="Times New Roman" w:eastAsia="Times New Roman" w:hAnsi="Times New Roman" w:cs="Times New Roman"/>
          <w:snapToGrid w:val="0"/>
          <w:kern w:val="0"/>
          <w:sz w:val="22"/>
          <w:szCs w:val="20"/>
          <w:u w:val="single"/>
          <w14:ligatures w14:val="none"/>
        </w:rPr>
        <w:t>ems</w:t>
      </w:r>
      <w:r w:rsidRPr="00D21DFA">
        <w:rPr>
          <w:rFonts w:ascii="Times New Roman" w:eastAsia="Times New Roman" w:hAnsi="Times New Roman" w:cs="Times New Roman"/>
          <w:snapToGrid w:val="0"/>
          <w:kern w:val="0"/>
          <w:sz w:val="22"/>
          <w:szCs w:val="20"/>
          <w:u w:val="single"/>
          <w14:ligatures w14:val="none"/>
        </w:rPr>
        <w:t xml:space="preserve"> pacienta</w:t>
      </w:r>
      <w:r w:rsidR="009D2A08" w:rsidRPr="00D21DFA">
        <w:rPr>
          <w:rFonts w:ascii="Times New Roman" w:eastAsia="Times New Roman" w:hAnsi="Times New Roman" w:cs="Times New Roman"/>
          <w:snapToGrid w:val="0"/>
          <w:kern w:val="0"/>
          <w:sz w:val="22"/>
          <w:szCs w:val="20"/>
          <w:u w:val="single"/>
          <w14:ligatures w14:val="none"/>
        </w:rPr>
        <w:t>ms</w:t>
      </w:r>
      <w:r w:rsidRPr="00D21DFA">
        <w:rPr>
          <w:rFonts w:ascii="Times New Roman" w:eastAsia="Times New Roman" w:hAnsi="Times New Roman" w:cs="Times New Roman"/>
          <w:snapToGrid w:val="0"/>
          <w:kern w:val="0"/>
          <w:sz w:val="22"/>
          <w:szCs w:val="20"/>
          <w:u w:val="single"/>
          <w14:ligatures w14:val="none"/>
        </w:rPr>
        <w:t xml:space="preserve"> </w:t>
      </w:r>
    </w:p>
    <w:p w14:paraId="67707F41"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61CED40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Senyviems pacientams (vyresniems kaip 65 metų) nustatytos didesnės vaistinio preparato koncentracijos plazmoje, palyginti su jaunesniais asmenimis, vidutinės AUC reikšmės yra maždaug 32 % didesnės, o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nesiskiria. </w:t>
      </w:r>
    </w:p>
    <w:p w14:paraId="56A7F9B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23A2AC" w14:textId="5579B391" w:rsidR="00C95D96" w:rsidRPr="00D21DFA" w:rsidRDefault="005C1259"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Sutrikusi </w:t>
      </w:r>
      <w:r w:rsidR="00C95D96" w:rsidRPr="00D21DFA">
        <w:rPr>
          <w:rFonts w:ascii="Times New Roman" w:eastAsia="Times New Roman" w:hAnsi="Times New Roman" w:cs="Times New Roman"/>
          <w:snapToGrid w:val="0"/>
          <w:kern w:val="0"/>
          <w:sz w:val="22"/>
          <w:szCs w:val="20"/>
          <w:u w:val="single"/>
          <w14:ligatures w14:val="none"/>
        </w:rPr>
        <w:t>inkstų funkcija</w:t>
      </w:r>
      <w:r w:rsidR="009D2A08" w:rsidRPr="00D21DFA">
        <w:rPr>
          <w:rFonts w:ascii="Times New Roman" w:eastAsia="Times New Roman" w:hAnsi="Times New Roman" w:cs="Times New Roman"/>
          <w:snapToGrid w:val="0"/>
          <w:kern w:val="0"/>
          <w:sz w:val="22"/>
          <w:szCs w:val="20"/>
          <w:u w:val="single"/>
          <w14:ligatures w14:val="none"/>
        </w:rPr>
        <w:t xml:space="preserve"> </w:t>
      </w:r>
    </w:p>
    <w:p w14:paraId="4324550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3DE143A" w14:textId="426F5B1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Sutrikusi inkstų funkcija nedaro įtakos didžiausiai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koncentracijai. Vertinant kreatinino klirensą nustatyta su sumažėjusia inkstų funkcija susijusi didesnė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Pacientams, kuriems buvo nesunkus (kreatinino klirensas 51</w:t>
      </w:r>
      <w:r w:rsidRPr="00D21DFA">
        <w:rPr>
          <w:rFonts w:ascii="Times New Roman" w:eastAsia="Times New Roman" w:hAnsi="Times New Roman" w:cs="Times New Roman"/>
          <w:snapToGrid w:val="0"/>
          <w:kern w:val="0"/>
          <w:sz w:val="22"/>
          <w:szCs w:val="20"/>
          <w14:ligatures w14:val="none"/>
        </w:rPr>
        <w:noBreakHyphen/>
        <w:t>80 ml/min.), vidutinio sunkumo (kreatinino klirensas 30</w:t>
      </w:r>
      <w:r w:rsidRPr="00D21DFA">
        <w:rPr>
          <w:rFonts w:ascii="Times New Roman" w:eastAsia="Times New Roman" w:hAnsi="Times New Roman" w:cs="Times New Roman"/>
          <w:snapToGrid w:val="0"/>
          <w:kern w:val="0"/>
          <w:sz w:val="22"/>
          <w:szCs w:val="20"/>
          <w14:ligatures w14:val="none"/>
        </w:rPr>
        <w:noBreakHyphen/>
        <w:t>50 ml/min.) ir sunkus (kreatinino klirensas 15</w:t>
      </w:r>
      <w:r w:rsidRPr="00D21DFA">
        <w:rPr>
          <w:rFonts w:ascii="Times New Roman" w:eastAsia="Times New Roman" w:hAnsi="Times New Roman" w:cs="Times New Roman"/>
          <w:snapToGrid w:val="0"/>
          <w:kern w:val="0"/>
          <w:sz w:val="22"/>
          <w:szCs w:val="20"/>
          <w14:ligatures w14:val="none"/>
        </w:rPr>
        <w:noBreakHyphen/>
        <w:t xml:space="preserve">29 ml/min.) inkstų funkcijos sutrikimas,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(AUC) padidėjo, atitinkamai, 16 %, 29 % ir 44 %, lyginant su asmenimis, kuri</w:t>
      </w:r>
      <w:r w:rsidR="00DF61AB"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kreatinino klirensas buvo normalus. Inkstų funkcijos sutrikimas nedaro akivaizdžios įtakos ryšiui tarp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ir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aktyvumo. </w:t>
      </w:r>
    </w:p>
    <w:p w14:paraId="59BAE17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69723E" w14:textId="0804F2C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sergantiems galutinės stadijos </w:t>
      </w:r>
      <w:r w:rsidR="002F26FD" w:rsidRPr="00D21DFA">
        <w:rPr>
          <w:rFonts w:ascii="Times New Roman" w:eastAsia="Times New Roman" w:hAnsi="Times New Roman" w:cs="Times New Roman"/>
          <w:snapToGrid w:val="0"/>
          <w:kern w:val="0"/>
          <w:sz w:val="22"/>
          <w:szCs w:val="20"/>
          <w14:ligatures w14:val="none"/>
        </w:rPr>
        <w:t xml:space="preserve">lėtine </w:t>
      </w:r>
      <w:r w:rsidRPr="00D21DFA">
        <w:rPr>
          <w:rFonts w:ascii="Times New Roman" w:eastAsia="Times New Roman" w:hAnsi="Times New Roman" w:cs="Times New Roman"/>
          <w:snapToGrid w:val="0"/>
          <w:kern w:val="0"/>
          <w:sz w:val="22"/>
          <w:szCs w:val="20"/>
          <w14:ligatures w14:val="none"/>
        </w:rPr>
        <w:t>inkstų liga (GS</w:t>
      </w:r>
      <w:r w:rsidR="002F26FD" w:rsidRPr="00D21DFA">
        <w:rPr>
          <w:rFonts w:ascii="Times New Roman" w:eastAsia="Times New Roman" w:hAnsi="Times New Roman" w:cs="Times New Roman"/>
          <w:snapToGrid w:val="0"/>
          <w:kern w:val="0"/>
          <w:sz w:val="22"/>
          <w:szCs w:val="20"/>
          <w14:ligatures w14:val="none"/>
        </w:rPr>
        <w:t>L</w:t>
      </w:r>
      <w:r w:rsidRPr="00D21DFA">
        <w:rPr>
          <w:rFonts w:ascii="Times New Roman" w:eastAsia="Times New Roman" w:hAnsi="Times New Roman" w:cs="Times New Roman"/>
          <w:snapToGrid w:val="0"/>
          <w:kern w:val="0"/>
          <w:sz w:val="22"/>
          <w:szCs w:val="20"/>
          <w14:ligatures w14:val="none"/>
        </w:rPr>
        <w:t xml:space="preserve">IL),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padidėjo 36 %, kai vienkartinė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buvo skiriama iš karto po hemodializės, palyginus su pacientais, kurių inkstų funkcija normali. Hemodializę pradėjus praėjus dviem valandoms po </w:t>
      </w:r>
      <w:r w:rsidRPr="00D21DFA">
        <w:rPr>
          <w:rFonts w:ascii="Times New Roman" w:eastAsia="Times New Roman" w:hAnsi="Times New Roman" w:cs="Times New Roman"/>
          <w:snapToGrid w:val="0"/>
          <w:kern w:val="0"/>
          <w:sz w:val="22"/>
          <w:szCs w:val="20"/>
          <w14:ligatures w14:val="none"/>
        </w:rPr>
        <w:lastRenderedPageBreak/>
        <w:t xml:space="preserve">vienkartinės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sumažėjo 14 % šiems GSIL sergantiems pacientams, atitinkamai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dializės klirensas buvo 18 ml/min. Todėl hemodializė nėra veiksminga priemonė perdozavus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
    <w:p w14:paraId="75509BB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68D76E" w14:textId="5F7C0A8A" w:rsidR="00747CA1" w:rsidRPr="00D21DFA" w:rsidRDefault="00747CA1" w:rsidP="00747CA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vaikams, kurių amžius ≥ 2 metai, sunkus inkstų funkcijos sutrikimas konstatuojamas tada, kai apskaičiuotasis </w:t>
      </w:r>
      <w:proofErr w:type="spellStart"/>
      <w:r w:rsidRPr="00D21DFA">
        <w:rPr>
          <w:rFonts w:ascii="Times New Roman" w:eastAsia="Times New Roman" w:hAnsi="Times New Roman" w:cs="Times New Roman"/>
          <w:snapToGrid w:val="0"/>
          <w:kern w:val="0"/>
          <w:sz w:val="22"/>
          <w:szCs w:val="20"/>
          <w14:ligatures w14:val="none"/>
        </w:rPr>
        <w:t>glomerulų</w:t>
      </w:r>
      <w:proofErr w:type="spellEnd"/>
      <w:r w:rsidRPr="00D21DFA">
        <w:rPr>
          <w:rFonts w:ascii="Times New Roman" w:eastAsia="Times New Roman" w:hAnsi="Times New Roman" w:cs="Times New Roman"/>
          <w:snapToGrid w:val="0"/>
          <w:kern w:val="0"/>
          <w:sz w:val="22"/>
          <w:szCs w:val="20"/>
          <w14:ligatures w14:val="none"/>
        </w:rPr>
        <w:t xml:space="preserve"> filtracijos greitis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tampa mažesnis kaip 30 ml/min/1,73 m</w:t>
      </w:r>
      <w:r w:rsidRPr="00AD1A35">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xml:space="preserve"> kūno paviršiaus ploto (KPP). Tyrimo CV185325 metu jaunesniems kaip 2 metų pacientams sunkų inkstų funkcijos sutrikimą apibrėžiančios ribos pagal lytį ir </w:t>
      </w:r>
      <w:proofErr w:type="spellStart"/>
      <w:r w:rsidRPr="00D21DFA">
        <w:rPr>
          <w:rFonts w:ascii="Times New Roman" w:eastAsia="Times New Roman" w:hAnsi="Times New Roman" w:cs="Times New Roman"/>
          <w:snapToGrid w:val="0"/>
          <w:kern w:val="0"/>
          <w:sz w:val="22"/>
          <w:szCs w:val="20"/>
          <w14:ligatures w14:val="none"/>
        </w:rPr>
        <w:t>postnatalinį</w:t>
      </w:r>
      <w:proofErr w:type="spellEnd"/>
      <w:r w:rsidRPr="00D21DFA">
        <w:rPr>
          <w:rFonts w:ascii="Times New Roman" w:eastAsia="Times New Roman" w:hAnsi="Times New Roman" w:cs="Times New Roman"/>
          <w:snapToGrid w:val="0"/>
          <w:kern w:val="0"/>
          <w:sz w:val="22"/>
          <w:szCs w:val="20"/>
          <w14:ligatures w14:val="none"/>
        </w:rPr>
        <w:t xml:space="preserve"> amžių apibendrintos toliau pateiktoje 17 lentelėje; kiekviena iš jų atitinka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xml:space="preserve"> &lt; 30 ml/min/1,73 m</w:t>
      </w:r>
      <w:r w:rsidRPr="00AD1A35">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xml:space="preserve"> KPP 2 metų ir vyresniems pacientams.</w:t>
      </w:r>
    </w:p>
    <w:p w14:paraId="1CDEDD20" w14:textId="77777777" w:rsidR="00747CA1"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54CBE7" w14:textId="69B2F6C8" w:rsidR="00747CA1" w:rsidRPr="00D21DFA" w:rsidRDefault="00747CA1" w:rsidP="00AD1A35">
      <w:pPr>
        <w:tabs>
          <w:tab w:val="left" w:pos="567"/>
          <w:tab w:val="left" w:pos="9214"/>
        </w:tabs>
        <w:spacing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 xml:space="preserve">17 lentelė. </w:t>
      </w:r>
      <w:proofErr w:type="spellStart"/>
      <w:r w:rsidRPr="00D21DFA">
        <w:rPr>
          <w:rFonts w:ascii="Times New Roman" w:eastAsia="Times New Roman" w:hAnsi="Times New Roman" w:cs="Times New Roman"/>
          <w:b/>
          <w:bCs/>
          <w:snapToGrid w:val="0"/>
          <w:kern w:val="0"/>
          <w:sz w:val="22"/>
          <w:szCs w:val="20"/>
          <w14:ligatures w14:val="none"/>
        </w:rPr>
        <w:t>aGFG</w:t>
      </w:r>
      <w:proofErr w:type="spellEnd"/>
      <w:r w:rsidRPr="00D21DFA">
        <w:rPr>
          <w:rFonts w:ascii="Times New Roman" w:eastAsia="Times New Roman" w:hAnsi="Times New Roman" w:cs="Times New Roman"/>
          <w:b/>
          <w:bCs/>
          <w:snapToGrid w:val="0"/>
          <w:kern w:val="0"/>
          <w:sz w:val="22"/>
          <w:szCs w:val="20"/>
          <w14:ligatures w14:val="none"/>
        </w:rPr>
        <w:t xml:space="preserve"> tinkamumo ribos tyrimui CV185325</w:t>
      </w:r>
    </w:p>
    <w:tbl>
      <w:tblPr>
        <w:tblStyle w:val="TableGrid1"/>
        <w:tblW w:w="9076" w:type="dxa"/>
        <w:tblInd w:w="-105" w:type="dxa"/>
        <w:tblCellMar>
          <w:top w:w="6" w:type="dxa"/>
          <w:left w:w="88" w:type="dxa"/>
          <w:right w:w="93" w:type="dxa"/>
        </w:tblCellMar>
        <w:tblLook w:val="04A0" w:firstRow="1" w:lastRow="0" w:firstColumn="1" w:lastColumn="0" w:noHBand="0" w:noVBand="1"/>
      </w:tblPr>
      <w:tblGrid>
        <w:gridCol w:w="3766"/>
        <w:gridCol w:w="2285"/>
        <w:gridCol w:w="3025"/>
      </w:tblGrid>
      <w:tr w:rsidR="00747CA1" w:rsidRPr="00D21DFA" w14:paraId="16F1B863" w14:textId="77777777" w:rsidTr="000760BC">
        <w:trPr>
          <w:trHeight w:val="571"/>
        </w:trPr>
        <w:tc>
          <w:tcPr>
            <w:tcW w:w="3766" w:type="dxa"/>
            <w:tcBorders>
              <w:top w:val="single" w:sz="4" w:space="0" w:color="000000"/>
              <w:left w:val="single" w:sz="4" w:space="0" w:color="000000"/>
              <w:bottom w:val="single" w:sz="4" w:space="0" w:color="000000"/>
              <w:right w:val="single" w:sz="4" w:space="0" w:color="000000"/>
            </w:tcBorders>
            <w:vAlign w:val="center"/>
          </w:tcPr>
          <w:p w14:paraId="5477534D" w14:textId="4FC5FDDA" w:rsidR="00747CA1" w:rsidRPr="00D21DFA" w:rsidRDefault="00747CA1" w:rsidP="000760BC">
            <w:pPr>
              <w:spacing w:line="259" w:lineRule="auto"/>
              <w:ind w:left="2"/>
              <w:jc w:val="center"/>
              <w:rPr>
                <w:rFonts w:ascii="Times New Roman" w:hAnsi="Times New Roman" w:cs="Times New Roman"/>
                <w:color w:val="000000"/>
                <w:lang w:val="lt-LT"/>
              </w:rPr>
            </w:pPr>
            <w:proofErr w:type="spellStart"/>
            <w:r w:rsidRPr="00D21DFA">
              <w:rPr>
                <w:rFonts w:ascii="Times New Roman" w:hAnsi="Times New Roman" w:cs="Times New Roman"/>
                <w:b/>
                <w:color w:val="000000"/>
                <w:lang w:val="lt-LT"/>
              </w:rPr>
              <w:t>Postnatalinis</w:t>
            </w:r>
            <w:proofErr w:type="spellEnd"/>
            <w:r w:rsidRPr="00D21DFA">
              <w:rPr>
                <w:rFonts w:ascii="Times New Roman" w:hAnsi="Times New Roman" w:cs="Times New Roman"/>
                <w:b/>
                <w:color w:val="000000"/>
                <w:lang w:val="lt-LT"/>
              </w:rPr>
              <w:t xml:space="preserve"> amžius (lytis) </w:t>
            </w:r>
          </w:p>
        </w:tc>
        <w:tc>
          <w:tcPr>
            <w:tcW w:w="2285" w:type="dxa"/>
            <w:tcBorders>
              <w:top w:val="single" w:sz="4" w:space="0" w:color="000000"/>
              <w:left w:val="single" w:sz="4" w:space="0" w:color="000000"/>
              <w:bottom w:val="single" w:sz="4" w:space="0" w:color="000000"/>
              <w:right w:val="single" w:sz="4" w:space="0" w:color="000000"/>
            </w:tcBorders>
          </w:tcPr>
          <w:p w14:paraId="00C39C80" w14:textId="12680492" w:rsidR="00747CA1" w:rsidRPr="00D21DFA" w:rsidRDefault="00747CA1" w:rsidP="000760BC">
            <w:pPr>
              <w:spacing w:line="259" w:lineRule="auto"/>
              <w:jc w:val="center"/>
              <w:rPr>
                <w:rFonts w:ascii="Times New Roman" w:hAnsi="Times New Roman" w:cs="Times New Roman"/>
                <w:color w:val="000000"/>
                <w:lang w:val="lt-LT"/>
              </w:rPr>
            </w:pPr>
            <w:r w:rsidRPr="00D21DFA">
              <w:rPr>
                <w:rFonts w:ascii="Times New Roman" w:hAnsi="Times New Roman" w:cs="Times New Roman"/>
                <w:b/>
                <w:color w:val="000000"/>
                <w:lang w:val="lt-LT"/>
              </w:rPr>
              <w:t>GFR referencinis diapazonas (ml/min/1</w:t>
            </w:r>
            <w:r w:rsidR="005A34D8">
              <w:rPr>
                <w:rFonts w:ascii="Times New Roman" w:hAnsi="Times New Roman" w:cs="Times New Roman"/>
                <w:b/>
                <w:color w:val="000000"/>
                <w:lang w:val="lt-LT"/>
              </w:rPr>
              <w:t>,</w:t>
            </w:r>
            <w:r w:rsidRPr="00D21DFA">
              <w:rPr>
                <w:rFonts w:ascii="Times New Roman" w:hAnsi="Times New Roman" w:cs="Times New Roman"/>
                <w:b/>
                <w:color w:val="000000"/>
                <w:lang w:val="lt-LT"/>
              </w:rPr>
              <w:t>73 m</w:t>
            </w:r>
            <w:r w:rsidRPr="00D21DFA">
              <w:rPr>
                <w:rFonts w:ascii="Times New Roman" w:hAnsi="Times New Roman" w:cs="Times New Roman"/>
                <w:b/>
                <w:color w:val="000000"/>
                <w:vertAlign w:val="superscript"/>
                <w:lang w:val="lt-LT"/>
              </w:rPr>
              <w:t>2</w:t>
            </w:r>
            <w:r w:rsidRPr="00D21DFA">
              <w:rPr>
                <w:rFonts w:ascii="Times New Roman" w:hAnsi="Times New Roman" w:cs="Times New Roman"/>
                <w:b/>
                <w:color w:val="000000"/>
                <w:lang w:val="lt-LT"/>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6B5780B6" w14:textId="18AA7039" w:rsidR="00747CA1" w:rsidRPr="00D21DFA" w:rsidRDefault="00747CA1" w:rsidP="000760BC">
            <w:pPr>
              <w:spacing w:line="259" w:lineRule="auto"/>
              <w:ind w:left="3"/>
              <w:jc w:val="center"/>
              <w:rPr>
                <w:rFonts w:ascii="Times New Roman" w:hAnsi="Times New Roman" w:cs="Times New Roman"/>
                <w:color w:val="000000"/>
                <w:lang w:val="lt-LT"/>
              </w:rPr>
            </w:pPr>
            <w:proofErr w:type="spellStart"/>
            <w:r w:rsidRPr="00D21DFA">
              <w:rPr>
                <w:rFonts w:ascii="Times New Roman" w:hAnsi="Times New Roman" w:cs="Times New Roman"/>
                <w:b/>
                <w:color w:val="000000"/>
                <w:lang w:val="lt-LT"/>
              </w:rPr>
              <w:t>eGFR</w:t>
            </w:r>
            <w:proofErr w:type="spellEnd"/>
            <w:r w:rsidRPr="00D21DFA">
              <w:rPr>
                <w:rFonts w:ascii="Times New Roman" w:hAnsi="Times New Roman" w:cs="Times New Roman"/>
                <w:b/>
                <w:color w:val="000000"/>
                <w:lang w:val="lt-LT"/>
              </w:rPr>
              <w:t xml:space="preserve"> </w:t>
            </w:r>
            <w:proofErr w:type="spellStart"/>
            <w:r w:rsidRPr="00D21DFA">
              <w:rPr>
                <w:rFonts w:ascii="Times New Roman" w:hAnsi="Times New Roman" w:cs="Times New Roman"/>
                <w:b/>
                <w:color w:val="000000"/>
                <w:lang w:val="lt-LT"/>
              </w:rPr>
              <w:t>tankamumo</w:t>
            </w:r>
            <w:proofErr w:type="spellEnd"/>
            <w:r w:rsidRPr="00D21DFA">
              <w:rPr>
                <w:rFonts w:ascii="Times New Roman" w:hAnsi="Times New Roman" w:cs="Times New Roman"/>
                <w:b/>
                <w:color w:val="000000"/>
                <w:lang w:val="lt-LT"/>
              </w:rPr>
              <w:t xml:space="preserve"> ribos* </w:t>
            </w:r>
          </w:p>
        </w:tc>
      </w:tr>
      <w:tr w:rsidR="00747CA1" w:rsidRPr="00D21DFA" w14:paraId="741A4A70"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523B6D21" w14:textId="1FDD5D26" w:rsidR="00747CA1" w:rsidRPr="00D21DFA" w:rsidRDefault="00747CA1" w:rsidP="000760BC">
            <w:pPr>
              <w:spacing w:line="259" w:lineRule="auto"/>
              <w:rPr>
                <w:rFonts w:ascii="Times New Roman" w:hAnsi="Times New Roman" w:cs="Times New Roman"/>
                <w:color w:val="000000"/>
                <w:lang w:val="lt-LT"/>
              </w:rPr>
            </w:pPr>
            <w:r w:rsidRPr="00D21DFA">
              <w:rPr>
                <w:rFonts w:ascii="Times New Roman" w:hAnsi="Times New Roman" w:cs="Times New Roman"/>
                <w:color w:val="000000"/>
                <w:lang w:val="lt-LT"/>
              </w:rPr>
              <w:t>1 savaitė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4CD6698C" w14:textId="77777777" w:rsidR="00747CA1" w:rsidRPr="00D21DFA" w:rsidRDefault="00747CA1" w:rsidP="000760BC">
            <w:pPr>
              <w:spacing w:line="259" w:lineRule="auto"/>
              <w:ind w:right="17"/>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41 ± 15 </w:t>
            </w:r>
          </w:p>
        </w:tc>
        <w:tc>
          <w:tcPr>
            <w:tcW w:w="3025" w:type="dxa"/>
            <w:tcBorders>
              <w:top w:val="single" w:sz="4" w:space="0" w:color="000000"/>
              <w:left w:val="single" w:sz="4" w:space="0" w:color="000000"/>
              <w:bottom w:val="single" w:sz="4" w:space="0" w:color="000000"/>
              <w:right w:val="single" w:sz="4" w:space="0" w:color="000000"/>
            </w:tcBorders>
          </w:tcPr>
          <w:p w14:paraId="589C028A" w14:textId="77777777" w:rsidR="00747CA1" w:rsidRPr="00D21DFA" w:rsidRDefault="00747CA1" w:rsidP="000760BC">
            <w:pPr>
              <w:spacing w:line="259" w:lineRule="auto"/>
              <w:ind w:right="18"/>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8 </w:t>
            </w:r>
          </w:p>
        </w:tc>
      </w:tr>
      <w:tr w:rsidR="00747CA1" w:rsidRPr="00D21DFA" w14:paraId="6934D491"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2FA69084" w14:textId="279612D9" w:rsidR="00747CA1" w:rsidRPr="00D21DFA" w:rsidRDefault="00747CA1" w:rsidP="000760BC">
            <w:pPr>
              <w:spacing w:line="259" w:lineRule="auto"/>
              <w:rPr>
                <w:rFonts w:ascii="Times New Roman" w:hAnsi="Times New Roman" w:cs="Times New Roman"/>
                <w:color w:val="000000"/>
                <w:lang w:val="lt-LT"/>
              </w:rPr>
            </w:pPr>
            <w:r w:rsidRPr="00D21DFA">
              <w:rPr>
                <w:rFonts w:ascii="Times New Roman" w:hAnsi="Times New Roman" w:cs="Times New Roman"/>
                <w:color w:val="000000"/>
                <w:lang w:val="lt-LT"/>
              </w:rPr>
              <w:t>2–8 savaitės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2402EC1A" w14:textId="77777777" w:rsidR="00747CA1" w:rsidRPr="00D21DFA" w:rsidRDefault="00747CA1" w:rsidP="000760BC">
            <w:pPr>
              <w:spacing w:line="259" w:lineRule="auto"/>
              <w:ind w:right="17"/>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66 ± 25 </w:t>
            </w:r>
          </w:p>
        </w:tc>
        <w:tc>
          <w:tcPr>
            <w:tcW w:w="3025" w:type="dxa"/>
            <w:tcBorders>
              <w:top w:val="single" w:sz="4" w:space="0" w:color="000000"/>
              <w:left w:val="single" w:sz="4" w:space="0" w:color="000000"/>
              <w:bottom w:val="single" w:sz="4" w:space="0" w:color="000000"/>
              <w:right w:val="single" w:sz="4" w:space="0" w:color="000000"/>
            </w:tcBorders>
          </w:tcPr>
          <w:p w14:paraId="1F285440" w14:textId="77777777" w:rsidR="00747CA1" w:rsidRPr="00D21DFA" w:rsidRDefault="00747CA1" w:rsidP="000760BC">
            <w:pPr>
              <w:spacing w:line="259" w:lineRule="auto"/>
              <w:ind w:right="18"/>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12 </w:t>
            </w:r>
          </w:p>
        </w:tc>
      </w:tr>
      <w:tr w:rsidR="00747CA1" w:rsidRPr="00D21DFA" w14:paraId="6CDF8954" w14:textId="77777777" w:rsidTr="000760BC">
        <w:trPr>
          <w:trHeight w:val="572"/>
        </w:trPr>
        <w:tc>
          <w:tcPr>
            <w:tcW w:w="3766" w:type="dxa"/>
            <w:tcBorders>
              <w:top w:val="single" w:sz="4" w:space="0" w:color="000000"/>
              <w:left w:val="single" w:sz="4" w:space="0" w:color="000000"/>
              <w:bottom w:val="single" w:sz="4" w:space="0" w:color="000000"/>
              <w:right w:val="single" w:sz="4" w:space="0" w:color="000000"/>
            </w:tcBorders>
          </w:tcPr>
          <w:p w14:paraId="2ACBBD28" w14:textId="56364891" w:rsidR="00747CA1" w:rsidRPr="00D21DFA" w:rsidRDefault="00EC1EBC" w:rsidP="000760BC">
            <w:pPr>
              <w:spacing w:line="259" w:lineRule="auto"/>
              <w:rPr>
                <w:rFonts w:ascii="Times New Roman" w:hAnsi="Times New Roman" w:cs="Times New Roman"/>
                <w:color w:val="000000"/>
                <w:lang w:val="lt-LT"/>
              </w:rPr>
            </w:pPr>
            <w:r>
              <w:rPr>
                <w:rFonts w:ascii="Times New Roman" w:hAnsi="Times New Roman" w:cs="Times New Roman"/>
                <w:color w:val="000000"/>
                <w:lang w:val="lt-LT"/>
              </w:rPr>
              <w:t xml:space="preserve">Nuo </w:t>
            </w:r>
            <w:r w:rsidR="00747CA1" w:rsidRPr="00D21DFA">
              <w:rPr>
                <w:rFonts w:ascii="Times New Roman" w:hAnsi="Times New Roman" w:cs="Times New Roman"/>
                <w:color w:val="000000"/>
                <w:lang w:val="lt-LT"/>
              </w:rPr>
              <w:t>&gt; 8 savaičių iki &lt; 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65247262" w14:textId="77777777" w:rsidR="00747CA1" w:rsidRPr="00D21DFA" w:rsidRDefault="00747CA1" w:rsidP="000760BC">
            <w:pPr>
              <w:spacing w:line="259" w:lineRule="auto"/>
              <w:ind w:right="17"/>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96 ± 22 </w:t>
            </w:r>
          </w:p>
        </w:tc>
        <w:tc>
          <w:tcPr>
            <w:tcW w:w="3025" w:type="dxa"/>
            <w:tcBorders>
              <w:top w:val="single" w:sz="4" w:space="0" w:color="000000"/>
              <w:left w:val="single" w:sz="4" w:space="0" w:color="000000"/>
              <w:bottom w:val="single" w:sz="4" w:space="0" w:color="000000"/>
              <w:right w:val="single" w:sz="4" w:space="0" w:color="000000"/>
            </w:tcBorders>
            <w:vAlign w:val="center"/>
          </w:tcPr>
          <w:p w14:paraId="4245050D" w14:textId="77777777" w:rsidR="00747CA1" w:rsidRPr="00D21DFA" w:rsidRDefault="00747CA1" w:rsidP="000760BC">
            <w:pPr>
              <w:spacing w:line="259" w:lineRule="auto"/>
              <w:ind w:right="19"/>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22 </w:t>
            </w:r>
          </w:p>
        </w:tc>
      </w:tr>
      <w:tr w:rsidR="00747CA1" w:rsidRPr="00D21DFA" w14:paraId="77A5BBC7" w14:textId="77777777" w:rsidTr="000760BC">
        <w:trPr>
          <w:trHeight w:val="318"/>
        </w:trPr>
        <w:tc>
          <w:tcPr>
            <w:tcW w:w="3766" w:type="dxa"/>
            <w:tcBorders>
              <w:top w:val="single" w:sz="4" w:space="0" w:color="000000"/>
              <w:left w:val="single" w:sz="4" w:space="0" w:color="000000"/>
              <w:bottom w:val="single" w:sz="4" w:space="0" w:color="000000"/>
              <w:right w:val="single" w:sz="4" w:space="0" w:color="000000"/>
            </w:tcBorders>
          </w:tcPr>
          <w:p w14:paraId="56A451E7" w14:textId="0627EA92" w:rsidR="00747CA1" w:rsidRPr="00D21DFA" w:rsidRDefault="00747CA1" w:rsidP="000760BC">
            <w:pPr>
              <w:spacing w:line="259" w:lineRule="auto"/>
              <w:rPr>
                <w:rFonts w:ascii="Times New Roman" w:hAnsi="Times New Roman" w:cs="Times New Roman"/>
                <w:color w:val="000000"/>
                <w:lang w:val="lt-LT"/>
              </w:rPr>
            </w:pPr>
            <w:r w:rsidRPr="00D21DFA">
              <w:rPr>
                <w:rFonts w:ascii="Times New Roman" w:hAnsi="Times New Roman" w:cs="Times New Roman"/>
                <w:color w:val="000000"/>
                <w:lang w:val="lt-LT"/>
              </w:rPr>
              <w:t>2–12 metai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78E6E474" w14:textId="77777777" w:rsidR="00747CA1" w:rsidRPr="00D21DFA" w:rsidRDefault="00747CA1" w:rsidP="000760BC">
            <w:pPr>
              <w:spacing w:line="259" w:lineRule="auto"/>
              <w:ind w:right="17"/>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133 ± 27 </w:t>
            </w:r>
          </w:p>
        </w:tc>
        <w:tc>
          <w:tcPr>
            <w:tcW w:w="3025" w:type="dxa"/>
            <w:tcBorders>
              <w:top w:val="single" w:sz="4" w:space="0" w:color="000000"/>
              <w:left w:val="single" w:sz="4" w:space="0" w:color="000000"/>
              <w:bottom w:val="single" w:sz="4" w:space="0" w:color="000000"/>
              <w:right w:val="single" w:sz="4" w:space="0" w:color="000000"/>
            </w:tcBorders>
          </w:tcPr>
          <w:p w14:paraId="4CD738AA" w14:textId="77777777" w:rsidR="00747CA1" w:rsidRPr="00D21DFA" w:rsidRDefault="00747CA1" w:rsidP="000760BC">
            <w:pPr>
              <w:spacing w:line="259" w:lineRule="auto"/>
              <w:ind w:right="18"/>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30 </w:t>
            </w:r>
          </w:p>
        </w:tc>
      </w:tr>
      <w:tr w:rsidR="00747CA1" w:rsidRPr="00D21DFA" w14:paraId="02828119"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2C21C252" w14:textId="7F5B5EA4" w:rsidR="00747CA1" w:rsidRPr="00D21DFA" w:rsidRDefault="00747CA1" w:rsidP="000760BC">
            <w:pPr>
              <w:spacing w:line="259" w:lineRule="auto"/>
              <w:rPr>
                <w:rFonts w:ascii="Times New Roman" w:hAnsi="Times New Roman" w:cs="Times New Roman"/>
                <w:color w:val="000000"/>
                <w:lang w:val="lt-LT"/>
              </w:rPr>
            </w:pPr>
            <w:r w:rsidRPr="00D21DFA">
              <w:rPr>
                <w:rFonts w:ascii="Times New Roman" w:hAnsi="Times New Roman" w:cs="Times New Roman"/>
                <w:color w:val="000000"/>
                <w:lang w:val="lt-LT"/>
              </w:rPr>
              <w:t>13–17 metai (vyriškas)</w:t>
            </w:r>
          </w:p>
        </w:tc>
        <w:tc>
          <w:tcPr>
            <w:tcW w:w="2285" w:type="dxa"/>
            <w:tcBorders>
              <w:top w:val="single" w:sz="4" w:space="0" w:color="000000"/>
              <w:left w:val="single" w:sz="4" w:space="0" w:color="000000"/>
              <w:bottom w:val="single" w:sz="4" w:space="0" w:color="000000"/>
              <w:right w:val="single" w:sz="4" w:space="0" w:color="000000"/>
            </w:tcBorders>
          </w:tcPr>
          <w:p w14:paraId="2628958A" w14:textId="77777777" w:rsidR="00747CA1" w:rsidRPr="00D21DFA" w:rsidRDefault="00747CA1" w:rsidP="000760BC">
            <w:pPr>
              <w:spacing w:line="259" w:lineRule="auto"/>
              <w:ind w:right="17"/>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140 ± 30 </w:t>
            </w:r>
          </w:p>
        </w:tc>
        <w:tc>
          <w:tcPr>
            <w:tcW w:w="3025" w:type="dxa"/>
            <w:tcBorders>
              <w:top w:val="single" w:sz="4" w:space="0" w:color="000000"/>
              <w:left w:val="single" w:sz="4" w:space="0" w:color="000000"/>
              <w:bottom w:val="single" w:sz="4" w:space="0" w:color="000000"/>
              <w:right w:val="single" w:sz="4" w:space="0" w:color="000000"/>
            </w:tcBorders>
          </w:tcPr>
          <w:p w14:paraId="7DFD8920" w14:textId="77777777" w:rsidR="00747CA1" w:rsidRPr="00D21DFA" w:rsidRDefault="00747CA1" w:rsidP="000760BC">
            <w:pPr>
              <w:spacing w:line="259" w:lineRule="auto"/>
              <w:ind w:right="18"/>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30 </w:t>
            </w:r>
          </w:p>
        </w:tc>
      </w:tr>
      <w:tr w:rsidR="00747CA1" w:rsidRPr="00D21DFA" w14:paraId="307FF4F0"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639F41EB" w14:textId="775F6DB5" w:rsidR="00747CA1" w:rsidRPr="00D21DFA" w:rsidRDefault="00747CA1" w:rsidP="000760BC">
            <w:pPr>
              <w:spacing w:line="259" w:lineRule="auto"/>
              <w:rPr>
                <w:rFonts w:ascii="Times New Roman" w:hAnsi="Times New Roman" w:cs="Times New Roman"/>
                <w:color w:val="000000"/>
                <w:lang w:val="lt-LT"/>
              </w:rPr>
            </w:pPr>
            <w:r w:rsidRPr="00D21DFA">
              <w:rPr>
                <w:rFonts w:ascii="Times New Roman" w:hAnsi="Times New Roman" w:cs="Times New Roman"/>
                <w:color w:val="000000"/>
                <w:lang w:val="lt-LT"/>
              </w:rPr>
              <w:t>13–17 metai (moteriška)</w:t>
            </w:r>
          </w:p>
        </w:tc>
        <w:tc>
          <w:tcPr>
            <w:tcW w:w="2285" w:type="dxa"/>
            <w:tcBorders>
              <w:top w:val="single" w:sz="4" w:space="0" w:color="000000"/>
              <w:left w:val="single" w:sz="4" w:space="0" w:color="000000"/>
              <w:bottom w:val="single" w:sz="4" w:space="0" w:color="000000"/>
              <w:right w:val="single" w:sz="4" w:space="0" w:color="000000"/>
            </w:tcBorders>
          </w:tcPr>
          <w:p w14:paraId="6FB0CA28" w14:textId="77777777" w:rsidR="00747CA1" w:rsidRPr="00D21DFA" w:rsidRDefault="00747CA1" w:rsidP="000760BC">
            <w:pPr>
              <w:spacing w:line="259" w:lineRule="auto"/>
              <w:ind w:right="17"/>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126 ± 22 </w:t>
            </w:r>
          </w:p>
        </w:tc>
        <w:tc>
          <w:tcPr>
            <w:tcW w:w="3025" w:type="dxa"/>
            <w:tcBorders>
              <w:top w:val="single" w:sz="4" w:space="0" w:color="000000"/>
              <w:left w:val="single" w:sz="4" w:space="0" w:color="000000"/>
              <w:bottom w:val="single" w:sz="4" w:space="0" w:color="000000"/>
              <w:right w:val="single" w:sz="4" w:space="0" w:color="000000"/>
            </w:tcBorders>
          </w:tcPr>
          <w:p w14:paraId="6C48660D" w14:textId="77777777" w:rsidR="00747CA1" w:rsidRPr="00D21DFA" w:rsidRDefault="00747CA1" w:rsidP="000760BC">
            <w:pPr>
              <w:spacing w:line="259" w:lineRule="auto"/>
              <w:ind w:right="18"/>
              <w:jc w:val="center"/>
              <w:rPr>
                <w:rFonts w:ascii="Times New Roman" w:hAnsi="Times New Roman" w:cs="Times New Roman"/>
                <w:color w:val="000000"/>
                <w:lang w:val="lt-LT"/>
              </w:rPr>
            </w:pPr>
            <w:r w:rsidRPr="00D21DFA">
              <w:rPr>
                <w:rFonts w:ascii="Times New Roman" w:hAnsi="Times New Roman" w:cs="Times New Roman"/>
                <w:color w:val="000000"/>
                <w:lang w:val="lt-LT"/>
              </w:rPr>
              <w:t xml:space="preserve">≥ 30 </w:t>
            </w:r>
          </w:p>
        </w:tc>
      </w:tr>
    </w:tbl>
    <w:p w14:paraId="1A20A4DB" w14:textId="129AAAD5" w:rsidR="00747CA1" w:rsidRPr="00AD1A35" w:rsidRDefault="00747CA1" w:rsidP="00747CA1">
      <w:pPr>
        <w:tabs>
          <w:tab w:val="left" w:pos="567"/>
          <w:tab w:val="left" w:pos="9214"/>
        </w:tabs>
        <w:spacing w:after="0" w:line="240" w:lineRule="auto"/>
        <w:ind w:right="-2"/>
        <w:rPr>
          <w:rFonts w:ascii="Times New Roman" w:eastAsia="Times New Roman" w:hAnsi="Times New Roman" w:cs="Times New Roman"/>
          <w:snapToGrid w:val="0"/>
          <w:kern w:val="0"/>
          <w:sz w:val="20"/>
          <w:szCs w:val="18"/>
          <w14:ligatures w14:val="none"/>
        </w:rPr>
      </w:pPr>
      <w:r w:rsidRPr="00AD1A35">
        <w:rPr>
          <w:rFonts w:ascii="Times New Roman" w:eastAsia="Times New Roman" w:hAnsi="Times New Roman" w:cs="Times New Roman"/>
          <w:snapToGrid w:val="0"/>
          <w:kern w:val="0"/>
          <w:sz w:val="20"/>
          <w:szCs w:val="18"/>
          <w14:ligatures w14:val="none"/>
        </w:rPr>
        <w:t xml:space="preserve">*Tinkamumo riba dalyvauti tyrime CV185325, kur apskaičiuotasis </w:t>
      </w:r>
      <w:proofErr w:type="spellStart"/>
      <w:r w:rsidRPr="00AD1A35">
        <w:rPr>
          <w:rFonts w:ascii="Times New Roman" w:eastAsia="Times New Roman" w:hAnsi="Times New Roman" w:cs="Times New Roman"/>
          <w:snapToGrid w:val="0"/>
          <w:kern w:val="0"/>
          <w:sz w:val="20"/>
          <w:szCs w:val="18"/>
          <w14:ligatures w14:val="none"/>
        </w:rPr>
        <w:t>glomerulų</w:t>
      </w:r>
      <w:proofErr w:type="spellEnd"/>
      <w:r w:rsidRPr="00AD1A35">
        <w:rPr>
          <w:rFonts w:ascii="Times New Roman" w:eastAsia="Times New Roman" w:hAnsi="Times New Roman" w:cs="Times New Roman"/>
          <w:snapToGrid w:val="0"/>
          <w:kern w:val="0"/>
          <w:sz w:val="20"/>
          <w:szCs w:val="18"/>
          <w14:ligatures w14:val="none"/>
        </w:rPr>
        <w:t xml:space="preserve"> filtracijos greitis (</w:t>
      </w:r>
      <w:proofErr w:type="spellStart"/>
      <w:r w:rsidRPr="00AD1A35">
        <w:rPr>
          <w:rFonts w:ascii="Times New Roman" w:eastAsia="Times New Roman" w:hAnsi="Times New Roman" w:cs="Times New Roman"/>
          <w:snapToGrid w:val="0"/>
          <w:kern w:val="0"/>
          <w:sz w:val="20"/>
          <w:szCs w:val="18"/>
          <w14:ligatures w14:val="none"/>
        </w:rPr>
        <w:t>aGFG</w:t>
      </w:r>
      <w:proofErr w:type="spellEnd"/>
      <w:r w:rsidRPr="00AD1A35">
        <w:rPr>
          <w:rFonts w:ascii="Times New Roman" w:eastAsia="Times New Roman" w:hAnsi="Times New Roman" w:cs="Times New Roman"/>
          <w:snapToGrid w:val="0"/>
          <w:kern w:val="0"/>
          <w:sz w:val="20"/>
          <w:szCs w:val="18"/>
          <w14:ligatures w14:val="none"/>
        </w:rPr>
        <w:t>) buvo</w:t>
      </w:r>
      <w:r w:rsidRPr="00D21DFA">
        <w:rPr>
          <w:rFonts w:ascii="Times New Roman" w:eastAsia="Times New Roman" w:hAnsi="Times New Roman" w:cs="Times New Roman"/>
          <w:snapToGrid w:val="0"/>
          <w:kern w:val="0"/>
          <w:sz w:val="20"/>
          <w:szCs w:val="18"/>
          <w14:ligatures w14:val="none"/>
        </w:rPr>
        <w:t xml:space="preserve"> </w:t>
      </w:r>
      <w:r w:rsidRPr="00AD1A35">
        <w:rPr>
          <w:rFonts w:ascii="Times New Roman" w:eastAsia="Times New Roman" w:hAnsi="Times New Roman" w:cs="Times New Roman"/>
          <w:snapToGrid w:val="0"/>
          <w:kern w:val="0"/>
          <w:sz w:val="20"/>
          <w:szCs w:val="18"/>
          <w14:ligatures w14:val="none"/>
        </w:rPr>
        <w:t xml:space="preserve">apskaičiuotas pagal atnaujintą hospitalinę </w:t>
      </w:r>
      <w:proofErr w:type="spellStart"/>
      <w:r w:rsidRPr="00AD1A35">
        <w:rPr>
          <w:rFonts w:ascii="Times New Roman" w:eastAsia="Times New Roman" w:hAnsi="Times New Roman" w:cs="Times New Roman"/>
          <w:i/>
          <w:iCs/>
          <w:snapToGrid w:val="0"/>
          <w:kern w:val="0"/>
          <w:sz w:val="20"/>
          <w:szCs w:val="18"/>
          <w14:ligatures w14:val="none"/>
        </w:rPr>
        <w:t>Schwartz</w:t>
      </w:r>
      <w:proofErr w:type="spellEnd"/>
      <w:r w:rsidRPr="00AD1A35">
        <w:rPr>
          <w:rFonts w:ascii="Times New Roman" w:eastAsia="Times New Roman" w:hAnsi="Times New Roman" w:cs="Times New Roman"/>
          <w:snapToGrid w:val="0"/>
          <w:kern w:val="0"/>
          <w:sz w:val="20"/>
          <w:szCs w:val="18"/>
          <w14:ligatures w14:val="none"/>
        </w:rPr>
        <w:t xml:space="preserve"> lygtį (</w:t>
      </w:r>
      <w:proofErr w:type="spellStart"/>
      <w:r w:rsidRPr="00AD1A35">
        <w:rPr>
          <w:rFonts w:ascii="Times New Roman" w:eastAsia="Times New Roman" w:hAnsi="Times New Roman" w:cs="Times New Roman"/>
          <w:i/>
          <w:iCs/>
          <w:snapToGrid w:val="0"/>
          <w:kern w:val="0"/>
          <w:sz w:val="20"/>
          <w:szCs w:val="18"/>
          <w14:ligatures w14:val="none"/>
        </w:rPr>
        <w:t>Schwartz</w:t>
      </w:r>
      <w:proofErr w:type="spellEnd"/>
      <w:r w:rsidRPr="00AD1A35">
        <w:rPr>
          <w:rFonts w:ascii="Times New Roman" w:eastAsia="Times New Roman" w:hAnsi="Times New Roman" w:cs="Times New Roman"/>
          <w:i/>
          <w:iCs/>
          <w:snapToGrid w:val="0"/>
          <w:kern w:val="0"/>
          <w:sz w:val="20"/>
          <w:szCs w:val="18"/>
          <w14:ligatures w14:val="none"/>
        </w:rPr>
        <w:t>, GJ et al.</w:t>
      </w:r>
      <w:r w:rsidRPr="00AD1A35">
        <w:rPr>
          <w:rFonts w:ascii="Times New Roman" w:eastAsia="Times New Roman" w:hAnsi="Times New Roman" w:cs="Times New Roman"/>
          <w:snapToGrid w:val="0"/>
          <w:kern w:val="0"/>
          <w:sz w:val="20"/>
          <w:szCs w:val="18"/>
          <w14:ligatures w14:val="none"/>
        </w:rPr>
        <w:t>, CJASN 2009). Ši pagal protokolą nustatyta</w:t>
      </w:r>
      <w:r w:rsidRPr="00D21DFA">
        <w:rPr>
          <w:rFonts w:ascii="Times New Roman" w:eastAsia="Times New Roman" w:hAnsi="Times New Roman" w:cs="Times New Roman"/>
          <w:snapToGrid w:val="0"/>
          <w:kern w:val="0"/>
          <w:sz w:val="20"/>
          <w:szCs w:val="18"/>
          <w14:ligatures w14:val="none"/>
        </w:rPr>
        <w:t xml:space="preserve"> </w:t>
      </w:r>
      <w:r w:rsidRPr="00AD1A35">
        <w:rPr>
          <w:rFonts w:ascii="Times New Roman" w:eastAsia="Times New Roman" w:hAnsi="Times New Roman" w:cs="Times New Roman"/>
          <w:snapToGrid w:val="0"/>
          <w:kern w:val="0"/>
          <w:sz w:val="20"/>
          <w:szCs w:val="18"/>
          <w14:ligatures w14:val="none"/>
        </w:rPr>
        <w:t xml:space="preserve">riba atitiko </w:t>
      </w:r>
      <w:proofErr w:type="spellStart"/>
      <w:r w:rsidRPr="00AD1A35">
        <w:rPr>
          <w:rFonts w:ascii="Times New Roman" w:eastAsia="Times New Roman" w:hAnsi="Times New Roman" w:cs="Times New Roman"/>
          <w:snapToGrid w:val="0"/>
          <w:kern w:val="0"/>
          <w:sz w:val="20"/>
          <w:szCs w:val="18"/>
          <w14:ligatures w14:val="none"/>
        </w:rPr>
        <w:t>aGFG</w:t>
      </w:r>
      <w:proofErr w:type="spellEnd"/>
      <w:r w:rsidRPr="00AD1A35">
        <w:rPr>
          <w:rFonts w:ascii="Times New Roman" w:eastAsia="Times New Roman" w:hAnsi="Times New Roman" w:cs="Times New Roman"/>
          <w:snapToGrid w:val="0"/>
          <w:kern w:val="0"/>
          <w:sz w:val="20"/>
          <w:szCs w:val="18"/>
          <w14:ligatures w14:val="none"/>
        </w:rPr>
        <w:t>, kurio nepasiekus potencialus pacientas buvo laikomas turinčiu „nepakankamą inkstų funkciją“ ir dėl</w:t>
      </w:r>
      <w:r w:rsidRPr="00D21DFA">
        <w:rPr>
          <w:rFonts w:ascii="Times New Roman" w:eastAsia="Times New Roman" w:hAnsi="Times New Roman" w:cs="Times New Roman"/>
          <w:snapToGrid w:val="0"/>
          <w:kern w:val="0"/>
          <w:sz w:val="20"/>
          <w:szCs w:val="18"/>
          <w14:ligatures w14:val="none"/>
        </w:rPr>
        <w:t xml:space="preserve"> </w:t>
      </w:r>
      <w:r w:rsidRPr="00AD1A35">
        <w:rPr>
          <w:rFonts w:ascii="Times New Roman" w:eastAsia="Times New Roman" w:hAnsi="Times New Roman" w:cs="Times New Roman"/>
          <w:snapToGrid w:val="0"/>
          <w:kern w:val="0"/>
          <w:sz w:val="20"/>
          <w:szCs w:val="18"/>
          <w14:ligatures w14:val="none"/>
        </w:rPr>
        <w:t xml:space="preserve">to negalėjo dalyvauti tyrime CV185325. Kiekviena riba buvo nustatyta taip: </w:t>
      </w:r>
      <w:proofErr w:type="spellStart"/>
      <w:r w:rsidRPr="00AD1A35">
        <w:rPr>
          <w:rFonts w:ascii="Times New Roman" w:eastAsia="Times New Roman" w:hAnsi="Times New Roman" w:cs="Times New Roman"/>
          <w:snapToGrid w:val="0"/>
          <w:kern w:val="0"/>
          <w:sz w:val="20"/>
          <w:szCs w:val="18"/>
          <w14:ligatures w14:val="none"/>
        </w:rPr>
        <w:t>aGFG</w:t>
      </w:r>
      <w:proofErr w:type="spellEnd"/>
      <w:r w:rsidRPr="00AD1A35">
        <w:rPr>
          <w:rFonts w:ascii="Times New Roman" w:eastAsia="Times New Roman" w:hAnsi="Times New Roman" w:cs="Times New Roman"/>
          <w:snapToGrid w:val="0"/>
          <w:kern w:val="0"/>
          <w:sz w:val="20"/>
          <w:szCs w:val="18"/>
          <w14:ligatures w14:val="none"/>
        </w:rPr>
        <w:t>, kuris sudaro &lt;</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30</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 dydžio,</w:t>
      </w:r>
      <w:r w:rsidRPr="00D21DFA">
        <w:rPr>
          <w:rFonts w:ascii="Times New Roman" w:eastAsia="Times New Roman" w:hAnsi="Times New Roman" w:cs="Times New Roman"/>
          <w:snapToGrid w:val="0"/>
          <w:kern w:val="0"/>
          <w:sz w:val="20"/>
          <w:szCs w:val="18"/>
          <w14:ligatures w14:val="none"/>
        </w:rPr>
        <w:t xml:space="preserve"> </w:t>
      </w:r>
      <w:r w:rsidRPr="00AD1A35">
        <w:rPr>
          <w:rFonts w:ascii="Times New Roman" w:eastAsia="Times New Roman" w:hAnsi="Times New Roman" w:cs="Times New Roman"/>
          <w:snapToGrid w:val="0"/>
          <w:kern w:val="0"/>
          <w:sz w:val="20"/>
          <w:szCs w:val="18"/>
          <w14:ligatures w14:val="none"/>
        </w:rPr>
        <w:t>gaunamo iš GFG referencinio diapazono (pagal amžių ir lytį) atėmus 1 standartinį nuokrypį (SN). Jaunesnių kaip 2</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metų</w:t>
      </w:r>
      <w:r w:rsidRPr="00D21DFA">
        <w:rPr>
          <w:rFonts w:ascii="Times New Roman" w:eastAsia="Times New Roman" w:hAnsi="Times New Roman" w:cs="Times New Roman"/>
          <w:snapToGrid w:val="0"/>
          <w:kern w:val="0"/>
          <w:sz w:val="20"/>
          <w:szCs w:val="18"/>
          <w14:ligatures w14:val="none"/>
        </w:rPr>
        <w:t xml:space="preserve"> </w:t>
      </w:r>
      <w:r w:rsidRPr="00AD1A35">
        <w:rPr>
          <w:rFonts w:ascii="Times New Roman" w:eastAsia="Times New Roman" w:hAnsi="Times New Roman" w:cs="Times New Roman"/>
          <w:snapToGrid w:val="0"/>
          <w:kern w:val="0"/>
          <w:sz w:val="20"/>
          <w:szCs w:val="18"/>
          <w14:ligatures w14:val="none"/>
        </w:rPr>
        <w:t xml:space="preserve">pacientų ribinės vertės atitinka </w:t>
      </w:r>
      <w:proofErr w:type="spellStart"/>
      <w:r w:rsidRPr="00AD1A35">
        <w:rPr>
          <w:rFonts w:ascii="Times New Roman" w:eastAsia="Times New Roman" w:hAnsi="Times New Roman" w:cs="Times New Roman"/>
          <w:snapToGrid w:val="0"/>
          <w:kern w:val="0"/>
          <w:sz w:val="20"/>
          <w:szCs w:val="18"/>
          <w14:ligatures w14:val="none"/>
        </w:rPr>
        <w:t>aGFG</w:t>
      </w:r>
      <w:proofErr w:type="spellEnd"/>
      <w:r w:rsidRPr="00AD1A35">
        <w:rPr>
          <w:rFonts w:ascii="Times New Roman" w:eastAsia="Times New Roman" w:hAnsi="Times New Roman" w:cs="Times New Roman"/>
          <w:snapToGrid w:val="0"/>
          <w:kern w:val="0"/>
          <w:sz w:val="20"/>
          <w:szCs w:val="18"/>
          <w14:ligatures w14:val="none"/>
        </w:rPr>
        <w:t>, kuris yra &lt;</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30</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ml/min/1,73</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m</w:t>
      </w:r>
      <w:r w:rsidRPr="00AD1A35">
        <w:rPr>
          <w:rFonts w:ascii="Times New Roman" w:eastAsia="Times New Roman" w:hAnsi="Times New Roman" w:cs="Times New Roman"/>
          <w:snapToGrid w:val="0"/>
          <w:kern w:val="0"/>
          <w:sz w:val="20"/>
          <w:szCs w:val="18"/>
          <w:vertAlign w:val="superscript"/>
          <w14:ligatures w14:val="none"/>
        </w:rPr>
        <w:t>2</w:t>
      </w:r>
      <w:r w:rsidRPr="00AD1A35">
        <w:rPr>
          <w:rFonts w:ascii="Times New Roman" w:eastAsia="Times New Roman" w:hAnsi="Times New Roman" w:cs="Times New Roman"/>
          <w:snapToGrid w:val="0"/>
          <w:kern w:val="0"/>
          <w:sz w:val="20"/>
          <w:szCs w:val="18"/>
          <w14:ligatures w14:val="none"/>
        </w:rPr>
        <w:t>, o tai yra standartinis sunkaus inkstų</w:t>
      </w:r>
      <w:r w:rsidRPr="00D21DFA">
        <w:rPr>
          <w:rFonts w:ascii="Times New Roman" w:eastAsia="Times New Roman" w:hAnsi="Times New Roman" w:cs="Times New Roman"/>
          <w:snapToGrid w:val="0"/>
          <w:kern w:val="0"/>
          <w:sz w:val="20"/>
          <w:szCs w:val="18"/>
          <w14:ligatures w14:val="none"/>
        </w:rPr>
        <w:t xml:space="preserve"> </w:t>
      </w:r>
      <w:r w:rsidRPr="00AD1A35">
        <w:rPr>
          <w:rFonts w:ascii="Times New Roman" w:eastAsia="Times New Roman" w:hAnsi="Times New Roman" w:cs="Times New Roman"/>
          <w:snapToGrid w:val="0"/>
          <w:kern w:val="0"/>
          <w:sz w:val="20"/>
          <w:szCs w:val="18"/>
          <w14:ligatures w14:val="none"/>
        </w:rPr>
        <w:t>nepakankamumo apibrėžimas vyresniems kaip 2</w:t>
      </w:r>
      <w:r w:rsidRPr="00D21DFA">
        <w:rPr>
          <w:rFonts w:ascii="Times New Roman" w:eastAsia="Times New Roman" w:hAnsi="Times New Roman" w:cs="Times New Roman"/>
          <w:snapToGrid w:val="0"/>
          <w:kern w:val="0"/>
          <w:sz w:val="20"/>
          <w:szCs w:val="18"/>
          <w14:ligatures w14:val="none"/>
        </w:rPr>
        <w:t> </w:t>
      </w:r>
      <w:r w:rsidRPr="00AD1A35">
        <w:rPr>
          <w:rFonts w:ascii="Times New Roman" w:eastAsia="Times New Roman" w:hAnsi="Times New Roman" w:cs="Times New Roman"/>
          <w:snapToGrid w:val="0"/>
          <w:kern w:val="0"/>
          <w:sz w:val="20"/>
          <w:szCs w:val="18"/>
          <w14:ligatures w14:val="none"/>
        </w:rPr>
        <w:t>metų pacientams.</w:t>
      </w:r>
    </w:p>
    <w:p w14:paraId="15DC3E2A" w14:textId="23DFC58C" w:rsidR="00747CA1" w:rsidRPr="00AD1A35" w:rsidRDefault="00747CA1" w:rsidP="001568BA">
      <w:pPr>
        <w:tabs>
          <w:tab w:val="left" w:pos="1002"/>
        </w:tabs>
        <w:spacing w:after="0" w:line="240" w:lineRule="auto"/>
        <w:ind w:right="-2"/>
        <w:rPr>
          <w:rFonts w:ascii="Times New Roman" w:eastAsia="Times New Roman" w:hAnsi="Times New Roman" w:cs="Times New Roman"/>
          <w:snapToGrid w:val="0"/>
          <w:kern w:val="0"/>
          <w:sz w:val="22"/>
          <w:szCs w:val="20"/>
          <w14:ligatures w14:val="none"/>
        </w:rPr>
      </w:pPr>
      <w:r w:rsidRPr="00AD1A35">
        <w:rPr>
          <w:rFonts w:ascii="Times New Roman" w:eastAsia="Times New Roman" w:hAnsi="Times New Roman" w:cs="Times New Roman"/>
          <w:snapToGrid w:val="0"/>
          <w:kern w:val="0"/>
          <w:sz w:val="22"/>
          <w:szCs w:val="20"/>
          <w14:ligatures w14:val="none"/>
        </w:rPr>
        <w:tab/>
      </w:r>
    </w:p>
    <w:p w14:paraId="36644690" w14:textId="5466F4B1" w:rsidR="00747CA1" w:rsidRPr="00AD1A35" w:rsidRDefault="00747CA1" w:rsidP="00AD1A35">
      <w:pPr>
        <w:tabs>
          <w:tab w:val="left" w:pos="1002"/>
        </w:tabs>
        <w:spacing w:after="0" w:line="240" w:lineRule="auto"/>
        <w:ind w:right="-2"/>
        <w:rPr>
          <w:rFonts w:ascii="Times New Roman" w:eastAsia="Times New Roman" w:hAnsi="Times New Roman" w:cs="Times New Roman"/>
          <w:snapToGrid w:val="0"/>
          <w:kern w:val="0"/>
          <w:sz w:val="22"/>
          <w:szCs w:val="20"/>
          <w14:ligatures w14:val="none"/>
        </w:rPr>
      </w:pPr>
      <w:r w:rsidRPr="00AD1A35">
        <w:rPr>
          <w:rFonts w:ascii="Times New Roman" w:eastAsia="Times New Roman" w:hAnsi="Times New Roman" w:cs="Times New Roman"/>
          <w:snapToGrid w:val="0"/>
          <w:kern w:val="0"/>
          <w:sz w:val="22"/>
          <w:szCs w:val="20"/>
          <w14:ligatures w14:val="none"/>
        </w:rPr>
        <w:t xml:space="preserve">Vaikai, kurių </w:t>
      </w:r>
      <w:proofErr w:type="spellStart"/>
      <w:r w:rsidRPr="00AD1A35">
        <w:rPr>
          <w:rFonts w:ascii="Times New Roman" w:eastAsia="Times New Roman" w:hAnsi="Times New Roman" w:cs="Times New Roman"/>
          <w:snapToGrid w:val="0"/>
          <w:kern w:val="0"/>
          <w:sz w:val="22"/>
          <w:szCs w:val="20"/>
          <w14:ligatures w14:val="none"/>
        </w:rPr>
        <w:t>glomerulų</w:t>
      </w:r>
      <w:proofErr w:type="spellEnd"/>
      <w:r w:rsidRPr="00AD1A35">
        <w:rPr>
          <w:rFonts w:ascii="Times New Roman" w:eastAsia="Times New Roman" w:hAnsi="Times New Roman" w:cs="Times New Roman"/>
          <w:snapToGrid w:val="0"/>
          <w:kern w:val="0"/>
          <w:sz w:val="22"/>
          <w:szCs w:val="20"/>
          <w14:ligatures w14:val="none"/>
        </w:rPr>
        <w:t xml:space="preserve"> filtracijos greitis ≤</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55</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ml/min/1,73</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m</w:t>
      </w:r>
      <w:r w:rsidRPr="00AD1A35">
        <w:rPr>
          <w:rFonts w:ascii="Times New Roman" w:eastAsia="Times New Roman" w:hAnsi="Times New Roman" w:cs="Times New Roman"/>
          <w:snapToGrid w:val="0"/>
          <w:kern w:val="0"/>
          <w:sz w:val="22"/>
          <w:szCs w:val="20"/>
          <w:vertAlign w:val="superscript"/>
          <w14:ligatures w14:val="none"/>
        </w:rPr>
        <w:t>2</w:t>
      </w:r>
      <w:r w:rsidRPr="00AD1A35">
        <w:rPr>
          <w:rFonts w:ascii="Times New Roman" w:eastAsia="Times New Roman" w:hAnsi="Times New Roman" w:cs="Times New Roman"/>
          <w:snapToGrid w:val="0"/>
          <w:kern w:val="0"/>
          <w:sz w:val="22"/>
          <w:szCs w:val="20"/>
          <w14:ligatures w14:val="none"/>
        </w:rPr>
        <w:t>, tyrime CV185325 nedalyvavo, nors</w:t>
      </w:r>
      <w:r w:rsidRPr="00D21DFA">
        <w:rPr>
          <w:rFonts w:ascii="Times New Roman" w:eastAsia="Times New Roman" w:hAnsi="Times New Roman" w:cs="Times New Roman"/>
          <w:snapToGrid w:val="0"/>
          <w:kern w:val="0"/>
          <w:sz w:val="22"/>
          <w:szCs w:val="20"/>
          <w14:ligatures w14:val="none"/>
        </w:rPr>
        <w:t xml:space="preserve"> </w:t>
      </w:r>
      <w:r w:rsidRPr="00AD1A35">
        <w:rPr>
          <w:rFonts w:ascii="Times New Roman" w:eastAsia="Times New Roman" w:hAnsi="Times New Roman" w:cs="Times New Roman"/>
          <w:snapToGrid w:val="0"/>
          <w:kern w:val="0"/>
          <w:sz w:val="22"/>
          <w:szCs w:val="20"/>
          <w14:ligatures w14:val="none"/>
        </w:rPr>
        <w:t>tie, kurių inkstų funkcijos sutrikimas yra lengvas arba vidutinio sunkumo (</w:t>
      </w:r>
      <w:proofErr w:type="spellStart"/>
      <w:r w:rsidRPr="00AD1A35">
        <w:rPr>
          <w:rFonts w:ascii="Times New Roman" w:eastAsia="Times New Roman" w:hAnsi="Times New Roman" w:cs="Times New Roman"/>
          <w:snapToGrid w:val="0"/>
          <w:kern w:val="0"/>
          <w:sz w:val="22"/>
          <w:szCs w:val="20"/>
          <w14:ligatures w14:val="none"/>
        </w:rPr>
        <w:t>aGFG</w:t>
      </w:r>
      <w:proofErr w:type="spellEnd"/>
      <w:r w:rsidRPr="00AD1A35">
        <w:rPr>
          <w:rFonts w:ascii="Times New Roman" w:eastAsia="Times New Roman" w:hAnsi="Times New Roman" w:cs="Times New Roman"/>
          <w:snapToGrid w:val="0"/>
          <w:kern w:val="0"/>
          <w:sz w:val="22"/>
          <w:szCs w:val="20"/>
          <w14:ligatures w14:val="none"/>
        </w:rPr>
        <w:t xml:space="preserve"> nuo ≥</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30 iki</w:t>
      </w:r>
      <w:r w:rsidRPr="00D21DFA">
        <w:rPr>
          <w:rFonts w:ascii="Times New Roman" w:eastAsia="Times New Roman" w:hAnsi="Times New Roman" w:cs="Times New Roman"/>
          <w:snapToGrid w:val="0"/>
          <w:kern w:val="0"/>
          <w:sz w:val="22"/>
          <w:szCs w:val="20"/>
          <w14:ligatures w14:val="none"/>
        </w:rPr>
        <w:t xml:space="preserve"> </w:t>
      </w:r>
      <w:r w:rsidRPr="00AD1A35">
        <w:rPr>
          <w:rFonts w:ascii="Times New Roman" w:eastAsia="Times New Roman" w:hAnsi="Times New Roman" w:cs="Times New Roman"/>
          <w:snapToGrid w:val="0"/>
          <w:kern w:val="0"/>
          <w:sz w:val="22"/>
          <w:szCs w:val="20"/>
          <w14:ligatures w14:val="none"/>
        </w:rPr>
        <w:t>&lt;</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60</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ml/min/1,73</w:t>
      </w:r>
      <w:r w:rsidRPr="00D21DFA">
        <w:rPr>
          <w:rFonts w:ascii="Times New Roman" w:eastAsia="Times New Roman" w:hAnsi="Times New Roman" w:cs="Times New Roman"/>
          <w:snapToGrid w:val="0"/>
          <w:kern w:val="0"/>
          <w:sz w:val="22"/>
          <w:szCs w:val="20"/>
          <w14:ligatures w14:val="none"/>
        </w:rPr>
        <w:t> </w:t>
      </w:r>
      <w:r w:rsidRPr="00AD1A35">
        <w:rPr>
          <w:rFonts w:ascii="Times New Roman" w:eastAsia="Times New Roman" w:hAnsi="Times New Roman" w:cs="Times New Roman"/>
          <w:snapToGrid w:val="0"/>
          <w:kern w:val="0"/>
          <w:sz w:val="22"/>
          <w:szCs w:val="20"/>
          <w14:ligatures w14:val="none"/>
        </w:rPr>
        <w:t>m</w:t>
      </w:r>
      <w:r w:rsidRPr="00AD1A35">
        <w:rPr>
          <w:rFonts w:ascii="Times New Roman" w:eastAsia="Times New Roman" w:hAnsi="Times New Roman" w:cs="Times New Roman"/>
          <w:snapToGrid w:val="0"/>
          <w:kern w:val="0"/>
          <w:sz w:val="22"/>
          <w:szCs w:val="20"/>
          <w:vertAlign w:val="superscript"/>
          <w14:ligatures w14:val="none"/>
        </w:rPr>
        <w:t>2</w:t>
      </w:r>
      <w:r w:rsidRPr="00AD1A35">
        <w:rPr>
          <w:rFonts w:ascii="Times New Roman" w:eastAsia="Times New Roman" w:hAnsi="Times New Roman" w:cs="Times New Roman"/>
          <w:snapToGrid w:val="0"/>
          <w:kern w:val="0"/>
          <w:sz w:val="22"/>
          <w:szCs w:val="20"/>
          <w14:ligatures w14:val="none"/>
        </w:rPr>
        <w:t xml:space="preserve"> KPP), buvo tinkami dalyvauti. Remiantis duomenimis apie suaugusiuosius ir</w:t>
      </w:r>
      <w:r w:rsidRPr="00D21DFA">
        <w:rPr>
          <w:rFonts w:ascii="Times New Roman" w:eastAsia="Times New Roman" w:hAnsi="Times New Roman" w:cs="Times New Roman"/>
          <w:snapToGrid w:val="0"/>
          <w:kern w:val="0"/>
          <w:sz w:val="22"/>
          <w:szCs w:val="20"/>
          <w14:ligatures w14:val="none"/>
        </w:rPr>
        <w:t xml:space="preserve"> </w:t>
      </w:r>
      <w:r w:rsidRPr="00AD1A35">
        <w:rPr>
          <w:rFonts w:ascii="Times New Roman" w:eastAsia="Times New Roman" w:hAnsi="Times New Roman" w:cs="Times New Roman"/>
          <w:snapToGrid w:val="0"/>
          <w:kern w:val="0"/>
          <w:sz w:val="22"/>
          <w:szCs w:val="20"/>
          <w14:ligatures w14:val="none"/>
        </w:rPr>
        <w:t xml:space="preserve">ribotais duomenimis apie visus </w:t>
      </w:r>
      <w:proofErr w:type="spellStart"/>
      <w:r w:rsidRPr="00AD1A35">
        <w:rPr>
          <w:rFonts w:ascii="Times New Roman" w:eastAsia="Times New Roman" w:hAnsi="Times New Roman" w:cs="Times New Roman"/>
          <w:snapToGrid w:val="0"/>
          <w:kern w:val="0"/>
          <w:sz w:val="22"/>
          <w:szCs w:val="20"/>
          <w14:ligatures w14:val="none"/>
        </w:rPr>
        <w:t>apiksabanu</w:t>
      </w:r>
      <w:proofErr w:type="spellEnd"/>
      <w:r w:rsidRPr="00AD1A35">
        <w:rPr>
          <w:rFonts w:ascii="Times New Roman" w:eastAsia="Times New Roman" w:hAnsi="Times New Roman" w:cs="Times New Roman"/>
          <w:snapToGrid w:val="0"/>
          <w:kern w:val="0"/>
          <w:sz w:val="22"/>
          <w:szCs w:val="20"/>
          <w14:ligatures w14:val="none"/>
        </w:rPr>
        <w:t xml:space="preserve"> gydytus vaikus, dozės nereikia koreguoti vaikams, kurių</w:t>
      </w:r>
      <w:r w:rsidRPr="00D21DFA">
        <w:rPr>
          <w:rFonts w:ascii="Times New Roman" w:eastAsia="Times New Roman" w:hAnsi="Times New Roman" w:cs="Times New Roman"/>
          <w:snapToGrid w:val="0"/>
          <w:kern w:val="0"/>
          <w:sz w:val="22"/>
          <w:szCs w:val="20"/>
          <w14:ligatures w14:val="none"/>
        </w:rPr>
        <w:t xml:space="preserve"> </w:t>
      </w:r>
      <w:r w:rsidRPr="00AD1A35">
        <w:rPr>
          <w:rFonts w:ascii="Times New Roman" w:eastAsia="Times New Roman" w:hAnsi="Times New Roman" w:cs="Times New Roman"/>
          <w:snapToGrid w:val="0"/>
          <w:kern w:val="0"/>
          <w:sz w:val="22"/>
          <w:szCs w:val="20"/>
          <w14:ligatures w14:val="none"/>
        </w:rPr>
        <w:t>inkstų funkcijos sutrikimas yra lengvas arba vidutinio sunkumo.</w:t>
      </w:r>
      <w:r w:rsidR="00B95AB9">
        <w:rPr>
          <w:rFonts w:ascii="Times New Roman" w:eastAsia="Times New Roman" w:hAnsi="Times New Roman" w:cs="Times New Roman"/>
          <w:snapToGrid w:val="0"/>
          <w:kern w:val="0"/>
          <w:sz w:val="22"/>
          <w:szCs w:val="20"/>
          <w14:ligatures w14:val="none"/>
        </w:rPr>
        <w:t xml:space="preserve"> </w:t>
      </w:r>
      <w:proofErr w:type="spellStart"/>
      <w:r w:rsidRPr="00AD1A35">
        <w:rPr>
          <w:rFonts w:ascii="Times New Roman" w:eastAsia="Times New Roman" w:hAnsi="Times New Roman" w:cs="Times New Roman"/>
          <w:snapToGrid w:val="0"/>
          <w:kern w:val="0"/>
          <w:sz w:val="22"/>
          <w:szCs w:val="20"/>
          <w14:ligatures w14:val="none"/>
        </w:rPr>
        <w:t>Apiksabano</w:t>
      </w:r>
      <w:proofErr w:type="spellEnd"/>
      <w:r w:rsidRPr="00AD1A35">
        <w:rPr>
          <w:rFonts w:ascii="Times New Roman" w:eastAsia="Times New Roman" w:hAnsi="Times New Roman" w:cs="Times New Roman"/>
          <w:snapToGrid w:val="0"/>
          <w:kern w:val="0"/>
          <w:sz w:val="22"/>
          <w:szCs w:val="20"/>
          <w14:ligatures w14:val="none"/>
        </w:rPr>
        <w:t xml:space="preserve"> nerekomenduojam</w:t>
      </w:r>
      <w:r w:rsidR="00170E61">
        <w:rPr>
          <w:rFonts w:ascii="Times New Roman" w:eastAsia="Times New Roman" w:hAnsi="Times New Roman" w:cs="Times New Roman"/>
          <w:snapToGrid w:val="0"/>
          <w:kern w:val="0"/>
          <w:sz w:val="22"/>
          <w:szCs w:val="20"/>
          <w14:ligatures w14:val="none"/>
        </w:rPr>
        <w:t xml:space="preserve">a </w:t>
      </w:r>
      <w:r w:rsidRPr="00AD1A35">
        <w:rPr>
          <w:rFonts w:ascii="Times New Roman" w:eastAsia="Times New Roman" w:hAnsi="Times New Roman" w:cs="Times New Roman"/>
          <w:snapToGrid w:val="0"/>
          <w:kern w:val="0"/>
          <w:sz w:val="22"/>
          <w:szCs w:val="20"/>
          <w14:ligatures w14:val="none"/>
        </w:rPr>
        <w:t>vartoti pacientams vaikams, kuriems yra sunkus inkstų funkcijos sutrikimas (žr. 4.2 ir 4.4 skyrius).</w:t>
      </w:r>
    </w:p>
    <w:p w14:paraId="41B4946B" w14:textId="77777777" w:rsidR="00747CA1" w:rsidRPr="00D21DFA" w:rsidRDefault="00747CA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07200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Sutrikusi kepenų funkcija </w:t>
      </w:r>
    </w:p>
    <w:p w14:paraId="208A7D6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BF8B94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metu lyginant vaistinio preparato poveikį 8 asmenims, kuriems buvo nesunkus kepenų funkcijos sutrikimas (A klasės pagal </w:t>
      </w:r>
      <w:proofErr w:type="spellStart"/>
      <w:r w:rsidRPr="00D21DFA">
        <w:rPr>
          <w:rFonts w:ascii="Times New Roman" w:eastAsia="Times New Roman" w:hAnsi="Times New Roman" w:cs="Times New Roman"/>
          <w:i/>
          <w:iCs/>
          <w:snapToGrid w:val="0"/>
          <w:kern w:val="0"/>
          <w:sz w:val="22"/>
          <w:szCs w:val="20"/>
          <w14:ligatures w14:val="none"/>
        </w:rPr>
        <w:t>Child-Pugh</w:t>
      </w:r>
      <w:proofErr w:type="spellEnd"/>
      <w:r w:rsidRPr="00D21DFA">
        <w:rPr>
          <w:rFonts w:ascii="Times New Roman" w:eastAsia="Times New Roman" w:hAnsi="Times New Roman" w:cs="Times New Roman"/>
          <w:snapToGrid w:val="0"/>
          <w:kern w:val="0"/>
          <w:sz w:val="22"/>
          <w:szCs w:val="20"/>
          <w14:ligatures w14:val="none"/>
        </w:rPr>
        <w:t xml:space="preserve"> klasifikaciją, įvertintas 5 balais [n = 6] ir 6 balais [n = 2]), 8 asmenims, kuriems buvo vidutinio sunkumo kepenų funkcijos sutrikimas ( B klasės pagal </w:t>
      </w:r>
      <w:proofErr w:type="spellStart"/>
      <w:r w:rsidRPr="00D21DFA">
        <w:rPr>
          <w:rFonts w:ascii="Times New Roman" w:eastAsia="Times New Roman" w:hAnsi="Times New Roman" w:cs="Times New Roman"/>
          <w:i/>
          <w:iCs/>
          <w:snapToGrid w:val="0"/>
          <w:kern w:val="0"/>
          <w:sz w:val="22"/>
          <w:szCs w:val="20"/>
          <w14:ligatures w14:val="none"/>
        </w:rPr>
        <w:t>Child-Pugh</w:t>
      </w:r>
      <w:proofErr w:type="spellEnd"/>
      <w:r w:rsidRPr="00D21DFA">
        <w:rPr>
          <w:rFonts w:ascii="Times New Roman" w:eastAsia="Times New Roman" w:hAnsi="Times New Roman" w:cs="Times New Roman"/>
          <w:snapToGrid w:val="0"/>
          <w:kern w:val="0"/>
          <w:sz w:val="22"/>
          <w:szCs w:val="20"/>
          <w14:ligatures w14:val="none"/>
        </w:rPr>
        <w:t xml:space="preserve"> klasifikaciją, įvertintas 7 balais [n = 6] ir 8 balais [n = 2]) bei 16 sveikų kontrolinės grupės asmenų, nustatyta, kad vienkartinės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aktyvumo ir TNS rodiklių pokyčiai buvo panašūs. </w:t>
      </w:r>
    </w:p>
    <w:p w14:paraId="0FE86D6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CABE2B0" w14:textId="52F67BBE" w:rsidR="001568BA"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su pacientais vaikais, kurių kepenų funkcija sutrikusi.</w:t>
      </w:r>
    </w:p>
    <w:p w14:paraId="59AA1463" w14:textId="77777777" w:rsidR="001568BA"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2B9BA1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Lytis </w:t>
      </w:r>
    </w:p>
    <w:p w14:paraId="0A2514F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BA2374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yra maždaug 18 % didesnė moterims nei vyrams.</w:t>
      </w:r>
    </w:p>
    <w:p w14:paraId="2118BB92" w14:textId="77777777" w:rsidR="001568BA"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E21155" w14:textId="59C03C23" w:rsidR="001568BA"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Farmakokinetinių</w:t>
      </w:r>
      <w:proofErr w:type="spellEnd"/>
      <w:r w:rsidRPr="00D21DFA">
        <w:rPr>
          <w:rFonts w:ascii="Times New Roman" w:eastAsia="Times New Roman" w:hAnsi="Times New Roman" w:cs="Times New Roman"/>
          <w:snapToGrid w:val="0"/>
          <w:kern w:val="0"/>
          <w:sz w:val="22"/>
          <w:szCs w:val="20"/>
          <w14:ligatures w14:val="none"/>
        </w:rPr>
        <w:t xml:space="preserve"> savybių skirtumai tarp lyčių pacientams vaikams netirti.</w:t>
      </w:r>
    </w:p>
    <w:p w14:paraId="29304A3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C9BA6C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Etninės grupės ir rasė </w:t>
      </w:r>
    </w:p>
    <w:p w14:paraId="3A5ACE4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8A76DE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 fazės tyrimų rezultatai pastebimo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farmakokinetikos rodiklių skirtumo baltaodžiams, azijiečiams ir juodaodžiams tiriamiesiems asmenims neparodė. Populiacijos farmakokinetikos rodiklių pacientams, kuriems buvo skiriama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analizės duomenys paprastai buvo panašūs į I fazės tyrimų rezultatus. </w:t>
      </w:r>
    </w:p>
    <w:p w14:paraId="5A300C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FC8BCA" w14:textId="5299B2EE" w:rsidR="001568BA"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Farmakokinetinių</w:t>
      </w:r>
      <w:proofErr w:type="spellEnd"/>
      <w:r w:rsidRPr="00D21DFA">
        <w:rPr>
          <w:rFonts w:ascii="Times New Roman" w:eastAsia="Times New Roman" w:hAnsi="Times New Roman" w:cs="Times New Roman"/>
          <w:snapToGrid w:val="0"/>
          <w:kern w:val="0"/>
          <w:sz w:val="22"/>
          <w:szCs w:val="20"/>
          <w14:ligatures w14:val="none"/>
        </w:rPr>
        <w:t xml:space="preserve"> savybių skirtumai tarp etninių grupių ir rasių pacientams vaikams netirti.</w:t>
      </w:r>
    </w:p>
    <w:p w14:paraId="4DBB5902" w14:textId="77777777" w:rsidR="001568BA"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04A9C4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Svoris</w:t>
      </w:r>
    </w:p>
    <w:p w14:paraId="495AE01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E53629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kurių svoris &gt; 120 kg, nustatyta maždaug 30 % mažesnė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o pacientams, kurių svoris &lt; 50 kg – maždaug 30 % didesnė ekspozicija, lyginant su vaistinio preparato ekspozicija asmenims, kurių svoris buvo 65</w:t>
      </w:r>
      <w:r w:rsidRPr="00D21DFA">
        <w:rPr>
          <w:rFonts w:ascii="Times New Roman" w:eastAsia="Times New Roman" w:hAnsi="Times New Roman" w:cs="Times New Roman"/>
          <w:snapToGrid w:val="0"/>
          <w:kern w:val="0"/>
          <w:sz w:val="22"/>
          <w:szCs w:val="20"/>
          <w14:ligatures w14:val="none"/>
        </w:rPr>
        <w:noBreakHyphen/>
        <w:t xml:space="preserve">85 kg. </w:t>
      </w:r>
    </w:p>
    <w:p w14:paraId="1FFB193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E836DC" w14:textId="01E604A7" w:rsidR="001568BA" w:rsidRPr="00D21DFA" w:rsidRDefault="001568BA" w:rsidP="001568B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skyrimas pacientams vaikams yra pagrįstas fiksuotos dozės pagal kūno masės kategoriją</w:t>
      </w:r>
      <w:r w:rsidR="00F44DCC">
        <w:rPr>
          <w:rFonts w:ascii="Times New Roman" w:eastAsia="Times New Roman" w:hAnsi="Times New Roman" w:cs="Times New Roman"/>
          <w:snapToGrid w:val="0"/>
          <w:kern w:val="0"/>
          <w:sz w:val="22"/>
          <w:szCs w:val="20"/>
          <w14:ligatures w14:val="none"/>
        </w:rPr>
        <w:t xml:space="preserve"> </w:t>
      </w:r>
    </w:p>
    <w:p w14:paraId="71D2B95A" w14:textId="108D741C" w:rsidR="001568BA" w:rsidRPr="00D21DFA" w:rsidRDefault="001568BA" w:rsidP="001568B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režimu.</w:t>
      </w:r>
    </w:p>
    <w:p w14:paraId="7FAC6656" w14:textId="77777777" w:rsidR="001568BA" w:rsidRPr="00D21DFA" w:rsidRDefault="001568BA" w:rsidP="001568BA">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0360A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Santykis tarp farmakokinetikos ir farmakodinamikos </w:t>
      </w:r>
    </w:p>
    <w:p w14:paraId="3FA06C7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86E0440" w14:textId="0CC60D96" w:rsidR="00C95D96" w:rsidRPr="00D21DFA" w:rsidRDefault="001568BA"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14:ligatures w14:val="none"/>
        </w:rPr>
        <w:t>Suaugusiesiems f</w:t>
      </w:r>
      <w:r w:rsidR="00C95D96" w:rsidRPr="00D21DFA">
        <w:rPr>
          <w:rFonts w:ascii="Times New Roman" w:eastAsia="Times New Roman" w:hAnsi="Times New Roman" w:cs="Times New Roman"/>
          <w:snapToGrid w:val="0"/>
          <w:kern w:val="0"/>
          <w:sz w:val="22"/>
          <w:szCs w:val="20"/>
          <w14:ligatures w14:val="none"/>
        </w:rPr>
        <w:t xml:space="preserve">armakokinetikos ir farmakodinamikos (FK/FD) santykis tarp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koncentracijos plazmoje ir keleto FD vertinamųjų baigčių (</w:t>
      </w:r>
      <w:proofErr w:type="spellStart"/>
      <w:r w:rsidR="00C95D96" w:rsidRPr="00D21DFA">
        <w:rPr>
          <w:rFonts w:ascii="Times New Roman" w:eastAsia="Times New Roman" w:hAnsi="Times New Roman" w:cs="Times New Roman"/>
          <w:snapToGrid w:val="0"/>
          <w:kern w:val="0"/>
          <w:sz w:val="22"/>
          <w:szCs w:val="20"/>
          <w14:ligatures w14:val="none"/>
        </w:rPr>
        <w:t>anti</w:t>
      </w:r>
      <w:r w:rsidR="00C95D96" w:rsidRPr="00D21DFA">
        <w:rPr>
          <w:rFonts w:ascii="Times New Roman" w:eastAsia="Times New Roman" w:hAnsi="Times New Roman" w:cs="Times New Roman"/>
          <w:snapToGrid w:val="0"/>
          <w:kern w:val="0"/>
          <w:sz w:val="22"/>
          <w:szCs w:val="20"/>
          <w14:ligatures w14:val="none"/>
        </w:rPr>
        <w:noBreakHyphen/>
        <w:t>Xa</w:t>
      </w:r>
      <w:proofErr w:type="spellEnd"/>
      <w:r w:rsidR="00C95D96" w:rsidRPr="00D21DFA">
        <w:rPr>
          <w:rFonts w:ascii="Times New Roman" w:eastAsia="Times New Roman" w:hAnsi="Times New Roman" w:cs="Times New Roman"/>
          <w:snapToGrid w:val="0"/>
          <w:kern w:val="0"/>
          <w:sz w:val="22"/>
          <w:szCs w:val="20"/>
          <w14:ligatures w14:val="none"/>
        </w:rPr>
        <w:t xml:space="preserve"> faktoriaus aktyvumo</w:t>
      </w:r>
      <w:r w:rsidRPr="00D21DFA">
        <w:rPr>
          <w:rFonts w:ascii="Times New Roman" w:eastAsia="Times New Roman" w:hAnsi="Times New Roman" w:cs="Times New Roman"/>
          <w:snapToGrid w:val="0"/>
          <w:kern w:val="0"/>
          <w:sz w:val="22"/>
          <w:szCs w:val="20"/>
          <w14:ligatures w14:val="none"/>
        </w:rPr>
        <w:t xml:space="preserve"> [AXA]</w:t>
      </w:r>
      <w:r w:rsidR="00C95D96" w:rsidRPr="00D21DFA">
        <w:rPr>
          <w:rFonts w:ascii="Times New Roman" w:eastAsia="Times New Roman" w:hAnsi="Times New Roman" w:cs="Times New Roman"/>
          <w:snapToGrid w:val="0"/>
          <w:kern w:val="0"/>
          <w:sz w:val="22"/>
          <w:szCs w:val="20"/>
          <w14:ligatures w14:val="none"/>
        </w:rPr>
        <w:t xml:space="preserve">, TNS, PL, </w:t>
      </w:r>
      <w:proofErr w:type="spellStart"/>
      <w:r w:rsidR="00C95D96" w:rsidRPr="00D21DFA">
        <w:rPr>
          <w:rFonts w:ascii="Times New Roman" w:eastAsia="Times New Roman" w:hAnsi="Times New Roman" w:cs="Times New Roman"/>
          <w:snapToGrid w:val="0"/>
          <w:kern w:val="0"/>
          <w:sz w:val="22"/>
          <w:szCs w:val="20"/>
          <w14:ligatures w14:val="none"/>
        </w:rPr>
        <w:t>aDTL</w:t>
      </w:r>
      <w:proofErr w:type="spellEnd"/>
      <w:r w:rsidR="00C95D96" w:rsidRPr="00D21DFA">
        <w:rPr>
          <w:rFonts w:ascii="Times New Roman" w:eastAsia="Times New Roman" w:hAnsi="Times New Roman" w:cs="Times New Roman"/>
          <w:snapToGrid w:val="0"/>
          <w:kern w:val="0"/>
          <w:sz w:val="22"/>
          <w:szCs w:val="20"/>
          <w14:ligatures w14:val="none"/>
        </w:rPr>
        <w:t>) buvo vertinamas skiriant įvairias vaistinio preparato dozes (0,5</w:t>
      </w:r>
      <w:r w:rsidR="00C95D96" w:rsidRPr="00D21DFA">
        <w:rPr>
          <w:rFonts w:ascii="Times New Roman" w:eastAsia="Times New Roman" w:hAnsi="Times New Roman" w:cs="Times New Roman"/>
          <w:snapToGrid w:val="0"/>
          <w:kern w:val="0"/>
          <w:sz w:val="22"/>
          <w:szCs w:val="20"/>
          <w14:ligatures w14:val="none"/>
        </w:rPr>
        <w:noBreakHyphen/>
        <w:t xml:space="preserve">50 mg). Santykis tarp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koncentracijos plazmoje ir </w:t>
      </w:r>
      <w:proofErr w:type="spellStart"/>
      <w:r w:rsidR="00C95D96" w:rsidRPr="00D21DFA">
        <w:rPr>
          <w:rFonts w:ascii="Times New Roman" w:eastAsia="Times New Roman" w:hAnsi="Times New Roman" w:cs="Times New Roman"/>
          <w:snapToGrid w:val="0"/>
          <w:kern w:val="0"/>
          <w:sz w:val="22"/>
          <w:szCs w:val="20"/>
          <w14:ligatures w14:val="none"/>
        </w:rPr>
        <w:t>Xa</w:t>
      </w:r>
      <w:proofErr w:type="spellEnd"/>
      <w:r w:rsidR="00C95D96" w:rsidRPr="00D21DFA">
        <w:rPr>
          <w:rFonts w:ascii="Times New Roman" w:eastAsia="Times New Roman" w:hAnsi="Times New Roman" w:cs="Times New Roman"/>
          <w:snapToGrid w:val="0"/>
          <w:kern w:val="0"/>
          <w:sz w:val="22"/>
          <w:szCs w:val="20"/>
          <w14:ligatures w14:val="none"/>
        </w:rPr>
        <w:t xml:space="preserve"> faktoriaus slopinimo buvo geriausiai apibūdintas tiesiniu modeliu. Pacientams nustatytas FK/FD santykis buvo panašus į sveikiems asmenims nustatytą FK/FD santykį.</w:t>
      </w:r>
    </w:p>
    <w:p w14:paraId="7FA5B7C1" w14:textId="77777777" w:rsidR="00C95D96" w:rsidRPr="00AD1A35"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561990B5" w14:textId="5DD24667" w:rsidR="001568BA" w:rsidRPr="00AD1A35" w:rsidRDefault="001568BA" w:rsidP="001568BA">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r w:rsidRPr="00AD1A35">
        <w:rPr>
          <w:rFonts w:ascii="Times New Roman" w:eastAsia="Times New Roman" w:hAnsi="Times New Roman" w:cs="Times New Roman"/>
          <w:snapToGrid w:val="0"/>
          <w:kern w:val="0"/>
          <w:sz w:val="22"/>
          <w:szCs w:val="28"/>
          <w:lang w:eastAsia="x-none"/>
          <w14:ligatures w14:val="none"/>
        </w:rPr>
        <w:t>Pana</w:t>
      </w:r>
      <w:r w:rsidRPr="00AD1A35">
        <w:rPr>
          <w:rFonts w:ascii="Times New Roman" w:eastAsia="Times New Roman" w:hAnsi="Times New Roman" w:cs="Times New Roman" w:hint="eastAsia"/>
          <w:snapToGrid w:val="0"/>
          <w:kern w:val="0"/>
          <w:sz w:val="22"/>
          <w:szCs w:val="28"/>
          <w:lang w:eastAsia="x-none"/>
          <w14:ligatures w14:val="none"/>
        </w:rPr>
        <w:t>š</w:t>
      </w:r>
      <w:r w:rsidRPr="00AD1A35">
        <w:rPr>
          <w:rFonts w:ascii="Times New Roman" w:eastAsia="Times New Roman" w:hAnsi="Times New Roman" w:cs="Times New Roman"/>
          <w:snapToGrid w:val="0"/>
          <w:kern w:val="0"/>
          <w:sz w:val="22"/>
          <w:szCs w:val="28"/>
          <w:lang w:eastAsia="x-none"/>
          <w14:ligatures w14:val="none"/>
        </w:rPr>
        <w:t xml:space="preserve">iai </w:t>
      </w:r>
      <w:proofErr w:type="spellStart"/>
      <w:r w:rsidRPr="00AD1A35">
        <w:rPr>
          <w:rFonts w:ascii="Times New Roman" w:eastAsia="Times New Roman" w:hAnsi="Times New Roman" w:cs="Times New Roman"/>
          <w:snapToGrid w:val="0"/>
          <w:kern w:val="0"/>
          <w:sz w:val="22"/>
          <w:szCs w:val="28"/>
          <w:lang w:eastAsia="x-none"/>
          <w14:ligatures w14:val="none"/>
        </w:rPr>
        <w:t>apiksabano</w:t>
      </w:r>
      <w:proofErr w:type="spellEnd"/>
      <w:r w:rsidRPr="00AD1A35">
        <w:rPr>
          <w:rFonts w:ascii="Times New Roman" w:eastAsia="Times New Roman" w:hAnsi="Times New Roman" w:cs="Times New Roman"/>
          <w:snapToGrid w:val="0"/>
          <w:kern w:val="0"/>
          <w:sz w:val="22"/>
          <w:szCs w:val="28"/>
          <w:lang w:eastAsia="x-none"/>
          <w14:ligatures w14:val="none"/>
        </w:rPr>
        <w:t xml:space="preserve"> FK / FD vertinimo vaikams rezultatai rodo, kad tarp </w:t>
      </w:r>
      <w:proofErr w:type="spellStart"/>
      <w:r w:rsidRPr="00AD1A35">
        <w:rPr>
          <w:rFonts w:ascii="Times New Roman" w:eastAsia="Times New Roman" w:hAnsi="Times New Roman" w:cs="Times New Roman"/>
          <w:snapToGrid w:val="0"/>
          <w:kern w:val="0"/>
          <w:sz w:val="22"/>
          <w:szCs w:val="28"/>
          <w:lang w:eastAsia="x-none"/>
          <w14:ligatures w14:val="none"/>
        </w:rPr>
        <w:t>apiksabano</w:t>
      </w:r>
      <w:proofErr w:type="spellEnd"/>
      <w:r w:rsidRPr="00AD1A35">
        <w:rPr>
          <w:rFonts w:ascii="Times New Roman" w:eastAsia="Times New Roman" w:hAnsi="Times New Roman" w:cs="Times New Roman"/>
          <w:snapToGrid w:val="0"/>
          <w:kern w:val="0"/>
          <w:sz w:val="22"/>
          <w:szCs w:val="28"/>
          <w:lang w:eastAsia="x-none"/>
          <w14:ligatures w14:val="none"/>
        </w:rPr>
        <w:t xml:space="preserve"> koncentracijos ir</w:t>
      </w:r>
      <w:r w:rsidR="00FF0390">
        <w:rPr>
          <w:rFonts w:ascii="Times New Roman" w:eastAsia="Times New Roman" w:hAnsi="Times New Roman" w:cs="Times New Roman"/>
          <w:snapToGrid w:val="0"/>
          <w:kern w:val="0"/>
          <w:sz w:val="22"/>
          <w:szCs w:val="28"/>
          <w:lang w:eastAsia="x-none"/>
          <w14:ligatures w14:val="none"/>
        </w:rPr>
        <w:t xml:space="preserve"> </w:t>
      </w:r>
    </w:p>
    <w:p w14:paraId="37BE2192" w14:textId="2DD16638" w:rsidR="001568BA" w:rsidRPr="00AD1A35" w:rsidRDefault="001568BA" w:rsidP="001568BA">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r w:rsidRPr="00AD1A35">
        <w:rPr>
          <w:rFonts w:ascii="Times New Roman" w:eastAsia="Times New Roman" w:hAnsi="Times New Roman" w:cs="Times New Roman"/>
          <w:snapToGrid w:val="0"/>
          <w:kern w:val="0"/>
          <w:sz w:val="22"/>
          <w:szCs w:val="28"/>
          <w:lang w:eastAsia="x-none"/>
          <w14:ligatures w14:val="none"/>
        </w:rPr>
        <w:t>AXA yra tiesinis ry</w:t>
      </w:r>
      <w:r w:rsidRPr="00AD1A35">
        <w:rPr>
          <w:rFonts w:ascii="Times New Roman" w:eastAsia="Times New Roman" w:hAnsi="Times New Roman" w:cs="Times New Roman" w:hint="eastAsia"/>
          <w:snapToGrid w:val="0"/>
          <w:kern w:val="0"/>
          <w:sz w:val="22"/>
          <w:szCs w:val="28"/>
          <w:lang w:eastAsia="x-none"/>
          <w14:ligatures w14:val="none"/>
        </w:rPr>
        <w:t>š</w:t>
      </w:r>
      <w:r w:rsidRPr="00AD1A35">
        <w:rPr>
          <w:rFonts w:ascii="Times New Roman" w:eastAsia="Times New Roman" w:hAnsi="Times New Roman" w:cs="Times New Roman"/>
          <w:snapToGrid w:val="0"/>
          <w:kern w:val="0"/>
          <w:sz w:val="22"/>
          <w:szCs w:val="28"/>
          <w:lang w:eastAsia="x-none"/>
          <w14:ligatures w14:val="none"/>
        </w:rPr>
        <w:t>ys. Tai atitinka pirmiau nustatyt</w:t>
      </w:r>
      <w:r w:rsidRPr="00AD1A35">
        <w:rPr>
          <w:rFonts w:ascii="Times New Roman" w:eastAsia="Times New Roman" w:hAnsi="Times New Roman" w:cs="Times New Roman" w:hint="eastAsia"/>
          <w:snapToGrid w:val="0"/>
          <w:kern w:val="0"/>
          <w:sz w:val="22"/>
          <w:szCs w:val="28"/>
          <w:lang w:eastAsia="x-none"/>
          <w14:ligatures w14:val="none"/>
        </w:rPr>
        <w:t>ą</w:t>
      </w:r>
      <w:r w:rsidRPr="00AD1A35">
        <w:rPr>
          <w:rFonts w:ascii="Times New Roman" w:eastAsia="Times New Roman" w:hAnsi="Times New Roman" w:cs="Times New Roman"/>
          <w:snapToGrid w:val="0"/>
          <w:kern w:val="0"/>
          <w:sz w:val="22"/>
          <w:szCs w:val="28"/>
          <w:lang w:eastAsia="x-none"/>
          <w14:ligatures w14:val="none"/>
        </w:rPr>
        <w:t xml:space="preserve"> ry</w:t>
      </w:r>
      <w:r w:rsidRPr="00AD1A35">
        <w:rPr>
          <w:rFonts w:ascii="Times New Roman" w:eastAsia="Times New Roman" w:hAnsi="Times New Roman" w:cs="Times New Roman" w:hint="eastAsia"/>
          <w:snapToGrid w:val="0"/>
          <w:kern w:val="0"/>
          <w:sz w:val="22"/>
          <w:szCs w:val="28"/>
          <w:lang w:eastAsia="x-none"/>
          <w14:ligatures w14:val="none"/>
        </w:rPr>
        <w:t>šį</w:t>
      </w:r>
      <w:r w:rsidRPr="00AD1A35">
        <w:rPr>
          <w:rFonts w:ascii="Times New Roman" w:eastAsia="Times New Roman" w:hAnsi="Times New Roman" w:cs="Times New Roman"/>
          <w:snapToGrid w:val="0"/>
          <w:kern w:val="0"/>
          <w:sz w:val="22"/>
          <w:szCs w:val="28"/>
          <w:lang w:eastAsia="x-none"/>
          <w14:ligatures w14:val="none"/>
        </w:rPr>
        <w:t xml:space="preserve"> suaugusiesiems.</w:t>
      </w:r>
    </w:p>
    <w:p w14:paraId="7FC83B49" w14:textId="77777777" w:rsidR="001568BA" w:rsidRPr="00AD1A35" w:rsidRDefault="001568BA"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13876346"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5.3</w:t>
      </w:r>
      <w:r w:rsidRPr="00D21DFA">
        <w:rPr>
          <w:rFonts w:ascii="Times New Roman" w:eastAsia="Times New Roman" w:hAnsi="Times New Roman" w:cs="Times New Roman"/>
          <w:b/>
          <w:bCs/>
          <w:snapToGrid w:val="0"/>
          <w:kern w:val="0"/>
          <w:sz w:val="22"/>
          <w:szCs w:val="28"/>
          <w:lang w:eastAsia="x-none"/>
          <w14:ligatures w14:val="none"/>
        </w:rPr>
        <w:tab/>
        <w:t>Ikiklinikinių saugumo tyrimų duomenys</w:t>
      </w:r>
    </w:p>
    <w:p w14:paraId="4BF8272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A03024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Įprastų farmakologinio saugumo, kartotinių dozių toksiškumo, </w:t>
      </w:r>
      <w:proofErr w:type="spellStart"/>
      <w:r w:rsidRPr="00D21DFA">
        <w:rPr>
          <w:rFonts w:ascii="Times New Roman" w:eastAsia="Times New Roman" w:hAnsi="Times New Roman" w:cs="Times New Roman"/>
          <w:snapToGrid w:val="0"/>
          <w:kern w:val="0"/>
          <w:sz w:val="22"/>
          <w:szCs w:val="20"/>
          <w14:ligatures w14:val="none"/>
        </w:rPr>
        <w:t>genotoksiškumo</w:t>
      </w:r>
      <w:proofErr w:type="spellEnd"/>
      <w:r w:rsidRPr="00D21DFA">
        <w:rPr>
          <w:rFonts w:ascii="Times New Roman" w:eastAsia="Times New Roman" w:hAnsi="Times New Roman" w:cs="Times New Roman"/>
          <w:snapToGrid w:val="0"/>
          <w:kern w:val="0"/>
          <w:sz w:val="22"/>
          <w:szCs w:val="20"/>
          <w14:ligatures w14:val="none"/>
        </w:rPr>
        <w:t xml:space="preserve">, galimo </w:t>
      </w:r>
      <w:proofErr w:type="spellStart"/>
      <w:r w:rsidRPr="00D21DFA">
        <w:rPr>
          <w:rFonts w:ascii="Times New Roman" w:eastAsia="Times New Roman" w:hAnsi="Times New Roman" w:cs="Times New Roman"/>
          <w:snapToGrid w:val="0"/>
          <w:kern w:val="0"/>
          <w:sz w:val="22"/>
          <w:szCs w:val="20"/>
          <w14:ligatures w14:val="none"/>
        </w:rPr>
        <w:t>kancerogeniškumo</w:t>
      </w:r>
      <w:proofErr w:type="spellEnd"/>
      <w:r w:rsidRPr="00D21DFA">
        <w:rPr>
          <w:rFonts w:ascii="Times New Roman" w:eastAsia="Times New Roman" w:hAnsi="Times New Roman" w:cs="Times New Roman"/>
          <w:snapToGrid w:val="0"/>
          <w:kern w:val="0"/>
          <w:sz w:val="22"/>
          <w:szCs w:val="20"/>
          <w14:ligatures w14:val="none"/>
        </w:rPr>
        <w:t xml:space="preserve"> ir toksinio poveikio reprodukcijai ir embriono bei vaisiaus ir jauniklių vystymuisi ikiklinikinių tyrimų duomenys specifinio pavojaus žmogui nerodo. </w:t>
      </w:r>
    </w:p>
    <w:p w14:paraId="307A072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70211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Kartotinių dozių toksiškumo tyrimų duomenimis, svarbiausi stebėti vaistinio preparato sukeliami efektai buvo susiję su </w:t>
      </w:r>
      <w:proofErr w:type="spellStart"/>
      <w:r w:rsidRPr="00D21DFA">
        <w:rPr>
          <w:rFonts w:ascii="Times New Roman" w:eastAsia="Times New Roman" w:hAnsi="Times New Roman" w:cs="Times New Roman"/>
          <w:snapToGrid w:val="0"/>
          <w:kern w:val="0"/>
          <w:sz w:val="22"/>
          <w:szCs w:val="20"/>
          <w14:ligatures w14:val="none"/>
        </w:rPr>
        <w:t>farmakodinaminiu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poveikiu kraujo krešėjimo rodikliams. Toksinio poveikio tyrimų duomenimis, nustatytas nedaug padidėjęs polinkis kraujuoti arba tokio padidėjimo visai nenustatyta. Tačiau šiuos duomenis interpretuoti </w:t>
      </w:r>
      <w:proofErr w:type="spellStart"/>
      <w:r w:rsidRPr="00D21DFA">
        <w:rPr>
          <w:rFonts w:ascii="Times New Roman" w:eastAsia="Times New Roman" w:hAnsi="Times New Roman" w:cs="Times New Roman"/>
          <w:snapToGrid w:val="0"/>
          <w:kern w:val="0"/>
          <w:sz w:val="22"/>
          <w:szCs w:val="20"/>
          <w14:ligatures w14:val="none"/>
        </w:rPr>
        <w:t>ekstrapoliuojant</w:t>
      </w:r>
      <w:proofErr w:type="spellEnd"/>
      <w:r w:rsidRPr="00D21DFA">
        <w:rPr>
          <w:rFonts w:ascii="Times New Roman" w:eastAsia="Times New Roman" w:hAnsi="Times New Roman" w:cs="Times New Roman"/>
          <w:snapToGrid w:val="0"/>
          <w:kern w:val="0"/>
          <w:sz w:val="22"/>
          <w:szCs w:val="20"/>
          <w14:ligatures w14:val="none"/>
        </w:rPr>
        <w:t xml:space="preserve"> žmonėms reikia atsargiai, kadangi toks nustatytas poveikis gali būti susijęs su ikiklinikinių tyrimų metu naudotų gyvūnų rūšių mažesniu jautrumu vaistiniam preparatui, lyginant su žmonėmis.</w:t>
      </w:r>
    </w:p>
    <w:p w14:paraId="6CB2D169"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318A9B9" w14:textId="4624D348"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Žiurkės piene buvo aptiktas didelis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kiekio piene ir patelės kraujo plazmoje santykis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maždaug 8, AUC maždaug 30), galimai susijęs su aktyvia</w:t>
      </w:r>
      <w:r w:rsidR="004E10E8" w:rsidRPr="00D21DFA">
        <w:rPr>
          <w:rFonts w:ascii="Times New Roman" w:eastAsia="Times New Roman" w:hAnsi="Times New Roman" w:cs="Times New Roman"/>
          <w:snapToGrid w:val="0"/>
          <w:kern w:val="0"/>
          <w:sz w:val="22"/>
          <w:szCs w:val="20"/>
          <w14:ligatures w14:val="none"/>
        </w:rPr>
        <w:t xml:space="preserve"> vaistinio preparato</w:t>
      </w:r>
      <w:r w:rsidRPr="00D21DFA">
        <w:rPr>
          <w:rFonts w:ascii="Times New Roman" w:eastAsia="Times New Roman" w:hAnsi="Times New Roman" w:cs="Times New Roman"/>
          <w:snapToGrid w:val="0"/>
          <w:kern w:val="0"/>
          <w:sz w:val="22"/>
          <w:szCs w:val="20"/>
          <w14:ligatures w14:val="none"/>
        </w:rPr>
        <w:t xml:space="preserve"> pernaša į pieną.</w:t>
      </w:r>
    </w:p>
    <w:p w14:paraId="0433EC5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56FF4A34"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ACEA35B"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6.</w:t>
      </w:r>
      <w:r w:rsidRPr="00D21DFA">
        <w:rPr>
          <w:rFonts w:ascii="Times New Roman" w:eastAsia="Times New Roman" w:hAnsi="Times New Roman" w:cs="Times New Roman"/>
          <w:b/>
          <w:bCs/>
          <w:snapToGrid w:val="0"/>
          <w:kern w:val="0"/>
          <w:sz w:val="22"/>
          <w:szCs w:val="26"/>
          <w:lang w:eastAsia="x-none"/>
          <w14:ligatures w14:val="none"/>
        </w:rPr>
        <w:tab/>
        <w:t>FARMACINĖ INFORMACIJA</w:t>
      </w:r>
    </w:p>
    <w:p w14:paraId="045D943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50B66EF"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6.1</w:t>
      </w:r>
      <w:r w:rsidRPr="00D21DFA">
        <w:rPr>
          <w:rFonts w:ascii="Times New Roman" w:eastAsia="Times New Roman" w:hAnsi="Times New Roman" w:cs="Times New Roman"/>
          <w:b/>
          <w:bCs/>
          <w:snapToGrid w:val="0"/>
          <w:kern w:val="0"/>
          <w:sz w:val="22"/>
          <w:szCs w:val="28"/>
          <w:lang w:eastAsia="x-none"/>
          <w14:ligatures w14:val="none"/>
        </w:rPr>
        <w:tab/>
        <w:t>Pagalbinių medžiagų sąrašas</w:t>
      </w:r>
    </w:p>
    <w:p w14:paraId="7178A2B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C06E953"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Tabletės branduolys </w:t>
      </w:r>
    </w:p>
    <w:p w14:paraId="7031DA7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Mikrokristalinė</w:t>
      </w:r>
      <w:proofErr w:type="spellEnd"/>
      <w:r w:rsidRPr="00D21DFA">
        <w:rPr>
          <w:rFonts w:ascii="Times New Roman" w:eastAsia="Times New Roman" w:hAnsi="Times New Roman" w:cs="Times New Roman"/>
          <w:snapToGrid w:val="0"/>
          <w:kern w:val="0"/>
          <w:sz w:val="22"/>
          <w:szCs w:val="20"/>
          <w14:ligatures w14:val="none"/>
        </w:rPr>
        <w:t xml:space="preserve"> celiuliozė (101 tipo)</w:t>
      </w:r>
    </w:p>
    <w:p w14:paraId="4396BB6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Laktozė </w:t>
      </w:r>
    </w:p>
    <w:p w14:paraId="089F6244"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Natrio </w:t>
      </w:r>
      <w:proofErr w:type="spellStart"/>
      <w:r w:rsidRPr="00D21DFA">
        <w:rPr>
          <w:rFonts w:ascii="Times New Roman" w:eastAsia="Times New Roman" w:hAnsi="Times New Roman" w:cs="Times New Roman"/>
          <w:snapToGrid w:val="0"/>
          <w:kern w:val="0"/>
          <w:sz w:val="22"/>
          <w:szCs w:val="20"/>
          <w14:ligatures w14:val="none"/>
        </w:rPr>
        <w:t>laurilsulfatas</w:t>
      </w:r>
      <w:proofErr w:type="spellEnd"/>
      <w:r w:rsidRPr="00D21DFA">
        <w:rPr>
          <w:rFonts w:ascii="Times New Roman" w:eastAsia="Times New Roman" w:hAnsi="Times New Roman" w:cs="Times New Roman"/>
          <w:snapToGrid w:val="0"/>
          <w:kern w:val="0"/>
          <w:sz w:val="22"/>
          <w:szCs w:val="20"/>
          <w14:ligatures w14:val="none"/>
        </w:rPr>
        <w:t xml:space="preserve"> </w:t>
      </w:r>
    </w:p>
    <w:p w14:paraId="65897F0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Kroskarmeliozės</w:t>
      </w:r>
      <w:proofErr w:type="spellEnd"/>
      <w:r w:rsidRPr="00D21DFA">
        <w:rPr>
          <w:rFonts w:ascii="Times New Roman" w:eastAsia="Times New Roman" w:hAnsi="Times New Roman" w:cs="Times New Roman"/>
          <w:snapToGrid w:val="0"/>
          <w:kern w:val="0"/>
          <w:sz w:val="22"/>
          <w:szCs w:val="20"/>
          <w14:ligatures w14:val="none"/>
        </w:rPr>
        <w:t xml:space="preserve"> natrio druska (E468)</w:t>
      </w:r>
    </w:p>
    <w:p w14:paraId="66DA1AF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Magnio </w:t>
      </w:r>
      <w:proofErr w:type="spellStart"/>
      <w:r w:rsidRPr="00D21DFA">
        <w:rPr>
          <w:rFonts w:ascii="Times New Roman" w:eastAsia="Times New Roman" w:hAnsi="Times New Roman" w:cs="Times New Roman"/>
          <w:snapToGrid w:val="0"/>
          <w:kern w:val="0"/>
          <w:sz w:val="22"/>
          <w:szCs w:val="20"/>
          <w14:ligatures w14:val="none"/>
        </w:rPr>
        <w:t>stearatas</w:t>
      </w:r>
      <w:proofErr w:type="spellEnd"/>
      <w:r w:rsidRPr="00D21DFA">
        <w:rPr>
          <w:rFonts w:ascii="Times New Roman" w:eastAsia="Times New Roman" w:hAnsi="Times New Roman" w:cs="Times New Roman"/>
          <w:snapToGrid w:val="0"/>
          <w:kern w:val="0"/>
          <w:sz w:val="22"/>
          <w:szCs w:val="20"/>
          <w14:ligatures w14:val="none"/>
        </w:rPr>
        <w:t xml:space="preserve"> (E572)</w:t>
      </w:r>
    </w:p>
    <w:p w14:paraId="584921C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A214B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Tabletės plėvelė </w:t>
      </w:r>
    </w:p>
    <w:p w14:paraId="4D02155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Hipromeliozė</w:t>
      </w:r>
      <w:proofErr w:type="spellEnd"/>
      <w:r w:rsidRPr="00D21DFA">
        <w:rPr>
          <w:rFonts w:ascii="Times New Roman" w:eastAsia="Times New Roman" w:hAnsi="Times New Roman" w:cs="Times New Roman"/>
          <w:snapToGrid w:val="0"/>
          <w:kern w:val="0"/>
          <w:sz w:val="22"/>
          <w:szCs w:val="20"/>
          <w14:ligatures w14:val="none"/>
        </w:rPr>
        <w:t xml:space="preserve"> 2910 (E464)</w:t>
      </w:r>
    </w:p>
    <w:p w14:paraId="63F86D8F"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Laktozė </w:t>
      </w:r>
      <w:proofErr w:type="spellStart"/>
      <w:r w:rsidRPr="00D21DFA">
        <w:rPr>
          <w:rFonts w:ascii="Times New Roman" w:eastAsia="Times New Roman" w:hAnsi="Times New Roman" w:cs="Times New Roman"/>
          <w:snapToGrid w:val="0"/>
          <w:kern w:val="0"/>
          <w:sz w:val="22"/>
          <w:szCs w:val="20"/>
          <w14:ligatures w14:val="none"/>
        </w:rPr>
        <w:t>monohidratas</w:t>
      </w:r>
      <w:proofErr w:type="spellEnd"/>
    </w:p>
    <w:p w14:paraId="4C8FFC7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Titano dioksidas (E171) </w:t>
      </w:r>
    </w:p>
    <w:p w14:paraId="4AD4275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Triacetinas</w:t>
      </w:r>
      <w:proofErr w:type="spellEnd"/>
      <w:r w:rsidRPr="00D21DFA">
        <w:rPr>
          <w:rFonts w:ascii="Times New Roman" w:eastAsia="Times New Roman" w:hAnsi="Times New Roman" w:cs="Times New Roman"/>
          <w:snapToGrid w:val="0"/>
          <w:kern w:val="0"/>
          <w:sz w:val="22"/>
          <w:szCs w:val="20"/>
          <w14:ligatures w14:val="none"/>
        </w:rPr>
        <w:t xml:space="preserve"> (E1518)</w:t>
      </w:r>
    </w:p>
    <w:p w14:paraId="47F5CF2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Geltonasis geležies oksidas (E172)</w:t>
      </w:r>
    </w:p>
    <w:p w14:paraId="3C180A5E"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p>
    <w:p w14:paraId="015288C7"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6.2</w:t>
      </w:r>
      <w:r w:rsidRPr="00D21DFA">
        <w:rPr>
          <w:rFonts w:ascii="Times New Roman" w:eastAsia="Times New Roman" w:hAnsi="Times New Roman" w:cs="Times New Roman"/>
          <w:b/>
          <w:bCs/>
          <w:snapToGrid w:val="0"/>
          <w:kern w:val="0"/>
          <w:sz w:val="22"/>
          <w:szCs w:val="28"/>
          <w:lang w:eastAsia="x-none"/>
          <w14:ligatures w14:val="none"/>
        </w:rPr>
        <w:tab/>
        <w:t>Nesuderinamumas</w:t>
      </w:r>
    </w:p>
    <w:p w14:paraId="5655D87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65F14F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Duomenys nebūtini.</w:t>
      </w:r>
    </w:p>
    <w:p w14:paraId="78B4401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60A9B14"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6.3</w:t>
      </w:r>
      <w:r w:rsidRPr="00D21DFA">
        <w:rPr>
          <w:rFonts w:ascii="Times New Roman" w:eastAsia="Times New Roman" w:hAnsi="Times New Roman" w:cs="Times New Roman"/>
          <w:b/>
          <w:bCs/>
          <w:snapToGrid w:val="0"/>
          <w:kern w:val="0"/>
          <w:sz w:val="22"/>
          <w:szCs w:val="28"/>
          <w:lang w:eastAsia="x-none"/>
          <w14:ligatures w14:val="none"/>
        </w:rPr>
        <w:tab/>
        <w:t>Tinkamumo laikas</w:t>
      </w:r>
    </w:p>
    <w:p w14:paraId="4FEC0C1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D9855D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2 metai</w:t>
      </w:r>
    </w:p>
    <w:p w14:paraId="482245F7"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5E2F04A"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Paruošto vartoti preparato stabilumas: 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4E2945B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0652AFF"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6.4</w:t>
      </w:r>
      <w:r w:rsidRPr="00D21DFA">
        <w:rPr>
          <w:rFonts w:ascii="Times New Roman" w:eastAsia="Times New Roman" w:hAnsi="Times New Roman" w:cs="Times New Roman"/>
          <w:b/>
          <w:bCs/>
          <w:snapToGrid w:val="0"/>
          <w:kern w:val="0"/>
          <w:sz w:val="22"/>
          <w:szCs w:val="28"/>
          <w:lang w:eastAsia="x-none"/>
          <w14:ligatures w14:val="none"/>
        </w:rPr>
        <w:tab/>
        <w:t>Specialios laikymo sąlygos</w:t>
      </w:r>
    </w:p>
    <w:p w14:paraId="642F291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0492B62" w14:textId="77777777" w:rsidR="00C95D96" w:rsidRPr="00D21DFA" w:rsidRDefault="00C95D96" w:rsidP="00C95D96">
      <w:pPr>
        <w:tabs>
          <w:tab w:val="left" w:pos="9214"/>
        </w:tabs>
        <w:spacing w:after="0" w:line="240" w:lineRule="auto"/>
        <w:ind w:right="-2"/>
        <w:rPr>
          <w:rFonts w:ascii="Times New Roman" w:eastAsia="SimSun" w:hAnsi="Times New Roman" w:cs="Times New Roman"/>
          <w:kern w:val="0"/>
          <w:sz w:val="22"/>
          <w:szCs w:val="22"/>
          <w:lang w:eastAsia="x-none"/>
          <w14:ligatures w14:val="none"/>
        </w:rPr>
      </w:pPr>
      <w:r w:rsidRPr="00D21DFA">
        <w:rPr>
          <w:rFonts w:ascii="Times New Roman" w:eastAsia="SimSun" w:hAnsi="Times New Roman" w:cs="Times New Roman"/>
          <w:kern w:val="0"/>
          <w:sz w:val="22"/>
          <w:szCs w:val="22"/>
          <w:lang w:eastAsia="x-none"/>
          <w14:ligatures w14:val="none"/>
        </w:rPr>
        <w:t>Šiam vaistiniam preparatui specialių laikymo sąlygų nereikia.</w:t>
      </w:r>
    </w:p>
    <w:p w14:paraId="12120D05" w14:textId="77777777" w:rsidR="00C95D96" w:rsidRPr="00D21DFA" w:rsidRDefault="00C95D96" w:rsidP="00C95D96">
      <w:pPr>
        <w:tabs>
          <w:tab w:val="left" w:pos="9214"/>
        </w:tabs>
        <w:spacing w:after="0" w:line="240" w:lineRule="auto"/>
        <w:ind w:right="-2"/>
        <w:rPr>
          <w:rFonts w:ascii="Times New Roman" w:eastAsia="SimSun" w:hAnsi="Times New Roman" w:cs="Times New Roman"/>
          <w:kern w:val="0"/>
          <w:sz w:val="22"/>
          <w:szCs w:val="22"/>
          <w:lang w:eastAsia="x-none"/>
          <w14:ligatures w14:val="none"/>
        </w:rPr>
      </w:pPr>
    </w:p>
    <w:p w14:paraId="598A380E"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6.5</w:t>
      </w:r>
      <w:r w:rsidRPr="00D21DFA">
        <w:rPr>
          <w:rFonts w:ascii="Times New Roman" w:eastAsia="Times New Roman" w:hAnsi="Times New Roman" w:cs="Times New Roman"/>
          <w:b/>
          <w:bCs/>
          <w:snapToGrid w:val="0"/>
          <w:kern w:val="0"/>
          <w:sz w:val="22"/>
          <w:szCs w:val="28"/>
          <w:lang w:eastAsia="x-none"/>
          <w14:ligatures w14:val="none"/>
        </w:rPr>
        <w:tab/>
      </w:r>
      <w:proofErr w:type="spellStart"/>
      <w:r w:rsidRPr="00D21DFA">
        <w:rPr>
          <w:rFonts w:ascii="Times New Roman" w:eastAsia="Times New Roman" w:hAnsi="Times New Roman" w:cs="Times New Roman"/>
          <w:b/>
          <w:bCs/>
          <w:snapToGrid w:val="0"/>
          <w:kern w:val="0"/>
          <w:sz w:val="22"/>
          <w:szCs w:val="28"/>
          <w:lang w:eastAsia="x-none"/>
          <w14:ligatures w14:val="none"/>
        </w:rPr>
        <w:t>Talpyklės</w:t>
      </w:r>
      <w:proofErr w:type="spellEnd"/>
      <w:r w:rsidRPr="00D21DFA">
        <w:rPr>
          <w:rFonts w:ascii="Times New Roman" w:eastAsia="Times New Roman" w:hAnsi="Times New Roman" w:cs="Times New Roman"/>
          <w:b/>
          <w:bCs/>
          <w:snapToGrid w:val="0"/>
          <w:kern w:val="0"/>
          <w:sz w:val="22"/>
          <w:szCs w:val="28"/>
          <w:lang w:eastAsia="x-none"/>
          <w14:ligatures w14:val="none"/>
        </w:rPr>
        <w:t xml:space="preserve"> pobūdis ir jos turinys</w:t>
      </w:r>
      <w:r w:rsidRPr="00D21DFA">
        <w:rPr>
          <w:rFonts w:ascii="Times New Roman" w:eastAsia="Times New Roman" w:hAnsi="Times New Roman" w:cs="Times New Roman"/>
          <w:b/>
          <w:snapToGrid w:val="0"/>
          <w:kern w:val="0"/>
          <w:sz w:val="22"/>
          <w:lang w:eastAsia="x-none"/>
          <w14:ligatures w14:val="none"/>
        </w:rPr>
        <w:t xml:space="preserve"> </w:t>
      </w:r>
    </w:p>
    <w:p w14:paraId="269564F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C4FD2D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Supakuota į PVC/PVDC//Al lizdines plokšteles.</w:t>
      </w:r>
    </w:p>
    <w:p w14:paraId="2D576967"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D73673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Pakuotės dydis: 10, 14, 20, 28, 30, 56, 60, 90, 100, 120, 168 arba 200 plėvele dengtų tablečių.</w:t>
      </w:r>
    </w:p>
    <w:p w14:paraId="1F4B77CF"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3FF6F9"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Gali būti tiekiamos ne visų dydžių pakuotės.</w:t>
      </w:r>
    </w:p>
    <w:p w14:paraId="09F27FD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71ECBE5"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bookmarkStart w:id="2" w:name="OLE_LINK1"/>
      <w:r w:rsidRPr="00D21DFA">
        <w:rPr>
          <w:rFonts w:ascii="Times New Roman" w:eastAsia="Times New Roman" w:hAnsi="Times New Roman" w:cs="Times New Roman"/>
          <w:b/>
          <w:bCs/>
          <w:snapToGrid w:val="0"/>
          <w:kern w:val="0"/>
          <w:sz w:val="22"/>
          <w:szCs w:val="28"/>
          <w:lang w:eastAsia="x-none"/>
          <w14:ligatures w14:val="none"/>
        </w:rPr>
        <w:t>6.6</w:t>
      </w:r>
      <w:r w:rsidRPr="00D21DFA">
        <w:rPr>
          <w:rFonts w:ascii="Times New Roman" w:eastAsia="Times New Roman" w:hAnsi="Times New Roman" w:cs="Times New Roman"/>
          <w:b/>
          <w:bCs/>
          <w:snapToGrid w:val="0"/>
          <w:kern w:val="0"/>
          <w:sz w:val="22"/>
          <w:szCs w:val="28"/>
          <w:lang w:eastAsia="x-none"/>
          <w14:ligatures w14:val="none"/>
        </w:rPr>
        <w:tab/>
        <w:t>Specialūs reikalavimai atliekoms tvarkyti</w:t>
      </w:r>
    </w:p>
    <w:bookmarkEnd w:id="2"/>
    <w:p w14:paraId="3380EEE7"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459DE2B"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Nesuvartotą vaistinį preparatą ar atliekas reikia tvarkyti laikantis vietinių reikalavimų. </w:t>
      </w:r>
    </w:p>
    <w:p w14:paraId="36AD180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9806B1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E9905F5"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7.</w:t>
      </w:r>
      <w:r w:rsidRPr="00D21DFA">
        <w:rPr>
          <w:rFonts w:ascii="Times New Roman" w:eastAsia="Times New Roman" w:hAnsi="Times New Roman" w:cs="Times New Roman"/>
          <w:b/>
          <w:bCs/>
          <w:snapToGrid w:val="0"/>
          <w:kern w:val="0"/>
          <w:sz w:val="22"/>
          <w:szCs w:val="26"/>
          <w:lang w:eastAsia="x-none"/>
          <w14:ligatures w14:val="none"/>
        </w:rPr>
        <w:tab/>
        <w:t>REGISTRUOTOJAS</w:t>
      </w:r>
    </w:p>
    <w:p w14:paraId="0F864F1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E95CD79"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43F86ECD"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2CBF9221"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4C55C5CB"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1191D35E"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0"/>
          <w:szCs w:val="22"/>
          <w14:ligatures w14:val="none"/>
        </w:rPr>
      </w:pPr>
      <w:r w:rsidRPr="00D21DFA">
        <w:rPr>
          <w:rFonts w:ascii="Times New Roman" w:eastAsia="Times New Roman" w:hAnsi="Times New Roman" w:cs="Times New Roman"/>
          <w:snapToGrid w:val="0"/>
          <w:kern w:val="0"/>
          <w:sz w:val="22"/>
          <w:szCs w:val="18"/>
          <w14:ligatures w14:val="none"/>
        </w:rPr>
        <w:t>Čekija</w:t>
      </w:r>
    </w:p>
    <w:p w14:paraId="22666FB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ED8FD59"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57C23CF"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8.</w:t>
      </w:r>
      <w:r w:rsidRPr="00D21DFA">
        <w:rPr>
          <w:rFonts w:ascii="Times New Roman" w:eastAsia="Times New Roman" w:hAnsi="Times New Roman" w:cs="Times New Roman"/>
          <w:b/>
          <w:bCs/>
          <w:snapToGrid w:val="0"/>
          <w:kern w:val="0"/>
          <w:sz w:val="22"/>
          <w:szCs w:val="26"/>
          <w:lang w:eastAsia="x-none"/>
          <w14:ligatures w14:val="none"/>
        </w:rPr>
        <w:tab/>
        <w:t xml:space="preserve">REGISTRACIJOS </w:t>
      </w:r>
      <w:r w:rsidRPr="00D21DFA">
        <w:rPr>
          <w:rFonts w:ascii="Times New Roman" w:eastAsia="Times New Roman" w:hAnsi="Times New Roman" w:cs="Times New Roman"/>
          <w:b/>
          <w:bCs/>
          <w:snapToGrid w:val="0"/>
          <w:kern w:val="0"/>
          <w:sz w:val="22"/>
          <w:szCs w:val="22"/>
          <w:lang w:eastAsia="x-none"/>
          <w14:ligatures w14:val="none"/>
        </w:rPr>
        <w:t>PAŽYMĖJIMO</w:t>
      </w:r>
      <w:r w:rsidRPr="00D21DFA">
        <w:rPr>
          <w:rFonts w:ascii="Times New Roman" w:eastAsia="Times New Roman" w:hAnsi="Times New Roman" w:cs="Times New Roman"/>
          <w:b/>
          <w:bCs/>
          <w:snapToGrid w:val="0"/>
          <w:kern w:val="0"/>
          <w:sz w:val="22"/>
          <w:szCs w:val="26"/>
          <w:lang w:eastAsia="x-none"/>
          <w14:ligatures w14:val="none"/>
        </w:rPr>
        <w:t xml:space="preserve"> NUMERIS (-IAI) </w:t>
      </w:r>
    </w:p>
    <w:p w14:paraId="3676AC4B"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5FE2D9E"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LT/1/24/5520/001 – N10</w:t>
      </w:r>
    </w:p>
    <w:p w14:paraId="63290510"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LT/1/24/5520/002 – N14</w:t>
      </w:r>
    </w:p>
    <w:p w14:paraId="37B4264E"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LT/1/24/5520/003 – N20</w:t>
      </w:r>
    </w:p>
    <w:p w14:paraId="152E62F8"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LT/1/24/5520/004 – N28</w:t>
      </w:r>
    </w:p>
    <w:p w14:paraId="2F977566"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LT/1/24/5520/005 – N30</w:t>
      </w:r>
    </w:p>
    <w:p w14:paraId="607F9176"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LT/1/24/5520/006 – N56</w:t>
      </w:r>
    </w:p>
    <w:p w14:paraId="18FC39AE"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LT/1/24/5520/007 – N60</w:t>
      </w:r>
    </w:p>
    <w:p w14:paraId="1F3D8B93"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lastRenderedPageBreak/>
        <w:t>LT/1/24/5520/008 – N90</w:t>
      </w:r>
    </w:p>
    <w:p w14:paraId="17204532"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LT/1/24/5520/009 – N100</w:t>
      </w:r>
    </w:p>
    <w:p w14:paraId="4C0B4AE2"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LT/1/24/5520/010 – N120</w:t>
      </w:r>
    </w:p>
    <w:p w14:paraId="68449106"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LT/1/24/5520/011 – N168</w:t>
      </w:r>
    </w:p>
    <w:p w14:paraId="01BC88E6" w14:textId="297C739D" w:rsidR="00C95D96"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LT/1/24/5520/012 – N200</w:t>
      </w:r>
    </w:p>
    <w:p w14:paraId="1CF23D2E"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8DC964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17D0606"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9.</w:t>
      </w:r>
      <w:r w:rsidRPr="00D21DFA">
        <w:rPr>
          <w:rFonts w:ascii="Times New Roman" w:eastAsia="Times New Roman" w:hAnsi="Times New Roman" w:cs="Times New Roman"/>
          <w:b/>
          <w:bCs/>
          <w:snapToGrid w:val="0"/>
          <w:kern w:val="0"/>
          <w:sz w:val="22"/>
          <w:szCs w:val="26"/>
          <w:lang w:eastAsia="x-none"/>
          <w14:ligatures w14:val="none"/>
        </w:rPr>
        <w:tab/>
        <w:t>REGISTRAVIMO / PERREGISTRAVIMO DATA</w:t>
      </w:r>
    </w:p>
    <w:p w14:paraId="345CC675"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6364BC5" w14:textId="503A4CEA" w:rsidR="00C95D96" w:rsidRPr="00D21DFA" w:rsidRDefault="00C95D96" w:rsidP="00C95D96">
      <w:pPr>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Registravimo data </w:t>
      </w:r>
      <w:r w:rsidR="00C27A2C" w:rsidRPr="00D21DFA">
        <w:rPr>
          <w:rFonts w:ascii="Times New Roman" w:eastAsia="Times New Roman" w:hAnsi="Times New Roman" w:cs="Times New Roman"/>
          <w:snapToGrid w:val="0"/>
          <w:kern w:val="0"/>
          <w:sz w:val="22"/>
          <w14:ligatures w14:val="none"/>
        </w:rPr>
        <w:t>2024 m. rugpjūčio 5 d.</w:t>
      </w:r>
    </w:p>
    <w:p w14:paraId="4C05C50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4649AD3"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2945F19"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10.</w:t>
      </w:r>
      <w:r w:rsidRPr="00D21DFA">
        <w:rPr>
          <w:rFonts w:ascii="Times New Roman" w:eastAsia="Times New Roman" w:hAnsi="Times New Roman" w:cs="Times New Roman"/>
          <w:b/>
          <w:bCs/>
          <w:snapToGrid w:val="0"/>
          <w:kern w:val="0"/>
          <w:sz w:val="22"/>
          <w:szCs w:val="26"/>
          <w:lang w:eastAsia="x-none"/>
          <w14:ligatures w14:val="none"/>
        </w:rPr>
        <w:tab/>
        <w:t>TEKSTO PERŽIŪROS DATA</w:t>
      </w:r>
    </w:p>
    <w:p w14:paraId="4111491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F2E5092" w14:textId="24F7299A" w:rsidR="00C95D96" w:rsidRPr="00D21DFA" w:rsidRDefault="00C27A2C"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202</w:t>
      </w:r>
      <w:r w:rsidR="0044721F">
        <w:rPr>
          <w:rFonts w:ascii="Times New Roman" w:eastAsia="Times New Roman" w:hAnsi="Times New Roman" w:cs="Times New Roman"/>
          <w:snapToGrid w:val="0"/>
          <w:kern w:val="0"/>
          <w:sz w:val="22"/>
          <w14:ligatures w14:val="none"/>
        </w:rPr>
        <w:t>5</w:t>
      </w:r>
      <w:r w:rsidRPr="00D21DFA">
        <w:rPr>
          <w:rFonts w:ascii="Times New Roman" w:eastAsia="Times New Roman" w:hAnsi="Times New Roman" w:cs="Times New Roman"/>
          <w:snapToGrid w:val="0"/>
          <w:kern w:val="0"/>
          <w:sz w:val="22"/>
          <w14:ligatures w14:val="none"/>
        </w:rPr>
        <w:t xml:space="preserve"> m. </w:t>
      </w:r>
      <w:r w:rsidR="00B04C01">
        <w:rPr>
          <w:rFonts w:ascii="Times New Roman" w:eastAsia="Times New Roman" w:hAnsi="Times New Roman" w:cs="Times New Roman"/>
          <w:snapToGrid w:val="0"/>
          <w:kern w:val="0"/>
          <w:sz w:val="22"/>
          <w14:ligatures w14:val="none"/>
        </w:rPr>
        <w:t xml:space="preserve"> </w:t>
      </w:r>
      <w:r w:rsidR="001A3261">
        <w:rPr>
          <w:rFonts w:ascii="Times New Roman" w:eastAsia="Times New Roman" w:hAnsi="Times New Roman" w:cs="Times New Roman"/>
          <w:snapToGrid w:val="0"/>
          <w:kern w:val="0"/>
          <w:sz w:val="22"/>
          <w14:ligatures w14:val="none"/>
        </w:rPr>
        <w:t>lapkričio 6 d.</w:t>
      </w:r>
      <w:r w:rsidR="00B04C01">
        <w:rPr>
          <w:rFonts w:ascii="Times New Roman" w:eastAsia="Times New Roman" w:hAnsi="Times New Roman" w:cs="Times New Roman"/>
          <w:snapToGrid w:val="0"/>
          <w:kern w:val="0"/>
          <w:sz w:val="22"/>
          <w14:ligatures w14:val="none"/>
        </w:rPr>
        <w:t xml:space="preserve">    </w:t>
      </w:r>
    </w:p>
    <w:p w14:paraId="3ED5E0FB" w14:textId="77777777" w:rsidR="00C95D96" w:rsidRPr="00D21DFA"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kern w:val="0"/>
          <w:sz w:val="22"/>
          <w:szCs w:val="22"/>
          <w14:ligatures w14:val="none"/>
        </w:rPr>
      </w:pPr>
    </w:p>
    <w:p w14:paraId="2E24E543" w14:textId="45062073" w:rsidR="00C95D96" w:rsidRPr="00D21DFA"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kern w:val="0"/>
          <w:sz w:val="22"/>
          <w:szCs w:val="22"/>
          <w14:ligatures w14:val="none"/>
        </w:rPr>
      </w:pPr>
      <w:r w:rsidRPr="00D21DFA">
        <w:rPr>
          <w:rFonts w:ascii="Times New Roman" w:eastAsia="SimSun" w:hAnsi="Times New Roman" w:cs="Times New Roman"/>
          <w:kern w:val="0"/>
          <w:sz w:val="22"/>
          <w:szCs w:val="22"/>
          <w14:ligatures w14:val="none"/>
        </w:rPr>
        <w:t>Išsami informacija apie šį vaistinį preparatą pateikiama Valstybinės vaistų kontrolės tarnybos prie Lietuvos Respublikos sveikatos apsaugos ministerijos tinklalapyje</w:t>
      </w:r>
      <w:r w:rsidRPr="00D21DFA">
        <w:rPr>
          <w:rFonts w:ascii="Times New Roman" w:eastAsia="SimSun" w:hAnsi="Times New Roman" w:cs="Times New Roman"/>
          <w:i/>
          <w:kern w:val="0"/>
          <w:sz w:val="22"/>
          <w:szCs w:val="22"/>
          <w14:ligatures w14:val="none"/>
        </w:rPr>
        <w:t xml:space="preserve"> </w:t>
      </w:r>
      <w:r w:rsidR="00C22777" w:rsidRPr="00D21DFA">
        <w:rPr>
          <w:rFonts w:ascii="Times New Roman" w:hAnsi="Times New Roman" w:cs="Times New Roman"/>
          <w:color w:val="0000EE"/>
          <w:sz w:val="22"/>
          <w:szCs w:val="22"/>
          <w:u w:val="single"/>
          <w:lang w:eastAsia="lt-LT"/>
        </w:rPr>
        <w:t>https://vvkt.lrv.lt/lt/</w:t>
      </w:r>
      <w:r w:rsidR="00C22777" w:rsidRPr="00D21DFA">
        <w:rPr>
          <w:rFonts w:ascii="Times New Roman" w:hAnsi="Times New Roman" w:cs="Times New Roman"/>
          <w:sz w:val="22"/>
          <w:szCs w:val="22"/>
          <w:lang w:eastAsia="lt-LT"/>
        </w:rPr>
        <w:t>.</w:t>
      </w:r>
    </w:p>
    <w:p w14:paraId="587BFA47" w14:textId="77777777" w:rsidR="00C95D96" w:rsidRPr="00D21DFA"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273D65D0" w14:textId="77777777" w:rsidR="00C95D96" w:rsidRPr="00D21DFA" w:rsidRDefault="00C95D96" w:rsidP="00C95D96">
      <w:pPr>
        <w:spacing w:line="259" w:lineRule="auto"/>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br w:type="page"/>
      </w:r>
    </w:p>
    <w:p w14:paraId="7977A53D"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lastRenderedPageBreak/>
        <w:t>1.</w:t>
      </w:r>
      <w:r w:rsidRPr="00D21DFA">
        <w:rPr>
          <w:rFonts w:ascii="Times New Roman" w:eastAsia="Times New Roman" w:hAnsi="Times New Roman" w:cs="Times New Roman"/>
          <w:b/>
          <w:bCs/>
          <w:snapToGrid w:val="0"/>
          <w:kern w:val="0"/>
          <w:sz w:val="22"/>
          <w:szCs w:val="26"/>
          <w:lang w:eastAsia="x-none"/>
          <w14:ligatures w14:val="none"/>
        </w:rPr>
        <w:tab/>
        <w:t>VAISTINIO PREPARATO PAVADINIMAS</w:t>
      </w:r>
    </w:p>
    <w:p w14:paraId="7E0B1CB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B5915DD" w14:textId="77777777" w:rsidR="00C95D96" w:rsidRPr="00D21DFA" w:rsidRDefault="00C95D96" w:rsidP="00C95D96">
      <w:pPr>
        <w:shd w:val="clear" w:color="auto" w:fill="FFFFFF"/>
        <w:tabs>
          <w:tab w:val="left" w:pos="567"/>
          <w:tab w:val="left" w:pos="9214"/>
        </w:tabs>
        <w:spacing w:after="0" w:line="240" w:lineRule="auto"/>
        <w:ind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bCs/>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5 mg plėvele dengtos tabletės</w:t>
      </w:r>
    </w:p>
    <w:p w14:paraId="73A8651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E3C4C0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A3E56E2"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2.</w:t>
      </w:r>
      <w:r w:rsidRPr="00D21DFA">
        <w:rPr>
          <w:rFonts w:ascii="Times New Roman" w:eastAsia="Times New Roman" w:hAnsi="Times New Roman" w:cs="Times New Roman"/>
          <w:b/>
          <w:bCs/>
          <w:snapToGrid w:val="0"/>
          <w:kern w:val="0"/>
          <w:sz w:val="22"/>
          <w:szCs w:val="26"/>
          <w:lang w:eastAsia="x-none"/>
          <w14:ligatures w14:val="none"/>
        </w:rPr>
        <w:tab/>
        <w:t>KOKYBINĖ IR KIEKYBINĖ SUDĖTIS</w:t>
      </w:r>
    </w:p>
    <w:p w14:paraId="1497CC8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E8D57B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Kiekvienoje plėvele dengtoje tabletėje yra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
    <w:p w14:paraId="2F6BD69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713112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u w:val="single"/>
          <w14:ligatures w14:val="none"/>
        </w:rPr>
        <w:t xml:space="preserve">Pagalbinė medžiaga, </w:t>
      </w:r>
      <w:r w:rsidRPr="00D21DFA">
        <w:rPr>
          <w:rFonts w:ascii="Times New Roman" w:eastAsia="Times New Roman" w:hAnsi="Times New Roman" w:cs="Times New Roman"/>
          <w:snapToGrid w:val="0"/>
          <w:kern w:val="0"/>
          <w:sz w:val="22"/>
          <w:u w:val="single"/>
          <w14:ligatures w14:val="none"/>
        </w:rPr>
        <w:t xml:space="preserve">kurios </w:t>
      </w:r>
      <w:r w:rsidRPr="00D21DFA">
        <w:rPr>
          <w:rFonts w:ascii="Times New Roman" w:eastAsia="Times New Roman" w:hAnsi="Times New Roman" w:cs="Times New Roman"/>
          <w:snapToGrid w:val="0"/>
          <w:kern w:val="0"/>
          <w:sz w:val="22"/>
          <w:szCs w:val="20"/>
          <w:u w:val="single"/>
          <w14:ligatures w14:val="none"/>
        </w:rPr>
        <w:t>poveikis žinomas</w:t>
      </w:r>
    </w:p>
    <w:p w14:paraId="1186D46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Kiekvienoje plėvele dengtoje tabletėje yra 103 mg laktozės (bevandenės ir </w:t>
      </w:r>
      <w:proofErr w:type="spellStart"/>
      <w:r w:rsidRPr="00D21DFA">
        <w:rPr>
          <w:rFonts w:ascii="Times New Roman" w:eastAsia="Times New Roman" w:hAnsi="Times New Roman" w:cs="Times New Roman"/>
          <w:snapToGrid w:val="0"/>
          <w:kern w:val="0"/>
          <w:sz w:val="22"/>
          <w:szCs w:val="20"/>
          <w14:ligatures w14:val="none"/>
        </w:rPr>
        <w:t>monohidrato</w:t>
      </w:r>
      <w:proofErr w:type="spellEnd"/>
      <w:r w:rsidRPr="00D21DFA">
        <w:rPr>
          <w:rFonts w:ascii="Times New Roman" w:eastAsia="Times New Roman" w:hAnsi="Times New Roman" w:cs="Times New Roman"/>
          <w:snapToGrid w:val="0"/>
          <w:kern w:val="0"/>
          <w:sz w:val="22"/>
          <w:szCs w:val="20"/>
          <w14:ligatures w14:val="none"/>
        </w:rPr>
        <w:t xml:space="preserve"> pavidalu). </w:t>
      </w:r>
    </w:p>
    <w:p w14:paraId="7C8F19D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8DFC75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Visos pagalbinės medžiagos išvardytos 6.1 skyriuje. </w:t>
      </w:r>
    </w:p>
    <w:p w14:paraId="5BF02EB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83C62C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FA6D073"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3.</w:t>
      </w:r>
      <w:r w:rsidRPr="00D21DFA">
        <w:rPr>
          <w:rFonts w:ascii="Times New Roman" w:eastAsia="Times New Roman" w:hAnsi="Times New Roman" w:cs="Times New Roman"/>
          <w:b/>
          <w:bCs/>
          <w:snapToGrid w:val="0"/>
          <w:kern w:val="0"/>
          <w:sz w:val="22"/>
          <w:szCs w:val="26"/>
          <w:lang w:eastAsia="x-none"/>
          <w14:ligatures w14:val="none"/>
        </w:rPr>
        <w:tab/>
        <w:t>FARMACINĖ FORMA</w:t>
      </w:r>
    </w:p>
    <w:p w14:paraId="2D97A94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E4649B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Plėvele dengta tabletė (tabletė)</w:t>
      </w:r>
    </w:p>
    <w:p w14:paraId="59878092" w14:textId="5378F8D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Rožinė, pailga 10,</w:t>
      </w:r>
      <w:r w:rsidR="0044721F">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x 5,</w:t>
      </w:r>
      <w:r w:rsidR="0044721F">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 0,2 mm dydžio plėvele dengta tabletė.</w:t>
      </w:r>
    </w:p>
    <w:p w14:paraId="3E5C419F"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744E4FC5"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7B571EB1"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4.</w:t>
      </w:r>
      <w:r w:rsidRPr="00D21DFA">
        <w:rPr>
          <w:rFonts w:ascii="Times New Roman" w:eastAsia="Times New Roman" w:hAnsi="Times New Roman" w:cs="Times New Roman"/>
          <w:b/>
          <w:bCs/>
          <w:snapToGrid w:val="0"/>
          <w:kern w:val="0"/>
          <w:sz w:val="22"/>
          <w:szCs w:val="26"/>
          <w:lang w:eastAsia="x-none"/>
          <w14:ligatures w14:val="none"/>
        </w:rPr>
        <w:tab/>
        <w:t>KLINIKINĖ INFORMACIJA</w:t>
      </w:r>
    </w:p>
    <w:p w14:paraId="58415C5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E7F7E8B"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4.1</w:t>
      </w:r>
      <w:r w:rsidRPr="00D21DFA">
        <w:rPr>
          <w:rFonts w:ascii="Times New Roman" w:eastAsia="Times New Roman" w:hAnsi="Times New Roman" w:cs="Times New Roman"/>
          <w:b/>
          <w:bCs/>
          <w:snapToGrid w:val="0"/>
          <w:kern w:val="0"/>
          <w:sz w:val="22"/>
          <w:szCs w:val="28"/>
          <w:lang w:eastAsia="x-none"/>
          <w14:ligatures w14:val="none"/>
        </w:rPr>
        <w:tab/>
        <w:t>Terapinės indikacijos</w:t>
      </w:r>
    </w:p>
    <w:p w14:paraId="5C2682A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7EAA7AB" w14:textId="474177A6" w:rsidR="00EF4F01" w:rsidRPr="00D21DFA" w:rsidRDefault="00EF4F01"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Suaugusiesiems</w:t>
      </w:r>
    </w:p>
    <w:p w14:paraId="55222F29" w14:textId="77777777" w:rsidR="00EF4F01" w:rsidRPr="00AD1A35" w:rsidRDefault="00EF4F01"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p>
    <w:p w14:paraId="4C6EE036" w14:textId="0D0E428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Insulto ir sisteminės embolijos profilaktika suaugusiems pacientams, </w:t>
      </w:r>
      <w:r w:rsidR="006E33E9" w:rsidRPr="00D21DFA">
        <w:rPr>
          <w:rFonts w:ascii="Times New Roman" w:eastAsia="Times New Roman" w:hAnsi="Times New Roman" w:cs="Times New Roman"/>
          <w:snapToGrid w:val="0"/>
          <w:kern w:val="0"/>
          <w:sz w:val="22"/>
          <w:szCs w:val="20"/>
          <w14:ligatures w14:val="none"/>
        </w:rPr>
        <w:t>sergantiems</w:t>
      </w:r>
      <w:r w:rsidRPr="00D21DFA">
        <w:rPr>
          <w:rFonts w:ascii="Times New Roman" w:eastAsia="Times New Roman" w:hAnsi="Times New Roman" w:cs="Times New Roman"/>
          <w:snapToGrid w:val="0"/>
          <w:kern w:val="0"/>
          <w:sz w:val="22"/>
          <w:szCs w:val="20"/>
          <w14:ligatures w14:val="none"/>
        </w:rPr>
        <w:t xml:space="preserve"> su vožtuv</w:t>
      </w:r>
      <w:r w:rsidR="006E33E9" w:rsidRPr="00D21DFA">
        <w:rPr>
          <w:rFonts w:ascii="Times New Roman" w:eastAsia="Times New Roman" w:hAnsi="Times New Roman" w:cs="Times New Roman"/>
          <w:snapToGrid w:val="0"/>
          <w:kern w:val="0"/>
          <w:sz w:val="22"/>
          <w:szCs w:val="20"/>
          <w14:ligatures w14:val="none"/>
        </w:rPr>
        <w:t>ų liga</w:t>
      </w:r>
      <w:r w:rsidRPr="00D21DFA">
        <w:rPr>
          <w:rFonts w:ascii="Times New Roman" w:eastAsia="Times New Roman" w:hAnsi="Times New Roman" w:cs="Times New Roman"/>
          <w:snapToGrid w:val="0"/>
          <w:kern w:val="0"/>
          <w:sz w:val="22"/>
          <w:szCs w:val="20"/>
          <w14:ligatures w14:val="none"/>
        </w:rPr>
        <w:t xml:space="preserve"> nesusij</w:t>
      </w:r>
      <w:r w:rsidR="006E33E9" w:rsidRPr="00D21DFA">
        <w:rPr>
          <w:rFonts w:ascii="Times New Roman" w:eastAsia="Times New Roman" w:hAnsi="Times New Roman" w:cs="Times New Roman"/>
          <w:snapToGrid w:val="0"/>
          <w:kern w:val="0"/>
          <w:sz w:val="22"/>
          <w:szCs w:val="20"/>
          <w14:ligatures w14:val="none"/>
        </w:rPr>
        <w:t>usiu</w:t>
      </w:r>
      <w:r w:rsidRPr="00D21DFA">
        <w:rPr>
          <w:rFonts w:ascii="Times New Roman" w:eastAsia="Times New Roman" w:hAnsi="Times New Roman" w:cs="Times New Roman"/>
          <w:snapToGrid w:val="0"/>
          <w:kern w:val="0"/>
          <w:sz w:val="22"/>
          <w:szCs w:val="20"/>
          <w14:ligatures w14:val="none"/>
        </w:rPr>
        <w:t xml:space="preserve"> prieširdžių virpėjim</w:t>
      </w:r>
      <w:r w:rsidR="006E33E9"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xml:space="preserve"> (VNPV) ir</w:t>
      </w:r>
      <w:r w:rsidR="006E33E9" w:rsidRPr="00D21DFA">
        <w:rPr>
          <w:rFonts w:ascii="Times New Roman" w:eastAsia="Times New Roman" w:hAnsi="Times New Roman" w:cs="Times New Roman"/>
          <w:snapToGrid w:val="0"/>
          <w:kern w:val="0"/>
          <w:sz w:val="22"/>
          <w:szCs w:val="20"/>
          <w14:ligatures w14:val="none"/>
        </w:rPr>
        <w:t xml:space="preserve"> kai</w:t>
      </w:r>
      <w:r w:rsidRPr="00D21DFA">
        <w:rPr>
          <w:rFonts w:ascii="Times New Roman" w:eastAsia="Times New Roman" w:hAnsi="Times New Roman" w:cs="Times New Roman"/>
          <w:snapToGrid w:val="0"/>
          <w:kern w:val="0"/>
          <w:sz w:val="22"/>
          <w:szCs w:val="20"/>
          <w14:ligatures w14:val="none"/>
        </w:rPr>
        <w:t xml:space="preserve"> yra vienas ar daugiau rizikos veiksnių, pavyzdžiui: anksčiau patirtas insultas ar praeinantis smegenų išemijos priepuolis (PSIP), amžius ≥ 75 m., hipertenzija, cukrinis diabetas, simptomus sukeliantis širdies nepakankamumas (≥ II klasės pagal NYHA).</w:t>
      </w:r>
    </w:p>
    <w:p w14:paraId="549C6383"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p>
    <w:p w14:paraId="0EA28803"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kern w:val="0"/>
          <w:sz w:val="22"/>
          <w14:ligatures w14:val="none"/>
        </w:rPr>
      </w:pPr>
      <w:r w:rsidRPr="00D21DFA">
        <w:rPr>
          <w:rFonts w:ascii="Times New Roman" w:eastAsia="Times New Roman" w:hAnsi="Times New Roman" w:cs="Times New Roman"/>
          <w:snapToGrid w:val="0"/>
          <w:kern w:val="0"/>
          <w:sz w:val="22"/>
          <w:szCs w:val="20"/>
          <w14:ligatures w14:val="none"/>
        </w:rPr>
        <w:t>Giliųjų venų trombozės (GVT) bei plaučių embolijos (PE) gydymas ir pasikartojančios GVT bei PE profilaktika suaugusiesiems (apie PE sergančius pacientus, kurių nestabili hemodinamika, žr. 4.4 skyrių).</w:t>
      </w:r>
    </w:p>
    <w:p w14:paraId="0C489264" w14:textId="77777777" w:rsidR="00C95D96" w:rsidRPr="00AD1A35"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4EA61707" w14:textId="77777777" w:rsidR="00EF4F01" w:rsidRPr="00AD1A35" w:rsidRDefault="00EF4F01" w:rsidP="00EF4F01">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r w:rsidRPr="00AD1A35">
        <w:rPr>
          <w:rFonts w:ascii="Times New Roman" w:eastAsia="Times New Roman" w:hAnsi="Times New Roman" w:cs="Times New Roman"/>
          <w:snapToGrid w:val="0"/>
          <w:kern w:val="0"/>
          <w:sz w:val="22"/>
          <w:szCs w:val="28"/>
          <w:u w:val="single"/>
          <w:lang w:eastAsia="x-none"/>
          <w14:ligatures w14:val="none"/>
        </w:rPr>
        <w:t>Vaikų populiacija</w:t>
      </w:r>
    </w:p>
    <w:p w14:paraId="54CE36AB" w14:textId="77777777" w:rsidR="00EF4F01" w:rsidRPr="00AD1A35" w:rsidRDefault="00EF4F01" w:rsidP="00EF4F01">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061410C5" w14:textId="0282E9DB" w:rsidR="00EF4F01" w:rsidRPr="00AD1A35" w:rsidRDefault="00EF4F01" w:rsidP="00EF4F01">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r w:rsidRPr="00AD1A35">
        <w:rPr>
          <w:rFonts w:ascii="Times New Roman" w:eastAsia="Times New Roman" w:hAnsi="Times New Roman" w:cs="Times New Roman"/>
          <w:snapToGrid w:val="0"/>
          <w:kern w:val="0"/>
          <w:sz w:val="22"/>
          <w:szCs w:val="28"/>
          <w:lang w:eastAsia="x-none"/>
          <w14:ligatures w14:val="none"/>
        </w:rPr>
        <w:t>Venų tromboembolijos (VTE) gydymas ir VTE pasikartojimo profilaktika pacientams vaikams nuo 28 dienų iki mažiau kaip 18 metų.</w:t>
      </w:r>
    </w:p>
    <w:p w14:paraId="0AB10B1D" w14:textId="77777777" w:rsidR="00EF4F01" w:rsidRPr="00AD1A35" w:rsidRDefault="00EF4F01"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5724BBC0"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4.2</w:t>
      </w:r>
      <w:r w:rsidRPr="00D21DFA">
        <w:rPr>
          <w:rFonts w:ascii="Times New Roman" w:eastAsia="Times New Roman" w:hAnsi="Times New Roman" w:cs="Times New Roman"/>
          <w:b/>
          <w:bCs/>
          <w:snapToGrid w:val="0"/>
          <w:kern w:val="0"/>
          <w:sz w:val="22"/>
          <w:szCs w:val="28"/>
          <w:lang w:eastAsia="x-none"/>
          <w14:ligatures w14:val="none"/>
        </w:rPr>
        <w:tab/>
        <w:t>Dozavimas ir vartojimo metodas</w:t>
      </w:r>
    </w:p>
    <w:p w14:paraId="3743A22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8B046C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Dozavimas</w:t>
      </w:r>
    </w:p>
    <w:p w14:paraId="5D97F1E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927C179" w14:textId="334443B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Insulto ir sisteminės embolijos profilaktika </w:t>
      </w:r>
      <w:r w:rsidR="00EF4F01" w:rsidRPr="00D21DFA">
        <w:rPr>
          <w:rFonts w:ascii="Times New Roman" w:eastAsia="Times New Roman" w:hAnsi="Times New Roman" w:cs="Times New Roman"/>
          <w:i/>
          <w:snapToGrid w:val="0"/>
          <w:kern w:val="0"/>
          <w:sz w:val="22"/>
          <w:szCs w:val="20"/>
          <w:u w:val="single"/>
          <w14:ligatures w14:val="none"/>
        </w:rPr>
        <w:t xml:space="preserve">suaugusiems </w:t>
      </w:r>
      <w:r w:rsidRPr="00D21DFA">
        <w:rPr>
          <w:rFonts w:ascii="Times New Roman" w:eastAsia="Times New Roman" w:hAnsi="Times New Roman" w:cs="Times New Roman"/>
          <w:i/>
          <w:snapToGrid w:val="0"/>
          <w:kern w:val="0"/>
          <w:sz w:val="22"/>
          <w:szCs w:val="20"/>
          <w:u w:val="single"/>
          <w14:ligatures w14:val="none"/>
        </w:rPr>
        <w:t xml:space="preserve">pacientams, </w:t>
      </w:r>
      <w:r w:rsidR="006E33E9" w:rsidRPr="00D21DFA">
        <w:rPr>
          <w:rFonts w:ascii="Times New Roman" w:eastAsia="Times New Roman" w:hAnsi="Times New Roman" w:cs="Times New Roman"/>
          <w:i/>
          <w:snapToGrid w:val="0"/>
          <w:kern w:val="0"/>
          <w:sz w:val="22"/>
          <w:szCs w:val="20"/>
          <w:u w:val="single"/>
          <w14:ligatures w14:val="none"/>
        </w:rPr>
        <w:t>sergantiems</w:t>
      </w:r>
      <w:r w:rsidRPr="00D21DFA">
        <w:rPr>
          <w:rFonts w:ascii="Times New Roman" w:eastAsia="Times New Roman" w:hAnsi="Times New Roman" w:cs="Times New Roman"/>
          <w:i/>
          <w:snapToGrid w:val="0"/>
          <w:kern w:val="0"/>
          <w:sz w:val="22"/>
          <w:szCs w:val="20"/>
          <w:u w:val="single"/>
          <w14:ligatures w14:val="none"/>
        </w:rPr>
        <w:t xml:space="preserve"> su vožtuv</w:t>
      </w:r>
      <w:r w:rsidR="006E33E9" w:rsidRPr="00D21DFA">
        <w:rPr>
          <w:rFonts w:ascii="Times New Roman" w:eastAsia="Times New Roman" w:hAnsi="Times New Roman" w:cs="Times New Roman"/>
          <w:i/>
          <w:snapToGrid w:val="0"/>
          <w:kern w:val="0"/>
          <w:sz w:val="22"/>
          <w:szCs w:val="20"/>
          <w:u w:val="single"/>
          <w14:ligatures w14:val="none"/>
        </w:rPr>
        <w:t>ų liga</w:t>
      </w:r>
      <w:r w:rsidRPr="00D21DFA">
        <w:rPr>
          <w:rFonts w:ascii="Times New Roman" w:eastAsia="Times New Roman" w:hAnsi="Times New Roman" w:cs="Times New Roman"/>
          <w:i/>
          <w:snapToGrid w:val="0"/>
          <w:kern w:val="0"/>
          <w:sz w:val="22"/>
          <w:szCs w:val="20"/>
          <w:u w:val="single"/>
          <w14:ligatures w14:val="none"/>
        </w:rPr>
        <w:t xml:space="preserve"> nesusij</w:t>
      </w:r>
      <w:r w:rsidR="006E33E9" w:rsidRPr="00D21DFA">
        <w:rPr>
          <w:rFonts w:ascii="Times New Roman" w:eastAsia="Times New Roman" w:hAnsi="Times New Roman" w:cs="Times New Roman"/>
          <w:i/>
          <w:snapToGrid w:val="0"/>
          <w:kern w:val="0"/>
          <w:sz w:val="22"/>
          <w:szCs w:val="20"/>
          <w:u w:val="single"/>
          <w14:ligatures w14:val="none"/>
        </w:rPr>
        <w:t>usiu</w:t>
      </w:r>
      <w:r w:rsidRPr="00D21DFA">
        <w:rPr>
          <w:rFonts w:ascii="Times New Roman" w:eastAsia="Times New Roman" w:hAnsi="Times New Roman" w:cs="Times New Roman"/>
          <w:i/>
          <w:snapToGrid w:val="0"/>
          <w:kern w:val="0"/>
          <w:sz w:val="22"/>
          <w:szCs w:val="20"/>
          <w:u w:val="single"/>
          <w14:ligatures w14:val="none"/>
        </w:rPr>
        <w:t xml:space="preserve"> prieširdžių</w:t>
      </w:r>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snapToGrid w:val="0"/>
          <w:kern w:val="0"/>
          <w:sz w:val="22"/>
          <w:szCs w:val="20"/>
          <w:u w:val="single"/>
          <w14:ligatures w14:val="none"/>
        </w:rPr>
        <w:t>virpėjim</w:t>
      </w:r>
      <w:r w:rsidR="006E33E9" w:rsidRPr="00D21DFA">
        <w:rPr>
          <w:rFonts w:ascii="Times New Roman" w:eastAsia="Times New Roman" w:hAnsi="Times New Roman" w:cs="Times New Roman"/>
          <w:i/>
          <w:snapToGrid w:val="0"/>
          <w:kern w:val="0"/>
          <w:sz w:val="22"/>
          <w:szCs w:val="20"/>
          <w:u w:val="single"/>
          <w14:ligatures w14:val="none"/>
        </w:rPr>
        <w:t>u</w:t>
      </w:r>
      <w:r w:rsidRPr="00D21DFA">
        <w:rPr>
          <w:rFonts w:ascii="Times New Roman" w:eastAsia="Times New Roman" w:hAnsi="Times New Roman" w:cs="Times New Roman"/>
          <w:i/>
          <w:snapToGrid w:val="0"/>
          <w:kern w:val="0"/>
          <w:sz w:val="22"/>
          <w:szCs w:val="20"/>
          <w:u w:val="single"/>
          <w14:ligatures w14:val="none"/>
        </w:rPr>
        <w:t xml:space="preserve"> (VNPV) </w:t>
      </w:r>
    </w:p>
    <w:p w14:paraId="75360C4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yra 5 mg, vartojama per burną du kartus per parą. </w:t>
      </w:r>
    </w:p>
    <w:p w14:paraId="3582116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E18D6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Dozės mažinimas </w:t>
      </w:r>
    </w:p>
    <w:p w14:paraId="3CF9A59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yra 2,5 mg, vartojama per burną du kartus per parą pacientams, kuriems yra VNPV ir bent dvi iš toliau išvardytų savybių: amžius ≥ 80 metų, svoris ≤ 60 kg arba kreatinino koncentracija serume ≥ 1,5 mg/dl (133 </w:t>
      </w:r>
      <w:proofErr w:type="spellStart"/>
      <w:r w:rsidRPr="00D21DFA">
        <w:rPr>
          <w:rFonts w:ascii="Times New Roman" w:eastAsia="Times New Roman" w:hAnsi="Times New Roman" w:cs="Times New Roman"/>
          <w:snapToGrid w:val="0"/>
          <w:kern w:val="0"/>
          <w:sz w:val="22"/>
          <w:szCs w:val="20"/>
          <w14:ligatures w14:val="none"/>
        </w:rPr>
        <w:t>mikromoliai</w:t>
      </w:r>
      <w:proofErr w:type="spellEnd"/>
      <w:r w:rsidRPr="00D21DFA">
        <w:rPr>
          <w:rFonts w:ascii="Times New Roman" w:eastAsia="Times New Roman" w:hAnsi="Times New Roman" w:cs="Times New Roman"/>
          <w:snapToGrid w:val="0"/>
          <w:kern w:val="0"/>
          <w:sz w:val="22"/>
          <w:szCs w:val="20"/>
          <w14:ligatures w14:val="none"/>
        </w:rPr>
        <w:t xml:space="preserve">/l). </w:t>
      </w:r>
    </w:p>
    <w:p w14:paraId="50528C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9E564B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Gydymas turi būti tęsiamas ilgą laiką. </w:t>
      </w:r>
    </w:p>
    <w:p w14:paraId="4054B1B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C339EE4" w14:textId="7C5C5048"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i/>
          <w:kern w:val="0"/>
          <w:sz w:val="22"/>
          <w:szCs w:val="20"/>
          <w:u w:val="single"/>
          <w14:ligatures w14:val="none"/>
        </w:rPr>
      </w:pPr>
      <w:r w:rsidRPr="00D21DFA">
        <w:rPr>
          <w:rFonts w:ascii="Times New Roman" w:eastAsia="Times New Roman" w:hAnsi="Times New Roman" w:cs="Times New Roman"/>
          <w:i/>
          <w:kern w:val="0"/>
          <w:sz w:val="22"/>
          <w:szCs w:val="20"/>
          <w:u w:val="single"/>
          <w14:ligatures w14:val="none"/>
        </w:rPr>
        <w:t>GVT gydymas, PE gydymas ir pasikartojančios GVT bei PE profilaktika (</w:t>
      </w:r>
      <w:proofErr w:type="spellStart"/>
      <w:r w:rsidRPr="00D21DFA">
        <w:rPr>
          <w:rFonts w:ascii="Times New Roman" w:eastAsia="Times New Roman" w:hAnsi="Times New Roman" w:cs="Times New Roman"/>
          <w:i/>
          <w:kern w:val="0"/>
          <w:sz w:val="22"/>
          <w:szCs w:val="20"/>
          <w:u w:val="single"/>
          <w14:ligatures w14:val="none"/>
        </w:rPr>
        <w:t>VTEt</w:t>
      </w:r>
      <w:proofErr w:type="spellEnd"/>
      <w:r w:rsidRPr="00D21DFA">
        <w:rPr>
          <w:rFonts w:ascii="Times New Roman" w:eastAsia="Times New Roman" w:hAnsi="Times New Roman" w:cs="Times New Roman"/>
          <w:i/>
          <w:kern w:val="0"/>
          <w:sz w:val="22"/>
          <w:szCs w:val="20"/>
          <w:u w:val="single"/>
          <w14:ligatures w14:val="none"/>
        </w:rPr>
        <w:t>)</w:t>
      </w:r>
      <w:r w:rsidR="00EF4F01" w:rsidRPr="00D21DFA">
        <w:rPr>
          <w:rFonts w:ascii="Times New Roman" w:eastAsia="Times New Roman" w:hAnsi="Times New Roman" w:cs="Times New Roman"/>
          <w:i/>
          <w:kern w:val="0"/>
          <w:sz w:val="22"/>
          <w:szCs w:val="20"/>
          <w:u w:val="single"/>
          <w14:ligatures w14:val="none"/>
        </w:rPr>
        <w:t xml:space="preserve"> suaugusiesiems</w:t>
      </w:r>
    </w:p>
    <w:p w14:paraId="336354A4"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kern w:val="0"/>
          <w:sz w:val="22"/>
          <w:szCs w:val="20"/>
          <w14:ligatures w14:val="none"/>
        </w:rPr>
        <w:t>Pradedant gydyti ūminę GVT arba PE, pirmąsias 7 paras rekomenduojama dozė yra 10 mg du kartus per parą; po to reikia vartoti po 5 mg du kartus per parą. Pagal turimas medicinines rekomendacijas</w:t>
      </w:r>
      <w:r w:rsidRPr="00D21DFA">
        <w:rPr>
          <w:rFonts w:ascii="Times New Roman" w:eastAsia="Times New Roman" w:hAnsi="Times New Roman" w:cs="Times New Roman"/>
          <w:snapToGrid w:val="0"/>
          <w:kern w:val="0"/>
          <w:sz w:val="22"/>
          <w:szCs w:val="20"/>
          <w14:ligatures w14:val="none"/>
        </w:rPr>
        <w:t xml:space="preserve"> trumpalaikis gydymas (bent 3 mėnesius) turi būti pagrįstas laikinais rizikos veiksniais (t. y. neseniai atlikta chirurginė operacija, trauma arba </w:t>
      </w:r>
      <w:proofErr w:type="spellStart"/>
      <w:r w:rsidRPr="00D21DFA">
        <w:rPr>
          <w:rFonts w:ascii="Times New Roman" w:eastAsia="Times New Roman" w:hAnsi="Times New Roman" w:cs="Times New Roman"/>
          <w:snapToGrid w:val="0"/>
          <w:kern w:val="0"/>
          <w:sz w:val="22"/>
          <w:szCs w:val="20"/>
          <w14:ligatures w14:val="none"/>
        </w:rPr>
        <w:t>imobilizacija</w:t>
      </w:r>
      <w:proofErr w:type="spellEnd"/>
      <w:r w:rsidRPr="00D21DFA">
        <w:rPr>
          <w:rFonts w:ascii="Times New Roman" w:eastAsia="Times New Roman" w:hAnsi="Times New Roman" w:cs="Times New Roman"/>
          <w:snapToGrid w:val="0"/>
          <w:kern w:val="0"/>
          <w:sz w:val="22"/>
          <w:szCs w:val="20"/>
          <w14:ligatures w14:val="none"/>
        </w:rPr>
        <w:t>).</w:t>
      </w:r>
    </w:p>
    <w:p w14:paraId="04B2D9D2"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5C5AF047"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pasikartojančios GVT ir PE profilaktikai, rekomenduojama dozė yra 2,5 mg, kuri vartojama per burną du kartus per parą. Jei vaistinis preparatas skiriamas pasikartojančios GVT ir PE profilaktikai, 2,5 mg dozė du kartus per parą turi būti skiriama baigus 6 mėn. trukmės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(po 5 mg du kartus per parą) ar kitu antikoaguliantu kursą, kaip nurodyta toliau 1 lentelėje (taip pat žr. 5.1 skyrių).</w:t>
      </w:r>
    </w:p>
    <w:p w14:paraId="27C0CD54"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p>
    <w:p w14:paraId="2A91DAD2" w14:textId="77777777" w:rsidR="00C95D96" w:rsidRPr="00D21DFA" w:rsidRDefault="00C95D96" w:rsidP="00C95D96">
      <w:pPr>
        <w:tabs>
          <w:tab w:val="left" w:pos="567"/>
          <w:tab w:val="left" w:pos="9214"/>
        </w:tabs>
        <w:snapToGrid w:val="0"/>
        <w:spacing w:after="120" w:line="240" w:lineRule="auto"/>
        <w:ind w:right="-2"/>
        <w:rPr>
          <w:rFonts w:ascii="Times New Roman" w:eastAsia="Times New Roman" w:hAnsi="Times New Roman" w:cs="Times New Roman"/>
          <w:b/>
          <w:bCs/>
          <w:kern w:val="0"/>
          <w:sz w:val="22"/>
          <w:szCs w:val="20"/>
          <w14:ligatures w14:val="none"/>
        </w:rPr>
      </w:pPr>
      <w:r w:rsidRPr="00D21DFA">
        <w:rPr>
          <w:rFonts w:ascii="Times New Roman" w:eastAsia="Times New Roman" w:hAnsi="Times New Roman" w:cs="Times New Roman"/>
          <w:b/>
          <w:bCs/>
          <w:kern w:val="0"/>
          <w:sz w:val="22"/>
          <w:szCs w:val="20"/>
          <w14:ligatures w14:val="none"/>
        </w:rPr>
        <w:t>1 lentelė. Dozės rekomendacijos (</w:t>
      </w:r>
      <w:proofErr w:type="spellStart"/>
      <w:r w:rsidRPr="00D21DFA">
        <w:rPr>
          <w:rFonts w:ascii="Times New Roman" w:eastAsia="Times New Roman" w:hAnsi="Times New Roman" w:cs="Times New Roman"/>
          <w:b/>
          <w:bCs/>
          <w:kern w:val="0"/>
          <w:sz w:val="22"/>
          <w:szCs w:val="20"/>
          <w14:ligatures w14:val="none"/>
        </w:rPr>
        <w:t>VTEt</w:t>
      </w:r>
      <w:proofErr w:type="spellEnd"/>
      <w:r w:rsidRPr="00D21DFA">
        <w:rPr>
          <w:rFonts w:ascii="Times New Roman" w:eastAsia="Times New Roman" w:hAnsi="Times New Roman" w:cs="Times New Roman"/>
          <w:b/>
          <w:bCs/>
          <w:kern w:val="0"/>
          <w:sz w:val="22"/>
          <w:szCs w:val="20"/>
          <w14:ligatures w14:val="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8"/>
        <w:gridCol w:w="2649"/>
      </w:tblGrid>
      <w:tr w:rsidR="00C95D96" w:rsidRPr="00D21DFA" w14:paraId="71543967" w14:textId="77777777" w:rsidTr="00446D67">
        <w:tc>
          <w:tcPr>
            <w:tcW w:w="3148" w:type="dxa"/>
          </w:tcPr>
          <w:p w14:paraId="388472D2"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tc>
        <w:tc>
          <w:tcPr>
            <w:tcW w:w="3260" w:type="dxa"/>
          </w:tcPr>
          <w:p w14:paraId="4C35B589" w14:textId="77777777" w:rsidR="00C95D96" w:rsidRPr="00D21DFA" w:rsidRDefault="00C95D96" w:rsidP="00C95D96">
            <w:pPr>
              <w:tabs>
                <w:tab w:val="left" w:pos="567"/>
                <w:tab w:val="left" w:pos="9072"/>
                <w:tab w:val="left" w:pos="9214"/>
              </w:tabs>
              <w:snapToGrid w:val="0"/>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Dozavimo režimas</w:t>
            </w:r>
          </w:p>
        </w:tc>
        <w:tc>
          <w:tcPr>
            <w:tcW w:w="2693" w:type="dxa"/>
          </w:tcPr>
          <w:p w14:paraId="43821B0A" w14:textId="77777777" w:rsidR="00C95D96" w:rsidRPr="00D21DFA" w:rsidRDefault="00C95D96" w:rsidP="00C95D96">
            <w:pPr>
              <w:tabs>
                <w:tab w:val="left" w:pos="567"/>
                <w:tab w:val="left" w:pos="9072"/>
                <w:tab w:val="left" w:pos="9214"/>
              </w:tabs>
              <w:snapToGrid w:val="0"/>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Didžiausia paros dozė</w:t>
            </w:r>
          </w:p>
        </w:tc>
      </w:tr>
      <w:tr w:rsidR="00C95D96" w:rsidRPr="00D21DFA" w14:paraId="7FF029DF" w14:textId="77777777" w:rsidTr="00446D67">
        <w:trPr>
          <w:trHeight w:val="378"/>
        </w:trPr>
        <w:tc>
          <w:tcPr>
            <w:tcW w:w="3148" w:type="dxa"/>
            <w:vMerge w:val="restart"/>
          </w:tcPr>
          <w:p w14:paraId="472B1E67"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 xml:space="preserve">GVT ir PE gydymas </w:t>
            </w:r>
          </w:p>
        </w:tc>
        <w:tc>
          <w:tcPr>
            <w:tcW w:w="3260" w:type="dxa"/>
          </w:tcPr>
          <w:p w14:paraId="5C3A242B"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10 mg du kartus per parą pirmas 7 paras</w:t>
            </w:r>
          </w:p>
        </w:tc>
        <w:tc>
          <w:tcPr>
            <w:tcW w:w="2693" w:type="dxa"/>
          </w:tcPr>
          <w:p w14:paraId="3D8A5BCA"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 xml:space="preserve">20 mg </w:t>
            </w:r>
          </w:p>
        </w:tc>
      </w:tr>
      <w:tr w:rsidR="00C95D96" w:rsidRPr="00D21DFA" w14:paraId="71322ED4" w14:textId="77777777" w:rsidTr="00446D67">
        <w:trPr>
          <w:trHeight w:val="378"/>
        </w:trPr>
        <w:tc>
          <w:tcPr>
            <w:tcW w:w="3148" w:type="dxa"/>
            <w:vMerge/>
          </w:tcPr>
          <w:p w14:paraId="3B8359E1"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p>
        </w:tc>
        <w:tc>
          <w:tcPr>
            <w:tcW w:w="3260" w:type="dxa"/>
          </w:tcPr>
          <w:p w14:paraId="391BEEF8"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Po to 5 mg du kartus per parą</w:t>
            </w:r>
          </w:p>
        </w:tc>
        <w:tc>
          <w:tcPr>
            <w:tcW w:w="2693" w:type="dxa"/>
          </w:tcPr>
          <w:p w14:paraId="7FAB7EF3"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 xml:space="preserve">10 mg </w:t>
            </w:r>
          </w:p>
        </w:tc>
      </w:tr>
      <w:tr w:rsidR="00C95D96" w:rsidRPr="00D21DFA" w14:paraId="41FB8B3D" w14:textId="77777777" w:rsidTr="00446D67">
        <w:tc>
          <w:tcPr>
            <w:tcW w:w="3148" w:type="dxa"/>
          </w:tcPr>
          <w:p w14:paraId="2D3B7347" w14:textId="77777777" w:rsidR="00C95D96" w:rsidRPr="00D21DFA" w:rsidRDefault="00C95D96" w:rsidP="00C95D96">
            <w:pPr>
              <w:tabs>
                <w:tab w:val="left" w:pos="9072"/>
                <w:tab w:val="left" w:pos="9214"/>
              </w:tabs>
              <w:autoSpaceDE w:val="0"/>
              <w:autoSpaceDN w:val="0"/>
              <w:adjustRightInd w:val="0"/>
              <w:spacing w:after="0" w:line="240" w:lineRule="auto"/>
              <w:ind w:right="-2"/>
              <w:rPr>
                <w:rFonts w:ascii="Times New Roman" w:eastAsia="SimSun" w:hAnsi="Times New Roman" w:cs="Times New Roman"/>
                <w:color w:val="000000"/>
                <w:kern w:val="0"/>
                <w:sz w:val="22"/>
                <w:szCs w:val="22"/>
                <w:lang w:eastAsia="zh-CN"/>
                <w14:ligatures w14:val="none"/>
              </w:rPr>
            </w:pPr>
            <w:r w:rsidRPr="00D21DFA">
              <w:rPr>
                <w:rFonts w:ascii="Times New Roman" w:eastAsia="SimSun" w:hAnsi="Times New Roman" w:cs="Times New Roman"/>
                <w:color w:val="000000"/>
                <w:kern w:val="0"/>
                <w:sz w:val="22"/>
                <w:szCs w:val="22"/>
                <w:lang w:eastAsia="zh-CN"/>
                <w14:ligatures w14:val="none"/>
              </w:rPr>
              <w:t>Pasikartojančios GVT ir (arba) PE profilaktika užbaigus GVT arba PE 6 mėn. gydymą</w:t>
            </w:r>
          </w:p>
        </w:tc>
        <w:tc>
          <w:tcPr>
            <w:tcW w:w="3260" w:type="dxa"/>
          </w:tcPr>
          <w:p w14:paraId="5CC232CC"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2123AB4E"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706F9817"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du kartus per parą </w:t>
            </w:r>
          </w:p>
        </w:tc>
        <w:tc>
          <w:tcPr>
            <w:tcW w:w="2693" w:type="dxa"/>
          </w:tcPr>
          <w:p w14:paraId="042A9283"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70434B48"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60AC02FD" w14:textId="77777777" w:rsidR="00C95D96" w:rsidRPr="00D21DFA" w:rsidRDefault="00C95D96" w:rsidP="00C95D96">
            <w:pPr>
              <w:tabs>
                <w:tab w:val="left" w:pos="567"/>
                <w:tab w:val="left" w:pos="9072"/>
                <w:tab w:val="left" w:pos="9214"/>
              </w:tabs>
              <w:snapToGrid w:val="0"/>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mg </w:t>
            </w:r>
          </w:p>
        </w:tc>
      </w:tr>
    </w:tbl>
    <w:p w14:paraId="6A196924" w14:textId="77777777" w:rsidR="00C95D96" w:rsidRPr="00D21DFA" w:rsidRDefault="00C95D96" w:rsidP="00C95D96">
      <w:pPr>
        <w:tabs>
          <w:tab w:val="left" w:pos="567"/>
          <w:tab w:val="left" w:pos="9214"/>
        </w:tabs>
        <w:snapToGrid w:val="0"/>
        <w:spacing w:after="0" w:line="240" w:lineRule="auto"/>
        <w:ind w:right="-2"/>
        <w:rPr>
          <w:rFonts w:ascii="Times New Roman" w:eastAsia="Times New Roman" w:hAnsi="Times New Roman" w:cs="Times New Roman"/>
          <w:kern w:val="0"/>
          <w:sz w:val="22"/>
          <w:szCs w:val="22"/>
          <w14:ligatures w14:val="none"/>
        </w:rPr>
      </w:pPr>
    </w:p>
    <w:p w14:paraId="6BE37CF1"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Bendra gydymo trukmė turi būti nustatoma individualiai, kruopščiai įvertinus gydymo naudą ir kraujavimo riziką (žr. 4.4 skyrių).</w:t>
      </w:r>
    </w:p>
    <w:p w14:paraId="5626D16E" w14:textId="77777777" w:rsidR="00EF4F01" w:rsidRPr="00D21DFA" w:rsidRDefault="00EF4F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ADAE5F7" w14:textId="77777777" w:rsidR="00EF4F01" w:rsidRPr="00AD1A35" w:rsidRDefault="00EF4F01" w:rsidP="00EF4F01">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AD1A35">
        <w:rPr>
          <w:rFonts w:ascii="Times New Roman" w:eastAsia="Times New Roman" w:hAnsi="Times New Roman" w:cs="Times New Roman"/>
          <w:i/>
          <w:iCs/>
          <w:snapToGrid w:val="0"/>
          <w:kern w:val="0"/>
          <w:sz w:val="22"/>
          <w:szCs w:val="20"/>
          <w:u w:val="single"/>
          <w14:ligatures w14:val="none"/>
        </w:rPr>
        <w:t>VTE gydymas ir VTE pasikartojimo profilaktika pacientams vaikams</w:t>
      </w:r>
    </w:p>
    <w:p w14:paraId="1AB50907" w14:textId="73522C94"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Vaikų, kurių amžius nuo 28 dienų iki mažiau kaip 18 metų, gydymą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reikia pradėti po mažiausiai 5</w:t>
      </w:r>
      <w:r w:rsidR="00A4257D">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 xml:space="preserve">dienų trukmės pradinės </w:t>
      </w:r>
      <w:proofErr w:type="spellStart"/>
      <w:r w:rsidRPr="00D21DFA">
        <w:rPr>
          <w:rFonts w:ascii="Times New Roman" w:eastAsia="Times New Roman" w:hAnsi="Times New Roman" w:cs="Times New Roman"/>
          <w:snapToGrid w:val="0"/>
          <w:kern w:val="0"/>
          <w:sz w:val="22"/>
          <w:szCs w:val="20"/>
          <w14:ligatures w14:val="none"/>
        </w:rPr>
        <w:t>parenterinės</w:t>
      </w:r>
      <w:proofErr w:type="spellEnd"/>
      <w:r w:rsidRPr="00D21DFA">
        <w:rPr>
          <w:rFonts w:ascii="Times New Roman" w:eastAsia="Times New Roman" w:hAnsi="Times New Roman" w:cs="Times New Roman"/>
          <w:snapToGrid w:val="0"/>
          <w:kern w:val="0"/>
          <w:sz w:val="22"/>
          <w:szCs w:val="20"/>
          <w14:ligatures w14:val="none"/>
        </w:rPr>
        <w:t xml:space="preserve"> antikoaguliantų terapijos (žr. 5.1 skyrių).</w:t>
      </w:r>
    </w:p>
    <w:p w14:paraId="2E281248" w14:textId="77777777"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53320C" w14:textId="3285288C"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Gydant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vaikus, dozė parenkama pagal kūno masės kategoriją. Rekomenduojama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vaikams, kurių kūno masė ≥</w:t>
      </w:r>
      <w:r w:rsidR="00A4257D">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35 kg, pateikta 2 lentelėje.</w:t>
      </w:r>
    </w:p>
    <w:p w14:paraId="144861F3" w14:textId="77777777"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1A4F47" w14:textId="77777777" w:rsidR="00EF4F01" w:rsidRPr="00D21DFA" w:rsidRDefault="00EF4F01" w:rsidP="00AD1A35">
      <w:pPr>
        <w:tabs>
          <w:tab w:val="left" w:pos="567"/>
          <w:tab w:val="left" w:pos="9214"/>
        </w:tabs>
        <w:spacing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2 lentelė. Dozės rekomendacijos VTE gydymui ir VTE pasikartojimo profilaktikai pacientams vaikams, kurių kūno masė ≥ 35 kg</w:t>
      </w:r>
      <w:r w:rsidR="00B23F6B">
        <w:rPr>
          <w:rFonts w:ascii="Times New Roman" w:eastAsia="Times New Roman" w:hAnsi="Times New Roman" w:cs="Times New Roman"/>
          <w:b/>
          <w:bCs/>
          <w:snapToGrid w:val="0"/>
          <w:kern w:val="0"/>
          <w:sz w:val="22"/>
          <w:szCs w:val="20"/>
          <w14:ligatures w14:val="none"/>
        </w:rPr>
        <w:t xml:space="preserve"> </w:t>
      </w:r>
      <w:r w:rsidR="00B23F6B" w:rsidRPr="00463BF0">
        <w:rPr>
          <w:rFonts w:ascii="Times New Roman" w:eastAsia="Times New Roman" w:hAnsi="Times New Roman" w:cs="Times New Roman"/>
          <w:b/>
          <w:bCs/>
          <w:snapToGrid w:val="0"/>
          <w:kern w:val="0"/>
          <w:sz w:val="22"/>
          <w:szCs w:val="20"/>
          <w14:ligatures w14:val="none"/>
        </w:rPr>
        <w:t xml:space="preserve">(po pradinės </w:t>
      </w:r>
      <w:proofErr w:type="spellStart"/>
      <w:r w:rsidR="00B23F6B" w:rsidRPr="00463BF0">
        <w:rPr>
          <w:rFonts w:ascii="Times New Roman" w:eastAsia="Times New Roman" w:hAnsi="Times New Roman" w:cs="Times New Roman"/>
          <w:b/>
          <w:bCs/>
          <w:snapToGrid w:val="0"/>
          <w:kern w:val="0"/>
          <w:sz w:val="22"/>
          <w:szCs w:val="20"/>
          <w14:ligatures w14:val="none"/>
        </w:rPr>
        <w:t>parenterinės</w:t>
      </w:r>
      <w:proofErr w:type="spellEnd"/>
      <w:r w:rsidR="00B23F6B" w:rsidRPr="00463BF0">
        <w:rPr>
          <w:rFonts w:ascii="Times New Roman" w:eastAsia="Times New Roman" w:hAnsi="Times New Roman" w:cs="Times New Roman"/>
          <w:b/>
          <w:bCs/>
          <w:snapToGrid w:val="0"/>
          <w:kern w:val="0"/>
          <w:sz w:val="22"/>
          <w:szCs w:val="20"/>
          <w14:ligatures w14:val="none"/>
        </w:rPr>
        <w:t xml:space="preserve"> antikoaguliantų terapijos)</w:t>
      </w:r>
    </w:p>
    <w:tbl>
      <w:tblPr>
        <w:tblW w:w="9060" w:type="dxa"/>
        <w:tblInd w:w="-105" w:type="dxa"/>
        <w:tblCellMar>
          <w:top w:w="9" w:type="dxa"/>
          <w:left w:w="115" w:type="dxa"/>
          <w:right w:w="115" w:type="dxa"/>
        </w:tblCellMar>
        <w:tblLook w:val="04A0" w:firstRow="1" w:lastRow="0" w:firstColumn="1" w:lastColumn="0" w:noHBand="0" w:noVBand="1"/>
      </w:tblPr>
      <w:tblGrid>
        <w:gridCol w:w="1726"/>
        <w:gridCol w:w="1776"/>
        <w:gridCol w:w="1928"/>
        <w:gridCol w:w="1876"/>
        <w:gridCol w:w="1754"/>
      </w:tblGrid>
      <w:tr w:rsidR="00EF4F01" w:rsidRPr="00D21DFA" w14:paraId="4F88944C" w14:textId="77777777" w:rsidTr="000760BC">
        <w:trPr>
          <w:trHeight w:val="318"/>
        </w:trPr>
        <w:tc>
          <w:tcPr>
            <w:tcW w:w="1726" w:type="dxa"/>
            <w:tcBorders>
              <w:top w:val="single" w:sz="4" w:space="0" w:color="000000"/>
              <w:left w:val="single" w:sz="4" w:space="0" w:color="000000"/>
              <w:bottom w:val="single" w:sz="4" w:space="0" w:color="000000"/>
              <w:right w:val="single" w:sz="4" w:space="0" w:color="000000"/>
            </w:tcBorders>
          </w:tcPr>
          <w:p w14:paraId="527AC452"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p>
        </w:tc>
        <w:tc>
          <w:tcPr>
            <w:tcW w:w="3704" w:type="dxa"/>
            <w:gridSpan w:val="2"/>
            <w:tcBorders>
              <w:top w:val="single" w:sz="4" w:space="0" w:color="000000"/>
              <w:left w:val="single" w:sz="4" w:space="0" w:color="000000"/>
              <w:bottom w:val="single" w:sz="4" w:space="0" w:color="000000"/>
              <w:right w:val="single" w:sz="4" w:space="0" w:color="000000"/>
            </w:tcBorders>
          </w:tcPr>
          <w:p w14:paraId="4ACA6F9B"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1-7 dienos </w:t>
            </w:r>
          </w:p>
        </w:tc>
        <w:tc>
          <w:tcPr>
            <w:tcW w:w="3630" w:type="dxa"/>
            <w:gridSpan w:val="2"/>
            <w:tcBorders>
              <w:top w:val="single" w:sz="4" w:space="0" w:color="000000"/>
              <w:left w:val="single" w:sz="4" w:space="0" w:color="000000"/>
              <w:bottom w:val="single" w:sz="4" w:space="0" w:color="000000"/>
              <w:right w:val="single" w:sz="4" w:space="0" w:color="000000"/>
            </w:tcBorders>
          </w:tcPr>
          <w:p w14:paraId="532863C6"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8 diena ir vėliau</w:t>
            </w:r>
          </w:p>
        </w:tc>
      </w:tr>
      <w:tr w:rsidR="00EF4F01" w:rsidRPr="00D21DFA" w14:paraId="1B53F7FC" w14:textId="77777777" w:rsidTr="000760BC">
        <w:trPr>
          <w:trHeight w:val="572"/>
        </w:trPr>
        <w:tc>
          <w:tcPr>
            <w:tcW w:w="1726" w:type="dxa"/>
            <w:tcBorders>
              <w:top w:val="single" w:sz="4" w:space="0" w:color="000000"/>
              <w:left w:val="single" w:sz="4" w:space="0" w:color="000000"/>
              <w:bottom w:val="single" w:sz="4" w:space="0" w:color="000000"/>
              <w:right w:val="single" w:sz="4" w:space="0" w:color="000000"/>
            </w:tcBorders>
          </w:tcPr>
          <w:p w14:paraId="45ADFAA1" w14:textId="39715A4D"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Kūno </w:t>
            </w:r>
            <w:r w:rsidR="00A4257D">
              <w:rPr>
                <w:rFonts w:ascii="Times New Roman" w:hAnsi="Times New Roman" w:cs="Times New Roman"/>
                <w:snapToGrid w:val="0"/>
                <w:szCs w:val="20"/>
              </w:rPr>
              <w:t>masė</w:t>
            </w:r>
            <w:r w:rsidRPr="00D21DFA">
              <w:rPr>
                <w:rFonts w:ascii="Times New Roman" w:hAnsi="Times New Roman" w:cs="Times New Roman"/>
                <w:snapToGrid w:val="0"/>
                <w:szCs w:val="20"/>
              </w:rPr>
              <w:t xml:space="preserve"> (kg) </w:t>
            </w:r>
          </w:p>
        </w:tc>
        <w:tc>
          <w:tcPr>
            <w:tcW w:w="1776" w:type="dxa"/>
            <w:tcBorders>
              <w:top w:val="single" w:sz="4" w:space="0" w:color="000000"/>
              <w:left w:val="single" w:sz="4" w:space="0" w:color="000000"/>
              <w:bottom w:val="single" w:sz="4" w:space="0" w:color="000000"/>
              <w:right w:val="single" w:sz="4" w:space="0" w:color="000000"/>
            </w:tcBorders>
          </w:tcPr>
          <w:p w14:paraId="3E74D638"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Dozavimo grafikas </w:t>
            </w:r>
          </w:p>
        </w:tc>
        <w:tc>
          <w:tcPr>
            <w:tcW w:w="1928" w:type="dxa"/>
            <w:tcBorders>
              <w:top w:val="single" w:sz="4" w:space="0" w:color="000000"/>
              <w:left w:val="single" w:sz="4" w:space="0" w:color="000000"/>
              <w:bottom w:val="single" w:sz="4" w:space="0" w:color="000000"/>
              <w:right w:val="single" w:sz="4" w:space="0" w:color="000000"/>
            </w:tcBorders>
          </w:tcPr>
          <w:p w14:paraId="234AF31E"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Didžiausia paros dozė </w:t>
            </w:r>
          </w:p>
        </w:tc>
        <w:tc>
          <w:tcPr>
            <w:tcW w:w="1876" w:type="dxa"/>
            <w:tcBorders>
              <w:top w:val="single" w:sz="4" w:space="0" w:color="000000"/>
              <w:left w:val="single" w:sz="4" w:space="0" w:color="000000"/>
              <w:bottom w:val="single" w:sz="4" w:space="0" w:color="000000"/>
              <w:right w:val="single" w:sz="4" w:space="0" w:color="000000"/>
            </w:tcBorders>
          </w:tcPr>
          <w:p w14:paraId="0D5D9866"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Dozavimo grafikas</w:t>
            </w:r>
          </w:p>
        </w:tc>
        <w:tc>
          <w:tcPr>
            <w:tcW w:w="1754" w:type="dxa"/>
            <w:tcBorders>
              <w:top w:val="single" w:sz="4" w:space="0" w:color="000000"/>
              <w:left w:val="single" w:sz="4" w:space="0" w:color="000000"/>
              <w:bottom w:val="single" w:sz="4" w:space="0" w:color="000000"/>
              <w:right w:val="single" w:sz="4" w:space="0" w:color="000000"/>
            </w:tcBorders>
          </w:tcPr>
          <w:p w14:paraId="5AAC3401"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Didžiausia paros dozė</w:t>
            </w:r>
          </w:p>
        </w:tc>
      </w:tr>
      <w:tr w:rsidR="00EF4F01" w:rsidRPr="00D21DFA" w14:paraId="70250A4D" w14:textId="77777777" w:rsidTr="000760BC">
        <w:trPr>
          <w:trHeight w:val="319"/>
        </w:trPr>
        <w:tc>
          <w:tcPr>
            <w:tcW w:w="1726" w:type="dxa"/>
            <w:tcBorders>
              <w:top w:val="single" w:sz="4" w:space="0" w:color="000000"/>
              <w:left w:val="single" w:sz="4" w:space="0" w:color="000000"/>
              <w:bottom w:val="single" w:sz="4" w:space="0" w:color="000000"/>
              <w:right w:val="single" w:sz="4" w:space="0" w:color="000000"/>
            </w:tcBorders>
          </w:tcPr>
          <w:p w14:paraId="7F5D4E6B"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 35 </w:t>
            </w:r>
          </w:p>
        </w:tc>
        <w:tc>
          <w:tcPr>
            <w:tcW w:w="1776" w:type="dxa"/>
            <w:tcBorders>
              <w:top w:val="single" w:sz="4" w:space="0" w:color="000000"/>
              <w:left w:val="single" w:sz="4" w:space="0" w:color="000000"/>
              <w:bottom w:val="single" w:sz="4" w:space="0" w:color="000000"/>
              <w:right w:val="single" w:sz="4" w:space="0" w:color="000000"/>
            </w:tcBorders>
          </w:tcPr>
          <w:p w14:paraId="399650D6"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10 mg du kartus per parą </w:t>
            </w:r>
          </w:p>
        </w:tc>
        <w:tc>
          <w:tcPr>
            <w:tcW w:w="1928" w:type="dxa"/>
            <w:tcBorders>
              <w:top w:val="single" w:sz="4" w:space="0" w:color="000000"/>
              <w:left w:val="single" w:sz="4" w:space="0" w:color="000000"/>
              <w:bottom w:val="single" w:sz="4" w:space="0" w:color="000000"/>
              <w:right w:val="single" w:sz="4" w:space="0" w:color="000000"/>
            </w:tcBorders>
          </w:tcPr>
          <w:p w14:paraId="56A80638"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20 mg </w:t>
            </w:r>
          </w:p>
        </w:tc>
        <w:tc>
          <w:tcPr>
            <w:tcW w:w="1876" w:type="dxa"/>
            <w:tcBorders>
              <w:top w:val="single" w:sz="4" w:space="0" w:color="000000"/>
              <w:left w:val="single" w:sz="4" w:space="0" w:color="000000"/>
              <w:bottom w:val="single" w:sz="4" w:space="0" w:color="000000"/>
              <w:right w:val="single" w:sz="4" w:space="0" w:color="000000"/>
            </w:tcBorders>
          </w:tcPr>
          <w:p w14:paraId="07038271"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5 mg du kartus per parą </w:t>
            </w:r>
          </w:p>
        </w:tc>
        <w:tc>
          <w:tcPr>
            <w:tcW w:w="1754" w:type="dxa"/>
            <w:tcBorders>
              <w:top w:val="single" w:sz="4" w:space="0" w:color="000000"/>
              <w:left w:val="single" w:sz="4" w:space="0" w:color="000000"/>
              <w:bottom w:val="single" w:sz="4" w:space="0" w:color="000000"/>
              <w:right w:val="single" w:sz="4" w:space="0" w:color="000000"/>
            </w:tcBorders>
          </w:tcPr>
          <w:p w14:paraId="2CAFD256" w14:textId="77777777" w:rsidR="00EF4F01" w:rsidRPr="00D21DFA" w:rsidRDefault="00EF4F01" w:rsidP="00EF4F01">
            <w:pPr>
              <w:tabs>
                <w:tab w:val="left" w:pos="567"/>
                <w:tab w:val="left" w:pos="9214"/>
              </w:tabs>
              <w:spacing w:after="0" w:line="240" w:lineRule="auto"/>
              <w:ind w:right="-2"/>
              <w:rPr>
                <w:rFonts w:ascii="Times New Roman" w:hAnsi="Times New Roman" w:cs="Times New Roman"/>
                <w:snapToGrid w:val="0"/>
                <w:szCs w:val="20"/>
              </w:rPr>
            </w:pPr>
            <w:r w:rsidRPr="00D21DFA">
              <w:rPr>
                <w:rFonts w:ascii="Times New Roman" w:hAnsi="Times New Roman" w:cs="Times New Roman"/>
                <w:snapToGrid w:val="0"/>
                <w:szCs w:val="20"/>
              </w:rPr>
              <w:t xml:space="preserve">10 mg </w:t>
            </w:r>
          </w:p>
        </w:tc>
      </w:tr>
    </w:tbl>
    <w:p w14:paraId="4338BC7F" w14:textId="77777777"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32A281E" w14:textId="77777777"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Vaikams, kurių kūno masė &lt; 35 kg, reikia rinktis kitą rinkoje esantį bei pagal svorį tinkamą vaistinį preparatą.</w:t>
      </w:r>
    </w:p>
    <w:p w14:paraId="335206BA" w14:textId="77777777"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D8E2E9" w14:textId="77777777" w:rsidR="00EF4F01" w:rsidRPr="00D21DFA" w:rsidRDefault="00EF4F01" w:rsidP="00EF4F0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Remiantis vaikų populiacijai skirtomis VTE gydymo gairėmis, viso gydymo trukmė turi būti parenkama individualiai, atidžiai įvertinus gydymo naudos ir kraujavimo rizikos santykį (žr. 4.4 skyrių).</w:t>
      </w:r>
    </w:p>
    <w:p w14:paraId="4A8233E6" w14:textId="77777777" w:rsidR="00EF4F01" w:rsidRPr="00D21DFA" w:rsidRDefault="00EF4F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F55A6DD" w14:textId="206A42F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Praleista dozė</w:t>
      </w:r>
      <w:r w:rsidR="00EF4F01" w:rsidRPr="00D21DFA">
        <w:rPr>
          <w:rFonts w:ascii="Times New Roman" w:eastAsia="Times New Roman" w:hAnsi="Times New Roman" w:cs="Times New Roman"/>
          <w:i/>
          <w:snapToGrid w:val="0"/>
          <w:kern w:val="0"/>
          <w:sz w:val="22"/>
          <w:szCs w:val="20"/>
          <w:u w:val="single"/>
          <w14:ligatures w14:val="none"/>
        </w:rPr>
        <w:t xml:space="preserve"> suaugusiesiems ir vaikams</w:t>
      </w:r>
      <w:r w:rsidRPr="00D21DFA">
        <w:rPr>
          <w:rFonts w:ascii="Times New Roman" w:eastAsia="Times New Roman" w:hAnsi="Times New Roman" w:cs="Times New Roman"/>
          <w:i/>
          <w:snapToGrid w:val="0"/>
          <w:kern w:val="0"/>
          <w:sz w:val="22"/>
          <w:szCs w:val="20"/>
          <w:u w:val="single"/>
          <w14:ligatures w14:val="none"/>
        </w:rPr>
        <w:t xml:space="preserve"> </w:t>
      </w:r>
    </w:p>
    <w:p w14:paraId="43EF6AEA" w14:textId="4F554CFF" w:rsidR="00C95D96" w:rsidRPr="00D21DFA" w:rsidRDefault="00EF4F0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Praleistą rytinę </w:t>
      </w:r>
      <w:r w:rsidR="00C95D96" w:rsidRPr="00D21DFA">
        <w:rPr>
          <w:rFonts w:ascii="Times New Roman" w:eastAsia="Times New Roman" w:hAnsi="Times New Roman" w:cs="Times New Roman"/>
          <w:snapToGrid w:val="0"/>
          <w:kern w:val="0"/>
          <w:sz w:val="22"/>
          <w:szCs w:val="20"/>
          <w14:ligatures w14:val="none"/>
        </w:rPr>
        <w:t xml:space="preserve">dozę, </w:t>
      </w:r>
      <w:r w:rsidRPr="00D21DFA">
        <w:rPr>
          <w:rFonts w:ascii="Times New Roman" w:eastAsia="Times New Roman" w:hAnsi="Times New Roman" w:cs="Times New Roman"/>
          <w:snapToGrid w:val="0"/>
          <w:kern w:val="0"/>
          <w:sz w:val="22"/>
          <w:szCs w:val="20"/>
          <w14:ligatures w14:val="none"/>
        </w:rPr>
        <w:t xml:space="preserve">reikia suvartoti iš karto prisiminus ir ją galima vartoti kartu su vakarine doze. Praleistą vakarinę dozę galima vartoti tik tą patį vakarą, </w:t>
      </w:r>
      <w:r w:rsidR="00C95D96" w:rsidRPr="00D21DFA">
        <w:rPr>
          <w:rFonts w:ascii="Times New Roman" w:eastAsia="Times New Roman" w:hAnsi="Times New Roman" w:cs="Times New Roman"/>
          <w:snapToGrid w:val="0"/>
          <w:kern w:val="0"/>
          <w:sz w:val="22"/>
          <w:szCs w:val="20"/>
          <w14:ligatures w14:val="none"/>
        </w:rPr>
        <w:t>pacient</w:t>
      </w:r>
      <w:r w:rsidRPr="00D21DFA">
        <w:rPr>
          <w:rFonts w:ascii="Times New Roman" w:eastAsia="Times New Roman" w:hAnsi="Times New Roman" w:cs="Times New Roman"/>
          <w:snapToGrid w:val="0"/>
          <w:kern w:val="0"/>
          <w:sz w:val="22"/>
          <w:szCs w:val="20"/>
          <w14:ligatures w14:val="none"/>
        </w:rPr>
        <w:t>ui negalima</w:t>
      </w:r>
      <w:r w:rsidR="00C95D96" w:rsidRPr="00D21DFA">
        <w:rPr>
          <w:rFonts w:ascii="Times New Roman" w:eastAsia="Times New Roman" w:hAnsi="Times New Roman" w:cs="Times New Roman"/>
          <w:snapToGrid w:val="0"/>
          <w:kern w:val="0"/>
          <w:sz w:val="22"/>
          <w:szCs w:val="20"/>
          <w14:ligatures w14:val="none"/>
        </w:rPr>
        <w:t xml:space="preserve"> vartoti </w:t>
      </w:r>
      <w:r w:rsidRPr="00D21DFA">
        <w:rPr>
          <w:rFonts w:ascii="Times New Roman" w:eastAsia="Times New Roman" w:hAnsi="Times New Roman" w:cs="Times New Roman"/>
          <w:snapToGrid w:val="0"/>
          <w:kern w:val="0"/>
          <w:sz w:val="22"/>
          <w:szCs w:val="20"/>
          <w14:ligatures w14:val="none"/>
        </w:rPr>
        <w:t>dviejų dozių kitą rytą. Kitą dieną pacientas turi ir toliau vartoti įprastą dozę</w:t>
      </w:r>
      <w:r w:rsidR="00C95D96" w:rsidRPr="00D21DFA">
        <w:rPr>
          <w:rFonts w:ascii="Times New Roman" w:eastAsia="Times New Roman" w:hAnsi="Times New Roman" w:cs="Times New Roman"/>
          <w:snapToGrid w:val="0"/>
          <w:kern w:val="0"/>
          <w:sz w:val="22"/>
          <w:szCs w:val="20"/>
          <w14:ligatures w14:val="none"/>
        </w:rPr>
        <w:t xml:space="preserve"> du kartus per parą</w:t>
      </w:r>
      <w:r w:rsidRPr="00D21DFA">
        <w:rPr>
          <w:rFonts w:ascii="Times New Roman" w:eastAsia="Times New Roman" w:hAnsi="Times New Roman" w:cs="Times New Roman"/>
          <w:snapToGrid w:val="0"/>
          <w:kern w:val="0"/>
          <w:sz w:val="22"/>
          <w:szCs w:val="20"/>
          <w14:ligatures w14:val="none"/>
        </w:rPr>
        <w:t>, kaip rekomenduojama</w:t>
      </w:r>
      <w:r w:rsidR="00C95D96" w:rsidRPr="00D21DFA">
        <w:rPr>
          <w:rFonts w:ascii="Times New Roman" w:eastAsia="Times New Roman" w:hAnsi="Times New Roman" w:cs="Times New Roman"/>
          <w:snapToGrid w:val="0"/>
          <w:kern w:val="0"/>
          <w:sz w:val="22"/>
          <w:szCs w:val="20"/>
          <w14:ligatures w14:val="none"/>
        </w:rPr>
        <w:t xml:space="preserve">. </w:t>
      </w:r>
    </w:p>
    <w:p w14:paraId="52E56BF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66B140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Gydymo keitimas </w:t>
      </w:r>
    </w:p>
    <w:p w14:paraId="14ED419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Gydymą </w:t>
      </w:r>
      <w:proofErr w:type="spellStart"/>
      <w:r w:rsidRPr="00D21DFA">
        <w:rPr>
          <w:rFonts w:ascii="Times New Roman" w:eastAsia="Times New Roman" w:hAnsi="Times New Roman" w:cs="Times New Roman"/>
          <w:snapToGrid w:val="0"/>
          <w:kern w:val="0"/>
          <w:sz w:val="22"/>
          <w:szCs w:val="20"/>
          <w14:ligatures w14:val="none"/>
        </w:rPr>
        <w:t>parenteriniu</w:t>
      </w:r>
      <w:proofErr w:type="spellEnd"/>
      <w:r w:rsidRPr="00D21DFA">
        <w:rPr>
          <w:rFonts w:ascii="Times New Roman" w:eastAsia="Times New Roman" w:hAnsi="Times New Roman" w:cs="Times New Roman"/>
          <w:snapToGrid w:val="0"/>
          <w:kern w:val="0"/>
          <w:sz w:val="22"/>
          <w:szCs w:val="20"/>
          <w14:ligatures w14:val="none"/>
        </w:rPr>
        <w:t xml:space="preserve"> būdu vartojamais antikoaguliantais į gydymą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(ir atvirkščiai) galima pakeisti, atėjus kitos planinės dozės vartojimo laikui (žr. 4.5 skyrių). Kartu šių vaistinių preparatų skirti negalima.</w:t>
      </w:r>
    </w:p>
    <w:p w14:paraId="6CF9216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83626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Gydymo vitamino K antagonistu (VKA) keitimas į gydymą </w:t>
      </w:r>
      <w:proofErr w:type="spellStart"/>
      <w:r w:rsidRPr="00D21DFA">
        <w:rPr>
          <w:rFonts w:ascii="Times New Roman" w:eastAsia="Times New Roman" w:hAnsi="Times New Roman" w:cs="Times New Roman"/>
          <w:bCs/>
          <w:i/>
          <w:snapToGrid w:val="0"/>
          <w:kern w:val="0"/>
          <w:sz w:val="22"/>
          <w:szCs w:val="22"/>
          <w14:ligatures w14:val="none"/>
        </w:rPr>
        <w:t>Apixaban</w:t>
      </w:r>
      <w:proofErr w:type="spellEnd"/>
      <w:r w:rsidRPr="00D21DFA">
        <w:rPr>
          <w:rFonts w:ascii="Times New Roman" w:eastAsia="Times New Roman" w:hAnsi="Times New Roman" w:cs="Times New Roman"/>
          <w:bCs/>
          <w:i/>
          <w:snapToGrid w:val="0"/>
          <w:kern w:val="0"/>
          <w:sz w:val="22"/>
          <w:szCs w:val="22"/>
          <w14:ligatures w14:val="none"/>
        </w:rPr>
        <w:t xml:space="preserve"> </w:t>
      </w:r>
      <w:proofErr w:type="spellStart"/>
      <w:r w:rsidRPr="00D21DFA">
        <w:rPr>
          <w:rFonts w:ascii="Times New Roman" w:eastAsia="Times New Roman" w:hAnsi="Times New Roman" w:cs="Times New Roman"/>
          <w:bCs/>
          <w:i/>
          <w:snapToGrid w:val="0"/>
          <w:kern w:val="0"/>
          <w:sz w:val="22"/>
          <w:szCs w:val="22"/>
          <w14:ligatures w14:val="none"/>
        </w:rPr>
        <w:t>Zentiva</w:t>
      </w:r>
      <w:proofErr w:type="spellEnd"/>
      <w:r w:rsidRPr="00D21DFA">
        <w:rPr>
          <w:rFonts w:ascii="Times New Roman" w:eastAsia="Times New Roman" w:hAnsi="Times New Roman" w:cs="Times New Roman"/>
          <w:i/>
          <w:snapToGrid w:val="0"/>
          <w:kern w:val="0"/>
          <w:sz w:val="22"/>
          <w:szCs w:val="20"/>
          <w14:ligatures w14:val="none"/>
        </w:rPr>
        <w:t xml:space="preserve"> </w:t>
      </w:r>
    </w:p>
    <w:p w14:paraId="4763F31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Paciento gydymą vitamino K antagonistu (VKA) keičiant į gydymą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reikia nutraukti gydymą varfarinu arba kitu VKA ir pradėti vartoti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kai tarptautinis normalizuotasis santykis (TNS) (angl., </w:t>
      </w:r>
      <w:proofErr w:type="spellStart"/>
      <w:r w:rsidRPr="00D21DFA">
        <w:rPr>
          <w:rFonts w:ascii="Times New Roman" w:eastAsia="Times New Roman" w:hAnsi="Times New Roman" w:cs="Times New Roman"/>
          <w:i/>
          <w:snapToGrid w:val="0"/>
          <w:kern w:val="0"/>
          <w:sz w:val="22"/>
          <w:szCs w:val="20"/>
          <w14:ligatures w14:val="none"/>
        </w:rPr>
        <w:t>the</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international</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normalized</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ratio</w:t>
      </w:r>
      <w:proofErr w:type="spellEnd"/>
      <w:r w:rsidRPr="00D21DFA">
        <w:rPr>
          <w:rFonts w:ascii="Times New Roman" w:eastAsia="Times New Roman" w:hAnsi="Times New Roman" w:cs="Times New Roman"/>
          <w:i/>
          <w:snapToGrid w:val="0"/>
          <w:kern w:val="0"/>
          <w:sz w:val="22"/>
          <w:szCs w:val="20"/>
          <w14:ligatures w14:val="none"/>
        </w:rPr>
        <w:t xml:space="preserve"> [INR]</w:t>
      </w:r>
      <w:r w:rsidRPr="00D21DFA">
        <w:rPr>
          <w:rFonts w:ascii="Times New Roman" w:eastAsia="Times New Roman" w:hAnsi="Times New Roman" w:cs="Times New Roman"/>
          <w:snapToGrid w:val="0"/>
          <w:kern w:val="0"/>
          <w:sz w:val="22"/>
          <w:szCs w:val="20"/>
          <w14:ligatures w14:val="none"/>
        </w:rPr>
        <w:t xml:space="preserve">) yra &lt; 2,0. </w:t>
      </w:r>
    </w:p>
    <w:p w14:paraId="6071D77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63610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
          <w:snapToGrid w:val="0"/>
          <w:kern w:val="0"/>
          <w:sz w:val="22"/>
          <w:szCs w:val="20"/>
          <w14:ligatures w14:val="none"/>
        </w:rPr>
        <w:t xml:space="preserve">Gydymo </w:t>
      </w:r>
      <w:proofErr w:type="spellStart"/>
      <w:r w:rsidRPr="00D21DFA">
        <w:rPr>
          <w:rFonts w:ascii="Times New Roman" w:eastAsia="Times New Roman" w:hAnsi="Times New Roman" w:cs="Times New Roman"/>
          <w:bCs/>
          <w:i/>
          <w:snapToGrid w:val="0"/>
          <w:kern w:val="0"/>
          <w:sz w:val="22"/>
          <w:szCs w:val="22"/>
          <w14:ligatures w14:val="none"/>
        </w:rPr>
        <w:t>Apixaban</w:t>
      </w:r>
      <w:proofErr w:type="spellEnd"/>
      <w:r w:rsidRPr="00D21DFA">
        <w:rPr>
          <w:rFonts w:ascii="Times New Roman" w:eastAsia="Times New Roman" w:hAnsi="Times New Roman" w:cs="Times New Roman"/>
          <w:bCs/>
          <w:i/>
          <w:snapToGrid w:val="0"/>
          <w:kern w:val="0"/>
          <w:sz w:val="22"/>
          <w:szCs w:val="22"/>
          <w14:ligatures w14:val="none"/>
        </w:rPr>
        <w:t xml:space="preserve"> </w:t>
      </w:r>
      <w:proofErr w:type="spellStart"/>
      <w:r w:rsidRPr="00D21DFA">
        <w:rPr>
          <w:rFonts w:ascii="Times New Roman" w:eastAsia="Times New Roman" w:hAnsi="Times New Roman" w:cs="Times New Roman"/>
          <w:bCs/>
          <w:i/>
          <w:snapToGrid w:val="0"/>
          <w:kern w:val="0"/>
          <w:sz w:val="22"/>
          <w:szCs w:val="22"/>
          <w14:ligatures w14:val="none"/>
        </w:rPr>
        <w:t>Zentiva</w:t>
      </w:r>
      <w:proofErr w:type="spellEnd"/>
      <w:r w:rsidRPr="00D21DFA">
        <w:rPr>
          <w:rFonts w:ascii="Times New Roman" w:eastAsia="Times New Roman" w:hAnsi="Times New Roman" w:cs="Times New Roman"/>
          <w:i/>
          <w:snapToGrid w:val="0"/>
          <w:kern w:val="0"/>
          <w:sz w:val="22"/>
          <w:szCs w:val="20"/>
          <w14:ligatures w14:val="none"/>
        </w:rPr>
        <w:t xml:space="preserve"> keitimas į gydymą VKA </w:t>
      </w:r>
    </w:p>
    <w:p w14:paraId="218DDB8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Paciento gydymą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keičiant į gydymą VKA, reikia ir toliau vartoti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ne trumpiau kaip 2 paras po to, kai pradedamas gydymas VKA. Po 2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vartojimo kartu su VKA parų, prieš vartojant kitą planinę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dozę, reikia nustatyti TNS.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vartoti kartu su VKA reikia tol, kol TNS taps ≥ 2,0. </w:t>
      </w:r>
    </w:p>
    <w:p w14:paraId="5A2B944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F1D9E2D" w14:textId="77795CFA" w:rsidR="00B23F6B" w:rsidRDefault="00B23F6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B23F6B">
        <w:rPr>
          <w:rFonts w:ascii="Times New Roman" w:eastAsia="Times New Roman" w:hAnsi="Times New Roman" w:cs="Times New Roman"/>
          <w:snapToGrid w:val="0"/>
          <w:kern w:val="0"/>
          <w:sz w:val="22"/>
          <w:szCs w:val="20"/>
          <w14:ligatures w14:val="none"/>
        </w:rPr>
        <w:t>Apie pacientus vaikus duomenų nėra.</w:t>
      </w:r>
    </w:p>
    <w:p w14:paraId="420B64C2" w14:textId="77777777" w:rsidR="00B23F6B" w:rsidRPr="00D21DFA" w:rsidRDefault="00B23F6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E501A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Senyviems pacientams</w:t>
      </w:r>
    </w:p>
    <w:p w14:paraId="707E0A0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Dozės keitimas nereikalingas (žr. 4.4 ir 5.2 skyrius).</w:t>
      </w:r>
    </w:p>
    <w:p w14:paraId="2E54D4D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7760B75" w14:textId="2E3DBA9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VNPV. Dozės keitimas nereikalingas, nebent yra tenkinami</w:t>
      </w:r>
      <w:r w:rsidR="006E33E9" w:rsidRPr="00D21DFA">
        <w:rPr>
          <w:rFonts w:ascii="Times New Roman" w:eastAsia="Times New Roman" w:hAnsi="Times New Roman" w:cs="Times New Roman"/>
          <w:snapToGrid w:val="0"/>
          <w:kern w:val="0"/>
          <w:sz w:val="22"/>
          <w:szCs w:val="20"/>
          <w14:ligatures w14:val="none"/>
        </w:rPr>
        <w:t xml:space="preserve"> kiti</w:t>
      </w:r>
      <w:r w:rsidRPr="00D21DFA">
        <w:rPr>
          <w:rFonts w:ascii="Times New Roman" w:eastAsia="Times New Roman" w:hAnsi="Times New Roman" w:cs="Times New Roman"/>
          <w:snapToGrid w:val="0"/>
          <w:kern w:val="0"/>
          <w:sz w:val="22"/>
          <w:szCs w:val="20"/>
          <w14:ligatures w14:val="none"/>
        </w:rPr>
        <w:t xml:space="preserve"> dozės mažinimo kriterijai (žr. 4.2 skyriaus pradžioje poskyrį „Dozės mažinimas“).</w:t>
      </w:r>
    </w:p>
    <w:p w14:paraId="56A248B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ACB8931" w14:textId="77777777" w:rsidR="00C95D96" w:rsidRPr="00D21DFA" w:rsidRDefault="00C95D96" w:rsidP="00C95D96">
      <w:pPr>
        <w:tabs>
          <w:tab w:val="left" w:pos="567"/>
          <w:tab w:val="left" w:pos="9214"/>
        </w:tabs>
        <w:spacing w:after="0" w:line="240" w:lineRule="auto"/>
        <w:ind w:right="-2"/>
        <w:contextualSpacing/>
        <w:outlineLvl w:val="0"/>
        <w:rPr>
          <w:rFonts w:ascii="Times New Roman" w:eastAsia="Times New Roman" w:hAnsi="Times New Roman" w:cs="Times New Roman"/>
          <w:i/>
          <w:iCs/>
          <w:snapToGrid w:val="0"/>
          <w:color w:val="000000"/>
          <w:kern w:val="0"/>
          <w:sz w:val="22"/>
          <w:szCs w:val="22"/>
          <w:u w:val="single"/>
          <w14:ligatures w14:val="none"/>
        </w:rPr>
      </w:pPr>
      <w:r w:rsidRPr="00D21DFA">
        <w:rPr>
          <w:rFonts w:ascii="Times New Roman" w:eastAsia="Times New Roman" w:hAnsi="Times New Roman" w:cs="Times New Roman"/>
          <w:i/>
          <w:iCs/>
          <w:snapToGrid w:val="0"/>
          <w:color w:val="000000"/>
          <w:kern w:val="0"/>
          <w:sz w:val="22"/>
          <w:szCs w:val="22"/>
          <w:u w:val="single"/>
          <w14:ligatures w14:val="none"/>
        </w:rPr>
        <w:t>Pacientams, kurių inkstų funkcija sutrikusi</w:t>
      </w:r>
    </w:p>
    <w:p w14:paraId="5E44DCC5" w14:textId="7777777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FCA1141" w14:textId="77777777" w:rsidR="00D216FD" w:rsidRPr="00D21DFA" w:rsidRDefault="00D216FD" w:rsidP="00D216FD">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sidRPr="00D21DFA">
        <w:rPr>
          <w:rFonts w:ascii="Times New Roman" w:eastAsia="Times New Roman" w:hAnsi="Times New Roman" w:cs="Times New Roman"/>
          <w:i/>
          <w:iCs/>
          <w:snapToGrid w:val="0"/>
          <w:kern w:val="0"/>
          <w:sz w:val="22"/>
          <w:szCs w:val="20"/>
          <w14:ligatures w14:val="none"/>
        </w:rPr>
        <w:t>Suaugusiesiems</w:t>
      </w:r>
    </w:p>
    <w:p w14:paraId="5D5ADCF0" w14:textId="1677B0D3" w:rsidR="00C95D96"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Suaugusiems p</w:t>
      </w:r>
      <w:r w:rsidR="00C95D96" w:rsidRPr="00D21DFA">
        <w:rPr>
          <w:rFonts w:ascii="Times New Roman" w:eastAsia="Times New Roman" w:hAnsi="Times New Roman" w:cs="Times New Roman"/>
          <w:snapToGrid w:val="0"/>
          <w:kern w:val="0"/>
          <w:sz w:val="22"/>
          <w:szCs w:val="20"/>
          <w14:ligatures w14:val="none"/>
        </w:rPr>
        <w:t>acientams, kuriems yra lengvas arba vidutinio sunkumo inkstų funkcijos sutrikimas, taikomos tokios rekomendacijos:</w:t>
      </w:r>
    </w:p>
    <w:p w14:paraId="01DACF9D" w14:textId="77777777" w:rsidR="00C95D96" w:rsidRPr="00D21DFA" w:rsidRDefault="00C95D96" w:rsidP="00C95D96">
      <w:pPr>
        <w:numPr>
          <w:ilvl w:val="0"/>
          <w:numId w:val="22"/>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GVT gydymui, PE gydymui ir pasikartojančios GVT ir PE (</w:t>
      </w:r>
      <w:proofErr w:type="spellStart"/>
      <w:r w:rsidRPr="00D21DFA">
        <w:rPr>
          <w:rFonts w:ascii="Times New Roman" w:eastAsia="Times New Roman" w:hAnsi="Times New Roman" w:cs="Times New Roman"/>
          <w:kern w:val="0"/>
          <w:sz w:val="22"/>
          <w:szCs w:val="20"/>
          <w:lang w:eastAsia="lt-LT" w:bidi="lt-LT"/>
          <w14:ligatures w14:val="none"/>
        </w:rPr>
        <w:t>VTEt</w:t>
      </w:r>
      <w:proofErr w:type="spellEnd"/>
      <w:r w:rsidRPr="00D21DFA">
        <w:rPr>
          <w:rFonts w:ascii="Times New Roman" w:eastAsia="Times New Roman" w:hAnsi="Times New Roman" w:cs="Times New Roman"/>
          <w:kern w:val="0"/>
          <w:sz w:val="22"/>
          <w:szCs w:val="20"/>
          <w:lang w:eastAsia="lt-LT" w:bidi="lt-LT"/>
          <w14:ligatures w14:val="none"/>
        </w:rPr>
        <w:t xml:space="preserve">) profilaktikai dozės keisti nereikia (žr. 5.2 skyrių); </w:t>
      </w:r>
    </w:p>
    <w:p w14:paraId="425B6724" w14:textId="611B0852" w:rsidR="00C95D96" w:rsidRPr="00D21DFA" w:rsidRDefault="00C95D96" w:rsidP="00C95D96">
      <w:pPr>
        <w:numPr>
          <w:ilvl w:val="0"/>
          <w:numId w:val="22"/>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insulto ir </w:t>
      </w:r>
      <w:r w:rsidRPr="00D21DFA">
        <w:rPr>
          <w:rFonts w:ascii="Times New Roman" w:eastAsia="Times New Roman" w:hAnsi="Times New Roman" w:cs="Times New Roman"/>
          <w:snapToGrid w:val="0"/>
          <w:kern w:val="0"/>
          <w:sz w:val="22"/>
          <w:szCs w:val="20"/>
          <w14:ligatures w14:val="none"/>
        </w:rPr>
        <w:t xml:space="preserve">sisteminės embolijos profilaktikai pacientams, </w:t>
      </w:r>
      <w:r w:rsidR="006E33E9" w:rsidRPr="00D21DFA">
        <w:rPr>
          <w:rFonts w:ascii="Times New Roman" w:eastAsia="Times New Roman" w:hAnsi="Times New Roman" w:cs="Times New Roman"/>
          <w:snapToGrid w:val="0"/>
          <w:kern w:val="0"/>
          <w:sz w:val="22"/>
          <w:szCs w:val="20"/>
          <w14:ligatures w14:val="none"/>
        </w:rPr>
        <w:t xml:space="preserve">sergantiems </w:t>
      </w:r>
      <w:r w:rsidRPr="00D21DFA">
        <w:rPr>
          <w:rFonts w:ascii="Times New Roman" w:eastAsia="Times New Roman" w:hAnsi="Times New Roman" w:cs="Times New Roman"/>
          <w:snapToGrid w:val="0"/>
          <w:kern w:val="0"/>
          <w:sz w:val="22"/>
          <w:szCs w:val="20"/>
          <w14:ligatures w14:val="none"/>
        </w:rPr>
        <w:t>VNPV, o kreatinino koncentracija serume yra ≥ 1,5 mg/dl (133 </w:t>
      </w:r>
      <w:proofErr w:type="spellStart"/>
      <w:r w:rsidRPr="00D21DFA">
        <w:rPr>
          <w:rFonts w:ascii="Times New Roman" w:eastAsia="Times New Roman" w:hAnsi="Times New Roman" w:cs="Times New Roman"/>
          <w:snapToGrid w:val="0"/>
          <w:kern w:val="0"/>
          <w:sz w:val="22"/>
          <w:szCs w:val="20"/>
          <w14:ligatures w14:val="none"/>
        </w:rPr>
        <w:t>mikromoliai</w:t>
      </w:r>
      <w:proofErr w:type="spellEnd"/>
      <w:r w:rsidRPr="00D21DFA">
        <w:rPr>
          <w:rFonts w:ascii="Times New Roman" w:eastAsia="Times New Roman" w:hAnsi="Times New Roman" w:cs="Times New Roman"/>
          <w:snapToGrid w:val="0"/>
          <w:kern w:val="0"/>
          <w:sz w:val="22"/>
          <w:szCs w:val="20"/>
          <w14:ligatures w14:val="none"/>
        </w:rPr>
        <w:t xml:space="preserve">/l) ir jiems yra ≥ 80 metų arba jų kūno svoris ≤ 60 kg, dozę reikia mažinti </w:t>
      </w:r>
      <w:r w:rsidR="00D216FD" w:rsidRPr="00D21DFA">
        <w:rPr>
          <w:rFonts w:ascii="Times New Roman" w:eastAsia="Times New Roman" w:hAnsi="Times New Roman" w:cs="Times New Roman"/>
          <w:snapToGrid w:val="0"/>
          <w:kern w:val="0"/>
          <w:sz w:val="22"/>
          <w:szCs w:val="20"/>
          <w14:ligatures w14:val="none"/>
        </w:rPr>
        <w:t>(žr. pirmiau esančią paantraštę apie dozės mažinimą)</w:t>
      </w:r>
      <w:r w:rsidRPr="00D21DFA">
        <w:rPr>
          <w:rFonts w:ascii="Times New Roman" w:eastAsia="Times New Roman" w:hAnsi="Times New Roman" w:cs="Times New Roman"/>
          <w:snapToGrid w:val="0"/>
          <w:kern w:val="0"/>
          <w:sz w:val="22"/>
          <w:szCs w:val="20"/>
          <w14:ligatures w14:val="none"/>
        </w:rPr>
        <w:t>. Nesant kitų kriterijų dozės mažinimui (amžius, svoris) dozės keisti nereikia (žr. 5.2 skyrių).</w:t>
      </w:r>
    </w:p>
    <w:p w14:paraId="4790B742" w14:textId="77777777" w:rsidR="00C95D96" w:rsidRPr="00D21DFA" w:rsidRDefault="00C95D96"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15D32E07" w14:textId="651B15BE" w:rsidR="00C95D96" w:rsidRPr="00D21DFA" w:rsidRDefault="00D216FD" w:rsidP="00C95D96">
      <w:pPr>
        <w:tabs>
          <w:tab w:val="left" w:pos="0"/>
          <w:tab w:val="left" w:pos="9214"/>
        </w:tabs>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Suaugusiems p</w:t>
      </w:r>
      <w:r w:rsidR="00C95D96" w:rsidRPr="00D21DFA">
        <w:rPr>
          <w:rFonts w:ascii="Times New Roman" w:eastAsia="Times New Roman" w:hAnsi="Times New Roman" w:cs="Times New Roman"/>
          <w:kern w:val="0"/>
          <w:sz w:val="22"/>
          <w:szCs w:val="20"/>
          <w:lang w:eastAsia="lt-LT" w:bidi="lt-LT"/>
          <w14:ligatures w14:val="none"/>
        </w:rPr>
        <w:t>acientams, kuriems nustatytas sunkus inkstų funkcijos sutrikimas (kreatinino klirensas 15</w:t>
      </w:r>
      <w:r w:rsidR="00C95D96" w:rsidRPr="00D21DFA">
        <w:rPr>
          <w:rFonts w:ascii="Times New Roman" w:eastAsia="Times New Roman" w:hAnsi="Times New Roman" w:cs="Times New Roman"/>
          <w:kern w:val="0"/>
          <w:sz w:val="22"/>
          <w:szCs w:val="20"/>
          <w:lang w:eastAsia="lt-LT" w:bidi="lt-LT"/>
          <w14:ligatures w14:val="none"/>
        </w:rPr>
        <w:noBreakHyphen/>
        <w:t>29 ml/min) taikomos tokios rekomendacijos (žr. 4.4 ir 5.2 skyrių):</w:t>
      </w:r>
    </w:p>
    <w:p w14:paraId="61998E38" w14:textId="77777777" w:rsidR="00C95D96" w:rsidRPr="00D21DFA" w:rsidRDefault="00C95D96" w:rsidP="00C95D96">
      <w:pPr>
        <w:numPr>
          <w:ilvl w:val="0"/>
          <w:numId w:val="23"/>
        </w:numPr>
        <w:tabs>
          <w:tab w:val="left" w:pos="567"/>
          <w:tab w:val="left" w:pos="9214"/>
        </w:tabs>
        <w:snapToGrid w:val="0"/>
        <w:spacing w:after="0" w:line="260" w:lineRule="exact"/>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GVT gydymui, PE gydymui ir pasikartojančios GVT ir PE (</w:t>
      </w:r>
      <w:proofErr w:type="spellStart"/>
      <w:r w:rsidRPr="00D21DFA">
        <w:rPr>
          <w:rFonts w:ascii="Times New Roman" w:eastAsia="Times New Roman" w:hAnsi="Times New Roman" w:cs="Times New Roman"/>
          <w:kern w:val="0"/>
          <w:sz w:val="22"/>
          <w:szCs w:val="20"/>
          <w:lang w:eastAsia="lt-LT" w:bidi="lt-LT"/>
          <w14:ligatures w14:val="none"/>
        </w:rPr>
        <w:t>VTEt</w:t>
      </w:r>
      <w:proofErr w:type="spellEnd"/>
      <w:r w:rsidRPr="00D21DFA">
        <w:rPr>
          <w:rFonts w:ascii="Times New Roman" w:eastAsia="Times New Roman" w:hAnsi="Times New Roman" w:cs="Times New Roman"/>
          <w:kern w:val="0"/>
          <w:sz w:val="22"/>
          <w:szCs w:val="20"/>
          <w:lang w:eastAsia="lt-LT" w:bidi="lt-LT"/>
          <w14:ligatures w14:val="none"/>
        </w:rPr>
        <w:t xml:space="preserve">) profilaktikai, </w:t>
      </w:r>
      <w:proofErr w:type="spellStart"/>
      <w:r w:rsidRPr="00D21DFA">
        <w:rPr>
          <w:rFonts w:ascii="Times New Roman" w:eastAsia="Times New Roman" w:hAnsi="Times New Roman" w:cs="Times New Roman"/>
          <w:kern w:val="0"/>
          <w:sz w:val="22"/>
          <w:szCs w:val="20"/>
          <w:lang w:eastAsia="lt-LT" w:bidi="lt-LT"/>
          <w14:ligatures w14:val="none"/>
        </w:rPr>
        <w:t>apiksabano</w:t>
      </w:r>
      <w:proofErr w:type="spellEnd"/>
      <w:r w:rsidRPr="00D21DFA">
        <w:rPr>
          <w:rFonts w:ascii="Times New Roman" w:eastAsia="Times New Roman" w:hAnsi="Times New Roman" w:cs="Times New Roman"/>
          <w:kern w:val="0"/>
          <w:sz w:val="22"/>
          <w:szCs w:val="20"/>
          <w:lang w:eastAsia="lt-LT" w:bidi="lt-LT"/>
          <w14:ligatures w14:val="none"/>
        </w:rPr>
        <w:t xml:space="preserve"> reikia vartoti atsargiai;</w:t>
      </w:r>
    </w:p>
    <w:p w14:paraId="5AF1E5B7" w14:textId="1CB608A0" w:rsidR="00C95D96" w:rsidRPr="00D21DFA" w:rsidRDefault="00C95D96" w:rsidP="00C95D96">
      <w:pPr>
        <w:numPr>
          <w:ilvl w:val="0"/>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insulto ir </w:t>
      </w:r>
      <w:r w:rsidRPr="00D21DFA">
        <w:rPr>
          <w:rFonts w:ascii="Times New Roman" w:eastAsia="Times New Roman" w:hAnsi="Times New Roman" w:cs="Times New Roman"/>
          <w:snapToGrid w:val="0"/>
          <w:kern w:val="0"/>
          <w:sz w:val="22"/>
          <w:szCs w:val="20"/>
          <w:lang w:eastAsia="lt-LT" w:bidi="lt-LT"/>
          <w14:ligatures w14:val="none"/>
        </w:rPr>
        <w:t>sisteminės embolijos profilaktikai pacienta</w:t>
      </w:r>
      <w:r w:rsidR="006E33E9" w:rsidRPr="00D21DFA">
        <w:rPr>
          <w:rFonts w:ascii="Times New Roman" w:eastAsia="Times New Roman" w:hAnsi="Times New Roman" w:cs="Times New Roman"/>
          <w:snapToGrid w:val="0"/>
          <w:kern w:val="0"/>
          <w:sz w:val="22"/>
          <w:szCs w:val="20"/>
          <w:lang w:eastAsia="lt-LT" w:bidi="lt-LT"/>
          <w14:ligatures w14:val="none"/>
        </w:rPr>
        <w:t>i</w:t>
      </w:r>
      <w:r w:rsidRPr="00D21DFA">
        <w:rPr>
          <w:rFonts w:ascii="Times New Roman" w:eastAsia="Times New Roman" w:hAnsi="Times New Roman" w:cs="Times New Roman"/>
          <w:snapToGrid w:val="0"/>
          <w:kern w:val="0"/>
          <w:sz w:val="22"/>
          <w:szCs w:val="20"/>
          <w:lang w:eastAsia="lt-LT" w:bidi="lt-LT"/>
          <w14:ligatures w14:val="none"/>
        </w:rPr>
        <w:t>,</w:t>
      </w:r>
      <w:r w:rsidR="006E33E9" w:rsidRPr="00D21DFA">
        <w:rPr>
          <w:rFonts w:ascii="Times New Roman" w:eastAsia="Times New Roman" w:hAnsi="Times New Roman" w:cs="Times New Roman"/>
          <w:snapToGrid w:val="0"/>
          <w:kern w:val="0"/>
          <w:sz w:val="22"/>
          <w:szCs w:val="20"/>
          <w:lang w:eastAsia="lt-LT" w:bidi="lt-LT"/>
          <w14:ligatures w14:val="none"/>
        </w:rPr>
        <w:t xml:space="preserve"> sergantys </w:t>
      </w:r>
      <w:r w:rsidRPr="00D21DFA">
        <w:rPr>
          <w:rFonts w:ascii="Times New Roman" w:eastAsia="Times New Roman" w:hAnsi="Times New Roman" w:cs="Times New Roman"/>
          <w:snapToGrid w:val="0"/>
          <w:kern w:val="0"/>
          <w:sz w:val="22"/>
          <w:szCs w:val="20"/>
          <w:lang w:eastAsia="lt-LT" w:bidi="lt-LT"/>
          <w14:ligatures w14:val="none"/>
        </w:rPr>
        <w:t>VNPV</w:t>
      </w:r>
      <w:r w:rsidR="006E33E9" w:rsidRPr="00D21DFA">
        <w:rPr>
          <w:rFonts w:ascii="Times New Roman" w:eastAsia="Times New Roman" w:hAnsi="Times New Roman" w:cs="Times New Roman"/>
          <w:snapToGrid w:val="0"/>
          <w:kern w:val="0"/>
          <w:sz w:val="22"/>
          <w:szCs w:val="20"/>
          <w:lang w:eastAsia="lt-LT" w:bidi="lt-LT"/>
          <w14:ligatures w14:val="none"/>
        </w:rPr>
        <w:t>,</w:t>
      </w:r>
      <w:r w:rsidRPr="00D21DFA">
        <w:rPr>
          <w:rFonts w:ascii="Times New Roman" w:eastAsia="Times New Roman" w:hAnsi="Times New Roman" w:cs="Times New Roman"/>
          <w:snapToGrid w:val="0"/>
          <w:kern w:val="0"/>
          <w:sz w:val="22"/>
          <w:szCs w:val="20"/>
          <w:lang w:eastAsia="lt-LT" w:bidi="lt-LT"/>
          <w14:ligatures w14:val="none"/>
        </w:rPr>
        <w:t xml:space="preserve"> turi gauti mažesnę </w:t>
      </w:r>
      <w:proofErr w:type="spellStart"/>
      <w:r w:rsidRPr="00D21DFA">
        <w:rPr>
          <w:rFonts w:ascii="Times New Roman" w:eastAsia="Times New Roman" w:hAnsi="Times New Roman" w:cs="Times New Roman"/>
          <w:snapToGrid w:val="0"/>
          <w:kern w:val="0"/>
          <w:sz w:val="22"/>
          <w:szCs w:val="20"/>
          <w:lang w:eastAsia="lt-LT" w:bidi="lt-LT"/>
          <w14:ligatures w14:val="none"/>
        </w:rPr>
        <w:t>apiksabano</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dozę – 2,5 mg du kartus per parą.</w:t>
      </w:r>
    </w:p>
    <w:p w14:paraId="0D06827D" w14:textId="77777777" w:rsidR="00C95D96" w:rsidRPr="00D21DFA" w:rsidRDefault="00C95D96" w:rsidP="00C95D96">
      <w:pPr>
        <w:tabs>
          <w:tab w:val="left" w:pos="567"/>
          <w:tab w:val="left" w:pos="9214"/>
        </w:tabs>
        <w:spacing w:after="0" w:line="260" w:lineRule="exact"/>
        <w:ind w:left="567" w:right="-2"/>
        <w:contextualSpacing/>
        <w:rPr>
          <w:rFonts w:ascii="Times New Roman" w:eastAsia="Times New Roman" w:hAnsi="Times New Roman" w:cs="Times New Roman"/>
          <w:kern w:val="0"/>
          <w:sz w:val="22"/>
          <w:szCs w:val="20"/>
          <w:lang w:eastAsia="lt-LT" w:bidi="lt-LT"/>
          <w14:ligatures w14:val="none"/>
        </w:rPr>
      </w:pPr>
    </w:p>
    <w:p w14:paraId="4DC8A33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kurių kreatinino klirensas yra &lt; 15 ml/min. ar kuriems atliekamos dializės, gydymo šiuo vaistiniu preparatu patirties nėra, todėl šiems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nerekomenduojama (žr. 4.4 ir 5.2 skyrius). </w:t>
      </w:r>
    </w:p>
    <w:p w14:paraId="252967F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B3B730" w14:textId="77777777" w:rsidR="00D216FD" w:rsidRPr="00AD1A35" w:rsidRDefault="00D216FD" w:rsidP="00D216FD">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sidRPr="00AD1A35">
        <w:rPr>
          <w:rFonts w:ascii="Times New Roman" w:eastAsia="Times New Roman" w:hAnsi="Times New Roman" w:cs="Times New Roman"/>
          <w:i/>
          <w:iCs/>
          <w:snapToGrid w:val="0"/>
          <w:kern w:val="0"/>
          <w:sz w:val="22"/>
          <w:szCs w:val="20"/>
          <w14:ligatures w14:val="none"/>
        </w:rPr>
        <w:t>Vaikų populiacija</w:t>
      </w:r>
    </w:p>
    <w:p w14:paraId="0B879CAF" w14:textId="77777777" w:rsidR="00D216FD" w:rsidRPr="00D21DFA" w:rsidRDefault="00D216FD" w:rsidP="00D21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vartoti pacientams vaikams, kuriems yra sunkus inkstų funkcijos sutrikimas (žr. 4.4 skyrių).</w:t>
      </w:r>
    </w:p>
    <w:p w14:paraId="1868883D" w14:textId="7777777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864E6A" w14:textId="77777777" w:rsidR="00C95D96" w:rsidRPr="00D21DFA" w:rsidRDefault="00C95D96" w:rsidP="00C95D96">
      <w:pPr>
        <w:tabs>
          <w:tab w:val="left" w:pos="567"/>
          <w:tab w:val="left" w:pos="9214"/>
        </w:tabs>
        <w:spacing w:after="0" w:line="240" w:lineRule="auto"/>
        <w:ind w:right="-2"/>
        <w:contextualSpacing/>
        <w:outlineLvl w:val="0"/>
        <w:rPr>
          <w:rFonts w:ascii="Times New Roman" w:eastAsia="Times New Roman" w:hAnsi="Times New Roman" w:cs="Times New Roman"/>
          <w:iCs/>
          <w:snapToGrid w:val="0"/>
          <w:color w:val="000000"/>
          <w:kern w:val="0"/>
          <w:sz w:val="22"/>
          <w:szCs w:val="22"/>
          <w:u w:val="single"/>
          <w14:ligatures w14:val="none"/>
        </w:rPr>
      </w:pPr>
      <w:r w:rsidRPr="00D21DFA">
        <w:rPr>
          <w:rFonts w:ascii="Times New Roman" w:eastAsia="Times New Roman" w:hAnsi="Times New Roman" w:cs="Times New Roman"/>
          <w:i/>
          <w:iCs/>
          <w:snapToGrid w:val="0"/>
          <w:color w:val="000000"/>
          <w:kern w:val="0"/>
          <w:sz w:val="22"/>
          <w:szCs w:val="22"/>
          <w:u w:val="single"/>
          <w14:ligatures w14:val="none"/>
        </w:rPr>
        <w:t>Pacientams, kurių kepenų funkcija sutrikusi</w:t>
      </w:r>
    </w:p>
    <w:p w14:paraId="7B7B109F" w14:textId="2702352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vartoti </w:t>
      </w:r>
      <w:r w:rsidR="00D216FD" w:rsidRPr="00D21DFA">
        <w:rPr>
          <w:rFonts w:ascii="Times New Roman" w:eastAsia="Times New Roman" w:hAnsi="Times New Roman" w:cs="Times New Roman"/>
          <w:snapToGrid w:val="0"/>
          <w:kern w:val="0"/>
          <w:sz w:val="22"/>
          <w:szCs w:val="20"/>
          <w14:ligatures w14:val="none"/>
        </w:rPr>
        <w:t xml:space="preserve">suaugusiems </w:t>
      </w:r>
      <w:r w:rsidRPr="00D21DFA">
        <w:rPr>
          <w:rFonts w:ascii="Times New Roman" w:eastAsia="Times New Roman" w:hAnsi="Times New Roman" w:cs="Times New Roman"/>
          <w:snapToGrid w:val="0"/>
          <w:kern w:val="0"/>
          <w:sz w:val="22"/>
          <w:szCs w:val="20"/>
          <w14:ligatures w14:val="none"/>
        </w:rPr>
        <w:t xml:space="preserve">pacientams, kurie serga kepenų liga, susijusia su </w:t>
      </w:r>
      <w:proofErr w:type="spellStart"/>
      <w:r w:rsidRPr="00D21DFA">
        <w:rPr>
          <w:rFonts w:ascii="Times New Roman" w:eastAsia="Times New Roman" w:hAnsi="Times New Roman" w:cs="Times New Roman"/>
          <w:snapToGrid w:val="0"/>
          <w:kern w:val="0"/>
          <w:sz w:val="22"/>
          <w:szCs w:val="20"/>
          <w14:ligatures w14:val="none"/>
        </w:rPr>
        <w:t>koaguliopatija</w:t>
      </w:r>
      <w:proofErr w:type="spellEnd"/>
      <w:r w:rsidRPr="00D21DFA">
        <w:rPr>
          <w:rFonts w:ascii="Times New Roman" w:eastAsia="Times New Roman" w:hAnsi="Times New Roman" w:cs="Times New Roman"/>
          <w:snapToGrid w:val="0"/>
          <w:kern w:val="0"/>
          <w:sz w:val="22"/>
          <w:szCs w:val="20"/>
          <w14:ligatures w14:val="none"/>
        </w:rPr>
        <w:t xml:space="preserve"> ar kliniškai reikšminga kraujavimo rizika</w:t>
      </w:r>
      <w:r w:rsidR="006E33E9" w:rsidRPr="00D21DFA">
        <w:rPr>
          <w:rFonts w:ascii="Times New Roman" w:eastAsia="Times New Roman" w:hAnsi="Times New Roman" w:cs="Times New Roman"/>
          <w:snapToGrid w:val="0"/>
          <w:kern w:val="0"/>
          <w:sz w:val="22"/>
          <w:szCs w:val="20"/>
          <w14:ligatures w14:val="none"/>
        </w:rPr>
        <w:t>, draudžiama</w:t>
      </w:r>
      <w:r w:rsidRPr="00D21DFA">
        <w:rPr>
          <w:rFonts w:ascii="Times New Roman" w:eastAsia="Times New Roman" w:hAnsi="Times New Roman" w:cs="Times New Roman"/>
          <w:snapToGrid w:val="0"/>
          <w:kern w:val="0"/>
          <w:sz w:val="22"/>
          <w:szCs w:val="20"/>
          <w14:ligatures w14:val="none"/>
        </w:rPr>
        <w:t xml:space="preserve"> (žr. 4.3 skyrių). </w:t>
      </w:r>
    </w:p>
    <w:p w14:paraId="3B3994F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15265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Vaistinio preparato nerekomenduojama vartoti pacientams, kuriems yra sunkus kepenų funkcijos sutrikimas (žr. 4.4 ir 5.2 skyrius). </w:t>
      </w:r>
    </w:p>
    <w:p w14:paraId="656CCA8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A328C4" w14:textId="1BA1927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Vaistinio preparato reikia atsargiai vartoti pacientams, kuriems yra lengvas ar vidutinio sunkumo kepenų funkcijos sutrikimas (A arba B klasės pagal </w:t>
      </w:r>
      <w:proofErr w:type="spellStart"/>
      <w:r w:rsidRPr="00D21DFA">
        <w:rPr>
          <w:rFonts w:ascii="Times New Roman" w:eastAsia="Times New Roman" w:hAnsi="Times New Roman" w:cs="Times New Roman"/>
          <w:i/>
          <w:iCs/>
          <w:snapToGrid w:val="0"/>
          <w:kern w:val="0"/>
          <w:sz w:val="22"/>
          <w:szCs w:val="20"/>
          <w14:ligatures w14:val="none"/>
        </w:rPr>
        <w:t>Child</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Pugh</w:t>
      </w:r>
      <w:proofErr w:type="spellEnd"/>
      <w:r w:rsidR="006E33E9" w:rsidRPr="00D21DFA">
        <w:rPr>
          <w:rFonts w:ascii="Times New Roman" w:eastAsia="Times New Roman" w:hAnsi="Times New Roman" w:cs="Times New Roman"/>
          <w:snapToGrid w:val="0"/>
          <w:kern w:val="0"/>
          <w:sz w:val="22"/>
          <w:szCs w:val="20"/>
          <w14:ligatures w14:val="none"/>
        </w:rPr>
        <w:t xml:space="preserve"> skalę</w:t>
      </w:r>
      <w:r w:rsidRPr="00D21DFA">
        <w:rPr>
          <w:rFonts w:ascii="Times New Roman" w:eastAsia="Times New Roman" w:hAnsi="Times New Roman" w:cs="Times New Roman"/>
          <w:snapToGrid w:val="0"/>
          <w:kern w:val="0"/>
          <w:sz w:val="22"/>
          <w:szCs w:val="20"/>
          <w14:ligatures w14:val="none"/>
        </w:rPr>
        <w:t xml:space="preserve">). Pacientams, kuriems yra lengvas ar vidutinio sunkumo kepenų funkcijos sutrikimas, vaistinio preparato dozės keisti nereikia (žr. 4.4 ir 5.2 skyrius). </w:t>
      </w:r>
    </w:p>
    <w:p w14:paraId="235F9AC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5C0B6C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kuriems buvo nustatytas padidėjęs kepenų fermentų aktyvumas (alaninaminotransferazės [ALT] / aspartataminotransferazės [AST] aktyvumas buvo &gt; 2 x VNR [viršutinė normos riba]) arba bendrojo </w:t>
      </w:r>
      <w:proofErr w:type="spellStart"/>
      <w:r w:rsidRPr="00D21DFA">
        <w:rPr>
          <w:rFonts w:ascii="Times New Roman" w:eastAsia="Times New Roman" w:hAnsi="Times New Roman" w:cs="Times New Roman"/>
          <w:snapToGrid w:val="0"/>
          <w:kern w:val="0"/>
          <w:sz w:val="22"/>
          <w:szCs w:val="20"/>
          <w14:ligatures w14:val="none"/>
        </w:rPr>
        <w:t>bilirubino</w:t>
      </w:r>
      <w:proofErr w:type="spellEnd"/>
      <w:r w:rsidRPr="00D21DFA">
        <w:rPr>
          <w:rFonts w:ascii="Times New Roman" w:eastAsia="Times New Roman" w:hAnsi="Times New Roman" w:cs="Times New Roman"/>
          <w:snapToGrid w:val="0"/>
          <w:kern w:val="0"/>
          <w:sz w:val="22"/>
          <w:szCs w:val="20"/>
          <w14:ligatures w14:val="none"/>
        </w:rPr>
        <w:t xml:space="preserve"> kiekis buvo ≥ 1,5 x VNR, nebuvo įtraukti į klinikinius tyrimus. Todėl šiems pacientams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reikia vartoti atsargiai (žr. 4.4 ir 5.2 skyrius). Prieš pradedant vartoti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bCs/>
          <w:snapToGrid w:val="0"/>
          <w:kern w:val="0"/>
          <w:sz w:val="22"/>
          <w:szCs w:val="22"/>
          <w14:ligatures w14:val="none"/>
        </w:rPr>
        <w:t xml:space="preserve"> turi būti atklikti</w:t>
      </w:r>
      <w:r w:rsidRPr="00D21DFA">
        <w:rPr>
          <w:rFonts w:ascii="Times New Roman" w:eastAsia="Times New Roman" w:hAnsi="Times New Roman" w:cs="Times New Roman"/>
          <w:snapToGrid w:val="0"/>
          <w:kern w:val="0"/>
          <w:sz w:val="22"/>
          <w:szCs w:val="20"/>
          <w14:ligatures w14:val="none"/>
        </w:rPr>
        <w:t xml:space="preserve"> kepenų funkcijos tyrimai. </w:t>
      </w:r>
    </w:p>
    <w:p w14:paraId="6D2FDF6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7A3AABF" w14:textId="05ADE8F1"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pacientams vaikams, kurių kepenų funkcija sutrikusi.</w:t>
      </w:r>
    </w:p>
    <w:p w14:paraId="483AB5B6" w14:textId="7777777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099813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Kūno svoris</w:t>
      </w:r>
    </w:p>
    <w:p w14:paraId="7BFE7031" w14:textId="5B1DFFB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w:t>
      </w:r>
      <w:r w:rsidR="00D216FD" w:rsidRPr="00D21DFA">
        <w:rPr>
          <w:rFonts w:ascii="Times New Roman" w:eastAsia="Times New Roman" w:hAnsi="Times New Roman" w:cs="Times New Roman"/>
          <w:snapToGrid w:val="0"/>
          <w:kern w:val="0"/>
          <w:sz w:val="22"/>
          <w:szCs w:val="20"/>
          <w14:ligatures w14:val="none"/>
        </w:rPr>
        <w:t>Suaugusiems d</w:t>
      </w:r>
      <w:r w:rsidRPr="00D21DFA">
        <w:rPr>
          <w:rFonts w:ascii="Times New Roman" w:eastAsia="Times New Roman" w:hAnsi="Times New Roman" w:cs="Times New Roman"/>
          <w:snapToGrid w:val="0"/>
          <w:kern w:val="0"/>
          <w:sz w:val="22"/>
          <w:szCs w:val="20"/>
          <w14:ligatures w14:val="none"/>
        </w:rPr>
        <w:t>ozės keitimas nereikalingas (žr. 4.4 ir 5.2 skyrius).</w:t>
      </w:r>
    </w:p>
    <w:p w14:paraId="6B2312D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B97AD49" w14:textId="740F68E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VNPV. Dozės keitimas nereikalingas, nebent yra tenkinami</w:t>
      </w:r>
      <w:r w:rsidR="006E33E9" w:rsidRPr="00D21DFA">
        <w:rPr>
          <w:rFonts w:ascii="Times New Roman" w:eastAsia="Times New Roman" w:hAnsi="Times New Roman" w:cs="Times New Roman"/>
          <w:snapToGrid w:val="0"/>
          <w:kern w:val="0"/>
          <w:sz w:val="22"/>
          <w:szCs w:val="20"/>
          <w14:ligatures w14:val="none"/>
        </w:rPr>
        <w:t xml:space="preserve"> kiti</w:t>
      </w:r>
      <w:r w:rsidRPr="00D21DFA">
        <w:rPr>
          <w:rFonts w:ascii="Times New Roman" w:eastAsia="Times New Roman" w:hAnsi="Times New Roman" w:cs="Times New Roman"/>
          <w:snapToGrid w:val="0"/>
          <w:kern w:val="0"/>
          <w:sz w:val="22"/>
          <w:szCs w:val="20"/>
          <w14:ligatures w14:val="none"/>
        </w:rPr>
        <w:t xml:space="preserve"> dozės mažinimo kriterijai (žr. 4.2 skyriaus pradžioje poskyrį „Dozės mažinimas“).</w:t>
      </w:r>
    </w:p>
    <w:p w14:paraId="44DF8CE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89BB3B" w14:textId="554BFE4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skyrimas vaikams yra pagrįstas fiksuotos dozės pagal kūno masės kategoriją režimu (žr. 4.2 skyrių).</w:t>
      </w:r>
    </w:p>
    <w:p w14:paraId="258A0C0C" w14:textId="7777777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2C78E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Lytis </w:t>
      </w:r>
    </w:p>
    <w:p w14:paraId="7826A4E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Dozės keitimas nereikalingas (žr. 5.2 skyrių). </w:t>
      </w:r>
    </w:p>
    <w:p w14:paraId="7D914F9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A64E1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Pacientams, kuriems atliekama </w:t>
      </w:r>
      <w:proofErr w:type="spellStart"/>
      <w:r w:rsidRPr="00D21DFA">
        <w:rPr>
          <w:rFonts w:ascii="Times New Roman" w:eastAsia="Times New Roman" w:hAnsi="Times New Roman" w:cs="Times New Roman"/>
          <w:i/>
          <w:snapToGrid w:val="0"/>
          <w:kern w:val="0"/>
          <w:sz w:val="22"/>
          <w:szCs w:val="20"/>
          <w:u w:val="single"/>
          <w14:ligatures w14:val="none"/>
        </w:rPr>
        <w:t>kateterinė</w:t>
      </w:r>
      <w:proofErr w:type="spellEnd"/>
      <w:r w:rsidRPr="00D21DFA">
        <w:rPr>
          <w:rFonts w:ascii="Times New Roman" w:eastAsia="Times New Roman" w:hAnsi="Times New Roman" w:cs="Times New Roman"/>
          <w:i/>
          <w:snapToGrid w:val="0"/>
          <w:kern w:val="0"/>
          <w:sz w:val="22"/>
          <w:szCs w:val="20"/>
          <w:u w:val="single"/>
          <w14:ligatures w14:val="none"/>
        </w:rPr>
        <w:t xml:space="preserve"> </w:t>
      </w:r>
      <w:proofErr w:type="spellStart"/>
      <w:r w:rsidRPr="00D21DFA">
        <w:rPr>
          <w:rFonts w:ascii="Times New Roman" w:eastAsia="Times New Roman" w:hAnsi="Times New Roman" w:cs="Times New Roman"/>
          <w:i/>
          <w:snapToGrid w:val="0"/>
          <w:kern w:val="0"/>
          <w:sz w:val="22"/>
          <w:szCs w:val="20"/>
          <w:u w:val="single"/>
          <w14:ligatures w14:val="none"/>
        </w:rPr>
        <w:t>abliacija</w:t>
      </w:r>
      <w:proofErr w:type="spellEnd"/>
      <w:r w:rsidRPr="00D21DFA">
        <w:rPr>
          <w:rFonts w:ascii="Times New Roman" w:eastAsia="Times New Roman" w:hAnsi="Times New Roman" w:cs="Times New Roman"/>
          <w:i/>
          <w:snapToGrid w:val="0"/>
          <w:kern w:val="0"/>
          <w:sz w:val="22"/>
          <w:szCs w:val="20"/>
          <w:u w:val="single"/>
          <w14:ligatures w14:val="none"/>
        </w:rPr>
        <w:t xml:space="preserve"> (VNPV)</w:t>
      </w:r>
    </w:p>
    <w:p w14:paraId="690F595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kuriems atliekama </w:t>
      </w:r>
      <w:proofErr w:type="spellStart"/>
      <w:r w:rsidRPr="00D21DFA">
        <w:rPr>
          <w:rFonts w:ascii="Times New Roman" w:eastAsia="Times New Roman" w:hAnsi="Times New Roman" w:cs="Times New Roman"/>
          <w:snapToGrid w:val="0"/>
          <w:kern w:val="0"/>
          <w:sz w:val="22"/>
          <w:szCs w:val="20"/>
          <w14:ligatures w14:val="none"/>
        </w:rPr>
        <w:t>kateterinė</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abliacija</w:t>
      </w:r>
      <w:proofErr w:type="spellEnd"/>
      <w:r w:rsidRPr="00D21DFA">
        <w:rPr>
          <w:rFonts w:ascii="Times New Roman" w:eastAsia="Times New Roman" w:hAnsi="Times New Roman" w:cs="Times New Roman"/>
          <w:snapToGrid w:val="0"/>
          <w:kern w:val="0"/>
          <w:sz w:val="22"/>
          <w:szCs w:val="20"/>
          <w14:ligatures w14:val="none"/>
        </w:rPr>
        <w:t xml:space="preserve"> gali tęsti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(žr. 4.3, 4.4 ir 4.5 skyrius).</w:t>
      </w:r>
    </w:p>
    <w:p w14:paraId="0CE26DC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599BCE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Pacientams, kuriems atliekama </w:t>
      </w:r>
      <w:proofErr w:type="spellStart"/>
      <w:r w:rsidRPr="00D21DFA">
        <w:rPr>
          <w:rFonts w:ascii="Times New Roman" w:eastAsia="Times New Roman" w:hAnsi="Times New Roman" w:cs="Times New Roman"/>
          <w:i/>
          <w:snapToGrid w:val="0"/>
          <w:kern w:val="0"/>
          <w:sz w:val="22"/>
          <w:szCs w:val="20"/>
          <w:u w:val="single"/>
          <w14:ligatures w14:val="none"/>
        </w:rPr>
        <w:t>kardioversija</w:t>
      </w:r>
      <w:proofErr w:type="spellEnd"/>
    </w:p>
    <w:p w14:paraId="55F12623" w14:textId="28E76286" w:rsidR="00C95D96"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Suaugę p</w:t>
      </w:r>
      <w:r w:rsidR="00C95D96" w:rsidRPr="00D21DFA">
        <w:rPr>
          <w:rFonts w:ascii="Times New Roman" w:eastAsia="Times New Roman" w:hAnsi="Times New Roman" w:cs="Times New Roman"/>
          <w:snapToGrid w:val="0"/>
          <w:kern w:val="0"/>
          <w:sz w:val="22"/>
          <w:szCs w:val="20"/>
          <w14:ligatures w14:val="none"/>
        </w:rPr>
        <w:t xml:space="preserve">acientai, kuriems pasireiškia VNPV ir gali reikėti </w:t>
      </w:r>
      <w:proofErr w:type="spellStart"/>
      <w:r w:rsidR="00C95D96" w:rsidRPr="00D21DFA">
        <w:rPr>
          <w:rFonts w:ascii="Times New Roman" w:eastAsia="Times New Roman" w:hAnsi="Times New Roman" w:cs="Times New Roman"/>
          <w:snapToGrid w:val="0"/>
          <w:kern w:val="0"/>
          <w:sz w:val="22"/>
          <w:szCs w:val="20"/>
          <w14:ligatures w14:val="none"/>
        </w:rPr>
        <w:t>kardioversijos</w:t>
      </w:r>
      <w:proofErr w:type="spellEnd"/>
      <w:r w:rsidR="00C95D96" w:rsidRPr="00D21DFA">
        <w:rPr>
          <w:rFonts w:ascii="Times New Roman" w:eastAsia="Times New Roman" w:hAnsi="Times New Roman" w:cs="Times New Roman"/>
          <w:snapToGrid w:val="0"/>
          <w:kern w:val="0"/>
          <w:sz w:val="22"/>
          <w:szCs w:val="20"/>
          <w14:ligatures w14:val="none"/>
        </w:rPr>
        <w:t xml:space="preserve">, gali pradėti ir tęsti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vartojimą.</w:t>
      </w:r>
    </w:p>
    <w:p w14:paraId="1F50F15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4794A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Anksčiau antikoaguliantų nevartojusiems pacientams reikia apsvarstyti galimybę prieš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vaizdinimo metodu (pvz., atliekant </w:t>
      </w:r>
      <w:proofErr w:type="spellStart"/>
      <w:r w:rsidRPr="00D21DFA">
        <w:rPr>
          <w:rFonts w:ascii="Times New Roman" w:eastAsia="Times New Roman" w:hAnsi="Times New Roman" w:cs="Times New Roman"/>
          <w:snapToGrid w:val="0"/>
          <w:kern w:val="0"/>
          <w:sz w:val="22"/>
          <w:szCs w:val="20"/>
          <w14:ligatures w14:val="none"/>
        </w:rPr>
        <w:t>transezofaginę</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echokardiografiją</w:t>
      </w:r>
      <w:proofErr w:type="spellEnd"/>
      <w:r w:rsidRPr="00D21DFA">
        <w:rPr>
          <w:rFonts w:ascii="Times New Roman" w:eastAsia="Times New Roman" w:hAnsi="Times New Roman" w:cs="Times New Roman"/>
          <w:snapToGrid w:val="0"/>
          <w:kern w:val="0"/>
          <w:sz w:val="22"/>
          <w:szCs w:val="20"/>
          <w14:ligatures w14:val="none"/>
        </w:rPr>
        <w:t xml:space="preserve"> [TEE] arba kompiuterinės tomografijos [KT] skenavimą) paneigti </w:t>
      </w:r>
      <w:proofErr w:type="spellStart"/>
      <w:r w:rsidRPr="00D21DFA">
        <w:rPr>
          <w:rFonts w:ascii="Times New Roman" w:eastAsia="Times New Roman" w:hAnsi="Times New Roman" w:cs="Times New Roman"/>
          <w:snapToGrid w:val="0"/>
          <w:kern w:val="0"/>
          <w:sz w:val="22"/>
          <w:szCs w:val="20"/>
          <w14:ligatures w14:val="none"/>
        </w:rPr>
        <w:t>trombo</w:t>
      </w:r>
      <w:proofErr w:type="spellEnd"/>
      <w:r w:rsidRPr="00D21DFA">
        <w:rPr>
          <w:rFonts w:ascii="Times New Roman" w:eastAsia="Times New Roman" w:hAnsi="Times New Roman" w:cs="Times New Roman"/>
          <w:snapToGrid w:val="0"/>
          <w:kern w:val="0"/>
          <w:sz w:val="22"/>
          <w:szCs w:val="20"/>
          <w14:ligatures w14:val="none"/>
        </w:rPr>
        <w:t xml:space="preserve"> kairiajame prieširdyje buvimą, pagal nustatytas medicinines gaires.</w:t>
      </w:r>
    </w:p>
    <w:p w14:paraId="781DF89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0D7C9A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Prieš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siekiant užtikrinti tinkamą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poveikį, pacientus reikia pradėti gydyti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skiriant po 5 mg du kartus per parą mažiausiai 2,5 paros (5 vienkartines dozes) (žr. 5.1 skyrių). Dozę reikia sumažinti skiriant po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 mažiausiai 2,5 paros (5 vienkartines dozes) pacientams, kurie tenkina dozės mažinimo kriterijus (žr. aukščiau skyrius „Dozės mažinimas“ ir „Pacientams, kurių inkstų funkcija</w:t>
      </w:r>
      <w:r w:rsidRPr="00D21DFA">
        <w:rPr>
          <w:rFonts w:ascii="Times New Roman" w:eastAsia="Times New Roman" w:hAnsi="Times New Roman" w:cs="Times New Roman"/>
          <w:i/>
          <w:snapToGrid w:val="0"/>
          <w:kern w:val="0"/>
          <w:sz w:val="22"/>
          <w:szCs w:val="20"/>
          <w14:ligatures w14:val="none"/>
        </w:rPr>
        <w:t xml:space="preserve"> </w:t>
      </w:r>
      <w:r w:rsidRPr="00D21DFA">
        <w:rPr>
          <w:rFonts w:ascii="Times New Roman" w:eastAsia="Times New Roman" w:hAnsi="Times New Roman" w:cs="Times New Roman"/>
          <w:iCs/>
          <w:snapToGrid w:val="0"/>
          <w:kern w:val="0"/>
          <w:sz w:val="22"/>
          <w:szCs w:val="20"/>
          <w14:ligatures w14:val="none"/>
        </w:rPr>
        <w:t>sutrikusi“</w:t>
      </w:r>
      <w:r w:rsidRPr="00D21DFA">
        <w:rPr>
          <w:rFonts w:ascii="Times New Roman" w:eastAsia="Times New Roman" w:hAnsi="Times New Roman" w:cs="Times New Roman"/>
          <w:snapToGrid w:val="0"/>
          <w:kern w:val="0"/>
          <w:sz w:val="22"/>
          <w:szCs w:val="20"/>
          <w14:ligatures w14:val="none"/>
        </w:rPr>
        <w:t>).</w:t>
      </w:r>
    </w:p>
    <w:p w14:paraId="615FAFB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EE49AC1" w14:textId="6EFA0B1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reikia atlikti anksčiau negu galima pavartoti 5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reikia skirti 10 mg įsotinamąją dozę, o po jos – 5 mg dozę du kartus per parą. Įsotinamąją dozę reikia sumažinti iki 5 mg ir tęsti vartojimą po 2,5 mg du kartus per parą, jeigu pacientui taikomas dozės mažinimo režimas (žr. a</w:t>
      </w:r>
      <w:r w:rsidR="006E33E9" w:rsidRPr="00D21DFA">
        <w:rPr>
          <w:rFonts w:ascii="Times New Roman" w:eastAsia="Times New Roman" w:hAnsi="Times New Roman" w:cs="Times New Roman"/>
          <w:snapToGrid w:val="0"/>
          <w:kern w:val="0"/>
          <w:sz w:val="22"/>
          <w:szCs w:val="20"/>
          <w14:ligatures w14:val="none"/>
        </w:rPr>
        <w:t>nkstesnius</w:t>
      </w:r>
      <w:r w:rsidRPr="00D21DFA">
        <w:rPr>
          <w:rFonts w:ascii="Times New Roman" w:eastAsia="Times New Roman" w:hAnsi="Times New Roman" w:cs="Times New Roman"/>
          <w:snapToGrid w:val="0"/>
          <w:kern w:val="0"/>
          <w:sz w:val="22"/>
          <w:szCs w:val="20"/>
          <w14:ligatures w14:val="none"/>
        </w:rPr>
        <w:t xml:space="preserve"> skyrius „Dozės mažinimas“ ir „Pacientams, kurių inkstų funkcija sutrikusi“). Įsotinamoji dozė turi būti suvartojama iki </w:t>
      </w:r>
      <w:proofErr w:type="spellStart"/>
      <w:r w:rsidRPr="00D21DFA">
        <w:rPr>
          <w:rFonts w:ascii="Times New Roman" w:eastAsia="Times New Roman" w:hAnsi="Times New Roman" w:cs="Times New Roman"/>
          <w:snapToGrid w:val="0"/>
          <w:kern w:val="0"/>
          <w:sz w:val="22"/>
          <w:szCs w:val="20"/>
          <w14:ligatures w14:val="none"/>
        </w:rPr>
        <w:t>kardioversijos</w:t>
      </w:r>
      <w:proofErr w:type="spellEnd"/>
      <w:r w:rsidRPr="00D21DFA">
        <w:rPr>
          <w:rFonts w:ascii="Times New Roman" w:eastAsia="Times New Roman" w:hAnsi="Times New Roman" w:cs="Times New Roman"/>
          <w:snapToGrid w:val="0"/>
          <w:kern w:val="0"/>
          <w:sz w:val="22"/>
          <w:szCs w:val="20"/>
          <w14:ligatures w14:val="none"/>
        </w:rPr>
        <w:t xml:space="preserve"> likus ne mažiau kaip 2 valandoms (žr. 5.1 skyrių).</w:t>
      </w:r>
    </w:p>
    <w:p w14:paraId="1311BC7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A77558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Visiems pacientams, kuriems atliekama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 xml:space="preserve">, prieš ją atliekant reikia gauti patvirtinimą, kad pacientas suvartojo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kaip skirta. Priimant sprendimą dėl gydymo pradžios ir trukmės reikia atsižvelgti į nustatytas rekomendacines gydymo antikoaguliantais gaires pacientams, kuriems atliekama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w:t>
      </w:r>
    </w:p>
    <w:p w14:paraId="3F19F0E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13B3F8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Pacientai, kuriems pasireiškia VNPV ir kurie serga ūminiu koronariniu sindromu (ŪKS) ir (arba) kuriems atliekama </w:t>
      </w:r>
      <w:proofErr w:type="spellStart"/>
      <w:r w:rsidRPr="00D21DFA">
        <w:rPr>
          <w:rFonts w:ascii="Times New Roman" w:eastAsia="Times New Roman" w:hAnsi="Times New Roman" w:cs="Times New Roman"/>
          <w:i/>
          <w:snapToGrid w:val="0"/>
          <w:kern w:val="0"/>
          <w:sz w:val="22"/>
          <w:szCs w:val="20"/>
          <w:u w:val="single"/>
          <w14:ligatures w14:val="none"/>
        </w:rPr>
        <w:t>perkutaninė</w:t>
      </w:r>
      <w:proofErr w:type="spellEnd"/>
      <w:r w:rsidRPr="00D21DFA">
        <w:rPr>
          <w:rFonts w:ascii="Times New Roman" w:eastAsia="Times New Roman" w:hAnsi="Times New Roman" w:cs="Times New Roman"/>
          <w:i/>
          <w:snapToGrid w:val="0"/>
          <w:kern w:val="0"/>
          <w:sz w:val="22"/>
          <w:szCs w:val="20"/>
          <w:u w:val="single"/>
          <w14:ligatures w14:val="none"/>
        </w:rPr>
        <w:t xml:space="preserve"> vainikinių arterijų intervencija (PVAI)</w:t>
      </w:r>
    </w:p>
    <w:p w14:paraId="3901230B" w14:textId="117BAD8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snapToGrid w:val="0"/>
          <w:kern w:val="0"/>
          <w:sz w:val="22"/>
          <w:szCs w:val="20"/>
          <w14:ligatures w14:val="none"/>
        </w:rPr>
        <w:t xml:space="preserve">Patirties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rekomenduojamomis dozėmis gydant VNPV patiriančius pacientus, kai vaistinio preparato skiriama kartu su trombocitų </w:t>
      </w:r>
      <w:proofErr w:type="spellStart"/>
      <w:r w:rsidRPr="00D21DFA">
        <w:rPr>
          <w:rFonts w:ascii="Times New Roman" w:eastAsia="Times New Roman" w:hAnsi="Times New Roman" w:cs="Times New Roman"/>
          <w:snapToGrid w:val="0"/>
          <w:kern w:val="0"/>
          <w:sz w:val="22"/>
          <w:szCs w:val="20"/>
          <w14:ligatures w14:val="none"/>
        </w:rPr>
        <w:t>agregaciją</w:t>
      </w:r>
      <w:proofErr w:type="spellEnd"/>
      <w:r w:rsidRPr="00D21DFA">
        <w:rPr>
          <w:rFonts w:ascii="Times New Roman" w:eastAsia="Times New Roman" w:hAnsi="Times New Roman" w:cs="Times New Roman"/>
          <w:snapToGrid w:val="0"/>
          <w:kern w:val="0"/>
          <w:sz w:val="22"/>
          <w:szCs w:val="20"/>
          <w14:ligatures w14:val="none"/>
        </w:rPr>
        <w:t xml:space="preserve"> slopinančiais vaistiniais preparatais ŪKS sergantiems pacientams ir (arba) pacientams, kuriems atliekama PVAI, pasiekus hemostazę yra nedaug (žr. 4.4</w:t>
      </w:r>
      <w:r w:rsidR="00B23F6B">
        <w:rPr>
          <w:rFonts w:ascii="Times New Roman" w:eastAsia="Times New Roman" w:hAnsi="Times New Roman" w:cs="Times New Roman"/>
          <w:snapToGrid w:val="0"/>
          <w:kern w:val="0"/>
          <w:sz w:val="22"/>
          <w:szCs w:val="20"/>
          <w14:ligatures w14:val="none"/>
        </w:rPr>
        <w:t xml:space="preserve"> ir</w:t>
      </w:r>
      <w:r w:rsidRPr="00D21DFA">
        <w:rPr>
          <w:rFonts w:ascii="Times New Roman" w:eastAsia="Times New Roman" w:hAnsi="Times New Roman" w:cs="Times New Roman"/>
          <w:snapToGrid w:val="0"/>
          <w:kern w:val="0"/>
          <w:sz w:val="22"/>
          <w:szCs w:val="20"/>
          <w14:ligatures w14:val="none"/>
        </w:rPr>
        <w:t xml:space="preserve"> 5.1 skyrius).</w:t>
      </w:r>
    </w:p>
    <w:p w14:paraId="7BAA204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p>
    <w:p w14:paraId="48A5485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Vaikų populiacija </w:t>
      </w:r>
    </w:p>
    <w:p w14:paraId="1FC1690E" w14:textId="3D9BBD04"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saugumas ir veiksmingumas pacientams vaikams, kurių amžius nuo 28 dienų iki mažiau kaip 18 metų, kitoms indikacijoms nei venų tromboembolijos (VTE) gydymas ir VTE pasikartojimo profilaktika, neištirti. Duomenų apie naujagimius ir apie kitas indikacijas nėra (taip pat žr. 5.1 skyrių). Todėl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vartoti naujagimiams ir pacientams vaikams, kurių amžius nuo 28 dienų iki mažiau kaip 18 metų, esant kitoms indikacijoms nei VTE gydymas ir VTE pasikartojimo profilaktika.</w:t>
      </w:r>
    </w:p>
    <w:p w14:paraId="1A6977E3" w14:textId="7777777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7D517E3" w14:textId="0E81CF3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saugumas ir veiksmingumas vaikams ir jaunesniems kaip 18 metų paaugliams </w:t>
      </w:r>
      <w:r w:rsidR="00D216FD" w:rsidRPr="00D21DFA">
        <w:rPr>
          <w:rFonts w:ascii="Times New Roman" w:eastAsia="Times New Roman" w:hAnsi="Times New Roman" w:cs="Times New Roman"/>
          <w:snapToGrid w:val="0"/>
          <w:kern w:val="0"/>
          <w:sz w:val="22"/>
          <w:szCs w:val="20"/>
          <w14:ligatures w14:val="none"/>
        </w:rPr>
        <w:t xml:space="preserve">tromboembolijos profilaktikos indikacijai </w:t>
      </w:r>
      <w:r w:rsidRPr="00D21DFA">
        <w:rPr>
          <w:rFonts w:ascii="Times New Roman" w:eastAsia="Times New Roman" w:hAnsi="Times New Roman" w:cs="Times New Roman"/>
          <w:snapToGrid w:val="0"/>
          <w:kern w:val="0"/>
          <w:sz w:val="22"/>
          <w:szCs w:val="20"/>
          <w14:ligatures w14:val="none"/>
        </w:rPr>
        <w:t xml:space="preserve">neištirti. Šiuo metu turimi duomenys apie tromboembolijos profilaktiką aprašyti 5.1 skyriuje, tačiau dozavimo rekomendacijų pateikti negalima. </w:t>
      </w:r>
    </w:p>
    <w:p w14:paraId="1502109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445D3C" w14:textId="20C60B0D"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Vartojimo metodas</w:t>
      </w:r>
      <w:r w:rsidR="00D216FD" w:rsidRPr="00D21DFA">
        <w:rPr>
          <w:rFonts w:ascii="Times New Roman" w:eastAsia="Times New Roman" w:hAnsi="Times New Roman" w:cs="Times New Roman"/>
          <w:iCs/>
          <w:snapToGrid w:val="0"/>
          <w:kern w:val="0"/>
          <w:sz w:val="22"/>
          <w:szCs w:val="20"/>
          <w:u w:val="single"/>
          <w14:ligatures w14:val="none"/>
        </w:rPr>
        <w:t xml:space="preserve"> suaugusiems ir vaikams</w:t>
      </w:r>
      <w:r w:rsidRPr="00D21DFA">
        <w:rPr>
          <w:rFonts w:ascii="Times New Roman" w:eastAsia="Times New Roman" w:hAnsi="Times New Roman" w:cs="Times New Roman"/>
          <w:iCs/>
          <w:snapToGrid w:val="0"/>
          <w:kern w:val="0"/>
          <w:sz w:val="22"/>
          <w:szCs w:val="20"/>
          <w:u w:val="single"/>
          <w14:ligatures w14:val="none"/>
        </w:rPr>
        <w:t xml:space="preserve"> </w:t>
      </w:r>
      <w:r w:rsidR="00D216FD" w:rsidRPr="00D21DFA">
        <w:rPr>
          <w:rFonts w:ascii="Times New Roman" w:eastAsia="Times New Roman" w:hAnsi="Times New Roman" w:cs="Times New Roman"/>
          <w:iCs/>
          <w:snapToGrid w:val="0"/>
          <w:kern w:val="0"/>
          <w:sz w:val="22"/>
          <w:szCs w:val="20"/>
          <w:u w:val="single"/>
          <w14:ligatures w14:val="none"/>
        </w:rPr>
        <w:t xml:space="preserve"> </w:t>
      </w:r>
    </w:p>
    <w:p w14:paraId="58B9867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Vartoti per burną. </w:t>
      </w:r>
    </w:p>
    <w:p w14:paraId="60692C05" w14:textId="07939F7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bCs/>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0"/>
          <w14:ligatures w14:val="none"/>
        </w:rPr>
        <w:t xml:space="preserve">reikia nuryti užgeriant vandeniu valgant arba </w:t>
      </w:r>
      <w:r w:rsidR="006E33E9" w:rsidRPr="00D21DFA">
        <w:rPr>
          <w:rFonts w:ascii="Times New Roman" w:eastAsia="Times New Roman" w:hAnsi="Times New Roman" w:cs="Times New Roman"/>
          <w:snapToGrid w:val="0"/>
          <w:kern w:val="0"/>
          <w:sz w:val="22"/>
          <w:szCs w:val="20"/>
          <w14:ligatures w14:val="none"/>
        </w:rPr>
        <w:t>nevalgius</w:t>
      </w:r>
      <w:r w:rsidRPr="00D21DFA">
        <w:rPr>
          <w:rFonts w:ascii="Times New Roman" w:eastAsia="Times New Roman" w:hAnsi="Times New Roman" w:cs="Times New Roman"/>
          <w:snapToGrid w:val="0"/>
          <w:kern w:val="0"/>
          <w:sz w:val="22"/>
          <w:szCs w:val="20"/>
          <w14:ligatures w14:val="none"/>
        </w:rPr>
        <w:t>.</w:t>
      </w:r>
    </w:p>
    <w:p w14:paraId="3DCAA8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29C6005" w14:textId="4558FADC"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Pacientams, kurie negali nuryti </w:t>
      </w:r>
      <w:r w:rsidR="006E33E9" w:rsidRPr="00D21DFA">
        <w:rPr>
          <w:rFonts w:ascii="Times New Roman" w:eastAsia="Times New Roman" w:hAnsi="Times New Roman" w:cs="Times New Roman"/>
          <w:kern w:val="0"/>
          <w:sz w:val="22"/>
          <w:szCs w:val="20"/>
          <w14:ligatures w14:val="none"/>
        </w:rPr>
        <w:t>visos</w:t>
      </w:r>
      <w:r w:rsidRPr="00D21DFA">
        <w:rPr>
          <w:rFonts w:ascii="Times New Roman" w:eastAsia="Times New Roman" w:hAnsi="Times New Roman" w:cs="Times New Roman"/>
          <w:kern w:val="0"/>
          <w:sz w:val="22"/>
          <w:szCs w:val="20"/>
          <w14:ligatures w14:val="none"/>
        </w:rPr>
        <w:t xml:space="preserve"> table</w:t>
      </w:r>
      <w:r w:rsidR="006E33E9" w:rsidRPr="00D21DFA">
        <w:rPr>
          <w:rFonts w:ascii="Times New Roman" w:eastAsia="Times New Roman" w:hAnsi="Times New Roman" w:cs="Times New Roman"/>
          <w:kern w:val="0"/>
          <w:sz w:val="22"/>
          <w:szCs w:val="20"/>
          <w14:ligatures w14:val="none"/>
        </w:rPr>
        <w:t>tės</w:t>
      </w:r>
      <w:r w:rsidRPr="00D21DFA">
        <w:rPr>
          <w:rFonts w:ascii="Times New Roman" w:eastAsia="Times New Roman" w:hAnsi="Times New Roman" w:cs="Times New Roman"/>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tabletes galima susmulkinti ir, sumaišius su vandeniu arba 5 </w:t>
      </w:r>
      <w:r w:rsidRPr="00D21DFA">
        <w:rPr>
          <w:rFonts w:ascii="Times New Roman" w:eastAsia="Times New Roman" w:hAnsi="Times New Roman" w:cs="Times New Roman"/>
          <w:snapToGrid w:val="0"/>
          <w:kern w:val="0"/>
          <w:sz w:val="22"/>
          <w:szCs w:val="22"/>
          <w14:ligatures w14:val="none"/>
        </w:rPr>
        <w:t xml:space="preserve">% gliukozės vandeniniu tirpalu, </w:t>
      </w:r>
      <w:r w:rsidRPr="00D21DFA">
        <w:rPr>
          <w:rFonts w:ascii="Times New Roman" w:eastAsia="Times New Roman" w:hAnsi="Times New Roman" w:cs="Times New Roman"/>
          <w:kern w:val="0"/>
          <w:sz w:val="22"/>
          <w:szCs w:val="20"/>
          <w14:ligatures w14:val="none"/>
        </w:rPr>
        <w:t xml:space="preserve">obuolių sultimis arba tyre, nedelsiant suvartoti per burną (žr. 5.2 skyrių). Kitu atveju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tabletes galima susmulkinti ir išmaišius 60 ml vandens arba 5 </w:t>
      </w:r>
      <w:r w:rsidRPr="00D21DFA">
        <w:rPr>
          <w:rFonts w:ascii="Times New Roman" w:eastAsia="Times New Roman" w:hAnsi="Times New Roman" w:cs="Times New Roman"/>
          <w:snapToGrid w:val="0"/>
          <w:kern w:val="0"/>
          <w:sz w:val="22"/>
          <w:szCs w:val="22"/>
          <w14:ligatures w14:val="none"/>
        </w:rPr>
        <w:t>% gliukozės vandeninio tirpalo,</w:t>
      </w:r>
      <w:r w:rsidRPr="00D21DFA">
        <w:rPr>
          <w:rFonts w:ascii="Times New Roman" w:eastAsia="Times New Roman" w:hAnsi="Times New Roman" w:cs="Times New Roman"/>
          <w:kern w:val="0"/>
          <w:sz w:val="22"/>
          <w:szCs w:val="20"/>
          <w14:ligatures w14:val="none"/>
        </w:rPr>
        <w:t xml:space="preserve"> nedelsiant supilti per nosį įvestą skrandžio zondą (žr. 5.2 skyrių). </w:t>
      </w:r>
    </w:p>
    <w:p w14:paraId="641C6CFE"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318E298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5DD3242"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4.3</w:t>
      </w:r>
      <w:r w:rsidRPr="00D21DFA">
        <w:rPr>
          <w:rFonts w:ascii="Times New Roman" w:eastAsia="Times New Roman" w:hAnsi="Times New Roman" w:cs="Times New Roman"/>
          <w:b/>
          <w:bCs/>
          <w:snapToGrid w:val="0"/>
          <w:kern w:val="0"/>
          <w:sz w:val="22"/>
          <w:szCs w:val="28"/>
          <w:lang w:eastAsia="x-none"/>
          <w14:ligatures w14:val="none"/>
        </w:rPr>
        <w:tab/>
        <w:t>Kontraindikacijos</w:t>
      </w:r>
    </w:p>
    <w:p w14:paraId="01DDE99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9580B7F" w14:textId="77777777" w:rsidR="00C95D96" w:rsidRPr="00D21DFA" w:rsidRDefault="00C95D96" w:rsidP="00C95D96">
      <w:pPr>
        <w:numPr>
          <w:ilvl w:val="0"/>
          <w:numId w:val="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Padidėjęs jautrumas veikliajai arba bet kuriai 6.1 skyriuje nurodytai pagalbinei medžiagai.</w:t>
      </w:r>
    </w:p>
    <w:p w14:paraId="01BDCA5B" w14:textId="77777777" w:rsidR="00C95D96" w:rsidRPr="00D21DFA"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Kliniškai reikšmingas aktyvus kraujavimas. </w:t>
      </w:r>
    </w:p>
    <w:p w14:paraId="6908A68D" w14:textId="77777777" w:rsidR="00C95D96" w:rsidRPr="00D21DFA"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Kepenų liga, susijusi su </w:t>
      </w:r>
      <w:proofErr w:type="spellStart"/>
      <w:r w:rsidRPr="00D21DFA">
        <w:rPr>
          <w:rFonts w:ascii="Times New Roman" w:eastAsia="Times New Roman" w:hAnsi="Times New Roman" w:cs="Times New Roman"/>
          <w:kern w:val="0"/>
          <w:sz w:val="22"/>
          <w:szCs w:val="20"/>
          <w:lang w:eastAsia="lt-LT" w:bidi="lt-LT"/>
          <w14:ligatures w14:val="none"/>
        </w:rPr>
        <w:t>koaguliopatija</w:t>
      </w:r>
      <w:proofErr w:type="spellEnd"/>
      <w:r w:rsidRPr="00D21DFA">
        <w:rPr>
          <w:rFonts w:ascii="Times New Roman" w:eastAsia="Times New Roman" w:hAnsi="Times New Roman" w:cs="Times New Roman"/>
          <w:kern w:val="0"/>
          <w:sz w:val="22"/>
          <w:szCs w:val="20"/>
          <w:lang w:eastAsia="lt-LT" w:bidi="lt-LT"/>
          <w14:ligatures w14:val="none"/>
        </w:rPr>
        <w:t xml:space="preserve"> ir kliniškai reikšminga kraujavimo rizika (žr. 5.2 skyrių).</w:t>
      </w:r>
    </w:p>
    <w:p w14:paraId="0BEA507C" w14:textId="7E867A96" w:rsidR="00C95D96" w:rsidRPr="00D21DFA" w:rsidRDefault="00C95D96" w:rsidP="00C95D96">
      <w:pPr>
        <w:numPr>
          <w:ilvl w:val="0"/>
          <w:numId w:val="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w:t>
      </w:r>
      <w:r w:rsidR="008B6ADB"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stuburo arba akių operacija, neseniai patirtas </w:t>
      </w:r>
      <w:proofErr w:type="spellStart"/>
      <w:r w:rsidRPr="00D21DFA">
        <w:rPr>
          <w:rFonts w:ascii="Times New Roman" w:eastAsia="Times New Roman" w:hAnsi="Times New Roman" w:cs="Times New Roman"/>
          <w:kern w:val="0"/>
          <w:sz w:val="22"/>
          <w:szCs w:val="20"/>
          <w:lang w:eastAsia="lt-LT" w:bidi="lt-LT"/>
          <w14:ligatures w14:val="none"/>
        </w:rPr>
        <w:t>intrakranijinis</w:t>
      </w:r>
      <w:proofErr w:type="spellEnd"/>
      <w:r w:rsidRPr="00D21DFA">
        <w:rPr>
          <w:rFonts w:ascii="Times New Roman" w:eastAsia="Times New Roman" w:hAnsi="Times New Roman" w:cs="Times New Roman"/>
          <w:kern w:val="0"/>
          <w:sz w:val="22"/>
          <w:szCs w:val="20"/>
          <w:lang w:eastAsia="lt-LT" w:bidi="lt-LT"/>
          <w14:ligatures w14:val="none"/>
        </w:rPr>
        <w:t xml:space="preserve"> kraujavimas, diagnozuotos arba įtariamos stemplės venų </w:t>
      </w:r>
      <w:proofErr w:type="spellStart"/>
      <w:r w:rsidRPr="00D21DFA">
        <w:rPr>
          <w:rFonts w:ascii="Times New Roman" w:eastAsia="Times New Roman" w:hAnsi="Times New Roman" w:cs="Times New Roman"/>
          <w:kern w:val="0"/>
          <w:sz w:val="22"/>
          <w:szCs w:val="20"/>
          <w:lang w:eastAsia="lt-LT" w:bidi="lt-LT"/>
          <w14:ligatures w14:val="none"/>
        </w:rPr>
        <w:t>varikozės</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arterijoveninės</w:t>
      </w:r>
      <w:proofErr w:type="spellEnd"/>
      <w:r w:rsidRPr="00D21DFA">
        <w:rPr>
          <w:rFonts w:ascii="Times New Roman" w:eastAsia="Times New Roman" w:hAnsi="Times New Roman" w:cs="Times New Roman"/>
          <w:kern w:val="0"/>
          <w:sz w:val="22"/>
          <w:szCs w:val="20"/>
          <w:lang w:eastAsia="lt-LT" w:bidi="lt-LT"/>
          <w14:ligatures w14:val="none"/>
        </w:rPr>
        <w:t xml:space="preserve"> formavimosi ydos, kraujagyslių aneurizmos arba dideli galvos ar nugaros smegenyse esančių kraujagyslių pokyčiai. </w:t>
      </w:r>
    </w:p>
    <w:p w14:paraId="371E66AF" w14:textId="47460E6F" w:rsidR="00C95D96" w:rsidRPr="00D21DFA" w:rsidRDefault="00C95D96" w:rsidP="00C95D96">
      <w:pPr>
        <w:numPr>
          <w:ilvl w:val="0"/>
          <w:numId w:val="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Kartu taikomas gydymas kokiais nors kitais antikoaguliantais, pavyzdžiui: </w:t>
      </w:r>
      <w:proofErr w:type="spellStart"/>
      <w:r w:rsidRPr="00D21DFA">
        <w:rPr>
          <w:rFonts w:ascii="Times New Roman" w:eastAsia="Times New Roman" w:hAnsi="Times New Roman" w:cs="Times New Roman"/>
          <w:kern w:val="0"/>
          <w:sz w:val="22"/>
          <w:szCs w:val="20"/>
          <w:lang w:eastAsia="lt-LT" w:bidi="lt-LT"/>
          <w14:ligatures w14:val="none"/>
        </w:rPr>
        <w:t>nefrakcionuotu</w:t>
      </w:r>
      <w:proofErr w:type="spellEnd"/>
      <w:r w:rsidRPr="00D21DFA">
        <w:rPr>
          <w:rFonts w:ascii="Times New Roman" w:eastAsia="Times New Roman" w:hAnsi="Times New Roman" w:cs="Times New Roman"/>
          <w:kern w:val="0"/>
          <w:sz w:val="22"/>
          <w:szCs w:val="20"/>
          <w:lang w:eastAsia="lt-LT" w:bidi="lt-LT"/>
          <w14:ligatures w14:val="none"/>
        </w:rPr>
        <w:t xml:space="preserve"> heparinu (NFH), mažos molekulinės masės heparinais (</w:t>
      </w:r>
      <w:proofErr w:type="spellStart"/>
      <w:r w:rsidRPr="00D21DFA">
        <w:rPr>
          <w:rFonts w:ascii="Times New Roman" w:eastAsia="Times New Roman" w:hAnsi="Times New Roman" w:cs="Times New Roman"/>
          <w:kern w:val="0"/>
          <w:sz w:val="22"/>
          <w:szCs w:val="20"/>
          <w:lang w:eastAsia="lt-LT" w:bidi="lt-LT"/>
          <w14:ligatures w14:val="none"/>
        </w:rPr>
        <w:t>enoksaparinu</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dalteparinu</w:t>
      </w:r>
      <w:proofErr w:type="spellEnd"/>
      <w:r w:rsidRPr="00D21DFA">
        <w:rPr>
          <w:rFonts w:ascii="Times New Roman" w:eastAsia="Times New Roman" w:hAnsi="Times New Roman" w:cs="Times New Roman"/>
          <w:kern w:val="0"/>
          <w:sz w:val="22"/>
          <w:szCs w:val="20"/>
          <w:lang w:eastAsia="lt-LT" w:bidi="lt-LT"/>
          <w14:ligatures w14:val="none"/>
        </w:rPr>
        <w:t xml:space="preserve"> ir kt.), heparino dariniais (</w:t>
      </w:r>
      <w:proofErr w:type="spellStart"/>
      <w:r w:rsidRPr="00D21DFA">
        <w:rPr>
          <w:rFonts w:ascii="Times New Roman" w:eastAsia="Times New Roman" w:hAnsi="Times New Roman" w:cs="Times New Roman"/>
          <w:kern w:val="0"/>
          <w:sz w:val="22"/>
          <w:szCs w:val="20"/>
          <w:lang w:eastAsia="lt-LT" w:bidi="lt-LT"/>
          <w14:ligatures w14:val="none"/>
        </w:rPr>
        <w:t>fondaparinuksu</w:t>
      </w:r>
      <w:proofErr w:type="spellEnd"/>
      <w:r w:rsidRPr="00D21DFA">
        <w:rPr>
          <w:rFonts w:ascii="Times New Roman" w:eastAsia="Times New Roman" w:hAnsi="Times New Roman" w:cs="Times New Roman"/>
          <w:kern w:val="0"/>
          <w:sz w:val="22"/>
          <w:szCs w:val="20"/>
          <w:lang w:eastAsia="lt-LT" w:bidi="lt-LT"/>
          <w14:ligatures w14:val="none"/>
        </w:rPr>
        <w:t xml:space="preserve"> ir kt.), geriamaisiais antikoaguliantais (varfarinu, </w:t>
      </w:r>
      <w:proofErr w:type="spellStart"/>
      <w:r w:rsidRPr="00D21DFA">
        <w:rPr>
          <w:rFonts w:ascii="Times New Roman" w:eastAsia="Times New Roman" w:hAnsi="Times New Roman" w:cs="Times New Roman"/>
          <w:kern w:val="0"/>
          <w:sz w:val="22"/>
          <w:szCs w:val="20"/>
          <w:lang w:eastAsia="lt-LT" w:bidi="lt-LT"/>
          <w14:ligatures w14:val="none"/>
        </w:rPr>
        <w:t>rivaroksabanu</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dabigatran</w:t>
      </w:r>
      <w:r w:rsidR="00D216FD" w:rsidRPr="00D21DFA">
        <w:rPr>
          <w:rFonts w:ascii="Times New Roman" w:eastAsia="Times New Roman" w:hAnsi="Times New Roman" w:cs="Times New Roman"/>
          <w:kern w:val="0"/>
          <w:sz w:val="22"/>
          <w:szCs w:val="20"/>
          <w:lang w:eastAsia="lt-LT" w:bidi="lt-LT"/>
          <w14:ligatures w14:val="none"/>
        </w:rPr>
        <w:t>o</w:t>
      </w:r>
      <w:proofErr w:type="spellEnd"/>
      <w:r w:rsidR="00D216FD" w:rsidRPr="00D21DFA">
        <w:rPr>
          <w:rFonts w:ascii="Times New Roman" w:eastAsia="Times New Roman" w:hAnsi="Times New Roman" w:cs="Times New Roman"/>
          <w:kern w:val="0"/>
          <w:sz w:val="22"/>
          <w:szCs w:val="20"/>
          <w:lang w:eastAsia="lt-LT" w:bidi="lt-LT"/>
          <w14:ligatures w14:val="none"/>
        </w:rPr>
        <w:t xml:space="preserve"> </w:t>
      </w:r>
      <w:proofErr w:type="spellStart"/>
      <w:r w:rsidR="00D216FD" w:rsidRPr="00D21DFA">
        <w:rPr>
          <w:rFonts w:ascii="Times New Roman" w:eastAsia="Times New Roman" w:hAnsi="Times New Roman" w:cs="Times New Roman"/>
          <w:kern w:val="0"/>
          <w:sz w:val="22"/>
          <w:szCs w:val="20"/>
          <w:lang w:eastAsia="lt-LT" w:bidi="lt-LT"/>
          <w14:ligatures w14:val="none"/>
        </w:rPr>
        <w:t>eteksilat</w:t>
      </w:r>
      <w:r w:rsidRPr="00D21DFA">
        <w:rPr>
          <w:rFonts w:ascii="Times New Roman" w:eastAsia="Times New Roman" w:hAnsi="Times New Roman" w:cs="Times New Roman"/>
          <w:kern w:val="0"/>
          <w:sz w:val="22"/>
          <w:szCs w:val="20"/>
          <w:lang w:eastAsia="lt-LT" w:bidi="lt-LT"/>
          <w14:ligatures w14:val="none"/>
        </w:rPr>
        <w:t>u</w:t>
      </w:r>
      <w:proofErr w:type="spellEnd"/>
      <w:r w:rsidRPr="00D21DFA">
        <w:rPr>
          <w:rFonts w:ascii="Times New Roman" w:eastAsia="Times New Roman" w:hAnsi="Times New Roman" w:cs="Times New Roman"/>
          <w:kern w:val="0"/>
          <w:sz w:val="22"/>
          <w:szCs w:val="20"/>
          <w:lang w:eastAsia="lt-LT" w:bidi="lt-LT"/>
          <w14:ligatures w14:val="none"/>
        </w:rPr>
        <w:t xml:space="preserve"> ir kt.), išskyrus tomis aplinkybėmis, kai keičiamas gydymas į gydymą </w:t>
      </w:r>
      <w:proofErr w:type="spellStart"/>
      <w:r w:rsidRPr="00D21DFA">
        <w:rPr>
          <w:rFonts w:ascii="Times New Roman" w:eastAsia="Times New Roman" w:hAnsi="Times New Roman" w:cs="Times New Roman"/>
          <w:kern w:val="0"/>
          <w:sz w:val="22"/>
          <w:szCs w:val="20"/>
          <w:lang w:eastAsia="lt-LT" w:bidi="lt-LT"/>
          <w14:ligatures w14:val="none"/>
        </w:rPr>
        <w:t>apiksabanu</w:t>
      </w:r>
      <w:proofErr w:type="spellEnd"/>
      <w:r w:rsidRPr="00D21DFA">
        <w:rPr>
          <w:rFonts w:ascii="Times New Roman" w:eastAsia="Times New Roman" w:hAnsi="Times New Roman" w:cs="Times New Roman"/>
          <w:kern w:val="0"/>
          <w:sz w:val="22"/>
          <w:szCs w:val="20"/>
          <w:lang w:eastAsia="lt-LT" w:bidi="lt-LT"/>
          <w14:ligatures w14:val="none"/>
        </w:rPr>
        <w:t xml:space="preserve"> arba vietoj gydymo </w:t>
      </w:r>
      <w:proofErr w:type="spellStart"/>
      <w:r w:rsidRPr="00D21DFA">
        <w:rPr>
          <w:rFonts w:ascii="Times New Roman" w:eastAsia="Times New Roman" w:hAnsi="Times New Roman" w:cs="Times New Roman"/>
          <w:kern w:val="0"/>
          <w:sz w:val="22"/>
          <w:szCs w:val="20"/>
          <w:lang w:eastAsia="lt-LT" w:bidi="lt-LT"/>
          <w14:ligatures w14:val="none"/>
        </w:rPr>
        <w:t>apiksabanu</w:t>
      </w:r>
      <w:proofErr w:type="spellEnd"/>
      <w:r w:rsidRPr="00D21DFA">
        <w:rPr>
          <w:rFonts w:ascii="Times New Roman" w:eastAsia="Times New Roman" w:hAnsi="Times New Roman" w:cs="Times New Roman"/>
          <w:kern w:val="0"/>
          <w:sz w:val="22"/>
          <w:szCs w:val="20"/>
          <w:lang w:eastAsia="lt-LT" w:bidi="lt-LT"/>
          <w14:ligatures w14:val="none"/>
        </w:rPr>
        <w:t xml:space="preserve"> (žr. 4.2 skyrių), arba kai skiriamos NFH dozės, kurios būtinos paciento centrinės venos arba arterijos kateterio pralaidumui palaikyti arba kai NFH skiriama </w:t>
      </w:r>
      <w:proofErr w:type="spellStart"/>
      <w:r w:rsidRPr="00D21DFA">
        <w:rPr>
          <w:rFonts w:ascii="Times New Roman" w:eastAsia="Times New Roman" w:hAnsi="Times New Roman" w:cs="Times New Roman"/>
          <w:kern w:val="0"/>
          <w:sz w:val="22"/>
          <w:szCs w:val="20"/>
          <w:lang w:eastAsia="lt-LT" w:bidi="lt-LT"/>
          <w14:ligatures w14:val="none"/>
        </w:rPr>
        <w:t>kateterinės</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abliacijos</w:t>
      </w:r>
      <w:proofErr w:type="spellEnd"/>
      <w:r w:rsidRPr="00D21DFA">
        <w:rPr>
          <w:rFonts w:ascii="Times New Roman" w:eastAsia="Times New Roman" w:hAnsi="Times New Roman" w:cs="Times New Roman"/>
          <w:kern w:val="0"/>
          <w:sz w:val="22"/>
          <w:szCs w:val="20"/>
          <w:lang w:eastAsia="lt-LT" w:bidi="lt-LT"/>
          <w14:ligatures w14:val="none"/>
        </w:rPr>
        <w:t>, atliekamos dėl prieširdžių virpėjimo, metu (žr. 4.4 ir 4.5 skyrius).</w:t>
      </w:r>
    </w:p>
    <w:p w14:paraId="245625E9" w14:textId="77777777" w:rsidR="00C95D96" w:rsidRPr="00D21DFA"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17F9296C"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4.4</w:t>
      </w:r>
      <w:r w:rsidRPr="00D21DFA">
        <w:rPr>
          <w:rFonts w:ascii="Times New Roman" w:eastAsia="Times New Roman" w:hAnsi="Times New Roman" w:cs="Times New Roman"/>
          <w:b/>
          <w:bCs/>
          <w:snapToGrid w:val="0"/>
          <w:kern w:val="0"/>
          <w:sz w:val="22"/>
          <w:szCs w:val="28"/>
          <w:lang w:eastAsia="x-none"/>
          <w14:ligatures w14:val="none"/>
        </w:rPr>
        <w:tab/>
        <w:t>Specialūs įspėjimai ir atsargumo priemonės</w:t>
      </w:r>
    </w:p>
    <w:p w14:paraId="4CB6DC8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E377ED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Kraujavimo rizika </w:t>
      </w:r>
    </w:p>
    <w:p w14:paraId="5209B66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59A66A8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Kaip ir vartojant kitų antikoaguliantų,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vartojančių pacientų būklę reikia atidžiai stebėti dėl kraujavimo požymių. Vaistinio preparato rekomenduojama vartoti atsargiai pacientams, kuriems yra kraujavimo riziką didinančių būklių. Jeigu pasireiškia stiprus kraujavimas,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vartojimas turi būti nutrauktas (žr. 4.8 ir 4.9 skyrius). </w:t>
      </w:r>
    </w:p>
    <w:p w14:paraId="605174D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FD287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Nors gydant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įprastai stebėti ekspozicijos nereikia, išskirtinėmis aplinkybėmis, 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ekspozicijos žinojimas gali padėti priimti klinikinį sprendimą, pavyzdžiui, perdozavimo ir neatidėliotinos operacijos atvejais, gali būti naudingas kalibruotas kiekybinis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tyrimas (žr. 5.1 skyrių). </w:t>
      </w:r>
    </w:p>
    <w:p w14:paraId="1E0713F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8C1190" w14:textId="77777777" w:rsidR="00D216FD" w:rsidRPr="00D21DFA" w:rsidRDefault="00D216FD" w:rsidP="00D21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galima skirti specifinį neutralizuojantįjį vaistinį preparatą (</w:t>
      </w:r>
      <w:proofErr w:type="spellStart"/>
      <w:r w:rsidRPr="00D21DFA">
        <w:rPr>
          <w:rFonts w:ascii="Times New Roman" w:eastAsia="Times New Roman" w:hAnsi="Times New Roman" w:cs="Times New Roman"/>
          <w:snapToGrid w:val="0"/>
          <w:kern w:val="0"/>
          <w:sz w:val="22"/>
          <w:szCs w:val="20"/>
          <w14:ligatures w14:val="none"/>
        </w:rPr>
        <w:t>andeksanetą</w:t>
      </w:r>
      <w:proofErr w:type="spellEnd"/>
      <w:r w:rsidRPr="00D21DFA">
        <w:rPr>
          <w:rFonts w:ascii="Times New Roman" w:eastAsia="Times New Roman" w:hAnsi="Times New Roman" w:cs="Times New Roman"/>
          <w:snapToGrid w:val="0"/>
          <w:kern w:val="0"/>
          <w:sz w:val="22"/>
          <w:szCs w:val="20"/>
          <w14:ligatures w14:val="none"/>
        </w:rPr>
        <w:t xml:space="preserve"> alfa), kuris slopina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farmakodinaminį</w:t>
      </w:r>
      <w:proofErr w:type="spellEnd"/>
      <w:r w:rsidRPr="00D21DFA">
        <w:rPr>
          <w:rFonts w:ascii="Times New Roman" w:eastAsia="Times New Roman" w:hAnsi="Times New Roman" w:cs="Times New Roman"/>
          <w:snapToGrid w:val="0"/>
          <w:kern w:val="0"/>
          <w:sz w:val="22"/>
          <w:szCs w:val="20"/>
          <w14:ligatures w14:val="none"/>
        </w:rPr>
        <w:t xml:space="preserve"> poveikį. Tačiau jo saugumas ir veiksmingumas pacientams vaikams nenustatyti (žr. </w:t>
      </w:r>
      <w:proofErr w:type="spellStart"/>
      <w:r w:rsidRPr="00D21DFA">
        <w:rPr>
          <w:rFonts w:ascii="Times New Roman" w:eastAsia="Times New Roman" w:hAnsi="Times New Roman" w:cs="Times New Roman"/>
          <w:snapToGrid w:val="0"/>
          <w:kern w:val="0"/>
          <w:sz w:val="22"/>
          <w:szCs w:val="20"/>
          <w14:ligatures w14:val="none"/>
        </w:rPr>
        <w:t>andeksaneto</w:t>
      </w:r>
      <w:proofErr w:type="spellEnd"/>
      <w:r w:rsidRPr="00D21DFA">
        <w:rPr>
          <w:rFonts w:ascii="Times New Roman" w:eastAsia="Times New Roman" w:hAnsi="Times New Roman" w:cs="Times New Roman"/>
          <w:snapToGrid w:val="0"/>
          <w:kern w:val="0"/>
          <w:sz w:val="22"/>
          <w:szCs w:val="20"/>
          <w14:ligatures w14:val="none"/>
        </w:rPr>
        <w:t xml:space="preserve"> alfa preparato charakteristikų santrauką). Galima spręsti dėl šviežios šaldytos plazmos transfuzijos,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komplekso koncentrato (PKK) arba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skyrimo. Tačiau nėra 4 faktorių PKK preparatų vartojimo klinikinėje praktikoje patirties, juos skiriant kraujavimui, kuris pasireiškė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vartojantiems vaikams ir suaugusiems pacientams, stabdyti.</w:t>
      </w:r>
    </w:p>
    <w:p w14:paraId="3683FC3C" w14:textId="77777777" w:rsidR="00D216FD" w:rsidRPr="00D21DFA" w:rsidRDefault="00D21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F3F4B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Sąveika su kitais vaistiniais preparatais, kurie veikia hemostazę </w:t>
      </w:r>
    </w:p>
    <w:p w14:paraId="12FF9E3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364A0EE" w14:textId="6F743B6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Dėl padidėjusios kraujavimo rizikos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draudžiama vartoti kartu su kitais antikoaguliantais (žr. 4.3 skyrių). </w:t>
      </w:r>
    </w:p>
    <w:p w14:paraId="767EB03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3AFB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vartojimas kartu su trombocitų funkciją slopinančiomis medžiagomis didina kraujavimo riziką (žr. 4.5 skyrių). </w:t>
      </w:r>
    </w:p>
    <w:p w14:paraId="72C4EAC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76F1D1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Reikia gydyti atsargiai, jeigu pacientas kartu yra gydomas selektyviaisiais </w:t>
      </w:r>
      <w:proofErr w:type="spellStart"/>
      <w:r w:rsidRPr="00D21DFA">
        <w:rPr>
          <w:rFonts w:ascii="Times New Roman" w:eastAsia="Times New Roman" w:hAnsi="Times New Roman" w:cs="Times New Roman"/>
          <w:snapToGrid w:val="0"/>
          <w:kern w:val="0"/>
          <w:sz w:val="22"/>
          <w:szCs w:val="20"/>
          <w14:ligatures w14:val="none"/>
        </w:rPr>
        <w:t>serotonino</w:t>
      </w:r>
      <w:proofErr w:type="spellEnd"/>
      <w:r w:rsidRPr="00D21DFA">
        <w:rPr>
          <w:rFonts w:ascii="Times New Roman" w:eastAsia="Times New Roman" w:hAnsi="Times New Roman" w:cs="Times New Roman"/>
          <w:snapToGrid w:val="0"/>
          <w:kern w:val="0"/>
          <w:sz w:val="22"/>
          <w:szCs w:val="20"/>
          <w14:ligatures w14:val="none"/>
        </w:rPr>
        <w:t xml:space="preserve"> reabsorbcijos inhibitoriais (SSRI) arba </w:t>
      </w:r>
      <w:proofErr w:type="spellStart"/>
      <w:r w:rsidRPr="00D21DFA">
        <w:rPr>
          <w:rFonts w:ascii="Times New Roman" w:eastAsia="Times New Roman" w:hAnsi="Times New Roman" w:cs="Times New Roman"/>
          <w:snapToGrid w:val="0"/>
          <w:kern w:val="0"/>
          <w:sz w:val="22"/>
          <w:szCs w:val="20"/>
          <w14:ligatures w14:val="none"/>
        </w:rPr>
        <w:t>serotonino-noradrenalino</w:t>
      </w:r>
      <w:proofErr w:type="spellEnd"/>
      <w:r w:rsidRPr="00D21DFA">
        <w:rPr>
          <w:rFonts w:ascii="Times New Roman" w:eastAsia="Times New Roman" w:hAnsi="Times New Roman" w:cs="Times New Roman"/>
          <w:snapToGrid w:val="0"/>
          <w:kern w:val="0"/>
          <w:sz w:val="22"/>
          <w:szCs w:val="20"/>
          <w14:ligatures w14:val="none"/>
        </w:rPr>
        <w:t xml:space="preserve"> reabsorbcijos inhibitoriais (SNRI), arba nesteroidiniais vaistiniais preparatais nuo uždegimo (NVNU), įskaitant </w:t>
      </w:r>
      <w:proofErr w:type="spellStart"/>
      <w:r w:rsidRPr="00D21DFA">
        <w:rPr>
          <w:rFonts w:ascii="Times New Roman" w:eastAsia="Times New Roman" w:hAnsi="Times New Roman" w:cs="Times New Roman"/>
          <w:snapToGrid w:val="0"/>
          <w:kern w:val="0"/>
          <w:sz w:val="22"/>
          <w:szCs w:val="20"/>
          <w14:ligatures w14:val="none"/>
        </w:rPr>
        <w:t>acetilsalicilo</w:t>
      </w:r>
      <w:proofErr w:type="spellEnd"/>
      <w:r w:rsidRPr="00D21DFA">
        <w:rPr>
          <w:rFonts w:ascii="Times New Roman" w:eastAsia="Times New Roman" w:hAnsi="Times New Roman" w:cs="Times New Roman"/>
          <w:snapToGrid w:val="0"/>
          <w:kern w:val="0"/>
          <w:sz w:val="22"/>
          <w:szCs w:val="20"/>
          <w14:ligatures w14:val="none"/>
        </w:rPr>
        <w:t xml:space="preserve"> rūgštį (ASR). </w:t>
      </w:r>
    </w:p>
    <w:p w14:paraId="4CBB1A7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F3731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operacijos kitų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inhibitorių vartoti kartu su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nerekomenduojama (žr. 4.5 skyrių). </w:t>
      </w:r>
    </w:p>
    <w:p w14:paraId="5694139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9C0BC4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kuriems pasireiškia prieširdžių virpėjimas ir yra būklių, dėl kurių būtina skirti </w:t>
      </w:r>
      <w:proofErr w:type="spellStart"/>
      <w:r w:rsidRPr="00D21DFA">
        <w:rPr>
          <w:rFonts w:ascii="Times New Roman" w:eastAsia="Times New Roman" w:hAnsi="Times New Roman" w:cs="Times New Roman"/>
          <w:snapToGrid w:val="0"/>
          <w:kern w:val="0"/>
          <w:sz w:val="22"/>
          <w:szCs w:val="20"/>
          <w14:ligatures w14:val="none"/>
        </w:rPr>
        <w:t>monoterapiją</w:t>
      </w:r>
      <w:proofErr w:type="spellEnd"/>
      <w:r w:rsidRPr="00D21DFA">
        <w:rPr>
          <w:rFonts w:ascii="Times New Roman" w:eastAsia="Times New Roman" w:hAnsi="Times New Roman" w:cs="Times New Roman"/>
          <w:snapToGrid w:val="0"/>
          <w:kern w:val="0"/>
          <w:sz w:val="22"/>
          <w:szCs w:val="20"/>
          <w14:ligatures w14:val="none"/>
        </w:rPr>
        <w:t xml:space="preserve"> arba gydymą dviem trombocitų funkciją slopinančiais vaistiniais preparatais, prieš pradedant kartu gydyti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reikia atidžiai įvertinti laukiamos naudos ir galimos rizikos santykį. </w:t>
      </w:r>
    </w:p>
    <w:p w14:paraId="4203FEF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E59C172" w14:textId="688826F4" w:rsidR="00C95D96"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Suaugusių p</w:t>
      </w:r>
      <w:r w:rsidR="00C95D96" w:rsidRPr="00D21DFA">
        <w:rPr>
          <w:rFonts w:ascii="Times New Roman" w:eastAsia="Times New Roman" w:hAnsi="Times New Roman" w:cs="Times New Roman"/>
          <w:snapToGrid w:val="0"/>
          <w:kern w:val="0"/>
          <w:sz w:val="22"/>
          <w:szCs w:val="20"/>
          <w14:ligatures w14:val="none"/>
        </w:rPr>
        <w:t xml:space="preserve">acientų, </w:t>
      </w:r>
      <w:r w:rsidR="008B6ADB" w:rsidRPr="00D21DFA">
        <w:rPr>
          <w:rFonts w:ascii="Times New Roman" w:eastAsia="Times New Roman" w:hAnsi="Times New Roman" w:cs="Times New Roman"/>
          <w:snapToGrid w:val="0"/>
          <w:kern w:val="0"/>
          <w:sz w:val="22"/>
          <w:szCs w:val="20"/>
          <w14:ligatures w14:val="none"/>
        </w:rPr>
        <w:t>sergančių</w:t>
      </w:r>
      <w:r w:rsidR="00C95D96" w:rsidRPr="00D21DFA">
        <w:rPr>
          <w:rFonts w:ascii="Times New Roman" w:eastAsia="Times New Roman" w:hAnsi="Times New Roman" w:cs="Times New Roman"/>
          <w:snapToGrid w:val="0"/>
          <w:kern w:val="0"/>
          <w:sz w:val="22"/>
          <w:szCs w:val="20"/>
          <w14:ligatures w14:val="none"/>
        </w:rPr>
        <w:t xml:space="preserve"> prieširdžių virpėjim</w:t>
      </w:r>
      <w:r w:rsidR="008B6ADB" w:rsidRPr="00D21DFA">
        <w:rPr>
          <w:rFonts w:ascii="Times New Roman" w:eastAsia="Times New Roman" w:hAnsi="Times New Roman" w:cs="Times New Roman"/>
          <w:snapToGrid w:val="0"/>
          <w:kern w:val="0"/>
          <w:sz w:val="22"/>
          <w:szCs w:val="20"/>
          <w14:ligatures w14:val="none"/>
        </w:rPr>
        <w:t>u</w:t>
      </w:r>
      <w:r w:rsidR="00C95D96" w:rsidRPr="00D21DFA">
        <w:rPr>
          <w:rFonts w:ascii="Times New Roman" w:eastAsia="Times New Roman" w:hAnsi="Times New Roman" w:cs="Times New Roman"/>
          <w:snapToGrid w:val="0"/>
          <w:kern w:val="0"/>
          <w:sz w:val="22"/>
          <w:szCs w:val="20"/>
          <w14:ligatures w14:val="none"/>
        </w:rPr>
        <w:t>, klinikinio tyrimo duomenimis ASR vartojimas kartu</w:t>
      </w:r>
      <w:r w:rsidR="008B6ADB" w:rsidRPr="00D21DFA">
        <w:rPr>
          <w:rFonts w:ascii="Times New Roman" w:eastAsia="Times New Roman" w:hAnsi="Times New Roman" w:cs="Times New Roman"/>
          <w:snapToGrid w:val="0"/>
          <w:kern w:val="0"/>
          <w:sz w:val="22"/>
          <w:szCs w:val="20"/>
          <w14:ligatures w14:val="none"/>
        </w:rPr>
        <w:t xml:space="preserve"> su </w:t>
      </w:r>
      <w:proofErr w:type="spellStart"/>
      <w:r w:rsidR="008B6ADB" w:rsidRPr="00D21DFA">
        <w:rPr>
          <w:rFonts w:ascii="Times New Roman" w:eastAsia="Times New Roman" w:hAnsi="Times New Roman" w:cs="Times New Roman"/>
          <w:snapToGrid w:val="0"/>
          <w:kern w:val="0"/>
          <w:sz w:val="22"/>
          <w:szCs w:val="20"/>
          <w14:ligatures w14:val="none"/>
        </w:rPr>
        <w:t>apiksabanu</w:t>
      </w:r>
      <w:proofErr w:type="spellEnd"/>
      <w:r w:rsidR="00C95D96" w:rsidRPr="00D21DFA">
        <w:rPr>
          <w:rFonts w:ascii="Times New Roman" w:eastAsia="Times New Roman" w:hAnsi="Times New Roman" w:cs="Times New Roman"/>
          <w:snapToGrid w:val="0"/>
          <w:kern w:val="0"/>
          <w:sz w:val="22"/>
          <w:szCs w:val="20"/>
          <w14:ligatures w14:val="none"/>
        </w:rPr>
        <w:t xml:space="preserve"> padidino stipraus kraujavimo riziką nuo 1,8 % per metus iki 3,4 % per metus</w:t>
      </w:r>
      <w:r w:rsidR="008B6ADB" w:rsidRPr="00D21DFA">
        <w:rPr>
          <w:rFonts w:ascii="Times New Roman" w:eastAsia="Times New Roman" w:hAnsi="Times New Roman" w:cs="Times New Roman"/>
          <w:snapToGrid w:val="0"/>
          <w:kern w:val="0"/>
          <w:sz w:val="22"/>
          <w:szCs w:val="20"/>
          <w14:ligatures w14:val="none"/>
        </w:rPr>
        <w:t>, o, ASR vartojimas</w:t>
      </w:r>
      <w:r w:rsidR="00C95D96" w:rsidRPr="00D21DFA">
        <w:rPr>
          <w:rFonts w:ascii="Times New Roman" w:eastAsia="Times New Roman" w:hAnsi="Times New Roman" w:cs="Times New Roman"/>
          <w:snapToGrid w:val="0"/>
          <w:kern w:val="0"/>
          <w:sz w:val="22"/>
          <w:szCs w:val="20"/>
          <w14:ligatures w14:val="none"/>
        </w:rPr>
        <w:t xml:space="preserve"> </w:t>
      </w:r>
      <w:r w:rsidR="008B6ADB" w:rsidRPr="00D21DFA">
        <w:rPr>
          <w:rFonts w:ascii="Times New Roman" w:eastAsia="Times New Roman" w:hAnsi="Times New Roman" w:cs="Times New Roman"/>
          <w:snapToGrid w:val="0"/>
          <w:kern w:val="0"/>
          <w:sz w:val="22"/>
          <w:szCs w:val="20"/>
          <w14:ligatures w14:val="none"/>
        </w:rPr>
        <w:t>su</w:t>
      </w:r>
      <w:r w:rsidR="00C95D96" w:rsidRPr="00D21DFA">
        <w:rPr>
          <w:rFonts w:ascii="Times New Roman" w:eastAsia="Times New Roman" w:hAnsi="Times New Roman" w:cs="Times New Roman"/>
          <w:snapToGrid w:val="0"/>
          <w:kern w:val="0"/>
          <w:sz w:val="22"/>
          <w:szCs w:val="20"/>
          <w14:ligatures w14:val="none"/>
        </w:rPr>
        <w:t xml:space="preserve"> varfarin</w:t>
      </w:r>
      <w:r w:rsidR="008B6ADB" w:rsidRPr="00D21DFA">
        <w:rPr>
          <w:rFonts w:ascii="Times New Roman" w:eastAsia="Times New Roman" w:hAnsi="Times New Roman" w:cs="Times New Roman"/>
          <w:snapToGrid w:val="0"/>
          <w:kern w:val="0"/>
          <w:sz w:val="22"/>
          <w:szCs w:val="20"/>
          <w14:ligatures w14:val="none"/>
        </w:rPr>
        <w:t>u –</w:t>
      </w:r>
      <w:r w:rsidR="00C95D96" w:rsidRPr="00D21DFA">
        <w:rPr>
          <w:rFonts w:ascii="Times New Roman" w:eastAsia="Times New Roman" w:hAnsi="Times New Roman" w:cs="Times New Roman"/>
          <w:snapToGrid w:val="0"/>
          <w:kern w:val="0"/>
          <w:sz w:val="22"/>
          <w:szCs w:val="20"/>
          <w14:ligatures w14:val="none"/>
        </w:rPr>
        <w:t xml:space="preserve"> nuo 2,7 % iki 4,6 % per metus. Šio klinikinio tyrimo duomenimis, nedaug</w:t>
      </w:r>
      <w:r w:rsidR="008B6ADB" w:rsidRPr="00D21DFA">
        <w:rPr>
          <w:rFonts w:ascii="Times New Roman" w:eastAsia="Times New Roman" w:hAnsi="Times New Roman" w:cs="Times New Roman"/>
          <w:snapToGrid w:val="0"/>
          <w:kern w:val="0"/>
          <w:sz w:val="22"/>
          <w:szCs w:val="20"/>
          <w14:ligatures w14:val="none"/>
        </w:rPr>
        <w:t>eliui</w:t>
      </w:r>
      <w:r w:rsidR="00C95D96" w:rsidRPr="00D21DFA">
        <w:rPr>
          <w:rFonts w:ascii="Times New Roman" w:eastAsia="Times New Roman" w:hAnsi="Times New Roman" w:cs="Times New Roman"/>
          <w:snapToGrid w:val="0"/>
          <w:kern w:val="0"/>
          <w:sz w:val="22"/>
          <w:szCs w:val="20"/>
          <w14:ligatures w14:val="none"/>
        </w:rPr>
        <w:t xml:space="preserve"> pacientų (2,1 %) buvo taikytas gydymas dviem trombocitų funkciją slopinančiais vaistiniais preparatais (žr. 5.1 skyrių).</w:t>
      </w:r>
    </w:p>
    <w:p w14:paraId="445EF93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8BCC23" w14:textId="56C3D57B" w:rsidR="00C95D96" w:rsidRPr="00D21DFA" w:rsidRDefault="008B6ADB"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Atliktas k</w:t>
      </w:r>
      <w:r w:rsidR="00C95D96" w:rsidRPr="00D21DFA">
        <w:rPr>
          <w:rFonts w:ascii="Times New Roman" w:eastAsia="Times New Roman" w:hAnsi="Times New Roman" w:cs="Times New Roman"/>
          <w:snapToGrid w:val="0"/>
          <w:kern w:val="0"/>
          <w:sz w:val="22"/>
          <w:szCs w:val="20"/>
          <w14:ligatures w14:val="none"/>
        </w:rPr>
        <w:t>linikini</w:t>
      </w:r>
      <w:r w:rsidRPr="00D21DFA">
        <w:rPr>
          <w:rFonts w:ascii="Times New Roman" w:eastAsia="Times New Roman" w:hAnsi="Times New Roman" w:cs="Times New Roman"/>
          <w:snapToGrid w:val="0"/>
          <w:kern w:val="0"/>
          <w:sz w:val="22"/>
          <w:szCs w:val="20"/>
          <w14:ligatures w14:val="none"/>
        </w:rPr>
        <w:t>s</w:t>
      </w:r>
      <w:r w:rsidR="00C95D96" w:rsidRPr="00D21DFA">
        <w:rPr>
          <w:rFonts w:ascii="Times New Roman" w:eastAsia="Times New Roman" w:hAnsi="Times New Roman" w:cs="Times New Roman"/>
          <w:snapToGrid w:val="0"/>
          <w:kern w:val="0"/>
          <w:sz w:val="22"/>
          <w:szCs w:val="20"/>
          <w14:ligatures w14:val="none"/>
        </w:rPr>
        <w:t xml:space="preserve"> tyrim</w:t>
      </w:r>
      <w:r w:rsidRPr="00D21DFA">
        <w:rPr>
          <w:rFonts w:ascii="Times New Roman" w:eastAsia="Times New Roman" w:hAnsi="Times New Roman" w:cs="Times New Roman"/>
          <w:snapToGrid w:val="0"/>
          <w:kern w:val="0"/>
          <w:sz w:val="22"/>
          <w:szCs w:val="20"/>
          <w14:ligatures w14:val="none"/>
        </w:rPr>
        <w:t>as, kuriame</w:t>
      </w:r>
      <w:r w:rsidR="00C95D96" w:rsidRPr="00D21DFA">
        <w:rPr>
          <w:rFonts w:ascii="Times New Roman" w:eastAsia="Times New Roman" w:hAnsi="Times New Roman" w:cs="Times New Roman"/>
          <w:snapToGrid w:val="0"/>
          <w:kern w:val="0"/>
          <w:sz w:val="22"/>
          <w:szCs w:val="20"/>
          <w14:ligatures w14:val="none"/>
        </w:rPr>
        <w:t xml:space="preserve"> dalyvavo pacientai, </w:t>
      </w:r>
      <w:r w:rsidRPr="00D21DFA">
        <w:rPr>
          <w:rFonts w:ascii="Times New Roman" w:eastAsia="Times New Roman" w:hAnsi="Times New Roman" w:cs="Times New Roman"/>
          <w:snapToGrid w:val="0"/>
          <w:kern w:val="0"/>
          <w:sz w:val="22"/>
          <w:szCs w:val="20"/>
          <w14:ligatures w14:val="none"/>
        </w:rPr>
        <w:t>sirgę</w:t>
      </w:r>
      <w:r w:rsidR="00C95D96" w:rsidRPr="00D21DFA">
        <w:rPr>
          <w:rFonts w:ascii="Times New Roman" w:eastAsia="Times New Roman" w:hAnsi="Times New Roman" w:cs="Times New Roman"/>
          <w:snapToGrid w:val="0"/>
          <w:kern w:val="0"/>
          <w:sz w:val="22"/>
          <w:szCs w:val="20"/>
          <w14:ligatures w14:val="none"/>
        </w:rPr>
        <w:t xml:space="preserve"> prieširdžių virpėjim</w:t>
      </w:r>
      <w:r w:rsidRPr="00D21DFA">
        <w:rPr>
          <w:rFonts w:ascii="Times New Roman" w:eastAsia="Times New Roman" w:hAnsi="Times New Roman" w:cs="Times New Roman"/>
          <w:snapToGrid w:val="0"/>
          <w:kern w:val="0"/>
          <w:sz w:val="22"/>
          <w:szCs w:val="20"/>
          <w14:ligatures w14:val="none"/>
        </w:rPr>
        <w:t>u</w:t>
      </w:r>
      <w:r w:rsidR="00C95D96" w:rsidRPr="00D21DFA">
        <w:rPr>
          <w:rFonts w:ascii="Times New Roman" w:eastAsia="Times New Roman" w:hAnsi="Times New Roman" w:cs="Times New Roman"/>
          <w:snapToGrid w:val="0"/>
          <w:kern w:val="0"/>
          <w:sz w:val="22"/>
          <w:szCs w:val="20"/>
          <w14:ligatures w14:val="none"/>
        </w:rPr>
        <w:t xml:space="preserve"> ir ŪKS, </w:t>
      </w:r>
      <w:r w:rsidRPr="00D21DFA">
        <w:rPr>
          <w:rFonts w:ascii="Times New Roman" w:eastAsia="Times New Roman" w:hAnsi="Times New Roman" w:cs="Times New Roman"/>
          <w:snapToGrid w:val="0"/>
          <w:kern w:val="0"/>
          <w:sz w:val="22"/>
          <w:szCs w:val="20"/>
          <w14:ligatures w14:val="none"/>
        </w:rPr>
        <w:t xml:space="preserve">bei </w:t>
      </w:r>
      <w:r w:rsidR="00C95D96" w:rsidRPr="00D21DFA">
        <w:rPr>
          <w:rFonts w:ascii="Times New Roman" w:eastAsia="Times New Roman" w:hAnsi="Times New Roman" w:cs="Times New Roman"/>
          <w:snapToGrid w:val="0"/>
          <w:kern w:val="0"/>
          <w:sz w:val="22"/>
          <w:szCs w:val="20"/>
          <w14:ligatures w14:val="none"/>
        </w:rPr>
        <w:t>kuriems ir (arba) buvo atliekama PVAI ir taikomas planinis 6 mėnesių gydymo kursas vartojant P2Y12 inhibitorių su ASR arba be jos, ir</w:t>
      </w:r>
      <w:r w:rsidRPr="00D21DFA">
        <w:rPr>
          <w:rFonts w:ascii="Times New Roman" w:eastAsia="Times New Roman" w:hAnsi="Times New Roman" w:cs="Times New Roman"/>
          <w:snapToGrid w:val="0"/>
          <w:kern w:val="0"/>
          <w:sz w:val="22"/>
          <w:szCs w:val="20"/>
          <w14:ligatures w14:val="none"/>
        </w:rPr>
        <w:t xml:space="preserve"> gydymas</w:t>
      </w:r>
      <w:r w:rsidR="00C95D96" w:rsidRPr="00D21DFA">
        <w:rPr>
          <w:rFonts w:ascii="Times New Roman" w:eastAsia="Times New Roman" w:hAnsi="Times New Roman" w:cs="Times New Roman"/>
          <w:snapToGrid w:val="0"/>
          <w:kern w:val="0"/>
          <w:sz w:val="22"/>
          <w:szCs w:val="20"/>
          <w14:ligatures w14:val="none"/>
        </w:rPr>
        <w:t xml:space="preserve"> geriamaisiais antikoaguliantais (</w:t>
      </w:r>
      <w:proofErr w:type="spellStart"/>
      <w:r w:rsidR="00C95D96" w:rsidRPr="00D21DFA">
        <w:rPr>
          <w:rFonts w:ascii="Times New Roman" w:eastAsia="Times New Roman" w:hAnsi="Times New Roman" w:cs="Times New Roman"/>
          <w:snapToGrid w:val="0"/>
          <w:kern w:val="0"/>
          <w:sz w:val="22"/>
          <w:szCs w:val="20"/>
          <w14:ligatures w14:val="none"/>
        </w:rPr>
        <w:t>apiksabanu</w:t>
      </w:r>
      <w:proofErr w:type="spellEnd"/>
      <w:r w:rsidR="00C95D96" w:rsidRPr="00D21DFA">
        <w:rPr>
          <w:rFonts w:ascii="Times New Roman" w:eastAsia="Times New Roman" w:hAnsi="Times New Roman" w:cs="Times New Roman"/>
          <w:snapToGrid w:val="0"/>
          <w:kern w:val="0"/>
          <w:sz w:val="22"/>
          <w:szCs w:val="20"/>
          <w14:ligatures w14:val="none"/>
        </w:rPr>
        <w:t xml:space="preserve"> arba vitamino K antagonistais [VKA]). Vartojant </w:t>
      </w:r>
      <w:r w:rsidRPr="00D21DFA">
        <w:rPr>
          <w:rFonts w:ascii="Times New Roman" w:eastAsia="Times New Roman" w:hAnsi="Times New Roman" w:cs="Times New Roman"/>
          <w:snapToGrid w:val="0"/>
          <w:kern w:val="0"/>
          <w:sz w:val="22"/>
          <w:szCs w:val="20"/>
          <w14:ligatures w14:val="none"/>
        </w:rPr>
        <w:t xml:space="preserve">minėtą gydymą </w:t>
      </w:r>
      <w:r w:rsidR="00C95D96" w:rsidRPr="00D21DFA">
        <w:rPr>
          <w:rFonts w:ascii="Times New Roman" w:eastAsia="Times New Roman" w:hAnsi="Times New Roman" w:cs="Times New Roman"/>
          <w:snapToGrid w:val="0"/>
          <w:kern w:val="0"/>
          <w:sz w:val="22"/>
          <w:szCs w:val="20"/>
          <w14:ligatures w14:val="none"/>
        </w:rPr>
        <w:t xml:space="preserve">kartu </w:t>
      </w:r>
      <w:r w:rsidRPr="00D21DFA">
        <w:rPr>
          <w:rFonts w:ascii="Times New Roman" w:eastAsia="Times New Roman" w:hAnsi="Times New Roman" w:cs="Times New Roman"/>
          <w:snapToGrid w:val="0"/>
          <w:kern w:val="0"/>
          <w:sz w:val="22"/>
          <w:szCs w:val="20"/>
          <w14:ligatures w14:val="none"/>
        </w:rPr>
        <w:t xml:space="preserve">su </w:t>
      </w:r>
      <w:r w:rsidR="00C95D96" w:rsidRPr="00D21DFA">
        <w:rPr>
          <w:rFonts w:ascii="Times New Roman" w:eastAsia="Times New Roman" w:hAnsi="Times New Roman" w:cs="Times New Roman"/>
          <w:snapToGrid w:val="0"/>
          <w:kern w:val="0"/>
          <w:sz w:val="22"/>
          <w:szCs w:val="20"/>
          <w14:ligatures w14:val="none"/>
        </w:rPr>
        <w:t>ASR,</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gydytiems pacientams</w:t>
      </w:r>
      <w:r w:rsidR="00C95D96" w:rsidRPr="00D21DFA">
        <w:rPr>
          <w:rFonts w:ascii="Times New Roman" w:eastAsia="Times New Roman" w:hAnsi="Times New Roman" w:cs="Times New Roman"/>
          <w:snapToGrid w:val="0"/>
          <w:kern w:val="0"/>
          <w:sz w:val="22"/>
          <w:szCs w:val="20"/>
          <w14:ligatures w14:val="none"/>
        </w:rPr>
        <w:t xml:space="preserve"> padidėjo stipraus arba kliniškai reikšmingo nestipraus kraujavimo (KRNS) (angl. </w:t>
      </w:r>
      <w:proofErr w:type="spellStart"/>
      <w:r w:rsidR="00C95D96" w:rsidRPr="00D21DFA">
        <w:rPr>
          <w:rFonts w:ascii="Times New Roman" w:eastAsia="Times New Roman" w:hAnsi="Times New Roman" w:cs="Times New Roman"/>
          <w:i/>
          <w:snapToGrid w:val="0"/>
          <w:kern w:val="0"/>
          <w:sz w:val="22"/>
          <w:szCs w:val="20"/>
          <w14:ligatures w14:val="none"/>
        </w:rPr>
        <w:t>Clinically</w:t>
      </w:r>
      <w:proofErr w:type="spellEnd"/>
      <w:r w:rsidR="00C95D96" w:rsidRPr="00D21DFA">
        <w:rPr>
          <w:rFonts w:ascii="Times New Roman" w:eastAsia="Times New Roman" w:hAnsi="Times New Roman" w:cs="Times New Roman"/>
          <w:i/>
          <w:snapToGrid w:val="0"/>
          <w:kern w:val="0"/>
          <w:sz w:val="22"/>
          <w:szCs w:val="20"/>
          <w14:ligatures w14:val="none"/>
        </w:rPr>
        <w:t xml:space="preserve"> </w:t>
      </w:r>
      <w:proofErr w:type="spellStart"/>
      <w:r w:rsidR="00C95D96" w:rsidRPr="00D21DFA">
        <w:rPr>
          <w:rFonts w:ascii="Times New Roman" w:eastAsia="Times New Roman" w:hAnsi="Times New Roman" w:cs="Times New Roman"/>
          <w:i/>
          <w:snapToGrid w:val="0"/>
          <w:kern w:val="0"/>
          <w:sz w:val="22"/>
          <w:szCs w:val="20"/>
          <w14:ligatures w14:val="none"/>
        </w:rPr>
        <w:t>Relevant</w:t>
      </w:r>
      <w:proofErr w:type="spellEnd"/>
      <w:r w:rsidR="00C95D96" w:rsidRPr="00D21DFA">
        <w:rPr>
          <w:rFonts w:ascii="Times New Roman" w:eastAsia="Times New Roman" w:hAnsi="Times New Roman" w:cs="Times New Roman"/>
          <w:i/>
          <w:snapToGrid w:val="0"/>
          <w:kern w:val="0"/>
          <w:sz w:val="22"/>
          <w:szCs w:val="20"/>
          <w14:ligatures w14:val="none"/>
        </w:rPr>
        <w:t xml:space="preserve"> </w:t>
      </w:r>
      <w:proofErr w:type="spellStart"/>
      <w:r w:rsidR="00C95D96" w:rsidRPr="00D21DFA">
        <w:rPr>
          <w:rFonts w:ascii="Times New Roman" w:eastAsia="Times New Roman" w:hAnsi="Times New Roman" w:cs="Times New Roman"/>
          <w:i/>
          <w:snapToGrid w:val="0"/>
          <w:kern w:val="0"/>
          <w:sz w:val="22"/>
          <w:szCs w:val="20"/>
          <w14:ligatures w14:val="none"/>
        </w:rPr>
        <w:t>Non-Major</w:t>
      </w:r>
      <w:proofErr w:type="spellEnd"/>
      <w:r w:rsidR="00C95D96" w:rsidRPr="00D21DFA">
        <w:rPr>
          <w:rFonts w:ascii="Times New Roman" w:eastAsia="Times New Roman" w:hAnsi="Times New Roman" w:cs="Times New Roman"/>
          <w:snapToGrid w:val="0"/>
          <w:kern w:val="0"/>
          <w:sz w:val="22"/>
          <w:szCs w:val="20"/>
          <w14:ligatures w14:val="none"/>
        </w:rPr>
        <w:t xml:space="preserve">) rizika </w:t>
      </w:r>
      <w:r w:rsidRPr="00D21DFA">
        <w:rPr>
          <w:rFonts w:ascii="Times New Roman" w:eastAsia="Times New Roman" w:hAnsi="Times New Roman" w:cs="Times New Roman"/>
          <w:snapToGrid w:val="0"/>
          <w:kern w:val="0"/>
          <w:sz w:val="22"/>
          <w:szCs w:val="20"/>
          <w14:ligatures w14:val="none"/>
        </w:rPr>
        <w:t xml:space="preserve">pagal Tarptautinę trombozės ir hemostazės asociacijos klasifikaciją (angl. </w:t>
      </w:r>
      <w:r w:rsidRPr="00D21DFA">
        <w:rPr>
          <w:rFonts w:ascii="Times New Roman" w:eastAsia="Times New Roman" w:hAnsi="Times New Roman" w:cs="Times New Roman"/>
          <w:i/>
          <w:snapToGrid w:val="0"/>
          <w:kern w:val="0"/>
          <w:sz w:val="22"/>
          <w:szCs w:val="20"/>
          <w14:ligatures w14:val="none"/>
        </w:rPr>
        <w:t>International</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Society</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on</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Thrombosis</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and</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Hemostasis</w:t>
      </w:r>
      <w:proofErr w:type="spellEnd"/>
      <w:r w:rsidRPr="00D21DFA">
        <w:rPr>
          <w:rFonts w:ascii="Times New Roman" w:eastAsia="Times New Roman" w:hAnsi="Times New Roman" w:cs="Times New Roman"/>
          <w:i/>
          <w:snapToGrid w:val="0"/>
          <w:kern w:val="0"/>
          <w:sz w:val="22"/>
          <w:szCs w:val="20"/>
          <w14:ligatures w14:val="none"/>
        </w:rPr>
        <w:t>, ISTH</w:t>
      </w:r>
      <w:r w:rsidRPr="00D21DFA">
        <w:rPr>
          <w:rFonts w:ascii="Times New Roman" w:eastAsia="Times New Roman" w:hAnsi="Times New Roman" w:cs="Times New Roman"/>
          <w:snapToGrid w:val="0"/>
          <w:kern w:val="0"/>
          <w:sz w:val="22"/>
          <w:szCs w:val="20"/>
          <w14:ligatures w14:val="none"/>
        </w:rPr>
        <w:t xml:space="preserve">) </w:t>
      </w:r>
      <w:r w:rsidR="00C95D96" w:rsidRPr="00D21DFA">
        <w:rPr>
          <w:rFonts w:ascii="Times New Roman" w:eastAsia="Times New Roman" w:hAnsi="Times New Roman" w:cs="Times New Roman"/>
          <w:snapToGrid w:val="0"/>
          <w:kern w:val="0"/>
          <w:sz w:val="22"/>
          <w:szCs w:val="20"/>
          <w14:ligatures w14:val="none"/>
        </w:rPr>
        <w:t>nuo 16,4 </w:t>
      </w:r>
      <w:r w:rsidR="00C95D96" w:rsidRPr="00D21DFA">
        <w:rPr>
          <w:rFonts w:ascii="Times New Roman" w:eastAsia="Times New Roman" w:hAnsi="Times New Roman" w:cs="Times New Roman"/>
          <w:snapToGrid w:val="0"/>
          <w:kern w:val="0"/>
          <w:sz w:val="22"/>
          <w:szCs w:val="22"/>
          <w14:ligatures w14:val="none"/>
        </w:rPr>
        <w:t>% iki 33,1 % per metus (žr. 5.1 skyrių).</w:t>
      </w:r>
    </w:p>
    <w:p w14:paraId="302318A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D76AD5E" w14:textId="45BBA24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Klinikini</w:t>
      </w:r>
      <w:r w:rsidR="008B6ADB" w:rsidRPr="00D21DFA">
        <w:rPr>
          <w:rFonts w:ascii="Times New Roman" w:eastAsia="Times New Roman" w:hAnsi="Times New Roman" w:cs="Times New Roman"/>
          <w:snapToGrid w:val="0"/>
          <w:kern w:val="0"/>
          <w:sz w:val="22"/>
          <w:szCs w:val="20"/>
          <w14:ligatures w14:val="none"/>
        </w:rPr>
        <w:t>s</w:t>
      </w:r>
      <w:r w:rsidRPr="00D21DFA">
        <w:rPr>
          <w:rFonts w:ascii="Times New Roman" w:eastAsia="Times New Roman" w:hAnsi="Times New Roman" w:cs="Times New Roman"/>
          <w:snapToGrid w:val="0"/>
          <w:kern w:val="0"/>
          <w:sz w:val="22"/>
          <w:szCs w:val="20"/>
          <w14:ligatures w14:val="none"/>
        </w:rPr>
        <w:t xml:space="preserve"> tyrim</w:t>
      </w:r>
      <w:r w:rsidR="008B6ADB" w:rsidRPr="00D21DFA">
        <w:rPr>
          <w:rFonts w:ascii="Times New Roman" w:eastAsia="Times New Roman" w:hAnsi="Times New Roman" w:cs="Times New Roman"/>
          <w:snapToGrid w:val="0"/>
          <w:kern w:val="0"/>
          <w:sz w:val="22"/>
          <w:szCs w:val="20"/>
          <w14:ligatures w14:val="none"/>
        </w:rPr>
        <w:t xml:space="preserve">as, kuriame dalyvavo </w:t>
      </w:r>
      <w:r w:rsidRPr="00D21DFA">
        <w:rPr>
          <w:rFonts w:ascii="Times New Roman" w:eastAsia="Times New Roman" w:hAnsi="Times New Roman" w:cs="Times New Roman"/>
          <w:snapToGrid w:val="0"/>
          <w:kern w:val="0"/>
          <w:sz w:val="22"/>
          <w:szCs w:val="20"/>
          <w14:ligatures w14:val="none"/>
        </w:rPr>
        <w:t>didelės rizikos pacientai, patyr</w:t>
      </w:r>
      <w:r w:rsidR="008B6ADB"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ŪKS be prieširdžių virpėjimo</w:t>
      </w:r>
      <w:r w:rsidR="008B6ADB" w:rsidRPr="00D21DFA">
        <w:rPr>
          <w:rFonts w:ascii="Times New Roman" w:eastAsia="Times New Roman" w:hAnsi="Times New Roman" w:cs="Times New Roman"/>
          <w:snapToGrid w:val="0"/>
          <w:kern w:val="0"/>
          <w:sz w:val="22"/>
          <w:szCs w:val="20"/>
          <w14:ligatures w14:val="none"/>
        </w:rPr>
        <w:t xml:space="preserve"> ir</w:t>
      </w:r>
      <w:r w:rsidRPr="00D21DFA">
        <w:rPr>
          <w:rFonts w:ascii="Times New Roman" w:eastAsia="Times New Roman" w:hAnsi="Times New Roman" w:cs="Times New Roman"/>
          <w:snapToGrid w:val="0"/>
          <w:kern w:val="0"/>
          <w:sz w:val="22"/>
          <w:szCs w:val="20"/>
          <w14:ligatures w14:val="none"/>
        </w:rPr>
        <w:t xml:space="preserve"> kartu sirg</w:t>
      </w:r>
      <w:r w:rsidR="008B6ADB"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daugeliu širdies ir </w:t>
      </w:r>
      <w:r w:rsidR="008B6ADB" w:rsidRPr="00D21DFA">
        <w:rPr>
          <w:rFonts w:ascii="Times New Roman" w:eastAsia="Times New Roman" w:hAnsi="Times New Roman" w:cs="Times New Roman"/>
          <w:snapToGrid w:val="0"/>
          <w:kern w:val="0"/>
          <w:sz w:val="22"/>
          <w:szCs w:val="20"/>
          <w14:ligatures w14:val="none"/>
        </w:rPr>
        <w:t>kitomis gretutinėmis</w:t>
      </w:r>
      <w:r w:rsidRPr="00D21DFA">
        <w:rPr>
          <w:rFonts w:ascii="Times New Roman" w:eastAsia="Times New Roman" w:hAnsi="Times New Roman" w:cs="Times New Roman"/>
          <w:snapToGrid w:val="0"/>
          <w:kern w:val="0"/>
          <w:sz w:val="22"/>
          <w:szCs w:val="20"/>
          <w14:ligatures w14:val="none"/>
        </w:rPr>
        <w:t xml:space="preserve"> lig</w:t>
      </w:r>
      <w:r w:rsidR="008B6ADB" w:rsidRPr="00D21DFA">
        <w:rPr>
          <w:rFonts w:ascii="Times New Roman" w:eastAsia="Times New Roman" w:hAnsi="Times New Roman" w:cs="Times New Roman"/>
          <w:snapToGrid w:val="0"/>
          <w:kern w:val="0"/>
          <w:sz w:val="22"/>
          <w:szCs w:val="20"/>
          <w14:ligatures w14:val="none"/>
        </w:rPr>
        <w:t>omis</w:t>
      </w:r>
      <w:r w:rsidRPr="00D21DFA">
        <w:rPr>
          <w:rFonts w:ascii="Times New Roman" w:eastAsia="Times New Roman" w:hAnsi="Times New Roman" w:cs="Times New Roman"/>
          <w:snapToGrid w:val="0"/>
          <w:kern w:val="0"/>
          <w:sz w:val="22"/>
          <w:szCs w:val="20"/>
          <w14:ligatures w14:val="none"/>
        </w:rPr>
        <w:t xml:space="preserve"> bei vartoj</w:t>
      </w:r>
      <w:r w:rsidR="008B6ADB"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ASR arba ASR kartu su </w:t>
      </w:r>
      <w:proofErr w:type="spellStart"/>
      <w:r w:rsidRPr="00D21DFA">
        <w:rPr>
          <w:rFonts w:ascii="Times New Roman" w:eastAsia="Times New Roman" w:hAnsi="Times New Roman" w:cs="Times New Roman"/>
          <w:snapToGrid w:val="0"/>
          <w:kern w:val="0"/>
          <w:sz w:val="22"/>
          <w:szCs w:val="20"/>
          <w14:ligatures w14:val="none"/>
        </w:rPr>
        <w:t>klopidogreliu</w:t>
      </w:r>
      <w:proofErr w:type="spellEnd"/>
      <w:r w:rsidR="008B6ADB" w:rsidRPr="00D21DFA">
        <w:rPr>
          <w:rFonts w:ascii="Times New Roman" w:eastAsia="Times New Roman" w:hAnsi="Times New Roman" w:cs="Times New Roman"/>
          <w:snapToGrid w:val="0"/>
          <w:kern w:val="0"/>
          <w:sz w:val="22"/>
          <w:szCs w:val="20"/>
          <w14:ligatures w14:val="none"/>
        </w:rPr>
        <w:t>, parodė</w:t>
      </w:r>
      <w:r w:rsidRPr="00D21DFA">
        <w:rPr>
          <w:rFonts w:ascii="Times New Roman" w:eastAsia="Times New Roman" w:hAnsi="Times New Roman" w:cs="Times New Roman"/>
          <w:snapToGrid w:val="0"/>
          <w:kern w:val="0"/>
          <w:sz w:val="22"/>
          <w:szCs w:val="20"/>
          <w14:ligatures w14:val="none"/>
        </w:rPr>
        <w:t xml:space="preserve"> reikšmingą stipraus kraujavimo pagal ISTH rizikos padidėjimą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(5,13 % per metus), palyginti su placebu (2,04 % per metus). </w:t>
      </w:r>
    </w:p>
    <w:p w14:paraId="5F68E82C"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DAE9240"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CV185325 metu 12 pacientų vaikų, kurie vienu metu buvo gydomi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ir ASR ≤ 165 mg per parą, kliniškai svarbių kraujavimo reiškinių nenustatyta.</w:t>
      </w:r>
    </w:p>
    <w:p w14:paraId="5CE5C70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11A6F1" w14:textId="20B5F4B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Trombolizinių</w:t>
      </w:r>
      <w:proofErr w:type="spellEnd"/>
      <w:r w:rsidRPr="00D21DFA">
        <w:rPr>
          <w:rFonts w:ascii="Times New Roman" w:eastAsia="Times New Roman" w:hAnsi="Times New Roman" w:cs="Times New Roman"/>
          <w:snapToGrid w:val="0"/>
          <w:kern w:val="0"/>
          <w:sz w:val="22"/>
          <w:szCs w:val="20"/>
          <w:u w:val="single"/>
          <w14:ligatures w14:val="none"/>
        </w:rPr>
        <w:t xml:space="preserve"> </w:t>
      </w:r>
      <w:r w:rsidR="008B6ADB" w:rsidRPr="00D21DFA">
        <w:rPr>
          <w:rFonts w:ascii="Times New Roman" w:eastAsia="Times New Roman" w:hAnsi="Times New Roman" w:cs="Times New Roman"/>
          <w:snapToGrid w:val="0"/>
          <w:kern w:val="0"/>
          <w:sz w:val="22"/>
          <w:szCs w:val="20"/>
          <w:u w:val="single"/>
          <w14:ligatures w14:val="none"/>
        </w:rPr>
        <w:t xml:space="preserve">vaistinių preparatų </w:t>
      </w:r>
      <w:r w:rsidRPr="00D21DFA">
        <w:rPr>
          <w:rFonts w:ascii="Times New Roman" w:eastAsia="Times New Roman" w:hAnsi="Times New Roman" w:cs="Times New Roman"/>
          <w:snapToGrid w:val="0"/>
          <w:kern w:val="0"/>
          <w:sz w:val="22"/>
          <w:szCs w:val="20"/>
          <w:u w:val="single"/>
          <w14:ligatures w14:val="none"/>
        </w:rPr>
        <w:t xml:space="preserve">vartojimas ūminio išeminio insulto gydymui </w:t>
      </w:r>
    </w:p>
    <w:p w14:paraId="1E3E635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5A76AB58" w14:textId="390FEFD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Trombolizinių</w:t>
      </w:r>
      <w:proofErr w:type="spellEnd"/>
      <w:r w:rsidRPr="00D21DFA">
        <w:rPr>
          <w:rFonts w:ascii="Times New Roman" w:eastAsia="Times New Roman" w:hAnsi="Times New Roman" w:cs="Times New Roman"/>
          <w:snapToGrid w:val="0"/>
          <w:kern w:val="0"/>
          <w:sz w:val="22"/>
          <w:szCs w:val="20"/>
          <w14:ligatures w14:val="none"/>
        </w:rPr>
        <w:t xml:space="preserve"> </w:t>
      </w:r>
      <w:r w:rsidR="008B6ADB" w:rsidRPr="00D21DFA">
        <w:rPr>
          <w:rFonts w:ascii="Times New Roman" w:eastAsia="Times New Roman" w:hAnsi="Times New Roman" w:cs="Times New Roman"/>
          <w:snapToGrid w:val="0"/>
          <w:kern w:val="0"/>
          <w:sz w:val="22"/>
          <w:szCs w:val="20"/>
          <w14:ligatures w14:val="none"/>
        </w:rPr>
        <w:t xml:space="preserve">vaistinių preparatų </w:t>
      </w:r>
      <w:r w:rsidRPr="00D21DFA">
        <w:rPr>
          <w:rFonts w:ascii="Times New Roman" w:eastAsia="Times New Roman" w:hAnsi="Times New Roman" w:cs="Times New Roman"/>
          <w:snapToGrid w:val="0"/>
          <w:kern w:val="0"/>
          <w:sz w:val="22"/>
          <w:szCs w:val="20"/>
          <w14:ligatures w14:val="none"/>
        </w:rPr>
        <w:t xml:space="preserve">vartojimo ūminio išeminio insulto gydymui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vartojantiems pacientams patirtis yra labai nedidelė (žr. 4.5 skyrių).</w:t>
      </w:r>
    </w:p>
    <w:p w14:paraId="1598308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8A718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Pacientai, kuriems protezuoti širdies vožtuvai</w:t>
      </w:r>
    </w:p>
    <w:p w14:paraId="7C33052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C59048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saugumas ir veiksmingumas pacientams, kuriems atliktas širdies vožtuvų protezavimas bei pasireiškia arba nepasireiškia prieširdžių virpėjimas, netirtas. Todėl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jiems nerekomenduojama.</w:t>
      </w:r>
    </w:p>
    <w:p w14:paraId="0E0F8FC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FFAE1D1"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pacientams vaikams, kuriems protezuoti širdies vožtuvai, todėl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w:t>
      </w:r>
    </w:p>
    <w:p w14:paraId="3BBAA164"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0B8BE1"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Antifosfolipidiniu</w:t>
      </w:r>
      <w:proofErr w:type="spellEnd"/>
      <w:r w:rsidRPr="00D21DFA">
        <w:rPr>
          <w:rFonts w:ascii="Times New Roman" w:eastAsia="Times New Roman" w:hAnsi="Times New Roman" w:cs="Times New Roman"/>
          <w:snapToGrid w:val="0"/>
          <w:kern w:val="0"/>
          <w:sz w:val="22"/>
          <w:szCs w:val="20"/>
          <w:u w:val="single"/>
          <w14:ligatures w14:val="none"/>
        </w:rPr>
        <w:t xml:space="preserve"> sindromu sergantys pacientai </w:t>
      </w:r>
    </w:p>
    <w:p w14:paraId="0401EE44"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u w:val="single"/>
          <w14:ligatures w14:val="none"/>
        </w:rPr>
      </w:pPr>
    </w:p>
    <w:p w14:paraId="591E4AAB" w14:textId="5F0FF5A0"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Tiesioginio poveikio geriamieji antikoaguliantai (TPGA</w:t>
      </w:r>
      <w:r w:rsidR="008B6ADB" w:rsidRPr="00D21DFA">
        <w:rPr>
          <w:rFonts w:ascii="Times New Roman" w:eastAsia="Times New Roman" w:hAnsi="Times New Roman" w:cs="Times New Roman"/>
          <w:snapToGrid w:val="0"/>
          <w:kern w:val="0"/>
          <w:sz w:val="22"/>
          <w:szCs w:val="20"/>
          <w14:ligatures w14:val="none"/>
        </w:rPr>
        <w:t>K</w:t>
      </w:r>
      <w:r w:rsidRPr="00D21DFA">
        <w:rPr>
          <w:rFonts w:ascii="Times New Roman" w:eastAsia="Times New Roman" w:hAnsi="Times New Roman" w:cs="Times New Roman"/>
          <w:snapToGrid w:val="0"/>
          <w:kern w:val="0"/>
          <w:sz w:val="22"/>
          <w:szCs w:val="20"/>
          <w14:ligatures w14:val="none"/>
        </w:rPr>
        <w:t xml:space="preserve">), įskaitant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nerekomenduojami </w:t>
      </w:r>
      <w:proofErr w:type="spellStart"/>
      <w:r w:rsidRPr="00D21DFA">
        <w:rPr>
          <w:rFonts w:ascii="Times New Roman" w:eastAsia="Times New Roman" w:hAnsi="Times New Roman" w:cs="Times New Roman"/>
          <w:snapToGrid w:val="0"/>
          <w:kern w:val="0"/>
          <w:sz w:val="22"/>
          <w:szCs w:val="20"/>
          <w14:ligatures w14:val="none"/>
        </w:rPr>
        <w:t>antifosfolipidiniu</w:t>
      </w:r>
      <w:proofErr w:type="spellEnd"/>
      <w:r w:rsidRPr="00D21DFA">
        <w:rPr>
          <w:rFonts w:ascii="Times New Roman" w:eastAsia="Times New Roman" w:hAnsi="Times New Roman" w:cs="Times New Roman"/>
          <w:snapToGrid w:val="0"/>
          <w:kern w:val="0"/>
          <w:sz w:val="22"/>
          <w:szCs w:val="20"/>
          <w14:ligatures w14:val="none"/>
        </w:rPr>
        <w:t xml:space="preserve"> sindromu sergantiems pacientams, kuriems praeityje buvo nustatyta trombozė. Taikant gydymą TPGA</w:t>
      </w:r>
      <w:r w:rsidR="008B6ADB" w:rsidRPr="00D21DFA">
        <w:rPr>
          <w:rFonts w:ascii="Times New Roman" w:eastAsia="Times New Roman" w:hAnsi="Times New Roman" w:cs="Times New Roman"/>
          <w:snapToGrid w:val="0"/>
          <w:kern w:val="0"/>
          <w:sz w:val="22"/>
          <w:szCs w:val="20"/>
          <w14:ligatures w14:val="none"/>
        </w:rPr>
        <w:t>K</w:t>
      </w:r>
      <w:r w:rsidRPr="00D21DFA">
        <w:rPr>
          <w:rFonts w:ascii="Times New Roman" w:eastAsia="Times New Roman" w:hAnsi="Times New Roman" w:cs="Times New Roman"/>
          <w:snapToGrid w:val="0"/>
          <w:kern w:val="0"/>
          <w:sz w:val="22"/>
          <w:szCs w:val="20"/>
          <w14:ligatures w14:val="none"/>
        </w:rPr>
        <w:t xml:space="preserve">, </w:t>
      </w:r>
      <w:r w:rsidR="008B6ADB" w:rsidRPr="00D21DFA">
        <w:rPr>
          <w:rFonts w:ascii="Times New Roman" w:eastAsia="Times New Roman" w:hAnsi="Times New Roman" w:cs="Times New Roman"/>
          <w:snapToGrid w:val="0"/>
          <w:kern w:val="0"/>
          <w:sz w:val="22"/>
          <w:szCs w:val="20"/>
          <w14:ligatures w14:val="none"/>
        </w:rPr>
        <w:t>ypač</w:t>
      </w:r>
      <w:r w:rsidRPr="00D21DFA">
        <w:rPr>
          <w:rFonts w:ascii="Times New Roman" w:eastAsia="Times New Roman" w:hAnsi="Times New Roman" w:cs="Times New Roman"/>
          <w:snapToGrid w:val="0"/>
          <w:kern w:val="0"/>
          <w:sz w:val="22"/>
          <w:szCs w:val="20"/>
          <w14:ligatures w14:val="none"/>
        </w:rPr>
        <w:t xml:space="preserve"> tiems pacientams, kuriems nustatyti visų trijų pogrupių </w:t>
      </w:r>
      <w:proofErr w:type="spellStart"/>
      <w:r w:rsidRPr="00D21DFA">
        <w:rPr>
          <w:rFonts w:ascii="Times New Roman" w:eastAsia="Times New Roman" w:hAnsi="Times New Roman" w:cs="Times New Roman"/>
          <w:snapToGrid w:val="0"/>
          <w:kern w:val="0"/>
          <w:sz w:val="22"/>
          <w:szCs w:val="20"/>
          <w14:ligatures w14:val="none"/>
        </w:rPr>
        <w:t>antifosfolipidiniai</w:t>
      </w:r>
      <w:proofErr w:type="spellEnd"/>
      <w:r w:rsidRPr="00D21DFA">
        <w:rPr>
          <w:rFonts w:ascii="Times New Roman" w:eastAsia="Times New Roman" w:hAnsi="Times New Roman" w:cs="Times New Roman"/>
          <w:snapToGrid w:val="0"/>
          <w:kern w:val="0"/>
          <w:sz w:val="22"/>
          <w:szCs w:val="20"/>
          <w14:ligatures w14:val="none"/>
        </w:rPr>
        <w:t xml:space="preserve"> antikūnai (vilkligės antikoaguliantai, </w:t>
      </w:r>
      <w:proofErr w:type="spellStart"/>
      <w:r w:rsidRPr="00D21DFA">
        <w:rPr>
          <w:rFonts w:ascii="Times New Roman" w:eastAsia="Times New Roman" w:hAnsi="Times New Roman" w:cs="Times New Roman"/>
          <w:snapToGrid w:val="0"/>
          <w:kern w:val="0"/>
          <w:sz w:val="22"/>
          <w:szCs w:val="20"/>
          <w14:ligatures w14:val="none"/>
        </w:rPr>
        <w:t>antikardiolipino</w:t>
      </w:r>
      <w:proofErr w:type="spellEnd"/>
      <w:r w:rsidRPr="00D21DFA">
        <w:rPr>
          <w:rFonts w:ascii="Times New Roman" w:eastAsia="Times New Roman" w:hAnsi="Times New Roman" w:cs="Times New Roman"/>
          <w:snapToGrid w:val="0"/>
          <w:kern w:val="0"/>
          <w:sz w:val="22"/>
          <w:szCs w:val="20"/>
          <w14:ligatures w14:val="none"/>
        </w:rPr>
        <w:t xml:space="preserve"> antikūnai ir </w:t>
      </w:r>
      <w:proofErr w:type="spellStart"/>
      <w:r w:rsidRPr="00D21DFA">
        <w:rPr>
          <w:rFonts w:ascii="Times New Roman" w:eastAsia="Times New Roman" w:hAnsi="Times New Roman" w:cs="Times New Roman"/>
          <w:snapToGrid w:val="0"/>
          <w:kern w:val="0"/>
          <w:sz w:val="22"/>
          <w:szCs w:val="20"/>
          <w14:ligatures w14:val="none"/>
        </w:rPr>
        <w:t>anti</w:t>
      </w:r>
      <w:proofErr w:type="spellEnd"/>
      <w:r w:rsidRPr="00D21DFA">
        <w:rPr>
          <w:rFonts w:ascii="Times New Roman" w:eastAsia="Times New Roman" w:hAnsi="Times New Roman" w:cs="Times New Roman"/>
          <w:snapToGrid w:val="0"/>
          <w:kern w:val="0"/>
          <w:sz w:val="22"/>
          <w:szCs w:val="20"/>
          <w14:ligatures w14:val="none"/>
        </w:rPr>
        <w:t xml:space="preserve">-beta 2-glikoproteino I antikūnai), </w:t>
      </w:r>
      <w:proofErr w:type="spellStart"/>
      <w:r w:rsidRPr="00D21DFA">
        <w:rPr>
          <w:rFonts w:ascii="Times New Roman" w:eastAsia="Times New Roman" w:hAnsi="Times New Roman" w:cs="Times New Roman"/>
          <w:snapToGrid w:val="0"/>
          <w:kern w:val="0"/>
          <w:sz w:val="22"/>
          <w:szCs w:val="20"/>
          <w14:ligatures w14:val="none"/>
        </w:rPr>
        <w:t>tromboziniai</w:t>
      </w:r>
      <w:proofErr w:type="spellEnd"/>
      <w:r w:rsidRPr="00D21DFA">
        <w:rPr>
          <w:rFonts w:ascii="Times New Roman" w:eastAsia="Times New Roman" w:hAnsi="Times New Roman" w:cs="Times New Roman"/>
          <w:snapToGrid w:val="0"/>
          <w:kern w:val="0"/>
          <w:sz w:val="22"/>
          <w:szCs w:val="20"/>
          <w14:ligatures w14:val="none"/>
        </w:rPr>
        <w:t xml:space="preserve"> reiškiniai gali pasikartoti dažniau, nei taikant gydymą vitamino K antagonistu. </w:t>
      </w:r>
    </w:p>
    <w:p w14:paraId="7A2363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9FB1A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Chirurginės operacijos ir invazinės procedūros </w:t>
      </w:r>
    </w:p>
    <w:p w14:paraId="1B6E14A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91C0A9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reikia nutraukti ne vėliau kaip likus 48 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73CFF3B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C6772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reikia nutraukti ne vėliau kaip likus 24 valandoms iki planuojamos operacijos arba invazinės procedūros, kurioms būdinga maža kraujavimo rizika. Tokios yra intervencijos, kurias atliekant, numatoma, kad bet koks pasireiškęs kraujavimas būtų minimalus, nekritinis dėl savo lokalizacijos arba lengvai sustabdomas.</w:t>
      </w:r>
    </w:p>
    <w:p w14:paraId="57D6A0D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E5010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6F64D70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9A5348" w14:textId="6AF316F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po invazinės procedūros arba operacinės intervencijos reikia atnaujinti iš karto, kai tik leidžia klinikinės aplinkybės ir </w:t>
      </w:r>
      <w:r w:rsidR="008B6ADB" w:rsidRPr="00D21DFA">
        <w:rPr>
          <w:rFonts w:ascii="Times New Roman" w:eastAsia="Times New Roman" w:hAnsi="Times New Roman" w:cs="Times New Roman"/>
          <w:snapToGrid w:val="0"/>
          <w:kern w:val="0"/>
          <w:sz w:val="22"/>
          <w:szCs w:val="20"/>
          <w14:ligatures w14:val="none"/>
        </w:rPr>
        <w:t xml:space="preserve">nustatoma </w:t>
      </w:r>
      <w:r w:rsidRPr="00D21DFA">
        <w:rPr>
          <w:rFonts w:ascii="Times New Roman" w:eastAsia="Times New Roman" w:hAnsi="Times New Roman" w:cs="Times New Roman"/>
          <w:snapToGrid w:val="0"/>
          <w:kern w:val="0"/>
          <w:sz w:val="22"/>
          <w:szCs w:val="20"/>
          <w14:ligatures w14:val="none"/>
        </w:rPr>
        <w:t xml:space="preserve">pakankama hemostazė (apie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žr. 4.2 skyrių).</w:t>
      </w:r>
    </w:p>
    <w:p w14:paraId="5D79B0E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085175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kuriems dėl prieširdžių virpėjimo atliekama </w:t>
      </w:r>
      <w:proofErr w:type="spellStart"/>
      <w:r w:rsidRPr="00D21DFA">
        <w:rPr>
          <w:rFonts w:ascii="Times New Roman" w:eastAsia="Times New Roman" w:hAnsi="Times New Roman" w:cs="Times New Roman"/>
          <w:snapToGrid w:val="0"/>
          <w:kern w:val="0"/>
          <w:sz w:val="22"/>
          <w:szCs w:val="20"/>
          <w14:ligatures w14:val="none"/>
        </w:rPr>
        <w:t>kateterinė</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abliacija</w:t>
      </w:r>
      <w:proofErr w:type="spellEnd"/>
      <w:r w:rsidRPr="00D21DFA">
        <w:rPr>
          <w:rFonts w:ascii="Times New Roman" w:eastAsia="Times New Roman" w:hAnsi="Times New Roman" w:cs="Times New Roman"/>
          <w:snapToGrid w:val="0"/>
          <w:kern w:val="0"/>
          <w:sz w:val="22"/>
          <w:szCs w:val="20"/>
          <w14:ligatures w14:val="none"/>
        </w:rPr>
        <w:t xml:space="preserve">,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pertraukti nereikia (žr. 4.2, 4.3 ir 4.5 skyrių).</w:t>
      </w:r>
    </w:p>
    <w:p w14:paraId="2CDC402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895640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Laikinas vaistinio preparato vartojimo sustabdymas </w:t>
      </w:r>
    </w:p>
    <w:p w14:paraId="362ADD7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57F33A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Dėl aktyvaus kraujavimo, planuojamos operacijos arba invazinės procedūros nutraukus antikoaguliantų, įskaitant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vartojimą, didėja trombozės rizika. Gydymo nutraukimo epizodų reikia vengti ir, jeigu dėl kokių nors priežasčių reikia laikinai nutraukti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gydymą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gydymas turi būti atnaujintas iš karto, kai tik bus įmanoma.</w:t>
      </w:r>
    </w:p>
    <w:p w14:paraId="1BECD56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BD0419D"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proofErr w:type="spellStart"/>
      <w:r w:rsidRPr="00D21DFA">
        <w:rPr>
          <w:rFonts w:ascii="Times New Roman" w:eastAsia="Times New Roman" w:hAnsi="Times New Roman" w:cs="Times New Roman"/>
          <w:snapToGrid w:val="0"/>
          <w:kern w:val="0"/>
          <w:sz w:val="22"/>
          <w:u w:val="single"/>
          <w14:ligatures w14:val="none"/>
        </w:rPr>
        <w:t>Spinalinė</w:t>
      </w:r>
      <w:proofErr w:type="spellEnd"/>
      <w:r w:rsidRPr="00D21DFA">
        <w:rPr>
          <w:rFonts w:ascii="Times New Roman" w:eastAsia="Times New Roman" w:hAnsi="Times New Roman" w:cs="Times New Roman"/>
          <w:snapToGrid w:val="0"/>
          <w:kern w:val="0"/>
          <w:sz w:val="22"/>
          <w:u w:val="single"/>
          <w14:ligatures w14:val="none"/>
        </w:rPr>
        <w:t xml:space="preserve"> / </w:t>
      </w:r>
      <w:proofErr w:type="spellStart"/>
      <w:r w:rsidRPr="00D21DFA">
        <w:rPr>
          <w:rFonts w:ascii="Times New Roman" w:eastAsia="Times New Roman" w:hAnsi="Times New Roman" w:cs="Times New Roman"/>
          <w:snapToGrid w:val="0"/>
          <w:kern w:val="0"/>
          <w:sz w:val="22"/>
          <w:u w:val="single"/>
          <w14:ligatures w14:val="none"/>
        </w:rPr>
        <w:t>epidurinė</w:t>
      </w:r>
      <w:proofErr w:type="spellEnd"/>
      <w:r w:rsidRPr="00D21DFA">
        <w:rPr>
          <w:rFonts w:ascii="Times New Roman" w:eastAsia="Times New Roman" w:hAnsi="Times New Roman" w:cs="Times New Roman"/>
          <w:snapToGrid w:val="0"/>
          <w:kern w:val="0"/>
          <w:sz w:val="22"/>
          <w:u w:val="single"/>
          <w14:ligatures w14:val="none"/>
        </w:rPr>
        <w:t xml:space="preserve"> anestezija arba punkcija </w:t>
      </w:r>
    </w:p>
    <w:p w14:paraId="2F721D0C"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p>
    <w:p w14:paraId="47D11652"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Atliekant laidinę anesteziją (</w:t>
      </w:r>
      <w:proofErr w:type="spellStart"/>
      <w:r w:rsidRPr="00D21DFA">
        <w:rPr>
          <w:rFonts w:ascii="Times New Roman" w:eastAsia="Times New Roman" w:hAnsi="Times New Roman" w:cs="Times New Roman"/>
          <w:snapToGrid w:val="0"/>
          <w:kern w:val="0"/>
          <w:sz w:val="22"/>
          <w14:ligatures w14:val="none"/>
        </w:rPr>
        <w:t>spinalinę</w:t>
      </w:r>
      <w:proofErr w:type="spellEnd"/>
      <w:r w:rsidRPr="00D21DFA">
        <w:rPr>
          <w:rFonts w:ascii="Times New Roman" w:eastAsia="Times New Roman" w:hAnsi="Times New Roman" w:cs="Times New Roman"/>
          <w:snapToGrid w:val="0"/>
          <w:kern w:val="0"/>
          <w:sz w:val="22"/>
          <w14:ligatures w14:val="none"/>
        </w:rPr>
        <w:t>/</w:t>
      </w:r>
      <w:proofErr w:type="spellStart"/>
      <w:r w:rsidRPr="00D21DFA">
        <w:rPr>
          <w:rFonts w:ascii="Times New Roman" w:eastAsia="Times New Roman" w:hAnsi="Times New Roman" w:cs="Times New Roman"/>
          <w:snapToGrid w:val="0"/>
          <w:kern w:val="0"/>
          <w:sz w:val="22"/>
          <w14:ligatures w14:val="none"/>
        </w:rPr>
        <w:t>epidurinę</w:t>
      </w:r>
      <w:proofErr w:type="spellEnd"/>
      <w:r w:rsidRPr="00D21DFA">
        <w:rPr>
          <w:rFonts w:ascii="Times New Roman" w:eastAsia="Times New Roman" w:hAnsi="Times New Roman" w:cs="Times New Roman"/>
          <w:snapToGrid w:val="0"/>
          <w:kern w:val="0"/>
          <w:sz w:val="22"/>
          <w14:ligatures w14:val="none"/>
        </w:rPr>
        <w:t xml:space="preserve"> anesteziją) arba </w:t>
      </w:r>
      <w:proofErr w:type="spellStart"/>
      <w:r w:rsidRPr="00D21DFA">
        <w:rPr>
          <w:rFonts w:ascii="Times New Roman" w:eastAsia="Times New Roman" w:hAnsi="Times New Roman" w:cs="Times New Roman"/>
          <w:snapToGrid w:val="0"/>
          <w:kern w:val="0"/>
          <w:sz w:val="22"/>
          <w14:ligatures w14:val="none"/>
        </w:rPr>
        <w:t>spinalinę</w:t>
      </w:r>
      <w:proofErr w:type="spellEnd"/>
      <w:r w:rsidRPr="00D21DFA">
        <w:rPr>
          <w:rFonts w:ascii="Times New Roman" w:eastAsia="Times New Roman" w:hAnsi="Times New Roman" w:cs="Times New Roman"/>
          <w:snapToGrid w:val="0"/>
          <w:kern w:val="0"/>
          <w:sz w:val="22"/>
          <w14:ligatures w14:val="none"/>
        </w:rPr>
        <w:t>/</w:t>
      </w:r>
      <w:proofErr w:type="spellStart"/>
      <w:r w:rsidRPr="00D21DFA">
        <w:rPr>
          <w:rFonts w:ascii="Times New Roman" w:eastAsia="Times New Roman" w:hAnsi="Times New Roman" w:cs="Times New Roman"/>
          <w:snapToGrid w:val="0"/>
          <w:kern w:val="0"/>
          <w:sz w:val="22"/>
          <w14:ligatures w14:val="none"/>
        </w:rPr>
        <w:t>epidurinę</w:t>
      </w:r>
      <w:proofErr w:type="spellEnd"/>
      <w:r w:rsidRPr="00D21DFA">
        <w:rPr>
          <w:rFonts w:ascii="Times New Roman" w:eastAsia="Times New Roman" w:hAnsi="Times New Roman" w:cs="Times New Roman"/>
          <w:snapToGrid w:val="0"/>
          <w:kern w:val="0"/>
          <w:sz w:val="22"/>
          <w14:ligatures w14:val="none"/>
        </w:rPr>
        <w:t xml:space="preserve"> punkciją, </w:t>
      </w:r>
      <w:proofErr w:type="spellStart"/>
      <w:r w:rsidRPr="00D21DFA">
        <w:rPr>
          <w:rFonts w:ascii="Times New Roman" w:eastAsia="Times New Roman" w:hAnsi="Times New Roman" w:cs="Times New Roman"/>
          <w:snapToGrid w:val="0"/>
          <w:kern w:val="0"/>
          <w:sz w:val="22"/>
          <w14:ligatures w14:val="none"/>
        </w:rPr>
        <w:t>antitrombozinių</w:t>
      </w:r>
      <w:proofErr w:type="spellEnd"/>
      <w:r w:rsidRPr="00D21DFA">
        <w:rPr>
          <w:rFonts w:ascii="Times New Roman" w:eastAsia="Times New Roman" w:hAnsi="Times New Roman" w:cs="Times New Roman"/>
          <w:snapToGrid w:val="0"/>
          <w:kern w:val="0"/>
          <w:sz w:val="22"/>
          <w14:ligatures w14:val="none"/>
        </w:rPr>
        <w:t xml:space="preserve"> vaistinių preparatų </w:t>
      </w:r>
      <w:proofErr w:type="spellStart"/>
      <w:r w:rsidRPr="00D21DFA">
        <w:rPr>
          <w:rFonts w:ascii="Times New Roman" w:eastAsia="Times New Roman" w:hAnsi="Times New Roman" w:cs="Times New Roman"/>
          <w:snapToGrid w:val="0"/>
          <w:kern w:val="0"/>
          <w:sz w:val="22"/>
          <w14:ligatures w14:val="none"/>
        </w:rPr>
        <w:t>tromboembolinių</w:t>
      </w:r>
      <w:proofErr w:type="spellEnd"/>
      <w:r w:rsidRPr="00D21DFA">
        <w:rPr>
          <w:rFonts w:ascii="Times New Roman" w:eastAsia="Times New Roman" w:hAnsi="Times New Roman" w:cs="Times New Roman"/>
          <w:snapToGrid w:val="0"/>
          <w:kern w:val="0"/>
          <w:sz w:val="22"/>
          <w14:ligatures w14:val="none"/>
        </w:rPr>
        <w:t xml:space="preserve"> komplikacijų profilaktikai vartojantiems pacientams, yra </w:t>
      </w:r>
      <w:proofErr w:type="spellStart"/>
      <w:r w:rsidRPr="00D21DFA">
        <w:rPr>
          <w:rFonts w:ascii="Times New Roman" w:eastAsia="Times New Roman" w:hAnsi="Times New Roman" w:cs="Times New Roman"/>
          <w:snapToGrid w:val="0"/>
          <w:kern w:val="0"/>
          <w:sz w:val="22"/>
          <w14:ligatures w14:val="none"/>
        </w:rPr>
        <w:t>epidurinės</w:t>
      </w:r>
      <w:proofErr w:type="spellEnd"/>
      <w:r w:rsidRPr="00D21DFA">
        <w:rPr>
          <w:rFonts w:ascii="Times New Roman" w:eastAsia="Times New Roman" w:hAnsi="Times New Roman" w:cs="Times New Roman"/>
          <w:snapToGrid w:val="0"/>
          <w:kern w:val="0"/>
          <w:sz w:val="22"/>
          <w14:ligatures w14:val="none"/>
        </w:rPr>
        <w:t xml:space="preserve"> ar </w:t>
      </w:r>
      <w:proofErr w:type="spellStart"/>
      <w:r w:rsidRPr="00D21DFA">
        <w:rPr>
          <w:rFonts w:ascii="Times New Roman" w:eastAsia="Times New Roman" w:hAnsi="Times New Roman" w:cs="Times New Roman"/>
          <w:snapToGrid w:val="0"/>
          <w:kern w:val="0"/>
          <w:sz w:val="22"/>
          <w14:ligatures w14:val="none"/>
        </w:rPr>
        <w:t>spinalinės</w:t>
      </w:r>
      <w:proofErr w:type="spellEnd"/>
      <w:r w:rsidRPr="00D21DFA">
        <w:rPr>
          <w:rFonts w:ascii="Times New Roman" w:eastAsia="Times New Roman" w:hAnsi="Times New Roman" w:cs="Times New Roman"/>
          <w:snapToGrid w:val="0"/>
          <w:kern w:val="0"/>
          <w:sz w:val="22"/>
          <w14:ligatures w14:val="none"/>
        </w:rPr>
        <w:t xml:space="preserve"> hematomos, dėl kurios gali pasireikšti ilgalaikis arba nuolatinis paralyžius, išsivystymo rizika. Šių reiškinių rizika gali būti didesnė po operacijos naudojant nuolatinius </w:t>
      </w:r>
      <w:proofErr w:type="spellStart"/>
      <w:r w:rsidRPr="00D21DFA">
        <w:rPr>
          <w:rFonts w:ascii="Times New Roman" w:eastAsia="Times New Roman" w:hAnsi="Times New Roman" w:cs="Times New Roman"/>
          <w:snapToGrid w:val="0"/>
          <w:kern w:val="0"/>
          <w:sz w:val="22"/>
          <w14:ligatures w14:val="none"/>
        </w:rPr>
        <w:t>epidurinius</w:t>
      </w:r>
      <w:proofErr w:type="spellEnd"/>
      <w:r w:rsidRPr="00D21DFA">
        <w:rPr>
          <w:rFonts w:ascii="Times New Roman" w:eastAsia="Times New Roman" w:hAnsi="Times New Roman" w:cs="Times New Roman"/>
          <w:snapToGrid w:val="0"/>
          <w:kern w:val="0"/>
          <w:sz w:val="22"/>
          <w14:ligatures w14:val="none"/>
        </w:rPr>
        <w:t xml:space="preserve"> kateterius arba kartu vartojant vaistinių preparatų, kurie veikia hemostazę. Nuolatinius </w:t>
      </w:r>
      <w:proofErr w:type="spellStart"/>
      <w:r w:rsidRPr="00D21DFA">
        <w:rPr>
          <w:rFonts w:ascii="Times New Roman" w:eastAsia="Times New Roman" w:hAnsi="Times New Roman" w:cs="Times New Roman"/>
          <w:snapToGrid w:val="0"/>
          <w:kern w:val="0"/>
          <w:sz w:val="22"/>
          <w14:ligatures w14:val="none"/>
        </w:rPr>
        <w:t>epidurinius</w:t>
      </w:r>
      <w:proofErr w:type="spellEnd"/>
      <w:r w:rsidRPr="00D21DFA">
        <w:rPr>
          <w:rFonts w:ascii="Times New Roman" w:eastAsia="Times New Roman" w:hAnsi="Times New Roman" w:cs="Times New Roman"/>
          <w:snapToGrid w:val="0"/>
          <w:kern w:val="0"/>
          <w:sz w:val="22"/>
          <w14:ligatures w14:val="none"/>
        </w:rPr>
        <w:t xml:space="preserve"> ar </w:t>
      </w:r>
      <w:proofErr w:type="spellStart"/>
      <w:r w:rsidRPr="00D21DFA">
        <w:rPr>
          <w:rFonts w:ascii="Times New Roman" w:eastAsia="Times New Roman" w:hAnsi="Times New Roman" w:cs="Times New Roman"/>
          <w:snapToGrid w:val="0"/>
          <w:kern w:val="0"/>
          <w:sz w:val="22"/>
          <w14:ligatures w14:val="none"/>
        </w:rPr>
        <w:t>intratekalinius</w:t>
      </w:r>
      <w:proofErr w:type="spellEnd"/>
      <w:r w:rsidRPr="00D21DFA">
        <w:rPr>
          <w:rFonts w:ascii="Times New Roman" w:eastAsia="Times New Roman" w:hAnsi="Times New Roman" w:cs="Times New Roman"/>
          <w:snapToGrid w:val="0"/>
          <w:kern w:val="0"/>
          <w:sz w:val="22"/>
          <w14:ligatures w14:val="none"/>
        </w:rPr>
        <w:t xml:space="preserve"> kateterius reikia pašalinti likus ne mažiau kaip 5 valandoms iki pirmosios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dozės. Ši rizika taip pat gali padidėti dėl traumos ar pakartotinių </w:t>
      </w:r>
      <w:proofErr w:type="spellStart"/>
      <w:r w:rsidRPr="00D21DFA">
        <w:rPr>
          <w:rFonts w:ascii="Times New Roman" w:eastAsia="Times New Roman" w:hAnsi="Times New Roman" w:cs="Times New Roman"/>
          <w:snapToGrid w:val="0"/>
          <w:kern w:val="0"/>
          <w:sz w:val="22"/>
          <w14:ligatures w14:val="none"/>
        </w:rPr>
        <w:t>epidurinių</w:t>
      </w:r>
      <w:proofErr w:type="spellEnd"/>
      <w:r w:rsidRPr="00D21DFA">
        <w:rPr>
          <w:rFonts w:ascii="Times New Roman" w:eastAsia="Times New Roman" w:hAnsi="Times New Roman" w:cs="Times New Roman"/>
          <w:snapToGrid w:val="0"/>
          <w:kern w:val="0"/>
          <w:sz w:val="22"/>
          <w14:ligatures w14:val="none"/>
        </w:rPr>
        <w:t xml:space="preserve"> ar </w:t>
      </w:r>
      <w:proofErr w:type="spellStart"/>
      <w:r w:rsidRPr="00D21DFA">
        <w:rPr>
          <w:rFonts w:ascii="Times New Roman" w:eastAsia="Times New Roman" w:hAnsi="Times New Roman" w:cs="Times New Roman"/>
          <w:snapToGrid w:val="0"/>
          <w:kern w:val="0"/>
          <w:sz w:val="22"/>
          <w14:ligatures w14:val="none"/>
        </w:rPr>
        <w:t>spinalinių</w:t>
      </w:r>
      <w:proofErr w:type="spellEnd"/>
      <w:r w:rsidRPr="00D21DFA">
        <w:rPr>
          <w:rFonts w:ascii="Times New Roman" w:eastAsia="Times New Roman" w:hAnsi="Times New Roman" w:cs="Times New Roman"/>
          <w:snapToGrid w:val="0"/>
          <w:kern w:val="0"/>
          <w:sz w:val="22"/>
          <w14:ligatures w14:val="none"/>
        </w:rPr>
        <w:t xml:space="preserve"> punkcijų. Reikia dažnai stebėti, ar pacientams neatsiranda neurologinio sutrikimo požymių ir simptomų (pvz., kojų nutirpimas ar silpnumas, žarnyno ar šlapimo pūslės funkcijos sutrikimai). Pastebėjus neurologinių sutrikimų, būtini neatidėliotina diagnostika ir gydymas. Prieš laidinę intervenciją gydytojas turi įvertinti laukiamos naudos ir rizikos santykį pacientams, kuriems taikomas </w:t>
      </w:r>
      <w:proofErr w:type="spellStart"/>
      <w:r w:rsidRPr="00D21DFA">
        <w:rPr>
          <w:rFonts w:ascii="Times New Roman" w:eastAsia="Times New Roman" w:hAnsi="Times New Roman" w:cs="Times New Roman"/>
          <w:snapToGrid w:val="0"/>
          <w:kern w:val="0"/>
          <w:sz w:val="22"/>
          <w14:ligatures w14:val="none"/>
        </w:rPr>
        <w:t>antikoaguliacinis</w:t>
      </w:r>
      <w:proofErr w:type="spellEnd"/>
      <w:r w:rsidRPr="00D21DFA">
        <w:rPr>
          <w:rFonts w:ascii="Times New Roman" w:eastAsia="Times New Roman" w:hAnsi="Times New Roman" w:cs="Times New Roman"/>
          <w:snapToGrid w:val="0"/>
          <w:kern w:val="0"/>
          <w:sz w:val="22"/>
          <w14:ligatures w14:val="none"/>
        </w:rPr>
        <w:t xml:space="preserve"> gydymas, arba pacientams, kuriems bus taikomas </w:t>
      </w:r>
      <w:proofErr w:type="spellStart"/>
      <w:r w:rsidRPr="00D21DFA">
        <w:rPr>
          <w:rFonts w:ascii="Times New Roman" w:eastAsia="Times New Roman" w:hAnsi="Times New Roman" w:cs="Times New Roman"/>
          <w:snapToGrid w:val="0"/>
          <w:kern w:val="0"/>
          <w:sz w:val="22"/>
          <w14:ligatures w14:val="none"/>
        </w:rPr>
        <w:t>antikoaguliacinis</w:t>
      </w:r>
      <w:proofErr w:type="spellEnd"/>
      <w:r w:rsidRPr="00D21DFA">
        <w:rPr>
          <w:rFonts w:ascii="Times New Roman" w:eastAsia="Times New Roman" w:hAnsi="Times New Roman" w:cs="Times New Roman"/>
          <w:snapToGrid w:val="0"/>
          <w:kern w:val="0"/>
          <w:sz w:val="22"/>
          <w14:ligatures w14:val="none"/>
        </w:rPr>
        <w:t xml:space="preserve"> gydymas trombozių profilaktikai. </w:t>
      </w:r>
    </w:p>
    <w:p w14:paraId="3B523423"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AAE4733" w14:textId="4933816E"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Klinikinės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vartojimo, naudojant nuolatinius </w:t>
      </w:r>
      <w:proofErr w:type="spellStart"/>
      <w:r w:rsidRPr="00D21DFA">
        <w:rPr>
          <w:rFonts w:ascii="Times New Roman" w:eastAsia="Times New Roman" w:hAnsi="Times New Roman" w:cs="Times New Roman"/>
          <w:snapToGrid w:val="0"/>
          <w:kern w:val="0"/>
          <w:sz w:val="22"/>
          <w14:ligatures w14:val="none"/>
        </w:rPr>
        <w:t>intratekalinius</w:t>
      </w:r>
      <w:proofErr w:type="spellEnd"/>
      <w:r w:rsidRPr="00D21DFA">
        <w:rPr>
          <w:rFonts w:ascii="Times New Roman" w:eastAsia="Times New Roman" w:hAnsi="Times New Roman" w:cs="Times New Roman"/>
          <w:snapToGrid w:val="0"/>
          <w:kern w:val="0"/>
          <w:sz w:val="22"/>
          <w14:ligatures w14:val="none"/>
        </w:rPr>
        <w:t xml:space="preserve"> ar </w:t>
      </w:r>
      <w:proofErr w:type="spellStart"/>
      <w:r w:rsidRPr="00D21DFA">
        <w:rPr>
          <w:rFonts w:ascii="Times New Roman" w:eastAsia="Times New Roman" w:hAnsi="Times New Roman" w:cs="Times New Roman"/>
          <w:snapToGrid w:val="0"/>
          <w:kern w:val="0"/>
          <w:sz w:val="22"/>
          <w14:ligatures w14:val="none"/>
        </w:rPr>
        <w:t>epidurinius</w:t>
      </w:r>
      <w:proofErr w:type="spellEnd"/>
      <w:r w:rsidRPr="00D21DFA">
        <w:rPr>
          <w:rFonts w:ascii="Times New Roman" w:eastAsia="Times New Roman" w:hAnsi="Times New Roman" w:cs="Times New Roman"/>
          <w:snapToGrid w:val="0"/>
          <w:kern w:val="0"/>
          <w:sz w:val="22"/>
          <w14:ligatures w14:val="none"/>
        </w:rPr>
        <w:t xml:space="preserve"> kateterius, patirties nėra. Jeigu yra tokia būtinybė, atsižvelgiant į bendrąsias vaistinio preparato FK savybes, po paskutiniosios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dozės pavartojimo iki kateterio ištraukimo turi praeiti ne mažiau kaip 20</w:t>
      </w:r>
      <w:r w:rsidRPr="00D21DFA">
        <w:rPr>
          <w:rFonts w:ascii="Times New Roman" w:eastAsia="Times New Roman" w:hAnsi="Times New Roman" w:cs="Times New Roman"/>
          <w:snapToGrid w:val="0"/>
          <w:kern w:val="0"/>
          <w:sz w:val="22"/>
          <w14:ligatures w14:val="none"/>
        </w:rPr>
        <w:noBreakHyphen/>
        <w:t xml:space="preserve">30 valandų (t. y., 2 pusinės eliminacijos periodai) ir, prieš ištraukiant kateterį, reikia praleisti mažiausiai vieną dozę. Kitą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dozę galima skirti, praėjus ne mažiau kaip 5 valandoms po kateterio ištraukimo. Kaip ir vartojant visų kitų naujųjų antikoaguliantų, patirtis taikant laidinę nejautrą yra ribota, todėl atliekant tokią nejautrą,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rekomenduojama vartoti labai atsargiai. </w:t>
      </w:r>
    </w:p>
    <w:p w14:paraId="75D1B00A"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A484C5C"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Duomenų apie laidinės anestezijos kateterio įstūmimo arba ištraukimo laiką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vartojantiems pacientams vaikams nėra. Tokiais atvejais reikia nutraukti </w:t>
      </w:r>
      <w:proofErr w:type="spellStart"/>
      <w:r w:rsidRPr="00D21DFA">
        <w:rPr>
          <w:rFonts w:ascii="Times New Roman" w:eastAsia="Times New Roman" w:hAnsi="Times New Roman" w:cs="Times New Roman"/>
          <w:snapToGrid w:val="0"/>
          <w:kern w:val="0"/>
          <w:sz w:val="22"/>
          <w14:ligatures w14:val="none"/>
        </w:rPr>
        <w:t>apiksabano</w:t>
      </w:r>
      <w:proofErr w:type="spellEnd"/>
      <w:r w:rsidRPr="00D21DFA">
        <w:rPr>
          <w:rFonts w:ascii="Times New Roman" w:eastAsia="Times New Roman" w:hAnsi="Times New Roman" w:cs="Times New Roman"/>
          <w:snapToGrid w:val="0"/>
          <w:kern w:val="0"/>
          <w:sz w:val="22"/>
          <w14:ligatures w14:val="none"/>
        </w:rPr>
        <w:t xml:space="preserve"> vartojimą ir apsvarstyti galimybę skirti trumpo poveikio </w:t>
      </w:r>
      <w:proofErr w:type="spellStart"/>
      <w:r w:rsidRPr="00D21DFA">
        <w:rPr>
          <w:rFonts w:ascii="Times New Roman" w:eastAsia="Times New Roman" w:hAnsi="Times New Roman" w:cs="Times New Roman"/>
          <w:snapToGrid w:val="0"/>
          <w:kern w:val="0"/>
          <w:sz w:val="22"/>
          <w14:ligatures w14:val="none"/>
        </w:rPr>
        <w:t>parenterinį</w:t>
      </w:r>
      <w:proofErr w:type="spellEnd"/>
      <w:r w:rsidRPr="00D21DFA">
        <w:rPr>
          <w:rFonts w:ascii="Times New Roman" w:eastAsia="Times New Roman" w:hAnsi="Times New Roman" w:cs="Times New Roman"/>
          <w:snapToGrid w:val="0"/>
          <w:kern w:val="0"/>
          <w:sz w:val="22"/>
          <w14:ligatures w14:val="none"/>
        </w:rPr>
        <w:t xml:space="preserve"> antikoaguliantą.</w:t>
      </w:r>
    </w:p>
    <w:p w14:paraId="46AD72FC"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7C37415" w14:textId="2C0FE814" w:rsidR="00C95D96" w:rsidRPr="00D21DFA" w:rsidRDefault="00C95D96" w:rsidP="00C95D96">
      <w:pPr>
        <w:keepNext/>
        <w:tabs>
          <w:tab w:val="left" w:pos="567"/>
          <w:tab w:val="left" w:pos="9214"/>
        </w:tabs>
        <w:spacing w:after="0" w:line="260" w:lineRule="exact"/>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PE sergantys pacientai, kurių nestabili hemodinamika arba pacientai, kuriems būtina </w:t>
      </w:r>
      <w:proofErr w:type="spellStart"/>
      <w:r w:rsidRPr="00D21DFA">
        <w:rPr>
          <w:rFonts w:ascii="Times New Roman" w:eastAsia="Times New Roman" w:hAnsi="Times New Roman" w:cs="Times New Roman"/>
          <w:snapToGrid w:val="0"/>
          <w:kern w:val="0"/>
          <w:sz w:val="22"/>
          <w:szCs w:val="20"/>
          <w:u w:val="single"/>
          <w14:ligatures w14:val="none"/>
        </w:rPr>
        <w:t>trombolizė</w:t>
      </w:r>
      <w:proofErr w:type="spellEnd"/>
      <w:r w:rsidRPr="00D21DFA">
        <w:rPr>
          <w:rFonts w:ascii="Times New Roman" w:eastAsia="Times New Roman" w:hAnsi="Times New Roman" w:cs="Times New Roman"/>
          <w:snapToGrid w:val="0"/>
          <w:kern w:val="0"/>
          <w:sz w:val="22"/>
          <w:szCs w:val="20"/>
          <w:u w:val="single"/>
          <w14:ligatures w14:val="none"/>
        </w:rPr>
        <w:t xml:space="preserve"> arba plaučių </w:t>
      </w:r>
      <w:proofErr w:type="spellStart"/>
      <w:r w:rsidRPr="00D21DFA">
        <w:rPr>
          <w:rFonts w:ascii="Times New Roman" w:eastAsia="Times New Roman" w:hAnsi="Times New Roman" w:cs="Times New Roman"/>
          <w:snapToGrid w:val="0"/>
          <w:kern w:val="0"/>
          <w:sz w:val="22"/>
          <w:szCs w:val="20"/>
          <w:u w:val="single"/>
          <w14:ligatures w14:val="none"/>
        </w:rPr>
        <w:t>embolektomija</w:t>
      </w:r>
      <w:proofErr w:type="spellEnd"/>
      <w:r w:rsidRPr="00D21DFA">
        <w:rPr>
          <w:rFonts w:ascii="Times New Roman" w:eastAsia="Times New Roman" w:hAnsi="Times New Roman" w:cs="Times New Roman"/>
          <w:snapToGrid w:val="0"/>
          <w:kern w:val="0"/>
          <w:sz w:val="22"/>
          <w:szCs w:val="20"/>
          <w:u w:val="single"/>
          <w14:ligatures w14:val="none"/>
        </w:rPr>
        <w:t xml:space="preserve"> </w:t>
      </w:r>
    </w:p>
    <w:p w14:paraId="50493526" w14:textId="77777777" w:rsidR="00C95D96" w:rsidRPr="00D21DFA" w:rsidRDefault="00C95D96" w:rsidP="00C95D96">
      <w:pPr>
        <w:keepNext/>
        <w:tabs>
          <w:tab w:val="left" w:pos="567"/>
          <w:tab w:val="left" w:pos="9214"/>
        </w:tabs>
        <w:spacing w:after="0" w:line="260" w:lineRule="exact"/>
        <w:ind w:right="-2"/>
        <w:rPr>
          <w:rFonts w:ascii="Times New Roman" w:eastAsia="Times New Roman" w:hAnsi="Times New Roman" w:cs="Times New Roman"/>
          <w:kern w:val="0"/>
          <w:sz w:val="22"/>
          <w:szCs w:val="20"/>
          <w:u w:val="single"/>
          <w14:ligatures w14:val="none"/>
        </w:rPr>
      </w:pPr>
    </w:p>
    <w:p w14:paraId="2388E5BF" w14:textId="748B03F9"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Gydant plaučių embolija sergančius pacientus, kurių nestabili hemodinamika arba kuriems galima taikyti </w:t>
      </w:r>
      <w:proofErr w:type="spellStart"/>
      <w:r w:rsidRPr="00D21DFA">
        <w:rPr>
          <w:rFonts w:ascii="Times New Roman" w:eastAsia="Times New Roman" w:hAnsi="Times New Roman" w:cs="Times New Roman"/>
          <w:snapToGrid w:val="0"/>
          <w:kern w:val="0"/>
          <w:sz w:val="22"/>
          <w:szCs w:val="20"/>
          <w14:ligatures w14:val="none"/>
        </w:rPr>
        <w:t>trombolizę</w:t>
      </w:r>
      <w:proofErr w:type="spellEnd"/>
      <w:r w:rsidRPr="00D21DFA">
        <w:rPr>
          <w:rFonts w:ascii="Times New Roman" w:eastAsia="Times New Roman" w:hAnsi="Times New Roman" w:cs="Times New Roman"/>
          <w:snapToGrid w:val="0"/>
          <w:kern w:val="0"/>
          <w:sz w:val="22"/>
          <w:szCs w:val="20"/>
          <w14:ligatures w14:val="none"/>
        </w:rPr>
        <w:t xml:space="preserve"> ar plaučių </w:t>
      </w:r>
      <w:proofErr w:type="spellStart"/>
      <w:r w:rsidRPr="00D21DFA">
        <w:rPr>
          <w:rFonts w:ascii="Times New Roman" w:eastAsia="Times New Roman" w:hAnsi="Times New Roman" w:cs="Times New Roman"/>
          <w:snapToGrid w:val="0"/>
          <w:kern w:val="0"/>
          <w:sz w:val="22"/>
          <w:szCs w:val="20"/>
          <w14:ligatures w14:val="none"/>
        </w:rPr>
        <w:t>embolektomiją</w:t>
      </w:r>
      <w:proofErr w:type="spellEnd"/>
      <w:r w:rsidRPr="00D21DFA">
        <w:rPr>
          <w:rFonts w:ascii="Times New Roman" w:eastAsia="Times New Roman" w:hAnsi="Times New Roman" w:cs="Times New Roman"/>
          <w:snapToGrid w:val="0"/>
          <w:kern w:val="0"/>
          <w:sz w:val="22"/>
          <w:szCs w:val="20"/>
          <w14:ligatures w14:val="none"/>
        </w:rPr>
        <w:t xml:space="preserve">, </w:t>
      </w:r>
      <w:r w:rsidR="005200E3" w:rsidRPr="00D21DFA">
        <w:rPr>
          <w:rFonts w:ascii="Times New Roman" w:eastAsia="Times New Roman" w:hAnsi="Times New Roman" w:cs="Times New Roman"/>
          <w:snapToGrid w:val="0"/>
          <w:kern w:val="0"/>
          <w:sz w:val="22"/>
          <w:szCs w:val="20"/>
          <w14:ligatures w14:val="none"/>
        </w:rPr>
        <w:t xml:space="preserve">nerekomenduojama vartoti </w:t>
      </w:r>
      <w:proofErr w:type="spellStart"/>
      <w:r w:rsidR="005200E3" w:rsidRPr="00D21DFA">
        <w:rPr>
          <w:rFonts w:ascii="Times New Roman" w:eastAsia="Times New Roman" w:hAnsi="Times New Roman" w:cs="Times New Roman"/>
          <w:snapToGrid w:val="0"/>
          <w:kern w:val="0"/>
          <w:sz w:val="22"/>
          <w:szCs w:val="20"/>
          <w14:ligatures w14:val="none"/>
        </w:rPr>
        <w:t>apiksabano</w:t>
      </w:r>
      <w:proofErr w:type="spellEnd"/>
      <w:r w:rsidR="005200E3" w:rsidRPr="00D21DFA">
        <w:rPr>
          <w:rFonts w:ascii="Times New Roman" w:eastAsia="Times New Roman" w:hAnsi="Times New Roman" w:cs="Times New Roman"/>
          <w:snapToGrid w:val="0"/>
          <w:kern w:val="0"/>
          <w:sz w:val="22"/>
          <w:szCs w:val="20"/>
          <w14:ligatures w14:val="none"/>
        </w:rPr>
        <w:t xml:space="preserve"> vietoje</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nefrakcionuot</w:t>
      </w:r>
      <w:r w:rsidR="005200E3" w:rsidRPr="00D21DFA">
        <w:rPr>
          <w:rFonts w:ascii="Times New Roman" w:eastAsia="Times New Roman" w:hAnsi="Times New Roman" w:cs="Times New Roman"/>
          <w:snapToGrid w:val="0"/>
          <w:kern w:val="0"/>
          <w:sz w:val="22"/>
          <w:szCs w:val="20"/>
          <w14:ligatures w14:val="none"/>
        </w:rPr>
        <w:t>o</w:t>
      </w:r>
      <w:proofErr w:type="spellEnd"/>
      <w:r w:rsidRPr="00D21DFA">
        <w:rPr>
          <w:rFonts w:ascii="Times New Roman" w:eastAsia="Times New Roman" w:hAnsi="Times New Roman" w:cs="Times New Roman"/>
          <w:snapToGrid w:val="0"/>
          <w:kern w:val="0"/>
          <w:sz w:val="22"/>
          <w:szCs w:val="20"/>
          <w14:ligatures w14:val="none"/>
        </w:rPr>
        <w:t xml:space="preserve"> heparin</w:t>
      </w:r>
      <w:r w:rsidR="005200E3" w:rsidRPr="00D21DFA">
        <w:rPr>
          <w:rFonts w:ascii="Times New Roman" w:eastAsia="Times New Roman" w:hAnsi="Times New Roman" w:cs="Times New Roman"/>
          <w:snapToGrid w:val="0"/>
          <w:kern w:val="0"/>
          <w:sz w:val="22"/>
          <w:szCs w:val="20"/>
          <w14:ligatures w14:val="none"/>
        </w:rPr>
        <w:t>o</w:t>
      </w:r>
      <w:r w:rsidRPr="00D21DFA">
        <w:rPr>
          <w:rFonts w:ascii="Times New Roman" w:eastAsia="Times New Roman" w:hAnsi="Times New Roman" w:cs="Times New Roman"/>
          <w:snapToGrid w:val="0"/>
          <w:kern w:val="0"/>
          <w:sz w:val="22"/>
          <w:szCs w:val="20"/>
          <w14:ligatures w14:val="none"/>
        </w:rPr>
        <w:t xml:space="preserve">, nes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veiksmingumas ir saugumas šiomis klinikinėmis aplinkybėmis nėra ištirti.</w:t>
      </w:r>
    </w:p>
    <w:p w14:paraId="55E29C4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929CC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Pacientai, sergantys aktyviu vėžiu </w:t>
      </w:r>
    </w:p>
    <w:p w14:paraId="209616C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8F3991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sergantiems aktyviu vėžiu, gali būti didesnė venų tromboembolijos ir kraujavimo reiškinių rizika. Jeigu vėžiu sergantiems pacientams svarstoma skirti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GVT ir PE gydymui, reikia atidžiai įvertinti naudos ir rizikos santykį (žr. 4.3 ).</w:t>
      </w:r>
    </w:p>
    <w:p w14:paraId="7445034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69BF1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Pacientams, kurių inkstų funkcija sutrikusi </w:t>
      </w:r>
    </w:p>
    <w:p w14:paraId="779F7B7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BC577FB" w14:textId="41B1AC88" w:rsidR="008026FD" w:rsidRPr="00AD1A35" w:rsidRDefault="008026FD" w:rsidP="00C95D96">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AD1A35">
        <w:rPr>
          <w:rFonts w:ascii="Times New Roman" w:eastAsia="Times New Roman" w:hAnsi="Times New Roman" w:cs="Times New Roman"/>
          <w:i/>
          <w:iCs/>
          <w:snapToGrid w:val="0"/>
          <w:kern w:val="0"/>
          <w:sz w:val="22"/>
          <w:szCs w:val="20"/>
          <w:u w:val="single"/>
          <w14:ligatures w14:val="none"/>
        </w:rPr>
        <w:t>Sua</w:t>
      </w:r>
      <w:r w:rsidRPr="00D21DFA">
        <w:rPr>
          <w:rFonts w:ascii="Times New Roman" w:eastAsia="Times New Roman" w:hAnsi="Times New Roman" w:cs="Times New Roman"/>
          <w:i/>
          <w:iCs/>
          <w:snapToGrid w:val="0"/>
          <w:kern w:val="0"/>
          <w:sz w:val="22"/>
          <w:szCs w:val="20"/>
          <w:u w:val="single"/>
          <w14:ligatures w14:val="none"/>
        </w:rPr>
        <w:t>u</w:t>
      </w:r>
      <w:r w:rsidRPr="00AD1A35">
        <w:rPr>
          <w:rFonts w:ascii="Times New Roman" w:eastAsia="Times New Roman" w:hAnsi="Times New Roman" w:cs="Times New Roman"/>
          <w:i/>
          <w:iCs/>
          <w:snapToGrid w:val="0"/>
          <w:kern w:val="0"/>
          <w:sz w:val="22"/>
          <w:szCs w:val="20"/>
          <w:u w:val="single"/>
          <w14:ligatures w14:val="none"/>
        </w:rPr>
        <w:t>gusiesiems</w:t>
      </w:r>
    </w:p>
    <w:p w14:paraId="3C501DB5" w14:textId="77777777" w:rsidR="00C95D96" w:rsidRPr="00D21DFA"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snapToGrid w:val="0"/>
          <w:kern w:val="0"/>
          <w:sz w:val="22"/>
          <w:szCs w:val="20"/>
          <w14:ligatures w14:val="none"/>
        </w:rPr>
        <w:t>Riboti klinikiniai duomenys apie vaistinio preparato vartojimą pacientams, kuriems yra sunkus inkstų funkcijos sutrikimas (kreatinino klirensas 15</w:t>
      </w:r>
      <w:r w:rsidRPr="00D21DFA">
        <w:rPr>
          <w:rFonts w:ascii="Times New Roman" w:eastAsia="Times New Roman" w:hAnsi="Times New Roman" w:cs="Times New Roman"/>
          <w:snapToGrid w:val="0"/>
          <w:kern w:val="0"/>
          <w:sz w:val="22"/>
          <w:szCs w:val="20"/>
          <w14:ligatures w14:val="none"/>
        </w:rPr>
        <w:noBreakHyphen/>
        <w:t xml:space="preserve">29 ml/min.), rodo, kad tokiems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plazmos koncentracija yra padidėjusi, todėl gali padidėti kraujavimo rizika. Esant sunkiam inkstų funkcijos sutrikimui (kreatinino klirensas 15</w:t>
      </w:r>
      <w:r w:rsidRPr="00D21DFA">
        <w:rPr>
          <w:rFonts w:ascii="Times New Roman" w:eastAsia="Times New Roman" w:hAnsi="Times New Roman" w:cs="Times New Roman"/>
          <w:snapToGrid w:val="0"/>
          <w:kern w:val="0"/>
          <w:sz w:val="22"/>
          <w:szCs w:val="20"/>
          <w14:ligatures w14:val="none"/>
        </w:rPr>
        <w:noBreakHyphen/>
        <w:t>29 ml/min.) GVT gydymui, PE gydymui ir pasikartojančios GVT ir PE profilaktikai (</w:t>
      </w: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vartoti atsargiai (žr. 4.2 ir 5.2 skyrius). </w:t>
      </w:r>
    </w:p>
    <w:p w14:paraId="6890794D" w14:textId="77777777" w:rsidR="00C95D96" w:rsidRPr="00D21DFA"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p>
    <w:p w14:paraId="098A62EE" w14:textId="337AA269" w:rsidR="00C95D96" w:rsidRPr="00D21DFA" w:rsidRDefault="00C95D96" w:rsidP="00C95D96">
      <w:pPr>
        <w:tabs>
          <w:tab w:val="left" w:pos="567"/>
          <w:tab w:val="left" w:pos="9214"/>
        </w:tabs>
        <w:snapToGrid w:val="0"/>
        <w:spacing w:after="0" w:line="260" w:lineRule="exact"/>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snapToGrid w:val="0"/>
          <w:kern w:val="0"/>
          <w:sz w:val="22"/>
          <w:szCs w:val="20"/>
          <w:lang w:eastAsia="lt-LT" w:bidi="lt-LT"/>
          <w14:ligatures w14:val="none"/>
        </w:rPr>
        <w:t xml:space="preserve">Insulto ir </w:t>
      </w:r>
      <w:r w:rsidRPr="00D21DFA">
        <w:rPr>
          <w:rFonts w:ascii="Times New Roman" w:eastAsia="Times New Roman" w:hAnsi="Times New Roman" w:cs="Times New Roman"/>
          <w:snapToGrid w:val="0"/>
          <w:kern w:val="0"/>
          <w:sz w:val="22"/>
          <w:szCs w:val="20"/>
          <w14:ligatures w14:val="none"/>
        </w:rPr>
        <w:t xml:space="preserve">sisteminės embolijos profilaktikai suaugusiems pacientams, </w:t>
      </w:r>
      <w:r w:rsidR="005200E3" w:rsidRPr="00D21DFA">
        <w:rPr>
          <w:rFonts w:ascii="Times New Roman" w:eastAsia="Times New Roman" w:hAnsi="Times New Roman" w:cs="Times New Roman"/>
          <w:snapToGrid w:val="0"/>
          <w:kern w:val="0"/>
          <w:sz w:val="22"/>
          <w:szCs w:val="20"/>
          <w14:ligatures w14:val="none"/>
        </w:rPr>
        <w:t xml:space="preserve">sergantiems </w:t>
      </w:r>
      <w:r w:rsidRPr="00D21DFA">
        <w:rPr>
          <w:rFonts w:ascii="Times New Roman" w:eastAsia="Times New Roman" w:hAnsi="Times New Roman" w:cs="Times New Roman"/>
          <w:snapToGrid w:val="0"/>
          <w:kern w:val="0"/>
          <w:sz w:val="22"/>
          <w:szCs w:val="20"/>
          <w14:ligatures w14:val="none"/>
        </w:rPr>
        <w:t>VNPV</w:t>
      </w:r>
      <w:r w:rsidR="005200E3"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esant sunkiam inkstų funkcijos sutrikimui (kreatinino klirensas 15</w:t>
      </w:r>
      <w:r w:rsidRPr="00D21DFA">
        <w:rPr>
          <w:rFonts w:ascii="Times New Roman" w:eastAsia="Times New Roman" w:hAnsi="Times New Roman" w:cs="Times New Roman"/>
          <w:snapToGrid w:val="0"/>
          <w:kern w:val="0"/>
          <w:sz w:val="22"/>
          <w:szCs w:val="20"/>
          <w14:ligatures w14:val="none"/>
        </w:rPr>
        <w:noBreakHyphen/>
        <w:t xml:space="preserve">29 ml/min.) ir pacientams, kurių </w:t>
      </w:r>
      <w:r w:rsidRPr="00D21DFA">
        <w:rPr>
          <w:rFonts w:ascii="Times New Roman" w:eastAsia="Times New Roman" w:hAnsi="Times New Roman" w:cs="Times New Roman"/>
          <w:snapToGrid w:val="0"/>
          <w:kern w:val="0"/>
          <w:sz w:val="22"/>
          <w:szCs w:val="20"/>
          <w14:ligatures w14:val="none"/>
        </w:rPr>
        <w:lastRenderedPageBreak/>
        <w:t xml:space="preserve">kreatinino koncentracija serume yra </w:t>
      </w:r>
      <w:r w:rsidRPr="00D21DFA">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0"/>
          <w14:ligatures w14:val="none"/>
        </w:rPr>
        <w:t>1,5 mg/dl (133 </w:t>
      </w:r>
      <w:proofErr w:type="spellStart"/>
      <w:r w:rsidRPr="00D21DFA">
        <w:rPr>
          <w:rFonts w:ascii="Times New Roman" w:eastAsia="Times New Roman" w:hAnsi="Times New Roman" w:cs="Times New Roman"/>
          <w:snapToGrid w:val="0"/>
          <w:kern w:val="0"/>
          <w:sz w:val="22"/>
          <w:szCs w:val="20"/>
          <w14:ligatures w14:val="none"/>
        </w:rPr>
        <w:t>mikromoliai</w:t>
      </w:r>
      <w:proofErr w:type="spellEnd"/>
      <w:r w:rsidRPr="00D21DFA">
        <w:rPr>
          <w:rFonts w:ascii="Times New Roman" w:eastAsia="Times New Roman" w:hAnsi="Times New Roman" w:cs="Times New Roman"/>
          <w:snapToGrid w:val="0"/>
          <w:kern w:val="0"/>
          <w:sz w:val="22"/>
          <w:szCs w:val="20"/>
          <w14:ligatures w14:val="none"/>
        </w:rPr>
        <w:t xml:space="preserve">/l) ir yra ≥ 80 metų arba kūno svoris ≤ 60 kg, reikia vartoti mažesnę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du kartus per parą (žr. 4.2 skyrių).</w:t>
      </w:r>
    </w:p>
    <w:p w14:paraId="1D0203C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57AF6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kurių kreatinino klirensas yra &lt; 15 ml/min. arba atliekamos dializės, gydymo šiuo vaistiniu preparatu patirties nėra, todėl šiems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nerekomenduojama (žr. 4.2 ir 5.2 skyrius). </w:t>
      </w:r>
    </w:p>
    <w:p w14:paraId="4BF1C3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0CCA9D"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i/>
          <w:iCs/>
          <w:snapToGrid w:val="0"/>
          <w:kern w:val="0"/>
          <w:sz w:val="22"/>
          <w:szCs w:val="20"/>
          <w14:ligatures w14:val="none"/>
        </w:rPr>
      </w:pPr>
      <w:r w:rsidRPr="00D21DFA">
        <w:rPr>
          <w:rFonts w:ascii="Times New Roman" w:eastAsia="Times New Roman" w:hAnsi="Times New Roman" w:cs="Times New Roman"/>
          <w:i/>
          <w:iCs/>
          <w:snapToGrid w:val="0"/>
          <w:kern w:val="0"/>
          <w:sz w:val="22"/>
          <w:szCs w:val="20"/>
          <w14:ligatures w14:val="none"/>
        </w:rPr>
        <w:t>Pacientai vaikai</w:t>
      </w:r>
    </w:p>
    <w:p w14:paraId="07C5DDA1"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Gydymas pacientams vaikams, kuriems nustatytas sunkus inkstų funkcijos sutrikimas, netirtas, todėl jiems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negalima (žr. 4.2 ir 5.2 skyrius).</w:t>
      </w:r>
    </w:p>
    <w:p w14:paraId="387E3CEB"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D41367" w14:textId="5275EF8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Senyvi</w:t>
      </w:r>
      <w:r w:rsidR="005200E3" w:rsidRPr="00D21DFA">
        <w:rPr>
          <w:rFonts w:ascii="Times New Roman" w:eastAsia="Times New Roman" w:hAnsi="Times New Roman" w:cs="Times New Roman"/>
          <w:snapToGrid w:val="0"/>
          <w:kern w:val="0"/>
          <w:sz w:val="22"/>
          <w:szCs w:val="20"/>
          <w:u w:val="single"/>
          <w14:ligatures w14:val="none"/>
        </w:rPr>
        <w:t>ems</w:t>
      </w:r>
      <w:r w:rsidRPr="00D21DFA">
        <w:rPr>
          <w:rFonts w:ascii="Times New Roman" w:eastAsia="Times New Roman" w:hAnsi="Times New Roman" w:cs="Times New Roman"/>
          <w:snapToGrid w:val="0"/>
          <w:kern w:val="0"/>
          <w:sz w:val="22"/>
          <w:szCs w:val="20"/>
          <w:u w:val="single"/>
          <w14:ligatures w14:val="none"/>
        </w:rPr>
        <w:t xml:space="preserve"> pacienta</w:t>
      </w:r>
      <w:r w:rsidR="005200E3" w:rsidRPr="00D21DFA">
        <w:rPr>
          <w:rFonts w:ascii="Times New Roman" w:eastAsia="Times New Roman" w:hAnsi="Times New Roman" w:cs="Times New Roman"/>
          <w:snapToGrid w:val="0"/>
          <w:kern w:val="0"/>
          <w:sz w:val="22"/>
          <w:szCs w:val="20"/>
          <w:u w:val="single"/>
          <w14:ligatures w14:val="none"/>
        </w:rPr>
        <w:t>ms</w:t>
      </w:r>
      <w:r w:rsidRPr="00D21DFA">
        <w:rPr>
          <w:rFonts w:ascii="Times New Roman" w:eastAsia="Times New Roman" w:hAnsi="Times New Roman" w:cs="Times New Roman"/>
          <w:snapToGrid w:val="0"/>
          <w:kern w:val="0"/>
          <w:sz w:val="22"/>
          <w:szCs w:val="20"/>
          <w:u w:val="single"/>
          <w14:ligatures w14:val="none"/>
        </w:rPr>
        <w:t xml:space="preserve"> </w:t>
      </w:r>
    </w:p>
    <w:p w14:paraId="26F915C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CC6734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Senyviems pacientams gali būti didesnė kraujavimo rizika (žr. 5.2 skyrių). </w:t>
      </w:r>
    </w:p>
    <w:p w14:paraId="2442274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Taip pat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kartu su ASR senyviems pacientams reikia vartoti atsargiai dėl galimos didesnės kraujavimo rizikos.</w:t>
      </w:r>
    </w:p>
    <w:p w14:paraId="18EA255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9A64953" w14:textId="2A402FF9" w:rsidR="00C95D96" w:rsidRPr="00D21DFA" w:rsidRDefault="005200E3"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AD1A35">
        <w:rPr>
          <w:rFonts w:ascii="Times New Roman" w:eastAsia="Times New Roman" w:hAnsi="Times New Roman" w:cs="Times New Roman"/>
          <w:snapToGrid w:val="0"/>
          <w:kern w:val="0"/>
          <w:sz w:val="22"/>
          <w:szCs w:val="20"/>
          <w:u w:val="single"/>
          <w14:ligatures w14:val="none"/>
        </w:rPr>
        <w:t>Kūno s</w:t>
      </w:r>
      <w:r w:rsidR="00C95D96" w:rsidRPr="00D21DFA">
        <w:rPr>
          <w:rFonts w:ascii="Times New Roman" w:eastAsia="Times New Roman" w:hAnsi="Times New Roman" w:cs="Times New Roman"/>
          <w:snapToGrid w:val="0"/>
          <w:kern w:val="0"/>
          <w:sz w:val="22"/>
          <w:szCs w:val="20"/>
          <w:u w:val="single"/>
          <w14:ligatures w14:val="none"/>
        </w:rPr>
        <w:t>voris</w:t>
      </w:r>
    </w:p>
    <w:p w14:paraId="2B57D82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40B682A" w14:textId="4A4B3D6D" w:rsidR="00C95D96" w:rsidRPr="00D21DFA" w:rsidRDefault="008026FD"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m</w:t>
      </w:r>
      <w:r w:rsidR="00C95D96" w:rsidRPr="00D21DFA">
        <w:rPr>
          <w:rFonts w:ascii="Times New Roman" w:eastAsia="Times New Roman" w:hAnsi="Times New Roman" w:cs="Times New Roman"/>
          <w:snapToGrid w:val="0"/>
          <w:kern w:val="0"/>
          <w:sz w:val="22"/>
          <w:szCs w:val="20"/>
          <w14:ligatures w14:val="none"/>
        </w:rPr>
        <w:t xml:space="preserve">ažas svoris (&lt; 60 kg) gali didinti kraujavimo riziką (žr. 5.2 skyrių). </w:t>
      </w:r>
    </w:p>
    <w:p w14:paraId="24A80EF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E52EF4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Pacientams, kurių kepenų funkcija sutrikusi </w:t>
      </w:r>
    </w:p>
    <w:p w14:paraId="2EB3211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90900BE" w14:textId="7B0AC1B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vartoti pacientams, kurie serga kepenų liga, susijusia su </w:t>
      </w:r>
      <w:proofErr w:type="spellStart"/>
      <w:r w:rsidRPr="00D21DFA">
        <w:rPr>
          <w:rFonts w:ascii="Times New Roman" w:eastAsia="Times New Roman" w:hAnsi="Times New Roman" w:cs="Times New Roman"/>
          <w:snapToGrid w:val="0"/>
          <w:kern w:val="0"/>
          <w:sz w:val="22"/>
          <w:szCs w:val="20"/>
          <w14:ligatures w14:val="none"/>
        </w:rPr>
        <w:t>koaguliopatija</w:t>
      </w:r>
      <w:proofErr w:type="spellEnd"/>
      <w:r w:rsidRPr="00D21DFA">
        <w:rPr>
          <w:rFonts w:ascii="Times New Roman" w:eastAsia="Times New Roman" w:hAnsi="Times New Roman" w:cs="Times New Roman"/>
          <w:snapToGrid w:val="0"/>
          <w:kern w:val="0"/>
          <w:sz w:val="22"/>
          <w:szCs w:val="20"/>
          <w14:ligatures w14:val="none"/>
        </w:rPr>
        <w:t xml:space="preserve"> ir kliniškai reikšminga kraujavimo rizika</w:t>
      </w:r>
      <w:r w:rsidR="005200E3" w:rsidRPr="00D21DFA">
        <w:rPr>
          <w:rFonts w:ascii="Times New Roman" w:eastAsia="Times New Roman" w:hAnsi="Times New Roman" w:cs="Times New Roman"/>
          <w:snapToGrid w:val="0"/>
          <w:kern w:val="0"/>
          <w:sz w:val="22"/>
          <w:szCs w:val="20"/>
          <w14:ligatures w14:val="none"/>
        </w:rPr>
        <w:t>, draudžiama</w:t>
      </w:r>
      <w:r w:rsidRPr="00D21DFA">
        <w:rPr>
          <w:rFonts w:ascii="Times New Roman" w:eastAsia="Times New Roman" w:hAnsi="Times New Roman" w:cs="Times New Roman"/>
          <w:snapToGrid w:val="0"/>
          <w:kern w:val="0"/>
          <w:sz w:val="22"/>
          <w:szCs w:val="20"/>
          <w14:ligatures w14:val="none"/>
        </w:rPr>
        <w:t xml:space="preserve"> (žr. 4.3 skyrių).</w:t>
      </w:r>
    </w:p>
    <w:p w14:paraId="596E31E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37CF2D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Nerekomenduojama vartoti pacientams, kuriems nustatytas sunkus kepenų funkcijos sutrikimas (žr. 5.2 skyrių).</w:t>
      </w:r>
    </w:p>
    <w:p w14:paraId="1B7DC58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30EA8C6" w14:textId="4A95742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Vaistinio preparato reikia atsargiai vartoti pacientams, kuriems yra lengvas ar vidutinio sunkumo kepenų funkcijos sutrikimas (A arba B klasės pagal </w:t>
      </w:r>
      <w:proofErr w:type="spellStart"/>
      <w:r w:rsidRPr="00D21DFA">
        <w:rPr>
          <w:rFonts w:ascii="Times New Roman" w:eastAsia="Times New Roman" w:hAnsi="Times New Roman" w:cs="Times New Roman"/>
          <w:i/>
          <w:iCs/>
          <w:snapToGrid w:val="0"/>
          <w:kern w:val="0"/>
          <w:sz w:val="22"/>
          <w:szCs w:val="20"/>
          <w14:ligatures w14:val="none"/>
        </w:rPr>
        <w:t>Child</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Pugh</w:t>
      </w:r>
      <w:proofErr w:type="spellEnd"/>
      <w:r w:rsidR="005200E3" w:rsidRPr="00D21DFA">
        <w:rPr>
          <w:rFonts w:ascii="Times New Roman" w:eastAsia="Times New Roman" w:hAnsi="Times New Roman" w:cs="Times New Roman"/>
          <w:snapToGrid w:val="0"/>
          <w:kern w:val="0"/>
          <w:sz w:val="22"/>
          <w:szCs w:val="20"/>
          <w14:ligatures w14:val="none"/>
        </w:rPr>
        <w:t xml:space="preserve"> skalę</w:t>
      </w:r>
      <w:r w:rsidRPr="00D21DFA">
        <w:rPr>
          <w:rFonts w:ascii="Times New Roman" w:eastAsia="Times New Roman" w:hAnsi="Times New Roman" w:cs="Times New Roman"/>
          <w:snapToGrid w:val="0"/>
          <w:kern w:val="0"/>
          <w:sz w:val="22"/>
          <w:szCs w:val="20"/>
          <w14:ligatures w14:val="none"/>
        </w:rPr>
        <w:t>) (žr. 4.2 ir 5.2 skyrius).</w:t>
      </w:r>
    </w:p>
    <w:p w14:paraId="246D95A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1262A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kuriems buvo nustatytas padidėjęs kepenų fermentų aktyvumas (ALT/AST aktyvumas buvo &gt; 2 x VNR) arba bendrojo </w:t>
      </w:r>
      <w:proofErr w:type="spellStart"/>
      <w:r w:rsidRPr="00D21DFA">
        <w:rPr>
          <w:rFonts w:ascii="Times New Roman" w:eastAsia="Times New Roman" w:hAnsi="Times New Roman" w:cs="Times New Roman"/>
          <w:snapToGrid w:val="0"/>
          <w:kern w:val="0"/>
          <w:sz w:val="22"/>
          <w:szCs w:val="20"/>
          <w14:ligatures w14:val="none"/>
        </w:rPr>
        <w:t>bilirubino</w:t>
      </w:r>
      <w:proofErr w:type="spellEnd"/>
      <w:r w:rsidRPr="00D21DFA">
        <w:rPr>
          <w:rFonts w:ascii="Times New Roman" w:eastAsia="Times New Roman" w:hAnsi="Times New Roman" w:cs="Times New Roman"/>
          <w:snapToGrid w:val="0"/>
          <w:kern w:val="0"/>
          <w:sz w:val="22"/>
          <w:szCs w:val="20"/>
          <w14:ligatures w14:val="none"/>
        </w:rPr>
        <w:t xml:space="preserve"> kiekis buvo ≥ 1,5 x VNR, nebuvo įtraukti į klinikinius tyrimus. Todėl šiems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vartoti atsargiai (žr. 5.2 skyrių). Prieš pradedant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turi būti atlikti kepenų funkcijos tyrimai.</w:t>
      </w:r>
    </w:p>
    <w:p w14:paraId="2B5FBC1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AD7AEB7" w14:textId="40D565CA"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pacientams vaikams, kurių kepenų funkcija sutrikusi.</w:t>
      </w:r>
    </w:p>
    <w:p w14:paraId="41270A95"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BECDB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Sąveika su vaistiniais preparatais, kurie yra ir </w:t>
      </w:r>
      <w:proofErr w:type="spellStart"/>
      <w:r w:rsidRPr="00D21DFA">
        <w:rPr>
          <w:rFonts w:ascii="Times New Roman" w:eastAsia="Times New Roman" w:hAnsi="Times New Roman" w:cs="Times New Roman"/>
          <w:snapToGrid w:val="0"/>
          <w:kern w:val="0"/>
          <w:sz w:val="22"/>
          <w:szCs w:val="20"/>
          <w:u w:val="single"/>
          <w14:ligatures w14:val="none"/>
        </w:rPr>
        <w:t>citochromo</w:t>
      </w:r>
      <w:proofErr w:type="spellEnd"/>
      <w:r w:rsidRPr="00D21DFA">
        <w:rPr>
          <w:rFonts w:ascii="Times New Roman" w:eastAsia="Times New Roman" w:hAnsi="Times New Roman" w:cs="Times New Roman"/>
          <w:snapToGrid w:val="0"/>
          <w:kern w:val="0"/>
          <w:sz w:val="22"/>
          <w:szCs w:val="20"/>
          <w:u w:val="single"/>
          <w14:ligatures w14:val="none"/>
        </w:rPr>
        <w:t xml:space="preserve"> P450 3A4 (CYP3A4)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glikoproteino</w:t>
      </w:r>
      <w:proofErr w:type="spellEnd"/>
      <w:r w:rsidRPr="00D21DFA">
        <w:rPr>
          <w:rFonts w:ascii="Times New Roman" w:eastAsia="Times New Roman" w:hAnsi="Times New Roman" w:cs="Times New Roman"/>
          <w:snapToGrid w:val="0"/>
          <w:kern w:val="0"/>
          <w:sz w:val="22"/>
          <w:szCs w:val="20"/>
          <w:u w:val="single"/>
          <w14:ligatures w14:val="none"/>
        </w:rPr>
        <w:t xml:space="preserve">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inhibitoriai </w:t>
      </w:r>
    </w:p>
    <w:p w14:paraId="3CE7A54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DBC519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skirti pacientams, kuriems taikomas sisteminis gydymas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w:t>
      </w:r>
      <w:proofErr w:type="spellStart"/>
      <w:r w:rsidRPr="00D21DFA">
        <w:rPr>
          <w:rFonts w:ascii="Times New Roman" w:eastAsia="Times New Roman" w:hAnsi="Times New Roman" w:cs="Times New Roman"/>
          <w:snapToGrid w:val="0"/>
          <w:kern w:val="0"/>
          <w:sz w:val="22"/>
          <w:szCs w:val="20"/>
          <w14:ligatures w14:val="none"/>
        </w:rPr>
        <w:t>azolų</w:t>
      </w:r>
      <w:proofErr w:type="spellEnd"/>
      <w:r w:rsidRPr="00D21DFA">
        <w:rPr>
          <w:rFonts w:ascii="Times New Roman" w:eastAsia="Times New Roman" w:hAnsi="Times New Roman" w:cs="Times New Roman"/>
          <w:snapToGrid w:val="0"/>
          <w:kern w:val="0"/>
          <w:sz w:val="22"/>
          <w:szCs w:val="20"/>
          <w14:ligatures w14:val="none"/>
        </w:rPr>
        <w:t xml:space="preserve"> grupės priešgrybeliniais vaistiniais preparatais (pvz., </w:t>
      </w:r>
      <w:proofErr w:type="spellStart"/>
      <w:r w:rsidRPr="00D21DFA">
        <w:rPr>
          <w:rFonts w:ascii="Times New Roman" w:eastAsia="Times New Roman" w:hAnsi="Times New Roman" w:cs="Times New Roman"/>
          <w:snapToGrid w:val="0"/>
          <w:kern w:val="0"/>
          <w:sz w:val="22"/>
          <w:szCs w:val="20"/>
          <w14:ligatures w14:val="none"/>
        </w:rPr>
        <w:t>ketokonazolu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itrakonazolu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vorikonazolu</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pozakonazolu</w:t>
      </w:r>
      <w:proofErr w:type="spellEnd"/>
      <w:r w:rsidRPr="00D21DFA">
        <w:rPr>
          <w:rFonts w:ascii="Times New Roman" w:eastAsia="Times New Roman" w:hAnsi="Times New Roman" w:cs="Times New Roman"/>
          <w:snapToGrid w:val="0"/>
          <w:kern w:val="0"/>
          <w:sz w:val="22"/>
          <w:szCs w:val="20"/>
          <w14:ligatures w14:val="none"/>
        </w:rPr>
        <w:t xml:space="preserve">) ir ŽIV proteazės inhibitoriais (pvz., ritonaviru). Šių vaistinių preparatų vartojimas gali didinti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ekspoziciją 2 kartus (žr. 4.5 skyrių) arba dar daugiau, jeigu kartu yra papildomų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ekspoziciją didinančių veiksnių (pvz., sunkus inkstų funkcijos sutrikimas). </w:t>
      </w:r>
    </w:p>
    <w:p w14:paraId="0968CC26"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12F5A5" w14:textId="661D00DB"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Klinikinių duomenų apie pacientus vaikus, kurie vienu metu gauna sisteminį gydymą stipriais CYP3A4 ir P-</w:t>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nėra (žr. 4.5 skyrių).</w:t>
      </w:r>
    </w:p>
    <w:p w14:paraId="5C91C0B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E9A867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Sąveika su vaistiniais preparatais, kurie yra ir 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w:t>
      </w:r>
      <w:proofErr w:type="spellStart"/>
      <w:r w:rsidRPr="00D21DFA">
        <w:rPr>
          <w:rFonts w:ascii="Times New Roman" w:eastAsia="Times New Roman" w:hAnsi="Times New Roman" w:cs="Times New Roman"/>
          <w:snapToGrid w:val="0"/>
          <w:kern w:val="0"/>
          <w:sz w:val="22"/>
          <w:szCs w:val="20"/>
          <w:u w:val="single"/>
          <w14:ligatures w14:val="none"/>
        </w:rPr>
        <w:t>induktoriai</w:t>
      </w:r>
      <w:proofErr w:type="spellEnd"/>
      <w:r w:rsidRPr="00D21DFA">
        <w:rPr>
          <w:rFonts w:ascii="Times New Roman" w:eastAsia="Times New Roman" w:hAnsi="Times New Roman" w:cs="Times New Roman"/>
          <w:snapToGrid w:val="0"/>
          <w:kern w:val="0"/>
          <w:sz w:val="22"/>
          <w:szCs w:val="20"/>
          <w:u w:val="single"/>
          <w14:ligatures w14:val="none"/>
        </w:rPr>
        <w:t xml:space="preserve"> </w:t>
      </w:r>
    </w:p>
    <w:p w14:paraId="6926661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12763CA" w14:textId="0B94A67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 kartu su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(pvz.: </w:t>
      </w:r>
      <w:proofErr w:type="spellStart"/>
      <w:r w:rsidRPr="00D21DFA">
        <w:rPr>
          <w:rFonts w:ascii="Times New Roman" w:eastAsia="Times New Roman" w:hAnsi="Times New Roman" w:cs="Times New Roman"/>
          <w:snapToGrid w:val="0"/>
          <w:kern w:val="0"/>
          <w:sz w:val="22"/>
          <w:szCs w:val="20"/>
          <w14:ligatures w14:val="none"/>
        </w:rPr>
        <w:t>rifampicinu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fenitoinu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karbamazepinu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fenobarbitaliu</w:t>
      </w:r>
      <w:proofErr w:type="spellEnd"/>
      <w:r w:rsidRPr="00D21DFA">
        <w:rPr>
          <w:rFonts w:ascii="Times New Roman" w:eastAsia="Times New Roman" w:hAnsi="Times New Roman" w:cs="Times New Roman"/>
          <w:snapToGrid w:val="0"/>
          <w:kern w:val="0"/>
          <w:sz w:val="22"/>
          <w:szCs w:val="20"/>
          <w14:ligatures w14:val="none"/>
        </w:rPr>
        <w:t xml:space="preserve"> ar jonažolių </w:t>
      </w:r>
      <w:r w:rsidR="005200E3" w:rsidRPr="00D21DFA">
        <w:rPr>
          <w:rFonts w:ascii="Times New Roman" w:eastAsia="Times New Roman" w:hAnsi="Times New Roman" w:cs="Times New Roman"/>
          <w:snapToGrid w:val="0"/>
          <w:kern w:val="0"/>
          <w:sz w:val="22"/>
          <w:szCs w:val="20"/>
          <w14:ligatures w14:val="none"/>
        </w:rPr>
        <w:t xml:space="preserve">žolės vaistiniais </w:t>
      </w:r>
      <w:r w:rsidRPr="00D21DFA">
        <w:rPr>
          <w:rFonts w:ascii="Times New Roman" w:eastAsia="Times New Roman" w:hAnsi="Times New Roman" w:cs="Times New Roman"/>
          <w:snapToGrid w:val="0"/>
          <w:kern w:val="0"/>
          <w:sz w:val="22"/>
          <w:szCs w:val="20"/>
          <w14:ligatures w14:val="none"/>
        </w:rPr>
        <w:t xml:space="preserve">preparatais), gali maždaug 50 % sumažėti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Klinikinio tyrimo, kuriame dalyvav</w:t>
      </w:r>
      <w:r w:rsidR="005200E3" w:rsidRPr="00D21DFA">
        <w:rPr>
          <w:rFonts w:ascii="Times New Roman" w:eastAsia="Times New Roman" w:hAnsi="Times New Roman" w:cs="Times New Roman"/>
          <w:snapToGrid w:val="0"/>
          <w:kern w:val="0"/>
          <w:sz w:val="22"/>
          <w:szCs w:val="20"/>
          <w14:ligatures w14:val="none"/>
        </w:rPr>
        <w:t>o</w:t>
      </w:r>
      <w:r w:rsidRPr="00D21DFA">
        <w:rPr>
          <w:rFonts w:ascii="Times New Roman" w:eastAsia="Times New Roman" w:hAnsi="Times New Roman" w:cs="Times New Roman"/>
          <w:snapToGrid w:val="0"/>
          <w:kern w:val="0"/>
          <w:sz w:val="22"/>
          <w:szCs w:val="20"/>
          <w14:ligatures w14:val="none"/>
        </w:rPr>
        <w:t xml:space="preserve"> pacienta</w:t>
      </w:r>
      <w:r w:rsidR="005200E3" w:rsidRPr="00D21DFA">
        <w:rPr>
          <w:rFonts w:ascii="Times New Roman" w:eastAsia="Times New Roman" w:hAnsi="Times New Roman" w:cs="Times New Roman"/>
          <w:snapToGrid w:val="0"/>
          <w:kern w:val="0"/>
          <w:sz w:val="22"/>
          <w:szCs w:val="20"/>
          <w14:ligatures w14:val="none"/>
        </w:rPr>
        <w:t>i, sirgę</w:t>
      </w:r>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lastRenderedPageBreak/>
        <w:t>prieširdžių virpėjim</w:t>
      </w:r>
      <w:r w:rsidR="005200E3"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 xml:space="preserve">, duomenimis,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 kartu su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palyginti su vieno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vartojimu, buvo nustatytas veiksmingumo sumažėjimas ir kraujavimo rizikos padidėjimas. </w:t>
      </w:r>
    </w:p>
    <w:p w14:paraId="5F2BF14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3D43A24" w14:textId="09F06B5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Pacientams, kuriems taikomas sisteminis gydymas kartu</w:t>
      </w:r>
      <w:r w:rsidR="005200E3" w:rsidRPr="00D21DFA">
        <w:rPr>
          <w:rFonts w:ascii="Times New Roman" w:eastAsia="Times New Roman" w:hAnsi="Times New Roman" w:cs="Times New Roman"/>
          <w:snapToGrid w:val="0"/>
          <w:kern w:val="0"/>
          <w:sz w:val="22"/>
          <w:szCs w:val="20"/>
          <w14:ligatures w14:val="none"/>
        </w:rPr>
        <w:t xml:space="preserve"> skiriant</w:t>
      </w:r>
      <w:r w:rsidRPr="00D21DFA">
        <w:rPr>
          <w:rFonts w:ascii="Times New Roman" w:eastAsia="Times New Roman" w:hAnsi="Times New Roman" w:cs="Times New Roman"/>
          <w:snapToGrid w:val="0"/>
          <w:kern w:val="0"/>
          <w:sz w:val="22"/>
          <w:szCs w:val="20"/>
          <w14:ligatures w14:val="none"/>
        </w:rPr>
        <w:t xml:space="preserve"> su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w:t>
      </w:r>
      <w:r w:rsidR="005200E3" w:rsidRPr="00D21DFA">
        <w:rPr>
          <w:rFonts w:ascii="Times New Roman" w:eastAsia="Times New Roman" w:hAnsi="Times New Roman" w:cs="Times New Roman"/>
          <w:snapToGrid w:val="0"/>
          <w:kern w:val="0"/>
          <w:sz w:val="22"/>
          <w:szCs w:val="20"/>
          <w14:ligatures w14:val="none"/>
        </w:rPr>
        <w:t>ų</w:t>
      </w:r>
      <w:proofErr w:type="spellEnd"/>
      <w:r w:rsidR="005200E3" w:rsidRPr="00D21DFA">
        <w:rPr>
          <w:rFonts w:ascii="Times New Roman" w:eastAsia="Times New Roman" w:hAnsi="Times New Roman" w:cs="Times New Roman"/>
          <w:snapToGrid w:val="0"/>
          <w:kern w:val="0"/>
          <w:sz w:val="22"/>
          <w:szCs w:val="20"/>
          <w14:ligatures w14:val="none"/>
        </w:rPr>
        <w:t xml:space="preserve"> bei </w:t>
      </w:r>
      <w:proofErr w:type="spellStart"/>
      <w:r w:rsidR="005200E3"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galioja tokios rekomendacijos (žr. 4.5 skyrių):</w:t>
      </w:r>
    </w:p>
    <w:p w14:paraId="6FC733FE" w14:textId="3F1A3EEF" w:rsidR="00C95D96" w:rsidRPr="00D21DFA" w:rsidRDefault="00C95D96" w:rsidP="00C95D96">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proofErr w:type="spellStart"/>
      <w:r w:rsidRPr="00D21DFA">
        <w:rPr>
          <w:rFonts w:ascii="Times New Roman" w:eastAsia="Times New Roman" w:hAnsi="Times New Roman" w:cs="Times New Roman"/>
          <w:kern w:val="0"/>
          <w:sz w:val="22"/>
          <w:szCs w:val="20"/>
          <w:lang w:eastAsia="lt-LT" w:bidi="lt-LT"/>
          <w14:ligatures w14:val="none"/>
        </w:rPr>
        <w:t>apiksabano</w:t>
      </w:r>
      <w:proofErr w:type="spellEnd"/>
      <w:r w:rsidRPr="00D21DFA">
        <w:rPr>
          <w:rFonts w:ascii="Times New Roman" w:eastAsia="Times New Roman" w:hAnsi="Times New Roman" w:cs="Times New Roman"/>
          <w:kern w:val="0"/>
          <w:sz w:val="22"/>
          <w:szCs w:val="20"/>
          <w:lang w:eastAsia="lt-LT" w:bidi="lt-LT"/>
          <w14:ligatures w14:val="none"/>
        </w:rPr>
        <w:t xml:space="preserve"> reikia vartoti atsargiai insulto ir </w:t>
      </w:r>
      <w:r w:rsidRPr="00D21DFA">
        <w:rPr>
          <w:rFonts w:ascii="Times New Roman" w:eastAsia="Times New Roman" w:hAnsi="Times New Roman" w:cs="Times New Roman"/>
          <w:snapToGrid w:val="0"/>
          <w:kern w:val="0"/>
          <w:sz w:val="22"/>
          <w:szCs w:val="20"/>
          <w:lang w:eastAsia="lt-LT" w:bidi="lt-LT"/>
          <w14:ligatures w14:val="none"/>
        </w:rPr>
        <w:t>sisteminės embolijos profilaktikai pacientams, kuriems pasireiškia VNPV ir pasikartojančios GVT ir PE;</w:t>
      </w:r>
    </w:p>
    <w:p w14:paraId="48228AF6" w14:textId="77777777" w:rsidR="00C95D96" w:rsidRPr="00D21DFA" w:rsidRDefault="00C95D96" w:rsidP="00C95D96">
      <w:pPr>
        <w:numPr>
          <w:ilvl w:val="0"/>
          <w:numId w:val="2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snapToGrid w:val="0"/>
          <w:kern w:val="0"/>
          <w:sz w:val="22"/>
          <w:szCs w:val="20"/>
          <w:lang w:eastAsia="lt-LT" w:bidi="lt-LT"/>
          <w14:ligatures w14:val="none"/>
        </w:rPr>
        <w:t xml:space="preserve">GVT gydymui ir PE gydymui </w:t>
      </w:r>
      <w:proofErr w:type="spellStart"/>
      <w:r w:rsidRPr="00D21DFA">
        <w:rPr>
          <w:rFonts w:ascii="Times New Roman" w:eastAsia="Times New Roman" w:hAnsi="Times New Roman" w:cs="Times New Roman"/>
          <w:snapToGrid w:val="0"/>
          <w:kern w:val="0"/>
          <w:sz w:val="22"/>
          <w:szCs w:val="20"/>
          <w:lang w:eastAsia="lt-LT" w:bidi="lt-LT"/>
          <w14:ligatures w14:val="none"/>
        </w:rPr>
        <w:t>apiksabano</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vartoti negalima, nes gali būti mažesnis veiksmingumas.</w:t>
      </w:r>
    </w:p>
    <w:p w14:paraId="7039EA96" w14:textId="77777777" w:rsidR="00C95D96" w:rsidRPr="00AD1A35"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EEF5CDF" w14:textId="3A616DC3" w:rsidR="008026FD" w:rsidRPr="00AD1A35"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AD1A35">
        <w:rPr>
          <w:rFonts w:ascii="Times New Roman" w:eastAsia="Times New Roman" w:hAnsi="Times New Roman" w:cs="Times New Roman"/>
          <w:snapToGrid w:val="0"/>
          <w:kern w:val="0"/>
          <w:sz w:val="22"/>
          <w:szCs w:val="20"/>
          <w14:ligatures w14:val="none"/>
        </w:rPr>
        <w:t>Klinikinių duomenų apie pacientus vaikus, kurie vienu metu gauna sisteminį gydymą stipriais CYP3A4 ir P-</w:t>
      </w:r>
      <w:proofErr w:type="spellStart"/>
      <w:r w:rsidRPr="00AD1A35">
        <w:rPr>
          <w:rFonts w:ascii="Times New Roman" w:eastAsia="Times New Roman" w:hAnsi="Times New Roman" w:cs="Times New Roman"/>
          <w:snapToGrid w:val="0"/>
          <w:kern w:val="0"/>
          <w:sz w:val="22"/>
          <w:szCs w:val="20"/>
          <w14:ligatures w14:val="none"/>
        </w:rPr>
        <w:t>gp</w:t>
      </w:r>
      <w:proofErr w:type="spellEnd"/>
      <w:r w:rsidRPr="00AD1A35">
        <w:rPr>
          <w:rFonts w:ascii="Times New Roman" w:eastAsia="Times New Roman" w:hAnsi="Times New Roman" w:cs="Times New Roman"/>
          <w:snapToGrid w:val="0"/>
          <w:kern w:val="0"/>
          <w:sz w:val="22"/>
          <w:szCs w:val="20"/>
          <w14:ligatures w14:val="none"/>
        </w:rPr>
        <w:t xml:space="preserve"> </w:t>
      </w:r>
      <w:proofErr w:type="spellStart"/>
      <w:r w:rsidRPr="00AD1A35">
        <w:rPr>
          <w:rFonts w:ascii="Times New Roman" w:eastAsia="Times New Roman" w:hAnsi="Times New Roman" w:cs="Times New Roman"/>
          <w:snapToGrid w:val="0"/>
          <w:kern w:val="0"/>
          <w:sz w:val="22"/>
          <w:szCs w:val="20"/>
          <w14:ligatures w14:val="none"/>
        </w:rPr>
        <w:t>induktoriais</w:t>
      </w:r>
      <w:proofErr w:type="spellEnd"/>
      <w:r w:rsidRPr="00AD1A35">
        <w:rPr>
          <w:rFonts w:ascii="Times New Roman" w:eastAsia="Times New Roman" w:hAnsi="Times New Roman" w:cs="Times New Roman"/>
          <w:snapToGrid w:val="0"/>
          <w:kern w:val="0"/>
          <w:sz w:val="22"/>
          <w:szCs w:val="20"/>
          <w14:ligatures w14:val="none"/>
        </w:rPr>
        <w:t>, nėra (žr. 4.5 skyrių).</w:t>
      </w:r>
    </w:p>
    <w:p w14:paraId="1FFDB21B" w14:textId="77777777" w:rsidR="008026FD" w:rsidRPr="00AD1A35"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E979EB" w14:textId="6DBA528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Laboratorinių tyrimų rodikliai </w:t>
      </w:r>
    </w:p>
    <w:p w14:paraId="2FF72F4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8DD507F" w14:textId="0E00466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Kaip ir tikėtasi, dėl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veikimo mechanizmo paveik</w:t>
      </w:r>
      <w:r w:rsidR="005200E3" w:rsidRPr="00D21DFA">
        <w:rPr>
          <w:rFonts w:ascii="Times New Roman" w:eastAsia="Times New Roman" w:hAnsi="Times New Roman" w:cs="Times New Roman"/>
          <w:snapToGrid w:val="0"/>
          <w:kern w:val="0"/>
          <w:sz w:val="22"/>
          <w:szCs w:val="20"/>
          <w14:ligatures w14:val="none"/>
        </w:rPr>
        <w:t>iami</w:t>
      </w:r>
      <w:r w:rsidRPr="00D21DFA">
        <w:rPr>
          <w:rFonts w:ascii="Times New Roman" w:eastAsia="Times New Roman" w:hAnsi="Times New Roman" w:cs="Times New Roman"/>
          <w:snapToGrid w:val="0"/>
          <w:kern w:val="0"/>
          <w:sz w:val="22"/>
          <w:szCs w:val="20"/>
          <w14:ligatures w14:val="none"/>
        </w:rPr>
        <w:t xml:space="preserve"> krešėjimo tyrimų (pvz.,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laiko [PL], tarptautinio normalizuotojo santykio [TNS] ir aktyvinto dalinio </w:t>
      </w:r>
      <w:proofErr w:type="spellStart"/>
      <w:r w:rsidRPr="00D21DFA">
        <w:rPr>
          <w:rFonts w:ascii="Times New Roman" w:eastAsia="Times New Roman" w:hAnsi="Times New Roman" w:cs="Times New Roman"/>
          <w:snapToGrid w:val="0"/>
          <w:kern w:val="0"/>
          <w:sz w:val="22"/>
          <w:szCs w:val="20"/>
          <w14:ligatures w14:val="none"/>
        </w:rPr>
        <w:t>tromboplastino</w:t>
      </w:r>
      <w:proofErr w:type="spellEnd"/>
      <w:r w:rsidRPr="00D21DFA">
        <w:rPr>
          <w:rFonts w:ascii="Times New Roman" w:eastAsia="Times New Roman" w:hAnsi="Times New Roman" w:cs="Times New Roman"/>
          <w:snapToGrid w:val="0"/>
          <w:kern w:val="0"/>
          <w:sz w:val="22"/>
          <w:szCs w:val="20"/>
          <w14:ligatures w14:val="none"/>
        </w:rPr>
        <w:t xml:space="preserve"> laiko [</w:t>
      </w:r>
      <w:proofErr w:type="spellStart"/>
      <w:r w:rsidRPr="00D21DFA">
        <w:rPr>
          <w:rFonts w:ascii="Times New Roman" w:eastAsia="Times New Roman" w:hAnsi="Times New Roman" w:cs="Times New Roman"/>
          <w:snapToGrid w:val="0"/>
          <w:kern w:val="0"/>
          <w:sz w:val="22"/>
          <w:szCs w:val="20"/>
          <w14:ligatures w14:val="none"/>
        </w:rPr>
        <w:t>aDTL</w:t>
      </w:r>
      <w:proofErr w:type="spellEnd"/>
      <w:r w:rsidRPr="00D21DFA">
        <w:rPr>
          <w:rFonts w:ascii="Times New Roman" w:eastAsia="Times New Roman" w:hAnsi="Times New Roman" w:cs="Times New Roman"/>
          <w:snapToGrid w:val="0"/>
          <w:kern w:val="0"/>
          <w:sz w:val="22"/>
          <w:szCs w:val="20"/>
          <w14:ligatures w14:val="none"/>
        </w:rPr>
        <w:t xml:space="preserve">]) rezultatai. Pastebėta, kad vartojant gydomąją vaistinio preparato dozę, šių krešėjimo tyrimų rezultatų pokyčiai yra nedideli ir labai skiriasi įvairiems pacientams (žr. 5.1 skyrių). </w:t>
      </w:r>
    </w:p>
    <w:p w14:paraId="1D65D73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6FEA3A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Pagalbinės medžiagos </w:t>
      </w:r>
    </w:p>
    <w:p w14:paraId="51D9713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DD86D1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sudėtyje yra laktozės. Šio vaistinio preparato negalima vartoti pacientams, kuriems nustatytas retas paveldimas sutrikimas – </w:t>
      </w:r>
      <w:proofErr w:type="spellStart"/>
      <w:r w:rsidRPr="00D21DFA">
        <w:rPr>
          <w:rFonts w:ascii="Times New Roman" w:eastAsia="Times New Roman" w:hAnsi="Times New Roman" w:cs="Times New Roman"/>
          <w:snapToGrid w:val="0"/>
          <w:kern w:val="0"/>
          <w:sz w:val="22"/>
          <w:szCs w:val="20"/>
          <w14:ligatures w14:val="none"/>
        </w:rPr>
        <w:t>galaktozės</w:t>
      </w:r>
      <w:proofErr w:type="spellEnd"/>
      <w:r w:rsidRPr="00D21DFA">
        <w:rPr>
          <w:rFonts w:ascii="Times New Roman" w:eastAsia="Times New Roman" w:hAnsi="Times New Roman" w:cs="Times New Roman"/>
          <w:snapToGrid w:val="0"/>
          <w:kern w:val="0"/>
          <w:sz w:val="22"/>
          <w:szCs w:val="20"/>
          <w14:ligatures w14:val="none"/>
        </w:rPr>
        <w:t xml:space="preserve"> netoleravimas, visiškas laktazės stygius arba gliukozės ir </w:t>
      </w:r>
      <w:proofErr w:type="spellStart"/>
      <w:r w:rsidRPr="00D21DFA">
        <w:rPr>
          <w:rFonts w:ascii="Times New Roman" w:eastAsia="Times New Roman" w:hAnsi="Times New Roman" w:cs="Times New Roman"/>
          <w:snapToGrid w:val="0"/>
          <w:kern w:val="0"/>
          <w:sz w:val="22"/>
          <w:szCs w:val="20"/>
          <w14:ligatures w14:val="none"/>
        </w:rPr>
        <w:t>galaktozės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malabsorbcija</w:t>
      </w:r>
      <w:proofErr w:type="spellEnd"/>
      <w:r w:rsidRPr="00D21DFA">
        <w:rPr>
          <w:rFonts w:ascii="Times New Roman" w:eastAsia="Times New Roman" w:hAnsi="Times New Roman" w:cs="Times New Roman"/>
          <w:snapToGrid w:val="0"/>
          <w:kern w:val="0"/>
          <w:sz w:val="22"/>
          <w:szCs w:val="20"/>
          <w14:ligatures w14:val="none"/>
        </w:rPr>
        <w:t>.</w:t>
      </w:r>
    </w:p>
    <w:p w14:paraId="12DE1B1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C143D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Šio vaistinio preparato plėvele dengtoje</w:t>
      </w:r>
      <w:r w:rsidRPr="00D21DFA">
        <w:rPr>
          <w:rFonts w:ascii="Times New Roman" w:eastAsia="Times New Roman" w:hAnsi="Times New Roman" w:cs="Times New Roman"/>
          <w:snapToGrid w:val="0"/>
          <w:kern w:val="0"/>
          <w:sz w:val="22"/>
          <w:szCs w:val="22"/>
          <w14:ligatures w14:val="none"/>
        </w:rPr>
        <w:t xml:space="preserve"> tabletėje yra mažiau kaip 1 </w:t>
      </w:r>
      <w:proofErr w:type="spellStart"/>
      <w:r w:rsidRPr="00D21DFA">
        <w:rPr>
          <w:rFonts w:ascii="Times New Roman" w:eastAsia="Times New Roman" w:hAnsi="Times New Roman" w:cs="Times New Roman"/>
          <w:snapToGrid w:val="0"/>
          <w:kern w:val="0"/>
          <w:sz w:val="22"/>
          <w:szCs w:val="22"/>
          <w14:ligatures w14:val="none"/>
        </w:rPr>
        <w:t>mmol</w:t>
      </w:r>
      <w:proofErr w:type="spellEnd"/>
      <w:r w:rsidRPr="00D21DFA">
        <w:rPr>
          <w:rFonts w:ascii="Times New Roman" w:eastAsia="Times New Roman" w:hAnsi="Times New Roman" w:cs="Times New Roman"/>
          <w:snapToGrid w:val="0"/>
          <w:kern w:val="0"/>
          <w:sz w:val="22"/>
          <w:szCs w:val="22"/>
          <w14:ligatures w14:val="none"/>
        </w:rPr>
        <w:t xml:space="preserve"> (23 mg) natrio, t. y. jis beveik neturi reikšmės. </w:t>
      </w:r>
    </w:p>
    <w:p w14:paraId="2A54D28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31D075E"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4.5</w:t>
      </w:r>
      <w:r w:rsidRPr="00D21DFA">
        <w:rPr>
          <w:rFonts w:ascii="Times New Roman" w:eastAsia="Times New Roman" w:hAnsi="Times New Roman" w:cs="Times New Roman"/>
          <w:b/>
          <w:bCs/>
          <w:snapToGrid w:val="0"/>
          <w:kern w:val="0"/>
          <w:sz w:val="22"/>
          <w:szCs w:val="28"/>
          <w:lang w:eastAsia="x-none"/>
          <w14:ligatures w14:val="none"/>
        </w:rPr>
        <w:tab/>
        <w:t>Sąveika su kitais vaistiniais preparatais ir kitokia sąveika</w:t>
      </w:r>
    </w:p>
    <w:p w14:paraId="5BB06CD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A4BC60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xml:space="preserve">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inhibitoriai </w:t>
      </w:r>
    </w:p>
    <w:p w14:paraId="67F8B92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BE5143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inhibitoriumi </w:t>
      </w:r>
      <w:proofErr w:type="spellStart"/>
      <w:r w:rsidRPr="00D21DFA">
        <w:rPr>
          <w:rFonts w:ascii="Times New Roman" w:eastAsia="Times New Roman" w:hAnsi="Times New Roman" w:cs="Times New Roman"/>
          <w:snapToGrid w:val="0"/>
          <w:kern w:val="0"/>
          <w:sz w:val="22"/>
          <w:szCs w:val="20"/>
          <w14:ligatures w14:val="none"/>
        </w:rPr>
        <w:t>ketokonazolu</w:t>
      </w:r>
      <w:proofErr w:type="spellEnd"/>
      <w:r w:rsidRPr="00D21DFA">
        <w:rPr>
          <w:rFonts w:ascii="Times New Roman" w:eastAsia="Times New Roman" w:hAnsi="Times New Roman" w:cs="Times New Roman"/>
          <w:snapToGrid w:val="0"/>
          <w:kern w:val="0"/>
          <w:sz w:val="22"/>
          <w:szCs w:val="20"/>
          <w14:ligatures w14:val="none"/>
        </w:rPr>
        <w:t xml:space="preserve"> (400 mg vieną kartą per parą),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vidutinis AUC padidėjo 2 kartus, o vidutinė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 1,6 karto. </w:t>
      </w:r>
    </w:p>
    <w:p w14:paraId="2E4581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B8637E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skirti pacientams, kuriems kartu taikomas sisteminis gydymas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pavyzdžiui: </w:t>
      </w:r>
      <w:proofErr w:type="spellStart"/>
      <w:r w:rsidRPr="00D21DFA">
        <w:rPr>
          <w:rFonts w:ascii="Times New Roman" w:eastAsia="Times New Roman" w:hAnsi="Times New Roman" w:cs="Times New Roman"/>
          <w:snapToGrid w:val="0"/>
          <w:kern w:val="0"/>
          <w:sz w:val="22"/>
          <w:szCs w:val="20"/>
          <w14:ligatures w14:val="none"/>
        </w:rPr>
        <w:t>azolų</w:t>
      </w:r>
      <w:proofErr w:type="spellEnd"/>
      <w:r w:rsidRPr="00D21DFA">
        <w:rPr>
          <w:rFonts w:ascii="Times New Roman" w:eastAsia="Times New Roman" w:hAnsi="Times New Roman" w:cs="Times New Roman"/>
          <w:snapToGrid w:val="0"/>
          <w:kern w:val="0"/>
          <w:sz w:val="22"/>
          <w:szCs w:val="20"/>
          <w14:ligatures w14:val="none"/>
        </w:rPr>
        <w:t xml:space="preserve"> grupės priešgrybeliniais vaistiniais preparatais (pvz., </w:t>
      </w:r>
      <w:proofErr w:type="spellStart"/>
      <w:r w:rsidRPr="00D21DFA">
        <w:rPr>
          <w:rFonts w:ascii="Times New Roman" w:eastAsia="Times New Roman" w:hAnsi="Times New Roman" w:cs="Times New Roman"/>
          <w:snapToGrid w:val="0"/>
          <w:kern w:val="0"/>
          <w:sz w:val="22"/>
          <w:szCs w:val="20"/>
          <w14:ligatures w14:val="none"/>
        </w:rPr>
        <w:t>ketokonazolu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itrakonazolu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vorikonazolu</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pozakonazolu</w:t>
      </w:r>
      <w:proofErr w:type="spellEnd"/>
      <w:r w:rsidRPr="00D21DFA">
        <w:rPr>
          <w:rFonts w:ascii="Times New Roman" w:eastAsia="Times New Roman" w:hAnsi="Times New Roman" w:cs="Times New Roman"/>
          <w:snapToGrid w:val="0"/>
          <w:kern w:val="0"/>
          <w:sz w:val="22"/>
          <w:szCs w:val="20"/>
          <w14:ligatures w14:val="none"/>
        </w:rPr>
        <w:t>) ir ŽIV proteazės inhibitoriais (pvz., ritonaviru) (žr. 4.4 skyrių).</w:t>
      </w:r>
    </w:p>
    <w:p w14:paraId="271BBDC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E4BACB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Tikėtina, kad veikliosios medžiagos, kurios nelaikomos stipraus poveikio ir CYP3A4,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inhibitoriais (pvz.: </w:t>
      </w:r>
      <w:proofErr w:type="spellStart"/>
      <w:r w:rsidRPr="00D21DFA">
        <w:rPr>
          <w:rFonts w:ascii="Times New Roman" w:eastAsia="Times New Roman" w:hAnsi="Times New Roman" w:cs="Times New Roman"/>
          <w:snapToGrid w:val="0"/>
          <w:kern w:val="0"/>
          <w:sz w:val="22"/>
          <w:szCs w:val="20"/>
          <w14:ligatures w14:val="none"/>
        </w:rPr>
        <w:t>amjodaronas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klaritromicinas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diltiazemas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flukonazolas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naproksenas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chinidinas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verapamilis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koncentraciją plazmoje didins mažesniu mastu. Vartojant kartu su vaistiniais preparatais, kurie nėra stiprūs CYP3A4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koreguoti nereikia. Pavyzdžiui, </w:t>
      </w:r>
      <w:proofErr w:type="spellStart"/>
      <w:r w:rsidRPr="00D21DFA">
        <w:rPr>
          <w:rFonts w:ascii="Times New Roman" w:eastAsia="Times New Roman" w:hAnsi="Times New Roman" w:cs="Times New Roman"/>
          <w:snapToGrid w:val="0"/>
          <w:kern w:val="0"/>
          <w:sz w:val="22"/>
          <w:szCs w:val="20"/>
          <w14:ligatures w14:val="none"/>
        </w:rPr>
        <w:t>diltiazemo</w:t>
      </w:r>
      <w:proofErr w:type="spellEnd"/>
      <w:r w:rsidRPr="00D21DFA">
        <w:rPr>
          <w:rFonts w:ascii="Times New Roman" w:eastAsia="Times New Roman" w:hAnsi="Times New Roman" w:cs="Times New Roman"/>
          <w:snapToGrid w:val="0"/>
          <w:kern w:val="0"/>
          <w:sz w:val="22"/>
          <w:szCs w:val="20"/>
          <w14:ligatures w14:val="none"/>
        </w:rPr>
        <w:t xml:space="preserve"> (360 mg kartą per parą), kuris laikomas vidutinio stiprumo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silpnu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inhibitoriumi, vartojimas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vidutinį AUC padidino 1,4 karto, o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 1,3 karto.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(vienkartinė 500 mg dozė), kuris yra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inhibitorius, bet neslopina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vartojimas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vidutinius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padidino atitinkamai 1,5 karto ir 1,6 karto. </w:t>
      </w:r>
      <w:proofErr w:type="spellStart"/>
      <w:r w:rsidRPr="00D21DFA">
        <w:rPr>
          <w:rFonts w:ascii="Times New Roman" w:eastAsia="Times New Roman" w:hAnsi="Times New Roman" w:cs="Times New Roman"/>
          <w:kern w:val="0"/>
          <w:sz w:val="22"/>
          <w:szCs w:val="20"/>
          <w14:ligatures w14:val="none"/>
        </w:rPr>
        <w:t>Klaritromicinas</w:t>
      </w:r>
      <w:proofErr w:type="spellEnd"/>
      <w:r w:rsidRPr="00D21DFA">
        <w:rPr>
          <w:rFonts w:ascii="Times New Roman" w:eastAsia="Times New Roman" w:hAnsi="Times New Roman" w:cs="Times New Roman"/>
          <w:kern w:val="0"/>
          <w:sz w:val="22"/>
          <w:szCs w:val="20"/>
          <w14:ligatures w14:val="none"/>
        </w:rPr>
        <w:t xml:space="preserve"> (po 500 mg du kartus per parą), kuris yra P</w:t>
      </w:r>
      <w:r w:rsidRPr="00D21DFA">
        <w:rPr>
          <w:rFonts w:ascii="Times New Roman" w:eastAsia="Times New Roman" w:hAnsi="Times New Roman" w:cs="Times New Roman"/>
          <w:kern w:val="0"/>
          <w:sz w:val="22"/>
          <w:szCs w:val="20"/>
          <w14:ligatures w14:val="none"/>
        </w:rPr>
        <w:noBreakHyphen/>
      </w:r>
      <w:proofErr w:type="spellStart"/>
      <w:r w:rsidRPr="00D21DFA">
        <w:rPr>
          <w:rFonts w:ascii="Times New Roman" w:eastAsia="Times New Roman" w:hAnsi="Times New Roman" w:cs="Times New Roman"/>
          <w:kern w:val="0"/>
          <w:sz w:val="22"/>
          <w:szCs w:val="20"/>
          <w14:ligatures w14:val="none"/>
        </w:rPr>
        <w:t>gp</w:t>
      </w:r>
      <w:proofErr w:type="spellEnd"/>
      <w:r w:rsidRPr="00D21DFA">
        <w:rPr>
          <w:rFonts w:ascii="Times New Roman" w:eastAsia="Times New Roman" w:hAnsi="Times New Roman" w:cs="Times New Roman"/>
          <w:kern w:val="0"/>
          <w:sz w:val="22"/>
          <w:szCs w:val="20"/>
          <w14:ligatures w14:val="none"/>
        </w:rPr>
        <w:t xml:space="preserve"> inhibitorius ir stipraus poveikio CYP3A4 inhibitorius,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vidutinius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padidino atitinkamai </w:t>
      </w:r>
      <w:r w:rsidRPr="00D21DFA">
        <w:rPr>
          <w:rFonts w:ascii="Times New Roman" w:eastAsia="Times New Roman" w:hAnsi="Times New Roman" w:cs="Times New Roman"/>
          <w:kern w:val="0"/>
          <w:sz w:val="22"/>
          <w:szCs w:val="20"/>
          <w14:ligatures w14:val="none"/>
        </w:rPr>
        <w:t xml:space="preserve">1,6 ir 1,3 karto. </w:t>
      </w:r>
    </w:p>
    <w:p w14:paraId="682CEDBF" w14:textId="77777777" w:rsidR="00C95D96" w:rsidRPr="00D21DFA" w:rsidRDefault="00C95D96" w:rsidP="00C95D96">
      <w:pPr>
        <w:tabs>
          <w:tab w:val="left" w:pos="567"/>
          <w:tab w:val="left" w:pos="9214"/>
        </w:tabs>
        <w:spacing w:after="0" w:line="260" w:lineRule="exact"/>
        <w:ind w:right="-2"/>
        <w:rPr>
          <w:rFonts w:ascii="Times New Roman" w:eastAsia="Times New Roman" w:hAnsi="Times New Roman" w:cs="Times New Roman"/>
          <w:kern w:val="0"/>
          <w:sz w:val="22"/>
          <w:szCs w:val="20"/>
          <w14:ligatures w14:val="none"/>
        </w:rPr>
      </w:pPr>
    </w:p>
    <w:p w14:paraId="1EA9A4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CYP3A4 </w:t>
      </w:r>
      <w:proofErr w:type="spellStart"/>
      <w:r w:rsidRPr="00D21DFA">
        <w:rPr>
          <w:rFonts w:ascii="Times New Roman" w:eastAsia="Times New Roman" w:hAnsi="Times New Roman" w:cs="Times New Roman"/>
          <w:snapToGrid w:val="0"/>
          <w:kern w:val="0"/>
          <w:sz w:val="22"/>
          <w:szCs w:val="20"/>
          <w:u w:val="single"/>
          <w14:ligatures w14:val="none"/>
        </w:rPr>
        <w:t>izofermento</w:t>
      </w:r>
      <w:proofErr w:type="spellEnd"/>
      <w:r w:rsidRPr="00D21DFA">
        <w:rPr>
          <w:rFonts w:ascii="Times New Roman" w:eastAsia="Times New Roman" w:hAnsi="Times New Roman" w:cs="Times New Roman"/>
          <w:snapToGrid w:val="0"/>
          <w:kern w:val="0"/>
          <w:sz w:val="22"/>
          <w:szCs w:val="20"/>
          <w:u w:val="single"/>
          <w14:ligatures w14:val="none"/>
        </w:rPr>
        <w:t xml:space="preserve"> ir P</w:t>
      </w:r>
      <w:r w:rsidRPr="00D21DFA">
        <w:rPr>
          <w:rFonts w:ascii="Times New Roman" w:eastAsia="Times New Roman" w:hAnsi="Times New Roman" w:cs="Times New Roman"/>
          <w:snapToGrid w:val="0"/>
          <w:kern w:val="0"/>
          <w:sz w:val="22"/>
          <w:szCs w:val="20"/>
          <w:u w:val="single"/>
          <w14:ligatures w14:val="none"/>
        </w:rPr>
        <w:noBreakHyphen/>
      </w:r>
      <w:proofErr w:type="spellStart"/>
      <w:r w:rsidRPr="00D21DFA">
        <w:rPr>
          <w:rFonts w:ascii="Times New Roman" w:eastAsia="Times New Roman" w:hAnsi="Times New Roman" w:cs="Times New Roman"/>
          <w:snapToGrid w:val="0"/>
          <w:kern w:val="0"/>
          <w:sz w:val="22"/>
          <w:szCs w:val="20"/>
          <w:u w:val="single"/>
          <w14:ligatures w14:val="none"/>
        </w:rPr>
        <w:t>gp</w:t>
      </w:r>
      <w:proofErr w:type="spellEnd"/>
      <w:r w:rsidRPr="00D21DFA">
        <w:rPr>
          <w:rFonts w:ascii="Times New Roman" w:eastAsia="Times New Roman" w:hAnsi="Times New Roman" w:cs="Times New Roman"/>
          <w:snapToGrid w:val="0"/>
          <w:kern w:val="0"/>
          <w:sz w:val="22"/>
          <w:szCs w:val="20"/>
          <w:u w:val="single"/>
          <w14:ligatures w14:val="none"/>
        </w:rPr>
        <w:t xml:space="preserve"> </w:t>
      </w:r>
      <w:proofErr w:type="spellStart"/>
      <w:r w:rsidRPr="00D21DFA">
        <w:rPr>
          <w:rFonts w:ascii="Times New Roman" w:eastAsia="Times New Roman" w:hAnsi="Times New Roman" w:cs="Times New Roman"/>
          <w:snapToGrid w:val="0"/>
          <w:kern w:val="0"/>
          <w:sz w:val="22"/>
          <w:szCs w:val="20"/>
          <w:u w:val="single"/>
          <w14:ligatures w14:val="none"/>
        </w:rPr>
        <w:t>induktoriai</w:t>
      </w:r>
      <w:proofErr w:type="spellEnd"/>
      <w:r w:rsidRPr="00D21DFA">
        <w:rPr>
          <w:rFonts w:ascii="Times New Roman" w:eastAsia="Times New Roman" w:hAnsi="Times New Roman" w:cs="Times New Roman"/>
          <w:snapToGrid w:val="0"/>
          <w:kern w:val="0"/>
          <w:sz w:val="22"/>
          <w:szCs w:val="20"/>
          <w:u w:val="single"/>
          <w14:ligatures w14:val="none"/>
        </w:rPr>
        <w:t xml:space="preserve"> </w:t>
      </w:r>
    </w:p>
    <w:p w14:paraId="6D18ED2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0501BBB" w14:textId="7D4B0034"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stipraus poveikio ir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induktoriumi</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rifampicinu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vidutiniai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sumažėjo atitinkamai maždaug 54 % ir 42 %.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 kartu su kitais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(pvz.: </w:t>
      </w:r>
      <w:proofErr w:type="spellStart"/>
      <w:r w:rsidRPr="00D21DFA">
        <w:rPr>
          <w:rFonts w:ascii="Times New Roman" w:eastAsia="Times New Roman" w:hAnsi="Times New Roman" w:cs="Times New Roman"/>
          <w:snapToGrid w:val="0"/>
          <w:kern w:val="0"/>
          <w:sz w:val="22"/>
          <w:szCs w:val="20"/>
          <w14:ligatures w14:val="none"/>
        </w:rPr>
        <w:t>fenitoinu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karbamazepinu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fenobarbitaliu</w:t>
      </w:r>
      <w:proofErr w:type="spellEnd"/>
      <w:r w:rsidRPr="00D21DFA">
        <w:rPr>
          <w:rFonts w:ascii="Times New Roman" w:eastAsia="Times New Roman" w:hAnsi="Times New Roman" w:cs="Times New Roman"/>
          <w:snapToGrid w:val="0"/>
          <w:kern w:val="0"/>
          <w:sz w:val="22"/>
          <w:szCs w:val="20"/>
          <w14:ligatures w14:val="none"/>
        </w:rPr>
        <w:t xml:space="preserve"> ar jonažolių</w:t>
      </w:r>
      <w:r w:rsidR="005200E3" w:rsidRPr="00D21DFA">
        <w:rPr>
          <w:rFonts w:ascii="Times New Roman" w:eastAsia="Times New Roman" w:hAnsi="Times New Roman" w:cs="Times New Roman"/>
          <w:snapToGrid w:val="0"/>
          <w:kern w:val="0"/>
          <w:sz w:val="22"/>
          <w:szCs w:val="20"/>
          <w14:ligatures w14:val="none"/>
        </w:rPr>
        <w:t xml:space="preserve"> žolės</w:t>
      </w:r>
      <w:r w:rsidRPr="00D21DFA">
        <w:rPr>
          <w:rFonts w:ascii="Times New Roman" w:eastAsia="Times New Roman" w:hAnsi="Times New Roman" w:cs="Times New Roman"/>
          <w:snapToGrid w:val="0"/>
          <w:kern w:val="0"/>
          <w:sz w:val="22"/>
          <w:szCs w:val="20"/>
          <w14:ligatures w14:val="none"/>
        </w:rPr>
        <w:t xml:space="preserve"> vaistiniais preparatais),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koncentracija plazmoje taip pat gali sumažėti. Kartu su šiais vaistiniais preparatais vartojamo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koreguoti nereikia</w:t>
      </w:r>
      <w:r w:rsidR="005200E3" w:rsidRPr="00D21DFA">
        <w:rPr>
          <w:rFonts w:ascii="Times New Roman" w:eastAsia="Times New Roman" w:hAnsi="Times New Roman" w:cs="Times New Roman"/>
          <w:snapToGrid w:val="0"/>
          <w:kern w:val="0"/>
          <w:sz w:val="22"/>
          <w:szCs w:val="20"/>
          <w14:ligatures w14:val="none"/>
        </w:rPr>
        <w:t>. Vis dėlto,</w:t>
      </w:r>
      <w:r w:rsidRPr="00D21DFA">
        <w:rPr>
          <w:rFonts w:ascii="Times New Roman" w:eastAsia="Times New Roman" w:hAnsi="Times New Roman" w:cs="Times New Roman"/>
          <w:snapToGrid w:val="0"/>
          <w:kern w:val="0"/>
          <w:sz w:val="22"/>
          <w:szCs w:val="20"/>
          <w14:ligatures w14:val="none"/>
        </w:rPr>
        <w:t xml:space="preserve"> pacientams, kuriems taikomas gydymas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xml:space="preserve">, insulto ir sisteminės embolijos profilaktikai pacientams, kuriems pasireiškia VNPV bei GVT ir PE pasikartojimo profilaktikai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vartoti atsargiai.</w:t>
      </w:r>
    </w:p>
    <w:p w14:paraId="4C44D84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2A2C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nerekomenduojama GVT ir PE gydymui pacientams, kuriems kartu taikomas sisteminis gydymas stipraus poveikio CYP3A4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induktoriais</w:t>
      </w:r>
      <w:proofErr w:type="spellEnd"/>
      <w:r w:rsidRPr="00D21DFA">
        <w:rPr>
          <w:rFonts w:ascii="Times New Roman" w:eastAsia="Times New Roman" w:hAnsi="Times New Roman" w:cs="Times New Roman"/>
          <w:snapToGrid w:val="0"/>
          <w:kern w:val="0"/>
          <w:sz w:val="22"/>
          <w:szCs w:val="20"/>
          <w14:ligatures w14:val="none"/>
        </w:rPr>
        <w:t>, nes veiksmingumas gali būti nepakankamas (žr. 4.4 skyrių).</w:t>
      </w:r>
    </w:p>
    <w:p w14:paraId="54E7FBA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 </w:t>
      </w:r>
    </w:p>
    <w:p w14:paraId="62AD4FB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Antikoaguliantai, trombocitų </w:t>
      </w:r>
      <w:proofErr w:type="spellStart"/>
      <w:r w:rsidRPr="00D21DFA">
        <w:rPr>
          <w:rFonts w:ascii="Times New Roman" w:eastAsia="Times New Roman" w:hAnsi="Times New Roman" w:cs="Times New Roman"/>
          <w:snapToGrid w:val="0"/>
          <w:kern w:val="0"/>
          <w:sz w:val="22"/>
          <w:szCs w:val="20"/>
          <w:u w:val="single"/>
          <w14:ligatures w14:val="none"/>
        </w:rPr>
        <w:t>agregacijos</w:t>
      </w:r>
      <w:proofErr w:type="spellEnd"/>
      <w:r w:rsidRPr="00D21DFA">
        <w:rPr>
          <w:rFonts w:ascii="Times New Roman" w:eastAsia="Times New Roman" w:hAnsi="Times New Roman" w:cs="Times New Roman"/>
          <w:snapToGrid w:val="0"/>
          <w:kern w:val="0"/>
          <w:sz w:val="22"/>
          <w:szCs w:val="20"/>
          <w:u w:val="single"/>
          <w14:ligatures w14:val="none"/>
        </w:rPr>
        <w:t xml:space="preserve"> inhibitoriai, SSRI, SNRI ir NVNU </w:t>
      </w:r>
    </w:p>
    <w:p w14:paraId="2DD70AF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DCCCBD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Dėl padidėjusios kraujavimo rizikos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negalima vartoti kartu su jokiais kitais antikoaguliantais išskyrus ypatingas sąlygas keičiant gydymą antikoaguliantais, kai </w:t>
      </w:r>
      <w:proofErr w:type="spellStart"/>
      <w:r w:rsidRPr="00D21DFA">
        <w:rPr>
          <w:rFonts w:ascii="Times New Roman" w:eastAsia="Times New Roman" w:hAnsi="Times New Roman" w:cs="Times New Roman"/>
          <w:snapToGrid w:val="0"/>
          <w:kern w:val="0"/>
          <w:sz w:val="22"/>
          <w:szCs w:val="20"/>
          <w14:ligatures w14:val="none"/>
        </w:rPr>
        <w:t>nefrakcionuotas</w:t>
      </w:r>
      <w:proofErr w:type="spellEnd"/>
      <w:r w:rsidRPr="00D21DFA">
        <w:rPr>
          <w:rFonts w:ascii="Times New Roman" w:eastAsia="Times New Roman" w:hAnsi="Times New Roman" w:cs="Times New Roman"/>
          <w:snapToGrid w:val="0"/>
          <w:kern w:val="0"/>
          <w:sz w:val="22"/>
          <w:szCs w:val="20"/>
          <w14:ligatures w14:val="none"/>
        </w:rPr>
        <w:t xml:space="preserve"> heparinas vartojamas tokiomis dozėmis, kurios reikalingos centrinės venos ar arterijos kateterio praeinamumo palaikymui arba kai </w:t>
      </w:r>
      <w:proofErr w:type="spellStart"/>
      <w:r w:rsidRPr="00D21DFA">
        <w:rPr>
          <w:rFonts w:ascii="Times New Roman" w:eastAsia="Times New Roman" w:hAnsi="Times New Roman" w:cs="Times New Roman"/>
          <w:snapToGrid w:val="0"/>
          <w:kern w:val="0"/>
          <w:sz w:val="22"/>
          <w:szCs w:val="20"/>
          <w14:ligatures w14:val="none"/>
        </w:rPr>
        <w:t>nefrakcionuotas</w:t>
      </w:r>
      <w:proofErr w:type="spellEnd"/>
      <w:r w:rsidRPr="00D21DFA">
        <w:rPr>
          <w:rFonts w:ascii="Times New Roman" w:eastAsia="Times New Roman" w:hAnsi="Times New Roman" w:cs="Times New Roman"/>
          <w:snapToGrid w:val="0"/>
          <w:kern w:val="0"/>
          <w:sz w:val="22"/>
          <w:szCs w:val="20"/>
          <w14:ligatures w14:val="none"/>
        </w:rPr>
        <w:t xml:space="preserve"> heparinas skiriamas prieširdžių virpėjimo </w:t>
      </w:r>
      <w:proofErr w:type="spellStart"/>
      <w:r w:rsidRPr="00D21DFA">
        <w:rPr>
          <w:rFonts w:ascii="Times New Roman" w:eastAsia="Times New Roman" w:hAnsi="Times New Roman" w:cs="Times New Roman"/>
          <w:snapToGrid w:val="0"/>
          <w:kern w:val="0"/>
          <w:sz w:val="22"/>
          <w:szCs w:val="20"/>
          <w14:ligatures w14:val="none"/>
        </w:rPr>
        <w:t>kateterinės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abliacijos</w:t>
      </w:r>
      <w:proofErr w:type="spellEnd"/>
      <w:r w:rsidRPr="00D21DFA">
        <w:rPr>
          <w:rFonts w:ascii="Times New Roman" w:eastAsia="Times New Roman" w:hAnsi="Times New Roman" w:cs="Times New Roman"/>
          <w:snapToGrid w:val="0"/>
          <w:kern w:val="0"/>
          <w:sz w:val="22"/>
          <w:szCs w:val="20"/>
          <w14:ligatures w14:val="none"/>
        </w:rPr>
        <w:t xml:space="preserve"> metu (žr. 4.3 skyrių).</w:t>
      </w:r>
    </w:p>
    <w:p w14:paraId="24B5120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82953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 (vienkartinė 40 mg dozė) pavartojimo kartu su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(5 mg vienkartinė dozė), buvo nustatytas adityvus poveikis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aktyvumui. </w:t>
      </w:r>
    </w:p>
    <w:p w14:paraId="19A2B7D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74A08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vieną kartą per parą vartojama 325 mg ASR doze, </w:t>
      </w:r>
      <w:proofErr w:type="spellStart"/>
      <w:r w:rsidRPr="00D21DFA">
        <w:rPr>
          <w:rFonts w:ascii="Times New Roman" w:eastAsia="Times New Roman" w:hAnsi="Times New Roman" w:cs="Times New Roman"/>
          <w:snapToGrid w:val="0"/>
          <w:kern w:val="0"/>
          <w:sz w:val="22"/>
          <w:szCs w:val="20"/>
          <w14:ligatures w14:val="none"/>
        </w:rPr>
        <w:t>farmakokinetinės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farmakodinaminės</w:t>
      </w:r>
      <w:proofErr w:type="spellEnd"/>
      <w:r w:rsidRPr="00D21DFA">
        <w:rPr>
          <w:rFonts w:ascii="Times New Roman" w:eastAsia="Times New Roman" w:hAnsi="Times New Roman" w:cs="Times New Roman"/>
          <w:snapToGrid w:val="0"/>
          <w:kern w:val="0"/>
          <w:sz w:val="22"/>
          <w:szCs w:val="20"/>
          <w14:ligatures w14:val="none"/>
        </w:rPr>
        <w:t xml:space="preserve"> sąveikos nenustatyta. </w:t>
      </w:r>
    </w:p>
    <w:p w14:paraId="1F3F55E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D03ABD" w14:textId="66DF12C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 fazės klinikinių tyrimų metu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w:t>
      </w:r>
      <w:proofErr w:type="spellStart"/>
      <w:r w:rsidRPr="00D21DFA">
        <w:rPr>
          <w:rFonts w:ascii="Times New Roman" w:eastAsia="Times New Roman" w:hAnsi="Times New Roman" w:cs="Times New Roman"/>
          <w:snapToGrid w:val="0"/>
          <w:kern w:val="0"/>
          <w:sz w:val="22"/>
          <w:szCs w:val="20"/>
          <w14:ligatures w14:val="none"/>
        </w:rPr>
        <w:t>klopidogreliu</w:t>
      </w:r>
      <w:proofErr w:type="spellEnd"/>
      <w:r w:rsidRPr="00D21DFA">
        <w:rPr>
          <w:rFonts w:ascii="Times New Roman" w:eastAsia="Times New Roman" w:hAnsi="Times New Roman" w:cs="Times New Roman"/>
          <w:snapToGrid w:val="0"/>
          <w:kern w:val="0"/>
          <w:sz w:val="22"/>
          <w:szCs w:val="20"/>
          <w14:ligatures w14:val="none"/>
        </w:rPr>
        <w:t xml:space="preserve"> (75 mg vieną kartą per parą) arba kartu su vieną kartą per parą vartojamu 75 mg </w:t>
      </w:r>
      <w:proofErr w:type="spellStart"/>
      <w:r w:rsidRPr="00D21DFA">
        <w:rPr>
          <w:rFonts w:ascii="Times New Roman" w:eastAsia="Times New Roman" w:hAnsi="Times New Roman" w:cs="Times New Roman"/>
          <w:snapToGrid w:val="0"/>
          <w:kern w:val="0"/>
          <w:sz w:val="22"/>
          <w:szCs w:val="20"/>
          <w14:ligatures w14:val="none"/>
        </w:rPr>
        <w:t>klopidogrelio</w:t>
      </w:r>
      <w:proofErr w:type="spellEnd"/>
      <w:r w:rsidRPr="00D21DFA">
        <w:rPr>
          <w:rFonts w:ascii="Times New Roman" w:eastAsia="Times New Roman" w:hAnsi="Times New Roman" w:cs="Times New Roman"/>
          <w:snapToGrid w:val="0"/>
          <w:kern w:val="0"/>
          <w:sz w:val="22"/>
          <w:szCs w:val="20"/>
          <w14:ligatures w14:val="none"/>
        </w:rPr>
        <w:t xml:space="preserve"> ir 162 mg ASR deriniu, nenustatyta reikšmingų kraujavimo laiko pailgėjimo arba papildomo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slopinimo, palyginti su trombocitų funkciją slopinančių vaistinių preparatų vartojimu be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Krešėjimo tyrimų (PL, INR ir </w:t>
      </w:r>
      <w:proofErr w:type="spellStart"/>
      <w:r w:rsidRPr="00D21DFA">
        <w:rPr>
          <w:rFonts w:ascii="Times New Roman" w:eastAsia="Times New Roman" w:hAnsi="Times New Roman" w:cs="Times New Roman"/>
          <w:snapToGrid w:val="0"/>
          <w:kern w:val="0"/>
          <w:sz w:val="22"/>
          <w:szCs w:val="20"/>
          <w14:ligatures w14:val="none"/>
        </w:rPr>
        <w:t>aDTL</w:t>
      </w:r>
      <w:proofErr w:type="spellEnd"/>
      <w:r w:rsidRPr="00D21DFA">
        <w:rPr>
          <w:rFonts w:ascii="Times New Roman" w:eastAsia="Times New Roman" w:hAnsi="Times New Roman" w:cs="Times New Roman"/>
          <w:snapToGrid w:val="0"/>
          <w:kern w:val="0"/>
          <w:sz w:val="22"/>
          <w:szCs w:val="20"/>
          <w14:ligatures w14:val="none"/>
        </w:rPr>
        <w:t xml:space="preserve">) rodmenų padidėjimas atitiko </w:t>
      </w:r>
      <w:r w:rsidR="005200E3" w:rsidRPr="00D21DFA">
        <w:rPr>
          <w:rFonts w:ascii="Times New Roman" w:eastAsia="Times New Roman" w:hAnsi="Times New Roman" w:cs="Times New Roman"/>
          <w:snapToGrid w:val="0"/>
          <w:kern w:val="0"/>
          <w:sz w:val="22"/>
          <w:szCs w:val="20"/>
          <w14:ligatures w14:val="none"/>
        </w:rPr>
        <w:t xml:space="preserve">atskirai skiriamo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poveikį.</w:t>
      </w:r>
    </w:p>
    <w:p w14:paraId="5E6A561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075FD6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inhibitoriaus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(500 mg) vartojimas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vidutinius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padidino atitinkamai 1,5 karto ir 1,6 karto. Atitinkamai padidėjo su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poveikiu susijusių krešėjimo tyrimų rezultatai.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poveikio </w:t>
      </w:r>
      <w:proofErr w:type="spellStart"/>
      <w:r w:rsidRPr="00D21DFA">
        <w:rPr>
          <w:rFonts w:ascii="Times New Roman" w:eastAsia="Times New Roman" w:hAnsi="Times New Roman" w:cs="Times New Roman"/>
          <w:snapToGrid w:val="0"/>
          <w:kern w:val="0"/>
          <w:sz w:val="22"/>
          <w:szCs w:val="20"/>
          <w14:ligatures w14:val="none"/>
        </w:rPr>
        <w:t>arachidono</w:t>
      </w:r>
      <w:proofErr w:type="spellEnd"/>
      <w:r w:rsidRPr="00D21DFA">
        <w:rPr>
          <w:rFonts w:ascii="Times New Roman" w:eastAsia="Times New Roman" w:hAnsi="Times New Roman" w:cs="Times New Roman"/>
          <w:snapToGrid w:val="0"/>
          <w:kern w:val="0"/>
          <w:sz w:val="22"/>
          <w:szCs w:val="20"/>
          <w14:ligatures w14:val="none"/>
        </w:rPr>
        <w:t xml:space="preserve"> rūgšties sukeltai trombocitų </w:t>
      </w:r>
      <w:proofErr w:type="spellStart"/>
      <w:r w:rsidRPr="00D21DFA">
        <w:rPr>
          <w:rFonts w:ascii="Times New Roman" w:eastAsia="Times New Roman" w:hAnsi="Times New Roman" w:cs="Times New Roman"/>
          <w:snapToGrid w:val="0"/>
          <w:kern w:val="0"/>
          <w:sz w:val="22"/>
          <w:szCs w:val="20"/>
          <w14:ligatures w14:val="none"/>
        </w:rPr>
        <w:t>agregacijai</w:t>
      </w:r>
      <w:proofErr w:type="spellEnd"/>
      <w:r w:rsidRPr="00D21DFA">
        <w:rPr>
          <w:rFonts w:ascii="Times New Roman" w:eastAsia="Times New Roman" w:hAnsi="Times New Roman" w:cs="Times New Roman"/>
          <w:snapToGrid w:val="0"/>
          <w:kern w:val="0"/>
          <w:sz w:val="22"/>
          <w:szCs w:val="20"/>
          <w14:ligatures w14:val="none"/>
        </w:rPr>
        <w:t xml:space="preserve"> pokyčių nenustatyta, taip pat nenustatyta kliniškai reikšmingai pailgėjusio kraujavimo laiko atvejų, 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skiriama kartu su </w:t>
      </w:r>
      <w:proofErr w:type="spellStart"/>
      <w:r w:rsidRPr="00D21DFA">
        <w:rPr>
          <w:rFonts w:ascii="Times New Roman" w:eastAsia="Times New Roman" w:hAnsi="Times New Roman" w:cs="Times New Roman"/>
          <w:snapToGrid w:val="0"/>
          <w:kern w:val="0"/>
          <w:sz w:val="22"/>
          <w:szCs w:val="20"/>
          <w14:ligatures w14:val="none"/>
        </w:rPr>
        <w:t>naproksenu</w:t>
      </w:r>
      <w:proofErr w:type="spellEnd"/>
      <w:r w:rsidRPr="00D21DFA">
        <w:rPr>
          <w:rFonts w:ascii="Times New Roman" w:eastAsia="Times New Roman" w:hAnsi="Times New Roman" w:cs="Times New Roman"/>
          <w:snapToGrid w:val="0"/>
          <w:kern w:val="0"/>
          <w:sz w:val="22"/>
          <w:szCs w:val="20"/>
          <w14:ligatures w14:val="none"/>
        </w:rPr>
        <w:t xml:space="preserve">. </w:t>
      </w:r>
    </w:p>
    <w:p w14:paraId="39886AE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7B23F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Nepaisant šių duomenų, kartu su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vartojant trombocitų </w:t>
      </w:r>
      <w:proofErr w:type="spellStart"/>
      <w:r w:rsidRPr="00D21DFA">
        <w:rPr>
          <w:rFonts w:ascii="Times New Roman" w:eastAsia="Times New Roman" w:hAnsi="Times New Roman" w:cs="Times New Roman"/>
          <w:snapToGrid w:val="0"/>
          <w:kern w:val="0"/>
          <w:sz w:val="22"/>
          <w:szCs w:val="20"/>
          <w14:ligatures w14:val="none"/>
        </w:rPr>
        <w:t>agregaciją</w:t>
      </w:r>
      <w:proofErr w:type="spellEnd"/>
      <w:r w:rsidRPr="00D21DFA">
        <w:rPr>
          <w:rFonts w:ascii="Times New Roman" w:eastAsia="Times New Roman" w:hAnsi="Times New Roman" w:cs="Times New Roman"/>
          <w:snapToGrid w:val="0"/>
          <w:kern w:val="0"/>
          <w:sz w:val="22"/>
          <w:szCs w:val="20"/>
          <w14:ligatures w14:val="none"/>
        </w:rPr>
        <w:t xml:space="preserve"> slopinančių vaistinių preparatų kai kuriems asmenims gali pasireikšti ryškesnis </w:t>
      </w:r>
      <w:proofErr w:type="spellStart"/>
      <w:r w:rsidRPr="00D21DFA">
        <w:rPr>
          <w:rFonts w:ascii="Times New Roman" w:eastAsia="Times New Roman" w:hAnsi="Times New Roman" w:cs="Times New Roman"/>
          <w:snapToGrid w:val="0"/>
          <w:kern w:val="0"/>
          <w:sz w:val="22"/>
          <w:szCs w:val="20"/>
          <w14:ligatures w14:val="none"/>
        </w:rPr>
        <w:t>farmakodinaminis</w:t>
      </w:r>
      <w:proofErr w:type="spellEnd"/>
      <w:r w:rsidRPr="00D21DFA">
        <w:rPr>
          <w:rFonts w:ascii="Times New Roman" w:eastAsia="Times New Roman" w:hAnsi="Times New Roman" w:cs="Times New Roman"/>
          <w:snapToGrid w:val="0"/>
          <w:kern w:val="0"/>
          <w:sz w:val="22"/>
          <w:szCs w:val="20"/>
          <w14:ligatures w14:val="none"/>
        </w:rPr>
        <w:t xml:space="preserve"> poveikis.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reikia atsargiai vartoti kartu su SSRI arba SNRI, NVNU, ASR ir (arba) P2Y2 inhibitoriais, kadangi šie vaistiniai preparatai paprastai didina kraujavimo riziką (žr. 4.4 skyrių). </w:t>
      </w:r>
    </w:p>
    <w:p w14:paraId="2C1FD66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72250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Apie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kartu su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inhibitoriais (tokiais, kaip </w:t>
      </w:r>
      <w:proofErr w:type="spellStart"/>
      <w:r w:rsidRPr="00D21DFA">
        <w:rPr>
          <w:rFonts w:ascii="Times New Roman" w:eastAsia="Times New Roman" w:hAnsi="Times New Roman" w:cs="Times New Roman"/>
          <w:snapToGrid w:val="0"/>
          <w:kern w:val="0"/>
          <w:sz w:val="22"/>
          <w:szCs w:val="20"/>
          <w14:ligatures w14:val="none"/>
        </w:rPr>
        <w:t>GPIIb</w:t>
      </w:r>
      <w:proofErr w:type="spellEnd"/>
      <w:r w:rsidRPr="00D21DFA">
        <w:rPr>
          <w:rFonts w:ascii="Times New Roman" w:eastAsia="Times New Roman" w:hAnsi="Times New Roman" w:cs="Times New Roman"/>
          <w:snapToGrid w:val="0"/>
          <w:kern w:val="0"/>
          <w:sz w:val="22"/>
          <w:szCs w:val="20"/>
          <w14:ligatures w14:val="none"/>
        </w:rPr>
        <w:t xml:space="preserve"> / </w:t>
      </w:r>
      <w:proofErr w:type="spellStart"/>
      <w:r w:rsidRPr="00D21DFA">
        <w:rPr>
          <w:rFonts w:ascii="Times New Roman" w:eastAsia="Times New Roman" w:hAnsi="Times New Roman" w:cs="Times New Roman"/>
          <w:snapToGrid w:val="0"/>
          <w:kern w:val="0"/>
          <w:sz w:val="22"/>
          <w:szCs w:val="20"/>
          <w14:ligatures w14:val="none"/>
        </w:rPr>
        <w:t>IIIa</w:t>
      </w:r>
      <w:proofErr w:type="spellEnd"/>
      <w:r w:rsidRPr="00D21DFA">
        <w:rPr>
          <w:rFonts w:ascii="Times New Roman" w:eastAsia="Times New Roman" w:hAnsi="Times New Roman" w:cs="Times New Roman"/>
          <w:snapToGrid w:val="0"/>
          <w:kern w:val="0"/>
          <w:sz w:val="22"/>
          <w:szCs w:val="20"/>
          <w14:ligatures w14:val="none"/>
        </w:rPr>
        <w:t xml:space="preserve"> receptorių antagonistai, </w:t>
      </w:r>
      <w:proofErr w:type="spellStart"/>
      <w:r w:rsidRPr="00D21DFA">
        <w:rPr>
          <w:rFonts w:ascii="Times New Roman" w:eastAsia="Times New Roman" w:hAnsi="Times New Roman" w:cs="Times New Roman"/>
          <w:snapToGrid w:val="0"/>
          <w:kern w:val="0"/>
          <w:sz w:val="22"/>
          <w:szCs w:val="20"/>
          <w14:ligatures w14:val="none"/>
        </w:rPr>
        <w:t>dipiridamolis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dekstranas</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sulfinpirazonas</w:t>
      </w:r>
      <w:proofErr w:type="spellEnd"/>
      <w:r w:rsidRPr="00D21DFA">
        <w:rPr>
          <w:rFonts w:ascii="Times New Roman" w:eastAsia="Times New Roman" w:hAnsi="Times New Roman" w:cs="Times New Roman"/>
          <w:snapToGrid w:val="0"/>
          <w:kern w:val="0"/>
          <w:sz w:val="22"/>
          <w:szCs w:val="20"/>
          <w14:ligatures w14:val="none"/>
        </w:rPr>
        <w:t xml:space="preserve">) arba </w:t>
      </w:r>
      <w:proofErr w:type="spellStart"/>
      <w:r w:rsidRPr="00D21DFA">
        <w:rPr>
          <w:rFonts w:ascii="Times New Roman" w:eastAsia="Times New Roman" w:hAnsi="Times New Roman" w:cs="Times New Roman"/>
          <w:snapToGrid w:val="0"/>
          <w:kern w:val="0"/>
          <w:sz w:val="22"/>
          <w:szCs w:val="20"/>
          <w14:ligatures w14:val="none"/>
        </w:rPr>
        <w:t>tromboliziniais</w:t>
      </w:r>
      <w:proofErr w:type="spellEnd"/>
      <w:r w:rsidRPr="00D21DFA">
        <w:rPr>
          <w:rFonts w:ascii="Times New Roman" w:eastAsia="Times New Roman" w:hAnsi="Times New Roman" w:cs="Times New Roman"/>
          <w:snapToGrid w:val="0"/>
          <w:kern w:val="0"/>
          <w:sz w:val="22"/>
          <w:szCs w:val="20"/>
          <w14:ligatures w14:val="none"/>
        </w:rPr>
        <w:t xml:space="preserve"> vaistiniais preparatais patirties yra nedaug (žr. 4.4 skyrių). </w:t>
      </w:r>
    </w:p>
    <w:p w14:paraId="55686173"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9F467D5" w14:textId="4AB52A1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CV185325 metu 12 pacientų vaikų, kurie vienu metu buvo gydomi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ir ASR ≤ 165 mg per parą, kliniškai svarbių kraujavimo reiškinių nenustatyta.</w:t>
      </w:r>
    </w:p>
    <w:p w14:paraId="2203936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3A94A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Kiti kartu vartojami vaistiniai preparatai </w:t>
      </w:r>
    </w:p>
    <w:p w14:paraId="2866D53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C0F731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skiriant kartu su </w:t>
      </w:r>
      <w:proofErr w:type="spellStart"/>
      <w:r w:rsidRPr="00D21DFA">
        <w:rPr>
          <w:rFonts w:ascii="Times New Roman" w:eastAsia="Times New Roman" w:hAnsi="Times New Roman" w:cs="Times New Roman"/>
          <w:snapToGrid w:val="0"/>
          <w:kern w:val="0"/>
          <w:sz w:val="22"/>
          <w:szCs w:val="20"/>
          <w14:ligatures w14:val="none"/>
        </w:rPr>
        <w:t>atenololiu</w:t>
      </w:r>
      <w:proofErr w:type="spellEnd"/>
      <w:r w:rsidRPr="00D21DFA">
        <w:rPr>
          <w:rFonts w:ascii="Times New Roman" w:eastAsia="Times New Roman" w:hAnsi="Times New Roman" w:cs="Times New Roman"/>
          <w:snapToGrid w:val="0"/>
          <w:kern w:val="0"/>
          <w:sz w:val="22"/>
          <w:szCs w:val="20"/>
          <w14:ligatures w14:val="none"/>
        </w:rPr>
        <w:t xml:space="preserve"> arba </w:t>
      </w:r>
      <w:proofErr w:type="spellStart"/>
      <w:r w:rsidRPr="00D21DFA">
        <w:rPr>
          <w:rFonts w:ascii="Times New Roman" w:eastAsia="Times New Roman" w:hAnsi="Times New Roman" w:cs="Times New Roman"/>
          <w:snapToGrid w:val="0"/>
          <w:kern w:val="0"/>
          <w:sz w:val="22"/>
          <w:szCs w:val="20"/>
          <w14:ligatures w14:val="none"/>
        </w:rPr>
        <w:t>famotidinu</w:t>
      </w:r>
      <w:proofErr w:type="spellEnd"/>
      <w:r w:rsidRPr="00D21DFA">
        <w:rPr>
          <w:rFonts w:ascii="Times New Roman" w:eastAsia="Times New Roman" w:hAnsi="Times New Roman" w:cs="Times New Roman"/>
          <w:snapToGrid w:val="0"/>
          <w:kern w:val="0"/>
          <w:sz w:val="22"/>
          <w:szCs w:val="20"/>
          <w14:ligatures w14:val="none"/>
        </w:rPr>
        <w:t xml:space="preserve">, kliniškai reikšmingos </w:t>
      </w:r>
      <w:proofErr w:type="spellStart"/>
      <w:r w:rsidRPr="00D21DFA">
        <w:rPr>
          <w:rFonts w:ascii="Times New Roman" w:eastAsia="Times New Roman" w:hAnsi="Times New Roman" w:cs="Times New Roman"/>
          <w:snapToGrid w:val="0"/>
          <w:kern w:val="0"/>
          <w:sz w:val="22"/>
          <w:szCs w:val="20"/>
          <w14:ligatures w14:val="none"/>
        </w:rPr>
        <w:t>farmakokinetinės</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farmakodinaminės</w:t>
      </w:r>
      <w:proofErr w:type="spellEnd"/>
      <w:r w:rsidRPr="00D21DFA">
        <w:rPr>
          <w:rFonts w:ascii="Times New Roman" w:eastAsia="Times New Roman" w:hAnsi="Times New Roman" w:cs="Times New Roman"/>
          <w:snapToGrid w:val="0"/>
          <w:kern w:val="0"/>
          <w:sz w:val="22"/>
          <w:szCs w:val="20"/>
          <w14:ligatures w14:val="none"/>
        </w:rPr>
        <w:t xml:space="preserve"> sąveikos nenustatyta.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10 mg dozę skiriant kartu su 100 mg </w:t>
      </w:r>
      <w:proofErr w:type="spellStart"/>
      <w:r w:rsidRPr="00D21DFA">
        <w:rPr>
          <w:rFonts w:ascii="Times New Roman" w:eastAsia="Times New Roman" w:hAnsi="Times New Roman" w:cs="Times New Roman"/>
          <w:snapToGrid w:val="0"/>
          <w:kern w:val="0"/>
          <w:sz w:val="22"/>
          <w:szCs w:val="20"/>
          <w14:ligatures w14:val="none"/>
        </w:rPr>
        <w:t>atenololio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lastRenderedPageBreak/>
        <w:t>apiksabano</w:t>
      </w:r>
      <w:proofErr w:type="spellEnd"/>
      <w:r w:rsidRPr="00D21DFA">
        <w:rPr>
          <w:rFonts w:ascii="Times New Roman" w:eastAsia="Times New Roman" w:hAnsi="Times New Roman" w:cs="Times New Roman"/>
          <w:snapToGrid w:val="0"/>
          <w:kern w:val="0"/>
          <w:sz w:val="22"/>
          <w:szCs w:val="20"/>
          <w14:ligatures w14:val="none"/>
        </w:rPr>
        <w:t xml:space="preserve"> farmakokinetika kliniškai reikšmingai nepakito. Šių abiejų vaistinių preparatų vartojant kartu,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vidutiniai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buvo atitinkamai 15 % ir 18 % mažesni nei skiriant vieno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10 mg dozę skiriant kartu su 40 mg </w:t>
      </w:r>
      <w:proofErr w:type="spellStart"/>
      <w:r w:rsidRPr="00D21DFA">
        <w:rPr>
          <w:rFonts w:ascii="Times New Roman" w:eastAsia="Times New Roman" w:hAnsi="Times New Roman" w:cs="Times New Roman"/>
          <w:snapToGrid w:val="0"/>
          <w:kern w:val="0"/>
          <w:sz w:val="22"/>
          <w:szCs w:val="20"/>
          <w14:ligatures w14:val="none"/>
        </w:rPr>
        <w:t>famotidino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nepakito. </w:t>
      </w:r>
    </w:p>
    <w:p w14:paraId="47BEB2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9BFFE9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Apiksabano</w:t>
      </w:r>
      <w:proofErr w:type="spellEnd"/>
      <w:r w:rsidRPr="00D21DFA">
        <w:rPr>
          <w:rFonts w:ascii="Times New Roman" w:eastAsia="Times New Roman" w:hAnsi="Times New Roman" w:cs="Times New Roman"/>
          <w:snapToGrid w:val="0"/>
          <w:kern w:val="0"/>
          <w:sz w:val="22"/>
          <w:szCs w:val="20"/>
          <w:u w:val="single"/>
          <w14:ligatures w14:val="none"/>
        </w:rPr>
        <w:t xml:space="preserve"> poveikis kitiems vaistiniams preparatams </w:t>
      </w:r>
    </w:p>
    <w:p w14:paraId="55960CF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87B5496" w14:textId="42428E2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In</w:t>
      </w:r>
      <w:proofErr w:type="spellEnd"/>
      <w:r w:rsidRPr="00D21DFA">
        <w:rPr>
          <w:rFonts w:ascii="Times New Roman" w:eastAsia="Times New Roman" w:hAnsi="Times New Roman" w:cs="Times New Roman"/>
          <w:i/>
          <w:snapToGrid w:val="0"/>
          <w:kern w:val="0"/>
          <w:sz w:val="22"/>
          <w:szCs w:val="20"/>
          <w14:ligatures w14:val="none"/>
        </w:rPr>
        <w:t> </w:t>
      </w:r>
      <w:proofErr w:type="spellStart"/>
      <w:r w:rsidRPr="00D21DFA">
        <w:rPr>
          <w:rFonts w:ascii="Times New Roman" w:eastAsia="Times New Roman" w:hAnsi="Times New Roman" w:cs="Times New Roman"/>
          <w:i/>
          <w:snapToGrid w:val="0"/>
          <w:kern w:val="0"/>
          <w:sz w:val="22"/>
          <w:szCs w:val="20"/>
          <w14:ligatures w14:val="none"/>
        </w:rPr>
        <w:t>vitro</w:t>
      </w:r>
      <w:proofErr w:type="spellEnd"/>
      <w:r w:rsidRPr="00D21DFA">
        <w:rPr>
          <w:rFonts w:ascii="Times New Roman" w:eastAsia="Times New Roman" w:hAnsi="Times New Roman" w:cs="Times New Roman"/>
          <w:snapToGrid w:val="0"/>
          <w:kern w:val="0"/>
          <w:sz w:val="22"/>
          <w:szCs w:val="20"/>
          <w14:ligatures w14:val="none"/>
        </w:rPr>
        <w:t xml:space="preserve"> tyrimų metu 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neslopina CYP1A2, CYP2A6, CYP2B6, CYP2C8, CYP2C9, CYP2D6 ar CYP3A4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aktyvumo (IC50 &gt; 45 µM) ir silpnai slopina CYP2C19 </w:t>
      </w:r>
      <w:proofErr w:type="spellStart"/>
      <w:r w:rsidRPr="00D21DFA">
        <w:rPr>
          <w:rFonts w:ascii="Times New Roman" w:eastAsia="Times New Roman" w:hAnsi="Times New Roman" w:cs="Times New Roman"/>
          <w:snapToGrid w:val="0"/>
          <w:kern w:val="0"/>
          <w:sz w:val="22"/>
          <w:szCs w:val="20"/>
          <w14:ligatures w14:val="none"/>
        </w:rPr>
        <w:t>izofermento</w:t>
      </w:r>
      <w:proofErr w:type="spellEnd"/>
      <w:r w:rsidRPr="00D21DFA">
        <w:rPr>
          <w:rFonts w:ascii="Times New Roman" w:eastAsia="Times New Roman" w:hAnsi="Times New Roman" w:cs="Times New Roman"/>
          <w:snapToGrid w:val="0"/>
          <w:kern w:val="0"/>
          <w:sz w:val="22"/>
          <w:szCs w:val="20"/>
          <w14:ligatures w14:val="none"/>
        </w:rPr>
        <w:t xml:space="preserve"> aktyvumą (IC50 &gt; 20 µM), kai vaistinio preparato koncentracija yra reikšmingai didesnė nei pacientams nustatyta didžiausia koncentracija plazmoje.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neindukavo CYP1A2, CYP2B6, CYP3A4/5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kai jo koncentracija buvo iki 20 µM. Todėl nesitikima,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keistų kartu vartojamų ir minėtų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metabolizuojamų</w:t>
      </w:r>
      <w:proofErr w:type="spellEnd"/>
      <w:r w:rsidRPr="00D21DFA">
        <w:rPr>
          <w:rFonts w:ascii="Times New Roman" w:eastAsia="Times New Roman" w:hAnsi="Times New Roman" w:cs="Times New Roman"/>
          <w:snapToGrid w:val="0"/>
          <w:kern w:val="0"/>
          <w:sz w:val="22"/>
          <w:szCs w:val="20"/>
          <w14:ligatures w14:val="none"/>
        </w:rPr>
        <w:t xml:space="preserve"> vaistinių preparatų metaboli</w:t>
      </w:r>
      <w:r w:rsidR="005200E3" w:rsidRPr="00D21DFA">
        <w:rPr>
          <w:rFonts w:ascii="Times New Roman" w:eastAsia="Times New Roman" w:hAnsi="Times New Roman" w:cs="Times New Roman"/>
          <w:snapToGrid w:val="0"/>
          <w:kern w:val="0"/>
          <w:sz w:val="22"/>
          <w:szCs w:val="20"/>
          <w14:ligatures w14:val="none"/>
        </w:rPr>
        <w:t>tų</w:t>
      </w:r>
      <w:r w:rsidRPr="00D21DFA">
        <w:rPr>
          <w:rFonts w:ascii="Times New Roman" w:eastAsia="Times New Roman" w:hAnsi="Times New Roman" w:cs="Times New Roman"/>
          <w:snapToGrid w:val="0"/>
          <w:kern w:val="0"/>
          <w:sz w:val="22"/>
          <w:szCs w:val="20"/>
          <w14:ligatures w14:val="none"/>
        </w:rPr>
        <w:t xml:space="preserve"> klirensą.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reikšmingai neslopina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w:t>
      </w:r>
    </w:p>
    <w:p w14:paraId="2E68F2E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3C78C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Su sveikais savanoriais atliktų tyrimų duomenimis, kaip nurodyta toliau,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reikšmingai nekeitė </w:t>
      </w:r>
      <w:proofErr w:type="spellStart"/>
      <w:r w:rsidRPr="00D21DFA">
        <w:rPr>
          <w:rFonts w:ascii="Times New Roman" w:eastAsia="Times New Roman" w:hAnsi="Times New Roman" w:cs="Times New Roman"/>
          <w:snapToGrid w:val="0"/>
          <w:kern w:val="0"/>
          <w:sz w:val="22"/>
          <w:szCs w:val="20"/>
          <w14:ligatures w14:val="none"/>
        </w:rPr>
        <w:t>digoksino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ar </w:t>
      </w:r>
      <w:proofErr w:type="spellStart"/>
      <w:r w:rsidRPr="00D21DFA">
        <w:rPr>
          <w:rFonts w:ascii="Times New Roman" w:eastAsia="Times New Roman" w:hAnsi="Times New Roman" w:cs="Times New Roman"/>
          <w:snapToGrid w:val="0"/>
          <w:kern w:val="0"/>
          <w:sz w:val="22"/>
          <w:szCs w:val="20"/>
          <w14:ligatures w14:val="none"/>
        </w:rPr>
        <w:t>atenololio</w:t>
      </w:r>
      <w:proofErr w:type="spellEnd"/>
      <w:r w:rsidRPr="00D21DFA">
        <w:rPr>
          <w:rFonts w:ascii="Times New Roman" w:eastAsia="Times New Roman" w:hAnsi="Times New Roman" w:cs="Times New Roman"/>
          <w:snapToGrid w:val="0"/>
          <w:kern w:val="0"/>
          <w:sz w:val="22"/>
          <w:szCs w:val="20"/>
          <w14:ligatures w14:val="none"/>
        </w:rPr>
        <w:t xml:space="preserve"> farmakokinetikos. </w:t>
      </w:r>
    </w:p>
    <w:p w14:paraId="29F2BF8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0AAE90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Digoksinas</w:t>
      </w:r>
      <w:proofErr w:type="spellEnd"/>
      <w:r w:rsidRPr="00D21DFA">
        <w:rPr>
          <w:rFonts w:ascii="Times New Roman" w:eastAsia="Times New Roman" w:hAnsi="Times New Roman" w:cs="Times New Roman"/>
          <w:snapToGrid w:val="0"/>
          <w:kern w:val="0"/>
          <w:sz w:val="22"/>
          <w:szCs w:val="20"/>
          <w14:ligatures w14:val="none"/>
        </w:rPr>
        <w:t xml:space="preserve"> </w:t>
      </w:r>
    </w:p>
    <w:p w14:paraId="17BA677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Kartu skiriant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(20 mg vieną kartą per parą) ir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substrato </w:t>
      </w:r>
      <w:proofErr w:type="spellStart"/>
      <w:r w:rsidRPr="00D21DFA">
        <w:rPr>
          <w:rFonts w:ascii="Times New Roman" w:eastAsia="Times New Roman" w:hAnsi="Times New Roman" w:cs="Times New Roman"/>
          <w:snapToGrid w:val="0"/>
          <w:kern w:val="0"/>
          <w:sz w:val="22"/>
          <w:szCs w:val="20"/>
          <w14:ligatures w14:val="none"/>
        </w:rPr>
        <w:t>digoksino</w:t>
      </w:r>
      <w:proofErr w:type="spellEnd"/>
      <w:r w:rsidRPr="00D21DFA">
        <w:rPr>
          <w:rFonts w:ascii="Times New Roman" w:eastAsia="Times New Roman" w:hAnsi="Times New Roman" w:cs="Times New Roman"/>
          <w:snapToGrid w:val="0"/>
          <w:kern w:val="0"/>
          <w:sz w:val="22"/>
          <w:szCs w:val="20"/>
          <w14:ligatures w14:val="none"/>
        </w:rPr>
        <w:t xml:space="preserve"> (0,25 mg vieną kartą per parą), </w:t>
      </w:r>
      <w:proofErr w:type="spellStart"/>
      <w:r w:rsidRPr="00D21DFA">
        <w:rPr>
          <w:rFonts w:ascii="Times New Roman" w:eastAsia="Times New Roman" w:hAnsi="Times New Roman" w:cs="Times New Roman"/>
          <w:snapToGrid w:val="0"/>
          <w:kern w:val="0"/>
          <w:sz w:val="22"/>
          <w:szCs w:val="20"/>
          <w14:ligatures w14:val="none"/>
        </w:rPr>
        <w:t>digoksino</w:t>
      </w:r>
      <w:proofErr w:type="spellEnd"/>
      <w:r w:rsidRPr="00D21DFA">
        <w:rPr>
          <w:rFonts w:ascii="Times New Roman" w:eastAsia="Times New Roman" w:hAnsi="Times New Roman" w:cs="Times New Roman"/>
          <w:snapToGrid w:val="0"/>
          <w:kern w:val="0"/>
          <w:sz w:val="22"/>
          <w:szCs w:val="20"/>
          <w14:ligatures w14:val="none"/>
        </w:rPr>
        <w:t xml:space="preserve"> AUC ar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nepakito. Taigi,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neslopina P</w:t>
      </w:r>
      <w:r w:rsidRPr="00D21DFA">
        <w:rPr>
          <w:rFonts w:ascii="Times New Roman" w:eastAsia="Times New Roman" w:hAnsi="Times New Roman" w:cs="Times New Roman"/>
          <w:snapToGrid w:val="0"/>
          <w:kern w:val="0"/>
          <w:sz w:val="22"/>
          <w:szCs w:val="20"/>
          <w14:ligatures w14:val="none"/>
        </w:rPr>
        <w:noBreakHyphen/>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veikiamų substratų pernašos. </w:t>
      </w:r>
    </w:p>
    <w:p w14:paraId="65211E3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291353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Naproksenas</w:t>
      </w:r>
      <w:proofErr w:type="spellEnd"/>
      <w:r w:rsidRPr="00D21DFA">
        <w:rPr>
          <w:rFonts w:ascii="Times New Roman" w:eastAsia="Times New Roman" w:hAnsi="Times New Roman" w:cs="Times New Roman"/>
          <w:i/>
          <w:snapToGrid w:val="0"/>
          <w:kern w:val="0"/>
          <w:sz w:val="22"/>
          <w:szCs w:val="20"/>
          <w14:ligatures w14:val="none"/>
        </w:rPr>
        <w:t xml:space="preserve"> </w:t>
      </w:r>
    </w:p>
    <w:p w14:paraId="57B27363" w14:textId="2F930F6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Vienkartinę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(10 mg) skiriant kartu su dažnai vartojamu NVNU </w:t>
      </w:r>
      <w:proofErr w:type="spellStart"/>
      <w:r w:rsidRPr="00D21DFA">
        <w:rPr>
          <w:rFonts w:ascii="Times New Roman" w:eastAsia="Times New Roman" w:hAnsi="Times New Roman" w:cs="Times New Roman"/>
          <w:snapToGrid w:val="0"/>
          <w:kern w:val="0"/>
          <w:sz w:val="22"/>
          <w:szCs w:val="20"/>
          <w14:ligatures w14:val="none"/>
        </w:rPr>
        <w:t>naproksenu</w:t>
      </w:r>
      <w:proofErr w:type="spellEnd"/>
      <w:r w:rsidRPr="00D21DFA">
        <w:rPr>
          <w:rFonts w:ascii="Times New Roman" w:eastAsia="Times New Roman" w:hAnsi="Times New Roman" w:cs="Times New Roman"/>
          <w:snapToGrid w:val="0"/>
          <w:kern w:val="0"/>
          <w:sz w:val="22"/>
          <w:szCs w:val="20"/>
          <w14:ligatures w14:val="none"/>
        </w:rPr>
        <w:t xml:space="preserve"> (500 mg), </w:t>
      </w:r>
      <w:proofErr w:type="spellStart"/>
      <w:r w:rsidRPr="00D21DFA">
        <w:rPr>
          <w:rFonts w:ascii="Times New Roman" w:eastAsia="Times New Roman" w:hAnsi="Times New Roman" w:cs="Times New Roman"/>
          <w:snapToGrid w:val="0"/>
          <w:kern w:val="0"/>
          <w:sz w:val="22"/>
          <w:szCs w:val="20"/>
          <w14:ligatures w14:val="none"/>
        </w:rPr>
        <w:t>naprokseno</w:t>
      </w:r>
      <w:proofErr w:type="spellEnd"/>
      <w:r w:rsidRPr="00D21DFA">
        <w:rPr>
          <w:rFonts w:ascii="Times New Roman" w:eastAsia="Times New Roman" w:hAnsi="Times New Roman" w:cs="Times New Roman"/>
          <w:snapToGrid w:val="0"/>
          <w:kern w:val="0"/>
          <w:sz w:val="22"/>
          <w:szCs w:val="20"/>
          <w14:ligatures w14:val="none"/>
        </w:rPr>
        <w:t xml:space="preserve"> AUC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nepakito. </w:t>
      </w:r>
    </w:p>
    <w:p w14:paraId="74018DF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AFC68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roofErr w:type="spellStart"/>
      <w:r w:rsidRPr="00D21DFA">
        <w:rPr>
          <w:rFonts w:ascii="Times New Roman" w:eastAsia="Times New Roman" w:hAnsi="Times New Roman" w:cs="Times New Roman"/>
          <w:i/>
          <w:snapToGrid w:val="0"/>
          <w:kern w:val="0"/>
          <w:sz w:val="22"/>
          <w:szCs w:val="20"/>
          <w14:ligatures w14:val="none"/>
        </w:rPr>
        <w:t>Atenololis</w:t>
      </w:r>
      <w:proofErr w:type="spellEnd"/>
      <w:r w:rsidRPr="00D21DFA">
        <w:rPr>
          <w:rFonts w:ascii="Times New Roman" w:eastAsia="Times New Roman" w:hAnsi="Times New Roman" w:cs="Times New Roman"/>
          <w:i/>
          <w:snapToGrid w:val="0"/>
          <w:kern w:val="0"/>
          <w:sz w:val="22"/>
          <w:szCs w:val="20"/>
          <w14:ligatures w14:val="none"/>
        </w:rPr>
        <w:t xml:space="preserve"> </w:t>
      </w:r>
    </w:p>
    <w:p w14:paraId="4460BAE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Vienkartinę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(10 mg) skiriant kartu su dažnai vartojamu beta </w:t>
      </w:r>
      <w:proofErr w:type="spellStart"/>
      <w:r w:rsidRPr="00D21DFA">
        <w:rPr>
          <w:rFonts w:ascii="Times New Roman" w:eastAsia="Times New Roman" w:hAnsi="Times New Roman" w:cs="Times New Roman"/>
          <w:snapToGrid w:val="0"/>
          <w:kern w:val="0"/>
          <w:sz w:val="22"/>
          <w:szCs w:val="20"/>
          <w14:ligatures w14:val="none"/>
        </w:rPr>
        <w:t>adrenoreceptorių</w:t>
      </w:r>
      <w:proofErr w:type="spellEnd"/>
      <w:r w:rsidRPr="00D21DFA">
        <w:rPr>
          <w:rFonts w:ascii="Times New Roman" w:eastAsia="Times New Roman" w:hAnsi="Times New Roman" w:cs="Times New Roman"/>
          <w:snapToGrid w:val="0"/>
          <w:kern w:val="0"/>
          <w:sz w:val="22"/>
          <w:szCs w:val="20"/>
          <w14:ligatures w14:val="none"/>
        </w:rPr>
        <w:t xml:space="preserve"> blokatoriumi </w:t>
      </w:r>
      <w:proofErr w:type="spellStart"/>
      <w:r w:rsidRPr="00D21DFA">
        <w:rPr>
          <w:rFonts w:ascii="Times New Roman" w:eastAsia="Times New Roman" w:hAnsi="Times New Roman" w:cs="Times New Roman"/>
          <w:snapToGrid w:val="0"/>
          <w:kern w:val="0"/>
          <w:sz w:val="22"/>
          <w:szCs w:val="20"/>
          <w14:ligatures w14:val="none"/>
        </w:rPr>
        <w:t>atenololiu</w:t>
      </w:r>
      <w:proofErr w:type="spellEnd"/>
      <w:r w:rsidRPr="00D21DFA">
        <w:rPr>
          <w:rFonts w:ascii="Times New Roman" w:eastAsia="Times New Roman" w:hAnsi="Times New Roman" w:cs="Times New Roman"/>
          <w:snapToGrid w:val="0"/>
          <w:kern w:val="0"/>
          <w:sz w:val="22"/>
          <w:szCs w:val="20"/>
          <w14:ligatures w14:val="none"/>
        </w:rPr>
        <w:t xml:space="preserve"> (100 mg), </w:t>
      </w:r>
      <w:proofErr w:type="spellStart"/>
      <w:r w:rsidRPr="00D21DFA">
        <w:rPr>
          <w:rFonts w:ascii="Times New Roman" w:eastAsia="Times New Roman" w:hAnsi="Times New Roman" w:cs="Times New Roman"/>
          <w:snapToGrid w:val="0"/>
          <w:kern w:val="0"/>
          <w:sz w:val="22"/>
          <w:szCs w:val="20"/>
          <w14:ligatures w14:val="none"/>
        </w:rPr>
        <w:t>atenololio</w:t>
      </w:r>
      <w:proofErr w:type="spellEnd"/>
      <w:r w:rsidRPr="00D21DFA">
        <w:rPr>
          <w:rFonts w:ascii="Times New Roman" w:eastAsia="Times New Roman" w:hAnsi="Times New Roman" w:cs="Times New Roman"/>
          <w:snapToGrid w:val="0"/>
          <w:kern w:val="0"/>
          <w:sz w:val="22"/>
          <w:szCs w:val="20"/>
          <w14:ligatures w14:val="none"/>
        </w:rPr>
        <w:t xml:space="preserve"> farmakokinetika nepakito. </w:t>
      </w:r>
    </w:p>
    <w:p w14:paraId="4DEF2C3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806DA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Aktyvintoji anglis </w:t>
      </w:r>
    </w:p>
    <w:p w14:paraId="38FBB5E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p>
    <w:p w14:paraId="2B7E19B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Aktyvintosios anglies vartojimas mažina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ekspoziciją (žr. 4.9 skyrių).</w:t>
      </w:r>
    </w:p>
    <w:p w14:paraId="304EB627" w14:textId="77777777"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F52536"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Vaikų populiacija</w:t>
      </w:r>
    </w:p>
    <w:p w14:paraId="61A148C1"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371008A"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Sąveikos tyrimai su pacientais vaikais neatlikti.</w:t>
      </w:r>
    </w:p>
    <w:p w14:paraId="212E5B3E" w14:textId="77777777" w:rsidR="008026FD" w:rsidRPr="00D21DFA" w:rsidRDefault="008026FD" w:rsidP="008026FD">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91879D" w14:textId="298BE00D" w:rsidR="008026FD" w:rsidRPr="00D21DFA" w:rsidRDefault="008026FD"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Pirmiau nurodyti sąveikos duomenys buvo gauti vertinant suaugusiuosius, todėl reikia atsižvelgti į 4.4 skyriuje pateiktus įspėjimus gydant vaikų populiacijos pacientus.</w:t>
      </w:r>
    </w:p>
    <w:p w14:paraId="1FAE31B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8B51875" w14:textId="77777777" w:rsidR="00C95D96" w:rsidRPr="00D21DFA" w:rsidRDefault="00C95D96" w:rsidP="00C95D96">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4.6</w:t>
      </w:r>
      <w:r w:rsidRPr="00D21DFA">
        <w:rPr>
          <w:rFonts w:ascii="Times New Roman" w:eastAsia="Times New Roman" w:hAnsi="Times New Roman" w:cs="Times New Roman"/>
          <w:b/>
          <w:bCs/>
          <w:snapToGrid w:val="0"/>
          <w:kern w:val="0"/>
          <w:sz w:val="22"/>
          <w:szCs w:val="28"/>
          <w:lang w:eastAsia="x-none"/>
          <w14:ligatures w14:val="none"/>
        </w:rPr>
        <w:tab/>
        <w:t>Vaisingumas, nėštumo ir žindymo laikotarpis</w:t>
      </w:r>
    </w:p>
    <w:p w14:paraId="56783371"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14:ligatures w14:val="none"/>
        </w:rPr>
      </w:pPr>
    </w:p>
    <w:p w14:paraId="5C5A6877"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Nėštumas </w:t>
      </w:r>
    </w:p>
    <w:p w14:paraId="13668516"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5F0C4707" w14:textId="11D1D3D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Duomenų apie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nėštumo metu nėra. Tyrimai su gyvūnais tiesioginio ar netiesioginio kenksmingo toksinio poveikio reprodukcijai neparodė (žr. 5.3 skyrių). Dėl atsargumo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vartojimo nėštumo metu geriau </w:t>
      </w:r>
      <w:r w:rsidR="005200E3" w:rsidRPr="00D21DFA">
        <w:rPr>
          <w:rFonts w:ascii="Times New Roman" w:eastAsia="Times New Roman" w:hAnsi="Times New Roman" w:cs="Times New Roman"/>
          <w:snapToGrid w:val="0"/>
          <w:kern w:val="0"/>
          <w:sz w:val="22"/>
          <w:szCs w:val="20"/>
          <w14:ligatures w14:val="none"/>
        </w:rPr>
        <w:t>nevartoti</w:t>
      </w:r>
      <w:r w:rsidRPr="00D21DFA">
        <w:rPr>
          <w:rFonts w:ascii="Times New Roman" w:eastAsia="Times New Roman" w:hAnsi="Times New Roman" w:cs="Times New Roman"/>
          <w:snapToGrid w:val="0"/>
          <w:kern w:val="0"/>
          <w:sz w:val="22"/>
          <w:szCs w:val="20"/>
          <w14:ligatures w14:val="none"/>
        </w:rPr>
        <w:t xml:space="preserve">. </w:t>
      </w:r>
    </w:p>
    <w:p w14:paraId="750DAD8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8C834D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Žindymas </w:t>
      </w:r>
    </w:p>
    <w:p w14:paraId="23A1147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59B280A" w14:textId="5C1760B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Nežinoma, ar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 jo metabolitų iš</w:t>
      </w:r>
      <w:r w:rsidR="005200E3" w:rsidRPr="00D21DFA">
        <w:rPr>
          <w:rFonts w:ascii="Times New Roman" w:eastAsia="Times New Roman" w:hAnsi="Times New Roman" w:cs="Times New Roman"/>
          <w:snapToGrid w:val="0"/>
          <w:kern w:val="0"/>
          <w:sz w:val="22"/>
          <w:szCs w:val="20"/>
          <w14:ligatures w14:val="none"/>
        </w:rPr>
        <w:t>si</w:t>
      </w:r>
      <w:r w:rsidRPr="00D21DFA">
        <w:rPr>
          <w:rFonts w:ascii="Times New Roman" w:eastAsia="Times New Roman" w:hAnsi="Times New Roman" w:cs="Times New Roman"/>
          <w:snapToGrid w:val="0"/>
          <w:kern w:val="0"/>
          <w:sz w:val="22"/>
          <w:szCs w:val="20"/>
          <w14:ligatures w14:val="none"/>
        </w:rPr>
        <w:t xml:space="preserve">skiria į </w:t>
      </w:r>
      <w:r w:rsidR="005200E3" w:rsidRPr="00D21DFA">
        <w:rPr>
          <w:rFonts w:ascii="Times New Roman" w:eastAsia="Times New Roman" w:hAnsi="Times New Roman" w:cs="Times New Roman"/>
          <w:snapToGrid w:val="0"/>
          <w:kern w:val="0"/>
          <w:sz w:val="22"/>
          <w:szCs w:val="20"/>
          <w14:ligatures w14:val="none"/>
        </w:rPr>
        <w:t>gydytų moterų</w:t>
      </w:r>
      <w:r w:rsidRPr="00D21DFA">
        <w:rPr>
          <w:rFonts w:ascii="Times New Roman" w:eastAsia="Times New Roman" w:hAnsi="Times New Roman" w:cs="Times New Roman"/>
          <w:snapToGrid w:val="0"/>
          <w:kern w:val="0"/>
          <w:sz w:val="22"/>
          <w:szCs w:val="20"/>
          <w14:ligatures w14:val="none"/>
        </w:rPr>
        <w:t xml:space="preserve"> pieną. Esami tyrimų su gyvūnais duomenys rodo</w:t>
      </w:r>
      <w:r w:rsidR="005200E3" w:rsidRPr="00D21DFA">
        <w:rPr>
          <w:rFonts w:ascii="Times New Roman" w:eastAsia="Times New Roman" w:hAnsi="Times New Roman" w:cs="Times New Roman"/>
          <w:snapToGrid w:val="0"/>
          <w:kern w:val="0"/>
          <w:sz w:val="22"/>
          <w:szCs w:val="20"/>
          <w14:ligatures w14:val="none"/>
        </w:rPr>
        <w:t>, kad</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iš</w:t>
      </w:r>
      <w:r w:rsidR="005200E3" w:rsidRPr="00D21DFA">
        <w:rPr>
          <w:rFonts w:ascii="Times New Roman" w:eastAsia="Times New Roman" w:hAnsi="Times New Roman" w:cs="Times New Roman"/>
          <w:snapToGrid w:val="0"/>
          <w:kern w:val="0"/>
          <w:sz w:val="22"/>
          <w:szCs w:val="20"/>
          <w14:ligatures w14:val="none"/>
        </w:rPr>
        <w:t>si</w:t>
      </w:r>
      <w:r w:rsidRPr="00D21DFA">
        <w:rPr>
          <w:rFonts w:ascii="Times New Roman" w:eastAsia="Times New Roman" w:hAnsi="Times New Roman" w:cs="Times New Roman"/>
          <w:snapToGrid w:val="0"/>
          <w:kern w:val="0"/>
          <w:sz w:val="22"/>
          <w:szCs w:val="20"/>
          <w14:ligatures w14:val="none"/>
        </w:rPr>
        <w:t>sk</w:t>
      </w:r>
      <w:r w:rsidR="005200E3" w:rsidRPr="00D21DFA">
        <w:rPr>
          <w:rFonts w:ascii="Times New Roman" w:eastAsia="Times New Roman" w:hAnsi="Times New Roman" w:cs="Times New Roman"/>
          <w:snapToGrid w:val="0"/>
          <w:kern w:val="0"/>
          <w:sz w:val="22"/>
          <w:szCs w:val="20"/>
          <w14:ligatures w14:val="none"/>
        </w:rPr>
        <w:t>iria</w:t>
      </w:r>
      <w:r w:rsidRPr="00D21DFA">
        <w:rPr>
          <w:rFonts w:ascii="Times New Roman" w:eastAsia="Times New Roman" w:hAnsi="Times New Roman" w:cs="Times New Roman"/>
          <w:snapToGrid w:val="0"/>
          <w:kern w:val="0"/>
          <w:sz w:val="22"/>
          <w:szCs w:val="20"/>
          <w14:ligatures w14:val="none"/>
        </w:rPr>
        <w:t xml:space="preserve"> į gyvūnų pieną (žr. 5.3 skyrių). Pavojaus žindom</w:t>
      </w:r>
      <w:r w:rsidR="005200E3" w:rsidRPr="00D21DFA">
        <w:rPr>
          <w:rFonts w:ascii="Times New Roman" w:eastAsia="Times New Roman" w:hAnsi="Times New Roman" w:cs="Times New Roman"/>
          <w:snapToGrid w:val="0"/>
          <w:kern w:val="0"/>
          <w:sz w:val="22"/>
          <w:szCs w:val="20"/>
          <w14:ligatures w14:val="none"/>
        </w:rPr>
        <w:t>iems naujagimiams ar</w:t>
      </w:r>
      <w:r w:rsidRPr="00D21DFA">
        <w:rPr>
          <w:rFonts w:ascii="Times New Roman" w:eastAsia="Times New Roman" w:hAnsi="Times New Roman" w:cs="Times New Roman"/>
          <w:snapToGrid w:val="0"/>
          <w:kern w:val="0"/>
          <w:sz w:val="22"/>
          <w:szCs w:val="20"/>
          <w14:ligatures w14:val="none"/>
        </w:rPr>
        <w:t xml:space="preserve"> kūdiki</w:t>
      </w:r>
      <w:r w:rsidR="005200E3" w:rsidRPr="00D21DFA">
        <w:rPr>
          <w:rFonts w:ascii="Times New Roman" w:eastAsia="Times New Roman" w:hAnsi="Times New Roman" w:cs="Times New Roman"/>
          <w:snapToGrid w:val="0"/>
          <w:kern w:val="0"/>
          <w:sz w:val="22"/>
          <w:szCs w:val="20"/>
          <w14:ligatures w14:val="none"/>
        </w:rPr>
        <w:t>ams</w:t>
      </w:r>
      <w:r w:rsidRPr="00D21DFA">
        <w:rPr>
          <w:rFonts w:ascii="Times New Roman" w:eastAsia="Times New Roman" w:hAnsi="Times New Roman" w:cs="Times New Roman"/>
          <w:snapToGrid w:val="0"/>
          <w:kern w:val="0"/>
          <w:sz w:val="22"/>
          <w:szCs w:val="20"/>
          <w14:ligatures w14:val="none"/>
        </w:rPr>
        <w:t xml:space="preserve"> negalima atmesti. </w:t>
      </w:r>
    </w:p>
    <w:p w14:paraId="5C5C0FC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D620C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Atsižvelgiant į žindymo naudą kūdikiui ir gydymo naudą moteriai reikia nuspręsti, ar nutraukti žindymą, ar nutraukti / susilaikyti nuo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w:t>
      </w:r>
    </w:p>
    <w:p w14:paraId="7BB46A2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5A322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Vaisingumas </w:t>
      </w:r>
    </w:p>
    <w:p w14:paraId="46434BC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EBFC97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Tyrimai su gyvūnais, kuriems buvo duodama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poveikio vaisingumui neparodė (žr. 5.3 skyrių).</w:t>
      </w:r>
    </w:p>
    <w:p w14:paraId="3E9FE95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color w:val="0D0D0D"/>
          <w:kern w:val="0"/>
          <w:sz w:val="22"/>
          <w:szCs w:val="22"/>
          <w:u w:val="single"/>
          <w14:ligatures w14:val="none"/>
        </w:rPr>
      </w:pPr>
    </w:p>
    <w:p w14:paraId="17C6862B"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4.7</w:t>
      </w:r>
      <w:r w:rsidRPr="00D21DFA">
        <w:rPr>
          <w:rFonts w:ascii="Times New Roman" w:eastAsia="Times New Roman" w:hAnsi="Times New Roman" w:cs="Times New Roman"/>
          <w:b/>
          <w:bCs/>
          <w:snapToGrid w:val="0"/>
          <w:kern w:val="0"/>
          <w:sz w:val="22"/>
          <w:szCs w:val="28"/>
          <w:lang w:eastAsia="x-none"/>
          <w14:ligatures w14:val="none"/>
        </w:rPr>
        <w:tab/>
        <w:t>Poveikis gebėjimui vairuoti ir valdyti mechanizmus</w:t>
      </w:r>
    </w:p>
    <w:p w14:paraId="3615ECE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22D0B4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gebėjimo vairuoti ir valdyti mechanizmus neveikia arba veikia nereikšmingai.</w:t>
      </w:r>
    </w:p>
    <w:p w14:paraId="15160AE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9ACA8D9"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4.8</w:t>
      </w:r>
      <w:r w:rsidRPr="00D21DFA">
        <w:rPr>
          <w:rFonts w:ascii="Times New Roman" w:eastAsia="Times New Roman" w:hAnsi="Times New Roman" w:cs="Times New Roman"/>
          <w:b/>
          <w:snapToGrid w:val="0"/>
          <w:kern w:val="0"/>
          <w:sz w:val="22"/>
          <w:szCs w:val="20"/>
          <w14:ligatures w14:val="none"/>
        </w:rPr>
        <w:tab/>
        <w:t>Nepageidaujamas poveikis</w:t>
      </w:r>
    </w:p>
    <w:p w14:paraId="3FD6330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p>
    <w:p w14:paraId="17711F4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r w:rsidRPr="00D21DFA">
        <w:rPr>
          <w:rFonts w:ascii="Times New Roman" w:eastAsia="Times New Roman" w:hAnsi="Times New Roman" w:cs="Times New Roman"/>
          <w:iCs/>
          <w:snapToGrid w:val="0"/>
          <w:kern w:val="0"/>
          <w:sz w:val="22"/>
          <w:szCs w:val="22"/>
          <w:u w:val="single"/>
          <w:lang w:eastAsia="lt-LT"/>
          <w14:ligatures w14:val="none"/>
        </w:rPr>
        <w:t>Saugumo duomenų santrauka</w:t>
      </w:r>
    </w:p>
    <w:p w14:paraId="69C9274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Cs/>
          <w:snapToGrid w:val="0"/>
          <w:kern w:val="0"/>
          <w:sz w:val="22"/>
          <w:szCs w:val="22"/>
          <w:u w:val="single"/>
          <w:lang w:eastAsia="lt-LT"/>
          <w14:ligatures w14:val="none"/>
        </w:rPr>
      </w:pPr>
    </w:p>
    <w:p w14:paraId="64F3C140" w14:textId="583B592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saugumas</w:t>
      </w:r>
      <w:r w:rsidR="00A942B0" w:rsidRPr="00D21DFA">
        <w:rPr>
          <w:rFonts w:ascii="Times New Roman" w:eastAsia="Times New Roman" w:hAnsi="Times New Roman" w:cs="Times New Roman"/>
          <w:snapToGrid w:val="0"/>
          <w:kern w:val="0"/>
          <w:sz w:val="22"/>
          <w:szCs w:val="20"/>
          <w14:ligatures w14:val="none"/>
        </w:rPr>
        <w:t xml:space="preserve"> suaugusiesiems</w:t>
      </w:r>
      <w:r w:rsidRPr="00D21DFA">
        <w:rPr>
          <w:rFonts w:ascii="Times New Roman" w:eastAsia="Times New Roman" w:hAnsi="Times New Roman" w:cs="Times New Roman"/>
          <w:snapToGrid w:val="0"/>
          <w:kern w:val="0"/>
          <w:sz w:val="22"/>
          <w:szCs w:val="20"/>
          <w14:ligatures w14:val="none"/>
        </w:rPr>
        <w:t xml:space="preserve"> buvo tirtas </w:t>
      </w:r>
      <w:r w:rsidR="00B23F6B">
        <w:rPr>
          <w:rFonts w:ascii="Times New Roman" w:eastAsia="Times New Roman" w:hAnsi="Times New Roman" w:cs="Times New Roman"/>
          <w:snapToGrid w:val="0"/>
          <w:kern w:val="0"/>
          <w:sz w:val="22"/>
          <w:szCs w:val="20"/>
          <w14:ligatures w14:val="none"/>
        </w:rPr>
        <w:t>septyniuose</w:t>
      </w:r>
      <w:r w:rsidRPr="00D21DFA">
        <w:rPr>
          <w:rFonts w:ascii="Times New Roman" w:eastAsia="Times New Roman" w:hAnsi="Times New Roman" w:cs="Times New Roman"/>
          <w:snapToGrid w:val="0"/>
          <w:kern w:val="0"/>
          <w:sz w:val="22"/>
          <w:szCs w:val="20"/>
          <w14:ligatures w14:val="none"/>
        </w:rPr>
        <w:t xml:space="preserve"> III fazės klinikinių tyrimų metu, kuriuose dalyvavo daugiau kaip </w:t>
      </w:r>
      <w:r w:rsidR="00B23F6B">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xml:space="preserve">1 000 pacientų: daugiau kaip </w:t>
      </w:r>
      <w:r w:rsidR="00B23F6B" w:rsidRPr="00463BF0">
        <w:rPr>
          <w:rFonts w:ascii="Times New Roman" w:eastAsia="Times New Roman" w:hAnsi="Times New Roman" w:cs="Times New Roman"/>
          <w:snapToGrid w:val="0"/>
          <w:kern w:val="0"/>
          <w:sz w:val="22"/>
          <w:szCs w:val="20"/>
          <w14:ligatures w14:val="none"/>
        </w:rPr>
        <w:t>5</w:t>
      </w:r>
      <w:r w:rsidR="00B23F6B">
        <w:rPr>
          <w:rFonts w:ascii="Times New Roman" w:eastAsia="Times New Roman" w:hAnsi="Times New Roman" w:cs="Times New Roman"/>
          <w:snapToGrid w:val="0"/>
          <w:kern w:val="0"/>
          <w:sz w:val="22"/>
          <w:szCs w:val="20"/>
          <w14:ligatures w14:val="none"/>
        </w:rPr>
        <w:t> </w:t>
      </w:r>
      <w:r w:rsidR="00B23F6B" w:rsidRPr="00463BF0">
        <w:rPr>
          <w:rFonts w:ascii="Times New Roman" w:eastAsia="Times New Roman" w:hAnsi="Times New Roman" w:cs="Times New Roman"/>
          <w:snapToGrid w:val="0"/>
          <w:kern w:val="0"/>
          <w:sz w:val="22"/>
          <w:szCs w:val="20"/>
          <w14:ligatures w14:val="none"/>
        </w:rPr>
        <w:t>000 pacient</w:t>
      </w:r>
      <w:r w:rsidR="00B23F6B" w:rsidRPr="00463BF0">
        <w:rPr>
          <w:rFonts w:ascii="Times New Roman" w:eastAsia="Times New Roman" w:hAnsi="Times New Roman" w:cs="Times New Roman" w:hint="eastAsia"/>
          <w:snapToGrid w:val="0"/>
          <w:kern w:val="0"/>
          <w:sz w:val="22"/>
          <w:szCs w:val="20"/>
          <w14:ligatures w14:val="none"/>
        </w:rPr>
        <w:t>ų</w:t>
      </w:r>
      <w:r w:rsidR="00B23F6B" w:rsidRPr="00463BF0">
        <w:rPr>
          <w:rFonts w:ascii="Times New Roman" w:eastAsia="Times New Roman" w:hAnsi="Times New Roman" w:cs="Times New Roman"/>
          <w:snapToGrid w:val="0"/>
          <w:kern w:val="0"/>
          <w:sz w:val="22"/>
          <w:szCs w:val="20"/>
          <w14:ligatures w14:val="none"/>
        </w:rPr>
        <w:t xml:space="preserve"> dalyvavo </w:t>
      </w:r>
      <w:proofErr w:type="spellStart"/>
      <w:r w:rsidR="00B23F6B" w:rsidRPr="00463BF0">
        <w:rPr>
          <w:rFonts w:ascii="Times New Roman" w:eastAsia="Times New Roman" w:hAnsi="Times New Roman" w:cs="Times New Roman"/>
          <w:snapToGrid w:val="0"/>
          <w:kern w:val="0"/>
          <w:sz w:val="22"/>
          <w:szCs w:val="20"/>
          <w14:ligatures w14:val="none"/>
        </w:rPr>
        <w:t>VTEp</w:t>
      </w:r>
      <w:proofErr w:type="spellEnd"/>
      <w:r w:rsidR="00C157C2">
        <w:rPr>
          <w:rFonts w:ascii="Times New Roman" w:eastAsia="Times New Roman" w:hAnsi="Times New Roman" w:cs="Times New Roman"/>
          <w:snapToGrid w:val="0"/>
          <w:kern w:val="0"/>
          <w:sz w:val="22"/>
          <w:szCs w:val="20"/>
          <w14:ligatures w14:val="none"/>
        </w:rPr>
        <w:t xml:space="preserve"> </w:t>
      </w:r>
      <w:r w:rsidR="001855DE">
        <w:rPr>
          <w:rFonts w:ascii="Times New Roman" w:eastAsia="Times New Roman" w:hAnsi="Times New Roman" w:cs="Times New Roman"/>
          <w:snapToGrid w:val="0"/>
          <w:kern w:val="0"/>
          <w:sz w:val="22"/>
          <w:szCs w:val="20"/>
          <w14:ligatures w14:val="none"/>
        </w:rPr>
        <w:t>t</w:t>
      </w:r>
      <w:r w:rsidR="00B23F6B" w:rsidRPr="00463BF0">
        <w:rPr>
          <w:rFonts w:ascii="Times New Roman" w:eastAsia="Times New Roman" w:hAnsi="Times New Roman" w:cs="Times New Roman"/>
          <w:snapToGrid w:val="0"/>
          <w:kern w:val="0"/>
          <w:sz w:val="22"/>
          <w:szCs w:val="20"/>
          <w14:ligatures w14:val="none"/>
        </w:rPr>
        <w:t>yrimuose</w:t>
      </w:r>
      <w:r w:rsidR="00B74574">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daugiau kaip 11 000 pacientų VNPV tyrimų metu ir daugiau kaip 4 000 pacientų VTE gydymo (</w:t>
      </w: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metu, kurių metu bendra vidutinė vaistinio preparato ekspozicija buvo atitinkamai </w:t>
      </w:r>
      <w:r w:rsidR="00B23F6B">
        <w:rPr>
          <w:rFonts w:ascii="Times New Roman" w:eastAsia="Times New Roman" w:hAnsi="Times New Roman" w:cs="Times New Roman"/>
          <w:snapToGrid w:val="0"/>
          <w:kern w:val="0"/>
          <w:sz w:val="22"/>
          <w:szCs w:val="20"/>
          <w14:ligatures w14:val="none"/>
        </w:rPr>
        <w:t xml:space="preserve">20 dienų, </w:t>
      </w:r>
      <w:r w:rsidRPr="00D21DFA">
        <w:rPr>
          <w:rFonts w:ascii="Times New Roman" w:eastAsia="Times New Roman" w:hAnsi="Times New Roman" w:cs="Times New Roman"/>
          <w:snapToGrid w:val="0"/>
          <w:kern w:val="0"/>
          <w:sz w:val="22"/>
          <w:szCs w:val="20"/>
          <w14:ligatures w14:val="none"/>
        </w:rPr>
        <w:t>1,7 metų ir 221 para (žr. 5.1 skyrių).</w:t>
      </w:r>
    </w:p>
    <w:p w14:paraId="7649AFE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3ED3FB5" w14:textId="6250BF3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Dažnos nepageidaujamos reakcijos buvo kraujavimas, </w:t>
      </w:r>
      <w:proofErr w:type="spellStart"/>
      <w:r w:rsidR="005200E3" w:rsidRPr="00D21DFA">
        <w:rPr>
          <w:rFonts w:ascii="Times New Roman" w:eastAsia="Times New Roman" w:hAnsi="Times New Roman" w:cs="Times New Roman"/>
          <w:snapToGrid w:val="0"/>
          <w:kern w:val="0"/>
          <w:sz w:val="22"/>
          <w:szCs w:val="20"/>
          <w14:ligatures w14:val="none"/>
        </w:rPr>
        <w:t>kontuzija</w:t>
      </w:r>
      <w:proofErr w:type="spellEnd"/>
      <w:r w:rsidRPr="00D21DFA">
        <w:rPr>
          <w:rFonts w:ascii="Times New Roman" w:eastAsia="Times New Roman" w:hAnsi="Times New Roman" w:cs="Times New Roman"/>
          <w:snapToGrid w:val="0"/>
          <w:kern w:val="0"/>
          <w:sz w:val="22"/>
          <w:szCs w:val="20"/>
          <w14:ligatures w14:val="none"/>
        </w:rPr>
        <w:t xml:space="preserve">, kraujavimas iš nosies, kraujosruvos (žr. 2 lentelę, kurioje aprašytas nepageidaujamų reakcijų pobūdis ir dažnis pagal indikacijas). </w:t>
      </w:r>
    </w:p>
    <w:p w14:paraId="3FB1A4B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D08255F" w14:textId="091270D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VNPV </w:t>
      </w:r>
      <w:r w:rsidR="005200E3" w:rsidRPr="00D21DFA">
        <w:rPr>
          <w:rFonts w:ascii="Times New Roman" w:eastAsia="Times New Roman" w:hAnsi="Times New Roman" w:cs="Times New Roman"/>
          <w:snapToGrid w:val="0"/>
          <w:kern w:val="0"/>
          <w:sz w:val="22"/>
          <w:szCs w:val="20"/>
          <w14:ligatures w14:val="none"/>
        </w:rPr>
        <w:t>sergančiuosius įtraukusių tyrimų metu,</w:t>
      </w:r>
      <w:r w:rsidRPr="00D21DFA">
        <w:rPr>
          <w:rFonts w:ascii="Times New Roman" w:eastAsia="Times New Roman" w:hAnsi="Times New Roman" w:cs="Times New Roman"/>
          <w:snapToGrid w:val="0"/>
          <w:kern w:val="0"/>
          <w:sz w:val="22"/>
          <w:szCs w:val="20"/>
          <w14:ligatures w14:val="none"/>
        </w:rPr>
        <w:t xml:space="preserve"> bendras nepageidaujamų reakcijų</w:t>
      </w:r>
      <w:r w:rsidR="005200E3" w:rsidRPr="00D21DFA">
        <w:rPr>
          <w:rFonts w:ascii="Times New Roman" w:eastAsia="Times New Roman" w:hAnsi="Times New Roman" w:cs="Times New Roman"/>
          <w:snapToGrid w:val="0"/>
          <w:kern w:val="0"/>
          <w:sz w:val="22"/>
          <w:szCs w:val="20"/>
          <w14:ligatures w14:val="none"/>
        </w:rPr>
        <w:t>, susijusių su kraujavimu,</w:t>
      </w:r>
      <w:r w:rsidRPr="00D21DFA">
        <w:rPr>
          <w:rFonts w:ascii="Times New Roman" w:eastAsia="Times New Roman" w:hAnsi="Times New Roman" w:cs="Times New Roman"/>
          <w:snapToGrid w:val="0"/>
          <w:kern w:val="0"/>
          <w:sz w:val="22"/>
          <w:szCs w:val="20"/>
          <w14:ligatures w14:val="none"/>
        </w:rPr>
        <w:t xml:space="preserve"> dažnis buvo 24,3 %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005200E3" w:rsidRPr="00D21DFA">
        <w:rPr>
          <w:rFonts w:ascii="Times New Roman" w:eastAsia="Times New Roman" w:hAnsi="Times New Roman" w:cs="Times New Roman"/>
          <w:snapToGrid w:val="0"/>
          <w:kern w:val="0"/>
          <w:sz w:val="22"/>
          <w:szCs w:val="20"/>
          <w14:ligatures w14:val="none"/>
        </w:rPr>
        <w:t>apiksabano</w:t>
      </w:r>
      <w:proofErr w:type="spellEnd"/>
      <w:r w:rsidR="005200E3" w:rsidRPr="00D21DFA">
        <w:rPr>
          <w:rFonts w:ascii="Times New Roman" w:eastAsia="Times New Roman" w:hAnsi="Times New Roman" w:cs="Times New Roman"/>
          <w:snapToGrid w:val="0"/>
          <w:kern w:val="0"/>
          <w:sz w:val="22"/>
          <w:szCs w:val="20"/>
          <w14:ligatures w14:val="none"/>
        </w:rPr>
        <w:t xml:space="preserve"> ir</w:t>
      </w:r>
      <w:r w:rsidRPr="00D21DFA">
        <w:rPr>
          <w:rFonts w:ascii="Times New Roman" w:eastAsia="Times New Roman" w:hAnsi="Times New Roman" w:cs="Times New Roman"/>
          <w:snapToGrid w:val="0"/>
          <w:kern w:val="0"/>
          <w:sz w:val="22"/>
          <w:szCs w:val="20"/>
          <w14:ligatures w14:val="none"/>
        </w:rPr>
        <w:t xml:space="preserve"> varfarin</w:t>
      </w:r>
      <w:r w:rsidR="005200E3" w:rsidRPr="00D21DFA">
        <w:rPr>
          <w:rFonts w:ascii="Times New Roman" w:eastAsia="Times New Roman" w:hAnsi="Times New Roman" w:cs="Times New Roman"/>
          <w:snapToGrid w:val="0"/>
          <w:kern w:val="0"/>
          <w:sz w:val="22"/>
          <w:szCs w:val="20"/>
          <w14:ligatures w14:val="none"/>
        </w:rPr>
        <w:t>o palyginamojo tyrimo metu,</w:t>
      </w:r>
      <w:r w:rsidRPr="00D21DFA">
        <w:rPr>
          <w:rFonts w:ascii="Times New Roman" w:eastAsia="Times New Roman" w:hAnsi="Times New Roman" w:cs="Times New Roman"/>
          <w:snapToGrid w:val="0"/>
          <w:kern w:val="0"/>
          <w:sz w:val="22"/>
          <w:szCs w:val="20"/>
          <w14:ligatures w14:val="none"/>
        </w:rPr>
        <w:t xml:space="preserve"> ir 9,6 %</w:t>
      </w:r>
      <w:r w:rsidR="005200E3"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005200E3" w:rsidRPr="00D21DFA">
        <w:rPr>
          <w:rFonts w:ascii="Times New Roman" w:eastAsia="Times New Roman" w:hAnsi="Times New Roman" w:cs="Times New Roman"/>
          <w:snapToGrid w:val="0"/>
          <w:kern w:val="0"/>
          <w:sz w:val="22"/>
          <w:szCs w:val="20"/>
          <w14:ligatures w14:val="none"/>
        </w:rPr>
        <w:t xml:space="preserve"> ir</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acetilsalicilo</w:t>
      </w:r>
      <w:proofErr w:type="spellEnd"/>
      <w:r w:rsidRPr="00D21DFA">
        <w:rPr>
          <w:rFonts w:ascii="Times New Roman" w:eastAsia="Times New Roman" w:hAnsi="Times New Roman" w:cs="Times New Roman"/>
          <w:snapToGrid w:val="0"/>
          <w:kern w:val="0"/>
          <w:sz w:val="22"/>
          <w:szCs w:val="20"/>
          <w14:ligatures w14:val="none"/>
        </w:rPr>
        <w:t xml:space="preserve"> rūgšti</w:t>
      </w:r>
      <w:r w:rsidR="00577878" w:rsidRPr="00D21DFA">
        <w:rPr>
          <w:rFonts w:ascii="Times New Roman" w:eastAsia="Times New Roman" w:hAnsi="Times New Roman" w:cs="Times New Roman"/>
          <w:snapToGrid w:val="0"/>
          <w:kern w:val="0"/>
          <w:sz w:val="22"/>
          <w:szCs w:val="20"/>
          <w14:ligatures w14:val="none"/>
        </w:rPr>
        <w:t>es palyginamojo tyrimo metu</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palygin</w:t>
      </w:r>
      <w:r w:rsidR="00577878" w:rsidRPr="00D21DFA">
        <w:rPr>
          <w:rFonts w:ascii="Times New Roman" w:eastAsia="Times New Roman" w:hAnsi="Times New Roman" w:cs="Times New Roman"/>
          <w:snapToGrid w:val="0"/>
          <w:kern w:val="0"/>
          <w:sz w:val="22"/>
          <w:szCs w:val="20"/>
          <w14:ligatures w14:val="none"/>
        </w:rPr>
        <w:t>imo</w:t>
      </w:r>
      <w:r w:rsidRPr="00D21DFA">
        <w:rPr>
          <w:rFonts w:ascii="Times New Roman" w:eastAsia="Times New Roman" w:hAnsi="Times New Roman" w:cs="Times New Roman"/>
          <w:snapToGrid w:val="0"/>
          <w:kern w:val="0"/>
          <w:sz w:val="22"/>
          <w:szCs w:val="20"/>
          <w14:ligatures w14:val="none"/>
        </w:rPr>
        <w:t xml:space="preserve"> su varfarinu tyrimo duomenimis, stipraus kraujavimo iš virškinimo trakto (VT) (įskaitant kraujavimą iš viršutinės VT dalies, iš apatinės VT dalies ir iš tiesiosios žarnos) pagal ISTH dažnis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0,76 % per metus. Stipraus kraujavimo į ak</w:t>
      </w:r>
      <w:r w:rsidR="00577878" w:rsidRPr="00D21DFA">
        <w:rPr>
          <w:rFonts w:ascii="Times New Roman" w:eastAsia="Times New Roman" w:hAnsi="Times New Roman" w:cs="Times New Roman"/>
          <w:snapToGrid w:val="0"/>
          <w:kern w:val="0"/>
          <w:sz w:val="22"/>
          <w:szCs w:val="20"/>
          <w14:ligatures w14:val="none"/>
        </w:rPr>
        <w:t>ies obuolį</w:t>
      </w:r>
      <w:r w:rsidRPr="00D21DFA">
        <w:rPr>
          <w:rFonts w:ascii="Times New Roman" w:eastAsia="Times New Roman" w:hAnsi="Times New Roman" w:cs="Times New Roman"/>
          <w:snapToGrid w:val="0"/>
          <w:kern w:val="0"/>
          <w:sz w:val="22"/>
          <w:szCs w:val="20"/>
          <w14:ligatures w14:val="none"/>
        </w:rPr>
        <w:t xml:space="preserve"> pagal ISTH dažnis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0,18 % per metus. </w:t>
      </w:r>
    </w:p>
    <w:p w14:paraId="5C8E65C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E3934E" w14:textId="4421DD8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VTEt</w:t>
      </w:r>
      <w:proofErr w:type="spellEnd"/>
      <w:r w:rsidRPr="00D21DFA">
        <w:rPr>
          <w:rFonts w:ascii="Times New Roman" w:eastAsia="Times New Roman" w:hAnsi="Times New Roman" w:cs="Times New Roman"/>
          <w:snapToGrid w:val="0"/>
          <w:kern w:val="0"/>
          <w:sz w:val="22"/>
          <w:szCs w:val="20"/>
          <w14:ligatures w14:val="none"/>
        </w:rPr>
        <w:t xml:space="preserve"> tyrimo metu bendras nepageidaujamų reakcijų</w:t>
      </w:r>
      <w:r w:rsidR="00577878" w:rsidRPr="00D21DFA">
        <w:rPr>
          <w:rFonts w:ascii="Times New Roman" w:eastAsia="Times New Roman" w:hAnsi="Times New Roman" w:cs="Times New Roman"/>
          <w:snapToGrid w:val="0"/>
          <w:kern w:val="0"/>
          <w:sz w:val="22"/>
          <w:szCs w:val="20"/>
          <w14:ligatures w14:val="none"/>
        </w:rPr>
        <w:t>, susijusių su kraujavimu,</w:t>
      </w:r>
      <w:r w:rsidRPr="00D21DFA">
        <w:rPr>
          <w:rFonts w:ascii="Times New Roman" w:eastAsia="Times New Roman" w:hAnsi="Times New Roman" w:cs="Times New Roman"/>
          <w:snapToGrid w:val="0"/>
          <w:kern w:val="0"/>
          <w:sz w:val="22"/>
          <w:szCs w:val="20"/>
          <w14:ligatures w14:val="none"/>
        </w:rPr>
        <w:t xml:space="preserve"> dažnis, siejamas su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vartojimu, buvo: 15,6 %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r w:rsidR="00577878" w:rsidRPr="00D21DFA">
        <w:rPr>
          <w:rFonts w:ascii="Times New Roman" w:eastAsia="Times New Roman" w:hAnsi="Times New Roman" w:cs="Times New Roman"/>
          <w:snapToGrid w:val="0"/>
          <w:kern w:val="0"/>
          <w:sz w:val="22"/>
          <w:szCs w:val="20"/>
          <w14:ligatures w14:val="none"/>
        </w:rPr>
        <w:t>ir</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enoksaparin</w:t>
      </w:r>
      <w:r w:rsidR="00577878" w:rsidRPr="00D21DFA">
        <w:rPr>
          <w:rFonts w:ascii="Times New Roman" w:eastAsia="Times New Roman" w:hAnsi="Times New Roman" w:cs="Times New Roman"/>
          <w:snapToGrid w:val="0"/>
          <w:kern w:val="0"/>
          <w:sz w:val="22"/>
          <w:szCs w:val="20"/>
          <w14:ligatures w14:val="none"/>
        </w:rPr>
        <w:t>o</w:t>
      </w:r>
      <w:proofErr w:type="spellEnd"/>
      <w:r w:rsidRPr="00D21DFA">
        <w:rPr>
          <w:rFonts w:ascii="Times New Roman" w:eastAsia="Times New Roman" w:hAnsi="Times New Roman" w:cs="Times New Roman"/>
          <w:snapToGrid w:val="0"/>
          <w:kern w:val="0"/>
          <w:sz w:val="22"/>
          <w:szCs w:val="20"/>
          <w14:ligatures w14:val="none"/>
        </w:rPr>
        <w:t>/varfarin</w:t>
      </w:r>
      <w:r w:rsidR="00577878" w:rsidRPr="00D21DFA">
        <w:rPr>
          <w:rFonts w:ascii="Times New Roman" w:eastAsia="Times New Roman" w:hAnsi="Times New Roman" w:cs="Times New Roman"/>
          <w:snapToGrid w:val="0"/>
          <w:kern w:val="0"/>
          <w:sz w:val="22"/>
          <w:szCs w:val="20"/>
          <w14:ligatures w14:val="none"/>
        </w:rPr>
        <w:t>o palyginamuosiuose tyrimuose</w:t>
      </w:r>
      <w:r w:rsidRPr="00D21DFA">
        <w:rPr>
          <w:rFonts w:ascii="Times New Roman" w:eastAsia="Times New Roman" w:hAnsi="Times New Roman" w:cs="Times New Roman"/>
          <w:snapToGrid w:val="0"/>
          <w:kern w:val="0"/>
          <w:sz w:val="22"/>
          <w:szCs w:val="20"/>
          <w14:ligatures w14:val="none"/>
        </w:rPr>
        <w:t xml:space="preserve"> bei 13,3 % placeb</w:t>
      </w:r>
      <w:r w:rsidR="00577878" w:rsidRPr="00D21DFA">
        <w:rPr>
          <w:rFonts w:ascii="Times New Roman" w:eastAsia="Times New Roman" w:hAnsi="Times New Roman" w:cs="Times New Roman"/>
          <w:snapToGrid w:val="0"/>
          <w:kern w:val="0"/>
          <w:sz w:val="22"/>
          <w:szCs w:val="20"/>
          <w14:ligatures w14:val="none"/>
        </w:rPr>
        <w:t>u kontroliuotuose</w:t>
      </w:r>
      <w:r w:rsidRPr="00D21DFA">
        <w:rPr>
          <w:rFonts w:ascii="Times New Roman" w:eastAsia="Times New Roman" w:hAnsi="Times New Roman" w:cs="Times New Roman"/>
          <w:snapToGrid w:val="0"/>
          <w:kern w:val="0"/>
          <w:sz w:val="22"/>
          <w:szCs w:val="20"/>
          <w14:ligatures w14:val="none"/>
        </w:rPr>
        <w:t xml:space="preserve"> tyrim</w:t>
      </w:r>
      <w:r w:rsidR="00577878"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o</w:t>
      </w:r>
      <w:r w:rsidR="00577878" w:rsidRPr="00D21DFA">
        <w:rPr>
          <w:rFonts w:ascii="Times New Roman" w:eastAsia="Times New Roman" w:hAnsi="Times New Roman" w:cs="Times New Roman"/>
          <w:snapToGrid w:val="0"/>
          <w:kern w:val="0"/>
          <w:sz w:val="22"/>
          <w:szCs w:val="20"/>
          <w14:ligatures w14:val="none"/>
        </w:rPr>
        <w:t>se</w:t>
      </w:r>
      <w:r w:rsidRPr="00D21DFA">
        <w:rPr>
          <w:rFonts w:ascii="Times New Roman" w:eastAsia="Times New Roman" w:hAnsi="Times New Roman" w:cs="Times New Roman"/>
          <w:snapToGrid w:val="0"/>
          <w:kern w:val="0"/>
          <w:sz w:val="22"/>
          <w:szCs w:val="20"/>
          <w14:ligatures w14:val="none"/>
        </w:rPr>
        <w:t xml:space="preserve"> (žr. 5.1 skyrių).</w:t>
      </w:r>
    </w:p>
    <w:p w14:paraId="7E96F58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055D58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2"/>
          <w:u w:val="single"/>
          <w:lang w:eastAsia="lt-LT"/>
          <w14:ligatures w14:val="none"/>
        </w:rPr>
        <w:t xml:space="preserve">Nepageidaujamų reakcijų santrauka </w:t>
      </w:r>
      <w:r w:rsidRPr="00D21DFA">
        <w:rPr>
          <w:rFonts w:ascii="Times New Roman" w:eastAsia="Times New Roman" w:hAnsi="Times New Roman" w:cs="Times New Roman"/>
          <w:snapToGrid w:val="0"/>
          <w:kern w:val="0"/>
          <w:sz w:val="22"/>
          <w:szCs w:val="20"/>
          <w:u w:val="single"/>
          <w14:ligatures w14:val="none"/>
        </w:rPr>
        <w:t xml:space="preserve">lentelėje </w:t>
      </w:r>
    </w:p>
    <w:p w14:paraId="5FBEC20A" w14:textId="7314596B" w:rsidR="00A942B0" w:rsidRPr="00D21DFA" w:rsidRDefault="00A942B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3</w:t>
      </w:r>
      <w:r w:rsidR="00C95D96" w:rsidRPr="00D21DFA">
        <w:rPr>
          <w:rFonts w:ascii="Times New Roman" w:eastAsia="Times New Roman" w:hAnsi="Times New Roman" w:cs="Times New Roman"/>
          <w:snapToGrid w:val="0"/>
          <w:kern w:val="0"/>
          <w:sz w:val="22"/>
          <w:szCs w:val="20"/>
          <w14:ligatures w14:val="none"/>
        </w:rPr>
        <w:t xml:space="preserve"> lentelėje išvardytos nepageidaujamos reakcijos, pasireiškusios atitinkamai </w:t>
      </w:r>
      <w:r w:rsidR="00B26BEF">
        <w:rPr>
          <w:rFonts w:ascii="Times New Roman" w:eastAsia="Times New Roman" w:hAnsi="Times New Roman" w:cs="Times New Roman"/>
          <w:snapToGrid w:val="0"/>
          <w:kern w:val="0"/>
          <w:sz w:val="22"/>
          <w:szCs w:val="20"/>
          <w14:ligatures w14:val="none"/>
        </w:rPr>
        <w:t xml:space="preserve">skiriant suaugusiesiems </w:t>
      </w:r>
      <w:r w:rsidR="00C95D96" w:rsidRPr="00D21DFA">
        <w:rPr>
          <w:rFonts w:ascii="Times New Roman" w:eastAsia="Times New Roman" w:hAnsi="Times New Roman" w:cs="Times New Roman"/>
          <w:snapToGrid w:val="0"/>
          <w:kern w:val="0"/>
          <w:sz w:val="22"/>
          <w:szCs w:val="20"/>
          <w14:ligatures w14:val="none"/>
        </w:rPr>
        <w:t xml:space="preserve">VNPV ir </w:t>
      </w:r>
      <w:proofErr w:type="spellStart"/>
      <w:r w:rsidR="00C95D96" w:rsidRPr="00D21DFA">
        <w:rPr>
          <w:rFonts w:ascii="Times New Roman" w:eastAsia="Times New Roman" w:hAnsi="Times New Roman" w:cs="Times New Roman"/>
          <w:snapToGrid w:val="0"/>
          <w:kern w:val="0"/>
          <w:sz w:val="22"/>
          <w:szCs w:val="20"/>
          <w14:ligatures w14:val="none"/>
        </w:rPr>
        <w:t>VTEt</w:t>
      </w:r>
      <w:proofErr w:type="spellEnd"/>
      <w:r w:rsidR="00C95D96" w:rsidRPr="00D21DFA">
        <w:rPr>
          <w:rFonts w:ascii="Times New Roman" w:eastAsia="Times New Roman" w:hAnsi="Times New Roman" w:cs="Times New Roman"/>
          <w:snapToGrid w:val="0"/>
          <w:kern w:val="0"/>
          <w:sz w:val="22"/>
          <w:szCs w:val="20"/>
          <w14:ligatures w14:val="none"/>
        </w:rPr>
        <w:t xml:space="preserve"> </w:t>
      </w:r>
      <w:r w:rsidR="00662FC1">
        <w:rPr>
          <w:rFonts w:ascii="Times New Roman" w:eastAsia="Times New Roman" w:hAnsi="Times New Roman" w:cs="Times New Roman"/>
          <w:snapToGrid w:val="0"/>
          <w:kern w:val="0"/>
          <w:sz w:val="22"/>
          <w:szCs w:val="20"/>
          <w14:ligatures w14:val="none"/>
        </w:rPr>
        <w:t>indikacijoms</w:t>
      </w:r>
      <w:r w:rsidRPr="00D21DFA">
        <w:rPr>
          <w:rFonts w:ascii="Times New Roman" w:eastAsia="Times New Roman" w:hAnsi="Times New Roman" w:cs="Times New Roman"/>
          <w:snapToGrid w:val="0"/>
          <w:kern w:val="0"/>
          <w:sz w:val="22"/>
          <w:szCs w:val="20"/>
          <w14:ligatures w14:val="none"/>
        </w:rPr>
        <w:t xml:space="preserve"> ir pacientams vaikams nuo 28 dienų iki &lt; 18 metų</w:t>
      </w:r>
      <w:r w:rsidR="00577878" w:rsidRPr="00D21DFA">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suklasifikuotos pagal organų sistemų klases ir dažnį, nepageidaujamo poveikio dažnis apibūdinimas taip: labai dažnas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1/10), dažnas (nuo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1/100 iki &lt; 1/10), nedažnas (nuo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xml:space="preserve"> 1/1 000 iki &lt; 1/100), retas (nuo </w:t>
      </w:r>
      <w:r w:rsidR="00C95D96" w:rsidRPr="00D21DFA">
        <w:rPr>
          <w:rFonts w:ascii="Times New Roman" w:eastAsia="Times New Roman" w:hAnsi="Times New Roman" w:cs="Times New Roman"/>
          <w:snapToGrid w:val="0"/>
          <w:kern w:val="0"/>
          <w:sz w:val="22"/>
          <w:szCs w:val="20"/>
          <w14:ligatures w14:val="none"/>
        </w:rPr>
        <w:sym w:font="Symbol" w:char="F0B3"/>
      </w:r>
      <w:r w:rsidR="00C95D96" w:rsidRPr="00D21DFA">
        <w:rPr>
          <w:rFonts w:ascii="Times New Roman" w:eastAsia="Times New Roman" w:hAnsi="Times New Roman" w:cs="Times New Roman"/>
          <w:snapToGrid w:val="0"/>
          <w:kern w:val="0"/>
          <w:sz w:val="22"/>
          <w:szCs w:val="20"/>
          <w14:ligatures w14:val="none"/>
        </w:rPr>
        <w:t> 1/10 000 iki &lt; 1/1 000), labai retas &lt; 1/10 000) ir nežinomas (negali būti apskaičiuotas pagal turimus duomenis)</w:t>
      </w:r>
      <w:r w:rsidR="00662FC1">
        <w:rPr>
          <w:rFonts w:ascii="Times New Roman" w:eastAsia="Times New Roman" w:hAnsi="Times New Roman" w:cs="Times New Roman"/>
          <w:snapToGrid w:val="0"/>
          <w:kern w:val="0"/>
          <w:sz w:val="22"/>
          <w:szCs w:val="20"/>
          <w14:ligatures w14:val="none"/>
        </w:rPr>
        <w:t>.</w:t>
      </w:r>
      <w:r w:rsidR="00C95D96" w:rsidRPr="00D21DFA">
        <w:rPr>
          <w:rFonts w:ascii="Times New Roman" w:eastAsia="Times New Roman" w:hAnsi="Times New Roman" w:cs="Times New Roman"/>
          <w:snapToGrid w:val="0"/>
          <w:kern w:val="0"/>
          <w:sz w:val="22"/>
          <w:szCs w:val="20"/>
          <w14:ligatures w14:val="none"/>
        </w:rPr>
        <w:t xml:space="preserve"> </w:t>
      </w:r>
    </w:p>
    <w:p w14:paraId="6E59EF8F" w14:textId="77777777" w:rsidR="00A942B0" w:rsidRPr="00D21DFA" w:rsidRDefault="00A942B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ED1FDC" w14:textId="58C08FCF" w:rsidR="00C95D96" w:rsidRPr="00D21DFA" w:rsidRDefault="00A942B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3 lentelėje nurodytų nepageidaujamų reakcijų dažnis pacientams vaikams yra gautas iš tyrimo CV185325, kuriame jie vartojo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VTE gydymui ir VTE pasikartojimo profilaktikai.</w:t>
      </w:r>
    </w:p>
    <w:p w14:paraId="5EEC453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2929293A" w14:textId="6EB7506F" w:rsidR="00C95D96" w:rsidRPr="00D21DFA" w:rsidRDefault="00A942B0" w:rsidP="00C95D96">
      <w:pPr>
        <w:tabs>
          <w:tab w:val="left" w:pos="567"/>
          <w:tab w:val="left" w:pos="9214"/>
        </w:tabs>
        <w:spacing w:after="120" w:line="240" w:lineRule="auto"/>
        <w:ind w:right="-2"/>
        <w:rPr>
          <w:rFonts w:ascii="Times New Roman" w:eastAsia="Times New Roman" w:hAnsi="Times New Roman" w:cs="Times New Roman"/>
          <w:b/>
          <w:bCs/>
          <w:kern w:val="0"/>
          <w:sz w:val="22"/>
          <w:szCs w:val="20"/>
          <w14:ligatures w14:val="none"/>
        </w:rPr>
      </w:pPr>
      <w:r w:rsidRPr="00D21DFA">
        <w:rPr>
          <w:rFonts w:ascii="Times New Roman" w:eastAsia="Times New Roman" w:hAnsi="Times New Roman" w:cs="Times New Roman"/>
          <w:b/>
          <w:bCs/>
          <w:kern w:val="0"/>
          <w:sz w:val="22"/>
          <w:szCs w:val="20"/>
          <w14:ligatures w14:val="none"/>
        </w:rPr>
        <w:t>3</w:t>
      </w:r>
      <w:r w:rsidR="00C95D96" w:rsidRPr="00D21DFA">
        <w:rPr>
          <w:rFonts w:ascii="Times New Roman" w:eastAsia="Times New Roman" w:hAnsi="Times New Roman" w:cs="Times New Roman"/>
          <w:b/>
          <w:bCs/>
          <w:kern w:val="0"/>
          <w:sz w:val="22"/>
          <w:szCs w:val="20"/>
          <w14:ligatures w14:val="none"/>
        </w:rPr>
        <w:t xml:space="preserve"> lentelė. Nepageidaujamos reakcijos lentelėje</w:t>
      </w:r>
    </w:p>
    <w:tbl>
      <w:tblPr>
        <w:tblW w:w="9475" w:type="dxa"/>
        <w:tblInd w:w="108" w:type="dxa"/>
        <w:tblCellMar>
          <w:top w:w="55" w:type="dxa"/>
          <w:right w:w="55" w:type="dxa"/>
        </w:tblCellMar>
        <w:tblLook w:val="04A0" w:firstRow="1" w:lastRow="0" w:firstColumn="1" w:lastColumn="0" w:noHBand="0" w:noVBand="1"/>
      </w:tblPr>
      <w:tblGrid>
        <w:gridCol w:w="2503"/>
        <w:gridCol w:w="2363"/>
        <w:gridCol w:w="2239"/>
        <w:gridCol w:w="2370"/>
      </w:tblGrid>
      <w:tr w:rsidR="008A3802" w:rsidRPr="00D21DFA" w14:paraId="2FC900FF" w14:textId="697A51C2" w:rsidTr="008A3802">
        <w:trPr>
          <w:trHeight w:val="2034"/>
        </w:trPr>
        <w:tc>
          <w:tcPr>
            <w:tcW w:w="2503" w:type="dxa"/>
            <w:tcBorders>
              <w:top w:val="single" w:sz="4" w:space="0" w:color="000000"/>
              <w:left w:val="single" w:sz="4" w:space="0" w:color="000000"/>
              <w:bottom w:val="single" w:sz="4" w:space="0" w:color="000000"/>
              <w:right w:val="single" w:sz="4" w:space="0" w:color="000000"/>
            </w:tcBorders>
            <w:hideMark/>
          </w:tcPr>
          <w:p w14:paraId="2B1F5769"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lastRenderedPageBreak/>
              <w:t>Organų sistemų klasė</w:t>
            </w:r>
          </w:p>
        </w:tc>
        <w:tc>
          <w:tcPr>
            <w:tcW w:w="2363" w:type="dxa"/>
            <w:tcBorders>
              <w:top w:val="single" w:sz="4" w:space="0" w:color="000000"/>
              <w:left w:val="single" w:sz="4" w:space="0" w:color="000000"/>
              <w:bottom w:val="single" w:sz="4" w:space="0" w:color="000000"/>
              <w:right w:val="single" w:sz="4" w:space="0" w:color="000000"/>
            </w:tcBorders>
            <w:hideMark/>
          </w:tcPr>
          <w:p w14:paraId="6C69199B"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t xml:space="preserve">Insulto ir </w:t>
            </w:r>
            <w:proofErr w:type="spellStart"/>
            <w:r w:rsidRPr="00D21DFA">
              <w:rPr>
                <w:rFonts w:ascii="Times New Roman" w:eastAsia="Times New Roman" w:hAnsi="Times New Roman" w:cs="Times New Roman"/>
                <w:b/>
                <w:bCs/>
                <w:snapToGrid w:val="0"/>
                <w:kern w:val="0"/>
                <w:sz w:val="22"/>
                <w:szCs w:val="20"/>
                <w14:ligatures w14:val="none"/>
              </w:rPr>
              <w:t>siste</w:t>
            </w:r>
            <w:proofErr w:type="spellEnd"/>
            <w:r w:rsidRPr="00D21DFA">
              <w:rPr>
                <w:rFonts w:ascii="Times New Roman" w:eastAsia="Times New Roman" w:hAnsi="Times New Roman" w:cs="Times New Roman"/>
                <w:b/>
                <w:bCs/>
                <w:snapToGrid w:val="0"/>
                <w:kern w:val="0"/>
                <w:sz w:val="22"/>
                <w:szCs w:val="20"/>
                <w14:ligatures w14:val="none"/>
              </w:rPr>
              <w:t>-minės embolijos profilaktika suaugusiems pacientams, kuriems pasireiškė VNPV ir kuriems yra vienas ar daugiau rizikos veiksnių (VNPV)</w:t>
            </w:r>
          </w:p>
        </w:tc>
        <w:tc>
          <w:tcPr>
            <w:tcW w:w="2239" w:type="dxa"/>
            <w:tcBorders>
              <w:top w:val="single" w:sz="4" w:space="0" w:color="000000"/>
              <w:left w:val="single" w:sz="4" w:space="0" w:color="000000"/>
              <w:bottom w:val="single" w:sz="4" w:space="0" w:color="000000"/>
              <w:right w:val="single" w:sz="4" w:space="0" w:color="000000"/>
            </w:tcBorders>
            <w:hideMark/>
          </w:tcPr>
          <w:p w14:paraId="17082D92" w14:textId="66F2124D" w:rsidR="008A3802" w:rsidRPr="00D21DFA" w:rsidRDefault="008A3802" w:rsidP="00A942B0">
            <w:pPr>
              <w:tabs>
                <w:tab w:val="left" w:pos="567"/>
                <w:tab w:val="left" w:pos="9214"/>
              </w:tabs>
              <w:spacing w:after="0" w:line="260" w:lineRule="exact"/>
              <w:ind w:right="-2"/>
              <w:jc w:val="center"/>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0"/>
                <w14:ligatures w14:val="none"/>
              </w:rPr>
              <w:t>GVT ir PE gydymas ir GVT bei PE (</w:t>
            </w:r>
            <w:proofErr w:type="spellStart"/>
            <w:r w:rsidRPr="00D21DFA">
              <w:rPr>
                <w:rFonts w:ascii="Times New Roman" w:eastAsia="Times New Roman" w:hAnsi="Times New Roman" w:cs="Times New Roman"/>
                <w:b/>
                <w:bCs/>
                <w:snapToGrid w:val="0"/>
                <w:kern w:val="0"/>
                <w:sz w:val="22"/>
                <w:szCs w:val="20"/>
                <w14:ligatures w14:val="none"/>
              </w:rPr>
              <w:t>VTEt</w:t>
            </w:r>
            <w:proofErr w:type="spellEnd"/>
            <w:r w:rsidRPr="00D21DFA">
              <w:rPr>
                <w:rFonts w:ascii="Times New Roman" w:eastAsia="Times New Roman" w:hAnsi="Times New Roman" w:cs="Times New Roman"/>
                <w:b/>
                <w:bCs/>
                <w:snapToGrid w:val="0"/>
                <w:kern w:val="0"/>
                <w:sz w:val="22"/>
                <w:szCs w:val="20"/>
                <w14:ligatures w14:val="none"/>
              </w:rPr>
              <w:t>) pasikartojimo profilaktika suaugusiesiems</w:t>
            </w:r>
          </w:p>
        </w:tc>
        <w:tc>
          <w:tcPr>
            <w:tcW w:w="2370" w:type="dxa"/>
            <w:tcBorders>
              <w:top w:val="single" w:sz="4" w:space="0" w:color="000000"/>
              <w:left w:val="single" w:sz="4" w:space="0" w:color="000000"/>
              <w:bottom w:val="single" w:sz="4" w:space="0" w:color="000000"/>
              <w:right w:val="single" w:sz="4" w:space="0" w:color="000000"/>
            </w:tcBorders>
          </w:tcPr>
          <w:p w14:paraId="36F1AE08" w14:textId="77777777" w:rsidR="008A3802" w:rsidRPr="00D21DFA" w:rsidRDefault="008A3802" w:rsidP="00A942B0">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VTE gydymas ir VTE</w:t>
            </w:r>
          </w:p>
          <w:p w14:paraId="693D7FCE" w14:textId="65E73C6D" w:rsidR="008A3802" w:rsidRPr="00D21DFA" w:rsidRDefault="008A3802" w:rsidP="00A942B0">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pasikartojimo profilaktika</w:t>
            </w:r>
          </w:p>
          <w:p w14:paraId="775CF466" w14:textId="77777777" w:rsidR="008A3802" w:rsidRPr="00D21DFA" w:rsidRDefault="008A3802" w:rsidP="00A942B0">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pacientams</w:t>
            </w:r>
          </w:p>
          <w:p w14:paraId="729D75C2" w14:textId="0995A831" w:rsidR="008A3802" w:rsidRPr="00D21DFA" w:rsidRDefault="008A3802" w:rsidP="00AD1A35">
            <w:pPr>
              <w:tabs>
                <w:tab w:val="left" w:pos="567"/>
                <w:tab w:val="left" w:pos="9214"/>
              </w:tabs>
              <w:spacing w:after="0" w:line="260" w:lineRule="exact"/>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vaikams nuo 28 dienų iki mažiau kaip 18 metų</w:t>
            </w:r>
          </w:p>
        </w:tc>
      </w:tr>
      <w:tr w:rsidR="008A3802" w:rsidRPr="00D21DFA" w14:paraId="7AF10915" w14:textId="1DBB9062" w:rsidTr="008A3802">
        <w:trPr>
          <w:trHeight w:val="368"/>
        </w:trPr>
        <w:tc>
          <w:tcPr>
            <w:tcW w:w="7105" w:type="dxa"/>
            <w:gridSpan w:val="3"/>
            <w:tcBorders>
              <w:top w:val="single" w:sz="4" w:space="0" w:color="000000"/>
              <w:left w:val="single" w:sz="4" w:space="0" w:color="000000"/>
              <w:bottom w:val="single" w:sz="4" w:space="0" w:color="000000"/>
              <w:right w:val="single" w:sz="4" w:space="0" w:color="000000"/>
            </w:tcBorders>
            <w:hideMark/>
          </w:tcPr>
          <w:p w14:paraId="4D381100"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Kraujo ir limfinės sistemos sutrikimai</w:t>
            </w:r>
          </w:p>
        </w:tc>
        <w:tc>
          <w:tcPr>
            <w:tcW w:w="2370" w:type="dxa"/>
            <w:tcBorders>
              <w:top w:val="single" w:sz="4" w:space="0" w:color="000000"/>
              <w:left w:val="single" w:sz="4" w:space="0" w:color="000000"/>
              <w:bottom w:val="single" w:sz="4" w:space="0" w:color="000000"/>
              <w:right w:val="single" w:sz="4" w:space="0" w:color="000000"/>
            </w:tcBorders>
          </w:tcPr>
          <w:p w14:paraId="267121EE"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2E14A24C" w14:textId="5D2F5C36" w:rsidTr="008A3802">
        <w:trPr>
          <w:trHeight w:val="264"/>
        </w:trPr>
        <w:tc>
          <w:tcPr>
            <w:tcW w:w="2503" w:type="dxa"/>
            <w:tcBorders>
              <w:top w:val="single" w:sz="4" w:space="0" w:color="000000"/>
              <w:left w:val="single" w:sz="4" w:space="0" w:color="000000"/>
              <w:bottom w:val="single" w:sz="4" w:space="0" w:color="000000"/>
              <w:right w:val="single" w:sz="4" w:space="0" w:color="000000"/>
            </w:tcBorders>
            <w:hideMark/>
          </w:tcPr>
          <w:p w14:paraId="0BF673E7"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Anemija </w:t>
            </w:r>
          </w:p>
        </w:tc>
        <w:tc>
          <w:tcPr>
            <w:tcW w:w="2363" w:type="dxa"/>
            <w:tcBorders>
              <w:top w:val="single" w:sz="4" w:space="0" w:color="000000"/>
              <w:left w:val="single" w:sz="4" w:space="0" w:color="000000"/>
              <w:bottom w:val="single" w:sz="4" w:space="0" w:color="000000"/>
              <w:right w:val="single" w:sz="4" w:space="0" w:color="000000"/>
            </w:tcBorders>
          </w:tcPr>
          <w:p w14:paraId="08C90F68"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Dažnas </w:t>
            </w:r>
          </w:p>
        </w:tc>
        <w:tc>
          <w:tcPr>
            <w:tcW w:w="2239" w:type="dxa"/>
            <w:tcBorders>
              <w:top w:val="single" w:sz="4" w:space="0" w:color="000000"/>
              <w:left w:val="single" w:sz="4" w:space="0" w:color="000000"/>
              <w:bottom w:val="single" w:sz="4" w:space="0" w:color="000000"/>
              <w:right w:val="single" w:sz="4" w:space="0" w:color="000000"/>
            </w:tcBorders>
            <w:hideMark/>
          </w:tcPr>
          <w:p w14:paraId="2460BBE2"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Dažnas </w:t>
            </w:r>
          </w:p>
        </w:tc>
        <w:tc>
          <w:tcPr>
            <w:tcW w:w="2370" w:type="dxa"/>
            <w:tcBorders>
              <w:top w:val="single" w:sz="4" w:space="0" w:color="000000"/>
              <w:left w:val="single" w:sz="4" w:space="0" w:color="000000"/>
              <w:bottom w:val="single" w:sz="4" w:space="0" w:color="000000"/>
              <w:right w:val="single" w:sz="4" w:space="0" w:color="000000"/>
            </w:tcBorders>
          </w:tcPr>
          <w:p w14:paraId="5B4A2DB8" w14:textId="200E9F4B"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62076792" w14:textId="51E32B74" w:rsidTr="008A3802">
        <w:trPr>
          <w:trHeight w:val="263"/>
        </w:trPr>
        <w:tc>
          <w:tcPr>
            <w:tcW w:w="2503" w:type="dxa"/>
            <w:tcBorders>
              <w:top w:val="single" w:sz="4" w:space="0" w:color="000000"/>
              <w:left w:val="single" w:sz="4" w:space="0" w:color="000000"/>
              <w:bottom w:val="single" w:sz="4" w:space="0" w:color="000000"/>
              <w:right w:val="single" w:sz="4" w:space="0" w:color="000000"/>
            </w:tcBorders>
            <w:hideMark/>
          </w:tcPr>
          <w:p w14:paraId="68A3053D"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Trombocitopenija</w:t>
            </w:r>
            <w:proofErr w:type="spellEnd"/>
            <w:r w:rsidRPr="00D21DFA">
              <w:rPr>
                <w:rFonts w:ascii="Times New Roman" w:eastAsia="Times New Roman" w:hAnsi="Times New Roman" w:cs="Times New Roman"/>
                <w:snapToGrid w:val="0"/>
                <w:kern w:val="0"/>
                <w:sz w:val="22"/>
                <w:szCs w:val="22"/>
                <w14:ligatures w14:val="none"/>
              </w:rPr>
              <w:t xml:space="preserve">  </w:t>
            </w:r>
          </w:p>
        </w:tc>
        <w:tc>
          <w:tcPr>
            <w:tcW w:w="2363" w:type="dxa"/>
            <w:tcBorders>
              <w:top w:val="single" w:sz="4" w:space="0" w:color="000000"/>
              <w:left w:val="single" w:sz="4" w:space="0" w:color="000000"/>
              <w:bottom w:val="single" w:sz="4" w:space="0" w:color="000000"/>
              <w:right w:val="single" w:sz="4" w:space="0" w:color="000000"/>
            </w:tcBorders>
            <w:hideMark/>
          </w:tcPr>
          <w:p w14:paraId="510CE7E0"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Nedažnas </w:t>
            </w:r>
          </w:p>
        </w:tc>
        <w:tc>
          <w:tcPr>
            <w:tcW w:w="2239" w:type="dxa"/>
            <w:tcBorders>
              <w:top w:val="single" w:sz="4" w:space="0" w:color="000000"/>
              <w:left w:val="single" w:sz="4" w:space="0" w:color="000000"/>
              <w:bottom w:val="single" w:sz="4" w:space="0" w:color="000000"/>
              <w:right w:val="single" w:sz="4" w:space="0" w:color="000000"/>
            </w:tcBorders>
            <w:hideMark/>
          </w:tcPr>
          <w:p w14:paraId="772859BC"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Dažnas </w:t>
            </w:r>
          </w:p>
        </w:tc>
        <w:tc>
          <w:tcPr>
            <w:tcW w:w="2370" w:type="dxa"/>
            <w:tcBorders>
              <w:top w:val="single" w:sz="4" w:space="0" w:color="000000"/>
              <w:left w:val="single" w:sz="4" w:space="0" w:color="000000"/>
              <w:bottom w:val="single" w:sz="4" w:space="0" w:color="000000"/>
              <w:right w:val="single" w:sz="4" w:space="0" w:color="000000"/>
            </w:tcBorders>
          </w:tcPr>
          <w:p w14:paraId="7D5D1058" w14:textId="6C01BF1C"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6BAC7C13" w14:textId="76490437"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511D49FE"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Imuninės sistemos sutrikimai</w:t>
            </w:r>
          </w:p>
        </w:tc>
        <w:tc>
          <w:tcPr>
            <w:tcW w:w="2370" w:type="dxa"/>
            <w:tcBorders>
              <w:top w:val="single" w:sz="4" w:space="0" w:color="000000"/>
              <w:left w:val="single" w:sz="4" w:space="0" w:color="000000"/>
              <w:bottom w:val="single" w:sz="4" w:space="0" w:color="000000"/>
              <w:right w:val="single" w:sz="4" w:space="0" w:color="000000"/>
            </w:tcBorders>
          </w:tcPr>
          <w:p w14:paraId="5372AA62"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7BE7A519" w14:textId="70FF4CB6"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5320C6D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Padidėjęs jautrumas, alerginė edema, anafilaksinė reakcija</w:t>
            </w:r>
          </w:p>
        </w:tc>
        <w:tc>
          <w:tcPr>
            <w:tcW w:w="2363" w:type="dxa"/>
            <w:tcBorders>
              <w:top w:val="single" w:sz="4" w:space="0" w:color="000000"/>
              <w:left w:val="single" w:sz="4" w:space="0" w:color="000000"/>
              <w:bottom w:val="single" w:sz="4" w:space="0" w:color="000000"/>
              <w:right w:val="single" w:sz="4" w:space="0" w:color="000000"/>
            </w:tcBorders>
          </w:tcPr>
          <w:p w14:paraId="2B78C2CE"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52D6221D"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23FF4EA4" w14:textId="1A0D7E39"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r w:rsidRPr="00D21DFA">
              <w:rPr>
                <w:rFonts w:ascii="Times New Roman" w:eastAsia="Times New Roman" w:hAnsi="Times New Roman" w:cs="Times New Roman"/>
                <w:snapToGrid w:val="0"/>
                <w:kern w:val="0"/>
                <w:sz w:val="22"/>
                <w:szCs w:val="22"/>
                <w:vertAlign w:val="superscript"/>
                <w14:ligatures w14:val="none"/>
              </w:rPr>
              <w:t>‡</w:t>
            </w:r>
          </w:p>
        </w:tc>
      </w:tr>
      <w:tr w:rsidR="008A3802" w:rsidRPr="00D21DFA" w14:paraId="392E344E" w14:textId="59F53DD0"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00B5A5E0"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Niežėjimas</w:t>
            </w:r>
          </w:p>
        </w:tc>
        <w:tc>
          <w:tcPr>
            <w:tcW w:w="2363" w:type="dxa"/>
            <w:tcBorders>
              <w:top w:val="single" w:sz="4" w:space="0" w:color="000000"/>
              <w:left w:val="single" w:sz="4" w:space="0" w:color="000000"/>
              <w:bottom w:val="single" w:sz="4" w:space="0" w:color="000000"/>
              <w:right w:val="single" w:sz="4" w:space="0" w:color="000000"/>
            </w:tcBorders>
          </w:tcPr>
          <w:p w14:paraId="53A9242B"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1ADD5C6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755B8629" w14:textId="12B01DA9"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045BFD8B" w14:textId="35B0141E"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3C997538"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Angioneurozinė</w:t>
            </w:r>
            <w:proofErr w:type="spellEnd"/>
            <w:r w:rsidRPr="00D21DFA">
              <w:rPr>
                <w:rFonts w:ascii="Times New Roman" w:eastAsia="Times New Roman" w:hAnsi="Times New Roman" w:cs="Times New Roman"/>
                <w:snapToGrid w:val="0"/>
                <w:kern w:val="0"/>
                <w:sz w:val="22"/>
                <w:szCs w:val="22"/>
                <w14:ligatures w14:val="none"/>
              </w:rPr>
              <w:t xml:space="preserve"> edema</w:t>
            </w:r>
          </w:p>
        </w:tc>
        <w:tc>
          <w:tcPr>
            <w:tcW w:w="2363" w:type="dxa"/>
            <w:tcBorders>
              <w:top w:val="single" w:sz="4" w:space="0" w:color="000000"/>
              <w:left w:val="single" w:sz="4" w:space="0" w:color="000000"/>
              <w:bottom w:val="single" w:sz="4" w:space="0" w:color="000000"/>
              <w:right w:val="single" w:sz="4" w:space="0" w:color="000000"/>
            </w:tcBorders>
          </w:tcPr>
          <w:p w14:paraId="6632B9DC"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239" w:type="dxa"/>
            <w:tcBorders>
              <w:top w:val="single" w:sz="4" w:space="0" w:color="000000"/>
              <w:left w:val="single" w:sz="4" w:space="0" w:color="000000"/>
              <w:bottom w:val="single" w:sz="4" w:space="0" w:color="000000"/>
              <w:right w:val="single" w:sz="4" w:space="0" w:color="000000"/>
            </w:tcBorders>
          </w:tcPr>
          <w:p w14:paraId="431128EE"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370" w:type="dxa"/>
            <w:tcBorders>
              <w:top w:val="single" w:sz="4" w:space="0" w:color="000000"/>
              <w:left w:val="single" w:sz="4" w:space="0" w:color="000000"/>
              <w:bottom w:val="single" w:sz="4" w:space="0" w:color="000000"/>
              <w:right w:val="single" w:sz="4" w:space="0" w:color="000000"/>
            </w:tcBorders>
          </w:tcPr>
          <w:p w14:paraId="7592E2C3" w14:textId="096EA4C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097291E0" w14:textId="1F124CAD"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581A711F"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Nervų sistemos sutrikimai</w:t>
            </w:r>
          </w:p>
        </w:tc>
        <w:tc>
          <w:tcPr>
            <w:tcW w:w="2370" w:type="dxa"/>
            <w:tcBorders>
              <w:top w:val="single" w:sz="4" w:space="0" w:color="000000"/>
              <w:left w:val="single" w:sz="4" w:space="0" w:color="000000"/>
              <w:bottom w:val="single" w:sz="4" w:space="0" w:color="000000"/>
              <w:right w:val="single" w:sz="4" w:space="0" w:color="000000"/>
            </w:tcBorders>
          </w:tcPr>
          <w:p w14:paraId="7D19FB4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6BD7ED56" w14:textId="68C99135"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0B52E92A"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smegenis</w:t>
            </w:r>
            <w:r w:rsidRPr="00D21DFA">
              <w:rPr>
                <w:rFonts w:ascii="Times New Roman" w:eastAsia="Times New Roman" w:hAnsi="Times New Roman" w:cs="Times New Roman"/>
                <w:snapToGrid w:val="0"/>
                <w:kern w:val="0"/>
                <w:sz w:val="22"/>
                <w:szCs w:val="22"/>
                <w14:ligatures w14:val="none"/>
              </w:rPr>
              <w:t>†</w:t>
            </w:r>
            <w:r w:rsidRPr="00D21DFA">
              <w:rPr>
                <w:rFonts w:ascii="Times New Roman" w:eastAsia="Times New Roman" w:hAnsi="Times New Roman" w:cs="Times New Roman"/>
                <w:snapToGrid w:val="0"/>
                <w:kern w:val="0"/>
                <w:sz w:val="22"/>
                <w:szCs w:val="20"/>
                <w14:ligatures w14:val="none"/>
              </w:rPr>
              <w:t xml:space="preserve"> </w:t>
            </w:r>
          </w:p>
        </w:tc>
        <w:tc>
          <w:tcPr>
            <w:tcW w:w="2363" w:type="dxa"/>
            <w:tcBorders>
              <w:top w:val="single" w:sz="4" w:space="0" w:color="000000"/>
              <w:left w:val="single" w:sz="4" w:space="0" w:color="000000"/>
              <w:bottom w:val="single" w:sz="4" w:space="0" w:color="000000"/>
              <w:right w:val="single" w:sz="4" w:space="0" w:color="000000"/>
            </w:tcBorders>
          </w:tcPr>
          <w:p w14:paraId="06C798DF"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324067B9"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370" w:type="dxa"/>
            <w:tcBorders>
              <w:top w:val="single" w:sz="4" w:space="0" w:color="000000"/>
              <w:left w:val="single" w:sz="4" w:space="0" w:color="000000"/>
              <w:bottom w:val="single" w:sz="4" w:space="0" w:color="000000"/>
              <w:right w:val="single" w:sz="4" w:space="0" w:color="000000"/>
            </w:tcBorders>
          </w:tcPr>
          <w:p w14:paraId="1FC4A5B9" w14:textId="74B42B99"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3097A2C1" w14:textId="561661E1"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55B8E0DF"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Akių sutrikimai</w:t>
            </w:r>
          </w:p>
        </w:tc>
        <w:tc>
          <w:tcPr>
            <w:tcW w:w="2370" w:type="dxa"/>
            <w:tcBorders>
              <w:top w:val="single" w:sz="4" w:space="0" w:color="000000"/>
              <w:left w:val="single" w:sz="4" w:space="0" w:color="000000"/>
              <w:bottom w:val="single" w:sz="4" w:space="0" w:color="000000"/>
              <w:right w:val="single" w:sz="4" w:space="0" w:color="000000"/>
            </w:tcBorders>
          </w:tcPr>
          <w:p w14:paraId="09ADEA72"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0E1E0C59" w14:textId="7007D41A"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444B947D" w14:textId="4386DAC6"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akies obuolį (įskaitant junginės kraujosruvą)</w:t>
            </w:r>
          </w:p>
        </w:tc>
        <w:tc>
          <w:tcPr>
            <w:tcW w:w="2363" w:type="dxa"/>
            <w:tcBorders>
              <w:top w:val="single" w:sz="4" w:space="0" w:color="000000"/>
              <w:left w:val="single" w:sz="4" w:space="0" w:color="000000"/>
              <w:bottom w:val="single" w:sz="4" w:space="0" w:color="000000"/>
              <w:right w:val="single" w:sz="4" w:space="0" w:color="000000"/>
            </w:tcBorders>
          </w:tcPr>
          <w:p w14:paraId="228C591A"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7D42FE2D"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50D7503B" w14:textId="3EF98D76"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07931D16" w14:textId="6F2DD6C6"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31CC598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Kraujagyslių sutrikimai</w:t>
            </w:r>
          </w:p>
        </w:tc>
        <w:tc>
          <w:tcPr>
            <w:tcW w:w="2370" w:type="dxa"/>
            <w:tcBorders>
              <w:top w:val="single" w:sz="4" w:space="0" w:color="000000"/>
              <w:left w:val="single" w:sz="4" w:space="0" w:color="000000"/>
              <w:bottom w:val="single" w:sz="4" w:space="0" w:color="000000"/>
              <w:right w:val="single" w:sz="4" w:space="0" w:color="000000"/>
            </w:tcBorders>
          </w:tcPr>
          <w:p w14:paraId="1C6FBAF1"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72895D0F" w14:textId="056372FD"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31CF795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hematoma</w:t>
            </w:r>
          </w:p>
        </w:tc>
        <w:tc>
          <w:tcPr>
            <w:tcW w:w="2363" w:type="dxa"/>
            <w:tcBorders>
              <w:top w:val="single" w:sz="4" w:space="0" w:color="000000"/>
              <w:left w:val="single" w:sz="4" w:space="0" w:color="000000"/>
              <w:bottom w:val="single" w:sz="4" w:space="0" w:color="000000"/>
              <w:right w:val="single" w:sz="4" w:space="0" w:color="000000"/>
            </w:tcBorders>
          </w:tcPr>
          <w:p w14:paraId="7F6E8F63"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4F7FBD2E"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05CA1FA4" w14:textId="06B4AB88"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17E29FF0" w14:textId="36C89315"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1AC3F001"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Hipotenzija</w:t>
            </w:r>
            <w:proofErr w:type="spellEnd"/>
            <w:r w:rsidRPr="00D21DFA">
              <w:rPr>
                <w:rFonts w:ascii="Times New Roman" w:eastAsia="Times New Roman" w:hAnsi="Times New Roman" w:cs="Times New Roman"/>
                <w:snapToGrid w:val="0"/>
                <w:kern w:val="0"/>
                <w:sz w:val="22"/>
                <w:szCs w:val="20"/>
                <w14:ligatures w14:val="none"/>
              </w:rPr>
              <w:t xml:space="preserve"> (įskaitant </w:t>
            </w:r>
            <w:proofErr w:type="spellStart"/>
            <w:r w:rsidRPr="00D21DFA">
              <w:rPr>
                <w:rFonts w:ascii="Times New Roman" w:eastAsia="Times New Roman" w:hAnsi="Times New Roman" w:cs="Times New Roman"/>
                <w:snapToGrid w:val="0"/>
                <w:kern w:val="0"/>
                <w:sz w:val="22"/>
                <w:szCs w:val="20"/>
                <w14:ligatures w14:val="none"/>
              </w:rPr>
              <w:t>hipotenziją</w:t>
            </w:r>
            <w:proofErr w:type="spellEnd"/>
            <w:r w:rsidRPr="00D21DFA">
              <w:rPr>
                <w:rFonts w:ascii="Times New Roman" w:eastAsia="Times New Roman" w:hAnsi="Times New Roman" w:cs="Times New Roman"/>
                <w:snapToGrid w:val="0"/>
                <w:kern w:val="0"/>
                <w:sz w:val="22"/>
                <w:szCs w:val="20"/>
                <w14:ligatures w14:val="none"/>
              </w:rPr>
              <w:t xml:space="preserve"> procedūros metu)</w:t>
            </w:r>
          </w:p>
        </w:tc>
        <w:tc>
          <w:tcPr>
            <w:tcW w:w="2363" w:type="dxa"/>
            <w:tcBorders>
              <w:top w:val="single" w:sz="4" w:space="0" w:color="000000"/>
              <w:left w:val="single" w:sz="4" w:space="0" w:color="000000"/>
              <w:bottom w:val="single" w:sz="4" w:space="0" w:color="000000"/>
              <w:right w:val="single" w:sz="4" w:space="0" w:color="000000"/>
            </w:tcBorders>
          </w:tcPr>
          <w:p w14:paraId="69DB0B09"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13434CB6"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68960BC7" w14:textId="5C2534B4"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1C379096" w14:textId="13832A03"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6C1E680B"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pilvo ertmę</w:t>
            </w:r>
          </w:p>
        </w:tc>
        <w:tc>
          <w:tcPr>
            <w:tcW w:w="2363" w:type="dxa"/>
            <w:tcBorders>
              <w:top w:val="single" w:sz="4" w:space="0" w:color="000000"/>
              <w:left w:val="single" w:sz="4" w:space="0" w:color="000000"/>
              <w:bottom w:val="single" w:sz="4" w:space="0" w:color="000000"/>
              <w:right w:val="single" w:sz="4" w:space="0" w:color="000000"/>
            </w:tcBorders>
          </w:tcPr>
          <w:p w14:paraId="658A4E21"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05E423A1"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370" w:type="dxa"/>
            <w:tcBorders>
              <w:top w:val="single" w:sz="4" w:space="0" w:color="000000"/>
              <w:left w:val="single" w:sz="4" w:space="0" w:color="000000"/>
              <w:bottom w:val="single" w:sz="4" w:space="0" w:color="000000"/>
              <w:right w:val="single" w:sz="4" w:space="0" w:color="000000"/>
            </w:tcBorders>
          </w:tcPr>
          <w:p w14:paraId="6B74C194" w14:textId="1A63D55A"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4EF3099B" w14:textId="79332D38"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1AB28DB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Kvėpavimo sistemos, krūtinės ląstos ir tarpuplaučio sutrikimai</w:t>
            </w:r>
          </w:p>
        </w:tc>
        <w:tc>
          <w:tcPr>
            <w:tcW w:w="2370" w:type="dxa"/>
            <w:tcBorders>
              <w:top w:val="single" w:sz="4" w:space="0" w:color="000000"/>
              <w:left w:val="single" w:sz="4" w:space="0" w:color="000000"/>
              <w:bottom w:val="single" w:sz="4" w:space="0" w:color="000000"/>
              <w:right w:val="single" w:sz="4" w:space="0" w:color="000000"/>
            </w:tcBorders>
          </w:tcPr>
          <w:p w14:paraId="0D31569B"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238F9607" w14:textId="38D426C4"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5CC469A1"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nosies</w:t>
            </w:r>
          </w:p>
        </w:tc>
        <w:tc>
          <w:tcPr>
            <w:tcW w:w="2363" w:type="dxa"/>
            <w:tcBorders>
              <w:top w:val="single" w:sz="4" w:space="0" w:color="000000"/>
              <w:left w:val="single" w:sz="4" w:space="0" w:color="000000"/>
              <w:bottom w:val="single" w:sz="4" w:space="0" w:color="000000"/>
              <w:right w:val="single" w:sz="4" w:space="0" w:color="000000"/>
            </w:tcBorders>
          </w:tcPr>
          <w:p w14:paraId="76153C06"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27AC99A8"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7ECF57F8" w14:textId="02FCB01F"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Labai dažnas</w:t>
            </w:r>
          </w:p>
        </w:tc>
      </w:tr>
      <w:tr w:rsidR="008A3802" w:rsidRPr="00D21DFA" w14:paraId="3EA7A9FA" w14:textId="54479C04"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567B55C5" w14:textId="34E27E18"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Hemoptozė</w:t>
            </w:r>
            <w:proofErr w:type="spellEnd"/>
            <w:r w:rsidRPr="00D21DFA">
              <w:rPr>
                <w:rFonts w:ascii="Times New Roman" w:eastAsia="Times New Roman" w:hAnsi="Times New Roman" w:cs="Times New Roman"/>
                <w:snapToGrid w:val="0"/>
                <w:kern w:val="0"/>
                <w:sz w:val="22"/>
                <w:szCs w:val="20"/>
                <w14:ligatures w14:val="none"/>
              </w:rPr>
              <w:t xml:space="preserve"> (atsikosėjimas krauju)</w:t>
            </w:r>
          </w:p>
        </w:tc>
        <w:tc>
          <w:tcPr>
            <w:tcW w:w="2363" w:type="dxa"/>
            <w:tcBorders>
              <w:top w:val="single" w:sz="4" w:space="0" w:color="000000"/>
              <w:left w:val="single" w:sz="4" w:space="0" w:color="000000"/>
              <w:bottom w:val="single" w:sz="4" w:space="0" w:color="000000"/>
              <w:right w:val="single" w:sz="4" w:space="0" w:color="000000"/>
            </w:tcBorders>
          </w:tcPr>
          <w:p w14:paraId="54964E7E"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254E0F2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79D91A45" w14:textId="32FD413F"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3C18EF71" w14:textId="5CB18F12"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4130A3C0"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iš kvėpavimo takų </w:t>
            </w:r>
          </w:p>
        </w:tc>
        <w:tc>
          <w:tcPr>
            <w:tcW w:w="2363" w:type="dxa"/>
            <w:tcBorders>
              <w:top w:val="single" w:sz="4" w:space="0" w:color="000000"/>
              <w:left w:val="single" w:sz="4" w:space="0" w:color="000000"/>
              <w:bottom w:val="single" w:sz="4" w:space="0" w:color="000000"/>
              <w:right w:val="single" w:sz="4" w:space="0" w:color="000000"/>
            </w:tcBorders>
          </w:tcPr>
          <w:p w14:paraId="0206E4FB"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239" w:type="dxa"/>
            <w:tcBorders>
              <w:top w:val="single" w:sz="4" w:space="0" w:color="000000"/>
              <w:left w:val="single" w:sz="4" w:space="0" w:color="000000"/>
              <w:bottom w:val="single" w:sz="4" w:space="0" w:color="000000"/>
              <w:right w:val="single" w:sz="4" w:space="0" w:color="000000"/>
            </w:tcBorders>
          </w:tcPr>
          <w:p w14:paraId="5D8B17B2"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370" w:type="dxa"/>
            <w:tcBorders>
              <w:top w:val="single" w:sz="4" w:space="0" w:color="000000"/>
              <w:left w:val="single" w:sz="4" w:space="0" w:color="000000"/>
              <w:bottom w:val="single" w:sz="4" w:space="0" w:color="000000"/>
              <w:right w:val="single" w:sz="4" w:space="0" w:color="000000"/>
            </w:tcBorders>
          </w:tcPr>
          <w:p w14:paraId="417F80B2" w14:textId="38BCD945"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4AB4401E" w14:textId="537900E2"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23A6A27C"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2"/>
                <w14:ligatures w14:val="none"/>
              </w:rPr>
              <w:t>Virškinimo trakto sutrikimai</w:t>
            </w:r>
          </w:p>
        </w:tc>
        <w:tc>
          <w:tcPr>
            <w:tcW w:w="2370" w:type="dxa"/>
            <w:tcBorders>
              <w:top w:val="single" w:sz="4" w:space="0" w:color="000000"/>
              <w:left w:val="single" w:sz="4" w:space="0" w:color="000000"/>
              <w:bottom w:val="single" w:sz="4" w:space="0" w:color="000000"/>
              <w:right w:val="single" w:sz="4" w:space="0" w:color="000000"/>
            </w:tcBorders>
          </w:tcPr>
          <w:p w14:paraId="6D408A0B"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p>
        </w:tc>
      </w:tr>
      <w:tr w:rsidR="008A3802" w:rsidRPr="00D21DFA" w14:paraId="7534C480" w14:textId="5FFCC161"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000CAD46"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Pykinimas</w:t>
            </w:r>
          </w:p>
        </w:tc>
        <w:tc>
          <w:tcPr>
            <w:tcW w:w="2363" w:type="dxa"/>
            <w:tcBorders>
              <w:top w:val="single" w:sz="4" w:space="0" w:color="000000"/>
              <w:left w:val="single" w:sz="4" w:space="0" w:color="000000"/>
              <w:bottom w:val="single" w:sz="4" w:space="0" w:color="000000"/>
              <w:right w:val="single" w:sz="4" w:space="0" w:color="000000"/>
            </w:tcBorders>
          </w:tcPr>
          <w:p w14:paraId="015FF8E7"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59DC584F"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2F416C57" w14:textId="3FE7EC35"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053AD6A9" w14:textId="7D20BFDD"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0463640E"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virškinimo trakto</w:t>
            </w:r>
          </w:p>
        </w:tc>
        <w:tc>
          <w:tcPr>
            <w:tcW w:w="2363" w:type="dxa"/>
            <w:tcBorders>
              <w:top w:val="single" w:sz="4" w:space="0" w:color="000000"/>
              <w:left w:val="single" w:sz="4" w:space="0" w:color="000000"/>
              <w:bottom w:val="single" w:sz="4" w:space="0" w:color="000000"/>
              <w:right w:val="single" w:sz="4" w:space="0" w:color="000000"/>
            </w:tcBorders>
          </w:tcPr>
          <w:p w14:paraId="740222CF"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10FE421C"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45DE2F42" w14:textId="3F5D7350"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51BBBAF1" w14:textId="3EF97693"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3D49C47F" w14:textId="1049F7D2"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iš </w:t>
            </w:r>
            <w:proofErr w:type="spellStart"/>
            <w:r w:rsidRPr="00D21DFA">
              <w:rPr>
                <w:rFonts w:ascii="Times New Roman" w:eastAsia="Times New Roman" w:hAnsi="Times New Roman" w:cs="Times New Roman"/>
                <w:snapToGrid w:val="0"/>
                <w:kern w:val="0"/>
                <w:sz w:val="22"/>
                <w:szCs w:val="20"/>
                <w14:ligatures w14:val="none"/>
              </w:rPr>
              <w:t>hemorojinių</w:t>
            </w:r>
            <w:proofErr w:type="spellEnd"/>
            <w:r w:rsidRPr="00D21DFA">
              <w:rPr>
                <w:rFonts w:ascii="Times New Roman" w:eastAsia="Times New Roman" w:hAnsi="Times New Roman" w:cs="Times New Roman"/>
                <w:snapToGrid w:val="0"/>
                <w:kern w:val="0"/>
                <w:sz w:val="22"/>
                <w:szCs w:val="20"/>
                <w14:ligatures w14:val="none"/>
              </w:rPr>
              <w:t xml:space="preserve"> mazgų</w:t>
            </w:r>
          </w:p>
        </w:tc>
        <w:tc>
          <w:tcPr>
            <w:tcW w:w="2363" w:type="dxa"/>
            <w:tcBorders>
              <w:top w:val="single" w:sz="4" w:space="0" w:color="000000"/>
              <w:left w:val="single" w:sz="4" w:space="0" w:color="000000"/>
              <w:bottom w:val="single" w:sz="4" w:space="0" w:color="000000"/>
              <w:right w:val="single" w:sz="4" w:space="0" w:color="000000"/>
            </w:tcBorders>
          </w:tcPr>
          <w:p w14:paraId="5204115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0119B18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494C2075" w14:textId="7F1D978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3C050D5B" w14:textId="492CA156"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29FF8CEA"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burnos</w:t>
            </w:r>
          </w:p>
        </w:tc>
        <w:tc>
          <w:tcPr>
            <w:tcW w:w="2363" w:type="dxa"/>
            <w:tcBorders>
              <w:top w:val="single" w:sz="4" w:space="0" w:color="000000"/>
              <w:left w:val="single" w:sz="4" w:space="0" w:color="000000"/>
              <w:bottom w:val="single" w:sz="4" w:space="0" w:color="000000"/>
              <w:right w:val="single" w:sz="4" w:space="0" w:color="000000"/>
            </w:tcBorders>
          </w:tcPr>
          <w:p w14:paraId="4BCDB863"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2E277D77"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189EB570" w14:textId="2D4B2395"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3493E5B4" w14:textId="4D5EC949"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28DE2EB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2"/>
                <w14:ligatures w14:val="none"/>
              </w:rPr>
              <w:t>Hematochezija</w:t>
            </w:r>
            <w:proofErr w:type="spellEnd"/>
            <w:r w:rsidRPr="00D21DFA">
              <w:rPr>
                <w:rFonts w:ascii="Times New Roman" w:eastAsia="Times New Roman" w:hAnsi="Times New Roman" w:cs="Times New Roman"/>
                <w:snapToGrid w:val="0"/>
                <w:kern w:val="0"/>
                <w:sz w:val="22"/>
                <w:szCs w:val="22"/>
                <w14:ligatures w14:val="none"/>
              </w:rPr>
              <w:t xml:space="preserve"> (šviežias kraujas išmatose)</w:t>
            </w:r>
          </w:p>
        </w:tc>
        <w:tc>
          <w:tcPr>
            <w:tcW w:w="2363" w:type="dxa"/>
            <w:tcBorders>
              <w:top w:val="single" w:sz="4" w:space="0" w:color="000000"/>
              <w:left w:val="single" w:sz="4" w:space="0" w:color="000000"/>
              <w:bottom w:val="single" w:sz="4" w:space="0" w:color="000000"/>
              <w:right w:val="single" w:sz="4" w:space="0" w:color="000000"/>
            </w:tcBorders>
          </w:tcPr>
          <w:p w14:paraId="6EB296A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5449F6F5"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5F77110D" w14:textId="36A0E99D"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708C9205" w14:textId="296C868A"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28DFF5EC"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Kraujavimas iš tiesiosios žarnos, dantenų</w:t>
            </w:r>
          </w:p>
        </w:tc>
        <w:tc>
          <w:tcPr>
            <w:tcW w:w="2363" w:type="dxa"/>
            <w:tcBorders>
              <w:top w:val="single" w:sz="4" w:space="0" w:color="000000"/>
              <w:left w:val="single" w:sz="4" w:space="0" w:color="000000"/>
              <w:bottom w:val="single" w:sz="4" w:space="0" w:color="000000"/>
              <w:right w:val="single" w:sz="4" w:space="0" w:color="000000"/>
            </w:tcBorders>
          </w:tcPr>
          <w:p w14:paraId="32EA15CF"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59536D15"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2E214BFC" w14:textId="562F07BF"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656CB6EE" w14:textId="0B79F214"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5BCAD063" w14:textId="728ECAAF"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į </w:t>
            </w:r>
            <w:proofErr w:type="spellStart"/>
            <w:r w:rsidRPr="00D21DFA">
              <w:rPr>
                <w:rFonts w:ascii="Times New Roman" w:eastAsia="Times New Roman" w:hAnsi="Times New Roman" w:cs="Times New Roman"/>
                <w:snapToGrid w:val="0"/>
                <w:kern w:val="0"/>
                <w:sz w:val="22"/>
                <w:szCs w:val="20"/>
                <w14:ligatures w14:val="none"/>
              </w:rPr>
              <w:t>retroperitoninį</w:t>
            </w:r>
            <w:proofErr w:type="spellEnd"/>
            <w:r w:rsidRPr="00D21DFA">
              <w:rPr>
                <w:rFonts w:ascii="Times New Roman" w:eastAsia="Times New Roman" w:hAnsi="Times New Roman" w:cs="Times New Roman"/>
                <w:snapToGrid w:val="0"/>
                <w:kern w:val="0"/>
                <w:sz w:val="22"/>
                <w:szCs w:val="20"/>
                <w14:ligatures w14:val="none"/>
              </w:rPr>
              <w:t xml:space="preserve"> tarpą</w:t>
            </w:r>
          </w:p>
        </w:tc>
        <w:tc>
          <w:tcPr>
            <w:tcW w:w="2363" w:type="dxa"/>
            <w:tcBorders>
              <w:top w:val="single" w:sz="4" w:space="0" w:color="000000"/>
              <w:left w:val="single" w:sz="4" w:space="0" w:color="000000"/>
              <w:bottom w:val="single" w:sz="4" w:space="0" w:color="000000"/>
              <w:right w:val="single" w:sz="4" w:space="0" w:color="000000"/>
            </w:tcBorders>
          </w:tcPr>
          <w:p w14:paraId="0EA94880"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239" w:type="dxa"/>
            <w:tcBorders>
              <w:top w:val="single" w:sz="4" w:space="0" w:color="000000"/>
              <w:left w:val="single" w:sz="4" w:space="0" w:color="000000"/>
              <w:bottom w:val="single" w:sz="4" w:space="0" w:color="000000"/>
              <w:right w:val="single" w:sz="4" w:space="0" w:color="000000"/>
            </w:tcBorders>
          </w:tcPr>
          <w:p w14:paraId="0F4F0482"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370" w:type="dxa"/>
            <w:tcBorders>
              <w:top w:val="single" w:sz="4" w:space="0" w:color="000000"/>
              <w:left w:val="single" w:sz="4" w:space="0" w:color="000000"/>
              <w:bottom w:val="single" w:sz="4" w:space="0" w:color="000000"/>
              <w:right w:val="single" w:sz="4" w:space="0" w:color="000000"/>
            </w:tcBorders>
          </w:tcPr>
          <w:p w14:paraId="3E9DB2AD" w14:textId="654910D0"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62CEDEAE" w14:textId="42DC67D8"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16B2C226"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lastRenderedPageBreak/>
              <w:t>Kepenų, tulžies pūslės ir latakų sutrikimai</w:t>
            </w:r>
            <w:r w:rsidRPr="00D21DFA">
              <w:rPr>
                <w:rFonts w:ascii="Times New Roman" w:eastAsia="Times New Roman" w:hAnsi="Times New Roman" w:cs="Times New Roman"/>
                <w:snapToGrid w:val="0"/>
                <w:kern w:val="0"/>
                <w:sz w:val="22"/>
                <w:szCs w:val="20"/>
                <w14:ligatures w14:val="none"/>
              </w:rPr>
              <w:t xml:space="preserve"> </w:t>
            </w:r>
          </w:p>
        </w:tc>
        <w:tc>
          <w:tcPr>
            <w:tcW w:w="2370" w:type="dxa"/>
            <w:tcBorders>
              <w:top w:val="single" w:sz="4" w:space="0" w:color="000000"/>
              <w:left w:val="single" w:sz="4" w:space="0" w:color="000000"/>
              <w:bottom w:val="single" w:sz="4" w:space="0" w:color="000000"/>
              <w:right w:val="single" w:sz="4" w:space="0" w:color="000000"/>
            </w:tcBorders>
          </w:tcPr>
          <w:p w14:paraId="51D82B09"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1F07D588" w14:textId="6CF7E97C"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35419FDD"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Nenormalūs kepenų funkcijos tyrimų rodmenys, aspartataminotransferazės, šarminės fosfatazės suaktyvėjimas kraujyje, </w:t>
            </w:r>
            <w:proofErr w:type="spellStart"/>
            <w:r w:rsidRPr="00D21DFA">
              <w:rPr>
                <w:rFonts w:ascii="Times New Roman" w:eastAsia="Times New Roman" w:hAnsi="Times New Roman" w:cs="Times New Roman"/>
                <w:snapToGrid w:val="0"/>
                <w:kern w:val="0"/>
                <w:sz w:val="22"/>
                <w:szCs w:val="20"/>
                <w14:ligatures w14:val="none"/>
              </w:rPr>
              <w:t>bilirubino</w:t>
            </w:r>
            <w:proofErr w:type="spellEnd"/>
            <w:r w:rsidRPr="00D21DFA">
              <w:rPr>
                <w:rFonts w:ascii="Times New Roman" w:eastAsia="Times New Roman" w:hAnsi="Times New Roman" w:cs="Times New Roman"/>
                <w:snapToGrid w:val="0"/>
                <w:kern w:val="0"/>
                <w:sz w:val="22"/>
                <w:szCs w:val="20"/>
                <w14:ligatures w14:val="none"/>
              </w:rPr>
              <w:t xml:space="preserve"> kiekio padidėjimas kraujyje</w:t>
            </w:r>
          </w:p>
        </w:tc>
        <w:tc>
          <w:tcPr>
            <w:tcW w:w="2363" w:type="dxa"/>
            <w:tcBorders>
              <w:top w:val="single" w:sz="4" w:space="0" w:color="000000"/>
              <w:left w:val="single" w:sz="4" w:space="0" w:color="000000"/>
              <w:bottom w:val="single" w:sz="4" w:space="0" w:color="000000"/>
              <w:right w:val="single" w:sz="4" w:space="0" w:color="000000"/>
            </w:tcBorders>
          </w:tcPr>
          <w:p w14:paraId="319EB548"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309D5663"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477FD8D8" w14:textId="3F16E104"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33AAC253" w14:textId="0F3C3EE6"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0A97736A"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Gama-</w:t>
            </w:r>
            <w:proofErr w:type="spellStart"/>
            <w:r w:rsidRPr="00D21DFA">
              <w:rPr>
                <w:rFonts w:ascii="Times New Roman" w:eastAsia="Times New Roman" w:hAnsi="Times New Roman" w:cs="Times New Roman"/>
                <w:snapToGrid w:val="0"/>
                <w:kern w:val="0"/>
                <w:sz w:val="22"/>
                <w:szCs w:val="22"/>
                <w14:ligatures w14:val="none"/>
              </w:rPr>
              <w:t>gliutamiltransferazės</w:t>
            </w:r>
            <w:proofErr w:type="spellEnd"/>
            <w:r w:rsidRPr="00D21DFA">
              <w:rPr>
                <w:rFonts w:ascii="Times New Roman" w:eastAsia="Times New Roman" w:hAnsi="Times New Roman" w:cs="Times New Roman"/>
                <w:snapToGrid w:val="0"/>
                <w:kern w:val="0"/>
                <w:sz w:val="22"/>
                <w:szCs w:val="22"/>
                <w14:ligatures w14:val="none"/>
              </w:rPr>
              <w:t xml:space="preserve"> aktyvumo padidėjimas kraujyje</w:t>
            </w:r>
          </w:p>
        </w:tc>
        <w:tc>
          <w:tcPr>
            <w:tcW w:w="2363" w:type="dxa"/>
            <w:tcBorders>
              <w:top w:val="single" w:sz="4" w:space="0" w:color="000000"/>
              <w:left w:val="single" w:sz="4" w:space="0" w:color="000000"/>
              <w:bottom w:val="single" w:sz="4" w:space="0" w:color="000000"/>
              <w:right w:val="single" w:sz="4" w:space="0" w:color="000000"/>
            </w:tcBorders>
          </w:tcPr>
          <w:p w14:paraId="6F33550A"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1F524EEE"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5ECB5714" w14:textId="6BC32E0B"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6BB84C7B" w14:textId="2E464A56"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38EDB708"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Alanintransferazės</w:t>
            </w:r>
            <w:proofErr w:type="spellEnd"/>
            <w:r w:rsidRPr="00D21DFA">
              <w:rPr>
                <w:rFonts w:ascii="Times New Roman" w:eastAsia="Times New Roman" w:hAnsi="Times New Roman" w:cs="Times New Roman"/>
                <w:snapToGrid w:val="0"/>
                <w:kern w:val="0"/>
                <w:sz w:val="22"/>
                <w:szCs w:val="22"/>
                <w14:ligatures w14:val="none"/>
              </w:rPr>
              <w:t xml:space="preserve"> aktyvumo padidėjimas kraujyje</w:t>
            </w:r>
          </w:p>
        </w:tc>
        <w:tc>
          <w:tcPr>
            <w:tcW w:w="2363" w:type="dxa"/>
            <w:tcBorders>
              <w:top w:val="single" w:sz="4" w:space="0" w:color="000000"/>
              <w:left w:val="single" w:sz="4" w:space="0" w:color="000000"/>
              <w:bottom w:val="single" w:sz="4" w:space="0" w:color="000000"/>
              <w:right w:val="single" w:sz="4" w:space="0" w:color="000000"/>
            </w:tcBorders>
          </w:tcPr>
          <w:p w14:paraId="12936F52"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3D226638"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3F6C872C" w14:textId="39CA42CC"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783F7111" w14:textId="418A71E2" w:rsidTr="008A3802">
        <w:trPr>
          <w:trHeight w:val="263"/>
        </w:trPr>
        <w:tc>
          <w:tcPr>
            <w:tcW w:w="4866" w:type="dxa"/>
            <w:gridSpan w:val="2"/>
            <w:tcBorders>
              <w:top w:val="single" w:sz="4" w:space="0" w:color="000000"/>
              <w:left w:val="single" w:sz="4" w:space="0" w:color="000000"/>
              <w:bottom w:val="single" w:sz="4" w:space="0" w:color="000000"/>
              <w:right w:val="single" w:sz="4" w:space="0" w:color="000000"/>
            </w:tcBorders>
          </w:tcPr>
          <w:p w14:paraId="185AF83B"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2"/>
                <w14:ligatures w14:val="none"/>
              </w:rPr>
              <w:t>Odos ir poodinio audinio sutrikimai</w:t>
            </w:r>
          </w:p>
        </w:tc>
        <w:tc>
          <w:tcPr>
            <w:tcW w:w="2239" w:type="dxa"/>
            <w:tcBorders>
              <w:top w:val="single" w:sz="4" w:space="0" w:color="000000"/>
              <w:left w:val="single" w:sz="4" w:space="0" w:color="000000"/>
              <w:bottom w:val="single" w:sz="4" w:space="0" w:color="000000"/>
              <w:right w:val="single" w:sz="4" w:space="0" w:color="000000"/>
            </w:tcBorders>
          </w:tcPr>
          <w:p w14:paraId="74F1B87C"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2370" w:type="dxa"/>
            <w:tcBorders>
              <w:top w:val="single" w:sz="4" w:space="0" w:color="000000"/>
              <w:left w:val="single" w:sz="4" w:space="0" w:color="000000"/>
              <w:bottom w:val="single" w:sz="4" w:space="0" w:color="000000"/>
              <w:right w:val="single" w:sz="4" w:space="0" w:color="000000"/>
            </w:tcBorders>
          </w:tcPr>
          <w:p w14:paraId="60A32AE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r>
      <w:tr w:rsidR="008A3802" w:rsidRPr="00D21DFA" w14:paraId="5FFB3210" w14:textId="6EB15C2B"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34E19B7A"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Išbėrimas</w:t>
            </w:r>
          </w:p>
        </w:tc>
        <w:tc>
          <w:tcPr>
            <w:tcW w:w="2363" w:type="dxa"/>
            <w:tcBorders>
              <w:top w:val="single" w:sz="4" w:space="0" w:color="000000"/>
              <w:left w:val="single" w:sz="4" w:space="0" w:color="000000"/>
              <w:bottom w:val="single" w:sz="4" w:space="0" w:color="000000"/>
              <w:right w:val="single" w:sz="4" w:space="0" w:color="000000"/>
            </w:tcBorders>
          </w:tcPr>
          <w:p w14:paraId="4E166C5D"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4D480BD8"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33C9C631" w14:textId="1F716E0B"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39125B5D" w14:textId="51B6FED4"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42BC6C6D"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Nuplikimas</w:t>
            </w:r>
          </w:p>
        </w:tc>
        <w:tc>
          <w:tcPr>
            <w:tcW w:w="2363" w:type="dxa"/>
            <w:tcBorders>
              <w:top w:val="single" w:sz="4" w:space="0" w:color="000000"/>
              <w:left w:val="single" w:sz="4" w:space="0" w:color="000000"/>
              <w:bottom w:val="single" w:sz="4" w:space="0" w:color="000000"/>
              <w:right w:val="single" w:sz="4" w:space="0" w:color="000000"/>
            </w:tcBorders>
          </w:tcPr>
          <w:p w14:paraId="5198588E"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5C8A19F3"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4C9AB9E5" w14:textId="5D975EFB"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63C35F42" w14:textId="61F5AA18"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1047E1B2" w14:textId="094758AB"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Daugiaformė raudonė (</w:t>
            </w:r>
            <w:proofErr w:type="spellStart"/>
            <w:r w:rsidRPr="00D21DFA">
              <w:rPr>
                <w:rFonts w:ascii="Times New Roman" w:eastAsia="Times New Roman" w:hAnsi="Times New Roman" w:cs="Times New Roman"/>
                <w:snapToGrid w:val="0"/>
                <w:kern w:val="0"/>
                <w:sz w:val="22"/>
                <w:szCs w:val="22"/>
                <w14:ligatures w14:val="none"/>
              </w:rPr>
              <w:t>eritema</w:t>
            </w:r>
            <w:proofErr w:type="spellEnd"/>
            <w:r w:rsidRPr="00D21DFA">
              <w:rPr>
                <w:rFonts w:ascii="Times New Roman" w:eastAsia="Times New Roman" w:hAnsi="Times New Roman" w:cs="Times New Roman"/>
                <w:snapToGrid w:val="0"/>
                <w:kern w:val="0"/>
                <w:sz w:val="22"/>
                <w:szCs w:val="22"/>
                <w14:ligatures w14:val="none"/>
              </w:rPr>
              <w:t>)</w:t>
            </w:r>
          </w:p>
        </w:tc>
        <w:tc>
          <w:tcPr>
            <w:tcW w:w="2363" w:type="dxa"/>
            <w:tcBorders>
              <w:top w:val="single" w:sz="4" w:space="0" w:color="000000"/>
              <w:left w:val="single" w:sz="4" w:space="0" w:color="000000"/>
              <w:bottom w:val="single" w:sz="4" w:space="0" w:color="000000"/>
              <w:right w:val="single" w:sz="4" w:space="0" w:color="000000"/>
            </w:tcBorders>
          </w:tcPr>
          <w:p w14:paraId="30AA1426"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Labai retas</w:t>
            </w:r>
          </w:p>
        </w:tc>
        <w:tc>
          <w:tcPr>
            <w:tcW w:w="2239" w:type="dxa"/>
            <w:tcBorders>
              <w:top w:val="single" w:sz="4" w:space="0" w:color="000000"/>
              <w:left w:val="single" w:sz="4" w:space="0" w:color="000000"/>
              <w:bottom w:val="single" w:sz="4" w:space="0" w:color="000000"/>
              <w:right w:val="single" w:sz="4" w:space="0" w:color="000000"/>
            </w:tcBorders>
          </w:tcPr>
          <w:p w14:paraId="07D3CF46"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370" w:type="dxa"/>
            <w:tcBorders>
              <w:top w:val="single" w:sz="4" w:space="0" w:color="000000"/>
              <w:left w:val="single" w:sz="4" w:space="0" w:color="000000"/>
              <w:bottom w:val="single" w:sz="4" w:space="0" w:color="000000"/>
              <w:right w:val="single" w:sz="4" w:space="0" w:color="000000"/>
            </w:tcBorders>
          </w:tcPr>
          <w:p w14:paraId="6301C04F" w14:textId="1323ABDD"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46170E3A" w14:textId="024C0285"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592A54F8"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Odos </w:t>
            </w:r>
            <w:proofErr w:type="spellStart"/>
            <w:r w:rsidRPr="00D21DFA">
              <w:rPr>
                <w:rFonts w:ascii="Times New Roman" w:eastAsia="Times New Roman" w:hAnsi="Times New Roman" w:cs="Times New Roman"/>
                <w:snapToGrid w:val="0"/>
                <w:kern w:val="0"/>
                <w:sz w:val="22"/>
                <w:szCs w:val="22"/>
                <w14:ligatures w14:val="none"/>
              </w:rPr>
              <w:t>vaskulitas</w:t>
            </w:r>
            <w:proofErr w:type="spellEnd"/>
          </w:p>
        </w:tc>
        <w:tc>
          <w:tcPr>
            <w:tcW w:w="2363" w:type="dxa"/>
            <w:tcBorders>
              <w:top w:val="single" w:sz="4" w:space="0" w:color="000000"/>
              <w:left w:val="single" w:sz="4" w:space="0" w:color="000000"/>
              <w:bottom w:val="single" w:sz="4" w:space="0" w:color="000000"/>
              <w:right w:val="single" w:sz="4" w:space="0" w:color="000000"/>
            </w:tcBorders>
          </w:tcPr>
          <w:p w14:paraId="480AA0CF"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239" w:type="dxa"/>
            <w:tcBorders>
              <w:top w:val="single" w:sz="4" w:space="0" w:color="000000"/>
              <w:left w:val="single" w:sz="4" w:space="0" w:color="000000"/>
              <w:bottom w:val="single" w:sz="4" w:space="0" w:color="000000"/>
              <w:right w:val="single" w:sz="4" w:space="0" w:color="000000"/>
            </w:tcBorders>
          </w:tcPr>
          <w:p w14:paraId="5AC8028F"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370" w:type="dxa"/>
            <w:tcBorders>
              <w:top w:val="single" w:sz="4" w:space="0" w:color="000000"/>
              <w:left w:val="single" w:sz="4" w:space="0" w:color="000000"/>
              <w:bottom w:val="single" w:sz="4" w:space="0" w:color="000000"/>
              <w:right w:val="single" w:sz="4" w:space="0" w:color="000000"/>
            </w:tcBorders>
          </w:tcPr>
          <w:p w14:paraId="66E5B272" w14:textId="5A84E73E"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43001648" w14:textId="14FBB069" w:rsidTr="008A3802">
        <w:trPr>
          <w:trHeight w:val="263"/>
        </w:trPr>
        <w:tc>
          <w:tcPr>
            <w:tcW w:w="4866" w:type="dxa"/>
            <w:gridSpan w:val="2"/>
            <w:tcBorders>
              <w:top w:val="single" w:sz="4" w:space="0" w:color="000000"/>
              <w:left w:val="single" w:sz="4" w:space="0" w:color="000000"/>
              <w:bottom w:val="single" w:sz="4" w:space="0" w:color="000000"/>
              <w:right w:val="single" w:sz="4" w:space="0" w:color="000000"/>
            </w:tcBorders>
          </w:tcPr>
          <w:p w14:paraId="7D899E95"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Skeleto, raumenų ir jungiamojo audinio sutrikimai</w:t>
            </w:r>
          </w:p>
        </w:tc>
        <w:tc>
          <w:tcPr>
            <w:tcW w:w="2239" w:type="dxa"/>
            <w:tcBorders>
              <w:top w:val="single" w:sz="4" w:space="0" w:color="000000"/>
              <w:left w:val="single" w:sz="4" w:space="0" w:color="000000"/>
              <w:bottom w:val="single" w:sz="4" w:space="0" w:color="000000"/>
              <w:right w:val="single" w:sz="4" w:space="0" w:color="000000"/>
            </w:tcBorders>
          </w:tcPr>
          <w:p w14:paraId="2395C054"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2370" w:type="dxa"/>
            <w:tcBorders>
              <w:top w:val="single" w:sz="4" w:space="0" w:color="000000"/>
              <w:left w:val="single" w:sz="4" w:space="0" w:color="000000"/>
              <w:bottom w:val="single" w:sz="4" w:space="0" w:color="000000"/>
              <w:right w:val="single" w:sz="4" w:space="0" w:color="000000"/>
            </w:tcBorders>
          </w:tcPr>
          <w:p w14:paraId="1E5735EA"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p>
        </w:tc>
      </w:tr>
      <w:tr w:rsidR="008A3802" w:rsidRPr="00D21DFA" w14:paraId="252E8174" w14:textId="12BC01BD"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756391BC"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į raumenis</w:t>
            </w:r>
          </w:p>
        </w:tc>
        <w:tc>
          <w:tcPr>
            <w:tcW w:w="2363" w:type="dxa"/>
            <w:tcBorders>
              <w:top w:val="single" w:sz="4" w:space="0" w:color="000000"/>
              <w:left w:val="single" w:sz="4" w:space="0" w:color="000000"/>
              <w:bottom w:val="single" w:sz="4" w:space="0" w:color="000000"/>
              <w:right w:val="single" w:sz="4" w:space="0" w:color="000000"/>
            </w:tcBorders>
          </w:tcPr>
          <w:p w14:paraId="07DAC160"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Retas</w:t>
            </w:r>
          </w:p>
        </w:tc>
        <w:tc>
          <w:tcPr>
            <w:tcW w:w="2239" w:type="dxa"/>
            <w:tcBorders>
              <w:top w:val="single" w:sz="4" w:space="0" w:color="000000"/>
              <w:left w:val="single" w:sz="4" w:space="0" w:color="000000"/>
              <w:bottom w:val="single" w:sz="4" w:space="0" w:color="000000"/>
              <w:right w:val="single" w:sz="4" w:space="0" w:color="000000"/>
            </w:tcBorders>
          </w:tcPr>
          <w:p w14:paraId="6E393EE3"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2681D087" w14:textId="37A82AF0"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347FCB96" w14:textId="5D2988C8"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042903B4"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Inkstų ir šlapimo takų sutrikimai</w:t>
            </w:r>
          </w:p>
        </w:tc>
        <w:tc>
          <w:tcPr>
            <w:tcW w:w="2370" w:type="dxa"/>
            <w:tcBorders>
              <w:top w:val="single" w:sz="4" w:space="0" w:color="000000"/>
              <w:left w:val="single" w:sz="4" w:space="0" w:color="000000"/>
              <w:bottom w:val="single" w:sz="4" w:space="0" w:color="000000"/>
              <w:right w:val="single" w:sz="4" w:space="0" w:color="000000"/>
            </w:tcBorders>
          </w:tcPr>
          <w:p w14:paraId="486E8CE2"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49E82FF2" w14:textId="541F9C7B"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25B20000" w14:textId="77777777" w:rsidR="008A3802" w:rsidRPr="00D21DFA" w:rsidRDefault="008A3802" w:rsidP="00A942B0">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Hematurija</w:t>
            </w:r>
            <w:proofErr w:type="spellEnd"/>
          </w:p>
        </w:tc>
        <w:tc>
          <w:tcPr>
            <w:tcW w:w="2363" w:type="dxa"/>
            <w:tcBorders>
              <w:top w:val="single" w:sz="4" w:space="0" w:color="000000"/>
              <w:left w:val="single" w:sz="4" w:space="0" w:color="000000"/>
              <w:bottom w:val="single" w:sz="4" w:space="0" w:color="000000"/>
              <w:right w:val="single" w:sz="4" w:space="0" w:color="000000"/>
            </w:tcBorders>
          </w:tcPr>
          <w:p w14:paraId="38B6D6EB"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595FC3D2" w14:textId="77777777"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784F5DD4" w14:textId="498404DD" w:rsidR="008A3802" w:rsidRPr="00D21DFA" w:rsidRDefault="008A3802" w:rsidP="00A942B0">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2808AC1D" w14:textId="77777777"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66BA79B7" w14:textId="6EDEECBC"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E63B89">
              <w:rPr>
                <w:rFonts w:ascii="Times New Roman" w:eastAsia="Times New Roman" w:hAnsi="Times New Roman" w:cs="Times New Roman"/>
                <w:snapToGrid w:val="0"/>
                <w:kern w:val="0"/>
                <w:sz w:val="22"/>
                <w:szCs w:val="20"/>
                <w14:ligatures w14:val="none"/>
              </w:rPr>
              <w:t xml:space="preserve">Su antikoaguliantais susijusi </w:t>
            </w:r>
            <w:proofErr w:type="spellStart"/>
            <w:r w:rsidRPr="00E63B89">
              <w:rPr>
                <w:rFonts w:ascii="Times New Roman" w:eastAsia="Times New Roman" w:hAnsi="Times New Roman" w:cs="Times New Roman"/>
                <w:snapToGrid w:val="0"/>
                <w:kern w:val="0"/>
                <w:sz w:val="22"/>
                <w:szCs w:val="20"/>
                <w14:ligatures w14:val="none"/>
              </w:rPr>
              <w:t>nefropatija</w:t>
            </w:r>
            <w:proofErr w:type="spellEnd"/>
          </w:p>
        </w:tc>
        <w:tc>
          <w:tcPr>
            <w:tcW w:w="2363" w:type="dxa"/>
            <w:tcBorders>
              <w:top w:val="single" w:sz="4" w:space="0" w:color="000000"/>
              <w:left w:val="single" w:sz="4" w:space="0" w:color="000000"/>
              <w:bottom w:val="single" w:sz="4" w:space="0" w:color="000000"/>
              <w:right w:val="single" w:sz="4" w:space="0" w:color="000000"/>
            </w:tcBorders>
          </w:tcPr>
          <w:p w14:paraId="1ADC3E3F" w14:textId="792CECEB"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239" w:type="dxa"/>
            <w:tcBorders>
              <w:top w:val="single" w:sz="4" w:space="0" w:color="000000"/>
              <w:left w:val="single" w:sz="4" w:space="0" w:color="000000"/>
              <w:bottom w:val="single" w:sz="4" w:space="0" w:color="000000"/>
              <w:right w:val="single" w:sz="4" w:space="0" w:color="000000"/>
            </w:tcBorders>
          </w:tcPr>
          <w:p w14:paraId="0E4CA56C" w14:textId="4B89E0B1"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c>
          <w:tcPr>
            <w:tcW w:w="2370" w:type="dxa"/>
            <w:tcBorders>
              <w:top w:val="single" w:sz="4" w:space="0" w:color="000000"/>
              <w:left w:val="single" w:sz="4" w:space="0" w:color="000000"/>
              <w:bottom w:val="single" w:sz="4" w:space="0" w:color="000000"/>
              <w:right w:val="single" w:sz="4" w:space="0" w:color="000000"/>
            </w:tcBorders>
          </w:tcPr>
          <w:p w14:paraId="2D72CBFE" w14:textId="037DC0BE"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4B20D8D5" w14:textId="17CF9052"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6B843CE4"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Lytinės sistemos ir krūties sutrikimai</w:t>
            </w:r>
          </w:p>
        </w:tc>
        <w:tc>
          <w:tcPr>
            <w:tcW w:w="2370" w:type="dxa"/>
            <w:tcBorders>
              <w:top w:val="single" w:sz="4" w:space="0" w:color="000000"/>
              <w:left w:val="single" w:sz="4" w:space="0" w:color="000000"/>
              <w:bottom w:val="single" w:sz="4" w:space="0" w:color="000000"/>
              <w:right w:val="single" w:sz="4" w:space="0" w:color="000000"/>
            </w:tcBorders>
          </w:tcPr>
          <w:p w14:paraId="59FE1E6C"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6F6F2A85" w14:textId="04E1F585"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462B53B2"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Nenormalus kraujavimas iš makšties, kraujavimas iš šlapimo ir lyties organų</w:t>
            </w:r>
          </w:p>
        </w:tc>
        <w:tc>
          <w:tcPr>
            <w:tcW w:w="2363" w:type="dxa"/>
            <w:tcBorders>
              <w:top w:val="single" w:sz="4" w:space="0" w:color="000000"/>
              <w:left w:val="single" w:sz="4" w:space="0" w:color="000000"/>
              <w:bottom w:val="single" w:sz="4" w:space="0" w:color="000000"/>
              <w:right w:val="single" w:sz="4" w:space="0" w:color="000000"/>
            </w:tcBorders>
          </w:tcPr>
          <w:p w14:paraId="0736B839"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59460D0A"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72E3D0F3" w14:textId="68BB7DA8"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Labai dažnas</w:t>
            </w:r>
            <w:r w:rsidRPr="00D21DFA">
              <w:rPr>
                <w:rFonts w:ascii="Times New Roman" w:eastAsia="Times New Roman" w:hAnsi="Times New Roman" w:cs="Times New Roman"/>
                <w:snapToGrid w:val="0"/>
                <w:kern w:val="0"/>
                <w:sz w:val="22"/>
                <w:szCs w:val="22"/>
                <w:vertAlign w:val="superscript"/>
                <w14:ligatures w14:val="none"/>
              </w:rPr>
              <w:t>§</w:t>
            </w:r>
          </w:p>
        </w:tc>
      </w:tr>
      <w:tr w:rsidR="008A3802" w:rsidRPr="00D21DFA" w14:paraId="403F29DB" w14:textId="28D3E799"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16BF341E"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Bendrieji sutrikimai ir vartojimo vietos pažeidimai</w:t>
            </w:r>
          </w:p>
        </w:tc>
        <w:tc>
          <w:tcPr>
            <w:tcW w:w="2370" w:type="dxa"/>
            <w:tcBorders>
              <w:top w:val="single" w:sz="4" w:space="0" w:color="000000"/>
              <w:left w:val="single" w:sz="4" w:space="0" w:color="000000"/>
              <w:bottom w:val="single" w:sz="4" w:space="0" w:color="000000"/>
              <w:right w:val="single" w:sz="4" w:space="0" w:color="000000"/>
            </w:tcBorders>
          </w:tcPr>
          <w:p w14:paraId="7DA9B07B"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2D30EF03" w14:textId="71E45BD0"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523590EC"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Kraujavimas iš vartojimo vietos</w:t>
            </w:r>
          </w:p>
        </w:tc>
        <w:tc>
          <w:tcPr>
            <w:tcW w:w="2363" w:type="dxa"/>
            <w:tcBorders>
              <w:top w:val="single" w:sz="4" w:space="0" w:color="000000"/>
              <w:left w:val="single" w:sz="4" w:space="0" w:color="000000"/>
              <w:bottom w:val="single" w:sz="4" w:space="0" w:color="000000"/>
              <w:right w:val="single" w:sz="4" w:space="0" w:color="000000"/>
            </w:tcBorders>
          </w:tcPr>
          <w:p w14:paraId="6C0589D2"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2B852032"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51039955" w14:textId="7BD07B08"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551D5FC7" w14:textId="121E27D3"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494E1F8E"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 xml:space="preserve">Tyrimai </w:t>
            </w:r>
          </w:p>
        </w:tc>
        <w:tc>
          <w:tcPr>
            <w:tcW w:w="2370" w:type="dxa"/>
            <w:tcBorders>
              <w:top w:val="single" w:sz="4" w:space="0" w:color="000000"/>
              <w:left w:val="single" w:sz="4" w:space="0" w:color="000000"/>
              <w:bottom w:val="single" w:sz="4" w:space="0" w:color="000000"/>
              <w:right w:val="single" w:sz="4" w:space="0" w:color="000000"/>
            </w:tcBorders>
          </w:tcPr>
          <w:p w14:paraId="28344960"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51E6FDCF" w14:textId="78EFA756"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62F04349"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Teigiamas slapto kraujavimo mėginys</w:t>
            </w:r>
          </w:p>
        </w:tc>
        <w:tc>
          <w:tcPr>
            <w:tcW w:w="2363" w:type="dxa"/>
            <w:tcBorders>
              <w:top w:val="single" w:sz="4" w:space="0" w:color="000000"/>
              <w:left w:val="single" w:sz="4" w:space="0" w:color="000000"/>
              <w:bottom w:val="single" w:sz="4" w:space="0" w:color="000000"/>
              <w:right w:val="single" w:sz="4" w:space="0" w:color="000000"/>
            </w:tcBorders>
          </w:tcPr>
          <w:p w14:paraId="36523A3C"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0B90ED29"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48E148BB" w14:textId="080CDC6B"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r w:rsidR="008A3802" w:rsidRPr="00D21DFA" w14:paraId="16E4DD51" w14:textId="05AFF738" w:rsidTr="008A3802">
        <w:trPr>
          <w:trHeight w:val="263"/>
        </w:trPr>
        <w:tc>
          <w:tcPr>
            <w:tcW w:w="7105" w:type="dxa"/>
            <w:gridSpan w:val="3"/>
            <w:tcBorders>
              <w:top w:val="single" w:sz="4" w:space="0" w:color="000000"/>
              <w:left w:val="single" w:sz="4" w:space="0" w:color="000000"/>
              <w:bottom w:val="single" w:sz="4" w:space="0" w:color="000000"/>
              <w:right w:val="single" w:sz="4" w:space="0" w:color="000000"/>
            </w:tcBorders>
          </w:tcPr>
          <w:p w14:paraId="25A3C5B8"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i/>
                <w:snapToGrid w:val="0"/>
                <w:kern w:val="0"/>
                <w:sz w:val="22"/>
                <w:szCs w:val="20"/>
                <w14:ligatures w14:val="none"/>
              </w:rPr>
              <w:t>Sužalojimai, apsinuodijimai ir procedūrų komplikacijos</w:t>
            </w:r>
          </w:p>
        </w:tc>
        <w:tc>
          <w:tcPr>
            <w:tcW w:w="2370" w:type="dxa"/>
            <w:tcBorders>
              <w:top w:val="single" w:sz="4" w:space="0" w:color="000000"/>
              <w:left w:val="single" w:sz="4" w:space="0" w:color="000000"/>
              <w:bottom w:val="single" w:sz="4" w:space="0" w:color="000000"/>
              <w:right w:val="single" w:sz="4" w:space="0" w:color="000000"/>
            </w:tcBorders>
          </w:tcPr>
          <w:p w14:paraId="371F748B"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i/>
                <w:snapToGrid w:val="0"/>
                <w:kern w:val="0"/>
                <w:sz w:val="22"/>
                <w:szCs w:val="20"/>
                <w14:ligatures w14:val="none"/>
              </w:rPr>
            </w:pPr>
          </w:p>
        </w:tc>
      </w:tr>
      <w:tr w:rsidR="008A3802" w:rsidRPr="00D21DFA" w14:paraId="394D642A" w14:textId="4CC6C7FF"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650B2C1D"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Sumušimas</w:t>
            </w:r>
          </w:p>
        </w:tc>
        <w:tc>
          <w:tcPr>
            <w:tcW w:w="2363" w:type="dxa"/>
            <w:tcBorders>
              <w:top w:val="single" w:sz="4" w:space="0" w:color="000000"/>
              <w:left w:val="single" w:sz="4" w:space="0" w:color="000000"/>
              <w:bottom w:val="single" w:sz="4" w:space="0" w:color="000000"/>
              <w:right w:val="single" w:sz="4" w:space="0" w:color="000000"/>
            </w:tcBorders>
          </w:tcPr>
          <w:p w14:paraId="78A83D82"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239" w:type="dxa"/>
            <w:tcBorders>
              <w:top w:val="single" w:sz="4" w:space="0" w:color="000000"/>
              <w:left w:val="single" w:sz="4" w:space="0" w:color="000000"/>
              <w:bottom w:val="single" w:sz="4" w:space="0" w:color="000000"/>
              <w:right w:val="single" w:sz="4" w:space="0" w:color="000000"/>
            </w:tcBorders>
          </w:tcPr>
          <w:p w14:paraId="694C906C"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c>
          <w:tcPr>
            <w:tcW w:w="2370" w:type="dxa"/>
            <w:tcBorders>
              <w:top w:val="single" w:sz="4" w:space="0" w:color="000000"/>
              <w:left w:val="single" w:sz="4" w:space="0" w:color="000000"/>
              <w:bottom w:val="single" w:sz="4" w:space="0" w:color="000000"/>
              <w:right w:val="single" w:sz="4" w:space="0" w:color="000000"/>
            </w:tcBorders>
          </w:tcPr>
          <w:p w14:paraId="4B1164CC" w14:textId="7070A7BF"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502D2ED3" w14:textId="116E1B7D"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69086C6F"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Kraujavimas po procedūros (įskaitant hematomą po procedūros, kraujavimą iš žaizdos, kraujagyslės pradūrimo vietos hematomą ir kraujavimą iš kateterio įstatymo vietos), sekrecija iš žaizdos, kraujavimas iš pjūvio vietos (įskaitant </w:t>
            </w:r>
            <w:r w:rsidRPr="00D21DFA">
              <w:rPr>
                <w:rFonts w:ascii="Times New Roman" w:eastAsia="Times New Roman" w:hAnsi="Times New Roman" w:cs="Times New Roman"/>
                <w:snapToGrid w:val="0"/>
                <w:kern w:val="0"/>
                <w:sz w:val="22"/>
                <w:szCs w:val="20"/>
                <w14:ligatures w14:val="none"/>
              </w:rPr>
              <w:lastRenderedPageBreak/>
              <w:t>hematomą pjūvio vietoje), kraujavimas per operaciją</w:t>
            </w:r>
          </w:p>
        </w:tc>
        <w:tc>
          <w:tcPr>
            <w:tcW w:w="2363" w:type="dxa"/>
            <w:tcBorders>
              <w:top w:val="single" w:sz="4" w:space="0" w:color="000000"/>
              <w:left w:val="single" w:sz="4" w:space="0" w:color="000000"/>
              <w:bottom w:val="single" w:sz="4" w:space="0" w:color="000000"/>
              <w:right w:val="single" w:sz="4" w:space="0" w:color="000000"/>
            </w:tcBorders>
          </w:tcPr>
          <w:p w14:paraId="0334BB9D"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lastRenderedPageBreak/>
              <w:t>Nedažnas</w:t>
            </w:r>
          </w:p>
        </w:tc>
        <w:tc>
          <w:tcPr>
            <w:tcW w:w="2239" w:type="dxa"/>
            <w:tcBorders>
              <w:top w:val="single" w:sz="4" w:space="0" w:color="000000"/>
              <w:left w:val="single" w:sz="4" w:space="0" w:color="000000"/>
              <w:bottom w:val="single" w:sz="4" w:space="0" w:color="000000"/>
              <w:right w:val="single" w:sz="4" w:space="0" w:color="000000"/>
            </w:tcBorders>
          </w:tcPr>
          <w:p w14:paraId="190E2EFC"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5148C872" w14:textId="2CE0310A"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Dažnas</w:t>
            </w:r>
          </w:p>
        </w:tc>
      </w:tr>
      <w:tr w:rsidR="008A3802" w:rsidRPr="00D21DFA" w14:paraId="09ABD9B5" w14:textId="4052937D" w:rsidTr="008A3802">
        <w:trPr>
          <w:trHeight w:val="263"/>
        </w:trPr>
        <w:tc>
          <w:tcPr>
            <w:tcW w:w="2503" w:type="dxa"/>
            <w:tcBorders>
              <w:top w:val="single" w:sz="4" w:space="0" w:color="000000"/>
              <w:left w:val="single" w:sz="4" w:space="0" w:color="000000"/>
              <w:bottom w:val="single" w:sz="4" w:space="0" w:color="000000"/>
              <w:right w:val="single" w:sz="4" w:space="0" w:color="000000"/>
            </w:tcBorders>
          </w:tcPr>
          <w:p w14:paraId="706A24C0" w14:textId="77777777" w:rsidR="008A3802" w:rsidRPr="00D21DFA" w:rsidRDefault="008A3802" w:rsidP="008A3802">
            <w:pPr>
              <w:tabs>
                <w:tab w:val="left" w:pos="567"/>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dėl traumos</w:t>
            </w:r>
          </w:p>
        </w:tc>
        <w:tc>
          <w:tcPr>
            <w:tcW w:w="2363" w:type="dxa"/>
            <w:tcBorders>
              <w:top w:val="single" w:sz="4" w:space="0" w:color="000000"/>
              <w:left w:val="single" w:sz="4" w:space="0" w:color="000000"/>
              <w:bottom w:val="single" w:sz="4" w:space="0" w:color="000000"/>
              <w:right w:val="single" w:sz="4" w:space="0" w:color="000000"/>
            </w:tcBorders>
          </w:tcPr>
          <w:p w14:paraId="3310BA42"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239" w:type="dxa"/>
            <w:tcBorders>
              <w:top w:val="single" w:sz="4" w:space="0" w:color="000000"/>
              <w:left w:val="single" w:sz="4" w:space="0" w:color="000000"/>
              <w:bottom w:val="single" w:sz="4" w:space="0" w:color="000000"/>
              <w:right w:val="single" w:sz="4" w:space="0" w:color="000000"/>
            </w:tcBorders>
          </w:tcPr>
          <w:p w14:paraId="23C64E05" w14:textId="7777777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Nedažnas</w:t>
            </w:r>
          </w:p>
        </w:tc>
        <w:tc>
          <w:tcPr>
            <w:tcW w:w="2370" w:type="dxa"/>
            <w:tcBorders>
              <w:top w:val="single" w:sz="4" w:space="0" w:color="000000"/>
              <w:left w:val="single" w:sz="4" w:space="0" w:color="000000"/>
              <w:bottom w:val="single" w:sz="4" w:space="0" w:color="000000"/>
              <w:right w:val="single" w:sz="4" w:space="0" w:color="000000"/>
            </w:tcBorders>
          </w:tcPr>
          <w:p w14:paraId="2DF256A1" w14:textId="2FC620C7" w:rsidR="008A3802" w:rsidRPr="00D21DFA" w:rsidRDefault="008A3802" w:rsidP="008A3802">
            <w:pPr>
              <w:tabs>
                <w:tab w:val="left" w:pos="567"/>
                <w:tab w:val="left" w:pos="9214"/>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Nežinomas</w:t>
            </w:r>
          </w:p>
        </w:tc>
      </w:tr>
    </w:tbl>
    <w:p w14:paraId="20CB9799" w14:textId="4D6208A3" w:rsidR="00C95D96" w:rsidRPr="00D21DFA" w:rsidRDefault="00C95D96" w:rsidP="00C95D96">
      <w:pPr>
        <w:tabs>
          <w:tab w:val="left" w:pos="567"/>
          <w:tab w:val="left" w:pos="9214"/>
        </w:tabs>
        <w:autoSpaceDE w:val="0"/>
        <w:autoSpaceDN w:val="0"/>
        <w:adjustRightInd w:val="0"/>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*Išplitusio niež</w:t>
      </w:r>
      <w:r w:rsidR="00577878" w:rsidRPr="00D21DFA">
        <w:rPr>
          <w:rFonts w:ascii="Times New Roman" w:eastAsia="Times New Roman" w:hAnsi="Times New Roman" w:cs="Times New Roman"/>
          <w:snapToGrid w:val="0"/>
          <w:kern w:val="0"/>
          <w:sz w:val="22"/>
          <w:szCs w:val="22"/>
          <w14:ligatures w14:val="none"/>
        </w:rPr>
        <w:t>ėjimo</w:t>
      </w:r>
      <w:r w:rsidRPr="00D21DFA">
        <w:rPr>
          <w:rFonts w:ascii="Times New Roman" w:eastAsia="Times New Roman" w:hAnsi="Times New Roman" w:cs="Times New Roman"/>
          <w:snapToGrid w:val="0"/>
          <w:kern w:val="0"/>
          <w:sz w:val="22"/>
          <w:szCs w:val="22"/>
          <w14:ligatures w14:val="none"/>
        </w:rPr>
        <w:t xml:space="preserve"> nepasireiškė CV185057 atveju (ilgalaikė VTE reiškinių profilaktika)</w:t>
      </w:r>
    </w:p>
    <w:p w14:paraId="3D838DD1" w14:textId="77D88FD3" w:rsidR="00C95D96" w:rsidRPr="00D21DFA" w:rsidRDefault="00C95D96" w:rsidP="00C95D96">
      <w:pPr>
        <w:tabs>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†Terminas </w:t>
      </w:r>
      <w:r w:rsidR="00137F39">
        <w:rPr>
          <w:rFonts w:ascii="Times New Roman" w:eastAsia="Times New Roman" w:hAnsi="Times New Roman" w:cs="Times New Roman"/>
          <w:snapToGrid w:val="0"/>
          <w:kern w:val="0"/>
          <w:sz w:val="22"/>
          <w:szCs w:val="22"/>
          <w14:ligatures w14:val="none"/>
        </w:rPr>
        <w:t>„</w:t>
      </w:r>
      <w:r w:rsidRPr="00D21DFA">
        <w:rPr>
          <w:rFonts w:ascii="Times New Roman" w:eastAsia="Times New Roman" w:hAnsi="Times New Roman" w:cs="Times New Roman"/>
          <w:snapToGrid w:val="0"/>
          <w:kern w:val="0"/>
          <w:sz w:val="22"/>
          <w:szCs w:val="22"/>
          <w14:ligatures w14:val="none"/>
        </w:rPr>
        <w:t xml:space="preserve">Kraujavimas į smegenis” apima visas </w:t>
      </w:r>
      <w:proofErr w:type="spellStart"/>
      <w:r w:rsidRPr="00D21DFA">
        <w:rPr>
          <w:rFonts w:ascii="Times New Roman" w:eastAsia="Times New Roman" w:hAnsi="Times New Roman" w:cs="Times New Roman"/>
          <w:snapToGrid w:val="0"/>
          <w:kern w:val="0"/>
          <w:sz w:val="22"/>
          <w:szCs w:val="22"/>
          <w14:ligatures w14:val="none"/>
        </w:rPr>
        <w:t>intrakranijines</w:t>
      </w:r>
      <w:proofErr w:type="spellEnd"/>
      <w:r w:rsidRPr="00D21DFA">
        <w:rPr>
          <w:rFonts w:ascii="Times New Roman" w:eastAsia="Times New Roman" w:hAnsi="Times New Roman" w:cs="Times New Roman"/>
          <w:snapToGrid w:val="0"/>
          <w:kern w:val="0"/>
          <w:sz w:val="22"/>
          <w:szCs w:val="22"/>
          <w14:ligatures w14:val="none"/>
        </w:rPr>
        <w:t xml:space="preserve"> ir stuburo kanalo kraujosruvas (tai yra hemoraginį insultą, kraujo išsiliejimą </w:t>
      </w:r>
      <w:proofErr w:type="spellStart"/>
      <w:r w:rsidRPr="00D21DFA">
        <w:rPr>
          <w:rFonts w:ascii="Times New Roman" w:eastAsia="Times New Roman" w:hAnsi="Times New Roman" w:cs="Times New Roman"/>
          <w:snapToGrid w:val="0"/>
          <w:kern w:val="0"/>
          <w:sz w:val="22"/>
          <w:szCs w:val="22"/>
          <w14:ligatures w14:val="none"/>
        </w:rPr>
        <w:t>uodeguotame</w:t>
      </w:r>
      <w:proofErr w:type="spellEnd"/>
      <w:r w:rsidRPr="00D21DFA">
        <w:rPr>
          <w:rFonts w:ascii="Times New Roman" w:eastAsia="Times New Roman" w:hAnsi="Times New Roman" w:cs="Times New Roman"/>
          <w:snapToGrid w:val="0"/>
          <w:kern w:val="0"/>
          <w:sz w:val="22"/>
          <w:szCs w:val="22"/>
          <w14:ligatures w14:val="none"/>
        </w:rPr>
        <w:t xml:space="preserve"> branduolyje (</w:t>
      </w:r>
      <w:proofErr w:type="spellStart"/>
      <w:r w:rsidRPr="00D21DFA">
        <w:rPr>
          <w:rFonts w:ascii="Times New Roman" w:eastAsia="Times New Roman" w:hAnsi="Times New Roman" w:cs="Times New Roman"/>
          <w:i/>
          <w:snapToGrid w:val="0"/>
          <w:kern w:val="0"/>
          <w:sz w:val="22"/>
          <w:szCs w:val="22"/>
          <w14:ligatures w14:val="none"/>
        </w:rPr>
        <w:t>Putamen</w:t>
      </w:r>
      <w:proofErr w:type="spellEnd"/>
      <w:r w:rsidRPr="00D21DFA">
        <w:rPr>
          <w:rFonts w:ascii="Times New Roman" w:eastAsia="Times New Roman" w:hAnsi="Times New Roman" w:cs="Times New Roman"/>
          <w:snapToGrid w:val="0"/>
          <w:kern w:val="0"/>
          <w:sz w:val="22"/>
          <w:szCs w:val="22"/>
          <w14:ligatures w14:val="none"/>
        </w:rPr>
        <w:t>), smegenėlėse, skilveliuose arba po kietuoju dangalu).</w:t>
      </w:r>
    </w:p>
    <w:p w14:paraId="2FC8359F" w14:textId="77777777" w:rsidR="00A942B0" w:rsidRPr="00D21DFA" w:rsidRDefault="00A942B0" w:rsidP="00A942B0">
      <w:pPr>
        <w:tabs>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Apima anafilaksinę reakciją, padidėjusį jautrumą vaistams ir padidėjusį jautrumą.</w:t>
      </w:r>
    </w:p>
    <w:p w14:paraId="239A5FF0" w14:textId="1B915025" w:rsidR="00A942B0" w:rsidRPr="00D21DFA" w:rsidRDefault="00A942B0" w:rsidP="00A942B0">
      <w:pPr>
        <w:tabs>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Apima gausų menstruacinį kraujavimą, kraujavimą tarp menstruacijų ir kraujavimą iš makšties.</w:t>
      </w:r>
    </w:p>
    <w:p w14:paraId="7AE45E7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090FBE"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vartojimas gali būti susijęs su padidėjusia slapto ar akivaizdaus kraujavimo iš bet kurio audinio arba organo rizika, dėl kurios galima </w:t>
      </w:r>
      <w:proofErr w:type="spellStart"/>
      <w:r w:rsidRPr="00D21DFA">
        <w:rPr>
          <w:rFonts w:ascii="Times New Roman" w:eastAsia="Times New Roman" w:hAnsi="Times New Roman" w:cs="Times New Roman"/>
          <w:snapToGrid w:val="0"/>
          <w:kern w:val="0"/>
          <w:sz w:val="22"/>
          <w:szCs w:val="20"/>
          <w14:ligatures w14:val="none"/>
        </w:rPr>
        <w:t>pohemoraginė</w:t>
      </w:r>
      <w:proofErr w:type="spellEnd"/>
      <w:r w:rsidRPr="00D21DFA">
        <w:rPr>
          <w:rFonts w:ascii="Times New Roman" w:eastAsia="Times New Roman" w:hAnsi="Times New Roman" w:cs="Times New Roman"/>
          <w:snapToGrid w:val="0"/>
          <w:kern w:val="0"/>
          <w:sz w:val="22"/>
          <w:szCs w:val="20"/>
          <w14:ligatures w14:val="none"/>
        </w:rPr>
        <w:t xml:space="preserve"> anemija. Sutrikimo požymiai, simptomai ir sunkumas gali būti skirtingi pagal kraujavimo vietą, mastą ir intensyvumą (žr. 4.4 ir 5.1 skyrius).</w:t>
      </w:r>
    </w:p>
    <w:p w14:paraId="44ADA019" w14:textId="77777777" w:rsidR="00C95D96" w:rsidRPr="00D21DFA" w:rsidRDefault="00C95D96"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79EB1159"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u w:val="single"/>
          <w:lang w:eastAsia="lt-LT"/>
          <w14:ligatures w14:val="none"/>
        </w:rPr>
      </w:pPr>
      <w:r w:rsidRPr="00D21DFA">
        <w:rPr>
          <w:rFonts w:ascii="Times New Roman" w:eastAsia="Times New Roman" w:hAnsi="Times New Roman" w:cs="Times New Roman"/>
          <w:iCs/>
          <w:snapToGrid w:val="0"/>
          <w:kern w:val="0"/>
          <w:sz w:val="22"/>
          <w:szCs w:val="22"/>
          <w:u w:val="single"/>
          <w:lang w:eastAsia="lt-LT"/>
          <w14:ligatures w14:val="none"/>
        </w:rPr>
        <w:t>Vaikų populiacija</w:t>
      </w:r>
    </w:p>
    <w:p w14:paraId="4A056FC1"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u w:val="single"/>
          <w:lang w:eastAsia="lt-LT"/>
          <w14:ligatures w14:val="none"/>
        </w:rPr>
      </w:pPr>
    </w:p>
    <w:p w14:paraId="4D9D12A8"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saugumas tirtas viename I fazės ir trijuose II/III fazės klinikiniuose tyrimuose, kuriuose dalyvavo 970 pacientų. 568 iš šių pacientų gavo vieną ar daugiau </w:t>
      </w: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dozių, ir bendra vidutinė vaistinio preparato ekspozicija buvo atitinkamai 1, 24, 331 ir 80 dienų (žr. 5.1 skyrių). Pacientai vartojo pagal amžių pritaikytų </w:t>
      </w: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farmacinių formų pagal kūno svorį koreguotas dozes. </w:t>
      </w:r>
    </w:p>
    <w:p w14:paraId="1DE1A52E"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748A89A2" w14:textId="44F22ED4"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r w:rsidRPr="00D21DFA">
        <w:rPr>
          <w:rFonts w:ascii="Times New Roman" w:eastAsia="Times New Roman" w:hAnsi="Times New Roman" w:cs="Times New Roman"/>
          <w:iCs/>
          <w:snapToGrid w:val="0"/>
          <w:kern w:val="0"/>
          <w:sz w:val="22"/>
          <w:szCs w:val="22"/>
          <w:lang w:eastAsia="lt-LT"/>
          <w14:ligatures w14:val="none"/>
        </w:rPr>
        <w:t xml:space="preserve">Apskritai </w:t>
      </w:r>
      <w:proofErr w:type="spellStart"/>
      <w:r w:rsidRPr="00D21DFA">
        <w:rPr>
          <w:rFonts w:ascii="Times New Roman" w:eastAsia="Times New Roman" w:hAnsi="Times New Roman" w:cs="Times New Roman"/>
          <w:iCs/>
          <w:snapToGrid w:val="0"/>
          <w:kern w:val="0"/>
          <w:sz w:val="22"/>
          <w:szCs w:val="22"/>
          <w:lang w:eastAsia="lt-LT"/>
          <w14:ligatures w14:val="none"/>
        </w:rPr>
        <w:t>apiksabano</w:t>
      </w:r>
      <w:proofErr w:type="spellEnd"/>
      <w:r w:rsidRPr="00D21DFA">
        <w:rPr>
          <w:rFonts w:ascii="Times New Roman" w:eastAsia="Times New Roman" w:hAnsi="Times New Roman" w:cs="Times New Roman"/>
          <w:iCs/>
          <w:snapToGrid w:val="0"/>
          <w:kern w:val="0"/>
          <w:sz w:val="22"/>
          <w:szCs w:val="22"/>
          <w:lang w:eastAsia="lt-LT"/>
          <w14:ligatures w14:val="none"/>
        </w:rPr>
        <w:t xml:space="preserve"> saugumo duomenys pacientams vaikams nuo 28 dienų iki &lt; 18 metų buvo panašūs kaip suaugusiesiems ir iš esmės nesiskyrė tarp skirtingų vaikų amžiaus grupių.</w:t>
      </w:r>
    </w:p>
    <w:p w14:paraId="01CF0756"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7E592EE7"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r w:rsidRPr="00D21DFA">
        <w:rPr>
          <w:rFonts w:ascii="Times New Roman" w:eastAsia="Times New Roman" w:hAnsi="Times New Roman" w:cs="Times New Roman"/>
          <w:iCs/>
          <w:snapToGrid w:val="0"/>
          <w:kern w:val="0"/>
          <w:sz w:val="22"/>
          <w:szCs w:val="22"/>
          <w:lang w:eastAsia="lt-LT"/>
          <w14:ligatures w14:val="none"/>
        </w:rPr>
        <w:t>Dažniausiai pasireiškusios nepageidaujamos reakcijos pacientams vaikams buvo kraujavimas iš nosies ir nenormalus kraujavimas iš makšties (žr. 3 lentelę, kurioje pateikiamas nepageidaujamų reakcijų sąrašas ir dažnis pagal indikacijas).</w:t>
      </w:r>
    </w:p>
    <w:p w14:paraId="3E694AC2" w14:textId="77777777"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6865C22D" w14:textId="19FB5E26" w:rsidR="00A942B0" w:rsidRPr="00D21DFA" w:rsidRDefault="00A942B0" w:rsidP="00A942B0">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r w:rsidRPr="00D21DFA">
        <w:rPr>
          <w:rFonts w:ascii="Times New Roman" w:eastAsia="Times New Roman" w:hAnsi="Times New Roman" w:cs="Times New Roman"/>
          <w:iCs/>
          <w:snapToGrid w:val="0"/>
          <w:kern w:val="0"/>
          <w:sz w:val="22"/>
          <w:szCs w:val="22"/>
          <w:lang w:eastAsia="lt-LT"/>
          <w14:ligatures w14:val="none"/>
        </w:rPr>
        <w:t xml:space="preserve">Pacientams vaikams kraujavimas iš nosies (labai dažnas), nenormalus kraujavimas iš makšties (labai dažnas), padidėjęs jautrumas ir </w:t>
      </w:r>
      <w:proofErr w:type="spellStart"/>
      <w:r w:rsidRPr="00D21DFA">
        <w:rPr>
          <w:rFonts w:ascii="Times New Roman" w:eastAsia="Times New Roman" w:hAnsi="Times New Roman" w:cs="Times New Roman"/>
          <w:iCs/>
          <w:snapToGrid w:val="0"/>
          <w:kern w:val="0"/>
          <w:sz w:val="22"/>
          <w:szCs w:val="22"/>
          <w:lang w:eastAsia="lt-LT"/>
          <w14:ligatures w14:val="none"/>
        </w:rPr>
        <w:t>anafilaksija</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(dažnas), niežėjimas (dažnas), </w:t>
      </w:r>
      <w:proofErr w:type="spellStart"/>
      <w:r w:rsidRPr="00D21DFA">
        <w:rPr>
          <w:rFonts w:ascii="Times New Roman" w:eastAsia="Times New Roman" w:hAnsi="Times New Roman" w:cs="Times New Roman"/>
          <w:iCs/>
          <w:snapToGrid w:val="0"/>
          <w:kern w:val="0"/>
          <w:sz w:val="22"/>
          <w:szCs w:val="22"/>
          <w:lang w:eastAsia="lt-LT"/>
          <w14:ligatures w14:val="none"/>
        </w:rPr>
        <w:t>hipotenzija</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(dažnas), </w:t>
      </w:r>
      <w:r w:rsidR="008D2EE0">
        <w:rPr>
          <w:rFonts w:ascii="Times New Roman" w:eastAsia="Times New Roman" w:hAnsi="Times New Roman" w:cs="Times New Roman"/>
          <w:iCs/>
          <w:snapToGrid w:val="0"/>
          <w:kern w:val="0"/>
          <w:sz w:val="22"/>
          <w:szCs w:val="22"/>
          <w:lang w:eastAsia="lt-LT"/>
          <w14:ligatures w14:val="none"/>
        </w:rPr>
        <w:t>k</w:t>
      </w:r>
      <w:r w:rsidRPr="00D21DFA">
        <w:rPr>
          <w:rFonts w:ascii="Times New Roman" w:eastAsia="Times New Roman" w:hAnsi="Times New Roman" w:cs="Times New Roman"/>
          <w:iCs/>
          <w:snapToGrid w:val="0"/>
          <w:kern w:val="0"/>
          <w:sz w:val="22"/>
          <w:szCs w:val="22"/>
          <w:lang w:eastAsia="lt-LT"/>
          <w14:ligatures w14:val="none"/>
        </w:rPr>
        <w:t xml:space="preserve">raujingos išmatos (dažnas), padidėjęs aspartataminotransferazės aktyvumas (dažnas), </w:t>
      </w:r>
      <w:proofErr w:type="spellStart"/>
      <w:r w:rsidRPr="00D21DFA">
        <w:rPr>
          <w:rFonts w:ascii="Times New Roman" w:eastAsia="Times New Roman" w:hAnsi="Times New Roman" w:cs="Times New Roman"/>
          <w:iCs/>
          <w:snapToGrid w:val="0"/>
          <w:kern w:val="0"/>
          <w:sz w:val="22"/>
          <w:szCs w:val="22"/>
          <w:lang w:eastAsia="lt-LT"/>
          <w14:ligatures w14:val="none"/>
        </w:rPr>
        <w:t>alopecija</w:t>
      </w:r>
      <w:proofErr w:type="spellEnd"/>
      <w:r w:rsidRPr="00D21DFA">
        <w:rPr>
          <w:rFonts w:ascii="Times New Roman" w:eastAsia="Times New Roman" w:hAnsi="Times New Roman" w:cs="Times New Roman"/>
          <w:iCs/>
          <w:snapToGrid w:val="0"/>
          <w:kern w:val="0"/>
          <w:sz w:val="22"/>
          <w:szCs w:val="22"/>
          <w:lang w:eastAsia="lt-LT"/>
          <w14:ligatures w14:val="none"/>
        </w:rPr>
        <w:t xml:space="preserve"> (dažnas) ir kraujavimas po procedūros (dažnas) buvo registruojami dažniau, palyginti su suaugusiaisiais, gydytais </w:t>
      </w:r>
      <w:proofErr w:type="spellStart"/>
      <w:r w:rsidRPr="00D21DFA">
        <w:rPr>
          <w:rFonts w:ascii="Times New Roman" w:eastAsia="Times New Roman" w:hAnsi="Times New Roman" w:cs="Times New Roman"/>
          <w:iCs/>
          <w:snapToGrid w:val="0"/>
          <w:kern w:val="0"/>
          <w:sz w:val="22"/>
          <w:szCs w:val="22"/>
          <w:lang w:eastAsia="lt-LT"/>
          <w14:ligatures w14:val="none"/>
        </w:rPr>
        <w:t>apiksabanu</w:t>
      </w:r>
      <w:proofErr w:type="spellEnd"/>
      <w:r w:rsidRPr="00D21DFA">
        <w:rPr>
          <w:rFonts w:ascii="Times New Roman" w:eastAsia="Times New Roman" w:hAnsi="Times New Roman" w:cs="Times New Roman"/>
          <w:iCs/>
          <w:snapToGrid w:val="0"/>
          <w:kern w:val="0"/>
          <w:sz w:val="22"/>
          <w:szCs w:val="22"/>
          <w:lang w:eastAsia="lt-LT"/>
          <w14:ligatures w14:val="none"/>
        </w:rPr>
        <w:t xml:space="preserve">, tačiau toje pačioje dažnumo kategorijoje kaip ir standartinio gydymo (SG) grupės vaikų; vienintelė išimtis buvo nenormalus kraujavimas iš makšties, apie kurį buvo pranešta kaip apie dažną SG grupėje. Visais atvejais, išskyrus vieną, buvo pranešta apie kepenų </w:t>
      </w:r>
      <w:proofErr w:type="spellStart"/>
      <w:r w:rsidRPr="00D21DFA">
        <w:rPr>
          <w:rFonts w:ascii="Times New Roman" w:eastAsia="Times New Roman" w:hAnsi="Times New Roman" w:cs="Times New Roman"/>
          <w:iCs/>
          <w:snapToGrid w:val="0"/>
          <w:kern w:val="0"/>
          <w:sz w:val="22"/>
          <w:szCs w:val="22"/>
          <w:lang w:eastAsia="lt-LT"/>
          <w14:ligatures w14:val="none"/>
        </w:rPr>
        <w:t>transaminazių</w:t>
      </w:r>
      <w:proofErr w:type="spellEnd"/>
      <w:r w:rsidRPr="00D21DFA">
        <w:rPr>
          <w:rFonts w:ascii="Times New Roman" w:eastAsia="Times New Roman" w:hAnsi="Times New Roman" w:cs="Times New Roman"/>
          <w:iCs/>
          <w:snapToGrid w:val="0"/>
          <w:kern w:val="0"/>
          <w:sz w:val="22"/>
          <w:szCs w:val="22"/>
          <w:lang w:eastAsia="lt-LT"/>
          <w14:ligatures w14:val="none"/>
        </w:rPr>
        <w:t xml:space="preserve"> aktyvumo padidėjimą pacientams vaikams, kurie kartu buvo gydomi chemoterapija dėl piktybinio naviko.</w:t>
      </w:r>
    </w:p>
    <w:p w14:paraId="0CD001A3" w14:textId="77777777" w:rsidR="00A942B0" w:rsidRPr="00D21DFA" w:rsidRDefault="00A942B0"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iCs/>
          <w:snapToGrid w:val="0"/>
          <w:kern w:val="0"/>
          <w:sz w:val="22"/>
          <w:szCs w:val="22"/>
          <w:lang w:eastAsia="lt-LT"/>
          <w14:ligatures w14:val="none"/>
        </w:rPr>
      </w:pPr>
    </w:p>
    <w:p w14:paraId="53E3C223" w14:textId="77777777" w:rsidR="00C95D96" w:rsidRPr="00D21DFA" w:rsidRDefault="00C95D96" w:rsidP="00C95D96">
      <w:pPr>
        <w:tabs>
          <w:tab w:val="left" w:pos="567"/>
          <w:tab w:val="left" w:pos="9214"/>
        </w:tabs>
        <w:autoSpaceDE w:val="0"/>
        <w:autoSpaceDN w:val="0"/>
        <w:adjustRightInd w:val="0"/>
        <w:spacing w:after="0" w:line="240" w:lineRule="auto"/>
        <w:ind w:right="-2"/>
        <w:jc w:val="both"/>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Pranešimas apie įtariamas nepageidaujamas reakcijas</w:t>
      </w:r>
    </w:p>
    <w:p w14:paraId="639B977F" w14:textId="596CBBFA"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Svarbu pranešti apie įtariamas nepageidaujamas reakcijas, pastebėtas po vaistinio preparato registracijos, nes tai leidžia nuolat stebėti vaistinio preparato naudos ir rizikos santykį. </w:t>
      </w:r>
      <w:r w:rsidR="00577878" w:rsidRPr="00D21DFA">
        <w:rPr>
          <w:rFonts w:ascii="Times New Roman" w:eastAsia="Times New Roman" w:hAnsi="Times New Roman" w:cs="Times New Roman"/>
          <w:kern w:val="0"/>
          <w:sz w:val="22"/>
          <w:szCs w:val="22"/>
          <w:lang w:eastAsia="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77878" w:rsidRPr="00D21DFA">
        <w:rPr>
          <w:rFonts w:ascii="Times New Roman" w:eastAsia="Times New Roman" w:hAnsi="Times New Roman" w:cs="Times New Roman"/>
          <w:color w:val="0000EE"/>
          <w:kern w:val="0"/>
          <w:sz w:val="22"/>
          <w:szCs w:val="22"/>
          <w:u w:val="single"/>
          <w:lang w:eastAsia="lt-LT"/>
          <w14:ligatures w14:val="none"/>
        </w:rPr>
        <w:t>https://vvkt.lrv.lt/lt/</w:t>
      </w:r>
      <w:r w:rsidR="00577878" w:rsidRPr="00D21DFA">
        <w:rPr>
          <w:rFonts w:ascii="Times New Roman" w:eastAsia="Times New Roman" w:hAnsi="Times New Roman" w:cs="Times New Roman"/>
          <w:kern w:val="0"/>
          <w:sz w:val="22"/>
          <w:szCs w:val="22"/>
          <w:lang w:eastAsia="lt-LT"/>
          <w14:ligatures w14:val="none"/>
        </w:rPr>
        <w:t xml:space="preserve"> nurodytais būdais.</w:t>
      </w:r>
    </w:p>
    <w:p w14:paraId="630FDAB8"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p>
    <w:p w14:paraId="7246C126"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4.9</w:t>
      </w:r>
      <w:r w:rsidRPr="00D21DFA">
        <w:rPr>
          <w:rFonts w:ascii="Times New Roman" w:eastAsia="Times New Roman" w:hAnsi="Times New Roman" w:cs="Times New Roman"/>
          <w:b/>
          <w:bCs/>
          <w:snapToGrid w:val="0"/>
          <w:kern w:val="0"/>
          <w:sz w:val="22"/>
          <w:szCs w:val="28"/>
          <w:lang w:eastAsia="x-none"/>
          <w14:ligatures w14:val="none"/>
        </w:rPr>
        <w:tab/>
        <w:t>Perdozavimas</w:t>
      </w:r>
    </w:p>
    <w:p w14:paraId="1F6CB5C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8859D22" w14:textId="7427DA7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Perdozavus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gali padidėti kraujavimo rizika. Atsiradus kraujavimo sukeltų komplikacijų, būtina nutraukti vaistinio preparato vartojimą ir nustatyti kraujavimo šaltinį. Turi būti apsvarstytas tinkamo gydymo, pvz., chirurginės hemostazės arba šviežios šaldytos kraujo plazmos perpylimo arba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inhibitoriaus poveikį naikinančio medžiagos, taikymas</w:t>
      </w:r>
      <w:r w:rsidR="00A942B0" w:rsidRPr="00D21DFA">
        <w:rPr>
          <w:rFonts w:ascii="Times New Roman" w:eastAsia="Times New Roman" w:hAnsi="Times New Roman" w:cs="Times New Roman"/>
          <w:snapToGrid w:val="0"/>
          <w:kern w:val="0"/>
          <w:sz w:val="22"/>
          <w:szCs w:val="20"/>
          <w14:ligatures w14:val="none"/>
        </w:rPr>
        <w:t xml:space="preserve"> (žr. 4.4 skyrių)</w:t>
      </w:r>
      <w:r w:rsidRPr="00D21DFA">
        <w:rPr>
          <w:rFonts w:ascii="Times New Roman" w:eastAsia="Times New Roman" w:hAnsi="Times New Roman" w:cs="Times New Roman"/>
          <w:snapToGrid w:val="0"/>
          <w:kern w:val="0"/>
          <w:sz w:val="22"/>
          <w:szCs w:val="20"/>
          <w14:ligatures w14:val="none"/>
        </w:rPr>
        <w:t xml:space="preserve">. </w:t>
      </w:r>
    </w:p>
    <w:p w14:paraId="28E9EA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0C41617" w14:textId="41FED638"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Kontroliuojamų klinikinių tyrimų duomenimis, sveikiems</w:t>
      </w:r>
      <w:r w:rsidR="00A942B0" w:rsidRPr="00D21DFA">
        <w:rPr>
          <w:rFonts w:ascii="Times New Roman" w:eastAsia="Times New Roman" w:hAnsi="Times New Roman" w:cs="Times New Roman"/>
          <w:snapToGrid w:val="0"/>
          <w:kern w:val="0"/>
          <w:sz w:val="22"/>
          <w:szCs w:val="20"/>
          <w14:ligatures w14:val="none"/>
        </w:rPr>
        <w:t xml:space="preserve"> suaugusiems</w:t>
      </w:r>
      <w:r w:rsidRPr="00D21DFA">
        <w:rPr>
          <w:rFonts w:ascii="Times New Roman" w:eastAsia="Times New Roman" w:hAnsi="Times New Roman" w:cs="Times New Roman"/>
          <w:snapToGrid w:val="0"/>
          <w:kern w:val="0"/>
          <w:sz w:val="22"/>
          <w:szCs w:val="20"/>
          <w14:ligatures w14:val="none"/>
        </w:rPr>
        <w:t xml:space="preserve"> tiriamiesiems asmenims skyrus iki 50 mg geriamojo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paros dozę 3</w:t>
      </w:r>
      <w:r w:rsidRPr="00D21DFA">
        <w:rPr>
          <w:rFonts w:ascii="Times New Roman" w:eastAsia="Times New Roman" w:hAnsi="Times New Roman" w:cs="Times New Roman"/>
          <w:snapToGrid w:val="0"/>
          <w:kern w:val="0"/>
          <w:sz w:val="22"/>
          <w:szCs w:val="20"/>
          <w14:ligatures w14:val="none"/>
        </w:rPr>
        <w:noBreakHyphen/>
        <w:t>7 paras (po 25 mg du kartus per parą 7 paras arba 50 mg vieną kartą per parą 3 paras), kliniškai reikšming</w:t>
      </w:r>
      <w:r w:rsidR="00577878"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nepageidaujam</w:t>
      </w:r>
      <w:r w:rsidR="00577878" w:rsidRPr="00D21DFA">
        <w:rPr>
          <w:rFonts w:ascii="Times New Roman" w:eastAsia="Times New Roman" w:hAnsi="Times New Roman" w:cs="Times New Roman"/>
          <w:snapToGrid w:val="0"/>
          <w:kern w:val="0"/>
          <w:sz w:val="22"/>
          <w:szCs w:val="20"/>
          <w14:ligatures w14:val="none"/>
        </w:rPr>
        <w:t>ų reakcijų</w:t>
      </w:r>
      <w:r w:rsidRPr="00D21DFA">
        <w:rPr>
          <w:rFonts w:ascii="Times New Roman" w:eastAsia="Times New Roman" w:hAnsi="Times New Roman" w:cs="Times New Roman"/>
          <w:snapToGrid w:val="0"/>
          <w:kern w:val="0"/>
          <w:sz w:val="22"/>
          <w:szCs w:val="20"/>
          <w14:ligatures w14:val="none"/>
        </w:rPr>
        <w:t xml:space="preserve"> nepasireiškė. </w:t>
      </w:r>
    </w:p>
    <w:p w14:paraId="6D903A6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1CAD1F" w14:textId="170C378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Remiantis sveikų</w:t>
      </w:r>
      <w:r w:rsidR="00A942B0" w:rsidRPr="00D21DFA">
        <w:rPr>
          <w:rFonts w:ascii="Times New Roman" w:eastAsia="Times New Roman" w:hAnsi="Times New Roman" w:cs="Times New Roman"/>
          <w:snapToGrid w:val="0"/>
          <w:kern w:val="0"/>
          <w:sz w:val="22"/>
          <w:szCs w:val="20"/>
          <w14:ligatures w14:val="none"/>
        </w:rPr>
        <w:t xml:space="preserve"> suaugusiųjų</w:t>
      </w:r>
      <w:r w:rsidRPr="00D21DFA">
        <w:rPr>
          <w:rFonts w:ascii="Times New Roman" w:eastAsia="Times New Roman" w:hAnsi="Times New Roman" w:cs="Times New Roman"/>
          <w:snapToGrid w:val="0"/>
          <w:kern w:val="0"/>
          <w:sz w:val="22"/>
          <w:szCs w:val="20"/>
          <w14:ligatures w14:val="none"/>
        </w:rPr>
        <w:t xml:space="preserve"> tiriamųjų duomenimis, pavartojus aktyvintosios anglies praėjus 2 ir 6 valandoms po 20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r w:rsidR="00577878" w:rsidRPr="00D21DFA">
        <w:rPr>
          <w:rFonts w:ascii="Times New Roman" w:eastAsia="Times New Roman" w:hAnsi="Times New Roman" w:cs="Times New Roman"/>
          <w:snapToGrid w:val="0"/>
          <w:kern w:val="0"/>
          <w:sz w:val="22"/>
          <w:szCs w:val="20"/>
          <w14:ligatures w14:val="none"/>
        </w:rPr>
        <w:t>pavartojimo</w:t>
      </w:r>
      <w:r w:rsidRPr="00D21DFA">
        <w:rPr>
          <w:rFonts w:ascii="Times New Roman" w:eastAsia="Times New Roman" w:hAnsi="Times New Roman" w:cs="Times New Roman"/>
          <w:snapToGrid w:val="0"/>
          <w:kern w:val="0"/>
          <w:sz w:val="22"/>
          <w:szCs w:val="20"/>
          <w14:ligatures w14:val="none"/>
        </w:rPr>
        <w:t xml:space="preserve">, vidutinis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sumažėjo atitinkamai 50 % ir 27 %, o poveikio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nebuvo. Vidutinis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pusinės eliminacijos </w:t>
      </w:r>
      <w:r w:rsidR="00577878" w:rsidRPr="00D21DFA">
        <w:rPr>
          <w:rFonts w:ascii="Times New Roman" w:eastAsia="Times New Roman" w:hAnsi="Times New Roman" w:cs="Times New Roman"/>
          <w:snapToGrid w:val="0"/>
          <w:kern w:val="0"/>
          <w:sz w:val="22"/>
          <w:szCs w:val="20"/>
          <w14:ligatures w14:val="none"/>
        </w:rPr>
        <w:t>laikas</w:t>
      </w:r>
      <w:r w:rsidRPr="00D21DFA">
        <w:rPr>
          <w:rFonts w:ascii="Times New Roman" w:eastAsia="Times New Roman" w:hAnsi="Times New Roman" w:cs="Times New Roman"/>
          <w:snapToGrid w:val="0"/>
          <w:kern w:val="0"/>
          <w:sz w:val="22"/>
          <w:szCs w:val="20"/>
          <w14:ligatures w14:val="none"/>
        </w:rPr>
        <w:t xml:space="preserve"> sutrumpėjo nuo 13,4 valand</w:t>
      </w:r>
      <w:r w:rsidR="00577878"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vartojant vieno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iki atitinkamai 5,3 valand</w:t>
      </w:r>
      <w:r w:rsidR="00577878"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ir 4,9 valand</w:t>
      </w:r>
      <w:r w:rsidR="00577878"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pavartojus aktyvintosios anglies praėjus 2 ir 6 valandoms po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suvartojimo. Taigi, aktyvintosios anglies vartojimas gali būti naudingas taikant gydymą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perdozavimo arba atsitiktinio nurijimo atvej</w:t>
      </w:r>
      <w:r w:rsidR="00577878" w:rsidRPr="00D21DFA">
        <w:rPr>
          <w:rFonts w:ascii="Times New Roman" w:eastAsia="Times New Roman" w:hAnsi="Times New Roman" w:cs="Times New Roman"/>
          <w:snapToGrid w:val="0"/>
          <w:kern w:val="0"/>
          <w:sz w:val="22"/>
          <w:szCs w:val="20"/>
          <w14:ligatures w14:val="none"/>
        </w:rPr>
        <w:t>ais</w:t>
      </w:r>
      <w:r w:rsidRPr="00D21DFA">
        <w:rPr>
          <w:rFonts w:ascii="Times New Roman" w:eastAsia="Times New Roman" w:hAnsi="Times New Roman" w:cs="Times New Roman"/>
          <w:snapToGrid w:val="0"/>
          <w:kern w:val="0"/>
          <w:sz w:val="22"/>
          <w:szCs w:val="20"/>
          <w14:ligatures w14:val="none"/>
        </w:rPr>
        <w:t xml:space="preserve">. </w:t>
      </w:r>
    </w:p>
    <w:p w14:paraId="542A714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4630F2" w14:textId="5B579731" w:rsidR="00A942B0" w:rsidRPr="00D21DFA" w:rsidRDefault="00A942B0"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sergantiems galutinės stadijos inkstų liga (GSIL), per burną skiriant vienkartinę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dėl hemodializės sumažėjo 14</w:t>
      </w:r>
      <w:r w:rsidR="00242F2E">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 xml:space="preserve">%. Todėl hemodializė nėra veiksminga priemonė perdozavus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7B753AEF" w14:textId="77777777" w:rsidR="000625CF" w:rsidRPr="00D21DFA" w:rsidRDefault="000625CF"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B4883A9" w14:textId="4A502644"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Tais atvejais, kai reikalinga panaikinti krešėjimą slopinantį poveikį dėl gyvybei pavojingos būklės arba nekontroliuojamo kraujavimo, galima pavartoti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inhibitoriaus poveikį naikinančią medžiagą </w:t>
      </w:r>
      <w:r w:rsidR="000625CF" w:rsidRPr="00D21DFA">
        <w:rPr>
          <w:rFonts w:ascii="Times New Roman" w:eastAsia="Times New Roman" w:hAnsi="Times New Roman" w:cs="Times New Roman"/>
          <w:snapToGrid w:val="0"/>
          <w:kern w:val="0"/>
          <w:sz w:val="22"/>
          <w:szCs w:val="20"/>
          <w14:ligatures w14:val="none"/>
        </w:rPr>
        <w:t>(</w:t>
      </w:r>
      <w:proofErr w:type="spellStart"/>
      <w:r w:rsidR="000625CF" w:rsidRPr="00D21DFA">
        <w:rPr>
          <w:rFonts w:ascii="Times New Roman" w:eastAsia="Times New Roman" w:hAnsi="Times New Roman" w:cs="Times New Roman"/>
          <w:snapToGrid w:val="0"/>
          <w:kern w:val="0"/>
          <w:sz w:val="22"/>
          <w:szCs w:val="20"/>
          <w14:ligatures w14:val="none"/>
        </w:rPr>
        <w:t>andeksanetą</w:t>
      </w:r>
      <w:proofErr w:type="spellEnd"/>
      <w:r w:rsidR="000625CF" w:rsidRPr="00D21DFA">
        <w:rPr>
          <w:rFonts w:ascii="Times New Roman" w:eastAsia="Times New Roman" w:hAnsi="Times New Roman" w:cs="Times New Roman"/>
          <w:snapToGrid w:val="0"/>
          <w:kern w:val="0"/>
          <w:sz w:val="22"/>
          <w:szCs w:val="20"/>
          <w14:ligatures w14:val="none"/>
        </w:rPr>
        <w:t xml:space="preserve"> alfa) suaugusiesiems </w:t>
      </w:r>
      <w:r w:rsidRPr="00D21DFA">
        <w:rPr>
          <w:rFonts w:ascii="Times New Roman" w:eastAsia="Times New Roman" w:hAnsi="Times New Roman" w:cs="Times New Roman"/>
          <w:snapToGrid w:val="0"/>
          <w:kern w:val="0"/>
          <w:sz w:val="22"/>
          <w:szCs w:val="20"/>
          <w14:ligatures w14:val="none"/>
        </w:rPr>
        <w:t xml:space="preserve">(žr. 4.4 skyrių). Gali reikėti spręsti dėl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komplekso koncentratų (PKK) ar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(r-</w:t>
      </w:r>
      <w:proofErr w:type="spellStart"/>
      <w:r w:rsidRPr="00D21DFA">
        <w:rPr>
          <w:rFonts w:ascii="Times New Roman" w:eastAsia="Times New Roman" w:hAnsi="Times New Roman" w:cs="Times New Roman"/>
          <w:snapToGrid w:val="0"/>
          <w:kern w:val="0"/>
          <w:sz w:val="22"/>
          <w:szCs w:val="20"/>
          <w14:ligatures w14:val="none"/>
        </w:rPr>
        <w:t>FVIIa</w:t>
      </w:r>
      <w:proofErr w:type="spellEnd"/>
      <w:r w:rsidRPr="00D21DFA">
        <w:rPr>
          <w:rFonts w:ascii="Times New Roman" w:eastAsia="Times New Roman" w:hAnsi="Times New Roman" w:cs="Times New Roman"/>
          <w:snapToGrid w:val="0"/>
          <w:kern w:val="0"/>
          <w:sz w:val="22"/>
          <w:szCs w:val="20"/>
          <w14:ligatures w14:val="none"/>
        </w:rPr>
        <w:t xml:space="preserve">) skyrimo.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farmakodinaminio</w:t>
      </w:r>
      <w:proofErr w:type="spellEnd"/>
      <w:r w:rsidRPr="00D21DFA">
        <w:rPr>
          <w:rFonts w:ascii="Times New Roman" w:eastAsia="Times New Roman" w:hAnsi="Times New Roman" w:cs="Times New Roman"/>
          <w:snapToGrid w:val="0"/>
          <w:kern w:val="0"/>
          <w:sz w:val="22"/>
          <w:szCs w:val="20"/>
          <w14:ligatures w14:val="none"/>
        </w:rPr>
        <w:t xml:space="preserve"> poveikio panaikinimas, nustatytas trombino </w:t>
      </w:r>
      <w:r w:rsidR="00577878" w:rsidRPr="00D21DFA">
        <w:rPr>
          <w:rFonts w:ascii="Times New Roman" w:eastAsia="Times New Roman" w:hAnsi="Times New Roman" w:cs="Times New Roman"/>
          <w:snapToGrid w:val="0"/>
          <w:kern w:val="0"/>
          <w:sz w:val="22"/>
          <w:szCs w:val="20"/>
          <w14:ligatures w14:val="none"/>
        </w:rPr>
        <w:t>susidarymo tyrimų rezultatais</w:t>
      </w:r>
      <w:r w:rsidRPr="00D21DFA">
        <w:rPr>
          <w:rFonts w:ascii="Times New Roman" w:eastAsia="Times New Roman" w:hAnsi="Times New Roman" w:cs="Times New Roman"/>
          <w:snapToGrid w:val="0"/>
          <w:kern w:val="0"/>
          <w:sz w:val="22"/>
          <w:szCs w:val="20"/>
          <w14:ligatures w14:val="none"/>
        </w:rPr>
        <w:t>, buvo akivaizd</w:t>
      </w:r>
      <w:r w:rsidR="00577878" w:rsidRPr="00D21DFA">
        <w:rPr>
          <w:rFonts w:ascii="Times New Roman" w:eastAsia="Times New Roman" w:hAnsi="Times New Roman" w:cs="Times New Roman"/>
          <w:snapToGrid w:val="0"/>
          <w:kern w:val="0"/>
          <w:sz w:val="22"/>
          <w:szCs w:val="20"/>
          <w14:ligatures w14:val="none"/>
        </w:rPr>
        <w:t>u</w:t>
      </w:r>
      <w:r w:rsidRPr="00D21DFA">
        <w:rPr>
          <w:rFonts w:ascii="Times New Roman" w:eastAsia="Times New Roman" w:hAnsi="Times New Roman" w:cs="Times New Roman"/>
          <w:snapToGrid w:val="0"/>
          <w:kern w:val="0"/>
          <w:sz w:val="22"/>
          <w:szCs w:val="20"/>
          <w14:ligatures w14:val="none"/>
        </w:rPr>
        <w:t>s infuzijos pabaigoje</w:t>
      </w:r>
      <w:r w:rsidR="00577878" w:rsidRPr="00D21DFA">
        <w:rPr>
          <w:rFonts w:ascii="Times New Roman" w:eastAsia="Times New Roman" w:hAnsi="Times New Roman" w:cs="Times New Roman"/>
          <w:snapToGrid w:val="0"/>
          <w:kern w:val="0"/>
          <w:sz w:val="22"/>
          <w:szCs w:val="20"/>
          <w14:ligatures w14:val="none"/>
        </w:rPr>
        <w:t>, o</w:t>
      </w:r>
      <w:r w:rsidRPr="00D21DFA">
        <w:rPr>
          <w:rFonts w:ascii="Times New Roman" w:eastAsia="Times New Roman" w:hAnsi="Times New Roman" w:cs="Times New Roman"/>
          <w:snapToGrid w:val="0"/>
          <w:kern w:val="0"/>
          <w:sz w:val="22"/>
          <w:szCs w:val="20"/>
          <w14:ligatures w14:val="none"/>
        </w:rPr>
        <w:t xml:space="preserve"> pradines vertes</w:t>
      </w:r>
      <w:r w:rsidR="00577878" w:rsidRPr="00D21DFA">
        <w:rPr>
          <w:rFonts w:ascii="Times New Roman" w:eastAsia="Times New Roman" w:hAnsi="Times New Roman" w:cs="Times New Roman"/>
          <w:snapToGrid w:val="0"/>
          <w:kern w:val="0"/>
          <w:sz w:val="22"/>
          <w:szCs w:val="20"/>
          <w14:ligatures w14:val="none"/>
        </w:rPr>
        <w:t xml:space="preserve"> pasiekė</w:t>
      </w:r>
      <w:r w:rsidRPr="00D21DFA">
        <w:rPr>
          <w:rFonts w:ascii="Times New Roman" w:eastAsia="Times New Roman" w:hAnsi="Times New Roman" w:cs="Times New Roman"/>
          <w:snapToGrid w:val="0"/>
          <w:kern w:val="0"/>
          <w:sz w:val="22"/>
          <w:szCs w:val="20"/>
          <w14:ligatures w14:val="none"/>
        </w:rPr>
        <w:t xml:space="preserve"> praėjus 4 valandoms po </w:t>
      </w:r>
      <w:r w:rsidR="000625CF" w:rsidRPr="00D21DFA">
        <w:rPr>
          <w:rFonts w:ascii="Times New Roman" w:eastAsia="Times New Roman" w:hAnsi="Times New Roman" w:cs="Times New Roman"/>
          <w:snapToGrid w:val="0"/>
          <w:kern w:val="0"/>
          <w:sz w:val="22"/>
          <w:szCs w:val="20"/>
          <w14:ligatures w14:val="none"/>
        </w:rPr>
        <w:t xml:space="preserve">30 minučių </w:t>
      </w:r>
      <w:r w:rsidRPr="00D21DFA">
        <w:rPr>
          <w:rFonts w:ascii="Times New Roman" w:eastAsia="Times New Roman" w:hAnsi="Times New Roman" w:cs="Times New Roman"/>
          <w:snapToGrid w:val="0"/>
          <w:kern w:val="0"/>
          <w:sz w:val="22"/>
          <w:szCs w:val="20"/>
          <w14:ligatures w14:val="none"/>
        </w:rPr>
        <w:t>4 faktori</w:t>
      </w:r>
      <w:r w:rsidR="00577878"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komplekso koncentrato (PKK) infuzijos </w:t>
      </w:r>
      <w:r w:rsidR="00577878" w:rsidRPr="00D21DFA">
        <w:rPr>
          <w:rFonts w:ascii="Times New Roman" w:eastAsia="Times New Roman" w:hAnsi="Times New Roman" w:cs="Times New Roman"/>
          <w:snapToGrid w:val="0"/>
          <w:kern w:val="0"/>
          <w:sz w:val="22"/>
          <w:szCs w:val="20"/>
          <w14:ligatures w14:val="none"/>
        </w:rPr>
        <w:t xml:space="preserve">pradžios </w:t>
      </w:r>
      <w:r w:rsidRPr="00D21DFA">
        <w:rPr>
          <w:rFonts w:ascii="Times New Roman" w:eastAsia="Times New Roman" w:hAnsi="Times New Roman" w:cs="Times New Roman"/>
          <w:snapToGrid w:val="0"/>
          <w:kern w:val="0"/>
          <w:sz w:val="22"/>
          <w:szCs w:val="20"/>
          <w14:ligatures w14:val="none"/>
        </w:rPr>
        <w:t>sveikiems tiriamiesiems. Tačiau klinikinės patirties vartojant 4 faktori</w:t>
      </w:r>
      <w:r w:rsidR="00577878"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PKK vaistinių preparatų kraujavimui sustabdyti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vartojusiems asmenims nėra.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skyrimo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vartojantiems pacientams patirties iki šiol nėra. Atsižvelgiant į kraujavimo mažėjimą, reikėtų apsvarstyti kartotinės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dozės </w:t>
      </w:r>
      <w:r w:rsidR="00577878" w:rsidRPr="00D21DFA">
        <w:rPr>
          <w:rFonts w:ascii="Times New Roman" w:eastAsia="Times New Roman" w:hAnsi="Times New Roman" w:cs="Times New Roman"/>
          <w:snapToGrid w:val="0"/>
          <w:kern w:val="0"/>
          <w:sz w:val="22"/>
          <w:szCs w:val="20"/>
          <w14:ligatures w14:val="none"/>
        </w:rPr>
        <w:t>nustatymą ir</w:t>
      </w:r>
      <w:r w:rsidRPr="00D21DFA">
        <w:rPr>
          <w:rFonts w:ascii="Times New Roman" w:eastAsia="Times New Roman" w:hAnsi="Times New Roman" w:cs="Times New Roman"/>
          <w:snapToGrid w:val="0"/>
          <w:kern w:val="0"/>
          <w:sz w:val="22"/>
          <w:szCs w:val="20"/>
          <w14:ligatures w14:val="none"/>
        </w:rPr>
        <w:t xml:space="preserve"> koregavimą.</w:t>
      </w:r>
    </w:p>
    <w:p w14:paraId="27EFE68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773CF211" w14:textId="77777777" w:rsidR="000625CF" w:rsidRPr="00D21DFA" w:rsidRDefault="000625CF" w:rsidP="000625CF">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Specifinis neutralizuojantysis vaistinis preparatas (</w:t>
      </w:r>
      <w:proofErr w:type="spellStart"/>
      <w:r w:rsidRPr="00D21DFA">
        <w:rPr>
          <w:rFonts w:ascii="Times New Roman" w:eastAsia="Times New Roman" w:hAnsi="Times New Roman" w:cs="Times New Roman"/>
          <w:snapToGrid w:val="0"/>
          <w:kern w:val="0"/>
          <w:sz w:val="22"/>
          <w:szCs w:val="20"/>
          <w14:ligatures w14:val="none"/>
        </w:rPr>
        <w:t>andeksanetas</w:t>
      </w:r>
      <w:proofErr w:type="spellEnd"/>
      <w:r w:rsidRPr="00D21DFA">
        <w:rPr>
          <w:rFonts w:ascii="Times New Roman" w:eastAsia="Times New Roman" w:hAnsi="Times New Roman" w:cs="Times New Roman"/>
          <w:snapToGrid w:val="0"/>
          <w:kern w:val="0"/>
          <w:sz w:val="22"/>
          <w:szCs w:val="20"/>
          <w14:ligatures w14:val="none"/>
        </w:rPr>
        <w:t xml:space="preserve"> alfa), kuris slopina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farmakodinaminį</w:t>
      </w:r>
      <w:proofErr w:type="spellEnd"/>
      <w:r w:rsidRPr="00D21DFA">
        <w:rPr>
          <w:rFonts w:ascii="Times New Roman" w:eastAsia="Times New Roman" w:hAnsi="Times New Roman" w:cs="Times New Roman"/>
          <w:snapToGrid w:val="0"/>
          <w:kern w:val="0"/>
          <w:sz w:val="22"/>
          <w:szCs w:val="20"/>
          <w14:ligatures w14:val="none"/>
        </w:rPr>
        <w:t xml:space="preserve"> poveikį, vaikų populiacijai nėra patvirtintas (žr. </w:t>
      </w:r>
      <w:proofErr w:type="spellStart"/>
      <w:r w:rsidRPr="00D21DFA">
        <w:rPr>
          <w:rFonts w:ascii="Times New Roman" w:eastAsia="Times New Roman" w:hAnsi="Times New Roman" w:cs="Times New Roman"/>
          <w:snapToGrid w:val="0"/>
          <w:kern w:val="0"/>
          <w:sz w:val="22"/>
          <w:szCs w:val="20"/>
          <w14:ligatures w14:val="none"/>
        </w:rPr>
        <w:t>andeksaneto</w:t>
      </w:r>
      <w:proofErr w:type="spellEnd"/>
      <w:r w:rsidRPr="00D21DFA">
        <w:rPr>
          <w:rFonts w:ascii="Times New Roman" w:eastAsia="Times New Roman" w:hAnsi="Times New Roman" w:cs="Times New Roman"/>
          <w:snapToGrid w:val="0"/>
          <w:kern w:val="0"/>
          <w:sz w:val="22"/>
          <w:szCs w:val="20"/>
          <w14:ligatures w14:val="none"/>
        </w:rPr>
        <w:t xml:space="preserve"> alfa preparato charakteristikų santrauką). Taip pat galima spręsti dėl šviežios šaldytos plazmos transfuzijos, PKK arba </w:t>
      </w:r>
      <w:proofErr w:type="spellStart"/>
      <w:r w:rsidRPr="00D21DFA">
        <w:rPr>
          <w:rFonts w:ascii="Times New Roman" w:eastAsia="Times New Roman" w:hAnsi="Times New Roman" w:cs="Times New Roman"/>
          <w:snapToGrid w:val="0"/>
          <w:kern w:val="0"/>
          <w:sz w:val="22"/>
          <w:szCs w:val="20"/>
          <w14:ligatures w14:val="none"/>
        </w:rPr>
        <w:t>rekombinantinio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VIIa</w:t>
      </w:r>
      <w:proofErr w:type="spellEnd"/>
      <w:r w:rsidRPr="00D21DFA">
        <w:rPr>
          <w:rFonts w:ascii="Times New Roman" w:eastAsia="Times New Roman" w:hAnsi="Times New Roman" w:cs="Times New Roman"/>
          <w:snapToGrid w:val="0"/>
          <w:kern w:val="0"/>
          <w:sz w:val="22"/>
          <w:szCs w:val="20"/>
          <w14:ligatures w14:val="none"/>
        </w:rPr>
        <w:t xml:space="preserve"> faktoriaus skyrimo.</w:t>
      </w:r>
    </w:p>
    <w:p w14:paraId="08CC143A" w14:textId="77777777" w:rsidR="000625CF" w:rsidRPr="00D21DFA" w:rsidRDefault="000625CF"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96C8850"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Atsižvelgiant į vietines galimybes, stipraus kraujavimo atveju turi būti apsvarstyta krešėjimo eksperto konsultacijos galimybė.</w:t>
      </w:r>
    </w:p>
    <w:p w14:paraId="579546E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4CD3B1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05FFBC1"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5.</w:t>
      </w:r>
      <w:r w:rsidRPr="00D21DFA">
        <w:rPr>
          <w:rFonts w:ascii="Times New Roman" w:eastAsia="Times New Roman" w:hAnsi="Times New Roman" w:cs="Times New Roman"/>
          <w:b/>
          <w:bCs/>
          <w:snapToGrid w:val="0"/>
          <w:kern w:val="0"/>
          <w:sz w:val="22"/>
          <w:szCs w:val="26"/>
          <w:lang w:eastAsia="x-none"/>
          <w14:ligatures w14:val="none"/>
        </w:rPr>
        <w:tab/>
        <w:t>FARMAKOLOGINĖS SAVYBĖS</w:t>
      </w:r>
    </w:p>
    <w:p w14:paraId="1D49E94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7869A7D"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5.1</w:t>
      </w:r>
      <w:r w:rsidRPr="00D21DFA">
        <w:rPr>
          <w:rFonts w:ascii="Times New Roman" w:eastAsia="Times New Roman" w:hAnsi="Times New Roman" w:cs="Times New Roman"/>
          <w:b/>
          <w:snapToGrid w:val="0"/>
          <w:kern w:val="0"/>
          <w:sz w:val="22"/>
          <w:lang w:eastAsia="x-none"/>
          <w14:ligatures w14:val="none"/>
        </w:rPr>
        <w:t xml:space="preserve"> </w:t>
      </w:r>
      <w:r w:rsidRPr="00D21DFA">
        <w:rPr>
          <w:rFonts w:ascii="Times New Roman" w:eastAsia="Times New Roman" w:hAnsi="Times New Roman" w:cs="Times New Roman"/>
          <w:b/>
          <w:bCs/>
          <w:snapToGrid w:val="0"/>
          <w:kern w:val="0"/>
          <w:sz w:val="22"/>
          <w:szCs w:val="28"/>
          <w:lang w:eastAsia="x-none"/>
          <w14:ligatures w14:val="none"/>
        </w:rPr>
        <w:tab/>
      </w:r>
      <w:proofErr w:type="spellStart"/>
      <w:r w:rsidRPr="00D21DFA">
        <w:rPr>
          <w:rFonts w:ascii="Times New Roman" w:eastAsia="Times New Roman" w:hAnsi="Times New Roman" w:cs="Times New Roman"/>
          <w:b/>
          <w:bCs/>
          <w:snapToGrid w:val="0"/>
          <w:kern w:val="0"/>
          <w:sz w:val="22"/>
          <w:szCs w:val="28"/>
          <w:lang w:eastAsia="x-none"/>
          <w14:ligatures w14:val="none"/>
        </w:rPr>
        <w:t>Farmakodinaminės</w:t>
      </w:r>
      <w:proofErr w:type="spellEnd"/>
      <w:r w:rsidRPr="00D21DFA">
        <w:rPr>
          <w:rFonts w:ascii="Times New Roman" w:eastAsia="Times New Roman" w:hAnsi="Times New Roman" w:cs="Times New Roman"/>
          <w:b/>
          <w:bCs/>
          <w:snapToGrid w:val="0"/>
          <w:kern w:val="0"/>
          <w:sz w:val="22"/>
          <w:szCs w:val="28"/>
          <w:lang w:eastAsia="x-none"/>
          <w14:ligatures w14:val="none"/>
        </w:rPr>
        <w:t xml:space="preserve"> savybės</w:t>
      </w:r>
    </w:p>
    <w:p w14:paraId="41E17D8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298C4B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kern w:val="0"/>
          <w:sz w:val="22"/>
          <w:szCs w:val="20"/>
          <w14:ligatures w14:val="none"/>
        </w:rPr>
      </w:pPr>
      <w:proofErr w:type="spellStart"/>
      <w:r w:rsidRPr="00D21DFA">
        <w:rPr>
          <w:rFonts w:ascii="Times New Roman" w:eastAsia="Times New Roman" w:hAnsi="Times New Roman" w:cs="Times New Roman"/>
          <w:snapToGrid w:val="0"/>
          <w:kern w:val="0"/>
          <w:sz w:val="22"/>
          <w14:ligatures w14:val="none"/>
        </w:rPr>
        <w:t>Farmakoterapinė</w:t>
      </w:r>
      <w:proofErr w:type="spellEnd"/>
      <w:r w:rsidRPr="00D21DFA">
        <w:rPr>
          <w:rFonts w:ascii="Times New Roman" w:eastAsia="Times New Roman" w:hAnsi="Times New Roman" w:cs="Times New Roman"/>
          <w:snapToGrid w:val="0"/>
          <w:kern w:val="0"/>
          <w:sz w:val="22"/>
          <w14:ligatures w14:val="none"/>
        </w:rPr>
        <w:t xml:space="preserve"> grupė – </w:t>
      </w:r>
      <w:proofErr w:type="spellStart"/>
      <w:r w:rsidRPr="00D21DFA">
        <w:rPr>
          <w:rFonts w:ascii="Times New Roman" w:eastAsia="Times New Roman" w:hAnsi="Times New Roman" w:cs="Times New Roman"/>
          <w:kern w:val="0"/>
          <w:sz w:val="22"/>
          <w:szCs w:val="20"/>
          <w14:ligatures w14:val="none"/>
        </w:rPr>
        <w:t>antitromboziniai</w:t>
      </w:r>
      <w:proofErr w:type="spellEnd"/>
      <w:r w:rsidRPr="00D21DFA">
        <w:rPr>
          <w:rFonts w:ascii="Times New Roman" w:eastAsia="Times New Roman" w:hAnsi="Times New Roman" w:cs="Times New Roman"/>
          <w:kern w:val="0"/>
          <w:sz w:val="22"/>
          <w:szCs w:val="20"/>
          <w14:ligatures w14:val="none"/>
        </w:rPr>
        <w:t xml:space="preserve"> vaistiniai preparatai, tiesioginiai </w:t>
      </w:r>
      <w:proofErr w:type="spellStart"/>
      <w:r w:rsidRPr="00D21DFA">
        <w:rPr>
          <w:rFonts w:ascii="Times New Roman" w:eastAsia="Times New Roman" w:hAnsi="Times New Roman" w:cs="Times New Roman"/>
          <w:kern w:val="0"/>
          <w:sz w:val="22"/>
          <w:szCs w:val="20"/>
          <w14:ligatures w14:val="none"/>
        </w:rPr>
        <w:t>Xa</w:t>
      </w:r>
      <w:proofErr w:type="spellEnd"/>
      <w:r w:rsidRPr="00D21DFA">
        <w:rPr>
          <w:rFonts w:ascii="Times New Roman" w:eastAsia="Times New Roman" w:hAnsi="Times New Roman" w:cs="Times New Roman"/>
          <w:kern w:val="0"/>
          <w:sz w:val="22"/>
          <w:szCs w:val="20"/>
          <w14:ligatures w14:val="none"/>
        </w:rPr>
        <w:t xml:space="preserve"> faktoriaus inhibitoriai, ATC kodas – B01AF02. </w:t>
      </w:r>
    </w:p>
    <w:p w14:paraId="39C0385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E3E257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u w:val="single"/>
          <w14:ligatures w14:val="none"/>
        </w:rPr>
      </w:pPr>
      <w:r w:rsidRPr="00D21DFA">
        <w:rPr>
          <w:rFonts w:ascii="Times New Roman" w:eastAsia="Times New Roman" w:hAnsi="Times New Roman" w:cs="Times New Roman"/>
          <w:snapToGrid w:val="0"/>
          <w:kern w:val="0"/>
          <w:sz w:val="22"/>
          <w:u w:val="single"/>
          <w14:ligatures w14:val="none"/>
        </w:rPr>
        <w:t>Veikimo mechanizmas</w:t>
      </w:r>
    </w:p>
    <w:p w14:paraId="513132F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77DA9B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yra stiprus, per burną vartojamas, grįžtamojo poveikio, tiesioginis ir labai selektyvus aktyvios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vietos inhibitorius. Jo </w:t>
      </w:r>
      <w:proofErr w:type="spellStart"/>
      <w:r w:rsidRPr="00D21DFA">
        <w:rPr>
          <w:rFonts w:ascii="Times New Roman" w:eastAsia="Times New Roman" w:hAnsi="Times New Roman" w:cs="Times New Roman"/>
          <w:snapToGrid w:val="0"/>
          <w:kern w:val="0"/>
          <w:sz w:val="22"/>
          <w:szCs w:val="20"/>
          <w14:ligatures w14:val="none"/>
        </w:rPr>
        <w:t>antitromboziniam</w:t>
      </w:r>
      <w:proofErr w:type="spellEnd"/>
      <w:r w:rsidRPr="00D21DFA">
        <w:rPr>
          <w:rFonts w:ascii="Times New Roman" w:eastAsia="Times New Roman" w:hAnsi="Times New Roman" w:cs="Times New Roman"/>
          <w:snapToGrid w:val="0"/>
          <w:kern w:val="0"/>
          <w:sz w:val="22"/>
          <w:szCs w:val="20"/>
          <w14:ligatures w14:val="none"/>
        </w:rPr>
        <w:t xml:space="preserve"> poveikiui pasireikšti nereikia </w:t>
      </w:r>
      <w:proofErr w:type="spellStart"/>
      <w:r w:rsidRPr="00D21DFA">
        <w:rPr>
          <w:rFonts w:ascii="Times New Roman" w:eastAsia="Times New Roman" w:hAnsi="Times New Roman" w:cs="Times New Roman"/>
          <w:snapToGrid w:val="0"/>
          <w:kern w:val="0"/>
          <w:sz w:val="22"/>
          <w:szCs w:val="20"/>
          <w14:ligatures w14:val="none"/>
        </w:rPr>
        <w:t>antitrombino</w:t>
      </w:r>
      <w:proofErr w:type="spellEnd"/>
      <w:r w:rsidRPr="00D21DFA">
        <w:rPr>
          <w:rFonts w:ascii="Times New Roman" w:eastAsia="Times New Roman" w:hAnsi="Times New Roman" w:cs="Times New Roman"/>
          <w:snapToGrid w:val="0"/>
          <w:kern w:val="0"/>
          <w:sz w:val="22"/>
          <w:szCs w:val="20"/>
          <w14:ligatures w14:val="none"/>
        </w:rPr>
        <w:t xml:space="preserve"> III.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slopina ir laisvąjį, ir krešulio sudėtyje esantį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bei </w:t>
      </w:r>
      <w:proofErr w:type="spellStart"/>
      <w:r w:rsidRPr="00D21DFA">
        <w:rPr>
          <w:rFonts w:ascii="Times New Roman" w:eastAsia="Times New Roman" w:hAnsi="Times New Roman" w:cs="Times New Roman"/>
          <w:snapToGrid w:val="0"/>
          <w:kern w:val="0"/>
          <w:sz w:val="22"/>
          <w:szCs w:val="20"/>
          <w14:ligatures w14:val="none"/>
        </w:rPr>
        <w:t>protrombinazės</w:t>
      </w:r>
      <w:proofErr w:type="spellEnd"/>
      <w:r w:rsidRPr="00D21DFA">
        <w:rPr>
          <w:rFonts w:ascii="Times New Roman" w:eastAsia="Times New Roman" w:hAnsi="Times New Roman" w:cs="Times New Roman"/>
          <w:snapToGrid w:val="0"/>
          <w:kern w:val="0"/>
          <w:sz w:val="22"/>
          <w:szCs w:val="20"/>
          <w14:ligatures w14:val="none"/>
        </w:rPr>
        <w:t xml:space="preserve"> aktyvumą.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tiesiogiai neveikia trombocitų </w:t>
      </w:r>
      <w:proofErr w:type="spellStart"/>
      <w:r w:rsidRPr="00D21DFA">
        <w:rPr>
          <w:rFonts w:ascii="Times New Roman" w:eastAsia="Times New Roman" w:hAnsi="Times New Roman" w:cs="Times New Roman"/>
          <w:snapToGrid w:val="0"/>
          <w:kern w:val="0"/>
          <w:sz w:val="22"/>
          <w:szCs w:val="20"/>
          <w14:ligatures w14:val="none"/>
        </w:rPr>
        <w:t>agregacijos</w:t>
      </w:r>
      <w:proofErr w:type="spellEnd"/>
      <w:r w:rsidRPr="00D21DFA">
        <w:rPr>
          <w:rFonts w:ascii="Times New Roman" w:eastAsia="Times New Roman" w:hAnsi="Times New Roman" w:cs="Times New Roman"/>
          <w:snapToGrid w:val="0"/>
          <w:kern w:val="0"/>
          <w:sz w:val="22"/>
          <w:szCs w:val="20"/>
          <w14:ligatures w14:val="none"/>
        </w:rPr>
        <w:t xml:space="preserve">, tačiau netiesiogiai slopina trombino indukuotą trombocitų </w:t>
      </w:r>
      <w:proofErr w:type="spellStart"/>
      <w:r w:rsidRPr="00D21DFA">
        <w:rPr>
          <w:rFonts w:ascii="Times New Roman" w:eastAsia="Times New Roman" w:hAnsi="Times New Roman" w:cs="Times New Roman"/>
          <w:snapToGrid w:val="0"/>
          <w:kern w:val="0"/>
          <w:sz w:val="22"/>
          <w:szCs w:val="20"/>
          <w14:ligatures w14:val="none"/>
        </w:rPr>
        <w:t>agregaciją</w:t>
      </w:r>
      <w:proofErr w:type="spellEnd"/>
      <w:r w:rsidRPr="00D21DFA">
        <w:rPr>
          <w:rFonts w:ascii="Times New Roman" w:eastAsia="Times New Roman" w:hAnsi="Times New Roman" w:cs="Times New Roman"/>
          <w:snapToGrid w:val="0"/>
          <w:kern w:val="0"/>
          <w:sz w:val="22"/>
          <w:szCs w:val="20"/>
          <w14:ligatures w14:val="none"/>
        </w:rPr>
        <w:t xml:space="preserve">. Slopindamas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trukdo trombino gamybą ir </w:t>
      </w:r>
      <w:proofErr w:type="spellStart"/>
      <w:r w:rsidRPr="00D21DFA">
        <w:rPr>
          <w:rFonts w:ascii="Times New Roman" w:eastAsia="Times New Roman" w:hAnsi="Times New Roman" w:cs="Times New Roman"/>
          <w:snapToGrid w:val="0"/>
          <w:kern w:val="0"/>
          <w:sz w:val="22"/>
          <w:szCs w:val="20"/>
          <w14:ligatures w14:val="none"/>
        </w:rPr>
        <w:t>trombo</w:t>
      </w:r>
      <w:proofErr w:type="spellEnd"/>
      <w:r w:rsidRPr="00D21DFA">
        <w:rPr>
          <w:rFonts w:ascii="Times New Roman" w:eastAsia="Times New Roman" w:hAnsi="Times New Roman" w:cs="Times New Roman"/>
          <w:snapToGrid w:val="0"/>
          <w:kern w:val="0"/>
          <w:sz w:val="22"/>
          <w:szCs w:val="20"/>
          <w14:ligatures w14:val="none"/>
        </w:rPr>
        <w:t xml:space="preserve"> formavimąsi. Ikiklinikinių tyrimų duomenimis 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gyvūnų modeliuose sukelia </w:t>
      </w:r>
      <w:proofErr w:type="spellStart"/>
      <w:r w:rsidRPr="00D21DFA">
        <w:rPr>
          <w:rFonts w:ascii="Times New Roman" w:eastAsia="Times New Roman" w:hAnsi="Times New Roman" w:cs="Times New Roman"/>
          <w:snapToGrid w:val="0"/>
          <w:kern w:val="0"/>
          <w:sz w:val="22"/>
          <w:szCs w:val="20"/>
          <w14:ligatures w14:val="none"/>
        </w:rPr>
        <w:t>antitrombozinį</w:t>
      </w:r>
      <w:proofErr w:type="spellEnd"/>
      <w:r w:rsidRPr="00D21DFA">
        <w:rPr>
          <w:rFonts w:ascii="Times New Roman" w:eastAsia="Times New Roman" w:hAnsi="Times New Roman" w:cs="Times New Roman"/>
          <w:snapToGrid w:val="0"/>
          <w:kern w:val="0"/>
          <w:sz w:val="22"/>
          <w:szCs w:val="20"/>
          <w14:ligatures w14:val="none"/>
        </w:rPr>
        <w:t xml:space="preserve"> poveikį ir apsaugo nuo arterijų bei venų trombozės, jo skiriant tokiomis dozėmis, kurios nekeičia hemostazės.</w:t>
      </w:r>
    </w:p>
    <w:p w14:paraId="5AE4A5D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0BB63E8"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Farmakodinaminis</w:t>
      </w:r>
      <w:proofErr w:type="spellEnd"/>
      <w:r w:rsidRPr="00D21DFA">
        <w:rPr>
          <w:rFonts w:ascii="Times New Roman" w:eastAsia="Times New Roman" w:hAnsi="Times New Roman" w:cs="Times New Roman"/>
          <w:snapToGrid w:val="0"/>
          <w:kern w:val="0"/>
          <w:sz w:val="22"/>
          <w:szCs w:val="20"/>
          <w:u w:val="single"/>
          <w14:ligatures w14:val="none"/>
        </w:rPr>
        <w:t xml:space="preserve"> poveikis </w:t>
      </w:r>
    </w:p>
    <w:p w14:paraId="7FF4683C"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5E4FC566" w14:textId="2A22894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Farmakodinaminis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poveikis atitinka jo veikimo mechanizmą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slopinimą). Dėl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slopinimo,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ilgina krešėjimo tyrimų rezultatų rodmenis, pavyzdžiui, </w:t>
      </w:r>
      <w:proofErr w:type="spellStart"/>
      <w:r w:rsidRPr="00D21DFA">
        <w:rPr>
          <w:rFonts w:ascii="Times New Roman" w:eastAsia="Times New Roman" w:hAnsi="Times New Roman" w:cs="Times New Roman"/>
          <w:snapToGrid w:val="0"/>
          <w:kern w:val="0"/>
          <w:sz w:val="22"/>
          <w:szCs w:val="20"/>
          <w14:ligatures w14:val="none"/>
        </w:rPr>
        <w:t>protrombino</w:t>
      </w:r>
      <w:proofErr w:type="spellEnd"/>
      <w:r w:rsidRPr="00D21DFA">
        <w:rPr>
          <w:rFonts w:ascii="Times New Roman" w:eastAsia="Times New Roman" w:hAnsi="Times New Roman" w:cs="Times New Roman"/>
          <w:snapToGrid w:val="0"/>
          <w:kern w:val="0"/>
          <w:sz w:val="22"/>
          <w:szCs w:val="20"/>
          <w14:ligatures w14:val="none"/>
        </w:rPr>
        <w:t xml:space="preserve"> laiką (PL), TNS ir aktyvinto dalinio </w:t>
      </w:r>
      <w:proofErr w:type="spellStart"/>
      <w:r w:rsidRPr="00D21DFA">
        <w:rPr>
          <w:rFonts w:ascii="Times New Roman" w:eastAsia="Times New Roman" w:hAnsi="Times New Roman" w:cs="Times New Roman"/>
          <w:snapToGrid w:val="0"/>
          <w:kern w:val="0"/>
          <w:sz w:val="22"/>
          <w:szCs w:val="20"/>
          <w14:ligatures w14:val="none"/>
        </w:rPr>
        <w:t>tromboplastino</w:t>
      </w:r>
      <w:proofErr w:type="spellEnd"/>
      <w:r w:rsidRPr="00D21DFA">
        <w:rPr>
          <w:rFonts w:ascii="Times New Roman" w:eastAsia="Times New Roman" w:hAnsi="Times New Roman" w:cs="Times New Roman"/>
          <w:snapToGrid w:val="0"/>
          <w:kern w:val="0"/>
          <w:sz w:val="22"/>
          <w:szCs w:val="20"/>
          <w14:ligatures w14:val="none"/>
        </w:rPr>
        <w:t xml:space="preserve"> laiką (</w:t>
      </w:r>
      <w:proofErr w:type="spellStart"/>
      <w:r w:rsidRPr="00D21DFA">
        <w:rPr>
          <w:rFonts w:ascii="Times New Roman" w:eastAsia="Times New Roman" w:hAnsi="Times New Roman" w:cs="Times New Roman"/>
          <w:snapToGrid w:val="0"/>
          <w:kern w:val="0"/>
          <w:sz w:val="22"/>
          <w:szCs w:val="20"/>
          <w14:ligatures w14:val="none"/>
        </w:rPr>
        <w:t>aDTL</w:t>
      </w:r>
      <w:proofErr w:type="spellEnd"/>
      <w:r w:rsidRPr="00D21DFA">
        <w:rPr>
          <w:rFonts w:ascii="Times New Roman" w:eastAsia="Times New Roman" w:hAnsi="Times New Roman" w:cs="Times New Roman"/>
          <w:snapToGrid w:val="0"/>
          <w:kern w:val="0"/>
          <w:sz w:val="22"/>
          <w:szCs w:val="20"/>
          <w14:ligatures w14:val="none"/>
        </w:rPr>
        <w:t xml:space="preserve">). </w:t>
      </w:r>
      <w:r w:rsidR="000625CF" w:rsidRPr="00D21DFA">
        <w:rPr>
          <w:rFonts w:ascii="Times New Roman" w:eastAsia="Times New Roman" w:hAnsi="Times New Roman" w:cs="Times New Roman"/>
          <w:snapToGrid w:val="0"/>
          <w:kern w:val="0"/>
          <w:sz w:val="22"/>
          <w:szCs w:val="20"/>
          <w14:ligatures w14:val="none"/>
        </w:rPr>
        <w:t xml:space="preserve">Suaugusiesiems </w:t>
      </w:r>
      <w:r w:rsidR="000625CF" w:rsidRPr="00D21DFA">
        <w:rPr>
          <w:rFonts w:ascii="Times New Roman" w:eastAsia="Times New Roman" w:hAnsi="Times New Roman" w:cs="Times New Roman"/>
          <w:snapToGrid w:val="0"/>
          <w:kern w:val="0"/>
          <w:sz w:val="22"/>
          <w:szCs w:val="20"/>
          <w14:ligatures w14:val="none"/>
        </w:rPr>
        <w:lastRenderedPageBreak/>
        <w:t>v</w:t>
      </w:r>
      <w:r w:rsidRPr="00D21DFA">
        <w:rPr>
          <w:rFonts w:ascii="Times New Roman" w:eastAsia="Times New Roman" w:hAnsi="Times New Roman" w:cs="Times New Roman"/>
          <w:snapToGrid w:val="0"/>
          <w:kern w:val="0"/>
          <w:sz w:val="22"/>
          <w:szCs w:val="20"/>
          <w14:ligatures w14:val="none"/>
        </w:rPr>
        <w:t xml:space="preserve">artojant gydomąją vaistinio preparato dozę, šių krešėjimo tyrimų rezultatų pokyčiai yra nedideli ir labai skiriasi įvairiems pacientams. Vertinant </w:t>
      </w:r>
      <w:proofErr w:type="spellStart"/>
      <w:r w:rsidRPr="00D21DFA">
        <w:rPr>
          <w:rFonts w:ascii="Times New Roman" w:eastAsia="Times New Roman" w:hAnsi="Times New Roman" w:cs="Times New Roman"/>
          <w:snapToGrid w:val="0"/>
          <w:kern w:val="0"/>
          <w:sz w:val="22"/>
          <w:szCs w:val="20"/>
          <w14:ligatures w14:val="none"/>
        </w:rPr>
        <w:t>farmakodinaminį</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poveikį, šių tyrimų atlikinėti nerekomenduojama. Atliekant trombino </w:t>
      </w:r>
      <w:r w:rsidR="00577878" w:rsidRPr="00D21DFA">
        <w:rPr>
          <w:rFonts w:ascii="Times New Roman" w:eastAsia="Times New Roman" w:hAnsi="Times New Roman" w:cs="Times New Roman"/>
          <w:snapToGrid w:val="0"/>
          <w:kern w:val="0"/>
          <w:sz w:val="22"/>
          <w:szCs w:val="20"/>
          <w14:ligatures w14:val="none"/>
        </w:rPr>
        <w:t>susidarymo</w:t>
      </w:r>
      <w:r w:rsidRPr="00D21DFA">
        <w:rPr>
          <w:rFonts w:ascii="Times New Roman" w:eastAsia="Times New Roman" w:hAnsi="Times New Roman" w:cs="Times New Roman"/>
          <w:snapToGrid w:val="0"/>
          <w:kern w:val="0"/>
          <w:sz w:val="22"/>
          <w:szCs w:val="20"/>
          <w14:ligatures w14:val="none"/>
        </w:rPr>
        <w:t xml:space="preserve"> tyrimą</w:t>
      </w:r>
      <w:r w:rsidR="00C07A77"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sumažino endogeninio trombino potencialą, trombino susidarymo žmogaus plazmoje matą.</w:t>
      </w:r>
    </w:p>
    <w:p w14:paraId="3554C0C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F74939F" w14:textId="4ADBFB4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slopinamasis poveikis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aktyvumui taip pat nustatytas įrodžius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fermento aktyvumo sumažėjimą, naudojant daugelį prekyboje esančių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aktyvumo tyrimo rinkinių, tačiau naudojant šiuos rinkinius gaunami rezultatai tarpusavyje skiriasi. Klinikinių tyrimų </w:t>
      </w:r>
      <w:r w:rsidR="000625CF" w:rsidRPr="00D21DFA">
        <w:rPr>
          <w:rFonts w:ascii="Times New Roman" w:eastAsia="Times New Roman" w:hAnsi="Times New Roman" w:cs="Times New Roman"/>
          <w:snapToGrid w:val="0"/>
          <w:kern w:val="0"/>
          <w:sz w:val="22"/>
          <w:szCs w:val="20"/>
          <w14:ligatures w14:val="none"/>
        </w:rPr>
        <w:t xml:space="preserve">suaugusiaisiais </w:t>
      </w:r>
      <w:r w:rsidRPr="00D21DFA">
        <w:rPr>
          <w:rFonts w:ascii="Times New Roman" w:eastAsia="Times New Roman" w:hAnsi="Times New Roman" w:cs="Times New Roman"/>
          <w:snapToGrid w:val="0"/>
          <w:kern w:val="0"/>
          <w:sz w:val="22"/>
          <w:szCs w:val="20"/>
          <w14:ligatures w14:val="none"/>
        </w:rPr>
        <w:t xml:space="preserve">metu surinkti duomenys gauti tik atliekant </w:t>
      </w:r>
      <w:proofErr w:type="spellStart"/>
      <w:r w:rsidRPr="00D21DFA">
        <w:rPr>
          <w:rFonts w:ascii="Times New Roman" w:eastAsia="Times New Roman" w:hAnsi="Times New Roman" w:cs="Times New Roman"/>
          <w:i/>
          <w:iCs/>
          <w:snapToGrid w:val="0"/>
          <w:kern w:val="0"/>
          <w:sz w:val="22"/>
          <w:szCs w:val="20"/>
          <w14:ligatures w14:val="none"/>
        </w:rPr>
        <w:t>Rotachrom</w:t>
      </w:r>
      <w:proofErr w:type="spellEnd"/>
      <w:r w:rsidRPr="00D21DFA">
        <w:rPr>
          <w:rFonts w:ascii="Times New Roman" w:eastAsia="Times New Roman" w:hAnsi="Times New Roman" w:cs="Times New Roman"/>
          <w:i/>
          <w:iCs/>
          <w:snapToGrid w:val="0"/>
          <w:kern w:val="0"/>
          <w:sz w:val="22"/>
          <w:szCs w:val="20"/>
          <w:vertAlign w:val="superscript"/>
          <w14:ligatures w14:val="none"/>
        </w:rPr>
        <w:t>®</w:t>
      </w:r>
      <w:r w:rsidRPr="00D21DFA">
        <w:rPr>
          <w:rFonts w:ascii="Times New Roman" w:eastAsia="Times New Roman" w:hAnsi="Times New Roman" w:cs="Times New Roman"/>
          <w:snapToGrid w:val="0"/>
          <w:kern w:val="0"/>
          <w:sz w:val="22"/>
          <w:szCs w:val="20"/>
          <w14:ligatures w14:val="none"/>
        </w:rPr>
        <w:t xml:space="preserve"> heparino </w:t>
      </w:r>
      <w:proofErr w:type="spellStart"/>
      <w:r w:rsidRPr="00D21DFA">
        <w:rPr>
          <w:rFonts w:ascii="Times New Roman" w:eastAsia="Times New Roman" w:hAnsi="Times New Roman" w:cs="Times New Roman"/>
          <w:snapToGrid w:val="0"/>
          <w:kern w:val="0"/>
          <w:sz w:val="22"/>
          <w:szCs w:val="20"/>
          <w14:ligatures w14:val="none"/>
        </w:rPr>
        <w:t>chromogeninį</w:t>
      </w:r>
      <w:proofErr w:type="spellEnd"/>
      <w:r w:rsidRPr="00D21DFA">
        <w:rPr>
          <w:rFonts w:ascii="Times New Roman" w:eastAsia="Times New Roman" w:hAnsi="Times New Roman" w:cs="Times New Roman"/>
          <w:snapToGrid w:val="0"/>
          <w:kern w:val="0"/>
          <w:sz w:val="22"/>
          <w:szCs w:val="20"/>
          <w14:ligatures w14:val="none"/>
        </w:rPr>
        <w:t xml:space="preserve"> tyrimą.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aktyvumas rodo tiksl</w:t>
      </w:r>
      <w:r w:rsidR="00577878" w:rsidRPr="00D21DFA">
        <w:rPr>
          <w:rFonts w:ascii="Times New Roman" w:eastAsia="Times New Roman" w:hAnsi="Times New Roman" w:cs="Times New Roman"/>
          <w:snapToGrid w:val="0"/>
          <w:kern w:val="0"/>
          <w:sz w:val="22"/>
          <w:szCs w:val="20"/>
          <w14:ligatures w14:val="none"/>
        </w:rPr>
        <w:t>ią</w:t>
      </w:r>
      <w:r w:rsidRPr="00D21DFA">
        <w:rPr>
          <w:rFonts w:ascii="Times New Roman" w:eastAsia="Times New Roman" w:hAnsi="Times New Roman" w:cs="Times New Roman"/>
          <w:snapToGrid w:val="0"/>
          <w:kern w:val="0"/>
          <w:sz w:val="22"/>
          <w:szCs w:val="20"/>
          <w14:ligatures w14:val="none"/>
        </w:rPr>
        <w:t xml:space="preserve"> tiesiogin</w:t>
      </w:r>
      <w:r w:rsidR="00577878"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tiesin</w:t>
      </w:r>
      <w:r w:rsidR="00577878" w:rsidRPr="00D21DFA">
        <w:rPr>
          <w:rFonts w:ascii="Times New Roman" w:eastAsia="Times New Roman" w:hAnsi="Times New Roman" w:cs="Times New Roman"/>
          <w:snapToGrid w:val="0"/>
          <w:kern w:val="0"/>
          <w:sz w:val="22"/>
          <w:szCs w:val="20"/>
          <w14:ligatures w14:val="none"/>
        </w:rPr>
        <w:t>ę</w:t>
      </w:r>
      <w:r w:rsidRPr="00D21DFA">
        <w:rPr>
          <w:rFonts w:ascii="Times New Roman" w:eastAsia="Times New Roman" w:hAnsi="Times New Roman" w:cs="Times New Roman"/>
          <w:snapToGrid w:val="0"/>
          <w:kern w:val="0"/>
          <w:sz w:val="22"/>
          <w:szCs w:val="20"/>
          <w14:ligatures w14:val="none"/>
        </w:rPr>
        <w:t xml:space="preserve"> priklausom</w:t>
      </w:r>
      <w:r w:rsidR="00577878" w:rsidRPr="00D21DFA">
        <w:rPr>
          <w:rFonts w:ascii="Times New Roman" w:eastAsia="Times New Roman" w:hAnsi="Times New Roman" w:cs="Times New Roman"/>
          <w:snapToGrid w:val="0"/>
          <w:kern w:val="0"/>
          <w:sz w:val="22"/>
          <w:szCs w:val="20"/>
          <w14:ligatures w14:val="none"/>
        </w:rPr>
        <w:t>ybę</w:t>
      </w:r>
      <w:r w:rsidRPr="00D21DFA">
        <w:rPr>
          <w:rFonts w:ascii="Times New Roman" w:eastAsia="Times New Roman" w:hAnsi="Times New Roman" w:cs="Times New Roman"/>
          <w:snapToGrid w:val="0"/>
          <w:kern w:val="0"/>
          <w:sz w:val="22"/>
          <w:szCs w:val="20"/>
          <w14:ligatures w14:val="none"/>
        </w:rPr>
        <w:t xml:space="preserve"> nuo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ir šis poveikis būna stipriausias susidarius didžiausiai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koncentracijai plazmoje. Priklausomybė tarp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ir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slopinimo yra beveik tiesinė, skiriant įvairias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w:t>
      </w:r>
      <w:proofErr w:type="spellStart"/>
      <w:r w:rsidR="002426C3" w:rsidRPr="00D21DFA">
        <w:rPr>
          <w:rFonts w:ascii="Times New Roman" w:eastAsia="Times New Roman" w:hAnsi="Times New Roman" w:cs="Times New Roman"/>
          <w:snapToGrid w:val="0"/>
          <w:kern w:val="0"/>
          <w:sz w:val="22"/>
          <w:szCs w:val="20"/>
          <w14:ligatures w14:val="none"/>
        </w:rPr>
        <w:t>Apiksabano</w:t>
      </w:r>
      <w:proofErr w:type="spellEnd"/>
      <w:r w:rsidR="002426C3" w:rsidRPr="00D21DFA">
        <w:rPr>
          <w:rFonts w:ascii="Times New Roman" w:eastAsia="Times New Roman" w:hAnsi="Times New Roman" w:cs="Times New Roman"/>
          <w:snapToGrid w:val="0"/>
          <w:kern w:val="0"/>
          <w:sz w:val="22"/>
          <w:szCs w:val="20"/>
          <w14:ligatures w14:val="none"/>
        </w:rPr>
        <w:t xml:space="preserve"> tyrimų su vaikais rezultatai rodo, kad tiesinis ryšys tarp </w:t>
      </w:r>
      <w:proofErr w:type="spellStart"/>
      <w:r w:rsidR="002426C3" w:rsidRPr="00D21DFA">
        <w:rPr>
          <w:rFonts w:ascii="Times New Roman" w:eastAsia="Times New Roman" w:hAnsi="Times New Roman" w:cs="Times New Roman"/>
          <w:snapToGrid w:val="0"/>
          <w:kern w:val="0"/>
          <w:sz w:val="22"/>
          <w:szCs w:val="20"/>
          <w14:ligatures w14:val="none"/>
        </w:rPr>
        <w:t>apiksabano</w:t>
      </w:r>
      <w:proofErr w:type="spellEnd"/>
      <w:r w:rsidR="002426C3" w:rsidRPr="00D21DFA">
        <w:rPr>
          <w:rFonts w:ascii="Times New Roman" w:eastAsia="Times New Roman" w:hAnsi="Times New Roman" w:cs="Times New Roman"/>
          <w:snapToGrid w:val="0"/>
          <w:kern w:val="0"/>
          <w:sz w:val="22"/>
          <w:szCs w:val="20"/>
          <w14:ligatures w14:val="none"/>
        </w:rPr>
        <w:t xml:space="preserve"> koncentracijos ir AXA atitinka anksčiau nustatytą ryšį suaugusiesiems. Tai patvirtina dokumentuotą </w:t>
      </w:r>
      <w:proofErr w:type="spellStart"/>
      <w:r w:rsidR="002426C3" w:rsidRPr="00D21DFA">
        <w:rPr>
          <w:rFonts w:ascii="Times New Roman" w:eastAsia="Times New Roman" w:hAnsi="Times New Roman" w:cs="Times New Roman"/>
          <w:snapToGrid w:val="0"/>
          <w:kern w:val="0"/>
          <w:sz w:val="22"/>
          <w:szCs w:val="20"/>
          <w14:ligatures w14:val="none"/>
        </w:rPr>
        <w:t>apiksabano</w:t>
      </w:r>
      <w:proofErr w:type="spellEnd"/>
      <w:r w:rsidR="002426C3" w:rsidRPr="00D21DFA">
        <w:rPr>
          <w:rFonts w:ascii="Times New Roman" w:eastAsia="Times New Roman" w:hAnsi="Times New Roman" w:cs="Times New Roman"/>
          <w:snapToGrid w:val="0"/>
          <w:kern w:val="0"/>
          <w:sz w:val="22"/>
          <w:szCs w:val="20"/>
          <w14:ligatures w14:val="none"/>
        </w:rPr>
        <w:t xml:space="preserve">, kaip selektyvaus </w:t>
      </w:r>
      <w:proofErr w:type="spellStart"/>
      <w:r w:rsidR="002426C3" w:rsidRPr="00D21DFA">
        <w:rPr>
          <w:rFonts w:ascii="Times New Roman" w:eastAsia="Times New Roman" w:hAnsi="Times New Roman" w:cs="Times New Roman"/>
          <w:snapToGrid w:val="0"/>
          <w:kern w:val="0"/>
          <w:sz w:val="22"/>
          <w:szCs w:val="20"/>
          <w14:ligatures w14:val="none"/>
        </w:rPr>
        <w:t>FXa</w:t>
      </w:r>
      <w:proofErr w:type="spellEnd"/>
      <w:r w:rsidR="002426C3" w:rsidRPr="00D21DFA">
        <w:rPr>
          <w:rFonts w:ascii="Times New Roman" w:eastAsia="Times New Roman" w:hAnsi="Times New Roman" w:cs="Times New Roman"/>
          <w:snapToGrid w:val="0"/>
          <w:kern w:val="0"/>
          <w:sz w:val="22"/>
          <w:szCs w:val="20"/>
          <w14:ligatures w14:val="none"/>
        </w:rPr>
        <w:t xml:space="preserve"> inhibitoriaus, veikimo mechanizmą.</w:t>
      </w:r>
    </w:p>
    <w:p w14:paraId="065001D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66489F3" w14:textId="09F9ADEF" w:rsidR="00C95D96" w:rsidRPr="00D21DFA" w:rsidRDefault="002426C3"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4</w:t>
      </w:r>
      <w:r w:rsidR="00C95D96" w:rsidRPr="00D21DFA">
        <w:rPr>
          <w:rFonts w:ascii="Times New Roman" w:eastAsia="Times New Roman" w:hAnsi="Times New Roman" w:cs="Times New Roman"/>
          <w:snapToGrid w:val="0"/>
          <w:kern w:val="0"/>
          <w:sz w:val="22"/>
          <w:szCs w:val="20"/>
          <w14:ligatures w14:val="none"/>
        </w:rPr>
        <w:t xml:space="preserve"> lentelėje pateikiama </w:t>
      </w:r>
      <w:r w:rsidRPr="00D21DFA">
        <w:rPr>
          <w:rFonts w:ascii="Times New Roman" w:eastAsia="Times New Roman" w:hAnsi="Times New Roman" w:cs="Times New Roman"/>
          <w:snapToGrid w:val="0"/>
          <w:kern w:val="0"/>
          <w:sz w:val="22"/>
          <w:szCs w:val="20"/>
          <w14:ligatures w14:val="none"/>
        </w:rPr>
        <w:t xml:space="preserve">kiekvienos suaugusiųjų indikacijos </w:t>
      </w:r>
      <w:r w:rsidR="00C95D96" w:rsidRPr="00D21DFA">
        <w:rPr>
          <w:rFonts w:ascii="Times New Roman" w:eastAsia="Times New Roman" w:hAnsi="Times New Roman" w:cs="Times New Roman"/>
          <w:snapToGrid w:val="0"/>
          <w:kern w:val="0"/>
          <w:sz w:val="22"/>
          <w:szCs w:val="20"/>
          <w14:ligatures w14:val="none"/>
        </w:rPr>
        <w:t xml:space="preserve">tikėtina ekspozicija esant nusistovėjusiai </w:t>
      </w:r>
      <w:proofErr w:type="spellStart"/>
      <w:r w:rsidR="00C95D96" w:rsidRPr="00D21DFA">
        <w:rPr>
          <w:rFonts w:ascii="Times New Roman" w:eastAsia="Times New Roman" w:hAnsi="Times New Roman" w:cs="Times New Roman"/>
          <w:snapToGrid w:val="0"/>
          <w:kern w:val="0"/>
          <w:sz w:val="22"/>
          <w:szCs w:val="20"/>
          <w14:ligatures w14:val="none"/>
        </w:rPr>
        <w:t>pusiausvyrinei</w:t>
      </w:r>
      <w:proofErr w:type="spellEnd"/>
      <w:r w:rsidR="00C95D96" w:rsidRPr="00D21DFA">
        <w:rPr>
          <w:rFonts w:ascii="Times New Roman" w:eastAsia="Times New Roman" w:hAnsi="Times New Roman" w:cs="Times New Roman"/>
          <w:snapToGrid w:val="0"/>
          <w:kern w:val="0"/>
          <w:sz w:val="22"/>
          <w:szCs w:val="20"/>
          <w14:ligatures w14:val="none"/>
        </w:rPr>
        <w:t xml:space="preserve"> </w:t>
      </w:r>
      <w:r w:rsidR="00577878" w:rsidRPr="00D21DFA">
        <w:rPr>
          <w:rFonts w:ascii="Times New Roman" w:eastAsia="Times New Roman" w:hAnsi="Times New Roman" w:cs="Times New Roman"/>
          <w:snapToGrid w:val="0"/>
          <w:kern w:val="0"/>
          <w:sz w:val="22"/>
          <w:szCs w:val="20"/>
          <w14:ligatures w14:val="none"/>
        </w:rPr>
        <w:t xml:space="preserve">koncentracijai </w:t>
      </w:r>
      <w:r w:rsidR="00C95D96" w:rsidRPr="00D21DFA">
        <w:rPr>
          <w:rFonts w:ascii="Times New Roman" w:eastAsia="Times New Roman" w:hAnsi="Times New Roman" w:cs="Times New Roman"/>
          <w:snapToGrid w:val="0"/>
          <w:kern w:val="0"/>
          <w:sz w:val="22"/>
          <w:szCs w:val="20"/>
          <w14:ligatures w14:val="none"/>
        </w:rPr>
        <w:t xml:space="preserve">ir </w:t>
      </w:r>
      <w:proofErr w:type="spellStart"/>
      <w:r w:rsidR="00C95D96" w:rsidRPr="00D21DFA">
        <w:rPr>
          <w:rFonts w:ascii="Times New Roman" w:eastAsia="Times New Roman" w:hAnsi="Times New Roman" w:cs="Times New Roman"/>
          <w:snapToGrid w:val="0"/>
          <w:kern w:val="0"/>
          <w:sz w:val="22"/>
          <w:szCs w:val="20"/>
          <w14:ligatures w14:val="none"/>
        </w:rPr>
        <w:t>Xa</w:t>
      </w:r>
      <w:proofErr w:type="spellEnd"/>
      <w:r w:rsidR="00C95D96" w:rsidRPr="00D21DFA">
        <w:rPr>
          <w:rFonts w:ascii="Times New Roman" w:eastAsia="Times New Roman" w:hAnsi="Times New Roman" w:cs="Times New Roman"/>
          <w:snapToGrid w:val="0"/>
          <w:kern w:val="0"/>
          <w:sz w:val="22"/>
          <w:szCs w:val="20"/>
          <w14:ligatures w14:val="none"/>
        </w:rPr>
        <w:t xml:space="preserve"> faktoriaus slopinimo aktyvumas. Pacientų, kuriems pasireiškia VNPV, vartojusių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insulto ir sisteminės embolijos profilaktikai, rezultatai rodo mažesnį nei 1,7 karto svyravimą tarp didžiausios ir mažiausios vaistinio preparato koncentracijos. Pacientų, vartojusių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GVT bei PE gydyti ir pasikartojančios GVT bei PE profilaktikai, rezultatai rodo mažesnį nei 2,2 karto svyravimą tarp didžiausios ir mažiausios vaistinio preparato koncentracijos.</w:t>
      </w:r>
    </w:p>
    <w:p w14:paraId="1A0D032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003D9FEC" w14:textId="4A925954" w:rsidR="00C95D96" w:rsidRPr="00D21DFA" w:rsidRDefault="002426C3" w:rsidP="00C95D96">
      <w:pPr>
        <w:tabs>
          <w:tab w:val="left" w:pos="567"/>
        </w:tabs>
        <w:spacing w:after="0" w:line="240" w:lineRule="auto"/>
        <w:ind w:left="851" w:right="-2" w:hanging="851"/>
        <w:rPr>
          <w:rFonts w:ascii="Times New Roman" w:eastAsia="Times New Roman" w:hAnsi="Times New Roman" w:cs="Times New Roman"/>
          <w:b/>
          <w:bCs/>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4</w:t>
      </w:r>
      <w:r w:rsidR="00C95D96" w:rsidRPr="00D21DFA">
        <w:rPr>
          <w:rFonts w:ascii="Times New Roman" w:eastAsia="Times New Roman" w:hAnsi="Times New Roman" w:cs="Times New Roman"/>
          <w:b/>
          <w:bCs/>
          <w:snapToGrid w:val="0"/>
          <w:kern w:val="0"/>
          <w:sz w:val="22"/>
          <w:szCs w:val="22"/>
          <w14:ligatures w14:val="none"/>
        </w:rPr>
        <w:t xml:space="preserve"> lentelė. Prognozuojama </w:t>
      </w:r>
      <w:proofErr w:type="spellStart"/>
      <w:r w:rsidR="00C95D96" w:rsidRPr="00D21DFA">
        <w:rPr>
          <w:rFonts w:ascii="Times New Roman" w:eastAsia="Times New Roman" w:hAnsi="Times New Roman" w:cs="Times New Roman"/>
          <w:b/>
          <w:bCs/>
          <w:snapToGrid w:val="0"/>
          <w:kern w:val="0"/>
          <w:sz w:val="22"/>
          <w:szCs w:val="22"/>
          <w14:ligatures w14:val="none"/>
        </w:rPr>
        <w:t>apiksabano</w:t>
      </w:r>
      <w:proofErr w:type="spellEnd"/>
      <w:r w:rsidR="00C95D96" w:rsidRPr="00D21DFA">
        <w:rPr>
          <w:rFonts w:ascii="Times New Roman" w:eastAsia="Times New Roman" w:hAnsi="Times New Roman" w:cs="Times New Roman"/>
          <w:b/>
          <w:bCs/>
          <w:snapToGrid w:val="0"/>
          <w:kern w:val="0"/>
          <w:sz w:val="22"/>
          <w:szCs w:val="22"/>
          <w14:ligatures w14:val="none"/>
        </w:rPr>
        <w:t xml:space="preserve"> ekspozicija</w:t>
      </w:r>
      <w:r w:rsidR="001D1F43" w:rsidRPr="00D21DFA">
        <w:rPr>
          <w:rFonts w:ascii="Times New Roman" w:eastAsia="Times New Roman" w:hAnsi="Times New Roman" w:cs="Times New Roman"/>
          <w:b/>
          <w:bCs/>
          <w:snapToGrid w:val="0"/>
          <w:kern w:val="0"/>
          <w:sz w:val="22"/>
          <w:szCs w:val="22"/>
          <w14:ligatures w14:val="none"/>
        </w:rPr>
        <w:t>,</w:t>
      </w:r>
      <w:r w:rsidR="00C95D96" w:rsidRPr="00D21DFA">
        <w:rPr>
          <w:rFonts w:ascii="Times New Roman" w:eastAsia="Times New Roman" w:hAnsi="Times New Roman" w:cs="Times New Roman"/>
          <w:b/>
          <w:bCs/>
          <w:snapToGrid w:val="0"/>
          <w:kern w:val="0"/>
          <w:sz w:val="22"/>
          <w:szCs w:val="22"/>
          <w14:ligatures w14:val="none"/>
        </w:rPr>
        <w:t xml:space="preserve"> nusistovėjus </w:t>
      </w:r>
      <w:proofErr w:type="spellStart"/>
      <w:r w:rsidR="00C95D96" w:rsidRPr="00D21DFA">
        <w:rPr>
          <w:rFonts w:ascii="Times New Roman" w:eastAsia="Times New Roman" w:hAnsi="Times New Roman" w:cs="Times New Roman"/>
          <w:b/>
          <w:bCs/>
          <w:snapToGrid w:val="0"/>
          <w:kern w:val="0"/>
          <w:sz w:val="22"/>
          <w:szCs w:val="22"/>
          <w14:ligatures w14:val="none"/>
        </w:rPr>
        <w:t>pusiausvyrinei</w:t>
      </w:r>
      <w:proofErr w:type="spellEnd"/>
      <w:r w:rsidR="00C95D96" w:rsidRPr="00D21DFA">
        <w:rPr>
          <w:rFonts w:ascii="Times New Roman" w:eastAsia="Times New Roman" w:hAnsi="Times New Roman" w:cs="Times New Roman"/>
          <w:b/>
          <w:bCs/>
          <w:snapToGrid w:val="0"/>
          <w:kern w:val="0"/>
          <w:sz w:val="22"/>
          <w:szCs w:val="22"/>
          <w14:ligatures w14:val="none"/>
        </w:rPr>
        <w:t xml:space="preserve"> </w:t>
      </w:r>
      <w:r w:rsidR="001D1F43" w:rsidRPr="00D21DFA">
        <w:rPr>
          <w:rFonts w:ascii="Times New Roman" w:eastAsia="Times New Roman" w:hAnsi="Times New Roman" w:cs="Times New Roman"/>
          <w:b/>
          <w:bCs/>
          <w:snapToGrid w:val="0"/>
          <w:kern w:val="0"/>
          <w:sz w:val="22"/>
          <w:szCs w:val="22"/>
          <w14:ligatures w14:val="none"/>
        </w:rPr>
        <w:t xml:space="preserve">koncentracijai, </w:t>
      </w:r>
      <w:r w:rsidR="00C95D96" w:rsidRPr="00D21DFA">
        <w:rPr>
          <w:rFonts w:ascii="Times New Roman" w:eastAsia="Times New Roman" w:hAnsi="Times New Roman" w:cs="Times New Roman"/>
          <w:b/>
          <w:bCs/>
          <w:snapToGrid w:val="0"/>
          <w:kern w:val="0"/>
          <w:sz w:val="22"/>
          <w:szCs w:val="22"/>
          <w14:ligatures w14:val="none"/>
        </w:rPr>
        <w:t xml:space="preserve">ir </w:t>
      </w:r>
      <w:proofErr w:type="spellStart"/>
      <w:r w:rsidR="00C95D96" w:rsidRPr="00D21DFA">
        <w:rPr>
          <w:rFonts w:ascii="Times New Roman" w:eastAsia="Times New Roman" w:hAnsi="Times New Roman" w:cs="Times New Roman"/>
          <w:b/>
          <w:bCs/>
          <w:snapToGrid w:val="0"/>
          <w:kern w:val="0"/>
          <w:sz w:val="22"/>
          <w:szCs w:val="22"/>
          <w14:ligatures w14:val="none"/>
        </w:rPr>
        <w:t>anti-Xa</w:t>
      </w:r>
      <w:proofErr w:type="spellEnd"/>
      <w:r w:rsidR="00C95D96" w:rsidRPr="00D21DFA">
        <w:rPr>
          <w:rFonts w:ascii="Times New Roman" w:eastAsia="Times New Roman" w:hAnsi="Times New Roman" w:cs="Times New Roman"/>
          <w:b/>
          <w:bCs/>
          <w:snapToGrid w:val="0"/>
          <w:kern w:val="0"/>
          <w:sz w:val="22"/>
          <w:szCs w:val="22"/>
          <w14:ligatures w14:val="none"/>
        </w:rPr>
        <w:t xml:space="preserve"> faktoriaus aktyvumas</w:t>
      </w:r>
    </w:p>
    <w:p w14:paraId="572CC42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C95D96" w:rsidRPr="00D21DFA" w14:paraId="640DC29D" w14:textId="77777777" w:rsidTr="00446D67">
        <w:trPr>
          <w:trHeight w:val="889"/>
        </w:trPr>
        <w:tc>
          <w:tcPr>
            <w:tcW w:w="2581" w:type="dxa"/>
            <w:tcBorders>
              <w:top w:val="single" w:sz="4" w:space="0" w:color="000000"/>
              <w:left w:val="single" w:sz="4" w:space="0" w:color="000000"/>
              <w:bottom w:val="single" w:sz="4" w:space="0" w:color="000000"/>
              <w:right w:val="single" w:sz="4" w:space="0" w:color="000000"/>
            </w:tcBorders>
          </w:tcPr>
          <w:p w14:paraId="6B6EC8F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420930F" w14:textId="77777777" w:rsidR="00C95D96" w:rsidRPr="00D21DFA" w:rsidRDefault="00C95D96" w:rsidP="00C95D96">
            <w:pPr>
              <w:tabs>
                <w:tab w:val="left" w:pos="567"/>
              </w:tabs>
              <w:spacing w:after="0" w:line="240" w:lineRule="auto"/>
              <w:ind w:right="-2" w:hanging="55"/>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r w:rsidRPr="00D21DFA">
              <w:rPr>
                <w:rFonts w:ascii="Times New Roman" w:eastAsia="Times New Roman" w:hAnsi="Times New Roman" w:cs="Times New Roman"/>
                <w:b/>
                <w:kern w:val="0"/>
                <w:sz w:val="22"/>
                <w:szCs w:val="22"/>
                <w14:ligatures w14:val="none"/>
              </w:rPr>
              <w:t xml:space="preserve"> </w:t>
            </w:r>
          </w:p>
          <w:p w14:paraId="40B66C8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C</w:t>
            </w:r>
            <w:r w:rsidRPr="00D21DFA">
              <w:rPr>
                <w:rFonts w:ascii="Times New Roman" w:eastAsia="Times New Roman" w:hAnsi="Times New Roman" w:cs="Times New Roman"/>
                <w:b/>
                <w:kern w:val="0"/>
                <w:sz w:val="22"/>
                <w:szCs w:val="22"/>
                <w:vertAlign w:val="subscript"/>
                <w14:ligatures w14:val="none"/>
              </w:rPr>
              <w:t>max</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ng</w:t>
            </w:r>
            <w:proofErr w:type="spellEnd"/>
            <w:r w:rsidRPr="00D21DFA">
              <w:rPr>
                <w:rFonts w:ascii="Times New Roman" w:eastAsia="Times New Roman" w:hAnsi="Times New Roman" w:cs="Times New Roman"/>
                <w:b/>
                <w:kern w:val="0"/>
                <w:sz w:val="22"/>
                <w:szCs w:val="22"/>
                <w14:ligatures w14:val="none"/>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316D8AB3" w14:textId="77777777" w:rsidR="00C95D96" w:rsidRPr="00D21DFA" w:rsidRDefault="00C95D96" w:rsidP="00C95D96">
            <w:pPr>
              <w:tabs>
                <w:tab w:val="left" w:pos="978"/>
              </w:tabs>
              <w:spacing w:after="0" w:line="240" w:lineRule="auto"/>
              <w:ind w:left="35" w:right="-2" w:hanging="35"/>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C</w:t>
            </w:r>
            <w:r w:rsidRPr="00D21DFA">
              <w:rPr>
                <w:rFonts w:ascii="Times New Roman" w:eastAsia="Times New Roman" w:hAnsi="Times New Roman" w:cs="Times New Roman"/>
                <w:b/>
                <w:kern w:val="0"/>
                <w:sz w:val="22"/>
                <w:szCs w:val="22"/>
                <w:vertAlign w:val="subscript"/>
                <w14:ligatures w14:val="none"/>
              </w:rPr>
              <w:t>min</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ng</w:t>
            </w:r>
            <w:proofErr w:type="spellEnd"/>
            <w:r w:rsidRPr="00D21DFA">
              <w:rPr>
                <w:rFonts w:ascii="Times New Roman" w:eastAsia="Times New Roman" w:hAnsi="Times New Roman" w:cs="Times New Roman"/>
                <w:b/>
                <w:kern w:val="0"/>
                <w:sz w:val="22"/>
                <w:szCs w:val="22"/>
                <w14:ligatures w14:val="none"/>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526EB5D7" w14:textId="77777777" w:rsidR="00C95D96" w:rsidRPr="00D21DFA" w:rsidRDefault="00C95D96" w:rsidP="00C95D96">
            <w:pPr>
              <w:tabs>
                <w:tab w:val="left" w:pos="172"/>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p>
          <w:p w14:paraId="7C42D78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anti-Xa</w:t>
            </w:r>
            <w:proofErr w:type="spellEnd"/>
            <w:r w:rsidRPr="00D21DFA">
              <w:rPr>
                <w:rFonts w:ascii="Times New Roman" w:eastAsia="Times New Roman" w:hAnsi="Times New Roman" w:cs="Times New Roman"/>
                <w:b/>
                <w:kern w:val="0"/>
                <w:sz w:val="22"/>
                <w:szCs w:val="22"/>
                <w14:ligatures w14:val="none"/>
              </w:rPr>
              <w:t xml:space="preserve"> faktoriaus </w:t>
            </w:r>
          </w:p>
          <w:p w14:paraId="2B52B7B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aktyvumas </w:t>
            </w:r>
            <w:proofErr w:type="spellStart"/>
            <w:r w:rsidRPr="00D21DFA">
              <w:rPr>
                <w:rFonts w:ascii="Times New Roman" w:eastAsia="Times New Roman" w:hAnsi="Times New Roman" w:cs="Times New Roman"/>
                <w:b/>
                <w:kern w:val="0"/>
                <w:sz w:val="22"/>
                <w:szCs w:val="22"/>
                <w14:ligatures w14:val="none"/>
              </w:rPr>
              <w:t>maks</w:t>
            </w:r>
            <w:proofErr w:type="spellEnd"/>
            <w:r w:rsidRPr="00D21DFA">
              <w:rPr>
                <w:rFonts w:ascii="Times New Roman" w:eastAsia="Times New Roman" w:hAnsi="Times New Roman" w:cs="Times New Roman"/>
                <w:b/>
                <w:kern w:val="0"/>
                <w:sz w:val="22"/>
                <w:szCs w:val="22"/>
                <w14:ligatures w14:val="none"/>
              </w:rPr>
              <w:t xml:space="preserve"> </w:t>
            </w:r>
          </w:p>
          <w:p w14:paraId="1F5E124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76F0669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Apiksabano</w:t>
            </w:r>
            <w:proofErr w:type="spellEnd"/>
            <w:r w:rsidRPr="00D21DFA">
              <w:rPr>
                <w:rFonts w:ascii="Times New Roman" w:eastAsia="Times New Roman" w:hAnsi="Times New Roman" w:cs="Times New Roman"/>
                <w:b/>
                <w:kern w:val="0"/>
                <w:sz w:val="22"/>
                <w:szCs w:val="22"/>
                <w14:ligatures w14:val="none"/>
              </w:rPr>
              <w:t xml:space="preserve"> </w:t>
            </w:r>
            <w:proofErr w:type="spellStart"/>
            <w:r w:rsidRPr="00D21DFA">
              <w:rPr>
                <w:rFonts w:ascii="Times New Roman" w:eastAsia="Times New Roman" w:hAnsi="Times New Roman" w:cs="Times New Roman"/>
                <w:b/>
                <w:kern w:val="0"/>
                <w:sz w:val="22"/>
                <w:szCs w:val="22"/>
                <w14:ligatures w14:val="none"/>
              </w:rPr>
              <w:t>anti-Xa</w:t>
            </w:r>
            <w:proofErr w:type="spellEnd"/>
            <w:r w:rsidRPr="00D21DFA">
              <w:rPr>
                <w:rFonts w:ascii="Times New Roman" w:eastAsia="Times New Roman" w:hAnsi="Times New Roman" w:cs="Times New Roman"/>
                <w:b/>
                <w:kern w:val="0"/>
                <w:sz w:val="22"/>
                <w:szCs w:val="22"/>
                <w14:ligatures w14:val="none"/>
              </w:rPr>
              <w:t xml:space="preserve"> </w:t>
            </w:r>
          </w:p>
          <w:p w14:paraId="7F9B9FA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faktoriaus aktyvumas min </w:t>
            </w:r>
          </w:p>
          <w:p w14:paraId="1049389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(TV/ml) </w:t>
            </w:r>
          </w:p>
        </w:tc>
      </w:tr>
      <w:tr w:rsidR="00C95D96" w:rsidRPr="00D21DFA" w14:paraId="1041926A" w14:textId="77777777" w:rsidTr="00446D67">
        <w:trPr>
          <w:trHeight w:val="336"/>
        </w:trPr>
        <w:tc>
          <w:tcPr>
            <w:tcW w:w="2581" w:type="dxa"/>
            <w:tcBorders>
              <w:top w:val="single" w:sz="4" w:space="0" w:color="000000"/>
              <w:left w:val="single" w:sz="4" w:space="0" w:color="000000"/>
              <w:bottom w:val="single" w:sz="4" w:space="0" w:color="000000"/>
              <w:right w:val="single" w:sz="4" w:space="0" w:color="000000"/>
            </w:tcBorders>
          </w:tcPr>
          <w:p w14:paraId="7EEFEA3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54F9DA8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Mediana [5 </w:t>
            </w:r>
            <w:proofErr w:type="spellStart"/>
            <w:r w:rsidRPr="00D21DFA">
              <w:rPr>
                <w:rFonts w:ascii="Times New Roman" w:eastAsia="Times New Roman" w:hAnsi="Times New Roman" w:cs="Times New Roman"/>
                <w:kern w:val="0"/>
                <w:sz w:val="22"/>
                <w:szCs w:val="22"/>
                <w14:ligatures w14:val="none"/>
              </w:rPr>
              <w:t>procentilė</w:t>
            </w:r>
            <w:proofErr w:type="spellEnd"/>
            <w:r w:rsidRPr="00D21DFA">
              <w:rPr>
                <w:rFonts w:ascii="Times New Roman" w:eastAsia="Times New Roman" w:hAnsi="Times New Roman" w:cs="Times New Roman"/>
                <w:kern w:val="0"/>
                <w:sz w:val="22"/>
                <w:szCs w:val="22"/>
                <w14:ligatures w14:val="none"/>
              </w:rPr>
              <w:t xml:space="preserve">, 95 </w:t>
            </w:r>
            <w:proofErr w:type="spellStart"/>
            <w:r w:rsidRPr="00D21DFA">
              <w:rPr>
                <w:rFonts w:ascii="Times New Roman" w:eastAsia="Times New Roman" w:hAnsi="Times New Roman" w:cs="Times New Roman"/>
                <w:kern w:val="0"/>
                <w:sz w:val="22"/>
                <w:szCs w:val="22"/>
                <w14:ligatures w14:val="none"/>
              </w:rPr>
              <w:t>procentilė</w:t>
            </w:r>
            <w:proofErr w:type="spellEnd"/>
            <w:r w:rsidRPr="00D21DFA">
              <w:rPr>
                <w:rFonts w:ascii="Times New Roman" w:eastAsia="Times New Roman" w:hAnsi="Times New Roman" w:cs="Times New Roman"/>
                <w:kern w:val="0"/>
                <w:sz w:val="22"/>
                <w:szCs w:val="22"/>
                <w14:ligatures w14:val="none"/>
              </w:rPr>
              <w:t>]</w:t>
            </w:r>
          </w:p>
        </w:tc>
      </w:tr>
      <w:tr w:rsidR="00C95D96" w:rsidRPr="00D21DFA" w14:paraId="4C49001B" w14:textId="77777777" w:rsidTr="00446D6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3E9A9B6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i/>
                <w:kern w:val="0"/>
                <w:sz w:val="22"/>
                <w:szCs w:val="22"/>
                <w14:ligatures w14:val="none"/>
              </w:rPr>
              <w:t xml:space="preserve">Insulto ir sisteminės embolijos profilaktika: VNPV </w:t>
            </w:r>
          </w:p>
        </w:tc>
      </w:tr>
      <w:tr w:rsidR="00C95D96" w:rsidRPr="00D21DFA" w14:paraId="2B44BCA4" w14:textId="77777777" w:rsidTr="00446D67">
        <w:trPr>
          <w:trHeight w:val="305"/>
        </w:trPr>
        <w:tc>
          <w:tcPr>
            <w:tcW w:w="2581" w:type="dxa"/>
            <w:tcBorders>
              <w:top w:val="single" w:sz="4" w:space="0" w:color="000000"/>
              <w:left w:val="single" w:sz="4" w:space="0" w:color="000000"/>
              <w:bottom w:val="single" w:sz="4" w:space="0" w:color="000000"/>
              <w:right w:val="single" w:sz="4" w:space="0" w:color="000000"/>
            </w:tcBorders>
          </w:tcPr>
          <w:p w14:paraId="2795FA6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3FB41F2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7C1BFDE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58E9300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04E39E8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 [0,51, 2,4] </w:t>
            </w:r>
          </w:p>
        </w:tc>
      </w:tr>
      <w:tr w:rsidR="00C95D96" w:rsidRPr="00D21DFA" w14:paraId="00564A0B" w14:textId="77777777" w:rsidTr="00446D67">
        <w:trPr>
          <w:trHeight w:val="383"/>
        </w:trPr>
        <w:tc>
          <w:tcPr>
            <w:tcW w:w="2581" w:type="dxa"/>
            <w:tcBorders>
              <w:top w:val="single" w:sz="4" w:space="0" w:color="000000"/>
              <w:left w:val="single" w:sz="4" w:space="0" w:color="000000"/>
              <w:bottom w:val="single" w:sz="4" w:space="0" w:color="000000"/>
              <w:right w:val="single" w:sz="4" w:space="0" w:color="000000"/>
            </w:tcBorders>
          </w:tcPr>
          <w:p w14:paraId="0705AA2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7F5CA9E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20EFBF3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2886896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4C51FCA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 [0,61, 3,4] </w:t>
            </w:r>
          </w:p>
        </w:tc>
      </w:tr>
      <w:tr w:rsidR="00C95D96" w:rsidRPr="00D21DFA" w14:paraId="4043733E" w14:textId="77777777" w:rsidTr="00446D67">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0963446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i/>
                <w:kern w:val="0"/>
                <w:sz w:val="22"/>
                <w:szCs w:val="22"/>
                <w14:ligatures w14:val="none"/>
              </w:rPr>
              <w:t>GVT gydymas, PE gydymas ir pasikartojančios GVT ir PE profilaktika (</w:t>
            </w:r>
            <w:proofErr w:type="spellStart"/>
            <w:r w:rsidRPr="00D21DFA">
              <w:rPr>
                <w:rFonts w:ascii="Times New Roman" w:eastAsia="Times New Roman" w:hAnsi="Times New Roman" w:cs="Times New Roman"/>
                <w:i/>
                <w:kern w:val="0"/>
                <w:sz w:val="22"/>
                <w:szCs w:val="22"/>
                <w14:ligatures w14:val="none"/>
              </w:rPr>
              <w:t>VTEt</w:t>
            </w:r>
            <w:proofErr w:type="spellEnd"/>
            <w:r w:rsidRPr="00D21DFA">
              <w:rPr>
                <w:rFonts w:ascii="Times New Roman" w:eastAsia="Times New Roman" w:hAnsi="Times New Roman" w:cs="Times New Roman"/>
                <w:i/>
                <w:kern w:val="0"/>
                <w:sz w:val="22"/>
                <w:szCs w:val="22"/>
                <w14:ligatures w14:val="none"/>
              </w:rPr>
              <w:t>)</w:t>
            </w:r>
            <w:r w:rsidRPr="00D21DFA">
              <w:rPr>
                <w:rFonts w:ascii="Times New Roman" w:eastAsia="Times New Roman" w:hAnsi="Times New Roman" w:cs="Times New Roman"/>
                <w:kern w:val="0"/>
                <w:sz w:val="22"/>
                <w:szCs w:val="22"/>
                <w14:ligatures w14:val="none"/>
              </w:rPr>
              <w:t xml:space="preserve"> </w:t>
            </w:r>
          </w:p>
        </w:tc>
      </w:tr>
      <w:tr w:rsidR="00C95D96" w:rsidRPr="00D21DFA" w14:paraId="44B2EC09" w14:textId="77777777" w:rsidTr="00446D67">
        <w:trPr>
          <w:trHeight w:val="383"/>
        </w:trPr>
        <w:tc>
          <w:tcPr>
            <w:tcW w:w="2581" w:type="dxa"/>
            <w:tcBorders>
              <w:top w:val="single" w:sz="4" w:space="0" w:color="000000"/>
              <w:left w:val="single" w:sz="4" w:space="0" w:color="000000"/>
              <w:bottom w:val="single" w:sz="4" w:space="0" w:color="000000"/>
              <w:right w:val="single" w:sz="4" w:space="0" w:color="000000"/>
            </w:tcBorders>
          </w:tcPr>
          <w:p w14:paraId="76A8DB3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 mg </w:t>
            </w:r>
            <w:r w:rsidRPr="00D21DFA">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46EFC04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6AF324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3A290EF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542FB15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0,49 [0,17, 1,4]</w:t>
            </w:r>
          </w:p>
        </w:tc>
      </w:tr>
      <w:tr w:rsidR="00C95D96" w:rsidRPr="00D21DFA" w14:paraId="06E8165D" w14:textId="77777777" w:rsidTr="00446D67">
        <w:trPr>
          <w:trHeight w:val="383"/>
        </w:trPr>
        <w:tc>
          <w:tcPr>
            <w:tcW w:w="2581" w:type="dxa"/>
            <w:tcBorders>
              <w:top w:val="single" w:sz="4" w:space="0" w:color="000000"/>
              <w:left w:val="single" w:sz="4" w:space="0" w:color="000000"/>
              <w:bottom w:val="single" w:sz="4" w:space="0" w:color="000000"/>
              <w:right w:val="single" w:sz="4" w:space="0" w:color="000000"/>
            </w:tcBorders>
          </w:tcPr>
          <w:p w14:paraId="1F15ED2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mg </w:t>
            </w:r>
            <w:r w:rsidRPr="00D21DFA">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27381A3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2E5234B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22BCA1E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399AE8F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 [0,33, 2,9] </w:t>
            </w:r>
          </w:p>
        </w:tc>
      </w:tr>
      <w:tr w:rsidR="00C95D96" w:rsidRPr="00D21DFA" w14:paraId="3A6AF426" w14:textId="77777777" w:rsidTr="00446D67">
        <w:trPr>
          <w:trHeight w:val="384"/>
        </w:trPr>
        <w:tc>
          <w:tcPr>
            <w:tcW w:w="2581" w:type="dxa"/>
            <w:tcBorders>
              <w:top w:val="single" w:sz="4" w:space="0" w:color="000000"/>
              <w:left w:val="single" w:sz="4" w:space="0" w:color="000000"/>
              <w:bottom w:val="single" w:sz="4" w:space="0" w:color="000000"/>
              <w:right w:val="single" w:sz="4" w:space="0" w:color="000000"/>
            </w:tcBorders>
          </w:tcPr>
          <w:p w14:paraId="10AE9DF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 mg </w:t>
            </w:r>
            <w:r w:rsidRPr="00D21DFA">
              <w:rPr>
                <w:rFonts w:ascii="Times New Roman" w:eastAsia="Times New Roman" w:hAnsi="Times New Roman" w:cs="Times New Roman"/>
                <w:snapToGrid w:val="0"/>
                <w:kern w:val="0"/>
                <w:sz w:val="22"/>
                <w:szCs w:val="22"/>
                <w14:ligatures w14:val="none"/>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15EEDEB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07E26E4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14ADF0F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7002E72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1,9 [0,64, 5,8] </w:t>
            </w:r>
          </w:p>
        </w:tc>
      </w:tr>
    </w:tbl>
    <w:p w14:paraId="34253125" w14:textId="77777777" w:rsidR="00C95D96" w:rsidRPr="00D21DFA" w:rsidRDefault="00C95D96" w:rsidP="00C95D96">
      <w:pPr>
        <w:tabs>
          <w:tab w:val="left" w:pos="720"/>
        </w:tabs>
        <w:autoSpaceDE w:val="0"/>
        <w:autoSpaceDN w:val="0"/>
        <w:adjustRightInd w:val="0"/>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14:ligatures w14:val="none"/>
        </w:rPr>
        <w:t xml:space="preserve">* </w:t>
      </w:r>
      <w:r w:rsidRPr="00D21DFA">
        <w:rPr>
          <w:rFonts w:ascii="Times New Roman" w:eastAsia="Times New Roman" w:hAnsi="Times New Roman" w:cs="Times New Roman"/>
          <w:snapToGrid w:val="0"/>
          <w:kern w:val="0"/>
          <w:sz w:val="22"/>
          <w:szCs w:val="22"/>
          <w14:ligatures w14:val="none"/>
        </w:rPr>
        <w:t xml:space="preserve">Populiacija su pakoreguota doze pagal ARISTOTLE tyrimo 2 iš 3 dozės mažinimo kriterijus </w:t>
      </w:r>
    </w:p>
    <w:p w14:paraId="11DB1C0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18"/>
          <w:szCs w:val="18"/>
          <w14:ligatures w14:val="none"/>
        </w:rPr>
      </w:pPr>
    </w:p>
    <w:p w14:paraId="1DCF0C3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Nors gydant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jo ekspozicijos įprastai stebėti nereikia, gali būti naudinga atlikti poveikio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faktoriui kalibruotą kiekybinį tyrimą išskirtinėmis aplinkybėmis, kai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ekspozicijos nustatymas gali padėti priimti klinikinius sprendimus, pavyzdžiui: perdozavimo ar neatidėliotinų operacijų atvejais.</w:t>
      </w:r>
    </w:p>
    <w:p w14:paraId="2B1555E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1197C23"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Vaikų populiacija</w:t>
      </w:r>
    </w:p>
    <w:p w14:paraId="69BC05D5"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D38A247"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Apiksabano</w:t>
      </w:r>
      <w:proofErr w:type="spellEnd"/>
      <w:r w:rsidRPr="00D21DFA">
        <w:rPr>
          <w:rFonts w:ascii="Times New Roman" w:eastAsia="Times New Roman" w:hAnsi="Times New Roman" w:cs="Times New Roman"/>
          <w:snapToGrid w:val="0"/>
          <w:kern w:val="0"/>
          <w:sz w:val="22"/>
          <w:szCs w:val="20"/>
          <w14:ligatures w14:val="none"/>
        </w:rPr>
        <w:t xml:space="preserve"> tyrimuose su vaikais buvo naudojama „STA® </w:t>
      </w:r>
      <w:proofErr w:type="spellStart"/>
      <w:r w:rsidRPr="00D21DFA">
        <w:rPr>
          <w:rFonts w:ascii="Times New Roman" w:eastAsia="Times New Roman" w:hAnsi="Times New Roman" w:cs="Times New Roman"/>
          <w:snapToGrid w:val="0"/>
          <w:kern w:val="0"/>
          <w:sz w:val="22"/>
          <w:szCs w:val="20"/>
          <w14:ligatures w14:val="none"/>
        </w:rPr>
        <w:t>Liquid</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Anti-Xa</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mėginių analizė. Šių tyrimų rezultatai rodo, kad tiesinis ryšys tarp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ir slopinamojo poveikio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aktyvumui (</w:t>
      </w:r>
      <w:r w:rsidRPr="00D21DFA">
        <w:rPr>
          <w:rFonts w:ascii="Times New Roman" w:eastAsia="Times New Roman" w:hAnsi="Times New Roman" w:cs="Times New Roman"/>
          <w:i/>
          <w:iCs/>
          <w:snapToGrid w:val="0"/>
          <w:kern w:val="0"/>
          <w:sz w:val="22"/>
          <w:szCs w:val="20"/>
          <w14:ligatures w14:val="none"/>
        </w:rPr>
        <w:t xml:space="preserve">angl. </w:t>
      </w:r>
      <w:proofErr w:type="spellStart"/>
      <w:r w:rsidRPr="00D21DFA">
        <w:rPr>
          <w:rFonts w:ascii="Times New Roman" w:eastAsia="Times New Roman" w:hAnsi="Times New Roman" w:cs="Times New Roman"/>
          <w:i/>
          <w:iCs/>
          <w:snapToGrid w:val="0"/>
          <w:kern w:val="0"/>
          <w:sz w:val="22"/>
          <w:szCs w:val="20"/>
          <w14:ligatures w14:val="none"/>
        </w:rPr>
        <w:t>anti-Factor</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Xa</w:t>
      </w:r>
      <w:proofErr w:type="spellEnd"/>
      <w:r w:rsidRPr="00D21DFA">
        <w:rPr>
          <w:rFonts w:ascii="Times New Roman" w:eastAsia="Times New Roman" w:hAnsi="Times New Roman" w:cs="Times New Roman"/>
          <w:i/>
          <w:iCs/>
          <w:snapToGrid w:val="0"/>
          <w:kern w:val="0"/>
          <w:sz w:val="22"/>
          <w:szCs w:val="20"/>
          <w14:ligatures w14:val="none"/>
        </w:rPr>
        <w:t xml:space="preserve"> </w:t>
      </w:r>
      <w:proofErr w:type="spellStart"/>
      <w:r w:rsidRPr="00D21DFA">
        <w:rPr>
          <w:rFonts w:ascii="Times New Roman" w:eastAsia="Times New Roman" w:hAnsi="Times New Roman" w:cs="Times New Roman"/>
          <w:i/>
          <w:iCs/>
          <w:snapToGrid w:val="0"/>
          <w:kern w:val="0"/>
          <w:sz w:val="22"/>
          <w:szCs w:val="20"/>
          <w14:ligatures w14:val="none"/>
        </w:rPr>
        <w:t>activity</w:t>
      </w:r>
      <w:proofErr w:type="spellEnd"/>
      <w:r w:rsidRPr="00D21DFA">
        <w:rPr>
          <w:rFonts w:ascii="Times New Roman" w:eastAsia="Times New Roman" w:hAnsi="Times New Roman" w:cs="Times New Roman"/>
          <w:i/>
          <w:iCs/>
          <w:snapToGrid w:val="0"/>
          <w:kern w:val="0"/>
          <w:sz w:val="22"/>
          <w:szCs w:val="20"/>
          <w14:ligatures w14:val="none"/>
        </w:rPr>
        <w:t>, AXA</w:t>
      </w:r>
      <w:r w:rsidRPr="00D21DFA">
        <w:rPr>
          <w:rFonts w:ascii="Times New Roman" w:eastAsia="Times New Roman" w:hAnsi="Times New Roman" w:cs="Times New Roman"/>
          <w:snapToGrid w:val="0"/>
          <w:kern w:val="0"/>
          <w:sz w:val="22"/>
          <w:szCs w:val="20"/>
          <w14:ligatures w14:val="none"/>
        </w:rPr>
        <w:t xml:space="preserve">) atitinka anksčiau nustatytą ryšį suaugusiesiems. Tai patvirtina dokumentuotą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kaip selektyvaus </w:t>
      </w:r>
      <w:proofErr w:type="spellStart"/>
      <w:r w:rsidRPr="00D21DFA">
        <w:rPr>
          <w:rFonts w:ascii="Times New Roman" w:eastAsia="Times New Roman" w:hAnsi="Times New Roman" w:cs="Times New Roman"/>
          <w:snapToGrid w:val="0"/>
          <w:kern w:val="0"/>
          <w:sz w:val="22"/>
          <w:szCs w:val="20"/>
          <w14:ligatures w14:val="none"/>
        </w:rPr>
        <w:t>FXa</w:t>
      </w:r>
      <w:proofErr w:type="spellEnd"/>
      <w:r w:rsidRPr="00D21DFA">
        <w:rPr>
          <w:rFonts w:ascii="Times New Roman" w:eastAsia="Times New Roman" w:hAnsi="Times New Roman" w:cs="Times New Roman"/>
          <w:snapToGrid w:val="0"/>
          <w:kern w:val="0"/>
          <w:sz w:val="22"/>
          <w:szCs w:val="20"/>
          <w14:ligatures w14:val="none"/>
        </w:rPr>
        <w:t xml:space="preserve"> inhibitoriaus, veikimo mechanizmą.</w:t>
      </w:r>
    </w:p>
    <w:p w14:paraId="30B67F32"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3A6F50"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CV185155 metu svorio kategorijoje nuo 9 iki ≥ 35 kg geometrinio vidurkio (%CV) </w:t>
      </w:r>
      <w:proofErr w:type="spellStart"/>
      <w:r w:rsidRPr="00D21DFA">
        <w:rPr>
          <w:rFonts w:ascii="Times New Roman" w:eastAsia="Times New Roman" w:hAnsi="Times New Roman" w:cs="Times New Roman"/>
          <w:snapToGrid w:val="0"/>
          <w:kern w:val="0"/>
          <w:sz w:val="22"/>
          <w:szCs w:val="20"/>
          <w14:ligatures w14:val="none"/>
        </w:rPr>
        <w:t>AXAmin</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AXAmax</w:t>
      </w:r>
      <w:proofErr w:type="spellEnd"/>
      <w:r w:rsidRPr="00D21DFA">
        <w:rPr>
          <w:rFonts w:ascii="Times New Roman" w:eastAsia="Times New Roman" w:hAnsi="Times New Roman" w:cs="Times New Roman"/>
          <w:snapToGrid w:val="0"/>
          <w:kern w:val="0"/>
          <w:sz w:val="22"/>
          <w:szCs w:val="20"/>
          <w14:ligatures w14:val="none"/>
        </w:rPr>
        <w:t xml:space="preserve"> buvo nuo 27,1 (22,2)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iki 71,9 (17,3)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ir tai atitiko geometrinio vidurkio (%CV) reikšmes </w:t>
      </w:r>
      <w:proofErr w:type="spellStart"/>
      <w:r w:rsidRPr="00D21DFA">
        <w:rPr>
          <w:rFonts w:ascii="Times New Roman" w:eastAsia="Times New Roman" w:hAnsi="Times New Roman" w:cs="Times New Roman"/>
          <w:snapToGrid w:val="0"/>
          <w:kern w:val="0"/>
          <w:sz w:val="22"/>
          <w:szCs w:val="20"/>
          <w14:ligatures w14:val="none"/>
        </w:rPr>
        <w:t>Cminss</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Cmaxss</w:t>
      </w:r>
      <w:proofErr w:type="spellEnd"/>
      <w:r w:rsidRPr="00D21DFA">
        <w:rPr>
          <w:rFonts w:ascii="Times New Roman" w:eastAsia="Times New Roman" w:hAnsi="Times New Roman" w:cs="Times New Roman"/>
          <w:snapToGrid w:val="0"/>
          <w:kern w:val="0"/>
          <w:sz w:val="22"/>
          <w:szCs w:val="20"/>
          <w14:ligatures w14:val="none"/>
        </w:rPr>
        <w:t xml:space="preserve"> 30,3 (22)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80,8 (16,8)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Naudojant vaikams skirtą dozavimo režimą šiuose AXA diapazonuose pasiektos ekspozicijos buvo panašios į tas, kurios buvo nustatytos suaugusiesiems, du kartus per parą vartojantiems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w:t>
      </w:r>
    </w:p>
    <w:p w14:paraId="30CD3B36"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C6556B7"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CV185362 metu svorio kategorijoje nuo 6 iki ≥ 35 kg geometrinio vidurkio (%CV) </w:t>
      </w:r>
      <w:proofErr w:type="spellStart"/>
      <w:r w:rsidRPr="00D21DFA">
        <w:rPr>
          <w:rFonts w:ascii="Times New Roman" w:eastAsia="Times New Roman" w:hAnsi="Times New Roman" w:cs="Times New Roman"/>
          <w:snapToGrid w:val="0"/>
          <w:kern w:val="0"/>
          <w:sz w:val="22"/>
          <w:szCs w:val="20"/>
          <w14:ligatures w14:val="none"/>
        </w:rPr>
        <w:t>AXAmin</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AXAmax</w:t>
      </w:r>
      <w:proofErr w:type="spellEnd"/>
      <w:r w:rsidRPr="00D21DFA">
        <w:rPr>
          <w:rFonts w:ascii="Times New Roman" w:eastAsia="Times New Roman" w:hAnsi="Times New Roman" w:cs="Times New Roman"/>
          <w:snapToGrid w:val="0"/>
          <w:kern w:val="0"/>
          <w:sz w:val="22"/>
          <w:szCs w:val="20"/>
          <w14:ligatures w14:val="none"/>
        </w:rPr>
        <w:t xml:space="preserve"> buvo nuo 67,1 (30,2)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iki 213 (41,7)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ir tai atitiko geometrinio vidurkio (%CV) reikšmes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minss</w:t>
      </w:r>
      <w:proofErr w:type="spellEnd"/>
      <w:r w:rsidRPr="00D21DFA">
        <w:rPr>
          <w:rFonts w:ascii="Times New Roman" w:eastAsia="Times New Roman" w:hAnsi="Times New Roman" w:cs="Times New Roman"/>
          <w:snapToGrid w:val="0"/>
          <w:kern w:val="0"/>
          <w:sz w:val="22"/>
          <w:szCs w:val="20"/>
          <w:vertAlign w:val="subscript"/>
          <w14:ligatures w14:val="none"/>
        </w:rPr>
        <w:t xml:space="preserve"> </w:t>
      </w:r>
      <w:r w:rsidRPr="00D21DFA">
        <w:rPr>
          <w:rFonts w:ascii="Times New Roman" w:eastAsia="Times New Roman" w:hAnsi="Times New Roman" w:cs="Times New Roman"/>
          <w:snapToGrid w:val="0"/>
          <w:kern w:val="0"/>
          <w:sz w:val="22"/>
          <w:szCs w:val="20"/>
          <w14:ligatures w14:val="none"/>
        </w:rPr>
        <w:t xml:space="preserve">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maxss</w:t>
      </w:r>
      <w:proofErr w:type="spellEnd"/>
      <w:r w:rsidRPr="00D21DFA">
        <w:rPr>
          <w:rFonts w:ascii="Times New Roman" w:eastAsia="Times New Roman" w:hAnsi="Times New Roman" w:cs="Times New Roman"/>
          <w:snapToGrid w:val="0"/>
          <w:kern w:val="0"/>
          <w:sz w:val="22"/>
          <w:szCs w:val="20"/>
          <w14:ligatures w14:val="none"/>
        </w:rPr>
        <w:t xml:space="preserve"> 71,3 (61,3)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230 (39,5)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Naudojant vaikams skirtą dozavimo režimą šiuose AXA diapazonuose pasiektos ekspozicijos buvo panašios į tas, kurios buvo nustatytos</w:t>
      </w:r>
    </w:p>
    <w:p w14:paraId="66BC8AFC"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suaugusiesiems, du kartus per parą vartojantiems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w:t>
      </w:r>
    </w:p>
    <w:p w14:paraId="6A2CE3F3"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731CB86"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CV185325 metu svorio kategorijoje nuo 6 iki ≥ 35 kg geometrinio vidurkio (%CV) </w:t>
      </w:r>
      <w:proofErr w:type="spellStart"/>
      <w:r w:rsidRPr="00D21DFA">
        <w:rPr>
          <w:rFonts w:ascii="Times New Roman" w:eastAsia="Times New Roman" w:hAnsi="Times New Roman" w:cs="Times New Roman"/>
          <w:snapToGrid w:val="0"/>
          <w:kern w:val="0"/>
          <w:sz w:val="22"/>
          <w:szCs w:val="20"/>
          <w14:ligatures w14:val="none"/>
        </w:rPr>
        <w:t>AXAmin</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AXAmax</w:t>
      </w:r>
      <w:proofErr w:type="spellEnd"/>
      <w:r w:rsidRPr="00D21DFA">
        <w:rPr>
          <w:rFonts w:ascii="Times New Roman" w:eastAsia="Times New Roman" w:hAnsi="Times New Roman" w:cs="Times New Roman"/>
          <w:snapToGrid w:val="0"/>
          <w:kern w:val="0"/>
          <w:sz w:val="22"/>
          <w:szCs w:val="20"/>
          <w14:ligatures w14:val="none"/>
        </w:rPr>
        <w:t xml:space="preserve"> buvo nuo 47,1 (57,2)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iki 146 (40,2)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ir tai atitiko geometrinio vidurkio (%CV) reikšmes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minss</w:t>
      </w:r>
      <w:proofErr w:type="spellEnd"/>
      <w:r w:rsidRPr="00D21DFA">
        <w:rPr>
          <w:rFonts w:ascii="Times New Roman" w:eastAsia="Times New Roman" w:hAnsi="Times New Roman" w:cs="Times New Roman"/>
          <w:snapToGrid w:val="0"/>
          <w:kern w:val="0"/>
          <w:sz w:val="22"/>
          <w:szCs w:val="20"/>
          <w14:ligatures w14:val="none"/>
        </w:rPr>
        <w:t xml:space="preserve"> ir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maxss</w:t>
      </w:r>
      <w:proofErr w:type="spellEnd"/>
      <w:r w:rsidRPr="00D21DFA">
        <w:rPr>
          <w:rFonts w:ascii="Times New Roman" w:eastAsia="Times New Roman" w:hAnsi="Times New Roman" w:cs="Times New Roman"/>
          <w:snapToGrid w:val="0"/>
          <w:kern w:val="0"/>
          <w:sz w:val="22"/>
          <w:szCs w:val="20"/>
          <w14:ligatures w14:val="none"/>
        </w:rPr>
        <w:t xml:space="preserve"> 50 (54,5)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/ml ir 144 (36,9) </w:t>
      </w:r>
      <w:proofErr w:type="spellStart"/>
      <w:r w:rsidRPr="00D21DFA">
        <w:rPr>
          <w:rFonts w:ascii="Times New Roman" w:eastAsia="Times New Roman" w:hAnsi="Times New Roman" w:cs="Times New Roman"/>
          <w:snapToGrid w:val="0"/>
          <w:kern w:val="0"/>
          <w:sz w:val="22"/>
          <w:szCs w:val="20"/>
          <w14:ligatures w14:val="none"/>
        </w:rPr>
        <w:t>ng</w:t>
      </w:r>
      <w:proofErr w:type="spellEnd"/>
      <w:r w:rsidRPr="00D21DFA">
        <w:rPr>
          <w:rFonts w:ascii="Times New Roman" w:eastAsia="Times New Roman" w:hAnsi="Times New Roman" w:cs="Times New Roman"/>
          <w:snapToGrid w:val="0"/>
          <w:kern w:val="0"/>
          <w:sz w:val="22"/>
          <w:szCs w:val="20"/>
          <w14:ligatures w14:val="none"/>
        </w:rPr>
        <w:t xml:space="preserve">/ml. Naudojant vaikams skirtą dozavimo režimą šiuose AXA diapazonuose pasiektos ekspozicijos buvo panašios į tas, kurios buvo nustatytos suaugusiesiems, vartojantiems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w:t>
      </w:r>
    </w:p>
    <w:p w14:paraId="2C59C340"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AA4337D" w14:textId="77777777" w:rsidR="002426C3" w:rsidRPr="00D21DFA" w:rsidRDefault="002426C3" w:rsidP="002426C3">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Numanoma </w:t>
      </w:r>
      <w:proofErr w:type="spellStart"/>
      <w:r w:rsidRPr="00D21DFA">
        <w:rPr>
          <w:rFonts w:ascii="Times New Roman" w:eastAsia="Times New Roman" w:hAnsi="Times New Roman" w:cs="Times New Roman"/>
          <w:snapToGrid w:val="0"/>
          <w:kern w:val="0"/>
          <w:sz w:val="22"/>
          <w:szCs w:val="20"/>
          <w14:ligatures w14:val="none"/>
        </w:rPr>
        <w:t>pusiausvyrinės</w:t>
      </w:r>
      <w:proofErr w:type="spellEnd"/>
      <w:r w:rsidRPr="00D21DFA">
        <w:rPr>
          <w:rFonts w:ascii="Times New Roman" w:eastAsia="Times New Roman" w:hAnsi="Times New Roman" w:cs="Times New Roman"/>
          <w:snapToGrid w:val="0"/>
          <w:kern w:val="0"/>
          <w:sz w:val="22"/>
          <w:szCs w:val="20"/>
          <w14:ligatures w14:val="none"/>
        </w:rPr>
        <w:t xml:space="preserve"> koncentracijos ekspozicija ir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faktoriaus slopinimo aktyvumas pediatriniuose tyrimuose rodo, kad </w:t>
      </w:r>
      <w:proofErr w:type="spellStart"/>
      <w:r w:rsidRPr="00D21DFA">
        <w:rPr>
          <w:rFonts w:ascii="Times New Roman" w:eastAsia="Times New Roman" w:hAnsi="Times New Roman" w:cs="Times New Roman"/>
          <w:snapToGrid w:val="0"/>
          <w:kern w:val="0"/>
          <w:sz w:val="22"/>
          <w:szCs w:val="20"/>
          <w14:ligatures w14:val="none"/>
        </w:rPr>
        <w:t>pusiausvyrinės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ir AXA svyravimai nuo didžiausios iki mažiausios reikšmės bendroje populiacijoje buvo maždaug 3 kartai (min., </w:t>
      </w:r>
      <w:proofErr w:type="spellStart"/>
      <w:r w:rsidRPr="00D21DFA">
        <w:rPr>
          <w:rFonts w:ascii="Times New Roman" w:eastAsia="Times New Roman" w:hAnsi="Times New Roman" w:cs="Times New Roman"/>
          <w:snapToGrid w:val="0"/>
          <w:kern w:val="0"/>
          <w:sz w:val="22"/>
          <w:szCs w:val="20"/>
          <w14:ligatures w14:val="none"/>
        </w:rPr>
        <w:t>maks</w:t>
      </w:r>
      <w:proofErr w:type="spellEnd"/>
      <w:r w:rsidRPr="00D21DFA">
        <w:rPr>
          <w:rFonts w:ascii="Times New Roman" w:eastAsia="Times New Roman" w:hAnsi="Times New Roman" w:cs="Times New Roman"/>
          <w:snapToGrid w:val="0"/>
          <w:kern w:val="0"/>
          <w:sz w:val="22"/>
          <w:szCs w:val="20"/>
          <w14:ligatures w14:val="none"/>
        </w:rPr>
        <w:t>.: 2,65</w:t>
      </w:r>
      <w:r w:rsidRPr="00D21DFA">
        <w:rPr>
          <w:rFonts w:ascii="Times New Roman" w:eastAsia="Times New Roman" w:hAnsi="Times New Roman" w:cs="Times New Roman"/>
          <w:snapToGrid w:val="0"/>
          <w:kern w:val="0"/>
          <w:sz w:val="22"/>
          <w:szCs w:val="20"/>
          <w14:ligatures w14:val="none"/>
        </w:rPr>
        <w:noBreakHyphen/>
        <w:t>3,22).</w:t>
      </w:r>
    </w:p>
    <w:p w14:paraId="11919ECE" w14:textId="77777777" w:rsidR="002426C3" w:rsidRPr="00D21DFA" w:rsidRDefault="002426C3"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C8C6AC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Klinikinis veiksmingumas ir saugumas </w:t>
      </w:r>
    </w:p>
    <w:p w14:paraId="61E976E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482C29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Insulto ir sisteminės embolijos profilaktika pacientams, kuriems pasireiškia su vožtuvais nesusijęs prieširdžių virpėjimas (VNPV) </w:t>
      </w:r>
    </w:p>
    <w:p w14:paraId="37704325" w14:textId="24D24E9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Klinikinės programos (ARISTOTLE: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palyginti su varfarinu; AVERROES: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palyginti su ASR) metu į grupes atsitiktinės atrankos būdu buvo suskirstyti iš viso 23 799 </w:t>
      </w:r>
      <w:r w:rsidR="002426C3"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įskaitant 11 927, kuriems atsitiktinės atrankos būdu buvo paskirta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Programa buvo suplanuota taip, kad </w:t>
      </w:r>
      <w:r w:rsidR="001D1F43" w:rsidRPr="00D21DFA">
        <w:rPr>
          <w:rFonts w:ascii="Times New Roman" w:eastAsia="Times New Roman" w:hAnsi="Times New Roman" w:cs="Times New Roman"/>
          <w:snapToGrid w:val="0"/>
          <w:kern w:val="0"/>
          <w:sz w:val="22"/>
          <w:szCs w:val="20"/>
          <w14:ligatures w14:val="none"/>
        </w:rPr>
        <w:t>į</w:t>
      </w:r>
      <w:r w:rsidRPr="00D21DFA">
        <w:rPr>
          <w:rFonts w:ascii="Times New Roman" w:eastAsia="Times New Roman" w:hAnsi="Times New Roman" w:cs="Times New Roman"/>
          <w:snapToGrid w:val="0"/>
          <w:kern w:val="0"/>
          <w:sz w:val="22"/>
          <w:szCs w:val="20"/>
          <w14:ligatures w14:val="none"/>
        </w:rPr>
        <w:t xml:space="preserve">rodytų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vartojamo insulto ir sisteminės embolijos profilaktikai, veiksmingumą ir saugumą pacientams, kuriems pasireiškia VNPV ir yra vienas ar daugiau papildomų rizikos veiksnių, pavyzdžiui: </w:t>
      </w:r>
    </w:p>
    <w:p w14:paraId="68CCBAEE" w14:textId="00E2DF16"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anksčiau patirtas insultas arba PSIP; </w:t>
      </w:r>
    </w:p>
    <w:p w14:paraId="112C2A29"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amžius ≥ 75 metų; </w:t>
      </w:r>
    </w:p>
    <w:p w14:paraId="665A175F"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hipertenzija; </w:t>
      </w:r>
    </w:p>
    <w:p w14:paraId="293F855C"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cukrinis diabetas; </w:t>
      </w:r>
    </w:p>
    <w:p w14:paraId="04EBD8D7" w14:textId="77777777" w:rsidR="00C95D96" w:rsidRPr="00D21DFA" w:rsidRDefault="00C95D96" w:rsidP="00C95D96">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simptomus sukeliantis širdies nepakankamumas (≥ II klasės pagal NYHA). </w:t>
      </w:r>
    </w:p>
    <w:p w14:paraId="66EA6F5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BE687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ARISTOTLE tyrimas </w:t>
      </w:r>
    </w:p>
    <w:p w14:paraId="05BBAEB3" w14:textId="29CBA5B5"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ARISTOTLE tyrimo metu iš viso 18 201 </w:t>
      </w:r>
      <w:r w:rsidR="002426C3"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pacientui atsitiktinės atrankos būdu buvo paskirtas dvigubai koduotas gydymas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 du kartus per parą (arba 2,5 mg doze du kartus per parą atrinktiems pacientams [4,7 %], žr. 4.2 skyrių) arba varfarinu (tikslinė TNS kitimo sritis 2,0</w:t>
      </w:r>
      <w:r w:rsidRPr="00D21DFA">
        <w:rPr>
          <w:rFonts w:ascii="Times New Roman" w:eastAsia="Times New Roman" w:hAnsi="Times New Roman" w:cs="Times New Roman"/>
          <w:snapToGrid w:val="0"/>
          <w:kern w:val="0"/>
          <w:sz w:val="22"/>
          <w:szCs w:val="20"/>
          <w14:ligatures w14:val="none"/>
        </w:rPr>
        <w:noBreakHyphen/>
        <w:t>3,0), pacientai vartojo tiriamąją veikliąją medžiagą vidutiniškai 20 mėnesių. Vidutinis tiriamųjų amžius buvo 69,1 metų, vidutinis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balas buvo 2,1, 18,9 % pacientų anksčiau buvo patyrę insultą arba PSIP. </w:t>
      </w:r>
    </w:p>
    <w:p w14:paraId="0C29C55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984A346" w14:textId="6B79CB7F"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duomenimis,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pasiektas statistiškai reikšmingas svarbiausiosios vertinamosios baigties apsaugos nuo insulto (hemoraginio arba išeminio) ir sisteminės embolijos pranašumas (žr. </w:t>
      </w:r>
      <w:r w:rsidR="002426C3" w:rsidRPr="00D21DFA">
        <w:rPr>
          <w:rFonts w:ascii="Times New Roman" w:eastAsia="Times New Roman" w:hAnsi="Times New Roman" w:cs="Times New Roman"/>
          <w:snapToGrid w:val="0"/>
          <w:kern w:val="0"/>
          <w:sz w:val="22"/>
          <w:szCs w:val="20"/>
          <w14:ligatures w14:val="none"/>
        </w:rPr>
        <w:t>5</w:t>
      </w:r>
      <w:r w:rsidRPr="00D21DFA">
        <w:rPr>
          <w:rFonts w:ascii="Times New Roman" w:eastAsia="Times New Roman" w:hAnsi="Times New Roman" w:cs="Times New Roman"/>
          <w:snapToGrid w:val="0"/>
          <w:kern w:val="0"/>
          <w:sz w:val="22"/>
          <w:szCs w:val="20"/>
          <w14:ligatures w14:val="none"/>
        </w:rPr>
        <w:t xml:space="preserve"> lentelę), palyginti su varfarinu.</w:t>
      </w:r>
    </w:p>
    <w:p w14:paraId="30789A4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DC2AA0C" w14:textId="3A80BB20" w:rsidR="00C95D96" w:rsidRPr="00D21DFA" w:rsidRDefault="002426C3" w:rsidP="00C95D96">
      <w:pPr>
        <w:tabs>
          <w:tab w:val="left" w:pos="567"/>
          <w:tab w:val="left" w:pos="9214"/>
        </w:tabs>
        <w:spacing w:after="120" w:line="240" w:lineRule="auto"/>
        <w:ind w:left="1080" w:right="-2" w:hanging="938"/>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5</w:t>
      </w:r>
      <w:r w:rsidR="00C95D96" w:rsidRPr="00D21DFA">
        <w:rPr>
          <w:rFonts w:ascii="Times New Roman" w:eastAsia="Times New Roman" w:hAnsi="Times New Roman" w:cs="Times New Roman"/>
          <w:b/>
          <w:bCs/>
          <w:snapToGrid w:val="0"/>
          <w:kern w:val="0"/>
          <w:sz w:val="22"/>
          <w:szCs w:val="20"/>
          <w14:ligatures w14:val="none"/>
        </w:rPr>
        <w:t xml:space="preserve"> lentelė. Veiksmingumo vertinamosios baigtys pacientams, kuriems yra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3095"/>
        <w:gridCol w:w="1470"/>
        <w:gridCol w:w="1591"/>
        <w:gridCol w:w="1677"/>
        <w:gridCol w:w="1098"/>
      </w:tblGrid>
      <w:tr w:rsidR="00C95D96" w:rsidRPr="00D21DFA" w14:paraId="2B5AFA21" w14:textId="77777777" w:rsidTr="00446D67">
        <w:trPr>
          <w:trHeight w:val="769"/>
        </w:trPr>
        <w:tc>
          <w:tcPr>
            <w:tcW w:w="3095" w:type="dxa"/>
            <w:tcBorders>
              <w:top w:val="single" w:sz="4" w:space="0" w:color="000000"/>
              <w:left w:val="single" w:sz="4" w:space="0" w:color="000000"/>
              <w:bottom w:val="single" w:sz="4" w:space="0" w:color="000000"/>
              <w:right w:val="single" w:sz="4" w:space="0" w:color="000000"/>
            </w:tcBorders>
          </w:tcPr>
          <w:p w14:paraId="5002608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470" w:type="dxa"/>
            <w:tcBorders>
              <w:top w:val="single" w:sz="4" w:space="0" w:color="000000"/>
              <w:left w:val="single" w:sz="4" w:space="0" w:color="000000"/>
              <w:bottom w:val="single" w:sz="4" w:space="0" w:color="000000"/>
              <w:right w:val="single" w:sz="4" w:space="0" w:color="000000"/>
            </w:tcBorders>
          </w:tcPr>
          <w:p w14:paraId="063F0B65" w14:textId="77777777" w:rsidR="00C95D96" w:rsidRPr="00D21DFA" w:rsidRDefault="00C95D96" w:rsidP="00C95D96">
            <w:pPr>
              <w:tabs>
                <w:tab w:val="left" w:pos="567"/>
              </w:tabs>
              <w:spacing w:after="0" w:line="240" w:lineRule="auto"/>
              <w:ind w:left="4" w:right="-2" w:hanging="4"/>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N=9 120 </w:t>
            </w:r>
          </w:p>
          <w:p w14:paraId="3BA4D312" w14:textId="77777777" w:rsidR="00C95D96" w:rsidRPr="00D21DFA" w:rsidRDefault="00C95D96" w:rsidP="00C95D96">
            <w:pPr>
              <w:tabs>
                <w:tab w:val="left" w:pos="567"/>
              </w:tabs>
              <w:spacing w:after="0" w:line="240" w:lineRule="auto"/>
              <w:ind w:left="4" w:right="-2" w:hanging="4"/>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591" w:type="dxa"/>
            <w:tcBorders>
              <w:top w:val="single" w:sz="4" w:space="0" w:color="000000"/>
              <w:left w:val="single" w:sz="4" w:space="0" w:color="000000"/>
              <w:bottom w:val="single" w:sz="4" w:space="0" w:color="000000"/>
              <w:right w:val="single" w:sz="4" w:space="0" w:color="000000"/>
            </w:tcBorders>
          </w:tcPr>
          <w:p w14:paraId="3D4227EA" w14:textId="77777777" w:rsidR="00C95D96" w:rsidRPr="00D21DFA" w:rsidRDefault="00C95D96" w:rsidP="00C95D96">
            <w:pPr>
              <w:tabs>
                <w:tab w:val="left" w:pos="567"/>
              </w:tabs>
              <w:spacing w:after="0" w:line="240" w:lineRule="auto"/>
              <w:ind w:left="10" w:right="-2" w:hanging="3"/>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Varfarinas</w:t>
            </w:r>
          </w:p>
          <w:p w14:paraId="2E0215B3" w14:textId="77777777" w:rsidR="00C95D96" w:rsidRPr="00D21DFA" w:rsidRDefault="00C95D96" w:rsidP="00C95D96">
            <w:pPr>
              <w:tabs>
                <w:tab w:val="left" w:pos="567"/>
              </w:tabs>
              <w:spacing w:after="0" w:line="240" w:lineRule="auto"/>
              <w:ind w:left="10" w:right="-2" w:hanging="3"/>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N=9 081 </w:t>
            </w:r>
          </w:p>
          <w:p w14:paraId="210737C4" w14:textId="77777777" w:rsidR="00C95D96" w:rsidRPr="00D21DFA" w:rsidRDefault="00C95D96" w:rsidP="00C95D96">
            <w:pPr>
              <w:tabs>
                <w:tab w:val="left" w:pos="567"/>
              </w:tabs>
              <w:spacing w:after="0" w:line="240" w:lineRule="auto"/>
              <w:ind w:left="10" w:right="-2" w:hanging="3"/>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677" w:type="dxa"/>
            <w:tcBorders>
              <w:top w:val="single" w:sz="4" w:space="0" w:color="000000"/>
              <w:left w:val="single" w:sz="4" w:space="0" w:color="000000"/>
              <w:bottom w:val="single" w:sz="4" w:space="0" w:color="000000"/>
              <w:right w:val="single" w:sz="4" w:space="0" w:color="000000"/>
            </w:tcBorders>
          </w:tcPr>
          <w:p w14:paraId="2CF3157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Santykinė rizika</w:t>
            </w:r>
          </w:p>
          <w:p w14:paraId="048B907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(95 % PI) </w:t>
            </w:r>
          </w:p>
        </w:tc>
        <w:tc>
          <w:tcPr>
            <w:tcW w:w="1098" w:type="dxa"/>
            <w:tcBorders>
              <w:top w:val="single" w:sz="4" w:space="0" w:color="000000"/>
              <w:left w:val="single" w:sz="4" w:space="0" w:color="000000"/>
              <w:bottom w:val="single" w:sz="4" w:space="0" w:color="000000"/>
              <w:right w:val="single" w:sz="4" w:space="0" w:color="000000"/>
            </w:tcBorders>
          </w:tcPr>
          <w:p w14:paraId="7930C51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p w14:paraId="5F07051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p-reikšmė </w:t>
            </w:r>
          </w:p>
        </w:tc>
      </w:tr>
      <w:tr w:rsidR="00C95D96" w:rsidRPr="00D21DFA" w14:paraId="707C39FD"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5C3A955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Insultas arba sisteminė embolija</w:t>
            </w:r>
          </w:p>
        </w:tc>
        <w:tc>
          <w:tcPr>
            <w:tcW w:w="1470" w:type="dxa"/>
            <w:tcBorders>
              <w:top w:val="single" w:sz="4" w:space="0" w:color="000000"/>
              <w:left w:val="single" w:sz="4" w:space="0" w:color="000000"/>
              <w:bottom w:val="single" w:sz="4" w:space="0" w:color="000000"/>
              <w:right w:val="single" w:sz="4" w:space="0" w:color="000000"/>
            </w:tcBorders>
          </w:tcPr>
          <w:p w14:paraId="4E80CE4D" w14:textId="77777777" w:rsidR="00C95D96" w:rsidRPr="00D21DFA" w:rsidRDefault="00C95D96" w:rsidP="00C95D96">
            <w:pPr>
              <w:tabs>
                <w:tab w:val="left" w:pos="567"/>
              </w:tabs>
              <w:spacing w:after="0" w:line="240" w:lineRule="auto"/>
              <w:ind w:left="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212 (1,27)</w:t>
            </w:r>
          </w:p>
        </w:tc>
        <w:tc>
          <w:tcPr>
            <w:tcW w:w="1591" w:type="dxa"/>
            <w:tcBorders>
              <w:top w:val="single" w:sz="4" w:space="0" w:color="000000"/>
              <w:left w:val="single" w:sz="4" w:space="0" w:color="000000"/>
              <w:bottom w:val="single" w:sz="4" w:space="0" w:color="000000"/>
              <w:right w:val="single" w:sz="4" w:space="0" w:color="000000"/>
            </w:tcBorders>
          </w:tcPr>
          <w:p w14:paraId="3E773EAF" w14:textId="77777777" w:rsidR="00C95D96" w:rsidRPr="00D21DFA"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265 (1,60)</w:t>
            </w:r>
          </w:p>
        </w:tc>
        <w:tc>
          <w:tcPr>
            <w:tcW w:w="1677" w:type="dxa"/>
            <w:tcBorders>
              <w:top w:val="single" w:sz="4" w:space="0" w:color="000000"/>
              <w:left w:val="single" w:sz="4" w:space="0" w:color="000000"/>
              <w:bottom w:val="single" w:sz="4" w:space="0" w:color="000000"/>
              <w:right w:val="single" w:sz="4" w:space="0" w:color="000000"/>
            </w:tcBorders>
          </w:tcPr>
          <w:p w14:paraId="7FAC89D3" w14:textId="77777777" w:rsidR="00C95D96" w:rsidRPr="00D21DFA" w:rsidRDefault="00C95D96" w:rsidP="00C95D96">
            <w:pPr>
              <w:tabs>
                <w:tab w:val="left" w:pos="567"/>
              </w:tabs>
              <w:spacing w:after="0" w:line="240" w:lineRule="auto"/>
              <w:ind w:left="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0,79 (0,66, 0,95)</w:t>
            </w:r>
          </w:p>
        </w:tc>
        <w:tc>
          <w:tcPr>
            <w:tcW w:w="1098" w:type="dxa"/>
            <w:tcBorders>
              <w:top w:val="single" w:sz="4" w:space="0" w:color="000000"/>
              <w:left w:val="single" w:sz="4" w:space="0" w:color="000000"/>
              <w:bottom w:val="single" w:sz="4" w:space="0" w:color="000000"/>
              <w:right w:val="single" w:sz="4" w:space="0" w:color="000000"/>
            </w:tcBorders>
          </w:tcPr>
          <w:p w14:paraId="19306415" w14:textId="77777777" w:rsidR="00C95D96" w:rsidRPr="00D21DFA" w:rsidRDefault="00C95D96" w:rsidP="00C95D96">
            <w:pPr>
              <w:tabs>
                <w:tab w:val="left" w:pos="567"/>
              </w:tabs>
              <w:spacing w:after="0" w:line="240" w:lineRule="auto"/>
              <w:ind w:left="4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0,0114</w:t>
            </w:r>
          </w:p>
        </w:tc>
      </w:tr>
      <w:tr w:rsidR="00C95D96" w:rsidRPr="00D21DFA" w14:paraId="3ED32930"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68C9A03C" w14:textId="77777777" w:rsidR="00C95D96" w:rsidRPr="00D21DFA" w:rsidRDefault="00C95D96" w:rsidP="00C95D96">
            <w:pPr>
              <w:tabs>
                <w:tab w:val="left" w:pos="567"/>
              </w:tabs>
              <w:spacing w:after="0" w:line="240" w:lineRule="auto"/>
              <w:ind w:left="17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Insultas</w:t>
            </w:r>
          </w:p>
        </w:tc>
        <w:tc>
          <w:tcPr>
            <w:tcW w:w="1470" w:type="dxa"/>
            <w:tcBorders>
              <w:top w:val="single" w:sz="4" w:space="0" w:color="000000"/>
              <w:left w:val="single" w:sz="4" w:space="0" w:color="000000"/>
              <w:bottom w:val="single" w:sz="4" w:space="0" w:color="000000"/>
              <w:right w:val="single" w:sz="4" w:space="0" w:color="000000"/>
            </w:tcBorders>
          </w:tcPr>
          <w:p w14:paraId="1A150B6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591" w:type="dxa"/>
            <w:tcBorders>
              <w:top w:val="single" w:sz="4" w:space="0" w:color="000000"/>
              <w:left w:val="single" w:sz="4" w:space="0" w:color="000000"/>
              <w:bottom w:val="single" w:sz="4" w:space="0" w:color="000000"/>
              <w:right w:val="single" w:sz="4" w:space="0" w:color="000000"/>
            </w:tcBorders>
          </w:tcPr>
          <w:p w14:paraId="3463D7B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677" w:type="dxa"/>
            <w:tcBorders>
              <w:top w:val="single" w:sz="4" w:space="0" w:color="000000"/>
              <w:left w:val="single" w:sz="4" w:space="0" w:color="000000"/>
              <w:bottom w:val="single" w:sz="4" w:space="0" w:color="000000"/>
              <w:right w:val="single" w:sz="4" w:space="0" w:color="000000"/>
            </w:tcBorders>
          </w:tcPr>
          <w:p w14:paraId="755885F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60191F5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71085F76" w14:textId="77777777" w:rsidTr="00446D67">
        <w:trPr>
          <w:trHeight w:val="264"/>
        </w:trPr>
        <w:tc>
          <w:tcPr>
            <w:tcW w:w="3095" w:type="dxa"/>
            <w:tcBorders>
              <w:top w:val="single" w:sz="4" w:space="0" w:color="000000"/>
              <w:left w:val="single" w:sz="4" w:space="0" w:color="000000"/>
              <w:bottom w:val="single" w:sz="4" w:space="0" w:color="000000"/>
              <w:right w:val="single" w:sz="4" w:space="0" w:color="000000"/>
            </w:tcBorders>
          </w:tcPr>
          <w:p w14:paraId="45DFEA35" w14:textId="77777777" w:rsidR="00C95D96" w:rsidRPr="00D21DFA" w:rsidRDefault="00C95D96" w:rsidP="00C95D96">
            <w:pPr>
              <w:tabs>
                <w:tab w:val="left" w:pos="342"/>
              </w:tabs>
              <w:spacing w:after="0" w:line="240" w:lineRule="auto"/>
              <w:ind w:left="34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Išeminis arba neapibūdintas</w:t>
            </w:r>
          </w:p>
        </w:tc>
        <w:tc>
          <w:tcPr>
            <w:tcW w:w="1470" w:type="dxa"/>
            <w:tcBorders>
              <w:top w:val="single" w:sz="4" w:space="0" w:color="000000"/>
              <w:left w:val="single" w:sz="4" w:space="0" w:color="000000"/>
              <w:bottom w:val="single" w:sz="4" w:space="0" w:color="000000"/>
              <w:right w:val="single" w:sz="4" w:space="0" w:color="000000"/>
            </w:tcBorders>
          </w:tcPr>
          <w:p w14:paraId="3A28CFF1"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162 (0,97)</w:t>
            </w:r>
          </w:p>
        </w:tc>
        <w:tc>
          <w:tcPr>
            <w:tcW w:w="1591" w:type="dxa"/>
            <w:tcBorders>
              <w:top w:val="single" w:sz="4" w:space="0" w:color="000000"/>
              <w:left w:val="single" w:sz="4" w:space="0" w:color="000000"/>
              <w:bottom w:val="single" w:sz="4" w:space="0" w:color="000000"/>
              <w:right w:val="single" w:sz="4" w:space="0" w:color="000000"/>
            </w:tcBorders>
          </w:tcPr>
          <w:p w14:paraId="4ABE1E7A" w14:textId="77777777" w:rsidR="00C95D96" w:rsidRPr="00D21DFA" w:rsidRDefault="00C95D96" w:rsidP="00C95D96">
            <w:pPr>
              <w:tabs>
                <w:tab w:val="left" w:pos="567"/>
              </w:tabs>
              <w:spacing w:after="0" w:line="240" w:lineRule="auto"/>
              <w:ind w:left="4"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175 (1,05)</w:t>
            </w:r>
          </w:p>
        </w:tc>
        <w:tc>
          <w:tcPr>
            <w:tcW w:w="1677" w:type="dxa"/>
            <w:tcBorders>
              <w:top w:val="single" w:sz="4" w:space="0" w:color="000000"/>
              <w:left w:val="single" w:sz="4" w:space="0" w:color="000000"/>
              <w:bottom w:val="single" w:sz="4" w:space="0" w:color="000000"/>
              <w:right w:val="single" w:sz="4" w:space="0" w:color="000000"/>
            </w:tcBorders>
          </w:tcPr>
          <w:p w14:paraId="7AA4048F" w14:textId="77777777" w:rsidR="00C95D96" w:rsidRPr="00D21DFA" w:rsidRDefault="00C95D96" w:rsidP="00C95D96">
            <w:pPr>
              <w:tabs>
                <w:tab w:val="left" w:pos="567"/>
              </w:tabs>
              <w:spacing w:after="0" w:line="240" w:lineRule="auto"/>
              <w:ind w:left="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0,92 (0,74, 1,13)</w:t>
            </w:r>
          </w:p>
        </w:tc>
        <w:tc>
          <w:tcPr>
            <w:tcW w:w="1098" w:type="dxa"/>
            <w:tcBorders>
              <w:top w:val="single" w:sz="4" w:space="0" w:color="000000"/>
              <w:left w:val="single" w:sz="4" w:space="0" w:color="000000"/>
              <w:bottom w:val="single" w:sz="4" w:space="0" w:color="000000"/>
              <w:right w:val="single" w:sz="4" w:space="0" w:color="000000"/>
            </w:tcBorders>
          </w:tcPr>
          <w:p w14:paraId="014FE4C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4D7770D"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69432269" w14:textId="77777777" w:rsidR="00C95D96" w:rsidRPr="00D21DFA" w:rsidRDefault="00C95D96" w:rsidP="00C95D96">
            <w:pPr>
              <w:tabs>
                <w:tab w:val="left" w:pos="567"/>
              </w:tabs>
              <w:spacing w:after="0" w:line="240" w:lineRule="auto"/>
              <w:ind w:left="34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Hemoraginis</w:t>
            </w:r>
          </w:p>
        </w:tc>
        <w:tc>
          <w:tcPr>
            <w:tcW w:w="1470" w:type="dxa"/>
            <w:tcBorders>
              <w:top w:val="single" w:sz="4" w:space="0" w:color="000000"/>
              <w:left w:val="single" w:sz="4" w:space="0" w:color="000000"/>
              <w:bottom w:val="single" w:sz="4" w:space="0" w:color="000000"/>
              <w:right w:val="single" w:sz="4" w:space="0" w:color="000000"/>
            </w:tcBorders>
          </w:tcPr>
          <w:p w14:paraId="4F8BF4C7" w14:textId="77777777" w:rsidR="00C95D96" w:rsidRPr="00D21DFA"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40 (0,24)</w:t>
            </w:r>
          </w:p>
        </w:tc>
        <w:tc>
          <w:tcPr>
            <w:tcW w:w="1591" w:type="dxa"/>
            <w:tcBorders>
              <w:top w:val="single" w:sz="4" w:space="0" w:color="000000"/>
              <w:left w:val="single" w:sz="4" w:space="0" w:color="000000"/>
              <w:bottom w:val="single" w:sz="4" w:space="0" w:color="000000"/>
              <w:right w:val="single" w:sz="4" w:space="0" w:color="000000"/>
            </w:tcBorders>
          </w:tcPr>
          <w:p w14:paraId="473A5FF1" w14:textId="77777777" w:rsidR="00C95D96" w:rsidRPr="00D21DFA"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78 (0,47)</w:t>
            </w:r>
          </w:p>
        </w:tc>
        <w:tc>
          <w:tcPr>
            <w:tcW w:w="1677" w:type="dxa"/>
            <w:tcBorders>
              <w:top w:val="single" w:sz="4" w:space="0" w:color="000000"/>
              <w:left w:val="single" w:sz="4" w:space="0" w:color="000000"/>
              <w:bottom w:val="single" w:sz="4" w:space="0" w:color="000000"/>
              <w:right w:val="single" w:sz="4" w:space="0" w:color="000000"/>
            </w:tcBorders>
          </w:tcPr>
          <w:p w14:paraId="257F7EBD" w14:textId="77777777" w:rsidR="00C95D96" w:rsidRPr="00D21DFA" w:rsidRDefault="00C95D96" w:rsidP="00C95D96">
            <w:pPr>
              <w:tabs>
                <w:tab w:val="left" w:pos="567"/>
              </w:tabs>
              <w:spacing w:after="0" w:line="240" w:lineRule="auto"/>
              <w:ind w:left="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0,51 (0,35, 0,75)</w:t>
            </w:r>
          </w:p>
        </w:tc>
        <w:tc>
          <w:tcPr>
            <w:tcW w:w="1098" w:type="dxa"/>
            <w:tcBorders>
              <w:top w:val="single" w:sz="4" w:space="0" w:color="000000"/>
              <w:left w:val="single" w:sz="4" w:space="0" w:color="000000"/>
              <w:bottom w:val="single" w:sz="4" w:space="0" w:color="000000"/>
              <w:right w:val="single" w:sz="4" w:space="0" w:color="000000"/>
            </w:tcBorders>
          </w:tcPr>
          <w:p w14:paraId="272DD88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43977DCB" w14:textId="77777777" w:rsidTr="00446D67">
        <w:trPr>
          <w:trHeight w:val="263"/>
        </w:trPr>
        <w:tc>
          <w:tcPr>
            <w:tcW w:w="3095" w:type="dxa"/>
            <w:tcBorders>
              <w:top w:val="single" w:sz="4" w:space="0" w:color="000000"/>
              <w:left w:val="single" w:sz="4" w:space="0" w:color="000000"/>
              <w:bottom w:val="single" w:sz="4" w:space="0" w:color="000000"/>
              <w:right w:val="single" w:sz="4" w:space="0" w:color="000000"/>
            </w:tcBorders>
          </w:tcPr>
          <w:p w14:paraId="78FEEB50" w14:textId="77777777" w:rsidR="00C95D96" w:rsidRPr="00D21DFA" w:rsidRDefault="00C95D96" w:rsidP="00C95D96">
            <w:pPr>
              <w:tabs>
                <w:tab w:val="left" w:pos="567"/>
              </w:tabs>
              <w:spacing w:after="0" w:line="240" w:lineRule="auto"/>
              <w:ind w:left="170"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Sisteminė embolija </w:t>
            </w:r>
          </w:p>
        </w:tc>
        <w:tc>
          <w:tcPr>
            <w:tcW w:w="1470" w:type="dxa"/>
            <w:tcBorders>
              <w:top w:val="single" w:sz="4" w:space="0" w:color="000000"/>
              <w:left w:val="single" w:sz="4" w:space="0" w:color="000000"/>
              <w:bottom w:val="single" w:sz="4" w:space="0" w:color="000000"/>
              <w:right w:val="single" w:sz="4" w:space="0" w:color="000000"/>
            </w:tcBorders>
          </w:tcPr>
          <w:p w14:paraId="669641BD" w14:textId="77777777" w:rsidR="00C95D96" w:rsidRPr="00D21DFA" w:rsidRDefault="00C95D96" w:rsidP="00C95D96">
            <w:pPr>
              <w:tabs>
                <w:tab w:val="left" w:pos="567"/>
              </w:tabs>
              <w:spacing w:after="0" w:line="240" w:lineRule="auto"/>
              <w:ind w:left="5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15 (0,09)</w:t>
            </w:r>
          </w:p>
        </w:tc>
        <w:tc>
          <w:tcPr>
            <w:tcW w:w="1591" w:type="dxa"/>
            <w:tcBorders>
              <w:top w:val="single" w:sz="4" w:space="0" w:color="000000"/>
              <w:left w:val="single" w:sz="4" w:space="0" w:color="000000"/>
              <w:bottom w:val="single" w:sz="4" w:space="0" w:color="000000"/>
              <w:right w:val="single" w:sz="4" w:space="0" w:color="000000"/>
            </w:tcBorders>
          </w:tcPr>
          <w:p w14:paraId="2D64DC3C" w14:textId="77777777" w:rsidR="00C95D96" w:rsidRPr="00D21DFA" w:rsidRDefault="00C95D96" w:rsidP="00C95D96">
            <w:pPr>
              <w:tabs>
                <w:tab w:val="left" w:pos="567"/>
              </w:tabs>
              <w:spacing w:after="0" w:line="240" w:lineRule="auto"/>
              <w:ind w:left="5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17 (0,10)</w:t>
            </w:r>
          </w:p>
        </w:tc>
        <w:tc>
          <w:tcPr>
            <w:tcW w:w="1677" w:type="dxa"/>
            <w:tcBorders>
              <w:top w:val="single" w:sz="4" w:space="0" w:color="000000"/>
              <w:left w:val="single" w:sz="4" w:space="0" w:color="000000"/>
              <w:bottom w:val="single" w:sz="4" w:space="0" w:color="000000"/>
              <w:right w:val="single" w:sz="4" w:space="0" w:color="000000"/>
            </w:tcBorders>
          </w:tcPr>
          <w:p w14:paraId="1161A4D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0.87 (0,44, 1,75)</w:t>
            </w:r>
          </w:p>
        </w:tc>
        <w:tc>
          <w:tcPr>
            <w:tcW w:w="1098" w:type="dxa"/>
            <w:tcBorders>
              <w:top w:val="single" w:sz="4" w:space="0" w:color="000000"/>
              <w:left w:val="single" w:sz="4" w:space="0" w:color="000000"/>
              <w:bottom w:val="single" w:sz="4" w:space="0" w:color="000000"/>
              <w:right w:val="single" w:sz="4" w:space="0" w:color="000000"/>
            </w:tcBorders>
          </w:tcPr>
          <w:p w14:paraId="69FDAB0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bl>
    <w:p w14:paraId="25C1A27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0"/>
          <w14:ligatures w14:val="none"/>
        </w:rPr>
      </w:pPr>
    </w:p>
    <w:p w14:paraId="1081D71E" w14:textId="3B2E95B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kuriems atsitiktinės atrankos būdu buvo paskirta vartoti varfarino, buvimo gydomajame </w:t>
      </w:r>
      <w:r w:rsidR="001D1F43" w:rsidRPr="00D21DFA">
        <w:rPr>
          <w:rFonts w:ascii="Times New Roman" w:eastAsia="Times New Roman" w:hAnsi="Times New Roman" w:cs="Times New Roman"/>
          <w:snapToGrid w:val="0"/>
          <w:kern w:val="0"/>
          <w:sz w:val="22"/>
          <w:szCs w:val="20"/>
          <w14:ligatures w14:val="none"/>
        </w:rPr>
        <w:t>TNS intervale</w:t>
      </w:r>
      <w:r w:rsidRPr="00D21DFA">
        <w:rPr>
          <w:rFonts w:ascii="Times New Roman" w:eastAsia="Times New Roman" w:hAnsi="Times New Roman" w:cs="Times New Roman"/>
          <w:snapToGrid w:val="0"/>
          <w:kern w:val="0"/>
          <w:sz w:val="22"/>
          <w:szCs w:val="20"/>
          <w14:ligatures w14:val="none"/>
        </w:rPr>
        <w:t xml:space="preserve"> (angl. </w:t>
      </w:r>
      <w:proofErr w:type="spellStart"/>
      <w:r w:rsidRPr="00D21DFA">
        <w:rPr>
          <w:rFonts w:ascii="Times New Roman" w:eastAsia="Times New Roman" w:hAnsi="Times New Roman" w:cs="Times New Roman"/>
          <w:i/>
          <w:snapToGrid w:val="0"/>
          <w:kern w:val="0"/>
          <w:sz w:val="22"/>
          <w:szCs w:val="20"/>
          <w14:ligatures w14:val="none"/>
        </w:rPr>
        <w:t>time</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in</w:t>
      </w:r>
      <w:proofErr w:type="spellEnd"/>
      <w:r w:rsidRPr="00D21DFA">
        <w:rPr>
          <w:rFonts w:ascii="Times New Roman" w:eastAsia="Times New Roman" w:hAnsi="Times New Roman" w:cs="Times New Roman"/>
          <w:i/>
          <w:snapToGrid w:val="0"/>
          <w:kern w:val="0"/>
          <w:sz w:val="22"/>
          <w:szCs w:val="20"/>
          <w14:ligatures w14:val="none"/>
        </w:rPr>
        <w:t xml:space="preserve"> </w:t>
      </w:r>
      <w:proofErr w:type="spellStart"/>
      <w:r w:rsidRPr="00D21DFA">
        <w:rPr>
          <w:rFonts w:ascii="Times New Roman" w:eastAsia="Times New Roman" w:hAnsi="Times New Roman" w:cs="Times New Roman"/>
          <w:i/>
          <w:snapToGrid w:val="0"/>
          <w:kern w:val="0"/>
          <w:sz w:val="22"/>
          <w:szCs w:val="20"/>
          <w14:ligatures w14:val="none"/>
        </w:rPr>
        <w:t>therapeutic</w:t>
      </w:r>
      <w:proofErr w:type="spellEnd"/>
      <w:r w:rsidRPr="00D21DFA">
        <w:rPr>
          <w:rFonts w:ascii="Times New Roman" w:eastAsia="Times New Roman" w:hAnsi="Times New Roman" w:cs="Times New Roman"/>
          <w:i/>
          <w:snapToGrid w:val="0"/>
          <w:kern w:val="0"/>
          <w:sz w:val="22"/>
          <w:szCs w:val="20"/>
          <w14:ligatures w14:val="none"/>
        </w:rPr>
        <w:t xml:space="preserve"> range (TTR)</w:t>
      </w:r>
      <w:r w:rsidRPr="00D21DFA">
        <w:rPr>
          <w:rFonts w:ascii="Times New Roman" w:eastAsia="Times New Roman" w:hAnsi="Times New Roman" w:cs="Times New Roman"/>
          <w:snapToGrid w:val="0"/>
          <w:kern w:val="0"/>
          <w:sz w:val="22"/>
          <w:szCs w:val="20"/>
          <w14:ligatures w14:val="none"/>
        </w:rPr>
        <w:t>) (TNS 2</w:t>
      </w:r>
      <w:r w:rsidRPr="00D21DFA">
        <w:rPr>
          <w:rFonts w:ascii="Times New Roman" w:eastAsia="Times New Roman" w:hAnsi="Times New Roman" w:cs="Times New Roman"/>
          <w:snapToGrid w:val="0"/>
          <w:kern w:val="0"/>
          <w:sz w:val="22"/>
          <w:szCs w:val="20"/>
          <w14:ligatures w14:val="none"/>
        </w:rPr>
        <w:noBreakHyphen/>
        <w:t xml:space="preserve">3) </w:t>
      </w:r>
      <w:r w:rsidR="001D1F43" w:rsidRPr="00D21DFA">
        <w:rPr>
          <w:rFonts w:ascii="Times New Roman" w:eastAsia="Times New Roman" w:hAnsi="Times New Roman" w:cs="Times New Roman"/>
          <w:snapToGrid w:val="0"/>
          <w:kern w:val="0"/>
          <w:sz w:val="22"/>
          <w:szCs w:val="20"/>
          <w14:ligatures w14:val="none"/>
        </w:rPr>
        <w:t xml:space="preserve">laiko </w:t>
      </w:r>
      <w:r w:rsidRPr="00D21DFA">
        <w:rPr>
          <w:rFonts w:ascii="Times New Roman" w:eastAsia="Times New Roman" w:hAnsi="Times New Roman" w:cs="Times New Roman"/>
          <w:snapToGrid w:val="0"/>
          <w:kern w:val="0"/>
          <w:sz w:val="22"/>
          <w:szCs w:val="20"/>
          <w14:ligatures w14:val="none"/>
        </w:rPr>
        <w:t xml:space="preserve">procentinė mediana buvo 66 %. </w:t>
      </w:r>
    </w:p>
    <w:p w14:paraId="60265C5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B213AF" w14:textId="468BB41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sumažino insulto ir sisteminės embolijos atvejų skaičių, palyginti su varfarinu, esant bet k</w:t>
      </w:r>
      <w:r w:rsidR="001D1F43" w:rsidRPr="00D21DFA">
        <w:rPr>
          <w:rFonts w:ascii="Times New Roman" w:eastAsia="Times New Roman" w:hAnsi="Times New Roman" w:cs="Times New Roman"/>
          <w:snapToGrid w:val="0"/>
          <w:kern w:val="0"/>
          <w:sz w:val="22"/>
          <w:szCs w:val="20"/>
          <w14:ligatures w14:val="none"/>
        </w:rPr>
        <w:t>okiam</w:t>
      </w:r>
      <w:r w:rsidRPr="00D21DFA">
        <w:rPr>
          <w:rFonts w:ascii="Times New Roman" w:eastAsia="Times New Roman" w:hAnsi="Times New Roman" w:cs="Times New Roman"/>
          <w:snapToGrid w:val="0"/>
          <w:kern w:val="0"/>
          <w:sz w:val="22"/>
          <w:szCs w:val="20"/>
          <w14:ligatures w14:val="none"/>
        </w:rPr>
        <w:t xml:space="preserve"> nukrypimui nuo centrinio TTR. Didžiausios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nuo centrinio TTR santykinė rizika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palyginti su varfarinu, buvo 0,73 (95 % PI, 0,38, 1,40). </w:t>
      </w:r>
    </w:p>
    <w:p w14:paraId="5CA9E76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1E6706" w14:textId="77979B5B" w:rsidR="00C95D96" w:rsidRPr="00D21DFA" w:rsidRDefault="00C95D96" w:rsidP="00C95D96">
      <w:pPr>
        <w:tabs>
          <w:tab w:val="left" w:pos="567"/>
          <w:tab w:val="left" w:pos="8505"/>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Buvo įvertintos pagrindinės antrinės vertinamosios baigtys – stiprus kraujavimas ir mirtis, dėl </w:t>
      </w:r>
      <w:r w:rsidR="001D1F43"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pagal iš anksto nustatytą hierarchinę bandymų strategiją I tipo paklaidoms kontroliuoti tyrimų metu. Buvo pasiektas taip pat ir pagrindinių antrinių vertinamųjų baigčių – stipraus kraujavimo ir mirties dėl </w:t>
      </w:r>
      <w:r w:rsidR="001D1F43"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statistiškai reikšmingas pranašumas (žr. </w:t>
      </w:r>
      <w:r w:rsidR="002426C3" w:rsidRPr="00D21DFA">
        <w:rPr>
          <w:rFonts w:ascii="Times New Roman" w:eastAsia="Times New Roman" w:hAnsi="Times New Roman" w:cs="Times New Roman"/>
          <w:snapToGrid w:val="0"/>
          <w:kern w:val="0"/>
          <w:sz w:val="22"/>
          <w:szCs w:val="20"/>
          <w14:ligatures w14:val="none"/>
        </w:rPr>
        <w:t>6</w:t>
      </w:r>
      <w:r w:rsidRPr="00D21DFA">
        <w:rPr>
          <w:rFonts w:ascii="Times New Roman" w:eastAsia="Times New Roman" w:hAnsi="Times New Roman" w:cs="Times New Roman"/>
          <w:snapToGrid w:val="0"/>
          <w:kern w:val="0"/>
          <w:sz w:val="22"/>
          <w:szCs w:val="20"/>
          <w14:ligatures w14:val="none"/>
        </w:rPr>
        <w:t xml:space="preserve"> lentelę). Gerėjant TNS stebėjimui, pastebėti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pranašumai, palyginti su varfarinu, mirties dėl </w:t>
      </w:r>
      <w:r w:rsidR="001D1F43"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atžvilgiu buvo mažesni. </w:t>
      </w:r>
    </w:p>
    <w:p w14:paraId="12635BE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C85C3F" w14:textId="0E2FDF02" w:rsidR="00C95D96" w:rsidRPr="00D21DFA" w:rsidRDefault="002426C3" w:rsidP="00C95D96">
      <w:pPr>
        <w:tabs>
          <w:tab w:val="left" w:pos="567"/>
          <w:tab w:val="left" w:pos="9214"/>
        </w:tabs>
        <w:spacing w:after="120" w:line="240" w:lineRule="auto"/>
        <w:ind w:left="990" w:right="-2" w:hanging="848"/>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6</w:t>
      </w:r>
      <w:r w:rsidR="00C95D96" w:rsidRPr="00D21DFA">
        <w:rPr>
          <w:rFonts w:ascii="Times New Roman" w:eastAsia="Times New Roman" w:hAnsi="Times New Roman" w:cs="Times New Roman"/>
          <w:b/>
          <w:bCs/>
          <w:snapToGrid w:val="0"/>
          <w:kern w:val="0"/>
          <w:sz w:val="22"/>
          <w:szCs w:val="20"/>
          <w14:ligatures w14:val="none"/>
        </w:rPr>
        <w:t xml:space="preserve"> lentelė. Antrinės vertinamosios baigtys pacientams, kuriems yra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C95D96" w:rsidRPr="00D21DFA" w14:paraId="67EE1364" w14:textId="77777777" w:rsidTr="00446D67">
        <w:trPr>
          <w:trHeight w:val="769"/>
        </w:trPr>
        <w:tc>
          <w:tcPr>
            <w:tcW w:w="2114" w:type="dxa"/>
            <w:tcBorders>
              <w:top w:val="single" w:sz="4" w:space="0" w:color="000000"/>
              <w:left w:val="single" w:sz="4" w:space="0" w:color="000000"/>
              <w:bottom w:val="single" w:sz="4" w:space="0" w:color="000000"/>
              <w:right w:val="single" w:sz="4" w:space="0" w:color="000000"/>
            </w:tcBorders>
          </w:tcPr>
          <w:p w14:paraId="0987956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p>
        </w:tc>
        <w:tc>
          <w:tcPr>
            <w:tcW w:w="2026" w:type="dxa"/>
            <w:tcBorders>
              <w:top w:val="single" w:sz="4" w:space="0" w:color="000000"/>
              <w:left w:val="single" w:sz="4" w:space="0" w:color="000000"/>
              <w:bottom w:val="single" w:sz="4" w:space="0" w:color="000000"/>
              <w:right w:val="single" w:sz="4" w:space="0" w:color="000000"/>
            </w:tcBorders>
          </w:tcPr>
          <w:p w14:paraId="317AA8CB" w14:textId="77777777" w:rsidR="00C95D96" w:rsidRPr="00D21DFA" w:rsidRDefault="00C95D96" w:rsidP="00C95D96">
            <w:pPr>
              <w:tabs>
                <w:tab w:val="left" w:pos="212"/>
              </w:tabs>
              <w:spacing w:after="0" w:line="240" w:lineRule="auto"/>
              <w:ind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r w:rsidRPr="00D21DFA">
              <w:rPr>
                <w:rFonts w:ascii="Times New Roman" w:eastAsia="Times New Roman" w:hAnsi="Times New Roman" w:cs="Times New Roman"/>
                <w:b/>
                <w:snapToGrid w:val="0"/>
                <w:kern w:val="0"/>
                <w:sz w:val="22"/>
                <w:szCs w:val="22"/>
                <w14:ligatures w14:val="none"/>
              </w:rPr>
              <w:t xml:space="preserve"> </w:t>
            </w:r>
          </w:p>
          <w:p w14:paraId="49AA4591" w14:textId="77777777" w:rsidR="00C95D96" w:rsidRPr="00D21DFA" w:rsidRDefault="00C95D96" w:rsidP="00C95D96">
            <w:pPr>
              <w:tabs>
                <w:tab w:val="left" w:pos="212"/>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 = 9 088 </w:t>
            </w:r>
          </w:p>
          <w:p w14:paraId="243BB30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214EF359" w14:textId="77777777" w:rsidR="00C95D96" w:rsidRPr="00D21DFA" w:rsidRDefault="00C95D96" w:rsidP="00C95D96">
            <w:pPr>
              <w:tabs>
                <w:tab w:val="left" w:pos="35"/>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Varfarinas</w:t>
            </w:r>
          </w:p>
          <w:p w14:paraId="6CDA69D5" w14:textId="77777777" w:rsidR="00C95D96" w:rsidRPr="00D21DFA" w:rsidRDefault="00C95D96" w:rsidP="00C95D96">
            <w:pPr>
              <w:tabs>
                <w:tab w:val="left" w:pos="35"/>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 = 9 052</w:t>
            </w:r>
          </w:p>
          <w:p w14:paraId="121AFBAE" w14:textId="77777777" w:rsidR="00C95D96" w:rsidRPr="00D21DFA" w:rsidRDefault="00C95D96" w:rsidP="00C95D96">
            <w:pPr>
              <w:tabs>
                <w:tab w:val="left" w:pos="-10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 (%/metus)</w:t>
            </w:r>
          </w:p>
        </w:tc>
        <w:tc>
          <w:tcPr>
            <w:tcW w:w="1701" w:type="dxa"/>
            <w:tcBorders>
              <w:top w:val="single" w:sz="4" w:space="0" w:color="000000"/>
              <w:left w:val="single" w:sz="4" w:space="0" w:color="000000"/>
              <w:bottom w:val="single" w:sz="4" w:space="0" w:color="000000"/>
              <w:right w:val="single" w:sz="4" w:space="0" w:color="000000"/>
            </w:tcBorders>
          </w:tcPr>
          <w:p w14:paraId="3035F9E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Santykinė rizika </w:t>
            </w:r>
          </w:p>
          <w:p w14:paraId="21C02B5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44C8DF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p-reikšmė </w:t>
            </w:r>
          </w:p>
        </w:tc>
      </w:tr>
      <w:tr w:rsidR="00C95D96" w:rsidRPr="00D21DFA" w14:paraId="23BC4BB4" w14:textId="77777777" w:rsidTr="00446D67">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336AD00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Kraujavimo baigtys</w:t>
            </w:r>
          </w:p>
        </w:tc>
      </w:tr>
      <w:tr w:rsidR="00C95D96" w:rsidRPr="00D21DFA" w14:paraId="5E002F8E" w14:textId="77777777" w:rsidTr="00446D67">
        <w:trPr>
          <w:trHeight w:val="289"/>
        </w:trPr>
        <w:tc>
          <w:tcPr>
            <w:tcW w:w="2114" w:type="dxa"/>
            <w:tcBorders>
              <w:top w:val="single" w:sz="4" w:space="0" w:color="000000"/>
              <w:left w:val="single" w:sz="4" w:space="0" w:color="000000"/>
              <w:bottom w:val="single" w:sz="4" w:space="0" w:color="000000"/>
              <w:right w:val="single" w:sz="4" w:space="0" w:color="000000"/>
            </w:tcBorders>
          </w:tcPr>
          <w:p w14:paraId="09B10F1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689C788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55C90CC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1CFC863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1EB6985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&lt; 0,0001 </w:t>
            </w:r>
          </w:p>
        </w:tc>
      </w:tr>
      <w:tr w:rsidR="00C95D96" w:rsidRPr="00D21DFA" w14:paraId="6BF54F8D" w14:textId="77777777" w:rsidTr="00446D67">
        <w:trPr>
          <w:trHeight w:val="281"/>
        </w:trPr>
        <w:tc>
          <w:tcPr>
            <w:tcW w:w="2114" w:type="dxa"/>
            <w:tcBorders>
              <w:top w:val="single" w:sz="4" w:space="0" w:color="000000"/>
              <w:left w:val="single" w:sz="4" w:space="0" w:color="000000"/>
              <w:bottom w:val="single" w:sz="4" w:space="0" w:color="000000"/>
              <w:right w:val="single" w:sz="4" w:space="0" w:color="000000"/>
            </w:tcBorders>
          </w:tcPr>
          <w:p w14:paraId="482D3985" w14:textId="77777777" w:rsidR="00C95D96" w:rsidRPr="00D21DFA" w:rsidRDefault="00C95D96" w:rsidP="00C95D96">
            <w:pPr>
              <w:tabs>
                <w:tab w:val="left" w:pos="567"/>
              </w:tabs>
              <w:spacing w:after="0" w:line="240" w:lineRule="auto"/>
              <w:ind w:left="346"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Mirtinas </w:t>
            </w:r>
          </w:p>
        </w:tc>
        <w:tc>
          <w:tcPr>
            <w:tcW w:w="2026" w:type="dxa"/>
            <w:tcBorders>
              <w:top w:val="single" w:sz="4" w:space="0" w:color="000000"/>
              <w:left w:val="single" w:sz="4" w:space="0" w:color="000000"/>
              <w:bottom w:val="single" w:sz="4" w:space="0" w:color="000000"/>
              <w:right w:val="single" w:sz="4" w:space="0" w:color="000000"/>
            </w:tcBorders>
          </w:tcPr>
          <w:p w14:paraId="0A04827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6A0E500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4220B78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C2D2BC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r w:rsidR="00C95D96" w:rsidRPr="00D21DFA" w14:paraId="19B2A4DD" w14:textId="77777777" w:rsidTr="00446D67">
        <w:trPr>
          <w:trHeight w:val="263"/>
        </w:trPr>
        <w:tc>
          <w:tcPr>
            <w:tcW w:w="2114" w:type="dxa"/>
            <w:tcBorders>
              <w:top w:val="single" w:sz="4" w:space="0" w:color="000000"/>
              <w:left w:val="single" w:sz="4" w:space="0" w:color="000000"/>
              <w:bottom w:val="single" w:sz="4" w:space="0" w:color="000000"/>
              <w:right w:val="single" w:sz="4" w:space="0" w:color="000000"/>
            </w:tcBorders>
          </w:tcPr>
          <w:p w14:paraId="3CF9C18B" w14:textId="77777777" w:rsidR="00C95D96" w:rsidRPr="00D21DFA" w:rsidRDefault="00C95D96" w:rsidP="00C95D96">
            <w:pPr>
              <w:tabs>
                <w:tab w:val="left" w:pos="567"/>
              </w:tabs>
              <w:spacing w:after="0" w:line="240" w:lineRule="auto"/>
              <w:ind w:left="346"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Intrakranijinis</w:t>
            </w:r>
            <w:proofErr w:type="spellEnd"/>
            <w:r w:rsidRPr="00D21DFA">
              <w:rPr>
                <w:rFonts w:ascii="Times New Roman" w:eastAsia="Times New Roman" w:hAnsi="Times New Roman" w:cs="Times New Roman"/>
                <w:snapToGrid w:val="0"/>
                <w:kern w:val="0"/>
                <w:sz w:val="22"/>
                <w:szCs w:val="22"/>
                <w14:ligatures w14:val="none"/>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5482CBE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38D672E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1602008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65DAE5E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r w:rsidR="00C95D96" w:rsidRPr="00D21DFA" w14:paraId="1F426B5D" w14:textId="77777777" w:rsidTr="00446D67">
        <w:trPr>
          <w:trHeight w:val="288"/>
        </w:trPr>
        <w:tc>
          <w:tcPr>
            <w:tcW w:w="2114" w:type="dxa"/>
            <w:tcBorders>
              <w:top w:val="single" w:sz="4" w:space="0" w:color="000000"/>
              <w:left w:val="single" w:sz="4" w:space="0" w:color="000000"/>
              <w:bottom w:val="single" w:sz="4" w:space="0" w:color="000000"/>
              <w:right w:val="single" w:sz="4" w:space="0" w:color="000000"/>
            </w:tcBorders>
          </w:tcPr>
          <w:p w14:paraId="756B72D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Stiprus + KRNS</w:t>
            </w:r>
            <w:r w:rsidRPr="00D21DFA">
              <w:rPr>
                <w:rFonts w:ascii="Times New Roman" w:eastAsia="Times New Roman" w:hAnsi="Times New Roman" w:cs="Times New Roman"/>
                <w:snapToGrid w:val="0"/>
                <w:color w:val="000000"/>
                <w:kern w:val="0"/>
                <w:sz w:val="22"/>
                <w:szCs w:val="22"/>
                <w:vertAlign w:val="superscript"/>
                <w14:ligatures w14:val="none"/>
              </w:rPr>
              <w:t>†</w:t>
            </w:r>
          </w:p>
        </w:tc>
        <w:tc>
          <w:tcPr>
            <w:tcW w:w="2026" w:type="dxa"/>
            <w:tcBorders>
              <w:top w:val="single" w:sz="4" w:space="0" w:color="000000"/>
              <w:left w:val="single" w:sz="4" w:space="0" w:color="000000"/>
              <w:bottom w:val="single" w:sz="4" w:space="0" w:color="000000"/>
              <w:right w:val="single" w:sz="4" w:space="0" w:color="000000"/>
            </w:tcBorders>
          </w:tcPr>
          <w:p w14:paraId="3622C4E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6EE7CCE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4DAD43C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0B0D7B5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&lt; 0,0001 </w:t>
            </w:r>
          </w:p>
        </w:tc>
      </w:tr>
      <w:tr w:rsidR="00C95D96" w:rsidRPr="00D21DFA" w14:paraId="4D19F488" w14:textId="77777777" w:rsidTr="00446D67">
        <w:trPr>
          <w:trHeight w:val="263"/>
        </w:trPr>
        <w:tc>
          <w:tcPr>
            <w:tcW w:w="2114" w:type="dxa"/>
            <w:tcBorders>
              <w:top w:val="single" w:sz="4" w:space="0" w:color="000000"/>
              <w:left w:val="single" w:sz="4" w:space="0" w:color="000000"/>
              <w:bottom w:val="single" w:sz="4" w:space="0" w:color="000000"/>
              <w:right w:val="single" w:sz="4" w:space="0" w:color="000000"/>
            </w:tcBorders>
          </w:tcPr>
          <w:p w14:paraId="521D9AB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54C42BD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04D322D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32EC410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2C86DEB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&lt; 0,0001 </w:t>
            </w:r>
          </w:p>
        </w:tc>
      </w:tr>
      <w:tr w:rsidR="00C95D96" w:rsidRPr="00D21DFA" w14:paraId="2404BED6" w14:textId="77777777" w:rsidTr="00446D67">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77C6E32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Kitos vertinamosios baigtys</w:t>
            </w:r>
          </w:p>
        </w:tc>
      </w:tr>
      <w:tr w:rsidR="00C95D96" w:rsidRPr="00D21DFA" w14:paraId="12A09464" w14:textId="77777777" w:rsidTr="00446D67">
        <w:trPr>
          <w:trHeight w:val="361"/>
        </w:trPr>
        <w:tc>
          <w:tcPr>
            <w:tcW w:w="2114" w:type="dxa"/>
            <w:tcBorders>
              <w:top w:val="single" w:sz="4" w:space="0" w:color="000000"/>
              <w:left w:val="single" w:sz="4" w:space="0" w:color="000000"/>
              <w:bottom w:val="single" w:sz="4" w:space="0" w:color="000000"/>
              <w:right w:val="single" w:sz="4" w:space="0" w:color="000000"/>
            </w:tcBorders>
          </w:tcPr>
          <w:p w14:paraId="6519DACD" w14:textId="1582C5B3"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Mirtis dėl </w:t>
            </w:r>
            <w:r w:rsidR="001D1F43"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w:t>
            </w:r>
          </w:p>
        </w:tc>
        <w:tc>
          <w:tcPr>
            <w:tcW w:w="2026" w:type="dxa"/>
            <w:tcBorders>
              <w:top w:val="single" w:sz="4" w:space="0" w:color="000000"/>
              <w:left w:val="single" w:sz="4" w:space="0" w:color="000000"/>
              <w:bottom w:val="single" w:sz="4" w:space="0" w:color="000000"/>
              <w:right w:val="single" w:sz="4" w:space="0" w:color="000000"/>
            </w:tcBorders>
          </w:tcPr>
          <w:p w14:paraId="2BEBDA1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121B7D1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439B1DD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30D5BC2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0,0465 </w:t>
            </w:r>
          </w:p>
        </w:tc>
      </w:tr>
      <w:tr w:rsidR="00C95D96" w:rsidRPr="00D21DFA" w14:paraId="7A8CF7EF" w14:textId="77777777" w:rsidTr="00446D67">
        <w:trPr>
          <w:trHeight w:val="170"/>
        </w:trPr>
        <w:tc>
          <w:tcPr>
            <w:tcW w:w="2114" w:type="dxa"/>
            <w:tcBorders>
              <w:top w:val="single" w:sz="4" w:space="0" w:color="000000"/>
              <w:left w:val="single" w:sz="4" w:space="0" w:color="000000"/>
              <w:bottom w:val="single" w:sz="4" w:space="0" w:color="000000"/>
              <w:right w:val="single" w:sz="4" w:space="0" w:color="000000"/>
            </w:tcBorders>
          </w:tcPr>
          <w:p w14:paraId="356980D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2B80A10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00AD889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1C5DF1E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5B161E1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bl>
    <w:p w14:paraId="0D108E5A" w14:textId="77777777" w:rsidR="00C95D96" w:rsidRPr="00D21DFA" w:rsidRDefault="00C95D96" w:rsidP="00C95D96">
      <w:pPr>
        <w:tabs>
          <w:tab w:val="left" w:pos="567"/>
        </w:tabs>
        <w:spacing w:after="0" w:line="240" w:lineRule="auto"/>
        <w:ind w:left="360" w:right="-2" w:hanging="18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Stiprus kraujavimas apibūdinamas pagal tarptautinės trombozės ir hemostazės asociacijos (angl. </w:t>
      </w:r>
      <w:r w:rsidRPr="00D21DFA">
        <w:rPr>
          <w:rFonts w:ascii="Times New Roman" w:eastAsia="Times New Roman" w:hAnsi="Times New Roman" w:cs="Times New Roman"/>
          <w:i/>
          <w:snapToGrid w:val="0"/>
          <w:kern w:val="0"/>
          <w:sz w:val="22"/>
          <w:szCs w:val="22"/>
          <w14:ligatures w14:val="none"/>
        </w:rPr>
        <w:t xml:space="preserve">International </w:t>
      </w:r>
      <w:proofErr w:type="spellStart"/>
      <w:r w:rsidRPr="00D21DFA">
        <w:rPr>
          <w:rFonts w:ascii="Times New Roman" w:eastAsia="Times New Roman" w:hAnsi="Times New Roman" w:cs="Times New Roman"/>
          <w:i/>
          <w:snapToGrid w:val="0"/>
          <w:kern w:val="0"/>
          <w:sz w:val="22"/>
          <w:szCs w:val="22"/>
          <w14:ligatures w14:val="none"/>
        </w:rPr>
        <w:t>Society</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on</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Thrombosis</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and</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Haemostasis</w:t>
      </w:r>
      <w:proofErr w:type="spellEnd"/>
      <w:r w:rsidRPr="00D21DFA">
        <w:rPr>
          <w:rFonts w:ascii="Times New Roman" w:eastAsia="Times New Roman" w:hAnsi="Times New Roman" w:cs="Times New Roman"/>
          <w:i/>
          <w:snapToGrid w:val="0"/>
          <w:kern w:val="0"/>
          <w:sz w:val="22"/>
          <w:szCs w:val="22"/>
          <w14:ligatures w14:val="none"/>
        </w:rPr>
        <w:t xml:space="preserve"> [ISTH]</w:t>
      </w:r>
      <w:r w:rsidRPr="00D21DFA">
        <w:rPr>
          <w:rFonts w:ascii="Times New Roman" w:eastAsia="Times New Roman" w:hAnsi="Times New Roman" w:cs="Times New Roman"/>
          <w:snapToGrid w:val="0"/>
          <w:kern w:val="0"/>
          <w:sz w:val="22"/>
          <w:szCs w:val="22"/>
          <w14:ligatures w14:val="none"/>
        </w:rPr>
        <w:t>) kriterijus.</w:t>
      </w:r>
    </w:p>
    <w:p w14:paraId="4F31D65B" w14:textId="77777777" w:rsidR="00C95D96" w:rsidRPr="00D21DFA" w:rsidRDefault="00C95D96" w:rsidP="00C95D96">
      <w:pPr>
        <w:spacing w:after="8" w:line="247" w:lineRule="auto"/>
        <w:ind w:left="180" w:right="-2"/>
        <w:rPr>
          <w:rFonts w:ascii="Times New Roman" w:eastAsia="Times New Roman" w:hAnsi="Times New Roman" w:cs="Times New Roman"/>
          <w:color w:val="000000"/>
          <w:kern w:val="0"/>
          <w:sz w:val="22"/>
          <w:szCs w:val="22"/>
          <w14:ligatures w14:val="none"/>
        </w:rPr>
      </w:pPr>
      <w:r w:rsidRPr="00D21DFA">
        <w:rPr>
          <w:rFonts w:ascii="Times New Roman" w:eastAsia="Times New Roman" w:hAnsi="Times New Roman" w:cs="Times New Roman"/>
          <w:color w:val="000000"/>
          <w:kern w:val="0"/>
          <w:sz w:val="22"/>
          <w:szCs w:val="22"/>
          <w14:ligatures w14:val="none"/>
        </w:rPr>
        <w:t>† Klinikiniu požiūriu reikšmingas nestiprus kraujavimas.</w:t>
      </w:r>
    </w:p>
    <w:p w14:paraId="45F93BB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18"/>
          <w:szCs w:val="18"/>
          <w14:ligatures w14:val="none"/>
        </w:rPr>
      </w:pPr>
    </w:p>
    <w:p w14:paraId="0574F9C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Bendrasis gydymo nutraukimo dėl nepageidaujamų reakcijų dažnis ARISTOTLE tyrimo metu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1,8 %, o vartojant varfarino – 2,6 %. </w:t>
      </w:r>
    </w:p>
    <w:p w14:paraId="73A0264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1E88452" w14:textId="66A399C1"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Veiksmingumo rezultatai iš anksto apibūdintuose pogrupiuose, įskaitant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balą, amžių, kūno svorį, lytį, inkstų funkcijos būklę, anksčiau patirtą insultą arba PSIP ir cukrinį diabetą, atitiko svarbiausius veiksmingumo rezultatus bendrojoje populiacijoje, dalyvavusioje klinikiniame tyrime.</w:t>
      </w:r>
    </w:p>
    <w:p w14:paraId="30292F9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71423C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0,86 % per metus vartojant varfarino. </w:t>
      </w:r>
    </w:p>
    <w:p w14:paraId="1AAD544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87BAA2" w14:textId="2A358D3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Stipraus kraujavimo rezultatai iš anksto apibūdintuose pogrupiuose, įskaitant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balą, amžių, svorį, lytį, inkstų funkcijos būklę, anksčiau patirtą insultą arba PSIP ir cukrinį diabetą, atitiko rezultatus bendrojoje populiacijoje, dalyvavusioje klinikiniame tyrime. </w:t>
      </w:r>
    </w:p>
    <w:p w14:paraId="200F963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02B31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AVERROES tyrimas </w:t>
      </w:r>
    </w:p>
    <w:p w14:paraId="2F9E5865" w14:textId="5D8B076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AVERROES tyrimo metu tyrėjams nusprendus, kad iš viso 5</w:t>
      </w:r>
      <w:r w:rsidR="002426C3" w:rsidRPr="00D21DFA">
        <w:rPr>
          <w:rFonts w:ascii="Times New Roman" w:eastAsia="Times New Roman" w:hAnsi="Times New Roman" w:cs="Times New Roman"/>
          <w:snapToGrid w:val="0"/>
          <w:kern w:val="0"/>
          <w:sz w:val="22"/>
          <w:szCs w:val="20"/>
          <w14:ligatures w14:val="none"/>
        </w:rPr>
        <w:t> </w:t>
      </w:r>
      <w:r w:rsidRPr="00D21DFA">
        <w:rPr>
          <w:rFonts w:ascii="Times New Roman" w:eastAsia="Times New Roman" w:hAnsi="Times New Roman" w:cs="Times New Roman"/>
          <w:snapToGrid w:val="0"/>
          <w:kern w:val="0"/>
          <w:sz w:val="22"/>
          <w:szCs w:val="20"/>
          <w14:ligatures w14:val="none"/>
        </w:rPr>
        <w:t>598</w:t>
      </w:r>
      <w:r w:rsidR="002426C3" w:rsidRPr="00D21DFA">
        <w:rPr>
          <w:rFonts w:ascii="Times New Roman" w:eastAsia="Times New Roman" w:hAnsi="Times New Roman" w:cs="Times New Roman"/>
          <w:snapToGrid w:val="0"/>
          <w:kern w:val="0"/>
          <w:sz w:val="22"/>
          <w:szCs w:val="20"/>
          <w14:ligatures w14:val="none"/>
        </w:rPr>
        <w:t xml:space="preserve"> suaugę</w:t>
      </w:r>
      <w:r w:rsidRPr="00D21DFA">
        <w:rPr>
          <w:rFonts w:ascii="Times New Roman" w:eastAsia="Times New Roman" w:hAnsi="Times New Roman" w:cs="Times New Roman"/>
          <w:snapToGrid w:val="0"/>
          <w:kern w:val="0"/>
          <w:sz w:val="22"/>
          <w:szCs w:val="20"/>
          <w14:ligatures w14:val="none"/>
        </w:rPr>
        <w:t xml:space="preserve"> pacientai netinkami gydyti VKA, jiems atsitiktinės atrankos būdu buvo paskirtas gydymas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 du kartus per parą (arba 2,5 mg doze du kartus per parą atrinktiems pacientams [6,4 %], žr. 4.2 skyrių) arba ASR. Buvo skiriama vartoti vienkartinė ASR paros dozė tyrėjo nuožiūra: 81 mg (64 %), 162 mg (26,9 %), 243 mg (2,1 %) arba 324 mg (6,6 %). Pacientai vartojo tiriamojo vaistinio preparato vidutiniškai 14 mėnesių. Vidutinis amžius buvo 69,9 metai, vidutinis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balas – 2,0, 13,6 % pacientų anksčiau buvo patyrę insultą arba PSIP. </w:t>
      </w:r>
    </w:p>
    <w:p w14:paraId="68B1F40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DEAB7F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Dažnos priežastys, dėl kurių netiko gydymas VKA, AVERROES tyrimo metu buvo negalėjimas arba maža galimybė nustatyti TNS reikiamais laiko intervalais (42,6 %), pacientas atsisakė gydymo VKA (37,4 %), CHADS</w:t>
      </w:r>
      <w:r w:rsidRPr="00D21DFA">
        <w:rPr>
          <w:rFonts w:ascii="Times New Roman" w:eastAsia="Times New Roman" w:hAnsi="Times New Roman" w:cs="Times New Roman"/>
          <w:snapToGrid w:val="0"/>
          <w:kern w:val="0"/>
          <w:sz w:val="22"/>
          <w:szCs w:val="20"/>
          <w:vertAlign w:val="subscript"/>
          <w14:ligatures w14:val="none"/>
        </w:rPr>
        <w:t>2</w:t>
      </w:r>
      <w:r w:rsidRPr="00D21DFA">
        <w:rPr>
          <w:rFonts w:ascii="Times New Roman" w:eastAsia="Times New Roman" w:hAnsi="Times New Roman" w:cs="Times New Roman"/>
          <w:snapToGrid w:val="0"/>
          <w:kern w:val="0"/>
          <w:sz w:val="22"/>
          <w:szCs w:val="20"/>
          <w14:ligatures w14:val="none"/>
        </w:rPr>
        <w:t xml:space="preserve"> balas = 1 ir gydytojas nerekomendavo gydymo VKA (21,3 %), pacientas gali nedrausmingai laikytis VKA vartojimo nurodymų (15,0 %) ir bus sunku arba tikėtina, kad bus sunku susisiekti su pacientu, prireikus neatidėliojant keisti dozę (11,7 %). </w:t>
      </w:r>
    </w:p>
    <w:p w14:paraId="00A10E6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B310D6" w14:textId="77777777" w:rsidR="00C95D96" w:rsidRPr="00D21DFA" w:rsidRDefault="00C95D96" w:rsidP="00C95D96">
      <w:pPr>
        <w:tabs>
          <w:tab w:val="left" w:pos="567"/>
          <w:tab w:val="left" w:pos="8505"/>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AVERROES tyrimas buvo nutrauktas anksčiau nei numatyta, remiantis nepriklausomo duomenų stebėjimo komiteto rekomendacija, gavus aiškius insulto ir sisteminės embolijos sumažėjimo įrodymus ir priimtinus saugumo duomenis. </w:t>
      </w:r>
    </w:p>
    <w:p w14:paraId="1999C62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B536E0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Bendrasis gydymo nutraukimo dėl nepageidaujamų reakcijų dažnis AVERROES tyrimo metu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1,5 %, o vartojant ASR – 1,3 %. </w:t>
      </w:r>
    </w:p>
    <w:p w14:paraId="0AB0F4A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A6C35F" w14:textId="39A7AC5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 tyrimo duomenimis,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buvo pasiektas statistiškai reikšmingas svarbiausiosios vertinamosios baigties apsaugos nuo insulto (hemoraginio, išeminio ar neapibūdinto) ar sisteminės embolijos pranašumas (žr. </w:t>
      </w:r>
      <w:r w:rsidR="002426C3" w:rsidRPr="00D21DFA">
        <w:rPr>
          <w:rFonts w:ascii="Times New Roman" w:eastAsia="Times New Roman" w:hAnsi="Times New Roman" w:cs="Times New Roman"/>
          <w:snapToGrid w:val="0"/>
          <w:kern w:val="0"/>
          <w:sz w:val="22"/>
          <w:szCs w:val="20"/>
          <w14:ligatures w14:val="none"/>
        </w:rPr>
        <w:t>7</w:t>
      </w:r>
      <w:r w:rsidRPr="00D21DFA">
        <w:rPr>
          <w:rFonts w:ascii="Times New Roman" w:eastAsia="Times New Roman" w:hAnsi="Times New Roman" w:cs="Times New Roman"/>
          <w:snapToGrid w:val="0"/>
          <w:kern w:val="0"/>
          <w:sz w:val="22"/>
          <w:szCs w:val="20"/>
          <w14:ligatures w14:val="none"/>
        </w:rPr>
        <w:t xml:space="preserve"> lentelę), palyginti su ASR. </w:t>
      </w:r>
    </w:p>
    <w:p w14:paraId="35A1F46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1299B36" w14:textId="708A9E94" w:rsidR="00C95D96" w:rsidRPr="00D21DFA" w:rsidRDefault="002426C3" w:rsidP="00C95D96">
      <w:pPr>
        <w:tabs>
          <w:tab w:val="left" w:pos="709"/>
          <w:tab w:val="left" w:pos="9214"/>
        </w:tabs>
        <w:spacing w:after="120" w:line="240" w:lineRule="auto"/>
        <w:ind w:left="993" w:right="-2" w:hanging="851"/>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7</w:t>
      </w:r>
      <w:r w:rsidR="00C95D96" w:rsidRPr="00D21DFA">
        <w:rPr>
          <w:rFonts w:ascii="Times New Roman" w:eastAsia="Times New Roman" w:hAnsi="Times New Roman" w:cs="Times New Roman"/>
          <w:b/>
          <w:bCs/>
          <w:snapToGrid w:val="0"/>
          <w:kern w:val="0"/>
          <w:sz w:val="22"/>
          <w:szCs w:val="20"/>
          <w14:ligatures w14:val="none"/>
        </w:rPr>
        <w:t xml:space="preserve"> lentelė. Svarbiausios veiksmingumo vertinamosios baigtys pacientams, kuriems yra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560"/>
        <w:gridCol w:w="1842"/>
        <w:gridCol w:w="1749"/>
        <w:gridCol w:w="1228"/>
      </w:tblGrid>
      <w:tr w:rsidR="00C95D96" w:rsidRPr="00D21DFA" w14:paraId="1F8CFE68" w14:textId="77777777" w:rsidTr="00446D67">
        <w:trPr>
          <w:trHeight w:val="768"/>
        </w:trPr>
        <w:tc>
          <w:tcPr>
            <w:tcW w:w="2724" w:type="dxa"/>
            <w:tcBorders>
              <w:top w:val="single" w:sz="4" w:space="0" w:color="000000"/>
              <w:left w:val="single" w:sz="4" w:space="0" w:color="000000"/>
              <w:bottom w:val="single" w:sz="4" w:space="0" w:color="000000"/>
              <w:right w:val="single" w:sz="4" w:space="0" w:color="000000"/>
            </w:tcBorders>
          </w:tcPr>
          <w:p w14:paraId="54343C42" w14:textId="77777777"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0"/>
                <w14:ligatures w14:val="none"/>
              </w:rPr>
              <w:t xml:space="preserve"> </w:t>
            </w:r>
            <w:r w:rsidRPr="00D21DFA">
              <w:rPr>
                <w:rFonts w:ascii="Times New Roman" w:eastAsia="Times New Roman" w:hAnsi="Times New Roman" w:cs="Times New Roman"/>
                <w:b/>
                <w:kern w:val="0"/>
                <w:sz w:val="22"/>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2F8A16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p>
          <w:p w14:paraId="47555FDC" w14:textId="77777777" w:rsidR="00C95D96" w:rsidRPr="00D21DFA" w:rsidRDefault="00C95D96" w:rsidP="00C95D96">
            <w:pPr>
              <w:tabs>
                <w:tab w:val="left" w:pos="567"/>
              </w:tabs>
              <w:spacing w:after="0" w:line="240" w:lineRule="auto"/>
              <w:ind w:left="138"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N = 2 807</w:t>
            </w:r>
          </w:p>
          <w:p w14:paraId="314B5A9B" w14:textId="77777777" w:rsidR="00C95D96" w:rsidRPr="00D21DFA" w:rsidRDefault="00C95D96" w:rsidP="00C95D96">
            <w:pPr>
              <w:tabs>
                <w:tab w:val="left" w:pos="567"/>
              </w:tabs>
              <w:spacing w:after="0" w:line="240" w:lineRule="auto"/>
              <w:ind w:left="13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32DFC46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ASR  </w:t>
            </w:r>
          </w:p>
          <w:p w14:paraId="4D7F5473" w14:textId="77777777" w:rsidR="00C95D96" w:rsidRPr="00D21DFA" w:rsidRDefault="00C95D96" w:rsidP="00C95D96">
            <w:pPr>
              <w:tabs>
                <w:tab w:val="left" w:pos="567"/>
              </w:tabs>
              <w:spacing w:after="0" w:line="240" w:lineRule="auto"/>
              <w:ind w:left="233"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2 791 </w:t>
            </w:r>
          </w:p>
          <w:p w14:paraId="28D7AB3A" w14:textId="77777777" w:rsidR="00C95D96" w:rsidRPr="00D21DFA" w:rsidRDefault="00C95D96" w:rsidP="00C95D96">
            <w:pPr>
              <w:tabs>
                <w:tab w:val="left" w:pos="567"/>
              </w:tabs>
              <w:spacing w:after="0" w:line="240" w:lineRule="auto"/>
              <w:ind w:left="23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749" w:type="dxa"/>
            <w:tcBorders>
              <w:top w:val="single" w:sz="4" w:space="0" w:color="000000"/>
              <w:left w:val="single" w:sz="4" w:space="0" w:color="000000"/>
              <w:bottom w:val="single" w:sz="4" w:space="0" w:color="000000"/>
              <w:right w:val="single" w:sz="4" w:space="0" w:color="000000"/>
            </w:tcBorders>
          </w:tcPr>
          <w:p w14:paraId="74D095A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Santykinė rizika</w:t>
            </w:r>
          </w:p>
          <w:p w14:paraId="010B043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(95 % PI) </w:t>
            </w:r>
          </w:p>
        </w:tc>
        <w:tc>
          <w:tcPr>
            <w:tcW w:w="1228" w:type="dxa"/>
            <w:tcBorders>
              <w:top w:val="single" w:sz="4" w:space="0" w:color="000000"/>
              <w:left w:val="single" w:sz="4" w:space="0" w:color="000000"/>
              <w:bottom w:val="single" w:sz="4" w:space="0" w:color="000000"/>
              <w:right w:val="single" w:sz="4" w:space="0" w:color="000000"/>
            </w:tcBorders>
          </w:tcPr>
          <w:p w14:paraId="1EAE4B57" w14:textId="77777777" w:rsidR="00C95D96" w:rsidRPr="00D21DFA" w:rsidRDefault="00C95D96" w:rsidP="00C95D96">
            <w:pPr>
              <w:tabs>
                <w:tab w:val="left" w:pos="567"/>
              </w:tabs>
              <w:spacing w:after="0" w:line="240" w:lineRule="auto"/>
              <w:ind w:left="44"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p-reikšmė </w:t>
            </w:r>
          </w:p>
        </w:tc>
      </w:tr>
      <w:tr w:rsidR="00C95D96" w:rsidRPr="00D21DFA" w14:paraId="12CC4154"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7F08AACA" w14:textId="77777777"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Insultas ar sisteminė embolija*</w:t>
            </w:r>
          </w:p>
        </w:tc>
        <w:tc>
          <w:tcPr>
            <w:tcW w:w="1560" w:type="dxa"/>
            <w:tcBorders>
              <w:top w:val="single" w:sz="4" w:space="0" w:color="000000"/>
              <w:left w:val="single" w:sz="4" w:space="0" w:color="000000"/>
              <w:bottom w:val="single" w:sz="4" w:space="0" w:color="000000"/>
              <w:right w:val="single" w:sz="4" w:space="0" w:color="000000"/>
            </w:tcBorders>
          </w:tcPr>
          <w:p w14:paraId="0A8D092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51 (1,62) </w:t>
            </w:r>
          </w:p>
        </w:tc>
        <w:tc>
          <w:tcPr>
            <w:tcW w:w="1842" w:type="dxa"/>
            <w:tcBorders>
              <w:top w:val="single" w:sz="4" w:space="0" w:color="000000"/>
              <w:left w:val="single" w:sz="4" w:space="0" w:color="000000"/>
              <w:bottom w:val="single" w:sz="4" w:space="0" w:color="000000"/>
              <w:right w:val="single" w:sz="4" w:space="0" w:color="000000"/>
            </w:tcBorders>
          </w:tcPr>
          <w:p w14:paraId="5FA3C48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113 (3,63) </w:t>
            </w:r>
          </w:p>
        </w:tc>
        <w:tc>
          <w:tcPr>
            <w:tcW w:w="1749" w:type="dxa"/>
            <w:tcBorders>
              <w:top w:val="single" w:sz="4" w:space="0" w:color="000000"/>
              <w:left w:val="single" w:sz="4" w:space="0" w:color="000000"/>
              <w:bottom w:val="single" w:sz="4" w:space="0" w:color="000000"/>
              <w:right w:val="single" w:sz="4" w:space="0" w:color="000000"/>
            </w:tcBorders>
          </w:tcPr>
          <w:p w14:paraId="28B82A5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0,45 (0,32, 0,62) </w:t>
            </w:r>
          </w:p>
        </w:tc>
        <w:tc>
          <w:tcPr>
            <w:tcW w:w="1228" w:type="dxa"/>
            <w:tcBorders>
              <w:top w:val="single" w:sz="4" w:space="0" w:color="000000"/>
              <w:left w:val="single" w:sz="4" w:space="0" w:color="000000"/>
              <w:bottom w:val="single" w:sz="4" w:space="0" w:color="000000"/>
              <w:right w:val="single" w:sz="4" w:space="0" w:color="000000"/>
            </w:tcBorders>
          </w:tcPr>
          <w:p w14:paraId="3C3D32A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&lt; 0,0001</w:t>
            </w:r>
          </w:p>
        </w:tc>
      </w:tr>
      <w:tr w:rsidR="00C95D96" w:rsidRPr="00D21DFA" w14:paraId="3F495039"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40F2EA23" w14:textId="77777777" w:rsidR="00C95D96" w:rsidRPr="00D21DFA" w:rsidRDefault="00C95D96" w:rsidP="00C95D96">
            <w:pPr>
              <w:tabs>
                <w:tab w:val="left" w:pos="567"/>
              </w:tabs>
              <w:spacing w:after="0" w:line="240" w:lineRule="auto"/>
              <w:ind w:left="272" w:right="-2" w:hanging="20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Insultas </w:t>
            </w:r>
          </w:p>
        </w:tc>
        <w:tc>
          <w:tcPr>
            <w:tcW w:w="1560" w:type="dxa"/>
            <w:tcBorders>
              <w:top w:val="single" w:sz="4" w:space="0" w:color="000000"/>
              <w:left w:val="single" w:sz="4" w:space="0" w:color="000000"/>
              <w:bottom w:val="single" w:sz="4" w:space="0" w:color="000000"/>
              <w:right w:val="single" w:sz="4" w:space="0" w:color="000000"/>
            </w:tcBorders>
          </w:tcPr>
          <w:p w14:paraId="420D2A84" w14:textId="77777777" w:rsidR="00C95D96" w:rsidRPr="00D21DFA" w:rsidRDefault="00C95D96" w:rsidP="00C95D96">
            <w:pPr>
              <w:tabs>
                <w:tab w:val="left" w:pos="567"/>
              </w:tabs>
              <w:spacing w:after="0" w:line="240" w:lineRule="auto"/>
              <w:ind w:left="2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E24CFB7" w14:textId="77777777" w:rsidR="00C95D96" w:rsidRPr="00D21DFA" w:rsidRDefault="00C95D96" w:rsidP="00C95D96">
            <w:pPr>
              <w:tabs>
                <w:tab w:val="left" w:pos="567"/>
              </w:tabs>
              <w:spacing w:after="0" w:line="240" w:lineRule="auto"/>
              <w:ind w:left="29"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35415714" w14:textId="77777777" w:rsidR="00C95D96" w:rsidRPr="00D21DFA" w:rsidRDefault="00C95D96" w:rsidP="00C95D96">
            <w:pPr>
              <w:tabs>
                <w:tab w:val="left" w:pos="567"/>
              </w:tabs>
              <w:spacing w:after="0" w:line="240" w:lineRule="auto"/>
              <w:ind w:left="3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228" w:type="dxa"/>
            <w:tcBorders>
              <w:top w:val="single" w:sz="4" w:space="0" w:color="000000"/>
              <w:left w:val="single" w:sz="4" w:space="0" w:color="000000"/>
              <w:bottom w:val="single" w:sz="4" w:space="0" w:color="000000"/>
              <w:right w:val="single" w:sz="4" w:space="0" w:color="000000"/>
            </w:tcBorders>
          </w:tcPr>
          <w:p w14:paraId="26B66B91" w14:textId="77777777" w:rsidR="00C95D96" w:rsidRPr="00D21DFA" w:rsidRDefault="00C95D96" w:rsidP="00C95D96">
            <w:pPr>
              <w:tabs>
                <w:tab w:val="left" w:pos="567"/>
              </w:tabs>
              <w:spacing w:after="0" w:line="240" w:lineRule="auto"/>
              <w:ind w:left="2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4ED9A7CB"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7A977D89" w14:textId="77777777" w:rsidR="00C95D96" w:rsidRPr="00D21DFA" w:rsidRDefault="00C95D96" w:rsidP="00C95D96">
            <w:pPr>
              <w:tabs>
                <w:tab w:val="left" w:pos="567"/>
              </w:tabs>
              <w:spacing w:after="0" w:line="240" w:lineRule="auto"/>
              <w:ind w:right="-2"/>
              <w:jc w:val="right"/>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Išeminis ar neapibūdintas</w:t>
            </w:r>
          </w:p>
        </w:tc>
        <w:tc>
          <w:tcPr>
            <w:tcW w:w="1560" w:type="dxa"/>
            <w:tcBorders>
              <w:top w:val="single" w:sz="4" w:space="0" w:color="000000"/>
              <w:left w:val="single" w:sz="4" w:space="0" w:color="000000"/>
              <w:bottom w:val="single" w:sz="4" w:space="0" w:color="000000"/>
              <w:right w:val="single" w:sz="4" w:space="0" w:color="000000"/>
            </w:tcBorders>
          </w:tcPr>
          <w:p w14:paraId="20B7E10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43 (1,37) </w:t>
            </w:r>
          </w:p>
        </w:tc>
        <w:tc>
          <w:tcPr>
            <w:tcW w:w="1842" w:type="dxa"/>
            <w:tcBorders>
              <w:top w:val="single" w:sz="4" w:space="0" w:color="000000"/>
              <w:left w:val="single" w:sz="4" w:space="0" w:color="000000"/>
              <w:bottom w:val="single" w:sz="4" w:space="0" w:color="000000"/>
              <w:right w:val="single" w:sz="4" w:space="0" w:color="000000"/>
            </w:tcBorders>
          </w:tcPr>
          <w:p w14:paraId="49400DD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97 (3,11) </w:t>
            </w:r>
          </w:p>
        </w:tc>
        <w:tc>
          <w:tcPr>
            <w:tcW w:w="1749" w:type="dxa"/>
            <w:tcBorders>
              <w:top w:val="single" w:sz="4" w:space="0" w:color="000000"/>
              <w:left w:val="single" w:sz="4" w:space="0" w:color="000000"/>
              <w:bottom w:val="single" w:sz="4" w:space="0" w:color="000000"/>
              <w:right w:val="single" w:sz="4" w:space="0" w:color="000000"/>
            </w:tcBorders>
          </w:tcPr>
          <w:p w14:paraId="395F3A6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0,44 (0,31, 0,63) </w:t>
            </w:r>
          </w:p>
        </w:tc>
        <w:tc>
          <w:tcPr>
            <w:tcW w:w="1228" w:type="dxa"/>
            <w:tcBorders>
              <w:top w:val="single" w:sz="4" w:space="0" w:color="000000"/>
              <w:left w:val="single" w:sz="4" w:space="0" w:color="000000"/>
              <w:bottom w:val="single" w:sz="4" w:space="0" w:color="000000"/>
              <w:right w:val="single" w:sz="4" w:space="0" w:color="000000"/>
            </w:tcBorders>
          </w:tcPr>
          <w:p w14:paraId="1550910F" w14:textId="77777777" w:rsidR="00C95D96" w:rsidRPr="00D21DFA"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EA806AF" w14:textId="77777777" w:rsidTr="00446D67">
        <w:trPr>
          <w:trHeight w:val="264"/>
        </w:trPr>
        <w:tc>
          <w:tcPr>
            <w:tcW w:w="2724" w:type="dxa"/>
            <w:tcBorders>
              <w:top w:val="single" w:sz="4" w:space="0" w:color="000000"/>
              <w:left w:val="single" w:sz="4" w:space="0" w:color="000000"/>
              <w:bottom w:val="single" w:sz="4" w:space="0" w:color="000000"/>
              <w:right w:val="single" w:sz="4" w:space="0" w:color="000000"/>
            </w:tcBorders>
          </w:tcPr>
          <w:p w14:paraId="0F06EB32" w14:textId="77777777" w:rsidR="00C95D96" w:rsidRPr="00D21DFA" w:rsidRDefault="00C95D96" w:rsidP="00C95D96">
            <w:pPr>
              <w:tabs>
                <w:tab w:val="left" w:pos="567"/>
              </w:tabs>
              <w:spacing w:after="0" w:line="240" w:lineRule="auto"/>
              <w:ind w:left="21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Hemoraginis</w:t>
            </w:r>
          </w:p>
        </w:tc>
        <w:tc>
          <w:tcPr>
            <w:tcW w:w="1560" w:type="dxa"/>
            <w:tcBorders>
              <w:top w:val="single" w:sz="4" w:space="0" w:color="000000"/>
              <w:left w:val="single" w:sz="4" w:space="0" w:color="000000"/>
              <w:bottom w:val="single" w:sz="4" w:space="0" w:color="000000"/>
              <w:right w:val="single" w:sz="4" w:space="0" w:color="000000"/>
            </w:tcBorders>
          </w:tcPr>
          <w:p w14:paraId="1779857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(0,19) </w:t>
            </w:r>
          </w:p>
        </w:tc>
        <w:tc>
          <w:tcPr>
            <w:tcW w:w="1842" w:type="dxa"/>
            <w:tcBorders>
              <w:top w:val="single" w:sz="4" w:space="0" w:color="000000"/>
              <w:left w:val="single" w:sz="4" w:space="0" w:color="000000"/>
              <w:bottom w:val="single" w:sz="4" w:space="0" w:color="000000"/>
              <w:right w:val="single" w:sz="4" w:space="0" w:color="000000"/>
            </w:tcBorders>
          </w:tcPr>
          <w:p w14:paraId="2C02688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9 (0,28) </w:t>
            </w:r>
          </w:p>
        </w:tc>
        <w:tc>
          <w:tcPr>
            <w:tcW w:w="1749" w:type="dxa"/>
            <w:tcBorders>
              <w:top w:val="single" w:sz="4" w:space="0" w:color="000000"/>
              <w:left w:val="single" w:sz="4" w:space="0" w:color="000000"/>
              <w:bottom w:val="single" w:sz="4" w:space="0" w:color="000000"/>
              <w:right w:val="single" w:sz="4" w:space="0" w:color="000000"/>
            </w:tcBorders>
          </w:tcPr>
          <w:p w14:paraId="73708FE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0,67 (0,24, 1,88) </w:t>
            </w:r>
          </w:p>
        </w:tc>
        <w:tc>
          <w:tcPr>
            <w:tcW w:w="1228" w:type="dxa"/>
            <w:tcBorders>
              <w:top w:val="single" w:sz="4" w:space="0" w:color="000000"/>
              <w:left w:val="single" w:sz="4" w:space="0" w:color="000000"/>
              <w:bottom w:val="single" w:sz="4" w:space="0" w:color="000000"/>
              <w:right w:val="single" w:sz="4" w:space="0" w:color="000000"/>
            </w:tcBorders>
          </w:tcPr>
          <w:p w14:paraId="404E8097" w14:textId="77777777" w:rsidR="00C95D96" w:rsidRPr="00D21DFA" w:rsidRDefault="00C95D96" w:rsidP="00C95D96">
            <w:pPr>
              <w:tabs>
                <w:tab w:val="left" w:pos="567"/>
              </w:tabs>
              <w:spacing w:after="0" w:line="240" w:lineRule="auto"/>
              <w:ind w:left="249"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95D3C58"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2F153BA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Sisteminė embolija </w:t>
            </w:r>
          </w:p>
        </w:tc>
        <w:tc>
          <w:tcPr>
            <w:tcW w:w="1560" w:type="dxa"/>
            <w:tcBorders>
              <w:top w:val="single" w:sz="4" w:space="0" w:color="000000"/>
              <w:left w:val="single" w:sz="4" w:space="0" w:color="000000"/>
              <w:bottom w:val="single" w:sz="4" w:space="0" w:color="000000"/>
              <w:right w:val="single" w:sz="4" w:space="0" w:color="000000"/>
            </w:tcBorders>
          </w:tcPr>
          <w:p w14:paraId="5C9DFB2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 (0,06) </w:t>
            </w:r>
          </w:p>
        </w:tc>
        <w:tc>
          <w:tcPr>
            <w:tcW w:w="1842" w:type="dxa"/>
            <w:tcBorders>
              <w:top w:val="single" w:sz="4" w:space="0" w:color="000000"/>
              <w:left w:val="single" w:sz="4" w:space="0" w:color="000000"/>
              <w:bottom w:val="single" w:sz="4" w:space="0" w:color="000000"/>
              <w:right w:val="single" w:sz="4" w:space="0" w:color="000000"/>
            </w:tcBorders>
          </w:tcPr>
          <w:p w14:paraId="33B8518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 (0,41) </w:t>
            </w:r>
          </w:p>
        </w:tc>
        <w:tc>
          <w:tcPr>
            <w:tcW w:w="1749" w:type="dxa"/>
            <w:tcBorders>
              <w:top w:val="single" w:sz="4" w:space="0" w:color="000000"/>
              <w:left w:val="single" w:sz="4" w:space="0" w:color="000000"/>
              <w:bottom w:val="single" w:sz="4" w:space="0" w:color="000000"/>
              <w:right w:val="single" w:sz="4" w:space="0" w:color="000000"/>
            </w:tcBorders>
          </w:tcPr>
          <w:p w14:paraId="411C330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0,15 (0,03, 0,68) </w:t>
            </w:r>
          </w:p>
        </w:tc>
        <w:tc>
          <w:tcPr>
            <w:tcW w:w="1228" w:type="dxa"/>
            <w:tcBorders>
              <w:top w:val="single" w:sz="4" w:space="0" w:color="000000"/>
              <w:left w:val="single" w:sz="4" w:space="0" w:color="000000"/>
              <w:bottom w:val="single" w:sz="4" w:space="0" w:color="000000"/>
              <w:right w:val="single" w:sz="4" w:space="0" w:color="000000"/>
            </w:tcBorders>
          </w:tcPr>
          <w:p w14:paraId="71DF94D2" w14:textId="77777777" w:rsidR="00C95D96" w:rsidRPr="00D21DFA"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EC7133A" w14:textId="77777777" w:rsidTr="00446D67">
        <w:trPr>
          <w:trHeight w:val="516"/>
        </w:trPr>
        <w:tc>
          <w:tcPr>
            <w:tcW w:w="2724" w:type="dxa"/>
            <w:tcBorders>
              <w:top w:val="single" w:sz="4" w:space="0" w:color="000000"/>
              <w:left w:val="single" w:sz="4" w:space="0" w:color="000000"/>
              <w:bottom w:val="single" w:sz="4" w:space="0" w:color="000000"/>
              <w:right w:val="single" w:sz="4" w:space="0" w:color="000000"/>
            </w:tcBorders>
          </w:tcPr>
          <w:p w14:paraId="78E0BFC7" w14:textId="77777777"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Insultas, sisteminė embolija, MI arba mirtis, kurios priežastis – kraujagyslių sutrikimai *</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12A1DE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132 (4,21) </w:t>
            </w:r>
          </w:p>
        </w:tc>
        <w:tc>
          <w:tcPr>
            <w:tcW w:w="1842" w:type="dxa"/>
            <w:tcBorders>
              <w:top w:val="single" w:sz="4" w:space="0" w:color="000000"/>
              <w:left w:val="single" w:sz="4" w:space="0" w:color="000000"/>
              <w:bottom w:val="single" w:sz="4" w:space="0" w:color="000000"/>
              <w:right w:val="single" w:sz="4" w:space="0" w:color="000000"/>
            </w:tcBorders>
          </w:tcPr>
          <w:p w14:paraId="27C9A38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197 (6,35) </w:t>
            </w:r>
          </w:p>
        </w:tc>
        <w:tc>
          <w:tcPr>
            <w:tcW w:w="1749" w:type="dxa"/>
            <w:tcBorders>
              <w:top w:val="single" w:sz="4" w:space="0" w:color="000000"/>
              <w:left w:val="single" w:sz="4" w:space="0" w:color="000000"/>
              <w:bottom w:val="single" w:sz="4" w:space="0" w:color="000000"/>
              <w:right w:val="single" w:sz="4" w:space="0" w:color="000000"/>
            </w:tcBorders>
          </w:tcPr>
          <w:p w14:paraId="7D94050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0,66 (0,53, 0,83) </w:t>
            </w:r>
          </w:p>
        </w:tc>
        <w:tc>
          <w:tcPr>
            <w:tcW w:w="1228" w:type="dxa"/>
            <w:tcBorders>
              <w:top w:val="single" w:sz="4" w:space="0" w:color="000000"/>
              <w:left w:val="single" w:sz="4" w:space="0" w:color="000000"/>
              <w:bottom w:val="single" w:sz="4" w:space="0" w:color="000000"/>
              <w:right w:val="single" w:sz="4" w:space="0" w:color="000000"/>
            </w:tcBorders>
          </w:tcPr>
          <w:p w14:paraId="3291CF3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0,003 </w:t>
            </w:r>
          </w:p>
        </w:tc>
      </w:tr>
      <w:tr w:rsidR="00C95D96" w:rsidRPr="00D21DFA" w14:paraId="6F95D7ED"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56394BEB" w14:textId="77777777" w:rsidR="00C95D96" w:rsidRPr="00D21DFA" w:rsidRDefault="00C95D96" w:rsidP="00C95D96">
            <w:pPr>
              <w:tabs>
                <w:tab w:val="left" w:pos="567"/>
              </w:tabs>
              <w:spacing w:after="0" w:line="240" w:lineRule="auto"/>
              <w:ind w:left="275"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Miokardo infarktas</w:t>
            </w:r>
          </w:p>
        </w:tc>
        <w:tc>
          <w:tcPr>
            <w:tcW w:w="1560" w:type="dxa"/>
            <w:tcBorders>
              <w:top w:val="single" w:sz="4" w:space="0" w:color="000000"/>
              <w:left w:val="single" w:sz="4" w:space="0" w:color="000000"/>
              <w:bottom w:val="single" w:sz="4" w:space="0" w:color="000000"/>
              <w:right w:val="single" w:sz="4" w:space="0" w:color="000000"/>
            </w:tcBorders>
          </w:tcPr>
          <w:p w14:paraId="6F226AE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24 (0,76) </w:t>
            </w:r>
          </w:p>
        </w:tc>
        <w:tc>
          <w:tcPr>
            <w:tcW w:w="1842" w:type="dxa"/>
            <w:tcBorders>
              <w:top w:val="single" w:sz="4" w:space="0" w:color="000000"/>
              <w:left w:val="single" w:sz="4" w:space="0" w:color="000000"/>
              <w:bottom w:val="single" w:sz="4" w:space="0" w:color="000000"/>
              <w:right w:val="single" w:sz="4" w:space="0" w:color="000000"/>
            </w:tcBorders>
          </w:tcPr>
          <w:p w14:paraId="166B4B4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28 (0,89) </w:t>
            </w:r>
          </w:p>
        </w:tc>
        <w:tc>
          <w:tcPr>
            <w:tcW w:w="1749" w:type="dxa"/>
            <w:tcBorders>
              <w:top w:val="single" w:sz="4" w:space="0" w:color="000000"/>
              <w:left w:val="single" w:sz="4" w:space="0" w:color="000000"/>
              <w:bottom w:val="single" w:sz="4" w:space="0" w:color="000000"/>
              <w:right w:val="single" w:sz="4" w:space="0" w:color="000000"/>
            </w:tcBorders>
          </w:tcPr>
          <w:p w14:paraId="2D32A68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0,86 (0,50, 1,48) </w:t>
            </w:r>
          </w:p>
        </w:tc>
        <w:tc>
          <w:tcPr>
            <w:tcW w:w="1228" w:type="dxa"/>
            <w:tcBorders>
              <w:top w:val="single" w:sz="4" w:space="0" w:color="000000"/>
              <w:left w:val="single" w:sz="4" w:space="0" w:color="000000"/>
              <w:bottom w:val="single" w:sz="4" w:space="0" w:color="000000"/>
              <w:right w:val="single" w:sz="4" w:space="0" w:color="000000"/>
            </w:tcBorders>
          </w:tcPr>
          <w:p w14:paraId="0B2A4496" w14:textId="77777777" w:rsidR="00C95D96" w:rsidRPr="00D21DFA" w:rsidRDefault="00C95D96" w:rsidP="00C95D96">
            <w:pPr>
              <w:tabs>
                <w:tab w:val="left" w:pos="567"/>
              </w:tabs>
              <w:spacing w:after="0" w:line="240" w:lineRule="auto"/>
              <w:ind w:left="3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720B04C4"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62898A18" w14:textId="77777777" w:rsidR="00C95D96" w:rsidRPr="00D21DFA" w:rsidRDefault="00C95D96" w:rsidP="00C95D96">
            <w:pPr>
              <w:tabs>
                <w:tab w:val="left" w:pos="567"/>
              </w:tabs>
              <w:spacing w:after="0" w:line="240" w:lineRule="auto"/>
              <w:ind w:left="275"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Mirtis dėl kraujagyslių sutrikimų</w:t>
            </w:r>
          </w:p>
        </w:tc>
        <w:tc>
          <w:tcPr>
            <w:tcW w:w="1560" w:type="dxa"/>
            <w:tcBorders>
              <w:top w:val="single" w:sz="4" w:space="0" w:color="000000"/>
              <w:left w:val="single" w:sz="4" w:space="0" w:color="000000"/>
              <w:bottom w:val="single" w:sz="4" w:space="0" w:color="000000"/>
              <w:right w:val="single" w:sz="4" w:space="0" w:color="000000"/>
            </w:tcBorders>
          </w:tcPr>
          <w:p w14:paraId="5183A33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84 (2,65) </w:t>
            </w:r>
          </w:p>
        </w:tc>
        <w:tc>
          <w:tcPr>
            <w:tcW w:w="1842" w:type="dxa"/>
            <w:tcBorders>
              <w:top w:val="single" w:sz="4" w:space="0" w:color="000000"/>
              <w:left w:val="single" w:sz="4" w:space="0" w:color="000000"/>
              <w:bottom w:val="single" w:sz="4" w:space="0" w:color="000000"/>
              <w:right w:val="single" w:sz="4" w:space="0" w:color="000000"/>
            </w:tcBorders>
          </w:tcPr>
          <w:p w14:paraId="421A6A4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96 (3,03) </w:t>
            </w:r>
          </w:p>
        </w:tc>
        <w:tc>
          <w:tcPr>
            <w:tcW w:w="1749" w:type="dxa"/>
            <w:tcBorders>
              <w:top w:val="single" w:sz="4" w:space="0" w:color="000000"/>
              <w:left w:val="single" w:sz="4" w:space="0" w:color="000000"/>
              <w:bottom w:val="single" w:sz="4" w:space="0" w:color="000000"/>
              <w:right w:val="single" w:sz="4" w:space="0" w:color="000000"/>
            </w:tcBorders>
          </w:tcPr>
          <w:p w14:paraId="0A6BD6B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0,87 (0,65, 1,17) </w:t>
            </w:r>
          </w:p>
        </w:tc>
        <w:tc>
          <w:tcPr>
            <w:tcW w:w="1228" w:type="dxa"/>
            <w:tcBorders>
              <w:top w:val="single" w:sz="4" w:space="0" w:color="000000"/>
              <w:left w:val="single" w:sz="4" w:space="0" w:color="000000"/>
              <w:bottom w:val="single" w:sz="4" w:space="0" w:color="000000"/>
              <w:right w:val="single" w:sz="4" w:space="0" w:color="000000"/>
            </w:tcBorders>
          </w:tcPr>
          <w:p w14:paraId="66194222" w14:textId="77777777" w:rsidR="00C95D96" w:rsidRPr="00D21DFA" w:rsidRDefault="00C95D96" w:rsidP="00C95D96">
            <w:pPr>
              <w:tabs>
                <w:tab w:val="left" w:pos="567"/>
              </w:tabs>
              <w:spacing w:after="0" w:line="240" w:lineRule="auto"/>
              <w:ind w:left="29"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3018CA6F" w14:textId="77777777" w:rsidTr="00446D67">
        <w:trPr>
          <w:trHeight w:val="263"/>
        </w:trPr>
        <w:tc>
          <w:tcPr>
            <w:tcW w:w="2724" w:type="dxa"/>
            <w:tcBorders>
              <w:top w:val="single" w:sz="4" w:space="0" w:color="000000"/>
              <w:left w:val="single" w:sz="4" w:space="0" w:color="000000"/>
              <w:bottom w:val="single" w:sz="4" w:space="0" w:color="000000"/>
              <w:right w:val="single" w:sz="4" w:space="0" w:color="000000"/>
            </w:tcBorders>
          </w:tcPr>
          <w:p w14:paraId="2BC2BB0E" w14:textId="76C1E5C2" w:rsidR="00C95D96" w:rsidRPr="00D21DFA" w:rsidRDefault="00C95D96" w:rsidP="00C95D96">
            <w:pPr>
              <w:tabs>
                <w:tab w:val="left" w:pos="567"/>
              </w:tabs>
              <w:spacing w:after="0" w:line="240" w:lineRule="auto"/>
              <w:ind w:left="2"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Mirtis dėl </w:t>
            </w:r>
            <w:r w:rsidR="001D1F43"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priežasčių </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0"/>
                <w:szCs w:val="22"/>
                <w14:ligatures w14:val="none"/>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88ED8A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111 (3,51) </w:t>
            </w:r>
          </w:p>
        </w:tc>
        <w:tc>
          <w:tcPr>
            <w:tcW w:w="1842" w:type="dxa"/>
            <w:tcBorders>
              <w:top w:val="single" w:sz="4" w:space="0" w:color="000000"/>
              <w:left w:val="single" w:sz="4" w:space="0" w:color="000000"/>
              <w:bottom w:val="single" w:sz="4" w:space="0" w:color="000000"/>
              <w:right w:val="single" w:sz="4" w:space="0" w:color="000000"/>
            </w:tcBorders>
          </w:tcPr>
          <w:p w14:paraId="4B19A2C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140 (4,42) </w:t>
            </w:r>
          </w:p>
        </w:tc>
        <w:tc>
          <w:tcPr>
            <w:tcW w:w="1749" w:type="dxa"/>
            <w:tcBorders>
              <w:top w:val="single" w:sz="4" w:space="0" w:color="000000"/>
              <w:left w:val="single" w:sz="4" w:space="0" w:color="000000"/>
              <w:bottom w:val="single" w:sz="4" w:space="0" w:color="000000"/>
              <w:right w:val="single" w:sz="4" w:space="0" w:color="000000"/>
            </w:tcBorders>
          </w:tcPr>
          <w:p w14:paraId="31879E8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0,79 (0,62, 1,02) </w:t>
            </w:r>
          </w:p>
        </w:tc>
        <w:tc>
          <w:tcPr>
            <w:tcW w:w="1228" w:type="dxa"/>
            <w:tcBorders>
              <w:top w:val="single" w:sz="4" w:space="0" w:color="000000"/>
              <w:left w:val="single" w:sz="4" w:space="0" w:color="000000"/>
              <w:bottom w:val="single" w:sz="4" w:space="0" w:color="000000"/>
              <w:right w:val="single" w:sz="4" w:space="0" w:color="000000"/>
            </w:tcBorders>
          </w:tcPr>
          <w:p w14:paraId="3AD8F41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0,068 </w:t>
            </w:r>
          </w:p>
        </w:tc>
      </w:tr>
    </w:tbl>
    <w:p w14:paraId="421AC104" w14:textId="77777777" w:rsidR="00C95D96" w:rsidRPr="00D21DFA" w:rsidRDefault="00C95D96" w:rsidP="00C95D96">
      <w:pPr>
        <w:tabs>
          <w:tab w:val="left" w:pos="567"/>
          <w:tab w:val="left" w:pos="9214"/>
        </w:tabs>
        <w:spacing w:after="0" w:line="240" w:lineRule="auto"/>
        <w:ind w:right="-2" w:firstLine="14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Įvertinant pagal nuosekliąją bandymų strategiją, skirtą I tipo paklaidoms kontroliuoti tyrimų metu. </w:t>
      </w:r>
    </w:p>
    <w:p w14:paraId="176B953D" w14:textId="77777777" w:rsidR="00C95D96" w:rsidRPr="00D21DFA" w:rsidRDefault="00C95D96" w:rsidP="00C95D96">
      <w:pPr>
        <w:tabs>
          <w:tab w:val="left" w:pos="567"/>
          <w:tab w:val="left" w:pos="9214"/>
        </w:tabs>
        <w:spacing w:after="0" w:line="240" w:lineRule="auto"/>
        <w:ind w:right="-2" w:firstLine="14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Antrinė vertinamoji baigtis.</w:t>
      </w:r>
    </w:p>
    <w:p w14:paraId="1549166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EC838C" w14:textId="10F276F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Statistiškai reikšmingų stipraus kraujavimo dažnio skirtumų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 ASR nebuvo (žr. </w:t>
      </w:r>
      <w:r w:rsidR="002426C3" w:rsidRPr="00D21DFA">
        <w:rPr>
          <w:rFonts w:ascii="Times New Roman" w:eastAsia="Times New Roman" w:hAnsi="Times New Roman" w:cs="Times New Roman"/>
          <w:snapToGrid w:val="0"/>
          <w:kern w:val="0"/>
          <w:sz w:val="22"/>
          <w:szCs w:val="20"/>
          <w14:ligatures w14:val="none"/>
        </w:rPr>
        <w:t>8</w:t>
      </w:r>
      <w:r w:rsidRPr="00D21DFA">
        <w:rPr>
          <w:rFonts w:ascii="Times New Roman" w:eastAsia="Times New Roman" w:hAnsi="Times New Roman" w:cs="Times New Roman"/>
          <w:snapToGrid w:val="0"/>
          <w:kern w:val="0"/>
          <w:sz w:val="22"/>
          <w:szCs w:val="20"/>
          <w14:ligatures w14:val="none"/>
        </w:rPr>
        <w:t xml:space="preserve"> lentelę). </w:t>
      </w:r>
    </w:p>
    <w:p w14:paraId="1F7F527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8ACF47" w14:textId="40CAF4D1" w:rsidR="00C95D96" w:rsidRPr="00D21DFA" w:rsidRDefault="002426C3" w:rsidP="00C95D96">
      <w:pPr>
        <w:tabs>
          <w:tab w:val="left" w:pos="567"/>
          <w:tab w:val="left" w:pos="9214"/>
        </w:tabs>
        <w:spacing w:after="120" w:line="240" w:lineRule="auto"/>
        <w:ind w:left="993" w:right="-2" w:hanging="851"/>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8</w:t>
      </w:r>
      <w:r w:rsidR="00C95D96" w:rsidRPr="00D21DFA">
        <w:rPr>
          <w:rFonts w:ascii="Times New Roman" w:eastAsia="Times New Roman" w:hAnsi="Times New Roman" w:cs="Times New Roman"/>
          <w:b/>
          <w:bCs/>
          <w:snapToGrid w:val="0"/>
          <w:kern w:val="0"/>
          <w:sz w:val="22"/>
          <w:szCs w:val="20"/>
          <w14:ligatures w14:val="none"/>
        </w:rPr>
        <w:t xml:space="preserve"> lentelė. Kraujavimo reiškiniai pacientams, kuriems yra prieširdžių virpėjimas, AVERROES tyrimo metu</w:t>
      </w:r>
    </w:p>
    <w:tbl>
      <w:tblPr>
        <w:tblW w:w="8818" w:type="dxa"/>
        <w:tblInd w:w="108" w:type="dxa"/>
        <w:tblCellMar>
          <w:top w:w="55" w:type="dxa"/>
          <w:right w:w="92" w:type="dxa"/>
        </w:tblCellMar>
        <w:tblLook w:val="04A0" w:firstRow="1" w:lastRow="0" w:firstColumn="1" w:lastColumn="0" w:noHBand="0" w:noVBand="1"/>
      </w:tblPr>
      <w:tblGrid>
        <w:gridCol w:w="1834"/>
        <w:gridCol w:w="1980"/>
        <w:gridCol w:w="1710"/>
        <w:gridCol w:w="2070"/>
        <w:gridCol w:w="1224"/>
      </w:tblGrid>
      <w:tr w:rsidR="00C95D96" w:rsidRPr="00D21DFA" w14:paraId="4EF94B94" w14:textId="77777777" w:rsidTr="00446D67">
        <w:trPr>
          <w:trHeight w:val="769"/>
        </w:trPr>
        <w:tc>
          <w:tcPr>
            <w:tcW w:w="1834" w:type="dxa"/>
            <w:tcBorders>
              <w:top w:val="single" w:sz="4" w:space="0" w:color="000000"/>
              <w:left w:val="single" w:sz="4" w:space="0" w:color="000000"/>
              <w:bottom w:val="single" w:sz="4" w:space="0" w:color="000000"/>
              <w:right w:val="single" w:sz="4" w:space="0" w:color="000000"/>
            </w:tcBorders>
          </w:tcPr>
          <w:p w14:paraId="523EDE43" w14:textId="77777777" w:rsidR="00C95D96" w:rsidRPr="00D21DFA" w:rsidRDefault="00C95D96" w:rsidP="00C95D96">
            <w:pPr>
              <w:tabs>
                <w:tab w:val="left" w:pos="567"/>
              </w:tabs>
              <w:spacing w:after="0" w:line="240" w:lineRule="auto"/>
              <w:ind w:left="3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0E199C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p>
          <w:p w14:paraId="79D4BD7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2 798 </w:t>
            </w:r>
          </w:p>
          <w:p w14:paraId="71760A3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87408B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ASR </w:t>
            </w:r>
          </w:p>
          <w:p w14:paraId="76807CF2" w14:textId="77777777" w:rsidR="00C95D96" w:rsidRPr="00D21DFA" w:rsidRDefault="00C95D96" w:rsidP="00C95D96">
            <w:pPr>
              <w:tabs>
                <w:tab w:val="left" w:pos="567"/>
              </w:tabs>
              <w:spacing w:after="0" w:line="240" w:lineRule="auto"/>
              <w:ind w:left="236"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2 780 </w:t>
            </w:r>
          </w:p>
          <w:p w14:paraId="3A464FE4" w14:textId="77777777" w:rsidR="00C95D96" w:rsidRPr="00D21DFA" w:rsidRDefault="00C95D96" w:rsidP="00C95D96">
            <w:pPr>
              <w:tabs>
                <w:tab w:val="left" w:pos="567"/>
              </w:tabs>
              <w:spacing w:after="0" w:line="240" w:lineRule="auto"/>
              <w:ind w:left="236" w:right="-2" w:hanging="154"/>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3673C0F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Santykinė rizika (95 %PI) </w:t>
            </w:r>
          </w:p>
        </w:tc>
        <w:tc>
          <w:tcPr>
            <w:tcW w:w="1224" w:type="dxa"/>
            <w:tcBorders>
              <w:top w:val="single" w:sz="4" w:space="0" w:color="000000"/>
              <w:left w:val="single" w:sz="4" w:space="0" w:color="000000"/>
              <w:bottom w:val="single" w:sz="4" w:space="0" w:color="000000"/>
              <w:right w:val="single" w:sz="4" w:space="0" w:color="000000"/>
            </w:tcBorders>
          </w:tcPr>
          <w:p w14:paraId="11BE5CC2" w14:textId="77777777" w:rsidR="00C95D96" w:rsidRPr="00D21DFA" w:rsidRDefault="00C95D96" w:rsidP="00C95D96">
            <w:pPr>
              <w:tabs>
                <w:tab w:val="left" w:pos="567"/>
              </w:tabs>
              <w:spacing w:after="0" w:line="240" w:lineRule="auto"/>
              <w:ind w:left="38"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p-reikšmė</w:t>
            </w:r>
          </w:p>
        </w:tc>
      </w:tr>
      <w:tr w:rsidR="00C95D96" w:rsidRPr="00D21DFA" w14:paraId="2C3BDDE6" w14:textId="77777777" w:rsidTr="00446D67">
        <w:trPr>
          <w:trHeight w:val="289"/>
        </w:trPr>
        <w:tc>
          <w:tcPr>
            <w:tcW w:w="1834" w:type="dxa"/>
            <w:tcBorders>
              <w:top w:val="single" w:sz="4" w:space="0" w:color="000000"/>
              <w:left w:val="single" w:sz="4" w:space="0" w:color="000000"/>
              <w:bottom w:val="single" w:sz="4" w:space="0" w:color="000000"/>
              <w:right w:val="single" w:sz="4" w:space="0" w:color="000000"/>
            </w:tcBorders>
          </w:tcPr>
          <w:p w14:paraId="4CD5431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Stiprus*</w:t>
            </w:r>
            <w:r w:rsidRPr="00D21DFA">
              <w:rPr>
                <w:rFonts w:ascii="Times New Roman" w:eastAsia="Times New Roman" w:hAnsi="Times New Roman" w:cs="Times New Roman"/>
                <w:kern w:val="0"/>
                <w:sz w:val="22"/>
                <w:szCs w:val="22"/>
                <w14:ligatures w14:val="none"/>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C7B600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1420FAB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503EFB1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1,54 (0,96, 2,45)  </w:t>
            </w:r>
          </w:p>
        </w:tc>
        <w:tc>
          <w:tcPr>
            <w:tcW w:w="1224" w:type="dxa"/>
            <w:tcBorders>
              <w:top w:val="single" w:sz="4" w:space="0" w:color="000000"/>
              <w:left w:val="single" w:sz="4" w:space="0" w:color="000000"/>
              <w:bottom w:val="single" w:sz="4" w:space="0" w:color="000000"/>
              <w:right w:val="single" w:sz="4" w:space="0" w:color="000000"/>
            </w:tcBorders>
          </w:tcPr>
          <w:p w14:paraId="1B33C5E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0,0716 </w:t>
            </w:r>
          </w:p>
        </w:tc>
      </w:tr>
      <w:tr w:rsidR="00C95D96" w:rsidRPr="00D21DFA" w14:paraId="673A2AD7" w14:textId="77777777" w:rsidTr="00446D67">
        <w:trPr>
          <w:trHeight w:val="280"/>
        </w:trPr>
        <w:tc>
          <w:tcPr>
            <w:tcW w:w="1834" w:type="dxa"/>
            <w:tcBorders>
              <w:top w:val="single" w:sz="4" w:space="0" w:color="000000"/>
              <w:left w:val="single" w:sz="4" w:space="0" w:color="000000"/>
              <w:bottom w:val="single" w:sz="4" w:space="0" w:color="000000"/>
              <w:right w:val="single" w:sz="4" w:space="0" w:color="000000"/>
            </w:tcBorders>
          </w:tcPr>
          <w:p w14:paraId="0FBC9620"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50D80DB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0B93C36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3EBC4C04"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BD0A1F"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682E83D1" w14:textId="77777777" w:rsidTr="00446D67">
        <w:trPr>
          <w:trHeight w:val="264"/>
        </w:trPr>
        <w:tc>
          <w:tcPr>
            <w:tcW w:w="1834" w:type="dxa"/>
            <w:tcBorders>
              <w:top w:val="single" w:sz="4" w:space="0" w:color="000000"/>
              <w:left w:val="single" w:sz="4" w:space="0" w:color="000000"/>
              <w:bottom w:val="single" w:sz="4" w:space="0" w:color="000000"/>
              <w:right w:val="single" w:sz="4" w:space="0" w:color="000000"/>
            </w:tcBorders>
          </w:tcPr>
          <w:p w14:paraId="3D8A634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kern w:val="0"/>
                <w:sz w:val="22"/>
                <w:szCs w:val="22"/>
                <w14:ligatures w14:val="none"/>
              </w:rPr>
              <w:t>Intrakranijinis</w:t>
            </w:r>
            <w:proofErr w:type="spellEnd"/>
            <w:r w:rsidRPr="00D21DFA">
              <w:rPr>
                <w:rFonts w:ascii="Times New Roman" w:eastAsia="Times New Roman" w:hAnsi="Times New Roman" w:cs="Times New Roman"/>
                <w:kern w:val="0"/>
                <w:sz w:val="22"/>
                <w:szCs w:val="22"/>
                <w14:ligatures w14:val="none"/>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0110821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715AEB7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480828E5"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C15B786" w14:textId="77777777" w:rsidR="00C95D96" w:rsidRPr="00D21DFA" w:rsidRDefault="00C95D96" w:rsidP="00C95D96">
            <w:pPr>
              <w:tabs>
                <w:tab w:val="left" w:pos="567"/>
              </w:tabs>
              <w:spacing w:after="0" w:line="240" w:lineRule="auto"/>
              <w:ind w:left="40"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CB6CC28" w14:textId="77777777" w:rsidTr="00446D67">
        <w:trPr>
          <w:trHeight w:val="288"/>
        </w:trPr>
        <w:tc>
          <w:tcPr>
            <w:tcW w:w="1834" w:type="dxa"/>
            <w:tcBorders>
              <w:top w:val="single" w:sz="4" w:space="0" w:color="000000"/>
              <w:left w:val="single" w:sz="4" w:space="0" w:color="000000"/>
              <w:bottom w:val="single" w:sz="4" w:space="0" w:color="000000"/>
              <w:right w:val="single" w:sz="4" w:space="0" w:color="000000"/>
            </w:tcBorders>
          </w:tcPr>
          <w:p w14:paraId="5B83D7B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Stiprus + KRNS† </w:t>
            </w:r>
          </w:p>
        </w:tc>
        <w:tc>
          <w:tcPr>
            <w:tcW w:w="1980" w:type="dxa"/>
            <w:tcBorders>
              <w:top w:val="single" w:sz="4" w:space="0" w:color="000000"/>
              <w:left w:val="single" w:sz="4" w:space="0" w:color="000000"/>
              <w:bottom w:val="single" w:sz="4" w:space="0" w:color="000000"/>
              <w:right w:val="single" w:sz="4" w:space="0" w:color="000000"/>
            </w:tcBorders>
          </w:tcPr>
          <w:p w14:paraId="6BF886A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3852FE2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62ECE24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1,38 (1,07, 1,78) </w:t>
            </w:r>
          </w:p>
        </w:tc>
        <w:tc>
          <w:tcPr>
            <w:tcW w:w="1224" w:type="dxa"/>
            <w:tcBorders>
              <w:top w:val="single" w:sz="4" w:space="0" w:color="000000"/>
              <w:left w:val="single" w:sz="4" w:space="0" w:color="000000"/>
              <w:bottom w:val="single" w:sz="4" w:space="0" w:color="000000"/>
              <w:right w:val="single" w:sz="4" w:space="0" w:color="000000"/>
            </w:tcBorders>
          </w:tcPr>
          <w:p w14:paraId="34B19BE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0,0144 </w:t>
            </w:r>
          </w:p>
        </w:tc>
      </w:tr>
      <w:tr w:rsidR="00C95D96" w:rsidRPr="00D21DFA" w14:paraId="73CA1C4F" w14:textId="77777777" w:rsidTr="00446D67">
        <w:trPr>
          <w:trHeight w:val="350"/>
        </w:trPr>
        <w:tc>
          <w:tcPr>
            <w:tcW w:w="1834" w:type="dxa"/>
            <w:tcBorders>
              <w:top w:val="single" w:sz="4" w:space="0" w:color="000000"/>
              <w:left w:val="single" w:sz="4" w:space="0" w:color="000000"/>
              <w:bottom w:val="single" w:sz="4" w:space="0" w:color="000000"/>
              <w:right w:val="single" w:sz="4" w:space="0" w:color="000000"/>
            </w:tcBorders>
          </w:tcPr>
          <w:p w14:paraId="2BC2C8D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6A9F9D5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08633BF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620133A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1,30 (1,10, 1,53) </w:t>
            </w:r>
          </w:p>
        </w:tc>
        <w:tc>
          <w:tcPr>
            <w:tcW w:w="1224" w:type="dxa"/>
            <w:tcBorders>
              <w:top w:val="single" w:sz="4" w:space="0" w:color="000000"/>
              <w:left w:val="single" w:sz="4" w:space="0" w:color="000000"/>
              <w:bottom w:val="single" w:sz="4" w:space="0" w:color="000000"/>
              <w:right w:val="single" w:sz="4" w:space="0" w:color="000000"/>
            </w:tcBorders>
          </w:tcPr>
          <w:p w14:paraId="63273FD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0,0017 </w:t>
            </w:r>
          </w:p>
        </w:tc>
      </w:tr>
    </w:tbl>
    <w:p w14:paraId="2BACFBC9" w14:textId="77777777" w:rsidR="00C95D96" w:rsidRPr="00D21DFA"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Stiprus kraujavimas apibūdinamas pagal tarptautinės trombozės ir hemostazės asociacijos (angl</w:t>
      </w:r>
      <w:r w:rsidRPr="00D21DFA">
        <w:rPr>
          <w:rFonts w:ascii="Times New Roman" w:eastAsia="Times New Roman" w:hAnsi="Times New Roman" w:cs="Times New Roman"/>
          <w:i/>
          <w:snapToGrid w:val="0"/>
          <w:kern w:val="0"/>
          <w:sz w:val="22"/>
          <w:szCs w:val="22"/>
          <w14:ligatures w14:val="none"/>
        </w:rPr>
        <w:t xml:space="preserve">., International </w:t>
      </w:r>
      <w:proofErr w:type="spellStart"/>
      <w:r w:rsidRPr="00D21DFA">
        <w:rPr>
          <w:rFonts w:ascii="Times New Roman" w:eastAsia="Times New Roman" w:hAnsi="Times New Roman" w:cs="Times New Roman"/>
          <w:i/>
          <w:snapToGrid w:val="0"/>
          <w:kern w:val="0"/>
          <w:sz w:val="22"/>
          <w:szCs w:val="22"/>
          <w14:ligatures w14:val="none"/>
        </w:rPr>
        <w:t>Society</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on</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Thrombosis</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and</w:t>
      </w:r>
      <w:proofErr w:type="spellEnd"/>
      <w:r w:rsidRPr="00D21DFA">
        <w:rPr>
          <w:rFonts w:ascii="Times New Roman" w:eastAsia="Times New Roman" w:hAnsi="Times New Roman" w:cs="Times New Roman"/>
          <w:i/>
          <w:snapToGrid w:val="0"/>
          <w:kern w:val="0"/>
          <w:sz w:val="22"/>
          <w:szCs w:val="22"/>
          <w14:ligatures w14:val="none"/>
        </w:rPr>
        <w:t xml:space="preserve"> </w:t>
      </w:r>
      <w:proofErr w:type="spellStart"/>
      <w:r w:rsidRPr="00D21DFA">
        <w:rPr>
          <w:rFonts w:ascii="Times New Roman" w:eastAsia="Times New Roman" w:hAnsi="Times New Roman" w:cs="Times New Roman"/>
          <w:i/>
          <w:snapToGrid w:val="0"/>
          <w:kern w:val="0"/>
          <w:sz w:val="22"/>
          <w:szCs w:val="22"/>
          <w14:ligatures w14:val="none"/>
        </w:rPr>
        <w:t>Haemostasis</w:t>
      </w:r>
      <w:proofErr w:type="spellEnd"/>
      <w:r w:rsidRPr="00D21DFA">
        <w:rPr>
          <w:rFonts w:ascii="Times New Roman" w:eastAsia="Times New Roman" w:hAnsi="Times New Roman" w:cs="Times New Roman"/>
          <w:i/>
          <w:snapToGrid w:val="0"/>
          <w:kern w:val="0"/>
          <w:sz w:val="22"/>
          <w:szCs w:val="22"/>
          <w14:ligatures w14:val="none"/>
        </w:rPr>
        <w:t xml:space="preserve"> [ISTH]</w:t>
      </w:r>
      <w:r w:rsidRPr="00D21DFA">
        <w:rPr>
          <w:rFonts w:ascii="Times New Roman" w:eastAsia="Times New Roman" w:hAnsi="Times New Roman" w:cs="Times New Roman"/>
          <w:snapToGrid w:val="0"/>
          <w:kern w:val="0"/>
          <w:sz w:val="22"/>
          <w:szCs w:val="22"/>
          <w14:ligatures w14:val="none"/>
        </w:rPr>
        <w:t>) kriterijus.</w:t>
      </w:r>
    </w:p>
    <w:p w14:paraId="264415E1" w14:textId="77777777"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Klinikiniu požiūriu reikšmingas nestiprus kraujavimas.</w:t>
      </w:r>
    </w:p>
    <w:p w14:paraId="1D0813A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0"/>
          <w:szCs w:val="20"/>
          <w14:ligatures w14:val="none"/>
        </w:rPr>
      </w:pPr>
    </w:p>
    <w:p w14:paraId="59E5FED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Pacientai, kuriems pasireiškia VPNV, ir serga ŪKS ir (arba) atliekama PVAI</w:t>
      </w:r>
    </w:p>
    <w:p w14:paraId="676EB23B" w14:textId="6574D650"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AUGUSTUS atvirajame atsitiktinių imčių, kontroliuojamame</w:t>
      </w:r>
      <w:r w:rsidR="001D1F43"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2</w:t>
      </w:r>
      <w:r w:rsidRPr="00D21DFA">
        <w:rPr>
          <w:rFonts w:ascii="Times New Roman" w:eastAsia="Times New Roman" w:hAnsi="Times New Roman" w:cs="Times New Roman"/>
          <w:snapToGrid w:val="0"/>
          <w:kern w:val="0"/>
          <w:sz w:val="22"/>
          <w:szCs w:val="20"/>
          <w14:ligatures w14:val="none"/>
        </w:rPr>
        <w:noBreakHyphen/>
        <w:t xml:space="preserve">2 veiksnių modelio tyrime dalyvavo 4 614 VNPV patiriantys </w:t>
      </w:r>
      <w:r w:rsidR="002426C3"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sergantys ŪKS (43 %) ir (arba) kuriems buvo atlikta </w:t>
      </w:r>
      <w:proofErr w:type="spellStart"/>
      <w:r w:rsidRPr="00D21DFA">
        <w:rPr>
          <w:rFonts w:ascii="Times New Roman" w:eastAsia="Times New Roman" w:hAnsi="Times New Roman" w:cs="Times New Roman"/>
          <w:snapToGrid w:val="0"/>
          <w:kern w:val="0"/>
          <w:sz w:val="22"/>
          <w:szCs w:val="20"/>
          <w14:ligatures w14:val="none"/>
        </w:rPr>
        <w:t>perkutaninė</w:t>
      </w:r>
      <w:proofErr w:type="spellEnd"/>
      <w:r w:rsidRPr="00D21DFA">
        <w:rPr>
          <w:rFonts w:ascii="Times New Roman" w:eastAsia="Times New Roman" w:hAnsi="Times New Roman" w:cs="Times New Roman"/>
          <w:snapToGrid w:val="0"/>
          <w:kern w:val="0"/>
          <w:sz w:val="22"/>
          <w:szCs w:val="20"/>
          <w14:ligatures w14:val="none"/>
        </w:rPr>
        <w:t xml:space="preserve"> </w:t>
      </w:r>
      <w:r w:rsidR="001D1F43" w:rsidRPr="00D21DFA">
        <w:rPr>
          <w:rFonts w:ascii="Times New Roman" w:eastAsia="Times New Roman" w:hAnsi="Times New Roman" w:cs="Times New Roman"/>
          <w:snapToGrid w:val="0"/>
          <w:kern w:val="0"/>
          <w:sz w:val="22"/>
          <w:szCs w:val="20"/>
          <w14:ligatures w14:val="none"/>
        </w:rPr>
        <w:t>vainikinių arterijų</w:t>
      </w:r>
      <w:r w:rsidRPr="00D21DFA">
        <w:rPr>
          <w:rFonts w:ascii="Times New Roman" w:eastAsia="Times New Roman" w:hAnsi="Times New Roman" w:cs="Times New Roman"/>
          <w:snapToGrid w:val="0"/>
          <w:kern w:val="0"/>
          <w:sz w:val="22"/>
          <w:szCs w:val="20"/>
          <w14:ligatures w14:val="none"/>
        </w:rPr>
        <w:t xml:space="preserve"> intervencija (PVAI) (56 %). Visiems pacientams skirtas bazinis gydymas P2Y12 inhibitoriumi (</w:t>
      </w:r>
      <w:proofErr w:type="spellStart"/>
      <w:r w:rsidRPr="00D21DFA">
        <w:rPr>
          <w:rFonts w:ascii="Times New Roman" w:eastAsia="Times New Roman" w:hAnsi="Times New Roman" w:cs="Times New Roman"/>
          <w:snapToGrid w:val="0"/>
          <w:kern w:val="0"/>
          <w:sz w:val="22"/>
          <w:szCs w:val="20"/>
          <w14:ligatures w14:val="none"/>
        </w:rPr>
        <w:t>klopidogreliu</w:t>
      </w:r>
      <w:proofErr w:type="spellEnd"/>
      <w:r w:rsidRPr="00D21DFA">
        <w:rPr>
          <w:rFonts w:ascii="Times New Roman" w:eastAsia="Times New Roman" w:hAnsi="Times New Roman" w:cs="Times New Roman"/>
          <w:snapToGrid w:val="0"/>
          <w:kern w:val="0"/>
          <w:sz w:val="22"/>
          <w:szCs w:val="20"/>
          <w14:ligatures w14:val="none"/>
        </w:rPr>
        <w:t xml:space="preserve"> 90,3 %), laikantis vietinių gydymo standartų.</w:t>
      </w:r>
    </w:p>
    <w:p w14:paraId="1CB874C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63B221" w14:textId="5631BAB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Pacientai per 14 parų po ŪKS ir (arba) PVAI buvo atsitiktinės atrankos būdu suskirstyti į grupes vartoti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 5 mg du kartus per parą (po 2,5 mg du kartus per parą jeigu atitiko du ar daugiau dozės mažinimo kriterijų; tokių buvo 4,2 %) arba VKA, kartu skiriant ASR (81 mg kartą per parą) arba placebo. Amžiaus vidurkis buvo 69,9 metų, 94 % atsitiktinės atrankos būdu paskirstytų pacientų pagal CHA2DS2</w:t>
      </w:r>
      <w:r w:rsidRPr="00D21DFA">
        <w:rPr>
          <w:rFonts w:ascii="Times New Roman" w:eastAsia="Times New Roman" w:hAnsi="Times New Roman" w:cs="Times New Roman"/>
          <w:snapToGrid w:val="0"/>
          <w:kern w:val="0"/>
          <w:sz w:val="22"/>
          <w:szCs w:val="20"/>
          <w14:ligatures w14:val="none"/>
        </w:rPr>
        <w:noBreakHyphen/>
        <w:t xml:space="preserve">Vasc skalę įvertinti &gt; 2 balais, o 47 % atitiko HAS-BLED skalės &gt; 3 balus. Pacientai, kuriems atsitiktinės atrankos būdu paskirta vartoti VKA, laiko, kai vertės atitiko gydomąjį </w:t>
      </w:r>
      <w:r w:rsidR="001D1F43" w:rsidRPr="00D21DFA">
        <w:rPr>
          <w:rFonts w:ascii="Times New Roman" w:eastAsia="Times New Roman" w:hAnsi="Times New Roman" w:cs="Times New Roman"/>
          <w:snapToGrid w:val="0"/>
          <w:kern w:val="0"/>
          <w:sz w:val="22"/>
          <w:szCs w:val="20"/>
          <w14:ligatures w14:val="none"/>
        </w:rPr>
        <w:t>intervalą</w:t>
      </w:r>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snapToGrid w:val="0"/>
          <w:kern w:val="0"/>
          <w:sz w:val="22"/>
          <w:szCs w:val="20"/>
          <w14:ligatures w14:val="none"/>
        </w:rPr>
        <w:t>TTR</w:t>
      </w:r>
      <w:r w:rsidRPr="00D21DFA">
        <w:rPr>
          <w:rFonts w:ascii="Times New Roman" w:eastAsia="Times New Roman" w:hAnsi="Times New Roman" w:cs="Times New Roman"/>
          <w:snapToGrid w:val="0"/>
          <w:kern w:val="0"/>
          <w:sz w:val="22"/>
          <w:szCs w:val="20"/>
          <w14:ligatures w14:val="none"/>
        </w:rPr>
        <w:t>) (TNS 2</w:t>
      </w:r>
      <w:r w:rsidRPr="00D21DFA">
        <w:rPr>
          <w:rFonts w:ascii="Times New Roman" w:eastAsia="Times New Roman" w:hAnsi="Times New Roman" w:cs="Times New Roman"/>
          <w:snapToGrid w:val="0"/>
          <w:kern w:val="0"/>
          <w:sz w:val="22"/>
          <w:szCs w:val="20"/>
          <w14:ligatures w14:val="none"/>
        </w:rPr>
        <w:noBreakHyphen/>
        <w:t>3), proporcinė dalis buvo 56 %; laiko, kai vertės buvo mažesnės nei TTR – 32 %, o laiko, kai vertės buvo aukštesnės už TTR – 12 %.</w:t>
      </w:r>
    </w:p>
    <w:p w14:paraId="6AB587A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2238F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Pagrindinis AUGUSTUS tyrimo tikslas buvo saugumo įvertinimas, o pagrindinė vertinamoji baigtis - stiprus kraujavimas pagal </w:t>
      </w:r>
      <w:r w:rsidRPr="00D21DFA">
        <w:rPr>
          <w:rFonts w:ascii="Times New Roman" w:eastAsia="Times New Roman" w:hAnsi="Times New Roman" w:cs="Times New Roman"/>
          <w:i/>
          <w:snapToGrid w:val="0"/>
          <w:kern w:val="0"/>
          <w:sz w:val="22"/>
          <w:szCs w:val="20"/>
          <w14:ligatures w14:val="none"/>
        </w:rPr>
        <w:t xml:space="preserve">ISTH </w:t>
      </w:r>
      <w:r w:rsidRPr="00D21DFA">
        <w:rPr>
          <w:rFonts w:ascii="Times New Roman" w:eastAsia="Times New Roman" w:hAnsi="Times New Roman" w:cs="Times New Roman"/>
          <w:snapToGrid w:val="0"/>
          <w:kern w:val="0"/>
          <w:sz w:val="22"/>
          <w:szCs w:val="20"/>
          <w14:ligatures w14:val="none"/>
        </w:rPr>
        <w:t xml:space="preserve">arba KRNS kraujavimas. Palyginus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su VKA, pagrindinė saugumo vertinamoji baigtis buvo stiprus kraujavimas pagal</w:t>
      </w:r>
      <w:r w:rsidRPr="00D21DFA">
        <w:rPr>
          <w:rFonts w:ascii="Times New Roman" w:eastAsia="Times New Roman" w:hAnsi="Times New Roman" w:cs="Times New Roman"/>
          <w:i/>
          <w:snapToGrid w:val="0"/>
          <w:kern w:val="0"/>
          <w:sz w:val="22"/>
          <w:szCs w:val="20"/>
          <w14:ligatures w14:val="none"/>
        </w:rPr>
        <w:t xml:space="preserve"> ISTH</w:t>
      </w:r>
      <w:r w:rsidRPr="00D21DFA">
        <w:rPr>
          <w:rFonts w:ascii="Times New Roman" w:eastAsia="Times New Roman" w:hAnsi="Times New Roman" w:cs="Times New Roman"/>
          <w:snapToGrid w:val="0"/>
          <w:kern w:val="0"/>
          <w:sz w:val="22"/>
          <w:szCs w:val="20"/>
          <w14:ligatures w14:val="none"/>
        </w:rPr>
        <w:t xml:space="preserve"> arba KRNS, 6</w:t>
      </w:r>
      <w:r w:rsidRPr="00D21DFA">
        <w:rPr>
          <w:rFonts w:ascii="Times New Roman" w:eastAsia="Times New Roman" w:hAnsi="Times New Roman" w:cs="Times New Roman"/>
          <w:snapToGrid w:val="0"/>
          <w:kern w:val="0"/>
          <w:sz w:val="22"/>
          <w:szCs w:val="20"/>
          <w14:ligatures w14:val="none"/>
        </w:rPr>
        <w:noBreakHyphen/>
        <w:t xml:space="preserve">tą mėnesį pasireiškęs atitinkamai 241 pacientui (10,5 %)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332 (14,7 %) pacientams VKA grupėje (SR=0,69. 95 % PI 0,58, 0,82; dvipusio kriterijaus p &lt; 0,0001, rodanti ne prastesnį rezultatą ir p &lt; 0,0001, rodanti geresnį rezultatą). Vertinant VKA poveikį, buvo pritaikyta papildoma analizė pogrupiuose pagal TTR ir nustatyta, kad didžiausias kraujavimų dažnis susijęs su žemiausios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TTR. Kraujavimų dažnis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didžiausios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TTR pogrupiuose buvo panašus.</w:t>
      </w:r>
    </w:p>
    <w:p w14:paraId="28F0E62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snapToGrid w:val="0"/>
          <w:kern w:val="0"/>
          <w:sz w:val="22"/>
          <w:szCs w:val="20"/>
          <w14:ligatures w14:val="none"/>
        </w:rPr>
        <w:t>Palyginus ASR su placebu, pagrindinė vertinamoji baigtis stiprus kraujavimas pagal</w:t>
      </w:r>
      <w:r w:rsidRPr="00D21DFA">
        <w:rPr>
          <w:rFonts w:ascii="Times New Roman" w:eastAsia="Times New Roman" w:hAnsi="Times New Roman" w:cs="Times New Roman"/>
          <w:i/>
          <w:snapToGrid w:val="0"/>
          <w:kern w:val="0"/>
          <w:sz w:val="22"/>
          <w:szCs w:val="20"/>
          <w14:ligatures w14:val="none"/>
        </w:rPr>
        <w:t xml:space="preserve"> ISTH</w:t>
      </w:r>
      <w:r w:rsidRPr="00D21DFA">
        <w:rPr>
          <w:rFonts w:ascii="Times New Roman" w:eastAsia="Times New Roman" w:hAnsi="Times New Roman" w:cs="Times New Roman"/>
          <w:snapToGrid w:val="0"/>
          <w:kern w:val="0"/>
          <w:sz w:val="22"/>
          <w:szCs w:val="20"/>
          <w14:ligatures w14:val="none"/>
        </w:rPr>
        <w:t xml:space="preserve"> arba KRNS kraujavimas 6</w:t>
      </w:r>
      <w:r w:rsidRPr="00D21DFA">
        <w:rPr>
          <w:rFonts w:ascii="Times New Roman" w:eastAsia="Times New Roman" w:hAnsi="Times New Roman" w:cs="Times New Roman"/>
          <w:snapToGrid w:val="0"/>
          <w:kern w:val="0"/>
          <w:sz w:val="22"/>
          <w:szCs w:val="20"/>
          <w14:ligatures w14:val="none"/>
        </w:rPr>
        <w:noBreakHyphen/>
        <w:t xml:space="preserve">tą mėnesį, pasireiškė atitinkamai 367 (16,1 %) ASR grupėje ir 204 (9,0 %) pacientams placebo grupėje </w:t>
      </w:r>
      <w:r w:rsidRPr="00D21DFA">
        <w:rPr>
          <w:rFonts w:ascii="Times New Roman" w:eastAsia="Times New Roman" w:hAnsi="Times New Roman" w:cs="Times New Roman"/>
          <w:kern w:val="0"/>
          <w:sz w:val="22"/>
          <w:szCs w:val="20"/>
          <w14:ligatures w14:val="none"/>
        </w:rPr>
        <w:t xml:space="preserve">(SR=1,88, 95% PI: 1,58, 2,23; dvipusio kriterijaus p &lt; 0,0001). </w:t>
      </w:r>
    </w:p>
    <w:p w14:paraId="3CBB22E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3656C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Konkrečiai,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gydytiems pacientams stiprus kraujavimas pagal </w:t>
      </w:r>
      <w:r w:rsidRPr="00D21DFA">
        <w:rPr>
          <w:rFonts w:ascii="Times New Roman" w:eastAsia="Times New Roman" w:hAnsi="Times New Roman" w:cs="Times New Roman"/>
          <w:i/>
          <w:snapToGrid w:val="0"/>
          <w:kern w:val="0"/>
          <w:sz w:val="22"/>
          <w:szCs w:val="20"/>
          <w14:ligatures w14:val="none"/>
        </w:rPr>
        <w:t>ISTH</w:t>
      </w:r>
      <w:r w:rsidRPr="00D21DFA">
        <w:rPr>
          <w:rFonts w:ascii="Times New Roman" w:eastAsia="Times New Roman" w:hAnsi="Times New Roman" w:cs="Times New Roman"/>
          <w:snapToGrid w:val="0"/>
          <w:kern w:val="0"/>
          <w:sz w:val="22"/>
          <w:szCs w:val="20"/>
          <w14:ligatures w14:val="none"/>
        </w:rPr>
        <w:t xml:space="preserve"> arba KRNS kraujavimas pasireiškė 157 (13,7 %) pacientams, vartojusiems ASR, ir 84 (7,4 %) pacientams, vartojusiems placebo. VKA gydytų pacientų grupėje stiprus kraujavimas pagal </w:t>
      </w:r>
      <w:r w:rsidRPr="00D21DFA">
        <w:rPr>
          <w:rFonts w:ascii="Times New Roman" w:eastAsia="Times New Roman" w:hAnsi="Times New Roman" w:cs="Times New Roman"/>
          <w:i/>
          <w:snapToGrid w:val="0"/>
          <w:kern w:val="0"/>
          <w:sz w:val="22"/>
          <w:szCs w:val="20"/>
          <w14:ligatures w14:val="none"/>
        </w:rPr>
        <w:t>ISTH</w:t>
      </w:r>
      <w:r w:rsidRPr="00D21DFA">
        <w:rPr>
          <w:rFonts w:ascii="Times New Roman" w:eastAsia="Times New Roman" w:hAnsi="Times New Roman" w:cs="Times New Roman"/>
          <w:snapToGrid w:val="0"/>
          <w:kern w:val="0"/>
          <w:sz w:val="22"/>
          <w:szCs w:val="20"/>
          <w14:ligatures w14:val="none"/>
        </w:rPr>
        <w:t xml:space="preserve"> arba KRNS </w:t>
      </w:r>
      <w:r w:rsidRPr="00D21DFA">
        <w:rPr>
          <w:rFonts w:ascii="Times New Roman" w:eastAsia="Times New Roman" w:hAnsi="Times New Roman" w:cs="Times New Roman"/>
          <w:snapToGrid w:val="0"/>
          <w:kern w:val="0"/>
          <w:sz w:val="22"/>
          <w:szCs w:val="20"/>
          <w14:ligatures w14:val="none"/>
        </w:rPr>
        <w:lastRenderedPageBreak/>
        <w:t>kraujavimas pasireiškė 208 (18,5 %), vartojusiems ASR, ir 122 (10,8 %) pacientams vartojusiems placebo.</w:t>
      </w:r>
    </w:p>
    <w:p w14:paraId="29ACC56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1CB1B0" w14:textId="133826AA"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Kiti gydymo </w:t>
      </w:r>
      <w:r w:rsidR="001D1F43" w:rsidRPr="00D21DFA">
        <w:rPr>
          <w:rFonts w:ascii="Times New Roman" w:eastAsia="Times New Roman" w:hAnsi="Times New Roman" w:cs="Times New Roman"/>
          <w:snapToGrid w:val="0"/>
          <w:kern w:val="0"/>
          <w:sz w:val="22"/>
          <w:szCs w:val="20"/>
          <w14:ligatures w14:val="none"/>
        </w:rPr>
        <w:t xml:space="preserve">poveikiai </w:t>
      </w:r>
      <w:r w:rsidRPr="00D21DFA">
        <w:rPr>
          <w:rFonts w:ascii="Times New Roman" w:eastAsia="Times New Roman" w:hAnsi="Times New Roman" w:cs="Times New Roman"/>
          <w:snapToGrid w:val="0"/>
          <w:kern w:val="0"/>
          <w:sz w:val="22"/>
          <w:szCs w:val="20"/>
          <w14:ligatures w14:val="none"/>
        </w:rPr>
        <w:t>vertinti kaip antr</w:t>
      </w:r>
      <w:r w:rsidR="001D1F43" w:rsidRPr="00D21DFA">
        <w:rPr>
          <w:rFonts w:ascii="Times New Roman" w:eastAsia="Times New Roman" w:hAnsi="Times New Roman" w:cs="Times New Roman"/>
          <w:snapToGrid w:val="0"/>
          <w:kern w:val="0"/>
          <w:sz w:val="22"/>
          <w:szCs w:val="20"/>
          <w14:ligatures w14:val="none"/>
        </w:rPr>
        <w:t>inis tyrimo</w:t>
      </w:r>
      <w:r w:rsidRPr="00D21DFA">
        <w:rPr>
          <w:rFonts w:ascii="Times New Roman" w:eastAsia="Times New Roman" w:hAnsi="Times New Roman" w:cs="Times New Roman"/>
          <w:snapToGrid w:val="0"/>
          <w:kern w:val="0"/>
          <w:sz w:val="22"/>
          <w:szCs w:val="20"/>
          <w14:ligatures w14:val="none"/>
        </w:rPr>
        <w:t xml:space="preserve"> tikslas kartu su sudėtinėmis vertinamosiomis baigtimis. Palyginus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su VKA, sudėtinė vertinamoji baigtis mirtis arba kartotinė hospitalizacija nustatyta atitinkamai 541 (23,5 %) pacientui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632 (27,4 %) pacientams VKA grupėje. Sudėtinė vertinamoji baigtis mirtis arba išeminis įvykis (insultas, miokardo infarktas, </w:t>
      </w:r>
      <w:proofErr w:type="spellStart"/>
      <w:r w:rsidRPr="00D21DFA">
        <w:rPr>
          <w:rFonts w:ascii="Times New Roman" w:eastAsia="Times New Roman" w:hAnsi="Times New Roman" w:cs="Times New Roman"/>
          <w:snapToGrid w:val="0"/>
          <w:kern w:val="0"/>
          <w:sz w:val="22"/>
          <w:szCs w:val="20"/>
          <w14:ligatures w14:val="none"/>
        </w:rPr>
        <w:t>stento</w:t>
      </w:r>
      <w:proofErr w:type="spellEnd"/>
      <w:r w:rsidRPr="00D21DFA">
        <w:rPr>
          <w:rFonts w:ascii="Times New Roman" w:eastAsia="Times New Roman" w:hAnsi="Times New Roman" w:cs="Times New Roman"/>
          <w:snapToGrid w:val="0"/>
          <w:kern w:val="0"/>
          <w:sz w:val="22"/>
          <w:szCs w:val="20"/>
          <w14:ligatures w14:val="none"/>
        </w:rPr>
        <w:t xml:space="preserve"> trombozė arba skubi </w:t>
      </w:r>
      <w:proofErr w:type="spellStart"/>
      <w:r w:rsidRPr="00D21DFA">
        <w:rPr>
          <w:rFonts w:ascii="Times New Roman" w:eastAsia="Times New Roman" w:hAnsi="Times New Roman" w:cs="Times New Roman"/>
          <w:snapToGrid w:val="0"/>
          <w:kern w:val="0"/>
          <w:sz w:val="22"/>
          <w:szCs w:val="20"/>
          <w14:ligatures w14:val="none"/>
        </w:rPr>
        <w:t>revaskuliarizacija</w:t>
      </w:r>
      <w:proofErr w:type="spellEnd"/>
      <w:r w:rsidRPr="00D21DFA">
        <w:rPr>
          <w:rFonts w:ascii="Times New Roman" w:eastAsia="Times New Roman" w:hAnsi="Times New Roman" w:cs="Times New Roman"/>
          <w:snapToGrid w:val="0"/>
          <w:kern w:val="0"/>
          <w:sz w:val="22"/>
          <w:szCs w:val="20"/>
          <w14:ligatures w14:val="none"/>
        </w:rPr>
        <w:t xml:space="preserve">) nustatyta atitinkamai 170 (7,4 %) pacientų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182 (7,9 %) pacientams VKA grupėje. </w:t>
      </w:r>
    </w:p>
    <w:p w14:paraId="3BD9A78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FC797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D21DFA">
        <w:rPr>
          <w:rFonts w:ascii="Times New Roman" w:eastAsia="Times New Roman" w:hAnsi="Times New Roman" w:cs="Times New Roman"/>
          <w:snapToGrid w:val="0"/>
          <w:kern w:val="0"/>
          <w:sz w:val="22"/>
          <w:szCs w:val="20"/>
          <w14:ligatures w14:val="none"/>
        </w:rPr>
        <w:t>stento</w:t>
      </w:r>
      <w:proofErr w:type="spellEnd"/>
      <w:r w:rsidRPr="00D21DFA">
        <w:rPr>
          <w:rFonts w:ascii="Times New Roman" w:eastAsia="Times New Roman" w:hAnsi="Times New Roman" w:cs="Times New Roman"/>
          <w:snapToGrid w:val="0"/>
          <w:kern w:val="0"/>
          <w:sz w:val="22"/>
          <w:szCs w:val="20"/>
          <w14:ligatures w14:val="none"/>
        </w:rPr>
        <w:t xml:space="preserve"> trombozė arba skubi </w:t>
      </w:r>
      <w:proofErr w:type="spellStart"/>
      <w:r w:rsidRPr="00D21DFA">
        <w:rPr>
          <w:rFonts w:ascii="Times New Roman" w:eastAsia="Times New Roman" w:hAnsi="Times New Roman" w:cs="Times New Roman"/>
          <w:snapToGrid w:val="0"/>
          <w:kern w:val="0"/>
          <w:sz w:val="22"/>
          <w:szCs w:val="20"/>
          <w14:ligatures w14:val="none"/>
        </w:rPr>
        <w:t>revaskuliarizacija</w:t>
      </w:r>
      <w:proofErr w:type="spellEnd"/>
      <w:r w:rsidRPr="00D21DFA">
        <w:rPr>
          <w:rFonts w:ascii="Times New Roman" w:eastAsia="Times New Roman" w:hAnsi="Times New Roman" w:cs="Times New Roman"/>
          <w:snapToGrid w:val="0"/>
          <w:kern w:val="0"/>
          <w:sz w:val="22"/>
          <w:szCs w:val="20"/>
          <w14:ligatures w14:val="none"/>
        </w:rPr>
        <w:t>) nustatyta atitinkamai 163 (7,1 %) pacientams ASR grupėje ir 189 (8,2 %) pacientams placebo grupėje.</w:t>
      </w:r>
    </w:p>
    <w:p w14:paraId="1BCC0C5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E023E1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 xml:space="preserve">Pacientai, kuriems atlikta </w:t>
      </w:r>
      <w:proofErr w:type="spellStart"/>
      <w:r w:rsidRPr="00D21DFA">
        <w:rPr>
          <w:rFonts w:ascii="Times New Roman" w:eastAsia="Times New Roman" w:hAnsi="Times New Roman" w:cs="Times New Roman"/>
          <w:i/>
          <w:snapToGrid w:val="0"/>
          <w:kern w:val="0"/>
          <w:sz w:val="22"/>
          <w:szCs w:val="20"/>
          <w:u w:val="single"/>
          <w14:ligatures w14:val="none"/>
        </w:rPr>
        <w:t>kardioversija</w:t>
      </w:r>
      <w:proofErr w:type="spellEnd"/>
    </w:p>
    <w:p w14:paraId="37150C6A" w14:textId="61182D5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Atvirajame </w:t>
      </w:r>
      <w:proofErr w:type="spellStart"/>
      <w:r w:rsidRPr="00D21DFA">
        <w:rPr>
          <w:rFonts w:ascii="Times New Roman" w:eastAsia="Times New Roman" w:hAnsi="Times New Roman" w:cs="Times New Roman"/>
          <w:snapToGrid w:val="0"/>
          <w:kern w:val="0"/>
          <w:sz w:val="22"/>
          <w:szCs w:val="20"/>
          <w14:ligatures w14:val="none"/>
        </w:rPr>
        <w:t>daugiacentriame</w:t>
      </w:r>
      <w:proofErr w:type="spellEnd"/>
      <w:r w:rsidRPr="00D21DFA">
        <w:rPr>
          <w:rFonts w:ascii="Times New Roman" w:eastAsia="Times New Roman" w:hAnsi="Times New Roman" w:cs="Times New Roman"/>
          <w:snapToGrid w:val="0"/>
          <w:kern w:val="0"/>
          <w:sz w:val="22"/>
          <w:szCs w:val="20"/>
          <w14:ligatures w14:val="none"/>
        </w:rPr>
        <w:t xml:space="preserve"> tyrime EMANATE dalyvavo 1 500 </w:t>
      </w:r>
      <w:r w:rsidR="002426C3" w:rsidRPr="00D21DFA">
        <w:rPr>
          <w:rFonts w:ascii="Times New Roman" w:eastAsia="Times New Roman" w:hAnsi="Times New Roman" w:cs="Times New Roman"/>
          <w:snapToGrid w:val="0"/>
          <w:kern w:val="0"/>
          <w:sz w:val="22"/>
          <w:szCs w:val="20"/>
          <w14:ligatures w14:val="none"/>
        </w:rPr>
        <w:t xml:space="preserve">suaugusių </w:t>
      </w:r>
      <w:r w:rsidRPr="00D21DFA">
        <w:rPr>
          <w:rFonts w:ascii="Times New Roman" w:eastAsia="Times New Roman" w:hAnsi="Times New Roman" w:cs="Times New Roman"/>
          <w:snapToGrid w:val="0"/>
          <w:kern w:val="0"/>
          <w:sz w:val="22"/>
          <w:szCs w:val="20"/>
          <w14:ligatures w14:val="none"/>
        </w:rPr>
        <w:t xml:space="preserve">pacientų, kuriems paskirta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 xml:space="preserve"> dėl VNPV ir kurie anksčiau negydyti per burną vartojamais antikoaguliantais arba paskutinę jų dozę suvartojo mažiau kaip prieš 48 valandas. Pacientai atsitiktinių imčių būdu santykiu 1:1 paskirti į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arba heparino ir (arba) VKA, vartojamų širdies ir kraujagyslių reiškinių profilaktikai, grupes. Elektrinė ir (arba) farmakologinė </w:t>
      </w:r>
      <w:proofErr w:type="spellStart"/>
      <w:r w:rsidRPr="00D21DFA">
        <w:rPr>
          <w:rFonts w:ascii="Times New Roman" w:eastAsia="Times New Roman" w:hAnsi="Times New Roman" w:cs="Times New Roman"/>
          <w:snapToGrid w:val="0"/>
          <w:kern w:val="0"/>
          <w:sz w:val="22"/>
          <w:szCs w:val="20"/>
          <w14:ligatures w14:val="none"/>
        </w:rPr>
        <w:t>kardioversija</w:t>
      </w:r>
      <w:proofErr w:type="spellEnd"/>
      <w:r w:rsidRPr="00D21DFA">
        <w:rPr>
          <w:rFonts w:ascii="Times New Roman" w:eastAsia="Times New Roman" w:hAnsi="Times New Roman" w:cs="Times New Roman"/>
          <w:snapToGrid w:val="0"/>
          <w:kern w:val="0"/>
          <w:sz w:val="22"/>
          <w:szCs w:val="20"/>
          <w14:ligatures w14:val="none"/>
        </w:rPr>
        <w:t xml:space="preserve"> atlikta suvartojus ne mažiau kaip 5 (penkias) 5 mg du kartus per parą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(arba tam tikriems pacientams 2,5 mg du kartus per parą [žr. 4.2 skyrių]) arba ne mažiau kaip po 2 valandų po 10 mg įsotinamosios dozės (arba tam tikriems pacientams 5 mg įsotinamosios dozės [žr. 4.2 skyrių]) suvartojimo, jeigu reikėjo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xml:space="preserve"> atlikti anksčiau.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įsotinamąją dozę gavo 342 pacientai (331 pacientas – 10 mg dozę ir 11 pacientų – 5 mg dozę). </w:t>
      </w:r>
    </w:p>
    <w:p w14:paraId="3D8A155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61E52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insultų nebuvo (0 %) (n = 753), o heparino ir (arba) VKA grupėje įvyko 6 (0,80 %) insultai (n = 747; RS 0,00; 95 % PI 0,00; 0,64). Mirtis dėl įvairių priežasčių ištiko 2 pacientus (0,27 %)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1 pacientą (0,13 %) heparino ir (arba) VKA grupėje. Apie sisteminės embolijos reiškinius pranešimų negauta. </w:t>
      </w:r>
    </w:p>
    <w:p w14:paraId="47A1D420"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53B54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Stipraus kraujavimo ir KRNS kraujavimo reiškinių atitinkamai patyrė 3 (0,41 %) ir 11 (1,50 %) pacientų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palyginti su 6 (0,83 %) ir 13 (1,80 %) pacientų heparino ir (arba) VKA grupėje. </w:t>
      </w:r>
    </w:p>
    <w:p w14:paraId="745F377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3DFD1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Šis žvalgomasis tyrimas parodė, kad veiksmingumas ir saugumas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heparino bei (arba) VKA grupėse, vaistinių preparatų skiriant prieš </w:t>
      </w:r>
      <w:proofErr w:type="spellStart"/>
      <w:r w:rsidRPr="00D21DFA">
        <w:rPr>
          <w:rFonts w:ascii="Times New Roman" w:eastAsia="Times New Roman" w:hAnsi="Times New Roman" w:cs="Times New Roman"/>
          <w:snapToGrid w:val="0"/>
          <w:kern w:val="0"/>
          <w:sz w:val="22"/>
          <w:szCs w:val="20"/>
          <w14:ligatures w14:val="none"/>
        </w:rPr>
        <w:t>kardioversiją</w:t>
      </w:r>
      <w:proofErr w:type="spellEnd"/>
      <w:r w:rsidRPr="00D21DFA">
        <w:rPr>
          <w:rFonts w:ascii="Times New Roman" w:eastAsia="Times New Roman" w:hAnsi="Times New Roman" w:cs="Times New Roman"/>
          <w:snapToGrid w:val="0"/>
          <w:kern w:val="0"/>
          <w:sz w:val="22"/>
          <w:szCs w:val="20"/>
          <w14:ligatures w14:val="none"/>
        </w:rPr>
        <w:t>, panašūs.</w:t>
      </w:r>
    </w:p>
    <w:p w14:paraId="3C6303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p>
    <w:p w14:paraId="3D78560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GVT gydymas, PE gydymas bei GVT ir PE pasikartojimo profilaktika (</w:t>
      </w:r>
      <w:proofErr w:type="spellStart"/>
      <w:r w:rsidRPr="00D21DFA">
        <w:rPr>
          <w:rFonts w:ascii="Times New Roman" w:eastAsia="Times New Roman" w:hAnsi="Times New Roman" w:cs="Times New Roman"/>
          <w:i/>
          <w:snapToGrid w:val="0"/>
          <w:kern w:val="0"/>
          <w:sz w:val="22"/>
          <w:szCs w:val="20"/>
          <w:u w:val="single"/>
          <w14:ligatures w14:val="none"/>
        </w:rPr>
        <w:t>VTEt</w:t>
      </w:r>
      <w:proofErr w:type="spellEnd"/>
      <w:r w:rsidRPr="00D21DFA">
        <w:rPr>
          <w:rFonts w:ascii="Times New Roman" w:eastAsia="Times New Roman" w:hAnsi="Times New Roman" w:cs="Times New Roman"/>
          <w:i/>
          <w:snapToGrid w:val="0"/>
          <w:kern w:val="0"/>
          <w:sz w:val="22"/>
          <w:szCs w:val="20"/>
          <w:u w:val="single"/>
          <w14:ligatures w14:val="none"/>
        </w:rPr>
        <w:t>)</w:t>
      </w:r>
    </w:p>
    <w:p w14:paraId="4C88F148" w14:textId="451EBEE8" w:rsidR="00C95D96" w:rsidRPr="00D21DFA" w:rsidRDefault="002426C3"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Suaugusiųjų k</w:t>
      </w:r>
      <w:r w:rsidR="00C95D96" w:rsidRPr="00D21DFA">
        <w:rPr>
          <w:rFonts w:ascii="Times New Roman" w:eastAsia="Times New Roman" w:hAnsi="Times New Roman" w:cs="Times New Roman"/>
          <w:snapToGrid w:val="0"/>
          <w:kern w:val="0"/>
          <w:sz w:val="22"/>
          <w:szCs w:val="20"/>
          <w14:ligatures w14:val="none"/>
        </w:rPr>
        <w:t xml:space="preserve">linikinė programa (AMPLIFY: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palyginimas su </w:t>
      </w:r>
      <w:proofErr w:type="spellStart"/>
      <w:r w:rsidR="00C95D96" w:rsidRPr="00D21DFA">
        <w:rPr>
          <w:rFonts w:ascii="Times New Roman" w:eastAsia="Times New Roman" w:hAnsi="Times New Roman" w:cs="Times New Roman"/>
          <w:snapToGrid w:val="0"/>
          <w:kern w:val="0"/>
          <w:sz w:val="22"/>
          <w:szCs w:val="20"/>
          <w14:ligatures w14:val="none"/>
        </w:rPr>
        <w:t>enoksaparinu</w:t>
      </w:r>
      <w:proofErr w:type="spellEnd"/>
      <w:r w:rsidR="00C95D96" w:rsidRPr="00D21DFA">
        <w:rPr>
          <w:rFonts w:ascii="Times New Roman" w:eastAsia="Times New Roman" w:hAnsi="Times New Roman" w:cs="Times New Roman"/>
          <w:snapToGrid w:val="0"/>
          <w:kern w:val="0"/>
          <w:sz w:val="22"/>
          <w:szCs w:val="20"/>
          <w14:ligatures w14:val="none"/>
        </w:rPr>
        <w:t>/varfarinu, AMPLIFY</w:t>
      </w:r>
      <w:r w:rsidR="00C95D96" w:rsidRPr="00D21DFA">
        <w:rPr>
          <w:rFonts w:ascii="Times New Roman" w:eastAsia="Times New Roman" w:hAnsi="Times New Roman" w:cs="Times New Roman"/>
          <w:snapToGrid w:val="0"/>
          <w:kern w:val="0"/>
          <w:sz w:val="22"/>
          <w:szCs w:val="20"/>
          <w14:ligatures w14:val="none"/>
        </w:rPr>
        <w:noBreakHyphen/>
        <w:t xml:space="preserve">EXT: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palyginimas su placebo) buvo suplanuota taip, kad parodytų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veiksmingumą ir saugumą gydant GVT ir (arba) PE (AMPLIFY) ir kai po 6</w:t>
      </w:r>
      <w:r w:rsidR="00C95D96" w:rsidRPr="00D21DFA">
        <w:rPr>
          <w:rFonts w:ascii="Times New Roman" w:eastAsia="Times New Roman" w:hAnsi="Times New Roman" w:cs="Times New Roman"/>
          <w:snapToGrid w:val="0"/>
          <w:kern w:val="0"/>
          <w:sz w:val="22"/>
          <w:szCs w:val="20"/>
          <w14:ligatures w14:val="none"/>
        </w:rPr>
        <w:noBreakHyphen/>
        <w:t>12 mėnesių trukmės GVT ir (arba) PE gydymo antikoaguliantais šis vaistinis preparatas skiriamas GVT ir (arba) PE pasikartojimo profilaktikai (AMPLIFY</w:t>
      </w:r>
      <w:r w:rsidR="00C95D96" w:rsidRPr="00D21DFA">
        <w:rPr>
          <w:rFonts w:ascii="Times New Roman" w:eastAsia="Times New Roman" w:hAnsi="Times New Roman" w:cs="Times New Roman"/>
          <w:snapToGrid w:val="0"/>
          <w:kern w:val="0"/>
          <w:sz w:val="22"/>
          <w:szCs w:val="20"/>
          <w14:ligatures w14:val="none"/>
        </w:rPr>
        <w:noBreakHyphen/>
        <w:t xml:space="preserve">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3C9D2D7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74E65E6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AMPLIFY tyrimas</w:t>
      </w:r>
    </w:p>
    <w:p w14:paraId="44BFD73A" w14:textId="32DEE2E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Į AMPLIFY tyrimą atsitiktinės atrankos būdu iš viso buvo atrinkti 5 395 </w:t>
      </w:r>
      <w:r w:rsidR="002426C3"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kurie buvo gydomi per burną vartojamu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(7 paras du kartus per parą po 10 mg, po to 6 mėnesius du kartus per parą po 5 mg) arba po oda skiriamu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 (bent 5 paras du kartus per parą po 1 mg/kg (tol, kol INR pasieks ≥ 2)) ir 6 mėnesius per burną vartojamu varfarinu (tikslinis INR: 2,0</w:t>
      </w:r>
      <w:r w:rsidRPr="00D21DFA">
        <w:rPr>
          <w:rFonts w:ascii="Times New Roman" w:eastAsia="Times New Roman" w:hAnsi="Times New Roman" w:cs="Times New Roman"/>
          <w:snapToGrid w:val="0"/>
          <w:kern w:val="0"/>
          <w:sz w:val="22"/>
          <w:szCs w:val="20"/>
          <w14:ligatures w14:val="none"/>
        </w:rPr>
        <w:noBreakHyphen/>
        <w:t xml:space="preserve">3,0). </w:t>
      </w:r>
    </w:p>
    <w:p w14:paraId="0EB0AF3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3E1D4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Vidutinis tiriamųjų amžius buvo 56,9 metų ir 89,8 % pacientų buvo patyrę neišprovokuotų VTE reiškinių. </w:t>
      </w:r>
    </w:p>
    <w:p w14:paraId="08F6204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5405A4B" w14:textId="7D9ABD13"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Pacientų, kuriems atsitiktinės atrankos būdu buvo paskirta vartoti varfarino, vidutinis buvimo gydomojo </w:t>
      </w:r>
      <w:r w:rsidR="001D1F43" w:rsidRPr="00D21DFA">
        <w:rPr>
          <w:rFonts w:ascii="Times New Roman" w:eastAsia="Times New Roman" w:hAnsi="Times New Roman" w:cs="Times New Roman"/>
          <w:snapToGrid w:val="0"/>
          <w:kern w:val="0"/>
          <w:sz w:val="22"/>
          <w:szCs w:val="20"/>
          <w14:ligatures w14:val="none"/>
        </w:rPr>
        <w:t xml:space="preserve">intervalo </w:t>
      </w:r>
      <w:r w:rsidRPr="00D21DFA">
        <w:rPr>
          <w:rFonts w:ascii="Times New Roman" w:eastAsia="Times New Roman" w:hAnsi="Times New Roman" w:cs="Times New Roman"/>
          <w:snapToGrid w:val="0"/>
          <w:kern w:val="0"/>
          <w:sz w:val="22"/>
          <w:szCs w:val="20"/>
          <w14:ligatures w14:val="none"/>
        </w:rPr>
        <w:t>ribose (INR 2,0</w:t>
      </w:r>
      <w:r w:rsidRPr="00D21DFA">
        <w:rPr>
          <w:rFonts w:ascii="Times New Roman" w:eastAsia="Times New Roman" w:hAnsi="Times New Roman" w:cs="Times New Roman"/>
          <w:snapToGrid w:val="0"/>
          <w:kern w:val="0"/>
          <w:sz w:val="22"/>
          <w:szCs w:val="20"/>
          <w14:ligatures w14:val="none"/>
        </w:rPr>
        <w:noBreakHyphen/>
        <w:t xml:space="preserve">3,0) laiko procentas buvo 60,9. 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sumažino pasikartojančių simptominių VTE reiškinių arba su VTE susijusios mirties atvejų skaičių, esant bet kuriam nukrypimui nuo centrinio TTR; didžiausios </w:t>
      </w:r>
      <w:proofErr w:type="spellStart"/>
      <w:r w:rsidRPr="00D21DFA">
        <w:rPr>
          <w:rFonts w:ascii="Times New Roman" w:eastAsia="Times New Roman" w:hAnsi="Times New Roman" w:cs="Times New Roman"/>
          <w:snapToGrid w:val="0"/>
          <w:kern w:val="0"/>
          <w:sz w:val="22"/>
          <w:szCs w:val="20"/>
          <w14:ligatures w14:val="none"/>
        </w:rPr>
        <w:t>kvartilės</w:t>
      </w:r>
      <w:proofErr w:type="spellEnd"/>
      <w:r w:rsidRPr="00D21DFA">
        <w:rPr>
          <w:rFonts w:ascii="Times New Roman" w:eastAsia="Times New Roman" w:hAnsi="Times New Roman" w:cs="Times New Roman"/>
          <w:snapToGrid w:val="0"/>
          <w:kern w:val="0"/>
          <w:sz w:val="22"/>
          <w:szCs w:val="20"/>
          <w14:ligatures w14:val="none"/>
        </w:rPr>
        <w:t xml:space="preserve"> nuo centrinio TTR santykinė rizika vartojant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palyginti su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 / varfarinu, buvo 0,79 (95 % PI, 0,39; 1,61). </w:t>
      </w:r>
    </w:p>
    <w:p w14:paraId="70D4D2A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A3121D" w14:textId="478EA0F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 / varfarinu nebuvo pranašesnis už gydymą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(žr. </w:t>
      </w:r>
      <w:r w:rsidR="002426C3" w:rsidRPr="00D21DFA">
        <w:rPr>
          <w:rFonts w:ascii="Times New Roman" w:eastAsia="Times New Roman" w:hAnsi="Times New Roman" w:cs="Times New Roman"/>
          <w:snapToGrid w:val="0"/>
          <w:kern w:val="0"/>
          <w:sz w:val="22"/>
          <w:szCs w:val="20"/>
          <w14:ligatures w14:val="none"/>
        </w:rPr>
        <w:t>9</w:t>
      </w:r>
      <w:r w:rsidRPr="00D21DFA">
        <w:rPr>
          <w:rFonts w:ascii="Times New Roman" w:eastAsia="Times New Roman" w:hAnsi="Times New Roman" w:cs="Times New Roman"/>
          <w:snapToGrid w:val="0"/>
          <w:kern w:val="0"/>
          <w:sz w:val="22"/>
          <w:szCs w:val="20"/>
          <w14:ligatures w14:val="none"/>
        </w:rPr>
        <w:t xml:space="preserve"> lentelę).</w:t>
      </w:r>
    </w:p>
    <w:p w14:paraId="1DFA9F4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BE32BA" w14:textId="45C2505D" w:rsidR="00C95D96" w:rsidRPr="00D21DFA" w:rsidRDefault="002426C3" w:rsidP="00C95D96">
      <w:pPr>
        <w:tabs>
          <w:tab w:val="left" w:pos="567"/>
        </w:tabs>
        <w:spacing w:after="120" w:line="240" w:lineRule="auto"/>
        <w:ind w:left="142" w:right="-2"/>
        <w:rPr>
          <w:rFonts w:ascii="Times New Roman" w:eastAsia="Times New Roman" w:hAnsi="Times New Roman" w:cs="Times New Roman"/>
          <w:b/>
          <w:bCs/>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9</w:t>
      </w:r>
      <w:r w:rsidR="00C95D96" w:rsidRPr="00D21DFA">
        <w:rPr>
          <w:rFonts w:ascii="Times New Roman" w:eastAsia="Times New Roman" w:hAnsi="Times New Roman" w:cs="Times New Roman"/>
          <w:b/>
          <w:bCs/>
          <w:snapToGrid w:val="0"/>
          <w:kern w:val="0"/>
          <w:sz w:val="22"/>
          <w:szCs w:val="20"/>
          <w14:ligatures w14:val="none"/>
        </w:rPr>
        <w:t xml:space="preserve"> 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1874"/>
        <w:gridCol w:w="1610"/>
        <w:gridCol w:w="2730"/>
        <w:gridCol w:w="2858"/>
      </w:tblGrid>
      <w:tr w:rsidR="00C95D96" w:rsidRPr="00D21DFA" w14:paraId="467DC57F" w14:textId="77777777" w:rsidTr="00446D67">
        <w:trPr>
          <w:trHeight w:val="835"/>
        </w:trPr>
        <w:tc>
          <w:tcPr>
            <w:tcW w:w="1874" w:type="dxa"/>
            <w:tcBorders>
              <w:top w:val="single" w:sz="4" w:space="0" w:color="000000"/>
              <w:left w:val="single" w:sz="4" w:space="0" w:color="000000"/>
              <w:bottom w:val="single" w:sz="4" w:space="0" w:color="000000"/>
              <w:right w:val="single" w:sz="4" w:space="0" w:color="000000"/>
            </w:tcBorders>
          </w:tcPr>
          <w:p w14:paraId="45ACD6A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12B45AC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w:t>
            </w:r>
          </w:p>
          <w:p w14:paraId="2C0C4DE7"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N=2 609 </w:t>
            </w:r>
          </w:p>
          <w:p w14:paraId="6F15722E" w14:textId="77777777" w:rsidR="00C95D96" w:rsidRPr="00D21DFA" w:rsidRDefault="00C95D96" w:rsidP="00C95D96">
            <w:pPr>
              <w:tabs>
                <w:tab w:val="left" w:pos="567"/>
              </w:tabs>
              <w:spacing w:after="0" w:line="240" w:lineRule="auto"/>
              <w:ind w:left="26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w:t>
            </w:r>
          </w:p>
        </w:tc>
        <w:tc>
          <w:tcPr>
            <w:tcW w:w="2730" w:type="dxa"/>
            <w:tcBorders>
              <w:top w:val="single" w:sz="4" w:space="0" w:color="000000"/>
              <w:left w:val="single" w:sz="4" w:space="0" w:color="000000"/>
              <w:bottom w:val="single" w:sz="4" w:space="0" w:color="000000"/>
              <w:right w:val="single" w:sz="4" w:space="0" w:color="000000"/>
            </w:tcBorders>
          </w:tcPr>
          <w:p w14:paraId="24CA31B1" w14:textId="77777777" w:rsidR="00C95D96" w:rsidRPr="00D21DFA" w:rsidRDefault="00C95D96" w:rsidP="00C95D96">
            <w:pPr>
              <w:tabs>
                <w:tab w:val="left" w:pos="567"/>
              </w:tabs>
              <w:spacing w:after="0" w:line="240" w:lineRule="auto"/>
              <w:ind w:left="13"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Enoksaparinas</w:t>
            </w:r>
            <w:proofErr w:type="spellEnd"/>
            <w:r w:rsidRPr="00D21DFA">
              <w:rPr>
                <w:rFonts w:ascii="Times New Roman" w:eastAsia="Times New Roman" w:hAnsi="Times New Roman" w:cs="Times New Roman"/>
                <w:b/>
                <w:kern w:val="0"/>
                <w:sz w:val="22"/>
                <w:szCs w:val="22"/>
                <w14:ligatures w14:val="none"/>
              </w:rPr>
              <w:t xml:space="preserve">/varfarinas </w:t>
            </w:r>
          </w:p>
          <w:p w14:paraId="7BE12B30" w14:textId="77777777" w:rsidR="00C95D96" w:rsidRPr="00D21DFA" w:rsidRDefault="00C95D96" w:rsidP="00C95D96">
            <w:pPr>
              <w:tabs>
                <w:tab w:val="left" w:pos="567"/>
              </w:tabs>
              <w:spacing w:after="0" w:line="240" w:lineRule="auto"/>
              <w:ind w:left="13"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N=2 635 </w:t>
            </w:r>
          </w:p>
          <w:p w14:paraId="0842D31E" w14:textId="77777777" w:rsidR="00C95D96" w:rsidRPr="00D21DFA" w:rsidRDefault="00C95D96" w:rsidP="00C95D96">
            <w:pPr>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 (%) </w:t>
            </w:r>
          </w:p>
        </w:tc>
        <w:tc>
          <w:tcPr>
            <w:tcW w:w="2858" w:type="dxa"/>
            <w:tcBorders>
              <w:top w:val="single" w:sz="4" w:space="0" w:color="000000"/>
              <w:left w:val="single" w:sz="4" w:space="0" w:color="000000"/>
              <w:bottom w:val="single" w:sz="4" w:space="0" w:color="000000"/>
              <w:right w:val="single" w:sz="4" w:space="0" w:color="000000"/>
            </w:tcBorders>
          </w:tcPr>
          <w:p w14:paraId="06A9D0FC"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Santykinė rizika</w:t>
            </w:r>
          </w:p>
          <w:p w14:paraId="3BC31808"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(95 % PI) </w:t>
            </w:r>
          </w:p>
        </w:tc>
      </w:tr>
      <w:tr w:rsidR="00C95D96" w:rsidRPr="00D21DFA" w14:paraId="5C2CA2AC" w14:textId="77777777" w:rsidTr="00446D67">
        <w:trPr>
          <w:trHeight w:val="588"/>
        </w:trPr>
        <w:tc>
          <w:tcPr>
            <w:tcW w:w="1874" w:type="dxa"/>
            <w:tcBorders>
              <w:top w:val="single" w:sz="4" w:space="0" w:color="000000"/>
              <w:left w:val="single" w:sz="4" w:space="0" w:color="000000"/>
              <w:bottom w:val="single" w:sz="4" w:space="0" w:color="000000"/>
              <w:right w:val="single" w:sz="4" w:space="0" w:color="000000"/>
            </w:tcBorders>
          </w:tcPr>
          <w:p w14:paraId="620E63C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VTE arba 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5D162CB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6BF6D5C"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59 (2,3) </w:t>
            </w:r>
          </w:p>
        </w:tc>
        <w:tc>
          <w:tcPr>
            <w:tcW w:w="2730" w:type="dxa"/>
            <w:tcBorders>
              <w:top w:val="single" w:sz="4" w:space="0" w:color="000000"/>
              <w:left w:val="single" w:sz="4" w:space="0" w:color="000000"/>
              <w:bottom w:val="single" w:sz="4" w:space="0" w:color="000000"/>
              <w:right w:val="single" w:sz="4" w:space="0" w:color="000000"/>
            </w:tcBorders>
          </w:tcPr>
          <w:p w14:paraId="68D33152"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0917FAE6"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71 (2,7) </w:t>
            </w:r>
          </w:p>
        </w:tc>
        <w:tc>
          <w:tcPr>
            <w:tcW w:w="2858" w:type="dxa"/>
            <w:tcBorders>
              <w:top w:val="single" w:sz="4" w:space="0" w:color="000000"/>
              <w:left w:val="single" w:sz="4" w:space="0" w:color="000000"/>
              <w:bottom w:val="single" w:sz="4" w:space="0" w:color="000000"/>
              <w:right w:val="single" w:sz="4" w:space="0" w:color="000000"/>
            </w:tcBorders>
          </w:tcPr>
          <w:p w14:paraId="7800F070"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715034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0,84 (0,60, 1,18)* </w:t>
            </w:r>
          </w:p>
        </w:tc>
      </w:tr>
      <w:tr w:rsidR="00C95D96" w:rsidRPr="00D21DFA" w14:paraId="1A9D71CC" w14:textId="77777777" w:rsidTr="00446D67">
        <w:trPr>
          <w:trHeight w:val="300"/>
        </w:trPr>
        <w:tc>
          <w:tcPr>
            <w:tcW w:w="1874" w:type="dxa"/>
            <w:tcBorders>
              <w:top w:val="single" w:sz="4" w:space="0" w:color="000000"/>
              <w:left w:val="single" w:sz="4" w:space="0" w:color="000000"/>
              <w:bottom w:val="single" w:sz="4" w:space="0" w:color="000000"/>
              <w:right w:val="single" w:sz="4" w:space="0" w:color="000000"/>
            </w:tcBorders>
          </w:tcPr>
          <w:p w14:paraId="37698A6F" w14:textId="77777777" w:rsidR="00C95D96" w:rsidRPr="00D21DFA" w:rsidRDefault="00C95D96" w:rsidP="00C95D96">
            <w:pPr>
              <w:tabs>
                <w:tab w:val="center" w:pos="586"/>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r w:rsidRPr="00D21DFA">
              <w:rPr>
                <w:rFonts w:ascii="Times New Roman" w:eastAsia="Times New Roman" w:hAnsi="Times New Roman" w:cs="Times New Roman"/>
                <w:kern w:val="0"/>
                <w:sz w:val="22"/>
                <w:szCs w:val="22"/>
                <w14:ligatures w14:val="none"/>
              </w:rPr>
              <w:tab/>
              <w:t xml:space="preserve">GVT </w:t>
            </w:r>
          </w:p>
        </w:tc>
        <w:tc>
          <w:tcPr>
            <w:tcW w:w="1610" w:type="dxa"/>
            <w:tcBorders>
              <w:top w:val="single" w:sz="4" w:space="0" w:color="000000"/>
              <w:left w:val="single" w:sz="4" w:space="0" w:color="000000"/>
              <w:bottom w:val="single" w:sz="4" w:space="0" w:color="000000"/>
              <w:right w:val="single" w:sz="4" w:space="0" w:color="000000"/>
            </w:tcBorders>
          </w:tcPr>
          <w:p w14:paraId="66F09804"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20 (0,7) </w:t>
            </w:r>
          </w:p>
        </w:tc>
        <w:tc>
          <w:tcPr>
            <w:tcW w:w="2730" w:type="dxa"/>
            <w:tcBorders>
              <w:top w:val="single" w:sz="4" w:space="0" w:color="000000"/>
              <w:left w:val="single" w:sz="4" w:space="0" w:color="000000"/>
              <w:bottom w:val="single" w:sz="4" w:space="0" w:color="000000"/>
              <w:right w:val="single" w:sz="4" w:space="0" w:color="000000"/>
            </w:tcBorders>
          </w:tcPr>
          <w:p w14:paraId="3704CD89"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33 (1,2) </w:t>
            </w:r>
          </w:p>
        </w:tc>
        <w:tc>
          <w:tcPr>
            <w:tcW w:w="2858" w:type="dxa"/>
            <w:tcBorders>
              <w:top w:val="single" w:sz="4" w:space="0" w:color="000000"/>
              <w:left w:val="single" w:sz="4" w:space="0" w:color="000000"/>
              <w:bottom w:val="single" w:sz="4" w:space="0" w:color="000000"/>
              <w:right w:val="single" w:sz="4" w:space="0" w:color="000000"/>
            </w:tcBorders>
          </w:tcPr>
          <w:p w14:paraId="4E4DD2D1" w14:textId="77777777" w:rsidR="00C95D96" w:rsidRPr="00D21DFA" w:rsidRDefault="00C95D96" w:rsidP="00C95D96">
            <w:pPr>
              <w:tabs>
                <w:tab w:val="left" w:pos="567"/>
              </w:tabs>
              <w:spacing w:after="0" w:line="240" w:lineRule="auto"/>
              <w:ind w:left="6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75AA1190" w14:textId="77777777" w:rsidTr="00446D67">
        <w:trPr>
          <w:trHeight w:val="306"/>
        </w:trPr>
        <w:tc>
          <w:tcPr>
            <w:tcW w:w="1874" w:type="dxa"/>
            <w:tcBorders>
              <w:top w:val="single" w:sz="4" w:space="0" w:color="000000"/>
              <w:left w:val="single" w:sz="4" w:space="0" w:color="000000"/>
              <w:bottom w:val="single" w:sz="4" w:space="0" w:color="000000"/>
              <w:right w:val="single" w:sz="4" w:space="0" w:color="000000"/>
            </w:tcBorders>
          </w:tcPr>
          <w:p w14:paraId="252358BB" w14:textId="77777777" w:rsidR="00C95D96" w:rsidRPr="00D21DFA" w:rsidRDefault="00C95D96" w:rsidP="00C95D96">
            <w:pPr>
              <w:tabs>
                <w:tab w:val="center" w:pos="488"/>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r w:rsidRPr="00D21DFA">
              <w:rPr>
                <w:rFonts w:ascii="Times New Roman" w:eastAsia="Times New Roman" w:hAnsi="Times New Roman" w:cs="Times New Roman"/>
                <w:kern w:val="0"/>
                <w:sz w:val="22"/>
                <w:szCs w:val="22"/>
                <w14:ligatures w14:val="none"/>
              </w:rPr>
              <w:tab/>
              <w:t xml:space="preserve">PE </w:t>
            </w:r>
          </w:p>
        </w:tc>
        <w:tc>
          <w:tcPr>
            <w:tcW w:w="1610" w:type="dxa"/>
            <w:tcBorders>
              <w:top w:val="single" w:sz="4" w:space="0" w:color="000000"/>
              <w:left w:val="single" w:sz="4" w:space="0" w:color="000000"/>
              <w:bottom w:val="single" w:sz="4" w:space="0" w:color="000000"/>
              <w:right w:val="single" w:sz="4" w:space="0" w:color="000000"/>
            </w:tcBorders>
          </w:tcPr>
          <w:p w14:paraId="580FCB8F"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27 (1,0) </w:t>
            </w:r>
          </w:p>
        </w:tc>
        <w:tc>
          <w:tcPr>
            <w:tcW w:w="2730" w:type="dxa"/>
            <w:tcBorders>
              <w:top w:val="single" w:sz="4" w:space="0" w:color="000000"/>
              <w:left w:val="single" w:sz="4" w:space="0" w:color="000000"/>
              <w:bottom w:val="single" w:sz="4" w:space="0" w:color="000000"/>
              <w:right w:val="single" w:sz="4" w:space="0" w:color="000000"/>
            </w:tcBorders>
          </w:tcPr>
          <w:p w14:paraId="71010DAE"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23 (0,9) </w:t>
            </w:r>
          </w:p>
        </w:tc>
        <w:tc>
          <w:tcPr>
            <w:tcW w:w="2858" w:type="dxa"/>
            <w:tcBorders>
              <w:top w:val="single" w:sz="4" w:space="0" w:color="000000"/>
              <w:left w:val="single" w:sz="4" w:space="0" w:color="000000"/>
              <w:bottom w:val="single" w:sz="4" w:space="0" w:color="000000"/>
              <w:right w:val="single" w:sz="4" w:space="0" w:color="000000"/>
            </w:tcBorders>
          </w:tcPr>
          <w:p w14:paraId="5076B92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5DBDF0B4" w14:textId="77777777" w:rsidTr="00446D67">
        <w:trPr>
          <w:trHeight w:val="440"/>
        </w:trPr>
        <w:tc>
          <w:tcPr>
            <w:tcW w:w="1874" w:type="dxa"/>
            <w:tcBorders>
              <w:top w:val="single" w:sz="4" w:space="0" w:color="000000"/>
              <w:left w:val="single" w:sz="4" w:space="0" w:color="000000"/>
              <w:bottom w:val="single" w:sz="4" w:space="0" w:color="000000"/>
              <w:right w:val="single" w:sz="4" w:space="0" w:color="000000"/>
            </w:tcBorders>
          </w:tcPr>
          <w:p w14:paraId="1870BFF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Su VTE susijusi mirtis</w:t>
            </w:r>
          </w:p>
        </w:tc>
        <w:tc>
          <w:tcPr>
            <w:tcW w:w="1610" w:type="dxa"/>
            <w:tcBorders>
              <w:top w:val="single" w:sz="4" w:space="0" w:color="000000"/>
              <w:left w:val="single" w:sz="4" w:space="0" w:color="000000"/>
              <w:bottom w:val="single" w:sz="4" w:space="0" w:color="000000"/>
              <w:right w:val="single" w:sz="4" w:space="0" w:color="000000"/>
            </w:tcBorders>
          </w:tcPr>
          <w:p w14:paraId="3880597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2EF6018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12 (0,4) </w:t>
            </w:r>
          </w:p>
        </w:tc>
        <w:tc>
          <w:tcPr>
            <w:tcW w:w="2730" w:type="dxa"/>
            <w:tcBorders>
              <w:top w:val="single" w:sz="4" w:space="0" w:color="000000"/>
              <w:left w:val="single" w:sz="4" w:space="0" w:color="000000"/>
              <w:bottom w:val="single" w:sz="4" w:space="0" w:color="000000"/>
              <w:right w:val="single" w:sz="4" w:space="0" w:color="000000"/>
            </w:tcBorders>
          </w:tcPr>
          <w:p w14:paraId="2EA662B4"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40255D1F"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 (0,6) </w:t>
            </w:r>
          </w:p>
        </w:tc>
        <w:tc>
          <w:tcPr>
            <w:tcW w:w="2858" w:type="dxa"/>
            <w:tcBorders>
              <w:top w:val="single" w:sz="4" w:space="0" w:color="000000"/>
              <w:left w:val="single" w:sz="4" w:space="0" w:color="000000"/>
              <w:bottom w:val="single" w:sz="4" w:space="0" w:color="000000"/>
              <w:right w:val="single" w:sz="4" w:space="0" w:color="000000"/>
            </w:tcBorders>
          </w:tcPr>
          <w:p w14:paraId="74723DE8" w14:textId="77777777" w:rsidR="00C95D96" w:rsidRPr="00D21DFA" w:rsidRDefault="00C95D96" w:rsidP="00C95D96">
            <w:pPr>
              <w:tabs>
                <w:tab w:val="left" w:pos="567"/>
              </w:tabs>
              <w:spacing w:after="0" w:line="240" w:lineRule="auto"/>
              <w:ind w:left="61"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358CB4EE" w14:textId="77777777" w:rsidTr="00446D67">
        <w:trPr>
          <w:trHeight w:val="636"/>
        </w:trPr>
        <w:tc>
          <w:tcPr>
            <w:tcW w:w="1874" w:type="dxa"/>
            <w:tcBorders>
              <w:top w:val="single" w:sz="4" w:space="0" w:color="000000"/>
              <w:left w:val="single" w:sz="4" w:space="0" w:color="000000"/>
              <w:bottom w:val="single" w:sz="4" w:space="0" w:color="000000"/>
              <w:right w:val="single" w:sz="4" w:space="0" w:color="000000"/>
            </w:tcBorders>
          </w:tcPr>
          <w:p w14:paraId="5AC81A4E" w14:textId="52EFF40B"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VTE arba mirtis dėl </w:t>
            </w:r>
            <w:r w:rsidR="001D1F43"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1D1F43" w:rsidRPr="00D21DFA">
              <w:rPr>
                <w:rFonts w:ascii="Times New Roman" w:eastAsia="Times New Roman" w:hAnsi="Times New Roman" w:cs="Times New Roman"/>
                <w:snapToGrid w:val="0"/>
                <w:kern w:val="0"/>
                <w:sz w:val="22"/>
                <w:szCs w:val="20"/>
                <w14:ligatures w14:val="none"/>
              </w:rPr>
              <w:t>čių</w:t>
            </w:r>
          </w:p>
        </w:tc>
        <w:tc>
          <w:tcPr>
            <w:tcW w:w="1610" w:type="dxa"/>
            <w:tcBorders>
              <w:top w:val="single" w:sz="4" w:space="0" w:color="000000"/>
              <w:left w:val="single" w:sz="4" w:space="0" w:color="000000"/>
              <w:bottom w:val="single" w:sz="4" w:space="0" w:color="000000"/>
              <w:right w:val="single" w:sz="4" w:space="0" w:color="000000"/>
            </w:tcBorders>
          </w:tcPr>
          <w:p w14:paraId="49A61846"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3FE0B87"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440CE23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84 (3,2) </w:t>
            </w:r>
          </w:p>
        </w:tc>
        <w:tc>
          <w:tcPr>
            <w:tcW w:w="2730" w:type="dxa"/>
            <w:tcBorders>
              <w:top w:val="single" w:sz="4" w:space="0" w:color="000000"/>
              <w:left w:val="single" w:sz="4" w:space="0" w:color="000000"/>
              <w:bottom w:val="single" w:sz="4" w:space="0" w:color="000000"/>
              <w:right w:val="single" w:sz="4" w:space="0" w:color="000000"/>
            </w:tcBorders>
          </w:tcPr>
          <w:p w14:paraId="3D4ECC84"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1308C5D0"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52997894"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104 (4,0) </w:t>
            </w:r>
          </w:p>
        </w:tc>
        <w:tc>
          <w:tcPr>
            <w:tcW w:w="2858" w:type="dxa"/>
            <w:tcBorders>
              <w:top w:val="single" w:sz="4" w:space="0" w:color="000000"/>
              <w:left w:val="single" w:sz="4" w:space="0" w:color="000000"/>
              <w:bottom w:val="single" w:sz="4" w:space="0" w:color="000000"/>
              <w:right w:val="single" w:sz="4" w:space="0" w:color="000000"/>
            </w:tcBorders>
          </w:tcPr>
          <w:p w14:paraId="64B3B28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CD60E42"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1AEDF2EA"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0,82 (0,61, 1,08) </w:t>
            </w:r>
          </w:p>
        </w:tc>
      </w:tr>
      <w:tr w:rsidR="00C95D96" w:rsidRPr="00D21DFA" w14:paraId="1378577D" w14:textId="77777777" w:rsidTr="00446D67">
        <w:trPr>
          <w:trHeight w:val="636"/>
        </w:trPr>
        <w:tc>
          <w:tcPr>
            <w:tcW w:w="1874" w:type="dxa"/>
            <w:tcBorders>
              <w:top w:val="single" w:sz="4" w:space="0" w:color="000000"/>
              <w:left w:val="single" w:sz="4" w:space="0" w:color="000000"/>
              <w:bottom w:val="single" w:sz="4" w:space="0" w:color="000000"/>
              <w:right w:val="single" w:sz="4" w:space="0" w:color="000000"/>
            </w:tcBorders>
          </w:tcPr>
          <w:p w14:paraId="7205D19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VTE arba su širdies ir kraujagyslių reiškiniais susijusi mirtis</w:t>
            </w:r>
            <w:r w:rsidRPr="00D21DFA">
              <w:rPr>
                <w:rFonts w:ascii="Times New Roman" w:eastAsia="Times New Roman" w:hAnsi="Times New Roman" w:cs="Times New Roman"/>
                <w:kern w:val="0"/>
                <w:sz w:val="22"/>
                <w:szCs w:val="22"/>
                <w14:ligatures w14:val="none"/>
              </w:rPr>
              <w:t xml:space="preserve"> </w:t>
            </w:r>
          </w:p>
        </w:tc>
        <w:tc>
          <w:tcPr>
            <w:tcW w:w="1610" w:type="dxa"/>
            <w:tcBorders>
              <w:top w:val="single" w:sz="4" w:space="0" w:color="000000"/>
              <w:left w:val="single" w:sz="4" w:space="0" w:color="000000"/>
              <w:bottom w:val="single" w:sz="4" w:space="0" w:color="000000"/>
              <w:right w:val="single" w:sz="4" w:space="0" w:color="000000"/>
            </w:tcBorders>
          </w:tcPr>
          <w:p w14:paraId="6446AAD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614758A"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59EDDF89"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15A571A6"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0705AFD8"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61 (2,3) </w:t>
            </w:r>
          </w:p>
        </w:tc>
        <w:tc>
          <w:tcPr>
            <w:tcW w:w="2730" w:type="dxa"/>
            <w:tcBorders>
              <w:top w:val="single" w:sz="4" w:space="0" w:color="000000"/>
              <w:left w:val="single" w:sz="4" w:space="0" w:color="000000"/>
              <w:bottom w:val="single" w:sz="4" w:space="0" w:color="000000"/>
              <w:right w:val="single" w:sz="4" w:space="0" w:color="000000"/>
            </w:tcBorders>
          </w:tcPr>
          <w:p w14:paraId="0037B056"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737495ED"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5AA89843"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10E6319D"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A09FD65"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77 (2,9) </w:t>
            </w:r>
          </w:p>
        </w:tc>
        <w:tc>
          <w:tcPr>
            <w:tcW w:w="2858" w:type="dxa"/>
            <w:tcBorders>
              <w:top w:val="single" w:sz="4" w:space="0" w:color="000000"/>
              <w:left w:val="single" w:sz="4" w:space="0" w:color="000000"/>
              <w:bottom w:val="single" w:sz="4" w:space="0" w:color="000000"/>
              <w:right w:val="single" w:sz="4" w:space="0" w:color="000000"/>
            </w:tcBorders>
          </w:tcPr>
          <w:p w14:paraId="1C4AEFB9"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01DB527E"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55F86DC9"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369892D6"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p>
          <w:p w14:paraId="1645EBEB"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0,80 (0,57, 1,11) </w:t>
            </w:r>
          </w:p>
        </w:tc>
      </w:tr>
      <w:tr w:rsidR="00C95D96" w:rsidRPr="00D21DFA" w14:paraId="525E998A" w14:textId="77777777" w:rsidTr="00446D67">
        <w:trPr>
          <w:trHeight w:val="889"/>
        </w:trPr>
        <w:tc>
          <w:tcPr>
            <w:tcW w:w="1874" w:type="dxa"/>
            <w:tcBorders>
              <w:top w:val="single" w:sz="4" w:space="0" w:color="000000"/>
              <w:left w:val="single" w:sz="4" w:space="0" w:color="000000"/>
              <w:bottom w:val="single" w:sz="4" w:space="0" w:color="000000"/>
              <w:right w:val="single" w:sz="4" w:space="0" w:color="000000"/>
            </w:tcBorders>
          </w:tcPr>
          <w:p w14:paraId="0AC103F8"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VTE, su VTE susijusi mirtis arba stiprus kraujavimas</w:t>
            </w:r>
          </w:p>
        </w:tc>
        <w:tc>
          <w:tcPr>
            <w:tcW w:w="1610" w:type="dxa"/>
            <w:tcBorders>
              <w:top w:val="single" w:sz="4" w:space="0" w:color="000000"/>
              <w:left w:val="single" w:sz="4" w:space="0" w:color="000000"/>
              <w:bottom w:val="single" w:sz="4" w:space="0" w:color="000000"/>
              <w:right w:val="single" w:sz="4" w:space="0" w:color="000000"/>
            </w:tcBorders>
          </w:tcPr>
          <w:p w14:paraId="29C2055B"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135439B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2138050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7D253FDE"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73 (2,8) </w:t>
            </w:r>
          </w:p>
        </w:tc>
        <w:tc>
          <w:tcPr>
            <w:tcW w:w="2730" w:type="dxa"/>
            <w:tcBorders>
              <w:top w:val="single" w:sz="4" w:space="0" w:color="000000"/>
              <w:left w:val="single" w:sz="4" w:space="0" w:color="000000"/>
              <w:bottom w:val="single" w:sz="4" w:space="0" w:color="000000"/>
              <w:right w:val="single" w:sz="4" w:space="0" w:color="000000"/>
            </w:tcBorders>
          </w:tcPr>
          <w:p w14:paraId="19102A8D"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1C3D234A"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707F8CF8"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p>
          <w:p w14:paraId="6850040C"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118 (4,5) </w:t>
            </w:r>
          </w:p>
        </w:tc>
        <w:tc>
          <w:tcPr>
            <w:tcW w:w="2858" w:type="dxa"/>
            <w:tcBorders>
              <w:top w:val="single" w:sz="4" w:space="0" w:color="000000"/>
              <w:left w:val="single" w:sz="4" w:space="0" w:color="000000"/>
              <w:bottom w:val="single" w:sz="4" w:space="0" w:color="000000"/>
              <w:right w:val="single" w:sz="4" w:space="0" w:color="000000"/>
            </w:tcBorders>
          </w:tcPr>
          <w:p w14:paraId="60B8273C"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13C611B3"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30A1BEE5"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p>
          <w:p w14:paraId="482519E1"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0,62 (0,47, 0,83) </w:t>
            </w:r>
          </w:p>
        </w:tc>
      </w:tr>
    </w:tbl>
    <w:p w14:paraId="123523F1" w14:textId="77777777" w:rsidR="00C95D96" w:rsidRPr="00D21DFA" w:rsidRDefault="00C95D96" w:rsidP="00C95D96">
      <w:pPr>
        <w:tabs>
          <w:tab w:val="left" w:pos="567"/>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Rezultatai nebuvo blogesni nei </w:t>
      </w:r>
      <w:proofErr w:type="spellStart"/>
      <w:r w:rsidRPr="00D21DFA">
        <w:rPr>
          <w:rFonts w:ascii="Times New Roman" w:eastAsia="Times New Roman" w:hAnsi="Times New Roman" w:cs="Times New Roman"/>
          <w:snapToGrid w:val="0"/>
          <w:kern w:val="0"/>
          <w:sz w:val="22"/>
          <w:szCs w:val="22"/>
          <w14:ligatures w14:val="none"/>
        </w:rPr>
        <w:t>enoksaparino</w:t>
      </w:r>
      <w:proofErr w:type="spellEnd"/>
      <w:r w:rsidRPr="00D21DFA">
        <w:rPr>
          <w:rFonts w:ascii="Times New Roman" w:eastAsia="Times New Roman" w:hAnsi="Times New Roman" w:cs="Times New Roman"/>
          <w:snapToGrid w:val="0"/>
          <w:kern w:val="0"/>
          <w:sz w:val="22"/>
          <w:szCs w:val="22"/>
          <w14:ligatures w14:val="none"/>
        </w:rPr>
        <w:t xml:space="preserve"> / varfarino (p reikšmė &lt; 0,0001) </w:t>
      </w:r>
    </w:p>
    <w:p w14:paraId="1BB0A21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62479935" w14:textId="5FB6217E"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VTE gydymo pradžioje </w:t>
      </w:r>
      <w:proofErr w:type="spellStart"/>
      <w:r w:rsidRPr="00D21DFA">
        <w:rPr>
          <w:rFonts w:ascii="Times New Roman" w:eastAsia="Times New Roman" w:hAnsi="Times New Roman" w:cs="Times New Roman"/>
          <w:snapToGrid w:val="0"/>
          <w:kern w:val="0"/>
          <w:sz w:val="22"/>
          <w:szCs w:val="20"/>
          <w14:ligatures w14:val="none"/>
        </w:rPr>
        <w:t>apiksabanui</w:t>
      </w:r>
      <w:proofErr w:type="spellEnd"/>
      <w:r w:rsidRPr="00D21DFA">
        <w:rPr>
          <w:rFonts w:ascii="Times New Roman" w:eastAsia="Times New Roman" w:hAnsi="Times New Roman" w:cs="Times New Roman"/>
          <w:snapToGrid w:val="0"/>
          <w:kern w:val="0"/>
          <w:sz w:val="22"/>
          <w:szCs w:val="20"/>
          <w14:ligatures w14:val="none"/>
        </w:rPr>
        <w:t xml:space="preserve"> nustatytas panašus veiksmingumas tiek gydant PE sergančius pacientus [santykinė rizika 0,9; 95 % PI (0,5; 1,6)], tiek ir GVT sergančius pacientus [santykinė rizika 0,8; 95 % PI (0,5; 1,3)]. Veiksmingumo rezultatai pogrupiuose, atsižvelgiant į amžių, lytį, kūno masės indeksą (KMI), inkstų funkcij</w:t>
      </w:r>
      <w:r w:rsidR="006843AB" w:rsidRPr="00D21DFA">
        <w:rPr>
          <w:rFonts w:ascii="Times New Roman" w:eastAsia="Times New Roman" w:hAnsi="Times New Roman" w:cs="Times New Roman"/>
          <w:snapToGrid w:val="0"/>
          <w:kern w:val="0"/>
          <w:sz w:val="22"/>
          <w:szCs w:val="20"/>
          <w14:ligatures w14:val="none"/>
        </w:rPr>
        <w:t>ą</w:t>
      </w:r>
      <w:r w:rsidRPr="00D21DFA">
        <w:rPr>
          <w:rFonts w:ascii="Times New Roman" w:eastAsia="Times New Roman" w:hAnsi="Times New Roman" w:cs="Times New Roman"/>
          <w:snapToGrid w:val="0"/>
          <w:kern w:val="0"/>
          <w:sz w:val="22"/>
          <w:szCs w:val="20"/>
          <w14:ligatures w14:val="none"/>
        </w:rPr>
        <w:t xml:space="preserve">, PE indeksą, GVT </w:t>
      </w:r>
      <w:proofErr w:type="spellStart"/>
      <w:r w:rsidRPr="00D21DFA">
        <w:rPr>
          <w:rFonts w:ascii="Times New Roman" w:eastAsia="Times New Roman" w:hAnsi="Times New Roman" w:cs="Times New Roman"/>
          <w:snapToGrid w:val="0"/>
          <w:kern w:val="0"/>
          <w:sz w:val="22"/>
          <w:szCs w:val="20"/>
          <w14:ligatures w14:val="none"/>
        </w:rPr>
        <w:t>trombo</w:t>
      </w:r>
      <w:proofErr w:type="spellEnd"/>
      <w:r w:rsidRPr="00D21DFA">
        <w:rPr>
          <w:rFonts w:ascii="Times New Roman" w:eastAsia="Times New Roman" w:hAnsi="Times New Roman" w:cs="Times New Roman"/>
          <w:snapToGrid w:val="0"/>
          <w:kern w:val="0"/>
          <w:sz w:val="22"/>
          <w:szCs w:val="20"/>
          <w14:ligatures w14:val="none"/>
        </w:rPr>
        <w:t xml:space="preserve"> vietą ir tai, ar pacientas anksčiau buvo gydomas </w:t>
      </w:r>
      <w:proofErr w:type="spellStart"/>
      <w:r w:rsidRPr="00D21DFA">
        <w:rPr>
          <w:rFonts w:ascii="Times New Roman" w:eastAsia="Times New Roman" w:hAnsi="Times New Roman" w:cs="Times New Roman"/>
          <w:snapToGrid w:val="0"/>
          <w:kern w:val="0"/>
          <w:sz w:val="22"/>
          <w:szCs w:val="20"/>
          <w14:ligatures w14:val="none"/>
        </w:rPr>
        <w:t>parenteriniu</w:t>
      </w:r>
      <w:proofErr w:type="spellEnd"/>
      <w:r w:rsidRPr="00D21DFA">
        <w:rPr>
          <w:rFonts w:ascii="Times New Roman" w:eastAsia="Times New Roman" w:hAnsi="Times New Roman" w:cs="Times New Roman"/>
          <w:snapToGrid w:val="0"/>
          <w:kern w:val="0"/>
          <w:sz w:val="22"/>
          <w:szCs w:val="20"/>
          <w14:ligatures w14:val="none"/>
        </w:rPr>
        <w:t xml:space="preserve"> būdu vartojamu heparinu, iš esmės buvo panašūs.</w:t>
      </w:r>
    </w:p>
    <w:p w14:paraId="6FCD7751"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i/>
          <w:kern w:val="0"/>
          <w:sz w:val="22"/>
          <w:szCs w:val="20"/>
          <w:u w:val="single"/>
          <w14:ligatures w14:val="none"/>
        </w:rPr>
      </w:pPr>
    </w:p>
    <w:p w14:paraId="3867624D" w14:textId="4A91ECCE"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saugumo vertinamoji baigtis buvo stiprus kraujavimas. Šio tyrimo duomenys rodo, kad pagrindinės vertinamosios baigties požiūriu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buvo statistiškai pranašesnis už </w:t>
      </w:r>
      <w:proofErr w:type="spellStart"/>
      <w:r w:rsidRPr="00D21DFA">
        <w:rPr>
          <w:rFonts w:ascii="Times New Roman" w:eastAsia="Times New Roman" w:hAnsi="Times New Roman" w:cs="Times New Roman"/>
          <w:snapToGrid w:val="0"/>
          <w:kern w:val="0"/>
          <w:sz w:val="22"/>
          <w:szCs w:val="20"/>
          <w14:ligatures w14:val="none"/>
        </w:rPr>
        <w:t>enoksapariną</w:t>
      </w:r>
      <w:proofErr w:type="spellEnd"/>
      <w:r w:rsidRPr="00D21DFA">
        <w:rPr>
          <w:rFonts w:ascii="Times New Roman" w:eastAsia="Times New Roman" w:hAnsi="Times New Roman" w:cs="Times New Roman"/>
          <w:snapToGrid w:val="0"/>
          <w:kern w:val="0"/>
          <w:sz w:val="22"/>
          <w:szCs w:val="20"/>
          <w14:ligatures w14:val="none"/>
        </w:rPr>
        <w:t xml:space="preserve">/ varfariną [santykinė rizika 0,31, 95 % </w:t>
      </w:r>
      <w:proofErr w:type="spellStart"/>
      <w:r w:rsidRPr="00D21DFA">
        <w:rPr>
          <w:rFonts w:ascii="Times New Roman" w:eastAsia="Times New Roman" w:hAnsi="Times New Roman" w:cs="Times New Roman"/>
          <w:snapToGrid w:val="0"/>
          <w:kern w:val="0"/>
          <w:sz w:val="22"/>
          <w:szCs w:val="20"/>
          <w14:ligatures w14:val="none"/>
        </w:rPr>
        <w:t>pasikliautinasis</w:t>
      </w:r>
      <w:proofErr w:type="spellEnd"/>
      <w:r w:rsidRPr="00D21DFA">
        <w:rPr>
          <w:rFonts w:ascii="Times New Roman" w:eastAsia="Times New Roman" w:hAnsi="Times New Roman" w:cs="Times New Roman"/>
          <w:snapToGrid w:val="0"/>
          <w:kern w:val="0"/>
          <w:sz w:val="22"/>
          <w:szCs w:val="20"/>
          <w14:ligatures w14:val="none"/>
        </w:rPr>
        <w:t xml:space="preserve"> intervalas (0,17; 0,55), p reikšmė &lt; 0,0001] (žr. </w:t>
      </w:r>
      <w:r w:rsidR="002426C3" w:rsidRPr="00D21DFA">
        <w:rPr>
          <w:rFonts w:ascii="Times New Roman" w:eastAsia="Times New Roman" w:hAnsi="Times New Roman" w:cs="Times New Roman"/>
          <w:snapToGrid w:val="0"/>
          <w:kern w:val="0"/>
          <w:sz w:val="22"/>
          <w:szCs w:val="20"/>
          <w14:ligatures w14:val="none"/>
        </w:rPr>
        <w:t>10</w:t>
      </w:r>
      <w:r w:rsidRPr="00D21DFA">
        <w:rPr>
          <w:rFonts w:ascii="Times New Roman" w:eastAsia="Times New Roman" w:hAnsi="Times New Roman" w:cs="Times New Roman"/>
          <w:snapToGrid w:val="0"/>
          <w:kern w:val="0"/>
          <w:sz w:val="22"/>
          <w:szCs w:val="20"/>
          <w14:ligatures w14:val="none"/>
        </w:rPr>
        <w:t xml:space="preserve"> lentelę).</w:t>
      </w:r>
    </w:p>
    <w:p w14:paraId="7132F1D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73FAED" w14:textId="5B367FB0" w:rsidR="00C95D96" w:rsidRPr="00D21DFA" w:rsidRDefault="002426C3" w:rsidP="00C95D96">
      <w:pPr>
        <w:tabs>
          <w:tab w:val="left" w:pos="567"/>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10</w:t>
      </w:r>
      <w:r w:rsidR="00C95D96" w:rsidRPr="00D21DFA">
        <w:rPr>
          <w:rFonts w:ascii="Times New Roman" w:eastAsia="Times New Roman" w:hAnsi="Times New Roman" w:cs="Times New Roman"/>
          <w:b/>
          <w:bCs/>
          <w:snapToGrid w:val="0"/>
          <w:kern w:val="0"/>
          <w:sz w:val="22"/>
          <w:szCs w:val="20"/>
          <w14:ligatures w14:val="none"/>
        </w:rPr>
        <w:t xml:space="preserve"> 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023"/>
        <w:gridCol w:w="2190"/>
        <w:gridCol w:w="2189"/>
        <w:gridCol w:w="2189"/>
      </w:tblGrid>
      <w:tr w:rsidR="00C95D96" w:rsidRPr="00D21DFA" w14:paraId="4C4CA0B6" w14:textId="77777777" w:rsidTr="00446D67">
        <w:trPr>
          <w:trHeight w:val="850"/>
        </w:trPr>
        <w:tc>
          <w:tcPr>
            <w:tcW w:w="2023" w:type="dxa"/>
            <w:tcBorders>
              <w:top w:val="single" w:sz="4" w:space="0" w:color="000000"/>
              <w:left w:val="single" w:sz="4" w:space="0" w:color="000000"/>
              <w:bottom w:val="single" w:sz="4" w:space="0" w:color="000000"/>
              <w:right w:val="single" w:sz="4" w:space="0" w:color="000000"/>
            </w:tcBorders>
          </w:tcPr>
          <w:p w14:paraId="5E6E36D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lastRenderedPageBreak/>
              <w:t xml:space="preserve"> </w:t>
            </w:r>
          </w:p>
        </w:tc>
        <w:tc>
          <w:tcPr>
            <w:tcW w:w="2190" w:type="dxa"/>
            <w:tcBorders>
              <w:top w:val="single" w:sz="4" w:space="0" w:color="000000"/>
              <w:left w:val="single" w:sz="4" w:space="0" w:color="000000"/>
              <w:bottom w:val="single" w:sz="4" w:space="0" w:color="000000"/>
              <w:right w:val="single" w:sz="4" w:space="0" w:color="000000"/>
            </w:tcBorders>
          </w:tcPr>
          <w:p w14:paraId="453A4FF6" w14:textId="77777777" w:rsidR="00C95D96" w:rsidRPr="00D21DFA" w:rsidRDefault="00C95D96" w:rsidP="00C95D96">
            <w:pPr>
              <w:tabs>
                <w:tab w:val="left" w:pos="445"/>
              </w:tabs>
              <w:spacing w:after="0" w:line="240" w:lineRule="auto"/>
              <w:ind w:left="-122" w:right="-38"/>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p>
          <w:p w14:paraId="691A6E40" w14:textId="77777777" w:rsidR="00C95D96" w:rsidRPr="00D21DFA" w:rsidRDefault="00C95D96" w:rsidP="00C95D96">
            <w:pPr>
              <w:tabs>
                <w:tab w:val="left" w:pos="586"/>
              </w:tabs>
              <w:spacing w:after="0" w:line="240" w:lineRule="auto"/>
              <w:ind w:left="-122" w:right="-38"/>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N=2 676</w:t>
            </w:r>
          </w:p>
          <w:p w14:paraId="36047DF1" w14:textId="77777777" w:rsidR="00C95D96" w:rsidRPr="00D21DFA" w:rsidRDefault="00C95D96" w:rsidP="00C95D96">
            <w:pPr>
              <w:tabs>
                <w:tab w:val="left" w:pos="445"/>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 (%)</w:t>
            </w:r>
          </w:p>
        </w:tc>
        <w:tc>
          <w:tcPr>
            <w:tcW w:w="2189" w:type="dxa"/>
            <w:tcBorders>
              <w:top w:val="single" w:sz="4" w:space="0" w:color="000000"/>
              <w:left w:val="single" w:sz="4" w:space="0" w:color="000000"/>
              <w:bottom w:val="single" w:sz="4" w:space="0" w:color="000000"/>
              <w:right w:val="single" w:sz="4" w:space="0" w:color="000000"/>
            </w:tcBorders>
          </w:tcPr>
          <w:p w14:paraId="65606795"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Enoksaparinas</w:t>
            </w:r>
            <w:proofErr w:type="spellEnd"/>
            <w:r w:rsidRPr="00D21DFA">
              <w:rPr>
                <w:rFonts w:ascii="Times New Roman" w:eastAsia="Times New Roman" w:hAnsi="Times New Roman" w:cs="Times New Roman"/>
                <w:b/>
                <w:snapToGrid w:val="0"/>
                <w:kern w:val="0"/>
                <w:sz w:val="22"/>
                <w:szCs w:val="22"/>
                <w14:ligatures w14:val="none"/>
              </w:rPr>
              <w:t>/</w:t>
            </w:r>
          </w:p>
          <w:p w14:paraId="3E72A196"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varfarinas</w:t>
            </w:r>
          </w:p>
          <w:p w14:paraId="4EADC4E4"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N=2 689</w:t>
            </w:r>
          </w:p>
          <w:p w14:paraId="7B675104"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n (%)</w:t>
            </w:r>
          </w:p>
        </w:tc>
        <w:tc>
          <w:tcPr>
            <w:tcW w:w="2189" w:type="dxa"/>
            <w:tcBorders>
              <w:top w:val="single" w:sz="4" w:space="0" w:color="000000"/>
              <w:left w:val="single" w:sz="4" w:space="0" w:color="000000"/>
              <w:bottom w:val="single" w:sz="4" w:space="0" w:color="000000"/>
              <w:right w:val="single" w:sz="4" w:space="0" w:color="000000"/>
            </w:tcBorders>
          </w:tcPr>
          <w:p w14:paraId="459BFFC3"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Santykinė rizika</w:t>
            </w:r>
          </w:p>
          <w:p w14:paraId="0CAFB8AE"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(95 % PI)</w:t>
            </w:r>
          </w:p>
        </w:tc>
      </w:tr>
      <w:tr w:rsidR="00C95D96" w:rsidRPr="00D21DFA" w14:paraId="733D2C6A" w14:textId="77777777" w:rsidTr="00446D67">
        <w:trPr>
          <w:trHeight w:val="284"/>
        </w:trPr>
        <w:tc>
          <w:tcPr>
            <w:tcW w:w="2023" w:type="dxa"/>
            <w:tcBorders>
              <w:top w:val="single" w:sz="4" w:space="0" w:color="000000"/>
              <w:left w:val="single" w:sz="4" w:space="0" w:color="000000"/>
              <w:bottom w:val="single" w:sz="4" w:space="0" w:color="000000"/>
              <w:right w:val="single" w:sz="4" w:space="0" w:color="000000"/>
            </w:tcBorders>
          </w:tcPr>
          <w:p w14:paraId="32BE341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tc>
        <w:tc>
          <w:tcPr>
            <w:tcW w:w="2190" w:type="dxa"/>
            <w:tcBorders>
              <w:top w:val="single" w:sz="4" w:space="0" w:color="000000"/>
              <w:left w:val="single" w:sz="4" w:space="0" w:color="000000"/>
              <w:bottom w:val="single" w:sz="4" w:space="0" w:color="000000"/>
              <w:right w:val="single" w:sz="4" w:space="0" w:color="000000"/>
            </w:tcBorders>
          </w:tcPr>
          <w:p w14:paraId="45E2401C"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15 (0,6),</w:t>
            </w:r>
          </w:p>
        </w:tc>
        <w:tc>
          <w:tcPr>
            <w:tcW w:w="2189" w:type="dxa"/>
            <w:tcBorders>
              <w:top w:val="single" w:sz="4" w:space="0" w:color="000000"/>
              <w:left w:val="single" w:sz="4" w:space="0" w:color="000000"/>
              <w:bottom w:val="single" w:sz="4" w:space="0" w:color="000000"/>
              <w:right w:val="single" w:sz="4" w:space="0" w:color="000000"/>
            </w:tcBorders>
          </w:tcPr>
          <w:p w14:paraId="13C24A84"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49 (1,8) </w:t>
            </w:r>
          </w:p>
        </w:tc>
        <w:tc>
          <w:tcPr>
            <w:tcW w:w="2189" w:type="dxa"/>
            <w:tcBorders>
              <w:top w:val="single" w:sz="4" w:space="0" w:color="000000"/>
              <w:left w:val="single" w:sz="4" w:space="0" w:color="000000"/>
              <w:bottom w:val="single" w:sz="4" w:space="0" w:color="000000"/>
              <w:right w:val="single" w:sz="4" w:space="0" w:color="000000"/>
            </w:tcBorders>
          </w:tcPr>
          <w:p w14:paraId="1FB1635A"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0,31 (0,17, 0,55) </w:t>
            </w:r>
          </w:p>
        </w:tc>
      </w:tr>
      <w:tr w:rsidR="00C95D96" w:rsidRPr="00D21DFA" w14:paraId="0D9BD431" w14:textId="77777777" w:rsidTr="00446D67">
        <w:trPr>
          <w:trHeight w:val="304"/>
        </w:trPr>
        <w:tc>
          <w:tcPr>
            <w:tcW w:w="2023" w:type="dxa"/>
            <w:tcBorders>
              <w:top w:val="single" w:sz="4" w:space="0" w:color="000000"/>
              <w:left w:val="single" w:sz="4" w:space="0" w:color="000000"/>
              <w:bottom w:val="single" w:sz="4" w:space="0" w:color="000000"/>
              <w:right w:val="single" w:sz="4" w:space="0" w:color="000000"/>
            </w:tcBorders>
          </w:tcPr>
          <w:p w14:paraId="0CDDCB9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Stiprus + KRNS</w:t>
            </w:r>
          </w:p>
        </w:tc>
        <w:tc>
          <w:tcPr>
            <w:tcW w:w="2190" w:type="dxa"/>
            <w:tcBorders>
              <w:top w:val="single" w:sz="4" w:space="0" w:color="000000"/>
              <w:left w:val="single" w:sz="4" w:space="0" w:color="000000"/>
              <w:bottom w:val="single" w:sz="4" w:space="0" w:color="000000"/>
              <w:right w:val="single" w:sz="4" w:space="0" w:color="000000"/>
            </w:tcBorders>
          </w:tcPr>
          <w:p w14:paraId="33D8BEC5"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115 (4,3) </w:t>
            </w:r>
          </w:p>
        </w:tc>
        <w:tc>
          <w:tcPr>
            <w:tcW w:w="2189" w:type="dxa"/>
            <w:tcBorders>
              <w:top w:val="single" w:sz="4" w:space="0" w:color="000000"/>
              <w:left w:val="single" w:sz="4" w:space="0" w:color="000000"/>
              <w:bottom w:val="single" w:sz="4" w:space="0" w:color="000000"/>
              <w:right w:val="single" w:sz="4" w:space="0" w:color="000000"/>
            </w:tcBorders>
          </w:tcPr>
          <w:p w14:paraId="1D1B4DA8"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261 (9,7) </w:t>
            </w:r>
          </w:p>
        </w:tc>
        <w:tc>
          <w:tcPr>
            <w:tcW w:w="2189" w:type="dxa"/>
            <w:tcBorders>
              <w:top w:val="single" w:sz="4" w:space="0" w:color="000000"/>
              <w:left w:val="single" w:sz="4" w:space="0" w:color="000000"/>
              <w:bottom w:val="single" w:sz="4" w:space="0" w:color="000000"/>
              <w:right w:val="single" w:sz="4" w:space="0" w:color="000000"/>
            </w:tcBorders>
          </w:tcPr>
          <w:p w14:paraId="3B7EE173"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0,44 (0,36, 0,55) </w:t>
            </w:r>
          </w:p>
        </w:tc>
      </w:tr>
      <w:tr w:rsidR="00C95D96" w:rsidRPr="00D21DFA" w14:paraId="1B117651" w14:textId="77777777" w:rsidTr="00446D67">
        <w:trPr>
          <w:trHeight w:val="296"/>
        </w:trPr>
        <w:tc>
          <w:tcPr>
            <w:tcW w:w="2023" w:type="dxa"/>
            <w:tcBorders>
              <w:top w:val="single" w:sz="4" w:space="0" w:color="000000"/>
              <w:left w:val="single" w:sz="4" w:space="0" w:color="000000"/>
              <w:bottom w:val="single" w:sz="4" w:space="0" w:color="000000"/>
              <w:right w:val="single" w:sz="4" w:space="0" w:color="000000"/>
            </w:tcBorders>
          </w:tcPr>
          <w:p w14:paraId="2E28265B"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Ne stiprus </w:t>
            </w:r>
          </w:p>
        </w:tc>
        <w:tc>
          <w:tcPr>
            <w:tcW w:w="2190" w:type="dxa"/>
            <w:tcBorders>
              <w:top w:val="single" w:sz="4" w:space="0" w:color="000000"/>
              <w:left w:val="single" w:sz="4" w:space="0" w:color="000000"/>
              <w:bottom w:val="single" w:sz="4" w:space="0" w:color="000000"/>
              <w:right w:val="single" w:sz="4" w:space="0" w:color="000000"/>
            </w:tcBorders>
          </w:tcPr>
          <w:p w14:paraId="555440A2"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313 (11,7) </w:t>
            </w:r>
          </w:p>
        </w:tc>
        <w:tc>
          <w:tcPr>
            <w:tcW w:w="2189" w:type="dxa"/>
            <w:tcBorders>
              <w:top w:val="single" w:sz="4" w:space="0" w:color="000000"/>
              <w:left w:val="single" w:sz="4" w:space="0" w:color="000000"/>
              <w:bottom w:val="single" w:sz="4" w:space="0" w:color="000000"/>
              <w:right w:val="single" w:sz="4" w:space="0" w:color="000000"/>
            </w:tcBorders>
          </w:tcPr>
          <w:p w14:paraId="1C405CF2"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505 (18,8) </w:t>
            </w:r>
          </w:p>
        </w:tc>
        <w:tc>
          <w:tcPr>
            <w:tcW w:w="2189" w:type="dxa"/>
            <w:tcBorders>
              <w:top w:val="single" w:sz="4" w:space="0" w:color="000000"/>
              <w:left w:val="single" w:sz="4" w:space="0" w:color="000000"/>
              <w:bottom w:val="single" w:sz="4" w:space="0" w:color="000000"/>
              <w:right w:val="single" w:sz="4" w:space="0" w:color="000000"/>
            </w:tcBorders>
          </w:tcPr>
          <w:p w14:paraId="6C3A7E70"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0,62 (0,54, 0,70) </w:t>
            </w:r>
          </w:p>
        </w:tc>
      </w:tr>
      <w:tr w:rsidR="00C95D96" w:rsidRPr="00D21DFA" w14:paraId="181FCC24" w14:textId="77777777" w:rsidTr="00446D67">
        <w:trPr>
          <w:trHeight w:val="160"/>
        </w:trPr>
        <w:tc>
          <w:tcPr>
            <w:tcW w:w="2023" w:type="dxa"/>
            <w:tcBorders>
              <w:top w:val="single" w:sz="4" w:space="0" w:color="000000"/>
              <w:left w:val="single" w:sz="4" w:space="0" w:color="000000"/>
              <w:bottom w:val="single" w:sz="4" w:space="0" w:color="000000"/>
              <w:right w:val="single" w:sz="4" w:space="0" w:color="000000"/>
            </w:tcBorders>
          </w:tcPr>
          <w:p w14:paraId="07F4BCFF"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Visi </w:t>
            </w:r>
          </w:p>
        </w:tc>
        <w:tc>
          <w:tcPr>
            <w:tcW w:w="2190" w:type="dxa"/>
            <w:tcBorders>
              <w:top w:val="single" w:sz="4" w:space="0" w:color="000000"/>
              <w:left w:val="single" w:sz="4" w:space="0" w:color="000000"/>
              <w:bottom w:val="single" w:sz="4" w:space="0" w:color="000000"/>
              <w:right w:val="single" w:sz="4" w:space="0" w:color="000000"/>
            </w:tcBorders>
          </w:tcPr>
          <w:p w14:paraId="5303459F" w14:textId="77777777" w:rsidR="00C95D96" w:rsidRPr="00D21DFA" w:rsidRDefault="00C95D96" w:rsidP="00C95D96">
            <w:pPr>
              <w:tabs>
                <w:tab w:val="left" w:pos="567"/>
              </w:tabs>
              <w:spacing w:after="0" w:line="240" w:lineRule="auto"/>
              <w:ind w:left="-122" w:right="-38"/>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402 (15,0) </w:t>
            </w:r>
          </w:p>
        </w:tc>
        <w:tc>
          <w:tcPr>
            <w:tcW w:w="2189" w:type="dxa"/>
            <w:tcBorders>
              <w:top w:val="single" w:sz="4" w:space="0" w:color="000000"/>
              <w:left w:val="single" w:sz="4" w:space="0" w:color="000000"/>
              <w:bottom w:val="single" w:sz="4" w:space="0" w:color="000000"/>
              <w:right w:val="single" w:sz="4" w:space="0" w:color="000000"/>
            </w:tcBorders>
          </w:tcPr>
          <w:p w14:paraId="3F92CD70" w14:textId="77777777" w:rsidR="00C95D96" w:rsidRPr="00D21DFA" w:rsidRDefault="00C95D96" w:rsidP="00C95D96">
            <w:pPr>
              <w:tabs>
                <w:tab w:val="left" w:pos="567"/>
              </w:tabs>
              <w:spacing w:after="0" w:line="240" w:lineRule="auto"/>
              <w:ind w:left="-44"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676 (25,1) </w:t>
            </w:r>
          </w:p>
        </w:tc>
        <w:tc>
          <w:tcPr>
            <w:tcW w:w="2189" w:type="dxa"/>
            <w:tcBorders>
              <w:top w:val="single" w:sz="4" w:space="0" w:color="000000"/>
              <w:left w:val="single" w:sz="4" w:space="0" w:color="000000"/>
              <w:bottom w:val="single" w:sz="4" w:space="0" w:color="000000"/>
              <w:right w:val="single" w:sz="4" w:space="0" w:color="000000"/>
            </w:tcBorders>
          </w:tcPr>
          <w:p w14:paraId="7DE01202" w14:textId="77777777" w:rsidR="00C95D96" w:rsidRPr="00D21DFA" w:rsidRDefault="00C95D96" w:rsidP="00C95D96">
            <w:pPr>
              <w:tabs>
                <w:tab w:val="left" w:pos="567"/>
              </w:tabs>
              <w:spacing w:after="0" w:line="240" w:lineRule="auto"/>
              <w:ind w:left="-10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0,59 (0,53, 0,66) </w:t>
            </w:r>
          </w:p>
        </w:tc>
      </w:tr>
    </w:tbl>
    <w:p w14:paraId="16E74CD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427B535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Palyginti su </w:t>
      </w:r>
      <w:proofErr w:type="spellStart"/>
      <w:r w:rsidRPr="00D21DFA">
        <w:rPr>
          <w:rFonts w:ascii="Times New Roman" w:eastAsia="Times New Roman" w:hAnsi="Times New Roman" w:cs="Times New Roman"/>
          <w:snapToGrid w:val="0"/>
          <w:kern w:val="0"/>
          <w:sz w:val="22"/>
          <w:szCs w:val="20"/>
          <w14:ligatures w14:val="none"/>
        </w:rPr>
        <w:t>enoksaparino</w:t>
      </w:r>
      <w:proofErr w:type="spellEnd"/>
      <w:r w:rsidRPr="00D21DFA">
        <w:rPr>
          <w:rFonts w:ascii="Times New Roman" w:eastAsia="Times New Roman" w:hAnsi="Times New Roman" w:cs="Times New Roman"/>
          <w:snapToGrid w:val="0"/>
          <w:kern w:val="0"/>
          <w:sz w:val="22"/>
          <w:szCs w:val="20"/>
          <w14:ligatures w14:val="none"/>
        </w:rPr>
        <w:t xml:space="preserve">/varfarino grupe, pripažinto stipraus kraujavimo ir KRNS kraujavimo iš bet kurios anatominės vietos atvejų skaičius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paprastai buvo mažesnis. Pripažintas stiprus kraujavimas iš virškinimo trakto pagal ISTH pasireiškė 6 (0,2 %)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gydytiems pacientams ir 17 (0,6 %) </w:t>
      </w:r>
      <w:proofErr w:type="spellStart"/>
      <w:r w:rsidRPr="00D21DFA">
        <w:rPr>
          <w:rFonts w:ascii="Times New Roman" w:eastAsia="Times New Roman" w:hAnsi="Times New Roman" w:cs="Times New Roman"/>
          <w:snapToGrid w:val="0"/>
          <w:kern w:val="0"/>
          <w:sz w:val="22"/>
          <w:szCs w:val="20"/>
          <w14:ligatures w14:val="none"/>
        </w:rPr>
        <w:t>enoksaparinu</w:t>
      </w:r>
      <w:proofErr w:type="spellEnd"/>
      <w:r w:rsidRPr="00D21DFA">
        <w:rPr>
          <w:rFonts w:ascii="Times New Roman" w:eastAsia="Times New Roman" w:hAnsi="Times New Roman" w:cs="Times New Roman"/>
          <w:snapToGrid w:val="0"/>
          <w:kern w:val="0"/>
          <w:sz w:val="22"/>
          <w:szCs w:val="20"/>
          <w14:ligatures w14:val="none"/>
        </w:rPr>
        <w:t xml:space="preserve">/varfarinu gydytų pacientų. </w:t>
      </w:r>
    </w:p>
    <w:p w14:paraId="1039AAF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F5FB41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i/>
          <w:snapToGrid w:val="0"/>
          <w:kern w:val="0"/>
          <w:sz w:val="22"/>
          <w:szCs w:val="20"/>
          <w:u w:val="single"/>
          <w14:ligatures w14:val="none"/>
        </w:rPr>
      </w:pPr>
      <w:r w:rsidRPr="00D21DFA">
        <w:rPr>
          <w:rFonts w:ascii="Times New Roman" w:eastAsia="Times New Roman" w:hAnsi="Times New Roman" w:cs="Times New Roman"/>
          <w:i/>
          <w:snapToGrid w:val="0"/>
          <w:kern w:val="0"/>
          <w:sz w:val="22"/>
          <w:szCs w:val="20"/>
          <w:u w:val="single"/>
          <w14:ligatures w14:val="none"/>
        </w:rPr>
        <w:t>AMPLIFY</w:t>
      </w:r>
      <w:r w:rsidRPr="00D21DFA">
        <w:rPr>
          <w:rFonts w:ascii="Times New Roman" w:eastAsia="Times New Roman" w:hAnsi="Times New Roman" w:cs="Times New Roman"/>
          <w:i/>
          <w:snapToGrid w:val="0"/>
          <w:kern w:val="0"/>
          <w:sz w:val="22"/>
          <w:szCs w:val="20"/>
          <w:u w:val="single"/>
          <w14:ligatures w14:val="none"/>
        </w:rPr>
        <w:noBreakHyphen/>
        <w:t xml:space="preserve">EXT tyrimas </w:t>
      </w:r>
    </w:p>
    <w:p w14:paraId="658BEC2E" w14:textId="00EE471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Į AMPLIFY</w:t>
      </w:r>
      <w:r w:rsidRPr="00D21DFA">
        <w:rPr>
          <w:rFonts w:ascii="Times New Roman" w:eastAsia="Times New Roman" w:hAnsi="Times New Roman" w:cs="Times New Roman"/>
          <w:snapToGrid w:val="0"/>
          <w:kern w:val="0"/>
          <w:sz w:val="22"/>
          <w:szCs w:val="20"/>
          <w14:ligatures w14:val="none"/>
        </w:rPr>
        <w:noBreakHyphen/>
        <w:t>EXT tyrimą atsitiktinės atrankos būdu iš viso buvo atrinkti 2 482 </w:t>
      </w:r>
      <w:r w:rsidR="002426C3" w:rsidRPr="00D21DFA">
        <w:rPr>
          <w:rFonts w:ascii="Times New Roman" w:eastAsia="Times New Roman" w:hAnsi="Times New Roman" w:cs="Times New Roman"/>
          <w:snapToGrid w:val="0"/>
          <w:kern w:val="0"/>
          <w:sz w:val="22"/>
          <w:szCs w:val="20"/>
          <w14:ligatures w14:val="none"/>
        </w:rPr>
        <w:t xml:space="preserve">suaugę </w:t>
      </w:r>
      <w:r w:rsidRPr="00D21DFA">
        <w:rPr>
          <w:rFonts w:ascii="Times New Roman" w:eastAsia="Times New Roman" w:hAnsi="Times New Roman" w:cs="Times New Roman"/>
          <w:snapToGrid w:val="0"/>
          <w:kern w:val="0"/>
          <w:sz w:val="22"/>
          <w:szCs w:val="20"/>
          <w14:ligatures w14:val="none"/>
        </w:rPr>
        <w:t xml:space="preserve">pacientai, kurie 12 mėnesių buvo gydomi per burną vartojamu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(du kartus per parą po 2,5 mg arba du kartus per parą po 5 mg) arba placebu po to, kai buvo baigtas 6</w:t>
      </w:r>
      <w:r w:rsidRPr="00D21DFA">
        <w:rPr>
          <w:rFonts w:ascii="Times New Roman" w:eastAsia="Times New Roman" w:hAnsi="Times New Roman" w:cs="Times New Roman"/>
          <w:snapToGrid w:val="0"/>
          <w:kern w:val="0"/>
          <w:sz w:val="22"/>
          <w:szCs w:val="20"/>
          <w14:ligatures w14:val="none"/>
        </w:rPr>
        <w:noBreakHyphen/>
        <w:t>12 mėnesių trukmės pradinis gydymas antikoaguliantais. Prieš pradėdami dalyvauti AMPLIFY</w:t>
      </w:r>
      <w:r w:rsidRPr="00D21DFA">
        <w:rPr>
          <w:rFonts w:ascii="Times New Roman" w:eastAsia="Times New Roman" w:hAnsi="Times New Roman" w:cs="Times New Roman"/>
          <w:snapToGrid w:val="0"/>
          <w:kern w:val="0"/>
          <w:sz w:val="22"/>
          <w:szCs w:val="20"/>
          <w14:ligatures w14:val="none"/>
        </w:rPr>
        <w:noBreakHyphen/>
        <w:t xml:space="preserve">EXT tyrime 836 iš šių pacientų (33,7 %) dalyvavo AMPLIFY tyrime. </w:t>
      </w:r>
    </w:p>
    <w:p w14:paraId="43F0922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23BC2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Vidutinis tiriamųjų amžius buvo 56,7 metai ir 91,7 % pacientų buvo patyrę neišprovokuotų VTE reiškinių.</w:t>
      </w:r>
    </w:p>
    <w:p w14:paraId="18F62A24"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6BB783A" w14:textId="54CD6F8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 tyrimo duomenimis, vertinant pagal svarbiausiąją vertinamąją baigtį (simptominiai pasikartojantys VTE reiškiniai [nemirtina GVT arba nemirtina PE] arba mirtis dėl </w:t>
      </w:r>
      <w:r w:rsidR="006843AB"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6843AB" w:rsidRPr="00D21DFA">
        <w:rPr>
          <w:rFonts w:ascii="Times New Roman" w:eastAsia="Times New Roman" w:hAnsi="Times New Roman" w:cs="Times New Roman"/>
          <w:snapToGrid w:val="0"/>
          <w:kern w:val="0"/>
          <w:sz w:val="22"/>
          <w:szCs w:val="20"/>
          <w14:ligatures w14:val="none"/>
        </w:rPr>
        <w:t>čių</w:t>
      </w:r>
      <w:r w:rsidRPr="00D21DFA">
        <w:rPr>
          <w:rFonts w:ascii="Times New Roman" w:eastAsia="Times New Roman" w:hAnsi="Times New Roman" w:cs="Times New Roman"/>
          <w:snapToGrid w:val="0"/>
          <w:kern w:val="0"/>
          <w:sz w:val="22"/>
          <w:szCs w:val="20"/>
          <w14:ligatures w14:val="none"/>
        </w:rPr>
        <w:t xml:space="preserve">), abi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buvo statistiškai pranašesnės už placebą (žr. 1</w:t>
      </w:r>
      <w:r w:rsidR="002426C3" w:rsidRPr="00D21DFA">
        <w:rPr>
          <w:rFonts w:ascii="Times New Roman" w:eastAsia="Times New Roman" w:hAnsi="Times New Roman" w:cs="Times New Roman"/>
          <w:snapToGrid w:val="0"/>
          <w:kern w:val="0"/>
          <w:sz w:val="22"/>
          <w:szCs w:val="20"/>
          <w14:ligatures w14:val="none"/>
        </w:rPr>
        <w:t>1</w:t>
      </w:r>
      <w:r w:rsidRPr="00D21DFA">
        <w:rPr>
          <w:rFonts w:ascii="Times New Roman" w:eastAsia="Times New Roman" w:hAnsi="Times New Roman" w:cs="Times New Roman"/>
          <w:snapToGrid w:val="0"/>
          <w:kern w:val="0"/>
          <w:sz w:val="22"/>
          <w:szCs w:val="20"/>
          <w14:ligatures w14:val="none"/>
        </w:rPr>
        <w:t xml:space="preserve"> lentelę). </w:t>
      </w:r>
    </w:p>
    <w:p w14:paraId="5100180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A74912" w14:textId="683BAFA2" w:rsidR="00C95D96" w:rsidRPr="00D21DFA" w:rsidRDefault="00C95D96"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2426C3" w:rsidRPr="00D21DFA">
        <w:rPr>
          <w:rFonts w:ascii="Times New Roman" w:eastAsia="Times New Roman" w:hAnsi="Times New Roman" w:cs="Times New Roman"/>
          <w:b/>
          <w:bCs/>
          <w:snapToGrid w:val="0"/>
          <w:kern w:val="0"/>
          <w:sz w:val="22"/>
          <w:szCs w:val="20"/>
          <w14:ligatures w14:val="none"/>
        </w:rPr>
        <w:t>1</w:t>
      </w:r>
      <w:r w:rsidRPr="00D21DFA">
        <w:rPr>
          <w:rFonts w:ascii="Times New Roman" w:eastAsia="Times New Roman" w:hAnsi="Times New Roman" w:cs="Times New Roman"/>
          <w:b/>
          <w:bCs/>
          <w:snapToGrid w:val="0"/>
          <w:kern w:val="0"/>
          <w:sz w:val="22"/>
          <w:szCs w:val="20"/>
          <w14:ligatures w14:val="none"/>
        </w:rPr>
        <w:t xml:space="preserve"> lentelė. AMPLIFY-EXT tyrimo metu gauti veiksmingumo rezultatai</w:t>
      </w:r>
    </w:p>
    <w:tbl>
      <w:tblPr>
        <w:tblW w:w="8931" w:type="dxa"/>
        <w:tblInd w:w="108" w:type="dxa"/>
        <w:tblCellMar>
          <w:top w:w="55" w:type="dxa"/>
          <w:right w:w="75" w:type="dxa"/>
        </w:tblCellMar>
        <w:tblLook w:val="04A0" w:firstRow="1" w:lastRow="0" w:firstColumn="1" w:lastColumn="0" w:noHBand="0" w:noVBand="1"/>
      </w:tblPr>
      <w:tblGrid>
        <w:gridCol w:w="1528"/>
        <w:gridCol w:w="1466"/>
        <w:gridCol w:w="1475"/>
        <w:gridCol w:w="1032"/>
        <w:gridCol w:w="1672"/>
        <w:gridCol w:w="1758"/>
      </w:tblGrid>
      <w:tr w:rsidR="00C95D96" w:rsidRPr="00D21DFA" w14:paraId="4B57FFAB"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2BAB00AC"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5A4584C0" w14:textId="77777777" w:rsidR="00C95D96" w:rsidRPr="00D21DFA" w:rsidRDefault="00C95D96" w:rsidP="00C95D96">
            <w:pPr>
              <w:tabs>
                <w:tab w:val="left" w:pos="567"/>
              </w:tabs>
              <w:spacing w:after="0" w:line="240" w:lineRule="auto"/>
              <w:ind w:left="72"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3802916B" w14:textId="77777777" w:rsidR="00C95D96" w:rsidRPr="00D21DFA" w:rsidRDefault="00C95D96" w:rsidP="00C95D96">
            <w:pPr>
              <w:tabs>
                <w:tab w:val="left" w:pos="567"/>
              </w:tabs>
              <w:spacing w:after="0" w:line="240" w:lineRule="auto"/>
              <w:ind w:left="81" w:right="-2"/>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w:t>
            </w:r>
          </w:p>
        </w:tc>
        <w:tc>
          <w:tcPr>
            <w:tcW w:w="1032" w:type="dxa"/>
            <w:tcBorders>
              <w:top w:val="single" w:sz="4" w:space="0" w:color="000000"/>
              <w:left w:val="single" w:sz="4" w:space="0" w:color="000000"/>
              <w:bottom w:val="single" w:sz="4" w:space="0" w:color="000000"/>
              <w:right w:val="single" w:sz="4" w:space="0" w:color="000000"/>
            </w:tcBorders>
          </w:tcPr>
          <w:p w14:paraId="55917D4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Placebo </w:t>
            </w:r>
          </w:p>
        </w:tc>
        <w:tc>
          <w:tcPr>
            <w:tcW w:w="3430" w:type="dxa"/>
            <w:gridSpan w:val="2"/>
            <w:tcBorders>
              <w:top w:val="single" w:sz="4" w:space="0" w:color="000000"/>
              <w:left w:val="single" w:sz="4" w:space="0" w:color="000000"/>
              <w:bottom w:val="single" w:sz="4" w:space="0" w:color="000000"/>
              <w:right w:val="single" w:sz="4" w:space="0" w:color="000000"/>
            </w:tcBorders>
          </w:tcPr>
          <w:p w14:paraId="497FEA9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Santykinė rizika (95% PI) </w:t>
            </w:r>
          </w:p>
        </w:tc>
      </w:tr>
      <w:tr w:rsidR="00C95D96" w:rsidRPr="00D21DFA" w14:paraId="412E2495" w14:textId="77777777" w:rsidTr="00446D67">
        <w:trPr>
          <w:trHeight w:val="537"/>
        </w:trPr>
        <w:tc>
          <w:tcPr>
            <w:tcW w:w="1528" w:type="dxa"/>
            <w:tcBorders>
              <w:top w:val="single" w:sz="4" w:space="0" w:color="000000"/>
              <w:left w:val="single" w:sz="4" w:space="0" w:color="000000"/>
              <w:bottom w:val="single" w:sz="4" w:space="0" w:color="000000"/>
              <w:right w:val="single" w:sz="4" w:space="0" w:color="000000"/>
            </w:tcBorders>
          </w:tcPr>
          <w:p w14:paraId="09F8284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02DE78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2,5 mg </w:t>
            </w:r>
          </w:p>
          <w:p w14:paraId="4C175D8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376B4B0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5,0 mg </w:t>
            </w:r>
          </w:p>
          <w:p w14:paraId="2A29F64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(N=813) </w:t>
            </w:r>
          </w:p>
        </w:tc>
        <w:tc>
          <w:tcPr>
            <w:tcW w:w="1032" w:type="dxa"/>
            <w:tcBorders>
              <w:top w:val="single" w:sz="4" w:space="0" w:color="000000"/>
              <w:left w:val="single" w:sz="4" w:space="0" w:color="000000"/>
              <w:bottom w:val="single" w:sz="4" w:space="0" w:color="000000"/>
              <w:right w:val="single" w:sz="4" w:space="0" w:color="000000"/>
            </w:tcBorders>
          </w:tcPr>
          <w:p w14:paraId="26D8E39F"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 </w:t>
            </w:r>
          </w:p>
          <w:p w14:paraId="69A1139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 xml:space="preserve">(N=829) </w:t>
            </w:r>
          </w:p>
        </w:tc>
        <w:tc>
          <w:tcPr>
            <w:tcW w:w="1672" w:type="dxa"/>
            <w:tcBorders>
              <w:top w:val="single" w:sz="4" w:space="0" w:color="000000"/>
              <w:left w:val="single" w:sz="4" w:space="0" w:color="000000"/>
              <w:bottom w:val="single" w:sz="4" w:space="0" w:color="000000"/>
              <w:right w:val="single" w:sz="4" w:space="0" w:color="000000"/>
            </w:tcBorders>
          </w:tcPr>
          <w:p w14:paraId="637976F9" w14:textId="77777777" w:rsidR="00C95D96" w:rsidRPr="00D21DFA" w:rsidRDefault="00C95D96" w:rsidP="00C95D96">
            <w:pPr>
              <w:tabs>
                <w:tab w:val="left" w:pos="567"/>
              </w:tabs>
              <w:spacing w:after="0" w:line="240" w:lineRule="auto"/>
              <w:ind w:left="134"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2,5 mg lyginant su placebu </w:t>
            </w:r>
          </w:p>
        </w:tc>
        <w:tc>
          <w:tcPr>
            <w:tcW w:w="1758" w:type="dxa"/>
            <w:tcBorders>
              <w:top w:val="single" w:sz="4" w:space="0" w:color="000000"/>
              <w:left w:val="single" w:sz="4" w:space="0" w:color="000000"/>
              <w:bottom w:val="single" w:sz="4" w:space="0" w:color="000000"/>
              <w:right w:val="single" w:sz="4" w:space="0" w:color="000000"/>
            </w:tcBorders>
          </w:tcPr>
          <w:p w14:paraId="45D6169B" w14:textId="77777777" w:rsidR="00C95D96" w:rsidRPr="00D21DFA" w:rsidRDefault="00C95D96" w:rsidP="00C95D96">
            <w:pPr>
              <w:tabs>
                <w:tab w:val="left" w:pos="567"/>
              </w:tabs>
              <w:spacing w:after="0" w:line="240" w:lineRule="auto"/>
              <w:ind w:left="193" w:right="-2"/>
              <w:jc w:val="center"/>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b/>
                <w:kern w:val="0"/>
                <w:sz w:val="22"/>
                <w:szCs w:val="22"/>
                <w14:ligatures w14:val="none"/>
              </w:rPr>
              <w:t>Apiksabanas</w:t>
            </w:r>
            <w:proofErr w:type="spellEnd"/>
            <w:r w:rsidRPr="00D21DFA">
              <w:rPr>
                <w:rFonts w:ascii="Times New Roman" w:eastAsia="Times New Roman" w:hAnsi="Times New Roman" w:cs="Times New Roman"/>
                <w:b/>
                <w:kern w:val="0"/>
                <w:sz w:val="22"/>
                <w:szCs w:val="22"/>
                <w14:ligatures w14:val="none"/>
              </w:rPr>
              <w:t xml:space="preserve"> 5,0 mg lyginant su placebu </w:t>
            </w:r>
          </w:p>
        </w:tc>
      </w:tr>
      <w:tr w:rsidR="00C95D96" w:rsidRPr="00D21DFA" w14:paraId="186EF52C"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223E2DA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3973" w:type="dxa"/>
            <w:gridSpan w:val="3"/>
            <w:tcBorders>
              <w:top w:val="single" w:sz="4" w:space="0" w:color="000000"/>
              <w:left w:val="single" w:sz="4" w:space="0" w:color="000000"/>
              <w:bottom w:val="single" w:sz="4" w:space="0" w:color="000000"/>
              <w:right w:val="single" w:sz="4" w:space="0" w:color="000000"/>
            </w:tcBorders>
          </w:tcPr>
          <w:p w14:paraId="466A9BD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n (%) </w:t>
            </w:r>
          </w:p>
        </w:tc>
        <w:tc>
          <w:tcPr>
            <w:tcW w:w="1672" w:type="dxa"/>
            <w:tcBorders>
              <w:top w:val="single" w:sz="4" w:space="0" w:color="000000"/>
              <w:left w:val="single" w:sz="4" w:space="0" w:color="000000"/>
              <w:bottom w:val="single" w:sz="4" w:space="0" w:color="000000"/>
              <w:right w:val="single" w:sz="4" w:space="0" w:color="000000"/>
            </w:tcBorders>
          </w:tcPr>
          <w:p w14:paraId="02E8583A"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68D5E7F"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104A8282" w14:textId="77777777" w:rsidTr="00446D67">
        <w:trPr>
          <w:trHeight w:val="889"/>
        </w:trPr>
        <w:tc>
          <w:tcPr>
            <w:tcW w:w="1528" w:type="dxa"/>
            <w:tcBorders>
              <w:top w:val="single" w:sz="4" w:space="0" w:color="000000"/>
              <w:left w:val="single" w:sz="4" w:space="0" w:color="000000"/>
              <w:bottom w:val="single" w:sz="4" w:space="0" w:color="000000"/>
              <w:right w:val="single" w:sz="4" w:space="0" w:color="000000"/>
            </w:tcBorders>
          </w:tcPr>
          <w:p w14:paraId="73C06AF4" w14:textId="577FAB9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Pasikartojantys VTE reiškiniai arba mirtis dėl </w:t>
            </w:r>
            <w:r w:rsidR="006843AB"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6843AB" w:rsidRPr="00D21DFA">
              <w:rPr>
                <w:rFonts w:ascii="Times New Roman" w:eastAsia="Times New Roman" w:hAnsi="Times New Roman" w:cs="Times New Roman"/>
                <w:snapToGrid w:val="0"/>
                <w:kern w:val="0"/>
                <w:sz w:val="22"/>
                <w:szCs w:val="20"/>
                <w14:ligatures w14:val="none"/>
              </w:rPr>
              <w:t>čių</w:t>
            </w:r>
          </w:p>
        </w:tc>
        <w:tc>
          <w:tcPr>
            <w:tcW w:w="1466" w:type="dxa"/>
            <w:tcBorders>
              <w:top w:val="single" w:sz="4" w:space="0" w:color="000000"/>
              <w:left w:val="single" w:sz="4" w:space="0" w:color="000000"/>
              <w:bottom w:val="single" w:sz="4" w:space="0" w:color="000000"/>
              <w:right w:val="single" w:sz="4" w:space="0" w:color="000000"/>
            </w:tcBorders>
          </w:tcPr>
          <w:p w14:paraId="37D407E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5C400D1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0434C4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77 (9,3) </w:t>
            </w:r>
          </w:p>
        </w:tc>
        <w:tc>
          <w:tcPr>
            <w:tcW w:w="1672" w:type="dxa"/>
            <w:tcBorders>
              <w:top w:val="single" w:sz="4" w:space="0" w:color="000000"/>
              <w:left w:val="single" w:sz="4" w:space="0" w:color="000000"/>
              <w:bottom w:val="single" w:sz="4" w:space="0" w:color="000000"/>
              <w:right w:val="single" w:sz="4" w:space="0" w:color="000000"/>
            </w:tcBorders>
          </w:tcPr>
          <w:p w14:paraId="50D3061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0,24 </w:t>
            </w:r>
          </w:p>
          <w:p w14:paraId="4A9E155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(0,15, 0,40)</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DA6B60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0,19 </w:t>
            </w:r>
          </w:p>
          <w:p w14:paraId="6FA10BB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(0,11, 0,33)</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r>
      <w:tr w:rsidR="00C95D96" w:rsidRPr="00D21DFA" w14:paraId="59648B16"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157D7CC9" w14:textId="77777777" w:rsidR="00C95D96" w:rsidRPr="00D21DFA" w:rsidRDefault="00C95D96" w:rsidP="00C95D96">
            <w:pPr>
              <w:tabs>
                <w:tab w:val="left" w:pos="567"/>
              </w:tabs>
              <w:spacing w:after="0" w:line="240" w:lineRule="auto"/>
              <w:ind w:right="-2" w:firstLine="34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0A28F068"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5F9B80E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 (0,9) </w:t>
            </w:r>
          </w:p>
        </w:tc>
        <w:tc>
          <w:tcPr>
            <w:tcW w:w="1032" w:type="dxa"/>
            <w:tcBorders>
              <w:top w:val="single" w:sz="4" w:space="0" w:color="000000"/>
              <w:left w:val="single" w:sz="4" w:space="0" w:color="000000"/>
              <w:bottom w:val="single" w:sz="4" w:space="0" w:color="000000"/>
              <w:right w:val="single" w:sz="4" w:space="0" w:color="000000"/>
            </w:tcBorders>
          </w:tcPr>
          <w:p w14:paraId="6BACDD7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61B8AC8A" w14:textId="77777777" w:rsidR="00C95D96" w:rsidRPr="00D21DFA" w:rsidRDefault="00C95D96" w:rsidP="00C95D96">
            <w:pPr>
              <w:tabs>
                <w:tab w:val="left" w:pos="567"/>
              </w:tabs>
              <w:spacing w:after="0" w:line="240" w:lineRule="auto"/>
              <w:ind w:left="2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4C01EA6" w14:textId="77777777" w:rsidR="00C95D96" w:rsidRPr="00D21DFA" w:rsidRDefault="00C95D96" w:rsidP="00C95D96">
            <w:pPr>
              <w:tabs>
                <w:tab w:val="left" w:pos="567"/>
              </w:tabs>
              <w:spacing w:after="0" w:line="240" w:lineRule="auto"/>
              <w:ind w:left="23"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571C7B7A"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0138C175" w14:textId="77777777" w:rsidR="00C95D96" w:rsidRPr="00D21DFA" w:rsidRDefault="00C95D96" w:rsidP="00C95D96">
            <w:pPr>
              <w:tabs>
                <w:tab w:val="left" w:pos="567"/>
              </w:tabs>
              <w:spacing w:after="0" w:line="240" w:lineRule="auto"/>
              <w:ind w:left="346"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PE* </w:t>
            </w:r>
          </w:p>
        </w:tc>
        <w:tc>
          <w:tcPr>
            <w:tcW w:w="1466" w:type="dxa"/>
            <w:tcBorders>
              <w:top w:val="single" w:sz="4" w:space="0" w:color="000000"/>
              <w:left w:val="single" w:sz="4" w:space="0" w:color="000000"/>
              <w:bottom w:val="single" w:sz="4" w:space="0" w:color="000000"/>
              <w:right w:val="single" w:sz="4" w:space="0" w:color="000000"/>
            </w:tcBorders>
          </w:tcPr>
          <w:p w14:paraId="79625FA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4DFC3B5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607D94D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13 (1,6) </w:t>
            </w:r>
          </w:p>
        </w:tc>
        <w:tc>
          <w:tcPr>
            <w:tcW w:w="1672" w:type="dxa"/>
            <w:tcBorders>
              <w:top w:val="single" w:sz="4" w:space="0" w:color="000000"/>
              <w:left w:val="single" w:sz="4" w:space="0" w:color="000000"/>
              <w:bottom w:val="single" w:sz="4" w:space="0" w:color="000000"/>
              <w:right w:val="single" w:sz="4" w:space="0" w:color="000000"/>
            </w:tcBorders>
          </w:tcPr>
          <w:p w14:paraId="4CC37E81"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2D8ED83"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5BF8508D" w14:textId="77777777" w:rsidTr="00446D67">
        <w:trPr>
          <w:trHeight w:val="636"/>
        </w:trPr>
        <w:tc>
          <w:tcPr>
            <w:tcW w:w="1528" w:type="dxa"/>
            <w:tcBorders>
              <w:top w:val="single" w:sz="4" w:space="0" w:color="000000"/>
              <w:left w:val="single" w:sz="4" w:space="0" w:color="000000"/>
              <w:bottom w:val="single" w:sz="4" w:space="0" w:color="000000"/>
              <w:right w:val="single" w:sz="4" w:space="0" w:color="000000"/>
            </w:tcBorders>
          </w:tcPr>
          <w:p w14:paraId="7AB9DCB3" w14:textId="3F2B5E99"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Mirtis dėl </w:t>
            </w:r>
            <w:r w:rsidR="006843AB" w:rsidRPr="00D21DFA">
              <w:rPr>
                <w:rFonts w:ascii="Times New Roman" w:eastAsia="Times New Roman" w:hAnsi="Times New Roman" w:cs="Times New Roman"/>
                <w:snapToGrid w:val="0"/>
                <w:kern w:val="0"/>
                <w:sz w:val="22"/>
                <w:szCs w:val="20"/>
                <w14:ligatures w14:val="none"/>
              </w:rPr>
              <w:t>įvairių</w:t>
            </w:r>
            <w:r w:rsidRPr="00D21DFA">
              <w:rPr>
                <w:rFonts w:ascii="Times New Roman" w:eastAsia="Times New Roman" w:hAnsi="Times New Roman" w:cs="Times New Roman"/>
                <w:snapToGrid w:val="0"/>
                <w:kern w:val="0"/>
                <w:sz w:val="22"/>
                <w:szCs w:val="20"/>
                <w14:ligatures w14:val="none"/>
              </w:rPr>
              <w:t xml:space="preserve"> priežas</w:t>
            </w:r>
            <w:r w:rsidR="006843AB" w:rsidRPr="00D21DFA">
              <w:rPr>
                <w:rFonts w:ascii="Times New Roman" w:eastAsia="Times New Roman" w:hAnsi="Times New Roman" w:cs="Times New Roman"/>
                <w:snapToGrid w:val="0"/>
                <w:kern w:val="0"/>
                <w:sz w:val="22"/>
                <w:szCs w:val="20"/>
                <w14:ligatures w14:val="none"/>
              </w:rPr>
              <w:t>čių</w:t>
            </w:r>
          </w:p>
        </w:tc>
        <w:tc>
          <w:tcPr>
            <w:tcW w:w="1466" w:type="dxa"/>
            <w:tcBorders>
              <w:top w:val="single" w:sz="4" w:space="0" w:color="000000"/>
              <w:left w:val="single" w:sz="4" w:space="0" w:color="000000"/>
              <w:bottom w:val="single" w:sz="4" w:space="0" w:color="000000"/>
              <w:right w:val="single" w:sz="4" w:space="0" w:color="000000"/>
            </w:tcBorders>
          </w:tcPr>
          <w:p w14:paraId="4754A6A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158A369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725D74E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11 (1,3) </w:t>
            </w:r>
          </w:p>
        </w:tc>
        <w:tc>
          <w:tcPr>
            <w:tcW w:w="1672" w:type="dxa"/>
            <w:tcBorders>
              <w:top w:val="single" w:sz="4" w:space="0" w:color="000000"/>
              <w:left w:val="single" w:sz="4" w:space="0" w:color="000000"/>
              <w:bottom w:val="single" w:sz="4" w:space="0" w:color="000000"/>
              <w:right w:val="single" w:sz="4" w:space="0" w:color="000000"/>
            </w:tcBorders>
          </w:tcPr>
          <w:p w14:paraId="065BB724"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078D8A1E" w14:textId="77777777" w:rsidR="00C95D96" w:rsidRPr="00D21DFA" w:rsidRDefault="00C95D96" w:rsidP="00C95D96">
            <w:pPr>
              <w:tabs>
                <w:tab w:val="left" w:pos="567"/>
              </w:tabs>
              <w:spacing w:after="0" w:line="240" w:lineRule="auto"/>
              <w:ind w:left="22"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 </w:t>
            </w:r>
          </w:p>
        </w:tc>
      </w:tr>
      <w:tr w:rsidR="00C95D96" w:rsidRPr="00D21DFA" w14:paraId="2BCECB4E" w14:textId="77777777" w:rsidTr="00446D67">
        <w:trPr>
          <w:trHeight w:val="889"/>
        </w:trPr>
        <w:tc>
          <w:tcPr>
            <w:tcW w:w="1528" w:type="dxa"/>
            <w:tcBorders>
              <w:top w:val="single" w:sz="4" w:space="0" w:color="000000"/>
              <w:left w:val="single" w:sz="4" w:space="0" w:color="000000"/>
              <w:bottom w:val="single" w:sz="4" w:space="0" w:color="000000"/>
              <w:right w:val="single" w:sz="4" w:space="0" w:color="000000"/>
            </w:tcBorders>
          </w:tcPr>
          <w:p w14:paraId="60371F24"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3DB293D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06DDE72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09F8E94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73 (8,8) </w:t>
            </w:r>
          </w:p>
        </w:tc>
        <w:tc>
          <w:tcPr>
            <w:tcW w:w="1672" w:type="dxa"/>
            <w:tcBorders>
              <w:top w:val="single" w:sz="4" w:space="0" w:color="000000"/>
              <w:left w:val="single" w:sz="4" w:space="0" w:color="000000"/>
              <w:bottom w:val="single" w:sz="4" w:space="0" w:color="000000"/>
              <w:right w:val="single" w:sz="4" w:space="0" w:color="000000"/>
            </w:tcBorders>
          </w:tcPr>
          <w:p w14:paraId="2D193DA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0,19 </w:t>
            </w:r>
          </w:p>
          <w:p w14:paraId="3C5EFDBE"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2339463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0,20 </w:t>
            </w:r>
          </w:p>
          <w:p w14:paraId="67470D1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(0,11, 0,34) </w:t>
            </w:r>
          </w:p>
        </w:tc>
      </w:tr>
      <w:tr w:rsidR="00C95D96" w:rsidRPr="00D21DFA" w14:paraId="7F8E6712" w14:textId="77777777" w:rsidTr="00446D67">
        <w:trPr>
          <w:trHeight w:val="889"/>
        </w:trPr>
        <w:tc>
          <w:tcPr>
            <w:tcW w:w="1528" w:type="dxa"/>
            <w:tcBorders>
              <w:top w:val="single" w:sz="4" w:space="0" w:color="000000"/>
              <w:left w:val="single" w:sz="4" w:space="0" w:color="000000"/>
              <w:bottom w:val="single" w:sz="4" w:space="0" w:color="000000"/>
              <w:right w:val="single" w:sz="4" w:space="0" w:color="000000"/>
            </w:tcBorders>
          </w:tcPr>
          <w:p w14:paraId="375A4AE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1DF8320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55A4BDB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14 (1,7) </w:t>
            </w:r>
          </w:p>
        </w:tc>
        <w:tc>
          <w:tcPr>
            <w:tcW w:w="1032" w:type="dxa"/>
            <w:tcBorders>
              <w:top w:val="single" w:sz="4" w:space="0" w:color="000000"/>
              <w:left w:val="single" w:sz="4" w:space="0" w:color="000000"/>
              <w:bottom w:val="single" w:sz="4" w:space="0" w:color="000000"/>
              <w:right w:val="single" w:sz="4" w:space="0" w:color="000000"/>
            </w:tcBorders>
          </w:tcPr>
          <w:p w14:paraId="2C0E062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76 (9,2) </w:t>
            </w:r>
          </w:p>
        </w:tc>
        <w:tc>
          <w:tcPr>
            <w:tcW w:w="1672" w:type="dxa"/>
            <w:tcBorders>
              <w:top w:val="single" w:sz="4" w:space="0" w:color="000000"/>
              <w:left w:val="single" w:sz="4" w:space="0" w:color="000000"/>
              <w:bottom w:val="single" w:sz="4" w:space="0" w:color="000000"/>
              <w:right w:val="single" w:sz="4" w:space="0" w:color="000000"/>
            </w:tcBorders>
          </w:tcPr>
          <w:p w14:paraId="310E80E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0,18 </w:t>
            </w:r>
          </w:p>
          <w:p w14:paraId="1474C28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5E57013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0,19 </w:t>
            </w:r>
          </w:p>
          <w:p w14:paraId="4AD59A54"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(0,11, 0,33) </w:t>
            </w:r>
          </w:p>
        </w:tc>
      </w:tr>
      <w:tr w:rsidR="00C95D96" w:rsidRPr="00D21DFA" w14:paraId="066DD080" w14:textId="77777777" w:rsidTr="00446D67">
        <w:trPr>
          <w:trHeight w:val="696"/>
        </w:trPr>
        <w:tc>
          <w:tcPr>
            <w:tcW w:w="1528" w:type="dxa"/>
            <w:tcBorders>
              <w:top w:val="single" w:sz="4" w:space="0" w:color="000000"/>
              <w:left w:val="single" w:sz="4" w:space="0" w:color="000000"/>
              <w:bottom w:val="single" w:sz="4" w:space="0" w:color="000000"/>
              <w:right w:val="single" w:sz="4" w:space="0" w:color="000000"/>
            </w:tcBorders>
          </w:tcPr>
          <w:p w14:paraId="1515269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Nemirtina</w:t>
            </w:r>
          </w:p>
          <w:p w14:paraId="67760482"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GVT</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597DC06"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1DE0A22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 (1,0) </w:t>
            </w:r>
          </w:p>
        </w:tc>
        <w:tc>
          <w:tcPr>
            <w:tcW w:w="1032" w:type="dxa"/>
            <w:tcBorders>
              <w:top w:val="single" w:sz="4" w:space="0" w:color="000000"/>
              <w:left w:val="single" w:sz="4" w:space="0" w:color="000000"/>
              <w:bottom w:val="single" w:sz="4" w:space="0" w:color="000000"/>
              <w:right w:val="single" w:sz="4" w:space="0" w:color="000000"/>
            </w:tcBorders>
          </w:tcPr>
          <w:p w14:paraId="4DB89E8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53 (6,4) </w:t>
            </w:r>
          </w:p>
        </w:tc>
        <w:tc>
          <w:tcPr>
            <w:tcW w:w="1672" w:type="dxa"/>
            <w:tcBorders>
              <w:top w:val="single" w:sz="4" w:space="0" w:color="000000"/>
              <w:left w:val="single" w:sz="4" w:space="0" w:color="000000"/>
              <w:bottom w:val="single" w:sz="4" w:space="0" w:color="000000"/>
              <w:right w:val="single" w:sz="4" w:space="0" w:color="000000"/>
            </w:tcBorders>
          </w:tcPr>
          <w:p w14:paraId="3EA7B43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0,11 </w:t>
            </w:r>
          </w:p>
          <w:p w14:paraId="42BA24EF"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7A27B51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0,15 </w:t>
            </w:r>
          </w:p>
          <w:p w14:paraId="605A61FB"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(0,07, 0,32) </w:t>
            </w:r>
          </w:p>
        </w:tc>
      </w:tr>
      <w:tr w:rsidR="00C95D96" w:rsidRPr="00D21DFA" w14:paraId="4C36B068" w14:textId="77777777" w:rsidTr="00446D67">
        <w:trPr>
          <w:trHeight w:val="383"/>
        </w:trPr>
        <w:tc>
          <w:tcPr>
            <w:tcW w:w="1528" w:type="dxa"/>
            <w:tcBorders>
              <w:top w:val="single" w:sz="4" w:space="0" w:color="000000"/>
              <w:left w:val="single" w:sz="4" w:space="0" w:color="000000"/>
              <w:bottom w:val="single" w:sz="4" w:space="0" w:color="000000"/>
              <w:right w:val="single" w:sz="4" w:space="0" w:color="000000"/>
            </w:tcBorders>
          </w:tcPr>
          <w:p w14:paraId="3DE46AB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Nemirtina PE</w:t>
            </w:r>
            <w:r w:rsidRPr="00D21DFA">
              <w:rPr>
                <w:rFonts w:ascii="Times New Roman" w:eastAsia="Times New Roman" w:hAnsi="Times New Roman" w:cs="Times New Roman"/>
                <w:kern w:val="0"/>
                <w:sz w:val="22"/>
                <w:szCs w:val="22"/>
                <w:vertAlign w:val="superscript"/>
                <w14:ligatures w14:val="none"/>
              </w:rPr>
              <w:t>†</w:t>
            </w:r>
            <w:r w:rsidRPr="00D21DFA">
              <w:rPr>
                <w:rFonts w:ascii="Times New Roman" w:eastAsia="Times New Roman" w:hAnsi="Times New Roman" w:cs="Times New Roman"/>
                <w:kern w:val="0"/>
                <w:sz w:val="22"/>
                <w:szCs w:val="22"/>
                <w14:ligatures w14:val="none"/>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EDE8209"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392F7CC5"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4 (0,5) </w:t>
            </w:r>
          </w:p>
        </w:tc>
        <w:tc>
          <w:tcPr>
            <w:tcW w:w="1032" w:type="dxa"/>
            <w:tcBorders>
              <w:top w:val="single" w:sz="4" w:space="0" w:color="000000"/>
              <w:left w:val="single" w:sz="4" w:space="0" w:color="000000"/>
              <w:bottom w:val="single" w:sz="4" w:space="0" w:color="000000"/>
              <w:right w:val="single" w:sz="4" w:space="0" w:color="000000"/>
            </w:tcBorders>
          </w:tcPr>
          <w:p w14:paraId="6DD261D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15 (1,8) </w:t>
            </w:r>
          </w:p>
        </w:tc>
        <w:tc>
          <w:tcPr>
            <w:tcW w:w="1672" w:type="dxa"/>
            <w:tcBorders>
              <w:top w:val="single" w:sz="4" w:space="0" w:color="000000"/>
              <w:left w:val="single" w:sz="4" w:space="0" w:color="000000"/>
              <w:bottom w:val="single" w:sz="4" w:space="0" w:color="000000"/>
              <w:right w:val="single" w:sz="4" w:space="0" w:color="000000"/>
            </w:tcBorders>
          </w:tcPr>
          <w:p w14:paraId="3AFF5702"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0,51 </w:t>
            </w:r>
          </w:p>
          <w:p w14:paraId="70B9B7A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(0,22, 1,21)</w:t>
            </w:r>
          </w:p>
        </w:tc>
        <w:tc>
          <w:tcPr>
            <w:tcW w:w="1758" w:type="dxa"/>
            <w:tcBorders>
              <w:top w:val="single" w:sz="4" w:space="0" w:color="000000"/>
              <w:left w:val="single" w:sz="4" w:space="0" w:color="000000"/>
              <w:bottom w:val="single" w:sz="4" w:space="0" w:color="000000"/>
              <w:right w:val="single" w:sz="4" w:space="0" w:color="000000"/>
            </w:tcBorders>
          </w:tcPr>
          <w:p w14:paraId="1FC83A6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0,27 </w:t>
            </w:r>
          </w:p>
          <w:p w14:paraId="5F75FB4D"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(0,09, 0,80)</w:t>
            </w:r>
          </w:p>
        </w:tc>
      </w:tr>
      <w:tr w:rsidR="00C95D96" w:rsidRPr="00D21DFA" w14:paraId="5B04042D" w14:textId="77777777" w:rsidTr="00446D67">
        <w:trPr>
          <w:trHeight w:val="697"/>
        </w:trPr>
        <w:tc>
          <w:tcPr>
            <w:tcW w:w="1528" w:type="dxa"/>
            <w:tcBorders>
              <w:top w:val="single" w:sz="4" w:space="0" w:color="000000"/>
              <w:left w:val="single" w:sz="4" w:space="0" w:color="000000"/>
              <w:bottom w:val="single" w:sz="4" w:space="0" w:color="000000"/>
              <w:right w:val="single" w:sz="4" w:space="0" w:color="000000"/>
            </w:tcBorders>
          </w:tcPr>
          <w:p w14:paraId="691A7426"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36E6C500"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4E2059C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3 (0,4) </w:t>
            </w:r>
          </w:p>
        </w:tc>
        <w:tc>
          <w:tcPr>
            <w:tcW w:w="1032" w:type="dxa"/>
            <w:tcBorders>
              <w:top w:val="single" w:sz="4" w:space="0" w:color="000000"/>
              <w:left w:val="single" w:sz="4" w:space="0" w:color="000000"/>
              <w:bottom w:val="single" w:sz="4" w:space="0" w:color="000000"/>
              <w:right w:val="single" w:sz="4" w:space="0" w:color="000000"/>
            </w:tcBorders>
          </w:tcPr>
          <w:p w14:paraId="4A202943"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7 (0,8) </w:t>
            </w:r>
          </w:p>
        </w:tc>
        <w:tc>
          <w:tcPr>
            <w:tcW w:w="1672" w:type="dxa"/>
            <w:tcBorders>
              <w:top w:val="single" w:sz="4" w:space="0" w:color="000000"/>
              <w:left w:val="single" w:sz="4" w:space="0" w:color="000000"/>
              <w:bottom w:val="single" w:sz="4" w:space="0" w:color="000000"/>
              <w:right w:val="single" w:sz="4" w:space="0" w:color="000000"/>
            </w:tcBorders>
          </w:tcPr>
          <w:p w14:paraId="4EDBDB9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0,28 </w:t>
            </w:r>
          </w:p>
          <w:p w14:paraId="6384DB9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7AE83917"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0,45</w:t>
            </w:r>
          </w:p>
          <w:p w14:paraId="39E32B61"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 xml:space="preserve">(0,12 1,71) </w:t>
            </w:r>
          </w:p>
        </w:tc>
      </w:tr>
    </w:tbl>
    <w:p w14:paraId="44210751" w14:textId="77777777" w:rsidR="00C95D96" w:rsidRPr="00D21DFA" w:rsidRDefault="00C95D96" w:rsidP="00C95D96">
      <w:pPr>
        <w:tabs>
          <w:tab w:val="left" w:pos="567"/>
          <w:tab w:val="left" w:pos="9214"/>
        </w:tabs>
        <w:spacing w:after="0" w:line="240" w:lineRule="auto"/>
        <w:ind w:left="142"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kern w:val="0"/>
          <w:sz w:val="22"/>
          <w:szCs w:val="22"/>
          <w:vertAlign w:val="superscript"/>
          <w14:ligatures w14:val="none"/>
        </w:rPr>
        <w:t xml:space="preserve">¥ </w:t>
      </w:r>
      <w:r w:rsidRPr="00D21DFA">
        <w:rPr>
          <w:rFonts w:ascii="Times New Roman" w:eastAsia="Times New Roman" w:hAnsi="Times New Roman" w:cs="Times New Roman"/>
          <w:snapToGrid w:val="0"/>
          <w:kern w:val="0"/>
          <w:sz w:val="22"/>
          <w:szCs w:val="22"/>
          <w14:ligatures w14:val="none"/>
        </w:rPr>
        <w:t xml:space="preserve">p vertė &lt; 0,0001 </w:t>
      </w:r>
    </w:p>
    <w:p w14:paraId="42228784" w14:textId="77777777" w:rsidR="00C95D96" w:rsidRPr="00D21DFA"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41B5ABAB" w14:textId="77777777" w:rsidR="00C95D96" w:rsidRPr="00D21DFA" w:rsidRDefault="00C95D96" w:rsidP="00C95D96">
      <w:pPr>
        <w:tabs>
          <w:tab w:val="left" w:pos="567"/>
          <w:tab w:val="left" w:pos="9214"/>
        </w:tabs>
        <w:spacing w:after="0" w:line="240" w:lineRule="auto"/>
        <w:ind w:left="270" w:right="-2" w:hanging="128"/>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Kai kuriems tiriamiesiems gali pasireikšti daugiau nei vienas reiškinys ir jie gali būti pateikti abiejose klasifikacijose.</w:t>
      </w:r>
    </w:p>
    <w:p w14:paraId="71879B5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Cs w:val="22"/>
          <w14:ligatures w14:val="none"/>
        </w:rPr>
      </w:pPr>
    </w:p>
    <w:p w14:paraId="7A5FE2E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veiksmingumas VTE pasikartojimo profilaktikai išliko panašus visuose pogrupiuose, įskaitant pagal amžių, lytį, KMI ir inkstų funkciją sudarytus pogrupius. </w:t>
      </w:r>
    </w:p>
    <w:p w14:paraId="4B9080A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1A52EB7" w14:textId="54CDB8C9"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Svarbiausioji vertinamoji baigtis buvo stiprus kraujavimas gydymo laikotarpiu. Šio tyrimo duomenys rodo, kad stipraus kraujavimo dažnis abiejų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dozių grupėse statistiškai nesiskyrė nuo to, kuris pasireiškė placebo grupėje. Tarp tų, kurie du kartus per parą vartojo po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ir placebo grupės nebuvo pastebėta statistiškai reikšmingų stipraus kraujavimo + KRNS, nestipraus kraujavimo ir visų kraujavimų dažnio skirtumų (žr. 1</w:t>
      </w:r>
      <w:r w:rsidR="002426C3" w:rsidRPr="00D21DFA">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xml:space="preserve"> lentelę).</w:t>
      </w:r>
    </w:p>
    <w:p w14:paraId="38FDC8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B14A00C" w14:textId="7336D62D" w:rsidR="00C95D96" w:rsidRPr="00D21DFA" w:rsidRDefault="00C95D96" w:rsidP="00C95D96">
      <w:pPr>
        <w:tabs>
          <w:tab w:val="left" w:pos="567"/>
          <w:tab w:val="left" w:pos="9214"/>
        </w:tabs>
        <w:spacing w:after="120" w:line="240" w:lineRule="auto"/>
        <w:ind w:left="142"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2426C3" w:rsidRPr="00D21DFA">
        <w:rPr>
          <w:rFonts w:ascii="Times New Roman" w:eastAsia="Times New Roman" w:hAnsi="Times New Roman" w:cs="Times New Roman"/>
          <w:b/>
          <w:bCs/>
          <w:snapToGrid w:val="0"/>
          <w:kern w:val="0"/>
          <w:sz w:val="22"/>
          <w:szCs w:val="20"/>
          <w14:ligatures w14:val="none"/>
        </w:rPr>
        <w:t>2</w:t>
      </w:r>
      <w:r w:rsidRPr="00D21DFA">
        <w:rPr>
          <w:rFonts w:ascii="Times New Roman" w:eastAsia="Times New Roman" w:hAnsi="Times New Roman" w:cs="Times New Roman"/>
          <w:b/>
          <w:bCs/>
          <w:snapToGrid w:val="0"/>
          <w:kern w:val="0"/>
          <w:sz w:val="22"/>
          <w:szCs w:val="20"/>
          <w14:ligatures w14:val="none"/>
        </w:rPr>
        <w:t xml:space="preserve"> lentelė. AMPLIFY-EXT tyrimo metu gauti kraujavimo rezultatai</w:t>
      </w:r>
    </w:p>
    <w:tbl>
      <w:tblPr>
        <w:tblW w:w="9072" w:type="dxa"/>
        <w:tblInd w:w="108" w:type="dxa"/>
        <w:tblCellMar>
          <w:top w:w="115" w:type="dxa"/>
          <w:right w:w="115" w:type="dxa"/>
        </w:tblCellMar>
        <w:tblLook w:val="04A0" w:firstRow="1" w:lastRow="0" w:firstColumn="1" w:lastColumn="0" w:noHBand="0" w:noVBand="1"/>
      </w:tblPr>
      <w:tblGrid>
        <w:gridCol w:w="1187"/>
        <w:gridCol w:w="1439"/>
        <w:gridCol w:w="1440"/>
        <w:gridCol w:w="1320"/>
        <w:gridCol w:w="1874"/>
        <w:gridCol w:w="1812"/>
      </w:tblGrid>
      <w:tr w:rsidR="00C95D96" w:rsidRPr="00D21DFA" w14:paraId="25704DDD" w14:textId="77777777" w:rsidTr="00446D67">
        <w:trPr>
          <w:trHeight w:val="383"/>
        </w:trPr>
        <w:tc>
          <w:tcPr>
            <w:tcW w:w="1204" w:type="dxa"/>
            <w:tcBorders>
              <w:top w:val="single" w:sz="4" w:space="0" w:color="000000"/>
              <w:left w:val="single" w:sz="4" w:space="0" w:color="000000"/>
              <w:bottom w:val="single" w:sz="4" w:space="0" w:color="000000"/>
              <w:right w:val="single" w:sz="4" w:space="0" w:color="000000"/>
            </w:tcBorders>
          </w:tcPr>
          <w:p w14:paraId="614CE79D"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E5E6A98"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r w:rsidRPr="00D21DFA">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72C2D05"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Apiksabanas</w:t>
            </w:r>
            <w:proofErr w:type="spellEnd"/>
            <w:r w:rsidRPr="00D21DFA">
              <w:rPr>
                <w:rFonts w:ascii="Times New Roman" w:eastAsia="Times New Roman" w:hAnsi="Times New Roman" w:cs="Times New Roman"/>
                <w:b/>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24C816EC" w14:textId="77777777" w:rsidR="00C95D96" w:rsidRPr="00D21DFA" w:rsidRDefault="00C95D96" w:rsidP="00C95D96">
            <w:pPr>
              <w:tabs>
                <w:tab w:val="left" w:pos="567"/>
              </w:tabs>
              <w:spacing w:after="0" w:line="240" w:lineRule="auto"/>
              <w:ind w:left="3"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2B242A1C" w14:textId="77777777" w:rsidR="00C95D96" w:rsidRPr="00D21DFA" w:rsidRDefault="00C95D96" w:rsidP="00C95D96">
            <w:pPr>
              <w:tabs>
                <w:tab w:val="left" w:pos="567"/>
              </w:tabs>
              <w:spacing w:after="0" w:line="240" w:lineRule="auto"/>
              <w:ind w:left="5"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Santykinė rizika (95 % PI) </w:t>
            </w:r>
          </w:p>
        </w:tc>
      </w:tr>
      <w:tr w:rsidR="00C95D96" w:rsidRPr="00D21DFA" w14:paraId="7A2450EC" w14:textId="77777777" w:rsidTr="00446D67">
        <w:trPr>
          <w:trHeight w:val="301"/>
        </w:trPr>
        <w:tc>
          <w:tcPr>
            <w:tcW w:w="1204" w:type="dxa"/>
            <w:tcBorders>
              <w:top w:val="single" w:sz="4" w:space="0" w:color="000000"/>
              <w:left w:val="single" w:sz="4" w:space="0" w:color="000000"/>
              <w:bottom w:val="single" w:sz="4" w:space="0" w:color="000000"/>
              <w:right w:val="single" w:sz="4" w:space="0" w:color="000000"/>
            </w:tcBorders>
          </w:tcPr>
          <w:p w14:paraId="6067DB05"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B4A307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2,5 mg </w:t>
            </w:r>
          </w:p>
          <w:p w14:paraId="38317941"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5D058568"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5,0 mg </w:t>
            </w:r>
          </w:p>
          <w:p w14:paraId="37DBDBF8"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0892963C"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 </w:t>
            </w:r>
          </w:p>
          <w:p w14:paraId="7A9A26CD" w14:textId="77777777" w:rsidR="00C95D96" w:rsidRPr="00D21DFA" w:rsidRDefault="00C95D96" w:rsidP="00C95D96">
            <w:pPr>
              <w:tabs>
                <w:tab w:val="left" w:pos="567"/>
              </w:tabs>
              <w:spacing w:after="0" w:line="240" w:lineRule="auto"/>
              <w:ind w:left="6" w:right="-2"/>
              <w:jc w:val="center"/>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2"/>
                <w14:ligatures w14:val="none"/>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06CF90B8" w14:textId="77777777" w:rsidR="00C95D96" w:rsidRPr="00D21DFA" w:rsidRDefault="00C95D96" w:rsidP="00C95D96">
            <w:pPr>
              <w:tabs>
                <w:tab w:val="left" w:pos="567"/>
              </w:tabs>
              <w:spacing w:after="0" w:line="240" w:lineRule="auto"/>
              <w:ind w:left="164"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Apiksabano</w:t>
            </w:r>
            <w:proofErr w:type="spellEnd"/>
            <w:r w:rsidRPr="00D21DFA">
              <w:rPr>
                <w:rFonts w:ascii="Times New Roman" w:eastAsia="Times New Roman" w:hAnsi="Times New Roman" w:cs="Times New Roman"/>
                <w:b/>
                <w:snapToGrid w:val="0"/>
                <w:kern w:val="0"/>
                <w:sz w:val="22"/>
                <w:szCs w:val="22"/>
                <w14:ligatures w14:val="none"/>
              </w:rPr>
              <w:t xml:space="preserve"> 2,5 mg plg. su</w:t>
            </w:r>
            <w:r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b/>
                <w:snapToGrid w:val="0"/>
                <w:kern w:val="0"/>
                <w:sz w:val="22"/>
                <w:szCs w:val="22"/>
                <w14:ligatures w14:val="none"/>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63EF9B43" w14:textId="77777777" w:rsidR="00C95D96" w:rsidRPr="00D21DFA" w:rsidRDefault="00C95D96" w:rsidP="00C95D96">
            <w:pPr>
              <w:tabs>
                <w:tab w:val="left" w:pos="567"/>
              </w:tabs>
              <w:spacing w:after="0" w:line="240" w:lineRule="auto"/>
              <w:ind w:left="282" w:right="-2"/>
              <w:jc w:val="center"/>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2"/>
                <w14:ligatures w14:val="none"/>
              </w:rPr>
              <w:t>Apiksabano</w:t>
            </w:r>
            <w:proofErr w:type="spellEnd"/>
            <w:r w:rsidRPr="00D21DFA">
              <w:rPr>
                <w:rFonts w:ascii="Times New Roman" w:eastAsia="Times New Roman" w:hAnsi="Times New Roman" w:cs="Times New Roman"/>
                <w:b/>
                <w:snapToGrid w:val="0"/>
                <w:kern w:val="0"/>
                <w:sz w:val="22"/>
                <w:szCs w:val="22"/>
                <w14:ligatures w14:val="none"/>
              </w:rPr>
              <w:t xml:space="preserve"> 5,0 mg </w:t>
            </w:r>
            <w:proofErr w:type="spellStart"/>
            <w:r w:rsidRPr="00D21DFA">
              <w:rPr>
                <w:rFonts w:ascii="Times New Roman" w:eastAsia="Times New Roman" w:hAnsi="Times New Roman" w:cs="Times New Roman"/>
                <w:b/>
                <w:snapToGrid w:val="0"/>
                <w:kern w:val="0"/>
                <w:sz w:val="22"/>
                <w:szCs w:val="22"/>
                <w14:ligatures w14:val="none"/>
              </w:rPr>
              <w:t>plg</w:t>
            </w:r>
            <w:proofErr w:type="spellEnd"/>
            <w:r w:rsidRPr="00D21DFA">
              <w:rPr>
                <w:rFonts w:ascii="Times New Roman" w:eastAsia="Times New Roman" w:hAnsi="Times New Roman" w:cs="Times New Roman"/>
                <w:b/>
                <w:snapToGrid w:val="0"/>
                <w:kern w:val="0"/>
                <w:sz w:val="22"/>
                <w:szCs w:val="22"/>
                <w14:ligatures w14:val="none"/>
              </w:rPr>
              <w:t xml:space="preserve"> su placebu</w:t>
            </w:r>
          </w:p>
        </w:tc>
      </w:tr>
      <w:tr w:rsidR="00C95D96" w:rsidRPr="00D21DFA" w14:paraId="1DB24952" w14:textId="77777777" w:rsidTr="00446D67">
        <w:trPr>
          <w:trHeight w:val="384"/>
        </w:trPr>
        <w:tc>
          <w:tcPr>
            <w:tcW w:w="1204" w:type="dxa"/>
            <w:tcBorders>
              <w:top w:val="single" w:sz="4" w:space="0" w:color="000000"/>
              <w:left w:val="single" w:sz="4" w:space="0" w:color="000000"/>
              <w:bottom w:val="single" w:sz="4" w:space="0" w:color="000000"/>
              <w:right w:val="single" w:sz="4" w:space="0" w:color="000000"/>
            </w:tcBorders>
          </w:tcPr>
          <w:p w14:paraId="5E416A0A"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0E8DE8A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75236BDD"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6AEE00A2" w14:textId="77777777" w:rsidR="00C95D96" w:rsidRPr="00D21DFA" w:rsidRDefault="00C95D96" w:rsidP="00C95D96">
            <w:pPr>
              <w:tabs>
                <w:tab w:val="left" w:pos="567"/>
              </w:tabs>
              <w:spacing w:after="0" w:line="240" w:lineRule="auto"/>
              <w:ind w:left="63"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n (%)</w:t>
            </w:r>
          </w:p>
        </w:tc>
        <w:tc>
          <w:tcPr>
            <w:tcW w:w="1926" w:type="dxa"/>
            <w:tcBorders>
              <w:top w:val="single" w:sz="4" w:space="0" w:color="000000"/>
              <w:left w:val="single" w:sz="4" w:space="0" w:color="000000"/>
              <w:bottom w:val="single" w:sz="4" w:space="0" w:color="000000"/>
              <w:right w:val="single" w:sz="4" w:space="0" w:color="000000"/>
            </w:tcBorders>
          </w:tcPr>
          <w:p w14:paraId="479B30BA" w14:textId="77777777" w:rsidR="00C95D96" w:rsidRPr="00D21DFA" w:rsidRDefault="00C95D96" w:rsidP="00C95D96">
            <w:pPr>
              <w:tabs>
                <w:tab w:val="left" w:pos="567"/>
              </w:tabs>
              <w:spacing w:after="0" w:line="240" w:lineRule="auto"/>
              <w:ind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7A91C60" w14:textId="77777777" w:rsidR="00C95D96" w:rsidRPr="00D21DFA" w:rsidRDefault="00C95D96" w:rsidP="00C95D96">
            <w:pPr>
              <w:tabs>
                <w:tab w:val="left" w:pos="567"/>
              </w:tabs>
              <w:spacing w:after="0" w:line="240" w:lineRule="auto"/>
              <w:ind w:left="63"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 </w:t>
            </w:r>
          </w:p>
        </w:tc>
      </w:tr>
      <w:tr w:rsidR="00C95D96" w:rsidRPr="00D21DFA" w14:paraId="33C572D6" w14:textId="77777777" w:rsidTr="00446D67">
        <w:trPr>
          <w:trHeight w:val="696"/>
        </w:trPr>
        <w:tc>
          <w:tcPr>
            <w:tcW w:w="1204" w:type="dxa"/>
            <w:tcBorders>
              <w:top w:val="single" w:sz="4" w:space="0" w:color="000000"/>
              <w:left w:val="single" w:sz="4" w:space="0" w:color="000000"/>
              <w:bottom w:val="single" w:sz="4" w:space="0" w:color="000000"/>
              <w:right w:val="single" w:sz="4" w:space="0" w:color="000000"/>
            </w:tcBorders>
          </w:tcPr>
          <w:p w14:paraId="5BB39C57"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14818F5F"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4965FA37"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683CED7D"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046FC8A1"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0,49 </w:t>
            </w:r>
          </w:p>
          <w:p w14:paraId="4F707166"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27BB36A4"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0,25 </w:t>
            </w:r>
          </w:p>
          <w:p w14:paraId="542BEA39"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(0,03, 2,24) </w:t>
            </w:r>
          </w:p>
        </w:tc>
      </w:tr>
      <w:tr w:rsidR="00C95D96" w:rsidRPr="00D21DFA" w14:paraId="0CF64345" w14:textId="77777777" w:rsidTr="00446D67">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38D3455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Stiprus+ </w:t>
            </w:r>
          </w:p>
          <w:p w14:paraId="1C1742D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KRNS </w:t>
            </w:r>
          </w:p>
        </w:tc>
        <w:tc>
          <w:tcPr>
            <w:tcW w:w="1368" w:type="dxa"/>
            <w:tcBorders>
              <w:top w:val="single" w:sz="4" w:space="0" w:color="000000"/>
              <w:left w:val="single" w:sz="4" w:space="0" w:color="000000"/>
              <w:bottom w:val="single" w:sz="4" w:space="0" w:color="000000"/>
              <w:right w:val="single" w:sz="4" w:space="0" w:color="000000"/>
            </w:tcBorders>
          </w:tcPr>
          <w:p w14:paraId="436CFD97"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7495383"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63159145"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4D72E53F"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1,20 </w:t>
            </w:r>
          </w:p>
          <w:p w14:paraId="4BD19247"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41E59951"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1,62 </w:t>
            </w:r>
          </w:p>
          <w:p w14:paraId="20378501"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(0,96, 2,73) </w:t>
            </w:r>
          </w:p>
        </w:tc>
      </w:tr>
      <w:tr w:rsidR="00C95D96" w:rsidRPr="00D21DFA" w14:paraId="33C52203" w14:textId="77777777" w:rsidTr="00446D67">
        <w:trPr>
          <w:trHeight w:val="695"/>
        </w:trPr>
        <w:tc>
          <w:tcPr>
            <w:tcW w:w="1204" w:type="dxa"/>
            <w:tcBorders>
              <w:top w:val="single" w:sz="4" w:space="0" w:color="000000"/>
              <w:left w:val="single" w:sz="4" w:space="0" w:color="000000"/>
              <w:bottom w:val="single" w:sz="4" w:space="0" w:color="000000"/>
              <w:right w:val="single" w:sz="4" w:space="0" w:color="000000"/>
            </w:tcBorders>
          </w:tcPr>
          <w:p w14:paraId="5E7F619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57D0C30A"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7ED72BE6"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1FBC0B85"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0C12B5A0"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1,26 </w:t>
            </w:r>
          </w:p>
          <w:p w14:paraId="44CE7977"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4016A8DD"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1,70 </w:t>
            </w:r>
          </w:p>
          <w:p w14:paraId="40590FEF"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(1,25, 2,31)  </w:t>
            </w:r>
          </w:p>
        </w:tc>
      </w:tr>
      <w:tr w:rsidR="00C95D96" w:rsidRPr="00D21DFA" w14:paraId="03E5DF51" w14:textId="77777777" w:rsidTr="00446D67">
        <w:trPr>
          <w:trHeight w:val="697"/>
        </w:trPr>
        <w:tc>
          <w:tcPr>
            <w:tcW w:w="1204" w:type="dxa"/>
            <w:tcBorders>
              <w:top w:val="single" w:sz="4" w:space="0" w:color="000000"/>
              <w:left w:val="single" w:sz="4" w:space="0" w:color="000000"/>
              <w:bottom w:val="single" w:sz="4" w:space="0" w:color="000000"/>
              <w:right w:val="single" w:sz="4" w:space="0" w:color="000000"/>
            </w:tcBorders>
          </w:tcPr>
          <w:p w14:paraId="2CB68CEE"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Visi</w:t>
            </w:r>
          </w:p>
        </w:tc>
        <w:tc>
          <w:tcPr>
            <w:tcW w:w="1368" w:type="dxa"/>
            <w:tcBorders>
              <w:top w:val="single" w:sz="4" w:space="0" w:color="000000"/>
              <w:left w:val="single" w:sz="4" w:space="0" w:color="000000"/>
              <w:bottom w:val="single" w:sz="4" w:space="0" w:color="000000"/>
              <w:right w:val="single" w:sz="4" w:space="0" w:color="000000"/>
            </w:tcBorders>
          </w:tcPr>
          <w:p w14:paraId="72495702" w14:textId="77777777" w:rsidR="00C95D96" w:rsidRPr="00D21DFA" w:rsidRDefault="00C95D96" w:rsidP="00C95D96">
            <w:pPr>
              <w:tabs>
                <w:tab w:val="left" w:pos="567"/>
              </w:tabs>
              <w:spacing w:after="0" w:line="240" w:lineRule="auto"/>
              <w:ind w:left="10"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029BCBAF" w14:textId="77777777" w:rsidR="00C95D96" w:rsidRPr="00D21DFA" w:rsidRDefault="00C95D96" w:rsidP="00C95D96">
            <w:pPr>
              <w:tabs>
                <w:tab w:val="left" w:pos="567"/>
              </w:tabs>
              <w:spacing w:after="0" w:line="240" w:lineRule="auto"/>
              <w:ind w:left="10"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2DE1B80A"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475E2BB4" w14:textId="77777777" w:rsidR="00C95D96" w:rsidRPr="00D21DFA" w:rsidRDefault="00C95D96" w:rsidP="00C95D96">
            <w:pPr>
              <w:tabs>
                <w:tab w:val="left" w:pos="567"/>
              </w:tabs>
              <w:spacing w:after="0" w:line="240" w:lineRule="auto"/>
              <w:ind w:left="9"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1,24 </w:t>
            </w:r>
          </w:p>
          <w:p w14:paraId="02BF8198" w14:textId="77777777" w:rsidR="00C95D96" w:rsidRPr="00D21DFA" w:rsidRDefault="00C95D96" w:rsidP="00C95D96">
            <w:pPr>
              <w:tabs>
                <w:tab w:val="left" w:pos="567"/>
              </w:tabs>
              <w:spacing w:after="0" w:line="240" w:lineRule="auto"/>
              <w:ind w:left="8"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07DB5899"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1,65 </w:t>
            </w:r>
          </w:p>
          <w:p w14:paraId="04E297CA" w14:textId="77777777" w:rsidR="00C95D96" w:rsidRPr="00D21DFA" w:rsidRDefault="00C95D96" w:rsidP="00C95D96">
            <w:pPr>
              <w:tabs>
                <w:tab w:val="left" w:pos="567"/>
              </w:tabs>
              <w:spacing w:after="0" w:line="240" w:lineRule="auto"/>
              <w:ind w:left="7" w:right="-2"/>
              <w:jc w:val="center"/>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(1,26, 2,16)  </w:t>
            </w:r>
          </w:p>
        </w:tc>
      </w:tr>
    </w:tbl>
    <w:p w14:paraId="24B4E0D3" w14:textId="77777777" w:rsidR="00C95D96" w:rsidRPr="00D21DFA" w:rsidRDefault="00C95D96" w:rsidP="00C95D96">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p>
    <w:p w14:paraId="4A21CCA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Pripažintas stiprus kraujavimas iš virškinimo trakto pagal ISTH pasireiškė 1 (0,1 %) pacientui, vartojusiam po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 nepasireiškė nei vienam po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du kartus per parą vartojusiam pacientui ir pasireiškė 1 (0,1 %) placebu gydytam pacientui.</w:t>
      </w:r>
    </w:p>
    <w:p w14:paraId="0DB4A3E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600C1D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Vaikų populiacija </w:t>
      </w:r>
    </w:p>
    <w:p w14:paraId="7C56BAE2" w14:textId="77777777" w:rsidR="002426C3" w:rsidRPr="00D21DFA" w:rsidRDefault="002426C3"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A6C391"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Venų tromboembolijos (VTE) gydymas ir VTE pasikartojimo profilaktika pacientams vaikams nuo</w:t>
      </w:r>
    </w:p>
    <w:p w14:paraId="40A96585" w14:textId="4A127D40"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 xml:space="preserve">28 dienų iki </w:t>
      </w:r>
      <w:r w:rsidR="00B23F6B">
        <w:rPr>
          <w:rFonts w:ascii="Times New Roman" w:eastAsia="Times New Roman" w:hAnsi="Times New Roman" w:cs="Times New Roman"/>
          <w:i/>
          <w:iCs/>
          <w:snapToGrid w:val="0"/>
          <w:kern w:val="0"/>
          <w:sz w:val="22"/>
          <w:szCs w:val="20"/>
          <w:u w:val="single"/>
          <w14:ligatures w14:val="none"/>
        </w:rPr>
        <w:t>mažiau kaip</w:t>
      </w:r>
      <w:r w:rsidR="00EC4C67">
        <w:rPr>
          <w:rFonts w:ascii="Times New Roman" w:eastAsia="Times New Roman" w:hAnsi="Times New Roman" w:cs="Times New Roman"/>
          <w:i/>
          <w:iCs/>
          <w:snapToGrid w:val="0"/>
          <w:kern w:val="0"/>
          <w:sz w:val="22"/>
          <w:szCs w:val="20"/>
          <w:u w:val="single"/>
          <w14:ligatures w14:val="none"/>
        </w:rPr>
        <w:t> </w:t>
      </w:r>
      <w:r w:rsidRPr="00D21DFA">
        <w:rPr>
          <w:rFonts w:ascii="Times New Roman" w:eastAsia="Times New Roman" w:hAnsi="Times New Roman" w:cs="Times New Roman"/>
          <w:i/>
          <w:iCs/>
          <w:snapToGrid w:val="0"/>
          <w:kern w:val="0"/>
          <w:sz w:val="22"/>
          <w:szCs w:val="20"/>
          <w:u w:val="single"/>
          <w14:ligatures w14:val="none"/>
        </w:rPr>
        <w:t>18 metų</w:t>
      </w:r>
    </w:p>
    <w:p w14:paraId="38D1BBC8" w14:textId="31ADBF3D"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Tyrimas CV185325 buvo atsitiktinių imčių, aktyviai kontroliuojamas, atviras, </w:t>
      </w:r>
      <w:proofErr w:type="spellStart"/>
      <w:r w:rsidRPr="00D21DFA">
        <w:rPr>
          <w:rFonts w:ascii="Times New Roman" w:eastAsia="Times New Roman" w:hAnsi="Times New Roman" w:cs="Times New Roman"/>
          <w:snapToGrid w:val="0"/>
          <w:kern w:val="0"/>
          <w:sz w:val="22"/>
          <w:szCs w:val="20"/>
          <w14:ligatures w14:val="none"/>
        </w:rPr>
        <w:t>daugiacentris</w:t>
      </w:r>
      <w:proofErr w:type="spellEnd"/>
      <w:r w:rsidRPr="00D21DFA">
        <w:rPr>
          <w:rFonts w:ascii="Times New Roman" w:eastAsia="Times New Roman" w:hAnsi="Times New Roman" w:cs="Times New Roman"/>
          <w:snapToGrid w:val="0"/>
          <w:kern w:val="0"/>
          <w:sz w:val="22"/>
          <w:szCs w:val="20"/>
          <w14:ligatures w14:val="none"/>
        </w:rPr>
        <w:t xml:space="preserve"> tyrimas, skirtas įvertinti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vartojimą pacientų vaikų VTE gydymui. Šiame aprašomajame veiksmingumo ir saugumo tyrime dalyvavo 217 pacientų vaikų, kuriems reikėjo </w:t>
      </w:r>
      <w:proofErr w:type="spellStart"/>
      <w:r w:rsidRPr="00D21DFA">
        <w:rPr>
          <w:rFonts w:ascii="Times New Roman" w:eastAsia="Times New Roman" w:hAnsi="Times New Roman" w:cs="Times New Roman"/>
          <w:snapToGrid w:val="0"/>
          <w:kern w:val="0"/>
          <w:sz w:val="22"/>
          <w:szCs w:val="20"/>
          <w14:ligatures w14:val="none"/>
        </w:rPr>
        <w:t>antikoaguliacinio</w:t>
      </w:r>
      <w:proofErr w:type="spellEnd"/>
      <w:r w:rsidRPr="00D21DFA">
        <w:rPr>
          <w:rFonts w:ascii="Times New Roman" w:eastAsia="Times New Roman" w:hAnsi="Times New Roman" w:cs="Times New Roman"/>
          <w:snapToGrid w:val="0"/>
          <w:kern w:val="0"/>
          <w:sz w:val="22"/>
          <w:szCs w:val="20"/>
          <w14:ligatures w14:val="none"/>
        </w:rPr>
        <w:t xml:space="preserve"> gydymo dėl VTE ir dėl VTE pasikartojimo profilaktikos; 137 pacientai pateko į 1</w:t>
      </w:r>
      <w:r w:rsidRPr="00D21DFA">
        <w:rPr>
          <w:rFonts w:ascii="Times New Roman" w:eastAsia="Times New Roman" w:hAnsi="Times New Roman" w:cs="Times New Roman"/>
          <w:snapToGrid w:val="0"/>
          <w:kern w:val="0"/>
          <w:sz w:val="22"/>
          <w:szCs w:val="20"/>
          <w14:ligatures w14:val="none"/>
        </w:rPr>
        <w:noBreakHyphen/>
        <w:t>ąją amžiaus grupę (nuo 12 iki &lt; 18 metų), 44 pacientai – į 2</w:t>
      </w:r>
      <w:r w:rsidRPr="00D21DFA">
        <w:rPr>
          <w:rFonts w:ascii="Times New Roman" w:eastAsia="Times New Roman" w:hAnsi="Times New Roman" w:cs="Times New Roman"/>
          <w:snapToGrid w:val="0"/>
          <w:kern w:val="0"/>
          <w:sz w:val="22"/>
          <w:szCs w:val="20"/>
          <w14:ligatures w14:val="none"/>
        </w:rPr>
        <w:noBreakHyphen/>
        <w:t>ąją amžiaus grupę (nuo 2 iki &lt; 12 metų), 32 pacientai – į 3</w:t>
      </w:r>
      <w:r w:rsidRPr="00D21DFA">
        <w:rPr>
          <w:rFonts w:ascii="Times New Roman" w:eastAsia="Times New Roman" w:hAnsi="Times New Roman" w:cs="Times New Roman"/>
          <w:snapToGrid w:val="0"/>
          <w:kern w:val="0"/>
          <w:sz w:val="22"/>
          <w:szCs w:val="20"/>
          <w14:ligatures w14:val="none"/>
        </w:rPr>
        <w:noBreakHyphen/>
        <w:t>iąją amžiaus grupę (nuo 28 dienų iki &lt; 2 metų) ir 4 pacientai – į 4</w:t>
      </w:r>
      <w:r w:rsidRPr="00D21DFA">
        <w:rPr>
          <w:rFonts w:ascii="Times New Roman" w:eastAsia="Times New Roman" w:hAnsi="Times New Roman" w:cs="Times New Roman"/>
          <w:snapToGrid w:val="0"/>
          <w:kern w:val="0"/>
          <w:sz w:val="22"/>
          <w:szCs w:val="20"/>
          <w14:ligatures w14:val="none"/>
        </w:rPr>
        <w:noBreakHyphen/>
        <w:t>ąją amžiaus grupę (nuo gimimo iki &lt; 28 dienų). Pradinė VTE buvo patvirtinta vaizdiniu tyrimu ir nepriklausomai įvertinta. Prieš</w:t>
      </w:r>
      <w:r w:rsidR="00D13844">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randomizaciją</w:t>
      </w:r>
      <w:proofErr w:type="spellEnd"/>
      <w:r w:rsidRPr="00D21DFA">
        <w:rPr>
          <w:rFonts w:ascii="Times New Roman" w:eastAsia="Times New Roman" w:hAnsi="Times New Roman" w:cs="Times New Roman"/>
          <w:snapToGrid w:val="0"/>
          <w:kern w:val="0"/>
          <w:sz w:val="22"/>
          <w:szCs w:val="20"/>
          <w14:ligatures w14:val="none"/>
        </w:rPr>
        <w:t xml:space="preserve"> pacientai gavo standartinį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gydymą iki 14 dienų (vidutinė standartinio </w:t>
      </w:r>
      <w:proofErr w:type="spellStart"/>
      <w:r w:rsidRPr="00D21DFA">
        <w:rPr>
          <w:rFonts w:ascii="Times New Roman" w:eastAsia="Times New Roman" w:hAnsi="Times New Roman" w:cs="Times New Roman"/>
          <w:snapToGrid w:val="0"/>
          <w:kern w:val="0"/>
          <w:sz w:val="22"/>
          <w:szCs w:val="20"/>
          <w14:ligatures w14:val="none"/>
        </w:rPr>
        <w:t>antikoaguliacinio</w:t>
      </w:r>
      <w:proofErr w:type="spellEnd"/>
      <w:r w:rsidRPr="00D21DFA">
        <w:rPr>
          <w:rFonts w:ascii="Times New Roman" w:eastAsia="Times New Roman" w:hAnsi="Times New Roman" w:cs="Times New Roman"/>
          <w:snapToGrid w:val="0"/>
          <w:kern w:val="0"/>
          <w:sz w:val="22"/>
          <w:szCs w:val="20"/>
          <w14:ligatures w14:val="none"/>
        </w:rPr>
        <w:t xml:space="preserve"> gydymo trukmė (SN) prieš tiriamojo vaistinio preparato vartojimo pradžią buvo 4,8 (2,5) dienos, o 92,3 % pacientų tyrimą pradėjo po ≤ 7 dienų). Pacientai buvo santykiu 2:1 </w:t>
      </w:r>
      <w:proofErr w:type="spellStart"/>
      <w:r w:rsidRPr="00D21DFA">
        <w:rPr>
          <w:rFonts w:ascii="Times New Roman" w:eastAsia="Times New Roman" w:hAnsi="Times New Roman" w:cs="Times New Roman"/>
          <w:snapToGrid w:val="0"/>
          <w:kern w:val="0"/>
          <w:sz w:val="22"/>
          <w:szCs w:val="20"/>
          <w14:ligatures w14:val="none"/>
        </w:rPr>
        <w:t>randomizuoti</w:t>
      </w:r>
      <w:proofErr w:type="spellEnd"/>
      <w:r w:rsidRPr="00D21DFA">
        <w:rPr>
          <w:rFonts w:ascii="Times New Roman" w:eastAsia="Times New Roman" w:hAnsi="Times New Roman" w:cs="Times New Roman"/>
          <w:snapToGrid w:val="0"/>
          <w:kern w:val="0"/>
          <w:sz w:val="22"/>
          <w:szCs w:val="20"/>
          <w14:ligatures w14:val="none"/>
        </w:rPr>
        <w:t xml:space="preserve"> vartoti pagal amžių pritaikytą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formą (dozės koreguotos pagal svorį, kad atitiktų dozavimą suaugusiesiems, kai iš pradžių skiriama įsotinamoji 10 mg dozė du kartus per parą 7 paras, o paskui po 5 mg du kartus per parą) arba gauti standartinį gydymą (SG). Pacientams nuo 2 iki &lt; 18 metų SG sudarė mažos molekulinės masės heparinai (MMMH), </w:t>
      </w:r>
      <w:proofErr w:type="spellStart"/>
      <w:r w:rsidRPr="00D21DFA">
        <w:rPr>
          <w:rFonts w:ascii="Times New Roman" w:eastAsia="Times New Roman" w:hAnsi="Times New Roman" w:cs="Times New Roman"/>
          <w:snapToGrid w:val="0"/>
          <w:kern w:val="0"/>
          <w:sz w:val="22"/>
          <w:szCs w:val="20"/>
          <w14:ligatures w14:val="none"/>
        </w:rPr>
        <w:t>nefrakcionuoti</w:t>
      </w:r>
      <w:proofErr w:type="spellEnd"/>
      <w:r w:rsidRPr="00D21DFA">
        <w:rPr>
          <w:rFonts w:ascii="Times New Roman" w:eastAsia="Times New Roman" w:hAnsi="Times New Roman" w:cs="Times New Roman"/>
          <w:snapToGrid w:val="0"/>
          <w:kern w:val="0"/>
          <w:sz w:val="22"/>
          <w:szCs w:val="20"/>
          <w14:ligatures w14:val="none"/>
        </w:rPr>
        <w:t xml:space="preserve"> heparinai (NFH) arba vitamino K antagonistai (VKA). Pacientams, kurių amžius nuo 28 dienų iki &lt; 2 metų, SG</w:t>
      </w:r>
      <w:r w:rsidR="00D13844">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apsiribos heparinais (NFH arba MMMH). Pagrindinis gydymo etapas truko nuo 42 iki 84 dienų</w:t>
      </w:r>
      <w:r w:rsidR="002259A5">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&lt; 2 metų pacientams ir 84 dienas &gt; 2 metų pacientams. Nuo 28 dienų iki &lt; 18 metų</w:t>
      </w:r>
      <w:r w:rsidR="002259A5">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pacientai, kurie buvo </w:t>
      </w:r>
      <w:proofErr w:type="spellStart"/>
      <w:r w:rsidRPr="00D21DFA">
        <w:rPr>
          <w:rFonts w:ascii="Times New Roman" w:eastAsia="Times New Roman" w:hAnsi="Times New Roman" w:cs="Times New Roman"/>
          <w:snapToGrid w:val="0"/>
          <w:kern w:val="0"/>
          <w:sz w:val="22"/>
          <w:szCs w:val="20"/>
          <w14:ligatures w14:val="none"/>
        </w:rPr>
        <w:t>randomizuoti</w:t>
      </w:r>
      <w:proofErr w:type="spellEnd"/>
      <w:r w:rsidRPr="00D21DFA">
        <w:rPr>
          <w:rFonts w:ascii="Times New Roman" w:eastAsia="Times New Roman" w:hAnsi="Times New Roman" w:cs="Times New Roman"/>
          <w:snapToGrid w:val="0"/>
          <w:kern w:val="0"/>
          <w:sz w:val="22"/>
          <w:szCs w:val="20"/>
          <w14:ligatures w14:val="none"/>
        </w:rPr>
        <w:t xml:space="preserve"> vartoti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xml:space="preserve">, turėjo galimybę tęsti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002259A5">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vartojimą dar nuo 6 iki 12 savaičių tęstiniame etape.</w:t>
      </w:r>
    </w:p>
    <w:p w14:paraId="611DB162"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B2AF29D"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2 (2,8 %) pacientai SG grupėje patyrė bent 1 nepriklausomų vertintojų patvirtintą simptominį arba nesimptominį VTE pasikartojimo reiškinį.</w:t>
      </w:r>
    </w:p>
    <w:p w14:paraId="49AA4E19"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582DF7D"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Ekspozicijos trukmės mediana 143 gydytiems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84,0 dienos. Ekspozicija buvo ilgesnė nei 84 dienos 67 pacientams (46,9 %). Pagrindinė (pirminė) saugumo vertinamoji baigtis, kurią sudarė sudėtinis stipraus ir KRNS kraujavimo rodiklis, buvo fiksuota 2 (1,4 %) pacientams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plg. su 1 (1,4 %) pacientu SG grupėje, o RS buvo 0,99 (95 % PI 0,1;10,8). Visais atvejais tai buvo susiję su KRNS kraujavimu. Mažas kraujavimas pasireiškė 51 (35,7 %) pacientui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ir 21 (29,6 %) pacientui SG grupėje, o RS buvo 1,19 (95 %  PI 0,8; 1,8).</w:t>
      </w:r>
    </w:p>
    <w:p w14:paraId="28C4800D"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5712AB2"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Dideliu kraujavimu buvo apibūdinamas kraujavimas, atitinkantis vieną ar daugiau iš šių kriterijų: i) mirtinas kraujavimas; ii) kliniškai ryškus kraujavimas, susijęs su hemoglobino (HB) koncentracijos sumažėjimu bent 20 g/l (2 g/dl) per 24 valandas; iii) kraujavimas, kuris yra </w:t>
      </w:r>
      <w:proofErr w:type="spellStart"/>
      <w:r w:rsidRPr="00D21DFA">
        <w:rPr>
          <w:rFonts w:ascii="Times New Roman" w:eastAsia="Times New Roman" w:hAnsi="Times New Roman" w:cs="Times New Roman"/>
          <w:snapToGrid w:val="0"/>
          <w:kern w:val="0"/>
          <w:sz w:val="22"/>
          <w:szCs w:val="20"/>
          <w14:ligatures w14:val="none"/>
        </w:rPr>
        <w:t>retroperitoninis</w:t>
      </w:r>
      <w:proofErr w:type="spellEnd"/>
      <w:r w:rsidRPr="00D21DFA">
        <w:rPr>
          <w:rFonts w:ascii="Times New Roman" w:eastAsia="Times New Roman" w:hAnsi="Times New Roman" w:cs="Times New Roman"/>
          <w:snapToGrid w:val="0"/>
          <w:kern w:val="0"/>
          <w:sz w:val="22"/>
          <w:szCs w:val="20"/>
          <w14:ligatures w14:val="none"/>
        </w:rPr>
        <w:t xml:space="preserve">, plaučių, </w:t>
      </w:r>
      <w:proofErr w:type="spellStart"/>
      <w:r w:rsidRPr="00D21DFA">
        <w:rPr>
          <w:rFonts w:ascii="Times New Roman" w:eastAsia="Times New Roman" w:hAnsi="Times New Roman" w:cs="Times New Roman"/>
          <w:snapToGrid w:val="0"/>
          <w:kern w:val="0"/>
          <w:sz w:val="22"/>
          <w:szCs w:val="20"/>
          <w14:ligatures w14:val="none"/>
        </w:rPr>
        <w:t>intrakranijinis</w:t>
      </w:r>
      <w:proofErr w:type="spellEnd"/>
      <w:r w:rsidRPr="00D21DFA">
        <w:rPr>
          <w:rFonts w:ascii="Times New Roman" w:eastAsia="Times New Roman" w:hAnsi="Times New Roman" w:cs="Times New Roman"/>
          <w:snapToGrid w:val="0"/>
          <w:kern w:val="0"/>
          <w:sz w:val="22"/>
          <w:szCs w:val="20"/>
          <w14:ligatures w14:val="none"/>
        </w:rPr>
        <w:t xml:space="preserve"> ar kitaip susijęs su centrine nervų sistema; iv) kraujavimas, dėl kurio reikia chirurginės intervencijos operacinėje (įskaitant intervencinę radiologiją).</w:t>
      </w:r>
    </w:p>
    <w:p w14:paraId="317FBC71"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C6D035C"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Kraujavimas iš KRNS buvo apibrėžiamas kaip kraujavimas, kuris atitinka vieną arba abu toliau nurodytų požymių: (i) akivaizdus kraujavimas, dėl kurio skiriamas kraujo preparatas ir kuris nėra tiesiogiai susijęs su tiriamojo sveikatos būkle, ir (ii) kraujavimas, kuriam reikia medicininės ar chirurginės intervencijos, kad būtų atkurta hemostazė, išskyrus operacinę.</w:t>
      </w:r>
    </w:p>
    <w:p w14:paraId="4D269EC3"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A57D79"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Mažas kraujavimas buvo apibrėžiamas kaip bet koks akivaizdus ar </w:t>
      </w:r>
      <w:proofErr w:type="spellStart"/>
      <w:r w:rsidRPr="00D21DFA">
        <w:rPr>
          <w:rFonts w:ascii="Times New Roman" w:eastAsia="Times New Roman" w:hAnsi="Times New Roman" w:cs="Times New Roman"/>
          <w:snapToGrid w:val="0"/>
          <w:kern w:val="0"/>
          <w:sz w:val="22"/>
          <w:szCs w:val="20"/>
          <w14:ligatures w14:val="none"/>
        </w:rPr>
        <w:t>makroskopinis</w:t>
      </w:r>
      <w:proofErr w:type="spellEnd"/>
      <w:r w:rsidRPr="00D21DFA">
        <w:rPr>
          <w:rFonts w:ascii="Times New Roman" w:eastAsia="Times New Roman" w:hAnsi="Times New Roman" w:cs="Times New Roman"/>
          <w:snapToGrid w:val="0"/>
          <w:kern w:val="0"/>
          <w:sz w:val="22"/>
          <w:szCs w:val="20"/>
          <w14:ligatures w14:val="none"/>
        </w:rPr>
        <w:t xml:space="preserve"> kraujavimas, neatitinkantis pirmiau nurodytų didelio kraujavimo arba kliniškai reikšmingo nedidelio kraujavimo kriterijų. Mėnesinių kraujavimas buvo priskiriamas prie mažų kraujavimų, o ne prie kliniškai reikšmingų nedidelių kraujavimų.</w:t>
      </w:r>
    </w:p>
    <w:p w14:paraId="30CB749B"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453C7F"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Tarp 53 pacientų, kurie perėjo į tęstinį etapą ir vartojo </w:t>
      </w:r>
      <w:proofErr w:type="spellStart"/>
      <w:r w:rsidRPr="00D21DFA">
        <w:rPr>
          <w:rFonts w:ascii="Times New Roman" w:eastAsia="Times New Roman" w:hAnsi="Times New Roman" w:cs="Times New Roman"/>
          <w:snapToGrid w:val="0"/>
          <w:kern w:val="0"/>
          <w:sz w:val="22"/>
          <w:szCs w:val="20"/>
          <w14:ligatures w14:val="none"/>
        </w:rPr>
        <w:t>apiksabaną</w:t>
      </w:r>
      <w:proofErr w:type="spellEnd"/>
      <w:r w:rsidRPr="00D21DFA">
        <w:rPr>
          <w:rFonts w:ascii="Times New Roman" w:eastAsia="Times New Roman" w:hAnsi="Times New Roman" w:cs="Times New Roman"/>
          <w:snapToGrid w:val="0"/>
          <w:kern w:val="0"/>
          <w:sz w:val="22"/>
          <w:szCs w:val="20"/>
          <w14:ligatures w14:val="none"/>
        </w:rPr>
        <w:t>, simptominės ir nesimptominės pasikartojančios VTE ar su VTE susijusios mirties atvejų neužfiksuota. Tęstinio etapo metu nė vienas pacientas nepatyrė nepriklausomų vertintojų patvirtinto stipraus ar KRNS kraujavimo reiškinio.</w:t>
      </w:r>
    </w:p>
    <w:p w14:paraId="632E93F9"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Aštuoni (8/53; 15,1 %) pacientai tęstinio etapo metu patyrė mažo kraujavimo reiškinius.</w:t>
      </w:r>
    </w:p>
    <w:p w14:paraId="0CEFAE5F"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201301A"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629F3B1F"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AC00C3" w14:textId="77777777" w:rsidR="002426C3" w:rsidRPr="00D21DFA" w:rsidRDefault="002426C3" w:rsidP="002426C3">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w:t>
      </w:r>
    </w:p>
    <w:p w14:paraId="6C167EA6" w14:textId="77777777" w:rsidR="002426C3" w:rsidRPr="00D21DFA" w:rsidRDefault="002426C3"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44774F" w14:textId="7BA26BE5" w:rsidR="00C95D96" w:rsidRPr="00D21DFA" w:rsidRDefault="00D50421"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t xml:space="preserve"> </w:t>
      </w:r>
      <w:r w:rsidRPr="00D21DFA">
        <w:rPr>
          <w:rFonts w:ascii="Times New Roman" w:eastAsia="Times New Roman" w:hAnsi="Times New Roman" w:cs="Times New Roman"/>
          <w:snapToGrid w:val="0"/>
          <w:kern w:val="0"/>
          <w:sz w:val="22"/>
          <w:szCs w:val="20"/>
          <w14:ligatures w14:val="none"/>
        </w:rPr>
        <w:t>Patvirtintos pediatrinės indikacijos pirminei VTE profilaktikai nėra.</w:t>
      </w:r>
    </w:p>
    <w:p w14:paraId="47A21918"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 xml:space="preserve">VTE profilaktika vaikų populiacijos pacientams, sergantiems ūmine </w:t>
      </w:r>
      <w:proofErr w:type="spellStart"/>
      <w:r w:rsidRPr="00D21DFA">
        <w:rPr>
          <w:rFonts w:ascii="Times New Roman" w:eastAsia="Times New Roman" w:hAnsi="Times New Roman" w:cs="Times New Roman"/>
          <w:i/>
          <w:iCs/>
          <w:snapToGrid w:val="0"/>
          <w:kern w:val="0"/>
          <w:sz w:val="22"/>
          <w:szCs w:val="20"/>
          <w:u w:val="single"/>
          <w14:ligatures w14:val="none"/>
        </w:rPr>
        <w:t>limfoblastine</w:t>
      </w:r>
      <w:proofErr w:type="spellEnd"/>
      <w:r w:rsidRPr="00D21DFA">
        <w:rPr>
          <w:rFonts w:ascii="Times New Roman" w:eastAsia="Times New Roman" w:hAnsi="Times New Roman" w:cs="Times New Roman"/>
          <w:i/>
          <w:iCs/>
          <w:snapToGrid w:val="0"/>
          <w:kern w:val="0"/>
          <w:sz w:val="22"/>
          <w:szCs w:val="20"/>
          <w:u w:val="single"/>
          <w14:ligatures w14:val="none"/>
        </w:rPr>
        <w:t xml:space="preserve"> leukemija arba </w:t>
      </w:r>
      <w:proofErr w:type="spellStart"/>
      <w:r w:rsidRPr="00D21DFA">
        <w:rPr>
          <w:rFonts w:ascii="Times New Roman" w:eastAsia="Times New Roman" w:hAnsi="Times New Roman" w:cs="Times New Roman"/>
          <w:i/>
          <w:iCs/>
          <w:snapToGrid w:val="0"/>
          <w:kern w:val="0"/>
          <w:sz w:val="22"/>
          <w:szCs w:val="20"/>
          <w:u w:val="single"/>
          <w14:ligatures w14:val="none"/>
        </w:rPr>
        <w:t>limfoblastine</w:t>
      </w:r>
      <w:proofErr w:type="spellEnd"/>
      <w:r w:rsidRPr="00D21DFA">
        <w:rPr>
          <w:rFonts w:ascii="Times New Roman" w:eastAsia="Times New Roman" w:hAnsi="Times New Roman" w:cs="Times New Roman"/>
          <w:i/>
          <w:iCs/>
          <w:snapToGrid w:val="0"/>
          <w:kern w:val="0"/>
          <w:sz w:val="22"/>
          <w:szCs w:val="20"/>
          <w:u w:val="single"/>
          <w14:ligatures w14:val="none"/>
        </w:rPr>
        <w:t xml:space="preserve"> limfoma (ŪLL, LL)</w:t>
      </w:r>
    </w:p>
    <w:p w14:paraId="30A99040" w14:textId="21123A96"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Atliekant tyrimą PREVAPIX-ALL, iš viso 512 naujai diagnozuota ŪLL arba LL sergančių pacientų, kurių amžius nuo ≥ 1 iki &lt; 18 metų ir kuriems taikoma indukcinė chemoterapija (įskaitant </w:t>
      </w:r>
      <w:proofErr w:type="spellStart"/>
      <w:r w:rsidRPr="00D21DFA">
        <w:rPr>
          <w:rFonts w:ascii="Times New Roman" w:eastAsia="Times New Roman" w:hAnsi="Times New Roman" w:cs="Times New Roman"/>
          <w:snapToGrid w:val="0"/>
          <w:kern w:val="0"/>
          <w:sz w:val="22"/>
          <w:szCs w:val="20"/>
          <w14:ligatures w14:val="none"/>
        </w:rPr>
        <w:t>asparaginazės</w:t>
      </w:r>
      <w:proofErr w:type="spellEnd"/>
      <w:r w:rsidRPr="00D21DFA">
        <w:rPr>
          <w:rFonts w:ascii="Times New Roman" w:eastAsia="Times New Roman" w:hAnsi="Times New Roman" w:cs="Times New Roman"/>
          <w:snapToGrid w:val="0"/>
          <w:kern w:val="0"/>
          <w:sz w:val="22"/>
          <w:szCs w:val="20"/>
          <w14:ligatures w14:val="none"/>
        </w:rPr>
        <w:t xml:space="preserve"> leidimą nuolatiniu centrinės venos prieigos įrenginiu), atsitiktinių imčių būdu, santykiu 1:1, suskirstyti į atvirojo gydymo trombozės profilaktikai grupes: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arba standartinės priežiūros (neskiriant sisteminių antikoaguliantų).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vartotas pagal kūno masę nustatomos fiksuotos dozės režimu, kurį taikant susidaro ekspozicija, panaši į susidarančią suaugusiesiems, vartojantiems po 2,5 mg du kartus per parą (žr. 1</w:t>
      </w:r>
      <w:r w:rsidR="00D50421" w:rsidRPr="00D21DFA">
        <w:rPr>
          <w:rFonts w:ascii="Times New Roman" w:eastAsia="Times New Roman" w:hAnsi="Times New Roman" w:cs="Times New Roman"/>
          <w:snapToGrid w:val="0"/>
          <w:kern w:val="0"/>
          <w:sz w:val="22"/>
          <w:szCs w:val="20"/>
          <w14:ligatures w14:val="none"/>
        </w:rPr>
        <w:t>3</w:t>
      </w:r>
      <w:r w:rsidRPr="00D21DFA">
        <w:rPr>
          <w:rFonts w:ascii="Times New Roman" w:eastAsia="Times New Roman" w:hAnsi="Times New Roman" w:cs="Times New Roman"/>
          <w:snapToGrid w:val="0"/>
          <w:kern w:val="0"/>
          <w:sz w:val="22"/>
          <w:szCs w:val="20"/>
          <w14:ligatures w14:val="none"/>
        </w:rPr>
        <w:t xml:space="preserve"> lentelę).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skirta 2,5 mg tablečių, 0,5 mg tablečių arba 0,4 mg/ml geriamojo tirpalo forma. Ekspozicijos trukmės mediana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25 paros.</w:t>
      </w:r>
      <w:r w:rsidRPr="00D21DFA">
        <w:rPr>
          <w:rFonts w:ascii="Times New Roman" w:eastAsia="Times New Roman" w:hAnsi="Times New Roman" w:cs="Times New Roman"/>
          <w:snapToGrid w:val="0"/>
          <w:kern w:val="0"/>
          <w:sz w:val="22"/>
          <w:szCs w:val="20"/>
          <w14:ligatures w14:val="none"/>
        </w:rPr>
        <w:cr/>
      </w:r>
    </w:p>
    <w:p w14:paraId="740FBB9E" w14:textId="535E52D9" w:rsidR="00C95D96" w:rsidRPr="00D21DFA" w:rsidRDefault="00C95D96" w:rsidP="00C95D96">
      <w:pPr>
        <w:tabs>
          <w:tab w:val="left" w:pos="0"/>
          <w:tab w:val="left" w:pos="9214"/>
        </w:tabs>
        <w:spacing w:after="12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D50421" w:rsidRPr="00D21DFA">
        <w:rPr>
          <w:rFonts w:ascii="Times New Roman" w:eastAsia="Times New Roman" w:hAnsi="Times New Roman" w:cs="Times New Roman"/>
          <w:b/>
          <w:bCs/>
          <w:snapToGrid w:val="0"/>
          <w:kern w:val="0"/>
          <w:sz w:val="22"/>
          <w:szCs w:val="20"/>
          <w14:ligatures w14:val="none"/>
        </w:rPr>
        <w:t>3</w:t>
      </w:r>
      <w:r w:rsidRPr="00D21DFA">
        <w:rPr>
          <w:rFonts w:ascii="Times New Roman" w:eastAsia="Times New Roman" w:hAnsi="Times New Roman" w:cs="Times New Roman"/>
          <w:b/>
          <w:bCs/>
          <w:snapToGrid w:val="0"/>
          <w:kern w:val="0"/>
          <w:sz w:val="22"/>
          <w:szCs w:val="20"/>
          <w14:ligatures w14:val="none"/>
        </w:rPr>
        <w:t xml:space="preserve"> lentelė. </w:t>
      </w:r>
      <w:proofErr w:type="spellStart"/>
      <w:r w:rsidRPr="00D21DFA">
        <w:rPr>
          <w:rFonts w:ascii="Times New Roman" w:eastAsia="Times New Roman" w:hAnsi="Times New Roman" w:cs="Times New Roman"/>
          <w:b/>
          <w:bCs/>
          <w:snapToGrid w:val="0"/>
          <w:kern w:val="0"/>
          <w:sz w:val="22"/>
          <w:szCs w:val="20"/>
          <w14:ligatures w14:val="none"/>
        </w:rPr>
        <w:t>Apiksabano</w:t>
      </w:r>
      <w:proofErr w:type="spellEnd"/>
      <w:r w:rsidRPr="00D21DFA">
        <w:rPr>
          <w:rFonts w:ascii="Times New Roman" w:eastAsia="Times New Roman" w:hAnsi="Times New Roman" w:cs="Times New Roman"/>
          <w:b/>
          <w:bCs/>
          <w:snapToGrid w:val="0"/>
          <w:kern w:val="0"/>
          <w:sz w:val="22"/>
          <w:szCs w:val="20"/>
          <w14:ligatures w14:val="none"/>
        </w:rPr>
        <w:t xml:space="preserve"> dozavimas PREVAPIX-ALL tyrimo metu</w:t>
      </w:r>
    </w:p>
    <w:tbl>
      <w:tblPr>
        <w:tblStyle w:val="Lentelstinklelis"/>
        <w:tblW w:w="0" w:type="auto"/>
        <w:jc w:val="center"/>
        <w:tblLook w:val="04A0" w:firstRow="1" w:lastRow="0" w:firstColumn="1" w:lastColumn="0" w:noHBand="0" w:noVBand="1"/>
      </w:tblPr>
      <w:tblGrid>
        <w:gridCol w:w="4530"/>
        <w:gridCol w:w="4530"/>
      </w:tblGrid>
      <w:tr w:rsidR="00C95D96" w:rsidRPr="00D21DFA" w14:paraId="328AFA1F" w14:textId="77777777" w:rsidTr="00446D67">
        <w:trPr>
          <w:jc w:val="center"/>
        </w:trPr>
        <w:tc>
          <w:tcPr>
            <w:tcW w:w="4530" w:type="dxa"/>
          </w:tcPr>
          <w:p w14:paraId="1A9D8A79"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Kūno masės diapazonas</w:t>
            </w:r>
          </w:p>
        </w:tc>
        <w:tc>
          <w:tcPr>
            <w:tcW w:w="4530" w:type="dxa"/>
          </w:tcPr>
          <w:p w14:paraId="28D5F0FE"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Dozavimo planas</w:t>
            </w:r>
          </w:p>
        </w:tc>
      </w:tr>
      <w:tr w:rsidR="00C95D96" w:rsidRPr="00D21DFA" w14:paraId="60E89F95" w14:textId="77777777" w:rsidTr="00446D67">
        <w:trPr>
          <w:jc w:val="center"/>
        </w:trPr>
        <w:tc>
          <w:tcPr>
            <w:tcW w:w="4530" w:type="dxa"/>
          </w:tcPr>
          <w:p w14:paraId="18AA336F"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6 iki &lt; 10,5 kg</w:t>
            </w:r>
          </w:p>
        </w:tc>
        <w:tc>
          <w:tcPr>
            <w:tcW w:w="4530" w:type="dxa"/>
          </w:tcPr>
          <w:p w14:paraId="5483D754"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0,5 mg du kartus per parą</w:t>
            </w:r>
          </w:p>
        </w:tc>
      </w:tr>
      <w:tr w:rsidR="00C95D96" w:rsidRPr="00D21DFA" w14:paraId="0214A321" w14:textId="77777777" w:rsidTr="00446D67">
        <w:trPr>
          <w:jc w:val="center"/>
        </w:trPr>
        <w:tc>
          <w:tcPr>
            <w:tcW w:w="4530" w:type="dxa"/>
          </w:tcPr>
          <w:p w14:paraId="573F10D0"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10,5 iki &lt; 18 kg</w:t>
            </w:r>
          </w:p>
        </w:tc>
        <w:tc>
          <w:tcPr>
            <w:tcW w:w="4530" w:type="dxa"/>
          </w:tcPr>
          <w:p w14:paraId="2974D4CE"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 mg du kartus per parą</w:t>
            </w:r>
          </w:p>
        </w:tc>
      </w:tr>
      <w:tr w:rsidR="00C95D96" w:rsidRPr="00D21DFA" w14:paraId="4DEC54EA" w14:textId="77777777" w:rsidTr="00446D67">
        <w:trPr>
          <w:jc w:val="center"/>
        </w:trPr>
        <w:tc>
          <w:tcPr>
            <w:tcW w:w="4530" w:type="dxa"/>
          </w:tcPr>
          <w:p w14:paraId="6CC2D69E"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18 iki &lt; 25 kg</w:t>
            </w:r>
          </w:p>
        </w:tc>
        <w:tc>
          <w:tcPr>
            <w:tcW w:w="4530" w:type="dxa"/>
          </w:tcPr>
          <w:p w14:paraId="09B05CFF"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1,5 mg du kartus per parą</w:t>
            </w:r>
          </w:p>
        </w:tc>
      </w:tr>
      <w:tr w:rsidR="00C95D96" w:rsidRPr="00D21DFA" w14:paraId="20338F00" w14:textId="77777777" w:rsidTr="00446D67">
        <w:trPr>
          <w:jc w:val="center"/>
        </w:trPr>
        <w:tc>
          <w:tcPr>
            <w:tcW w:w="4530" w:type="dxa"/>
          </w:tcPr>
          <w:p w14:paraId="7E826A46"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25 iki &lt; 35 kg</w:t>
            </w:r>
          </w:p>
        </w:tc>
        <w:tc>
          <w:tcPr>
            <w:tcW w:w="4530" w:type="dxa"/>
          </w:tcPr>
          <w:p w14:paraId="6C33F464"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2 mg du kartus per parą</w:t>
            </w:r>
          </w:p>
        </w:tc>
      </w:tr>
      <w:tr w:rsidR="00C95D96" w:rsidRPr="00D21DFA" w14:paraId="6736B8B3" w14:textId="77777777" w:rsidTr="00446D67">
        <w:trPr>
          <w:jc w:val="center"/>
        </w:trPr>
        <w:tc>
          <w:tcPr>
            <w:tcW w:w="4530" w:type="dxa"/>
          </w:tcPr>
          <w:p w14:paraId="7501B16A"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 35 kg</w:t>
            </w:r>
          </w:p>
        </w:tc>
        <w:tc>
          <w:tcPr>
            <w:tcW w:w="4530" w:type="dxa"/>
          </w:tcPr>
          <w:p w14:paraId="5D00151C"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2,5 mg du kartus per parą</w:t>
            </w:r>
          </w:p>
        </w:tc>
      </w:tr>
    </w:tbl>
    <w:p w14:paraId="39588996"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A3222D"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Pagrindinės veiksmingumo vertinamosios baigties dažnis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31 (12,1 %), palyginti su 45 (17,6 %) standartinės priežiūros grupėje. Santykinis rizikos sumažėjimas nebuvo reikšmingas.</w:t>
      </w:r>
    </w:p>
    <w:p w14:paraId="5162D44A"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77700B6"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Saugumo vertinamosios baigtys vertintos pagal ISTH kriterijus. Pagrindinė saugumo vertinamoji baigtis – stiprus kraujavimas, pasireiškė po 0,8 % pacientų kiekvienoje gydymo grupėje. Klinikiniu požiūriu reikšmingas nestiprus (KRNS) kraujavimas nustatytas 11 (4,3 %)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pacientų ir 3 (1,2 %) standartinės priežiūros grupės pacientams. Dažniausiai KRNS kraujavimo reiškinys, prisidėjęs prie gydymo grupių skirtumo, buvo lengvas ar vidutinio intensyvumo kraujavimas iš nosies. Nestipraus kraujavimo atvejų pasireiškė 37 (14,5 %)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pacientams ir 20 (7,8 %) standartinės priežiūros grupės pacientų.</w:t>
      </w:r>
    </w:p>
    <w:p w14:paraId="0B631A31"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3F075A2"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i/>
          <w:iCs/>
          <w:snapToGrid w:val="0"/>
          <w:kern w:val="0"/>
          <w:sz w:val="22"/>
          <w:szCs w:val="20"/>
          <w:u w:val="single"/>
          <w14:ligatures w14:val="none"/>
        </w:rPr>
      </w:pPr>
      <w:r w:rsidRPr="00D21DFA">
        <w:rPr>
          <w:rFonts w:ascii="Times New Roman" w:eastAsia="Times New Roman" w:hAnsi="Times New Roman" w:cs="Times New Roman"/>
          <w:i/>
          <w:iCs/>
          <w:snapToGrid w:val="0"/>
          <w:kern w:val="0"/>
          <w:sz w:val="22"/>
          <w:szCs w:val="20"/>
          <w:u w:val="single"/>
          <w14:ligatures w14:val="none"/>
        </w:rPr>
        <w:t>Tromboembolijos (TE) profilaktika vaikų populiacijos pacientams, kuriems yra įgimta arba įgyta širdies liga</w:t>
      </w:r>
    </w:p>
    <w:p w14:paraId="6ADDABA7" w14:textId="7F671B09"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SAXOPHONE buvo atsitiktinių imčių santykiu 2:1, atvirasis </w:t>
      </w:r>
      <w:proofErr w:type="spellStart"/>
      <w:r w:rsidRPr="00D21DFA">
        <w:rPr>
          <w:rFonts w:ascii="Times New Roman" w:eastAsia="Times New Roman" w:hAnsi="Times New Roman" w:cs="Times New Roman"/>
          <w:snapToGrid w:val="0"/>
          <w:kern w:val="0"/>
          <w:sz w:val="22"/>
          <w:szCs w:val="20"/>
          <w14:ligatures w14:val="none"/>
        </w:rPr>
        <w:t>daugiacentris</w:t>
      </w:r>
      <w:proofErr w:type="spellEnd"/>
      <w:r w:rsidRPr="00D21DFA">
        <w:rPr>
          <w:rFonts w:ascii="Times New Roman" w:eastAsia="Times New Roman" w:hAnsi="Times New Roman" w:cs="Times New Roman"/>
          <w:snapToGrid w:val="0"/>
          <w:kern w:val="0"/>
          <w:sz w:val="22"/>
          <w:szCs w:val="20"/>
          <w14:ligatures w14:val="none"/>
        </w:rPr>
        <w:t xml:space="preserve"> palyginamasis tyrimas, kuriame dalyvavusiems nuo 28 parų iki &lt; 18 metų pacientams, sergantiems įgimta arba įgyta širdies liga, reikėjo taikyti </w:t>
      </w:r>
      <w:proofErr w:type="spellStart"/>
      <w:r w:rsidRPr="00D21DFA">
        <w:rPr>
          <w:rFonts w:ascii="Times New Roman" w:eastAsia="Times New Roman" w:hAnsi="Times New Roman" w:cs="Times New Roman"/>
          <w:snapToGrid w:val="0"/>
          <w:kern w:val="0"/>
          <w:sz w:val="22"/>
          <w:szCs w:val="20"/>
          <w14:ligatures w14:val="none"/>
        </w:rPr>
        <w:t>antikoaguliacinį</w:t>
      </w:r>
      <w:proofErr w:type="spellEnd"/>
      <w:r w:rsidRPr="00D21DFA">
        <w:rPr>
          <w:rFonts w:ascii="Times New Roman" w:eastAsia="Times New Roman" w:hAnsi="Times New Roman" w:cs="Times New Roman"/>
          <w:snapToGrid w:val="0"/>
          <w:kern w:val="0"/>
          <w:sz w:val="22"/>
          <w:szCs w:val="20"/>
          <w14:ligatures w14:val="none"/>
        </w:rPr>
        <w:t xml:space="preserve"> gydymą. Pacientai vartojo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arba jiems pagal sveikatos priežiūros standartą taikyta trombozės profilaktika vitamino K antagonistu ar mažos molekulinės masės heparinu.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vartotas fiksuotos dozės pagal kūno masę nustatomu režimu, kurį taikant </w:t>
      </w:r>
      <w:r w:rsidRPr="00D21DFA">
        <w:rPr>
          <w:rFonts w:ascii="Times New Roman" w:eastAsia="Times New Roman" w:hAnsi="Times New Roman" w:cs="Times New Roman"/>
          <w:snapToGrid w:val="0"/>
          <w:kern w:val="0"/>
          <w:sz w:val="22"/>
          <w:szCs w:val="20"/>
          <w14:ligatures w14:val="none"/>
        </w:rPr>
        <w:lastRenderedPageBreak/>
        <w:t>susidaro ekspozicija, panaši į susidarančią suaugusiesiems, vartojantiems po 5 mg dozę du kartus per parą (žr. 1</w:t>
      </w:r>
      <w:r w:rsidR="00D50421" w:rsidRPr="00D21DFA">
        <w:rPr>
          <w:rFonts w:ascii="Times New Roman" w:eastAsia="Times New Roman" w:hAnsi="Times New Roman" w:cs="Times New Roman"/>
          <w:snapToGrid w:val="0"/>
          <w:kern w:val="0"/>
          <w:sz w:val="22"/>
          <w:szCs w:val="20"/>
          <w14:ligatures w14:val="none"/>
        </w:rPr>
        <w:t>4</w:t>
      </w:r>
      <w:r w:rsidRPr="00D21DFA">
        <w:rPr>
          <w:rFonts w:ascii="Times New Roman" w:eastAsia="Times New Roman" w:hAnsi="Times New Roman" w:cs="Times New Roman"/>
          <w:snapToGrid w:val="0"/>
          <w:kern w:val="0"/>
          <w:sz w:val="22"/>
          <w:szCs w:val="20"/>
          <w14:ligatures w14:val="none"/>
        </w:rPr>
        <w:t xml:space="preserve"> lentelę).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skirta 5 mg tablečių, 0,5 mg tablečių arba 0,4 mg/ml geriamojo tirpalo forma. Vidutinė ekspozicijos trukmė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grupėje buvo 331 para.</w:t>
      </w:r>
    </w:p>
    <w:p w14:paraId="550F23C5"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DC3161" w14:textId="31852E8B" w:rsidR="00C95D96" w:rsidRPr="00D21DFA" w:rsidRDefault="00C95D96" w:rsidP="00C95D96">
      <w:pPr>
        <w:tabs>
          <w:tab w:val="left" w:pos="0"/>
          <w:tab w:val="left" w:pos="9214"/>
        </w:tabs>
        <w:spacing w:after="12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1</w:t>
      </w:r>
      <w:r w:rsidR="00D50421" w:rsidRPr="00D21DFA">
        <w:rPr>
          <w:rFonts w:ascii="Times New Roman" w:eastAsia="Times New Roman" w:hAnsi="Times New Roman" w:cs="Times New Roman"/>
          <w:b/>
          <w:bCs/>
          <w:snapToGrid w:val="0"/>
          <w:kern w:val="0"/>
          <w:sz w:val="22"/>
          <w:szCs w:val="20"/>
          <w14:ligatures w14:val="none"/>
        </w:rPr>
        <w:t>4</w:t>
      </w:r>
      <w:r w:rsidRPr="00D21DFA">
        <w:rPr>
          <w:rFonts w:ascii="Times New Roman" w:eastAsia="Times New Roman" w:hAnsi="Times New Roman" w:cs="Times New Roman"/>
          <w:b/>
          <w:bCs/>
          <w:snapToGrid w:val="0"/>
          <w:kern w:val="0"/>
          <w:sz w:val="22"/>
          <w:szCs w:val="20"/>
          <w14:ligatures w14:val="none"/>
        </w:rPr>
        <w:t xml:space="preserve"> lentelė. </w:t>
      </w:r>
      <w:proofErr w:type="spellStart"/>
      <w:r w:rsidRPr="00D21DFA">
        <w:rPr>
          <w:rFonts w:ascii="Times New Roman" w:eastAsia="Times New Roman" w:hAnsi="Times New Roman" w:cs="Times New Roman"/>
          <w:b/>
          <w:bCs/>
          <w:snapToGrid w:val="0"/>
          <w:kern w:val="0"/>
          <w:sz w:val="22"/>
          <w:szCs w:val="20"/>
          <w14:ligatures w14:val="none"/>
        </w:rPr>
        <w:t>Apiksabano</w:t>
      </w:r>
      <w:proofErr w:type="spellEnd"/>
      <w:r w:rsidRPr="00D21DFA">
        <w:rPr>
          <w:rFonts w:ascii="Times New Roman" w:eastAsia="Times New Roman" w:hAnsi="Times New Roman" w:cs="Times New Roman"/>
          <w:b/>
          <w:bCs/>
          <w:snapToGrid w:val="0"/>
          <w:kern w:val="0"/>
          <w:sz w:val="22"/>
          <w:szCs w:val="20"/>
          <w14:ligatures w14:val="none"/>
        </w:rPr>
        <w:t xml:space="preserve"> dozavimas SACHOPHONE tyrimo metu</w:t>
      </w:r>
    </w:p>
    <w:tbl>
      <w:tblPr>
        <w:tblStyle w:val="Lentelstinklelis"/>
        <w:tblW w:w="0" w:type="auto"/>
        <w:jc w:val="center"/>
        <w:tblLook w:val="04A0" w:firstRow="1" w:lastRow="0" w:firstColumn="1" w:lastColumn="0" w:noHBand="0" w:noVBand="1"/>
      </w:tblPr>
      <w:tblGrid>
        <w:gridCol w:w="4476"/>
        <w:gridCol w:w="4473"/>
      </w:tblGrid>
      <w:tr w:rsidR="00C95D96" w:rsidRPr="00D21DFA" w14:paraId="0703B4A2" w14:textId="77777777" w:rsidTr="00446D67">
        <w:trPr>
          <w:jc w:val="center"/>
        </w:trPr>
        <w:tc>
          <w:tcPr>
            <w:tcW w:w="4476" w:type="dxa"/>
          </w:tcPr>
          <w:p w14:paraId="5A5F36E5"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Kūno masės diapazonas</w:t>
            </w:r>
          </w:p>
        </w:tc>
        <w:tc>
          <w:tcPr>
            <w:tcW w:w="4473" w:type="dxa"/>
          </w:tcPr>
          <w:p w14:paraId="11C9D52C" w14:textId="77777777" w:rsidR="00C95D96" w:rsidRPr="00D21DFA" w:rsidRDefault="00C95D96" w:rsidP="00C95D96">
            <w:pPr>
              <w:tabs>
                <w:tab w:val="left" w:pos="0"/>
                <w:tab w:val="left" w:pos="9214"/>
              </w:tabs>
              <w:ind w:right="-2"/>
              <w:jc w:val="center"/>
              <w:rPr>
                <w:rFonts w:ascii="Times New Roman" w:eastAsia="Times New Roman" w:hAnsi="Times New Roman"/>
                <w:b/>
                <w:bCs/>
                <w:snapToGrid w:val="0"/>
                <w:sz w:val="22"/>
                <w:szCs w:val="22"/>
              </w:rPr>
            </w:pPr>
            <w:r w:rsidRPr="00D21DFA">
              <w:rPr>
                <w:rFonts w:ascii="Times New Roman" w:eastAsia="Times New Roman" w:hAnsi="Times New Roman"/>
                <w:b/>
                <w:bCs/>
                <w:snapToGrid w:val="0"/>
                <w:sz w:val="22"/>
                <w:szCs w:val="22"/>
              </w:rPr>
              <w:t>Dozavimo planas</w:t>
            </w:r>
          </w:p>
        </w:tc>
      </w:tr>
      <w:tr w:rsidR="00C95D96" w:rsidRPr="00D21DFA" w14:paraId="6CBBF001" w14:textId="77777777" w:rsidTr="00446D67">
        <w:trPr>
          <w:jc w:val="center"/>
        </w:trPr>
        <w:tc>
          <w:tcPr>
            <w:tcW w:w="4476" w:type="dxa"/>
          </w:tcPr>
          <w:p w14:paraId="34354E72"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6 iki &lt; 9 kg</w:t>
            </w:r>
          </w:p>
        </w:tc>
        <w:tc>
          <w:tcPr>
            <w:tcW w:w="4473" w:type="dxa"/>
          </w:tcPr>
          <w:p w14:paraId="7C0F299A"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 mg du kartus per parą</w:t>
            </w:r>
          </w:p>
        </w:tc>
      </w:tr>
      <w:tr w:rsidR="00C95D96" w:rsidRPr="00D21DFA" w14:paraId="4EBBDA5E" w14:textId="77777777" w:rsidTr="00446D67">
        <w:trPr>
          <w:jc w:val="center"/>
        </w:trPr>
        <w:tc>
          <w:tcPr>
            <w:tcW w:w="4476" w:type="dxa"/>
          </w:tcPr>
          <w:p w14:paraId="00F34855"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9 iki &lt; 12 kg</w:t>
            </w:r>
          </w:p>
        </w:tc>
        <w:tc>
          <w:tcPr>
            <w:tcW w:w="4473" w:type="dxa"/>
          </w:tcPr>
          <w:p w14:paraId="102AA2FF"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1,5 mg du kartus per parą</w:t>
            </w:r>
          </w:p>
        </w:tc>
      </w:tr>
      <w:tr w:rsidR="00C95D96" w:rsidRPr="00D21DFA" w14:paraId="03B8B28B" w14:textId="77777777" w:rsidTr="00446D67">
        <w:trPr>
          <w:jc w:val="center"/>
        </w:trPr>
        <w:tc>
          <w:tcPr>
            <w:tcW w:w="4476" w:type="dxa"/>
          </w:tcPr>
          <w:p w14:paraId="17B5234D"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12 iki &lt; 18 kg</w:t>
            </w:r>
          </w:p>
        </w:tc>
        <w:tc>
          <w:tcPr>
            <w:tcW w:w="4473" w:type="dxa"/>
          </w:tcPr>
          <w:p w14:paraId="1B18065C"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2 mg du kartus per parą</w:t>
            </w:r>
          </w:p>
        </w:tc>
      </w:tr>
      <w:tr w:rsidR="00C95D96" w:rsidRPr="00D21DFA" w14:paraId="224636C7" w14:textId="77777777" w:rsidTr="00446D67">
        <w:trPr>
          <w:jc w:val="center"/>
        </w:trPr>
        <w:tc>
          <w:tcPr>
            <w:tcW w:w="4476" w:type="dxa"/>
          </w:tcPr>
          <w:p w14:paraId="5FA63E09"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18 iki &lt; 25 kg</w:t>
            </w:r>
          </w:p>
        </w:tc>
        <w:tc>
          <w:tcPr>
            <w:tcW w:w="4473" w:type="dxa"/>
          </w:tcPr>
          <w:p w14:paraId="07A6BA50"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3 mg du kartus per parą</w:t>
            </w:r>
          </w:p>
        </w:tc>
      </w:tr>
      <w:tr w:rsidR="00C95D96" w:rsidRPr="00D21DFA" w14:paraId="2F792876" w14:textId="77777777" w:rsidTr="00446D67">
        <w:trPr>
          <w:jc w:val="center"/>
        </w:trPr>
        <w:tc>
          <w:tcPr>
            <w:tcW w:w="4476" w:type="dxa"/>
          </w:tcPr>
          <w:p w14:paraId="7AB02E1B"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nuo 25 iki &lt; 35 kg</w:t>
            </w:r>
          </w:p>
        </w:tc>
        <w:tc>
          <w:tcPr>
            <w:tcW w:w="4473" w:type="dxa"/>
          </w:tcPr>
          <w:p w14:paraId="53E5BC64"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4 mg du kartus per parą</w:t>
            </w:r>
          </w:p>
        </w:tc>
      </w:tr>
      <w:tr w:rsidR="00C95D96" w:rsidRPr="00D21DFA" w14:paraId="28B7CF79" w14:textId="77777777" w:rsidTr="00446D67">
        <w:trPr>
          <w:jc w:val="center"/>
        </w:trPr>
        <w:tc>
          <w:tcPr>
            <w:tcW w:w="4476" w:type="dxa"/>
          </w:tcPr>
          <w:p w14:paraId="5612126E"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 35 kg</w:t>
            </w:r>
          </w:p>
        </w:tc>
        <w:tc>
          <w:tcPr>
            <w:tcW w:w="4473" w:type="dxa"/>
          </w:tcPr>
          <w:p w14:paraId="0E59DE74" w14:textId="77777777" w:rsidR="00C95D96" w:rsidRPr="00D21DFA" w:rsidRDefault="00C95D96" w:rsidP="00C95D96">
            <w:pPr>
              <w:tabs>
                <w:tab w:val="left" w:pos="0"/>
                <w:tab w:val="left" w:pos="9214"/>
              </w:tabs>
              <w:ind w:right="-2"/>
              <w:jc w:val="center"/>
              <w:rPr>
                <w:rFonts w:ascii="Times New Roman" w:eastAsia="Times New Roman" w:hAnsi="Times New Roman"/>
                <w:snapToGrid w:val="0"/>
                <w:sz w:val="22"/>
                <w:szCs w:val="22"/>
              </w:rPr>
            </w:pPr>
            <w:r w:rsidRPr="00D21DFA">
              <w:rPr>
                <w:rFonts w:ascii="Times New Roman" w:eastAsia="Times New Roman" w:hAnsi="Times New Roman"/>
                <w:snapToGrid w:val="0"/>
                <w:sz w:val="22"/>
                <w:szCs w:val="22"/>
              </w:rPr>
              <w:t>Po 5 mg du kartus per parą</w:t>
            </w:r>
          </w:p>
        </w:tc>
      </w:tr>
    </w:tbl>
    <w:p w14:paraId="2E9F2BCD"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601EF5"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Pagrindinė saugumo vertinamoji baigtis, susidedanti iš įvertinto pagal ISTH apibrėžimą stipraus ir KRNS kraujavimo, nustatyta 1 (0,8 %) iš 126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 7 (5,6 %)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grupės asmenims ir 1 (1,6 %) standartinės priežiūros grupės asmeniui. Nė vienas pacientas jokioje gydymo grupėje nepatyrė tromboembolijos reiškinio. Nė vienoje gydymo grupėje neregistruota mirties atvejų. </w:t>
      </w:r>
    </w:p>
    <w:p w14:paraId="21905B6C"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0FFD79"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127BF07D"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7C5A39B" w14:textId="77777777" w:rsidR="00C95D96" w:rsidRPr="00D21DFA" w:rsidRDefault="00C95D96" w:rsidP="00C95D96">
      <w:pPr>
        <w:tabs>
          <w:tab w:val="left" w:pos="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Europos vaistų agentūra atidėjo įsipareigojimą pateikti venų tromboembolijos gydymo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tyrimų su vienu ar daugiau vaikų populiacijos pogrupių duomenis (žr. 4.2 skyriuje informaciją apie vartojimą vaikams).</w:t>
      </w:r>
    </w:p>
    <w:p w14:paraId="342253F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3FCF338" w14:textId="77777777" w:rsidR="00C95D96" w:rsidRPr="00D21DFA" w:rsidRDefault="00C95D96" w:rsidP="00C95D96">
      <w:pPr>
        <w:keepNext/>
        <w:tabs>
          <w:tab w:val="left" w:pos="567"/>
          <w:tab w:val="left" w:pos="9214"/>
        </w:tabs>
        <w:spacing w:after="0" w:line="240" w:lineRule="auto"/>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5.2</w:t>
      </w:r>
      <w:r w:rsidRPr="00D21DFA">
        <w:rPr>
          <w:rFonts w:ascii="Times New Roman" w:eastAsia="Times New Roman" w:hAnsi="Times New Roman" w:cs="Times New Roman"/>
          <w:b/>
          <w:bCs/>
          <w:snapToGrid w:val="0"/>
          <w:kern w:val="0"/>
          <w:sz w:val="22"/>
          <w:szCs w:val="28"/>
          <w:lang w:eastAsia="x-none"/>
          <w14:ligatures w14:val="none"/>
        </w:rPr>
        <w:tab/>
      </w:r>
      <w:proofErr w:type="spellStart"/>
      <w:r w:rsidRPr="00D21DFA">
        <w:rPr>
          <w:rFonts w:ascii="Times New Roman" w:eastAsia="Times New Roman" w:hAnsi="Times New Roman" w:cs="Times New Roman"/>
          <w:b/>
          <w:bCs/>
          <w:snapToGrid w:val="0"/>
          <w:kern w:val="0"/>
          <w:sz w:val="22"/>
          <w:szCs w:val="28"/>
          <w:lang w:eastAsia="x-none"/>
          <w14:ligatures w14:val="none"/>
        </w:rPr>
        <w:t>Farmakokinetinės</w:t>
      </w:r>
      <w:proofErr w:type="spellEnd"/>
      <w:r w:rsidRPr="00D21DFA">
        <w:rPr>
          <w:rFonts w:ascii="Times New Roman" w:eastAsia="Times New Roman" w:hAnsi="Times New Roman" w:cs="Times New Roman"/>
          <w:b/>
          <w:bCs/>
          <w:snapToGrid w:val="0"/>
          <w:kern w:val="0"/>
          <w:sz w:val="22"/>
          <w:szCs w:val="28"/>
          <w:lang w:eastAsia="x-none"/>
          <w14:ligatures w14:val="none"/>
        </w:rPr>
        <w:t xml:space="preserve"> savybės</w:t>
      </w:r>
    </w:p>
    <w:p w14:paraId="3A0B6ACF" w14:textId="77777777" w:rsidR="00C95D96" w:rsidRPr="00D21DFA" w:rsidRDefault="00C95D96" w:rsidP="00C95D96">
      <w:pPr>
        <w:keepNext/>
        <w:tabs>
          <w:tab w:val="left" w:pos="9214"/>
        </w:tabs>
        <w:spacing w:after="0" w:line="240" w:lineRule="auto"/>
        <w:rPr>
          <w:rFonts w:ascii="Times New Roman" w:eastAsia="Times New Roman" w:hAnsi="Times New Roman" w:cs="Times New Roman"/>
          <w:snapToGrid w:val="0"/>
          <w:kern w:val="0"/>
          <w:sz w:val="22"/>
          <w14:ligatures w14:val="none"/>
        </w:rPr>
      </w:pPr>
    </w:p>
    <w:p w14:paraId="630D5B44"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Absorbcija</w:t>
      </w:r>
    </w:p>
    <w:p w14:paraId="12733844"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69424624" w14:textId="5D575127" w:rsidR="00C95D96"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i</w:t>
      </w:r>
      <w:r w:rsidR="00C95D96" w:rsidRPr="00D21DFA">
        <w:rPr>
          <w:rFonts w:ascii="Times New Roman" w:eastAsia="Times New Roman" w:hAnsi="Times New Roman" w:cs="Times New Roman"/>
          <w:snapToGrid w:val="0"/>
          <w:kern w:val="0"/>
          <w:sz w:val="22"/>
          <w:szCs w:val="20"/>
          <w14:ligatures w14:val="none"/>
        </w:rPr>
        <w:t xml:space="preserve">ki 10 mg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dozių absoliutus biologinis prieinamumas yra maždaug 50 %. </w:t>
      </w:r>
      <w:proofErr w:type="spellStart"/>
      <w:r w:rsidR="00C95D96" w:rsidRPr="00D21DFA">
        <w:rPr>
          <w:rFonts w:ascii="Times New Roman" w:eastAsia="Times New Roman" w:hAnsi="Times New Roman" w:cs="Times New Roman"/>
          <w:snapToGrid w:val="0"/>
          <w:kern w:val="0"/>
          <w:sz w:val="22"/>
          <w:szCs w:val="20"/>
          <w14:ligatures w14:val="none"/>
        </w:rPr>
        <w:t>Apiksabanas</w:t>
      </w:r>
      <w:proofErr w:type="spellEnd"/>
      <w:r w:rsidR="00C95D96" w:rsidRPr="00D21DFA">
        <w:rPr>
          <w:rFonts w:ascii="Times New Roman" w:eastAsia="Times New Roman" w:hAnsi="Times New Roman" w:cs="Times New Roman"/>
          <w:snapToGrid w:val="0"/>
          <w:kern w:val="0"/>
          <w:sz w:val="22"/>
          <w:szCs w:val="20"/>
          <w14:ligatures w14:val="none"/>
        </w:rPr>
        <w:t xml:space="preserve"> greitai absorbuojamas, o didžiausia jo koncentracija (</w:t>
      </w:r>
      <w:proofErr w:type="spellStart"/>
      <w:r w:rsidR="00C95D96" w:rsidRPr="00D21DFA">
        <w:rPr>
          <w:rFonts w:ascii="Times New Roman" w:eastAsia="Times New Roman" w:hAnsi="Times New Roman" w:cs="Times New Roman"/>
          <w:snapToGrid w:val="0"/>
          <w:kern w:val="0"/>
          <w:sz w:val="22"/>
          <w:szCs w:val="20"/>
          <w14:ligatures w14:val="none"/>
        </w:rPr>
        <w:t>C</w:t>
      </w:r>
      <w:r w:rsidR="00C95D96" w:rsidRPr="00D21DFA">
        <w:rPr>
          <w:rFonts w:ascii="Times New Roman" w:eastAsia="Times New Roman" w:hAnsi="Times New Roman" w:cs="Times New Roman"/>
          <w:snapToGrid w:val="0"/>
          <w:kern w:val="0"/>
          <w:sz w:val="22"/>
          <w:szCs w:val="20"/>
          <w:vertAlign w:val="subscript"/>
          <w14:ligatures w14:val="none"/>
        </w:rPr>
        <w:t>max</w:t>
      </w:r>
      <w:proofErr w:type="spellEnd"/>
      <w:r w:rsidR="00C95D96" w:rsidRPr="00D21DFA">
        <w:rPr>
          <w:rFonts w:ascii="Times New Roman" w:eastAsia="Times New Roman" w:hAnsi="Times New Roman" w:cs="Times New Roman"/>
          <w:snapToGrid w:val="0"/>
          <w:kern w:val="0"/>
          <w:sz w:val="22"/>
          <w:szCs w:val="20"/>
          <w14:ligatures w14:val="none"/>
        </w:rPr>
        <w:t>) atsiranda praėjus 3</w:t>
      </w:r>
      <w:r w:rsidR="00C95D96" w:rsidRPr="00D21DFA">
        <w:rPr>
          <w:rFonts w:ascii="Times New Roman" w:eastAsia="Times New Roman" w:hAnsi="Times New Roman" w:cs="Times New Roman"/>
          <w:snapToGrid w:val="0"/>
          <w:kern w:val="0"/>
          <w:sz w:val="22"/>
          <w:szCs w:val="20"/>
          <w14:ligatures w14:val="none"/>
        </w:rPr>
        <w:noBreakHyphen/>
        <w:t xml:space="preserve">4 valandoms po tabletės išgėrimo. Vartojant 10 mg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dozę su maistu, vaistinio preparato AUC ir </w:t>
      </w:r>
      <w:proofErr w:type="spellStart"/>
      <w:r w:rsidR="00C95D96" w:rsidRPr="00D21DFA">
        <w:rPr>
          <w:rFonts w:ascii="Times New Roman" w:eastAsia="Times New Roman" w:hAnsi="Times New Roman" w:cs="Times New Roman"/>
          <w:snapToGrid w:val="0"/>
          <w:kern w:val="0"/>
          <w:sz w:val="22"/>
          <w:szCs w:val="20"/>
          <w14:ligatures w14:val="none"/>
        </w:rPr>
        <w:t>C</w:t>
      </w:r>
      <w:r w:rsidR="00C95D96" w:rsidRPr="00D21DFA">
        <w:rPr>
          <w:rFonts w:ascii="Times New Roman" w:eastAsia="Times New Roman" w:hAnsi="Times New Roman" w:cs="Times New Roman"/>
          <w:snapToGrid w:val="0"/>
          <w:kern w:val="0"/>
          <w:sz w:val="22"/>
          <w:szCs w:val="20"/>
          <w:vertAlign w:val="subscript"/>
          <w14:ligatures w14:val="none"/>
        </w:rPr>
        <w:t>max</w:t>
      </w:r>
      <w:proofErr w:type="spellEnd"/>
      <w:r w:rsidR="00C95D96" w:rsidRPr="00D21DFA">
        <w:rPr>
          <w:rFonts w:ascii="Times New Roman" w:eastAsia="Times New Roman" w:hAnsi="Times New Roman" w:cs="Times New Roman"/>
          <w:snapToGrid w:val="0"/>
          <w:kern w:val="0"/>
          <w:sz w:val="22"/>
          <w:szCs w:val="20"/>
          <w14:ligatures w14:val="none"/>
        </w:rPr>
        <w:t xml:space="preserve"> nekinta.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galima vartoti valgant arba </w:t>
      </w:r>
      <w:r w:rsidR="006843AB" w:rsidRPr="00D21DFA">
        <w:rPr>
          <w:rFonts w:ascii="Times New Roman" w:eastAsia="Times New Roman" w:hAnsi="Times New Roman" w:cs="Times New Roman"/>
          <w:snapToGrid w:val="0"/>
          <w:kern w:val="0"/>
          <w:sz w:val="22"/>
          <w:szCs w:val="20"/>
          <w14:ligatures w14:val="none"/>
        </w:rPr>
        <w:t>nevalgius</w:t>
      </w:r>
      <w:r w:rsidR="00C95D96" w:rsidRPr="00D21DFA">
        <w:rPr>
          <w:rFonts w:ascii="Times New Roman" w:eastAsia="Times New Roman" w:hAnsi="Times New Roman" w:cs="Times New Roman"/>
          <w:snapToGrid w:val="0"/>
          <w:kern w:val="0"/>
          <w:sz w:val="22"/>
          <w:szCs w:val="20"/>
          <w14:ligatures w14:val="none"/>
        </w:rPr>
        <w:t xml:space="preserve">. </w:t>
      </w:r>
    </w:p>
    <w:p w14:paraId="2E89D12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2AC67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 burną vartojant iki 10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dozes, vaistinio preparato farmakokinetika yra tiesinė, didinant dozę ekspozicija proporcingai didėja. Vartojant 25 mg ir didesnėmis dozėmis </w:t>
      </w:r>
      <w:proofErr w:type="spellStart"/>
      <w:r w:rsidRPr="00D21DFA">
        <w:rPr>
          <w:rFonts w:ascii="Times New Roman" w:eastAsia="Times New Roman" w:hAnsi="Times New Roman" w:cs="Times New Roman"/>
          <w:snapToGrid w:val="0"/>
          <w:kern w:val="0"/>
          <w:sz w:val="22"/>
          <w:szCs w:val="20"/>
          <w14:ligatures w14:val="none"/>
        </w:rPr>
        <w:t>apiksabanui</w:t>
      </w:r>
      <w:proofErr w:type="spellEnd"/>
      <w:r w:rsidRPr="00D21DFA">
        <w:rPr>
          <w:rFonts w:ascii="Times New Roman" w:eastAsia="Times New Roman" w:hAnsi="Times New Roman" w:cs="Times New Roman"/>
          <w:snapToGrid w:val="0"/>
          <w:kern w:val="0"/>
          <w:sz w:val="22"/>
          <w:szCs w:val="20"/>
          <w14:ligatures w14:val="none"/>
        </w:rPr>
        <w:t xml:space="preserve"> yra būdinga farmacinės formos skaidymosi ribojama absorbcija ir dėl to sumažėjęs biologinis prieinamumas.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ekspozicijos rodiklių kintamumas yra nedidelis ar vidutinis, t. y. kintamumas tam pačiam pacientui ir tarp pacientų yra atitinkamai maždaug 20 % VK ir 30 % VK. </w:t>
      </w:r>
    </w:p>
    <w:p w14:paraId="1C0C037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EDD66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 burną vartojant 10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kaip 2 susmulkintas tabletes po 5 mg 30 ml suspensijos vandenyje pavidalu, ekspozicija buvo panaši, kaip ir per burną vartojant 2 nesmulkintas tabletes po 5 mg. </w:t>
      </w:r>
    </w:p>
    <w:p w14:paraId="2647160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024872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Per burną vartojant 10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dozę susmulkinus 2 tabletes po 5 mg ir sumaišius su 30 g obuolių tyrės,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ir AUC buvo atitinkamai 21 % ir 16 % mažesni nei vartojant 2 nesmulkintas tabletes po 5 mg. Ekspozicijos sumažėjimas nelaikomas klinikiniu požiūriu reikšmingu. </w:t>
      </w:r>
    </w:p>
    <w:p w14:paraId="64627627"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05BA7D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Vartojant susmulkintą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tabletę, 60 ml suspensijos vandeniniame 5 % gliukozės tirpale pavidalu pro </w:t>
      </w:r>
      <w:proofErr w:type="spellStart"/>
      <w:r w:rsidRPr="00D21DFA">
        <w:rPr>
          <w:rFonts w:ascii="Times New Roman" w:eastAsia="Times New Roman" w:hAnsi="Times New Roman" w:cs="Times New Roman"/>
          <w:snapToGrid w:val="0"/>
          <w:kern w:val="0"/>
          <w:sz w:val="22"/>
          <w:szCs w:val="20"/>
          <w14:ligatures w14:val="none"/>
        </w:rPr>
        <w:t>nazogastrinį</w:t>
      </w:r>
      <w:proofErr w:type="spellEnd"/>
      <w:r w:rsidRPr="00D21DFA">
        <w:rPr>
          <w:rFonts w:ascii="Times New Roman" w:eastAsia="Times New Roman" w:hAnsi="Times New Roman" w:cs="Times New Roman"/>
          <w:snapToGrid w:val="0"/>
          <w:kern w:val="0"/>
          <w:sz w:val="22"/>
          <w:szCs w:val="20"/>
          <w14:ligatures w14:val="none"/>
        </w:rPr>
        <w:t xml:space="preserve"> zondą, ekspozicija buvo panaši, kaip ir kituose klinikiniuose tyrimuose, </w:t>
      </w:r>
      <w:r w:rsidRPr="00D21DFA">
        <w:rPr>
          <w:rFonts w:ascii="Times New Roman" w:eastAsia="Times New Roman" w:hAnsi="Times New Roman" w:cs="Times New Roman"/>
          <w:snapToGrid w:val="0"/>
          <w:kern w:val="0"/>
          <w:sz w:val="22"/>
          <w:szCs w:val="20"/>
          <w14:ligatures w14:val="none"/>
        </w:rPr>
        <w:lastRenderedPageBreak/>
        <w:t xml:space="preserve">kuriuose dalyvavo sveiki tiriamieji, kurie per burną vartojo vienkartinę dozę –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tabletę. </w:t>
      </w:r>
    </w:p>
    <w:p w14:paraId="4742854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FFA1A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Atsižvelgiant į nuspėjamas dozei proporcingas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farmakokinetines</w:t>
      </w:r>
      <w:proofErr w:type="spellEnd"/>
      <w:r w:rsidRPr="00D21DFA">
        <w:rPr>
          <w:rFonts w:ascii="Times New Roman" w:eastAsia="Times New Roman" w:hAnsi="Times New Roman" w:cs="Times New Roman"/>
          <w:snapToGrid w:val="0"/>
          <w:kern w:val="0"/>
          <w:sz w:val="22"/>
          <w:szCs w:val="20"/>
          <w14:ligatures w14:val="none"/>
        </w:rPr>
        <w:t xml:space="preserve"> savybes, atliktų biologinis prieinamumas tyrimų rezultatai yra pritaikomi mažesnėms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dozėms.</w:t>
      </w:r>
    </w:p>
    <w:p w14:paraId="32EA3C1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AEFE0B"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Vaikų populiacija</w:t>
      </w:r>
    </w:p>
    <w:p w14:paraId="6854A7DD"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6EB0F62" w14:textId="1E89A60F"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greitai absorbuojamas, o didžiausia jo koncentracija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susidaro praėjus maždaug 2 valandoms po vienos dozės suvartojimo.</w:t>
      </w:r>
    </w:p>
    <w:p w14:paraId="08928D04"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1135A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Pasiskirstymas </w:t>
      </w:r>
    </w:p>
    <w:p w14:paraId="3244DB1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6966990" w14:textId="6845EE63" w:rsidR="00C95D96"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p</w:t>
      </w:r>
      <w:r w:rsidR="00C95D96" w:rsidRPr="00D21DFA">
        <w:rPr>
          <w:rFonts w:ascii="Times New Roman" w:eastAsia="Times New Roman" w:hAnsi="Times New Roman" w:cs="Times New Roman"/>
          <w:snapToGrid w:val="0"/>
          <w:kern w:val="0"/>
          <w:sz w:val="22"/>
          <w:szCs w:val="20"/>
          <w14:ligatures w14:val="none"/>
        </w:rPr>
        <w:t>rie plazmos baltymų jungiasi apytiksliai 87 % veikliosios medžiagos. Pasiskirstymo tūris (</w:t>
      </w:r>
      <w:proofErr w:type="spellStart"/>
      <w:r w:rsidR="00C95D96" w:rsidRPr="00D21DFA">
        <w:rPr>
          <w:rFonts w:ascii="Times New Roman" w:eastAsia="Times New Roman" w:hAnsi="Times New Roman" w:cs="Times New Roman"/>
          <w:snapToGrid w:val="0"/>
          <w:kern w:val="0"/>
          <w:sz w:val="22"/>
          <w:szCs w:val="20"/>
          <w14:ligatures w14:val="none"/>
        </w:rPr>
        <w:t>Vss</w:t>
      </w:r>
      <w:proofErr w:type="spellEnd"/>
      <w:r w:rsidR="00C95D96" w:rsidRPr="00D21DFA">
        <w:rPr>
          <w:rFonts w:ascii="Times New Roman" w:eastAsia="Times New Roman" w:hAnsi="Times New Roman" w:cs="Times New Roman"/>
          <w:snapToGrid w:val="0"/>
          <w:kern w:val="0"/>
          <w:sz w:val="22"/>
          <w:szCs w:val="20"/>
          <w14:ligatures w14:val="none"/>
        </w:rPr>
        <w:t xml:space="preserve">) yra maždaug 21 litras. </w:t>
      </w:r>
    </w:p>
    <w:p w14:paraId="235C691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E746C1D"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Vaikų populiacijos duomenų apie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jungimąsi prie plazmos baltymų nėra.</w:t>
      </w:r>
    </w:p>
    <w:p w14:paraId="03649471"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39796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t>Biotransformacija</w:t>
      </w:r>
      <w:proofErr w:type="spellEnd"/>
      <w:r w:rsidRPr="00D21DFA">
        <w:rPr>
          <w:rFonts w:ascii="Times New Roman" w:eastAsia="Times New Roman" w:hAnsi="Times New Roman" w:cs="Times New Roman"/>
          <w:snapToGrid w:val="0"/>
          <w:kern w:val="0"/>
          <w:sz w:val="22"/>
          <w:szCs w:val="20"/>
          <w:u w:val="single"/>
          <w14:ligatures w14:val="none"/>
        </w:rPr>
        <w:t xml:space="preserve"> ir eliminacija </w:t>
      </w:r>
    </w:p>
    <w:p w14:paraId="56F2D4D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CDBD19C" w14:textId="22F7545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šalinamas daugeliu būdų. Maždaug 25 % </w:t>
      </w:r>
      <w:r w:rsidR="00D50421" w:rsidRPr="00D21DFA">
        <w:rPr>
          <w:rFonts w:ascii="Times New Roman" w:eastAsia="Times New Roman" w:hAnsi="Times New Roman" w:cs="Times New Roman"/>
          <w:snapToGrid w:val="0"/>
          <w:kern w:val="0"/>
          <w:sz w:val="22"/>
          <w:szCs w:val="20"/>
          <w14:ligatures w14:val="none"/>
        </w:rPr>
        <w:t xml:space="preserve">suaugusiųjų </w:t>
      </w:r>
      <w:r w:rsidRPr="00D21DFA">
        <w:rPr>
          <w:rFonts w:ascii="Times New Roman" w:eastAsia="Times New Roman" w:hAnsi="Times New Roman" w:cs="Times New Roman"/>
          <w:snapToGrid w:val="0"/>
          <w:kern w:val="0"/>
          <w:sz w:val="22"/>
          <w:szCs w:val="20"/>
          <w14:ligatures w14:val="none"/>
        </w:rPr>
        <w:t xml:space="preserve">suvartotos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šalinama metabolitų pavidalu, kurių daugelis šalinama su išmatomis. </w:t>
      </w:r>
      <w:r w:rsidR="00D50421" w:rsidRPr="00D21DFA">
        <w:rPr>
          <w:rFonts w:ascii="Times New Roman" w:eastAsia="Times New Roman" w:hAnsi="Times New Roman" w:cs="Times New Roman"/>
          <w:snapToGrid w:val="0"/>
          <w:kern w:val="0"/>
          <w:sz w:val="22"/>
          <w:szCs w:val="20"/>
          <w14:ligatures w14:val="none"/>
        </w:rPr>
        <w:t xml:space="preserve">Suaugusiesiems </w:t>
      </w:r>
      <w:proofErr w:type="spellStart"/>
      <w:r w:rsidR="00D50421" w:rsidRPr="00D21DFA">
        <w:rPr>
          <w:rFonts w:ascii="Times New Roman" w:eastAsia="Times New Roman" w:hAnsi="Times New Roman" w:cs="Times New Roman"/>
          <w:snapToGrid w:val="0"/>
          <w:kern w:val="0"/>
          <w:sz w:val="22"/>
          <w:szCs w:val="20"/>
          <w14:ligatures w14:val="none"/>
        </w:rPr>
        <w:t>a</w:t>
      </w:r>
      <w:r w:rsidRPr="00D21DFA">
        <w:rPr>
          <w:rFonts w:ascii="Times New Roman" w:eastAsia="Times New Roman" w:hAnsi="Times New Roman" w:cs="Times New Roman"/>
          <w:snapToGrid w:val="0"/>
          <w:kern w:val="0"/>
          <w:sz w:val="22"/>
          <w:szCs w:val="20"/>
          <w14:ligatures w14:val="none"/>
        </w:rPr>
        <w:t>piksabano</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ekskrecija</w:t>
      </w:r>
      <w:proofErr w:type="spellEnd"/>
      <w:r w:rsidRPr="00D21DFA">
        <w:rPr>
          <w:rFonts w:ascii="Times New Roman" w:eastAsia="Times New Roman" w:hAnsi="Times New Roman" w:cs="Times New Roman"/>
          <w:snapToGrid w:val="0"/>
          <w:kern w:val="0"/>
          <w:sz w:val="22"/>
          <w:szCs w:val="20"/>
          <w14:ligatures w14:val="none"/>
        </w:rPr>
        <w:t xml:space="preserve"> per inkstus sudaro maždaug 27 % bendrojo klirenso. Klinikinių ir ikiklinikinių tyrimų metu nustatyta, kad veiklioji medžiaga papildomai šalinama atitinkamai su tulžimi ir tiesioginės </w:t>
      </w:r>
      <w:proofErr w:type="spellStart"/>
      <w:r w:rsidRPr="00D21DFA">
        <w:rPr>
          <w:rFonts w:ascii="Times New Roman" w:eastAsia="Times New Roman" w:hAnsi="Times New Roman" w:cs="Times New Roman"/>
          <w:snapToGrid w:val="0"/>
          <w:kern w:val="0"/>
          <w:sz w:val="22"/>
          <w:szCs w:val="20"/>
          <w14:ligatures w14:val="none"/>
        </w:rPr>
        <w:t>ekskrecijos</w:t>
      </w:r>
      <w:proofErr w:type="spellEnd"/>
      <w:r w:rsidRPr="00D21DFA">
        <w:rPr>
          <w:rFonts w:ascii="Times New Roman" w:eastAsia="Times New Roman" w:hAnsi="Times New Roman" w:cs="Times New Roman"/>
          <w:snapToGrid w:val="0"/>
          <w:kern w:val="0"/>
          <w:sz w:val="22"/>
          <w:szCs w:val="20"/>
          <w14:ligatures w14:val="none"/>
        </w:rPr>
        <w:t xml:space="preserve"> žarnyne būdu. </w:t>
      </w:r>
    </w:p>
    <w:p w14:paraId="58052C8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8A3598" w14:textId="056A8278" w:rsidR="00C95D96"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Suaugusiesiems b</w:t>
      </w:r>
      <w:r w:rsidR="00C95D96" w:rsidRPr="00D21DFA">
        <w:rPr>
          <w:rFonts w:ascii="Times New Roman" w:eastAsia="Times New Roman" w:hAnsi="Times New Roman" w:cs="Times New Roman"/>
          <w:snapToGrid w:val="0"/>
          <w:kern w:val="0"/>
          <w:sz w:val="22"/>
          <w:szCs w:val="20"/>
          <w14:ligatures w14:val="none"/>
        </w:rPr>
        <w:t xml:space="preserve">endrasis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klirensas yra apie 3,3 l/val., o jo pusinės eliminacijos laikas – maždaug 12 valandų. </w:t>
      </w:r>
    </w:p>
    <w:p w14:paraId="2637006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8098887" w14:textId="6E5EACA3"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Vaikams bendrasis tariamasis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klirensas yra maždaug 3,0 l/val.</w:t>
      </w:r>
    </w:p>
    <w:p w14:paraId="1D4B37DA"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71756B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Svarbiausieji </w:t>
      </w:r>
      <w:proofErr w:type="spellStart"/>
      <w:r w:rsidRPr="00D21DFA">
        <w:rPr>
          <w:rFonts w:ascii="Times New Roman" w:eastAsia="Times New Roman" w:hAnsi="Times New Roman" w:cs="Times New Roman"/>
          <w:snapToGrid w:val="0"/>
          <w:kern w:val="0"/>
          <w:sz w:val="22"/>
          <w:szCs w:val="20"/>
          <w14:ligatures w14:val="none"/>
        </w:rPr>
        <w:t>biotransformacijos</w:t>
      </w:r>
      <w:proofErr w:type="spellEnd"/>
      <w:r w:rsidRPr="00D21DFA">
        <w:rPr>
          <w:rFonts w:ascii="Times New Roman" w:eastAsia="Times New Roman" w:hAnsi="Times New Roman" w:cs="Times New Roman"/>
          <w:snapToGrid w:val="0"/>
          <w:kern w:val="0"/>
          <w:sz w:val="22"/>
          <w:szCs w:val="20"/>
          <w14:ligatures w14:val="none"/>
        </w:rPr>
        <w:t xml:space="preserve"> būdai yra O-</w:t>
      </w:r>
      <w:proofErr w:type="spellStart"/>
      <w:r w:rsidRPr="00D21DFA">
        <w:rPr>
          <w:rFonts w:ascii="Times New Roman" w:eastAsia="Times New Roman" w:hAnsi="Times New Roman" w:cs="Times New Roman"/>
          <w:snapToGrid w:val="0"/>
          <w:kern w:val="0"/>
          <w:sz w:val="22"/>
          <w:szCs w:val="20"/>
          <w14:ligatures w14:val="none"/>
        </w:rPr>
        <w:t>demetilinimas</w:t>
      </w:r>
      <w:proofErr w:type="spellEnd"/>
      <w:r w:rsidRPr="00D21DFA">
        <w:rPr>
          <w:rFonts w:ascii="Times New Roman" w:eastAsia="Times New Roman" w:hAnsi="Times New Roman" w:cs="Times New Roman"/>
          <w:snapToGrid w:val="0"/>
          <w:kern w:val="0"/>
          <w:sz w:val="22"/>
          <w:szCs w:val="20"/>
          <w14:ligatures w14:val="none"/>
        </w:rPr>
        <w:t xml:space="preserve"> ir 3-oksopiperidinilo dalies </w:t>
      </w:r>
      <w:proofErr w:type="spellStart"/>
      <w:r w:rsidRPr="00D21DFA">
        <w:rPr>
          <w:rFonts w:ascii="Times New Roman" w:eastAsia="Times New Roman" w:hAnsi="Times New Roman" w:cs="Times New Roman"/>
          <w:snapToGrid w:val="0"/>
          <w:kern w:val="0"/>
          <w:sz w:val="22"/>
          <w:szCs w:val="20"/>
          <w14:ligatures w14:val="none"/>
        </w:rPr>
        <w:t>hidroksilinimas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daugiausia </w:t>
      </w:r>
      <w:proofErr w:type="spellStart"/>
      <w:r w:rsidRPr="00D21DFA">
        <w:rPr>
          <w:rFonts w:ascii="Times New Roman" w:eastAsia="Times New Roman" w:hAnsi="Times New Roman" w:cs="Times New Roman"/>
          <w:snapToGrid w:val="0"/>
          <w:kern w:val="0"/>
          <w:sz w:val="22"/>
          <w:szCs w:val="20"/>
          <w14:ligatures w14:val="none"/>
        </w:rPr>
        <w:t>metabolizuojamas</w:t>
      </w:r>
      <w:proofErr w:type="spellEnd"/>
      <w:r w:rsidRPr="00D21DFA">
        <w:rPr>
          <w:rFonts w:ascii="Times New Roman" w:eastAsia="Times New Roman" w:hAnsi="Times New Roman" w:cs="Times New Roman"/>
          <w:snapToGrid w:val="0"/>
          <w:kern w:val="0"/>
          <w:sz w:val="22"/>
          <w:szCs w:val="20"/>
          <w14:ligatures w14:val="none"/>
        </w:rPr>
        <w:t xml:space="preserve"> veikiant CYP3A4/5 </w:t>
      </w:r>
      <w:proofErr w:type="spellStart"/>
      <w:r w:rsidRPr="00D21DFA">
        <w:rPr>
          <w:rFonts w:ascii="Times New Roman" w:eastAsia="Times New Roman" w:hAnsi="Times New Roman" w:cs="Times New Roman"/>
          <w:snapToGrid w:val="0"/>
          <w:kern w:val="0"/>
          <w:sz w:val="22"/>
          <w:szCs w:val="20"/>
          <w14:ligatures w14:val="none"/>
        </w:rPr>
        <w:t>izofermentams</w:t>
      </w:r>
      <w:proofErr w:type="spellEnd"/>
      <w:r w:rsidRPr="00D21DFA">
        <w:rPr>
          <w:rFonts w:ascii="Times New Roman" w:eastAsia="Times New Roman" w:hAnsi="Times New Roman" w:cs="Times New Roman"/>
          <w:snapToGrid w:val="0"/>
          <w:kern w:val="0"/>
          <w:sz w:val="22"/>
          <w:szCs w:val="20"/>
          <w14:ligatures w14:val="none"/>
        </w:rPr>
        <w:t xml:space="preserve">, o CYP1A2, 2C8, 2C9, 2C19 ir 2J2 </w:t>
      </w:r>
      <w:proofErr w:type="spellStart"/>
      <w:r w:rsidRPr="00D21DFA">
        <w:rPr>
          <w:rFonts w:ascii="Times New Roman" w:eastAsia="Times New Roman" w:hAnsi="Times New Roman" w:cs="Times New Roman"/>
          <w:snapToGrid w:val="0"/>
          <w:kern w:val="0"/>
          <w:sz w:val="22"/>
          <w:szCs w:val="20"/>
          <w14:ligatures w14:val="none"/>
        </w:rPr>
        <w:t>izofermentų</w:t>
      </w:r>
      <w:proofErr w:type="spellEnd"/>
      <w:r w:rsidRPr="00D21DFA">
        <w:rPr>
          <w:rFonts w:ascii="Times New Roman" w:eastAsia="Times New Roman" w:hAnsi="Times New Roman" w:cs="Times New Roman"/>
          <w:snapToGrid w:val="0"/>
          <w:kern w:val="0"/>
          <w:sz w:val="22"/>
          <w:szCs w:val="20"/>
          <w14:ligatures w14:val="none"/>
        </w:rPr>
        <w:t xml:space="preserve"> įtaka nedidelė. Svarbiausias su veikliosios medžiagos poveikiu susijęs žmogaus kraujo plazmoje nustatomas komponentas yra nepakitęs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o veiklių kraujo apykaitoje esančių metabolitų neaptikta.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yra pernašos baltymų P-</w:t>
      </w:r>
      <w:proofErr w:type="spellStart"/>
      <w:r w:rsidRPr="00D21DFA">
        <w:rPr>
          <w:rFonts w:ascii="Times New Roman" w:eastAsia="Times New Roman" w:hAnsi="Times New Roman" w:cs="Times New Roman"/>
          <w:snapToGrid w:val="0"/>
          <w:kern w:val="0"/>
          <w:sz w:val="22"/>
          <w:szCs w:val="20"/>
          <w14:ligatures w14:val="none"/>
        </w:rPr>
        <w:t>gp</w:t>
      </w:r>
      <w:proofErr w:type="spellEnd"/>
      <w:r w:rsidRPr="00D21DFA">
        <w:rPr>
          <w:rFonts w:ascii="Times New Roman" w:eastAsia="Times New Roman" w:hAnsi="Times New Roman" w:cs="Times New Roman"/>
          <w:snapToGrid w:val="0"/>
          <w:kern w:val="0"/>
          <w:sz w:val="22"/>
          <w:szCs w:val="20"/>
          <w14:ligatures w14:val="none"/>
        </w:rPr>
        <w:t xml:space="preserve"> ir krūties vėžio atsparumo baltymo (BCRP) substratas. </w:t>
      </w:r>
    </w:p>
    <w:p w14:paraId="4567A35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3F34004" w14:textId="2303133A"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Senyvi</w:t>
      </w:r>
      <w:r w:rsidR="006843AB" w:rsidRPr="00D21DFA">
        <w:rPr>
          <w:rFonts w:ascii="Times New Roman" w:eastAsia="Times New Roman" w:hAnsi="Times New Roman" w:cs="Times New Roman"/>
          <w:snapToGrid w:val="0"/>
          <w:kern w:val="0"/>
          <w:sz w:val="22"/>
          <w:szCs w:val="20"/>
          <w:u w:val="single"/>
          <w14:ligatures w14:val="none"/>
        </w:rPr>
        <w:t>ems</w:t>
      </w:r>
      <w:r w:rsidRPr="00D21DFA">
        <w:rPr>
          <w:rFonts w:ascii="Times New Roman" w:eastAsia="Times New Roman" w:hAnsi="Times New Roman" w:cs="Times New Roman"/>
          <w:snapToGrid w:val="0"/>
          <w:kern w:val="0"/>
          <w:sz w:val="22"/>
          <w:szCs w:val="20"/>
          <w:u w:val="single"/>
          <w14:ligatures w14:val="none"/>
        </w:rPr>
        <w:t xml:space="preserve"> pacienta</w:t>
      </w:r>
      <w:r w:rsidR="006843AB" w:rsidRPr="00D21DFA">
        <w:rPr>
          <w:rFonts w:ascii="Times New Roman" w:eastAsia="Times New Roman" w:hAnsi="Times New Roman" w:cs="Times New Roman"/>
          <w:snapToGrid w:val="0"/>
          <w:kern w:val="0"/>
          <w:sz w:val="22"/>
          <w:szCs w:val="20"/>
          <w:u w:val="single"/>
          <w14:ligatures w14:val="none"/>
        </w:rPr>
        <w:t>ms</w:t>
      </w:r>
      <w:r w:rsidRPr="00D21DFA">
        <w:rPr>
          <w:rFonts w:ascii="Times New Roman" w:eastAsia="Times New Roman" w:hAnsi="Times New Roman" w:cs="Times New Roman"/>
          <w:snapToGrid w:val="0"/>
          <w:kern w:val="0"/>
          <w:sz w:val="22"/>
          <w:szCs w:val="20"/>
          <w:u w:val="single"/>
          <w14:ligatures w14:val="none"/>
        </w:rPr>
        <w:t xml:space="preserve"> </w:t>
      </w:r>
    </w:p>
    <w:p w14:paraId="15EB9E64" w14:textId="77777777" w:rsidR="00C95D96" w:rsidRPr="00D21DFA" w:rsidRDefault="00C95D96" w:rsidP="00C95D96">
      <w:pPr>
        <w:keepNext/>
        <w:tabs>
          <w:tab w:val="left" w:pos="567"/>
          <w:tab w:val="left" w:pos="9214"/>
        </w:tabs>
        <w:spacing w:after="0" w:line="240" w:lineRule="auto"/>
        <w:rPr>
          <w:rFonts w:ascii="Times New Roman" w:eastAsia="Times New Roman" w:hAnsi="Times New Roman" w:cs="Times New Roman"/>
          <w:snapToGrid w:val="0"/>
          <w:kern w:val="0"/>
          <w:sz w:val="22"/>
          <w:szCs w:val="20"/>
          <w:u w:val="single"/>
          <w14:ligatures w14:val="none"/>
        </w:rPr>
      </w:pPr>
    </w:p>
    <w:p w14:paraId="0B281A0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Senyviems pacientams (vyresniems kaip 65 metų) nustatytos didesnės vaistinio preparato koncentracijos plazmoje, palyginti su jaunesniais asmenimis, vidutinės AUC reikšmės yra maždaug 32 % didesnės, o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nesiskiria. </w:t>
      </w:r>
    </w:p>
    <w:p w14:paraId="1C7A4A4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A7FEB7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Sutrikusi inkstų funkcija </w:t>
      </w:r>
    </w:p>
    <w:p w14:paraId="387A23F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0C31A8B" w14:textId="42C4B33B"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Sutrikusi inkstų funkcija nedaro įtakos didžiausiai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koncentracijai. Vertinant kreatinino klirensą nustatyta su sumažėjusia inkstų funkcija susijusi didesnė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Pacientams, kuriems buvo nesunkus (kreatinino klirensas 51</w:t>
      </w:r>
      <w:r w:rsidRPr="00D21DFA">
        <w:rPr>
          <w:rFonts w:ascii="Times New Roman" w:eastAsia="Times New Roman" w:hAnsi="Times New Roman" w:cs="Times New Roman"/>
          <w:snapToGrid w:val="0"/>
          <w:kern w:val="0"/>
          <w:sz w:val="22"/>
          <w:szCs w:val="20"/>
          <w14:ligatures w14:val="none"/>
        </w:rPr>
        <w:noBreakHyphen/>
        <w:t>80 ml/min.), vidutinio sunkumo (kreatinino klirensas 30</w:t>
      </w:r>
      <w:r w:rsidRPr="00D21DFA">
        <w:rPr>
          <w:rFonts w:ascii="Times New Roman" w:eastAsia="Times New Roman" w:hAnsi="Times New Roman" w:cs="Times New Roman"/>
          <w:snapToGrid w:val="0"/>
          <w:kern w:val="0"/>
          <w:sz w:val="22"/>
          <w:szCs w:val="20"/>
          <w14:ligatures w14:val="none"/>
        </w:rPr>
        <w:noBreakHyphen/>
        <w:t>50 ml/min.) ir sunkus (kreatinino klirensas 15</w:t>
      </w:r>
      <w:r w:rsidRPr="00D21DFA">
        <w:rPr>
          <w:rFonts w:ascii="Times New Roman" w:eastAsia="Times New Roman" w:hAnsi="Times New Roman" w:cs="Times New Roman"/>
          <w:snapToGrid w:val="0"/>
          <w:kern w:val="0"/>
          <w:sz w:val="22"/>
          <w:szCs w:val="20"/>
          <w14:ligatures w14:val="none"/>
        </w:rPr>
        <w:noBreakHyphen/>
        <w:t xml:space="preserve">29 ml/min.) inkstų funkcijos sutrikimas,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(AUC) padidėjo, atitinkamai, 16 %, 29 % ir 44 %, lyginant su asmenimis, kuri</w:t>
      </w:r>
      <w:r w:rsidR="006843AB" w:rsidRPr="00D21DFA">
        <w:rPr>
          <w:rFonts w:ascii="Times New Roman" w:eastAsia="Times New Roman" w:hAnsi="Times New Roman" w:cs="Times New Roman"/>
          <w:snapToGrid w:val="0"/>
          <w:kern w:val="0"/>
          <w:sz w:val="22"/>
          <w:szCs w:val="20"/>
          <w14:ligatures w14:val="none"/>
        </w:rPr>
        <w:t>ų</w:t>
      </w:r>
      <w:r w:rsidRPr="00D21DFA">
        <w:rPr>
          <w:rFonts w:ascii="Times New Roman" w:eastAsia="Times New Roman" w:hAnsi="Times New Roman" w:cs="Times New Roman"/>
          <w:snapToGrid w:val="0"/>
          <w:kern w:val="0"/>
          <w:sz w:val="22"/>
          <w:szCs w:val="20"/>
          <w14:ligatures w14:val="none"/>
        </w:rPr>
        <w:t xml:space="preserve"> kreatinino klirensas buvo normalus. Inkstų funkcijos sutrikimas nedaro akivaizdžios įtakos ryšiui tarp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koncentracijos plazmoje ir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aktyvumo. </w:t>
      </w:r>
    </w:p>
    <w:p w14:paraId="17DE0F7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049203" w14:textId="6BAA82B6"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Pacientams, sergantiems galutinės stadijos</w:t>
      </w:r>
      <w:r w:rsidR="006843AB" w:rsidRPr="00D21DFA">
        <w:rPr>
          <w:rFonts w:ascii="Times New Roman" w:eastAsia="Times New Roman" w:hAnsi="Times New Roman" w:cs="Times New Roman"/>
          <w:snapToGrid w:val="0"/>
          <w:kern w:val="0"/>
          <w:sz w:val="22"/>
          <w:szCs w:val="20"/>
          <w14:ligatures w14:val="none"/>
        </w:rPr>
        <w:t xml:space="preserve"> lėtine</w:t>
      </w:r>
      <w:r w:rsidRPr="00D21DFA">
        <w:rPr>
          <w:rFonts w:ascii="Times New Roman" w:eastAsia="Times New Roman" w:hAnsi="Times New Roman" w:cs="Times New Roman"/>
          <w:snapToGrid w:val="0"/>
          <w:kern w:val="0"/>
          <w:sz w:val="22"/>
          <w:szCs w:val="20"/>
          <w14:ligatures w14:val="none"/>
        </w:rPr>
        <w:t xml:space="preserve"> inkstų liga (GS</w:t>
      </w:r>
      <w:r w:rsidR="006843AB" w:rsidRPr="00D21DFA">
        <w:rPr>
          <w:rFonts w:ascii="Times New Roman" w:eastAsia="Times New Roman" w:hAnsi="Times New Roman" w:cs="Times New Roman"/>
          <w:snapToGrid w:val="0"/>
          <w:kern w:val="0"/>
          <w:sz w:val="22"/>
          <w:szCs w:val="20"/>
          <w14:ligatures w14:val="none"/>
        </w:rPr>
        <w:t>L</w:t>
      </w:r>
      <w:r w:rsidRPr="00D21DFA">
        <w:rPr>
          <w:rFonts w:ascii="Times New Roman" w:eastAsia="Times New Roman" w:hAnsi="Times New Roman" w:cs="Times New Roman"/>
          <w:snapToGrid w:val="0"/>
          <w:kern w:val="0"/>
          <w:sz w:val="22"/>
          <w:szCs w:val="20"/>
          <w14:ligatures w14:val="none"/>
        </w:rPr>
        <w:t xml:space="preserve">IL),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padidėjo 36 %, kai vienkartinė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 buvo skiriama iš karto po hemodializės, palyginus su pacientais, kurių inkstų funkcija normali. Hemodializę pradėjus praėjus dviem valandoms po </w:t>
      </w:r>
      <w:r w:rsidRPr="00D21DFA">
        <w:rPr>
          <w:rFonts w:ascii="Times New Roman" w:eastAsia="Times New Roman" w:hAnsi="Times New Roman" w:cs="Times New Roman"/>
          <w:snapToGrid w:val="0"/>
          <w:kern w:val="0"/>
          <w:sz w:val="22"/>
          <w:szCs w:val="20"/>
          <w14:ligatures w14:val="none"/>
        </w:rPr>
        <w:lastRenderedPageBreak/>
        <w:t xml:space="preserve">vienkartinės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AUC sumažėjo 14 % šiems GSIL sergantiems pacientams, atitinkamai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dializės klirensas buvo 18 ml/min. Todėl hemodializė nėra veiksminga priemonė perdozavus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w:t>
      </w:r>
    </w:p>
    <w:p w14:paraId="73625CF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56D0BD" w14:textId="47BB15B6"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vaikams, kurių amžius ≥ 2 metai, sunkus inkstų funkcijos sutrikimas konstatuojamas tada, kai apskaičiuotasis </w:t>
      </w:r>
      <w:proofErr w:type="spellStart"/>
      <w:r w:rsidRPr="00D21DFA">
        <w:rPr>
          <w:rFonts w:ascii="Times New Roman" w:eastAsia="Times New Roman" w:hAnsi="Times New Roman" w:cs="Times New Roman"/>
          <w:snapToGrid w:val="0"/>
          <w:kern w:val="0"/>
          <w:sz w:val="22"/>
          <w:szCs w:val="20"/>
          <w14:ligatures w14:val="none"/>
        </w:rPr>
        <w:t>glomerulų</w:t>
      </w:r>
      <w:proofErr w:type="spellEnd"/>
      <w:r w:rsidRPr="00D21DFA">
        <w:rPr>
          <w:rFonts w:ascii="Times New Roman" w:eastAsia="Times New Roman" w:hAnsi="Times New Roman" w:cs="Times New Roman"/>
          <w:snapToGrid w:val="0"/>
          <w:kern w:val="0"/>
          <w:sz w:val="22"/>
          <w:szCs w:val="20"/>
          <w14:ligatures w14:val="none"/>
        </w:rPr>
        <w:t xml:space="preserve"> filtracijos greitis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tampa mažesnis kaip 30 ml/min/1,73 m</w:t>
      </w:r>
      <w:r w:rsidRPr="00D21DFA">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xml:space="preserve"> kūno paviršiaus ploto (KPP). Tyrimo CV185325 metu jaunesniems kaip 2 metų pacientams sunkų inkstų funkcijos sutrikimą apibrėžiančios ribos pagal lytį ir </w:t>
      </w:r>
      <w:proofErr w:type="spellStart"/>
      <w:r w:rsidRPr="00D21DFA">
        <w:rPr>
          <w:rFonts w:ascii="Times New Roman" w:eastAsia="Times New Roman" w:hAnsi="Times New Roman" w:cs="Times New Roman"/>
          <w:snapToGrid w:val="0"/>
          <w:kern w:val="0"/>
          <w:sz w:val="22"/>
          <w:szCs w:val="20"/>
          <w14:ligatures w14:val="none"/>
        </w:rPr>
        <w:t>postnatalinį</w:t>
      </w:r>
      <w:proofErr w:type="spellEnd"/>
      <w:r w:rsidRPr="00D21DFA">
        <w:rPr>
          <w:rFonts w:ascii="Times New Roman" w:eastAsia="Times New Roman" w:hAnsi="Times New Roman" w:cs="Times New Roman"/>
          <w:snapToGrid w:val="0"/>
          <w:kern w:val="0"/>
          <w:sz w:val="22"/>
          <w:szCs w:val="20"/>
          <w14:ligatures w14:val="none"/>
        </w:rPr>
        <w:t xml:space="preserve"> amžių apibendrintos toliau pateiktoje 15 lentelėje; kiekviena iš jų atitinka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xml:space="preserve"> &lt; 30 ml/min/1,73 m</w:t>
      </w:r>
      <w:r w:rsidRPr="00D21DFA">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xml:space="preserve"> KPP 2 metų ir vyresniems pacientams.</w:t>
      </w:r>
    </w:p>
    <w:p w14:paraId="5892DA05"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C2D94C" w14:textId="0CF92101"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 xml:space="preserve">15 lentelė. </w:t>
      </w:r>
      <w:proofErr w:type="spellStart"/>
      <w:r w:rsidRPr="00D21DFA">
        <w:rPr>
          <w:rFonts w:ascii="Times New Roman" w:eastAsia="Times New Roman" w:hAnsi="Times New Roman" w:cs="Times New Roman"/>
          <w:b/>
          <w:bCs/>
          <w:snapToGrid w:val="0"/>
          <w:kern w:val="0"/>
          <w:sz w:val="22"/>
          <w:szCs w:val="20"/>
          <w14:ligatures w14:val="none"/>
        </w:rPr>
        <w:t>aGFG</w:t>
      </w:r>
      <w:proofErr w:type="spellEnd"/>
      <w:r w:rsidRPr="00D21DFA">
        <w:rPr>
          <w:rFonts w:ascii="Times New Roman" w:eastAsia="Times New Roman" w:hAnsi="Times New Roman" w:cs="Times New Roman"/>
          <w:b/>
          <w:bCs/>
          <w:snapToGrid w:val="0"/>
          <w:kern w:val="0"/>
          <w:sz w:val="22"/>
          <w:szCs w:val="20"/>
          <w14:ligatures w14:val="none"/>
        </w:rPr>
        <w:t xml:space="preserve"> tinkamumo ribos tyrimui CV185325</w:t>
      </w:r>
    </w:p>
    <w:tbl>
      <w:tblPr>
        <w:tblStyle w:val="TableGrid1"/>
        <w:tblW w:w="9076" w:type="dxa"/>
        <w:tblInd w:w="-105" w:type="dxa"/>
        <w:tblCellMar>
          <w:top w:w="6" w:type="dxa"/>
          <w:left w:w="88" w:type="dxa"/>
          <w:right w:w="93" w:type="dxa"/>
        </w:tblCellMar>
        <w:tblLook w:val="04A0" w:firstRow="1" w:lastRow="0" w:firstColumn="1" w:lastColumn="0" w:noHBand="0" w:noVBand="1"/>
      </w:tblPr>
      <w:tblGrid>
        <w:gridCol w:w="3766"/>
        <w:gridCol w:w="2285"/>
        <w:gridCol w:w="3025"/>
      </w:tblGrid>
      <w:tr w:rsidR="00D50421" w:rsidRPr="00D21DFA" w14:paraId="32A64803" w14:textId="77777777" w:rsidTr="000760BC">
        <w:trPr>
          <w:trHeight w:val="571"/>
        </w:trPr>
        <w:tc>
          <w:tcPr>
            <w:tcW w:w="3766" w:type="dxa"/>
            <w:tcBorders>
              <w:top w:val="single" w:sz="4" w:space="0" w:color="000000"/>
              <w:left w:val="single" w:sz="4" w:space="0" w:color="000000"/>
              <w:bottom w:val="single" w:sz="4" w:space="0" w:color="000000"/>
              <w:right w:val="single" w:sz="4" w:space="0" w:color="000000"/>
            </w:tcBorders>
            <w:vAlign w:val="center"/>
          </w:tcPr>
          <w:p w14:paraId="1216E62B"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proofErr w:type="spellStart"/>
            <w:r w:rsidRPr="00D21DFA">
              <w:rPr>
                <w:rFonts w:ascii="Times New Roman" w:hAnsi="Times New Roman" w:cs="Times New Roman"/>
                <w:b/>
                <w:snapToGrid w:val="0"/>
                <w:szCs w:val="20"/>
                <w:lang w:val="lt-LT" w:eastAsia="en-US"/>
              </w:rPr>
              <w:t>Postnatalinis</w:t>
            </w:r>
            <w:proofErr w:type="spellEnd"/>
            <w:r w:rsidRPr="00D21DFA">
              <w:rPr>
                <w:rFonts w:ascii="Times New Roman" w:hAnsi="Times New Roman" w:cs="Times New Roman"/>
                <w:b/>
                <w:snapToGrid w:val="0"/>
                <w:szCs w:val="20"/>
                <w:lang w:val="lt-LT" w:eastAsia="en-US"/>
              </w:rPr>
              <w:t xml:space="preserve"> amžius (lytis) </w:t>
            </w:r>
          </w:p>
        </w:tc>
        <w:tc>
          <w:tcPr>
            <w:tcW w:w="2285" w:type="dxa"/>
            <w:tcBorders>
              <w:top w:val="single" w:sz="4" w:space="0" w:color="000000"/>
              <w:left w:val="single" w:sz="4" w:space="0" w:color="000000"/>
              <w:bottom w:val="single" w:sz="4" w:space="0" w:color="000000"/>
              <w:right w:val="single" w:sz="4" w:space="0" w:color="000000"/>
            </w:tcBorders>
          </w:tcPr>
          <w:p w14:paraId="1388C3E2" w14:textId="621BDD4E"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b/>
                <w:snapToGrid w:val="0"/>
                <w:szCs w:val="20"/>
                <w:lang w:val="lt-LT" w:eastAsia="en-US"/>
              </w:rPr>
              <w:t>GFR referencinis diapazonas (ml/min/1</w:t>
            </w:r>
            <w:r w:rsidR="009D483E">
              <w:rPr>
                <w:rFonts w:ascii="Times New Roman" w:hAnsi="Times New Roman" w:cs="Times New Roman"/>
                <w:b/>
                <w:snapToGrid w:val="0"/>
                <w:szCs w:val="20"/>
                <w:lang w:val="lt-LT" w:eastAsia="en-US"/>
              </w:rPr>
              <w:t>,</w:t>
            </w:r>
            <w:r w:rsidRPr="00D21DFA">
              <w:rPr>
                <w:rFonts w:ascii="Times New Roman" w:hAnsi="Times New Roman" w:cs="Times New Roman"/>
                <w:b/>
                <w:snapToGrid w:val="0"/>
                <w:szCs w:val="20"/>
                <w:lang w:val="lt-LT" w:eastAsia="en-US"/>
              </w:rPr>
              <w:t>73 m</w:t>
            </w:r>
            <w:r w:rsidRPr="00D21DFA">
              <w:rPr>
                <w:rFonts w:ascii="Times New Roman" w:hAnsi="Times New Roman" w:cs="Times New Roman"/>
                <w:b/>
                <w:snapToGrid w:val="0"/>
                <w:szCs w:val="20"/>
                <w:vertAlign w:val="superscript"/>
                <w:lang w:val="lt-LT" w:eastAsia="en-US"/>
              </w:rPr>
              <w:t>2</w:t>
            </w:r>
            <w:r w:rsidRPr="00D21DFA">
              <w:rPr>
                <w:rFonts w:ascii="Times New Roman" w:hAnsi="Times New Roman" w:cs="Times New Roman"/>
                <w:b/>
                <w:snapToGrid w:val="0"/>
                <w:szCs w:val="20"/>
                <w:lang w:val="lt-LT" w:eastAsia="en-US"/>
              </w:rPr>
              <w:t xml:space="preserve">) </w:t>
            </w:r>
          </w:p>
        </w:tc>
        <w:tc>
          <w:tcPr>
            <w:tcW w:w="3025" w:type="dxa"/>
            <w:tcBorders>
              <w:top w:val="single" w:sz="4" w:space="0" w:color="000000"/>
              <w:left w:val="single" w:sz="4" w:space="0" w:color="000000"/>
              <w:bottom w:val="single" w:sz="4" w:space="0" w:color="000000"/>
              <w:right w:val="single" w:sz="4" w:space="0" w:color="000000"/>
            </w:tcBorders>
          </w:tcPr>
          <w:p w14:paraId="00CF7ACA"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proofErr w:type="spellStart"/>
            <w:r w:rsidRPr="00D21DFA">
              <w:rPr>
                <w:rFonts w:ascii="Times New Roman" w:hAnsi="Times New Roman" w:cs="Times New Roman"/>
                <w:b/>
                <w:snapToGrid w:val="0"/>
                <w:szCs w:val="20"/>
                <w:lang w:val="lt-LT" w:eastAsia="en-US"/>
              </w:rPr>
              <w:t>eGFR</w:t>
            </w:r>
            <w:proofErr w:type="spellEnd"/>
            <w:r w:rsidRPr="00D21DFA">
              <w:rPr>
                <w:rFonts w:ascii="Times New Roman" w:hAnsi="Times New Roman" w:cs="Times New Roman"/>
                <w:b/>
                <w:snapToGrid w:val="0"/>
                <w:szCs w:val="20"/>
                <w:lang w:val="lt-LT" w:eastAsia="en-US"/>
              </w:rPr>
              <w:t xml:space="preserve"> </w:t>
            </w:r>
            <w:proofErr w:type="spellStart"/>
            <w:r w:rsidRPr="00D21DFA">
              <w:rPr>
                <w:rFonts w:ascii="Times New Roman" w:hAnsi="Times New Roman" w:cs="Times New Roman"/>
                <w:b/>
                <w:snapToGrid w:val="0"/>
                <w:szCs w:val="20"/>
                <w:lang w:val="lt-LT" w:eastAsia="en-US"/>
              </w:rPr>
              <w:t>tankamumo</w:t>
            </w:r>
            <w:proofErr w:type="spellEnd"/>
            <w:r w:rsidRPr="00D21DFA">
              <w:rPr>
                <w:rFonts w:ascii="Times New Roman" w:hAnsi="Times New Roman" w:cs="Times New Roman"/>
                <w:b/>
                <w:snapToGrid w:val="0"/>
                <w:szCs w:val="20"/>
                <w:lang w:val="lt-LT" w:eastAsia="en-US"/>
              </w:rPr>
              <w:t xml:space="preserve"> ribos* </w:t>
            </w:r>
          </w:p>
        </w:tc>
      </w:tr>
      <w:tr w:rsidR="00D50421" w:rsidRPr="00D21DFA" w14:paraId="6F0E7680"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30257083"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1 savaitė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275A1344"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41 ± 15 </w:t>
            </w:r>
          </w:p>
        </w:tc>
        <w:tc>
          <w:tcPr>
            <w:tcW w:w="3025" w:type="dxa"/>
            <w:tcBorders>
              <w:top w:val="single" w:sz="4" w:space="0" w:color="000000"/>
              <w:left w:val="single" w:sz="4" w:space="0" w:color="000000"/>
              <w:bottom w:val="single" w:sz="4" w:space="0" w:color="000000"/>
              <w:right w:val="single" w:sz="4" w:space="0" w:color="000000"/>
            </w:tcBorders>
          </w:tcPr>
          <w:p w14:paraId="45A1E657"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 8 </w:t>
            </w:r>
          </w:p>
        </w:tc>
      </w:tr>
      <w:tr w:rsidR="00D50421" w:rsidRPr="00D21DFA" w14:paraId="3312BC47"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18E4FB66"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2–8 savaitės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238D24F0"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66 ± 25 </w:t>
            </w:r>
          </w:p>
        </w:tc>
        <w:tc>
          <w:tcPr>
            <w:tcW w:w="3025" w:type="dxa"/>
            <w:tcBorders>
              <w:top w:val="single" w:sz="4" w:space="0" w:color="000000"/>
              <w:left w:val="single" w:sz="4" w:space="0" w:color="000000"/>
              <w:bottom w:val="single" w:sz="4" w:space="0" w:color="000000"/>
              <w:right w:val="single" w:sz="4" w:space="0" w:color="000000"/>
            </w:tcBorders>
          </w:tcPr>
          <w:p w14:paraId="78CEDD75"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 12 </w:t>
            </w:r>
          </w:p>
        </w:tc>
      </w:tr>
      <w:tr w:rsidR="00D50421" w:rsidRPr="00D21DFA" w14:paraId="09CD0B24" w14:textId="77777777" w:rsidTr="000760BC">
        <w:trPr>
          <w:trHeight w:val="572"/>
        </w:trPr>
        <w:tc>
          <w:tcPr>
            <w:tcW w:w="3766" w:type="dxa"/>
            <w:tcBorders>
              <w:top w:val="single" w:sz="4" w:space="0" w:color="000000"/>
              <w:left w:val="single" w:sz="4" w:space="0" w:color="000000"/>
              <w:bottom w:val="single" w:sz="4" w:space="0" w:color="000000"/>
              <w:right w:val="single" w:sz="4" w:space="0" w:color="000000"/>
            </w:tcBorders>
          </w:tcPr>
          <w:p w14:paraId="70CDC37C" w14:textId="6F0E335E" w:rsidR="00D50421" w:rsidRPr="00D21DFA" w:rsidRDefault="00D71A43" w:rsidP="00D50421">
            <w:pPr>
              <w:tabs>
                <w:tab w:val="left" w:pos="567"/>
                <w:tab w:val="left" w:pos="9214"/>
              </w:tabs>
              <w:ind w:right="-2"/>
              <w:rPr>
                <w:rFonts w:ascii="Times New Roman" w:hAnsi="Times New Roman" w:cs="Times New Roman"/>
                <w:snapToGrid w:val="0"/>
                <w:szCs w:val="20"/>
                <w:lang w:val="lt-LT" w:eastAsia="en-US"/>
              </w:rPr>
            </w:pPr>
            <w:r>
              <w:rPr>
                <w:rFonts w:ascii="Times New Roman" w:hAnsi="Times New Roman" w:cs="Times New Roman"/>
                <w:snapToGrid w:val="0"/>
                <w:szCs w:val="20"/>
                <w:lang w:val="lt-LT" w:eastAsia="en-US"/>
              </w:rPr>
              <w:t xml:space="preserve">Nuo </w:t>
            </w:r>
            <w:r w:rsidR="00D50421" w:rsidRPr="00D21DFA">
              <w:rPr>
                <w:rFonts w:ascii="Times New Roman" w:hAnsi="Times New Roman" w:cs="Times New Roman"/>
                <w:snapToGrid w:val="0"/>
                <w:szCs w:val="20"/>
                <w:lang w:val="lt-LT" w:eastAsia="en-US"/>
              </w:rPr>
              <w:t>&gt; 8 savaičių iki &lt; 2 metų (vyriška ir moteriška)</w:t>
            </w:r>
          </w:p>
        </w:tc>
        <w:tc>
          <w:tcPr>
            <w:tcW w:w="2285" w:type="dxa"/>
            <w:tcBorders>
              <w:top w:val="single" w:sz="4" w:space="0" w:color="000000"/>
              <w:left w:val="single" w:sz="4" w:space="0" w:color="000000"/>
              <w:bottom w:val="single" w:sz="4" w:space="0" w:color="000000"/>
              <w:right w:val="single" w:sz="4" w:space="0" w:color="000000"/>
            </w:tcBorders>
            <w:vAlign w:val="center"/>
          </w:tcPr>
          <w:p w14:paraId="20D16821"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96 ± 22 </w:t>
            </w:r>
          </w:p>
        </w:tc>
        <w:tc>
          <w:tcPr>
            <w:tcW w:w="3025" w:type="dxa"/>
            <w:tcBorders>
              <w:top w:val="single" w:sz="4" w:space="0" w:color="000000"/>
              <w:left w:val="single" w:sz="4" w:space="0" w:color="000000"/>
              <w:bottom w:val="single" w:sz="4" w:space="0" w:color="000000"/>
              <w:right w:val="single" w:sz="4" w:space="0" w:color="000000"/>
            </w:tcBorders>
            <w:vAlign w:val="center"/>
          </w:tcPr>
          <w:p w14:paraId="1C948C0A"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 22 </w:t>
            </w:r>
          </w:p>
        </w:tc>
      </w:tr>
      <w:tr w:rsidR="00D50421" w:rsidRPr="00D21DFA" w14:paraId="54055200" w14:textId="77777777" w:rsidTr="000760BC">
        <w:trPr>
          <w:trHeight w:val="318"/>
        </w:trPr>
        <w:tc>
          <w:tcPr>
            <w:tcW w:w="3766" w:type="dxa"/>
            <w:tcBorders>
              <w:top w:val="single" w:sz="4" w:space="0" w:color="000000"/>
              <w:left w:val="single" w:sz="4" w:space="0" w:color="000000"/>
              <w:bottom w:val="single" w:sz="4" w:space="0" w:color="000000"/>
              <w:right w:val="single" w:sz="4" w:space="0" w:color="000000"/>
            </w:tcBorders>
          </w:tcPr>
          <w:p w14:paraId="1A311DB3"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2–12 metai (vyriška ir moteriška)</w:t>
            </w:r>
          </w:p>
        </w:tc>
        <w:tc>
          <w:tcPr>
            <w:tcW w:w="2285" w:type="dxa"/>
            <w:tcBorders>
              <w:top w:val="single" w:sz="4" w:space="0" w:color="000000"/>
              <w:left w:val="single" w:sz="4" w:space="0" w:color="000000"/>
              <w:bottom w:val="single" w:sz="4" w:space="0" w:color="000000"/>
              <w:right w:val="single" w:sz="4" w:space="0" w:color="000000"/>
            </w:tcBorders>
          </w:tcPr>
          <w:p w14:paraId="694D29A7"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133 ± 27 </w:t>
            </w:r>
          </w:p>
        </w:tc>
        <w:tc>
          <w:tcPr>
            <w:tcW w:w="3025" w:type="dxa"/>
            <w:tcBorders>
              <w:top w:val="single" w:sz="4" w:space="0" w:color="000000"/>
              <w:left w:val="single" w:sz="4" w:space="0" w:color="000000"/>
              <w:bottom w:val="single" w:sz="4" w:space="0" w:color="000000"/>
              <w:right w:val="single" w:sz="4" w:space="0" w:color="000000"/>
            </w:tcBorders>
          </w:tcPr>
          <w:p w14:paraId="5043CC66"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 30 </w:t>
            </w:r>
          </w:p>
        </w:tc>
      </w:tr>
      <w:tr w:rsidR="00D50421" w:rsidRPr="00D21DFA" w14:paraId="364151D3"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6B27A7E2"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13–17 metai (vyriškas)</w:t>
            </w:r>
          </w:p>
        </w:tc>
        <w:tc>
          <w:tcPr>
            <w:tcW w:w="2285" w:type="dxa"/>
            <w:tcBorders>
              <w:top w:val="single" w:sz="4" w:space="0" w:color="000000"/>
              <w:left w:val="single" w:sz="4" w:space="0" w:color="000000"/>
              <w:bottom w:val="single" w:sz="4" w:space="0" w:color="000000"/>
              <w:right w:val="single" w:sz="4" w:space="0" w:color="000000"/>
            </w:tcBorders>
          </w:tcPr>
          <w:p w14:paraId="6B6079CB"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140 ± 30 </w:t>
            </w:r>
          </w:p>
        </w:tc>
        <w:tc>
          <w:tcPr>
            <w:tcW w:w="3025" w:type="dxa"/>
            <w:tcBorders>
              <w:top w:val="single" w:sz="4" w:space="0" w:color="000000"/>
              <w:left w:val="single" w:sz="4" w:space="0" w:color="000000"/>
              <w:bottom w:val="single" w:sz="4" w:space="0" w:color="000000"/>
              <w:right w:val="single" w:sz="4" w:space="0" w:color="000000"/>
            </w:tcBorders>
          </w:tcPr>
          <w:p w14:paraId="6F2D41C7"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 30 </w:t>
            </w:r>
          </w:p>
        </w:tc>
      </w:tr>
      <w:tr w:rsidR="00D50421" w:rsidRPr="00D21DFA" w14:paraId="197BAF78" w14:textId="77777777" w:rsidTr="000760BC">
        <w:trPr>
          <w:trHeight w:val="319"/>
        </w:trPr>
        <w:tc>
          <w:tcPr>
            <w:tcW w:w="3766" w:type="dxa"/>
            <w:tcBorders>
              <w:top w:val="single" w:sz="4" w:space="0" w:color="000000"/>
              <w:left w:val="single" w:sz="4" w:space="0" w:color="000000"/>
              <w:bottom w:val="single" w:sz="4" w:space="0" w:color="000000"/>
              <w:right w:val="single" w:sz="4" w:space="0" w:color="000000"/>
            </w:tcBorders>
          </w:tcPr>
          <w:p w14:paraId="02ECE01A"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13–17 metai (moteriška)</w:t>
            </w:r>
          </w:p>
        </w:tc>
        <w:tc>
          <w:tcPr>
            <w:tcW w:w="2285" w:type="dxa"/>
            <w:tcBorders>
              <w:top w:val="single" w:sz="4" w:space="0" w:color="000000"/>
              <w:left w:val="single" w:sz="4" w:space="0" w:color="000000"/>
              <w:bottom w:val="single" w:sz="4" w:space="0" w:color="000000"/>
              <w:right w:val="single" w:sz="4" w:space="0" w:color="000000"/>
            </w:tcBorders>
          </w:tcPr>
          <w:p w14:paraId="545DEDC1"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126 ± 22 </w:t>
            </w:r>
          </w:p>
        </w:tc>
        <w:tc>
          <w:tcPr>
            <w:tcW w:w="3025" w:type="dxa"/>
            <w:tcBorders>
              <w:top w:val="single" w:sz="4" w:space="0" w:color="000000"/>
              <w:left w:val="single" w:sz="4" w:space="0" w:color="000000"/>
              <w:bottom w:val="single" w:sz="4" w:space="0" w:color="000000"/>
              <w:right w:val="single" w:sz="4" w:space="0" w:color="000000"/>
            </w:tcBorders>
          </w:tcPr>
          <w:p w14:paraId="3276FAAE" w14:textId="77777777" w:rsidR="00D50421" w:rsidRPr="00D21DFA" w:rsidRDefault="00D50421" w:rsidP="00D50421">
            <w:pPr>
              <w:tabs>
                <w:tab w:val="left" w:pos="567"/>
                <w:tab w:val="left" w:pos="9214"/>
              </w:tabs>
              <w:ind w:right="-2"/>
              <w:rPr>
                <w:rFonts w:ascii="Times New Roman" w:hAnsi="Times New Roman" w:cs="Times New Roman"/>
                <w:snapToGrid w:val="0"/>
                <w:szCs w:val="20"/>
                <w:lang w:val="lt-LT" w:eastAsia="en-US"/>
              </w:rPr>
            </w:pPr>
            <w:r w:rsidRPr="00D21DFA">
              <w:rPr>
                <w:rFonts w:ascii="Times New Roman" w:hAnsi="Times New Roman" w:cs="Times New Roman"/>
                <w:snapToGrid w:val="0"/>
                <w:szCs w:val="20"/>
                <w:lang w:val="lt-LT" w:eastAsia="en-US"/>
              </w:rPr>
              <w:t xml:space="preserve">≥ 30 </w:t>
            </w:r>
          </w:p>
        </w:tc>
      </w:tr>
    </w:tbl>
    <w:p w14:paraId="3907424C"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*Tinkamumo riba dalyvauti tyrime CV185325, kur apskaičiuotasis </w:t>
      </w:r>
      <w:proofErr w:type="spellStart"/>
      <w:r w:rsidRPr="00D21DFA">
        <w:rPr>
          <w:rFonts w:ascii="Times New Roman" w:eastAsia="Times New Roman" w:hAnsi="Times New Roman" w:cs="Times New Roman"/>
          <w:snapToGrid w:val="0"/>
          <w:kern w:val="0"/>
          <w:sz w:val="22"/>
          <w:szCs w:val="20"/>
          <w14:ligatures w14:val="none"/>
        </w:rPr>
        <w:t>glomerulų</w:t>
      </w:r>
      <w:proofErr w:type="spellEnd"/>
      <w:r w:rsidRPr="00D21DFA">
        <w:rPr>
          <w:rFonts w:ascii="Times New Roman" w:eastAsia="Times New Roman" w:hAnsi="Times New Roman" w:cs="Times New Roman"/>
          <w:snapToGrid w:val="0"/>
          <w:kern w:val="0"/>
          <w:sz w:val="22"/>
          <w:szCs w:val="20"/>
          <w14:ligatures w14:val="none"/>
        </w:rPr>
        <w:t xml:space="preserve"> filtracijos greitis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xml:space="preserve">) buvo apskaičiuotas pagal atnaujintą hospitalinę </w:t>
      </w:r>
      <w:proofErr w:type="spellStart"/>
      <w:r w:rsidRPr="00AD1A35">
        <w:rPr>
          <w:rFonts w:ascii="Times New Roman" w:eastAsia="Times New Roman" w:hAnsi="Times New Roman" w:cs="Times New Roman"/>
          <w:i/>
          <w:iCs/>
          <w:snapToGrid w:val="0"/>
          <w:kern w:val="0"/>
          <w:sz w:val="22"/>
          <w:szCs w:val="20"/>
          <w14:ligatures w14:val="none"/>
        </w:rPr>
        <w:t>Schwartz</w:t>
      </w:r>
      <w:proofErr w:type="spellEnd"/>
      <w:r w:rsidRPr="00D21DFA">
        <w:rPr>
          <w:rFonts w:ascii="Times New Roman" w:eastAsia="Times New Roman" w:hAnsi="Times New Roman" w:cs="Times New Roman"/>
          <w:snapToGrid w:val="0"/>
          <w:kern w:val="0"/>
          <w:sz w:val="22"/>
          <w:szCs w:val="20"/>
          <w14:ligatures w14:val="none"/>
        </w:rPr>
        <w:t xml:space="preserve"> lygtį (</w:t>
      </w:r>
      <w:proofErr w:type="spellStart"/>
      <w:r w:rsidRPr="00AD1A35">
        <w:rPr>
          <w:rFonts w:ascii="Times New Roman" w:eastAsia="Times New Roman" w:hAnsi="Times New Roman" w:cs="Times New Roman"/>
          <w:i/>
          <w:iCs/>
          <w:snapToGrid w:val="0"/>
          <w:kern w:val="0"/>
          <w:sz w:val="22"/>
          <w:szCs w:val="20"/>
          <w14:ligatures w14:val="none"/>
        </w:rPr>
        <w:t>Schwartz</w:t>
      </w:r>
      <w:proofErr w:type="spellEnd"/>
      <w:r w:rsidRPr="00AD1A35">
        <w:rPr>
          <w:rFonts w:ascii="Times New Roman" w:eastAsia="Times New Roman" w:hAnsi="Times New Roman" w:cs="Times New Roman"/>
          <w:i/>
          <w:iCs/>
          <w:snapToGrid w:val="0"/>
          <w:kern w:val="0"/>
          <w:sz w:val="22"/>
          <w:szCs w:val="20"/>
          <w14:ligatures w14:val="none"/>
        </w:rPr>
        <w:t>, GJ et al.,</w:t>
      </w:r>
      <w:r w:rsidRPr="00D21DFA">
        <w:rPr>
          <w:rFonts w:ascii="Times New Roman" w:eastAsia="Times New Roman" w:hAnsi="Times New Roman" w:cs="Times New Roman"/>
          <w:snapToGrid w:val="0"/>
          <w:kern w:val="0"/>
          <w:sz w:val="22"/>
          <w:szCs w:val="20"/>
          <w14:ligatures w14:val="none"/>
        </w:rPr>
        <w:t xml:space="preserve"> CJASN 2009). Ši pagal protokolą nustatyta riba atitiko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xml:space="preserve">, kurio nepasiekus potencialus pacientas buvo laikomas turinčiu „nepakankamą inkstų funkciją“ ir dėl to negalėjo dalyvauti tyrime CV185325. Kiekviena riba buvo nustatyta taip: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xml:space="preserve">, kuris sudaro &lt; 30 % dydžio, gaunamo iš GFG referencinio diapazono (pagal amžių ir lytį) atėmus 1 standartinį nuokrypį (SN). Jaunesnių kaip 2 metų pacientų ribinės vertės atitinka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kuris yra &lt; 30 ml/min/1,73 m</w:t>
      </w:r>
      <w:r w:rsidRPr="00D21DFA">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o tai yra standartinis sunkaus inkstų nepakankamumo apibrėžimas vyresniems kaip 2 metų pacientams.</w:t>
      </w:r>
    </w:p>
    <w:p w14:paraId="66871DD2"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ab/>
      </w:r>
    </w:p>
    <w:p w14:paraId="688FF4AD"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Vaikai, kurių </w:t>
      </w:r>
      <w:proofErr w:type="spellStart"/>
      <w:r w:rsidRPr="00D21DFA">
        <w:rPr>
          <w:rFonts w:ascii="Times New Roman" w:eastAsia="Times New Roman" w:hAnsi="Times New Roman" w:cs="Times New Roman"/>
          <w:snapToGrid w:val="0"/>
          <w:kern w:val="0"/>
          <w:sz w:val="22"/>
          <w:szCs w:val="20"/>
          <w14:ligatures w14:val="none"/>
        </w:rPr>
        <w:t>glomerulų</w:t>
      </w:r>
      <w:proofErr w:type="spellEnd"/>
      <w:r w:rsidRPr="00D21DFA">
        <w:rPr>
          <w:rFonts w:ascii="Times New Roman" w:eastAsia="Times New Roman" w:hAnsi="Times New Roman" w:cs="Times New Roman"/>
          <w:snapToGrid w:val="0"/>
          <w:kern w:val="0"/>
          <w:sz w:val="22"/>
          <w:szCs w:val="20"/>
          <w14:ligatures w14:val="none"/>
        </w:rPr>
        <w:t xml:space="preserve"> filtracijos greitis ≤ 55 ml/min/1,73 m</w:t>
      </w:r>
      <w:r w:rsidRPr="00D21DFA">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tyrime CV185325 nedalyvavo, nors tie, kurių inkstų funkcijos sutrikimas yra lengvas arba vidutinio sunkumo (</w:t>
      </w:r>
      <w:proofErr w:type="spellStart"/>
      <w:r w:rsidRPr="00D21DFA">
        <w:rPr>
          <w:rFonts w:ascii="Times New Roman" w:eastAsia="Times New Roman" w:hAnsi="Times New Roman" w:cs="Times New Roman"/>
          <w:snapToGrid w:val="0"/>
          <w:kern w:val="0"/>
          <w:sz w:val="22"/>
          <w:szCs w:val="20"/>
          <w14:ligatures w14:val="none"/>
        </w:rPr>
        <w:t>aGFG</w:t>
      </w:r>
      <w:proofErr w:type="spellEnd"/>
      <w:r w:rsidRPr="00D21DFA">
        <w:rPr>
          <w:rFonts w:ascii="Times New Roman" w:eastAsia="Times New Roman" w:hAnsi="Times New Roman" w:cs="Times New Roman"/>
          <w:snapToGrid w:val="0"/>
          <w:kern w:val="0"/>
          <w:sz w:val="22"/>
          <w:szCs w:val="20"/>
          <w14:ligatures w14:val="none"/>
        </w:rPr>
        <w:t xml:space="preserve"> nuo ≥ 30 iki &lt; 60 ml/min/1,73 m</w:t>
      </w:r>
      <w:r w:rsidRPr="00D21DFA">
        <w:rPr>
          <w:rFonts w:ascii="Times New Roman" w:eastAsia="Times New Roman" w:hAnsi="Times New Roman" w:cs="Times New Roman"/>
          <w:snapToGrid w:val="0"/>
          <w:kern w:val="0"/>
          <w:sz w:val="22"/>
          <w:szCs w:val="20"/>
          <w:vertAlign w:val="superscript"/>
          <w14:ligatures w14:val="none"/>
        </w:rPr>
        <w:t>2</w:t>
      </w:r>
      <w:r w:rsidRPr="00D21DFA">
        <w:rPr>
          <w:rFonts w:ascii="Times New Roman" w:eastAsia="Times New Roman" w:hAnsi="Times New Roman" w:cs="Times New Roman"/>
          <w:snapToGrid w:val="0"/>
          <w:kern w:val="0"/>
          <w:sz w:val="22"/>
          <w:szCs w:val="20"/>
          <w14:ligatures w14:val="none"/>
        </w:rPr>
        <w:t xml:space="preserve"> KPP), buvo tinkami dalyvauti. Remiantis duomenimis apie suaugusiuosius ir ribotais duomenimis apie visus </w:t>
      </w:r>
      <w:proofErr w:type="spellStart"/>
      <w:r w:rsidRPr="00D21DFA">
        <w:rPr>
          <w:rFonts w:ascii="Times New Roman" w:eastAsia="Times New Roman" w:hAnsi="Times New Roman" w:cs="Times New Roman"/>
          <w:snapToGrid w:val="0"/>
          <w:kern w:val="0"/>
          <w:sz w:val="22"/>
          <w:szCs w:val="20"/>
          <w14:ligatures w14:val="none"/>
        </w:rPr>
        <w:t>apiksabanu</w:t>
      </w:r>
      <w:proofErr w:type="spellEnd"/>
      <w:r w:rsidRPr="00D21DFA">
        <w:rPr>
          <w:rFonts w:ascii="Times New Roman" w:eastAsia="Times New Roman" w:hAnsi="Times New Roman" w:cs="Times New Roman"/>
          <w:snapToGrid w:val="0"/>
          <w:kern w:val="0"/>
          <w:sz w:val="22"/>
          <w:szCs w:val="20"/>
          <w14:ligatures w14:val="none"/>
        </w:rPr>
        <w:t xml:space="preserve"> gydytus vaikus, dozės nereikia koreguoti vaikams, kurių inkstų funkcijos sutrikimas yra lengvas arba vidutinio sunkumo.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nerekomenduojam </w:t>
      </w:r>
    </w:p>
    <w:p w14:paraId="75AA868F"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vartoti pacientams vaikams, kuriems yra sunkus inkstų funkcijos sutrikimas (žr. 4.2 ir 4.4 skyrius).</w:t>
      </w:r>
    </w:p>
    <w:p w14:paraId="4EC49835"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968FA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Sutrikusi kepenų funkcija </w:t>
      </w:r>
    </w:p>
    <w:p w14:paraId="6E1204F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4551E8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Tyrimo metu lyginant vaistinio preparato poveikį 8 asmenims, kuriems buvo nesunkus kepenų funkcijos sutrikimas (A klasės pagal </w:t>
      </w:r>
      <w:proofErr w:type="spellStart"/>
      <w:r w:rsidRPr="00D21DFA">
        <w:rPr>
          <w:rFonts w:ascii="Times New Roman" w:eastAsia="Times New Roman" w:hAnsi="Times New Roman" w:cs="Times New Roman"/>
          <w:i/>
          <w:iCs/>
          <w:snapToGrid w:val="0"/>
          <w:kern w:val="0"/>
          <w:sz w:val="22"/>
          <w:szCs w:val="20"/>
          <w14:ligatures w14:val="none"/>
        </w:rPr>
        <w:t>Child-Pugh</w:t>
      </w:r>
      <w:proofErr w:type="spellEnd"/>
      <w:r w:rsidRPr="00D21DFA">
        <w:rPr>
          <w:rFonts w:ascii="Times New Roman" w:eastAsia="Times New Roman" w:hAnsi="Times New Roman" w:cs="Times New Roman"/>
          <w:snapToGrid w:val="0"/>
          <w:kern w:val="0"/>
          <w:sz w:val="22"/>
          <w:szCs w:val="20"/>
          <w14:ligatures w14:val="none"/>
        </w:rPr>
        <w:t xml:space="preserve"> klasifikaciją, įvertintas 5 balais [n = 6] ir 6 balais [n = 2]), 8 asmenims, kuriems buvo vidutinio sunkumo kepenų funkcijos sutrikimas ( B klasės pagal </w:t>
      </w:r>
      <w:proofErr w:type="spellStart"/>
      <w:r w:rsidRPr="00D21DFA">
        <w:rPr>
          <w:rFonts w:ascii="Times New Roman" w:eastAsia="Times New Roman" w:hAnsi="Times New Roman" w:cs="Times New Roman"/>
          <w:i/>
          <w:iCs/>
          <w:snapToGrid w:val="0"/>
          <w:kern w:val="0"/>
          <w:sz w:val="22"/>
          <w:szCs w:val="20"/>
          <w14:ligatures w14:val="none"/>
        </w:rPr>
        <w:t>Child-Pugh</w:t>
      </w:r>
      <w:proofErr w:type="spellEnd"/>
      <w:r w:rsidRPr="00D21DFA">
        <w:rPr>
          <w:rFonts w:ascii="Times New Roman" w:eastAsia="Times New Roman" w:hAnsi="Times New Roman" w:cs="Times New Roman"/>
          <w:snapToGrid w:val="0"/>
          <w:kern w:val="0"/>
          <w:sz w:val="22"/>
          <w:szCs w:val="20"/>
          <w14:ligatures w14:val="none"/>
        </w:rPr>
        <w:t xml:space="preserve"> klasifikaciją, įvertintas 7 balais [n = 6] ir 8 balais [n = 2]) bei 16 sveikų kontrolinės grupės asmenų, nustatyta, kad vienkartinės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Pr="00D21DFA">
        <w:rPr>
          <w:rFonts w:ascii="Times New Roman" w:eastAsia="Times New Roman" w:hAnsi="Times New Roman" w:cs="Times New Roman"/>
          <w:snapToGrid w:val="0"/>
          <w:kern w:val="0"/>
          <w:sz w:val="22"/>
          <w:szCs w:val="20"/>
          <w14:ligatures w14:val="none"/>
        </w:rPr>
        <w:t>anti</w:t>
      </w:r>
      <w:r w:rsidRPr="00D21DFA">
        <w:rPr>
          <w:rFonts w:ascii="Times New Roman" w:eastAsia="Times New Roman" w:hAnsi="Times New Roman" w:cs="Times New Roman"/>
          <w:snapToGrid w:val="0"/>
          <w:kern w:val="0"/>
          <w:sz w:val="22"/>
          <w:szCs w:val="20"/>
          <w14:ligatures w14:val="none"/>
        </w:rPr>
        <w:noBreakHyphen/>
        <w:t>Xa</w:t>
      </w:r>
      <w:proofErr w:type="spellEnd"/>
      <w:r w:rsidRPr="00D21DFA">
        <w:rPr>
          <w:rFonts w:ascii="Times New Roman" w:eastAsia="Times New Roman" w:hAnsi="Times New Roman" w:cs="Times New Roman"/>
          <w:snapToGrid w:val="0"/>
          <w:kern w:val="0"/>
          <w:sz w:val="22"/>
          <w:szCs w:val="20"/>
          <w14:ligatures w14:val="none"/>
        </w:rPr>
        <w:t xml:space="preserve"> faktoriaus aktyvumo ir TNS rodiklių pokyčiai buvo panašūs. </w:t>
      </w:r>
    </w:p>
    <w:p w14:paraId="108197E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B7830A"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netirtas su pacientais vaikais, kurių kepenų funkcija sutrikusi.</w:t>
      </w:r>
    </w:p>
    <w:p w14:paraId="77F620C2"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AE72B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Lytis </w:t>
      </w:r>
    </w:p>
    <w:p w14:paraId="7D735D2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DC95B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yra maždaug 18 % didesnė moterims nei vyrams.</w:t>
      </w:r>
    </w:p>
    <w:p w14:paraId="40B5649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F1C8A60"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roofErr w:type="spellStart"/>
      <w:r w:rsidRPr="00D21DFA">
        <w:rPr>
          <w:rFonts w:ascii="Times New Roman" w:eastAsia="Times New Roman" w:hAnsi="Times New Roman" w:cs="Times New Roman"/>
          <w:snapToGrid w:val="0"/>
          <w:kern w:val="0"/>
          <w:sz w:val="22"/>
          <w:szCs w:val="20"/>
          <w:u w:val="single"/>
          <w14:ligatures w14:val="none"/>
        </w:rPr>
        <w:lastRenderedPageBreak/>
        <w:t>Farmakokinetinių</w:t>
      </w:r>
      <w:proofErr w:type="spellEnd"/>
      <w:r w:rsidRPr="00D21DFA">
        <w:rPr>
          <w:rFonts w:ascii="Times New Roman" w:eastAsia="Times New Roman" w:hAnsi="Times New Roman" w:cs="Times New Roman"/>
          <w:snapToGrid w:val="0"/>
          <w:kern w:val="0"/>
          <w:sz w:val="22"/>
          <w:szCs w:val="20"/>
          <w:u w:val="single"/>
          <w14:ligatures w14:val="none"/>
        </w:rPr>
        <w:t xml:space="preserve"> savybių skirtumai tarp lyčių pacientams vaikams netirti.</w:t>
      </w:r>
    </w:p>
    <w:p w14:paraId="0033812F"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09E1FC2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Etninės grupės ir rasė </w:t>
      </w:r>
    </w:p>
    <w:p w14:paraId="3D926C0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5484EC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I fazės tyrimų rezultatai pastebimo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farmakokinetikos rodiklių skirtumo baltaodžiams, azijiečiams ir juodaodžiams tiriamiesiems asmenims neparodė. Populiacijos farmakokinetikos rodiklių pacientams, kuriems buvo skiriama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analizės duomenys paprastai buvo panašūs į I fazės tyrimų rezultatus. </w:t>
      </w:r>
    </w:p>
    <w:p w14:paraId="3202B4CF"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B043274" w14:textId="77777777"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Farmakokinetinių</w:t>
      </w:r>
      <w:proofErr w:type="spellEnd"/>
      <w:r w:rsidRPr="00D21DFA">
        <w:rPr>
          <w:rFonts w:ascii="Times New Roman" w:eastAsia="Times New Roman" w:hAnsi="Times New Roman" w:cs="Times New Roman"/>
          <w:snapToGrid w:val="0"/>
          <w:kern w:val="0"/>
          <w:sz w:val="22"/>
          <w:szCs w:val="20"/>
          <w14:ligatures w14:val="none"/>
        </w:rPr>
        <w:t xml:space="preserve"> savybių skirtumai tarp etninių grupių ir rasių pacientams vaikams netirti.</w:t>
      </w:r>
    </w:p>
    <w:p w14:paraId="0A8CD07E"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DF297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Svoris</w:t>
      </w:r>
    </w:p>
    <w:p w14:paraId="0847746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3849850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Pacientams, kurių svoris &gt; 120 kg, nustatyta maždaug 30 % mažesnė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ekspozicija, o pacientams, kurių svoris &lt; 50 kg – maždaug 30 % didesnė ekspozicija, lyginant su vaistinio preparato ekspozicija asmenims, kurių svoris buvo 65</w:t>
      </w:r>
      <w:r w:rsidRPr="00D21DFA">
        <w:rPr>
          <w:rFonts w:ascii="Times New Roman" w:eastAsia="Times New Roman" w:hAnsi="Times New Roman" w:cs="Times New Roman"/>
          <w:snapToGrid w:val="0"/>
          <w:kern w:val="0"/>
          <w:sz w:val="22"/>
          <w:szCs w:val="20"/>
          <w14:ligatures w14:val="none"/>
        </w:rPr>
        <w:noBreakHyphen/>
        <w:t xml:space="preserve">85 kg. </w:t>
      </w:r>
    </w:p>
    <w:p w14:paraId="778085A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6952BF" w14:textId="6205DD83" w:rsidR="00D50421" w:rsidRPr="00D21DFA" w:rsidRDefault="00D50421" w:rsidP="00D50421">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skyrimas pacientams vaikams yra pagrįstas fiksuotos dozės pagal kūno masės kategoriją</w:t>
      </w:r>
      <w:r w:rsidR="00614388">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režimu.</w:t>
      </w:r>
    </w:p>
    <w:p w14:paraId="09D4ECD5" w14:textId="77777777" w:rsidR="00D50421"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8942F09"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Santykis tarp farmakokinetikos ir farmakodinamikos </w:t>
      </w:r>
    </w:p>
    <w:p w14:paraId="07DD3E5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4DAC7F4B" w14:textId="160FE52D" w:rsidR="00C95D96" w:rsidRPr="00D21DFA" w:rsidRDefault="00D50421" w:rsidP="00C95D96">
      <w:pPr>
        <w:tabs>
          <w:tab w:val="left" w:pos="567"/>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14:ligatures w14:val="none"/>
        </w:rPr>
        <w:t>Suaugusiesiems f</w:t>
      </w:r>
      <w:r w:rsidR="00C95D96" w:rsidRPr="00D21DFA">
        <w:rPr>
          <w:rFonts w:ascii="Times New Roman" w:eastAsia="Times New Roman" w:hAnsi="Times New Roman" w:cs="Times New Roman"/>
          <w:snapToGrid w:val="0"/>
          <w:kern w:val="0"/>
          <w:sz w:val="22"/>
          <w:szCs w:val="20"/>
          <w14:ligatures w14:val="none"/>
        </w:rPr>
        <w:t xml:space="preserve">armakokinetikos ir farmakodinamikos (FK/FD) santykis tarp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koncentracijos plazmoje ir keleto FD vertinamųjų baigčių (</w:t>
      </w:r>
      <w:proofErr w:type="spellStart"/>
      <w:r w:rsidR="00C95D96" w:rsidRPr="00D21DFA">
        <w:rPr>
          <w:rFonts w:ascii="Times New Roman" w:eastAsia="Times New Roman" w:hAnsi="Times New Roman" w:cs="Times New Roman"/>
          <w:snapToGrid w:val="0"/>
          <w:kern w:val="0"/>
          <w:sz w:val="22"/>
          <w:szCs w:val="20"/>
          <w14:ligatures w14:val="none"/>
        </w:rPr>
        <w:t>anti</w:t>
      </w:r>
      <w:r w:rsidR="00C95D96" w:rsidRPr="00D21DFA">
        <w:rPr>
          <w:rFonts w:ascii="Times New Roman" w:eastAsia="Times New Roman" w:hAnsi="Times New Roman" w:cs="Times New Roman"/>
          <w:snapToGrid w:val="0"/>
          <w:kern w:val="0"/>
          <w:sz w:val="22"/>
          <w:szCs w:val="20"/>
          <w14:ligatures w14:val="none"/>
        </w:rPr>
        <w:noBreakHyphen/>
        <w:t>Xa</w:t>
      </w:r>
      <w:proofErr w:type="spellEnd"/>
      <w:r w:rsidR="00C95D96" w:rsidRPr="00D21DFA">
        <w:rPr>
          <w:rFonts w:ascii="Times New Roman" w:eastAsia="Times New Roman" w:hAnsi="Times New Roman" w:cs="Times New Roman"/>
          <w:snapToGrid w:val="0"/>
          <w:kern w:val="0"/>
          <w:sz w:val="22"/>
          <w:szCs w:val="20"/>
          <w14:ligatures w14:val="none"/>
        </w:rPr>
        <w:t xml:space="preserve"> faktoriaus aktyvumo</w:t>
      </w:r>
      <w:r w:rsidRPr="00D21DFA">
        <w:rPr>
          <w:rFonts w:ascii="Times New Roman" w:eastAsia="Times New Roman" w:hAnsi="Times New Roman" w:cs="Times New Roman"/>
          <w:snapToGrid w:val="0"/>
          <w:kern w:val="0"/>
          <w:sz w:val="22"/>
          <w:szCs w:val="20"/>
          <w14:ligatures w14:val="none"/>
        </w:rPr>
        <w:t xml:space="preserve"> [AXA]</w:t>
      </w:r>
      <w:r w:rsidR="00C95D96" w:rsidRPr="00D21DFA">
        <w:rPr>
          <w:rFonts w:ascii="Times New Roman" w:eastAsia="Times New Roman" w:hAnsi="Times New Roman" w:cs="Times New Roman"/>
          <w:snapToGrid w:val="0"/>
          <w:kern w:val="0"/>
          <w:sz w:val="22"/>
          <w:szCs w:val="20"/>
          <w14:ligatures w14:val="none"/>
        </w:rPr>
        <w:t xml:space="preserve">, TNS, PL, </w:t>
      </w:r>
      <w:proofErr w:type="spellStart"/>
      <w:r w:rsidR="00C95D96" w:rsidRPr="00D21DFA">
        <w:rPr>
          <w:rFonts w:ascii="Times New Roman" w:eastAsia="Times New Roman" w:hAnsi="Times New Roman" w:cs="Times New Roman"/>
          <w:snapToGrid w:val="0"/>
          <w:kern w:val="0"/>
          <w:sz w:val="22"/>
          <w:szCs w:val="20"/>
          <w14:ligatures w14:val="none"/>
        </w:rPr>
        <w:t>aDTL</w:t>
      </w:r>
      <w:proofErr w:type="spellEnd"/>
      <w:r w:rsidR="00C95D96" w:rsidRPr="00D21DFA">
        <w:rPr>
          <w:rFonts w:ascii="Times New Roman" w:eastAsia="Times New Roman" w:hAnsi="Times New Roman" w:cs="Times New Roman"/>
          <w:snapToGrid w:val="0"/>
          <w:kern w:val="0"/>
          <w:sz w:val="22"/>
          <w:szCs w:val="20"/>
          <w14:ligatures w14:val="none"/>
        </w:rPr>
        <w:t>) buvo vertinamas skiriant įvairias vaistinio preparato dozes (0,5</w:t>
      </w:r>
      <w:r w:rsidR="00C95D96" w:rsidRPr="00D21DFA">
        <w:rPr>
          <w:rFonts w:ascii="Times New Roman" w:eastAsia="Times New Roman" w:hAnsi="Times New Roman" w:cs="Times New Roman"/>
          <w:snapToGrid w:val="0"/>
          <w:kern w:val="0"/>
          <w:sz w:val="22"/>
          <w:szCs w:val="20"/>
          <w14:ligatures w14:val="none"/>
        </w:rPr>
        <w:noBreakHyphen/>
        <w:t xml:space="preserve">50 mg). Santykis tarp </w:t>
      </w:r>
      <w:proofErr w:type="spellStart"/>
      <w:r w:rsidR="00C95D96" w:rsidRPr="00D21DFA">
        <w:rPr>
          <w:rFonts w:ascii="Times New Roman" w:eastAsia="Times New Roman" w:hAnsi="Times New Roman" w:cs="Times New Roman"/>
          <w:snapToGrid w:val="0"/>
          <w:kern w:val="0"/>
          <w:sz w:val="22"/>
          <w:szCs w:val="20"/>
          <w14:ligatures w14:val="none"/>
        </w:rPr>
        <w:t>apiksabano</w:t>
      </w:r>
      <w:proofErr w:type="spellEnd"/>
      <w:r w:rsidR="00C95D96" w:rsidRPr="00D21DFA">
        <w:rPr>
          <w:rFonts w:ascii="Times New Roman" w:eastAsia="Times New Roman" w:hAnsi="Times New Roman" w:cs="Times New Roman"/>
          <w:snapToGrid w:val="0"/>
          <w:kern w:val="0"/>
          <w:sz w:val="22"/>
          <w:szCs w:val="20"/>
          <w14:ligatures w14:val="none"/>
        </w:rPr>
        <w:t xml:space="preserve"> koncentracijos plazmoje ir </w:t>
      </w:r>
      <w:proofErr w:type="spellStart"/>
      <w:r w:rsidR="00C95D96" w:rsidRPr="00D21DFA">
        <w:rPr>
          <w:rFonts w:ascii="Times New Roman" w:eastAsia="Times New Roman" w:hAnsi="Times New Roman" w:cs="Times New Roman"/>
          <w:snapToGrid w:val="0"/>
          <w:kern w:val="0"/>
          <w:sz w:val="22"/>
          <w:szCs w:val="20"/>
          <w14:ligatures w14:val="none"/>
        </w:rPr>
        <w:t>Xa</w:t>
      </w:r>
      <w:proofErr w:type="spellEnd"/>
      <w:r w:rsidR="00C95D96" w:rsidRPr="00D21DFA">
        <w:rPr>
          <w:rFonts w:ascii="Times New Roman" w:eastAsia="Times New Roman" w:hAnsi="Times New Roman" w:cs="Times New Roman"/>
          <w:snapToGrid w:val="0"/>
          <w:kern w:val="0"/>
          <w:sz w:val="22"/>
          <w:szCs w:val="20"/>
          <w14:ligatures w14:val="none"/>
        </w:rPr>
        <w:t xml:space="preserve"> faktoriaus slopinimo buvo geriausiai apibūdintas tiesiniu modeliu. Pacientams nustatytas FK/FD santykis buvo panašus į sveikiems asmenims nustatytą FK/FD santykį.</w:t>
      </w:r>
    </w:p>
    <w:p w14:paraId="6D9C403A"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p>
    <w:p w14:paraId="639A337A" w14:textId="7AD7A91D" w:rsidR="00D50421" w:rsidRPr="00AD1A35" w:rsidRDefault="00D50421" w:rsidP="00D50421">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r w:rsidRPr="00AD1A35">
        <w:rPr>
          <w:rFonts w:ascii="Times New Roman" w:eastAsia="Times New Roman" w:hAnsi="Times New Roman" w:cs="Times New Roman"/>
          <w:snapToGrid w:val="0"/>
          <w:kern w:val="0"/>
          <w:sz w:val="22"/>
          <w:szCs w:val="28"/>
          <w:lang w:eastAsia="x-none"/>
          <w14:ligatures w14:val="none"/>
        </w:rPr>
        <w:t>Pana</w:t>
      </w:r>
      <w:r w:rsidRPr="00AD1A35">
        <w:rPr>
          <w:rFonts w:ascii="Times New Roman" w:eastAsia="Times New Roman" w:hAnsi="Times New Roman" w:cs="Times New Roman" w:hint="eastAsia"/>
          <w:snapToGrid w:val="0"/>
          <w:kern w:val="0"/>
          <w:sz w:val="22"/>
          <w:szCs w:val="28"/>
          <w:lang w:eastAsia="x-none"/>
          <w14:ligatures w14:val="none"/>
        </w:rPr>
        <w:t>š</w:t>
      </w:r>
      <w:r w:rsidRPr="00AD1A35">
        <w:rPr>
          <w:rFonts w:ascii="Times New Roman" w:eastAsia="Times New Roman" w:hAnsi="Times New Roman" w:cs="Times New Roman"/>
          <w:snapToGrid w:val="0"/>
          <w:kern w:val="0"/>
          <w:sz w:val="22"/>
          <w:szCs w:val="28"/>
          <w:lang w:eastAsia="x-none"/>
          <w14:ligatures w14:val="none"/>
        </w:rPr>
        <w:t xml:space="preserve">iai </w:t>
      </w:r>
      <w:proofErr w:type="spellStart"/>
      <w:r w:rsidRPr="00AD1A35">
        <w:rPr>
          <w:rFonts w:ascii="Times New Roman" w:eastAsia="Times New Roman" w:hAnsi="Times New Roman" w:cs="Times New Roman"/>
          <w:snapToGrid w:val="0"/>
          <w:kern w:val="0"/>
          <w:sz w:val="22"/>
          <w:szCs w:val="28"/>
          <w:lang w:eastAsia="x-none"/>
          <w14:ligatures w14:val="none"/>
        </w:rPr>
        <w:t>apiksabano</w:t>
      </w:r>
      <w:proofErr w:type="spellEnd"/>
      <w:r w:rsidRPr="00AD1A35">
        <w:rPr>
          <w:rFonts w:ascii="Times New Roman" w:eastAsia="Times New Roman" w:hAnsi="Times New Roman" w:cs="Times New Roman"/>
          <w:snapToGrid w:val="0"/>
          <w:kern w:val="0"/>
          <w:sz w:val="22"/>
          <w:szCs w:val="28"/>
          <w:lang w:eastAsia="x-none"/>
          <w14:ligatures w14:val="none"/>
        </w:rPr>
        <w:t xml:space="preserve"> FK / FD vertinimo vaikams rezultatai rodo, kad tarp </w:t>
      </w:r>
      <w:proofErr w:type="spellStart"/>
      <w:r w:rsidRPr="00AD1A35">
        <w:rPr>
          <w:rFonts w:ascii="Times New Roman" w:eastAsia="Times New Roman" w:hAnsi="Times New Roman" w:cs="Times New Roman"/>
          <w:snapToGrid w:val="0"/>
          <w:kern w:val="0"/>
          <w:sz w:val="22"/>
          <w:szCs w:val="28"/>
          <w:lang w:eastAsia="x-none"/>
          <w14:ligatures w14:val="none"/>
        </w:rPr>
        <w:t>apiksabano</w:t>
      </w:r>
      <w:proofErr w:type="spellEnd"/>
      <w:r w:rsidRPr="00AD1A35">
        <w:rPr>
          <w:rFonts w:ascii="Times New Roman" w:eastAsia="Times New Roman" w:hAnsi="Times New Roman" w:cs="Times New Roman"/>
          <w:snapToGrid w:val="0"/>
          <w:kern w:val="0"/>
          <w:sz w:val="22"/>
          <w:szCs w:val="28"/>
          <w:lang w:eastAsia="x-none"/>
          <w14:ligatures w14:val="none"/>
        </w:rPr>
        <w:t xml:space="preserve"> koncentracijos ir</w:t>
      </w:r>
      <w:r w:rsidR="00614388">
        <w:rPr>
          <w:rFonts w:ascii="Times New Roman" w:eastAsia="Times New Roman" w:hAnsi="Times New Roman" w:cs="Times New Roman"/>
          <w:snapToGrid w:val="0"/>
          <w:kern w:val="0"/>
          <w:sz w:val="22"/>
          <w:szCs w:val="28"/>
          <w:lang w:eastAsia="x-none"/>
          <w14:ligatures w14:val="none"/>
        </w:rPr>
        <w:t xml:space="preserve"> </w:t>
      </w:r>
      <w:r w:rsidRPr="00AD1A35">
        <w:rPr>
          <w:rFonts w:ascii="Times New Roman" w:eastAsia="Times New Roman" w:hAnsi="Times New Roman" w:cs="Times New Roman"/>
          <w:snapToGrid w:val="0"/>
          <w:kern w:val="0"/>
          <w:sz w:val="22"/>
          <w:szCs w:val="28"/>
          <w:lang w:eastAsia="x-none"/>
          <w14:ligatures w14:val="none"/>
        </w:rPr>
        <w:t>AXA yra tiesinis ry</w:t>
      </w:r>
      <w:r w:rsidRPr="00AD1A35">
        <w:rPr>
          <w:rFonts w:ascii="Times New Roman" w:eastAsia="Times New Roman" w:hAnsi="Times New Roman" w:cs="Times New Roman" w:hint="eastAsia"/>
          <w:snapToGrid w:val="0"/>
          <w:kern w:val="0"/>
          <w:sz w:val="22"/>
          <w:szCs w:val="28"/>
          <w:lang w:eastAsia="x-none"/>
          <w14:ligatures w14:val="none"/>
        </w:rPr>
        <w:t>š</w:t>
      </w:r>
      <w:r w:rsidRPr="00AD1A35">
        <w:rPr>
          <w:rFonts w:ascii="Times New Roman" w:eastAsia="Times New Roman" w:hAnsi="Times New Roman" w:cs="Times New Roman"/>
          <w:snapToGrid w:val="0"/>
          <w:kern w:val="0"/>
          <w:sz w:val="22"/>
          <w:szCs w:val="28"/>
          <w:lang w:eastAsia="x-none"/>
          <w14:ligatures w14:val="none"/>
        </w:rPr>
        <w:t>ys. Tai atitinka pirmiau nustatyt</w:t>
      </w:r>
      <w:r w:rsidRPr="00AD1A35">
        <w:rPr>
          <w:rFonts w:ascii="Times New Roman" w:eastAsia="Times New Roman" w:hAnsi="Times New Roman" w:cs="Times New Roman" w:hint="eastAsia"/>
          <w:snapToGrid w:val="0"/>
          <w:kern w:val="0"/>
          <w:sz w:val="22"/>
          <w:szCs w:val="28"/>
          <w:lang w:eastAsia="x-none"/>
          <w14:ligatures w14:val="none"/>
        </w:rPr>
        <w:t>ą</w:t>
      </w:r>
      <w:r w:rsidRPr="00AD1A35">
        <w:rPr>
          <w:rFonts w:ascii="Times New Roman" w:eastAsia="Times New Roman" w:hAnsi="Times New Roman" w:cs="Times New Roman"/>
          <w:snapToGrid w:val="0"/>
          <w:kern w:val="0"/>
          <w:sz w:val="22"/>
          <w:szCs w:val="28"/>
          <w:lang w:eastAsia="x-none"/>
          <w14:ligatures w14:val="none"/>
        </w:rPr>
        <w:t xml:space="preserve"> ry</w:t>
      </w:r>
      <w:r w:rsidRPr="00AD1A35">
        <w:rPr>
          <w:rFonts w:ascii="Times New Roman" w:eastAsia="Times New Roman" w:hAnsi="Times New Roman" w:cs="Times New Roman" w:hint="eastAsia"/>
          <w:snapToGrid w:val="0"/>
          <w:kern w:val="0"/>
          <w:sz w:val="22"/>
          <w:szCs w:val="28"/>
          <w:lang w:eastAsia="x-none"/>
          <w14:ligatures w14:val="none"/>
        </w:rPr>
        <w:t>šį</w:t>
      </w:r>
      <w:r w:rsidRPr="00AD1A35">
        <w:rPr>
          <w:rFonts w:ascii="Times New Roman" w:eastAsia="Times New Roman" w:hAnsi="Times New Roman" w:cs="Times New Roman"/>
          <w:snapToGrid w:val="0"/>
          <w:kern w:val="0"/>
          <w:sz w:val="22"/>
          <w:szCs w:val="28"/>
          <w:lang w:eastAsia="x-none"/>
          <w14:ligatures w14:val="none"/>
        </w:rPr>
        <w:t xml:space="preserve"> suaugusiesiems.</w:t>
      </w:r>
    </w:p>
    <w:p w14:paraId="51D45556" w14:textId="77777777" w:rsidR="00D50421" w:rsidRPr="00AD1A35" w:rsidRDefault="00D50421" w:rsidP="00C95D96">
      <w:pPr>
        <w:keepNext/>
        <w:tabs>
          <w:tab w:val="left" w:pos="567"/>
          <w:tab w:val="left" w:pos="9214"/>
        </w:tabs>
        <w:spacing w:after="0" w:line="240" w:lineRule="auto"/>
        <w:ind w:right="-2"/>
        <w:jc w:val="both"/>
        <w:outlineLvl w:val="3"/>
        <w:rPr>
          <w:rFonts w:ascii="Times New Roman" w:eastAsia="Times New Roman" w:hAnsi="Times New Roman" w:cs="Times New Roman"/>
          <w:snapToGrid w:val="0"/>
          <w:kern w:val="0"/>
          <w:sz w:val="22"/>
          <w:szCs w:val="28"/>
          <w:lang w:eastAsia="x-none"/>
          <w14:ligatures w14:val="none"/>
        </w:rPr>
      </w:pPr>
    </w:p>
    <w:p w14:paraId="1E58E510"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5.3</w:t>
      </w:r>
      <w:r w:rsidRPr="00D21DFA">
        <w:rPr>
          <w:rFonts w:ascii="Times New Roman" w:eastAsia="Times New Roman" w:hAnsi="Times New Roman" w:cs="Times New Roman"/>
          <w:b/>
          <w:bCs/>
          <w:snapToGrid w:val="0"/>
          <w:kern w:val="0"/>
          <w:sz w:val="22"/>
          <w:szCs w:val="28"/>
          <w:lang w:eastAsia="x-none"/>
          <w14:ligatures w14:val="none"/>
        </w:rPr>
        <w:tab/>
        <w:t>Ikiklinikinių saugumo tyrimų duomenys</w:t>
      </w:r>
    </w:p>
    <w:p w14:paraId="5358512E"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E2F3EA7"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Įprastų farmakologinio saugumo, kartotinių dozių toksiškumo, </w:t>
      </w:r>
      <w:proofErr w:type="spellStart"/>
      <w:r w:rsidRPr="00D21DFA">
        <w:rPr>
          <w:rFonts w:ascii="Times New Roman" w:eastAsia="Times New Roman" w:hAnsi="Times New Roman" w:cs="Times New Roman"/>
          <w:snapToGrid w:val="0"/>
          <w:kern w:val="0"/>
          <w:sz w:val="22"/>
          <w:szCs w:val="20"/>
          <w14:ligatures w14:val="none"/>
        </w:rPr>
        <w:t>genotoksiškumo</w:t>
      </w:r>
      <w:proofErr w:type="spellEnd"/>
      <w:r w:rsidRPr="00D21DFA">
        <w:rPr>
          <w:rFonts w:ascii="Times New Roman" w:eastAsia="Times New Roman" w:hAnsi="Times New Roman" w:cs="Times New Roman"/>
          <w:snapToGrid w:val="0"/>
          <w:kern w:val="0"/>
          <w:sz w:val="22"/>
          <w:szCs w:val="20"/>
          <w14:ligatures w14:val="none"/>
        </w:rPr>
        <w:t xml:space="preserve">, galimo </w:t>
      </w:r>
      <w:proofErr w:type="spellStart"/>
      <w:r w:rsidRPr="00D21DFA">
        <w:rPr>
          <w:rFonts w:ascii="Times New Roman" w:eastAsia="Times New Roman" w:hAnsi="Times New Roman" w:cs="Times New Roman"/>
          <w:snapToGrid w:val="0"/>
          <w:kern w:val="0"/>
          <w:sz w:val="22"/>
          <w:szCs w:val="20"/>
          <w14:ligatures w14:val="none"/>
        </w:rPr>
        <w:t>kancerogeniškumo</w:t>
      </w:r>
      <w:proofErr w:type="spellEnd"/>
      <w:r w:rsidRPr="00D21DFA">
        <w:rPr>
          <w:rFonts w:ascii="Times New Roman" w:eastAsia="Times New Roman" w:hAnsi="Times New Roman" w:cs="Times New Roman"/>
          <w:snapToGrid w:val="0"/>
          <w:kern w:val="0"/>
          <w:sz w:val="22"/>
          <w:szCs w:val="20"/>
          <w14:ligatures w14:val="none"/>
        </w:rPr>
        <w:t xml:space="preserve"> ir toksinio poveikio reprodukcijai ir embriono bei vaisiaus ir jauniklių vystymuisi ikiklinikinių tyrimų duomenys specifinio pavojaus žmogui nerodo. </w:t>
      </w:r>
    </w:p>
    <w:p w14:paraId="758390E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35B51C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Kartotinių dozių toksiškumo tyrimų duomenimis, svarbiausi stebėti vaistinio preparato sukeliami efektai buvo susiję su </w:t>
      </w:r>
      <w:proofErr w:type="spellStart"/>
      <w:r w:rsidRPr="00D21DFA">
        <w:rPr>
          <w:rFonts w:ascii="Times New Roman" w:eastAsia="Times New Roman" w:hAnsi="Times New Roman" w:cs="Times New Roman"/>
          <w:snapToGrid w:val="0"/>
          <w:kern w:val="0"/>
          <w:sz w:val="22"/>
          <w:szCs w:val="20"/>
          <w14:ligatures w14:val="none"/>
        </w:rPr>
        <w:t>farmakodinaminiu</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poveikiu kraujo krešėjimo rodikliams. Toksinio poveikio tyrimų duomenimis, nustatytas nedaug padidėjęs polinkis kraujuoti arba tokio padidėjimo visai nenustatyta. Tačiau šiuos duomenis interpretuoti </w:t>
      </w:r>
      <w:proofErr w:type="spellStart"/>
      <w:r w:rsidRPr="00D21DFA">
        <w:rPr>
          <w:rFonts w:ascii="Times New Roman" w:eastAsia="Times New Roman" w:hAnsi="Times New Roman" w:cs="Times New Roman"/>
          <w:snapToGrid w:val="0"/>
          <w:kern w:val="0"/>
          <w:sz w:val="22"/>
          <w:szCs w:val="20"/>
          <w14:ligatures w14:val="none"/>
        </w:rPr>
        <w:t>ekstrapoliuojant</w:t>
      </w:r>
      <w:proofErr w:type="spellEnd"/>
      <w:r w:rsidRPr="00D21DFA">
        <w:rPr>
          <w:rFonts w:ascii="Times New Roman" w:eastAsia="Times New Roman" w:hAnsi="Times New Roman" w:cs="Times New Roman"/>
          <w:snapToGrid w:val="0"/>
          <w:kern w:val="0"/>
          <w:sz w:val="22"/>
          <w:szCs w:val="20"/>
          <w14:ligatures w14:val="none"/>
        </w:rPr>
        <w:t xml:space="preserve"> žmonėms reikia atsargiai, kadangi toks nustatytas poveikis gali būti susijęs su ikiklinikinių tyrimų metu naudotų gyvūnų rūšių mažesniu jautrumu vaistiniam preparatui, lyginant su žmonėmis.</w:t>
      </w:r>
    </w:p>
    <w:p w14:paraId="715D010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7FC68AB" w14:textId="21A3AC3A"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Žiurkės piene buvo aptiktas didelis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kiekio piene ir patelės kraujo plazmoje santykis (</w:t>
      </w:r>
      <w:proofErr w:type="spellStart"/>
      <w:r w:rsidRPr="00D21DFA">
        <w:rPr>
          <w:rFonts w:ascii="Times New Roman" w:eastAsia="Times New Roman" w:hAnsi="Times New Roman" w:cs="Times New Roman"/>
          <w:snapToGrid w:val="0"/>
          <w:kern w:val="0"/>
          <w:sz w:val="22"/>
          <w:szCs w:val="20"/>
          <w14:ligatures w14:val="none"/>
        </w:rPr>
        <w:t>C</w:t>
      </w:r>
      <w:r w:rsidRPr="00D21DFA">
        <w:rPr>
          <w:rFonts w:ascii="Times New Roman" w:eastAsia="Times New Roman" w:hAnsi="Times New Roman" w:cs="Times New Roman"/>
          <w:snapToGrid w:val="0"/>
          <w:kern w:val="0"/>
          <w:sz w:val="22"/>
          <w:szCs w:val="20"/>
          <w:vertAlign w:val="subscript"/>
          <w14:ligatures w14:val="none"/>
        </w:rPr>
        <w:t>max</w:t>
      </w:r>
      <w:proofErr w:type="spellEnd"/>
      <w:r w:rsidRPr="00D21DFA">
        <w:rPr>
          <w:rFonts w:ascii="Times New Roman" w:eastAsia="Times New Roman" w:hAnsi="Times New Roman" w:cs="Times New Roman"/>
          <w:snapToGrid w:val="0"/>
          <w:kern w:val="0"/>
          <w:sz w:val="22"/>
          <w:szCs w:val="20"/>
          <w14:ligatures w14:val="none"/>
        </w:rPr>
        <w:t xml:space="preserve"> maždaug 8, AUC maždaug 30), galimai susijęs su aktyvia </w:t>
      </w:r>
      <w:r w:rsidR="006843AB" w:rsidRPr="00D21DFA">
        <w:rPr>
          <w:rFonts w:ascii="Times New Roman" w:eastAsia="Times New Roman" w:hAnsi="Times New Roman" w:cs="Times New Roman"/>
          <w:snapToGrid w:val="0"/>
          <w:kern w:val="0"/>
          <w:sz w:val="22"/>
          <w:szCs w:val="20"/>
          <w14:ligatures w14:val="none"/>
        </w:rPr>
        <w:t xml:space="preserve">vaistinio preparato </w:t>
      </w:r>
      <w:r w:rsidRPr="00D21DFA">
        <w:rPr>
          <w:rFonts w:ascii="Times New Roman" w:eastAsia="Times New Roman" w:hAnsi="Times New Roman" w:cs="Times New Roman"/>
          <w:snapToGrid w:val="0"/>
          <w:kern w:val="0"/>
          <w:sz w:val="22"/>
          <w:szCs w:val="20"/>
          <w14:ligatures w14:val="none"/>
        </w:rPr>
        <w:t>pernaša į pieną.</w:t>
      </w:r>
    </w:p>
    <w:p w14:paraId="494831C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1AA67F9"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1639CA4"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6.</w:t>
      </w:r>
      <w:r w:rsidRPr="00D21DFA">
        <w:rPr>
          <w:rFonts w:ascii="Times New Roman" w:eastAsia="Times New Roman" w:hAnsi="Times New Roman" w:cs="Times New Roman"/>
          <w:b/>
          <w:bCs/>
          <w:snapToGrid w:val="0"/>
          <w:kern w:val="0"/>
          <w:sz w:val="22"/>
          <w:szCs w:val="26"/>
          <w:lang w:eastAsia="x-none"/>
          <w14:ligatures w14:val="none"/>
        </w:rPr>
        <w:tab/>
        <w:t>FARMACINĖ INFORMACIJA</w:t>
      </w:r>
    </w:p>
    <w:p w14:paraId="557D09AE"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38E94AB4"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6.1</w:t>
      </w:r>
      <w:r w:rsidRPr="00D21DFA">
        <w:rPr>
          <w:rFonts w:ascii="Times New Roman" w:eastAsia="Times New Roman" w:hAnsi="Times New Roman" w:cs="Times New Roman"/>
          <w:b/>
          <w:bCs/>
          <w:snapToGrid w:val="0"/>
          <w:kern w:val="0"/>
          <w:sz w:val="22"/>
          <w:szCs w:val="28"/>
          <w:lang w:eastAsia="x-none"/>
          <w14:ligatures w14:val="none"/>
        </w:rPr>
        <w:tab/>
        <w:t>Pagalbinių medžiagų sąrašas</w:t>
      </w:r>
    </w:p>
    <w:p w14:paraId="68E3A3D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011881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Tabletės branduolys </w:t>
      </w:r>
    </w:p>
    <w:p w14:paraId="3B9F709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Mikrokristalinė</w:t>
      </w:r>
      <w:proofErr w:type="spellEnd"/>
      <w:r w:rsidRPr="00D21DFA">
        <w:rPr>
          <w:rFonts w:ascii="Times New Roman" w:eastAsia="Times New Roman" w:hAnsi="Times New Roman" w:cs="Times New Roman"/>
          <w:snapToGrid w:val="0"/>
          <w:kern w:val="0"/>
          <w:sz w:val="22"/>
          <w:szCs w:val="20"/>
          <w14:ligatures w14:val="none"/>
        </w:rPr>
        <w:t xml:space="preserve"> celiuliozė (101 tipo)</w:t>
      </w:r>
    </w:p>
    <w:p w14:paraId="6EAE2EB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Laktozė </w:t>
      </w:r>
    </w:p>
    <w:p w14:paraId="2B42E0E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Natrio </w:t>
      </w:r>
      <w:proofErr w:type="spellStart"/>
      <w:r w:rsidRPr="00D21DFA">
        <w:rPr>
          <w:rFonts w:ascii="Times New Roman" w:eastAsia="Times New Roman" w:hAnsi="Times New Roman" w:cs="Times New Roman"/>
          <w:snapToGrid w:val="0"/>
          <w:kern w:val="0"/>
          <w:sz w:val="22"/>
          <w:szCs w:val="20"/>
          <w14:ligatures w14:val="none"/>
        </w:rPr>
        <w:t>laurilsulfatas</w:t>
      </w:r>
      <w:proofErr w:type="spellEnd"/>
      <w:r w:rsidRPr="00D21DFA">
        <w:rPr>
          <w:rFonts w:ascii="Times New Roman" w:eastAsia="Times New Roman" w:hAnsi="Times New Roman" w:cs="Times New Roman"/>
          <w:snapToGrid w:val="0"/>
          <w:kern w:val="0"/>
          <w:sz w:val="22"/>
          <w:szCs w:val="20"/>
          <w14:ligatures w14:val="none"/>
        </w:rPr>
        <w:t xml:space="preserve"> </w:t>
      </w:r>
    </w:p>
    <w:p w14:paraId="3FBA96DF"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Kroskarmeliozės</w:t>
      </w:r>
      <w:proofErr w:type="spellEnd"/>
      <w:r w:rsidRPr="00D21DFA">
        <w:rPr>
          <w:rFonts w:ascii="Times New Roman" w:eastAsia="Times New Roman" w:hAnsi="Times New Roman" w:cs="Times New Roman"/>
          <w:snapToGrid w:val="0"/>
          <w:kern w:val="0"/>
          <w:sz w:val="22"/>
          <w:szCs w:val="20"/>
          <w14:ligatures w14:val="none"/>
        </w:rPr>
        <w:t xml:space="preserve"> natrio druska (E468)</w:t>
      </w:r>
    </w:p>
    <w:p w14:paraId="743AAF24"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Magnio </w:t>
      </w:r>
      <w:proofErr w:type="spellStart"/>
      <w:r w:rsidRPr="00D21DFA">
        <w:rPr>
          <w:rFonts w:ascii="Times New Roman" w:eastAsia="Times New Roman" w:hAnsi="Times New Roman" w:cs="Times New Roman"/>
          <w:snapToGrid w:val="0"/>
          <w:kern w:val="0"/>
          <w:sz w:val="22"/>
          <w:szCs w:val="20"/>
          <w14:ligatures w14:val="none"/>
        </w:rPr>
        <w:t>stearatas</w:t>
      </w:r>
      <w:proofErr w:type="spellEnd"/>
      <w:r w:rsidRPr="00D21DFA">
        <w:rPr>
          <w:rFonts w:ascii="Times New Roman" w:eastAsia="Times New Roman" w:hAnsi="Times New Roman" w:cs="Times New Roman"/>
          <w:snapToGrid w:val="0"/>
          <w:kern w:val="0"/>
          <w:sz w:val="22"/>
          <w:szCs w:val="20"/>
          <w14:ligatures w14:val="none"/>
        </w:rPr>
        <w:t xml:space="preserve"> (E572)</w:t>
      </w:r>
    </w:p>
    <w:p w14:paraId="0A5DF8E2"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221B2DE"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D21DFA">
        <w:rPr>
          <w:rFonts w:ascii="Times New Roman" w:eastAsia="Times New Roman" w:hAnsi="Times New Roman" w:cs="Times New Roman"/>
          <w:snapToGrid w:val="0"/>
          <w:kern w:val="0"/>
          <w:sz w:val="22"/>
          <w:szCs w:val="20"/>
          <w:u w:val="single"/>
          <w14:ligatures w14:val="none"/>
        </w:rPr>
        <w:t xml:space="preserve">Tabletės plėvelė </w:t>
      </w:r>
    </w:p>
    <w:p w14:paraId="71D7D46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Hipromeliozė</w:t>
      </w:r>
      <w:proofErr w:type="spellEnd"/>
      <w:r w:rsidRPr="00D21DFA">
        <w:rPr>
          <w:rFonts w:ascii="Times New Roman" w:eastAsia="Times New Roman" w:hAnsi="Times New Roman" w:cs="Times New Roman"/>
          <w:snapToGrid w:val="0"/>
          <w:kern w:val="0"/>
          <w:sz w:val="22"/>
          <w:szCs w:val="20"/>
          <w14:ligatures w14:val="none"/>
        </w:rPr>
        <w:t xml:space="preserve"> 2910 (E464)</w:t>
      </w:r>
    </w:p>
    <w:p w14:paraId="7FFC4084"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Laktozė </w:t>
      </w:r>
      <w:proofErr w:type="spellStart"/>
      <w:r w:rsidRPr="00D21DFA">
        <w:rPr>
          <w:rFonts w:ascii="Times New Roman" w:eastAsia="Times New Roman" w:hAnsi="Times New Roman" w:cs="Times New Roman"/>
          <w:snapToGrid w:val="0"/>
          <w:kern w:val="0"/>
          <w:sz w:val="22"/>
          <w:szCs w:val="20"/>
          <w14:ligatures w14:val="none"/>
        </w:rPr>
        <w:t>monohidratas</w:t>
      </w:r>
      <w:proofErr w:type="spellEnd"/>
    </w:p>
    <w:p w14:paraId="0B4404B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Titano dioksidas (E171) </w:t>
      </w:r>
    </w:p>
    <w:p w14:paraId="4B757E3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Triacetinas</w:t>
      </w:r>
      <w:proofErr w:type="spellEnd"/>
      <w:r w:rsidRPr="00D21DFA">
        <w:rPr>
          <w:rFonts w:ascii="Times New Roman" w:eastAsia="Times New Roman" w:hAnsi="Times New Roman" w:cs="Times New Roman"/>
          <w:snapToGrid w:val="0"/>
          <w:kern w:val="0"/>
          <w:sz w:val="22"/>
          <w:szCs w:val="20"/>
          <w14:ligatures w14:val="none"/>
        </w:rPr>
        <w:t xml:space="preserve"> (E1518)</w:t>
      </w:r>
    </w:p>
    <w:p w14:paraId="7578552D"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Raudonasis geležies oksidas (E172)</w:t>
      </w:r>
    </w:p>
    <w:p w14:paraId="2468A4F2"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p>
    <w:p w14:paraId="5D8CACA8"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6.2</w:t>
      </w:r>
      <w:r w:rsidRPr="00D21DFA">
        <w:rPr>
          <w:rFonts w:ascii="Times New Roman" w:eastAsia="Times New Roman" w:hAnsi="Times New Roman" w:cs="Times New Roman"/>
          <w:b/>
          <w:bCs/>
          <w:snapToGrid w:val="0"/>
          <w:kern w:val="0"/>
          <w:sz w:val="22"/>
          <w:szCs w:val="28"/>
          <w:lang w:eastAsia="x-none"/>
          <w14:ligatures w14:val="none"/>
        </w:rPr>
        <w:tab/>
        <w:t>Nesuderinamumas</w:t>
      </w:r>
    </w:p>
    <w:p w14:paraId="78C89393"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1D279D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Duomenys nebūtini.</w:t>
      </w:r>
    </w:p>
    <w:p w14:paraId="42992EA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99FBF0C"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6.3</w:t>
      </w:r>
      <w:r w:rsidRPr="00D21DFA">
        <w:rPr>
          <w:rFonts w:ascii="Times New Roman" w:eastAsia="Times New Roman" w:hAnsi="Times New Roman" w:cs="Times New Roman"/>
          <w:b/>
          <w:bCs/>
          <w:snapToGrid w:val="0"/>
          <w:kern w:val="0"/>
          <w:sz w:val="22"/>
          <w:szCs w:val="28"/>
          <w:lang w:eastAsia="x-none"/>
          <w14:ligatures w14:val="none"/>
        </w:rPr>
        <w:tab/>
        <w:t>Tinkamumo laikas</w:t>
      </w:r>
    </w:p>
    <w:p w14:paraId="5070E4EF"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60B79C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2 metai</w:t>
      </w:r>
    </w:p>
    <w:p w14:paraId="514C39D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4539F74"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Paruošto vartoti preparato stabilumas: 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471927BE"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B166E94"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6.4</w:t>
      </w:r>
      <w:r w:rsidRPr="00D21DFA">
        <w:rPr>
          <w:rFonts w:ascii="Times New Roman" w:eastAsia="Times New Roman" w:hAnsi="Times New Roman" w:cs="Times New Roman"/>
          <w:b/>
          <w:bCs/>
          <w:snapToGrid w:val="0"/>
          <w:kern w:val="0"/>
          <w:sz w:val="22"/>
          <w:szCs w:val="28"/>
          <w:lang w:eastAsia="x-none"/>
          <w14:ligatures w14:val="none"/>
        </w:rPr>
        <w:tab/>
        <w:t>Specialios laikymo sąlygos</w:t>
      </w:r>
    </w:p>
    <w:p w14:paraId="169CF35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E3026B3" w14:textId="77777777" w:rsidR="00C95D96" w:rsidRPr="00D21DFA" w:rsidRDefault="00C95D96" w:rsidP="00C95D96">
      <w:pPr>
        <w:tabs>
          <w:tab w:val="left" w:pos="9214"/>
        </w:tabs>
        <w:spacing w:after="0" w:line="240" w:lineRule="auto"/>
        <w:ind w:right="-2"/>
        <w:rPr>
          <w:rFonts w:ascii="Times New Roman" w:eastAsia="SimSun" w:hAnsi="Times New Roman" w:cs="Times New Roman"/>
          <w:kern w:val="0"/>
          <w:sz w:val="22"/>
          <w:szCs w:val="22"/>
          <w:lang w:eastAsia="x-none"/>
          <w14:ligatures w14:val="none"/>
        </w:rPr>
      </w:pPr>
      <w:r w:rsidRPr="00D21DFA">
        <w:rPr>
          <w:rFonts w:ascii="Times New Roman" w:eastAsia="SimSun" w:hAnsi="Times New Roman" w:cs="Times New Roman"/>
          <w:kern w:val="0"/>
          <w:sz w:val="22"/>
          <w:szCs w:val="22"/>
          <w:lang w:eastAsia="x-none"/>
          <w14:ligatures w14:val="none"/>
        </w:rPr>
        <w:t>Šiam vaistiniam preparatui specialių laikymo sąlygų nereikia.</w:t>
      </w:r>
    </w:p>
    <w:p w14:paraId="38496F8E" w14:textId="77777777" w:rsidR="00C95D96" w:rsidRPr="00D21DFA" w:rsidRDefault="00C95D96" w:rsidP="00C95D96">
      <w:pPr>
        <w:tabs>
          <w:tab w:val="left" w:pos="9214"/>
        </w:tabs>
        <w:spacing w:after="0" w:line="240" w:lineRule="auto"/>
        <w:ind w:right="-2"/>
        <w:rPr>
          <w:rFonts w:ascii="Times New Roman" w:eastAsia="SimSun" w:hAnsi="Times New Roman" w:cs="Times New Roman"/>
          <w:kern w:val="0"/>
          <w:sz w:val="22"/>
          <w:szCs w:val="22"/>
          <w:lang w:eastAsia="x-none"/>
          <w14:ligatures w14:val="none"/>
        </w:rPr>
      </w:pPr>
    </w:p>
    <w:p w14:paraId="74495BD8"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6.5</w:t>
      </w:r>
      <w:r w:rsidRPr="00D21DFA">
        <w:rPr>
          <w:rFonts w:ascii="Times New Roman" w:eastAsia="Times New Roman" w:hAnsi="Times New Roman" w:cs="Times New Roman"/>
          <w:b/>
          <w:bCs/>
          <w:snapToGrid w:val="0"/>
          <w:kern w:val="0"/>
          <w:sz w:val="22"/>
          <w:szCs w:val="28"/>
          <w:lang w:eastAsia="x-none"/>
          <w14:ligatures w14:val="none"/>
        </w:rPr>
        <w:tab/>
      </w:r>
      <w:proofErr w:type="spellStart"/>
      <w:r w:rsidRPr="00D21DFA">
        <w:rPr>
          <w:rFonts w:ascii="Times New Roman" w:eastAsia="Times New Roman" w:hAnsi="Times New Roman" w:cs="Times New Roman"/>
          <w:b/>
          <w:bCs/>
          <w:snapToGrid w:val="0"/>
          <w:kern w:val="0"/>
          <w:sz w:val="22"/>
          <w:szCs w:val="28"/>
          <w:lang w:eastAsia="x-none"/>
          <w14:ligatures w14:val="none"/>
        </w:rPr>
        <w:t>Talpyklės</w:t>
      </w:r>
      <w:proofErr w:type="spellEnd"/>
      <w:r w:rsidRPr="00D21DFA">
        <w:rPr>
          <w:rFonts w:ascii="Times New Roman" w:eastAsia="Times New Roman" w:hAnsi="Times New Roman" w:cs="Times New Roman"/>
          <w:b/>
          <w:bCs/>
          <w:snapToGrid w:val="0"/>
          <w:kern w:val="0"/>
          <w:sz w:val="22"/>
          <w:szCs w:val="28"/>
          <w:lang w:eastAsia="x-none"/>
          <w14:ligatures w14:val="none"/>
        </w:rPr>
        <w:t xml:space="preserve"> pobūdis ir jos turinys</w:t>
      </w:r>
      <w:r w:rsidRPr="00D21DFA">
        <w:rPr>
          <w:rFonts w:ascii="Times New Roman" w:eastAsia="Times New Roman" w:hAnsi="Times New Roman" w:cs="Times New Roman"/>
          <w:b/>
          <w:snapToGrid w:val="0"/>
          <w:kern w:val="0"/>
          <w:sz w:val="22"/>
          <w:lang w:eastAsia="x-none"/>
          <w14:ligatures w14:val="none"/>
        </w:rPr>
        <w:t xml:space="preserve"> </w:t>
      </w:r>
    </w:p>
    <w:p w14:paraId="3D5575B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290C379"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Supakuota į PVC/PVDC//Al lizdines plokšteles.</w:t>
      </w:r>
    </w:p>
    <w:p w14:paraId="56A7A6F6"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BD196F"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Pakuotės dydis: 10, 14, 20, 28, 30, 56, 60, 90, 100, 120, 168 arba 200 plėvele dengtų tablečių.</w:t>
      </w:r>
    </w:p>
    <w:p w14:paraId="0985B103"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8E472F7"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Gali būti tiekiamos ne visų dydžių pakuotės.</w:t>
      </w:r>
    </w:p>
    <w:p w14:paraId="1F1B5462"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76810798" w14:textId="77777777" w:rsidR="00C95D96" w:rsidRPr="00D21DFA" w:rsidRDefault="00C95D96" w:rsidP="00C95D96">
      <w:pPr>
        <w:keepNext/>
        <w:tabs>
          <w:tab w:val="left" w:pos="567"/>
          <w:tab w:val="left" w:pos="9214"/>
        </w:tabs>
        <w:spacing w:after="0" w:line="240" w:lineRule="auto"/>
        <w:ind w:right="-2"/>
        <w:jc w:val="both"/>
        <w:outlineLvl w:val="3"/>
        <w:rPr>
          <w:rFonts w:ascii="Times New Roman" w:eastAsia="Times New Roman" w:hAnsi="Times New Roman" w:cs="Times New Roman"/>
          <w:b/>
          <w:bCs/>
          <w:snapToGrid w:val="0"/>
          <w:kern w:val="0"/>
          <w:sz w:val="22"/>
          <w:szCs w:val="28"/>
          <w:lang w:eastAsia="x-none"/>
          <w14:ligatures w14:val="none"/>
        </w:rPr>
      </w:pPr>
      <w:r w:rsidRPr="00D21DFA">
        <w:rPr>
          <w:rFonts w:ascii="Times New Roman" w:eastAsia="Times New Roman" w:hAnsi="Times New Roman" w:cs="Times New Roman"/>
          <w:b/>
          <w:bCs/>
          <w:snapToGrid w:val="0"/>
          <w:kern w:val="0"/>
          <w:sz w:val="22"/>
          <w:szCs w:val="28"/>
          <w:lang w:eastAsia="x-none"/>
          <w14:ligatures w14:val="none"/>
        </w:rPr>
        <w:t>6.6</w:t>
      </w:r>
      <w:r w:rsidRPr="00D21DFA">
        <w:rPr>
          <w:rFonts w:ascii="Times New Roman" w:eastAsia="Times New Roman" w:hAnsi="Times New Roman" w:cs="Times New Roman"/>
          <w:b/>
          <w:bCs/>
          <w:snapToGrid w:val="0"/>
          <w:kern w:val="0"/>
          <w:sz w:val="22"/>
          <w:szCs w:val="28"/>
          <w:lang w:eastAsia="x-none"/>
          <w14:ligatures w14:val="none"/>
        </w:rPr>
        <w:tab/>
        <w:t>Specialūs reikalavimai atliekoms tvarkyti</w:t>
      </w:r>
    </w:p>
    <w:p w14:paraId="4F0D43CF"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AEF442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Nesuvartotą vaistinį preparatą ar atliekas reikia tvarkyti laikantis vietinių reikalavimų. </w:t>
      </w:r>
    </w:p>
    <w:p w14:paraId="581556FE"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45B7202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D59FFEB"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7.</w:t>
      </w:r>
      <w:r w:rsidRPr="00D21DFA">
        <w:rPr>
          <w:rFonts w:ascii="Times New Roman" w:eastAsia="Times New Roman" w:hAnsi="Times New Roman" w:cs="Times New Roman"/>
          <w:b/>
          <w:bCs/>
          <w:snapToGrid w:val="0"/>
          <w:kern w:val="0"/>
          <w:sz w:val="22"/>
          <w:szCs w:val="26"/>
          <w:lang w:eastAsia="x-none"/>
          <w14:ligatures w14:val="none"/>
        </w:rPr>
        <w:tab/>
        <w:t>REGISTRUOTOJAS</w:t>
      </w:r>
    </w:p>
    <w:p w14:paraId="20BB9C3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586576AC"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47868C43"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0FBFAFC6"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47C6F2B4"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3659D0F0"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0"/>
          <w:szCs w:val="22"/>
          <w14:ligatures w14:val="none"/>
        </w:rPr>
      </w:pPr>
      <w:r w:rsidRPr="00D21DFA">
        <w:rPr>
          <w:rFonts w:ascii="Times New Roman" w:eastAsia="Times New Roman" w:hAnsi="Times New Roman" w:cs="Times New Roman"/>
          <w:snapToGrid w:val="0"/>
          <w:kern w:val="0"/>
          <w:sz w:val="22"/>
          <w:szCs w:val="18"/>
          <w14:ligatures w14:val="none"/>
        </w:rPr>
        <w:t>Čekija</w:t>
      </w:r>
    </w:p>
    <w:p w14:paraId="2EB15018"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35A787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0CB6B15"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8.</w:t>
      </w:r>
      <w:r w:rsidRPr="00D21DFA">
        <w:rPr>
          <w:rFonts w:ascii="Times New Roman" w:eastAsia="Times New Roman" w:hAnsi="Times New Roman" w:cs="Times New Roman"/>
          <w:b/>
          <w:bCs/>
          <w:snapToGrid w:val="0"/>
          <w:kern w:val="0"/>
          <w:sz w:val="22"/>
          <w:szCs w:val="26"/>
          <w:lang w:eastAsia="x-none"/>
          <w14:ligatures w14:val="none"/>
        </w:rPr>
        <w:tab/>
        <w:t xml:space="preserve">REGISTRACIJOS </w:t>
      </w:r>
      <w:r w:rsidRPr="00D21DFA">
        <w:rPr>
          <w:rFonts w:ascii="Times New Roman" w:eastAsia="Times New Roman" w:hAnsi="Times New Roman" w:cs="Times New Roman"/>
          <w:b/>
          <w:bCs/>
          <w:snapToGrid w:val="0"/>
          <w:kern w:val="0"/>
          <w:sz w:val="22"/>
          <w:szCs w:val="22"/>
          <w:lang w:eastAsia="x-none"/>
          <w14:ligatures w14:val="none"/>
        </w:rPr>
        <w:t>PAŽYMĖJIMO</w:t>
      </w:r>
      <w:r w:rsidRPr="00D21DFA">
        <w:rPr>
          <w:rFonts w:ascii="Times New Roman" w:eastAsia="Times New Roman" w:hAnsi="Times New Roman" w:cs="Times New Roman"/>
          <w:b/>
          <w:bCs/>
          <w:snapToGrid w:val="0"/>
          <w:kern w:val="0"/>
          <w:sz w:val="22"/>
          <w:szCs w:val="26"/>
          <w:lang w:eastAsia="x-none"/>
          <w14:ligatures w14:val="none"/>
        </w:rPr>
        <w:t xml:space="preserve"> NUMERIS (-IAI) </w:t>
      </w:r>
    </w:p>
    <w:p w14:paraId="36D7CAEA"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683F481"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LT/1/24/5521/001 – N10</w:t>
      </w:r>
    </w:p>
    <w:p w14:paraId="6F47F039"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LT/1/24/5521/002 – N14</w:t>
      </w:r>
    </w:p>
    <w:p w14:paraId="35D7A21C"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LT/1/24/5521/003 – N20</w:t>
      </w:r>
    </w:p>
    <w:p w14:paraId="2C72D920"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LT/1/24/5521/004 – N28</w:t>
      </w:r>
    </w:p>
    <w:p w14:paraId="4D006901"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LT/1/24/5521/005 – N30</w:t>
      </w:r>
    </w:p>
    <w:p w14:paraId="23C9370A"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LT/1/24/5521/006 – N56</w:t>
      </w:r>
    </w:p>
    <w:p w14:paraId="79512EC8"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LT/1/24/5521/007 – N60</w:t>
      </w:r>
    </w:p>
    <w:p w14:paraId="3A7C98AE"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lastRenderedPageBreak/>
        <w:t>LT/1/24/5521/008 – N90</w:t>
      </w:r>
    </w:p>
    <w:p w14:paraId="58FA25F3"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LT/1/24/5521/009 – N100</w:t>
      </w:r>
    </w:p>
    <w:p w14:paraId="0F8EB3D9"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LT/1/24/5521/010 – N120</w:t>
      </w:r>
    </w:p>
    <w:p w14:paraId="709633C4"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LT/1/24/5521/011 – N168</w:t>
      </w:r>
    </w:p>
    <w:p w14:paraId="0F903506" w14:textId="4D4CDF49" w:rsidR="00C95D96"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LT/1/24/5521/012 – N200</w:t>
      </w:r>
    </w:p>
    <w:p w14:paraId="50C6F0EB" w14:textId="77777777" w:rsidR="00C27A2C" w:rsidRPr="00D21DFA" w:rsidRDefault="00C27A2C" w:rsidP="00C27A2C">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A4EDBA2"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E4C8F06"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9.</w:t>
      </w:r>
      <w:r w:rsidRPr="00D21DFA">
        <w:rPr>
          <w:rFonts w:ascii="Times New Roman" w:eastAsia="Times New Roman" w:hAnsi="Times New Roman" w:cs="Times New Roman"/>
          <w:b/>
          <w:bCs/>
          <w:snapToGrid w:val="0"/>
          <w:kern w:val="0"/>
          <w:sz w:val="22"/>
          <w:szCs w:val="26"/>
          <w:lang w:eastAsia="x-none"/>
          <w14:ligatures w14:val="none"/>
        </w:rPr>
        <w:tab/>
        <w:t>REGISTRAVIMO / PERREGISTRAVIMO DATA</w:t>
      </w:r>
    </w:p>
    <w:p w14:paraId="4A17A35C"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07E2D385" w14:textId="191A0C4E" w:rsidR="00C95D96" w:rsidRPr="00D21DFA" w:rsidRDefault="00C95D96" w:rsidP="00C95D96">
      <w:pPr>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Registravimo data </w:t>
      </w:r>
      <w:r w:rsidR="00C27A2C" w:rsidRPr="00D21DFA">
        <w:rPr>
          <w:rFonts w:ascii="Times New Roman" w:eastAsia="Times New Roman" w:hAnsi="Times New Roman" w:cs="Times New Roman"/>
          <w:snapToGrid w:val="0"/>
          <w:kern w:val="0"/>
          <w:sz w:val="22"/>
          <w14:ligatures w14:val="none"/>
        </w:rPr>
        <w:t>2024 m. rugpjūčio 5 d.</w:t>
      </w:r>
    </w:p>
    <w:p w14:paraId="23D959A7"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64512851"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1884A4AA"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r w:rsidRPr="00D21DFA">
        <w:rPr>
          <w:rFonts w:ascii="Times New Roman" w:eastAsia="Times New Roman" w:hAnsi="Times New Roman" w:cs="Times New Roman"/>
          <w:b/>
          <w:bCs/>
          <w:snapToGrid w:val="0"/>
          <w:kern w:val="0"/>
          <w:sz w:val="22"/>
          <w:szCs w:val="26"/>
          <w:lang w:eastAsia="x-none"/>
          <w14:ligatures w14:val="none"/>
        </w:rPr>
        <w:t>10.</w:t>
      </w:r>
      <w:r w:rsidRPr="00D21DFA">
        <w:rPr>
          <w:rFonts w:ascii="Times New Roman" w:eastAsia="Times New Roman" w:hAnsi="Times New Roman" w:cs="Times New Roman"/>
          <w:b/>
          <w:bCs/>
          <w:snapToGrid w:val="0"/>
          <w:kern w:val="0"/>
          <w:sz w:val="22"/>
          <w:szCs w:val="26"/>
          <w:lang w:eastAsia="x-none"/>
          <w14:ligatures w14:val="none"/>
        </w:rPr>
        <w:tab/>
        <w:t>TEKSTO PERŽIŪROS DATA</w:t>
      </w:r>
    </w:p>
    <w:p w14:paraId="33ADBD3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p>
    <w:p w14:paraId="2B3FB374" w14:textId="150B8042" w:rsidR="00C95D96" w:rsidRPr="00D21DFA" w:rsidRDefault="00C27A2C" w:rsidP="00C95D96">
      <w:pPr>
        <w:tabs>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202</w:t>
      </w:r>
      <w:r w:rsidR="0044721F">
        <w:rPr>
          <w:rFonts w:ascii="Times New Roman" w:eastAsia="Times New Roman" w:hAnsi="Times New Roman" w:cs="Times New Roman"/>
          <w:snapToGrid w:val="0"/>
          <w:kern w:val="0"/>
          <w:sz w:val="22"/>
          <w14:ligatures w14:val="none"/>
        </w:rPr>
        <w:t>5</w:t>
      </w:r>
      <w:r w:rsidRPr="00D21DFA">
        <w:rPr>
          <w:rFonts w:ascii="Times New Roman" w:eastAsia="Times New Roman" w:hAnsi="Times New Roman" w:cs="Times New Roman"/>
          <w:snapToGrid w:val="0"/>
          <w:kern w:val="0"/>
          <w:sz w:val="22"/>
          <w14:ligatures w14:val="none"/>
        </w:rPr>
        <w:t xml:space="preserve"> m. </w:t>
      </w:r>
      <w:r w:rsidR="00941B04">
        <w:rPr>
          <w:rFonts w:ascii="Times New Roman" w:eastAsia="Times New Roman" w:hAnsi="Times New Roman" w:cs="Times New Roman"/>
          <w:snapToGrid w:val="0"/>
          <w:kern w:val="0"/>
          <w:sz w:val="22"/>
          <w14:ligatures w14:val="none"/>
        </w:rPr>
        <w:t>lapkričio 6 d.</w:t>
      </w:r>
    </w:p>
    <w:p w14:paraId="45D43AE3" w14:textId="77777777" w:rsidR="00C95D96" w:rsidRPr="00D21DFA"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kern w:val="0"/>
          <w:sz w:val="22"/>
          <w:szCs w:val="22"/>
          <w14:ligatures w14:val="none"/>
        </w:rPr>
      </w:pPr>
    </w:p>
    <w:p w14:paraId="79E3F6D2" w14:textId="3B12AB7F" w:rsidR="00C95D96" w:rsidRPr="00D21DFA"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kern w:val="0"/>
          <w:sz w:val="22"/>
          <w:szCs w:val="22"/>
          <w14:ligatures w14:val="none"/>
        </w:rPr>
      </w:pPr>
      <w:r w:rsidRPr="00D21DFA">
        <w:rPr>
          <w:rFonts w:ascii="Times New Roman" w:eastAsia="SimSun" w:hAnsi="Times New Roman" w:cs="Times New Roman"/>
          <w:kern w:val="0"/>
          <w:sz w:val="22"/>
          <w:szCs w:val="22"/>
          <w14:ligatures w14:val="none"/>
        </w:rPr>
        <w:t>Išsami informacija apie šį vaistinį preparatą pateikiama Valstybinės vaistų kontrolės tarnybos prie Lietuvos Respublikos sveikatos apsaugos ministerijos tinklalapyje</w:t>
      </w:r>
      <w:r w:rsidR="006843AB" w:rsidRPr="00D21DFA">
        <w:rPr>
          <w:rFonts w:ascii="Times New Roman" w:hAnsi="Times New Roman"/>
          <w:kern w:val="0"/>
          <w:sz w:val="22"/>
          <w14:ligatures w14:val="none"/>
        </w:rPr>
        <w:t xml:space="preserve"> </w:t>
      </w:r>
      <w:hyperlink r:id="rId8" w:history="1">
        <w:r w:rsidR="006843AB" w:rsidRPr="00D21DFA">
          <w:rPr>
            <w:rStyle w:val="Hipersaitas"/>
            <w:rFonts w:ascii="Times New Roman" w:eastAsia="SimSun" w:hAnsi="Times New Roman" w:cs="Times New Roman"/>
            <w:kern w:val="0"/>
            <w:sz w:val="22"/>
            <w:szCs w:val="22"/>
            <w14:ligatures w14:val="none"/>
          </w:rPr>
          <w:t>https://vvkt.lrv.lt/lt/</w:t>
        </w:r>
      </w:hyperlink>
      <w:r w:rsidR="006843AB" w:rsidRPr="00D21DFA">
        <w:rPr>
          <w:rFonts w:ascii="Times New Roman" w:eastAsia="SimSun" w:hAnsi="Times New Roman" w:cs="Times New Roman"/>
          <w:kern w:val="0"/>
          <w:sz w:val="22"/>
          <w:szCs w:val="22"/>
          <w14:ligatures w14:val="none"/>
        </w:rPr>
        <w:t>.</w:t>
      </w:r>
      <w:r w:rsidRPr="00D21DFA">
        <w:rPr>
          <w:rFonts w:ascii="Times New Roman" w:eastAsia="SimSun" w:hAnsi="Times New Roman" w:cs="Times New Roman"/>
          <w:i/>
          <w:kern w:val="0"/>
          <w:sz w:val="22"/>
          <w:szCs w:val="22"/>
          <w14:ligatures w14:val="none"/>
        </w:rPr>
        <w:t xml:space="preserve"> </w:t>
      </w:r>
    </w:p>
    <w:p w14:paraId="3980C6C2" w14:textId="77777777" w:rsidR="00C95D96" w:rsidRPr="00D21DFA" w:rsidRDefault="00C95D96" w:rsidP="00C95D96">
      <w:pPr>
        <w:spacing w:line="259" w:lineRule="auto"/>
        <w:jc w:val="both"/>
        <w:rPr>
          <w:rFonts w:ascii="Times New Roman" w:eastAsia="Times New Roman" w:hAnsi="Times New Roman" w:cs="Times New Roman"/>
          <w:b/>
          <w:bCs/>
          <w:snapToGrid w:val="0"/>
          <w:kern w:val="0"/>
          <w:sz w:val="26"/>
          <w:szCs w:val="26"/>
          <w:lang w:eastAsia="x-none"/>
          <w14:ligatures w14:val="none"/>
        </w:rPr>
      </w:pPr>
    </w:p>
    <w:p w14:paraId="1C55CCAE"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6"/>
          <w:szCs w:val="26"/>
          <w:lang w:eastAsia="x-none"/>
          <w14:ligatures w14:val="none"/>
        </w:rPr>
      </w:pPr>
    </w:p>
    <w:p w14:paraId="2299FEA3" w14:textId="77777777" w:rsidR="00C95D96" w:rsidRPr="00D21DFA" w:rsidRDefault="00C95D96" w:rsidP="00C95D96">
      <w:pPr>
        <w:spacing w:line="259" w:lineRule="auto"/>
        <w:rPr>
          <w:rFonts w:ascii="Times New Roman" w:eastAsia="SimSun" w:hAnsi="Times New Roman" w:cs="Times New Roman"/>
          <w:color w:val="000000"/>
          <w:kern w:val="0"/>
          <w:sz w:val="22"/>
          <w:szCs w:val="22"/>
          <w14:ligatures w14:val="none"/>
        </w:rPr>
      </w:pPr>
      <w:r w:rsidRPr="00D21DFA">
        <w:rPr>
          <w:rFonts w:ascii="Times New Roman" w:eastAsia="SimSun" w:hAnsi="Times New Roman" w:cs="Times New Roman"/>
          <w:color w:val="000000"/>
          <w:kern w:val="0"/>
          <w:sz w:val="22"/>
          <w:szCs w:val="22"/>
          <w14:ligatures w14:val="none"/>
        </w:rPr>
        <w:br w:type="page"/>
      </w:r>
    </w:p>
    <w:p w14:paraId="08CA7B60" w14:textId="77777777" w:rsidR="00C95D96" w:rsidRPr="00D21DFA" w:rsidRDefault="00C95D96" w:rsidP="00C95D96">
      <w:pPr>
        <w:tabs>
          <w:tab w:val="left" w:pos="5954"/>
          <w:tab w:val="left" w:pos="6237"/>
          <w:tab w:val="left" w:pos="6663"/>
          <w:tab w:val="left" w:pos="6946"/>
        </w:tabs>
        <w:spacing w:after="0" w:line="240" w:lineRule="auto"/>
        <w:ind w:left="5103" w:right="-2"/>
        <w:rPr>
          <w:rFonts w:ascii="Times New Roman" w:eastAsia="SimSun" w:hAnsi="Times New Roman" w:cs="Times New Roman"/>
          <w:color w:val="000000"/>
          <w:kern w:val="0"/>
          <w:sz w:val="22"/>
          <w:szCs w:val="22"/>
          <w14:ligatures w14:val="none"/>
        </w:rPr>
      </w:pPr>
    </w:p>
    <w:p w14:paraId="5AEBC247" w14:textId="77777777" w:rsidR="00C95D96" w:rsidRPr="00D21DFA" w:rsidRDefault="00C95D96" w:rsidP="00C95D96">
      <w:pPr>
        <w:tabs>
          <w:tab w:val="left" w:pos="5954"/>
          <w:tab w:val="left" w:pos="6237"/>
          <w:tab w:val="left" w:pos="6663"/>
          <w:tab w:val="left" w:pos="6946"/>
        </w:tabs>
        <w:spacing w:after="0" w:line="240" w:lineRule="auto"/>
        <w:ind w:left="5103" w:right="-2"/>
        <w:rPr>
          <w:rFonts w:ascii="Times New Roman" w:eastAsia="SimSun" w:hAnsi="Times New Roman" w:cs="Times New Roman"/>
          <w:color w:val="000000"/>
          <w:kern w:val="0"/>
          <w:sz w:val="22"/>
          <w:szCs w:val="22"/>
          <w14:ligatures w14:val="none"/>
        </w:rPr>
      </w:pPr>
    </w:p>
    <w:p w14:paraId="218904AC" w14:textId="77777777" w:rsidR="00C95D96" w:rsidRPr="00D21DFA" w:rsidRDefault="00C95D96" w:rsidP="00C95D96">
      <w:pPr>
        <w:spacing w:after="0" w:line="240" w:lineRule="auto"/>
        <w:ind w:left="5103" w:right="-2"/>
        <w:rPr>
          <w:rFonts w:ascii="Times New Roman" w:eastAsia="SimSun" w:hAnsi="Times New Roman" w:cs="Times New Roman"/>
          <w:color w:val="000000"/>
          <w:kern w:val="0"/>
          <w:sz w:val="22"/>
          <w:szCs w:val="22"/>
          <w14:ligatures w14:val="none"/>
        </w:rPr>
      </w:pPr>
    </w:p>
    <w:p w14:paraId="2084FD06" w14:textId="77777777" w:rsidR="00C95D96" w:rsidRPr="00D21DFA" w:rsidRDefault="00C95D96" w:rsidP="00C95D96">
      <w:pPr>
        <w:spacing w:after="0" w:line="240" w:lineRule="auto"/>
        <w:ind w:left="5103" w:right="-2"/>
        <w:rPr>
          <w:rFonts w:ascii="Times New Roman" w:eastAsia="SimSun" w:hAnsi="Times New Roman" w:cs="Times New Roman"/>
          <w:color w:val="000000"/>
          <w:kern w:val="0"/>
          <w:sz w:val="22"/>
          <w:szCs w:val="22"/>
          <w14:ligatures w14:val="none"/>
        </w:rPr>
      </w:pPr>
    </w:p>
    <w:p w14:paraId="28EB8E0C" w14:textId="77777777" w:rsidR="00C95D96" w:rsidRPr="00D21DFA" w:rsidRDefault="00C95D96" w:rsidP="00C95D96">
      <w:pPr>
        <w:tabs>
          <w:tab w:val="left" w:pos="5954"/>
          <w:tab w:val="left" w:pos="6237"/>
          <w:tab w:val="left" w:pos="6663"/>
          <w:tab w:val="left" w:pos="6946"/>
        </w:tabs>
        <w:spacing w:after="0" w:line="240" w:lineRule="auto"/>
        <w:ind w:right="-2"/>
        <w:jc w:val="center"/>
        <w:rPr>
          <w:rFonts w:ascii="Times New Roman" w:eastAsia="SimSun" w:hAnsi="Times New Roman" w:cs="Times New Roman"/>
          <w:color w:val="000000"/>
          <w:kern w:val="0"/>
          <w:sz w:val="22"/>
          <w:szCs w:val="22"/>
          <w14:ligatures w14:val="none"/>
        </w:rPr>
      </w:pPr>
    </w:p>
    <w:p w14:paraId="6FB5250B" w14:textId="77777777" w:rsidR="00C95D96" w:rsidRPr="00D21DFA" w:rsidRDefault="00C95D96" w:rsidP="00C95D96">
      <w:pPr>
        <w:tabs>
          <w:tab w:val="left" w:pos="5954"/>
          <w:tab w:val="left" w:pos="6237"/>
          <w:tab w:val="left" w:pos="6663"/>
          <w:tab w:val="left" w:pos="6946"/>
        </w:tabs>
        <w:spacing w:after="0" w:line="240" w:lineRule="auto"/>
        <w:ind w:right="-2"/>
        <w:jc w:val="center"/>
        <w:rPr>
          <w:rFonts w:ascii="Times New Roman" w:eastAsia="SimSun" w:hAnsi="Times New Roman" w:cs="Times New Roman"/>
          <w:color w:val="000000"/>
          <w:kern w:val="0"/>
          <w:sz w:val="22"/>
          <w:szCs w:val="22"/>
          <w14:ligatures w14:val="none"/>
        </w:rPr>
      </w:pPr>
    </w:p>
    <w:p w14:paraId="135B0A2A"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6A1A7C7"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2AE51D0"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14856E35"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DE1B255"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68340DE"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45C6441"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477F0920"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F8DDF99"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0C7DBA8"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7E42853C"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8FE3A65"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C13083D"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712FD3F0"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2E29ED7"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AF4734C"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EF8189A"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ED4BEA9"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02A336D6"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4A7B5043" w14:textId="77777777" w:rsidR="00C95D96" w:rsidRPr="00D21DFA" w:rsidRDefault="00C95D96" w:rsidP="00C95D96">
      <w:pPr>
        <w:spacing w:after="0" w:line="240" w:lineRule="auto"/>
        <w:ind w:right="-2"/>
        <w:jc w:val="center"/>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II PRIEDAS</w:t>
      </w:r>
    </w:p>
    <w:p w14:paraId="77C2EDBC" w14:textId="77777777" w:rsidR="00C95D96" w:rsidRPr="00D21DFA" w:rsidRDefault="00C95D96" w:rsidP="00C95D96">
      <w:pPr>
        <w:spacing w:after="0" w:line="240" w:lineRule="auto"/>
        <w:ind w:left="1701" w:right="-2" w:hanging="567"/>
        <w:rPr>
          <w:rFonts w:ascii="Times New Roman" w:eastAsia="Times New Roman" w:hAnsi="Times New Roman" w:cs="Times New Roman"/>
          <w:kern w:val="0"/>
          <w:sz w:val="22"/>
          <w:szCs w:val="22"/>
          <w14:ligatures w14:val="none"/>
        </w:rPr>
      </w:pPr>
    </w:p>
    <w:p w14:paraId="0C273C83" w14:textId="77777777" w:rsidR="00C95D96" w:rsidRPr="00D21DFA" w:rsidRDefault="00C95D96" w:rsidP="00C95D96">
      <w:pPr>
        <w:spacing w:after="0" w:line="240" w:lineRule="auto"/>
        <w:ind w:right="-2"/>
        <w:jc w:val="center"/>
        <w:rPr>
          <w:rFonts w:ascii="Times New Roman" w:eastAsia="Times New Roman" w:hAnsi="Times New Roman" w:cs="Times New Roman"/>
          <w:i/>
          <w:kern w:val="0"/>
          <w:sz w:val="22"/>
          <w:szCs w:val="22"/>
          <w14:ligatures w14:val="none"/>
        </w:rPr>
      </w:pPr>
      <w:r w:rsidRPr="00D21DFA">
        <w:rPr>
          <w:rFonts w:ascii="Times New Roman" w:eastAsia="Times New Roman" w:hAnsi="Times New Roman" w:cs="Times New Roman"/>
          <w:b/>
          <w:kern w:val="0"/>
          <w:sz w:val="22"/>
          <w:szCs w:val="22"/>
          <w14:ligatures w14:val="none"/>
        </w:rPr>
        <w:t>REGISTRACIJOS SĄLYGOS</w:t>
      </w:r>
    </w:p>
    <w:p w14:paraId="584920C4"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087ADB5E" w14:textId="77777777" w:rsidR="00C95D96" w:rsidRPr="00D21DFA" w:rsidRDefault="00C95D96" w:rsidP="00C95D96">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A.</w:t>
      </w:r>
      <w:r w:rsidRPr="00D21DFA">
        <w:rPr>
          <w:rFonts w:ascii="Times New Roman" w:eastAsia="Times New Roman" w:hAnsi="Times New Roman" w:cs="Times New Roman"/>
          <w:b/>
          <w:kern w:val="0"/>
          <w:sz w:val="22"/>
          <w:szCs w:val="22"/>
          <w14:ligatures w14:val="none"/>
        </w:rPr>
        <w:tab/>
        <w:t>GAMINTOJAS (-AI), ATSAKINGAS (-I) UŽ SERIJŲ IŠLEIDIMĄ</w:t>
      </w:r>
    </w:p>
    <w:p w14:paraId="6C3E68A8" w14:textId="77777777" w:rsidR="00C95D96" w:rsidRPr="00D21DFA" w:rsidRDefault="00C95D96" w:rsidP="00C95D96">
      <w:pPr>
        <w:tabs>
          <w:tab w:val="left" w:pos="1701"/>
        </w:tabs>
        <w:spacing w:after="0" w:line="240" w:lineRule="auto"/>
        <w:ind w:left="567" w:right="-2" w:hanging="567"/>
        <w:rPr>
          <w:rFonts w:ascii="Times New Roman" w:eastAsia="Times New Roman" w:hAnsi="Times New Roman" w:cs="Times New Roman"/>
          <w:kern w:val="0"/>
          <w:sz w:val="22"/>
          <w:szCs w:val="22"/>
          <w14:ligatures w14:val="none"/>
        </w:rPr>
      </w:pPr>
    </w:p>
    <w:p w14:paraId="3141E81F" w14:textId="77777777" w:rsidR="00C95D96" w:rsidRPr="00D21DFA" w:rsidRDefault="00C95D96" w:rsidP="00C95D96">
      <w:pPr>
        <w:tabs>
          <w:tab w:val="left" w:pos="1701"/>
        </w:tabs>
        <w:spacing w:after="0" w:line="240" w:lineRule="auto"/>
        <w:ind w:left="1701" w:right="-2" w:hanging="567"/>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B.</w:t>
      </w:r>
      <w:r w:rsidRPr="00D21DFA">
        <w:rPr>
          <w:rFonts w:ascii="Times New Roman" w:eastAsia="Times New Roman" w:hAnsi="Times New Roman" w:cs="Times New Roman"/>
          <w:b/>
          <w:kern w:val="0"/>
          <w:sz w:val="22"/>
          <w:szCs w:val="22"/>
          <w14:ligatures w14:val="none"/>
        </w:rPr>
        <w:tab/>
        <w:t>TIEKIMO IR VARTOJIMO SĄLYGOS AR APRIBOJIMAI</w:t>
      </w:r>
    </w:p>
    <w:p w14:paraId="4872C71A" w14:textId="77777777" w:rsidR="00C95D96" w:rsidRPr="00D21DFA" w:rsidRDefault="00C95D96" w:rsidP="00C95D96">
      <w:pPr>
        <w:tabs>
          <w:tab w:val="left" w:pos="1701"/>
        </w:tabs>
        <w:spacing w:after="0" w:line="240" w:lineRule="auto"/>
        <w:ind w:left="567" w:right="-2" w:hanging="567"/>
        <w:rPr>
          <w:rFonts w:ascii="Times New Roman" w:eastAsia="Times New Roman" w:hAnsi="Times New Roman" w:cs="Times New Roman"/>
          <w:kern w:val="0"/>
          <w:sz w:val="22"/>
          <w:szCs w:val="22"/>
          <w14:ligatures w14:val="none"/>
        </w:rPr>
      </w:pPr>
    </w:p>
    <w:p w14:paraId="764D021D" w14:textId="77777777" w:rsidR="00C95D96" w:rsidRPr="00D21DFA" w:rsidRDefault="00C95D96" w:rsidP="00C95D96">
      <w:pPr>
        <w:spacing w:after="0" w:line="240" w:lineRule="auto"/>
        <w:ind w:left="1701" w:right="-2" w:hanging="850"/>
        <w:rPr>
          <w:rFonts w:ascii="Times New Roman" w:eastAsia="Times New Roman" w:hAnsi="Times New Roman" w:cs="Times New Roman"/>
          <w:b/>
          <w:kern w:val="0"/>
          <w:sz w:val="22"/>
          <w:szCs w:val="22"/>
          <w14:ligatures w14:val="none"/>
        </w:rPr>
      </w:pPr>
    </w:p>
    <w:p w14:paraId="0357124B" w14:textId="77777777" w:rsidR="00C95D96" w:rsidRPr="00D21DFA" w:rsidRDefault="00C95D96" w:rsidP="00C95D96">
      <w:pPr>
        <w:spacing w:after="0" w:line="240" w:lineRule="auto"/>
        <w:ind w:left="567" w:right="-2" w:hanging="567"/>
        <w:rPr>
          <w:rFonts w:ascii="Times New Roman" w:eastAsia="Times New Roman" w:hAnsi="Times New Roman" w:cs="Times New Roman"/>
          <w:kern w:val="0"/>
          <w:sz w:val="22"/>
          <w:szCs w:val="22"/>
          <w14:ligatures w14:val="none"/>
        </w:rPr>
      </w:pPr>
    </w:p>
    <w:p w14:paraId="3E656F2F"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46730CB" w14:textId="77777777" w:rsidR="00C95D96" w:rsidRPr="00D21DFA" w:rsidRDefault="00C95D96" w:rsidP="00C95D96">
      <w:pPr>
        <w:spacing w:after="0" w:line="240" w:lineRule="auto"/>
        <w:ind w:left="567" w:right="-2" w:hanging="567"/>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kern w:val="0"/>
          <w:sz w:val="22"/>
          <w:szCs w:val="22"/>
          <w14:ligatures w14:val="none"/>
        </w:rPr>
        <w:br w:type="page"/>
      </w:r>
      <w:r w:rsidRPr="00D21DFA">
        <w:rPr>
          <w:rFonts w:ascii="Times New Roman" w:eastAsia="Times New Roman" w:hAnsi="Times New Roman" w:cs="Times New Roman"/>
          <w:b/>
          <w:kern w:val="0"/>
          <w:sz w:val="22"/>
          <w:szCs w:val="22"/>
          <w14:ligatures w14:val="none"/>
        </w:rPr>
        <w:lastRenderedPageBreak/>
        <w:t>A.</w:t>
      </w:r>
      <w:r w:rsidRPr="00D21DFA">
        <w:rPr>
          <w:rFonts w:ascii="Times New Roman" w:eastAsia="Times New Roman" w:hAnsi="Times New Roman" w:cs="Times New Roman"/>
          <w:b/>
          <w:kern w:val="0"/>
          <w:sz w:val="22"/>
          <w:szCs w:val="22"/>
          <w14:ligatures w14:val="none"/>
        </w:rPr>
        <w:tab/>
        <w:t>GAMINTOJAS (-AI), ATSAKINGAS (-I) UŽ SERIJŲ IŠLEIDIMĄ</w:t>
      </w:r>
    </w:p>
    <w:p w14:paraId="15C7C9F8"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C9BE9FD" w14:textId="77777777" w:rsidR="00C95D96" w:rsidRPr="00D21DFA" w:rsidRDefault="00C95D96" w:rsidP="00C95D96">
      <w:pPr>
        <w:spacing w:after="0" w:line="240" w:lineRule="auto"/>
        <w:ind w:right="-2"/>
        <w:jc w:val="both"/>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u w:val="single"/>
          <w14:ligatures w14:val="none"/>
        </w:rPr>
        <w:t>Gamintojo (-ų), atsakingo (-ų) už serijų išleidimą, pavadinimas (-ai) ir adresas (-ai)</w:t>
      </w:r>
    </w:p>
    <w:p w14:paraId="746C5FE8"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7CA82EAE"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PHARMADOX </w:t>
      </w:r>
      <w:proofErr w:type="spellStart"/>
      <w:r w:rsidRPr="00D21DFA">
        <w:rPr>
          <w:rFonts w:ascii="Times New Roman" w:eastAsia="Times New Roman" w:hAnsi="Times New Roman" w:cs="Times New Roman"/>
          <w:bCs/>
          <w:snapToGrid w:val="0"/>
          <w:kern w:val="0"/>
          <w:sz w:val="22"/>
          <w:szCs w:val="20"/>
          <w14:ligatures w14:val="none"/>
        </w:rPr>
        <w:t>Healthcare</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Limited</w:t>
      </w:r>
      <w:proofErr w:type="spellEnd"/>
    </w:p>
    <w:p w14:paraId="5B13BC86"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KW20A </w:t>
      </w:r>
      <w:proofErr w:type="spellStart"/>
      <w:r w:rsidRPr="00D21DFA">
        <w:rPr>
          <w:rFonts w:ascii="Times New Roman" w:eastAsia="Times New Roman" w:hAnsi="Times New Roman" w:cs="Times New Roman"/>
          <w:bCs/>
          <w:snapToGrid w:val="0"/>
          <w:kern w:val="0"/>
          <w:sz w:val="22"/>
          <w:szCs w:val="20"/>
          <w14:ligatures w14:val="none"/>
        </w:rPr>
        <w:t>Kordin</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Industrial</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Park</w:t>
      </w:r>
      <w:proofErr w:type="spellEnd"/>
    </w:p>
    <w:p w14:paraId="1F344F80"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0"/>
          <w14:ligatures w14:val="none"/>
        </w:rPr>
        <w:t>Paola</w:t>
      </w:r>
      <w:proofErr w:type="spellEnd"/>
      <w:r w:rsidRPr="00D21DFA">
        <w:rPr>
          <w:rFonts w:ascii="Times New Roman" w:eastAsia="Times New Roman" w:hAnsi="Times New Roman" w:cs="Times New Roman"/>
          <w:bCs/>
          <w:snapToGrid w:val="0"/>
          <w:kern w:val="0"/>
          <w:sz w:val="22"/>
          <w:szCs w:val="20"/>
          <w14:ligatures w14:val="none"/>
        </w:rPr>
        <w:t>, PLA 3000</w:t>
      </w:r>
    </w:p>
    <w:p w14:paraId="34DAADC7"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Malta </w:t>
      </w:r>
    </w:p>
    <w:p w14:paraId="444981AF"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30100F9"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688F2799" w14:textId="77777777" w:rsidR="00C95D96" w:rsidRPr="00D21DFA" w:rsidRDefault="00C95D96" w:rsidP="00C27A2C">
      <w:pPr>
        <w:spacing w:after="0" w:line="240" w:lineRule="auto"/>
        <w:ind w:left="567" w:right="-2" w:hanging="567"/>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b/>
          <w:kern w:val="0"/>
          <w:sz w:val="22"/>
          <w:szCs w:val="22"/>
          <w14:ligatures w14:val="none"/>
        </w:rPr>
        <w:t>B.</w:t>
      </w:r>
      <w:r w:rsidRPr="00D21DFA">
        <w:rPr>
          <w:rFonts w:ascii="Times New Roman" w:eastAsia="Times New Roman" w:hAnsi="Times New Roman" w:cs="Times New Roman"/>
          <w:b/>
          <w:kern w:val="0"/>
          <w:sz w:val="22"/>
          <w:szCs w:val="22"/>
          <w14:ligatures w14:val="none"/>
        </w:rPr>
        <w:tab/>
        <w:t>TIEKIMO IR VARTOJIMO SĄLYGOS AR APRIBOJIMAI</w:t>
      </w:r>
    </w:p>
    <w:p w14:paraId="56EEFBF0"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2943FA7C"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t>Receptinis vaistinis preparatas.</w:t>
      </w:r>
    </w:p>
    <w:p w14:paraId="2FED27C9"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381C2176"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bookmarkStart w:id="3" w:name="_Hlk77340026"/>
    </w:p>
    <w:bookmarkEnd w:id="3"/>
    <w:p w14:paraId="2A3C84BC"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r w:rsidRPr="00D21DFA">
        <w:rPr>
          <w:rFonts w:ascii="Times New Roman" w:eastAsia="Times New Roman" w:hAnsi="Times New Roman" w:cs="Times New Roman"/>
          <w:kern w:val="0"/>
          <w:sz w:val="22"/>
          <w:szCs w:val="22"/>
          <w14:ligatures w14:val="none"/>
        </w:rPr>
        <w:br w:type="page"/>
      </w:r>
    </w:p>
    <w:p w14:paraId="6EBCE41B" w14:textId="77777777" w:rsidR="00C95D96" w:rsidRPr="00D21DFA" w:rsidRDefault="00C95D96" w:rsidP="00C95D96">
      <w:pPr>
        <w:spacing w:after="0" w:line="240" w:lineRule="auto"/>
        <w:ind w:right="-2"/>
        <w:rPr>
          <w:rFonts w:ascii="Times New Roman" w:eastAsia="Times New Roman" w:hAnsi="Times New Roman" w:cs="Times New Roman"/>
          <w:kern w:val="0"/>
          <w:sz w:val="22"/>
          <w:szCs w:val="22"/>
          <w14:ligatures w14:val="none"/>
        </w:rPr>
      </w:pPr>
    </w:p>
    <w:p w14:paraId="5F87C868"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lang w:eastAsia="x-none"/>
          <w14:ligatures w14:val="none"/>
        </w:rPr>
      </w:pPr>
    </w:p>
    <w:p w14:paraId="77202D7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87E5AA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126943F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B6024A7"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26B0C08"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FB9885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4BB1427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6A505BB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7DAB4E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C5AB15A"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E527C5A"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0D793415"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7DCFC39F"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26909B3B"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149FF2A3"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572C26A3"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53D329BC"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66F4E810"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5C7794B0"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72900CD6" w14:textId="77777777" w:rsidR="00C95D96" w:rsidRPr="00D21DFA" w:rsidRDefault="00C95D96" w:rsidP="00C95D96">
      <w:pPr>
        <w:tabs>
          <w:tab w:val="left" w:pos="567"/>
        </w:tabs>
        <w:spacing w:after="0" w:line="260" w:lineRule="exact"/>
        <w:ind w:right="-2"/>
        <w:outlineLvl w:val="0"/>
        <w:rPr>
          <w:rFonts w:ascii="Times New Roman" w:eastAsia="Times New Roman" w:hAnsi="Times New Roman" w:cs="Times New Roman"/>
          <w:b/>
          <w:snapToGrid w:val="0"/>
          <w:kern w:val="0"/>
          <w:sz w:val="22"/>
          <w:szCs w:val="20"/>
          <w14:ligatures w14:val="none"/>
        </w:rPr>
      </w:pPr>
    </w:p>
    <w:p w14:paraId="1B4952F9" w14:textId="77777777" w:rsidR="00C95D96" w:rsidRPr="00D21DFA" w:rsidRDefault="00C95D96" w:rsidP="00C95D96">
      <w:pPr>
        <w:keepNext/>
        <w:tabs>
          <w:tab w:val="left" w:pos="567"/>
        </w:tabs>
        <w:spacing w:after="0" w:line="240" w:lineRule="auto"/>
        <w:ind w:right="-2"/>
        <w:jc w:val="center"/>
        <w:outlineLvl w:val="1"/>
        <w:rPr>
          <w:rFonts w:ascii="Times New Roman" w:eastAsia="Times New Roman" w:hAnsi="Times New Roman" w:cs="Times New Roman"/>
          <w:b/>
          <w:bCs/>
          <w:iCs/>
          <w:snapToGrid w:val="0"/>
          <w:kern w:val="0"/>
          <w:sz w:val="22"/>
          <w:szCs w:val="28"/>
          <w:lang w:eastAsia="x-none"/>
          <w14:ligatures w14:val="none"/>
        </w:rPr>
      </w:pPr>
    </w:p>
    <w:p w14:paraId="6700DD37" w14:textId="77777777" w:rsidR="00C95D96" w:rsidRPr="00D21DFA" w:rsidRDefault="00C95D96" w:rsidP="00C95D96">
      <w:pPr>
        <w:keepNext/>
        <w:tabs>
          <w:tab w:val="left" w:pos="567"/>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D21DFA">
        <w:rPr>
          <w:rFonts w:ascii="Times New Roman" w:eastAsia="Times New Roman" w:hAnsi="Times New Roman" w:cs="Times New Roman"/>
          <w:b/>
          <w:bCs/>
          <w:iCs/>
          <w:snapToGrid w:val="0"/>
          <w:kern w:val="0"/>
          <w:sz w:val="22"/>
          <w:szCs w:val="28"/>
          <w:lang w:eastAsia="x-none"/>
          <w14:ligatures w14:val="none"/>
        </w:rPr>
        <w:t>III PRIEDAS</w:t>
      </w:r>
    </w:p>
    <w:p w14:paraId="2733811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DED1238" w14:textId="77777777" w:rsidR="00C95D96" w:rsidRPr="00D21DFA" w:rsidRDefault="00C95D96" w:rsidP="00C95D96">
      <w:pPr>
        <w:keepNext/>
        <w:tabs>
          <w:tab w:val="left" w:pos="567"/>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D21DFA">
        <w:rPr>
          <w:rFonts w:ascii="Times New Roman" w:eastAsia="Times New Roman" w:hAnsi="Times New Roman" w:cs="Times New Roman"/>
          <w:b/>
          <w:bCs/>
          <w:iCs/>
          <w:snapToGrid w:val="0"/>
          <w:kern w:val="0"/>
          <w:sz w:val="22"/>
          <w:szCs w:val="28"/>
          <w:lang w:eastAsia="x-none"/>
          <w14:ligatures w14:val="none"/>
        </w:rPr>
        <w:t>ŽENKLINIMAS IR PAKUOTĖS LAPELIS</w:t>
      </w:r>
    </w:p>
    <w:p w14:paraId="0AE0E2A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br w:type="page"/>
      </w:r>
    </w:p>
    <w:p w14:paraId="70633717"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945702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7ED743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B915F1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2F8E24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10D5BC4"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8863AD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08CB66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13F6FC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9AF182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D3D7BB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AC0BBA8"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EEBE62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AE898D7"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83C5EE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F12767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256F737"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D56BFD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40B54A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1BC776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63E2668"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95411C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93B3A17" w14:textId="77777777" w:rsidR="00C95D96" w:rsidRPr="00D21DFA" w:rsidRDefault="00C95D96" w:rsidP="00C95D96">
      <w:pPr>
        <w:keepNext/>
        <w:tabs>
          <w:tab w:val="left" w:pos="567"/>
        </w:tabs>
        <w:spacing w:after="0" w:line="240" w:lineRule="auto"/>
        <w:ind w:right="-2"/>
        <w:jc w:val="center"/>
        <w:outlineLvl w:val="1"/>
        <w:rPr>
          <w:rFonts w:ascii="Times New Roman" w:eastAsia="Times New Roman" w:hAnsi="Times New Roman" w:cs="Times New Roman"/>
          <w:b/>
          <w:bCs/>
          <w:iCs/>
          <w:snapToGrid w:val="0"/>
          <w:kern w:val="0"/>
          <w:sz w:val="22"/>
          <w:szCs w:val="28"/>
          <w:lang w:eastAsia="x-none"/>
          <w14:ligatures w14:val="none"/>
        </w:rPr>
      </w:pPr>
    </w:p>
    <w:p w14:paraId="503057AD" w14:textId="77777777" w:rsidR="00C95D96" w:rsidRPr="00D21DFA" w:rsidRDefault="00C95D96" w:rsidP="00C95D96">
      <w:pPr>
        <w:keepNext/>
        <w:tabs>
          <w:tab w:val="left" w:pos="567"/>
        </w:tabs>
        <w:spacing w:after="0" w:line="240" w:lineRule="auto"/>
        <w:ind w:right="-2"/>
        <w:jc w:val="center"/>
        <w:outlineLvl w:val="1"/>
        <w:rPr>
          <w:rFonts w:ascii="Times New Roman" w:eastAsia="Times New Roman" w:hAnsi="Times New Roman" w:cs="Times New Roman"/>
          <w:b/>
          <w:snapToGrid w:val="0"/>
          <w:kern w:val="0"/>
          <w:sz w:val="22"/>
          <w:lang w:eastAsia="x-none"/>
          <w14:ligatures w14:val="none"/>
        </w:rPr>
      </w:pPr>
      <w:r w:rsidRPr="00D21DFA">
        <w:rPr>
          <w:rFonts w:ascii="Times New Roman" w:eastAsia="Times New Roman" w:hAnsi="Times New Roman" w:cs="Times New Roman"/>
          <w:b/>
          <w:bCs/>
          <w:iCs/>
          <w:snapToGrid w:val="0"/>
          <w:kern w:val="0"/>
          <w:sz w:val="22"/>
          <w:szCs w:val="28"/>
          <w:lang w:eastAsia="x-none"/>
          <w14:ligatures w14:val="none"/>
        </w:rPr>
        <w:t>A. ŽENKLINIMAS</w:t>
      </w:r>
    </w:p>
    <w:p w14:paraId="69A0611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br w:type="page"/>
      </w:r>
    </w:p>
    <w:p w14:paraId="48B96FA5"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lastRenderedPageBreak/>
        <w:t>INFORMACIJA ANT IŠORINĖS PAKUOTĖS</w:t>
      </w:r>
    </w:p>
    <w:p w14:paraId="0CFCE0F1"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rPr>
          <w:rFonts w:ascii="Times New Roman" w:eastAsia="Times New Roman" w:hAnsi="Times New Roman" w:cs="Times New Roman"/>
          <w:b/>
          <w:snapToGrid w:val="0"/>
          <w:kern w:val="0"/>
          <w:sz w:val="22"/>
          <w14:ligatures w14:val="none"/>
        </w:rPr>
      </w:pPr>
    </w:p>
    <w:p w14:paraId="5C4E226A"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KARTONO DĖŽUTĖ</w:t>
      </w:r>
    </w:p>
    <w:p w14:paraId="3C8B246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1018DB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3A59132"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1.</w:t>
      </w:r>
      <w:r w:rsidRPr="00D21DFA">
        <w:rPr>
          <w:rFonts w:ascii="Times New Roman" w:eastAsia="Times New Roman" w:hAnsi="Times New Roman" w:cs="Times New Roman"/>
          <w:b/>
          <w:snapToGrid w:val="0"/>
          <w:kern w:val="0"/>
          <w:sz w:val="22"/>
          <w14:ligatures w14:val="none"/>
        </w:rPr>
        <w:tab/>
      </w:r>
      <w:r w:rsidRPr="00D21DFA">
        <w:rPr>
          <w:rFonts w:ascii="Times New Roman" w:eastAsia="Times New Roman" w:hAnsi="Times New Roman" w:cs="Times New Roman"/>
          <w:b/>
          <w:caps/>
          <w:snapToGrid w:val="0"/>
          <w:kern w:val="0"/>
          <w:sz w:val="22"/>
          <w14:ligatures w14:val="none"/>
        </w:rPr>
        <w:t>VAISTINIO</w:t>
      </w:r>
      <w:r w:rsidRPr="00D21DFA">
        <w:rPr>
          <w:rFonts w:ascii="Times New Roman" w:eastAsia="Times New Roman" w:hAnsi="Times New Roman" w:cs="Times New Roman"/>
          <w:b/>
          <w:snapToGrid w:val="0"/>
          <w:kern w:val="0"/>
          <w:sz w:val="22"/>
          <w14:ligatures w14:val="none"/>
        </w:rPr>
        <w:t xml:space="preserve"> PREPARATO PAVADINIMAS</w:t>
      </w:r>
    </w:p>
    <w:p w14:paraId="31C0197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19D85B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14:ligatures w14:val="none"/>
        </w:rPr>
        <w:t>Apixaban</w:t>
      </w:r>
      <w:proofErr w:type="spellEnd"/>
      <w:r w:rsidRPr="00D21DFA">
        <w:rPr>
          <w:rFonts w:ascii="Times New Roman" w:eastAsia="Times New Roman" w:hAnsi="Times New Roman" w:cs="Times New Roman"/>
          <w:snapToGrid w:val="0"/>
          <w:kern w:val="0"/>
          <w:sz w:val="22"/>
          <w14:ligatures w14:val="none"/>
        </w:rPr>
        <w:t xml:space="preserve"> </w:t>
      </w:r>
      <w:proofErr w:type="spellStart"/>
      <w:r w:rsidRPr="00D21DFA">
        <w:rPr>
          <w:rFonts w:ascii="Times New Roman" w:eastAsia="Times New Roman" w:hAnsi="Times New Roman" w:cs="Times New Roman"/>
          <w:snapToGrid w:val="0"/>
          <w:kern w:val="0"/>
          <w:sz w:val="22"/>
          <w14:ligatures w14:val="none"/>
        </w:rPr>
        <w:t>Zentiva</w:t>
      </w:r>
      <w:proofErr w:type="spellEnd"/>
      <w:r w:rsidRPr="00D21DFA">
        <w:rPr>
          <w:rFonts w:ascii="Times New Roman" w:eastAsia="Times New Roman" w:hAnsi="Times New Roman" w:cs="Times New Roman"/>
          <w:snapToGrid w:val="0"/>
          <w:kern w:val="0"/>
          <w:sz w:val="22"/>
          <w14:ligatures w14:val="none"/>
        </w:rPr>
        <w:t xml:space="preserve"> </w:t>
      </w:r>
      <w:r w:rsidRPr="00D21DFA">
        <w:rPr>
          <w:rFonts w:ascii="Times New Roman" w:eastAsia="Times New Roman" w:hAnsi="Times New Roman" w:cs="Times New Roman"/>
          <w:snapToGrid w:val="0"/>
          <w:kern w:val="0"/>
          <w:sz w:val="22"/>
          <w:szCs w:val="20"/>
          <w14:ligatures w14:val="none"/>
        </w:rPr>
        <w:t>2,5 mg pl</w:t>
      </w:r>
      <w:r w:rsidRPr="00D21DFA">
        <w:rPr>
          <w:rFonts w:ascii="Times New Roman" w:eastAsia="Times New Roman" w:hAnsi="Times New Roman" w:cs="Times New Roman"/>
          <w:snapToGrid w:val="0"/>
          <w:kern w:val="0"/>
          <w:sz w:val="22"/>
          <w14:ligatures w14:val="none"/>
        </w:rPr>
        <w:t xml:space="preserve">ėvele dengtos tabletės </w:t>
      </w:r>
    </w:p>
    <w:p w14:paraId="032023D0"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highlight w:val="lightGray"/>
          <w14:ligatures w14:val="none"/>
        </w:rPr>
        <w:t>Apixaban</w:t>
      </w:r>
      <w:proofErr w:type="spellEnd"/>
      <w:r w:rsidRPr="00D21DFA">
        <w:rPr>
          <w:rFonts w:ascii="Times New Roman" w:eastAsia="Times New Roman" w:hAnsi="Times New Roman" w:cs="Times New Roman"/>
          <w:snapToGrid w:val="0"/>
          <w:kern w:val="0"/>
          <w:sz w:val="22"/>
          <w:highlight w:val="lightGray"/>
          <w14:ligatures w14:val="none"/>
        </w:rPr>
        <w:t xml:space="preserve"> </w:t>
      </w:r>
      <w:proofErr w:type="spellStart"/>
      <w:r w:rsidRPr="00D21DFA">
        <w:rPr>
          <w:rFonts w:ascii="Times New Roman" w:eastAsia="Times New Roman" w:hAnsi="Times New Roman" w:cs="Times New Roman"/>
          <w:snapToGrid w:val="0"/>
          <w:kern w:val="0"/>
          <w:sz w:val="22"/>
          <w:highlight w:val="lightGray"/>
          <w14:ligatures w14:val="none"/>
        </w:rPr>
        <w:t>Zentiva</w:t>
      </w:r>
      <w:proofErr w:type="spellEnd"/>
      <w:r w:rsidRPr="00D21DFA">
        <w:rPr>
          <w:rFonts w:ascii="Times New Roman" w:eastAsia="Times New Roman" w:hAnsi="Times New Roman" w:cs="Times New Roman"/>
          <w:snapToGrid w:val="0"/>
          <w:kern w:val="0"/>
          <w:sz w:val="22"/>
          <w:highlight w:val="lightGray"/>
          <w14:ligatures w14:val="none"/>
        </w:rPr>
        <w:t xml:space="preserve"> </w:t>
      </w:r>
      <w:r w:rsidRPr="00D21DFA">
        <w:rPr>
          <w:rFonts w:ascii="Times New Roman" w:eastAsia="Times New Roman" w:hAnsi="Times New Roman" w:cs="Times New Roman"/>
          <w:snapToGrid w:val="0"/>
          <w:kern w:val="0"/>
          <w:sz w:val="22"/>
          <w:szCs w:val="20"/>
          <w:highlight w:val="lightGray"/>
          <w14:ligatures w14:val="none"/>
        </w:rPr>
        <w:t>5 mg pl</w:t>
      </w:r>
      <w:r w:rsidRPr="00D21DFA">
        <w:rPr>
          <w:rFonts w:ascii="Times New Roman" w:eastAsia="Times New Roman" w:hAnsi="Times New Roman" w:cs="Times New Roman"/>
          <w:snapToGrid w:val="0"/>
          <w:kern w:val="0"/>
          <w:sz w:val="22"/>
          <w:highlight w:val="lightGray"/>
          <w14:ligatures w14:val="none"/>
        </w:rPr>
        <w:t>ėvele dengtos tabletės</w:t>
      </w:r>
      <w:r w:rsidRPr="00D21DFA">
        <w:rPr>
          <w:rFonts w:ascii="Times New Roman" w:eastAsia="Times New Roman" w:hAnsi="Times New Roman" w:cs="Times New Roman"/>
          <w:snapToGrid w:val="0"/>
          <w:kern w:val="0"/>
          <w:sz w:val="22"/>
          <w14:ligatures w14:val="none"/>
        </w:rPr>
        <w:t xml:space="preserve"> </w:t>
      </w:r>
    </w:p>
    <w:p w14:paraId="030AA3F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14:ligatures w14:val="none"/>
        </w:rPr>
        <w:t>apiksabanas</w:t>
      </w:r>
      <w:proofErr w:type="spellEnd"/>
    </w:p>
    <w:p w14:paraId="4A41774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C88C36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5BC89CD"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2.</w:t>
      </w:r>
      <w:r w:rsidRPr="00D21DFA">
        <w:rPr>
          <w:rFonts w:ascii="Times New Roman" w:eastAsia="Times New Roman" w:hAnsi="Times New Roman" w:cs="Times New Roman"/>
          <w:b/>
          <w:snapToGrid w:val="0"/>
          <w:kern w:val="0"/>
          <w:sz w:val="22"/>
          <w14:ligatures w14:val="none"/>
        </w:rPr>
        <w:tab/>
        <w:t>VEIKLIOJI (-IOS) MEDŽIAGA (-OS) IR JOS (-Ų) KIEKIS (-IAI)</w:t>
      </w:r>
    </w:p>
    <w:p w14:paraId="1CFF595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B13063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 xml:space="preserve">Kiekvienoje </w:t>
      </w:r>
      <w:r w:rsidRPr="00D21DFA">
        <w:rPr>
          <w:rFonts w:ascii="Times New Roman" w:eastAsia="Times New Roman" w:hAnsi="Times New Roman" w:cs="Times New Roman"/>
          <w:i/>
          <w:iCs/>
          <w:snapToGrid w:val="0"/>
          <w:kern w:val="0"/>
          <w:sz w:val="22"/>
          <w:szCs w:val="20"/>
          <w:highlight w:val="darkGray"/>
          <w14:ligatures w14:val="none"/>
        </w:rPr>
        <w:t>plėvele dengtoje</w:t>
      </w:r>
      <w:r w:rsidRPr="00D21DFA">
        <w:rPr>
          <w:rFonts w:ascii="Times New Roman" w:eastAsia="Times New Roman" w:hAnsi="Times New Roman" w:cs="Times New Roman"/>
          <w:snapToGrid w:val="0"/>
          <w:kern w:val="0"/>
          <w:sz w:val="22"/>
          <w:szCs w:val="20"/>
          <w14:ligatures w14:val="none"/>
        </w:rPr>
        <w:t xml:space="preserve"> tabletėje yra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73E355B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Kiekvienoje </w:t>
      </w:r>
      <w:r w:rsidRPr="00D21DFA">
        <w:rPr>
          <w:rFonts w:ascii="Times New Roman" w:eastAsia="Times New Roman" w:hAnsi="Times New Roman" w:cs="Times New Roman"/>
          <w:i/>
          <w:iCs/>
          <w:snapToGrid w:val="0"/>
          <w:kern w:val="0"/>
          <w:sz w:val="22"/>
          <w:szCs w:val="20"/>
          <w:highlight w:val="darkGray"/>
          <w14:ligatures w14:val="none"/>
        </w:rPr>
        <w:t>plėvele dengtoje</w:t>
      </w:r>
      <w:r w:rsidRPr="00D21DFA">
        <w:rPr>
          <w:rFonts w:ascii="Times New Roman" w:eastAsia="Times New Roman" w:hAnsi="Times New Roman" w:cs="Times New Roman"/>
          <w:snapToGrid w:val="0"/>
          <w:kern w:val="0"/>
          <w:sz w:val="22"/>
          <w:szCs w:val="20"/>
          <w:highlight w:val="lightGray"/>
          <w14:ligatures w14:val="none"/>
        </w:rPr>
        <w:t xml:space="preserve"> tabletėje yra 5 mg </w:t>
      </w:r>
      <w:proofErr w:type="spellStart"/>
      <w:r w:rsidRPr="00D21DFA">
        <w:rPr>
          <w:rFonts w:ascii="Times New Roman" w:eastAsia="Times New Roman" w:hAnsi="Times New Roman" w:cs="Times New Roman"/>
          <w:snapToGrid w:val="0"/>
          <w:kern w:val="0"/>
          <w:sz w:val="22"/>
          <w:szCs w:val="20"/>
          <w:highlight w:val="lightGray"/>
          <w14:ligatures w14:val="none"/>
        </w:rPr>
        <w:t>apiksabano</w:t>
      </w:r>
      <w:proofErr w:type="spellEnd"/>
      <w:r w:rsidRPr="00D21DFA">
        <w:rPr>
          <w:rFonts w:ascii="Times New Roman" w:eastAsia="Times New Roman" w:hAnsi="Times New Roman" w:cs="Times New Roman"/>
          <w:snapToGrid w:val="0"/>
          <w:kern w:val="0"/>
          <w:sz w:val="22"/>
          <w:szCs w:val="20"/>
          <w:highlight w:val="lightGray"/>
          <w14:ligatures w14:val="none"/>
        </w:rPr>
        <w:t>.</w:t>
      </w:r>
    </w:p>
    <w:p w14:paraId="735CE5A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DE27E0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50A787E"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3.</w:t>
      </w:r>
      <w:r w:rsidRPr="00D21DFA">
        <w:rPr>
          <w:rFonts w:ascii="Times New Roman" w:eastAsia="Times New Roman" w:hAnsi="Times New Roman" w:cs="Times New Roman"/>
          <w:b/>
          <w:snapToGrid w:val="0"/>
          <w:kern w:val="0"/>
          <w:sz w:val="22"/>
          <w14:ligatures w14:val="none"/>
        </w:rPr>
        <w:tab/>
        <w:t>PAGALBINIŲ MEDŽIAGŲ SĄRAŠAS</w:t>
      </w:r>
    </w:p>
    <w:p w14:paraId="7DBD1CF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B0DFDF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 xml:space="preserve">Sudėtyje yra laktozės. </w:t>
      </w:r>
      <w:r w:rsidRPr="00D21DFA">
        <w:rPr>
          <w:rFonts w:ascii="Times New Roman" w:eastAsia="Times New Roman" w:hAnsi="Times New Roman" w:cs="Times New Roman"/>
          <w:i/>
          <w:iCs/>
          <w:snapToGrid w:val="0"/>
          <w:kern w:val="0"/>
          <w:sz w:val="22"/>
          <w:highlight w:val="darkGray"/>
          <w14:ligatures w14:val="none"/>
        </w:rPr>
        <w:t>Daugiau informacijos žr. pakuotės lapelyje</w:t>
      </w:r>
      <w:r w:rsidRPr="00D21DFA">
        <w:rPr>
          <w:rFonts w:ascii="Times New Roman" w:eastAsia="Times New Roman" w:hAnsi="Times New Roman" w:cs="Times New Roman"/>
          <w:snapToGrid w:val="0"/>
          <w:kern w:val="0"/>
          <w:sz w:val="22"/>
          <w:highlight w:val="darkGray"/>
          <w14:ligatures w14:val="none"/>
        </w:rPr>
        <w:t>.</w:t>
      </w:r>
    </w:p>
    <w:p w14:paraId="42D591E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64C01B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CEADAC3"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4.</w:t>
      </w:r>
      <w:r w:rsidRPr="00D21DFA">
        <w:rPr>
          <w:rFonts w:ascii="Times New Roman" w:eastAsia="Times New Roman" w:hAnsi="Times New Roman" w:cs="Times New Roman"/>
          <w:b/>
          <w:snapToGrid w:val="0"/>
          <w:kern w:val="0"/>
          <w:sz w:val="22"/>
          <w14:ligatures w14:val="none"/>
        </w:rPr>
        <w:tab/>
        <w:t>FARMACINĖ FORMA IR KIEKIS PAKUOTĖJE</w:t>
      </w:r>
    </w:p>
    <w:p w14:paraId="58D772C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C5A697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highlight w:val="lightGray"/>
          <w14:ligatures w14:val="none"/>
        </w:rPr>
        <w:t>Plėvele dengta tabletė</w:t>
      </w:r>
    </w:p>
    <w:p w14:paraId="138E11FE"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p>
    <w:p w14:paraId="4C55037B" w14:textId="77777777" w:rsidR="00C95D96" w:rsidRPr="00D21DFA" w:rsidRDefault="00C95D96" w:rsidP="00C95D96">
      <w:pPr>
        <w:spacing w:after="0" w:line="240" w:lineRule="auto"/>
        <w:ind w:right="-2"/>
        <w:rPr>
          <w:rFonts w:ascii="Times New Roman" w:eastAsia="Times New Roman" w:hAnsi="Times New Roman" w:cs="Times New Roman"/>
          <w:iCs/>
          <w:snapToGrid w:val="0"/>
          <w:kern w:val="0"/>
          <w:sz w:val="22"/>
          <w:szCs w:val="20"/>
          <w14:ligatures w14:val="none"/>
        </w:rPr>
      </w:pPr>
      <w:r w:rsidRPr="00D21DFA">
        <w:rPr>
          <w:rFonts w:ascii="Times New Roman" w:eastAsia="Times New Roman" w:hAnsi="Times New Roman" w:cs="Times New Roman"/>
          <w:iCs/>
          <w:snapToGrid w:val="0"/>
          <w:kern w:val="0"/>
          <w:sz w:val="22"/>
          <w:szCs w:val="20"/>
          <w14:ligatures w14:val="none"/>
        </w:rPr>
        <w:t xml:space="preserve">10 </w:t>
      </w:r>
      <w:r w:rsidRPr="00D21DFA">
        <w:rPr>
          <w:rFonts w:ascii="Times New Roman" w:eastAsia="Times New Roman" w:hAnsi="Times New Roman" w:cs="Times New Roman"/>
          <w:i/>
          <w:snapToGrid w:val="0"/>
          <w:kern w:val="0"/>
          <w:sz w:val="22"/>
          <w:szCs w:val="20"/>
          <w:highlight w:val="darkGray"/>
          <w14:ligatures w14:val="none"/>
        </w:rPr>
        <w:t>plėvele dengtų</w:t>
      </w:r>
      <w:r w:rsidRPr="00D21DFA">
        <w:rPr>
          <w:rFonts w:ascii="Times New Roman" w:eastAsia="Times New Roman" w:hAnsi="Times New Roman" w:cs="Times New Roman"/>
          <w:iCs/>
          <w:snapToGrid w:val="0"/>
          <w:kern w:val="0"/>
          <w:sz w:val="22"/>
          <w:szCs w:val="20"/>
          <w14:ligatures w14:val="none"/>
        </w:rPr>
        <w:t xml:space="preserve"> tablečių</w:t>
      </w:r>
    </w:p>
    <w:p w14:paraId="74736716"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14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0A46BC4B"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20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56B2421E"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28 </w:t>
      </w:r>
      <w:r w:rsidRPr="00D21DFA">
        <w:rPr>
          <w:rFonts w:ascii="Times New Roman" w:eastAsia="Times New Roman" w:hAnsi="Times New Roman" w:cs="Times New Roman"/>
          <w:i/>
          <w:iCs/>
          <w:snapToGrid w:val="0"/>
          <w:kern w:val="0"/>
          <w:sz w:val="22"/>
          <w:szCs w:val="20"/>
          <w:highlight w:val="darkGray"/>
          <w14:ligatures w14:val="none"/>
        </w:rPr>
        <w:t>plėvele dengtos</w:t>
      </w:r>
      <w:r w:rsidRPr="00D21DFA">
        <w:rPr>
          <w:rFonts w:ascii="Times New Roman" w:eastAsia="Times New Roman" w:hAnsi="Times New Roman" w:cs="Times New Roman"/>
          <w:snapToGrid w:val="0"/>
          <w:kern w:val="0"/>
          <w:sz w:val="22"/>
          <w:szCs w:val="20"/>
          <w:highlight w:val="lightGray"/>
          <w14:ligatures w14:val="none"/>
        </w:rPr>
        <w:t xml:space="preserve"> tabletės</w:t>
      </w:r>
    </w:p>
    <w:p w14:paraId="0F9F4D92"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30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6D6F9741"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56 </w:t>
      </w:r>
      <w:r w:rsidRPr="00D21DFA">
        <w:rPr>
          <w:rFonts w:ascii="Times New Roman" w:eastAsia="Times New Roman" w:hAnsi="Times New Roman" w:cs="Times New Roman"/>
          <w:i/>
          <w:iCs/>
          <w:snapToGrid w:val="0"/>
          <w:kern w:val="0"/>
          <w:sz w:val="22"/>
          <w:szCs w:val="20"/>
          <w:highlight w:val="darkGray"/>
          <w14:ligatures w14:val="none"/>
        </w:rPr>
        <w:t>plėvele dengtos</w:t>
      </w:r>
      <w:r w:rsidRPr="00D21DFA">
        <w:rPr>
          <w:rFonts w:ascii="Times New Roman" w:eastAsia="Times New Roman" w:hAnsi="Times New Roman" w:cs="Times New Roman"/>
          <w:snapToGrid w:val="0"/>
          <w:kern w:val="0"/>
          <w:sz w:val="22"/>
          <w:szCs w:val="20"/>
          <w:highlight w:val="lightGray"/>
          <w14:ligatures w14:val="none"/>
        </w:rPr>
        <w:t xml:space="preserve"> tabletės</w:t>
      </w:r>
    </w:p>
    <w:p w14:paraId="6D0A81CF"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60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4722E34D"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90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2076D99D"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100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0A87314F"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120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7F7B4BEF"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168 </w:t>
      </w:r>
      <w:r w:rsidRPr="00D21DFA">
        <w:rPr>
          <w:rFonts w:ascii="Times New Roman" w:eastAsia="Times New Roman" w:hAnsi="Times New Roman" w:cs="Times New Roman"/>
          <w:i/>
          <w:iCs/>
          <w:snapToGrid w:val="0"/>
          <w:kern w:val="0"/>
          <w:sz w:val="22"/>
          <w:szCs w:val="20"/>
          <w:highlight w:val="darkGray"/>
          <w14:ligatures w14:val="none"/>
        </w:rPr>
        <w:t>plėvele dengtos</w:t>
      </w:r>
      <w:r w:rsidRPr="00D21DFA">
        <w:rPr>
          <w:rFonts w:ascii="Times New Roman" w:eastAsia="Times New Roman" w:hAnsi="Times New Roman" w:cs="Times New Roman"/>
          <w:snapToGrid w:val="0"/>
          <w:kern w:val="0"/>
          <w:sz w:val="22"/>
          <w:szCs w:val="20"/>
          <w:highlight w:val="lightGray"/>
          <w14:ligatures w14:val="none"/>
        </w:rPr>
        <w:t xml:space="preserve"> tabletės</w:t>
      </w:r>
    </w:p>
    <w:p w14:paraId="381CFE6B"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highlight w:val="lightGray"/>
          <w14:ligatures w14:val="none"/>
        </w:rPr>
      </w:pPr>
      <w:r w:rsidRPr="00D21DFA">
        <w:rPr>
          <w:rFonts w:ascii="Times New Roman" w:eastAsia="Times New Roman" w:hAnsi="Times New Roman" w:cs="Times New Roman"/>
          <w:snapToGrid w:val="0"/>
          <w:kern w:val="0"/>
          <w:sz w:val="22"/>
          <w:szCs w:val="20"/>
          <w:highlight w:val="lightGray"/>
          <w14:ligatures w14:val="none"/>
        </w:rPr>
        <w:t xml:space="preserve">200 </w:t>
      </w:r>
      <w:r w:rsidRPr="00D21DFA">
        <w:rPr>
          <w:rFonts w:ascii="Times New Roman" w:eastAsia="Times New Roman" w:hAnsi="Times New Roman" w:cs="Times New Roman"/>
          <w:i/>
          <w:iCs/>
          <w:snapToGrid w:val="0"/>
          <w:kern w:val="0"/>
          <w:sz w:val="22"/>
          <w:szCs w:val="20"/>
          <w:highlight w:val="darkGray"/>
          <w14:ligatures w14:val="none"/>
        </w:rPr>
        <w:t>plėvele dengtų</w:t>
      </w:r>
      <w:r w:rsidRPr="00D21DFA">
        <w:rPr>
          <w:rFonts w:ascii="Times New Roman" w:eastAsia="Times New Roman" w:hAnsi="Times New Roman" w:cs="Times New Roman"/>
          <w:snapToGrid w:val="0"/>
          <w:kern w:val="0"/>
          <w:sz w:val="22"/>
          <w:szCs w:val="20"/>
          <w:highlight w:val="lightGray"/>
          <w14:ligatures w14:val="none"/>
        </w:rPr>
        <w:t xml:space="preserve"> tablečių</w:t>
      </w:r>
    </w:p>
    <w:p w14:paraId="4B592C9B" w14:textId="77777777" w:rsidR="00C95D96" w:rsidRPr="00D21DFA" w:rsidRDefault="00C95D96" w:rsidP="00C95D96">
      <w:pPr>
        <w:spacing w:after="0" w:line="240" w:lineRule="auto"/>
        <w:ind w:right="-2"/>
        <w:rPr>
          <w:rFonts w:ascii="Times New Roman" w:eastAsia="Times New Roman" w:hAnsi="Times New Roman" w:cs="Times New Roman"/>
          <w:snapToGrid w:val="0"/>
          <w:kern w:val="0"/>
          <w:sz w:val="22"/>
          <w:szCs w:val="20"/>
          <w14:ligatures w14:val="none"/>
        </w:rPr>
      </w:pPr>
    </w:p>
    <w:p w14:paraId="3711191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5FB6417"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5.</w:t>
      </w:r>
      <w:r w:rsidRPr="00D21DFA">
        <w:rPr>
          <w:rFonts w:ascii="Times New Roman" w:eastAsia="Times New Roman" w:hAnsi="Times New Roman" w:cs="Times New Roman"/>
          <w:b/>
          <w:snapToGrid w:val="0"/>
          <w:kern w:val="0"/>
          <w:sz w:val="22"/>
          <w14:ligatures w14:val="none"/>
        </w:rPr>
        <w:tab/>
        <w:t>VARTOJIMO METODAS IR BŪDAS (-AI)</w:t>
      </w:r>
    </w:p>
    <w:p w14:paraId="383B81B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DEB8478" w14:textId="77777777" w:rsidR="00C95D96" w:rsidRPr="00AD1A35" w:rsidRDefault="00C95D96" w:rsidP="00C95D96">
      <w:pPr>
        <w:tabs>
          <w:tab w:val="left" w:pos="567"/>
        </w:tabs>
        <w:spacing w:after="0" w:line="260" w:lineRule="exact"/>
        <w:ind w:right="-2"/>
        <w:rPr>
          <w:rFonts w:ascii="Times New Roman" w:eastAsia="Times New Roman" w:hAnsi="Times New Roman" w:cs="Times New Roman"/>
          <w:i/>
          <w:iCs/>
          <w:snapToGrid w:val="0"/>
          <w:kern w:val="0"/>
          <w:sz w:val="22"/>
          <w14:ligatures w14:val="none"/>
        </w:rPr>
      </w:pPr>
      <w:r w:rsidRPr="00AD1A35">
        <w:rPr>
          <w:rFonts w:ascii="Times New Roman" w:eastAsia="Times New Roman" w:hAnsi="Times New Roman" w:cs="Times New Roman"/>
          <w:i/>
          <w:iCs/>
          <w:snapToGrid w:val="0"/>
          <w:kern w:val="0"/>
          <w:sz w:val="22"/>
          <w:highlight w:val="darkGray"/>
          <w14:ligatures w14:val="none"/>
        </w:rPr>
        <w:t>Vartoti per burną</w:t>
      </w:r>
    </w:p>
    <w:p w14:paraId="2F45E4A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Prieš vartojimą perskaitykite pakuotės lapelį.</w:t>
      </w:r>
    </w:p>
    <w:p w14:paraId="2760EA0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BFFCE5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F9B9C60"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6.</w:t>
      </w:r>
      <w:r w:rsidRPr="00D21DFA">
        <w:rPr>
          <w:rFonts w:ascii="Times New Roman" w:eastAsia="Times New Roman" w:hAnsi="Times New Roman" w:cs="Times New Roman"/>
          <w:b/>
          <w:snapToGrid w:val="0"/>
          <w:kern w:val="0"/>
          <w:sz w:val="22"/>
          <w14:ligatures w14:val="none"/>
        </w:rPr>
        <w:tab/>
        <w:t>SPECIALUS ĮSPĖJIMAS, KAD VAISTINĮ PREPARATĄ BŪTINA LAIKYTI VAIKAMS NEPASTEBIMOJE IR  NEPASIEKIAMOJE VIETOJE</w:t>
      </w:r>
    </w:p>
    <w:p w14:paraId="7FCACE4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257D3C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t>Laikyti vaikams nepastebimoje ir nepasiekiamoje vietoje.</w:t>
      </w:r>
    </w:p>
    <w:p w14:paraId="1E655C3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31900778"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D7B5DBB"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7.</w:t>
      </w:r>
      <w:r w:rsidRPr="00D21DFA">
        <w:rPr>
          <w:rFonts w:ascii="Times New Roman" w:eastAsia="Times New Roman" w:hAnsi="Times New Roman" w:cs="Times New Roman"/>
          <w:b/>
          <w:snapToGrid w:val="0"/>
          <w:kern w:val="0"/>
          <w:sz w:val="22"/>
          <w14:ligatures w14:val="none"/>
        </w:rPr>
        <w:tab/>
        <w:t>KITAS (-I) SPECIALUS (-ŪS) ĮSPĖJIMAS (-AI) (JEI REIKIA)</w:t>
      </w:r>
    </w:p>
    <w:p w14:paraId="00C7D8A8"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0DCF531E"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65B44E36" w14:textId="77777777" w:rsidR="00C95D96" w:rsidRPr="00D21DFA"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8.</w:t>
      </w:r>
      <w:r w:rsidRPr="00D21DFA">
        <w:rPr>
          <w:rFonts w:ascii="Times New Roman" w:eastAsia="Times New Roman" w:hAnsi="Times New Roman" w:cs="Times New Roman"/>
          <w:b/>
          <w:snapToGrid w:val="0"/>
          <w:kern w:val="0"/>
          <w:sz w:val="22"/>
          <w14:ligatures w14:val="none"/>
        </w:rPr>
        <w:tab/>
        <w:t>TINKAMUMO LAIKAS</w:t>
      </w:r>
    </w:p>
    <w:p w14:paraId="51294851"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7C833BA"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EXP {mm MMMM}</w:t>
      </w:r>
    </w:p>
    <w:p w14:paraId="16753A6B"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2A4ED82A"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DC78D10" w14:textId="77777777" w:rsidR="00C95D96" w:rsidRPr="00D21DFA" w:rsidRDefault="00C95D96" w:rsidP="005D22C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right="-2" w:hanging="567"/>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9.</w:t>
      </w:r>
      <w:r w:rsidRPr="00D21DFA">
        <w:rPr>
          <w:rFonts w:ascii="Times New Roman" w:eastAsia="Times New Roman" w:hAnsi="Times New Roman" w:cs="Times New Roman"/>
          <w:b/>
          <w:snapToGrid w:val="0"/>
          <w:kern w:val="0"/>
          <w:sz w:val="22"/>
          <w14:ligatures w14:val="none"/>
        </w:rPr>
        <w:tab/>
        <w:t>SPECIALIOS LAIKYMO SĄLYGOS</w:t>
      </w:r>
    </w:p>
    <w:p w14:paraId="5B7B756E"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A54D5E7"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139EC9B3" w14:textId="77777777" w:rsidR="00C95D96" w:rsidRPr="00D21DFA"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10.</w:t>
      </w:r>
      <w:r w:rsidRPr="00D21DFA">
        <w:rPr>
          <w:rFonts w:ascii="Times New Roman" w:eastAsia="Times New Roman" w:hAnsi="Times New Roman" w:cs="Times New Roman"/>
          <w:b/>
          <w:snapToGrid w:val="0"/>
          <w:kern w:val="0"/>
          <w:sz w:val="22"/>
          <w14:ligatures w14:val="none"/>
        </w:rPr>
        <w:tab/>
        <w:t>SPECIALIOS ATSARGUMO PRIEMONĖS DĖL NESUVARTOTO VAISTINIO PREPARATO AR JO ATLIEKŲ TVARKYMO (JEI REIKIA)</w:t>
      </w:r>
    </w:p>
    <w:p w14:paraId="4DAC9624"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7108D32B"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7A9A0EA1" w14:textId="77777777" w:rsidR="00C95D96" w:rsidRPr="00D21DFA"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11.</w:t>
      </w:r>
      <w:r w:rsidRPr="00D21DFA">
        <w:rPr>
          <w:rFonts w:ascii="Times New Roman" w:eastAsia="Times New Roman" w:hAnsi="Times New Roman" w:cs="Times New Roman"/>
          <w:b/>
          <w:snapToGrid w:val="0"/>
          <w:kern w:val="0"/>
          <w:sz w:val="22"/>
          <w14:ligatures w14:val="none"/>
        </w:rPr>
        <w:tab/>
      </w:r>
      <w:r w:rsidRPr="00D21DFA">
        <w:rPr>
          <w:rFonts w:ascii="Times New Roman" w:eastAsia="Times New Roman" w:hAnsi="Times New Roman" w:cs="Times New Roman"/>
          <w:b/>
          <w:caps/>
          <w:snapToGrid w:val="0"/>
          <w:kern w:val="0"/>
          <w:sz w:val="22"/>
          <w14:ligatures w14:val="none"/>
        </w:rPr>
        <w:t xml:space="preserve"> REGISTRUOTOJO PAVADINIMAS IR ADRESAS</w:t>
      </w:r>
    </w:p>
    <w:p w14:paraId="033039FE"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6C2D705B" w14:textId="77777777" w:rsidR="00C95D96" w:rsidRPr="00D21DFA"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263C3DE9" w14:textId="77777777" w:rsidR="00C95D96" w:rsidRPr="00D21DFA"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701FDEF2" w14:textId="77777777" w:rsidR="00C95D96" w:rsidRPr="00D21DFA"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11B8D8D0" w14:textId="77777777" w:rsidR="00C95D96" w:rsidRPr="00D21DFA" w:rsidRDefault="00C95D96" w:rsidP="005D22C0">
      <w:pPr>
        <w:tabs>
          <w:tab w:val="left" w:pos="567"/>
        </w:tabs>
        <w:spacing w:after="0" w:line="240" w:lineRule="auto"/>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7B625071" w14:textId="77777777" w:rsidR="00C95D96" w:rsidRPr="00D21DFA" w:rsidRDefault="00C95D96" w:rsidP="005D22C0">
      <w:pPr>
        <w:tabs>
          <w:tab w:val="left" w:pos="567"/>
        </w:tabs>
        <w:spacing w:after="0" w:line="240" w:lineRule="auto"/>
        <w:rPr>
          <w:rFonts w:ascii="Times New Roman" w:eastAsia="Times New Roman" w:hAnsi="Times New Roman" w:cs="Times New Roman"/>
          <w:snapToGrid w:val="0"/>
          <w:kern w:val="0"/>
          <w:sz w:val="20"/>
          <w:szCs w:val="22"/>
          <w14:ligatures w14:val="none"/>
        </w:rPr>
      </w:pPr>
      <w:r w:rsidRPr="00D21DFA">
        <w:rPr>
          <w:rFonts w:ascii="Times New Roman" w:eastAsia="Times New Roman" w:hAnsi="Times New Roman" w:cs="Times New Roman"/>
          <w:snapToGrid w:val="0"/>
          <w:kern w:val="0"/>
          <w:sz w:val="22"/>
          <w:szCs w:val="18"/>
          <w14:ligatures w14:val="none"/>
        </w:rPr>
        <w:t>Čekija</w:t>
      </w:r>
    </w:p>
    <w:p w14:paraId="05B4F7B0"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16"/>
          <w:szCs w:val="16"/>
          <w14:ligatures w14:val="none"/>
        </w:rPr>
      </w:pPr>
    </w:p>
    <w:p w14:paraId="0A8EDF80"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620ECB2" w14:textId="77777777" w:rsidR="00C95D96" w:rsidRPr="00D21DFA" w:rsidRDefault="00C95D96" w:rsidP="005D22C0">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12.</w:t>
      </w:r>
      <w:r w:rsidRPr="00D21DFA">
        <w:rPr>
          <w:rFonts w:ascii="Times New Roman" w:eastAsia="Times New Roman" w:hAnsi="Times New Roman" w:cs="Times New Roman"/>
          <w:b/>
          <w:snapToGrid w:val="0"/>
          <w:kern w:val="0"/>
          <w:sz w:val="22"/>
          <w14:ligatures w14:val="none"/>
        </w:rPr>
        <w:tab/>
        <w:t xml:space="preserve">REGISTRACIJOS PAŽYMĖJIMO NUMERIS (-IAI) </w:t>
      </w:r>
    </w:p>
    <w:p w14:paraId="58252F2C"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2EEDA303" w14:textId="74EB001B"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&lt;2,5 mg&gt;</w:t>
      </w:r>
    </w:p>
    <w:p w14:paraId="51884674"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14:ligatures w14:val="none"/>
        </w:rPr>
        <w:t xml:space="preserve">LT/1/24/5520/001 </w:t>
      </w:r>
      <w:r w:rsidRPr="00D21DFA">
        <w:rPr>
          <w:rFonts w:ascii="Times New Roman" w:eastAsia="Times New Roman" w:hAnsi="Times New Roman" w:cs="Times New Roman"/>
          <w:snapToGrid w:val="0"/>
          <w:kern w:val="0"/>
          <w:sz w:val="22"/>
          <w:shd w:val="clear" w:color="auto" w:fill="E8E8E8" w:themeFill="background2"/>
          <w14:ligatures w14:val="none"/>
        </w:rPr>
        <w:t>– N10</w:t>
      </w:r>
    </w:p>
    <w:p w14:paraId="7403B5AA"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LT/1/24/5520/002 – N14</w:t>
      </w:r>
    </w:p>
    <w:p w14:paraId="4D5D3FAE"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LT/1/24/5520/003 – N20</w:t>
      </w:r>
    </w:p>
    <w:p w14:paraId="0D60D90B"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LT/1/24/5520/004 – N28</w:t>
      </w:r>
    </w:p>
    <w:p w14:paraId="577344E0"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LT/1/24/5520/005 – N30</w:t>
      </w:r>
    </w:p>
    <w:p w14:paraId="7C2622F5"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LT/1/24/5520/006 – N56</w:t>
      </w:r>
    </w:p>
    <w:p w14:paraId="5E180C2F"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LT/1/24/5520/007 – N60</w:t>
      </w:r>
    </w:p>
    <w:p w14:paraId="5B985897"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LT/1/24/5520/008 – N90</w:t>
      </w:r>
    </w:p>
    <w:p w14:paraId="7E8B79CF"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LT/1/24/5520/009 – N100</w:t>
      </w:r>
    </w:p>
    <w:p w14:paraId="47CCFC0D"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LT/1/24/5520/010 – N120</w:t>
      </w:r>
    </w:p>
    <w:p w14:paraId="1DEE5052"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LT/1/24/5520/011 – N168</w:t>
      </w:r>
    </w:p>
    <w:p w14:paraId="726F1A5D" w14:textId="5A8C2C35"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LT/1/24/5520/012 – N200</w:t>
      </w:r>
    </w:p>
    <w:p w14:paraId="34BB6882" w14:textId="41FCF2AF"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&lt;5 mg&gt;</w:t>
      </w:r>
    </w:p>
    <w:p w14:paraId="54577D15"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LT/1/24/5521/001 – N10</w:t>
      </w:r>
    </w:p>
    <w:p w14:paraId="3B668431"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LT/1/24/5521/002 – N14</w:t>
      </w:r>
    </w:p>
    <w:p w14:paraId="66EA256A"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LT/1/24/5521/003 – N20</w:t>
      </w:r>
    </w:p>
    <w:p w14:paraId="3FAA36A3"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LT/1/24/5521/004 – N28</w:t>
      </w:r>
    </w:p>
    <w:p w14:paraId="7FFEF0F7"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LT/1/24/5521/005 – N30</w:t>
      </w:r>
    </w:p>
    <w:p w14:paraId="726F2731"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LT/1/24/5521/006 – N56</w:t>
      </w:r>
    </w:p>
    <w:p w14:paraId="2D3F7F8F"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LT/1/24/5521/007 – N60</w:t>
      </w:r>
    </w:p>
    <w:p w14:paraId="780D550E"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LT/1/24/5521/008 – N90</w:t>
      </w:r>
    </w:p>
    <w:p w14:paraId="3284FE8F"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LT/1/24/5521/009 – N100</w:t>
      </w:r>
    </w:p>
    <w:p w14:paraId="3326932F"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LT/1/24/5521/010 – N120</w:t>
      </w:r>
    </w:p>
    <w:p w14:paraId="69E946BE" w14:textId="77777777"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LT/1/24/5521/011 – N168</w:t>
      </w:r>
    </w:p>
    <w:p w14:paraId="24F3FCB7" w14:textId="354BCA9B" w:rsidR="00C27A2C" w:rsidRPr="00D21DFA" w:rsidRDefault="00C27A2C" w:rsidP="005D22C0">
      <w:pPr>
        <w:tabs>
          <w:tab w:val="left" w:pos="567"/>
        </w:tabs>
        <w:spacing w:after="0" w:line="240" w:lineRule="auto"/>
        <w:ind w:right="-2"/>
        <w:rPr>
          <w:rFonts w:ascii="Times New Roman" w:eastAsia="Times New Roman" w:hAnsi="Times New Roman" w:cs="Times New Roman"/>
          <w:snapToGrid w:val="0"/>
          <w:kern w:val="0"/>
          <w:sz w:val="22"/>
          <w:shd w:val="clear" w:color="auto" w:fill="E8E8E8" w:themeFill="background2"/>
          <w14:ligatures w14:val="none"/>
        </w:rPr>
      </w:pPr>
      <w:r w:rsidRPr="00D21DFA">
        <w:rPr>
          <w:rFonts w:ascii="Times New Roman" w:eastAsia="Times New Roman" w:hAnsi="Times New Roman" w:cs="Times New Roman"/>
          <w:snapToGrid w:val="0"/>
          <w:kern w:val="0"/>
          <w:sz w:val="22"/>
          <w:shd w:val="clear" w:color="auto" w:fill="E8E8E8" w:themeFill="background2"/>
          <w14:ligatures w14:val="none"/>
        </w:rPr>
        <w:t>LT/1/24/5521/012 – N200</w:t>
      </w:r>
    </w:p>
    <w:p w14:paraId="258F81E7"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0D77495F" w14:textId="77777777" w:rsidR="00C95D96" w:rsidRPr="00D21DFA" w:rsidRDefault="00C95D96" w:rsidP="005D22C0">
      <w:pPr>
        <w:tabs>
          <w:tab w:val="left" w:pos="567"/>
        </w:tabs>
        <w:spacing w:after="0" w:line="240" w:lineRule="auto"/>
        <w:ind w:right="-2"/>
        <w:rPr>
          <w:rFonts w:ascii="Times New Roman" w:eastAsia="Times New Roman" w:hAnsi="Times New Roman" w:cs="Times New Roman"/>
          <w:snapToGrid w:val="0"/>
          <w:kern w:val="0"/>
          <w:sz w:val="22"/>
          <w14:ligatures w14:val="none"/>
        </w:rPr>
      </w:pPr>
    </w:p>
    <w:p w14:paraId="34467BCF"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13.</w:t>
      </w:r>
      <w:r w:rsidRPr="00D21DFA">
        <w:rPr>
          <w:rFonts w:ascii="Times New Roman" w:eastAsia="Times New Roman" w:hAnsi="Times New Roman" w:cs="Times New Roman"/>
          <w:b/>
          <w:snapToGrid w:val="0"/>
          <w:kern w:val="0"/>
          <w:sz w:val="22"/>
          <w14:ligatures w14:val="none"/>
        </w:rPr>
        <w:tab/>
        <w:t xml:space="preserve">SERIJOS NUMERIS </w:t>
      </w:r>
    </w:p>
    <w:p w14:paraId="0F0873D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524FD49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Lot</w:t>
      </w:r>
    </w:p>
    <w:p w14:paraId="5B9AAEF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8382AD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DCFD7B6"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14.</w:t>
      </w:r>
      <w:r w:rsidRPr="00D21DFA">
        <w:rPr>
          <w:rFonts w:ascii="Times New Roman" w:eastAsia="Times New Roman" w:hAnsi="Times New Roman" w:cs="Times New Roman"/>
          <w:b/>
          <w:snapToGrid w:val="0"/>
          <w:kern w:val="0"/>
          <w:sz w:val="22"/>
          <w14:ligatures w14:val="none"/>
        </w:rPr>
        <w:tab/>
        <w:t>PARDAVIMO (IŠDAVIMO) TVARKA</w:t>
      </w:r>
    </w:p>
    <w:p w14:paraId="2993530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3E4512A"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Receptinis vaistas</w:t>
      </w:r>
    </w:p>
    <w:p w14:paraId="390A7F24"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2BC5B7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6F0E112A" w14:textId="77777777" w:rsidR="00C95D96" w:rsidRPr="00D21DFA" w:rsidRDefault="00C95D96" w:rsidP="00C95D96">
      <w:pPr>
        <w:pBdr>
          <w:top w:val="single" w:sz="4" w:space="2"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b/>
          <w:snapToGrid w:val="0"/>
          <w:kern w:val="0"/>
          <w:sz w:val="22"/>
          <w14:ligatures w14:val="none"/>
        </w:rPr>
        <w:t>15.</w:t>
      </w:r>
      <w:r w:rsidRPr="00D21DFA">
        <w:rPr>
          <w:rFonts w:ascii="Times New Roman" w:eastAsia="Times New Roman" w:hAnsi="Times New Roman" w:cs="Times New Roman"/>
          <w:b/>
          <w:snapToGrid w:val="0"/>
          <w:kern w:val="0"/>
          <w:sz w:val="22"/>
          <w14:ligatures w14:val="none"/>
        </w:rPr>
        <w:tab/>
        <w:t>VARTOJIMO INSTRUKCIJA</w:t>
      </w:r>
    </w:p>
    <w:p w14:paraId="09B55AC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D68CBD5"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86052B2" w14:textId="77777777" w:rsidR="00C95D96" w:rsidRPr="00D21DFA" w:rsidRDefault="00C95D96" w:rsidP="00C95D96">
      <w:pPr>
        <w:pBdr>
          <w:top w:val="single" w:sz="4" w:space="1" w:color="auto"/>
          <w:left w:val="single" w:sz="4" w:space="4" w:color="auto"/>
          <w:bottom w:val="single" w:sz="4" w:space="0" w:color="auto"/>
          <w:right w:val="single" w:sz="4" w:space="4" w:color="auto"/>
        </w:pBdr>
        <w:tabs>
          <w:tab w:val="left" w:pos="567"/>
        </w:tabs>
        <w:spacing w:after="0" w:line="240" w:lineRule="auto"/>
        <w:ind w:right="-2"/>
        <w:rPr>
          <w:rFonts w:ascii="Times New Roman" w:eastAsia="Times New Roman" w:hAnsi="Times New Roman" w:cs="Times New Roman"/>
          <w:snapToGrid w:val="0"/>
          <w:color w:val="008000"/>
          <w:kern w:val="0"/>
          <w:sz w:val="22"/>
          <w14:ligatures w14:val="none"/>
        </w:rPr>
      </w:pPr>
      <w:r w:rsidRPr="00D21DFA">
        <w:rPr>
          <w:rFonts w:ascii="Times New Roman" w:eastAsia="Times New Roman" w:hAnsi="Times New Roman" w:cs="Times New Roman"/>
          <w:b/>
          <w:snapToGrid w:val="0"/>
          <w:kern w:val="0"/>
          <w:sz w:val="22"/>
          <w14:ligatures w14:val="none"/>
        </w:rPr>
        <w:t>16.</w:t>
      </w:r>
      <w:r w:rsidRPr="00D21DFA">
        <w:rPr>
          <w:rFonts w:ascii="Times New Roman" w:eastAsia="Times New Roman" w:hAnsi="Times New Roman" w:cs="Times New Roman"/>
          <w:b/>
          <w:snapToGrid w:val="0"/>
          <w:kern w:val="0"/>
          <w:sz w:val="22"/>
          <w14:ligatures w14:val="none"/>
        </w:rPr>
        <w:tab/>
        <w:t>INFORMACIJA BRAILIO RAŠTU</w:t>
      </w:r>
    </w:p>
    <w:p w14:paraId="72511F7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D324B1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14:ligatures w14:val="none"/>
        </w:rPr>
        <w:t>Apixaban</w:t>
      </w:r>
      <w:proofErr w:type="spellEnd"/>
      <w:r w:rsidRPr="00D21DFA">
        <w:rPr>
          <w:rFonts w:ascii="Times New Roman" w:eastAsia="Times New Roman" w:hAnsi="Times New Roman" w:cs="Times New Roman"/>
          <w:snapToGrid w:val="0"/>
          <w:kern w:val="0"/>
          <w:sz w:val="22"/>
          <w14:ligatures w14:val="none"/>
        </w:rPr>
        <w:t xml:space="preserve"> </w:t>
      </w:r>
      <w:proofErr w:type="spellStart"/>
      <w:r w:rsidRPr="00D21DFA">
        <w:rPr>
          <w:rFonts w:ascii="Times New Roman" w:eastAsia="Times New Roman" w:hAnsi="Times New Roman" w:cs="Times New Roman"/>
          <w:snapToGrid w:val="0"/>
          <w:kern w:val="0"/>
          <w:sz w:val="22"/>
          <w14:ligatures w14:val="none"/>
        </w:rPr>
        <w:t>Zentiva</w:t>
      </w:r>
      <w:proofErr w:type="spellEnd"/>
      <w:r w:rsidRPr="00D21DFA">
        <w:rPr>
          <w:rFonts w:ascii="Times New Roman" w:eastAsia="Times New Roman" w:hAnsi="Times New Roman" w:cs="Times New Roman"/>
          <w:snapToGrid w:val="0"/>
          <w:kern w:val="0"/>
          <w:sz w:val="22"/>
          <w14:ligatures w14:val="none"/>
        </w:rPr>
        <w:t xml:space="preserve"> </w:t>
      </w:r>
      <w:r w:rsidRPr="00D21DFA">
        <w:rPr>
          <w:rFonts w:ascii="Times New Roman" w:eastAsia="Times New Roman" w:hAnsi="Times New Roman" w:cs="Times New Roman"/>
          <w:snapToGrid w:val="0"/>
          <w:kern w:val="0"/>
          <w:sz w:val="22"/>
          <w:szCs w:val="20"/>
          <w14:ligatures w14:val="none"/>
        </w:rPr>
        <w:t>2,5 mg</w:t>
      </w:r>
    </w:p>
    <w:p w14:paraId="7D787AA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highlight w:val="lightGray"/>
          <w14:ligatures w14:val="none"/>
        </w:rPr>
        <w:t>Apixaban</w:t>
      </w:r>
      <w:proofErr w:type="spellEnd"/>
      <w:r w:rsidRPr="00D21DFA">
        <w:rPr>
          <w:rFonts w:ascii="Times New Roman" w:eastAsia="Times New Roman" w:hAnsi="Times New Roman" w:cs="Times New Roman"/>
          <w:snapToGrid w:val="0"/>
          <w:kern w:val="0"/>
          <w:sz w:val="22"/>
          <w:highlight w:val="lightGray"/>
          <w14:ligatures w14:val="none"/>
        </w:rPr>
        <w:t xml:space="preserve"> </w:t>
      </w:r>
      <w:proofErr w:type="spellStart"/>
      <w:r w:rsidRPr="00D21DFA">
        <w:rPr>
          <w:rFonts w:ascii="Times New Roman" w:eastAsia="Times New Roman" w:hAnsi="Times New Roman" w:cs="Times New Roman"/>
          <w:snapToGrid w:val="0"/>
          <w:kern w:val="0"/>
          <w:sz w:val="22"/>
          <w:highlight w:val="lightGray"/>
          <w14:ligatures w14:val="none"/>
        </w:rPr>
        <w:t>Zentiva</w:t>
      </w:r>
      <w:proofErr w:type="spellEnd"/>
      <w:r w:rsidRPr="00D21DFA">
        <w:rPr>
          <w:rFonts w:ascii="Times New Roman" w:eastAsia="Times New Roman" w:hAnsi="Times New Roman" w:cs="Times New Roman"/>
          <w:snapToGrid w:val="0"/>
          <w:kern w:val="0"/>
          <w:sz w:val="22"/>
          <w:highlight w:val="lightGray"/>
          <w14:ligatures w14:val="none"/>
        </w:rPr>
        <w:t xml:space="preserve"> </w:t>
      </w:r>
      <w:r w:rsidRPr="00D21DFA">
        <w:rPr>
          <w:rFonts w:ascii="Times New Roman" w:eastAsia="Times New Roman" w:hAnsi="Times New Roman" w:cs="Times New Roman"/>
          <w:snapToGrid w:val="0"/>
          <w:kern w:val="0"/>
          <w:sz w:val="22"/>
          <w:szCs w:val="20"/>
          <w:highlight w:val="lightGray"/>
          <w14:ligatures w14:val="none"/>
        </w:rPr>
        <w:t>5 mg</w:t>
      </w:r>
    </w:p>
    <w:p w14:paraId="1206B18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5D4BBD8"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kern w:val="0"/>
          <w:sz w:val="22"/>
          <w:szCs w:val="22"/>
          <w:shd w:val="clear" w:color="auto" w:fill="CCCCCC"/>
          <w14:ligatures w14:val="none"/>
        </w:rPr>
      </w:pPr>
    </w:p>
    <w:p w14:paraId="6D370B5B" w14:textId="77777777" w:rsidR="00C95D96" w:rsidRPr="00D21DFA" w:rsidRDefault="00C95D96" w:rsidP="00C95D9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
        <w:outlineLvl w:val="0"/>
        <w:rPr>
          <w:rFonts w:ascii="Times New Roman" w:eastAsia="Times New Roman" w:hAnsi="Times New Roman" w:cs="Times New Roman"/>
          <w:i/>
          <w:snapToGrid w:val="0"/>
          <w:kern w:val="0"/>
          <w:sz w:val="22"/>
          <w14:ligatures w14:val="none"/>
        </w:rPr>
      </w:pPr>
      <w:r w:rsidRPr="00D21DFA">
        <w:rPr>
          <w:rFonts w:ascii="Times New Roman" w:eastAsia="Times New Roman" w:hAnsi="Times New Roman" w:cs="Times New Roman"/>
          <w:b/>
          <w:snapToGrid w:val="0"/>
          <w:kern w:val="0"/>
          <w:sz w:val="22"/>
          <w:szCs w:val="20"/>
          <w14:ligatures w14:val="none"/>
        </w:rPr>
        <w:t>17.</w:t>
      </w:r>
      <w:r w:rsidRPr="00D21DFA">
        <w:rPr>
          <w:rFonts w:ascii="Times New Roman" w:eastAsia="Times New Roman" w:hAnsi="Times New Roman" w:cs="Times New Roman"/>
          <w:b/>
          <w:snapToGrid w:val="0"/>
          <w:kern w:val="0"/>
          <w:sz w:val="22"/>
          <w:szCs w:val="20"/>
          <w14:ligatures w14:val="none"/>
        </w:rPr>
        <w:tab/>
        <w:t>UNIKALUS IDENTIFIKATORIUS – 2D BRŪKŠNINIS KODAS</w:t>
      </w:r>
    </w:p>
    <w:p w14:paraId="73BBA39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008073C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shd w:val="clear" w:color="auto" w:fill="CCCCCC"/>
          <w14:ligatures w14:val="none"/>
        </w:rPr>
      </w:pPr>
      <w:r w:rsidRPr="00D21DFA">
        <w:rPr>
          <w:rFonts w:ascii="Times New Roman" w:eastAsia="Times New Roman" w:hAnsi="Times New Roman" w:cs="Times New Roman"/>
          <w:snapToGrid w:val="0"/>
          <w:kern w:val="0"/>
          <w:sz w:val="22"/>
          <w:szCs w:val="20"/>
          <w:highlight w:val="lightGray"/>
          <w14:ligatures w14:val="none"/>
        </w:rPr>
        <w:t>2D brūkšninis kodas su nurodytu unikaliu identifikatoriumi.</w:t>
      </w:r>
    </w:p>
    <w:p w14:paraId="5AE5BC75"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shd w:val="clear" w:color="auto" w:fill="CCCCCC"/>
          <w14:ligatures w14:val="none"/>
        </w:rPr>
      </w:pPr>
    </w:p>
    <w:p w14:paraId="3A7BAC5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358EA699" w14:textId="77777777" w:rsidR="00C95D96" w:rsidRPr="00D21DFA" w:rsidRDefault="00C95D96" w:rsidP="00C95D9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ind w:right="-2"/>
        <w:outlineLvl w:val="0"/>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18.</w:t>
      </w:r>
      <w:r w:rsidRPr="00D21DFA">
        <w:rPr>
          <w:rFonts w:ascii="Times New Roman" w:eastAsia="Times New Roman" w:hAnsi="Times New Roman" w:cs="Times New Roman"/>
          <w:b/>
          <w:snapToGrid w:val="0"/>
          <w:kern w:val="0"/>
          <w:sz w:val="22"/>
          <w:szCs w:val="20"/>
          <w14:ligatures w14:val="none"/>
        </w:rPr>
        <w:tab/>
        <w:t>UNIKALUS IDENTIFIKATORIUS – ŽMONĖMS SUPRANTAMI DUOMENYS</w:t>
      </w:r>
    </w:p>
    <w:p w14:paraId="3C9A0922"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7C5D371D"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PC </w:t>
      </w:r>
    </w:p>
    <w:p w14:paraId="1F18449B"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SN </w:t>
      </w:r>
    </w:p>
    <w:p w14:paraId="010CA58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NN</w:t>
      </w:r>
    </w:p>
    <w:p w14:paraId="5D37273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14:ligatures w14:val="none"/>
        </w:rPr>
        <w:br w:type="page"/>
      </w:r>
    </w:p>
    <w:p w14:paraId="27E8A73A"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0"/>
        </w:tabs>
        <w:spacing w:after="0" w:line="260" w:lineRule="exact"/>
        <w:ind w:right="-2"/>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lastRenderedPageBreak/>
        <w:t>MINIMALI INFORMACIJA ANT LIZDINIŲ PLOKŠTELIŲ ARBA DVISLUOKSNIŲ JUOSTELIŲ</w:t>
      </w:r>
    </w:p>
    <w:p w14:paraId="23642221"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60" w:lineRule="exact"/>
        <w:ind w:left="567" w:right="-2" w:hanging="567"/>
        <w:rPr>
          <w:rFonts w:ascii="Times New Roman" w:eastAsia="Times New Roman" w:hAnsi="Times New Roman" w:cs="Times New Roman"/>
          <w:b/>
          <w:snapToGrid w:val="0"/>
          <w:kern w:val="0"/>
          <w:sz w:val="22"/>
          <w14:ligatures w14:val="none"/>
        </w:rPr>
      </w:pPr>
    </w:p>
    <w:p w14:paraId="537E1F75"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60" w:lineRule="exact"/>
        <w:ind w:left="567" w:right="-2" w:hanging="567"/>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LIZDINĖ PLOKŠTELĖ</w:t>
      </w:r>
    </w:p>
    <w:p w14:paraId="2889B2A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45989B9F"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A96F782"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1.</w:t>
      </w:r>
      <w:r w:rsidRPr="00D21DFA">
        <w:rPr>
          <w:rFonts w:ascii="Times New Roman" w:eastAsia="Times New Roman" w:hAnsi="Times New Roman" w:cs="Times New Roman"/>
          <w:b/>
          <w:snapToGrid w:val="0"/>
          <w:kern w:val="0"/>
          <w:sz w:val="22"/>
          <w14:ligatures w14:val="none"/>
        </w:rPr>
        <w:tab/>
      </w:r>
      <w:r w:rsidRPr="00D21DFA">
        <w:rPr>
          <w:rFonts w:ascii="Times New Roman" w:eastAsia="Times New Roman" w:hAnsi="Times New Roman" w:cs="Times New Roman"/>
          <w:b/>
          <w:caps/>
          <w:snapToGrid w:val="0"/>
          <w:kern w:val="0"/>
          <w:sz w:val="22"/>
          <w14:ligatures w14:val="none"/>
        </w:rPr>
        <w:t>VAISTINIO</w:t>
      </w:r>
      <w:r w:rsidRPr="00D21DFA">
        <w:rPr>
          <w:rFonts w:ascii="Times New Roman" w:eastAsia="Times New Roman" w:hAnsi="Times New Roman" w:cs="Times New Roman"/>
          <w:b/>
          <w:snapToGrid w:val="0"/>
          <w:kern w:val="0"/>
          <w:sz w:val="22"/>
          <w14:ligatures w14:val="none"/>
        </w:rPr>
        <w:t xml:space="preserve"> PREPARATO PAVADINIMAS</w:t>
      </w:r>
    </w:p>
    <w:p w14:paraId="5CA1FA6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D10733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14:ligatures w14:val="none"/>
        </w:rPr>
        <w:t>Apixaban</w:t>
      </w:r>
      <w:proofErr w:type="spellEnd"/>
      <w:r w:rsidRPr="00D21DFA">
        <w:rPr>
          <w:rFonts w:ascii="Times New Roman" w:eastAsia="Times New Roman" w:hAnsi="Times New Roman" w:cs="Times New Roman"/>
          <w:snapToGrid w:val="0"/>
          <w:kern w:val="0"/>
          <w:sz w:val="22"/>
          <w14:ligatures w14:val="none"/>
        </w:rPr>
        <w:t xml:space="preserve"> </w:t>
      </w:r>
      <w:proofErr w:type="spellStart"/>
      <w:r w:rsidRPr="00D21DFA">
        <w:rPr>
          <w:rFonts w:ascii="Times New Roman" w:eastAsia="Times New Roman" w:hAnsi="Times New Roman" w:cs="Times New Roman"/>
          <w:snapToGrid w:val="0"/>
          <w:kern w:val="0"/>
          <w:sz w:val="22"/>
          <w14:ligatures w14:val="none"/>
        </w:rPr>
        <w:t>Zentiva</w:t>
      </w:r>
      <w:proofErr w:type="spellEnd"/>
      <w:r w:rsidRPr="00D21DFA">
        <w:rPr>
          <w:rFonts w:ascii="Times New Roman" w:eastAsia="Times New Roman" w:hAnsi="Times New Roman" w:cs="Times New Roman"/>
          <w:snapToGrid w:val="0"/>
          <w:kern w:val="0"/>
          <w:sz w:val="22"/>
          <w14:ligatures w14:val="none"/>
        </w:rPr>
        <w:t xml:space="preserve"> 2,5 mg </w:t>
      </w:r>
      <w:r w:rsidRPr="00D21DFA">
        <w:rPr>
          <w:rFonts w:ascii="Times New Roman" w:eastAsia="Times New Roman" w:hAnsi="Times New Roman" w:cs="Times New Roman"/>
          <w:i/>
          <w:iCs/>
          <w:snapToGrid w:val="0"/>
          <w:kern w:val="0"/>
          <w:sz w:val="22"/>
          <w:highlight w:val="darkGray"/>
          <w14:ligatures w14:val="none"/>
        </w:rPr>
        <w:t>plėvele dengtos</w:t>
      </w:r>
      <w:r w:rsidRPr="00D21DFA">
        <w:rPr>
          <w:rFonts w:ascii="Times New Roman" w:eastAsia="Times New Roman" w:hAnsi="Times New Roman" w:cs="Times New Roman"/>
          <w:snapToGrid w:val="0"/>
          <w:kern w:val="0"/>
          <w:sz w:val="22"/>
          <w14:ligatures w14:val="none"/>
        </w:rPr>
        <w:t xml:space="preserve"> tabletės </w:t>
      </w:r>
    </w:p>
    <w:p w14:paraId="0B212CD3"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highlight w:val="lightGray"/>
          <w14:ligatures w14:val="none"/>
        </w:rPr>
        <w:t>Apixaban</w:t>
      </w:r>
      <w:proofErr w:type="spellEnd"/>
      <w:r w:rsidRPr="00D21DFA">
        <w:rPr>
          <w:rFonts w:ascii="Times New Roman" w:eastAsia="Times New Roman" w:hAnsi="Times New Roman" w:cs="Times New Roman"/>
          <w:snapToGrid w:val="0"/>
          <w:kern w:val="0"/>
          <w:sz w:val="22"/>
          <w:highlight w:val="lightGray"/>
          <w14:ligatures w14:val="none"/>
        </w:rPr>
        <w:t xml:space="preserve"> </w:t>
      </w:r>
      <w:proofErr w:type="spellStart"/>
      <w:r w:rsidRPr="00D21DFA">
        <w:rPr>
          <w:rFonts w:ascii="Times New Roman" w:eastAsia="Times New Roman" w:hAnsi="Times New Roman" w:cs="Times New Roman"/>
          <w:snapToGrid w:val="0"/>
          <w:kern w:val="0"/>
          <w:sz w:val="22"/>
          <w:highlight w:val="lightGray"/>
          <w14:ligatures w14:val="none"/>
        </w:rPr>
        <w:t>Zentiva</w:t>
      </w:r>
      <w:proofErr w:type="spellEnd"/>
      <w:r w:rsidRPr="00D21DFA">
        <w:rPr>
          <w:rFonts w:ascii="Times New Roman" w:eastAsia="Times New Roman" w:hAnsi="Times New Roman" w:cs="Times New Roman"/>
          <w:snapToGrid w:val="0"/>
          <w:kern w:val="0"/>
          <w:sz w:val="22"/>
          <w:highlight w:val="lightGray"/>
          <w14:ligatures w14:val="none"/>
        </w:rPr>
        <w:t xml:space="preserve"> 5 mg </w:t>
      </w:r>
      <w:r w:rsidRPr="00D21DFA">
        <w:rPr>
          <w:rFonts w:ascii="Times New Roman" w:eastAsia="Times New Roman" w:hAnsi="Times New Roman" w:cs="Times New Roman"/>
          <w:i/>
          <w:iCs/>
          <w:snapToGrid w:val="0"/>
          <w:kern w:val="0"/>
          <w:sz w:val="22"/>
          <w:highlight w:val="darkGray"/>
          <w14:ligatures w14:val="none"/>
        </w:rPr>
        <w:t>plėvele dengtos</w:t>
      </w:r>
      <w:r w:rsidRPr="00D21DFA">
        <w:rPr>
          <w:rFonts w:ascii="Times New Roman" w:eastAsia="Times New Roman" w:hAnsi="Times New Roman" w:cs="Times New Roman"/>
          <w:snapToGrid w:val="0"/>
          <w:kern w:val="0"/>
          <w:sz w:val="22"/>
          <w:highlight w:val="darkGray"/>
          <w14:ligatures w14:val="none"/>
        </w:rPr>
        <w:t xml:space="preserve"> </w:t>
      </w:r>
      <w:r w:rsidRPr="00D21DFA">
        <w:rPr>
          <w:rFonts w:ascii="Times New Roman" w:eastAsia="Times New Roman" w:hAnsi="Times New Roman" w:cs="Times New Roman"/>
          <w:snapToGrid w:val="0"/>
          <w:kern w:val="0"/>
          <w:sz w:val="22"/>
          <w:highlight w:val="lightGray"/>
          <w14:ligatures w14:val="none"/>
        </w:rPr>
        <w:t>tabletės</w:t>
      </w:r>
      <w:r w:rsidRPr="00D21DFA">
        <w:rPr>
          <w:rFonts w:ascii="Times New Roman" w:eastAsia="Times New Roman" w:hAnsi="Times New Roman" w:cs="Times New Roman"/>
          <w:snapToGrid w:val="0"/>
          <w:kern w:val="0"/>
          <w:sz w:val="22"/>
          <w14:ligatures w14:val="none"/>
        </w:rPr>
        <w:t xml:space="preserve"> </w:t>
      </w:r>
    </w:p>
    <w:p w14:paraId="12C1495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roofErr w:type="spellStart"/>
      <w:r w:rsidRPr="00D21DFA">
        <w:rPr>
          <w:rFonts w:ascii="Times New Roman" w:eastAsia="Times New Roman" w:hAnsi="Times New Roman" w:cs="Times New Roman"/>
          <w:snapToGrid w:val="0"/>
          <w:kern w:val="0"/>
          <w:sz w:val="22"/>
          <w14:ligatures w14:val="none"/>
        </w:rPr>
        <w:t>apiksabanas</w:t>
      </w:r>
      <w:proofErr w:type="spellEnd"/>
    </w:p>
    <w:p w14:paraId="1C2721F1"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44DC8C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571C7D44"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2.</w:t>
      </w:r>
      <w:r w:rsidRPr="00D21DFA">
        <w:rPr>
          <w:rFonts w:ascii="Times New Roman" w:eastAsia="Times New Roman" w:hAnsi="Times New Roman" w:cs="Times New Roman"/>
          <w:b/>
          <w:snapToGrid w:val="0"/>
          <w:kern w:val="0"/>
          <w:sz w:val="22"/>
          <w14:ligatures w14:val="none"/>
        </w:rPr>
        <w:tab/>
      </w:r>
      <w:r w:rsidRPr="00D21DFA">
        <w:rPr>
          <w:rFonts w:ascii="Times New Roman" w:eastAsia="Times New Roman" w:hAnsi="Times New Roman" w:cs="Times New Roman"/>
          <w:b/>
          <w:caps/>
          <w:snapToGrid w:val="0"/>
          <w:kern w:val="0"/>
          <w:sz w:val="22"/>
          <w14:ligatures w14:val="none"/>
        </w:rPr>
        <w:t>REGISTRUOTOJO pavadinimas</w:t>
      </w:r>
    </w:p>
    <w:p w14:paraId="7AFE8705"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18ECB8C" w14:textId="77777777" w:rsidR="00C95D96" w:rsidRPr="00D21DFA" w:rsidRDefault="00C95D96" w:rsidP="00C95D96">
      <w:pPr>
        <w:tabs>
          <w:tab w:val="left" w:pos="567"/>
        </w:tabs>
        <w:overflowPunct w:val="0"/>
        <w:autoSpaceDE w:val="0"/>
        <w:autoSpaceDN w:val="0"/>
        <w:adjustRightInd w:val="0"/>
        <w:spacing w:after="0" w:line="240" w:lineRule="auto"/>
        <w:ind w:right="-2"/>
        <w:textAlignment w:val="baseline"/>
        <w:rPr>
          <w:rFonts w:ascii="Times New Roman" w:eastAsia="Times New Roman" w:hAnsi="Times New Roman" w:cs="Times New Roman"/>
          <w:kern w:val="0"/>
          <w:sz w:val="22"/>
          <w:szCs w:val="22"/>
          <w14:ligatures w14:val="none"/>
        </w:rPr>
      </w:pPr>
      <w:proofErr w:type="spellStart"/>
      <w:r w:rsidRPr="00D21DFA">
        <w:rPr>
          <w:rFonts w:ascii="Times New Roman" w:eastAsia="Times New Roman" w:hAnsi="Times New Roman" w:cs="Times New Roman"/>
          <w:kern w:val="0"/>
          <w:sz w:val="22"/>
          <w:szCs w:val="22"/>
          <w14:ligatures w14:val="none"/>
        </w:rPr>
        <w:t>Zentiva</w:t>
      </w:r>
      <w:proofErr w:type="spellEnd"/>
      <w:r w:rsidRPr="00D21DFA">
        <w:rPr>
          <w:rFonts w:ascii="Times New Roman" w:eastAsia="Times New Roman" w:hAnsi="Times New Roman" w:cs="Times New Roman"/>
          <w:kern w:val="0"/>
          <w:sz w:val="22"/>
          <w:szCs w:val="22"/>
          <w14:ligatures w14:val="none"/>
        </w:rPr>
        <w:t xml:space="preserve"> </w:t>
      </w:r>
      <w:r w:rsidRPr="00D21DFA">
        <w:rPr>
          <w:rFonts w:ascii="Times New Roman" w:eastAsia="Times New Roman" w:hAnsi="Times New Roman" w:cs="Times New Roman"/>
          <w:kern w:val="0"/>
          <w:sz w:val="22"/>
          <w:szCs w:val="22"/>
          <w:highlight w:val="lightGray"/>
          <w14:ligatures w14:val="none"/>
        </w:rPr>
        <w:t>[</w:t>
      </w:r>
      <w:proofErr w:type="spellStart"/>
      <w:r w:rsidRPr="00D21DFA">
        <w:rPr>
          <w:rFonts w:ascii="Times New Roman" w:eastAsia="Times New Roman" w:hAnsi="Times New Roman" w:cs="Times New Roman"/>
          <w:kern w:val="0"/>
          <w:sz w:val="22"/>
          <w:szCs w:val="22"/>
          <w:highlight w:val="lightGray"/>
          <w14:ligatures w14:val="none"/>
        </w:rPr>
        <w:t>logo</w:t>
      </w:r>
      <w:proofErr w:type="spellEnd"/>
      <w:r w:rsidRPr="00D21DFA">
        <w:rPr>
          <w:rFonts w:ascii="Times New Roman" w:eastAsia="Times New Roman" w:hAnsi="Times New Roman" w:cs="Times New Roman"/>
          <w:kern w:val="0"/>
          <w:sz w:val="22"/>
          <w:szCs w:val="22"/>
          <w:highlight w:val="lightGray"/>
          <w14:ligatures w14:val="none"/>
        </w:rPr>
        <w:t>]</w:t>
      </w:r>
    </w:p>
    <w:p w14:paraId="2E236FBC"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208249C7"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1551FE6" w14:textId="77777777" w:rsidR="00C95D96" w:rsidRPr="00D21DFA" w:rsidRDefault="00C95D96" w:rsidP="00C95D96">
      <w:pPr>
        <w:pBdr>
          <w:top w:val="single" w:sz="4" w:space="1" w:color="auto"/>
          <w:left w:val="single" w:sz="4" w:space="4" w:color="auto"/>
          <w:bottom w:val="single" w:sz="4" w:space="2"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3.</w:t>
      </w:r>
      <w:r w:rsidRPr="00D21DFA">
        <w:rPr>
          <w:rFonts w:ascii="Times New Roman" w:eastAsia="Times New Roman" w:hAnsi="Times New Roman" w:cs="Times New Roman"/>
          <w:b/>
          <w:snapToGrid w:val="0"/>
          <w:kern w:val="0"/>
          <w:sz w:val="22"/>
          <w14:ligatures w14:val="none"/>
        </w:rPr>
        <w:tab/>
        <w:t>TINKAMUMO LAIKAS</w:t>
      </w:r>
    </w:p>
    <w:p w14:paraId="79B594C4"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461917B7"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EXP {mm MMMM}</w:t>
      </w:r>
    </w:p>
    <w:p w14:paraId="4BAFB2B4"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2E677A75"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52D1B6E4" w14:textId="77777777" w:rsidR="00C95D96" w:rsidRPr="00D21DFA" w:rsidRDefault="00C95D96" w:rsidP="00C95D9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4.</w:t>
      </w:r>
      <w:r w:rsidRPr="00D21DFA">
        <w:rPr>
          <w:rFonts w:ascii="Times New Roman" w:eastAsia="Times New Roman" w:hAnsi="Times New Roman" w:cs="Times New Roman"/>
          <w:b/>
          <w:snapToGrid w:val="0"/>
          <w:kern w:val="0"/>
          <w:sz w:val="22"/>
          <w14:ligatures w14:val="none"/>
        </w:rPr>
        <w:tab/>
        <w:t>SERIJOS NUMERIS</w:t>
      </w:r>
    </w:p>
    <w:p w14:paraId="5262213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p w14:paraId="19A22E41" w14:textId="77777777" w:rsidR="00C95D96" w:rsidRPr="00D21DFA" w:rsidRDefault="00C95D96" w:rsidP="00C95D96">
      <w:p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Lot</w:t>
      </w:r>
    </w:p>
    <w:p w14:paraId="7DD5283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5748D1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13556D5F" w14:textId="77777777" w:rsidR="00C95D96" w:rsidRPr="00D21DFA" w:rsidRDefault="00C95D96" w:rsidP="00C95D96">
      <w:pPr>
        <w:pBdr>
          <w:top w:val="single" w:sz="4" w:space="1" w:color="auto"/>
          <w:left w:val="single" w:sz="4" w:space="4" w:color="auto"/>
          <w:bottom w:val="single" w:sz="4" w:space="1" w:color="auto"/>
          <w:right w:val="single" w:sz="4" w:space="4" w:color="auto"/>
        </w:pBdr>
        <w:tabs>
          <w:tab w:val="left" w:pos="567"/>
        </w:tabs>
        <w:spacing w:after="0" w:line="240" w:lineRule="auto"/>
        <w:ind w:right="-2"/>
        <w:outlineLvl w:val="0"/>
        <w:rPr>
          <w:rFonts w:ascii="Times New Roman" w:eastAsia="Times New Roman" w:hAnsi="Times New Roman" w:cs="Times New Roman"/>
          <w:b/>
          <w:snapToGrid w:val="0"/>
          <w:kern w:val="0"/>
          <w:sz w:val="22"/>
          <w14:ligatures w14:val="none"/>
        </w:rPr>
      </w:pPr>
      <w:r w:rsidRPr="00D21DFA">
        <w:rPr>
          <w:rFonts w:ascii="Times New Roman" w:eastAsia="Times New Roman" w:hAnsi="Times New Roman" w:cs="Times New Roman"/>
          <w:b/>
          <w:snapToGrid w:val="0"/>
          <w:kern w:val="0"/>
          <w:sz w:val="22"/>
          <w14:ligatures w14:val="none"/>
        </w:rPr>
        <w:t>5.</w:t>
      </w:r>
      <w:r w:rsidRPr="00D21DFA">
        <w:rPr>
          <w:rFonts w:ascii="Times New Roman" w:eastAsia="Times New Roman" w:hAnsi="Times New Roman" w:cs="Times New Roman"/>
          <w:b/>
          <w:snapToGrid w:val="0"/>
          <w:kern w:val="0"/>
          <w:sz w:val="22"/>
          <w14:ligatures w14:val="none"/>
        </w:rPr>
        <w:tab/>
        <w:t>KITA</w:t>
      </w:r>
    </w:p>
    <w:p w14:paraId="4F518A09"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062961C6"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14:ligatures w14:val="none"/>
        </w:rPr>
      </w:pPr>
    </w:p>
    <w:p w14:paraId="7C98AEFC" w14:textId="77777777" w:rsidR="00C95D96" w:rsidRPr="00D21DFA"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r w:rsidRPr="00D21DFA">
        <w:rPr>
          <w:rFonts w:ascii="Courier New" w:eastAsia="SimSun" w:hAnsi="Courier New" w:cs="Times New Roman"/>
          <w:b/>
          <w:kern w:val="0"/>
          <w:sz w:val="20"/>
          <w14:ligatures w14:val="none"/>
        </w:rPr>
        <w:br w:type="page"/>
      </w:r>
    </w:p>
    <w:p w14:paraId="087DF362" w14:textId="77777777" w:rsidR="00C95D96" w:rsidRPr="00D21DFA" w:rsidRDefault="00C95D96" w:rsidP="00C95D96">
      <w:pPr>
        <w:pBdr>
          <w:top w:val="single" w:sz="4" w:space="1" w:color="auto"/>
          <w:left w:val="single" w:sz="4" w:space="4" w:color="auto"/>
          <w:bottom w:val="single" w:sz="4" w:space="1" w:color="auto"/>
          <w:right w:val="single" w:sz="4" w:space="4" w:color="auto"/>
        </w:pBdr>
        <w:shd w:val="clear" w:color="auto" w:fill="FFFFFF"/>
        <w:spacing w:after="0" w:line="240" w:lineRule="auto"/>
        <w:ind w:right="-2"/>
        <w:rPr>
          <w:rFonts w:ascii="Times New Roman" w:eastAsia="Times New Roman" w:hAnsi="Times New Roman" w:cs="Times New Roman"/>
          <w:b/>
          <w:kern w:val="0"/>
          <w:sz w:val="22"/>
          <w:szCs w:val="20"/>
          <w14:ligatures w14:val="none"/>
        </w:rPr>
      </w:pPr>
      <w:bookmarkStart w:id="4" w:name="_Hlk182566654"/>
      <w:r w:rsidRPr="00D21DFA">
        <w:rPr>
          <w:rFonts w:ascii="Times New Roman" w:eastAsia="Times New Roman" w:hAnsi="Times New Roman" w:cs="Times New Roman"/>
          <w:b/>
          <w:kern w:val="0"/>
          <w:sz w:val="22"/>
          <w:szCs w:val="20"/>
          <w14:ligatures w14:val="none"/>
        </w:rPr>
        <w:lastRenderedPageBreak/>
        <w:t>PACIENTO ĮSPĖJAMOJI KORTELĖ</w:t>
      </w:r>
    </w:p>
    <w:p w14:paraId="62EEB790"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7B04FBA8" w14:textId="7754C792" w:rsidR="00C95D96" w:rsidRPr="00AD1A35"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D21DFA">
        <w:rPr>
          <w:rFonts w:ascii="Times New Roman" w:eastAsia="TimesNewRoman,Bold" w:hAnsi="Times New Roman" w:cs="Times New Roman"/>
          <w:b/>
          <w:bCs/>
          <w:kern w:val="0"/>
          <w:sz w:val="22"/>
          <w:szCs w:val="22"/>
          <w:lang w:eastAsia="lt-LT"/>
          <w14:ligatures w14:val="none"/>
        </w:rPr>
        <w:t>Apixaban</w:t>
      </w:r>
      <w:proofErr w:type="spellEnd"/>
      <w:r w:rsidRPr="00D21DFA">
        <w:rPr>
          <w:rFonts w:ascii="Times New Roman" w:eastAsia="TimesNewRoman,Bold" w:hAnsi="Times New Roman" w:cs="Times New Roman"/>
          <w:b/>
          <w:bCs/>
          <w:kern w:val="0"/>
          <w:sz w:val="22"/>
          <w:szCs w:val="22"/>
          <w:lang w:eastAsia="lt-LT"/>
          <w14:ligatures w14:val="none"/>
        </w:rPr>
        <w:t xml:space="preserve"> </w:t>
      </w:r>
      <w:proofErr w:type="spellStart"/>
      <w:r w:rsidRPr="00D21DFA">
        <w:rPr>
          <w:rFonts w:ascii="Times New Roman" w:eastAsia="TimesNewRoman,Bold" w:hAnsi="Times New Roman" w:cs="Times New Roman"/>
          <w:b/>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proofErr w:type="spellStart"/>
      <w:r w:rsidRPr="00D21DFA">
        <w:rPr>
          <w:rFonts w:ascii="Times New Roman" w:eastAsia="TimesNewRoman,Bold" w:hAnsi="Times New Roman" w:cs="Times New Roman"/>
          <w:b/>
          <w:bCs/>
          <w:kern w:val="0"/>
          <w:sz w:val="22"/>
          <w:szCs w:val="22"/>
          <w:lang w:eastAsia="lt-LT"/>
          <w14:ligatures w14:val="none"/>
        </w:rPr>
        <w:t>apiksabanas</w:t>
      </w:r>
      <w:proofErr w:type="spellEnd"/>
      <w:r w:rsidRPr="00D21DFA">
        <w:rPr>
          <w:rFonts w:ascii="Times New Roman" w:eastAsia="TimesNewRoman,Bold" w:hAnsi="Times New Roman" w:cs="Times New Roman"/>
          <w:b/>
          <w:bCs/>
          <w:kern w:val="0"/>
          <w:sz w:val="22"/>
          <w:szCs w:val="22"/>
          <w:lang w:eastAsia="lt-LT"/>
          <w14:ligatures w14:val="none"/>
        </w:rPr>
        <w:t>)</w:t>
      </w:r>
      <w:r w:rsidR="00552E7F">
        <w:rPr>
          <w:rFonts w:ascii="Times New Roman" w:eastAsia="TimesNewRoman,Bold" w:hAnsi="Times New Roman" w:cs="Times New Roman"/>
          <w:b/>
          <w:bCs/>
          <w:kern w:val="0"/>
          <w:sz w:val="22"/>
          <w:szCs w:val="22"/>
          <w:lang w:eastAsia="lt-LT"/>
          <w14:ligatures w14:val="none"/>
        </w:rPr>
        <w:t xml:space="preserve"> </w:t>
      </w:r>
      <w:r w:rsidR="00552E7F" w:rsidRPr="00AD1A35">
        <w:rPr>
          <w:rFonts w:ascii="Times New Roman" w:eastAsia="TimesNewRoman,Bold" w:hAnsi="Times New Roman" w:cs="Times New Roman"/>
          <w:kern w:val="0"/>
          <w:sz w:val="22"/>
          <w:szCs w:val="22"/>
          <w:lang w:eastAsia="lt-LT"/>
          <w14:ligatures w14:val="none"/>
        </w:rPr>
        <w:t>[suaugusiųjų ir vaikų populiacija]</w:t>
      </w:r>
    </w:p>
    <w:p w14:paraId="09374EE6"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29DA9291"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D21DFA">
        <w:rPr>
          <w:rFonts w:ascii="Times New Roman" w:eastAsia="TimesNewRoman,Bold" w:hAnsi="Times New Roman" w:cs="Times New Roman"/>
          <w:b/>
          <w:bCs/>
          <w:kern w:val="0"/>
          <w:sz w:val="22"/>
          <w:szCs w:val="22"/>
          <w:lang w:eastAsia="lt-LT"/>
          <w14:ligatures w14:val="none"/>
        </w:rPr>
        <w:t>Paciento įspėjamoji kortelė</w:t>
      </w:r>
    </w:p>
    <w:p w14:paraId="41358351"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3CFB8E92" w14:textId="45E0EA82" w:rsidR="00C95D96" w:rsidRPr="00D21DFA" w:rsidRDefault="00552E7F"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Pr>
          <w:rFonts w:ascii="Times New Roman" w:eastAsia="TimesNewRoman,Bold" w:hAnsi="Times New Roman" w:cs="Times New Roman"/>
          <w:b/>
          <w:bCs/>
          <w:kern w:val="0"/>
          <w:sz w:val="22"/>
          <w:szCs w:val="22"/>
          <w:lang w:eastAsia="lt-LT"/>
          <w14:ligatures w14:val="none"/>
        </w:rPr>
        <w:t>Š</w:t>
      </w:r>
      <w:r w:rsidR="00C95D96" w:rsidRPr="00D21DFA">
        <w:rPr>
          <w:rFonts w:ascii="Times New Roman" w:eastAsia="TimesNewRoman,Bold" w:hAnsi="Times New Roman" w:cs="Times New Roman"/>
          <w:b/>
          <w:bCs/>
          <w:kern w:val="0"/>
          <w:sz w:val="22"/>
          <w:szCs w:val="22"/>
          <w:lang w:eastAsia="lt-LT"/>
          <w14:ligatures w14:val="none"/>
        </w:rPr>
        <w:t>ią kortelę</w:t>
      </w:r>
      <w:r>
        <w:rPr>
          <w:rFonts w:ascii="Times New Roman" w:eastAsia="TimesNewRoman,Bold" w:hAnsi="Times New Roman" w:cs="Times New Roman"/>
          <w:b/>
          <w:bCs/>
          <w:kern w:val="0"/>
          <w:sz w:val="22"/>
          <w:szCs w:val="22"/>
          <w:lang w:eastAsia="lt-LT"/>
          <w14:ligatures w14:val="none"/>
        </w:rPr>
        <w:t xml:space="preserve"> </w:t>
      </w:r>
      <w:r w:rsidR="0079600C">
        <w:rPr>
          <w:rFonts w:ascii="Times New Roman" w:eastAsia="TimesNewRoman,Bold" w:hAnsi="Times New Roman" w:cs="Times New Roman"/>
          <w:b/>
          <w:bCs/>
          <w:kern w:val="0"/>
          <w:sz w:val="22"/>
          <w:szCs w:val="22"/>
          <w:lang w:eastAsia="lt-LT"/>
          <w14:ligatures w14:val="none"/>
        </w:rPr>
        <w:t>Jūs, vaikas arba jį prižiūrintis asmuo turi visada turėti su savimi.</w:t>
      </w:r>
    </w:p>
    <w:p w14:paraId="19995035"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29A6BA93" w14:textId="6091527E"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D21DFA">
        <w:rPr>
          <w:rFonts w:ascii="Times New Roman" w:eastAsia="TimesNewRoman,Bold" w:hAnsi="Times New Roman" w:cs="Times New Roman"/>
          <w:b/>
          <w:bCs/>
          <w:kern w:val="0"/>
          <w:sz w:val="22"/>
          <w:szCs w:val="22"/>
          <w:lang w:eastAsia="lt-LT"/>
          <w14:ligatures w14:val="none"/>
        </w:rPr>
        <w:t>Parodykite šią kortelę vaistininkui, odontologui ar bet kuriam kitam sveikatos priežiūros specialistui</w:t>
      </w:r>
      <w:r w:rsidR="0079600C">
        <w:rPr>
          <w:rFonts w:ascii="Times New Roman" w:eastAsia="TimesNewRoman,Bold" w:hAnsi="Times New Roman" w:cs="Times New Roman"/>
          <w:b/>
          <w:bCs/>
          <w:kern w:val="0"/>
          <w:sz w:val="22"/>
          <w:szCs w:val="22"/>
          <w:lang w:eastAsia="lt-LT"/>
          <w14:ligatures w14:val="none"/>
        </w:rPr>
        <w:t xml:space="preserve"> prieš gydymą</w:t>
      </w:r>
      <w:r w:rsidRPr="00D21DFA">
        <w:rPr>
          <w:rFonts w:ascii="Times New Roman" w:eastAsia="TimesNewRoman,Bold" w:hAnsi="Times New Roman" w:cs="Times New Roman"/>
          <w:b/>
          <w:bCs/>
          <w:kern w:val="0"/>
          <w:sz w:val="22"/>
          <w:szCs w:val="22"/>
          <w:lang w:eastAsia="lt-LT"/>
          <w14:ligatures w14:val="none"/>
        </w:rPr>
        <w:t>.</w:t>
      </w:r>
    </w:p>
    <w:p w14:paraId="7C507184"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351FC62C"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D21DFA">
        <w:rPr>
          <w:rFonts w:ascii="Times New Roman" w:eastAsia="TimesNewRoman,Bold" w:hAnsi="Times New Roman" w:cs="Times New Roman"/>
          <w:b/>
          <w:bCs/>
          <w:kern w:val="0"/>
          <w:sz w:val="22"/>
          <w:szCs w:val="22"/>
          <w:lang w:eastAsia="lt-LT"/>
          <w14:ligatures w14:val="none"/>
        </w:rPr>
        <w:t xml:space="preserve">Man taikomas gydymas antikoaguliantų grupės vaistu </w:t>
      </w:r>
      <w:proofErr w:type="spellStart"/>
      <w:r w:rsidRPr="00D21DFA">
        <w:rPr>
          <w:rFonts w:ascii="Times New Roman" w:eastAsia="TimesNewRoman,Bold" w:hAnsi="Times New Roman" w:cs="Times New Roman"/>
          <w:b/>
          <w:bCs/>
          <w:kern w:val="0"/>
          <w:sz w:val="22"/>
          <w:szCs w:val="22"/>
          <w:lang w:eastAsia="lt-LT"/>
          <w14:ligatures w14:val="none"/>
        </w:rPr>
        <w:t>Apixaban</w:t>
      </w:r>
      <w:proofErr w:type="spellEnd"/>
      <w:r w:rsidRPr="00D21DFA">
        <w:rPr>
          <w:rFonts w:ascii="Times New Roman" w:eastAsia="TimesNewRoman,Bold" w:hAnsi="Times New Roman" w:cs="Times New Roman"/>
          <w:b/>
          <w:bCs/>
          <w:kern w:val="0"/>
          <w:sz w:val="22"/>
          <w:szCs w:val="22"/>
          <w:lang w:eastAsia="lt-LT"/>
          <w14:ligatures w14:val="none"/>
        </w:rPr>
        <w:t xml:space="preserve"> </w:t>
      </w:r>
      <w:proofErr w:type="spellStart"/>
      <w:r w:rsidRPr="00D21DFA">
        <w:rPr>
          <w:rFonts w:ascii="Times New Roman" w:eastAsia="TimesNewRoman,Bold" w:hAnsi="Times New Roman" w:cs="Times New Roman"/>
          <w:b/>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proofErr w:type="spellStart"/>
      <w:r w:rsidRPr="00D21DFA">
        <w:rPr>
          <w:rFonts w:ascii="Times New Roman" w:eastAsia="TimesNewRoman,Bold" w:hAnsi="Times New Roman" w:cs="Times New Roman"/>
          <w:b/>
          <w:bCs/>
          <w:kern w:val="0"/>
          <w:sz w:val="22"/>
          <w:szCs w:val="22"/>
          <w:lang w:eastAsia="lt-LT"/>
          <w14:ligatures w14:val="none"/>
        </w:rPr>
        <w:t>apiksabanu</w:t>
      </w:r>
      <w:proofErr w:type="spellEnd"/>
      <w:r w:rsidRPr="00D21DFA">
        <w:rPr>
          <w:rFonts w:ascii="Times New Roman" w:eastAsia="TimesNewRoman,Bold" w:hAnsi="Times New Roman" w:cs="Times New Roman"/>
          <w:b/>
          <w:bCs/>
          <w:kern w:val="0"/>
          <w:sz w:val="22"/>
          <w:szCs w:val="22"/>
          <w:lang w:eastAsia="lt-LT"/>
          <w14:ligatures w14:val="none"/>
        </w:rPr>
        <w:t xml:space="preserve">), kuris </w:t>
      </w:r>
      <w:bookmarkStart w:id="5" w:name="_Hlk77340305"/>
      <w:r w:rsidRPr="00D21DFA">
        <w:rPr>
          <w:rFonts w:ascii="Times New Roman" w:eastAsia="TimesNewRoman,Bold" w:hAnsi="Times New Roman" w:cs="Times New Roman"/>
          <w:b/>
          <w:bCs/>
          <w:kern w:val="0"/>
          <w:sz w:val="22"/>
          <w:szCs w:val="22"/>
          <w:lang w:eastAsia="lt-LT"/>
          <w14:ligatures w14:val="none"/>
        </w:rPr>
        <w:t>padeda apsisaugoti nuo kraujo krešulių susidarymo</w:t>
      </w:r>
      <w:bookmarkEnd w:id="5"/>
      <w:r w:rsidRPr="00D21DFA">
        <w:rPr>
          <w:rFonts w:ascii="Times New Roman" w:eastAsia="TimesNewRoman,Bold" w:hAnsi="Times New Roman" w:cs="Times New Roman"/>
          <w:b/>
          <w:bCs/>
          <w:kern w:val="0"/>
          <w:sz w:val="22"/>
          <w:szCs w:val="22"/>
          <w:lang w:eastAsia="lt-LT"/>
          <w14:ligatures w14:val="none"/>
        </w:rPr>
        <w:t>.</w:t>
      </w:r>
    </w:p>
    <w:p w14:paraId="1F024B25"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36099705" w14:textId="4216A0BD"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D21DFA">
        <w:rPr>
          <w:rFonts w:ascii="Times New Roman" w:eastAsia="TimesNewRoman,Bold" w:hAnsi="Times New Roman" w:cs="Times New Roman"/>
          <w:b/>
          <w:bCs/>
          <w:kern w:val="0"/>
          <w:sz w:val="22"/>
          <w:szCs w:val="22"/>
          <w:lang w:eastAsia="lt-LT"/>
          <w14:ligatures w14:val="none"/>
        </w:rPr>
        <w:t>Prašome užpildykite šį skyrių arba paprašykite tai padaryti gydytojo</w:t>
      </w:r>
    </w:p>
    <w:p w14:paraId="28F366B8"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Paciento vardas:</w:t>
      </w:r>
    </w:p>
    <w:p w14:paraId="1CB87AC3"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Gimimo data:</w:t>
      </w:r>
    </w:p>
    <w:p w14:paraId="6C4A3D1D" w14:textId="77777777" w:rsidR="00C95D96"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Indikacija:</w:t>
      </w:r>
    </w:p>
    <w:p w14:paraId="0C52EFFE" w14:textId="0721F785" w:rsidR="0079600C" w:rsidRPr="00D21DFA" w:rsidRDefault="0079600C"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Pr>
          <w:rFonts w:ascii="Times New Roman" w:eastAsia="TimesNewRoman,Bold" w:hAnsi="Times New Roman" w:cs="Times New Roman"/>
          <w:kern w:val="0"/>
          <w:sz w:val="22"/>
          <w:szCs w:val="22"/>
          <w:lang w:eastAsia="lt-LT"/>
          <w14:ligatures w14:val="none"/>
        </w:rPr>
        <w:t>Svoris:</w:t>
      </w:r>
    </w:p>
    <w:p w14:paraId="77177D2A"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Dozė:     mg du kartus per parą</w:t>
      </w:r>
    </w:p>
    <w:p w14:paraId="5B29A95F"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Gydytojo vardas:</w:t>
      </w:r>
    </w:p>
    <w:p w14:paraId="685377C1"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Gydytojo telefono numeris:</w:t>
      </w:r>
    </w:p>
    <w:p w14:paraId="65260393"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7E63FDC8" w14:textId="1CD256CA"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D21DFA">
        <w:rPr>
          <w:rFonts w:ascii="Times New Roman" w:eastAsia="TimesNewRoman,Bold" w:hAnsi="Times New Roman" w:cs="Times New Roman"/>
          <w:b/>
          <w:bCs/>
          <w:kern w:val="0"/>
          <w:sz w:val="22"/>
          <w:szCs w:val="22"/>
          <w:lang w:eastAsia="lt-LT"/>
          <w14:ligatures w14:val="none"/>
        </w:rPr>
        <w:t>Informacija pacientams</w:t>
      </w:r>
      <w:r w:rsidR="0079600C">
        <w:rPr>
          <w:rFonts w:ascii="Times New Roman" w:eastAsia="TimesNewRoman,Bold" w:hAnsi="Times New Roman" w:cs="Times New Roman"/>
          <w:b/>
          <w:bCs/>
          <w:kern w:val="0"/>
          <w:sz w:val="22"/>
          <w:szCs w:val="22"/>
          <w:lang w:eastAsia="lt-LT"/>
          <w14:ligatures w14:val="none"/>
        </w:rPr>
        <w:t xml:space="preserve"> / prižiūrintiems asmenims</w:t>
      </w:r>
    </w:p>
    <w:p w14:paraId="5D0BEAA0" w14:textId="5F50E924" w:rsidR="00C95D96" w:rsidRPr="00D21DFA" w:rsidRDefault="00C95D96" w:rsidP="006162A5">
      <w:pPr>
        <w:numPr>
          <w:ilvl w:val="0"/>
          <w:numId w:val="12"/>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Reguliariai vartokite</w:t>
      </w:r>
      <w:r w:rsidR="0079600C">
        <w:rPr>
          <w:rFonts w:ascii="Times New Roman" w:eastAsia="TimesNewRoman,Bold" w:hAnsi="Times New Roman" w:cs="Times New Roman"/>
          <w:kern w:val="0"/>
          <w:sz w:val="22"/>
          <w:szCs w:val="22"/>
          <w:lang w:eastAsia="lt-LT"/>
          <w14:ligatures w14:val="none"/>
        </w:rPr>
        <w:t xml:space="preserve"> / duokite</w:t>
      </w:r>
      <w:r w:rsidRPr="00D21DFA">
        <w:rPr>
          <w:rFonts w:ascii="Times New Roman" w:eastAsia="TimesNewRoman,Bold" w:hAnsi="Times New Roman" w:cs="Times New Roman"/>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Apixaban</w:t>
      </w:r>
      <w:proofErr w:type="spellEnd"/>
      <w:r w:rsidRPr="00D21DFA">
        <w:rPr>
          <w:rFonts w:ascii="Times New Roman" w:eastAsia="TimesNewRoman,Bold" w:hAnsi="Times New Roman" w:cs="Times New Roman"/>
          <w:bCs/>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r w:rsidRPr="00D21DFA">
        <w:rPr>
          <w:rFonts w:ascii="Times New Roman" w:eastAsia="TimesNewRoman,Bold" w:hAnsi="Times New Roman" w:cs="Times New Roman"/>
          <w:kern w:val="0"/>
          <w:sz w:val="22"/>
          <w:szCs w:val="22"/>
          <w:lang w:eastAsia="lt-LT"/>
          <w14:ligatures w14:val="none"/>
        </w:rPr>
        <w:t xml:space="preserve">kaip nurodyta. Jeigu praleidote </w:t>
      </w:r>
      <w:r w:rsidR="006162A5" w:rsidRPr="00D21DFA">
        <w:rPr>
          <w:rFonts w:ascii="Times New Roman" w:eastAsia="TimesNewRoman,Bold" w:hAnsi="Times New Roman" w:cs="Times New Roman"/>
          <w:kern w:val="0"/>
          <w:sz w:val="22"/>
          <w:szCs w:val="22"/>
          <w:lang w:eastAsia="lt-LT"/>
          <w14:ligatures w14:val="none"/>
        </w:rPr>
        <w:t xml:space="preserve">rytinę </w:t>
      </w:r>
      <w:r w:rsidRPr="00D21DFA">
        <w:rPr>
          <w:rFonts w:ascii="Times New Roman" w:eastAsia="TimesNewRoman,Bold" w:hAnsi="Times New Roman" w:cs="Times New Roman"/>
          <w:kern w:val="0"/>
          <w:sz w:val="22"/>
          <w:szCs w:val="22"/>
          <w:lang w:eastAsia="lt-LT"/>
          <w14:ligatures w14:val="none"/>
        </w:rPr>
        <w:t>dozę, išgerkite</w:t>
      </w:r>
      <w:r w:rsidR="0079600C">
        <w:rPr>
          <w:rFonts w:ascii="Times New Roman" w:eastAsia="TimesNewRoman,Bold" w:hAnsi="Times New Roman" w:cs="Times New Roman"/>
          <w:kern w:val="0"/>
          <w:sz w:val="22"/>
          <w:szCs w:val="22"/>
          <w:lang w:eastAsia="lt-LT"/>
          <w14:ligatures w14:val="none"/>
        </w:rPr>
        <w:t xml:space="preserve"> / paduokite</w:t>
      </w:r>
      <w:r w:rsidRPr="00D21DFA">
        <w:rPr>
          <w:rFonts w:ascii="Times New Roman" w:eastAsia="TimesNewRoman,Bold" w:hAnsi="Times New Roman" w:cs="Times New Roman"/>
          <w:kern w:val="0"/>
          <w:sz w:val="22"/>
          <w:szCs w:val="22"/>
          <w:lang w:eastAsia="lt-LT"/>
          <w14:ligatures w14:val="none"/>
        </w:rPr>
        <w:t xml:space="preserve"> ją iš karto, kai tik prisiminsite, ir</w:t>
      </w:r>
      <w:r w:rsidR="006162A5" w:rsidRPr="00D21DFA">
        <w:rPr>
          <w:rFonts w:ascii="Times New Roman" w:eastAsia="TimesNewRoman,Bold" w:hAnsi="Times New Roman" w:cs="Times New Roman"/>
          <w:kern w:val="0"/>
          <w:sz w:val="22"/>
          <w:szCs w:val="22"/>
          <w:lang w:eastAsia="lt-LT"/>
          <w14:ligatures w14:val="none"/>
        </w:rPr>
        <w:t xml:space="preserve"> ją galima vartoti </w:t>
      </w:r>
      <w:r w:rsidR="0079600C">
        <w:rPr>
          <w:rFonts w:ascii="Times New Roman" w:eastAsia="TimesNewRoman,Bold" w:hAnsi="Times New Roman" w:cs="Times New Roman"/>
          <w:kern w:val="0"/>
          <w:sz w:val="22"/>
          <w:szCs w:val="22"/>
          <w:lang w:eastAsia="lt-LT"/>
          <w14:ligatures w14:val="none"/>
        </w:rPr>
        <w:t xml:space="preserve">/ duoti </w:t>
      </w:r>
      <w:r w:rsidR="006162A5" w:rsidRPr="00D21DFA">
        <w:rPr>
          <w:rFonts w:ascii="Times New Roman" w:eastAsia="TimesNewRoman,Bold" w:hAnsi="Times New Roman" w:cs="Times New Roman"/>
          <w:kern w:val="0"/>
          <w:sz w:val="22"/>
          <w:szCs w:val="22"/>
          <w:lang w:eastAsia="lt-LT"/>
          <w14:ligatures w14:val="none"/>
        </w:rPr>
        <w:t>kartu su vakarine doze. Praleistą vakarinę dozę galima vartoti</w:t>
      </w:r>
      <w:r w:rsidR="0079600C">
        <w:rPr>
          <w:rFonts w:ascii="Times New Roman" w:eastAsia="TimesNewRoman,Bold" w:hAnsi="Times New Roman" w:cs="Times New Roman"/>
          <w:kern w:val="0"/>
          <w:sz w:val="22"/>
          <w:szCs w:val="22"/>
          <w:lang w:eastAsia="lt-LT"/>
          <w14:ligatures w14:val="none"/>
        </w:rPr>
        <w:t xml:space="preserve"> / duoti</w:t>
      </w:r>
      <w:r w:rsidR="006162A5" w:rsidRPr="00D21DFA">
        <w:rPr>
          <w:rFonts w:ascii="Times New Roman" w:eastAsia="TimesNewRoman,Bold" w:hAnsi="Times New Roman" w:cs="Times New Roman"/>
          <w:kern w:val="0"/>
          <w:sz w:val="22"/>
          <w:szCs w:val="22"/>
          <w:lang w:eastAsia="lt-LT"/>
          <w14:ligatures w14:val="none"/>
        </w:rPr>
        <w:t xml:space="preserve"> tik tą patį vakarą. Nevartokite </w:t>
      </w:r>
      <w:r w:rsidR="0079600C">
        <w:rPr>
          <w:rFonts w:ascii="Times New Roman" w:eastAsia="TimesNewRoman,Bold" w:hAnsi="Times New Roman" w:cs="Times New Roman"/>
          <w:kern w:val="0"/>
          <w:sz w:val="22"/>
          <w:szCs w:val="22"/>
          <w:lang w:eastAsia="lt-LT"/>
          <w14:ligatures w14:val="none"/>
        </w:rPr>
        <w:t xml:space="preserve">/ neduokite </w:t>
      </w:r>
      <w:r w:rsidR="006162A5" w:rsidRPr="00D21DFA">
        <w:rPr>
          <w:rFonts w:ascii="Times New Roman" w:eastAsia="TimesNewRoman,Bold" w:hAnsi="Times New Roman" w:cs="Times New Roman"/>
          <w:kern w:val="0"/>
          <w:sz w:val="22"/>
          <w:szCs w:val="22"/>
          <w:lang w:eastAsia="lt-LT"/>
          <w14:ligatures w14:val="none"/>
        </w:rPr>
        <w:t xml:space="preserve">dviejų dozių kitą rytą. Kitą dieną </w:t>
      </w:r>
      <w:r w:rsidRPr="00D21DFA">
        <w:rPr>
          <w:rFonts w:ascii="Times New Roman" w:eastAsia="TimesNewRoman,Bold" w:hAnsi="Times New Roman" w:cs="Times New Roman"/>
          <w:kern w:val="0"/>
          <w:sz w:val="22"/>
          <w:szCs w:val="22"/>
          <w:lang w:eastAsia="lt-LT"/>
          <w14:ligatures w14:val="none"/>
        </w:rPr>
        <w:t xml:space="preserve">toliau vartokite </w:t>
      </w:r>
      <w:r w:rsidR="0079600C">
        <w:rPr>
          <w:rFonts w:ascii="Times New Roman" w:eastAsia="TimesNewRoman,Bold" w:hAnsi="Times New Roman" w:cs="Times New Roman"/>
          <w:kern w:val="0"/>
          <w:sz w:val="22"/>
          <w:szCs w:val="22"/>
          <w:lang w:eastAsia="lt-LT"/>
          <w14:ligatures w14:val="none"/>
        </w:rPr>
        <w:t xml:space="preserve">/ duokite </w:t>
      </w:r>
      <w:r w:rsidR="006162A5" w:rsidRPr="00D21DFA">
        <w:rPr>
          <w:rFonts w:ascii="Times New Roman" w:eastAsia="TimesNewRoman,Bold" w:hAnsi="Times New Roman" w:cs="Times New Roman"/>
          <w:kern w:val="0"/>
          <w:sz w:val="22"/>
          <w:szCs w:val="22"/>
          <w:lang w:eastAsia="lt-LT"/>
          <w14:ligatures w14:val="none"/>
        </w:rPr>
        <w:t xml:space="preserve">įprastą dozę du kartus per parą, kaip rekomenduojama </w:t>
      </w:r>
      <w:r w:rsidRPr="00D21DFA">
        <w:rPr>
          <w:rFonts w:ascii="Times New Roman" w:eastAsia="TimesNewRoman,Bold" w:hAnsi="Times New Roman" w:cs="Times New Roman"/>
          <w:kern w:val="0"/>
          <w:sz w:val="22"/>
          <w:szCs w:val="22"/>
          <w:lang w:eastAsia="lt-LT"/>
          <w14:ligatures w14:val="none"/>
        </w:rPr>
        <w:t>pagal dozavimo planą.</w:t>
      </w:r>
    </w:p>
    <w:p w14:paraId="2D34D777" w14:textId="7359B2C8" w:rsidR="00C95D96" w:rsidRPr="00D21DFA" w:rsidRDefault="00C95D96" w:rsidP="00C95D96">
      <w:pPr>
        <w:numPr>
          <w:ilvl w:val="0"/>
          <w:numId w:val="13"/>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 xml:space="preserve">Nenutraukite </w:t>
      </w:r>
      <w:proofErr w:type="spellStart"/>
      <w:r w:rsidRPr="00D21DFA">
        <w:rPr>
          <w:rFonts w:ascii="Times New Roman" w:eastAsia="TimesNewRoman,Bold" w:hAnsi="Times New Roman" w:cs="Times New Roman"/>
          <w:bCs/>
          <w:kern w:val="0"/>
          <w:sz w:val="22"/>
          <w:szCs w:val="22"/>
          <w:lang w:eastAsia="lt-LT"/>
          <w14:ligatures w14:val="none"/>
        </w:rPr>
        <w:t>Apixaban</w:t>
      </w:r>
      <w:proofErr w:type="spellEnd"/>
      <w:r w:rsidRPr="00D21DFA">
        <w:rPr>
          <w:rFonts w:ascii="Times New Roman" w:eastAsia="TimesNewRoman,Bold" w:hAnsi="Times New Roman" w:cs="Times New Roman"/>
          <w:bCs/>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r w:rsidRPr="00D21DFA">
        <w:rPr>
          <w:rFonts w:ascii="Times New Roman" w:eastAsia="TimesNewRoman,Bold" w:hAnsi="Times New Roman" w:cs="Times New Roman"/>
          <w:kern w:val="0"/>
          <w:sz w:val="22"/>
          <w:szCs w:val="22"/>
          <w:lang w:eastAsia="lt-LT"/>
          <w14:ligatures w14:val="none"/>
        </w:rPr>
        <w:t>vartojimo</w:t>
      </w:r>
      <w:r w:rsidR="0079600C">
        <w:rPr>
          <w:rFonts w:ascii="Times New Roman" w:eastAsia="TimesNewRoman,Bold" w:hAnsi="Times New Roman" w:cs="Times New Roman"/>
          <w:kern w:val="0"/>
          <w:sz w:val="22"/>
          <w:szCs w:val="22"/>
          <w:lang w:eastAsia="lt-LT"/>
          <w14:ligatures w14:val="none"/>
        </w:rPr>
        <w:t xml:space="preserve"> / davimo</w:t>
      </w:r>
      <w:r w:rsidRPr="00D21DFA">
        <w:rPr>
          <w:rFonts w:ascii="Times New Roman" w:eastAsia="TimesNewRoman,Bold" w:hAnsi="Times New Roman" w:cs="Times New Roman"/>
          <w:kern w:val="0"/>
          <w:sz w:val="22"/>
          <w:szCs w:val="22"/>
          <w:lang w:eastAsia="lt-LT"/>
          <w14:ligatures w14:val="none"/>
        </w:rPr>
        <w:t xml:space="preserve"> nepasitarę su gydytoju, nes </w:t>
      </w:r>
      <w:r w:rsidR="0079600C">
        <w:rPr>
          <w:rFonts w:ascii="Times New Roman" w:eastAsia="TimesNewRoman,Bold" w:hAnsi="Times New Roman" w:cs="Times New Roman"/>
          <w:kern w:val="0"/>
          <w:sz w:val="22"/>
          <w:szCs w:val="22"/>
          <w:lang w:eastAsia="lt-LT"/>
          <w14:ligatures w14:val="none"/>
        </w:rPr>
        <w:t xml:space="preserve">Jums / pacientui </w:t>
      </w:r>
      <w:r w:rsidRPr="00D21DFA">
        <w:rPr>
          <w:rFonts w:ascii="Times New Roman" w:eastAsia="TimesNewRoman,Bold" w:hAnsi="Times New Roman" w:cs="Times New Roman"/>
          <w:kern w:val="0"/>
          <w:sz w:val="22"/>
          <w:szCs w:val="22"/>
          <w:lang w:eastAsia="lt-LT"/>
          <w14:ligatures w14:val="none"/>
        </w:rPr>
        <w:t xml:space="preserve">kiltų insulto </w:t>
      </w:r>
      <w:r w:rsidR="00517C77">
        <w:rPr>
          <w:rFonts w:ascii="Times New Roman" w:eastAsia="TimesNewRoman,Bold" w:hAnsi="Times New Roman" w:cs="Times New Roman"/>
          <w:kern w:val="0"/>
          <w:sz w:val="22"/>
          <w:szCs w:val="22"/>
          <w:lang w:eastAsia="lt-LT"/>
          <w14:ligatures w14:val="none"/>
        </w:rPr>
        <w:t>/ kraujo krešulio</w:t>
      </w:r>
      <w:r w:rsidRPr="00D21DFA">
        <w:rPr>
          <w:rFonts w:ascii="Times New Roman" w:eastAsia="TimesNewRoman,Bold" w:hAnsi="Times New Roman" w:cs="Times New Roman"/>
          <w:kern w:val="0"/>
          <w:sz w:val="22"/>
          <w:szCs w:val="22"/>
          <w:lang w:eastAsia="lt-LT"/>
          <w14:ligatures w14:val="none"/>
        </w:rPr>
        <w:t xml:space="preserve"> ar kitokių komplikacijų rizika.</w:t>
      </w:r>
    </w:p>
    <w:p w14:paraId="5F3AB3D0" w14:textId="12EBF961" w:rsidR="00C95D96" w:rsidRPr="00D21DFA" w:rsidRDefault="00C95D96" w:rsidP="00C95D96">
      <w:pPr>
        <w:numPr>
          <w:ilvl w:val="0"/>
          <w:numId w:val="14"/>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D21DFA">
        <w:rPr>
          <w:rFonts w:ascii="Times New Roman" w:eastAsia="TimesNewRoman,Bold" w:hAnsi="Times New Roman" w:cs="Times New Roman"/>
          <w:bCs/>
          <w:kern w:val="0"/>
          <w:sz w:val="22"/>
          <w:szCs w:val="22"/>
          <w:lang w:eastAsia="lt-LT"/>
          <w14:ligatures w14:val="none"/>
        </w:rPr>
        <w:t>Apixaban</w:t>
      </w:r>
      <w:proofErr w:type="spellEnd"/>
      <w:r w:rsidRPr="00D21DFA">
        <w:rPr>
          <w:rFonts w:ascii="Times New Roman" w:eastAsia="TimesNewRoman,Bold" w:hAnsi="Times New Roman" w:cs="Times New Roman"/>
          <w:bCs/>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r w:rsidRPr="00D21DFA">
        <w:rPr>
          <w:rFonts w:ascii="Times New Roman" w:eastAsia="TimesNewRoman,Bold" w:hAnsi="Times New Roman" w:cs="Times New Roman"/>
          <w:kern w:val="0"/>
          <w:sz w:val="22"/>
          <w:szCs w:val="22"/>
          <w:lang w:eastAsia="lt-LT"/>
          <w14:ligatures w14:val="none"/>
        </w:rPr>
        <w:t>padeda skystinti kraują. Tačiau dėl to gali būti didesnė kraujavimo rizika.</w:t>
      </w:r>
    </w:p>
    <w:p w14:paraId="6A112C9E" w14:textId="77777777" w:rsidR="00C95D96" w:rsidRPr="00D21DFA" w:rsidRDefault="00C95D96" w:rsidP="00C95D96">
      <w:pPr>
        <w:numPr>
          <w:ilvl w:val="0"/>
          <w:numId w:val="15"/>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2FE9A57B" w14:textId="77777777" w:rsidR="00C95D96" w:rsidRPr="00D21DFA" w:rsidRDefault="00C95D96" w:rsidP="00C95D96">
      <w:pPr>
        <w:numPr>
          <w:ilvl w:val="0"/>
          <w:numId w:val="16"/>
        </w:numPr>
        <w:tabs>
          <w:tab w:val="left" w:pos="567"/>
        </w:tabs>
        <w:autoSpaceDE w:val="0"/>
        <w:autoSpaceDN w:val="0"/>
        <w:adjustRightInd w:val="0"/>
        <w:spacing w:after="0" w:line="240" w:lineRule="auto"/>
        <w:ind w:left="709"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Jeigu pasireiškia kraujavimas, kuris nenustoja savaime, nedelsdami kreipkitės medicininės pagalbos.</w:t>
      </w:r>
    </w:p>
    <w:p w14:paraId="317E31BB" w14:textId="3D216CC1" w:rsidR="00C95D96" w:rsidRPr="00D21DFA" w:rsidRDefault="00C95D96" w:rsidP="00C95D96">
      <w:pPr>
        <w:numPr>
          <w:ilvl w:val="0"/>
          <w:numId w:val="17"/>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Jeigu Jums</w:t>
      </w:r>
      <w:r w:rsidR="0079600C">
        <w:rPr>
          <w:rFonts w:ascii="Times New Roman" w:eastAsia="TimesNewRoman,Bold" w:hAnsi="Times New Roman" w:cs="Times New Roman"/>
          <w:kern w:val="0"/>
          <w:sz w:val="22"/>
          <w:szCs w:val="22"/>
          <w:lang w:eastAsia="lt-LT"/>
          <w14:ligatures w14:val="none"/>
        </w:rPr>
        <w:t xml:space="preserve"> / pacientui</w:t>
      </w:r>
      <w:r w:rsidRPr="00D21DFA">
        <w:rPr>
          <w:rFonts w:ascii="Times New Roman" w:eastAsia="TimesNewRoman,Bold" w:hAnsi="Times New Roman" w:cs="Times New Roman"/>
          <w:kern w:val="0"/>
          <w:sz w:val="22"/>
          <w:szCs w:val="22"/>
          <w:lang w:eastAsia="lt-LT"/>
          <w14:ligatures w14:val="none"/>
        </w:rPr>
        <w:t xml:space="preserve"> reikalinga chirurginė operacija ar bet kokia invazinė procedūra, informuokite </w:t>
      </w:r>
      <w:r w:rsidR="00517C77">
        <w:rPr>
          <w:rFonts w:ascii="Times New Roman" w:eastAsia="TimesNewRoman,Bold" w:hAnsi="Times New Roman" w:cs="Times New Roman"/>
          <w:kern w:val="0"/>
          <w:sz w:val="22"/>
          <w:szCs w:val="22"/>
          <w:lang w:eastAsia="lt-LT"/>
          <w14:ligatures w14:val="none"/>
        </w:rPr>
        <w:t>gydytoją</w:t>
      </w:r>
      <w:r w:rsidRPr="00D21DFA">
        <w:rPr>
          <w:rFonts w:ascii="Times New Roman" w:eastAsia="TimesNewRoman,Bold" w:hAnsi="Times New Roman" w:cs="Times New Roman"/>
          <w:kern w:val="0"/>
          <w:sz w:val="22"/>
          <w:szCs w:val="22"/>
          <w:lang w:eastAsia="lt-LT"/>
          <w14:ligatures w14:val="none"/>
        </w:rPr>
        <w:t xml:space="preserve">, kad </w:t>
      </w:r>
      <w:r w:rsidR="0079600C">
        <w:rPr>
          <w:rFonts w:ascii="Times New Roman" w:eastAsia="TimesNewRoman,Bold" w:hAnsi="Times New Roman" w:cs="Times New Roman"/>
          <w:kern w:val="0"/>
          <w:sz w:val="22"/>
          <w:szCs w:val="22"/>
          <w:lang w:eastAsia="lt-LT"/>
          <w14:ligatures w14:val="none"/>
        </w:rPr>
        <w:t xml:space="preserve">Jūs / pacientas </w:t>
      </w:r>
      <w:r w:rsidRPr="00D21DFA">
        <w:rPr>
          <w:rFonts w:ascii="Times New Roman" w:eastAsia="TimesNewRoman,Bold" w:hAnsi="Times New Roman" w:cs="Times New Roman"/>
          <w:kern w:val="0"/>
          <w:sz w:val="22"/>
          <w:szCs w:val="22"/>
          <w:lang w:eastAsia="lt-LT"/>
          <w14:ligatures w14:val="none"/>
        </w:rPr>
        <w:t xml:space="preserve">vartoja </w:t>
      </w:r>
      <w:proofErr w:type="spellStart"/>
      <w:r w:rsidRPr="00D21DFA">
        <w:rPr>
          <w:rFonts w:ascii="Times New Roman" w:eastAsia="TimesNewRoman,Bold" w:hAnsi="Times New Roman" w:cs="Times New Roman"/>
          <w:kern w:val="0"/>
          <w:sz w:val="22"/>
          <w:szCs w:val="22"/>
          <w:lang w:eastAsia="lt-LT"/>
          <w14:ligatures w14:val="none"/>
        </w:rPr>
        <w:t>Apixaban</w:t>
      </w:r>
      <w:proofErr w:type="spellEnd"/>
      <w:r w:rsidRPr="00D21DFA">
        <w:rPr>
          <w:rFonts w:ascii="Times New Roman" w:eastAsia="TimesNewRoman,Bold" w:hAnsi="Times New Roman" w:cs="Times New Roman"/>
          <w:kern w:val="0"/>
          <w:sz w:val="22"/>
          <w:szCs w:val="22"/>
          <w:lang w:eastAsia="lt-LT"/>
          <w14:ligatures w14:val="none"/>
        </w:rPr>
        <w:t xml:space="preserve"> </w:t>
      </w:r>
      <w:proofErr w:type="spellStart"/>
      <w:r w:rsidRPr="00D21DFA">
        <w:rPr>
          <w:rFonts w:ascii="Times New Roman" w:eastAsia="TimesNewRoman,Bold" w:hAnsi="Times New Roman" w:cs="Times New Roman"/>
          <w:kern w:val="0"/>
          <w:sz w:val="22"/>
          <w:szCs w:val="22"/>
          <w:lang w:eastAsia="lt-LT"/>
          <w14:ligatures w14:val="none"/>
        </w:rPr>
        <w:t>Zentiva</w:t>
      </w:r>
      <w:proofErr w:type="spellEnd"/>
      <w:r w:rsidRPr="00D21DFA">
        <w:rPr>
          <w:rFonts w:ascii="Times New Roman" w:eastAsia="TimesNewRoman,Bold" w:hAnsi="Times New Roman" w:cs="Times New Roman"/>
          <w:kern w:val="0"/>
          <w:sz w:val="22"/>
          <w:szCs w:val="22"/>
          <w:lang w:eastAsia="lt-LT"/>
          <w14:ligatures w14:val="none"/>
        </w:rPr>
        <w:t>.</w:t>
      </w:r>
    </w:p>
    <w:p w14:paraId="5146A8CD"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p>
    <w:p w14:paraId="1EC6A075" w14:textId="40C5BF01" w:rsidR="00C95D96" w:rsidRPr="00D21DFA" w:rsidRDefault="008C3A33" w:rsidP="00680F98">
      <w:pPr>
        <w:autoSpaceDE w:val="0"/>
        <w:autoSpaceDN w:val="0"/>
        <w:adjustRightInd w:val="0"/>
        <w:spacing w:after="0" w:line="240" w:lineRule="auto"/>
        <w:ind w:right="-2"/>
        <w:jc w:val="right"/>
        <w:rPr>
          <w:rFonts w:ascii="Times New Roman" w:eastAsia="TimesNewRoman,Bold" w:hAnsi="Times New Roman" w:cs="Times New Roman"/>
          <w:kern w:val="0"/>
          <w:sz w:val="22"/>
          <w:szCs w:val="22"/>
          <w:lang w:eastAsia="lt-LT"/>
          <w14:ligatures w14:val="none"/>
        </w:rPr>
      </w:pPr>
      <w:r w:rsidRPr="00AD1A35">
        <w:rPr>
          <w:rFonts w:ascii="Times New Roman" w:eastAsia="TimesNewRoman,Bold" w:hAnsi="Times New Roman" w:cs="Times New Roman"/>
          <w:kern w:val="0"/>
          <w:sz w:val="22"/>
          <w:szCs w:val="22"/>
          <w:lang w:eastAsia="lt-LT"/>
          <w14:ligatures w14:val="none"/>
        </w:rPr>
        <w:t>{MMMM m. {mėnesio} mėn.}</w:t>
      </w:r>
    </w:p>
    <w:p w14:paraId="75ED0BBD" w14:textId="77777777" w:rsidR="008C3A33" w:rsidRPr="00AD1A35" w:rsidRDefault="008C3A33" w:rsidP="00AD1A35">
      <w:pPr>
        <w:autoSpaceDE w:val="0"/>
        <w:autoSpaceDN w:val="0"/>
        <w:adjustRightInd w:val="0"/>
        <w:spacing w:after="0" w:line="240" w:lineRule="auto"/>
        <w:ind w:right="-2"/>
        <w:jc w:val="right"/>
        <w:rPr>
          <w:rFonts w:ascii="Times New Roman" w:eastAsia="TimesNewRoman,Bold" w:hAnsi="Times New Roman" w:cs="Times New Roman"/>
          <w:kern w:val="0"/>
          <w:sz w:val="22"/>
          <w:szCs w:val="22"/>
          <w:lang w:eastAsia="lt-LT"/>
          <w14:ligatures w14:val="none"/>
        </w:rPr>
      </w:pPr>
    </w:p>
    <w:p w14:paraId="45067621" w14:textId="77777777" w:rsidR="00C95D96" w:rsidRPr="00D21DFA" w:rsidRDefault="00C95D96" w:rsidP="00C95D96">
      <w:pPr>
        <w:autoSpaceDE w:val="0"/>
        <w:autoSpaceDN w:val="0"/>
        <w:adjustRightInd w:val="0"/>
        <w:spacing w:after="0" w:line="240" w:lineRule="auto"/>
        <w:ind w:right="-2"/>
        <w:rPr>
          <w:rFonts w:ascii="Times New Roman" w:eastAsia="TimesNewRoman,Bold" w:hAnsi="Times New Roman" w:cs="Times New Roman"/>
          <w:b/>
          <w:bCs/>
          <w:kern w:val="0"/>
          <w:sz w:val="22"/>
          <w:szCs w:val="22"/>
          <w:lang w:eastAsia="lt-LT"/>
          <w14:ligatures w14:val="none"/>
        </w:rPr>
      </w:pPr>
      <w:r w:rsidRPr="00D21DFA">
        <w:rPr>
          <w:rFonts w:ascii="Times New Roman" w:eastAsia="TimesNewRoman,Bold" w:hAnsi="Times New Roman" w:cs="Times New Roman"/>
          <w:b/>
          <w:bCs/>
          <w:kern w:val="0"/>
          <w:sz w:val="22"/>
          <w:szCs w:val="22"/>
          <w:lang w:eastAsia="lt-LT"/>
          <w14:ligatures w14:val="none"/>
        </w:rPr>
        <w:t>Informacija sveikatos priežiūros specialistams</w:t>
      </w:r>
    </w:p>
    <w:p w14:paraId="23EEB0B9" w14:textId="77777777" w:rsidR="00C95D96" w:rsidRPr="00D21DFA" w:rsidRDefault="00C95D96" w:rsidP="00C95D96">
      <w:pPr>
        <w:numPr>
          <w:ilvl w:val="0"/>
          <w:numId w:val="18"/>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D21DFA">
        <w:rPr>
          <w:rFonts w:ascii="Times New Roman" w:eastAsia="TimesNewRoman,Bold" w:hAnsi="Times New Roman" w:cs="Times New Roman"/>
          <w:bCs/>
          <w:kern w:val="0"/>
          <w:sz w:val="22"/>
          <w:szCs w:val="22"/>
          <w:lang w:eastAsia="lt-LT"/>
          <w14:ligatures w14:val="none"/>
        </w:rPr>
        <w:t>Apixaban</w:t>
      </w:r>
      <w:proofErr w:type="spellEnd"/>
      <w:r w:rsidRPr="00D21DFA">
        <w:rPr>
          <w:rFonts w:ascii="Times New Roman" w:eastAsia="TimesNewRoman,Bold" w:hAnsi="Times New Roman" w:cs="Times New Roman"/>
          <w:bCs/>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r w:rsidRPr="00D21DFA">
        <w:rPr>
          <w:rFonts w:ascii="Times New Roman" w:eastAsia="TimesNewRoman,Bold" w:hAnsi="Times New Roman" w:cs="Times New Roman"/>
          <w:kern w:val="0"/>
          <w:sz w:val="22"/>
          <w:szCs w:val="22"/>
          <w:lang w:eastAsia="lt-LT"/>
          <w14:ligatures w14:val="none"/>
        </w:rPr>
        <w:t>(</w:t>
      </w:r>
      <w:proofErr w:type="spellStart"/>
      <w:r w:rsidRPr="00D21DFA">
        <w:rPr>
          <w:rFonts w:ascii="Times New Roman" w:eastAsia="TimesNewRoman,Bold" w:hAnsi="Times New Roman" w:cs="Times New Roman"/>
          <w:kern w:val="0"/>
          <w:sz w:val="22"/>
          <w:szCs w:val="22"/>
          <w:lang w:eastAsia="lt-LT"/>
          <w14:ligatures w14:val="none"/>
        </w:rPr>
        <w:t>apiksabanas</w:t>
      </w:r>
      <w:proofErr w:type="spellEnd"/>
      <w:r w:rsidRPr="00D21DFA">
        <w:rPr>
          <w:rFonts w:ascii="Times New Roman" w:eastAsia="TimesNewRoman,Bold" w:hAnsi="Times New Roman" w:cs="Times New Roman"/>
          <w:kern w:val="0"/>
          <w:sz w:val="22"/>
          <w:szCs w:val="22"/>
          <w:lang w:eastAsia="lt-LT"/>
          <w14:ligatures w14:val="none"/>
        </w:rPr>
        <w:t xml:space="preserve">) yra geriamasis antikoaguliantas, kuris veikia tiesiogiai selektyviai slopindamas </w:t>
      </w:r>
      <w:proofErr w:type="spellStart"/>
      <w:r w:rsidRPr="00D21DFA">
        <w:rPr>
          <w:rFonts w:ascii="Times New Roman" w:eastAsia="TimesNewRoman,Bold" w:hAnsi="Times New Roman" w:cs="Times New Roman"/>
          <w:kern w:val="0"/>
          <w:sz w:val="22"/>
          <w:szCs w:val="22"/>
          <w:lang w:eastAsia="lt-LT"/>
          <w14:ligatures w14:val="none"/>
        </w:rPr>
        <w:t>Xa</w:t>
      </w:r>
      <w:proofErr w:type="spellEnd"/>
      <w:r w:rsidRPr="00D21DFA">
        <w:rPr>
          <w:rFonts w:ascii="Times New Roman" w:eastAsia="TimesNewRoman,Bold" w:hAnsi="Times New Roman" w:cs="Times New Roman"/>
          <w:kern w:val="0"/>
          <w:sz w:val="22"/>
          <w:szCs w:val="22"/>
          <w:lang w:eastAsia="lt-LT"/>
          <w14:ligatures w14:val="none"/>
        </w:rPr>
        <w:t xml:space="preserve"> faktorių.</w:t>
      </w:r>
    </w:p>
    <w:p w14:paraId="16FE6FCB" w14:textId="77777777" w:rsidR="00C95D96" w:rsidRPr="00D21DFA" w:rsidRDefault="00C95D96" w:rsidP="00C95D96">
      <w:pPr>
        <w:numPr>
          <w:ilvl w:val="0"/>
          <w:numId w:val="19"/>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proofErr w:type="spellStart"/>
      <w:r w:rsidRPr="00D21DFA">
        <w:rPr>
          <w:rFonts w:ascii="Times New Roman" w:eastAsia="TimesNewRoman,Bold" w:hAnsi="Times New Roman" w:cs="Times New Roman"/>
          <w:bCs/>
          <w:kern w:val="0"/>
          <w:sz w:val="22"/>
          <w:szCs w:val="22"/>
          <w:lang w:eastAsia="lt-LT"/>
          <w14:ligatures w14:val="none"/>
        </w:rPr>
        <w:t>Apixaban</w:t>
      </w:r>
      <w:proofErr w:type="spellEnd"/>
      <w:r w:rsidRPr="00D21DFA">
        <w:rPr>
          <w:rFonts w:ascii="Times New Roman" w:eastAsia="TimesNewRoman,Bold" w:hAnsi="Times New Roman" w:cs="Times New Roman"/>
          <w:bCs/>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Zentiva</w:t>
      </w:r>
      <w:proofErr w:type="spellEnd"/>
      <w:r w:rsidRPr="00D21DFA">
        <w:rPr>
          <w:rFonts w:ascii="Times New Roman" w:eastAsia="TimesNewRoman,Bold" w:hAnsi="Times New Roman" w:cs="Times New Roman"/>
          <w:b/>
          <w:bCs/>
          <w:kern w:val="0"/>
          <w:sz w:val="22"/>
          <w:szCs w:val="22"/>
          <w:lang w:eastAsia="lt-LT"/>
          <w14:ligatures w14:val="none"/>
        </w:rPr>
        <w:t xml:space="preserve"> </w:t>
      </w:r>
      <w:r w:rsidRPr="00D21DFA">
        <w:rPr>
          <w:rFonts w:ascii="Times New Roman" w:eastAsia="TimesNewRoman,Bold" w:hAnsi="Times New Roman" w:cs="Times New Roman"/>
          <w:kern w:val="0"/>
          <w:sz w:val="22"/>
          <w:szCs w:val="22"/>
          <w:lang w:eastAsia="lt-LT"/>
          <w14:ligatures w14:val="none"/>
        </w:rPr>
        <w:t>gali didinti kraujavimo riziką. Pasireiškus stipriam kraujavimui, jo vartojimas turi būti nedelsiant nutrauktas.</w:t>
      </w:r>
    </w:p>
    <w:p w14:paraId="3A137645" w14:textId="2671B947" w:rsidR="00C95D96" w:rsidRPr="00D21DFA" w:rsidRDefault="00C95D96" w:rsidP="00C95D96">
      <w:pPr>
        <w:numPr>
          <w:ilvl w:val="0"/>
          <w:numId w:val="20"/>
        </w:numPr>
        <w:tabs>
          <w:tab w:val="left" w:pos="567"/>
        </w:tabs>
        <w:autoSpaceDE w:val="0"/>
        <w:autoSpaceDN w:val="0"/>
        <w:adjustRightInd w:val="0"/>
        <w:spacing w:after="0" w:line="240" w:lineRule="auto"/>
        <w:ind w:right="-2"/>
        <w:rPr>
          <w:rFonts w:ascii="Times New Roman" w:eastAsia="TimesNewRoman,Bold"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 xml:space="preserve">Gydant </w:t>
      </w:r>
      <w:proofErr w:type="spellStart"/>
      <w:r w:rsidRPr="00D21DFA">
        <w:rPr>
          <w:rFonts w:ascii="Times New Roman" w:eastAsia="TimesNewRoman,Bold" w:hAnsi="Times New Roman" w:cs="Times New Roman"/>
          <w:bCs/>
          <w:kern w:val="0"/>
          <w:sz w:val="22"/>
          <w:szCs w:val="22"/>
          <w:lang w:eastAsia="lt-LT"/>
          <w14:ligatures w14:val="none"/>
        </w:rPr>
        <w:t>Apixaban</w:t>
      </w:r>
      <w:proofErr w:type="spellEnd"/>
      <w:r w:rsidRPr="00D21DFA">
        <w:rPr>
          <w:rFonts w:ascii="Times New Roman" w:eastAsia="TimesNewRoman,Bold" w:hAnsi="Times New Roman" w:cs="Times New Roman"/>
          <w:bCs/>
          <w:kern w:val="0"/>
          <w:sz w:val="22"/>
          <w:szCs w:val="22"/>
          <w:lang w:eastAsia="lt-LT"/>
          <w14:ligatures w14:val="none"/>
        </w:rPr>
        <w:t xml:space="preserve"> </w:t>
      </w:r>
      <w:proofErr w:type="spellStart"/>
      <w:r w:rsidRPr="00D21DFA">
        <w:rPr>
          <w:rFonts w:ascii="Times New Roman" w:eastAsia="TimesNewRoman,Bold" w:hAnsi="Times New Roman" w:cs="Times New Roman"/>
          <w:bCs/>
          <w:kern w:val="0"/>
          <w:sz w:val="22"/>
          <w:szCs w:val="22"/>
          <w:lang w:eastAsia="lt-LT"/>
          <w14:ligatures w14:val="none"/>
        </w:rPr>
        <w:t>Zentiva</w:t>
      </w:r>
      <w:proofErr w:type="spellEnd"/>
      <w:r w:rsidRPr="00D21DFA">
        <w:rPr>
          <w:rFonts w:ascii="Times New Roman" w:eastAsia="TimesNewRoman,Bold" w:hAnsi="Times New Roman" w:cs="Times New Roman"/>
          <w:kern w:val="0"/>
          <w:sz w:val="22"/>
          <w:szCs w:val="22"/>
          <w:lang w:eastAsia="lt-LT"/>
          <w14:ligatures w14:val="none"/>
        </w:rPr>
        <w:t xml:space="preserve"> įprastai stebėti jo ekspozicijos nereikia. Kalibruotas kiekybinis </w:t>
      </w:r>
      <w:proofErr w:type="spellStart"/>
      <w:r w:rsidRPr="00D21DFA">
        <w:rPr>
          <w:rFonts w:ascii="Times New Roman" w:eastAsia="TimesNewRoman,Bold" w:hAnsi="Times New Roman" w:cs="Times New Roman"/>
          <w:kern w:val="0"/>
          <w:sz w:val="22"/>
          <w:szCs w:val="22"/>
          <w:lang w:eastAsia="lt-LT"/>
          <w14:ligatures w14:val="none"/>
        </w:rPr>
        <w:t>anti</w:t>
      </w:r>
      <w:r w:rsidRPr="00D21DFA">
        <w:rPr>
          <w:rFonts w:ascii="Times New Roman" w:eastAsia="TimesNewRoman,Bold" w:hAnsi="Times New Roman" w:cs="Times New Roman"/>
          <w:kern w:val="0"/>
          <w:sz w:val="22"/>
          <w:szCs w:val="22"/>
          <w:lang w:eastAsia="lt-LT"/>
          <w14:ligatures w14:val="none"/>
        </w:rPr>
        <w:noBreakHyphen/>
        <w:t>Xa</w:t>
      </w:r>
      <w:proofErr w:type="spellEnd"/>
      <w:r w:rsidRPr="00D21DFA">
        <w:rPr>
          <w:rFonts w:ascii="Times New Roman" w:eastAsia="TimesNewRoman,Bold" w:hAnsi="Times New Roman" w:cs="Times New Roman"/>
          <w:kern w:val="0"/>
          <w:sz w:val="22"/>
          <w:szCs w:val="22"/>
          <w:lang w:eastAsia="lt-LT"/>
          <w14:ligatures w14:val="none"/>
        </w:rPr>
        <w:t xml:space="preserve"> faktoriaus mėginys gali būti naudingas išskirtinėmis aplinkybėmis, pavyzdžiui, perdozavimo ir neatidėliotinos operacijos atvejais (</w:t>
      </w:r>
      <w:proofErr w:type="spellStart"/>
      <w:r w:rsidRPr="00D21DFA">
        <w:rPr>
          <w:rFonts w:ascii="Times New Roman" w:eastAsia="TimesNewRoman,Bold" w:hAnsi="Times New Roman" w:cs="Times New Roman"/>
          <w:kern w:val="0"/>
          <w:sz w:val="22"/>
          <w:szCs w:val="22"/>
          <w:lang w:eastAsia="lt-LT"/>
          <w14:ligatures w14:val="none"/>
        </w:rPr>
        <w:t>protrombino</w:t>
      </w:r>
      <w:proofErr w:type="spellEnd"/>
      <w:r w:rsidRPr="00D21DFA">
        <w:rPr>
          <w:rFonts w:ascii="Times New Roman" w:eastAsia="TimesNewRoman,Bold" w:hAnsi="Times New Roman" w:cs="Times New Roman"/>
          <w:kern w:val="0"/>
          <w:sz w:val="22"/>
          <w:szCs w:val="22"/>
          <w:lang w:eastAsia="lt-LT"/>
          <w14:ligatures w14:val="none"/>
        </w:rPr>
        <w:t xml:space="preserve"> laiko (PL), </w:t>
      </w:r>
      <w:proofErr w:type="spellStart"/>
      <w:r w:rsidR="008C3A33" w:rsidRPr="00D21DFA">
        <w:rPr>
          <w:rFonts w:ascii="Times New Roman" w:eastAsia="TimesNewRoman,Bold" w:hAnsi="Times New Roman" w:cs="Times New Roman"/>
          <w:kern w:val="0"/>
          <w:sz w:val="22"/>
          <w:szCs w:val="22"/>
          <w:lang w:eastAsia="lt-LT"/>
          <w14:ligatures w14:val="none"/>
        </w:rPr>
        <w:t>arptautinio</w:t>
      </w:r>
      <w:proofErr w:type="spellEnd"/>
      <w:r w:rsidR="008C3A33" w:rsidRPr="00D21DFA">
        <w:rPr>
          <w:rFonts w:ascii="Times New Roman" w:eastAsia="TimesNewRoman,Bold" w:hAnsi="Times New Roman" w:cs="Times New Roman"/>
          <w:kern w:val="0"/>
          <w:sz w:val="22"/>
          <w:szCs w:val="22"/>
          <w:lang w:eastAsia="lt-LT"/>
          <w14:ligatures w14:val="none"/>
        </w:rPr>
        <w:t xml:space="preserve"> normalizuoto santykio (</w:t>
      </w:r>
      <w:r w:rsidRPr="00D21DFA">
        <w:rPr>
          <w:rFonts w:ascii="Times New Roman" w:eastAsia="TimesNewRoman,Bold" w:hAnsi="Times New Roman" w:cs="Times New Roman"/>
          <w:i/>
          <w:iCs/>
          <w:kern w:val="0"/>
          <w:sz w:val="22"/>
          <w:szCs w:val="22"/>
          <w:lang w:eastAsia="lt-LT"/>
          <w14:ligatures w14:val="none"/>
        </w:rPr>
        <w:t>INR</w:t>
      </w:r>
      <w:r w:rsidR="008C3A33" w:rsidRPr="00D21DFA">
        <w:rPr>
          <w:rFonts w:ascii="Times New Roman" w:eastAsia="TimesNewRoman,Bold" w:hAnsi="Times New Roman" w:cs="Times New Roman"/>
          <w:i/>
          <w:iCs/>
          <w:kern w:val="0"/>
          <w:sz w:val="22"/>
          <w:szCs w:val="22"/>
          <w:lang w:eastAsia="lt-LT"/>
          <w14:ligatures w14:val="none"/>
        </w:rPr>
        <w:t>)</w:t>
      </w:r>
      <w:r w:rsidRPr="00D21DFA">
        <w:rPr>
          <w:rFonts w:ascii="Times New Roman" w:eastAsia="TimesNewRoman,Bold" w:hAnsi="Times New Roman" w:cs="Times New Roman"/>
          <w:i/>
          <w:iCs/>
          <w:kern w:val="0"/>
          <w:sz w:val="22"/>
          <w:szCs w:val="22"/>
          <w:lang w:eastAsia="lt-LT"/>
          <w14:ligatures w14:val="none"/>
        </w:rPr>
        <w:t xml:space="preserve"> </w:t>
      </w:r>
      <w:r w:rsidRPr="00D21DFA">
        <w:rPr>
          <w:rFonts w:ascii="Times New Roman" w:eastAsia="TimesNewRoman,Bold" w:hAnsi="Times New Roman" w:cs="Times New Roman"/>
          <w:kern w:val="0"/>
          <w:sz w:val="22"/>
          <w:szCs w:val="22"/>
          <w:lang w:eastAsia="lt-LT"/>
          <w14:ligatures w14:val="none"/>
        </w:rPr>
        <w:t xml:space="preserve">ir aktyvinto dalinio </w:t>
      </w:r>
      <w:proofErr w:type="spellStart"/>
      <w:r w:rsidRPr="00D21DFA">
        <w:rPr>
          <w:rFonts w:ascii="Times New Roman" w:eastAsia="TimesNewRoman,Bold" w:hAnsi="Times New Roman" w:cs="Times New Roman"/>
          <w:kern w:val="0"/>
          <w:sz w:val="22"/>
          <w:szCs w:val="22"/>
          <w:lang w:eastAsia="lt-LT"/>
          <w14:ligatures w14:val="none"/>
        </w:rPr>
        <w:t>tromboplastino</w:t>
      </w:r>
      <w:proofErr w:type="spellEnd"/>
      <w:r w:rsidRPr="00D21DFA">
        <w:rPr>
          <w:rFonts w:ascii="Times New Roman" w:eastAsia="TimesNewRoman,Bold" w:hAnsi="Times New Roman" w:cs="Times New Roman"/>
          <w:kern w:val="0"/>
          <w:sz w:val="22"/>
          <w:szCs w:val="22"/>
          <w:lang w:eastAsia="lt-LT"/>
          <w14:ligatures w14:val="none"/>
        </w:rPr>
        <w:t xml:space="preserve"> laiko (</w:t>
      </w:r>
      <w:proofErr w:type="spellStart"/>
      <w:r w:rsidRPr="00D21DFA">
        <w:rPr>
          <w:rFonts w:ascii="Times New Roman" w:eastAsia="TimesNewRoman,Bold" w:hAnsi="Times New Roman" w:cs="Times New Roman"/>
          <w:kern w:val="0"/>
          <w:sz w:val="22"/>
          <w:szCs w:val="22"/>
          <w:lang w:eastAsia="lt-LT"/>
          <w14:ligatures w14:val="none"/>
        </w:rPr>
        <w:t>aDTL</w:t>
      </w:r>
      <w:proofErr w:type="spellEnd"/>
      <w:r w:rsidRPr="00D21DFA">
        <w:rPr>
          <w:rFonts w:ascii="Times New Roman" w:eastAsia="TimesNewRoman,Bold" w:hAnsi="Times New Roman" w:cs="Times New Roman"/>
          <w:kern w:val="0"/>
          <w:sz w:val="22"/>
          <w:szCs w:val="22"/>
          <w:lang w:eastAsia="lt-LT"/>
          <w14:ligatures w14:val="none"/>
        </w:rPr>
        <w:t>) krešėjimo mėginiai yra nerekomenduojami)- žr. PCS.</w:t>
      </w:r>
    </w:p>
    <w:p w14:paraId="6EC5CEB8" w14:textId="314979E3" w:rsidR="008C3A33" w:rsidRPr="0015139D" w:rsidRDefault="00C95D96" w:rsidP="0015139D">
      <w:pPr>
        <w:numPr>
          <w:ilvl w:val="0"/>
          <w:numId w:val="21"/>
        </w:numPr>
        <w:tabs>
          <w:tab w:val="left" w:pos="567"/>
        </w:tabs>
        <w:autoSpaceDE w:val="0"/>
        <w:autoSpaceDN w:val="0"/>
        <w:adjustRightInd w:val="0"/>
        <w:spacing w:after="0" w:line="240" w:lineRule="auto"/>
        <w:ind w:right="-2"/>
        <w:rPr>
          <w:rFonts w:ascii="Times New Roman" w:eastAsia="Calibri" w:hAnsi="Times New Roman" w:cs="Times New Roman"/>
          <w:kern w:val="0"/>
          <w:sz w:val="22"/>
          <w:szCs w:val="22"/>
          <w:lang w:eastAsia="lt-LT"/>
          <w14:ligatures w14:val="none"/>
        </w:rPr>
      </w:pPr>
      <w:r w:rsidRPr="00D21DFA">
        <w:rPr>
          <w:rFonts w:ascii="Times New Roman" w:eastAsia="TimesNewRoman,Bold" w:hAnsi="Times New Roman" w:cs="Times New Roman"/>
          <w:kern w:val="0"/>
          <w:sz w:val="22"/>
          <w:szCs w:val="22"/>
          <w:lang w:eastAsia="lt-LT"/>
          <w14:ligatures w14:val="none"/>
        </w:rPr>
        <w:t xml:space="preserve">Yra </w:t>
      </w:r>
      <w:bookmarkStart w:id="6" w:name="_Hlk77340319"/>
      <w:r w:rsidR="0015139D">
        <w:rPr>
          <w:rFonts w:ascii="Times New Roman" w:eastAsia="TimesNewRoman,Bold" w:hAnsi="Times New Roman" w:cs="Times New Roman"/>
          <w:kern w:val="0"/>
          <w:sz w:val="22"/>
          <w:szCs w:val="22"/>
          <w:lang w:eastAsia="lt-LT"/>
          <w14:ligatures w14:val="none"/>
        </w:rPr>
        <w:t xml:space="preserve">suaugusiesiems skirtas </w:t>
      </w:r>
      <w:r w:rsidRPr="00D21DFA">
        <w:rPr>
          <w:rFonts w:ascii="Times New Roman" w:eastAsia="TimesNewRoman,Bold" w:hAnsi="Times New Roman" w:cs="Times New Roman"/>
          <w:kern w:val="0"/>
          <w:sz w:val="22"/>
          <w:szCs w:val="22"/>
          <w:lang w:eastAsia="lt-LT"/>
          <w14:ligatures w14:val="none"/>
        </w:rPr>
        <w:t xml:space="preserve">vaistinis preparatas, kuris neutralizuoja </w:t>
      </w:r>
      <w:bookmarkEnd w:id="6"/>
      <w:proofErr w:type="spellStart"/>
      <w:r w:rsidRPr="00D21DFA">
        <w:rPr>
          <w:rFonts w:ascii="Times New Roman" w:eastAsia="TimesNewRoman,Bold" w:hAnsi="Times New Roman" w:cs="Times New Roman"/>
          <w:kern w:val="0"/>
          <w:sz w:val="22"/>
          <w:szCs w:val="22"/>
          <w:lang w:eastAsia="lt-LT"/>
          <w14:ligatures w14:val="none"/>
        </w:rPr>
        <w:t>apiksabano</w:t>
      </w:r>
      <w:proofErr w:type="spellEnd"/>
      <w:r w:rsidRPr="00D21DFA">
        <w:rPr>
          <w:rFonts w:ascii="Times New Roman" w:eastAsia="TimesNewRoman,Bold" w:hAnsi="Times New Roman" w:cs="Times New Roman"/>
          <w:kern w:val="0"/>
          <w:sz w:val="22"/>
          <w:szCs w:val="22"/>
          <w:lang w:eastAsia="lt-LT"/>
          <w14:ligatures w14:val="none"/>
        </w:rPr>
        <w:t xml:space="preserve"> slopinantį poveikį </w:t>
      </w:r>
      <w:proofErr w:type="spellStart"/>
      <w:r w:rsidRPr="00D21DFA">
        <w:rPr>
          <w:rFonts w:ascii="Times New Roman" w:eastAsia="TimesNewRoman,Bold" w:hAnsi="Times New Roman" w:cs="Times New Roman"/>
          <w:kern w:val="0"/>
          <w:sz w:val="22"/>
          <w:szCs w:val="22"/>
          <w:lang w:eastAsia="lt-LT"/>
          <w14:ligatures w14:val="none"/>
        </w:rPr>
        <w:t>Xa</w:t>
      </w:r>
      <w:proofErr w:type="spellEnd"/>
      <w:r w:rsidRPr="00D21DFA">
        <w:rPr>
          <w:rFonts w:ascii="Times New Roman" w:eastAsia="TimesNewRoman,Bold" w:hAnsi="Times New Roman" w:cs="Times New Roman"/>
          <w:kern w:val="0"/>
          <w:sz w:val="22"/>
          <w:szCs w:val="22"/>
          <w:lang w:eastAsia="lt-LT"/>
          <w14:ligatures w14:val="none"/>
        </w:rPr>
        <w:t xml:space="preserve"> faktoriui</w:t>
      </w:r>
      <w:r w:rsidR="0015139D">
        <w:rPr>
          <w:rFonts w:ascii="Times New Roman" w:eastAsia="TimesNewRoman,Bold" w:hAnsi="Times New Roman" w:cs="Times New Roman"/>
          <w:kern w:val="0"/>
          <w:sz w:val="22"/>
          <w:szCs w:val="22"/>
          <w:lang w:eastAsia="lt-LT"/>
          <w14:ligatures w14:val="none"/>
        </w:rPr>
        <w:t xml:space="preserve">, tačiau jo saugumas ir veiksmingumas pacientams vaikams nenustatyti (žr. </w:t>
      </w:r>
      <w:proofErr w:type="spellStart"/>
      <w:r w:rsidR="0015139D">
        <w:rPr>
          <w:rFonts w:ascii="Times New Roman" w:eastAsia="TimesNewRoman,Bold" w:hAnsi="Times New Roman" w:cs="Times New Roman"/>
          <w:kern w:val="0"/>
          <w:sz w:val="22"/>
          <w:szCs w:val="22"/>
          <w:lang w:eastAsia="lt-LT"/>
          <w14:ligatures w14:val="none"/>
        </w:rPr>
        <w:t>andeksaneto</w:t>
      </w:r>
      <w:proofErr w:type="spellEnd"/>
      <w:r w:rsidR="0015139D">
        <w:rPr>
          <w:rFonts w:ascii="Times New Roman" w:eastAsia="TimesNewRoman,Bold" w:hAnsi="Times New Roman" w:cs="Times New Roman"/>
          <w:kern w:val="0"/>
          <w:sz w:val="22"/>
          <w:szCs w:val="22"/>
          <w:lang w:eastAsia="lt-LT"/>
          <w14:ligatures w14:val="none"/>
        </w:rPr>
        <w:t xml:space="preserve"> alfa preparato charakteristikų santrauką)</w:t>
      </w:r>
      <w:r w:rsidRPr="00D21DFA">
        <w:rPr>
          <w:rFonts w:ascii="Times New Roman" w:eastAsia="TimesNewRoman,Bold" w:hAnsi="Times New Roman" w:cs="Times New Roman"/>
          <w:kern w:val="0"/>
          <w:sz w:val="22"/>
          <w:szCs w:val="22"/>
          <w:lang w:eastAsia="lt-LT"/>
          <w14:ligatures w14:val="none"/>
        </w:rPr>
        <w:t>.</w:t>
      </w:r>
    </w:p>
    <w:bookmarkEnd w:id="4"/>
    <w:p w14:paraId="62CEA6B9" w14:textId="718A207A" w:rsidR="00C95D96" w:rsidRPr="00D21DFA"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2CDEE9AA" w14:textId="202FEBC3" w:rsidR="00C95D96" w:rsidRPr="00D21DFA"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25C83CBB" w14:textId="082CB15D" w:rsidR="00C95D96" w:rsidRPr="00D21DFA" w:rsidRDefault="00C95D96" w:rsidP="0015139D">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4A8EACB9" w14:textId="77777777" w:rsidR="00C95D96" w:rsidRPr="00D21DFA"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5E850827" w14:textId="77777777" w:rsidR="00C95D96" w:rsidRPr="00D21DFA" w:rsidRDefault="00C95D96" w:rsidP="00C95D96">
      <w:pPr>
        <w:tabs>
          <w:tab w:val="left" w:pos="5954"/>
          <w:tab w:val="left" w:pos="6237"/>
          <w:tab w:val="left" w:pos="6663"/>
          <w:tab w:val="left" w:pos="6946"/>
          <w:tab w:val="left" w:pos="9214"/>
        </w:tabs>
        <w:spacing w:after="0" w:line="240" w:lineRule="auto"/>
        <w:ind w:right="-2"/>
        <w:jc w:val="center"/>
        <w:rPr>
          <w:rFonts w:ascii="Times New Roman" w:eastAsia="SimSun" w:hAnsi="Times New Roman" w:cs="Times New Roman"/>
          <w:kern w:val="0"/>
          <w:sz w:val="20"/>
          <w:szCs w:val="20"/>
          <w14:ligatures w14:val="none"/>
        </w:rPr>
      </w:pPr>
    </w:p>
    <w:p w14:paraId="30969CEE" w14:textId="77777777" w:rsidR="00C95D96" w:rsidRPr="00D21DFA" w:rsidRDefault="00C95D96" w:rsidP="00C95D96">
      <w:pPr>
        <w:tabs>
          <w:tab w:val="left" w:pos="4962"/>
          <w:tab w:val="left" w:pos="9214"/>
        </w:tabs>
        <w:spacing w:after="0" w:line="240" w:lineRule="auto"/>
        <w:ind w:right="-2"/>
        <w:rPr>
          <w:rFonts w:ascii="Times New Roman" w:eastAsia="SimSun" w:hAnsi="Times New Roman" w:cs="Times New Roman"/>
          <w:color w:val="000000"/>
          <w:kern w:val="0"/>
          <w:szCs w:val="20"/>
          <w14:ligatures w14:val="none"/>
        </w:rPr>
      </w:pPr>
      <w:r w:rsidRPr="00D21DFA">
        <w:rPr>
          <w:rFonts w:ascii="Times New Roman" w:eastAsia="SimSun" w:hAnsi="Times New Roman" w:cs="Times New Roman"/>
          <w:kern w:val="0"/>
          <w:sz w:val="20"/>
          <w:szCs w:val="20"/>
          <w14:ligatures w14:val="none"/>
        </w:rPr>
        <w:br w:type="page"/>
      </w:r>
    </w:p>
    <w:p w14:paraId="1D0F2B5B" w14:textId="77777777" w:rsidR="00C95D96" w:rsidRPr="00D21DFA" w:rsidRDefault="00C95D96" w:rsidP="00C95D96">
      <w:pPr>
        <w:tabs>
          <w:tab w:val="left" w:pos="5954"/>
          <w:tab w:val="left" w:pos="6237"/>
          <w:tab w:val="left" w:pos="6663"/>
          <w:tab w:val="left" w:pos="6946"/>
          <w:tab w:val="left" w:pos="9214"/>
        </w:tabs>
        <w:spacing w:after="0" w:line="240" w:lineRule="auto"/>
        <w:ind w:right="-2"/>
        <w:rPr>
          <w:rFonts w:ascii="Times New Roman" w:eastAsia="SimSun" w:hAnsi="Times New Roman" w:cs="Times New Roman"/>
          <w:color w:val="000000"/>
          <w:kern w:val="0"/>
          <w:szCs w:val="20"/>
          <w14:ligatures w14:val="none"/>
        </w:rPr>
      </w:pPr>
    </w:p>
    <w:p w14:paraId="69FF142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9B6058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56FFA7B8"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8D2325C"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2E2B83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EC1995A"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1424F235"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686C8CE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76770B6"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65BBF52"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48C7986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C2DE183"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7731265E"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399E4CD"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31EB61AB"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2E0EA4C1" w14:textId="77777777"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p>
    <w:p w14:paraId="02D34C78"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7F294E96"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EB8DD22"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45084FDF"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AECF4DA"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F7A3D0B"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F848D90" w14:textId="77777777" w:rsidR="00C95D96" w:rsidRPr="00D21DFA" w:rsidRDefault="00C95D96" w:rsidP="00C95D96">
      <w:pPr>
        <w:tabs>
          <w:tab w:val="left" w:pos="567"/>
          <w:tab w:val="left" w:pos="9214"/>
        </w:tabs>
        <w:spacing w:after="0" w:line="240" w:lineRule="auto"/>
        <w:ind w:right="-2"/>
        <w:jc w:val="center"/>
        <w:outlineLvl w:val="0"/>
        <w:rPr>
          <w:rFonts w:ascii="Times New Roman" w:eastAsia="SimSun" w:hAnsi="Times New Roman" w:cs="Times New Roman"/>
          <w:snapToGrid w:val="0"/>
          <w:kern w:val="0"/>
          <w:sz w:val="22"/>
          <w:szCs w:val="20"/>
          <w14:ligatures w14:val="none"/>
        </w:rPr>
      </w:pPr>
      <w:r w:rsidRPr="00D21DFA">
        <w:rPr>
          <w:rFonts w:ascii="Times New Roman" w:eastAsia="SimSun" w:hAnsi="Times New Roman" w:cs="Times New Roman"/>
          <w:b/>
          <w:snapToGrid w:val="0"/>
          <w:kern w:val="0"/>
          <w:sz w:val="22"/>
          <w:szCs w:val="22"/>
          <w14:ligatures w14:val="none"/>
        </w:rPr>
        <w:t>B.</w:t>
      </w:r>
      <w:r w:rsidRPr="00D21DFA">
        <w:rPr>
          <w:rFonts w:ascii="Times New Roman" w:eastAsia="Times New Roman" w:hAnsi="Times New Roman" w:cs="Times New Roman"/>
          <w:b/>
          <w:snapToGrid w:val="0"/>
          <w:kern w:val="0"/>
          <w:sz w:val="22"/>
          <w:szCs w:val="20"/>
          <w14:ligatures w14:val="none"/>
        </w:rPr>
        <w:t xml:space="preserve"> PAKUOTĖS LAPELIS</w:t>
      </w:r>
    </w:p>
    <w:p w14:paraId="0B379A7E" w14:textId="77777777" w:rsidR="00C95D96" w:rsidRPr="00D21DFA" w:rsidRDefault="00C95D96" w:rsidP="00C95D96">
      <w:pPr>
        <w:tabs>
          <w:tab w:val="left" w:pos="720"/>
          <w:tab w:val="left" w:pos="9214"/>
        </w:tabs>
        <w:spacing w:after="0" w:line="240" w:lineRule="auto"/>
        <w:ind w:right="-2"/>
        <w:jc w:val="center"/>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br w:type="page"/>
      </w:r>
      <w:bookmarkStart w:id="7" w:name="_Hlk216877965"/>
      <w:r w:rsidRPr="00D21DFA">
        <w:rPr>
          <w:rFonts w:ascii="Times New Roman" w:eastAsia="Times New Roman" w:hAnsi="Times New Roman" w:cs="Times New Roman"/>
          <w:b/>
          <w:snapToGrid w:val="0"/>
          <w:kern w:val="0"/>
          <w:sz w:val="22"/>
          <w:szCs w:val="20"/>
          <w14:ligatures w14:val="none"/>
        </w:rPr>
        <w:lastRenderedPageBreak/>
        <w:t>Pakuotės lapelis: informacija pacientui</w:t>
      </w:r>
    </w:p>
    <w:p w14:paraId="6F2E8AB1" w14:textId="77777777" w:rsidR="00C95D96" w:rsidRPr="00D21DFA"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
    <w:p w14:paraId="678BADF9" w14:textId="77777777" w:rsidR="00C95D96" w:rsidRPr="00D21DFA"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2,5 mg plėvele dengtos tabletės </w:t>
      </w:r>
    </w:p>
    <w:p w14:paraId="749E0517" w14:textId="77777777" w:rsidR="00C95D96" w:rsidRPr="00D21DFA" w:rsidRDefault="00C95D96" w:rsidP="00C95D96">
      <w:pPr>
        <w:tabs>
          <w:tab w:val="left" w:pos="720"/>
          <w:tab w:val="left" w:pos="9214"/>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p>
    <w:p w14:paraId="6D36492D" w14:textId="77777777" w:rsidR="00C95D96" w:rsidRPr="00D21DFA" w:rsidRDefault="00C95D96" w:rsidP="00C95D96">
      <w:pPr>
        <w:tabs>
          <w:tab w:val="left" w:pos="720"/>
          <w:tab w:val="left" w:pos="9214"/>
        </w:tabs>
        <w:suppressAutoHyphens/>
        <w:spacing w:after="0" w:line="240" w:lineRule="auto"/>
        <w:ind w:left="142" w:right="-2" w:hanging="142"/>
        <w:rPr>
          <w:rFonts w:ascii="Times New Roman" w:eastAsia="Times New Roman" w:hAnsi="Times New Roman" w:cs="Times New Roman"/>
          <w:b/>
          <w:snapToGrid w:val="0"/>
          <w:kern w:val="0"/>
          <w:sz w:val="22"/>
          <w:szCs w:val="20"/>
          <w14:ligatures w14:val="none"/>
        </w:rPr>
      </w:pPr>
    </w:p>
    <w:p w14:paraId="56A22D12" w14:textId="77777777" w:rsidR="00C95D96" w:rsidRPr="00D21DFA" w:rsidRDefault="00C95D96" w:rsidP="00C95D96">
      <w:pPr>
        <w:tabs>
          <w:tab w:val="left" w:pos="720"/>
          <w:tab w:val="left" w:pos="9214"/>
        </w:tabs>
        <w:suppressAutoHyphens/>
        <w:spacing w:after="0" w:line="240" w:lineRule="auto"/>
        <w:ind w:left="142" w:right="-2" w:hanging="14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Atidžiai perskaitykite visą šį lapelį, prieš pradėdami vartoti vaistą, nes jame pateikiama Jums svarbi informacija.</w:t>
      </w:r>
    </w:p>
    <w:p w14:paraId="26A7F0C5" w14:textId="77777777" w:rsidR="00C95D96" w:rsidRPr="00D21DFA"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Neišmeskite šio lapelio, nes vėl gali prireikti jį perskaityti. </w:t>
      </w:r>
    </w:p>
    <w:p w14:paraId="13CC7841" w14:textId="77777777" w:rsidR="00C95D96" w:rsidRPr="00D21DFA"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262E226B" w14:textId="77777777" w:rsidR="00C95D96" w:rsidRPr="00D21DFA"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ab/>
        <w:t>Šis vaistas skirtas tik Jums, todėl kitiems žmonėms jo duoti negalima. Vaistas gali jiems pakenkti (net tiems, kurių ligos požymiai yra tokie patys kaip Jūsų).</w:t>
      </w:r>
      <w:r w:rsidRPr="00D21DFA">
        <w:rPr>
          <w:rFonts w:ascii="Times New Roman" w:eastAsia="Times New Roman" w:hAnsi="Times New Roman" w:cs="Times New Roman"/>
          <w:snapToGrid w:val="0"/>
          <w:color w:val="008000"/>
          <w:kern w:val="0"/>
          <w:sz w:val="22"/>
          <w:szCs w:val="20"/>
          <w14:ligatures w14:val="none"/>
        </w:rPr>
        <w:t xml:space="preserve"> </w:t>
      </w:r>
    </w:p>
    <w:p w14:paraId="52EB1D50" w14:textId="77777777" w:rsidR="00C95D96" w:rsidRPr="00D21DFA" w:rsidRDefault="00C95D96" w:rsidP="00C95D96">
      <w:pPr>
        <w:numPr>
          <w:ilvl w:val="0"/>
          <w:numId w:val="1"/>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pasireiškė šalutinis poveikis (net jeigu jis šiame lapelyje nenurodytas),</w:t>
      </w:r>
      <w:r w:rsidRPr="00D21DFA">
        <w:rPr>
          <w:rFonts w:ascii="Times New Roman" w:eastAsia="Times New Roman" w:hAnsi="Times New Roman" w:cs="Times New Roman"/>
          <w:snapToGrid w:val="0"/>
          <w:color w:val="FF000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kreipkitės į gydytoją, vaistininką arba slaugytoją. Žr. 4 skyrių.</w:t>
      </w:r>
    </w:p>
    <w:p w14:paraId="20D079FB"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E44595" w14:textId="77777777" w:rsidR="00C95D96" w:rsidRPr="00D21DFA"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Apie ką rašoma šiame lapelyje?</w:t>
      </w:r>
    </w:p>
    <w:p w14:paraId="684E5632" w14:textId="77777777" w:rsidR="00C95D96" w:rsidRPr="00D21DFA"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04D99C0" w14:textId="77777777" w:rsidR="00C95D96" w:rsidRPr="00D21DFA"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yra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ir kam jis vartojamas </w:t>
      </w:r>
    </w:p>
    <w:p w14:paraId="5C102F91" w14:textId="77777777" w:rsidR="00C95D96" w:rsidRPr="00D21DFA"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žinotina prieš vartojant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73FDBF30" w14:textId="77777777" w:rsidR="00C95D96" w:rsidRPr="00D21DFA"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vartoti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689C9BC1" w14:textId="77777777" w:rsidR="00C95D96" w:rsidRPr="00D21DFA"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Galimas šalutinis poveikis </w:t>
      </w:r>
    </w:p>
    <w:p w14:paraId="5B103D1D" w14:textId="77777777" w:rsidR="00C95D96" w:rsidRPr="00D21DFA"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laikyti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190560FF" w14:textId="77777777" w:rsidR="00C95D96" w:rsidRPr="00D21DFA" w:rsidRDefault="00C95D96" w:rsidP="00C95D96">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Pakuotės turinys ir kita informacija</w:t>
      </w:r>
    </w:p>
    <w:p w14:paraId="7E66D9D8"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C0310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A2683AF" w14:textId="77777777" w:rsidR="00C95D96" w:rsidRPr="00D21DFA" w:rsidRDefault="00C95D96" w:rsidP="00C95D96">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Kas yra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ir kam jis vartojamas</w:t>
      </w:r>
    </w:p>
    <w:p w14:paraId="4296A0BF" w14:textId="77777777" w:rsidR="00C95D96" w:rsidRPr="00D21DFA" w:rsidRDefault="00C95D96" w:rsidP="00C95D96">
      <w:pPr>
        <w:keepNext/>
        <w:tabs>
          <w:tab w:val="left" w:pos="720"/>
          <w:tab w:val="left" w:pos="9214"/>
        </w:tabs>
        <w:spacing w:after="0" w:line="240" w:lineRule="auto"/>
        <w:rPr>
          <w:rFonts w:ascii="Times New Roman" w:eastAsia="Times New Roman" w:hAnsi="Times New Roman" w:cs="Times New Roman"/>
          <w:snapToGrid w:val="0"/>
          <w:kern w:val="0"/>
          <w:sz w:val="22"/>
          <w:szCs w:val="22"/>
          <w14:ligatures w14:val="none"/>
        </w:rPr>
      </w:pPr>
    </w:p>
    <w:p w14:paraId="27A1A6DD"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sudėtyje yra veikliosios medžiagos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kuris priklauso antikoaguliantais vadinamų vaistų grupei. Šis vaistas blokuoja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kuris yra svarbus kraujo krešėjimo veiksnys, ir tokiu būdu padeda apsisaugoti nuo kraujo krešulių suformavimo. </w:t>
      </w:r>
    </w:p>
    <w:p w14:paraId="7F8B4034"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2AF584"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vartojamas suaugusiesiems: </w:t>
      </w:r>
    </w:p>
    <w:p w14:paraId="37198EB6" w14:textId="77777777" w:rsidR="00C95D96" w:rsidRPr="00D21DFA"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 ir sukelti dusulį su krūtinės ląstos skausmu arba be jo. Ši būklė (plaučių embolija) gali būti pavojinga gyvybei ir reikalauti skubios medicinos pagalbos; </w:t>
      </w:r>
    </w:p>
    <w:p w14:paraId="6A84BA13" w14:textId="77777777" w:rsidR="00C95D96" w:rsidRPr="00D21DFA"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p>
    <w:p w14:paraId="00E36291" w14:textId="77777777" w:rsidR="00C95D96" w:rsidRPr="00D21DFA"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kraujo krešuliams Jūsų kojų venose (giliųjų venų trombozei) bei Jūsų plaučių kraujagyslėse (plaučių embolijai) gydyti ir apsaugoti, kad vėl nesusiformuotų kraujo krešulių Jūsų kojose ir (arba) Jūsų plaučiuose.</w:t>
      </w:r>
    </w:p>
    <w:p w14:paraId="2E490B3A" w14:textId="77777777" w:rsidR="00C95D96" w:rsidRPr="00D21DFA"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23C2681F" w14:textId="72F6A8E4" w:rsidR="008C3A33" w:rsidRPr="00D21DFA" w:rsidRDefault="00D238F4" w:rsidP="00AD1A35">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008C3A33" w:rsidRPr="00D21DFA">
        <w:rPr>
          <w:rFonts w:ascii="Times New Roman" w:eastAsia="Times New Roman" w:hAnsi="Times New Roman" w:cs="Times New Roman"/>
          <w:snapToGrid w:val="0"/>
          <w:kern w:val="0"/>
          <w:sz w:val="22"/>
          <w:szCs w:val="22"/>
          <w14:ligatures w14:val="none"/>
        </w:rPr>
        <w:t xml:space="preserve"> vartojamas vaikams, kurių amžius nuo 28 dienų iki mažiau kaip 18 metų, kraujo krešuliams</w:t>
      </w:r>
      <w:r w:rsidR="00404325" w:rsidRPr="00D21DFA">
        <w:rPr>
          <w:rFonts w:ascii="Times New Roman" w:eastAsia="Times New Roman" w:hAnsi="Times New Roman" w:cs="Times New Roman"/>
          <w:snapToGrid w:val="0"/>
          <w:kern w:val="0"/>
          <w:sz w:val="22"/>
          <w:szCs w:val="22"/>
          <w14:ligatures w14:val="none"/>
        </w:rPr>
        <w:t xml:space="preserve"> </w:t>
      </w:r>
      <w:r w:rsidR="008C3A33" w:rsidRPr="00D21DFA">
        <w:rPr>
          <w:rFonts w:ascii="Times New Roman" w:eastAsia="Times New Roman" w:hAnsi="Times New Roman" w:cs="Times New Roman"/>
          <w:snapToGrid w:val="0"/>
          <w:kern w:val="0"/>
          <w:sz w:val="22"/>
          <w:szCs w:val="22"/>
          <w14:ligatures w14:val="none"/>
        </w:rPr>
        <w:t>gydyti ir užkirsti kelią pakartotiniam kraujo krešulių susidarymui venose arba plaučių kraujagyslėse.</w:t>
      </w:r>
    </w:p>
    <w:p w14:paraId="216F6E18" w14:textId="77777777" w:rsidR="008C3A33" w:rsidRPr="00D21DFA" w:rsidRDefault="008C3A33" w:rsidP="008C3A33">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8248353" w14:textId="0E53018E" w:rsidR="008C3A33" w:rsidRPr="00D21DFA" w:rsidRDefault="008C3A33" w:rsidP="008C3A33">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Apie dozę, rekomenduojamą pagal kūno svorį, žr. 3 skyriuje.</w:t>
      </w:r>
    </w:p>
    <w:p w14:paraId="43406C8A"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AA930F8" w14:textId="77777777" w:rsidR="008C3A33" w:rsidRPr="00D21DFA" w:rsidRDefault="008C3A33"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990BF84" w14:textId="77777777" w:rsidR="00C95D96" w:rsidRPr="00D21DFA" w:rsidRDefault="00C95D96" w:rsidP="00C95D96">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lastRenderedPageBreak/>
        <w:t xml:space="preserve">Kas žinotina prieš vartojant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p>
    <w:p w14:paraId="610FF0C9" w14:textId="77777777" w:rsidR="00C95D96" w:rsidRPr="00D21DFA" w:rsidRDefault="00C95D96" w:rsidP="00C95D96">
      <w:pPr>
        <w:keepNext/>
        <w:tabs>
          <w:tab w:val="left" w:pos="720"/>
          <w:tab w:val="left" w:pos="9214"/>
        </w:tabs>
        <w:spacing w:after="0" w:line="240" w:lineRule="auto"/>
        <w:outlineLvl w:val="0"/>
        <w:rPr>
          <w:rFonts w:ascii="Times New Roman" w:eastAsia="Times New Roman" w:hAnsi="Times New Roman" w:cs="Times New Roman"/>
          <w:i/>
          <w:snapToGrid w:val="0"/>
          <w:kern w:val="0"/>
          <w:sz w:val="22"/>
          <w:szCs w:val="22"/>
          <w14:ligatures w14:val="none"/>
        </w:rPr>
      </w:pPr>
    </w:p>
    <w:p w14:paraId="3B9533F3" w14:textId="77777777" w:rsidR="00C95D96" w:rsidRPr="00D21DFA" w:rsidRDefault="00C95D96" w:rsidP="00C95D96">
      <w:pPr>
        <w:keepNext/>
        <w:numPr>
          <w:ilvl w:val="12"/>
          <w:numId w:val="0"/>
        </w:numPr>
        <w:tabs>
          <w:tab w:val="left" w:pos="720"/>
          <w:tab w:val="left" w:pos="9214"/>
        </w:tabs>
        <w:spacing w:after="0" w:line="240" w:lineRule="auto"/>
        <w:outlineLvl w:val="0"/>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vartoti draudžiama:</w:t>
      </w:r>
    </w:p>
    <w:p w14:paraId="65F6BE74"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yra </w:t>
      </w:r>
      <w:r w:rsidRPr="00D21DFA">
        <w:rPr>
          <w:rFonts w:ascii="Times New Roman" w:eastAsia="Times New Roman" w:hAnsi="Times New Roman" w:cs="Times New Roman"/>
          <w:b/>
          <w:kern w:val="0"/>
          <w:sz w:val="22"/>
          <w:szCs w:val="20"/>
          <w:lang w:eastAsia="lt-LT" w:bidi="lt-LT"/>
          <w14:ligatures w14:val="none"/>
        </w:rPr>
        <w:t>alergija</w:t>
      </w:r>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apiksabanui</w:t>
      </w:r>
      <w:proofErr w:type="spellEnd"/>
      <w:r w:rsidRPr="00D21DFA">
        <w:rPr>
          <w:rFonts w:ascii="Times New Roman" w:eastAsia="Times New Roman" w:hAnsi="Times New Roman" w:cs="Times New Roman"/>
          <w:kern w:val="0"/>
          <w:sz w:val="22"/>
          <w:szCs w:val="20"/>
          <w:lang w:eastAsia="lt-LT" w:bidi="lt-LT"/>
          <w14:ligatures w14:val="none"/>
        </w:rPr>
        <w:t xml:space="preserve"> arba bet kuriai pagalbinei šio vaisto medžiagai (jos išvardytos 6 skyriuje); </w:t>
      </w:r>
    </w:p>
    <w:p w14:paraId="45F5456D"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smarkiai kraujuojate</w:t>
      </w:r>
      <w:r w:rsidRPr="00D21DFA">
        <w:rPr>
          <w:rFonts w:ascii="Times New Roman" w:eastAsia="Times New Roman" w:hAnsi="Times New Roman" w:cs="Times New Roman"/>
          <w:kern w:val="0"/>
          <w:sz w:val="22"/>
          <w:szCs w:val="20"/>
          <w:lang w:eastAsia="lt-LT" w:bidi="lt-LT"/>
          <w14:ligatures w14:val="none"/>
        </w:rPr>
        <w:t xml:space="preserve">; </w:t>
      </w:r>
    </w:p>
    <w:p w14:paraId="6D7545E7"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sergate kokio nors </w:t>
      </w:r>
      <w:r w:rsidRPr="00D21DFA">
        <w:rPr>
          <w:rFonts w:ascii="Times New Roman" w:eastAsia="Times New Roman" w:hAnsi="Times New Roman" w:cs="Times New Roman"/>
          <w:b/>
          <w:kern w:val="0"/>
          <w:sz w:val="22"/>
          <w:szCs w:val="20"/>
          <w:lang w:eastAsia="lt-LT" w:bidi="lt-LT"/>
          <w14:ligatures w14:val="none"/>
        </w:rPr>
        <w:t>organo liga</w:t>
      </w:r>
      <w:r w:rsidRPr="00D21DFA">
        <w:rPr>
          <w:rFonts w:ascii="Times New Roman" w:eastAsia="Times New Roman" w:hAnsi="Times New Roman" w:cs="Times New Roman"/>
          <w:kern w:val="0"/>
          <w:sz w:val="22"/>
          <w:szCs w:val="20"/>
          <w:lang w:eastAsia="lt-LT" w:bidi="lt-LT"/>
          <w14:ligatures w14:val="none"/>
        </w:rPr>
        <w:t xml:space="preserve">, dėl kurios padidėja stipraus kraujavimo rizika (pvz., </w:t>
      </w:r>
      <w:r w:rsidRPr="00D21DFA">
        <w:rPr>
          <w:rFonts w:ascii="Times New Roman" w:eastAsia="Times New Roman" w:hAnsi="Times New Roman" w:cs="Times New Roman"/>
          <w:b/>
          <w:kern w:val="0"/>
          <w:sz w:val="22"/>
          <w:szCs w:val="20"/>
          <w:lang w:eastAsia="lt-LT" w:bidi="lt-LT"/>
          <w14:ligatures w14:val="none"/>
        </w:rPr>
        <w:t>aktyvi arba neseniai buvusi skrandžio arba žarnų opa</w:t>
      </w:r>
      <w:r w:rsidRPr="00D21DFA">
        <w:rPr>
          <w:rFonts w:ascii="Times New Roman" w:eastAsia="Times New Roman" w:hAnsi="Times New Roman" w:cs="Times New Roman"/>
          <w:kern w:val="0"/>
          <w:sz w:val="22"/>
          <w:szCs w:val="20"/>
          <w:lang w:eastAsia="lt-LT" w:bidi="lt-LT"/>
          <w14:ligatures w14:val="none"/>
        </w:rPr>
        <w:t xml:space="preserve">, neseniai pasireiškęs kraujavimas į galvos smegenis); </w:t>
      </w:r>
    </w:p>
    <w:p w14:paraId="4707B0EB"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sergate </w:t>
      </w:r>
      <w:r w:rsidRPr="00D21DFA">
        <w:rPr>
          <w:rFonts w:ascii="Times New Roman" w:eastAsia="Times New Roman" w:hAnsi="Times New Roman" w:cs="Times New Roman"/>
          <w:b/>
          <w:kern w:val="0"/>
          <w:sz w:val="22"/>
          <w:szCs w:val="20"/>
          <w:lang w:eastAsia="lt-LT" w:bidi="lt-LT"/>
          <w14:ligatures w14:val="none"/>
        </w:rPr>
        <w:t>kepenų liga</w:t>
      </w:r>
      <w:r w:rsidRPr="00D21DFA">
        <w:rPr>
          <w:rFonts w:ascii="Times New Roman" w:eastAsia="Times New Roman" w:hAnsi="Times New Roman" w:cs="Times New Roman"/>
          <w:kern w:val="0"/>
          <w:sz w:val="22"/>
          <w:szCs w:val="20"/>
          <w:lang w:eastAsia="lt-LT" w:bidi="lt-LT"/>
          <w14:ligatures w14:val="none"/>
        </w:rPr>
        <w:t xml:space="preserve">, dėl kurios padidėja kraujavimo rizika (dėl kepenų ligos pasireiškia </w:t>
      </w:r>
      <w:proofErr w:type="spellStart"/>
      <w:r w:rsidRPr="00D21DFA">
        <w:rPr>
          <w:rFonts w:ascii="Times New Roman" w:eastAsia="Times New Roman" w:hAnsi="Times New Roman" w:cs="Times New Roman"/>
          <w:kern w:val="0"/>
          <w:sz w:val="22"/>
          <w:szCs w:val="20"/>
          <w:lang w:eastAsia="lt-LT" w:bidi="lt-LT"/>
          <w14:ligatures w14:val="none"/>
        </w:rPr>
        <w:t>koaguliopatija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0D1B06E8"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vartojate vaistų, kurie neleidžia kraujui krešėti</w:t>
      </w:r>
      <w:r w:rsidRPr="00D21DFA">
        <w:rPr>
          <w:rFonts w:ascii="Times New Roman" w:eastAsia="Times New Roman" w:hAnsi="Times New Roman" w:cs="Times New Roman"/>
          <w:kern w:val="0"/>
          <w:sz w:val="22"/>
          <w:szCs w:val="20"/>
          <w:lang w:eastAsia="lt-LT" w:bidi="lt-LT"/>
          <w14:ligatures w14:val="none"/>
        </w:rPr>
        <w:t xml:space="preserve"> (pvz., varfarino, </w:t>
      </w:r>
      <w:proofErr w:type="spellStart"/>
      <w:r w:rsidRPr="00D21DFA">
        <w:rPr>
          <w:rFonts w:ascii="Times New Roman" w:eastAsia="Times New Roman" w:hAnsi="Times New Roman" w:cs="Times New Roman"/>
          <w:kern w:val="0"/>
          <w:sz w:val="22"/>
          <w:szCs w:val="20"/>
          <w:lang w:eastAsia="lt-LT" w:bidi="lt-LT"/>
          <w14:ligatures w14:val="none"/>
        </w:rPr>
        <w:t>rivaroksabano</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dabigatrano</w:t>
      </w:r>
      <w:proofErr w:type="spellEnd"/>
      <w:r w:rsidRPr="00D21DFA">
        <w:rPr>
          <w:rFonts w:ascii="Times New Roman" w:eastAsia="Times New Roman" w:hAnsi="Times New Roman" w:cs="Times New Roman"/>
          <w:kern w:val="0"/>
          <w:sz w:val="22"/>
          <w:szCs w:val="20"/>
          <w:lang w:eastAsia="lt-LT" w:bidi="lt-LT"/>
          <w14:ligatures w14:val="none"/>
        </w:rPr>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D21DFA">
        <w:rPr>
          <w:rFonts w:ascii="Times New Roman" w:eastAsia="Times New Roman" w:hAnsi="Times New Roman" w:cs="Times New Roman"/>
          <w:kern w:val="0"/>
          <w:sz w:val="22"/>
          <w:szCs w:val="20"/>
          <w:lang w:eastAsia="lt-LT" w:bidi="lt-LT"/>
          <w14:ligatures w14:val="none"/>
        </w:rPr>
        <w:t>kateterinė</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abliacija</w:t>
      </w:r>
      <w:proofErr w:type="spellEnd"/>
      <w:r w:rsidRPr="00D21DFA">
        <w:rPr>
          <w:rFonts w:ascii="Times New Roman" w:eastAsia="Times New Roman" w:hAnsi="Times New Roman" w:cs="Times New Roman"/>
          <w:kern w:val="0"/>
          <w:sz w:val="22"/>
          <w:szCs w:val="20"/>
          <w:lang w:eastAsia="lt-LT" w:bidi="lt-LT"/>
          <w14:ligatures w14:val="none"/>
        </w:rPr>
        <w:t>) gydymui nuo nereguliaraus širdies ritmo (aritmijos).</w:t>
      </w:r>
    </w:p>
    <w:p w14:paraId="60E4BC75"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21ECDF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Įspėjimai ir atsargumo priemonės </w:t>
      </w:r>
    </w:p>
    <w:p w14:paraId="32D0411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Pasitarkite su gydytoju, vaistininku arba slaugytoju, prieš pradėdami vartoti šį vaistą, jeigu Jums yra kuri nors iš toliau išvardytų būklių: </w:t>
      </w:r>
    </w:p>
    <w:p w14:paraId="7A5CF5D3"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padidėjusi kraujavimo rizika</w:t>
      </w:r>
      <w:r w:rsidRPr="00D21DFA">
        <w:rPr>
          <w:rFonts w:ascii="Times New Roman" w:eastAsia="Times New Roman" w:hAnsi="Times New Roman" w:cs="Times New Roman"/>
          <w:kern w:val="0"/>
          <w:sz w:val="22"/>
          <w:szCs w:val="20"/>
          <w:lang w:eastAsia="lt-LT" w:bidi="lt-LT"/>
          <w14:ligatures w14:val="none"/>
        </w:rPr>
        <w:t xml:space="preserve">, pavyzdžiui: </w:t>
      </w:r>
    </w:p>
    <w:p w14:paraId="5B4F98E3"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krešėjimo sutrikimas</w:t>
      </w:r>
      <w:r w:rsidRPr="00D21DFA">
        <w:rPr>
          <w:rFonts w:ascii="Times New Roman" w:eastAsia="Times New Roman" w:hAnsi="Times New Roman" w:cs="Times New Roman"/>
          <w:kern w:val="0"/>
          <w:sz w:val="22"/>
          <w:szCs w:val="20"/>
          <w:lang w:eastAsia="lt-LT" w:bidi="lt-LT"/>
          <w14:ligatures w14:val="none"/>
        </w:rPr>
        <w:t>, įskaitant būkles, dėl kurių sumažėja trombocitų aktyvumas;</w:t>
      </w:r>
    </w:p>
    <w:p w14:paraId="17A91269"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labai aukštas kraujospūdis</w:t>
      </w:r>
      <w:r w:rsidRPr="00D21DFA">
        <w:rPr>
          <w:rFonts w:ascii="Times New Roman" w:eastAsia="Times New Roman" w:hAnsi="Times New Roman" w:cs="Times New Roman"/>
          <w:kern w:val="0"/>
          <w:sz w:val="22"/>
          <w:szCs w:val="20"/>
          <w:lang w:eastAsia="lt-LT" w:bidi="lt-LT"/>
          <w14:ligatures w14:val="none"/>
        </w:rPr>
        <w:t xml:space="preserve">, kuris nesureguliuotas skiriant gydymą vaistais; </w:t>
      </w:r>
    </w:p>
    <w:p w14:paraId="4C3406BB"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vyresni kaip 75 metų; </w:t>
      </w:r>
    </w:p>
    <w:p w14:paraId="02F323CE"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44B15094"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sunki inkstų liga arba jeigu Jums atliekamos dializės</w:t>
      </w:r>
      <w:r w:rsidRPr="00D21DFA">
        <w:rPr>
          <w:rFonts w:ascii="Times New Roman" w:eastAsia="Times New Roman" w:hAnsi="Times New Roman" w:cs="Times New Roman"/>
          <w:kern w:val="0"/>
          <w:sz w:val="22"/>
          <w:szCs w:val="20"/>
          <w:lang w:eastAsia="lt-LT" w:bidi="lt-LT"/>
          <w14:ligatures w14:val="none"/>
        </w:rPr>
        <w:t xml:space="preserve">; </w:t>
      </w:r>
    </w:p>
    <w:p w14:paraId="616D2731" w14:textId="3D0EECA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 xml:space="preserve">kepenų sutrikimas arba anksčiau buvo kepenų </w:t>
      </w:r>
      <w:r w:rsidR="00282E1F" w:rsidRPr="00D21DFA">
        <w:rPr>
          <w:rFonts w:ascii="Times New Roman" w:eastAsia="Times New Roman" w:hAnsi="Times New Roman" w:cs="Times New Roman"/>
          <w:b/>
          <w:kern w:val="0"/>
          <w:sz w:val="22"/>
          <w:szCs w:val="20"/>
          <w:lang w:eastAsia="lt-LT" w:bidi="lt-LT"/>
          <w14:ligatures w14:val="none"/>
        </w:rPr>
        <w:t>veiklos</w:t>
      </w:r>
      <w:r w:rsidRPr="00D21DFA">
        <w:rPr>
          <w:rFonts w:ascii="Times New Roman" w:eastAsia="Times New Roman" w:hAnsi="Times New Roman" w:cs="Times New Roman"/>
          <w:b/>
          <w:kern w:val="0"/>
          <w:sz w:val="22"/>
          <w:szCs w:val="20"/>
          <w:lang w:eastAsia="lt-LT" w:bidi="lt-LT"/>
          <w14:ligatures w14:val="none"/>
        </w:rPr>
        <w:t xml:space="preserve"> sutrikimų</w:t>
      </w:r>
      <w:r w:rsidRPr="00D21DFA">
        <w:rPr>
          <w:rFonts w:ascii="Times New Roman" w:eastAsia="Times New Roman" w:hAnsi="Times New Roman" w:cs="Times New Roman"/>
          <w:kern w:val="0"/>
          <w:sz w:val="22"/>
          <w:szCs w:val="20"/>
          <w:lang w:eastAsia="lt-LT" w:bidi="lt-LT"/>
          <w14:ligatures w14:val="none"/>
        </w:rPr>
        <w:t xml:space="preserve">; </w:t>
      </w:r>
    </w:p>
    <w:p w14:paraId="33856316"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šio vaisto bus atsargiai skiriama pacientams, kuriems yra pakitusios kepenų funkcijos požymių; </w:t>
      </w:r>
    </w:p>
    <w:p w14:paraId="1F370621"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Jūsų stuburą yra įvestas vamzdelis (kateteris) arba buvo leidžiama vaistų (nejautrai sukelti arba skausmui malšinti); šiuo atveju gydytojas nurodys Jums vartoti </w:t>
      </w:r>
      <w:r w:rsidRPr="00D21DFA">
        <w:rPr>
          <w:rFonts w:ascii="Times New Roman" w:eastAsia="Times New Roman" w:hAnsi="Times New Roman" w:cs="Times New Roman"/>
          <w:snapToGrid w:val="0"/>
          <w:kern w:val="0"/>
          <w:sz w:val="22"/>
          <w:szCs w:val="20"/>
          <w:lang w:eastAsia="lt-LT" w:bidi="lt-LT"/>
          <w14:ligatures w14:val="none"/>
        </w:rPr>
        <w:t xml:space="preserve">šio vaisto </w:t>
      </w:r>
      <w:r w:rsidRPr="00D21DFA">
        <w:rPr>
          <w:rFonts w:ascii="Times New Roman" w:eastAsia="Times New Roman" w:hAnsi="Times New Roman" w:cs="Times New Roman"/>
          <w:kern w:val="0"/>
          <w:sz w:val="22"/>
          <w:szCs w:val="20"/>
          <w:lang w:eastAsia="lt-LT" w:bidi="lt-LT"/>
          <w14:ligatures w14:val="none"/>
        </w:rPr>
        <w:t xml:space="preserve">po kateterio pašalinimo praėjus 5 valandoms ar daugiau; </w:t>
      </w:r>
    </w:p>
    <w:p w14:paraId="1CF2F03D"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Jums </w:t>
      </w:r>
      <w:r w:rsidRPr="00D21DFA">
        <w:rPr>
          <w:rFonts w:ascii="Times New Roman" w:eastAsia="Times New Roman" w:hAnsi="Times New Roman" w:cs="Times New Roman"/>
          <w:b/>
          <w:kern w:val="0"/>
          <w:sz w:val="22"/>
          <w:szCs w:val="20"/>
          <w:lang w:eastAsia="lt-LT" w:bidi="lt-LT"/>
          <w14:ligatures w14:val="none"/>
        </w:rPr>
        <w:t>protezuoti širdies vožtuvai</w:t>
      </w:r>
      <w:r w:rsidRPr="00D21DFA">
        <w:rPr>
          <w:rFonts w:ascii="Times New Roman" w:eastAsia="Times New Roman" w:hAnsi="Times New Roman" w:cs="Times New Roman"/>
          <w:kern w:val="0"/>
          <w:sz w:val="22"/>
          <w:szCs w:val="20"/>
          <w:lang w:eastAsia="lt-LT" w:bidi="lt-LT"/>
          <w14:ligatures w14:val="none"/>
        </w:rPr>
        <w:t xml:space="preserve">; </w:t>
      </w:r>
    </w:p>
    <w:p w14:paraId="37FC8FE2" w14:textId="77777777" w:rsidR="00392DE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 gydytojas nustatė, kad Jūsų kraujospūdis nestabilus</w:t>
      </w:r>
      <w:r w:rsidR="00C14374" w:rsidRPr="00D21DFA">
        <w:rPr>
          <w:rFonts w:ascii="Times New Roman" w:eastAsia="Times New Roman" w:hAnsi="Times New Roman" w:cs="Times New Roman"/>
          <w:kern w:val="0"/>
          <w:sz w:val="22"/>
          <w:szCs w:val="20"/>
          <w:lang w:eastAsia="lt-LT" w:bidi="lt-LT"/>
          <w14:ligatures w14:val="none"/>
        </w:rPr>
        <w:t>;</w:t>
      </w:r>
    </w:p>
    <w:p w14:paraId="2EF71C3E" w14:textId="59EA7305"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 </w:t>
      </w:r>
      <w:r w:rsidR="007F5A7C" w:rsidRPr="00D21DFA">
        <w:rPr>
          <w:rFonts w:ascii="Times New Roman" w:eastAsia="Times New Roman" w:hAnsi="Times New Roman" w:cs="Times New Roman"/>
          <w:kern w:val="0"/>
          <w:sz w:val="22"/>
          <w:szCs w:val="20"/>
          <w:lang w:eastAsia="lt-LT" w:bidi="lt-LT"/>
          <w14:ligatures w14:val="none"/>
        </w:rPr>
        <w:t>j</w:t>
      </w:r>
      <w:r w:rsidRPr="00D21DFA">
        <w:rPr>
          <w:rFonts w:ascii="Times New Roman" w:eastAsia="Times New Roman" w:hAnsi="Times New Roman" w:cs="Times New Roman"/>
          <w:kern w:val="0"/>
          <w:sz w:val="22"/>
          <w:szCs w:val="20"/>
          <w:lang w:eastAsia="lt-LT" w:bidi="lt-LT"/>
          <w14:ligatures w14:val="none"/>
        </w:rPr>
        <w:t xml:space="preserve">ei numatoma skirti gydymą ar atlikti chirurginę operaciją kraujo krešuliui iš plaučių pašalinti. </w:t>
      </w:r>
    </w:p>
    <w:p w14:paraId="59034652" w14:textId="77777777" w:rsidR="00C95D96" w:rsidRPr="00D21DFA"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6DADA2C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Vartojant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ypatingų atsargumo priemonių reikia, jeigu: </w:t>
      </w:r>
    </w:p>
    <w:p w14:paraId="394AE18C" w14:textId="77777777" w:rsidR="00C95D96" w:rsidRPr="00D21DFA" w:rsidRDefault="00C95D96" w:rsidP="00C95D96">
      <w:pPr>
        <w:numPr>
          <w:ilvl w:val="0"/>
          <w:numId w:val="4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žinote, kad sergate liga, vadinama </w:t>
      </w:r>
      <w:proofErr w:type="spellStart"/>
      <w:r w:rsidRPr="00D21DFA">
        <w:rPr>
          <w:rFonts w:ascii="Times New Roman" w:eastAsia="Times New Roman" w:hAnsi="Times New Roman" w:cs="Times New Roman"/>
          <w:kern w:val="0"/>
          <w:sz w:val="22"/>
          <w:szCs w:val="20"/>
          <w:lang w:eastAsia="lt-LT" w:bidi="lt-LT"/>
          <w14:ligatures w14:val="none"/>
        </w:rPr>
        <w:t>antifosfolipidiniu</w:t>
      </w:r>
      <w:proofErr w:type="spellEnd"/>
      <w:r w:rsidRPr="00D21DFA">
        <w:rPr>
          <w:rFonts w:ascii="Times New Roman" w:eastAsia="Times New Roman" w:hAnsi="Times New Roman" w:cs="Times New Roman"/>
          <w:kern w:val="0"/>
          <w:sz w:val="22"/>
          <w:szCs w:val="20"/>
          <w:lang w:eastAsia="lt-LT" w:bidi="lt-LT"/>
          <w14:ligatures w14:val="none"/>
        </w:rPr>
        <w:t xml:space="preserve"> sindromu (imuninės sistemos sutrikimas, dėl kurio padidėja kraujo krešulių susiformavimo rizika). Tokiu atveju pasakykite apie tai gydytojui, kuris nuspręs, ar reikės keisti Jums taikomą gydymą. </w:t>
      </w:r>
    </w:p>
    <w:p w14:paraId="08BB7A5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507A0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prireiks chirurginės operacijos arba procedūros, kuri gali sukelti kraujavimą, Jūsų gydytojas gali paprašyti laikinai neilgam nutraukti šio vaisto vartojimą. Jeigu abejojate, ar procedūra gali sukelti kraujavimą, klauskite gydytojo.</w:t>
      </w:r>
    </w:p>
    <w:p w14:paraId="79670B8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01322CD6"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Vaikams ir paaugliams</w:t>
      </w:r>
    </w:p>
    <w:p w14:paraId="7CEECBB4" w14:textId="7BBA185A"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nerekomenduojama vartoti vaikams ir </w:t>
      </w:r>
      <w:r w:rsidR="00D956E2" w:rsidRPr="00D21DFA">
        <w:rPr>
          <w:rFonts w:ascii="Times New Roman" w:eastAsia="Times New Roman" w:hAnsi="Times New Roman" w:cs="Times New Roman"/>
          <w:snapToGrid w:val="0"/>
          <w:kern w:val="0"/>
          <w:sz w:val="22"/>
          <w:szCs w:val="20"/>
          <w14:ligatures w14:val="none"/>
        </w:rPr>
        <w:t>paaugliams, kurių kūno svoris mažesnis kaip 35 kg.</w:t>
      </w:r>
    </w:p>
    <w:p w14:paraId="7009C0E9"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13A8E13"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Kiti vaistai ir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7E694A3D" w14:textId="2D4539B2"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vartojate ar neseniai vartojote kitų vaistų arba dėl to nesate tikri, apie tai pasakykite gydytojui</w:t>
      </w:r>
      <w:r w:rsidR="00D956E2"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vaistininkui</w:t>
      </w:r>
      <w:r w:rsidR="00D956E2" w:rsidRPr="00D21DFA">
        <w:rPr>
          <w:rFonts w:ascii="Times New Roman" w:eastAsia="Times New Roman" w:hAnsi="Times New Roman" w:cs="Times New Roman"/>
          <w:snapToGrid w:val="0"/>
          <w:kern w:val="0"/>
          <w:sz w:val="22"/>
          <w:szCs w:val="20"/>
          <w14:ligatures w14:val="none"/>
        </w:rPr>
        <w:t xml:space="preserve"> arba slaugytojui</w:t>
      </w:r>
      <w:r w:rsidRPr="00D21DFA">
        <w:rPr>
          <w:rFonts w:ascii="Times New Roman" w:eastAsia="Times New Roman" w:hAnsi="Times New Roman" w:cs="Times New Roman"/>
          <w:snapToGrid w:val="0"/>
          <w:kern w:val="0"/>
          <w:sz w:val="22"/>
          <w:szCs w:val="20"/>
          <w14:ligatures w14:val="none"/>
        </w:rPr>
        <w:t>.</w:t>
      </w:r>
    </w:p>
    <w:p w14:paraId="2851F01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A75360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 kurie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o kiti vaistai gali jį silpninti. Jūsų gydytojas nuspręs, ar Jums skirti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šių vaistų vartojimo metu ir kaip atidžiai stebėti Jūsų būklę. </w:t>
      </w:r>
    </w:p>
    <w:p w14:paraId="2DA61B1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6ACAF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Toliau išvardyti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ir didinti nepageidaujamo kraujavimo galimybę:</w:t>
      </w:r>
    </w:p>
    <w:p w14:paraId="13F9AF71"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r w:rsidRPr="00D21DFA">
        <w:rPr>
          <w:rFonts w:ascii="Times New Roman" w:eastAsia="Times New Roman" w:hAnsi="Times New Roman" w:cs="Times New Roman"/>
          <w:b/>
          <w:kern w:val="0"/>
          <w:sz w:val="22"/>
          <w:szCs w:val="20"/>
          <w:lang w:eastAsia="lt-LT" w:bidi="lt-LT"/>
          <w14:ligatures w14:val="none"/>
        </w:rPr>
        <w:t>vaistai nuo grybelių sukeltų infekcijų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ketokonazolas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6CCC34A0"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proofErr w:type="spellStart"/>
      <w:r w:rsidRPr="00D21DFA">
        <w:rPr>
          <w:rFonts w:ascii="Times New Roman" w:eastAsia="Times New Roman" w:hAnsi="Times New Roman" w:cs="Times New Roman"/>
          <w:b/>
          <w:kern w:val="0"/>
          <w:sz w:val="22"/>
          <w:szCs w:val="20"/>
          <w:lang w:eastAsia="lt-LT" w:bidi="lt-LT"/>
          <w14:ligatures w14:val="none"/>
        </w:rPr>
        <w:t>priešvirusiniai</w:t>
      </w:r>
      <w:proofErr w:type="spellEnd"/>
      <w:r w:rsidRPr="00D21DFA">
        <w:rPr>
          <w:rFonts w:ascii="Times New Roman" w:eastAsia="Times New Roman" w:hAnsi="Times New Roman" w:cs="Times New Roman"/>
          <w:b/>
          <w:kern w:val="0"/>
          <w:sz w:val="22"/>
          <w:szCs w:val="20"/>
          <w:lang w:eastAsia="lt-LT" w:bidi="lt-LT"/>
          <w14:ligatures w14:val="none"/>
        </w:rPr>
        <w:t xml:space="preserve"> vaistai nuo ŽIV ar </w:t>
      </w:r>
      <w:r w:rsidRPr="00D21DFA">
        <w:rPr>
          <w:rFonts w:ascii="Times New Roman" w:eastAsia="Times New Roman" w:hAnsi="Times New Roman" w:cs="Times New Roman"/>
          <w:b/>
          <w:i/>
          <w:iCs/>
          <w:kern w:val="0"/>
          <w:sz w:val="22"/>
          <w:szCs w:val="20"/>
          <w:lang w:eastAsia="lt-LT" w:bidi="lt-LT"/>
          <w14:ligatures w14:val="none"/>
        </w:rPr>
        <w:t xml:space="preserve">AIDS </w:t>
      </w:r>
      <w:r w:rsidRPr="00D21DFA">
        <w:rPr>
          <w:rFonts w:ascii="Times New Roman" w:eastAsia="Times New Roman" w:hAnsi="Times New Roman" w:cs="Times New Roman"/>
          <w:b/>
          <w:kern w:val="0"/>
          <w:sz w:val="22"/>
          <w:szCs w:val="20"/>
          <w:lang w:eastAsia="lt-LT" w:bidi="lt-LT"/>
          <w14:ligatures w14:val="none"/>
        </w:rPr>
        <w:t>(įgyto imunodeficito sindromo)</w:t>
      </w:r>
      <w:r w:rsidRPr="00D21DFA">
        <w:rPr>
          <w:rFonts w:ascii="Times New Roman" w:eastAsia="Times New Roman" w:hAnsi="Times New Roman" w:cs="Times New Roman"/>
          <w:kern w:val="0"/>
          <w:sz w:val="22"/>
          <w:szCs w:val="20"/>
          <w:lang w:eastAsia="lt-LT" w:bidi="lt-LT"/>
          <w14:ligatures w14:val="none"/>
        </w:rPr>
        <w:t xml:space="preserve"> (pvz., ritonaviras);</w:t>
      </w:r>
    </w:p>
    <w:p w14:paraId="710BCF44"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kiti </w:t>
      </w:r>
      <w:r w:rsidRPr="00D21DFA">
        <w:rPr>
          <w:rFonts w:ascii="Times New Roman" w:eastAsia="Times New Roman" w:hAnsi="Times New Roman" w:cs="Times New Roman"/>
          <w:b/>
          <w:kern w:val="0"/>
          <w:sz w:val="22"/>
          <w:szCs w:val="20"/>
          <w:lang w:eastAsia="lt-LT" w:bidi="lt-LT"/>
          <w14:ligatures w14:val="none"/>
        </w:rPr>
        <w:t>kraujo krešėjimui mažinti vartojami vaistai</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enoksaparinas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6D1B4854"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nuo uždegimo ar skausmo</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rūgštis ar </w:t>
      </w:r>
      <w:proofErr w:type="spellStart"/>
      <w:r w:rsidRPr="00D21DFA">
        <w:rPr>
          <w:rFonts w:ascii="Times New Roman" w:eastAsia="Times New Roman" w:hAnsi="Times New Roman" w:cs="Times New Roman"/>
          <w:kern w:val="0"/>
          <w:sz w:val="22"/>
          <w:szCs w:val="20"/>
          <w:lang w:eastAsia="lt-LT" w:bidi="lt-LT"/>
          <w14:ligatures w14:val="none"/>
        </w:rPr>
        <w:t>naproksenas</w:t>
      </w:r>
      <w:proofErr w:type="spellEnd"/>
      <w:r w:rsidRPr="00D21DFA">
        <w:rPr>
          <w:rFonts w:ascii="Times New Roman" w:eastAsia="Times New Roman" w:hAnsi="Times New Roman" w:cs="Times New Roman"/>
          <w:kern w:val="0"/>
          <w:sz w:val="22"/>
          <w:szCs w:val="20"/>
          <w:lang w:eastAsia="lt-LT" w:bidi="lt-LT"/>
          <w14:ligatures w14:val="none"/>
        </w:rPr>
        <w:t xml:space="preserve">). Ypač, jei esate vyresni kaip 75 metų ir vartojate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rūgšties, Jums gali būti padidėjusi kraujavimo galimybė; </w:t>
      </w:r>
    </w:p>
    <w:p w14:paraId="4AB2BC9F"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nuo aukšto kraujospūdžio ar širdies sutrikimų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diltiazemas</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45FAEE36"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antidepresantai</w:t>
      </w:r>
      <w:r w:rsidRPr="00D21DFA">
        <w:rPr>
          <w:rFonts w:ascii="Times New Roman" w:eastAsia="Times New Roman" w:hAnsi="Times New Roman" w:cs="Times New Roman"/>
          <w:kern w:val="0"/>
          <w:sz w:val="22"/>
          <w:szCs w:val="20"/>
          <w:lang w:eastAsia="lt-LT" w:bidi="lt-LT"/>
          <w14:ligatures w14:val="none"/>
        </w:rPr>
        <w:t xml:space="preserve">, vadinamieji </w:t>
      </w:r>
      <w:r w:rsidRPr="00D21DFA">
        <w:rPr>
          <w:rFonts w:ascii="Times New Roman" w:eastAsia="Times New Roman" w:hAnsi="Times New Roman" w:cs="Times New Roman"/>
          <w:b/>
          <w:kern w:val="0"/>
          <w:sz w:val="22"/>
          <w:szCs w:val="20"/>
          <w:lang w:eastAsia="lt-LT" w:bidi="lt-LT"/>
          <w14:ligatures w14:val="none"/>
        </w:rPr>
        <w:t xml:space="preserve">selektyvieji </w:t>
      </w:r>
      <w:proofErr w:type="spellStart"/>
      <w:r w:rsidRPr="00D21DFA">
        <w:rPr>
          <w:rFonts w:ascii="Times New Roman" w:eastAsia="Times New Roman" w:hAnsi="Times New Roman" w:cs="Times New Roman"/>
          <w:b/>
          <w:kern w:val="0"/>
          <w:sz w:val="22"/>
          <w:szCs w:val="20"/>
          <w:lang w:eastAsia="lt-LT" w:bidi="lt-LT"/>
          <w14:ligatures w14:val="none"/>
        </w:rPr>
        <w:t>serotonino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 arba </w:t>
      </w:r>
      <w:proofErr w:type="spellStart"/>
      <w:r w:rsidRPr="00D21DFA">
        <w:rPr>
          <w:rFonts w:ascii="Times New Roman" w:eastAsia="Times New Roman" w:hAnsi="Times New Roman" w:cs="Times New Roman"/>
          <w:b/>
          <w:kern w:val="0"/>
          <w:sz w:val="22"/>
          <w:szCs w:val="20"/>
          <w:lang w:eastAsia="lt-LT" w:bidi="lt-LT"/>
          <w14:ligatures w14:val="none"/>
        </w:rPr>
        <w:t>serotonino-norepinefrino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w:t>
      </w:r>
      <w:r w:rsidRPr="00D21DFA">
        <w:rPr>
          <w:rFonts w:ascii="Times New Roman" w:eastAsia="Times New Roman" w:hAnsi="Times New Roman" w:cs="Times New Roman"/>
          <w:kern w:val="0"/>
          <w:sz w:val="22"/>
          <w:szCs w:val="20"/>
          <w:lang w:eastAsia="lt-LT" w:bidi="lt-LT"/>
          <w14:ligatures w14:val="none"/>
        </w:rPr>
        <w:t xml:space="preserve">. </w:t>
      </w:r>
    </w:p>
    <w:p w14:paraId="46916E46" w14:textId="77777777" w:rsidR="00C95D96" w:rsidRPr="00D21DFA" w:rsidRDefault="00C95D96" w:rsidP="00C95D96">
      <w:pPr>
        <w:numPr>
          <w:ilvl w:val="12"/>
          <w:numId w:val="0"/>
        </w:num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5440596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Toliau išvardyti vaistai gali silpninti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pajėgumą apsaugoti nuo kraujo krešulių susiformavimo: </w:t>
      </w:r>
    </w:p>
    <w:p w14:paraId="43B2CCCA" w14:textId="77777777" w:rsidR="00C95D96" w:rsidRPr="00D21DFA"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užkertantys kelią epilepsijos ar traukulių</w:t>
      </w:r>
      <w:r w:rsidRPr="00D21DFA">
        <w:rPr>
          <w:rFonts w:ascii="Times New Roman" w:eastAsia="Times New Roman" w:hAnsi="Times New Roman" w:cs="Times New Roman"/>
          <w:kern w:val="0"/>
          <w:sz w:val="22"/>
          <w:szCs w:val="20"/>
          <w:lang w:eastAsia="lt-LT" w:bidi="lt-LT"/>
          <w14:ligatures w14:val="none"/>
        </w:rPr>
        <w:t xml:space="preserve"> pasireiškimui (pvz., </w:t>
      </w:r>
      <w:proofErr w:type="spellStart"/>
      <w:r w:rsidRPr="00D21DFA">
        <w:rPr>
          <w:rFonts w:ascii="Times New Roman" w:eastAsia="Times New Roman" w:hAnsi="Times New Roman" w:cs="Times New Roman"/>
          <w:kern w:val="0"/>
          <w:sz w:val="22"/>
          <w:szCs w:val="20"/>
          <w:lang w:eastAsia="lt-LT" w:bidi="lt-LT"/>
          <w14:ligatures w14:val="none"/>
        </w:rPr>
        <w:t>fenitoinas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3D672B56" w14:textId="55B58463" w:rsidR="00C95D96" w:rsidRPr="00D21DFA"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jonažol</w:t>
      </w:r>
      <w:r w:rsidR="00B87A22" w:rsidRPr="00D21DFA">
        <w:rPr>
          <w:rFonts w:ascii="Times New Roman" w:eastAsia="Times New Roman" w:hAnsi="Times New Roman" w:cs="Times New Roman"/>
          <w:b/>
          <w:kern w:val="0"/>
          <w:sz w:val="22"/>
          <w:szCs w:val="20"/>
          <w:lang w:eastAsia="lt-LT" w:bidi="lt-LT"/>
          <w14:ligatures w14:val="none"/>
        </w:rPr>
        <w:t>ių žolės</w:t>
      </w:r>
      <w:r w:rsidR="00C054D6" w:rsidRPr="00D21DFA">
        <w:rPr>
          <w:rFonts w:ascii="Times New Roman" w:eastAsia="Times New Roman" w:hAnsi="Times New Roman" w:cs="Times New Roman"/>
          <w:b/>
          <w:kern w:val="0"/>
          <w:sz w:val="22"/>
          <w:szCs w:val="20"/>
          <w:lang w:eastAsia="lt-LT" w:bidi="lt-LT"/>
          <w14:ligatures w14:val="none"/>
        </w:rPr>
        <w:t xml:space="preserve"> </w:t>
      </w:r>
      <w:r w:rsidR="00FA03A0" w:rsidRPr="00D21DFA">
        <w:rPr>
          <w:rFonts w:ascii="Times New Roman" w:eastAsia="Times New Roman" w:hAnsi="Times New Roman" w:cs="Times New Roman"/>
          <w:b/>
          <w:kern w:val="0"/>
          <w:sz w:val="22"/>
          <w:szCs w:val="20"/>
          <w:lang w:eastAsia="lt-LT" w:bidi="lt-LT"/>
          <w14:ligatures w14:val="none"/>
        </w:rPr>
        <w:t xml:space="preserve">sudėtyje turintys </w:t>
      </w:r>
      <w:r w:rsidR="00C054D6" w:rsidRPr="00D21DFA">
        <w:rPr>
          <w:rFonts w:ascii="Times New Roman" w:eastAsia="Times New Roman" w:hAnsi="Times New Roman" w:cs="Times New Roman"/>
          <w:b/>
          <w:kern w:val="0"/>
          <w:sz w:val="22"/>
          <w:szCs w:val="20"/>
          <w:lang w:eastAsia="lt-LT" w:bidi="lt-LT"/>
          <w14:ligatures w14:val="none"/>
        </w:rPr>
        <w:t>vaistai</w:t>
      </w:r>
      <w:r w:rsidRPr="00D21DFA">
        <w:rPr>
          <w:rFonts w:ascii="Times New Roman" w:eastAsia="Times New Roman" w:hAnsi="Times New Roman" w:cs="Times New Roman"/>
          <w:kern w:val="0"/>
          <w:sz w:val="22"/>
          <w:szCs w:val="20"/>
          <w:lang w:eastAsia="lt-LT" w:bidi="lt-LT"/>
          <w14:ligatures w14:val="none"/>
        </w:rPr>
        <w:t xml:space="preserve"> (vaistažolių papildas, vartojamas nuo depresijos); </w:t>
      </w:r>
    </w:p>
    <w:p w14:paraId="39F666CC" w14:textId="77777777" w:rsidR="00C95D96" w:rsidRPr="00D21DFA"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tuberkuliozei ar kitoms infekcijoms</w:t>
      </w:r>
      <w:r w:rsidRPr="00D21DFA">
        <w:rPr>
          <w:rFonts w:ascii="Times New Roman" w:eastAsia="Times New Roman" w:hAnsi="Times New Roman" w:cs="Times New Roman"/>
          <w:kern w:val="0"/>
          <w:sz w:val="22"/>
          <w:szCs w:val="20"/>
          <w:lang w:eastAsia="lt-LT" w:bidi="lt-LT"/>
          <w14:ligatures w14:val="none"/>
        </w:rPr>
        <w:t xml:space="preserve"> gydyti vartojami vaistai (pvz., </w:t>
      </w:r>
      <w:proofErr w:type="spellStart"/>
      <w:r w:rsidRPr="00D21DFA">
        <w:rPr>
          <w:rFonts w:ascii="Times New Roman" w:eastAsia="Times New Roman" w:hAnsi="Times New Roman" w:cs="Times New Roman"/>
          <w:kern w:val="0"/>
          <w:sz w:val="22"/>
          <w:szCs w:val="20"/>
          <w:lang w:eastAsia="lt-LT" w:bidi="lt-LT"/>
          <w14:ligatures w14:val="none"/>
        </w:rPr>
        <w:t>rifampicinas</w:t>
      </w:r>
      <w:proofErr w:type="spellEnd"/>
      <w:r w:rsidRPr="00D21DFA">
        <w:rPr>
          <w:rFonts w:ascii="Times New Roman" w:eastAsia="Times New Roman" w:hAnsi="Times New Roman" w:cs="Times New Roman"/>
          <w:kern w:val="0"/>
          <w:sz w:val="22"/>
          <w:szCs w:val="20"/>
          <w:lang w:eastAsia="lt-LT" w:bidi="lt-LT"/>
          <w14:ligatures w14:val="none"/>
        </w:rPr>
        <w:t>).</w:t>
      </w:r>
    </w:p>
    <w:p w14:paraId="3CD270C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3E80B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Nėštumas ir žindymo laikotarpis </w:t>
      </w:r>
    </w:p>
    <w:p w14:paraId="28DD3D02"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esate nėščia, žindote kūdikį, manote, kad galbūt esate nėščia arba planuojate pastoti, tai prieš vartodama šio vaisto pasitarkite su gydytoju arba vaistininku.</w:t>
      </w:r>
    </w:p>
    <w:p w14:paraId="4A7A3CA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E76DFF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poveikis nėštumo eigai ir negimusiam kūdikiui nežinomas. Jeigu esate nėščia, šio vaisto turite nevartoti. Jeigu šio vaisto vartojimo metu pastojote, </w:t>
      </w:r>
      <w:r w:rsidRPr="00D21DFA">
        <w:rPr>
          <w:rFonts w:ascii="Times New Roman" w:eastAsia="Times New Roman" w:hAnsi="Times New Roman" w:cs="Times New Roman"/>
          <w:b/>
          <w:snapToGrid w:val="0"/>
          <w:kern w:val="0"/>
          <w:sz w:val="22"/>
          <w:szCs w:val="20"/>
          <w14:ligatures w14:val="none"/>
        </w:rPr>
        <w:t>nedelsdama kreipkitės į savo gydytoją</w:t>
      </w:r>
      <w:r w:rsidRPr="00D21DFA">
        <w:rPr>
          <w:rFonts w:ascii="Times New Roman" w:eastAsia="Times New Roman" w:hAnsi="Times New Roman" w:cs="Times New Roman"/>
          <w:snapToGrid w:val="0"/>
          <w:kern w:val="0"/>
          <w:sz w:val="22"/>
          <w:szCs w:val="20"/>
          <w14:ligatures w14:val="none"/>
        </w:rPr>
        <w:t xml:space="preserve">. </w:t>
      </w:r>
    </w:p>
    <w:p w14:paraId="4179D64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1E1E5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Nežinoma, ar </w:t>
      </w:r>
      <w:proofErr w:type="spellStart"/>
      <w:r w:rsidRPr="00D21DFA">
        <w:rPr>
          <w:rFonts w:ascii="Times New Roman" w:eastAsia="Times New Roman" w:hAnsi="Times New Roman" w:cs="Times New Roman"/>
          <w:snapToGrid w:val="0"/>
          <w:kern w:val="0"/>
          <w:sz w:val="22"/>
          <w:szCs w:val="20"/>
          <w14:ligatures w14:val="none"/>
        </w:rPr>
        <w:t>apilsabano</w:t>
      </w:r>
      <w:proofErr w:type="spellEnd"/>
      <w:r w:rsidRPr="00D21DFA">
        <w:rPr>
          <w:rFonts w:ascii="Times New Roman" w:eastAsia="Times New Roman" w:hAnsi="Times New Roman" w:cs="Times New Roman"/>
          <w:snapToGrid w:val="0"/>
          <w:kern w:val="0"/>
          <w:sz w:val="22"/>
          <w:szCs w:val="20"/>
          <w14:ligatures w14:val="none"/>
        </w:rPr>
        <w:t xml:space="preserve"> prasiskverbia į žindyvės pieną. Prieš vartojant šio vaisto žindymo metu, pasitarkite su gydytoju, vaistininku arba slaugytoja. Jie Jums patars arba nutraukti žindymą, arba nutraukti ar nepradėti vartoti šio vaisto.</w:t>
      </w:r>
    </w:p>
    <w:p w14:paraId="707E9A1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3EA3DE5"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Vairavimas ir mechanizmų valdymas</w:t>
      </w:r>
    </w:p>
    <w:p w14:paraId="0C55566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veiktų gebėjimą vairuoti ar valdyti mechanizmus.</w:t>
      </w:r>
    </w:p>
    <w:p w14:paraId="40E18471"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26A2ABA8"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sudėtyje yra laktozės ir natrio</w:t>
      </w:r>
      <w:r w:rsidRPr="00D21DFA">
        <w:rPr>
          <w:rFonts w:ascii="Times New Roman" w:eastAsia="Times New Roman" w:hAnsi="Times New Roman" w:cs="Times New Roman"/>
          <w:snapToGrid w:val="0"/>
          <w:kern w:val="0"/>
          <w:sz w:val="22"/>
          <w:szCs w:val="20"/>
          <w14:ligatures w14:val="none"/>
        </w:rPr>
        <w:t xml:space="preserve"> </w:t>
      </w:r>
    </w:p>
    <w:p w14:paraId="49A0263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gydytojas Jums yra sakęs, kad netoleruojate kokių nors angliavandenių, kreipkitės į jį prieš pradėdami vartoti šį vaistą. </w:t>
      </w:r>
    </w:p>
    <w:p w14:paraId="1FE80D0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48FD6B"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Šio vaisto kiekvienoje plėvele dengtoje tabletėje yra mažiau kaip 1 </w:t>
      </w:r>
      <w:proofErr w:type="spellStart"/>
      <w:r w:rsidRPr="00D21DFA">
        <w:rPr>
          <w:rFonts w:ascii="Times New Roman" w:eastAsia="Times New Roman" w:hAnsi="Times New Roman" w:cs="Times New Roman"/>
          <w:snapToGrid w:val="0"/>
          <w:kern w:val="0"/>
          <w:sz w:val="22"/>
          <w:szCs w:val="20"/>
          <w14:ligatures w14:val="none"/>
        </w:rPr>
        <w:t>mmol</w:t>
      </w:r>
      <w:proofErr w:type="spellEnd"/>
      <w:r w:rsidRPr="00D21DFA">
        <w:rPr>
          <w:rFonts w:ascii="Times New Roman" w:eastAsia="Times New Roman" w:hAnsi="Times New Roman" w:cs="Times New Roman"/>
          <w:snapToGrid w:val="0"/>
          <w:kern w:val="0"/>
          <w:sz w:val="22"/>
          <w:szCs w:val="20"/>
          <w14:ligatures w14:val="none"/>
        </w:rPr>
        <w:t xml:space="preserve"> (23 mg) natrio, t. y. jis beveik neturi reikšmės.</w:t>
      </w:r>
    </w:p>
    <w:p w14:paraId="1F2EC1F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FD4279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90016FC" w14:textId="77777777" w:rsidR="00C95D96" w:rsidRPr="00D21DFA"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437EABCC"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917A50" w14:textId="53C32506"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Visada vartokite šį vaistą tiksliai kaip nurodė gydytojas arba vaistininkas. Jeigu abejojate, kreipkitės į gydytoją</w:t>
      </w:r>
      <w:r w:rsidR="00D956E2"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vaistininką</w:t>
      </w:r>
      <w:r w:rsidR="00D956E2" w:rsidRPr="00D21DFA">
        <w:rPr>
          <w:rFonts w:ascii="Times New Roman" w:eastAsia="Times New Roman" w:hAnsi="Times New Roman" w:cs="Times New Roman"/>
          <w:snapToGrid w:val="0"/>
          <w:kern w:val="0"/>
          <w:sz w:val="22"/>
          <w:szCs w:val="20"/>
          <w14:ligatures w14:val="none"/>
        </w:rPr>
        <w:t xml:space="preserve"> arba slaugytoją</w:t>
      </w:r>
      <w:r w:rsidRPr="00D21DFA">
        <w:rPr>
          <w:rFonts w:ascii="Times New Roman" w:eastAsia="Times New Roman" w:hAnsi="Times New Roman" w:cs="Times New Roman"/>
          <w:snapToGrid w:val="0"/>
          <w:kern w:val="0"/>
          <w:sz w:val="22"/>
          <w:szCs w:val="20"/>
          <w14:ligatures w14:val="none"/>
        </w:rPr>
        <w:t>.</w:t>
      </w:r>
    </w:p>
    <w:p w14:paraId="010E3AAA"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ED38F1"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Dozė </w:t>
      </w:r>
    </w:p>
    <w:p w14:paraId="3CAE3D55"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Nurykite tabletę užsigerdami vandeniu.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galima vartoti valgant arba nevalgius. Stenkitės tabletes vartoti kasdien tuo pačiu laiku, kad būtų pasiektas geriausias gydomasis poveikis. </w:t>
      </w:r>
    </w:p>
    <w:p w14:paraId="0373CBAC"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C5942EE"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sunku nuryti sveiką tabletę, su gydytoju aptarkite kitus būdus, kaip vartoti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Tabletę galima susmulkinti ir, sumaišius su vandeniu arba 5 % gliukozės tirpalu, obuolių sultimis arba obuolių tyre, nedelsiant išgerti.</w:t>
      </w:r>
    </w:p>
    <w:p w14:paraId="576955D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F0EE77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 xml:space="preserve">Nurodymai, kaip susmulkinti: </w:t>
      </w:r>
    </w:p>
    <w:p w14:paraId="79D3335F" w14:textId="77777777" w:rsidR="00C95D96" w:rsidRPr="00D21DFA" w:rsidRDefault="00C95D96" w:rsidP="00C95D96">
      <w:pPr>
        <w:numPr>
          <w:ilvl w:val="0"/>
          <w:numId w:val="48"/>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Susmulkinkite tabletes grūstuvėje su piestele. </w:t>
      </w:r>
    </w:p>
    <w:p w14:paraId="3666ADB0" w14:textId="77777777" w:rsidR="00C95D96" w:rsidRPr="00D21DFA" w:rsidRDefault="00C95D96" w:rsidP="00C95D96">
      <w:pPr>
        <w:numPr>
          <w:ilvl w:val="0"/>
          <w:numId w:val="48"/>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Atsargiai išberkite visus miltelius į tinkamą indą ir sumaišykite su nedideliu kiekiu, pvz., 30 ml (2 valgomaisiais šaukštais) vandens ar vienu iš kitų pirmiau nurodytų skysčių, padarydami mišinį. </w:t>
      </w:r>
    </w:p>
    <w:p w14:paraId="1C21FB40" w14:textId="77777777" w:rsidR="00C95D96" w:rsidRPr="00D21DFA" w:rsidRDefault="00C95D96" w:rsidP="00C95D96">
      <w:pPr>
        <w:numPr>
          <w:ilvl w:val="0"/>
          <w:numId w:val="47"/>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Išgerkite mišinį. </w:t>
      </w:r>
    </w:p>
    <w:p w14:paraId="5EB09692" w14:textId="77777777" w:rsidR="00C95D96" w:rsidRPr="00D21DFA" w:rsidRDefault="00C95D96" w:rsidP="00C95D96">
      <w:pPr>
        <w:numPr>
          <w:ilvl w:val="0"/>
          <w:numId w:val="47"/>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Paskalaukite grūstuvę ir piestelę, kuriuos naudojote, nedideliu kiekiu vandens ar kitų skysčių (pvz., 30 ml) ir jį išgerkite. </w:t>
      </w:r>
    </w:p>
    <w:p w14:paraId="378D5474"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3EDB1D1"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reikia, gydytojas gali paskirti vartoti susmulkintą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sumaišytą su 60 ml vandens arba 5 % gliukozės tirpalo, per nosies-skrandžio vamzdelį.</w:t>
      </w:r>
    </w:p>
    <w:p w14:paraId="10CB8A4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856A9C" w14:textId="77777777" w:rsidR="00C95D96" w:rsidRPr="00D21DFA" w:rsidRDefault="00C95D96"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vartokite pagal rekomendacijas tokiu būdu: </w:t>
      </w:r>
    </w:p>
    <w:p w14:paraId="7857DD2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iCs/>
          <w:snapToGrid w:val="0"/>
          <w:kern w:val="0"/>
          <w:sz w:val="22"/>
          <w:szCs w:val="20"/>
          <w:u w:val="single"/>
          <w14:ligatures w14:val="none"/>
        </w:rPr>
        <w:t>Kad apsaugoti nuo kraujo krešulių formavimosi po klubo arba kelio sąnario pakeitimo operacijų.</w:t>
      </w:r>
      <w:r w:rsidRPr="00D21DFA">
        <w:rPr>
          <w:rFonts w:ascii="Times New Roman" w:eastAsia="Times New Roman" w:hAnsi="Times New Roman" w:cs="Times New Roman"/>
          <w:snapToGrid w:val="0"/>
          <w:kern w:val="0"/>
          <w:sz w:val="22"/>
          <w:szCs w:val="20"/>
          <w14:ligatures w14:val="none"/>
        </w:rPr>
        <w:t xml:space="preserve"> </w:t>
      </w:r>
    </w:p>
    <w:p w14:paraId="5DCD06F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2,5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išgerti ryte, o kitą – vakare. </w:t>
      </w:r>
    </w:p>
    <w:p w14:paraId="1D907F0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Pirmąją tabletę turite išgerti praėjus 12-24 valandoms po atliktos operacijos. </w:t>
      </w:r>
    </w:p>
    <w:p w14:paraId="4B65245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22F71A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atlikta didelė klubo sąnario operacija, tablečių paprastai reikės vartoti 32</w:t>
      </w:r>
      <w:r w:rsidRPr="00D21DFA">
        <w:rPr>
          <w:rFonts w:ascii="Times New Roman" w:eastAsia="Times New Roman" w:hAnsi="Times New Roman" w:cs="Times New Roman"/>
          <w:snapToGrid w:val="0"/>
          <w:kern w:val="0"/>
          <w:sz w:val="22"/>
          <w:szCs w:val="20"/>
          <w14:ligatures w14:val="none"/>
        </w:rPr>
        <w:noBreakHyphen/>
        <w:t xml:space="preserve">38 dienas. </w:t>
      </w:r>
    </w:p>
    <w:p w14:paraId="7126C90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atlikta didelė kelio sąnario operacija, tablečių paprastai reikės vartoti 10</w:t>
      </w:r>
      <w:r w:rsidRPr="00D21DFA">
        <w:rPr>
          <w:rFonts w:ascii="Times New Roman" w:eastAsia="Times New Roman" w:hAnsi="Times New Roman" w:cs="Times New Roman"/>
          <w:snapToGrid w:val="0"/>
          <w:kern w:val="0"/>
          <w:sz w:val="22"/>
          <w:szCs w:val="20"/>
          <w14:ligatures w14:val="none"/>
        </w:rPr>
        <w:noBreakHyphen/>
        <w:t xml:space="preserve">14 dienų. </w:t>
      </w:r>
    </w:p>
    <w:p w14:paraId="77FC3EA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2FCADB1" w14:textId="2FA4A66D"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Kad apsaugot</w:t>
      </w:r>
      <w:r w:rsidR="00386785" w:rsidRPr="00D21DFA">
        <w:rPr>
          <w:rFonts w:ascii="Times New Roman" w:eastAsia="Times New Roman" w:hAnsi="Times New Roman" w:cs="Times New Roman"/>
          <w:iCs/>
          <w:snapToGrid w:val="0"/>
          <w:kern w:val="0"/>
          <w:sz w:val="22"/>
          <w:szCs w:val="20"/>
          <w:u w:val="single"/>
          <w14:ligatures w14:val="none"/>
        </w:rPr>
        <w:t>ų</w:t>
      </w:r>
      <w:r w:rsidRPr="00D21DFA">
        <w:rPr>
          <w:rFonts w:ascii="Times New Roman" w:eastAsia="Times New Roman" w:hAnsi="Times New Roman" w:cs="Times New Roman"/>
          <w:iCs/>
          <w:snapToGrid w:val="0"/>
          <w:kern w:val="0"/>
          <w:sz w:val="22"/>
          <w:szCs w:val="20"/>
          <w:u w:val="single"/>
          <w14:ligatures w14:val="none"/>
        </w:rPr>
        <w:t xml:space="preserve"> nuo kraujo krešulių formavimosi širdyje pacientams, kurių širdis plaka neritmiškai ir yra bent vienas papildomas rizikos veiksnys </w:t>
      </w:r>
    </w:p>
    <w:p w14:paraId="52A0201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 xml:space="preserve">vieną </w:t>
      </w:r>
      <w:r w:rsidRPr="00D21DFA">
        <w:rPr>
          <w:rFonts w:ascii="Times New Roman" w:eastAsia="Times New Roman" w:hAnsi="Times New Roman" w:cs="Times New Roman"/>
          <w:b/>
          <w:snapToGrid w:val="0"/>
          <w:kern w:val="0"/>
          <w:sz w:val="22"/>
          <w:szCs w:val="20"/>
          <w14:ligatures w14:val="none"/>
        </w:rPr>
        <w:t>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w:t>
      </w:r>
    </w:p>
    <w:p w14:paraId="63FCD6F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CED6A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vieną</w:t>
      </w:r>
      <w:r w:rsidRPr="00D21DFA">
        <w:rPr>
          <w:rFonts w:ascii="Times New Roman" w:eastAsia="Times New Roman" w:hAnsi="Times New Roman" w:cs="Times New Roman"/>
          <w:b/>
          <w:snapToGrid w:val="0"/>
          <w:kern w:val="0"/>
          <w:sz w:val="22"/>
          <w:szCs w:val="20"/>
          <w14:ligatures w14:val="none"/>
        </w:rPr>
        <w:t xml:space="preserve"> 2,5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jeigu </w:t>
      </w:r>
    </w:p>
    <w:p w14:paraId="1B0DD595" w14:textId="5A9182FB" w:rsidR="00C95D96" w:rsidRPr="00D21DFA"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yra labai </w:t>
      </w:r>
      <w:r w:rsidRPr="00D21DFA">
        <w:rPr>
          <w:rFonts w:ascii="Times New Roman" w:eastAsia="Times New Roman" w:hAnsi="Times New Roman" w:cs="Times New Roman"/>
          <w:b/>
          <w:bCs/>
          <w:kern w:val="0"/>
          <w:sz w:val="22"/>
          <w:szCs w:val="20"/>
          <w:lang w:eastAsia="lt-LT" w:bidi="lt-LT"/>
          <w14:ligatures w14:val="none"/>
        </w:rPr>
        <w:t xml:space="preserve">susilpnėjusi inkstų </w:t>
      </w:r>
      <w:r w:rsidR="005D0C32" w:rsidRPr="00D21DFA">
        <w:rPr>
          <w:rFonts w:ascii="Times New Roman" w:eastAsia="Times New Roman" w:hAnsi="Times New Roman" w:cs="Times New Roman"/>
          <w:b/>
          <w:bCs/>
          <w:kern w:val="0"/>
          <w:sz w:val="22"/>
          <w:szCs w:val="20"/>
          <w:lang w:eastAsia="lt-LT" w:bidi="lt-LT"/>
          <w14:ligatures w14:val="none"/>
        </w:rPr>
        <w:t>veikla</w:t>
      </w:r>
      <w:r w:rsidRPr="00D21DFA">
        <w:rPr>
          <w:rFonts w:ascii="Times New Roman" w:eastAsia="Times New Roman" w:hAnsi="Times New Roman" w:cs="Times New Roman"/>
          <w:kern w:val="0"/>
          <w:sz w:val="22"/>
          <w:szCs w:val="20"/>
          <w:lang w:eastAsia="lt-LT" w:bidi="lt-LT"/>
          <w14:ligatures w14:val="none"/>
        </w:rPr>
        <w:t xml:space="preserve">; </w:t>
      </w:r>
    </w:p>
    <w:p w14:paraId="7CC773FE" w14:textId="77777777" w:rsidR="00C95D96" w:rsidRPr="00D21DFA"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b/>
          <w:bCs/>
          <w:kern w:val="0"/>
          <w:sz w:val="22"/>
          <w:szCs w:val="20"/>
          <w:lang w:eastAsia="lt-LT" w:bidi="lt-LT"/>
          <w14:ligatures w14:val="none"/>
        </w:rPr>
      </w:pPr>
      <w:r w:rsidRPr="00D21DFA">
        <w:rPr>
          <w:rFonts w:ascii="Times New Roman" w:eastAsia="Times New Roman" w:hAnsi="Times New Roman" w:cs="Times New Roman"/>
          <w:b/>
          <w:bCs/>
          <w:kern w:val="0"/>
          <w:sz w:val="22"/>
          <w:szCs w:val="20"/>
          <w:lang w:eastAsia="lt-LT" w:bidi="lt-LT"/>
          <w14:ligatures w14:val="none"/>
        </w:rPr>
        <w:t xml:space="preserve">yra dvi arba daugiau iš toliau išvardytų aplinkybių: </w:t>
      </w:r>
    </w:p>
    <w:p w14:paraId="0AB9C054" w14:textId="1B5AB9CB" w:rsidR="00C95D96" w:rsidRPr="00D21DFA"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Jūsų kraujo tyrimų rodmenys rodo blogą inkstų </w:t>
      </w:r>
      <w:r w:rsidR="005D0C32" w:rsidRPr="00D21DFA">
        <w:rPr>
          <w:rFonts w:ascii="Times New Roman" w:eastAsia="Times New Roman" w:hAnsi="Times New Roman" w:cs="Times New Roman"/>
          <w:kern w:val="0"/>
          <w:sz w:val="22"/>
          <w:szCs w:val="20"/>
          <w:lang w:eastAsia="lt-LT" w:bidi="lt-LT"/>
          <w14:ligatures w14:val="none"/>
        </w:rPr>
        <w:t xml:space="preserve">veiklą </w:t>
      </w:r>
      <w:r w:rsidRPr="00D21DFA">
        <w:rPr>
          <w:rFonts w:ascii="Times New Roman" w:eastAsia="Times New Roman" w:hAnsi="Times New Roman" w:cs="Times New Roman"/>
          <w:kern w:val="0"/>
          <w:sz w:val="22"/>
          <w:szCs w:val="20"/>
          <w:lang w:eastAsia="lt-LT" w:bidi="lt-LT"/>
          <w14:ligatures w14:val="none"/>
        </w:rPr>
        <w:t>(kreatinino koncentracija serume yra 1,5 mg/dl [133 </w:t>
      </w:r>
      <w:proofErr w:type="spellStart"/>
      <w:r w:rsidRPr="00D21DFA">
        <w:rPr>
          <w:rFonts w:ascii="Times New Roman" w:eastAsia="Times New Roman" w:hAnsi="Times New Roman" w:cs="Times New Roman"/>
          <w:kern w:val="0"/>
          <w:sz w:val="22"/>
          <w:szCs w:val="20"/>
          <w:lang w:eastAsia="lt-LT" w:bidi="lt-LT"/>
          <w14:ligatures w14:val="none"/>
        </w:rPr>
        <w:t>mikromoliai</w:t>
      </w:r>
      <w:proofErr w:type="spellEnd"/>
      <w:r w:rsidRPr="00D21DFA">
        <w:rPr>
          <w:rFonts w:ascii="Times New Roman" w:eastAsia="Times New Roman" w:hAnsi="Times New Roman" w:cs="Times New Roman"/>
          <w:kern w:val="0"/>
          <w:sz w:val="22"/>
          <w:szCs w:val="20"/>
          <w:lang w:eastAsia="lt-LT" w:bidi="lt-LT"/>
          <w14:ligatures w14:val="none"/>
        </w:rPr>
        <w:t xml:space="preserve">/l] arba didesnė); </w:t>
      </w:r>
    </w:p>
    <w:p w14:paraId="1313FD1B" w14:textId="77777777" w:rsidR="00C95D96" w:rsidRPr="00D21DFA"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80 metų arba vyresni; </w:t>
      </w:r>
    </w:p>
    <w:p w14:paraId="00E1BD32" w14:textId="77777777" w:rsidR="00C95D96" w:rsidRPr="00D21DFA"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6F23C61B"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73FAB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tabletę du kartus per parą, pavyzdžiui, vieną tabletę reikia vartoti ryte, o kitą – vakare. Gydytojas nuspręs, kaip ilgai turite tęsti gydymą. </w:t>
      </w:r>
    </w:p>
    <w:p w14:paraId="5E65012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3E9755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Kraujo krešuliams Jūsų kojų venose ir kraujo krešuliams Jūsų plaučių kraujagyslėse gydyti </w:t>
      </w:r>
    </w:p>
    <w:p w14:paraId="0E46FAA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pirmąsias 7 paras yra po dvi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tabletes du kartus per parą, pavyzdžiui, dvi tabletes reikia vartoti ryte, o kitas dvi – vakare. </w:t>
      </w:r>
    </w:p>
    <w:p w14:paraId="540A71B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7 parų rekomenduojama dozė yra po vieną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2FB886C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516E38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Pakartotino kraujo krešulių susiformavimo prevencijai užbaigus 6 mėnesių gydymą </w:t>
      </w:r>
    </w:p>
    <w:p w14:paraId="6A2348B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2,5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66AAA2A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Gydytojas nuspręs, kaip ilgai turite tęsti gydymą. </w:t>
      </w:r>
    </w:p>
    <w:p w14:paraId="3B2E9D4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18F574"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AD1A35">
        <w:rPr>
          <w:rFonts w:ascii="Times New Roman" w:eastAsia="Times New Roman" w:hAnsi="Times New Roman" w:cs="Times New Roman"/>
          <w:snapToGrid w:val="0"/>
          <w:kern w:val="0"/>
          <w:sz w:val="22"/>
          <w:szCs w:val="20"/>
          <w:u w:val="single"/>
          <w14:ligatures w14:val="none"/>
        </w:rPr>
        <w:t>Vartojimas vaikams ir paaugliams</w:t>
      </w:r>
    </w:p>
    <w:p w14:paraId="423F7D9C" w14:textId="77777777" w:rsidR="00404325" w:rsidRPr="00AD1A35" w:rsidRDefault="00404325"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7B5FDE3" w14:textId="53C99F12"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Kraujo krešuliams gydyti ir užkirsti kelią pakartotiniam kraujo krešulių susidarymui venose arba plaučių kraujagyslėse.</w:t>
      </w:r>
    </w:p>
    <w:p w14:paraId="19E8F7A8"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F6ECE18" w14:textId="5853234B"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Visada vartokite arba duokite šį vaistą tiksliai, kaip nurodė Jūsų arba vaiko gydytojas arba vaistininkas. Jeigu abejojate, kreipkitės į savo arba vaiko gydytoją, vaistininką arba slaugytoją.</w:t>
      </w:r>
    </w:p>
    <w:p w14:paraId="345C8F0F"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8E57AFC" w14:textId="6AA2FF8D"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Stenkitės dozę vartoti arba duoti kasdien tuo pačiu laiku, kad būtų pasiektas geriausias gydomasis</w:t>
      </w:r>
      <w:r w:rsidR="00F7184A">
        <w:rPr>
          <w:rFonts w:ascii="Times New Roman" w:eastAsia="Times New Roman" w:hAnsi="Times New Roman" w:cs="Times New Roman"/>
          <w:snapToGrid w:val="0"/>
          <w:kern w:val="0"/>
          <w:sz w:val="22"/>
          <w:szCs w:val="20"/>
          <w14:ligatures w14:val="none"/>
        </w:rPr>
        <w:t xml:space="preserve"> </w:t>
      </w:r>
    </w:p>
    <w:p w14:paraId="76ABF095"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poveikis.</w:t>
      </w:r>
    </w:p>
    <w:p w14:paraId="10A6C54B"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EB4F9CA" w14:textId="13CC72DC"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dozė priklauso nuo kūno svorio, ją apskaičiuos gydytojas. Rekomenduojama dozė vaikams ir paaugliams, sveriantiems mažiausiai 35 kg, pirmąsias 7 dienas yra po </w:t>
      </w:r>
      <w:r w:rsidRPr="00D21DFA">
        <w:rPr>
          <w:rFonts w:ascii="Times New Roman" w:eastAsia="Times New Roman" w:hAnsi="Times New Roman" w:cs="Times New Roman"/>
          <w:b/>
          <w:bCs/>
          <w:snapToGrid w:val="0"/>
          <w:kern w:val="0"/>
          <w:sz w:val="22"/>
          <w:szCs w:val="20"/>
          <w14:ligatures w14:val="none"/>
        </w:rPr>
        <w:t xml:space="preserve">keturias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bCs/>
          <w:snapToGrid w:val="0"/>
          <w:kern w:val="0"/>
          <w:sz w:val="22"/>
          <w:szCs w:val="20"/>
          <w14:ligatures w14:val="none"/>
        </w:rPr>
        <w:t xml:space="preserve">2,5 mg tabletes </w:t>
      </w:r>
      <w:r w:rsidRPr="00D21DFA">
        <w:rPr>
          <w:rFonts w:ascii="Times New Roman" w:eastAsia="Times New Roman" w:hAnsi="Times New Roman" w:cs="Times New Roman"/>
          <w:snapToGrid w:val="0"/>
          <w:kern w:val="0"/>
          <w:sz w:val="22"/>
          <w:szCs w:val="20"/>
          <w14:ligatures w14:val="none"/>
        </w:rPr>
        <w:t>du kartus per parą, pavyzdžiui: keturias tabletes reikia vartoti ryte, o kitas keturias – vakare.</w:t>
      </w:r>
      <w:r w:rsidR="00404325"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 xml:space="preserve">Po 7 dienų rekomenduojama dozė yra po </w:t>
      </w:r>
      <w:r w:rsidRPr="00D21DFA">
        <w:rPr>
          <w:rFonts w:ascii="Times New Roman" w:eastAsia="Times New Roman" w:hAnsi="Times New Roman" w:cs="Times New Roman"/>
          <w:b/>
          <w:bCs/>
          <w:snapToGrid w:val="0"/>
          <w:kern w:val="0"/>
          <w:sz w:val="22"/>
          <w:szCs w:val="20"/>
          <w14:ligatures w14:val="none"/>
        </w:rPr>
        <w:t xml:space="preserve">dvi </w:t>
      </w:r>
      <w:proofErr w:type="spellStart"/>
      <w:r w:rsidR="00404325" w:rsidRPr="00D21DFA">
        <w:rPr>
          <w:rFonts w:ascii="Times New Roman" w:eastAsia="Times New Roman" w:hAnsi="Times New Roman" w:cs="Times New Roman"/>
          <w:snapToGrid w:val="0"/>
          <w:kern w:val="0"/>
          <w:sz w:val="22"/>
          <w:szCs w:val="20"/>
          <w14:ligatures w14:val="none"/>
        </w:rPr>
        <w:t>Apixaban</w:t>
      </w:r>
      <w:proofErr w:type="spellEnd"/>
      <w:r w:rsidR="00404325" w:rsidRPr="00D21DFA">
        <w:rPr>
          <w:rFonts w:ascii="Times New Roman" w:eastAsia="Times New Roman" w:hAnsi="Times New Roman" w:cs="Times New Roman"/>
          <w:snapToGrid w:val="0"/>
          <w:kern w:val="0"/>
          <w:sz w:val="22"/>
          <w:szCs w:val="20"/>
          <w14:ligatures w14:val="none"/>
        </w:rPr>
        <w:t xml:space="preserve"> </w:t>
      </w:r>
      <w:proofErr w:type="spellStart"/>
      <w:r w:rsidR="00404325"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bCs/>
          <w:snapToGrid w:val="0"/>
          <w:kern w:val="0"/>
          <w:sz w:val="22"/>
          <w:szCs w:val="20"/>
          <w14:ligatures w14:val="none"/>
        </w:rPr>
        <w:t xml:space="preserve">2,5 mg tabletes </w:t>
      </w:r>
      <w:r w:rsidRPr="00D21DFA">
        <w:rPr>
          <w:rFonts w:ascii="Times New Roman" w:eastAsia="Times New Roman" w:hAnsi="Times New Roman" w:cs="Times New Roman"/>
          <w:snapToGrid w:val="0"/>
          <w:kern w:val="0"/>
          <w:sz w:val="22"/>
          <w:szCs w:val="20"/>
          <w14:ligatures w14:val="none"/>
        </w:rPr>
        <w:t>du kartus per parą, pavyzdžiui:</w:t>
      </w:r>
      <w:r w:rsidR="00404325"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dvi tabletes reikia vartoti ryte, o kitas dvi – vakare.</w:t>
      </w:r>
    </w:p>
    <w:p w14:paraId="52AC6524"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FDF7E45"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Tėvai ar prižiūrintys asmenys turi stebėti vaiką, kad įsitikintų, jog suvartota visa dozė.</w:t>
      </w:r>
    </w:p>
    <w:p w14:paraId="21AE736A" w14:textId="77777777" w:rsidR="00D956E2" w:rsidRPr="00D21DFA" w:rsidRDefault="00D956E2" w:rsidP="00D956E2">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B6DDF2C" w14:textId="3032274A" w:rsidR="00D956E2" w:rsidRPr="00D21DFA" w:rsidRDefault="00D956E2"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Svarbu laikytis vizitų pas gydytoją grafiko, nes keičiantis svoriui dozę gali tekti keisti.</w:t>
      </w:r>
    </w:p>
    <w:p w14:paraId="13537E5E" w14:textId="77777777" w:rsidR="00D956E2" w:rsidRPr="00D21DFA" w:rsidRDefault="00D956E2"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654D15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b/>
          <w:iCs/>
          <w:snapToGrid w:val="0"/>
          <w:kern w:val="0"/>
          <w:sz w:val="22"/>
          <w:szCs w:val="20"/>
          <w:u w:val="single"/>
          <w14:ligatures w14:val="none"/>
        </w:rPr>
        <w:t>Jūsų gydytojas gali keisti gydymą antikoaguliantais taip, kaip nurodyta toliau</w:t>
      </w:r>
      <w:r w:rsidRPr="00D21DFA">
        <w:rPr>
          <w:rFonts w:ascii="Times New Roman" w:eastAsia="Times New Roman" w:hAnsi="Times New Roman" w:cs="Times New Roman"/>
          <w:iCs/>
          <w:snapToGrid w:val="0"/>
          <w:kern w:val="0"/>
          <w:sz w:val="22"/>
          <w:szCs w:val="20"/>
          <w:u w:val="single"/>
          <w14:ligatures w14:val="none"/>
        </w:rPr>
        <w:t xml:space="preserve"> </w:t>
      </w:r>
    </w:p>
    <w:p w14:paraId="7EEFA595" w14:textId="77777777" w:rsidR="00C95D96" w:rsidRPr="00D21DFA" w:rsidRDefault="00C95D96" w:rsidP="00C95D96">
      <w:pPr>
        <w:numPr>
          <w:ilvl w:val="0"/>
          <w:numId w:val="50"/>
        </w:numPr>
        <w:tabs>
          <w:tab w:val="left" w:pos="567"/>
          <w:tab w:val="left" w:pos="9214"/>
        </w:tabs>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antikoaguliantais </w:t>
      </w:r>
    </w:p>
    <w:p w14:paraId="4AB0410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Nutraukite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vartojimą. Pradėkite gydymą antikoaguliantais (pvz., heparinu) tuo laiku, kada turite išgerti kitą tabletę.</w:t>
      </w:r>
    </w:p>
    <w:p w14:paraId="66BCC712"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732DE995" w14:textId="77777777" w:rsidR="00C95D96" w:rsidRPr="00D21DFA"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antikoaguliantais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w:t>
      </w:r>
    </w:p>
    <w:p w14:paraId="4366F67C" w14:textId="77777777" w:rsidR="00C95D96" w:rsidRPr="00D21DFA" w:rsidRDefault="00C95D96" w:rsidP="00C95D96">
      <w:pPr>
        <w:tabs>
          <w:tab w:val="left" w:pos="0"/>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r w:rsidRPr="00D21DFA">
        <w:rPr>
          <w:rFonts w:ascii="Times New Roman" w:eastAsia="Times New Roman" w:hAnsi="Times New Roman" w:cs="Times New Roman"/>
          <w:iCs/>
          <w:snapToGrid w:val="0"/>
          <w:kern w:val="0"/>
          <w:sz w:val="22"/>
          <w:szCs w:val="20"/>
          <w14:ligatures w14:val="none"/>
        </w:rPr>
        <w:t xml:space="preserve">Nutraukite antikoaguliantų vartojimą. Pradėkite gydymą </w:t>
      </w:r>
      <w:proofErr w:type="spellStart"/>
      <w:r w:rsidRPr="00D21DFA">
        <w:rPr>
          <w:rFonts w:ascii="Times New Roman" w:eastAsia="Times New Roman" w:hAnsi="Times New Roman" w:cs="Times New Roman"/>
          <w:iCs/>
          <w:snapToGrid w:val="0"/>
          <w:kern w:val="0"/>
          <w:sz w:val="22"/>
          <w:szCs w:val="20"/>
          <w14:ligatures w14:val="none"/>
        </w:rPr>
        <w:t>Apixaban</w:t>
      </w:r>
      <w:proofErr w:type="spellEnd"/>
      <w:r w:rsidRPr="00D21DFA">
        <w:rPr>
          <w:rFonts w:ascii="Times New Roman" w:eastAsia="Times New Roman" w:hAnsi="Times New Roman" w:cs="Times New Roman"/>
          <w:iCs/>
          <w:snapToGrid w:val="0"/>
          <w:kern w:val="0"/>
          <w:sz w:val="22"/>
          <w:szCs w:val="20"/>
          <w14:ligatures w14:val="none"/>
        </w:rPr>
        <w:t xml:space="preserve"> </w:t>
      </w:r>
      <w:proofErr w:type="spellStart"/>
      <w:r w:rsidRPr="00D21DFA">
        <w:rPr>
          <w:rFonts w:ascii="Times New Roman" w:eastAsia="Times New Roman" w:hAnsi="Times New Roman" w:cs="Times New Roman"/>
          <w:iCs/>
          <w:snapToGrid w:val="0"/>
          <w:kern w:val="0"/>
          <w:sz w:val="22"/>
          <w:szCs w:val="20"/>
          <w14:ligatures w14:val="none"/>
        </w:rPr>
        <w:t>Zentiva</w:t>
      </w:r>
      <w:proofErr w:type="spellEnd"/>
      <w:r w:rsidRPr="00D21DFA">
        <w:rPr>
          <w:rFonts w:ascii="Times New Roman" w:eastAsia="Times New Roman" w:hAnsi="Times New Roman" w:cs="Times New Roman"/>
          <w:iCs/>
          <w:snapToGrid w:val="0"/>
          <w:kern w:val="0"/>
          <w:sz w:val="22"/>
          <w:szCs w:val="20"/>
          <w14:ligatures w14:val="none"/>
        </w:rPr>
        <w:t xml:space="preserve"> tuo laiku, kada turėtumėte vartoti kitą antikoagulianto dozę, o toliau vartokite vaistą įprastai. </w:t>
      </w:r>
    </w:p>
    <w:p w14:paraId="600AC88A" w14:textId="77777777" w:rsidR="00C95D96" w:rsidRPr="00D21DFA" w:rsidRDefault="00C95D96" w:rsidP="00C95D96">
      <w:pPr>
        <w:tabs>
          <w:tab w:val="left" w:pos="567"/>
          <w:tab w:val="left" w:pos="9214"/>
        </w:tabs>
        <w:autoSpaceDE w:val="0"/>
        <w:autoSpaceDN w:val="0"/>
        <w:adjustRightInd w:val="0"/>
        <w:spacing w:after="0" w:line="240" w:lineRule="auto"/>
        <w:ind w:left="567" w:right="-2"/>
        <w:rPr>
          <w:rFonts w:ascii="Times New Roman" w:eastAsia="Times New Roman" w:hAnsi="Times New Roman" w:cs="Times New Roman"/>
          <w:iCs/>
          <w:snapToGrid w:val="0"/>
          <w:kern w:val="0"/>
          <w:sz w:val="22"/>
          <w:szCs w:val="20"/>
          <w14:ligatures w14:val="none"/>
        </w:rPr>
      </w:pPr>
    </w:p>
    <w:p w14:paraId="18BC39A4" w14:textId="77777777" w:rsidR="00C95D96" w:rsidRPr="00D21DFA"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antikoaguliantu, kurio sudėtyje yra vitamino K antagonisto (pvz., varfarino)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p>
    <w:p w14:paraId="07FC0473" w14:textId="77777777"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iCs/>
          <w:kern w:val="0"/>
          <w:sz w:val="22"/>
          <w:szCs w:val="20"/>
          <w:lang w:eastAsia="lt-LT" w:bidi="lt-LT"/>
          <w14:ligatures w14:val="none"/>
        </w:rPr>
      </w:pPr>
      <w:r w:rsidRPr="00D21DFA">
        <w:rPr>
          <w:rFonts w:ascii="Times New Roman" w:eastAsia="Times New Roman" w:hAnsi="Times New Roman" w:cs="Times New Roman"/>
          <w:iCs/>
          <w:kern w:val="0"/>
          <w:sz w:val="22"/>
          <w:szCs w:val="20"/>
          <w:lang w:eastAsia="lt-LT" w:bidi="lt-LT"/>
          <w14:ligatures w14:val="none"/>
        </w:rPr>
        <w:t xml:space="preserve">Nutraukite vaisto, kurio sudėtyje yra vitamino K antagonisto, vartojimą. Gydytojas turės matuoti kraujo rodmenis ir nurodys Jums, kada pradėti vartoti </w:t>
      </w:r>
      <w:proofErr w:type="spellStart"/>
      <w:r w:rsidRPr="00D21DFA">
        <w:rPr>
          <w:rFonts w:ascii="Times New Roman" w:eastAsia="Times New Roman" w:hAnsi="Times New Roman" w:cs="Times New Roman"/>
          <w:iCs/>
          <w:snapToGrid w:val="0"/>
          <w:kern w:val="0"/>
          <w:sz w:val="22"/>
          <w:szCs w:val="20"/>
          <w:lang w:eastAsia="lt-LT" w:bidi="lt-LT"/>
          <w14:ligatures w14:val="none"/>
        </w:rPr>
        <w:t>Apixaban</w:t>
      </w:r>
      <w:proofErr w:type="spellEnd"/>
      <w:r w:rsidRPr="00D21DFA">
        <w:rPr>
          <w:rFonts w:ascii="Times New Roman" w:eastAsia="Times New Roman" w:hAnsi="Times New Roman" w:cs="Times New Roman"/>
          <w:iCs/>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iCs/>
          <w:snapToGrid w:val="0"/>
          <w:kern w:val="0"/>
          <w:sz w:val="22"/>
          <w:szCs w:val="20"/>
          <w:lang w:eastAsia="lt-LT" w:bidi="lt-LT"/>
          <w14:ligatures w14:val="none"/>
        </w:rPr>
        <w:t>Zentiva</w:t>
      </w:r>
      <w:proofErr w:type="spellEnd"/>
      <w:r w:rsidRPr="00D21DFA">
        <w:rPr>
          <w:rFonts w:ascii="Times New Roman" w:eastAsia="Times New Roman" w:hAnsi="Times New Roman" w:cs="Times New Roman"/>
          <w:iCs/>
          <w:kern w:val="0"/>
          <w:sz w:val="22"/>
          <w:szCs w:val="20"/>
          <w:lang w:eastAsia="lt-LT" w:bidi="lt-LT"/>
          <w14:ligatures w14:val="none"/>
        </w:rPr>
        <w:t>.</w:t>
      </w:r>
    </w:p>
    <w:p w14:paraId="6A436845"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p>
    <w:p w14:paraId="37041D9F" w14:textId="77777777" w:rsidR="00C95D96" w:rsidRPr="00D21DFA"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antikoaguliantu, kurio sudėtyje yra vitamino K antagonisto (pvz., varfarino) </w:t>
      </w:r>
    </w:p>
    <w:p w14:paraId="33F12E96" w14:textId="77777777" w:rsidR="00C95D96" w:rsidRPr="00D21DFA" w:rsidRDefault="00C95D96" w:rsidP="00C95D96">
      <w:pPr>
        <w:tabs>
          <w:tab w:val="left" w:pos="9214"/>
        </w:tabs>
        <w:autoSpaceDE w:val="0"/>
        <w:autoSpaceDN w:val="0"/>
        <w:adjustRightInd w:val="0"/>
        <w:spacing w:after="0" w:line="240" w:lineRule="auto"/>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gydytojas nurodė Jums, kad pradėtumėte vartoti vaistą, kurio sudėtyje yra vitamino K antagonisto, toliau vartokite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 xml:space="preserve">ne trumpiau kaip 2 paras po to, kai suvartosite pirmąją vaisto, kurio sudėtyje yra vitamino K antagonisto, dozę. Gydytojas turės matuoti kraujo rodmenis ir nurodys Jums, kada baigti vartoti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w:t>
      </w:r>
    </w:p>
    <w:p w14:paraId="4694F174" w14:textId="77777777"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p>
    <w:p w14:paraId="5AFFDB7C" w14:textId="77777777"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 xml:space="preserve">Pacientai, kuriems atliekama </w:t>
      </w:r>
      <w:proofErr w:type="spellStart"/>
      <w:r w:rsidRPr="00D21DFA">
        <w:rPr>
          <w:rFonts w:ascii="Times New Roman" w:eastAsia="Times New Roman" w:hAnsi="Times New Roman" w:cs="Times New Roman"/>
          <w:b/>
          <w:kern w:val="0"/>
          <w:sz w:val="22"/>
          <w:szCs w:val="20"/>
          <w:lang w:eastAsia="lt-LT" w:bidi="lt-LT"/>
          <w14:ligatures w14:val="none"/>
        </w:rPr>
        <w:t>kardioversija</w:t>
      </w:r>
      <w:proofErr w:type="spellEnd"/>
      <w:r w:rsidRPr="00D21DFA">
        <w:rPr>
          <w:rFonts w:ascii="Times New Roman" w:eastAsia="Times New Roman" w:hAnsi="Times New Roman" w:cs="Times New Roman"/>
          <w:b/>
          <w:kern w:val="0"/>
          <w:sz w:val="22"/>
          <w:szCs w:val="20"/>
          <w:lang w:eastAsia="lt-LT" w:bidi="lt-LT"/>
          <w14:ligatures w14:val="none"/>
        </w:rPr>
        <w:t xml:space="preserve"> </w:t>
      </w:r>
    </w:p>
    <w:p w14:paraId="249416EA" w14:textId="029655B9"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Jeigu Jūsų širdis plaka ne</w:t>
      </w:r>
      <w:r w:rsidR="00BF2F84" w:rsidRPr="00D21DFA">
        <w:rPr>
          <w:rFonts w:ascii="Times New Roman" w:eastAsia="Times New Roman" w:hAnsi="Times New Roman" w:cs="Times New Roman"/>
          <w:kern w:val="0"/>
          <w:sz w:val="22"/>
          <w:szCs w:val="20"/>
          <w:lang w:eastAsia="lt-LT" w:bidi="lt-LT"/>
          <w14:ligatures w14:val="none"/>
        </w:rPr>
        <w:t>ritmiškai</w:t>
      </w:r>
      <w:r w:rsidRPr="00D21DFA">
        <w:rPr>
          <w:rFonts w:ascii="Times New Roman" w:eastAsia="Times New Roman" w:hAnsi="Times New Roman" w:cs="Times New Roman"/>
          <w:kern w:val="0"/>
          <w:sz w:val="22"/>
          <w:szCs w:val="20"/>
          <w:lang w:eastAsia="lt-LT" w:bidi="lt-LT"/>
          <w14:ligatures w14:val="none"/>
        </w:rPr>
        <w:t xml:space="preserve"> ir reikia atstatyti jos normalų ritmą</w:t>
      </w:r>
      <w:r w:rsidR="00D405F8"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taikant </w:t>
      </w:r>
      <w:proofErr w:type="spellStart"/>
      <w:r w:rsidRPr="00D21DFA">
        <w:rPr>
          <w:rFonts w:ascii="Times New Roman" w:eastAsia="Times New Roman" w:hAnsi="Times New Roman" w:cs="Times New Roman"/>
          <w:kern w:val="0"/>
          <w:sz w:val="22"/>
          <w:szCs w:val="20"/>
          <w:lang w:eastAsia="lt-LT" w:bidi="lt-LT"/>
          <w14:ligatures w14:val="none"/>
        </w:rPr>
        <w:t>kardioversija</w:t>
      </w:r>
      <w:proofErr w:type="spellEnd"/>
      <w:r w:rsidRPr="00D21DFA">
        <w:rPr>
          <w:rFonts w:ascii="Times New Roman" w:eastAsia="Times New Roman" w:hAnsi="Times New Roman" w:cs="Times New Roman"/>
          <w:kern w:val="0"/>
          <w:sz w:val="22"/>
          <w:szCs w:val="20"/>
          <w:lang w:eastAsia="lt-LT" w:bidi="lt-LT"/>
          <w14:ligatures w14:val="none"/>
        </w:rPr>
        <w:t xml:space="preserve"> vadinamą procedūrą, vartokite </w:t>
      </w:r>
      <w:r w:rsidRPr="00D21DFA">
        <w:rPr>
          <w:rFonts w:ascii="Times New Roman" w:eastAsia="Times New Roman" w:hAnsi="Times New Roman" w:cs="Times New Roman"/>
          <w:snapToGrid w:val="0"/>
          <w:kern w:val="0"/>
          <w:sz w:val="22"/>
          <w:szCs w:val="20"/>
          <w:lang w:eastAsia="lt-LT" w:bidi="lt-LT"/>
          <w14:ligatures w14:val="none"/>
        </w:rPr>
        <w:t xml:space="preserve">šį vaistą </w:t>
      </w:r>
      <w:r w:rsidRPr="00D21DFA">
        <w:rPr>
          <w:rFonts w:ascii="Times New Roman" w:eastAsia="Times New Roman" w:hAnsi="Times New Roman" w:cs="Times New Roman"/>
          <w:kern w:val="0"/>
          <w:sz w:val="22"/>
          <w:szCs w:val="20"/>
          <w:lang w:eastAsia="lt-LT" w:bidi="lt-LT"/>
          <w14:ligatures w14:val="none"/>
        </w:rPr>
        <w:t>taip, kaip nurodė gydytojas, siekiant išvengti krešulių susiformavimo galvos smegenų ir kitose Jūsų kūno kraujagyslėse.</w:t>
      </w:r>
    </w:p>
    <w:p w14:paraId="603FD3F1"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0BB2A297"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Ką daryti pavartojus per didelę</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dozę</w:t>
      </w:r>
    </w:p>
    <w:p w14:paraId="5F142CC2"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šio vaisto dozę nei buvo paskirta, </w:t>
      </w:r>
      <w:r w:rsidRPr="00D21DFA">
        <w:rPr>
          <w:rFonts w:ascii="Times New Roman" w:eastAsia="Times New Roman" w:hAnsi="Times New Roman" w:cs="Times New Roman"/>
          <w:b/>
          <w:snapToGrid w:val="0"/>
          <w:kern w:val="0"/>
          <w:sz w:val="22"/>
          <w:szCs w:val="20"/>
          <w14:ligatures w14:val="none"/>
        </w:rPr>
        <w:t>nedelsdami pasakykite gydytojui</w:t>
      </w:r>
      <w:r w:rsidRPr="00D21DFA">
        <w:rPr>
          <w:rFonts w:ascii="Times New Roman" w:eastAsia="Times New Roman" w:hAnsi="Times New Roman" w:cs="Times New Roman"/>
          <w:snapToGrid w:val="0"/>
          <w:kern w:val="0"/>
          <w:sz w:val="22"/>
          <w:szCs w:val="20"/>
          <w14:ligatures w14:val="none"/>
        </w:rPr>
        <w:t xml:space="preserve">. Pasiimkite su savimi vaisto pakuotę, net jeigu joje nebeliko tablečių. </w:t>
      </w:r>
    </w:p>
    <w:p w14:paraId="2405E745"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185FEE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faktoriui.</w:t>
      </w:r>
    </w:p>
    <w:p w14:paraId="5C90F700"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060AA58"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Pamiršus pavartoti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3C2F7D61" w14:textId="4A4C2CAB" w:rsidR="00D956E2" w:rsidRPr="00D21DFA" w:rsidRDefault="00D956E2" w:rsidP="00C95D96">
      <w:pPr>
        <w:numPr>
          <w:ilvl w:val="0"/>
          <w:numId w:val="5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Jeigu praleidote rytinę</w:t>
      </w:r>
      <w:r w:rsidR="00C95D96" w:rsidRPr="00D21DFA">
        <w:rPr>
          <w:rFonts w:ascii="Times New Roman" w:eastAsia="Times New Roman" w:hAnsi="Times New Roman" w:cs="Times New Roman"/>
          <w:kern w:val="0"/>
          <w:sz w:val="22"/>
          <w:szCs w:val="20"/>
          <w:lang w:eastAsia="lt-LT" w:bidi="lt-LT"/>
          <w14:ligatures w14:val="none"/>
        </w:rPr>
        <w:t xml:space="preserve"> dozę</w:t>
      </w:r>
      <w:r w:rsidRPr="00D21DFA">
        <w:rPr>
          <w:rFonts w:ascii="Times New Roman" w:eastAsia="Times New Roman" w:hAnsi="Times New Roman" w:cs="Times New Roman"/>
          <w:kern w:val="0"/>
          <w:sz w:val="22"/>
          <w:szCs w:val="20"/>
          <w:lang w:eastAsia="lt-LT" w:bidi="lt-LT"/>
          <w14:ligatures w14:val="none"/>
        </w:rPr>
        <w:t>, suvartokite ją</w:t>
      </w:r>
      <w:r w:rsidR="00C95D96" w:rsidRPr="00D21DFA">
        <w:rPr>
          <w:rFonts w:ascii="Times New Roman" w:eastAsia="Times New Roman" w:hAnsi="Times New Roman" w:cs="Times New Roman"/>
          <w:kern w:val="0"/>
          <w:sz w:val="22"/>
          <w:szCs w:val="20"/>
          <w:lang w:eastAsia="lt-LT" w:bidi="lt-LT"/>
          <w14:ligatures w14:val="none"/>
        </w:rPr>
        <w:t xml:space="preserve"> iš karto</w:t>
      </w:r>
      <w:r w:rsidRPr="00D21DFA">
        <w:rPr>
          <w:rFonts w:ascii="Times New Roman" w:eastAsia="Times New Roman" w:hAnsi="Times New Roman" w:cs="Times New Roman"/>
          <w:kern w:val="0"/>
          <w:sz w:val="22"/>
          <w:szCs w:val="20"/>
          <w:lang w:eastAsia="lt-LT" w:bidi="lt-LT"/>
          <w14:ligatures w14:val="none"/>
        </w:rPr>
        <w:t>, kai tik</w:t>
      </w:r>
      <w:r w:rsidR="00C95D96" w:rsidRPr="00D21DFA">
        <w:rPr>
          <w:rFonts w:ascii="Times New Roman" w:eastAsia="Times New Roman" w:hAnsi="Times New Roman" w:cs="Times New Roman"/>
          <w:kern w:val="0"/>
          <w:sz w:val="22"/>
          <w:szCs w:val="20"/>
          <w:lang w:eastAsia="lt-LT" w:bidi="lt-LT"/>
          <w14:ligatures w14:val="none"/>
        </w:rPr>
        <w:t xml:space="preserve"> prisimin</w:t>
      </w:r>
      <w:r w:rsidRPr="00D21DFA">
        <w:rPr>
          <w:rFonts w:ascii="Times New Roman" w:eastAsia="Times New Roman" w:hAnsi="Times New Roman" w:cs="Times New Roman"/>
          <w:kern w:val="0"/>
          <w:sz w:val="22"/>
          <w:szCs w:val="20"/>
          <w:lang w:eastAsia="lt-LT" w:bidi="lt-LT"/>
          <w14:ligatures w14:val="none"/>
        </w:rPr>
        <w:t>site, ją galima vartoti kartu su vakarine doze.</w:t>
      </w:r>
    </w:p>
    <w:p w14:paraId="5773C8A9" w14:textId="675A7848" w:rsidR="00C95D96" w:rsidRPr="00D21DFA" w:rsidRDefault="00D956E2" w:rsidP="00D956E2">
      <w:pPr>
        <w:numPr>
          <w:ilvl w:val="0"/>
          <w:numId w:val="5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Praleistą vakarinę dozę galima vartoti tik tą patį vakarą. Nevartokite dviejų dozių kitą rytą. Kitą dieną tiesiog toliau vartokite įprastą dozę du kartus per parą, kaip rekomenduojama.</w:t>
      </w:r>
    </w:p>
    <w:p w14:paraId="27C1C62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DAA63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Jeigu abejojate, ką daryti, arba pamiršote pavartoti daugiau nei vieną dozę</w:t>
      </w:r>
      <w:r w:rsidRPr="00D21DFA">
        <w:rPr>
          <w:rFonts w:ascii="Times New Roman" w:eastAsia="Times New Roman" w:hAnsi="Times New Roman" w:cs="Times New Roman"/>
          <w:snapToGrid w:val="0"/>
          <w:kern w:val="0"/>
          <w:sz w:val="22"/>
          <w:szCs w:val="20"/>
          <w14:ligatures w14:val="none"/>
        </w:rPr>
        <w:t>, kreipkitės į savo gydytoją, vaistininką arba slaugytoją.</w:t>
      </w:r>
    </w:p>
    <w:p w14:paraId="1226BBF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3058024"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Nustojus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3511D2A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Nenutraukite šio vaisto vartojimo prieš tai nepasitarę su savo gydytoju, kadangi per anksti nutraukus gydymą, gali būti didesnė kraujo krešulio susiformavimo rizika. </w:t>
      </w:r>
    </w:p>
    <w:p w14:paraId="07CA0D2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D687B5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Jeigu kiltų daugiau klausimų dėl šio vaisto vartojimo, kreipkitės į gydytoją, vaistininką arba slaugytoją. </w:t>
      </w:r>
    </w:p>
    <w:p w14:paraId="5C51C74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579C1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40B9390" w14:textId="77777777" w:rsidR="00C95D96" w:rsidRPr="00D21DFA"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Galimas šalutinis poveikis</w:t>
      </w:r>
    </w:p>
    <w:p w14:paraId="2B28F586"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5FD2F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Šis vaistas, kaip ir visi kiti, gali sukelti šalutinį poveikį, nors jis pasireiškia ne visiems žmonėms.</w:t>
      </w:r>
    </w:p>
    <w:p w14:paraId="402D644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kraujavimas, kuris gali būti pavojingas gyvybei ir reikalauti skubios medicinos pagalbos.</w:t>
      </w:r>
    </w:p>
    <w:p w14:paraId="286C34F5"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5A3873F1" w14:textId="5C635DCA"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vartojant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kad apsaugot</w:t>
      </w:r>
      <w:r w:rsidR="00246FB8" w:rsidRPr="00D21DFA">
        <w:rPr>
          <w:rFonts w:ascii="Times New Roman" w:eastAsia="Times New Roman" w:hAnsi="Times New Roman" w:cs="Times New Roman"/>
          <w:iCs/>
          <w:snapToGrid w:val="0"/>
          <w:kern w:val="0"/>
          <w:sz w:val="22"/>
          <w:szCs w:val="20"/>
          <w:u w:val="single"/>
          <w14:ligatures w14:val="none"/>
        </w:rPr>
        <w:t>ų</w:t>
      </w:r>
      <w:r w:rsidRPr="00D21DFA">
        <w:rPr>
          <w:rFonts w:ascii="Times New Roman" w:eastAsia="Times New Roman" w:hAnsi="Times New Roman" w:cs="Times New Roman"/>
          <w:iCs/>
          <w:snapToGrid w:val="0"/>
          <w:kern w:val="0"/>
          <w:sz w:val="22"/>
          <w:szCs w:val="20"/>
          <w:u w:val="single"/>
          <w14:ligatures w14:val="none"/>
        </w:rPr>
        <w:t xml:space="preserve"> nuo kraujo krešulių formavimosi po klubo arba kelio sąnario pakeitimo operacijų. </w:t>
      </w:r>
    </w:p>
    <w:p w14:paraId="42C4D5B1"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1446CBC8"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7B048162" w14:textId="77777777" w:rsidR="00C95D96" w:rsidRPr="00D21DFA" w:rsidRDefault="00C95D96" w:rsidP="00C95D96">
      <w:pPr>
        <w:numPr>
          <w:ilvl w:val="0"/>
          <w:numId w:val="52"/>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76E4829C" w14:textId="77777777" w:rsidR="00C95D96" w:rsidRPr="00D21DFA" w:rsidRDefault="00C95D96" w:rsidP="00C95D96">
      <w:pPr>
        <w:numPr>
          <w:ilvl w:val="0"/>
          <w:numId w:val="52"/>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37739E2C" w14:textId="77777777" w:rsidR="00C95D96" w:rsidRPr="00D21DFA" w:rsidRDefault="00C95D96" w:rsidP="00C95D96">
      <w:pPr>
        <w:numPr>
          <w:ilvl w:val="0"/>
          <w:numId w:val="8"/>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susidarymą ir patinimą. </w:t>
      </w:r>
    </w:p>
    <w:p w14:paraId="6987CF6E" w14:textId="77777777" w:rsidR="00C95D96" w:rsidRPr="00D21DFA" w:rsidRDefault="00C95D96" w:rsidP="00C95D96">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1A2D99D0"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7274C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5BF73403" w14:textId="0B97585C" w:rsidR="00C95D96" w:rsidRPr="00D21DFA" w:rsidRDefault="00C95D96" w:rsidP="00C95D96">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trombocitų </w:t>
      </w:r>
      <w:r w:rsidR="00454DC6" w:rsidRPr="00D21DFA">
        <w:rPr>
          <w:rFonts w:ascii="Times New Roman" w:eastAsia="Times New Roman" w:hAnsi="Times New Roman" w:cs="Times New Roman"/>
          <w:kern w:val="0"/>
          <w:sz w:val="22"/>
          <w:szCs w:val="20"/>
          <w:lang w:eastAsia="lt-LT" w:bidi="lt-LT"/>
          <w14:ligatures w14:val="none"/>
        </w:rPr>
        <w:t>(kraujo plokštelių</w:t>
      </w:r>
      <w:r w:rsidR="00131643" w:rsidRPr="00D21DFA">
        <w:rPr>
          <w:rFonts w:ascii="Times New Roman" w:eastAsia="Times New Roman" w:hAnsi="Times New Roman" w:cs="Times New Roman"/>
          <w:kern w:val="0"/>
          <w:sz w:val="22"/>
          <w:szCs w:val="20"/>
          <w:lang w:eastAsia="lt-LT" w:bidi="lt-LT"/>
          <w14:ligatures w14:val="none"/>
        </w:rPr>
        <w:t>)</w:t>
      </w:r>
      <w:r w:rsidR="00454DC6" w:rsidRPr="00D21DFA">
        <w:rPr>
          <w:rFonts w:ascii="Times New Roman" w:eastAsia="Times New Roman" w:hAnsi="Times New Roman" w:cs="Times New Roman"/>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 xml:space="preserve">skaičius kraujyje (dėl to gali sutrikti krešėjimas). </w:t>
      </w:r>
    </w:p>
    <w:p w14:paraId="35932DA2" w14:textId="77777777" w:rsidR="00C95D96" w:rsidRPr="00D21DFA" w:rsidRDefault="00C95D96" w:rsidP="00C95D96">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6A4A71D2" w14:textId="77777777" w:rsidR="00C95D96" w:rsidRPr="00D21DFA"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pasireiškiantis po operacijos, t. y. kraujosruvų susidarymas ir patinimas, kraujo ar skysčio išskyros iš chirurginės žaizdos, pjūvio vietos (žaizdos sekrecija) ar injekcijos vietos, </w:t>
      </w:r>
    </w:p>
    <w:p w14:paraId="44FD7A8D" w14:textId="77777777" w:rsidR="00C95D96" w:rsidRPr="00D21DFA"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skrandžio, žarnyno ar ryškaus (raudono) kraujo atsiradimas išmatose, </w:t>
      </w:r>
    </w:p>
    <w:p w14:paraId="4B535754" w14:textId="77777777" w:rsidR="00C95D96" w:rsidRPr="00D21DFA"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kraujas šlapime,</w:t>
      </w:r>
    </w:p>
    <w:p w14:paraId="5749FEC4" w14:textId="77777777" w:rsidR="00C95D96" w:rsidRPr="00D21DFA"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nosies, </w:t>
      </w:r>
    </w:p>
    <w:p w14:paraId="4CBF8975" w14:textId="77777777" w:rsidR="00C95D96" w:rsidRPr="00D21DFA" w:rsidRDefault="00C95D96" w:rsidP="00C95D96">
      <w:pPr>
        <w:numPr>
          <w:ilvl w:val="0"/>
          <w:numId w:val="2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makšties. </w:t>
      </w:r>
    </w:p>
    <w:p w14:paraId="6B0928B0" w14:textId="6B120871" w:rsidR="00C95D96" w:rsidRPr="00D21DFA" w:rsidRDefault="00C95D96" w:rsidP="00C95D96">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w:t>
      </w:r>
      <w:r w:rsidR="00432549" w:rsidRPr="00D21DFA">
        <w:rPr>
          <w:rFonts w:ascii="Times New Roman" w:eastAsia="Times New Roman" w:hAnsi="Times New Roman" w:cs="Times New Roman"/>
          <w:kern w:val="0"/>
          <w:sz w:val="22"/>
          <w:szCs w:val="20"/>
          <w:lang w:eastAsia="lt-LT" w:bidi="lt-LT"/>
          <w14:ligatures w14:val="none"/>
        </w:rPr>
        <w:t>silpnumą</w:t>
      </w:r>
      <w:r w:rsidRPr="00D21DFA">
        <w:rPr>
          <w:rFonts w:ascii="Times New Roman" w:eastAsia="Times New Roman" w:hAnsi="Times New Roman" w:cs="Times New Roman"/>
          <w:kern w:val="0"/>
          <w:sz w:val="22"/>
          <w:szCs w:val="20"/>
          <w:lang w:eastAsia="lt-LT" w:bidi="lt-LT"/>
          <w14:ligatures w14:val="none"/>
        </w:rPr>
        <w:t xml:space="preserve"> ar </w:t>
      </w:r>
      <w:r w:rsidR="003A0512" w:rsidRPr="00D21DFA">
        <w:rPr>
          <w:rFonts w:ascii="Times New Roman" w:eastAsia="Times New Roman" w:hAnsi="Times New Roman" w:cs="Times New Roman"/>
          <w:kern w:val="0"/>
          <w:sz w:val="22"/>
          <w:szCs w:val="20"/>
          <w:lang w:eastAsia="lt-LT" w:bidi="lt-LT"/>
          <w14:ligatures w14:val="none"/>
        </w:rPr>
        <w:t xml:space="preserve">gali </w:t>
      </w:r>
      <w:r w:rsidRPr="00D21DFA">
        <w:rPr>
          <w:rFonts w:ascii="Times New Roman" w:eastAsia="Times New Roman" w:hAnsi="Times New Roman" w:cs="Times New Roman"/>
          <w:kern w:val="0"/>
          <w:sz w:val="22"/>
          <w:szCs w:val="20"/>
          <w:lang w:eastAsia="lt-LT" w:bidi="lt-LT"/>
          <w14:ligatures w14:val="none"/>
        </w:rPr>
        <w:t xml:space="preserve">padažnėti širdies plakimas. </w:t>
      </w:r>
    </w:p>
    <w:p w14:paraId="596AEA50" w14:textId="77777777" w:rsidR="00C95D96" w:rsidRPr="00D21DFA" w:rsidRDefault="00C95D96" w:rsidP="00C95D96">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75ABDAFF" w14:textId="2DDAC3C6" w:rsidR="00C95D96" w:rsidRPr="00D21DFA"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w:t>
      </w:r>
      <w:r w:rsidR="003A0512" w:rsidRPr="00D21DFA">
        <w:rPr>
          <w:rFonts w:ascii="Times New Roman" w:eastAsia="Times New Roman" w:hAnsi="Times New Roman" w:cs="Times New Roman"/>
          <w:kern w:val="0"/>
          <w:sz w:val="22"/>
          <w:szCs w:val="20"/>
          <w:lang w:eastAsia="lt-LT" w:bidi="lt-LT"/>
          <w14:ligatures w14:val="none"/>
        </w:rPr>
        <w:t>veiklą</w:t>
      </w:r>
      <w:r w:rsidR="008F7271" w:rsidRPr="00D21DFA">
        <w:rPr>
          <w:rFonts w:ascii="Times New Roman" w:eastAsia="Times New Roman" w:hAnsi="Times New Roman" w:cs="Times New Roman"/>
          <w:kern w:val="0"/>
          <w:sz w:val="22"/>
          <w:szCs w:val="20"/>
          <w:lang w:eastAsia="lt-LT" w:bidi="lt-LT"/>
          <w14:ligatures w14:val="none"/>
        </w:rPr>
        <w:t xml:space="preserve"> (funkciją)</w:t>
      </w:r>
      <w:r w:rsidRPr="00D21DFA">
        <w:rPr>
          <w:rFonts w:ascii="Times New Roman" w:eastAsia="Times New Roman" w:hAnsi="Times New Roman" w:cs="Times New Roman"/>
          <w:kern w:val="0"/>
          <w:sz w:val="22"/>
          <w:szCs w:val="20"/>
          <w:lang w:eastAsia="lt-LT" w:bidi="lt-LT"/>
          <w14:ligatures w14:val="none"/>
        </w:rPr>
        <w:t xml:space="preserve">, </w:t>
      </w:r>
    </w:p>
    <w:p w14:paraId="5CFD63F8" w14:textId="77777777" w:rsidR="00C95D96" w:rsidRPr="00D21DFA"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w:t>
      </w:r>
    </w:p>
    <w:p w14:paraId="7FF0FA54" w14:textId="77777777" w:rsidR="00C95D96" w:rsidRPr="00D21DFA" w:rsidRDefault="00C95D96" w:rsidP="00C95D96">
      <w:pPr>
        <w:numPr>
          <w:ilvl w:val="0"/>
          <w:numId w:val="2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5AC07588" w14:textId="3C954BFC" w:rsidR="00C95D96" w:rsidRPr="00D21DFA" w:rsidRDefault="00C95D96" w:rsidP="00C95D96">
      <w:pPr>
        <w:numPr>
          <w:ilvl w:val="0"/>
          <w:numId w:val="5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Niež</w:t>
      </w:r>
      <w:r w:rsidR="003A0512" w:rsidRPr="00D21DFA">
        <w:rPr>
          <w:rFonts w:ascii="Times New Roman" w:eastAsia="Times New Roman" w:hAnsi="Times New Roman" w:cs="Times New Roman"/>
          <w:kern w:val="0"/>
          <w:sz w:val="22"/>
          <w:szCs w:val="20"/>
          <w:lang w:eastAsia="lt-LT" w:bidi="lt-LT"/>
          <w14:ligatures w14:val="none"/>
        </w:rPr>
        <w:t>ėjimas</w:t>
      </w:r>
      <w:r w:rsidRPr="00D21DFA">
        <w:rPr>
          <w:rFonts w:ascii="Times New Roman" w:eastAsia="Times New Roman" w:hAnsi="Times New Roman" w:cs="Times New Roman"/>
          <w:kern w:val="0"/>
          <w:sz w:val="22"/>
          <w:szCs w:val="20"/>
          <w:lang w:eastAsia="lt-LT" w:bidi="lt-LT"/>
          <w14:ligatures w14:val="none"/>
        </w:rPr>
        <w:t xml:space="preserve">. </w:t>
      </w:r>
    </w:p>
    <w:p w14:paraId="2469B68D"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68D1864"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6DED6DA5" w14:textId="77777777" w:rsidR="00C95D96" w:rsidRPr="00D21DFA" w:rsidRDefault="00C95D96" w:rsidP="00C95D96">
      <w:pPr>
        <w:numPr>
          <w:ilvl w:val="0"/>
          <w:numId w:val="5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apsunkintą kvėpavimą. Jeigu pasireikštų bet kuris iš šių simptomų, </w:t>
      </w:r>
      <w:r w:rsidRPr="00D21DFA">
        <w:rPr>
          <w:rFonts w:ascii="Times New Roman" w:eastAsia="Times New Roman" w:hAnsi="Times New Roman" w:cs="Times New Roman"/>
          <w:b/>
          <w:bCs/>
          <w:kern w:val="0"/>
          <w:sz w:val="22"/>
          <w:szCs w:val="20"/>
          <w:lang w:eastAsia="lt-LT" w:bidi="lt-LT"/>
          <w14:ligatures w14:val="none"/>
        </w:rPr>
        <w:t>nedelsdami kreipkitės į gydytoją</w:t>
      </w:r>
      <w:r w:rsidRPr="00D21DFA">
        <w:rPr>
          <w:rFonts w:ascii="Times New Roman" w:eastAsia="Times New Roman" w:hAnsi="Times New Roman" w:cs="Times New Roman"/>
          <w:kern w:val="0"/>
          <w:sz w:val="22"/>
          <w:szCs w:val="20"/>
          <w:lang w:eastAsia="lt-LT" w:bidi="lt-LT"/>
          <w14:ligatures w14:val="none"/>
        </w:rPr>
        <w:t xml:space="preserve">. </w:t>
      </w:r>
    </w:p>
    <w:p w14:paraId="4894516C" w14:textId="77777777" w:rsidR="00C95D96" w:rsidRPr="00D21DFA" w:rsidRDefault="00C95D96" w:rsidP="00C95D96">
      <w:pPr>
        <w:numPr>
          <w:ilvl w:val="0"/>
          <w:numId w:val="5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7D046716" w14:textId="77777777" w:rsidR="00C95D96" w:rsidRPr="00D21DFA"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raumenis, </w:t>
      </w:r>
    </w:p>
    <w:p w14:paraId="2CF3A271" w14:textId="77777777" w:rsidR="00C95D96" w:rsidRPr="00D21DFA"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akyje, </w:t>
      </w:r>
    </w:p>
    <w:p w14:paraId="19AB8ED0" w14:textId="77777777" w:rsidR="00C95D96" w:rsidRPr="00D21DFA"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dantenų ar atkosėjimas krauju, </w:t>
      </w:r>
    </w:p>
    <w:p w14:paraId="65927928" w14:textId="77777777" w:rsidR="00C95D96" w:rsidRPr="00D21DFA" w:rsidRDefault="00C95D96" w:rsidP="00C95D96">
      <w:pPr>
        <w:numPr>
          <w:ilvl w:val="0"/>
          <w:numId w:val="2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tiesiosios žarnos. </w:t>
      </w:r>
    </w:p>
    <w:p w14:paraId="3F3EEB31" w14:textId="77777777" w:rsidR="00C95D96" w:rsidRPr="00D21DFA" w:rsidRDefault="00C95D96" w:rsidP="00C95D96">
      <w:pPr>
        <w:numPr>
          <w:ilvl w:val="0"/>
          <w:numId w:val="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6BD193B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1C8FF2"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CCB273A" w14:textId="77777777" w:rsidR="00C95D96" w:rsidRPr="00D21DFA" w:rsidRDefault="00C95D96" w:rsidP="00C95D96">
      <w:pPr>
        <w:numPr>
          <w:ilvl w:val="0"/>
          <w:numId w:val="5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18ACE6FD" w14:textId="77777777" w:rsidR="00C95D96" w:rsidRPr="00D21DFA"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3C2648C2" w14:textId="77777777" w:rsidR="00C95D96" w:rsidRPr="00D21DFA"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plaučiuose arba ryklėje (gerklėje),</w:t>
      </w:r>
    </w:p>
    <w:p w14:paraId="23C213F1" w14:textId="77777777" w:rsidR="00C95D96" w:rsidRPr="00D21DFA"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burnoje, </w:t>
      </w:r>
    </w:p>
    <w:p w14:paraId="6783D9BE" w14:textId="3EF62D0B" w:rsidR="00C95D96" w:rsidRPr="00D21DFA"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į pilvo ertmę arba į </w:t>
      </w:r>
      <w:r w:rsidR="008A17D0" w:rsidRPr="00D21DFA">
        <w:rPr>
          <w:rFonts w:ascii="Times New Roman" w:eastAsia="Times New Roman" w:hAnsi="Times New Roman" w:cs="Times New Roman"/>
          <w:kern w:val="0"/>
          <w:sz w:val="22"/>
          <w:szCs w:val="20"/>
          <w:lang w:eastAsia="lt-LT" w:bidi="lt-LT"/>
          <w14:ligatures w14:val="none"/>
        </w:rPr>
        <w:t>erdvę už pilvo ertmės</w:t>
      </w:r>
      <w:r w:rsidRPr="00D21DFA">
        <w:rPr>
          <w:rFonts w:ascii="Times New Roman" w:eastAsia="Times New Roman" w:hAnsi="Times New Roman" w:cs="Times New Roman"/>
          <w:kern w:val="0"/>
          <w:sz w:val="22"/>
          <w:szCs w:val="20"/>
          <w:lang w:eastAsia="lt-LT" w:bidi="lt-LT"/>
          <w14:ligatures w14:val="none"/>
        </w:rPr>
        <w:t xml:space="preserve">, </w:t>
      </w:r>
    </w:p>
    <w:p w14:paraId="48453C05" w14:textId="4B45D5BC" w:rsidR="00C95D96" w:rsidRPr="00D21DFA"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w:t>
      </w:r>
      <w:r w:rsidR="006A2B9E" w:rsidRPr="00D21DFA">
        <w:rPr>
          <w:rFonts w:ascii="Times New Roman" w:eastAsia="Times New Roman" w:hAnsi="Times New Roman" w:cs="Times New Roman"/>
          <w:kern w:val="0"/>
          <w:sz w:val="22"/>
          <w:szCs w:val="20"/>
          <w:lang w:eastAsia="lt-LT" w:bidi="lt-LT"/>
          <w14:ligatures w14:val="none"/>
        </w:rPr>
        <w:t>inių</w:t>
      </w:r>
      <w:proofErr w:type="spellEnd"/>
      <w:r w:rsidRPr="00D21DFA">
        <w:rPr>
          <w:rFonts w:ascii="Times New Roman" w:eastAsia="Times New Roman" w:hAnsi="Times New Roman" w:cs="Times New Roman"/>
          <w:kern w:val="0"/>
          <w:sz w:val="22"/>
          <w:szCs w:val="20"/>
          <w:lang w:eastAsia="lt-LT" w:bidi="lt-LT"/>
          <w14:ligatures w14:val="none"/>
        </w:rPr>
        <w:t xml:space="preserve"> mazgų (tiesiosios žarnos venų mazginių išsiplėtimų), </w:t>
      </w:r>
    </w:p>
    <w:p w14:paraId="231C582C" w14:textId="77777777" w:rsidR="00C95D96" w:rsidRPr="00D21DFA" w:rsidRDefault="00C95D96" w:rsidP="00C95D96">
      <w:pPr>
        <w:numPr>
          <w:ilvl w:val="0"/>
          <w:numId w:val="3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116F46FC" w14:textId="77777777" w:rsidR="00C95D96" w:rsidRPr="00D21DFA" w:rsidRDefault="00C95D96" w:rsidP="00C95D96">
      <w:pPr>
        <w:numPr>
          <w:ilvl w:val="0"/>
          <w:numId w:val="5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Odos išbėrimas su galimu pūslių susiformavimu ir atrodantis kaip maži taikiniai (centre tamsios dėmelės su supančia blyškesne zona bei tamsiu žiedu aplink kraštą) (daugiaformė </w:t>
      </w:r>
      <w:proofErr w:type="spellStart"/>
      <w:r w:rsidRPr="00D21DFA">
        <w:rPr>
          <w:rFonts w:ascii="Times New Roman" w:eastAsia="Times New Roman" w:hAnsi="Times New Roman" w:cs="Times New Roman"/>
          <w:kern w:val="0"/>
          <w:sz w:val="22"/>
          <w:szCs w:val="20"/>
          <w:lang w:eastAsia="lt-LT" w:bidi="lt-LT"/>
          <w14:ligatures w14:val="none"/>
        </w:rPr>
        <w:t>eritema</w:t>
      </w:r>
      <w:proofErr w:type="spellEnd"/>
      <w:r w:rsidRPr="00D21DFA">
        <w:rPr>
          <w:rFonts w:ascii="Times New Roman" w:eastAsia="Times New Roman" w:hAnsi="Times New Roman" w:cs="Times New Roman"/>
          <w:kern w:val="0"/>
          <w:sz w:val="22"/>
          <w:szCs w:val="20"/>
          <w:lang w:eastAsia="lt-LT" w:bidi="lt-LT"/>
          <w14:ligatures w14:val="none"/>
        </w:rPr>
        <w:t>).</w:t>
      </w:r>
    </w:p>
    <w:p w14:paraId="4156F493" w14:textId="77777777" w:rsidR="00111F89" w:rsidRDefault="00C95D96" w:rsidP="00111F89">
      <w:pPr>
        <w:pStyle w:val="Sraopastraipa"/>
        <w:numPr>
          <w:ilvl w:val="0"/>
          <w:numId w:val="5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Kraujagyslių uždegimas (</w:t>
      </w:r>
      <w:proofErr w:type="spellStart"/>
      <w:r w:rsidRPr="00D21DFA">
        <w:rPr>
          <w:rFonts w:ascii="Times New Roman" w:eastAsia="Times New Roman" w:hAnsi="Times New Roman" w:cs="Times New Roman"/>
          <w:kern w:val="0"/>
          <w:sz w:val="22"/>
          <w:szCs w:val="20"/>
          <w:lang w:eastAsia="lt-LT" w:bidi="lt-LT"/>
          <w14:ligatures w14:val="none"/>
        </w:rPr>
        <w:t>vaskulitas</w:t>
      </w:r>
      <w:proofErr w:type="spellEnd"/>
      <w:r w:rsidRPr="00D21DFA">
        <w:rPr>
          <w:rFonts w:ascii="Times New Roman" w:eastAsia="Times New Roman" w:hAnsi="Times New Roman" w:cs="Times New Roman"/>
          <w:kern w:val="0"/>
          <w:sz w:val="22"/>
          <w:szCs w:val="20"/>
          <w:lang w:eastAsia="lt-LT" w:bidi="lt-LT"/>
          <w14:ligatures w14:val="none"/>
        </w:rPr>
        <w:t xml:space="preserve">), dėl kurio gali atsirasti odos išbėrimas arba </w:t>
      </w:r>
      <w:r w:rsidR="008E4E03" w:rsidRPr="00D21DFA">
        <w:rPr>
          <w:rFonts w:ascii="Times New Roman" w:eastAsia="Times New Roman" w:hAnsi="Times New Roman" w:cs="Times New Roman"/>
          <w:kern w:val="0"/>
          <w:sz w:val="22"/>
          <w:szCs w:val="20"/>
          <w:lang w:eastAsia="lt-LT" w:bidi="lt-LT"/>
          <w14:ligatures w14:val="none"/>
        </w:rPr>
        <w:t>taškinės</w:t>
      </w:r>
      <w:r w:rsidRPr="00D21DFA">
        <w:rPr>
          <w:rFonts w:ascii="Times New Roman" w:eastAsia="Times New Roman" w:hAnsi="Times New Roman" w:cs="Times New Roman"/>
          <w:kern w:val="0"/>
          <w:sz w:val="22"/>
          <w:szCs w:val="20"/>
          <w:lang w:eastAsia="lt-LT" w:bidi="lt-LT"/>
          <w14:ligatures w14:val="none"/>
        </w:rPr>
        <w:t>, plokščios, raudonos, apvalios dėmės po odos paviršiumi arba mėlynės (kraujosruvos).</w:t>
      </w:r>
    </w:p>
    <w:p w14:paraId="7502F175" w14:textId="3054D408" w:rsidR="00C95D96" w:rsidRPr="00F264C7" w:rsidRDefault="00111F89" w:rsidP="00941B04">
      <w:pPr>
        <w:pStyle w:val="Sraopastraipa"/>
        <w:numPr>
          <w:ilvl w:val="0"/>
          <w:numId w:val="5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0CF61363" w14:textId="77777777" w:rsidR="00C95D96" w:rsidRPr="00D21DFA" w:rsidRDefault="00C95D96" w:rsidP="00C95D96">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752766F" w14:textId="5D2EF85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vartojant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kad apsaugot</w:t>
      </w:r>
      <w:r w:rsidR="001A2D57" w:rsidRPr="00D21DFA">
        <w:rPr>
          <w:rFonts w:ascii="Times New Roman" w:eastAsia="Times New Roman" w:hAnsi="Times New Roman" w:cs="Times New Roman"/>
          <w:iCs/>
          <w:snapToGrid w:val="0"/>
          <w:kern w:val="0"/>
          <w:sz w:val="22"/>
          <w:szCs w:val="20"/>
          <w:u w:val="single"/>
          <w14:ligatures w14:val="none"/>
        </w:rPr>
        <w:t>ų</w:t>
      </w:r>
      <w:r w:rsidRPr="00D21DFA">
        <w:rPr>
          <w:rFonts w:ascii="Times New Roman" w:eastAsia="Times New Roman" w:hAnsi="Times New Roman" w:cs="Times New Roman"/>
          <w:iCs/>
          <w:snapToGrid w:val="0"/>
          <w:kern w:val="0"/>
          <w:sz w:val="22"/>
          <w:szCs w:val="20"/>
          <w:u w:val="single"/>
          <w14:ligatures w14:val="none"/>
        </w:rPr>
        <w:t xml:space="preserve"> nuo kraujo krešulių formavimosi širdyje pacientams, kurių širdis plaka neritmiškai ir yra bent vienas papildomas rizikos veiksnys. </w:t>
      </w:r>
    </w:p>
    <w:p w14:paraId="11966661"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51E259D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 reiškiniai (gali pasireikšti rečiau kaip 1 iš 10 asmenų) </w:t>
      </w:r>
    </w:p>
    <w:p w14:paraId="739DC607" w14:textId="77777777" w:rsidR="00C95D96" w:rsidRPr="00D21DFA" w:rsidRDefault="00C95D96" w:rsidP="00C95D96">
      <w:pPr>
        <w:numPr>
          <w:ilvl w:val="0"/>
          <w:numId w:val="6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06C2DF7A"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akis, </w:t>
      </w:r>
    </w:p>
    <w:p w14:paraId="7D03F234" w14:textId="3828AA3F"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skrandžio</w:t>
      </w:r>
      <w:r w:rsidR="006A2B9E" w:rsidRPr="00D21DFA">
        <w:rPr>
          <w:rFonts w:ascii="Times New Roman" w:eastAsia="Times New Roman" w:hAnsi="Times New Roman" w:cs="Times New Roman"/>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žarn</w:t>
      </w:r>
      <w:r w:rsidR="00897092" w:rsidRPr="00D21DFA">
        <w:rPr>
          <w:rFonts w:ascii="Times New Roman" w:eastAsia="Times New Roman" w:hAnsi="Times New Roman" w:cs="Times New Roman"/>
          <w:kern w:val="0"/>
          <w:sz w:val="22"/>
          <w:szCs w:val="20"/>
          <w:lang w:eastAsia="lt-LT" w:bidi="lt-LT"/>
          <w14:ligatures w14:val="none"/>
        </w:rPr>
        <w:t>yno</w:t>
      </w:r>
      <w:r w:rsidR="006A2B9E" w:rsidRPr="00D21DFA">
        <w:rPr>
          <w:rFonts w:ascii="Times New Roman" w:eastAsia="Times New Roman" w:hAnsi="Times New Roman" w:cs="Times New Roman"/>
          <w:kern w:val="0"/>
          <w:sz w:val="22"/>
          <w:szCs w:val="20"/>
          <w:lang w:eastAsia="lt-LT" w:bidi="lt-LT"/>
          <w14:ligatures w14:val="none"/>
        </w:rPr>
        <w:t xml:space="preserve"> ar</w:t>
      </w:r>
      <w:r w:rsidRPr="00D21DFA">
        <w:rPr>
          <w:rFonts w:ascii="Times New Roman" w:eastAsia="Times New Roman" w:hAnsi="Times New Roman" w:cs="Times New Roman"/>
          <w:kern w:val="0"/>
          <w:sz w:val="22"/>
          <w:szCs w:val="20"/>
          <w:lang w:eastAsia="lt-LT" w:bidi="lt-LT"/>
          <w14:ligatures w14:val="none"/>
        </w:rPr>
        <w:t xml:space="preserve"> tiesiosios žarnos, </w:t>
      </w:r>
    </w:p>
    <w:p w14:paraId="1B6FBF83"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kraują šlapime, </w:t>
      </w:r>
    </w:p>
    <w:p w14:paraId="2912B991"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4E65B343"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2E9AE509"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atsiradimą ir patinimą. </w:t>
      </w:r>
    </w:p>
    <w:p w14:paraId="07515FFE"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7DC3EF5"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alpimą ar padažnėti širdies plakimas. </w:t>
      </w:r>
    </w:p>
    <w:p w14:paraId="376812DF"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2EA8D4FF"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1E000844" w14:textId="77777777" w:rsidR="00C95D96" w:rsidRPr="00D21DFA" w:rsidRDefault="00C95D96" w:rsidP="00C95D96">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aktyvumą kraujyje. </w:t>
      </w:r>
    </w:p>
    <w:p w14:paraId="0249D314"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533467C"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7B23E0EE" w14:textId="77777777" w:rsidR="00C95D96" w:rsidRPr="00D21DFA" w:rsidRDefault="00C95D96" w:rsidP="00C95D96">
      <w:pPr>
        <w:numPr>
          <w:ilvl w:val="0"/>
          <w:numId w:val="6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2A791228"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01BA6093"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kraują atkosėtuose skrepliuose, </w:t>
      </w:r>
    </w:p>
    <w:p w14:paraId="6617AB49"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 į pilvą arba iš makšties, </w:t>
      </w:r>
    </w:p>
    <w:p w14:paraId="3512FF17"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34D0F198"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(kraujosruvos) ir patinimą, kraujo ar skysčio išskyras iš chirurginės žaizdos (pjūvio) vietos (žaizdos sekreciją) arba injekcijos vietų, </w:t>
      </w:r>
    </w:p>
    <w:p w14:paraId="4ED11EB2" w14:textId="0C48FBF0"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w:t>
      </w:r>
      <w:r w:rsidR="006A2B9E" w:rsidRPr="00D21DFA">
        <w:rPr>
          <w:rFonts w:ascii="Times New Roman" w:eastAsia="Times New Roman" w:hAnsi="Times New Roman" w:cs="Times New Roman"/>
          <w:kern w:val="0"/>
          <w:sz w:val="22"/>
          <w:szCs w:val="20"/>
          <w:lang w:eastAsia="lt-LT" w:bidi="lt-LT"/>
          <w14:ligatures w14:val="none"/>
        </w:rPr>
        <w:t>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479381A2"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00E0FE12" w14:textId="77777777" w:rsidR="00C95D96" w:rsidRPr="00D21DFA"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trombocitų skaičius kraujyje (dėl to gali sutrikti krešėjimas). </w:t>
      </w:r>
    </w:p>
    <w:p w14:paraId="527FA053" w14:textId="77777777" w:rsidR="00C95D96" w:rsidRPr="00D21DFA"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05367B4E" w14:textId="124EFC56" w:rsidR="00C95D96" w:rsidRPr="00D21DFA"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w:t>
      </w:r>
      <w:r w:rsidR="006A2B9E" w:rsidRPr="00D21DFA">
        <w:rPr>
          <w:rFonts w:ascii="Times New Roman" w:eastAsia="Times New Roman" w:hAnsi="Times New Roman" w:cs="Times New Roman"/>
          <w:kern w:val="0"/>
          <w:sz w:val="22"/>
          <w:szCs w:val="20"/>
          <w:lang w:eastAsia="lt-LT" w:bidi="lt-LT"/>
          <w14:ligatures w14:val="none"/>
        </w:rPr>
        <w:t>veiklą (</w:t>
      </w:r>
      <w:r w:rsidRPr="00D21DFA">
        <w:rPr>
          <w:rFonts w:ascii="Times New Roman" w:eastAsia="Times New Roman" w:hAnsi="Times New Roman" w:cs="Times New Roman"/>
          <w:kern w:val="0"/>
          <w:sz w:val="22"/>
          <w:szCs w:val="20"/>
          <w:lang w:eastAsia="lt-LT" w:bidi="lt-LT"/>
          <w14:ligatures w14:val="none"/>
        </w:rPr>
        <w:t>funkciją</w:t>
      </w:r>
      <w:r w:rsidR="006A2B9E"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w:t>
      </w:r>
    </w:p>
    <w:p w14:paraId="1625148A" w14:textId="77777777" w:rsidR="00C95D96" w:rsidRPr="00D21DFA"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2791A443" w14:textId="77777777" w:rsidR="00C95D96" w:rsidRPr="00D21DFA"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195765AD" w14:textId="77777777"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Odos išbėrimas.</w:t>
      </w:r>
    </w:p>
    <w:p w14:paraId="48E44E53" w14:textId="3E4263D5"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Niež</w:t>
      </w:r>
      <w:r w:rsidR="009C6D04" w:rsidRPr="00D21DFA">
        <w:rPr>
          <w:rFonts w:ascii="Times New Roman" w:eastAsia="Times New Roman" w:hAnsi="Times New Roman" w:cs="Times New Roman"/>
          <w:kern w:val="0"/>
          <w:sz w:val="22"/>
          <w:szCs w:val="20"/>
          <w:lang w:eastAsia="lt-LT" w:bidi="lt-LT"/>
          <w14:ligatures w14:val="none"/>
        </w:rPr>
        <w:t>ėjimas</w:t>
      </w:r>
      <w:r w:rsidRPr="00D21DFA">
        <w:rPr>
          <w:rFonts w:ascii="Times New Roman" w:eastAsia="Times New Roman" w:hAnsi="Times New Roman" w:cs="Times New Roman"/>
          <w:kern w:val="0"/>
          <w:sz w:val="22"/>
          <w:szCs w:val="20"/>
          <w:lang w:eastAsia="lt-LT" w:bidi="lt-LT"/>
          <w14:ligatures w14:val="none"/>
        </w:rPr>
        <w:t xml:space="preserve">. </w:t>
      </w:r>
    </w:p>
    <w:p w14:paraId="799DB3FE" w14:textId="77777777"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320F226B" w14:textId="77777777"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kvėpavimo pasunkėjimą. Jeigu pasireikštų bet kuris iš šių simptomų, </w:t>
      </w:r>
      <w:r w:rsidRPr="00D21DFA">
        <w:rPr>
          <w:rFonts w:ascii="Times New Roman" w:eastAsia="Times New Roman" w:hAnsi="Times New Roman" w:cs="Times New Roman"/>
          <w:b/>
          <w:bCs/>
          <w:kern w:val="0"/>
          <w:sz w:val="22"/>
          <w:szCs w:val="20"/>
          <w:lang w:eastAsia="lt-LT" w:bidi="lt-LT"/>
          <w14:ligatures w14:val="none"/>
        </w:rPr>
        <w:t>nedelsdami kreipkitės į savo gydytoją</w:t>
      </w:r>
      <w:r w:rsidRPr="00D21DFA">
        <w:rPr>
          <w:rFonts w:ascii="Times New Roman" w:eastAsia="Times New Roman" w:hAnsi="Times New Roman" w:cs="Times New Roman"/>
          <w:kern w:val="0"/>
          <w:sz w:val="22"/>
          <w:szCs w:val="20"/>
          <w:lang w:eastAsia="lt-LT" w:bidi="lt-LT"/>
          <w14:ligatures w14:val="none"/>
        </w:rPr>
        <w:t xml:space="preserve">. </w:t>
      </w:r>
    </w:p>
    <w:p w14:paraId="09A82230"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2345193"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7C2A2879" w14:textId="77777777" w:rsidR="00C95D96" w:rsidRPr="00D21DFA" w:rsidRDefault="00C95D96" w:rsidP="00C95D96">
      <w:pPr>
        <w:numPr>
          <w:ilvl w:val="0"/>
          <w:numId w:val="6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785FB35F" w14:textId="77777777" w:rsidR="00C95D96" w:rsidRPr="00D21DFA"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plaučių arba gerklės. </w:t>
      </w:r>
    </w:p>
    <w:p w14:paraId="0A7148D0" w14:textId="5F0781F5" w:rsidR="00C95D96" w:rsidRPr="00D21DFA"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į </w:t>
      </w:r>
      <w:r w:rsidR="00FD68D4" w:rsidRPr="00D21DFA">
        <w:rPr>
          <w:rFonts w:ascii="Times New Roman" w:eastAsia="Times New Roman" w:hAnsi="Times New Roman" w:cs="Times New Roman"/>
          <w:kern w:val="0"/>
          <w:sz w:val="22"/>
          <w:szCs w:val="20"/>
          <w:lang w:eastAsia="lt-LT" w:bidi="lt-LT"/>
          <w14:ligatures w14:val="none"/>
        </w:rPr>
        <w:t>erdvę už pilvo ertmės</w:t>
      </w:r>
      <w:r w:rsidRPr="00D21DFA">
        <w:rPr>
          <w:rFonts w:ascii="Times New Roman" w:eastAsia="Times New Roman" w:hAnsi="Times New Roman" w:cs="Times New Roman"/>
          <w:kern w:val="0"/>
          <w:sz w:val="22"/>
          <w:szCs w:val="20"/>
          <w:lang w:eastAsia="lt-LT" w:bidi="lt-LT"/>
          <w14:ligatures w14:val="none"/>
        </w:rPr>
        <w:t xml:space="preserve">. </w:t>
      </w:r>
    </w:p>
    <w:p w14:paraId="37030C6F" w14:textId="77777777" w:rsidR="00C95D96" w:rsidRPr="00D21DFA"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raumenis.</w:t>
      </w:r>
    </w:p>
    <w:p w14:paraId="0B00D2FF"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9AB3DDB"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Labai reti šalutinio poveikio reiškiniai (gali pasireikšti rečiau kaip 1 iš 10 000 asmenų) </w:t>
      </w:r>
    </w:p>
    <w:p w14:paraId="7970BD64" w14:textId="77777777" w:rsidR="00C95D96" w:rsidRPr="00D21DFA" w:rsidRDefault="00C95D96" w:rsidP="00C95D96">
      <w:pPr>
        <w:numPr>
          <w:ilvl w:val="0"/>
          <w:numId w:val="66"/>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751EA66D"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33E3A29A" w14:textId="77777777" w:rsidR="00C95D96" w:rsidRPr="00D21DFA" w:rsidRDefault="00C95D96" w:rsidP="00C95D96">
      <w:pPr>
        <w:tabs>
          <w:tab w:val="left" w:pos="567"/>
          <w:tab w:val="left" w:pos="9214"/>
        </w:tabs>
        <w:autoSpaceDE w:val="0"/>
        <w:autoSpaceDN w:val="0"/>
        <w:adjustRightInd w:val="0"/>
        <w:spacing w:after="0" w:line="240" w:lineRule="auto"/>
        <w:ind w:right="-2"/>
        <w:contextualSpacing/>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2EA36600" w14:textId="77777777" w:rsidR="00111F89" w:rsidRPr="00F264C7" w:rsidRDefault="00C95D96" w:rsidP="00111F89">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Kraujagyslių uždegimas (</w:t>
      </w:r>
      <w:proofErr w:type="spellStart"/>
      <w:r w:rsidRPr="00D21DFA">
        <w:rPr>
          <w:rFonts w:ascii="Times New Roman" w:eastAsia="Times New Roman" w:hAnsi="Times New Roman" w:cs="Times New Roman"/>
          <w:kern w:val="0"/>
          <w:sz w:val="22"/>
          <w:szCs w:val="22"/>
          <w:lang w:eastAsia="lt-LT" w:bidi="lt-LT"/>
          <w14:ligatures w14:val="none"/>
        </w:rPr>
        <w:t>vaskulitas</w:t>
      </w:r>
      <w:proofErr w:type="spellEnd"/>
      <w:r w:rsidRPr="00D21DFA">
        <w:rPr>
          <w:rFonts w:ascii="Times New Roman" w:eastAsia="Times New Roman" w:hAnsi="Times New Roman" w:cs="Times New Roman"/>
          <w:kern w:val="0"/>
          <w:sz w:val="22"/>
          <w:szCs w:val="22"/>
          <w:lang w:eastAsia="lt-LT" w:bidi="lt-LT"/>
          <w14:ligatures w14:val="none"/>
        </w:rPr>
        <w:t xml:space="preserve">), dėl kurio gali atsirasti odos išbėrimas arba </w:t>
      </w:r>
      <w:r w:rsidR="00B56E07" w:rsidRPr="00D21DFA">
        <w:rPr>
          <w:rFonts w:ascii="Times New Roman" w:eastAsia="Times New Roman" w:hAnsi="Times New Roman" w:cs="Times New Roman"/>
          <w:kern w:val="0"/>
          <w:sz w:val="22"/>
          <w:szCs w:val="22"/>
          <w:lang w:eastAsia="lt-LT" w:bidi="lt-LT"/>
          <w14:ligatures w14:val="none"/>
        </w:rPr>
        <w:t>taškinės</w:t>
      </w:r>
      <w:r w:rsidRPr="00D21DFA">
        <w:rPr>
          <w:rFonts w:ascii="Times New Roman" w:eastAsia="Times New Roman" w:hAnsi="Times New Roman" w:cs="Times New Roman"/>
          <w:kern w:val="0"/>
          <w:sz w:val="22"/>
          <w:szCs w:val="22"/>
          <w:lang w:eastAsia="lt-LT" w:bidi="lt-LT"/>
          <w14:ligatures w14:val="none"/>
        </w:rPr>
        <w:t>, plokščios, raudonos, apvalios dėmės po odos paviršiumi arba mėlynės (kraujosruvo</w:t>
      </w:r>
      <w:r w:rsidRPr="00111F89">
        <w:rPr>
          <w:rFonts w:ascii="Times New Roman" w:eastAsia="Times New Roman" w:hAnsi="Times New Roman" w:cs="Times New Roman"/>
          <w:kern w:val="0"/>
          <w:sz w:val="22"/>
          <w:szCs w:val="22"/>
          <w:lang w:eastAsia="lt-LT" w:bidi="lt-LT"/>
          <w14:ligatures w14:val="none"/>
        </w:rPr>
        <w:t>s</w:t>
      </w:r>
      <w:r w:rsidRPr="00941B04">
        <w:rPr>
          <w:rFonts w:ascii="Times New Roman" w:hAnsi="Times New Roman"/>
          <w:kern w:val="0"/>
          <w:sz w:val="22"/>
          <w14:ligatures w14:val="none"/>
        </w:rPr>
        <w:t>).</w:t>
      </w:r>
    </w:p>
    <w:p w14:paraId="3EE1C34A" w14:textId="09B2E261" w:rsidR="00C95D96" w:rsidRPr="00F264C7" w:rsidRDefault="00111F89" w:rsidP="00941B04">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760DC373"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90FFD41"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kai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vartojamas kraujo krešuliams Jūsų kojų venose ir Jūsų plaučių kraujagyslėse gydyti arba apsaugoti nuo jų kartotinio formavimosi</w:t>
      </w:r>
      <w:r w:rsidRPr="00D21DFA">
        <w:rPr>
          <w:rFonts w:ascii="Times New Roman" w:eastAsia="Times New Roman" w:hAnsi="Times New Roman" w:cs="Times New Roman"/>
          <w:i/>
          <w:snapToGrid w:val="0"/>
          <w:kern w:val="0"/>
          <w:sz w:val="22"/>
          <w:szCs w:val="20"/>
          <w14:ligatures w14:val="none"/>
        </w:rPr>
        <w:t xml:space="preserve">. </w:t>
      </w:r>
    </w:p>
    <w:p w14:paraId="45735E6F"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p>
    <w:p w14:paraId="75FAAE8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2D064198" w14:textId="77777777" w:rsidR="00C95D96" w:rsidRPr="00D21DFA" w:rsidRDefault="00C95D96" w:rsidP="00C95D96">
      <w:pPr>
        <w:numPr>
          <w:ilvl w:val="0"/>
          <w:numId w:val="6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640F21E2"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3393C7C0"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4762D2C3" w14:textId="40AF469C"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w:t>
      </w:r>
      <w:r w:rsidR="00FA0F9B" w:rsidRPr="00D21DFA">
        <w:rPr>
          <w:rFonts w:ascii="Times New Roman" w:eastAsia="Times New Roman" w:hAnsi="Times New Roman" w:cs="Times New Roman"/>
          <w:kern w:val="0"/>
          <w:sz w:val="22"/>
          <w:szCs w:val="20"/>
          <w:lang w:eastAsia="lt-LT" w:bidi="lt-LT"/>
          <w14:ligatures w14:val="none"/>
        </w:rPr>
        <w:t>ą</w:t>
      </w:r>
      <w:r w:rsidRPr="00D21DFA">
        <w:rPr>
          <w:rFonts w:ascii="Times New Roman" w:eastAsia="Times New Roman" w:hAnsi="Times New Roman" w:cs="Times New Roman"/>
          <w:kern w:val="0"/>
          <w:sz w:val="22"/>
          <w:szCs w:val="20"/>
          <w:lang w:eastAsia="lt-LT" w:bidi="lt-LT"/>
          <w14:ligatures w14:val="none"/>
        </w:rPr>
        <w:t xml:space="preserve"> šlapime, </w:t>
      </w:r>
    </w:p>
    <w:p w14:paraId="353C5DA7"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susidarymą ir patinimą, </w:t>
      </w:r>
    </w:p>
    <w:p w14:paraId="67E1AF33" w14:textId="0227ADC3"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w:t>
      </w:r>
      <w:r w:rsidR="007B7671" w:rsidRPr="00D21DFA">
        <w:rPr>
          <w:rFonts w:ascii="Times New Roman" w:eastAsia="Times New Roman" w:hAnsi="Times New Roman" w:cs="Times New Roman"/>
          <w:kern w:val="0"/>
          <w:sz w:val="22"/>
          <w:szCs w:val="20"/>
          <w:lang w:eastAsia="lt-LT" w:bidi="lt-LT"/>
          <w14:ligatures w14:val="none"/>
        </w:rPr>
        <w:t xml:space="preserve">iš </w:t>
      </w:r>
      <w:r w:rsidRPr="00D21DFA">
        <w:rPr>
          <w:rFonts w:ascii="Times New Roman" w:eastAsia="Times New Roman" w:hAnsi="Times New Roman" w:cs="Times New Roman"/>
          <w:kern w:val="0"/>
          <w:sz w:val="22"/>
          <w:szCs w:val="20"/>
          <w:lang w:eastAsia="lt-LT" w:bidi="lt-LT"/>
          <w14:ligatures w14:val="none"/>
        </w:rPr>
        <w:t>skrand</w:t>
      </w:r>
      <w:r w:rsidR="007B7671" w:rsidRPr="00D21DFA">
        <w:rPr>
          <w:rFonts w:ascii="Times New Roman" w:eastAsia="Times New Roman" w:hAnsi="Times New Roman" w:cs="Times New Roman"/>
          <w:kern w:val="0"/>
          <w:sz w:val="22"/>
          <w:szCs w:val="20"/>
          <w:lang w:eastAsia="lt-LT" w:bidi="lt-LT"/>
          <w14:ligatures w14:val="none"/>
        </w:rPr>
        <w:t>žio</w:t>
      </w:r>
      <w:r w:rsidRPr="00D21DFA">
        <w:rPr>
          <w:rFonts w:ascii="Times New Roman" w:eastAsia="Times New Roman" w:hAnsi="Times New Roman" w:cs="Times New Roman"/>
          <w:kern w:val="0"/>
          <w:sz w:val="22"/>
          <w:szCs w:val="20"/>
          <w:lang w:eastAsia="lt-LT" w:bidi="lt-LT"/>
          <w14:ligatures w14:val="none"/>
        </w:rPr>
        <w:t>, žarnyn</w:t>
      </w:r>
      <w:r w:rsidR="007B7671" w:rsidRPr="00D21DFA">
        <w:rPr>
          <w:rFonts w:ascii="Times New Roman" w:eastAsia="Times New Roman" w:hAnsi="Times New Roman" w:cs="Times New Roman"/>
          <w:kern w:val="0"/>
          <w:sz w:val="22"/>
          <w:szCs w:val="20"/>
          <w:lang w:eastAsia="lt-LT" w:bidi="lt-LT"/>
          <w14:ligatures w14:val="none"/>
        </w:rPr>
        <w:t>o</w:t>
      </w:r>
      <w:r w:rsidRPr="00D21DFA">
        <w:rPr>
          <w:rFonts w:ascii="Times New Roman" w:eastAsia="Times New Roman" w:hAnsi="Times New Roman" w:cs="Times New Roman"/>
          <w:kern w:val="0"/>
          <w:sz w:val="22"/>
          <w:szCs w:val="20"/>
          <w:lang w:eastAsia="lt-LT" w:bidi="lt-LT"/>
          <w14:ligatures w14:val="none"/>
        </w:rPr>
        <w:t xml:space="preserve"> ar tiesi</w:t>
      </w:r>
      <w:r w:rsidR="007B7671" w:rsidRPr="00D21DFA">
        <w:rPr>
          <w:rFonts w:ascii="Times New Roman" w:eastAsia="Times New Roman" w:hAnsi="Times New Roman" w:cs="Times New Roman"/>
          <w:kern w:val="0"/>
          <w:sz w:val="22"/>
          <w:szCs w:val="20"/>
          <w:lang w:eastAsia="lt-LT" w:bidi="lt-LT"/>
          <w14:ligatures w14:val="none"/>
        </w:rPr>
        <w:t>osios</w:t>
      </w:r>
      <w:r w:rsidRPr="00D21DFA">
        <w:rPr>
          <w:rFonts w:ascii="Times New Roman" w:eastAsia="Times New Roman" w:hAnsi="Times New Roman" w:cs="Times New Roman"/>
          <w:kern w:val="0"/>
          <w:sz w:val="22"/>
          <w:szCs w:val="20"/>
          <w:lang w:eastAsia="lt-LT" w:bidi="lt-LT"/>
          <w14:ligatures w14:val="none"/>
        </w:rPr>
        <w:t xml:space="preserve"> žarn</w:t>
      </w:r>
      <w:r w:rsidR="007B7671" w:rsidRPr="00D21DFA">
        <w:rPr>
          <w:rFonts w:ascii="Times New Roman" w:eastAsia="Times New Roman" w:hAnsi="Times New Roman" w:cs="Times New Roman"/>
          <w:kern w:val="0"/>
          <w:sz w:val="22"/>
          <w:szCs w:val="20"/>
          <w:lang w:eastAsia="lt-LT" w:bidi="lt-LT"/>
          <w14:ligatures w14:val="none"/>
        </w:rPr>
        <w:t>os</w:t>
      </w:r>
      <w:r w:rsidRPr="00D21DFA">
        <w:rPr>
          <w:rFonts w:ascii="Times New Roman" w:eastAsia="Times New Roman" w:hAnsi="Times New Roman" w:cs="Times New Roman"/>
          <w:kern w:val="0"/>
          <w:sz w:val="22"/>
          <w:szCs w:val="20"/>
          <w:lang w:eastAsia="lt-LT" w:bidi="lt-LT"/>
          <w14:ligatures w14:val="none"/>
        </w:rPr>
        <w:t xml:space="preserve">, </w:t>
      </w:r>
    </w:p>
    <w:p w14:paraId="580B2812"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burnoje, </w:t>
      </w:r>
    </w:p>
    <w:p w14:paraId="3F0D0DA3"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makšties. </w:t>
      </w:r>
    </w:p>
    <w:p w14:paraId="72D0EA8C"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3C2EFE0" w14:textId="6FE0619A"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Sumažėjęs trombocitų</w:t>
      </w:r>
      <w:r w:rsidR="00CF12A1" w:rsidRPr="00D21DFA">
        <w:rPr>
          <w:rFonts w:ascii="Times New Roman" w:eastAsia="Times New Roman" w:hAnsi="Times New Roman" w:cs="Times New Roman"/>
          <w:kern w:val="0"/>
          <w:sz w:val="22"/>
          <w:szCs w:val="20"/>
          <w:lang w:eastAsia="lt-LT" w:bidi="lt-LT"/>
          <w14:ligatures w14:val="none"/>
        </w:rPr>
        <w:t xml:space="preserve"> (kraujo plokštelių)</w:t>
      </w:r>
      <w:r w:rsidRPr="00D21DFA">
        <w:rPr>
          <w:rFonts w:ascii="Times New Roman" w:eastAsia="Times New Roman" w:hAnsi="Times New Roman" w:cs="Times New Roman"/>
          <w:kern w:val="0"/>
          <w:sz w:val="22"/>
          <w:szCs w:val="20"/>
          <w:lang w:eastAsia="lt-LT" w:bidi="lt-LT"/>
          <w14:ligatures w14:val="none"/>
        </w:rPr>
        <w:t xml:space="preserve"> skaičius kraujyje (dėl ko gali sutrikti krešėjimas).</w:t>
      </w:r>
    </w:p>
    <w:p w14:paraId="78793751"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5D4C218D"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Odos išbėrimas. </w:t>
      </w:r>
    </w:p>
    <w:p w14:paraId="4CAFF344"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151457C4" w14:textId="77777777" w:rsidR="00C95D96" w:rsidRPr="00D21DFA" w:rsidRDefault="00C95D96" w:rsidP="00C95D96">
      <w:pPr>
        <w:numPr>
          <w:ilvl w:val="0"/>
          <w:numId w:val="36"/>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arba alaninaminotransferazės (ALT) aktyvumą kraujyje. </w:t>
      </w:r>
    </w:p>
    <w:p w14:paraId="4877A86F"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18586F0"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6A966C24" w14:textId="77777777" w:rsidR="00C95D96" w:rsidRPr="00D21DFA"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alpimą ar gali padažnėti širdies susitraukimai. </w:t>
      </w:r>
    </w:p>
    <w:p w14:paraId="27BFA1CF" w14:textId="77777777" w:rsidR="00C95D96" w:rsidRPr="00D21DFA"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7DAF37EB"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akyse, </w:t>
      </w:r>
    </w:p>
    <w:p w14:paraId="46013BA4"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kraujas atkosėtuose skrepliuose, </w:t>
      </w:r>
    </w:p>
    <w:p w14:paraId="3859D36D"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6910D60F"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tyrimais nustatytas kraujas išmatose ar šlapime, </w:t>
      </w:r>
    </w:p>
    <w:p w14:paraId="45F0F902"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(kraujosruvas) ir patinimą, kraujo ar skysčio išskyras iš chirurginės žaizdos (pjūvio) vietos (žaizdos sekreciją) arba injekcijos vietų, </w:t>
      </w:r>
    </w:p>
    <w:p w14:paraId="488D895C" w14:textId="5E4C8B83"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w:t>
      </w:r>
      <w:r w:rsidR="006A2B9E" w:rsidRPr="00D21DFA">
        <w:rPr>
          <w:rFonts w:ascii="Times New Roman" w:eastAsia="Times New Roman" w:hAnsi="Times New Roman" w:cs="Times New Roman"/>
          <w:kern w:val="0"/>
          <w:sz w:val="22"/>
          <w:szCs w:val="20"/>
          <w:lang w:eastAsia="lt-LT" w:bidi="lt-LT"/>
          <w14:ligatures w14:val="none"/>
        </w:rPr>
        <w:t>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78DB5AC5"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raumenis. </w:t>
      </w:r>
    </w:p>
    <w:p w14:paraId="12363B4B" w14:textId="6CAAC55C"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Niež</w:t>
      </w:r>
      <w:r w:rsidR="00FA3B64" w:rsidRPr="00D21DFA">
        <w:rPr>
          <w:rFonts w:ascii="Times New Roman" w:eastAsia="Times New Roman" w:hAnsi="Times New Roman" w:cs="Times New Roman"/>
          <w:kern w:val="0"/>
          <w:sz w:val="22"/>
          <w:szCs w:val="20"/>
          <w:lang w:eastAsia="lt-LT" w:bidi="lt-LT"/>
          <w14:ligatures w14:val="none"/>
        </w:rPr>
        <w:t>ėjimas</w:t>
      </w:r>
      <w:r w:rsidRPr="00D21DFA">
        <w:rPr>
          <w:rFonts w:ascii="Times New Roman" w:eastAsia="Times New Roman" w:hAnsi="Times New Roman" w:cs="Times New Roman"/>
          <w:kern w:val="0"/>
          <w:sz w:val="22"/>
          <w:szCs w:val="20"/>
          <w:lang w:eastAsia="lt-LT" w:bidi="lt-LT"/>
          <w14:ligatures w14:val="none"/>
        </w:rPr>
        <w:t xml:space="preserve">. </w:t>
      </w:r>
    </w:p>
    <w:p w14:paraId="458D6C4F" w14:textId="77777777"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5D80F827" w14:textId="77777777"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ryklės (gerklės) patinimą bei kvėpavimo pasunkėjimą. Jeigu pasireikštų bet kuris iš šių simptomų, </w:t>
      </w:r>
      <w:r w:rsidRPr="00D21DFA">
        <w:rPr>
          <w:rFonts w:ascii="Times New Roman" w:eastAsia="Times New Roman" w:hAnsi="Times New Roman" w:cs="Times New Roman"/>
          <w:b/>
          <w:kern w:val="0"/>
          <w:sz w:val="22"/>
          <w:szCs w:val="20"/>
          <w:lang w:eastAsia="lt-LT" w:bidi="lt-LT"/>
          <w14:ligatures w14:val="none"/>
        </w:rPr>
        <w:t>nedelsdami kreipkitės į gydytoją</w:t>
      </w:r>
      <w:r w:rsidRPr="00D21DFA">
        <w:rPr>
          <w:rFonts w:ascii="Times New Roman" w:eastAsia="Times New Roman" w:hAnsi="Times New Roman" w:cs="Times New Roman"/>
          <w:kern w:val="0"/>
          <w:sz w:val="22"/>
          <w:szCs w:val="20"/>
          <w:lang w:eastAsia="lt-LT" w:bidi="lt-LT"/>
          <w14:ligatures w14:val="none"/>
        </w:rPr>
        <w:t xml:space="preserve">. </w:t>
      </w:r>
    </w:p>
    <w:p w14:paraId="37BCC7C3" w14:textId="77777777"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60484447" w14:textId="7BF58164" w:rsidR="00C95D96" w:rsidRPr="00D21DFA"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w:t>
      </w:r>
      <w:r w:rsidR="00BE6869" w:rsidRPr="00D21DFA">
        <w:rPr>
          <w:rFonts w:ascii="Times New Roman" w:eastAsia="Times New Roman" w:hAnsi="Times New Roman" w:cs="Times New Roman"/>
          <w:kern w:val="0"/>
          <w:sz w:val="22"/>
          <w:szCs w:val="20"/>
          <w:lang w:eastAsia="lt-LT" w:bidi="lt-LT"/>
          <w14:ligatures w14:val="none"/>
        </w:rPr>
        <w:t>veiklą</w:t>
      </w:r>
      <w:r w:rsidR="00A32F63" w:rsidRPr="00D21DFA">
        <w:rPr>
          <w:rFonts w:ascii="Times New Roman" w:eastAsia="Times New Roman" w:hAnsi="Times New Roman" w:cs="Times New Roman"/>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funkciją</w:t>
      </w:r>
      <w:r w:rsidR="00A32F63"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w:t>
      </w:r>
    </w:p>
    <w:p w14:paraId="4F7039B9" w14:textId="77777777" w:rsidR="00C95D96" w:rsidRPr="00D21DFA"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1F63578F" w14:textId="77777777" w:rsidR="00C95D96" w:rsidRPr="00D21DFA"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4122CB43"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EDC99A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1FFFDDCF" w14:textId="77777777" w:rsidR="00C95D96" w:rsidRPr="00D21DFA" w:rsidRDefault="00C95D96" w:rsidP="00C95D96">
      <w:pPr>
        <w:numPr>
          <w:ilvl w:val="0"/>
          <w:numId w:val="7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35ED19F4" w14:textId="77777777" w:rsidR="00C95D96" w:rsidRPr="00D21DFA"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6409719E" w14:textId="05DD2F8E" w:rsidR="00C95D96" w:rsidRPr="00D21DFA"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plaučių.</w:t>
      </w:r>
    </w:p>
    <w:p w14:paraId="59589B48"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749EDAD"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2A2FDB7E" w14:textId="77777777" w:rsidR="00C95D96" w:rsidRPr="00D21DFA" w:rsidRDefault="00C95D96" w:rsidP="00C95D96">
      <w:pPr>
        <w:numPr>
          <w:ilvl w:val="0"/>
          <w:numId w:val="7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09043BDB" w14:textId="6E6259F3" w:rsidR="00C95D96" w:rsidRPr="00D21DFA" w:rsidRDefault="00C95D96" w:rsidP="00C95D96">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pilvo ertmę arba į </w:t>
      </w:r>
      <w:r w:rsidR="00BE6869" w:rsidRPr="00D21DFA">
        <w:rPr>
          <w:rFonts w:ascii="Times New Roman" w:eastAsia="Times New Roman" w:hAnsi="Times New Roman" w:cs="Times New Roman"/>
          <w:kern w:val="0"/>
          <w:sz w:val="22"/>
          <w:szCs w:val="20"/>
          <w:lang w:eastAsia="lt-LT" w:bidi="lt-LT"/>
          <w14:ligatures w14:val="none"/>
        </w:rPr>
        <w:t>erdvę už pilvo ertmės</w:t>
      </w:r>
      <w:r w:rsidRPr="00D21DFA">
        <w:rPr>
          <w:rFonts w:ascii="Times New Roman" w:eastAsia="Times New Roman" w:hAnsi="Times New Roman" w:cs="Times New Roman"/>
          <w:kern w:val="0"/>
          <w:sz w:val="22"/>
          <w:szCs w:val="20"/>
          <w:lang w:eastAsia="lt-LT" w:bidi="lt-LT"/>
          <w14:ligatures w14:val="none"/>
        </w:rPr>
        <w:t>.</w:t>
      </w:r>
    </w:p>
    <w:p w14:paraId="0278F430" w14:textId="77777777" w:rsidR="00C95D96" w:rsidRPr="00D21DFA" w:rsidRDefault="00C95D96" w:rsidP="00C95D96">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753C8EAE" w14:textId="4E219F1C" w:rsidR="00C95D96" w:rsidRPr="00D21DFA" w:rsidRDefault="00C95D96" w:rsidP="00C95D96">
      <w:pPr>
        <w:numPr>
          <w:ilvl w:val="0"/>
          <w:numId w:val="7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Kraujagyslių uždegimas (</w:t>
      </w:r>
      <w:proofErr w:type="spellStart"/>
      <w:r w:rsidRPr="00D21DFA">
        <w:rPr>
          <w:rFonts w:ascii="Times New Roman" w:eastAsia="Times New Roman" w:hAnsi="Times New Roman" w:cs="Times New Roman"/>
          <w:kern w:val="0"/>
          <w:sz w:val="22"/>
          <w:szCs w:val="20"/>
          <w:lang w:eastAsia="lt-LT" w:bidi="lt-LT"/>
          <w14:ligatures w14:val="none"/>
        </w:rPr>
        <w:t>vaskulitas</w:t>
      </w:r>
      <w:proofErr w:type="spellEnd"/>
      <w:r w:rsidRPr="00D21DFA">
        <w:rPr>
          <w:rFonts w:ascii="Times New Roman" w:eastAsia="Times New Roman" w:hAnsi="Times New Roman" w:cs="Times New Roman"/>
          <w:kern w:val="0"/>
          <w:sz w:val="22"/>
          <w:szCs w:val="20"/>
          <w:lang w:eastAsia="lt-LT" w:bidi="lt-LT"/>
          <w14:ligatures w14:val="none"/>
        </w:rPr>
        <w:t xml:space="preserve">), dėl kurio gali atsirasti odos išbėrimas arba </w:t>
      </w:r>
      <w:r w:rsidR="00BE6869" w:rsidRPr="00D21DFA">
        <w:rPr>
          <w:rFonts w:ascii="Times New Roman" w:eastAsia="Times New Roman" w:hAnsi="Times New Roman" w:cs="Times New Roman"/>
          <w:kern w:val="0"/>
          <w:sz w:val="22"/>
          <w:szCs w:val="20"/>
          <w:lang w:eastAsia="lt-LT" w:bidi="lt-LT"/>
          <w14:ligatures w14:val="none"/>
        </w:rPr>
        <w:t>taškinės</w:t>
      </w:r>
      <w:r w:rsidRPr="00D21DFA">
        <w:rPr>
          <w:rFonts w:ascii="Times New Roman" w:eastAsia="Times New Roman" w:hAnsi="Times New Roman" w:cs="Times New Roman"/>
          <w:kern w:val="0"/>
          <w:sz w:val="22"/>
          <w:szCs w:val="20"/>
          <w:lang w:eastAsia="lt-LT" w:bidi="lt-LT"/>
          <w14:ligatures w14:val="none"/>
        </w:rPr>
        <w:t>, plokščios, raudonos, apvalios dėmės po odos paviršiumi arba mėlynės (kraujosruvos).</w:t>
      </w:r>
    </w:p>
    <w:p w14:paraId="6AF2911C" w14:textId="77777777" w:rsidR="00111F89" w:rsidRPr="005E78DD" w:rsidRDefault="00111F89" w:rsidP="00F264C7">
      <w:pPr>
        <w:pStyle w:val="Sraopastraipa"/>
        <w:numPr>
          <w:ilvl w:val="0"/>
          <w:numId w:val="74"/>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2F3AA0BA"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1916A04" w14:textId="77777777" w:rsidR="00D956E2" w:rsidRPr="00AD1A35"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u w:val="single"/>
          <w14:ligatures w14:val="none"/>
        </w:rPr>
      </w:pPr>
      <w:r w:rsidRPr="00AD1A35">
        <w:rPr>
          <w:rFonts w:ascii="Times New Roman" w:eastAsia="Times New Roman" w:hAnsi="Times New Roman" w:cs="Times New Roman"/>
          <w:snapToGrid w:val="0"/>
          <w:kern w:val="0"/>
          <w:sz w:val="22"/>
          <w:szCs w:val="22"/>
          <w:u w:val="single"/>
          <w14:ligatures w14:val="none"/>
        </w:rPr>
        <w:t xml:space="preserve">Papildomas </w:t>
      </w:r>
      <w:r w:rsidRPr="00AD1A35">
        <w:rPr>
          <w:rFonts w:ascii="Times New Roman" w:eastAsia="Times New Roman" w:hAnsi="Times New Roman" w:cs="Times New Roman" w:hint="eastAsia"/>
          <w:snapToGrid w:val="0"/>
          <w:kern w:val="0"/>
          <w:sz w:val="22"/>
          <w:szCs w:val="22"/>
          <w:u w:val="single"/>
          <w14:ligatures w14:val="none"/>
        </w:rPr>
        <w:t>š</w:t>
      </w:r>
      <w:r w:rsidRPr="00AD1A35">
        <w:rPr>
          <w:rFonts w:ascii="Times New Roman" w:eastAsia="Times New Roman" w:hAnsi="Times New Roman" w:cs="Times New Roman"/>
          <w:snapToGrid w:val="0"/>
          <w:kern w:val="0"/>
          <w:sz w:val="22"/>
          <w:szCs w:val="22"/>
          <w:u w:val="single"/>
          <w14:ligatures w14:val="none"/>
        </w:rPr>
        <w:t>alutinis poveikis vaikams ir paaugliams</w:t>
      </w:r>
    </w:p>
    <w:p w14:paraId="75FBECF8" w14:textId="77777777" w:rsidR="00D956E2" w:rsidRPr="00D21DFA"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29D13DC" w14:textId="579E7BB0" w:rsidR="00D956E2" w:rsidRPr="00D21DFA"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Jeigu pastebėjote bet kurį iš šių simptomų, </w:t>
      </w:r>
      <w:r w:rsidRPr="00D21DFA">
        <w:rPr>
          <w:rFonts w:ascii="Times New Roman" w:eastAsia="Times New Roman" w:hAnsi="Times New Roman" w:cs="Times New Roman"/>
          <w:b/>
          <w:bCs/>
          <w:snapToGrid w:val="0"/>
          <w:kern w:val="0"/>
          <w:sz w:val="22"/>
          <w:szCs w:val="22"/>
          <w14:ligatures w14:val="none"/>
        </w:rPr>
        <w:t>nedelsdami kreipkitės į vaiko gydytoją</w:t>
      </w:r>
      <w:r w:rsidRPr="00D21DFA">
        <w:rPr>
          <w:rFonts w:ascii="Times New Roman" w:eastAsia="Times New Roman" w:hAnsi="Times New Roman" w:cs="Times New Roman"/>
          <w:snapToGrid w:val="0"/>
          <w:kern w:val="0"/>
          <w:sz w:val="22"/>
          <w:szCs w:val="22"/>
          <w14:ligatures w14:val="none"/>
        </w:rPr>
        <w:t>:</w:t>
      </w:r>
    </w:p>
    <w:p w14:paraId="139ABA8F" w14:textId="524CEE84" w:rsidR="00D956E2" w:rsidRPr="00AD1A35" w:rsidRDefault="00D956E2" w:rsidP="00AD1A35">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AD1A35">
        <w:rPr>
          <w:rFonts w:ascii="Times New Roman" w:eastAsia="Times New Roman" w:hAnsi="Times New Roman" w:cs="Times New Roman"/>
          <w:kern w:val="0"/>
          <w:sz w:val="22"/>
          <w:szCs w:val="22"/>
          <w:lang w:eastAsia="lt-LT" w:bidi="lt-LT"/>
          <w14:ligatures w14:val="none"/>
        </w:rPr>
        <w:t>Alergin</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s (padid</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jusio jautrumo) reakcijos, kurios gali sukelti: veido, l</w:t>
      </w:r>
      <w:r w:rsidRPr="00AD1A35">
        <w:rPr>
          <w:rFonts w:ascii="Times New Roman" w:eastAsia="Times New Roman" w:hAnsi="Times New Roman" w:cs="Times New Roman" w:hint="eastAsia"/>
          <w:kern w:val="0"/>
          <w:sz w:val="22"/>
          <w:szCs w:val="22"/>
          <w:lang w:eastAsia="lt-LT" w:bidi="lt-LT"/>
          <w14:ligatures w14:val="none"/>
        </w:rPr>
        <w:t>ū</w:t>
      </w:r>
      <w:r w:rsidRPr="00AD1A35">
        <w:rPr>
          <w:rFonts w:ascii="Times New Roman" w:eastAsia="Times New Roman" w:hAnsi="Times New Roman" w:cs="Times New Roman"/>
          <w:kern w:val="0"/>
          <w:sz w:val="22"/>
          <w:szCs w:val="22"/>
          <w:lang w:eastAsia="lt-LT" w:bidi="lt-LT"/>
          <w14:ligatures w14:val="none"/>
        </w:rPr>
        <w:t>p</w:t>
      </w:r>
      <w:r w:rsidRPr="00AD1A35">
        <w:rPr>
          <w:rFonts w:ascii="Times New Roman" w:eastAsia="Times New Roman" w:hAnsi="Times New Roman" w:cs="Times New Roman" w:hint="eastAsia"/>
          <w:kern w:val="0"/>
          <w:sz w:val="22"/>
          <w:szCs w:val="22"/>
          <w:lang w:eastAsia="lt-LT" w:bidi="lt-LT"/>
          <w14:ligatures w14:val="none"/>
        </w:rPr>
        <w:t>ų</w:t>
      </w:r>
      <w:r w:rsidRPr="00AD1A35">
        <w:rPr>
          <w:rFonts w:ascii="Times New Roman" w:eastAsia="Times New Roman" w:hAnsi="Times New Roman" w:cs="Times New Roman"/>
          <w:kern w:val="0"/>
          <w:sz w:val="22"/>
          <w:szCs w:val="22"/>
          <w:lang w:eastAsia="lt-LT" w:bidi="lt-LT"/>
          <w14:ligatures w14:val="none"/>
        </w:rPr>
        <w:t>, burnos, lie</w:t>
      </w:r>
      <w:r w:rsidRPr="00AD1A35">
        <w:rPr>
          <w:rFonts w:ascii="Times New Roman" w:eastAsia="Times New Roman" w:hAnsi="Times New Roman" w:cs="Times New Roman" w:hint="eastAsia"/>
          <w:kern w:val="0"/>
          <w:sz w:val="22"/>
          <w:szCs w:val="22"/>
          <w:lang w:eastAsia="lt-LT" w:bidi="lt-LT"/>
          <w14:ligatures w14:val="none"/>
        </w:rPr>
        <w:t>ž</w:t>
      </w:r>
      <w:r w:rsidRPr="00AD1A35">
        <w:rPr>
          <w:rFonts w:ascii="Times New Roman" w:eastAsia="Times New Roman" w:hAnsi="Times New Roman" w:cs="Times New Roman"/>
          <w:kern w:val="0"/>
          <w:sz w:val="22"/>
          <w:szCs w:val="22"/>
          <w:lang w:eastAsia="lt-LT" w:bidi="lt-LT"/>
          <w14:ligatures w14:val="none"/>
        </w:rPr>
        <w:t>uvio ir</w:t>
      </w:r>
      <w:r w:rsidR="00680F98" w:rsidRPr="00AD1A35">
        <w:rPr>
          <w:rFonts w:ascii="Times New Roman" w:eastAsia="Times New Roman" w:hAnsi="Times New Roman" w:cs="Times New Roman"/>
          <w:kern w:val="0"/>
          <w:sz w:val="22"/>
          <w:szCs w:val="22"/>
          <w:lang w:eastAsia="lt-LT" w:bidi="lt-LT"/>
          <w14:ligatures w14:val="none"/>
        </w:rPr>
        <w:t xml:space="preserve"> </w:t>
      </w:r>
      <w:r w:rsidRPr="00AD1A35">
        <w:rPr>
          <w:rFonts w:ascii="Times New Roman" w:eastAsia="Times New Roman" w:hAnsi="Times New Roman" w:cs="Times New Roman"/>
          <w:kern w:val="0"/>
          <w:sz w:val="22"/>
          <w:szCs w:val="22"/>
          <w:lang w:eastAsia="lt-LT" w:bidi="lt-LT"/>
          <w14:ligatures w14:val="none"/>
        </w:rPr>
        <w:t>(arba) gerkl</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s patinim</w:t>
      </w:r>
      <w:r w:rsidRPr="00AD1A35">
        <w:rPr>
          <w:rFonts w:ascii="Times New Roman" w:eastAsia="Times New Roman" w:hAnsi="Times New Roman" w:cs="Times New Roman" w:hint="eastAsia"/>
          <w:kern w:val="0"/>
          <w:sz w:val="22"/>
          <w:szCs w:val="22"/>
          <w:lang w:eastAsia="lt-LT" w:bidi="lt-LT"/>
          <w14:ligatures w14:val="none"/>
        </w:rPr>
        <w:t>ą</w:t>
      </w:r>
      <w:r w:rsidRPr="00AD1A35">
        <w:rPr>
          <w:rFonts w:ascii="Times New Roman" w:eastAsia="Times New Roman" w:hAnsi="Times New Roman" w:cs="Times New Roman"/>
          <w:kern w:val="0"/>
          <w:sz w:val="22"/>
          <w:szCs w:val="22"/>
          <w:lang w:eastAsia="lt-LT" w:bidi="lt-LT"/>
          <w14:ligatures w14:val="none"/>
        </w:rPr>
        <w:t xml:space="preserve"> bei kv</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pavimo pasunk</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jim</w:t>
      </w:r>
      <w:r w:rsidRPr="00AD1A35">
        <w:rPr>
          <w:rFonts w:ascii="Times New Roman" w:eastAsia="Times New Roman" w:hAnsi="Times New Roman" w:cs="Times New Roman" w:hint="eastAsia"/>
          <w:kern w:val="0"/>
          <w:sz w:val="22"/>
          <w:szCs w:val="22"/>
          <w:lang w:eastAsia="lt-LT" w:bidi="lt-LT"/>
          <w14:ligatures w14:val="none"/>
        </w:rPr>
        <w:t>ą</w:t>
      </w:r>
      <w:r w:rsidRPr="00AD1A35">
        <w:rPr>
          <w:rFonts w:ascii="Times New Roman" w:eastAsia="Times New Roman" w:hAnsi="Times New Roman" w:cs="Times New Roman"/>
          <w:kern w:val="0"/>
          <w:sz w:val="22"/>
          <w:szCs w:val="22"/>
          <w:lang w:eastAsia="lt-LT" w:bidi="lt-LT"/>
          <w14:ligatures w14:val="none"/>
        </w:rPr>
        <w:t xml:space="preserve">. </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 xml:space="preserve">is </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alutinis poveikis yra da</w:t>
      </w:r>
      <w:r w:rsidRPr="00AD1A35">
        <w:rPr>
          <w:rFonts w:ascii="Times New Roman" w:eastAsia="Times New Roman" w:hAnsi="Times New Roman" w:cs="Times New Roman" w:hint="eastAsia"/>
          <w:kern w:val="0"/>
          <w:sz w:val="22"/>
          <w:szCs w:val="22"/>
          <w:lang w:eastAsia="lt-LT" w:bidi="lt-LT"/>
          <w14:ligatures w14:val="none"/>
        </w:rPr>
        <w:t>ž</w:t>
      </w:r>
      <w:r w:rsidRPr="00AD1A35">
        <w:rPr>
          <w:rFonts w:ascii="Times New Roman" w:eastAsia="Times New Roman" w:hAnsi="Times New Roman" w:cs="Times New Roman"/>
          <w:kern w:val="0"/>
          <w:sz w:val="22"/>
          <w:szCs w:val="22"/>
          <w:lang w:eastAsia="lt-LT" w:bidi="lt-LT"/>
          <w14:ligatures w14:val="none"/>
        </w:rPr>
        <w:t>nas (gali</w:t>
      </w:r>
      <w:r w:rsidR="00680F98" w:rsidRPr="00AD1A35">
        <w:rPr>
          <w:rFonts w:ascii="Times New Roman" w:eastAsia="Times New Roman" w:hAnsi="Times New Roman" w:cs="Times New Roman"/>
          <w:kern w:val="0"/>
          <w:sz w:val="22"/>
          <w:szCs w:val="22"/>
          <w:lang w:eastAsia="lt-LT" w:bidi="lt-LT"/>
          <w14:ligatures w14:val="none"/>
        </w:rPr>
        <w:t xml:space="preserve"> </w:t>
      </w:r>
      <w:r w:rsidRPr="00AD1A35">
        <w:rPr>
          <w:rFonts w:ascii="Times New Roman" w:eastAsia="Times New Roman" w:hAnsi="Times New Roman" w:cs="Times New Roman"/>
          <w:kern w:val="0"/>
          <w:sz w:val="22"/>
          <w:szCs w:val="22"/>
          <w:lang w:eastAsia="lt-LT" w:bidi="lt-LT"/>
          <w14:ligatures w14:val="none"/>
        </w:rPr>
        <w:t>pasireik</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ti re</w:t>
      </w:r>
      <w:r w:rsidRPr="00AD1A35">
        <w:rPr>
          <w:rFonts w:ascii="Times New Roman" w:eastAsia="Times New Roman" w:hAnsi="Times New Roman" w:cs="Times New Roman" w:hint="eastAsia"/>
          <w:kern w:val="0"/>
          <w:sz w:val="22"/>
          <w:szCs w:val="22"/>
          <w:lang w:eastAsia="lt-LT" w:bidi="lt-LT"/>
          <w14:ligatures w14:val="none"/>
        </w:rPr>
        <w:t>č</w:t>
      </w:r>
      <w:r w:rsidRPr="00AD1A35">
        <w:rPr>
          <w:rFonts w:ascii="Times New Roman" w:eastAsia="Times New Roman" w:hAnsi="Times New Roman" w:cs="Times New Roman"/>
          <w:kern w:val="0"/>
          <w:sz w:val="22"/>
          <w:szCs w:val="22"/>
          <w:lang w:eastAsia="lt-LT" w:bidi="lt-LT"/>
          <w14:ligatures w14:val="none"/>
        </w:rPr>
        <w:t>iau kaip 1 i</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 xml:space="preserve"> 10 asmen</w:t>
      </w:r>
      <w:r w:rsidRPr="00AD1A35">
        <w:rPr>
          <w:rFonts w:ascii="Times New Roman" w:eastAsia="Times New Roman" w:hAnsi="Times New Roman" w:cs="Times New Roman" w:hint="eastAsia"/>
          <w:kern w:val="0"/>
          <w:sz w:val="22"/>
          <w:szCs w:val="22"/>
          <w:lang w:eastAsia="lt-LT" w:bidi="lt-LT"/>
          <w14:ligatures w14:val="none"/>
        </w:rPr>
        <w:t>ų</w:t>
      </w:r>
      <w:r w:rsidRPr="00AD1A35">
        <w:rPr>
          <w:rFonts w:ascii="Times New Roman" w:eastAsia="Times New Roman" w:hAnsi="Times New Roman" w:cs="Times New Roman"/>
          <w:kern w:val="0"/>
          <w:sz w:val="22"/>
          <w:szCs w:val="22"/>
          <w:lang w:eastAsia="lt-LT" w:bidi="lt-LT"/>
          <w14:ligatures w14:val="none"/>
        </w:rPr>
        <w:t>).</w:t>
      </w:r>
    </w:p>
    <w:p w14:paraId="1E400669" w14:textId="77777777" w:rsidR="00680F98" w:rsidRPr="00D21DFA"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411ADBA" w14:textId="3317FDCF" w:rsidR="00D956E2" w:rsidRPr="00D21DFA"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Apskritai vaikams ir paaugliams, gydytiems </w:t>
      </w:r>
      <w:proofErr w:type="spellStart"/>
      <w:r w:rsidR="00680F98" w:rsidRPr="00D21DFA">
        <w:rPr>
          <w:rFonts w:ascii="Times New Roman" w:eastAsia="Times New Roman" w:hAnsi="Times New Roman" w:cs="Times New Roman"/>
          <w:snapToGrid w:val="0"/>
          <w:kern w:val="0"/>
          <w:sz w:val="22"/>
          <w:szCs w:val="22"/>
          <w14:ligatures w14:val="none"/>
        </w:rPr>
        <w:t>Apixaban</w:t>
      </w:r>
      <w:proofErr w:type="spellEnd"/>
      <w:r w:rsidR="00680F98" w:rsidRPr="00D21DFA">
        <w:rPr>
          <w:rFonts w:ascii="Times New Roman" w:eastAsia="Times New Roman" w:hAnsi="Times New Roman" w:cs="Times New Roman"/>
          <w:snapToGrid w:val="0"/>
          <w:kern w:val="0"/>
          <w:sz w:val="22"/>
          <w:szCs w:val="22"/>
          <w14:ligatures w14:val="none"/>
        </w:rPr>
        <w:t xml:space="preserve"> </w:t>
      </w:r>
      <w:proofErr w:type="spellStart"/>
      <w:r w:rsidR="00680F98"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pastebėtas šalutinis poveikis buvo panašaus</w:t>
      </w:r>
      <w:r w:rsidR="00680F98"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pobūdžio kaip ir suaugusiesiems, ir jis daugiausia buvo lengvas arba vidutinio sunkumo. Šalutinis</w:t>
      </w:r>
      <w:r w:rsidR="00680F98"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poveikis, kuris vaikams ir paaugliams pasireiškė dažniau, buvo kraujavimas iš nosies ir nenormalus</w:t>
      </w:r>
      <w:r w:rsidR="00680F98"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kraujavimas iš makšties.</w:t>
      </w:r>
    </w:p>
    <w:p w14:paraId="6EAE55DF" w14:textId="77777777" w:rsidR="00680F98" w:rsidRPr="00D21DFA"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3EB9C38" w14:textId="77777777" w:rsidR="00F44B27" w:rsidRPr="00AD1A35" w:rsidRDefault="00F44B27" w:rsidP="00AD1A35">
      <w:pPr>
        <w:tabs>
          <w:tab w:val="left" w:pos="709"/>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AD1A35">
        <w:rPr>
          <w:rFonts w:ascii="Times New Roman" w:eastAsia="Times New Roman" w:hAnsi="Times New Roman" w:cs="Times New Roman"/>
          <w:b/>
          <w:bCs/>
          <w:snapToGrid w:val="0"/>
          <w:kern w:val="0"/>
          <w:sz w:val="22"/>
          <w:szCs w:val="22"/>
          <w14:ligatures w14:val="none"/>
        </w:rPr>
        <w:t>Labai dažni šalutinio poveikio reiškiniai (gali pasireikšti ne rečiau kaip 1 iš 10 asmenų):</w:t>
      </w:r>
    </w:p>
    <w:p w14:paraId="14AFE690" w14:textId="76534784" w:rsidR="00D956E2" w:rsidRPr="00AD1A35"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AD1A35">
        <w:rPr>
          <w:rFonts w:ascii="Times New Roman" w:eastAsia="Times New Roman" w:hAnsi="Times New Roman" w:cs="Times New Roman"/>
          <w:snapToGrid w:val="0"/>
          <w:kern w:val="0"/>
          <w:sz w:val="22"/>
          <w:szCs w:val="22"/>
          <w14:ligatures w14:val="none"/>
        </w:rPr>
        <w:t xml:space="preserve">Kraujavimas, </w:t>
      </w:r>
      <w:r w:rsidRPr="00AD1A35">
        <w:rPr>
          <w:rFonts w:ascii="Times New Roman" w:eastAsia="Times New Roman" w:hAnsi="Times New Roman" w:cs="Times New Roman" w:hint="eastAsia"/>
          <w:snapToGrid w:val="0"/>
          <w:kern w:val="0"/>
          <w:sz w:val="22"/>
          <w:szCs w:val="22"/>
          <w14:ligatures w14:val="none"/>
        </w:rPr>
        <w:t>į</w:t>
      </w:r>
      <w:r w:rsidRPr="00AD1A35">
        <w:rPr>
          <w:rFonts w:ascii="Times New Roman" w:eastAsia="Times New Roman" w:hAnsi="Times New Roman" w:cs="Times New Roman"/>
          <w:snapToGrid w:val="0"/>
          <w:kern w:val="0"/>
          <w:sz w:val="22"/>
          <w:szCs w:val="22"/>
          <w14:ligatures w14:val="none"/>
        </w:rPr>
        <w:t>skaitant:</w:t>
      </w:r>
    </w:p>
    <w:p w14:paraId="3B2CDEC8" w14:textId="70B84BDF"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mak</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ties;</w:t>
      </w:r>
    </w:p>
    <w:p w14:paraId="436B6889" w14:textId="566B6D1A" w:rsidR="00D956E2" w:rsidRPr="00D21DFA" w:rsidRDefault="00D956E2" w:rsidP="00680F98">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nosies.</w:t>
      </w:r>
    </w:p>
    <w:p w14:paraId="656A84FD" w14:textId="77777777" w:rsidR="00680F98" w:rsidRPr="00AD1A35" w:rsidRDefault="00680F98" w:rsidP="00AD1A35">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p>
    <w:p w14:paraId="0A962D5C" w14:textId="39FAC526" w:rsidR="00D956E2" w:rsidRPr="00D21DFA" w:rsidRDefault="00D956E2"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Dažn</w:t>
      </w:r>
      <w:r w:rsidR="00F44B27" w:rsidRPr="00D21DFA">
        <w:rPr>
          <w:rFonts w:ascii="Times New Roman" w:eastAsia="Times New Roman" w:hAnsi="Times New Roman" w:cs="Times New Roman"/>
          <w:b/>
          <w:bCs/>
          <w:snapToGrid w:val="0"/>
          <w:kern w:val="0"/>
          <w:sz w:val="22"/>
          <w:szCs w:val="22"/>
          <w14:ligatures w14:val="none"/>
        </w:rPr>
        <w:t>i</w:t>
      </w:r>
      <w:r w:rsidRPr="00D21DFA">
        <w:rPr>
          <w:rFonts w:ascii="Times New Roman" w:eastAsia="Times New Roman" w:hAnsi="Times New Roman" w:cs="Times New Roman"/>
          <w:b/>
          <w:bCs/>
          <w:snapToGrid w:val="0"/>
          <w:kern w:val="0"/>
          <w:sz w:val="22"/>
          <w:szCs w:val="22"/>
          <w14:ligatures w14:val="none"/>
        </w:rPr>
        <w:t xml:space="preserve"> šalutini</w:t>
      </w:r>
      <w:r w:rsidR="00F44B27" w:rsidRPr="00D21DFA">
        <w:rPr>
          <w:rFonts w:ascii="Times New Roman" w:eastAsia="Times New Roman" w:hAnsi="Times New Roman" w:cs="Times New Roman"/>
          <w:b/>
          <w:bCs/>
          <w:snapToGrid w:val="0"/>
          <w:kern w:val="0"/>
          <w:sz w:val="22"/>
          <w:szCs w:val="22"/>
          <w14:ligatures w14:val="none"/>
        </w:rPr>
        <w:t>o</w:t>
      </w:r>
      <w:r w:rsidRPr="00D21DFA">
        <w:rPr>
          <w:rFonts w:ascii="Times New Roman" w:eastAsia="Times New Roman" w:hAnsi="Times New Roman" w:cs="Times New Roman"/>
          <w:b/>
          <w:bCs/>
          <w:snapToGrid w:val="0"/>
          <w:kern w:val="0"/>
          <w:sz w:val="22"/>
          <w:szCs w:val="22"/>
          <w14:ligatures w14:val="none"/>
        </w:rPr>
        <w:t xml:space="preserve"> poveiki</w:t>
      </w:r>
      <w:r w:rsidR="00F44B27" w:rsidRPr="00D21DFA">
        <w:rPr>
          <w:rFonts w:ascii="Times New Roman" w:eastAsia="Times New Roman" w:hAnsi="Times New Roman" w:cs="Times New Roman"/>
          <w:b/>
          <w:bCs/>
          <w:snapToGrid w:val="0"/>
          <w:kern w:val="0"/>
          <w:sz w:val="22"/>
          <w:szCs w:val="22"/>
          <w14:ligatures w14:val="none"/>
        </w:rPr>
        <w:t>o</w:t>
      </w:r>
      <w:r w:rsidRPr="00D21DFA">
        <w:rPr>
          <w:rFonts w:ascii="Times New Roman" w:eastAsia="Times New Roman" w:hAnsi="Times New Roman" w:cs="Times New Roman"/>
          <w:b/>
          <w:bCs/>
          <w:snapToGrid w:val="0"/>
          <w:kern w:val="0"/>
          <w:sz w:val="22"/>
          <w:szCs w:val="22"/>
          <w14:ligatures w14:val="none"/>
        </w:rPr>
        <w:t xml:space="preserve"> </w:t>
      </w:r>
      <w:r w:rsidR="00F44B27" w:rsidRPr="00D21DFA">
        <w:rPr>
          <w:rFonts w:ascii="Times New Roman" w:eastAsia="Times New Roman" w:hAnsi="Times New Roman" w:cs="Times New Roman"/>
          <w:b/>
          <w:bCs/>
          <w:snapToGrid w:val="0"/>
          <w:kern w:val="0"/>
          <w:sz w:val="22"/>
          <w:szCs w:val="22"/>
          <w14:ligatures w14:val="none"/>
        </w:rPr>
        <w:t xml:space="preserve">reiškiniai </w:t>
      </w:r>
      <w:r w:rsidRPr="00D21DFA">
        <w:rPr>
          <w:rFonts w:ascii="Times New Roman" w:eastAsia="Times New Roman" w:hAnsi="Times New Roman" w:cs="Times New Roman"/>
          <w:b/>
          <w:bCs/>
          <w:snapToGrid w:val="0"/>
          <w:kern w:val="0"/>
          <w:sz w:val="22"/>
          <w:szCs w:val="22"/>
          <w14:ligatures w14:val="none"/>
        </w:rPr>
        <w:t>(gali pasireikšti rečiau kaip 1 iš 10 asmenų)</w:t>
      </w:r>
    </w:p>
    <w:p w14:paraId="4CD67724" w14:textId="77777777" w:rsidR="00680F98" w:rsidRPr="00D21DFA" w:rsidRDefault="00D956E2" w:rsidP="00680F98">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įskaitant:</w:t>
      </w:r>
    </w:p>
    <w:p w14:paraId="20BD0B13" w14:textId="77777777" w:rsidR="00680F98"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danten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w:t>
      </w:r>
    </w:p>
    <w:p w14:paraId="421E96EE" w14:textId="77777777" w:rsidR="00680F98"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lapime;</w:t>
      </w:r>
    </w:p>
    <w:p w14:paraId="1C941B82" w14:textId="721C48B7"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m</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lyni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(kraujosruv</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atsiradim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ir patinim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78F01BBF" w14:textId="3A4AB2D3"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 xml:space="preserve">arnyno arba tiesiosios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arnos;</w:t>
      </w:r>
    </w:p>
    <w:p w14:paraId="2E656034" w14:textId="0E2447A1"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ry</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kaus (raudono) kraujo atsiradim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matose;</w:t>
      </w:r>
    </w:p>
    <w:p w14:paraId="02288170" w14:textId="5971E91A"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po operacijos pasirei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kiant</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skaitant m</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lynes (kraujosruvas) ir patinim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2C0D9F83" w14:textId="646A0304" w:rsidR="00D956E2" w:rsidRPr="00AD1A35" w:rsidRDefault="00D956E2" w:rsidP="00941B04">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 xml:space="preserve">kraujo </w:t>
      </w:r>
      <w:r w:rsidR="00517C77">
        <w:rPr>
          <w:rFonts w:ascii="Times New Roman" w:eastAsia="Times New Roman" w:hAnsi="Times New Roman" w:cs="Times New Roman"/>
          <w:kern w:val="0"/>
          <w:sz w:val="22"/>
          <w:szCs w:val="20"/>
          <w:lang w:eastAsia="lt-LT" w:bidi="lt-LT"/>
          <w14:ligatures w14:val="none"/>
        </w:rPr>
        <w:t>ar skysčio</w:t>
      </w:r>
      <w:r w:rsidRPr="00AD1A35">
        <w:rPr>
          <w:rFonts w:ascii="Times New Roman" w:eastAsia="Times New Roman" w:hAnsi="Times New Roman" w:cs="Times New Roman"/>
          <w:kern w:val="0"/>
          <w:sz w:val="22"/>
          <w:szCs w:val="20"/>
          <w:lang w:eastAsia="lt-LT" w:bidi="lt-LT"/>
          <w14:ligatures w14:val="none"/>
        </w:rPr>
        <w:t xml:space="preserve"> sunkim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si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chirurgin</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 xml:space="preserve">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aizdos (pj</w:t>
      </w:r>
      <w:r w:rsidRPr="00AD1A35">
        <w:rPr>
          <w:rFonts w:ascii="Times New Roman" w:eastAsia="Times New Roman" w:hAnsi="Times New Roman" w:cs="Times New Roman" w:hint="eastAsia"/>
          <w:kern w:val="0"/>
          <w:sz w:val="22"/>
          <w:szCs w:val="20"/>
          <w:lang w:eastAsia="lt-LT" w:bidi="lt-LT"/>
          <w14:ligatures w14:val="none"/>
        </w:rPr>
        <w:t>ū</w:t>
      </w:r>
      <w:r w:rsidRPr="00AD1A35">
        <w:rPr>
          <w:rFonts w:ascii="Times New Roman" w:eastAsia="Times New Roman" w:hAnsi="Times New Roman" w:cs="Times New Roman"/>
          <w:kern w:val="0"/>
          <w:sz w:val="22"/>
          <w:szCs w:val="20"/>
          <w:lang w:eastAsia="lt-LT" w:bidi="lt-LT"/>
          <w14:ligatures w14:val="none"/>
        </w:rPr>
        <w:t>vio) vietos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aizdos sekrecij</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arba injekcijos</w:t>
      </w:r>
      <w:r w:rsidR="00D21DFA" w:rsidRPr="00D21DFA">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kern w:val="0"/>
          <w:sz w:val="22"/>
          <w:szCs w:val="20"/>
          <w:lang w:eastAsia="lt-LT" w:bidi="lt-LT"/>
          <w14:ligatures w14:val="none"/>
        </w:rPr>
        <w:t>viet</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w:t>
      </w:r>
    </w:p>
    <w:p w14:paraId="21AD3956" w14:textId="61845138"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Plaukų slinkimas;</w:t>
      </w:r>
    </w:p>
    <w:p w14:paraId="0D7D5C6E" w14:textId="5E4F3DD1"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Mažakraujystė, dėl kurios gali pasireikšti nuovargis ar blyškumas;</w:t>
      </w:r>
    </w:p>
    <w:p w14:paraId="13BA15F7" w14:textId="6E2758D3"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trombocitų (kraujo plokštelių) skaičius vaiko kraujyje (dėl ko gali sutrikti</w:t>
      </w:r>
      <w:r w:rsidR="00680F98" w:rsidRPr="00D21DFA">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krešėjimas);</w:t>
      </w:r>
    </w:p>
    <w:p w14:paraId="64E95369" w14:textId="0794F264"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Pykinimas (šleikštulys);</w:t>
      </w:r>
    </w:p>
    <w:p w14:paraId="6631C333" w14:textId="4E12C3CE"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w:t>
      </w:r>
    </w:p>
    <w:p w14:paraId="1E1A767D" w14:textId="5718D574"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Niežulys;</w:t>
      </w:r>
    </w:p>
    <w:p w14:paraId="563CCD5A" w14:textId="5FD9CD3E" w:rsidR="00D956E2" w:rsidRPr="00AD1A35"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kraujospūdis, dėl ko vaikas gali jausti silpnumą (alpti) ar gali padažnėti širdies</w:t>
      </w:r>
      <w:r w:rsidR="00680F98" w:rsidRPr="00D21DFA">
        <w:rPr>
          <w:rFonts w:ascii="Times New Roman" w:eastAsia="Times New Roman" w:hAnsi="Times New Roman" w:cs="Times New Roman"/>
          <w:snapToGrid w:val="0"/>
          <w:kern w:val="0"/>
          <w:sz w:val="22"/>
          <w:szCs w:val="22"/>
          <w14:ligatures w14:val="none"/>
        </w:rPr>
        <w:t xml:space="preserve"> </w:t>
      </w:r>
      <w:r w:rsidRPr="00AD1A35">
        <w:rPr>
          <w:rFonts w:ascii="Times New Roman" w:eastAsia="Times New Roman" w:hAnsi="Times New Roman" w:cs="Times New Roman"/>
          <w:snapToGrid w:val="0"/>
          <w:kern w:val="0"/>
          <w:sz w:val="22"/>
          <w:szCs w:val="22"/>
          <w14:ligatures w14:val="none"/>
        </w:rPr>
        <w:t>susitraukim</w:t>
      </w:r>
      <w:r w:rsidRPr="00AD1A35">
        <w:rPr>
          <w:rFonts w:ascii="Times New Roman" w:eastAsia="Times New Roman" w:hAnsi="Times New Roman" w:cs="Times New Roman" w:hint="eastAsia"/>
          <w:snapToGrid w:val="0"/>
          <w:kern w:val="0"/>
          <w:sz w:val="22"/>
          <w:szCs w:val="22"/>
          <w14:ligatures w14:val="none"/>
        </w:rPr>
        <w:t>ų</w:t>
      </w:r>
      <w:r w:rsidRPr="00AD1A35">
        <w:rPr>
          <w:rFonts w:ascii="Times New Roman" w:eastAsia="Times New Roman" w:hAnsi="Times New Roman" w:cs="Times New Roman"/>
          <w:snapToGrid w:val="0"/>
          <w:kern w:val="0"/>
          <w:sz w:val="22"/>
          <w:szCs w:val="22"/>
          <w14:ligatures w14:val="none"/>
        </w:rPr>
        <w:t xml:space="preserve"> ritmas (pulsas);</w:t>
      </w:r>
    </w:p>
    <w:p w14:paraId="4AD2B983" w14:textId="77777777" w:rsidR="00680F98" w:rsidRPr="00D21DFA" w:rsidRDefault="00D956E2" w:rsidP="00680F98">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68A38B68" w14:textId="299B6DDE"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lastRenderedPageBreak/>
        <w:t>sutrikusi</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kepen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veikl</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6527F3B7" w14:textId="119C7DEE"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padid</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jus</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kai kuri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kepen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ferment</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aktyvum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48BD92A4" w14:textId="299CED41"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padid</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jus</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alaninaminotransferaz</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s (ALT) aktyvum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7C767257" w14:textId="77777777" w:rsidR="00680F98" w:rsidRPr="00D21DFA" w:rsidRDefault="00680F98"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p>
    <w:p w14:paraId="2BAF6B48" w14:textId="5202A3D8" w:rsidR="00D956E2" w:rsidRPr="00D21DFA" w:rsidRDefault="00F44B27" w:rsidP="00D956E2">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Šalutinio poveikio reiškiniai, kurių dažnis nežinomas</w:t>
      </w:r>
      <w:r w:rsidRPr="00D21DFA" w:rsidDel="00F44B27">
        <w:rPr>
          <w:rFonts w:ascii="Times New Roman" w:eastAsia="Times New Roman" w:hAnsi="Times New Roman" w:cs="Times New Roman"/>
          <w:b/>
          <w:bCs/>
          <w:snapToGrid w:val="0"/>
          <w:kern w:val="0"/>
          <w:sz w:val="22"/>
          <w:szCs w:val="22"/>
          <w14:ligatures w14:val="none"/>
        </w:rPr>
        <w:t xml:space="preserve"> </w:t>
      </w:r>
      <w:r w:rsidR="00D956E2" w:rsidRPr="00D21DFA">
        <w:rPr>
          <w:rFonts w:ascii="Times New Roman" w:eastAsia="Times New Roman" w:hAnsi="Times New Roman" w:cs="Times New Roman"/>
          <w:b/>
          <w:bCs/>
          <w:snapToGrid w:val="0"/>
          <w:kern w:val="0"/>
          <w:sz w:val="22"/>
          <w:szCs w:val="22"/>
          <w14:ligatures w14:val="none"/>
        </w:rPr>
        <w:t>(negali būti apskaičiuotas pagal turimus duomenis)</w:t>
      </w:r>
    </w:p>
    <w:p w14:paraId="03B36A7F" w14:textId="0299E24B"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w:t>
      </w:r>
    </w:p>
    <w:p w14:paraId="15094C9A" w14:textId="7C221FE9"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pilvo ertm</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arba </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aplink pilvo ertm</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esan</w:t>
      </w:r>
      <w:r w:rsidRPr="00AD1A35">
        <w:rPr>
          <w:rFonts w:ascii="Times New Roman" w:eastAsia="Times New Roman" w:hAnsi="Times New Roman" w:cs="Times New Roman" w:hint="eastAsia"/>
          <w:kern w:val="0"/>
          <w:sz w:val="22"/>
          <w:szCs w:val="20"/>
          <w:lang w:eastAsia="lt-LT" w:bidi="lt-LT"/>
          <w14:ligatures w14:val="none"/>
        </w:rPr>
        <w:t>č</w:t>
      </w: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ertm</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w:t>
      </w:r>
    </w:p>
    <w:p w14:paraId="20CC67D8" w14:textId="32C01FC2"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skrandyje;</w:t>
      </w:r>
    </w:p>
    <w:p w14:paraId="015ABBD7" w14:textId="238049A9"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akis;</w:t>
      </w:r>
    </w:p>
    <w:p w14:paraId="083575A3" w14:textId="77777777"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burnos;</w:t>
      </w:r>
    </w:p>
    <w:p w14:paraId="05EEA571" w14:textId="139A0D32"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w:t>
      </w:r>
      <w:proofErr w:type="spellStart"/>
      <w:r w:rsidRPr="00AD1A35">
        <w:rPr>
          <w:rFonts w:ascii="Times New Roman" w:eastAsia="Times New Roman" w:hAnsi="Times New Roman" w:cs="Times New Roman"/>
          <w:kern w:val="0"/>
          <w:sz w:val="22"/>
          <w:szCs w:val="20"/>
          <w:lang w:eastAsia="lt-LT" w:bidi="lt-LT"/>
          <w14:ligatures w14:val="none"/>
        </w:rPr>
        <w:t>hemoroid</w:t>
      </w:r>
      <w:r w:rsidRPr="00AD1A35">
        <w:rPr>
          <w:rFonts w:ascii="Times New Roman" w:eastAsia="Times New Roman" w:hAnsi="Times New Roman" w:cs="Times New Roman" w:hint="eastAsia"/>
          <w:kern w:val="0"/>
          <w:sz w:val="22"/>
          <w:szCs w:val="20"/>
          <w:lang w:eastAsia="lt-LT" w:bidi="lt-LT"/>
          <w14:ligatures w14:val="none"/>
        </w:rPr>
        <w:t>ų</w:t>
      </w:r>
      <w:proofErr w:type="spellEnd"/>
      <w:r w:rsidRPr="00AD1A35">
        <w:rPr>
          <w:rFonts w:ascii="Times New Roman" w:eastAsia="Times New Roman" w:hAnsi="Times New Roman" w:cs="Times New Roman"/>
          <w:kern w:val="0"/>
          <w:sz w:val="22"/>
          <w:szCs w:val="20"/>
          <w:lang w:eastAsia="lt-LT" w:bidi="lt-LT"/>
          <w14:ligatures w14:val="none"/>
        </w:rPr>
        <w:t xml:space="preserve"> (tiesiosios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arnos ven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mazgini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sipl</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tim</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w:t>
      </w:r>
    </w:p>
    <w:p w14:paraId="2F4D8E82" w14:textId="26701B04"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burnos arba kraujas atkos</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tuose skrepliuose;</w:t>
      </w:r>
    </w:p>
    <w:p w14:paraId="4D60DC61" w14:textId="7F7D2110"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galvos arba nugaros smegenis;</w:t>
      </w:r>
    </w:p>
    <w:p w14:paraId="17F35633" w14:textId="0CA1CC39"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plau</w:t>
      </w:r>
      <w:r w:rsidRPr="00AD1A35">
        <w:rPr>
          <w:rFonts w:ascii="Times New Roman" w:eastAsia="Times New Roman" w:hAnsi="Times New Roman" w:cs="Times New Roman" w:hint="eastAsia"/>
          <w:kern w:val="0"/>
          <w:sz w:val="22"/>
          <w:szCs w:val="20"/>
          <w:lang w:eastAsia="lt-LT" w:bidi="lt-LT"/>
          <w14:ligatures w14:val="none"/>
        </w:rPr>
        <w:t>č</w:t>
      </w:r>
      <w:r w:rsidRPr="00AD1A35">
        <w:rPr>
          <w:rFonts w:ascii="Times New Roman" w:eastAsia="Times New Roman" w:hAnsi="Times New Roman" w:cs="Times New Roman"/>
          <w:kern w:val="0"/>
          <w:sz w:val="22"/>
          <w:szCs w:val="20"/>
          <w:lang w:eastAsia="lt-LT" w:bidi="lt-LT"/>
          <w14:ligatures w14:val="none"/>
        </w:rPr>
        <w:t>iuose;</w:t>
      </w:r>
    </w:p>
    <w:p w14:paraId="6D3E97A6" w14:textId="74522164"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raumenis;</w:t>
      </w:r>
    </w:p>
    <w:p w14:paraId="54F8D614" w14:textId="2F3D775E" w:rsidR="00D956E2" w:rsidRPr="00AD1A35"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 dėl kurio gali susidaryti pūslės arba dėmės, atrodančios kaip maži taikiniai</w:t>
      </w:r>
      <w:r w:rsidR="00680F98" w:rsidRPr="00D21DFA">
        <w:rPr>
          <w:rFonts w:ascii="Times New Roman" w:eastAsia="Times New Roman" w:hAnsi="Times New Roman" w:cs="Times New Roman"/>
          <w:snapToGrid w:val="0"/>
          <w:kern w:val="0"/>
          <w:sz w:val="22"/>
          <w:szCs w:val="22"/>
          <w14:ligatures w14:val="none"/>
        </w:rPr>
        <w:t xml:space="preserve"> </w:t>
      </w:r>
      <w:r w:rsidRPr="00AD1A35">
        <w:rPr>
          <w:rFonts w:ascii="Times New Roman" w:eastAsia="Times New Roman" w:hAnsi="Times New Roman" w:cs="Times New Roman"/>
          <w:snapToGrid w:val="0"/>
          <w:kern w:val="0"/>
          <w:sz w:val="22"/>
          <w:szCs w:val="22"/>
          <w14:ligatures w14:val="none"/>
        </w:rPr>
        <w:t>(tamsus ta</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 xml:space="preserve">kas viduryje, apjuostas </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viesesniu apskritimu su tamsiu i</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 xml:space="preserve">oriniu </w:t>
      </w:r>
      <w:r w:rsidRPr="00AD1A35">
        <w:rPr>
          <w:rFonts w:ascii="Times New Roman" w:eastAsia="Times New Roman" w:hAnsi="Times New Roman" w:cs="Times New Roman" w:hint="eastAsia"/>
          <w:snapToGrid w:val="0"/>
          <w:kern w:val="0"/>
          <w:sz w:val="22"/>
          <w:szCs w:val="22"/>
          <w14:ligatures w14:val="none"/>
        </w:rPr>
        <w:t>ž</w:t>
      </w:r>
      <w:r w:rsidRPr="00AD1A35">
        <w:rPr>
          <w:rFonts w:ascii="Times New Roman" w:eastAsia="Times New Roman" w:hAnsi="Times New Roman" w:cs="Times New Roman"/>
          <w:snapToGrid w:val="0"/>
          <w:kern w:val="0"/>
          <w:sz w:val="22"/>
          <w:szCs w:val="22"/>
          <w14:ligatures w14:val="none"/>
        </w:rPr>
        <w:t>iedu; toks i</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b</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rimas</w:t>
      </w:r>
      <w:r w:rsidR="00680F98" w:rsidRPr="00D21DFA">
        <w:rPr>
          <w:rFonts w:ascii="Times New Roman" w:eastAsia="Times New Roman" w:hAnsi="Times New Roman" w:cs="Times New Roman"/>
          <w:snapToGrid w:val="0"/>
          <w:kern w:val="0"/>
          <w:sz w:val="22"/>
          <w:szCs w:val="22"/>
          <w14:ligatures w14:val="none"/>
        </w:rPr>
        <w:t xml:space="preserve"> </w:t>
      </w:r>
      <w:r w:rsidRPr="00AD1A35">
        <w:rPr>
          <w:rFonts w:ascii="Times New Roman" w:eastAsia="Times New Roman" w:hAnsi="Times New Roman" w:cs="Times New Roman"/>
          <w:snapToGrid w:val="0"/>
          <w:kern w:val="0"/>
          <w:sz w:val="22"/>
          <w:szCs w:val="22"/>
          <w14:ligatures w14:val="none"/>
        </w:rPr>
        <w:t>vadinamas daugiaforme raudone);</w:t>
      </w:r>
    </w:p>
    <w:p w14:paraId="64ED4FDF" w14:textId="4F16BB45" w:rsidR="00D956E2" w:rsidRPr="00AD1A35"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Kraujagyslių uždegimas (</w:t>
      </w:r>
      <w:proofErr w:type="spellStart"/>
      <w:r w:rsidRPr="00D21DFA">
        <w:rPr>
          <w:rFonts w:ascii="Times New Roman" w:eastAsia="Times New Roman" w:hAnsi="Times New Roman" w:cs="Times New Roman"/>
          <w:snapToGrid w:val="0"/>
          <w:kern w:val="0"/>
          <w:sz w:val="22"/>
          <w:szCs w:val="22"/>
          <w14:ligatures w14:val="none"/>
        </w:rPr>
        <w:t>vaskulitas</w:t>
      </w:r>
      <w:proofErr w:type="spellEnd"/>
      <w:r w:rsidRPr="00D21DFA">
        <w:rPr>
          <w:rFonts w:ascii="Times New Roman" w:eastAsia="Times New Roman" w:hAnsi="Times New Roman" w:cs="Times New Roman"/>
          <w:snapToGrid w:val="0"/>
          <w:kern w:val="0"/>
          <w:sz w:val="22"/>
          <w:szCs w:val="22"/>
          <w14:ligatures w14:val="none"/>
        </w:rPr>
        <w:t>), dėl kurio gali atsirasti odos išbėrimas arba ryškios,</w:t>
      </w:r>
      <w:r w:rsidR="00680F98" w:rsidRPr="00D21DFA">
        <w:rPr>
          <w:rFonts w:ascii="Times New Roman" w:eastAsia="Times New Roman" w:hAnsi="Times New Roman" w:cs="Times New Roman"/>
          <w:snapToGrid w:val="0"/>
          <w:kern w:val="0"/>
          <w:sz w:val="22"/>
          <w:szCs w:val="22"/>
          <w14:ligatures w14:val="none"/>
        </w:rPr>
        <w:t xml:space="preserve"> </w:t>
      </w:r>
      <w:r w:rsidRPr="00AD1A35">
        <w:rPr>
          <w:rFonts w:ascii="Times New Roman" w:eastAsia="Times New Roman" w:hAnsi="Times New Roman" w:cs="Times New Roman"/>
          <w:snapToGrid w:val="0"/>
          <w:kern w:val="0"/>
          <w:sz w:val="22"/>
          <w:szCs w:val="22"/>
          <w14:ligatures w14:val="none"/>
        </w:rPr>
        <w:t>plok</w:t>
      </w:r>
      <w:r w:rsidRPr="00AD1A35">
        <w:rPr>
          <w:rFonts w:ascii="Times New Roman" w:eastAsia="Times New Roman" w:hAnsi="Times New Roman" w:cs="Times New Roman" w:hint="eastAsia"/>
          <w:snapToGrid w:val="0"/>
          <w:kern w:val="0"/>
          <w:sz w:val="22"/>
          <w:szCs w:val="22"/>
          <w14:ligatures w14:val="none"/>
        </w:rPr>
        <w:t>šč</w:t>
      </w:r>
      <w:r w:rsidRPr="00AD1A35">
        <w:rPr>
          <w:rFonts w:ascii="Times New Roman" w:eastAsia="Times New Roman" w:hAnsi="Times New Roman" w:cs="Times New Roman"/>
          <w:snapToGrid w:val="0"/>
          <w:kern w:val="0"/>
          <w:sz w:val="22"/>
          <w:szCs w:val="22"/>
          <w14:ligatures w14:val="none"/>
        </w:rPr>
        <w:t>ios, raudonos, apvalios d</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m</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s po odos pavir</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iumi arba m</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lyn</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s (kraujosruvos);</w:t>
      </w:r>
    </w:p>
    <w:p w14:paraId="7F1E01BD" w14:textId="6CDC5EEA" w:rsidR="00D956E2" w:rsidRPr="00D21DFA" w:rsidRDefault="00D956E2" w:rsidP="00AD1A35">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3D35A6CC" w14:textId="1477E558"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padid</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jus</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gama </w:t>
      </w:r>
      <w:proofErr w:type="spellStart"/>
      <w:r w:rsidRPr="00AD1A35">
        <w:rPr>
          <w:rFonts w:ascii="Times New Roman" w:eastAsia="Times New Roman" w:hAnsi="Times New Roman" w:cs="Times New Roman"/>
          <w:kern w:val="0"/>
          <w:sz w:val="22"/>
          <w:szCs w:val="20"/>
          <w:lang w:eastAsia="lt-LT" w:bidi="lt-LT"/>
          <w14:ligatures w14:val="none"/>
        </w:rPr>
        <w:t>gliutamiltransferaz</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s</w:t>
      </w:r>
      <w:proofErr w:type="spellEnd"/>
      <w:r w:rsidRPr="00AD1A35">
        <w:rPr>
          <w:rFonts w:ascii="Times New Roman" w:eastAsia="Times New Roman" w:hAnsi="Times New Roman" w:cs="Times New Roman"/>
          <w:kern w:val="0"/>
          <w:sz w:val="22"/>
          <w:szCs w:val="20"/>
          <w:lang w:eastAsia="lt-LT" w:bidi="lt-LT"/>
          <w14:ligatures w14:val="none"/>
        </w:rPr>
        <w:t xml:space="preserve"> (GGT) aktyvum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kraujyje;</w:t>
      </w:r>
    </w:p>
    <w:p w14:paraId="08F43C0C" w14:textId="063470F0" w:rsidR="00D956E2" w:rsidRPr="00AD1A35" w:rsidRDefault="00D956E2" w:rsidP="00AD1A35">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laboratoriniais tyrimais nustatomas kraujas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matose arba </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lapime.</w:t>
      </w:r>
    </w:p>
    <w:p w14:paraId="4AD5BA9F" w14:textId="77777777" w:rsidR="00111F89" w:rsidRPr="005E78DD" w:rsidRDefault="00111F89" w:rsidP="00F264C7">
      <w:pPr>
        <w:pStyle w:val="Sraopastraipa"/>
        <w:numPr>
          <w:ilvl w:val="0"/>
          <w:numId w:val="82"/>
        </w:num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5E78DD">
        <w:rPr>
          <w:rFonts w:ascii="Times New Roman" w:eastAsia="Times New Roman" w:hAnsi="Times New Roman" w:cs="Times New Roman"/>
          <w:snapToGrid w:val="0"/>
          <w:kern w:val="0"/>
          <w:sz w:val="22"/>
          <w:szCs w:val="22"/>
          <w14:ligatures w14:val="none"/>
        </w:rPr>
        <w:t xml:space="preserve">Kraujavimas inkstuose, kartais su krauju šlapime, dėl kurio inkstai negali tinkamai veikti (su antikoaguliantais susijusi </w:t>
      </w:r>
      <w:proofErr w:type="spellStart"/>
      <w:r w:rsidRPr="005E78DD">
        <w:rPr>
          <w:rFonts w:ascii="Times New Roman" w:eastAsia="Times New Roman" w:hAnsi="Times New Roman" w:cs="Times New Roman"/>
          <w:snapToGrid w:val="0"/>
          <w:kern w:val="0"/>
          <w:sz w:val="22"/>
          <w:szCs w:val="22"/>
          <w14:ligatures w14:val="none"/>
        </w:rPr>
        <w:t>nefropatija</w:t>
      </w:r>
      <w:proofErr w:type="spellEnd"/>
      <w:r w:rsidRPr="005E78DD">
        <w:rPr>
          <w:rFonts w:ascii="Times New Roman" w:eastAsia="Times New Roman" w:hAnsi="Times New Roman" w:cs="Times New Roman"/>
          <w:snapToGrid w:val="0"/>
          <w:kern w:val="0"/>
          <w:sz w:val="22"/>
          <w:szCs w:val="22"/>
          <w14:ligatures w14:val="none"/>
        </w:rPr>
        <w:t>).</w:t>
      </w:r>
    </w:p>
    <w:p w14:paraId="48E611A0" w14:textId="77777777" w:rsidR="00D956E2" w:rsidRPr="00D21DFA" w:rsidRDefault="00D956E2"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734BF2E" w14:textId="77777777" w:rsidR="00C95D96" w:rsidRPr="00D21DFA" w:rsidRDefault="00C95D96" w:rsidP="00C95D96">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Pranešimas apie šalutinį poveikį</w:t>
      </w:r>
    </w:p>
    <w:p w14:paraId="3D975015" w14:textId="22AC8D7B" w:rsidR="00C95D96" w:rsidRPr="00D21DFA" w:rsidRDefault="00070977" w:rsidP="00C95D96">
      <w:pPr>
        <w:tabs>
          <w:tab w:val="left" w:pos="567"/>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kern w:val="0"/>
          <w:sz w:val="22"/>
          <w:szCs w:val="22"/>
          <w:lang w:eastAsia="lt-LT"/>
          <w14:ligatures w14:val="none"/>
        </w:rPr>
        <w:t>Jeigu pasireiškė šalutinis poveikis, įskaitant šiame lapelyje nenurodytą, pasakykite gydytojui</w:t>
      </w:r>
      <w:r w:rsidR="00680F98" w:rsidRPr="00D21DFA">
        <w:rPr>
          <w:rFonts w:ascii="Times New Roman" w:eastAsia="Times New Roman" w:hAnsi="Times New Roman" w:cs="Times New Roman"/>
          <w:kern w:val="0"/>
          <w:sz w:val="22"/>
          <w:szCs w:val="22"/>
          <w:lang w:eastAsia="lt-LT"/>
          <w14:ligatures w14:val="none"/>
        </w:rPr>
        <w:t>,</w:t>
      </w:r>
      <w:r w:rsidRPr="00D21DFA">
        <w:rPr>
          <w:rFonts w:ascii="Times New Roman" w:eastAsia="Times New Roman" w:hAnsi="Times New Roman" w:cs="Times New Roman"/>
          <w:kern w:val="0"/>
          <w:sz w:val="22"/>
          <w:szCs w:val="22"/>
          <w:lang w:eastAsia="lt-LT"/>
          <w14:ligatures w14:val="none"/>
        </w:rPr>
        <w:t xml:space="preserve"> vaistininkui</w:t>
      </w:r>
      <w:r w:rsidR="00680F98" w:rsidRPr="00D21DFA">
        <w:rPr>
          <w:rFonts w:ascii="Times New Roman" w:eastAsia="Times New Roman" w:hAnsi="Times New Roman" w:cs="Times New Roman"/>
          <w:kern w:val="0"/>
          <w:sz w:val="22"/>
          <w:szCs w:val="22"/>
          <w:lang w:eastAsia="lt-LT"/>
          <w14:ligatures w14:val="none"/>
        </w:rPr>
        <w:t xml:space="preserve"> arba slaugytojui</w:t>
      </w:r>
      <w:r w:rsidRPr="00D21DFA">
        <w:rPr>
          <w:rFonts w:ascii="Times New Roman" w:eastAsia="Times New Roman" w:hAnsi="Times New Roman" w:cs="Times New Roman"/>
          <w:kern w:val="0"/>
          <w:sz w:val="22"/>
          <w:szCs w:val="22"/>
          <w:lang w:eastAsia="lt-LT"/>
          <w14:ligatures w14:val="none"/>
        </w:rPr>
        <w:t xml:space="preserve">. Pranešimą apie šalutinį poveikį galite užpildyti ir pateikti Valstybinės vaistų kontrolės tarnybos prie Lietuvos Respublikos sveikatos apsaugos ministerijos tinklalapyje </w:t>
      </w:r>
      <w:r w:rsidRPr="00D21DFA">
        <w:rPr>
          <w:rFonts w:ascii="Times New Roman" w:eastAsia="Times New Roman" w:hAnsi="Times New Roman" w:cs="Times New Roman"/>
          <w:color w:val="0000EE"/>
          <w:kern w:val="0"/>
          <w:sz w:val="22"/>
          <w:szCs w:val="22"/>
          <w:u w:val="single"/>
          <w:lang w:eastAsia="lt-LT"/>
          <w14:ligatures w14:val="none"/>
        </w:rPr>
        <w:t>https://vvkt.lrv.lt/lt/</w:t>
      </w:r>
      <w:r w:rsidRPr="00D21DFA">
        <w:rPr>
          <w:rFonts w:ascii="Times New Roman" w:eastAsia="Times New Roman" w:hAnsi="Times New Roman" w:cs="Times New Roman"/>
          <w:kern w:val="0"/>
          <w:sz w:val="22"/>
          <w:szCs w:val="22"/>
          <w:lang w:eastAsia="lt-LT"/>
          <w14:ligatures w14:val="none"/>
        </w:rPr>
        <w:t xml:space="preserve"> nurodytais būdais arba paskambinti nemokamu telefonu </w:t>
      </w:r>
      <w:r w:rsidR="00E179B0">
        <w:rPr>
          <w:rFonts w:ascii="Times New Roman" w:eastAsia="Times New Roman" w:hAnsi="Times New Roman" w:cs="Times New Roman"/>
          <w:kern w:val="0"/>
          <w:sz w:val="22"/>
          <w:szCs w:val="22"/>
          <w:lang w:eastAsia="lt-LT"/>
          <w14:ligatures w14:val="none"/>
        </w:rPr>
        <w:t>+370</w:t>
      </w:r>
      <w:r w:rsidR="00E179B0" w:rsidRPr="00D21DFA">
        <w:rPr>
          <w:rFonts w:ascii="Times New Roman" w:eastAsia="Times New Roman" w:hAnsi="Times New Roman" w:cs="Times New Roman"/>
          <w:kern w:val="0"/>
          <w:sz w:val="22"/>
          <w:szCs w:val="22"/>
          <w:lang w:eastAsia="lt-LT"/>
          <w14:ligatures w14:val="none"/>
        </w:rPr>
        <w:t xml:space="preserve"> </w:t>
      </w:r>
      <w:r w:rsidRPr="00D21DFA">
        <w:rPr>
          <w:rFonts w:ascii="Times New Roman" w:eastAsia="Times New Roman" w:hAnsi="Times New Roman" w:cs="Times New Roman"/>
          <w:kern w:val="0"/>
          <w:sz w:val="22"/>
          <w:szCs w:val="22"/>
          <w:lang w:eastAsia="lt-LT"/>
          <w14:ligatures w14:val="none"/>
        </w:rPr>
        <w:t>800 73 568. Pranešdami apie šalutinį poveikį galite mums padėti gauti daugiau informacijos apie šio vaisto saugumą</w:t>
      </w:r>
      <w:r w:rsidR="00C95D96" w:rsidRPr="00D21DFA">
        <w:rPr>
          <w:rFonts w:ascii="Times New Roman" w:eastAsia="Times New Roman" w:hAnsi="Times New Roman" w:cs="Times New Roman"/>
          <w:snapToGrid w:val="0"/>
          <w:kern w:val="0"/>
          <w:sz w:val="22"/>
          <w14:ligatures w14:val="none"/>
        </w:rPr>
        <w:t>.</w:t>
      </w:r>
    </w:p>
    <w:p w14:paraId="70E7FF95"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0F44DBB0"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5FAC996C" w14:textId="77777777" w:rsidR="00C95D96" w:rsidRPr="00D21DFA" w:rsidRDefault="00C95D96" w:rsidP="00C95D96">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laikyti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7B869DB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5CB13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Šį vaistą laikykite vaikams nepastebimoje ir nepasiekiamoje vietoje.</w:t>
      </w:r>
    </w:p>
    <w:p w14:paraId="5D079F6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87B78E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Ant kartono dėžutės ir lizdinės plokštelės po „EXP“ nurodytam tinkamumo laikui pasibaigus, šio vaisto vartoti negalima. Vaistas tinkamas vartoti iki paskutinės nurodyto mėnesio dienos. </w:t>
      </w:r>
    </w:p>
    <w:p w14:paraId="03DA162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08FAC2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Šiam vaistui specialių laikymo sąlygų nereikia. </w:t>
      </w:r>
    </w:p>
    <w:p w14:paraId="02CC4EE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2FBBB9F"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u w:val="single"/>
          <w14:ligatures w14:val="none"/>
        </w:rPr>
        <w:t xml:space="preserve">Susmulkintos </w:t>
      </w:r>
      <w:r w:rsidRPr="00D21DFA">
        <w:rPr>
          <w:rFonts w:ascii="Times New Roman" w:eastAsia="Times New Roman" w:hAnsi="Times New Roman" w:cs="Times New Roman"/>
          <w:kern w:val="0"/>
          <w:sz w:val="22"/>
          <w:szCs w:val="20"/>
          <w14:ligatures w14:val="none"/>
        </w:rPr>
        <w:t>tabletės</w:t>
      </w:r>
    </w:p>
    <w:p w14:paraId="3E59BC73"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139F51B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20F577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Vaistų negalima išmesti į kanalizaciją arba su buitinėmis atliekomis. Kaip išmesti nereikalingus vaistus, klauskite vaistininko. Šios priemonės padės apsaugoti aplinką.</w:t>
      </w:r>
    </w:p>
    <w:p w14:paraId="019C271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E9528B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B473877" w14:textId="77777777" w:rsidR="00C95D96" w:rsidRPr="00D21DFA" w:rsidRDefault="00C95D96" w:rsidP="00C95D96">
      <w:pPr>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Pakuotės turinys ir kita informacija</w:t>
      </w:r>
    </w:p>
    <w:p w14:paraId="164DFF94"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9529C2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sudėtis </w:t>
      </w:r>
    </w:p>
    <w:p w14:paraId="013D06F2" w14:textId="77777777" w:rsidR="00C95D96" w:rsidRPr="00D21DFA" w:rsidRDefault="00C95D96" w:rsidP="00C95D96">
      <w:pPr>
        <w:numPr>
          <w:ilvl w:val="0"/>
          <w:numId w:val="75"/>
        </w:numPr>
        <w:tabs>
          <w:tab w:val="left" w:pos="567"/>
          <w:tab w:val="left" w:pos="720"/>
          <w:tab w:val="left" w:pos="9214"/>
        </w:tabs>
        <w:spacing w:after="0" w:line="240" w:lineRule="auto"/>
        <w:ind w:left="567" w:right="-2" w:hanging="567"/>
        <w:rPr>
          <w:rFonts w:ascii="Times New Roman" w:eastAsia="Times New Roman" w:hAnsi="Times New Roman" w:cs="Times New Roman"/>
          <w:i/>
          <w:iCs/>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Veiklioji medžiaga yra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Kiekvienoje plėvele dengtoje tabletėje yra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1D401AAD" w14:textId="77777777" w:rsidR="00C95D96" w:rsidRPr="00D21DFA" w:rsidRDefault="00C95D96" w:rsidP="00C95D96">
      <w:pPr>
        <w:numPr>
          <w:ilvl w:val="0"/>
          <w:numId w:val="40"/>
        </w:numPr>
        <w:tabs>
          <w:tab w:val="left" w:pos="567"/>
          <w:tab w:val="left" w:pos="720"/>
          <w:tab w:val="left" w:pos="851"/>
          <w:tab w:val="left" w:pos="9214"/>
        </w:tabs>
        <w:spacing w:after="0" w:line="240" w:lineRule="auto"/>
        <w:ind w:left="851" w:right="-2" w:hanging="284"/>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Pagalbinės medžiagos yra: </w:t>
      </w:r>
      <w:r w:rsidRPr="00D21DFA">
        <w:rPr>
          <w:rFonts w:ascii="Times New Roman" w:eastAsia="Times New Roman" w:hAnsi="Times New Roman" w:cs="Times New Roman"/>
          <w:i/>
          <w:iCs/>
          <w:snapToGrid w:val="0"/>
          <w:kern w:val="0"/>
          <w:sz w:val="22"/>
          <w:szCs w:val="20"/>
          <w14:ligatures w14:val="none"/>
        </w:rPr>
        <w:t>tabletės branduolys</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mikrokristalinė</w:t>
      </w:r>
      <w:proofErr w:type="spellEnd"/>
      <w:r w:rsidRPr="00D21DFA">
        <w:rPr>
          <w:rFonts w:ascii="Times New Roman" w:eastAsia="Times New Roman" w:hAnsi="Times New Roman" w:cs="Times New Roman"/>
          <w:snapToGrid w:val="0"/>
          <w:kern w:val="0"/>
          <w:sz w:val="22"/>
          <w:szCs w:val="20"/>
          <w14:ligatures w14:val="none"/>
        </w:rPr>
        <w:t xml:space="preserve"> celiuliozė (101 tipo), laktozė, natrio </w:t>
      </w:r>
      <w:proofErr w:type="spellStart"/>
      <w:r w:rsidRPr="00D21DFA">
        <w:rPr>
          <w:rFonts w:ascii="Times New Roman" w:eastAsia="Times New Roman" w:hAnsi="Times New Roman" w:cs="Times New Roman"/>
          <w:snapToGrid w:val="0"/>
          <w:kern w:val="0"/>
          <w:sz w:val="22"/>
          <w:szCs w:val="20"/>
          <w14:ligatures w14:val="none"/>
        </w:rPr>
        <w:t>laurilsulfatas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kroskarmeliozės</w:t>
      </w:r>
      <w:proofErr w:type="spellEnd"/>
      <w:r w:rsidRPr="00D21DFA">
        <w:rPr>
          <w:rFonts w:ascii="Times New Roman" w:eastAsia="Times New Roman" w:hAnsi="Times New Roman" w:cs="Times New Roman"/>
          <w:snapToGrid w:val="0"/>
          <w:kern w:val="0"/>
          <w:sz w:val="22"/>
          <w:szCs w:val="20"/>
          <w14:ligatures w14:val="none"/>
        </w:rPr>
        <w:t xml:space="preserve"> natrio druska (E468), magnio </w:t>
      </w:r>
      <w:proofErr w:type="spellStart"/>
      <w:r w:rsidRPr="00D21DFA">
        <w:rPr>
          <w:rFonts w:ascii="Times New Roman" w:eastAsia="Times New Roman" w:hAnsi="Times New Roman" w:cs="Times New Roman"/>
          <w:snapToGrid w:val="0"/>
          <w:kern w:val="0"/>
          <w:sz w:val="22"/>
          <w:szCs w:val="20"/>
          <w14:ligatures w14:val="none"/>
        </w:rPr>
        <w:t>stearatas</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iCs/>
          <w:snapToGrid w:val="0"/>
          <w:kern w:val="0"/>
          <w:sz w:val="22"/>
          <w:szCs w:val="20"/>
          <w14:ligatures w14:val="none"/>
        </w:rPr>
        <w:t>tabletės plėvelė</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hipromeliozė</w:t>
      </w:r>
      <w:proofErr w:type="spellEnd"/>
      <w:r w:rsidRPr="00D21DFA">
        <w:rPr>
          <w:rFonts w:ascii="Times New Roman" w:eastAsia="Times New Roman" w:hAnsi="Times New Roman" w:cs="Times New Roman"/>
          <w:snapToGrid w:val="0"/>
          <w:kern w:val="0"/>
          <w:sz w:val="22"/>
          <w:szCs w:val="20"/>
          <w14:ligatures w14:val="none"/>
        </w:rPr>
        <w:t xml:space="preserve"> 2910 (E464), laktozė </w:t>
      </w:r>
      <w:proofErr w:type="spellStart"/>
      <w:r w:rsidRPr="00D21DFA">
        <w:rPr>
          <w:rFonts w:ascii="Times New Roman" w:eastAsia="Times New Roman" w:hAnsi="Times New Roman" w:cs="Times New Roman"/>
          <w:snapToGrid w:val="0"/>
          <w:kern w:val="0"/>
          <w:sz w:val="22"/>
          <w:szCs w:val="20"/>
          <w14:ligatures w14:val="none"/>
        </w:rPr>
        <w:t>monohidratas</w:t>
      </w:r>
      <w:proofErr w:type="spellEnd"/>
      <w:r w:rsidRPr="00D21DFA">
        <w:rPr>
          <w:rFonts w:ascii="Times New Roman" w:eastAsia="Times New Roman" w:hAnsi="Times New Roman" w:cs="Times New Roman"/>
          <w:snapToGrid w:val="0"/>
          <w:kern w:val="0"/>
          <w:sz w:val="22"/>
          <w:szCs w:val="20"/>
          <w14:ligatures w14:val="none"/>
        </w:rPr>
        <w:t xml:space="preserve">, titano dioksidas (E171), </w:t>
      </w:r>
      <w:proofErr w:type="spellStart"/>
      <w:r w:rsidRPr="00D21DFA">
        <w:rPr>
          <w:rFonts w:ascii="Times New Roman" w:eastAsia="Times New Roman" w:hAnsi="Times New Roman" w:cs="Times New Roman"/>
          <w:snapToGrid w:val="0"/>
          <w:kern w:val="0"/>
          <w:sz w:val="22"/>
          <w:szCs w:val="20"/>
          <w14:ligatures w14:val="none"/>
        </w:rPr>
        <w:t>triacetinas</w:t>
      </w:r>
      <w:proofErr w:type="spellEnd"/>
      <w:r w:rsidRPr="00D21DFA">
        <w:rPr>
          <w:rFonts w:ascii="Times New Roman" w:eastAsia="Times New Roman" w:hAnsi="Times New Roman" w:cs="Times New Roman"/>
          <w:snapToGrid w:val="0"/>
          <w:kern w:val="0"/>
          <w:sz w:val="22"/>
          <w:szCs w:val="20"/>
          <w14:ligatures w14:val="none"/>
        </w:rPr>
        <w:t xml:space="preserve"> (E1518), geltonasis geležies oksidas (E172).</w:t>
      </w:r>
    </w:p>
    <w:p w14:paraId="3F4C317F"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913A18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išvaizda ir kiekis pakuotėje</w:t>
      </w:r>
    </w:p>
    <w:p w14:paraId="312885AB" w14:textId="2233A06C"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Geltona, apvali, abipus išgaubta 6,</w:t>
      </w:r>
      <w:r w:rsidR="0044721F">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 0,2 mm skersmens plėvele dengta tabletė.</w:t>
      </w:r>
    </w:p>
    <w:p w14:paraId="7A9CD1DA"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6D2B8523"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D21DFA">
        <w:rPr>
          <w:rFonts w:ascii="Times New Roman" w:eastAsia="Times New Roman" w:hAnsi="Times New Roman" w:cs="Times New Roman"/>
          <w:snapToGrid w:val="0"/>
          <w:kern w:val="0"/>
          <w:sz w:val="22"/>
          <w:szCs w:val="20"/>
          <w:lang w:eastAsia="x-none"/>
          <w14:ligatures w14:val="none"/>
        </w:rPr>
        <w:t>Supakuota PVC/PVDC//Al lizdinėse plokštelėse.</w:t>
      </w:r>
    </w:p>
    <w:p w14:paraId="399F941D"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A01F4E0"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Pakuotės dydis: 10, 14, 20, 28, 30, 56, 60, 90, 100, 120, 168 arba 200 plėvele dengtų tablečių.</w:t>
      </w:r>
    </w:p>
    <w:p w14:paraId="781C1521"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863986F"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Gali būti tiekiamos ne visų dydžių pakuotės.</w:t>
      </w:r>
    </w:p>
    <w:p w14:paraId="4FDBC77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811F9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Paciento įspėjamojoje kortelėje pateikiama informacija </w:t>
      </w:r>
    </w:p>
    <w:p w14:paraId="1DA4BBA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Kartu su pakuotės lapeliu, pakuotėje rasite Paciento įspėjamąją kortelę arba panašią kortelę gali duoti Jūsų sveikatos priežiūros specialistas.</w:t>
      </w:r>
    </w:p>
    <w:p w14:paraId="53BF64B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88582F" w14:textId="652A43C1"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Šioje Paciento įspėjamojoje kortelėje pateikiama informacijos, kuri bus naudinga Jums ir kitus gydytojus įspės, kad vartojate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Cs/>
          <w:snapToGrid w:val="0"/>
          <w:kern w:val="0"/>
          <w:sz w:val="22"/>
          <w:szCs w:val="20"/>
          <w14:ligatures w14:val="none"/>
        </w:rPr>
        <w:t xml:space="preserve">Šią kortelę </w:t>
      </w:r>
      <w:r w:rsidR="00EC5D23">
        <w:rPr>
          <w:rFonts w:ascii="Times New Roman" w:eastAsia="Times New Roman" w:hAnsi="Times New Roman" w:cs="Times New Roman"/>
          <w:bCs/>
          <w:snapToGrid w:val="0"/>
          <w:kern w:val="0"/>
          <w:sz w:val="22"/>
          <w:szCs w:val="20"/>
          <w14:ligatures w14:val="none"/>
        </w:rPr>
        <w:t xml:space="preserve">pacientas ar prižiūrintis asmuo </w:t>
      </w:r>
      <w:r w:rsidRPr="00D21DFA">
        <w:rPr>
          <w:rFonts w:ascii="Times New Roman" w:eastAsia="Times New Roman" w:hAnsi="Times New Roman" w:cs="Times New Roman"/>
          <w:bCs/>
          <w:snapToGrid w:val="0"/>
          <w:kern w:val="0"/>
          <w:sz w:val="22"/>
          <w:szCs w:val="20"/>
          <w14:ligatures w14:val="none"/>
        </w:rPr>
        <w:t xml:space="preserve">turi visada </w:t>
      </w:r>
      <w:r w:rsidR="00313F48">
        <w:rPr>
          <w:rFonts w:ascii="Times New Roman" w:eastAsia="Times New Roman" w:hAnsi="Times New Roman" w:cs="Times New Roman"/>
          <w:bCs/>
          <w:snapToGrid w:val="0"/>
          <w:kern w:val="0"/>
          <w:sz w:val="22"/>
          <w:szCs w:val="20"/>
          <w14:ligatures w14:val="none"/>
        </w:rPr>
        <w:t>turėti</w:t>
      </w:r>
      <w:r w:rsidR="00313F48" w:rsidRPr="00D21DFA">
        <w:rPr>
          <w:rFonts w:ascii="Times New Roman" w:eastAsia="Times New Roman" w:hAnsi="Times New Roman" w:cs="Times New Roman"/>
          <w:bCs/>
          <w:snapToGrid w:val="0"/>
          <w:kern w:val="0"/>
          <w:sz w:val="22"/>
          <w:szCs w:val="20"/>
          <w14:ligatures w14:val="none"/>
        </w:rPr>
        <w:t xml:space="preserve"> </w:t>
      </w:r>
      <w:r w:rsidRPr="00D21DFA">
        <w:rPr>
          <w:rFonts w:ascii="Times New Roman" w:eastAsia="Times New Roman" w:hAnsi="Times New Roman" w:cs="Times New Roman"/>
          <w:bCs/>
          <w:snapToGrid w:val="0"/>
          <w:kern w:val="0"/>
          <w:sz w:val="22"/>
          <w:szCs w:val="20"/>
          <w14:ligatures w14:val="none"/>
        </w:rPr>
        <w:t xml:space="preserve">su savimi. </w:t>
      </w:r>
    </w:p>
    <w:p w14:paraId="39AC05C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1765683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1. Kortelę išimkite. </w:t>
      </w:r>
    </w:p>
    <w:p w14:paraId="285B310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2. Užpildykite toliau nurodytas skiltis arba paprašykite, kad jas užpildytų gydytojas: </w:t>
      </w:r>
    </w:p>
    <w:p w14:paraId="4D741AAD"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Vardas ir pavardė: </w:t>
      </w:r>
    </w:p>
    <w:p w14:paraId="7A304FD6"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Gimimo data: </w:t>
      </w:r>
    </w:p>
    <w:p w14:paraId="232E6E5F" w14:textId="77777777" w:rsidR="00A02D18"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Indikacija:</w:t>
      </w:r>
    </w:p>
    <w:p w14:paraId="2A73C1A6" w14:textId="2D49C940" w:rsidR="00C95D96" w:rsidRPr="00D21DFA" w:rsidRDefault="00A02D18"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Svoris</w:t>
      </w:r>
      <w:r w:rsidR="00D6718C">
        <w:rPr>
          <w:rFonts w:ascii="Times New Roman" w:eastAsia="Times New Roman" w:hAnsi="Times New Roman" w:cs="Times New Roman"/>
          <w:kern w:val="0"/>
          <w:sz w:val="22"/>
          <w:szCs w:val="20"/>
          <w:lang w:eastAsia="lt-LT" w:bidi="lt-LT"/>
          <w14:ligatures w14:val="none"/>
        </w:rPr>
        <w:t>:</w:t>
      </w:r>
    </w:p>
    <w:p w14:paraId="35D8CF5A"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Dozė: ........mg du kartus per parą </w:t>
      </w:r>
    </w:p>
    <w:p w14:paraId="59978590"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vardas ir pavardė: </w:t>
      </w:r>
    </w:p>
    <w:p w14:paraId="24EBC54C"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telefono numeris: </w:t>
      </w:r>
    </w:p>
    <w:p w14:paraId="03FCC23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3. Kortelę sulenkite ir visada nešiokitės su savimi</w:t>
      </w:r>
    </w:p>
    <w:p w14:paraId="12B4588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BB51FFE"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Registruotojas ir gamintojas</w:t>
      </w:r>
    </w:p>
    <w:p w14:paraId="5E990ACB"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Registruotojas</w:t>
      </w:r>
    </w:p>
    <w:p w14:paraId="303FFE71"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2210EFB9"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7EC9484C"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0AE77F61"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6E0E51C6"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18"/>
          <w14:ligatures w14:val="none"/>
        </w:rPr>
        <w:t>Čekija</w:t>
      </w:r>
    </w:p>
    <w:p w14:paraId="36641935"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3927DEE5"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Gamintojas</w:t>
      </w:r>
    </w:p>
    <w:p w14:paraId="499ECC76"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PHARMADOX </w:t>
      </w:r>
      <w:proofErr w:type="spellStart"/>
      <w:r w:rsidRPr="00D21DFA">
        <w:rPr>
          <w:rFonts w:ascii="Times New Roman" w:eastAsia="Times New Roman" w:hAnsi="Times New Roman" w:cs="Times New Roman"/>
          <w:bCs/>
          <w:snapToGrid w:val="0"/>
          <w:kern w:val="0"/>
          <w:sz w:val="22"/>
          <w:szCs w:val="20"/>
          <w14:ligatures w14:val="none"/>
        </w:rPr>
        <w:t>Healthcare</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Limited</w:t>
      </w:r>
      <w:proofErr w:type="spellEnd"/>
    </w:p>
    <w:p w14:paraId="6C169977"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KW20A </w:t>
      </w:r>
      <w:proofErr w:type="spellStart"/>
      <w:r w:rsidRPr="00D21DFA">
        <w:rPr>
          <w:rFonts w:ascii="Times New Roman" w:eastAsia="Times New Roman" w:hAnsi="Times New Roman" w:cs="Times New Roman"/>
          <w:bCs/>
          <w:snapToGrid w:val="0"/>
          <w:kern w:val="0"/>
          <w:sz w:val="22"/>
          <w:szCs w:val="20"/>
          <w14:ligatures w14:val="none"/>
        </w:rPr>
        <w:t>Kordin</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Industrial</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Park</w:t>
      </w:r>
      <w:proofErr w:type="spellEnd"/>
    </w:p>
    <w:p w14:paraId="3A0A58D3"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0"/>
          <w14:ligatures w14:val="none"/>
        </w:rPr>
        <w:t>Paola</w:t>
      </w:r>
      <w:proofErr w:type="spellEnd"/>
      <w:r w:rsidRPr="00D21DFA">
        <w:rPr>
          <w:rFonts w:ascii="Times New Roman" w:eastAsia="Times New Roman" w:hAnsi="Times New Roman" w:cs="Times New Roman"/>
          <w:bCs/>
          <w:snapToGrid w:val="0"/>
          <w:kern w:val="0"/>
          <w:sz w:val="22"/>
          <w:szCs w:val="20"/>
          <w14:ligatures w14:val="none"/>
        </w:rPr>
        <w:t>, PLA 3000</w:t>
      </w:r>
    </w:p>
    <w:p w14:paraId="39FE7463"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Malta </w:t>
      </w:r>
    </w:p>
    <w:p w14:paraId="71C3DCB8" w14:textId="77777777" w:rsidR="00C95D96" w:rsidRPr="00D21DFA" w:rsidRDefault="00C95D96" w:rsidP="00C95D96">
      <w:pPr>
        <w:spacing w:after="0" w:line="240" w:lineRule="auto"/>
        <w:ind w:right="-2"/>
        <w:jc w:val="both"/>
        <w:rPr>
          <w:rFonts w:ascii="Times New Roman" w:eastAsia="Times New Roman" w:hAnsi="Times New Roman" w:cs="Times New Roman"/>
          <w:kern w:val="0"/>
          <w:sz w:val="22"/>
          <w:szCs w:val="22"/>
          <w:lang w:eastAsia="lt-LT"/>
          <w14:ligatures w14:val="none"/>
        </w:rPr>
      </w:pPr>
    </w:p>
    <w:p w14:paraId="01F7681F" w14:textId="77777777" w:rsidR="00C95D96" w:rsidRPr="00D21DFA" w:rsidRDefault="00C95D96" w:rsidP="00C95D96">
      <w:pPr>
        <w:suppressAutoHyphens/>
        <w:spacing w:after="0" w:line="240" w:lineRule="auto"/>
        <w:ind w:right="-2"/>
        <w:jc w:val="both"/>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Šis vaistas </w:t>
      </w:r>
      <w:r w:rsidRPr="00D21DFA">
        <w:rPr>
          <w:rFonts w:ascii="Times New Roman" w:eastAsia="SimSun" w:hAnsi="Times New Roman" w:cs="Times New Roman"/>
          <w:b/>
          <w:snapToGrid w:val="0"/>
          <w:color w:val="000000"/>
          <w:kern w:val="0"/>
          <w:sz w:val="22"/>
          <w:szCs w:val="22"/>
          <w:lang w:eastAsia="ar-SA"/>
          <w14:ligatures w14:val="none"/>
        </w:rPr>
        <w:t xml:space="preserve">Europos ekonominės erdvės valstybėse narėse </w:t>
      </w:r>
      <w:r w:rsidRPr="00D21DFA">
        <w:rPr>
          <w:rFonts w:ascii="Times New Roman" w:eastAsia="Times New Roman" w:hAnsi="Times New Roman" w:cs="Times New Roman"/>
          <w:b/>
          <w:kern w:val="0"/>
          <w:sz w:val="22"/>
          <w:szCs w:val="22"/>
          <w14:ligatures w14:val="none"/>
        </w:rPr>
        <w:t>registruotas tokiais pavadinimais:</w:t>
      </w:r>
    </w:p>
    <w:p w14:paraId="0B6228AF" w14:textId="77777777" w:rsidR="00C95D96" w:rsidRPr="00D21DFA" w:rsidRDefault="00C95D96" w:rsidP="00C95D96">
      <w:pPr>
        <w:suppressAutoHyphens/>
        <w:spacing w:after="0" w:line="240" w:lineRule="auto"/>
        <w:ind w:right="-2"/>
        <w:jc w:val="both"/>
        <w:rPr>
          <w:rFonts w:ascii="Times New Roman" w:eastAsia="Times New Roman" w:hAnsi="Times New Roman" w:cs="Times New Roman"/>
          <w:b/>
          <w:kern w:val="0"/>
          <w:sz w:val="22"/>
          <w:szCs w:val="22"/>
          <w14:ligatures w14:val="none"/>
        </w:rPr>
      </w:pPr>
    </w:p>
    <w:p w14:paraId="4FBF76A0" w14:textId="77777777" w:rsidR="00C95D96" w:rsidRPr="00D21DFA"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Austrija, Čekija, Danija, Estija, Islandija, Ispanija, Italija, Latvija, Lietuva, Nyderlandai, Norvegija, Prancūzija, Švedija, Vokietija – </w:t>
      </w:r>
      <w:proofErr w:type="spellStart"/>
      <w:r w:rsidRPr="00D21DFA">
        <w:rPr>
          <w:rFonts w:ascii="Times New Roman" w:eastAsia="Times New Roman" w:hAnsi="Times New Roman" w:cs="Times New Roman"/>
          <w:bCs/>
          <w:kern w:val="0"/>
          <w:sz w:val="22"/>
          <w:szCs w:val="22"/>
          <w:lang w:eastAsia="lt-LT"/>
          <w14:ligatures w14:val="none"/>
        </w:rPr>
        <w:t>Apixaban</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7F36B9AB" w14:textId="77777777" w:rsidR="00C95D96" w:rsidRPr="00D21DFA"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Portugalija – </w:t>
      </w:r>
      <w:proofErr w:type="spellStart"/>
      <w:r w:rsidRPr="00D21DFA">
        <w:rPr>
          <w:rFonts w:ascii="Times New Roman" w:eastAsia="Times New Roman" w:hAnsi="Times New Roman" w:cs="Times New Roman"/>
          <w:bCs/>
          <w:kern w:val="0"/>
          <w:sz w:val="22"/>
          <w:szCs w:val="22"/>
          <w:lang w:eastAsia="lt-LT"/>
          <w14:ligatures w14:val="none"/>
        </w:rPr>
        <w:t>Apixabano</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717DD911" w14:textId="77777777" w:rsidR="00C95D96" w:rsidRPr="00D21DFA"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p>
    <w:p w14:paraId="03FD5C70" w14:textId="33A1E742" w:rsidR="00C95D96" w:rsidRPr="00D21DFA" w:rsidRDefault="00C95D96" w:rsidP="00C95D96">
      <w:pPr>
        <w:spacing w:after="0" w:line="240" w:lineRule="auto"/>
        <w:ind w:right="-2"/>
        <w:rPr>
          <w:rFonts w:ascii="Times New Roman" w:eastAsia="Times New Roman" w:hAnsi="Times New Roman" w:cs="Times New Roman"/>
          <w:b/>
          <w:kern w:val="0"/>
          <w:sz w:val="22"/>
          <w:szCs w:val="22"/>
          <w:lang w:eastAsia="lt-LT"/>
          <w14:ligatures w14:val="none"/>
        </w:rPr>
      </w:pPr>
      <w:r w:rsidRPr="00D21DFA">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EB6369" w:rsidRPr="00D21DFA">
        <w:rPr>
          <w:rFonts w:ascii="Times New Roman" w:eastAsia="Times New Roman" w:hAnsi="Times New Roman" w:cs="Times New Roman"/>
          <w:b/>
          <w:kern w:val="0"/>
          <w:sz w:val="22"/>
          <w:szCs w:val="22"/>
          <w:lang w:eastAsia="lt-LT"/>
          <w14:ligatures w14:val="none"/>
        </w:rPr>
        <w:t>202</w:t>
      </w:r>
      <w:r w:rsidR="0044721F">
        <w:rPr>
          <w:rFonts w:ascii="Times New Roman" w:eastAsia="Times New Roman" w:hAnsi="Times New Roman" w:cs="Times New Roman"/>
          <w:b/>
          <w:kern w:val="0"/>
          <w:sz w:val="22"/>
          <w:szCs w:val="22"/>
          <w:lang w:eastAsia="lt-LT"/>
          <w14:ligatures w14:val="none"/>
        </w:rPr>
        <w:t>5</w:t>
      </w:r>
      <w:r w:rsidR="00B04C01">
        <w:rPr>
          <w:rFonts w:ascii="Times New Roman" w:eastAsia="Times New Roman" w:hAnsi="Times New Roman" w:cs="Times New Roman"/>
          <w:b/>
          <w:kern w:val="0"/>
          <w:sz w:val="22"/>
          <w:szCs w:val="22"/>
          <w:lang w:eastAsia="lt-LT"/>
          <w14:ligatures w14:val="none"/>
        </w:rPr>
        <w:t>-</w:t>
      </w:r>
      <w:r w:rsidR="001A3261">
        <w:rPr>
          <w:rFonts w:ascii="Times New Roman" w:eastAsia="Times New Roman" w:hAnsi="Times New Roman" w:cs="Times New Roman"/>
          <w:b/>
          <w:kern w:val="0"/>
          <w:sz w:val="22"/>
          <w:szCs w:val="22"/>
          <w:lang w:eastAsia="lt-LT"/>
          <w14:ligatures w14:val="none"/>
        </w:rPr>
        <w:t>11-06.</w:t>
      </w:r>
    </w:p>
    <w:p w14:paraId="29CFE086" w14:textId="77777777" w:rsidR="00C95D96" w:rsidRPr="00D21DFA" w:rsidRDefault="00C95D96" w:rsidP="00C95D96">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26E5321F" w14:textId="43241EA7" w:rsidR="00C95D96" w:rsidRPr="00D21DFA" w:rsidRDefault="00C95D96" w:rsidP="00C95D96">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D21DFA">
        <w:rPr>
          <w:rFonts w:ascii="Times New Roman" w:eastAsia="Times New Roman" w:hAnsi="Times New Roman" w:cs="Times New Roman"/>
          <w:i/>
          <w:snapToGrid w:val="0"/>
          <w:kern w:val="0"/>
          <w:sz w:val="22"/>
          <w:szCs w:val="22"/>
          <w14:ligatures w14:val="none"/>
        </w:rPr>
        <w:t xml:space="preserve"> </w:t>
      </w:r>
      <w:r w:rsidR="00C22777" w:rsidRPr="00D21DFA">
        <w:rPr>
          <w:rFonts w:ascii="Times New Roman" w:hAnsi="Times New Roman" w:cs="Times New Roman"/>
          <w:color w:val="0000EE"/>
          <w:sz w:val="22"/>
          <w:szCs w:val="22"/>
          <w:u w:val="single"/>
          <w:lang w:eastAsia="lt-LT"/>
        </w:rPr>
        <w:t>https://vvkt.lrv.lt/lt/</w:t>
      </w:r>
      <w:r w:rsidR="00C22777" w:rsidRPr="00D21DFA">
        <w:rPr>
          <w:rFonts w:ascii="Times New Roman" w:hAnsi="Times New Roman" w:cs="Times New Roman"/>
          <w:sz w:val="22"/>
          <w:szCs w:val="22"/>
          <w:lang w:eastAsia="lt-LT"/>
        </w:rPr>
        <w:t>.</w:t>
      </w:r>
    </w:p>
    <w:p w14:paraId="41C0A701" w14:textId="77777777" w:rsidR="00C95D96" w:rsidRPr="00D21DFA" w:rsidRDefault="00C95D96" w:rsidP="00C95D96">
      <w:pPr>
        <w:tabs>
          <w:tab w:val="left" w:pos="5954"/>
          <w:tab w:val="left" w:pos="6237"/>
          <w:tab w:val="left" w:pos="6663"/>
          <w:tab w:val="left" w:pos="6946"/>
        </w:tabs>
        <w:spacing w:after="0" w:line="240" w:lineRule="auto"/>
        <w:ind w:right="-2"/>
        <w:rPr>
          <w:rFonts w:ascii="Times New Roman" w:eastAsia="SimSun" w:hAnsi="Times New Roman" w:cs="Times New Roman"/>
          <w:kern w:val="0"/>
          <w:sz w:val="22"/>
          <w:szCs w:val="22"/>
          <w14:ligatures w14:val="none"/>
        </w:rPr>
      </w:pPr>
    </w:p>
    <w:p w14:paraId="16D39FB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FA3EF59" w14:textId="77777777" w:rsidR="00C95D96" w:rsidRPr="00D21DFA" w:rsidRDefault="00C95D96" w:rsidP="00C95D96">
      <w:pPr>
        <w:spacing w:line="259" w:lineRule="auto"/>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br w:type="page"/>
      </w:r>
    </w:p>
    <w:p w14:paraId="5F22136E" w14:textId="77777777" w:rsidR="00C95D96" w:rsidRPr="00D21DFA" w:rsidRDefault="00C95D96" w:rsidP="00C95D96">
      <w:pPr>
        <w:tabs>
          <w:tab w:val="left" w:pos="720"/>
          <w:tab w:val="left" w:pos="9214"/>
        </w:tabs>
        <w:spacing w:after="0" w:line="240" w:lineRule="auto"/>
        <w:ind w:right="-2"/>
        <w:jc w:val="center"/>
        <w:outlineLvl w:val="0"/>
        <w:rPr>
          <w:rFonts w:ascii="Times New Roman" w:eastAsia="Times New Roman" w:hAnsi="Times New Roman" w:cs="Times New Roman"/>
          <w:snapToGrid w:val="0"/>
          <w:kern w:val="0"/>
          <w:sz w:val="22"/>
          <w:szCs w:val="20"/>
          <w14:ligatures w14:val="none"/>
        </w:rPr>
      </w:pPr>
      <w:bookmarkStart w:id="8" w:name="_Hlk216878064"/>
      <w:bookmarkEnd w:id="7"/>
      <w:r w:rsidRPr="00D21DFA">
        <w:rPr>
          <w:rFonts w:ascii="Times New Roman" w:eastAsia="Times New Roman" w:hAnsi="Times New Roman" w:cs="Times New Roman"/>
          <w:b/>
          <w:snapToGrid w:val="0"/>
          <w:kern w:val="0"/>
          <w:sz w:val="22"/>
          <w:szCs w:val="20"/>
          <w14:ligatures w14:val="none"/>
        </w:rPr>
        <w:lastRenderedPageBreak/>
        <w:t>Pakuotės lapelis: informacija pacientui</w:t>
      </w:r>
    </w:p>
    <w:p w14:paraId="39504498" w14:textId="77777777" w:rsidR="00C95D96" w:rsidRPr="00D21DFA"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
    <w:p w14:paraId="576448B2" w14:textId="77777777" w:rsidR="00C95D96" w:rsidRPr="00D21DFA" w:rsidRDefault="00C95D96" w:rsidP="00C95D96">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5 mg plėvele dengtos tabletės </w:t>
      </w:r>
    </w:p>
    <w:p w14:paraId="3D45A776" w14:textId="77777777" w:rsidR="00C95D96" w:rsidRPr="00D21DFA" w:rsidRDefault="00C95D96" w:rsidP="00C95D96">
      <w:pPr>
        <w:tabs>
          <w:tab w:val="left" w:pos="720"/>
          <w:tab w:val="left" w:pos="9214"/>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p>
    <w:p w14:paraId="343628B1" w14:textId="77777777" w:rsidR="00C95D96" w:rsidRPr="00D21DFA" w:rsidRDefault="00C95D96" w:rsidP="00C95D96">
      <w:pPr>
        <w:tabs>
          <w:tab w:val="left" w:pos="720"/>
          <w:tab w:val="left" w:pos="9214"/>
        </w:tabs>
        <w:suppressAutoHyphens/>
        <w:spacing w:after="0" w:line="240" w:lineRule="auto"/>
        <w:ind w:left="142" w:right="-2" w:hanging="142"/>
        <w:rPr>
          <w:rFonts w:ascii="Times New Roman" w:eastAsia="Times New Roman" w:hAnsi="Times New Roman" w:cs="Times New Roman"/>
          <w:b/>
          <w:snapToGrid w:val="0"/>
          <w:kern w:val="0"/>
          <w:sz w:val="22"/>
          <w:szCs w:val="20"/>
          <w14:ligatures w14:val="none"/>
        </w:rPr>
      </w:pPr>
    </w:p>
    <w:p w14:paraId="1CC3EB70" w14:textId="77777777" w:rsidR="00C95D96" w:rsidRPr="00D21DFA" w:rsidRDefault="00C95D96" w:rsidP="00C95D96">
      <w:pPr>
        <w:tabs>
          <w:tab w:val="left" w:pos="720"/>
          <w:tab w:val="left" w:pos="9214"/>
        </w:tabs>
        <w:suppressAutoHyphens/>
        <w:spacing w:after="0" w:line="240" w:lineRule="auto"/>
        <w:ind w:left="142" w:right="-2" w:hanging="14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Atidžiai perskaitykite visą šį lapelį, prieš pradėdami vartoti vaistą, nes jame pateikiama Jums svarbi informacija.</w:t>
      </w:r>
    </w:p>
    <w:p w14:paraId="232BF910" w14:textId="77777777" w:rsidR="00C95D96" w:rsidRPr="00D21DFA"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Neišmeskite šio lapelio, nes vėl gali prireikti jį perskaityti. </w:t>
      </w:r>
    </w:p>
    <w:p w14:paraId="68FE9854" w14:textId="77777777" w:rsidR="00C95D96" w:rsidRPr="00D21DFA" w:rsidRDefault="00C95D96" w:rsidP="00C95D96">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0A26AD3B" w14:textId="77777777" w:rsidR="00C95D96" w:rsidRPr="00D21DFA" w:rsidRDefault="00C95D96" w:rsidP="00C95D96">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ab/>
        <w:t>Šis vaistas skirtas tik Jums, todėl kitiems žmonėms jo duoti negalima. Vaistas gali jiems pakenkti (net tiems, kurių ligos požymiai yra tokie patys kaip Jūsų).</w:t>
      </w:r>
      <w:r w:rsidRPr="00D21DFA">
        <w:rPr>
          <w:rFonts w:ascii="Times New Roman" w:eastAsia="Times New Roman" w:hAnsi="Times New Roman" w:cs="Times New Roman"/>
          <w:snapToGrid w:val="0"/>
          <w:color w:val="008000"/>
          <w:kern w:val="0"/>
          <w:sz w:val="22"/>
          <w:szCs w:val="20"/>
          <w14:ligatures w14:val="none"/>
        </w:rPr>
        <w:t xml:space="preserve"> </w:t>
      </w:r>
    </w:p>
    <w:p w14:paraId="08D05454" w14:textId="77777777" w:rsidR="00C95D96" w:rsidRPr="00D21DFA" w:rsidRDefault="00C95D96" w:rsidP="00C95D96">
      <w:pPr>
        <w:numPr>
          <w:ilvl w:val="0"/>
          <w:numId w:val="1"/>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pasireiškė šalutinis poveikis (net jeigu jis šiame lapelyje nenurodytas),</w:t>
      </w:r>
      <w:r w:rsidRPr="00D21DFA">
        <w:rPr>
          <w:rFonts w:ascii="Times New Roman" w:eastAsia="Times New Roman" w:hAnsi="Times New Roman" w:cs="Times New Roman"/>
          <w:snapToGrid w:val="0"/>
          <w:color w:val="FF000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kreipkitės į gydytoją, vaistininką arba slaugytoją. Žr. 4 skyrių.</w:t>
      </w:r>
    </w:p>
    <w:p w14:paraId="3B3FCE37"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9D6FA8F" w14:textId="77777777" w:rsidR="00C95D96" w:rsidRPr="00D21DFA"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Apie ką rašoma šiame lapelyje?</w:t>
      </w:r>
    </w:p>
    <w:p w14:paraId="67570CF9" w14:textId="77777777" w:rsidR="00C95D96" w:rsidRPr="00D21DFA"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199A22C" w14:textId="77777777" w:rsidR="00C95D96" w:rsidRPr="00D21DFA" w:rsidRDefault="00C95D96" w:rsidP="00C95D96">
      <w:pPr>
        <w:numPr>
          <w:ilvl w:val="0"/>
          <w:numId w:val="77"/>
        </w:numPr>
        <w:tabs>
          <w:tab w:val="left" w:pos="426"/>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yra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ir kam jis vartojamas </w:t>
      </w:r>
    </w:p>
    <w:p w14:paraId="4DEF332C" w14:textId="77777777" w:rsidR="00C95D96" w:rsidRPr="00D21DFA" w:rsidRDefault="00C95D96" w:rsidP="00C95D96">
      <w:pPr>
        <w:numPr>
          <w:ilvl w:val="0"/>
          <w:numId w:val="77"/>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žinotina prieš vartojant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6C8AF9DF" w14:textId="77777777" w:rsidR="00C95D96" w:rsidRPr="00D21DFA" w:rsidRDefault="00C95D96" w:rsidP="00C95D96">
      <w:pPr>
        <w:numPr>
          <w:ilvl w:val="0"/>
          <w:numId w:val="77"/>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vartoti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2AA0C684" w14:textId="77777777" w:rsidR="00C95D96" w:rsidRPr="00D21DFA" w:rsidRDefault="00C95D96" w:rsidP="00C95D96">
      <w:pPr>
        <w:numPr>
          <w:ilvl w:val="0"/>
          <w:numId w:val="77"/>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Galimas šalutinis poveikis </w:t>
      </w:r>
    </w:p>
    <w:p w14:paraId="74EC7C02" w14:textId="77777777" w:rsidR="00C95D96" w:rsidRPr="00D21DFA" w:rsidRDefault="00C95D96" w:rsidP="00C95D96">
      <w:pPr>
        <w:numPr>
          <w:ilvl w:val="0"/>
          <w:numId w:val="77"/>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laikyti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2F5E5290" w14:textId="77777777" w:rsidR="00C95D96" w:rsidRPr="00D21DFA" w:rsidRDefault="00C95D96" w:rsidP="00C95D96">
      <w:pPr>
        <w:numPr>
          <w:ilvl w:val="0"/>
          <w:numId w:val="77"/>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Pakuotės turinys ir kita informacija</w:t>
      </w:r>
    </w:p>
    <w:p w14:paraId="50921F46"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0C6ACC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30DF1ACC" w14:textId="77777777" w:rsidR="00C95D96" w:rsidRPr="00D21DFA" w:rsidRDefault="00C95D96" w:rsidP="00C95D96">
      <w:pPr>
        <w:keepNext/>
        <w:numPr>
          <w:ilvl w:val="0"/>
          <w:numId w:val="78"/>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Kas yra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ir kam jis vartojamas</w:t>
      </w:r>
    </w:p>
    <w:p w14:paraId="7A13C90A"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4148907"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sudėtyje yra veikliosios medžiagos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kuris priklauso antikoaguliantais vadinamų vaistų grupei. Šis vaistas blokuoja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kuris yra svarbus kraujo krešėjimo veiksnys, ir tokiu būdu padeda apsisaugoti nuo kraujo krešulių suformavimo. </w:t>
      </w:r>
    </w:p>
    <w:p w14:paraId="02D9D040"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916E0A4"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vartojamas suaugusiesiems: </w:t>
      </w:r>
    </w:p>
    <w:p w14:paraId="7DB4F906" w14:textId="77777777" w:rsidR="00C95D96" w:rsidRPr="00D21DFA"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p>
    <w:p w14:paraId="22C25F48" w14:textId="77777777" w:rsidR="00C95D96" w:rsidRPr="00D21DFA" w:rsidRDefault="00C95D96" w:rsidP="00C95D96">
      <w:pPr>
        <w:numPr>
          <w:ilvl w:val="2"/>
          <w:numId w:val="4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kraujo krešuliams Jūsų kojų venose (giliųjų venų trombozei) bei Jūsų plaučių kraujagyslėse (plaučių embolijai) gydyti ir apsaugoti, kad vėl nesusiformuotų kraujo krešulių Jūsų kojose ir (arba) Jūsų plaučiuose.</w:t>
      </w:r>
    </w:p>
    <w:p w14:paraId="15CE09A0" w14:textId="77777777" w:rsidR="00C95D96" w:rsidRPr="00D21DFA"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3B697FBE" w14:textId="20780E98" w:rsidR="00404325" w:rsidRPr="00D21DFA" w:rsidRDefault="00404325" w:rsidP="00AD1A35">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xml:space="preserve"> vartojamas vaikams, kurių amžius nuo 28</w:t>
      </w:r>
      <w:r w:rsidR="00CA2849">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dienų iki mažiau kaip 18</w:t>
      </w:r>
      <w:r w:rsidR="00CA2849">
        <w:rPr>
          <w:rFonts w:ascii="Times New Roman" w:eastAsia="Times New Roman" w:hAnsi="Times New Roman" w:cs="Times New Roman"/>
          <w:snapToGrid w:val="0"/>
          <w:kern w:val="0"/>
          <w:sz w:val="22"/>
          <w:szCs w:val="22"/>
          <w14:ligatures w14:val="none"/>
        </w:rPr>
        <w:t> </w:t>
      </w:r>
      <w:r w:rsidRPr="00D21DFA">
        <w:rPr>
          <w:rFonts w:ascii="Times New Roman" w:eastAsia="Times New Roman" w:hAnsi="Times New Roman" w:cs="Times New Roman"/>
          <w:snapToGrid w:val="0"/>
          <w:kern w:val="0"/>
          <w:sz w:val="22"/>
          <w:szCs w:val="22"/>
          <w14:ligatures w14:val="none"/>
        </w:rPr>
        <w:t>metų, kraujo krešuliams</w:t>
      </w:r>
      <w:r w:rsidR="00145170">
        <w:rPr>
          <w:rFonts w:ascii="Times New Roman" w:eastAsia="Times New Roman" w:hAnsi="Times New Roman" w:cs="Times New Roman"/>
          <w:snapToGrid w:val="0"/>
          <w:kern w:val="0"/>
          <w:sz w:val="22"/>
          <w:szCs w:val="22"/>
          <w14:ligatures w14:val="none"/>
        </w:rPr>
        <w:t xml:space="preserve"> </w:t>
      </w:r>
      <w:r w:rsidRPr="00D21DFA">
        <w:rPr>
          <w:rFonts w:ascii="Times New Roman" w:eastAsia="Times New Roman" w:hAnsi="Times New Roman" w:cs="Times New Roman"/>
          <w:snapToGrid w:val="0"/>
          <w:kern w:val="0"/>
          <w:sz w:val="22"/>
          <w:szCs w:val="22"/>
          <w14:ligatures w14:val="none"/>
        </w:rPr>
        <w:t>gydyti ir užkirsti kelią pakartotiniam kraujo krešulių susidarymui venose arba plaučių kraujagyslėse.</w:t>
      </w:r>
    </w:p>
    <w:p w14:paraId="59567BEE" w14:textId="77777777" w:rsidR="00404325" w:rsidRPr="00D21DFA" w:rsidRDefault="00404325" w:rsidP="00404325">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C0AA49C" w14:textId="65DD467B" w:rsidR="00404325" w:rsidRPr="00D21DFA" w:rsidRDefault="00404325" w:rsidP="00404325">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Apie dozę, rekomenduojamą pagal kūno svorį, žr. 3 skyriuje.</w:t>
      </w:r>
    </w:p>
    <w:p w14:paraId="1C540902"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EEA48F2" w14:textId="77777777" w:rsidR="00C95D96" w:rsidRPr="00D21DFA" w:rsidRDefault="00C95D96" w:rsidP="00C95D96">
      <w:pPr>
        <w:keepNext/>
        <w:numPr>
          <w:ilvl w:val="0"/>
          <w:numId w:val="78"/>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Kas žinotina prieš vartojant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p>
    <w:p w14:paraId="5CFD6718" w14:textId="77777777" w:rsidR="00C95D96" w:rsidRPr="00D21DFA" w:rsidRDefault="00C95D96" w:rsidP="00C95D96">
      <w:pPr>
        <w:keepNext/>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p>
    <w:p w14:paraId="0068F53D" w14:textId="77777777" w:rsidR="00C95D96" w:rsidRPr="00D21DFA" w:rsidRDefault="00C95D96" w:rsidP="00C95D96">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vartoti draudžiama:</w:t>
      </w:r>
    </w:p>
    <w:p w14:paraId="5594DFC1"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yra </w:t>
      </w:r>
      <w:r w:rsidRPr="00D21DFA">
        <w:rPr>
          <w:rFonts w:ascii="Times New Roman" w:eastAsia="Times New Roman" w:hAnsi="Times New Roman" w:cs="Times New Roman"/>
          <w:b/>
          <w:kern w:val="0"/>
          <w:sz w:val="22"/>
          <w:szCs w:val="20"/>
          <w:lang w:eastAsia="lt-LT" w:bidi="lt-LT"/>
          <w14:ligatures w14:val="none"/>
        </w:rPr>
        <w:t>alergija</w:t>
      </w:r>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apiksabanui</w:t>
      </w:r>
      <w:proofErr w:type="spellEnd"/>
      <w:r w:rsidRPr="00D21DFA">
        <w:rPr>
          <w:rFonts w:ascii="Times New Roman" w:eastAsia="Times New Roman" w:hAnsi="Times New Roman" w:cs="Times New Roman"/>
          <w:kern w:val="0"/>
          <w:sz w:val="22"/>
          <w:szCs w:val="20"/>
          <w:lang w:eastAsia="lt-LT" w:bidi="lt-LT"/>
          <w14:ligatures w14:val="none"/>
        </w:rPr>
        <w:t xml:space="preserve"> arba bet kuriai pagalbinei šio vaisto medžiagai (jos išvardytos 6 skyriuje); </w:t>
      </w:r>
    </w:p>
    <w:p w14:paraId="4B58CA9A"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smarkiai kraujuojate</w:t>
      </w:r>
      <w:r w:rsidRPr="00D21DFA">
        <w:rPr>
          <w:rFonts w:ascii="Times New Roman" w:eastAsia="Times New Roman" w:hAnsi="Times New Roman" w:cs="Times New Roman"/>
          <w:kern w:val="0"/>
          <w:sz w:val="22"/>
          <w:szCs w:val="20"/>
          <w:lang w:eastAsia="lt-LT" w:bidi="lt-LT"/>
          <w14:ligatures w14:val="none"/>
        </w:rPr>
        <w:t xml:space="preserve">; </w:t>
      </w:r>
    </w:p>
    <w:p w14:paraId="286155DB"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sergate kokio nors </w:t>
      </w:r>
      <w:r w:rsidRPr="00D21DFA">
        <w:rPr>
          <w:rFonts w:ascii="Times New Roman" w:eastAsia="Times New Roman" w:hAnsi="Times New Roman" w:cs="Times New Roman"/>
          <w:b/>
          <w:kern w:val="0"/>
          <w:sz w:val="22"/>
          <w:szCs w:val="20"/>
          <w:lang w:eastAsia="lt-LT" w:bidi="lt-LT"/>
          <w14:ligatures w14:val="none"/>
        </w:rPr>
        <w:t>organo liga</w:t>
      </w:r>
      <w:r w:rsidRPr="00D21DFA">
        <w:rPr>
          <w:rFonts w:ascii="Times New Roman" w:eastAsia="Times New Roman" w:hAnsi="Times New Roman" w:cs="Times New Roman"/>
          <w:kern w:val="0"/>
          <w:sz w:val="22"/>
          <w:szCs w:val="20"/>
          <w:lang w:eastAsia="lt-LT" w:bidi="lt-LT"/>
          <w14:ligatures w14:val="none"/>
        </w:rPr>
        <w:t xml:space="preserve">, dėl kurios padidėja stipraus kraujavimo rizika (pvz., </w:t>
      </w:r>
      <w:r w:rsidRPr="00D21DFA">
        <w:rPr>
          <w:rFonts w:ascii="Times New Roman" w:eastAsia="Times New Roman" w:hAnsi="Times New Roman" w:cs="Times New Roman"/>
          <w:b/>
          <w:kern w:val="0"/>
          <w:sz w:val="22"/>
          <w:szCs w:val="20"/>
          <w:lang w:eastAsia="lt-LT" w:bidi="lt-LT"/>
          <w14:ligatures w14:val="none"/>
        </w:rPr>
        <w:t>aktyvi arba neseniai buvusi skrandžio arba žarnų opa</w:t>
      </w:r>
      <w:r w:rsidRPr="00D21DFA">
        <w:rPr>
          <w:rFonts w:ascii="Times New Roman" w:eastAsia="Times New Roman" w:hAnsi="Times New Roman" w:cs="Times New Roman"/>
          <w:kern w:val="0"/>
          <w:sz w:val="22"/>
          <w:szCs w:val="20"/>
          <w:lang w:eastAsia="lt-LT" w:bidi="lt-LT"/>
          <w14:ligatures w14:val="none"/>
        </w:rPr>
        <w:t xml:space="preserve">, neseniai pasireiškęs kraujavimas į galvos smegenis); </w:t>
      </w:r>
    </w:p>
    <w:p w14:paraId="39277937"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jeigu sergate </w:t>
      </w:r>
      <w:r w:rsidRPr="00D21DFA">
        <w:rPr>
          <w:rFonts w:ascii="Times New Roman" w:eastAsia="Times New Roman" w:hAnsi="Times New Roman" w:cs="Times New Roman"/>
          <w:b/>
          <w:kern w:val="0"/>
          <w:sz w:val="22"/>
          <w:szCs w:val="20"/>
          <w:lang w:eastAsia="lt-LT" w:bidi="lt-LT"/>
          <w14:ligatures w14:val="none"/>
        </w:rPr>
        <w:t>kepenų liga</w:t>
      </w:r>
      <w:r w:rsidRPr="00D21DFA">
        <w:rPr>
          <w:rFonts w:ascii="Times New Roman" w:eastAsia="Times New Roman" w:hAnsi="Times New Roman" w:cs="Times New Roman"/>
          <w:kern w:val="0"/>
          <w:sz w:val="22"/>
          <w:szCs w:val="20"/>
          <w:lang w:eastAsia="lt-LT" w:bidi="lt-LT"/>
          <w14:ligatures w14:val="none"/>
        </w:rPr>
        <w:t xml:space="preserve">, dėl kurios padidėja kraujavimo rizika (dėl kepenų ligos pasireiškia </w:t>
      </w:r>
      <w:proofErr w:type="spellStart"/>
      <w:r w:rsidRPr="00D21DFA">
        <w:rPr>
          <w:rFonts w:ascii="Times New Roman" w:eastAsia="Times New Roman" w:hAnsi="Times New Roman" w:cs="Times New Roman"/>
          <w:kern w:val="0"/>
          <w:sz w:val="22"/>
          <w:szCs w:val="20"/>
          <w:lang w:eastAsia="lt-LT" w:bidi="lt-LT"/>
          <w14:ligatures w14:val="none"/>
        </w:rPr>
        <w:t>koaguliopatija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3A6217D6" w14:textId="77777777" w:rsidR="00C95D96" w:rsidRPr="00D21DFA" w:rsidRDefault="00C95D96" w:rsidP="00C95D96">
      <w:pPr>
        <w:numPr>
          <w:ilvl w:val="0"/>
          <w:numId w:val="42"/>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vartojate vaistų, kurie neleidžia kraujui krešėti</w:t>
      </w:r>
      <w:r w:rsidRPr="00D21DFA">
        <w:rPr>
          <w:rFonts w:ascii="Times New Roman" w:eastAsia="Times New Roman" w:hAnsi="Times New Roman" w:cs="Times New Roman"/>
          <w:kern w:val="0"/>
          <w:sz w:val="22"/>
          <w:szCs w:val="20"/>
          <w:lang w:eastAsia="lt-LT" w:bidi="lt-LT"/>
          <w14:ligatures w14:val="none"/>
        </w:rPr>
        <w:t xml:space="preserve"> (pvz., varfarino, </w:t>
      </w:r>
      <w:proofErr w:type="spellStart"/>
      <w:r w:rsidRPr="00D21DFA">
        <w:rPr>
          <w:rFonts w:ascii="Times New Roman" w:eastAsia="Times New Roman" w:hAnsi="Times New Roman" w:cs="Times New Roman"/>
          <w:kern w:val="0"/>
          <w:sz w:val="22"/>
          <w:szCs w:val="20"/>
          <w:lang w:eastAsia="lt-LT" w:bidi="lt-LT"/>
          <w14:ligatures w14:val="none"/>
        </w:rPr>
        <w:t>rivaroksabano</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dabigatrano</w:t>
      </w:r>
      <w:proofErr w:type="spellEnd"/>
      <w:r w:rsidRPr="00D21DFA">
        <w:rPr>
          <w:rFonts w:ascii="Times New Roman" w:eastAsia="Times New Roman" w:hAnsi="Times New Roman" w:cs="Times New Roman"/>
          <w:kern w:val="0"/>
          <w:sz w:val="22"/>
          <w:szCs w:val="20"/>
          <w:lang w:eastAsia="lt-LT" w:bidi="lt-LT"/>
          <w14:ligatures w14:val="none"/>
        </w:rPr>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D21DFA">
        <w:rPr>
          <w:rFonts w:ascii="Times New Roman" w:eastAsia="Times New Roman" w:hAnsi="Times New Roman" w:cs="Times New Roman"/>
          <w:kern w:val="0"/>
          <w:sz w:val="22"/>
          <w:szCs w:val="20"/>
          <w:lang w:eastAsia="lt-LT" w:bidi="lt-LT"/>
          <w14:ligatures w14:val="none"/>
        </w:rPr>
        <w:t>kateterinė</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abliacija</w:t>
      </w:r>
      <w:proofErr w:type="spellEnd"/>
      <w:r w:rsidRPr="00D21DFA">
        <w:rPr>
          <w:rFonts w:ascii="Times New Roman" w:eastAsia="Times New Roman" w:hAnsi="Times New Roman" w:cs="Times New Roman"/>
          <w:kern w:val="0"/>
          <w:sz w:val="22"/>
          <w:szCs w:val="20"/>
          <w:lang w:eastAsia="lt-LT" w:bidi="lt-LT"/>
          <w14:ligatures w14:val="none"/>
        </w:rPr>
        <w:t>) gydymui nuo nereguliaraus širdies ritmo (aritmijos).</w:t>
      </w:r>
    </w:p>
    <w:p w14:paraId="603932F3"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0D6475B0"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Įspėjimai ir atsargumo priemonės </w:t>
      </w:r>
    </w:p>
    <w:p w14:paraId="6203998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Pasitarkite su gydytoju, vaistininku arba slaugytoju, prieš pradėdami vartoti šį vaistą, jeigu Jums yra kuri nors iš toliau išvardytų būklių: </w:t>
      </w:r>
    </w:p>
    <w:p w14:paraId="3F24EF63"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padidėjusi kraujavimo rizika</w:t>
      </w:r>
      <w:r w:rsidRPr="00D21DFA">
        <w:rPr>
          <w:rFonts w:ascii="Times New Roman" w:eastAsia="Times New Roman" w:hAnsi="Times New Roman" w:cs="Times New Roman"/>
          <w:kern w:val="0"/>
          <w:sz w:val="22"/>
          <w:szCs w:val="20"/>
          <w:lang w:eastAsia="lt-LT" w:bidi="lt-LT"/>
          <w14:ligatures w14:val="none"/>
        </w:rPr>
        <w:t xml:space="preserve">, pavyzdžiui: </w:t>
      </w:r>
    </w:p>
    <w:p w14:paraId="070076AB"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krešėjimo sutrikimas</w:t>
      </w:r>
      <w:r w:rsidRPr="00D21DFA">
        <w:rPr>
          <w:rFonts w:ascii="Times New Roman" w:eastAsia="Times New Roman" w:hAnsi="Times New Roman" w:cs="Times New Roman"/>
          <w:kern w:val="0"/>
          <w:sz w:val="22"/>
          <w:szCs w:val="20"/>
          <w:lang w:eastAsia="lt-LT" w:bidi="lt-LT"/>
          <w14:ligatures w14:val="none"/>
        </w:rPr>
        <w:t>, įskaitant būkles, dėl kurių sumažėja trombocitų aktyvumas;</w:t>
      </w:r>
    </w:p>
    <w:p w14:paraId="37D53F76"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labai aukštas kraujospūdis</w:t>
      </w:r>
      <w:r w:rsidRPr="00D21DFA">
        <w:rPr>
          <w:rFonts w:ascii="Times New Roman" w:eastAsia="Times New Roman" w:hAnsi="Times New Roman" w:cs="Times New Roman"/>
          <w:kern w:val="0"/>
          <w:sz w:val="22"/>
          <w:szCs w:val="20"/>
          <w:lang w:eastAsia="lt-LT" w:bidi="lt-LT"/>
          <w14:ligatures w14:val="none"/>
        </w:rPr>
        <w:t xml:space="preserve">, kuris nesureguliuotas skiriant gydymą vaistais; </w:t>
      </w:r>
    </w:p>
    <w:p w14:paraId="0AF05455"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vyresni kaip 75 metų; </w:t>
      </w:r>
    </w:p>
    <w:p w14:paraId="40DFF8C7"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6B57B119"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sunki inkstų liga arba jeigu Jums atliekamos dializės</w:t>
      </w:r>
      <w:r w:rsidRPr="00D21DFA">
        <w:rPr>
          <w:rFonts w:ascii="Times New Roman" w:eastAsia="Times New Roman" w:hAnsi="Times New Roman" w:cs="Times New Roman"/>
          <w:kern w:val="0"/>
          <w:sz w:val="22"/>
          <w:szCs w:val="20"/>
          <w:lang w:eastAsia="lt-LT" w:bidi="lt-LT"/>
          <w14:ligatures w14:val="none"/>
        </w:rPr>
        <w:t xml:space="preserve">; </w:t>
      </w:r>
    </w:p>
    <w:p w14:paraId="1E31FEE0" w14:textId="665FCEBA"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 xml:space="preserve">kepenų sutrikimas arba anksčiau buvo kepenų </w:t>
      </w:r>
      <w:r w:rsidR="004243D5" w:rsidRPr="00D21DFA">
        <w:rPr>
          <w:rFonts w:ascii="Times New Roman" w:eastAsia="Times New Roman" w:hAnsi="Times New Roman" w:cs="Times New Roman"/>
          <w:b/>
          <w:kern w:val="0"/>
          <w:sz w:val="22"/>
          <w:szCs w:val="20"/>
          <w:lang w:eastAsia="lt-LT" w:bidi="lt-LT"/>
          <w14:ligatures w14:val="none"/>
        </w:rPr>
        <w:t xml:space="preserve">veiklos </w:t>
      </w:r>
      <w:r w:rsidRPr="00D21DFA">
        <w:rPr>
          <w:rFonts w:ascii="Times New Roman" w:eastAsia="Times New Roman" w:hAnsi="Times New Roman" w:cs="Times New Roman"/>
          <w:b/>
          <w:kern w:val="0"/>
          <w:sz w:val="22"/>
          <w:szCs w:val="20"/>
          <w:lang w:eastAsia="lt-LT" w:bidi="lt-LT"/>
          <w14:ligatures w14:val="none"/>
        </w:rPr>
        <w:t>sutrikimų</w:t>
      </w:r>
      <w:r w:rsidRPr="00D21DFA">
        <w:rPr>
          <w:rFonts w:ascii="Times New Roman" w:eastAsia="Times New Roman" w:hAnsi="Times New Roman" w:cs="Times New Roman"/>
          <w:kern w:val="0"/>
          <w:sz w:val="22"/>
          <w:szCs w:val="20"/>
          <w:lang w:eastAsia="lt-LT" w:bidi="lt-LT"/>
          <w14:ligatures w14:val="none"/>
        </w:rPr>
        <w:t xml:space="preserve">; </w:t>
      </w:r>
    </w:p>
    <w:p w14:paraId="7F0B9556" w14:textId="77777777" w:rsidR="00C95D96" w:rsidRPr="00D21DFA" w:rsidRDefault="00C95D96" w:rsidP="00C95D96">
      <w:pPr>
        <w:numPr>
          <w:ilvl w:val="3"/>
          <w:numId w:val="43"/>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šio vaisto bus atsargiai skiriama pacientams, kuriems yra pakitusios kepenų funkcijos požymių; </w:t>
      </w:r>
    </w:p>
    <w:p w14:paraId="79504A1F" w14:textId="0D86C192" w:rsidR="0045436E" w:rsidRPr="0045436E" w:rsidRDefault="0045436E" w:rsidP="0045436E">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463BF0">
        <w:rPr>
          <w:rFonts w:ascii="Times New Roman" w:eastAsia="Times New Roman" w:hAnsi="Times New Roman" w:cs="Times New Roman"/>
          <w:b/>
          <w:bCs/>
          <w:kern w:val="0"/>
          <w:sz w:val="22"/>
          <w:szCs w:val="20"/>
          <w:lang w:eastAsia="lt-LT" w:bidi="lt-LT"/>
          <w14:ligatures w14:val="none"/>
        </w:rPr>
        <w:t xml:space="preserve">į Jūsų stuburą yra įvestas vamzdelis (kateteris) arba buvo leidžiama vaistų </w:t>
      </w:r>
      <w:r w:rsidRPr="00463BF0">
        <w:rPr>
          <w:rFonts w:ascii="Times New Roman" w:eastAsia="Times New Roman" w:hAnsi="Times New Roman" w:cs="Times New Roman"/>
          <w:kern w:val="0"/>
          <w:sz w:val="22"/>
          <w:szCs w:val="20"/>
          <w:lang w:eastAsia="lt-LT" w:bidi="lt-LT"/>
          <w14:ligatures w14:val="none"/>
        </w:rPr>
        <w:t>(nejautrai</w:t>
      </w:r>
      <w:r>
        <w:rPr>
          <w:rFonts w:ascii="Times New Roman" w:eastAsia="Times New Roman" w:hAnsi="Times New Roman" w:cs="Times New Roman"/>
          <w:kern w:val="0"/>
          <w:sz w:val="22"/>
          <w:szCs w:val="20"/>
          <w:lang w:eastAsia="lt-LT" w:bidi="lt-LT"/>
          <w14:ligatures w14:val="none"/>
        </w:rPr>
        <w:t xml:space="preserve"> </w:t>
      </w:r>
      <w:r w:rsidRPr="00463BF0">
        <w:rPr>
          <w:rFonts w:ascii="Times New Roman" w:eastAsia="Times New Roman" w:hAnsi="Times New Roman" w:cs="Times New Roman"/>
          <w:kern w:val="0"/>
          <w:sz w:val="22"/>
          <w:szCs w:val="20"/>
          <w:lang w:eastAsia="lt-LT" w:bidi="lt-LT"/>
          <w14:ligatures w14:val="none"/>
        </w:rPr>
        <w:t>sukelti arba skausmui mal</w:t>
      </w:r>
      <w:r w:rsidRPr="00463BF0">
        <w:rPr>
          <w:rFonts w:ascii="Times New Roman" w:eastAsia="Times New Roman" w:hAnsi="Times New Roman" w:cs="Times New Roman" w:hint="eastAsia"/>
          <w:kern w:val="0"/>
          <w:sz w:val="22"/>
          <w:szCs w:val="20"/>
          <w:lang w:eastAsia="lt-LT" w:bidi="lt-LT"/>
          <w14:ligatures w14:val="none"/>
        </w:rPr>
        <w:t>š</w:t>
      </w:r>
      <w:r w:rsidRPr="00463BF0">
        <w:rPr>
          <w:rFonts w:ascii="Times New Roman" w:eastAsia="Times New Roman" w:hAnsi="Times New Roman" w:cs="Times New Roman"/>
          <w:kern w:val="0"/>
          <w:sz w:val="22"/>
          <w:szCs w:val="20"/>
          <w:lang w:eastAsia="lt-LT" w:bidi="lt-LT"/>
          <w14:ligatures w14:val="none"/>
        </w:rPr>
        <w:t xml:space="preserve">inti); </w:t>
      </w:r>
      <w:r w:rsidRPr="00463BF0">
        <w:rPr>
          <w:rFonts w:ascii="Times New Roman" w:eastAsia="Times New Roman" w:hAnsi="Times New Roman" w:cs="Times New Roman" w:hint="eastAsia"/>
          <w:kern w:val="0"/>
          <w:sz w:val="22"/>
          <w:szCs w:val="20"/>
          <w:lang w:eastAsia="lt-LT" w:bidi="lt-LT"/>
          <w14:ligatures w14:val="none"/>
        </w:rPr>
        <w:t>š</w:t>
      </w:r>
      <w:r w:rsidRPr="00463BF0">
        <w:rPr>
          <w:rFonts w:ascii="Times New Roman" w:eastAsia="Times New Roman" w:hAnsi="Times New Roman" w:cs="Times New Roman"/>
          <w:kern w:val="0"/>
          <w:sz w:val="22"/>
          <w:szCs w:val="20"/>
          <w:lang w:eastAsia="lt-LT" w:bidi="lt-LT"/>
          <w14:ligatures w14:val="none"/>
        </w:rPr>
        <w:t xml:space="preserve">iuo atveju gydytojas nurodys Jums vartoti </w:t>
      </w:r>
      <w:r w:rsidRPr="00463BF0">
        <w:rPr>
          <w:rFonts w:ascii="Times New Roman" w:eastAsia="Times New Roman" w:hAnsi="Times New Roman" w:cs="Times New Roman" w:hint="eastAsia"/>
          <w:kern w:val="0"/>
          <w:sz w:val="22"/>
          <w:szCs w:val="20"/>
          <w:lang w:eastAsia="lt-LT" w:bidi="lt-LT"/>
          <w14:ligatures w14:val="none"/>
        </w:rPr>
        <w:t>šį</w:t>
      </w:r>
      <w:r w:rsidRPr="00463BF0">
        <w:rPr>
          <w:rFonts w:ascii="Times New Roman" w:eastAsia="Times New Roman" w:hAnsi="Times New Roman" w:cs="Times New Roman"/>
          <w:kern w:val="0"/>
          <w:sz w:val="22"/>
          <w:szCs w:val="20"/>
          <w:lang w:eastAsia="lt-LT" w:bidi="lt-LT"/>
          <w14:ligatures w14:val="none"/>
        </w:rPr>
        <w:t xml:space="preserve"> vaist</w:t>
      </w:r>
      <w:r w:rsidRPr="00463BF0">
        <w:rPr>
          <w:rFonts w:ascii="Times New Roman" w:eastAsia="Times New Roman" w:hAnsi="Times New Roman" w:cs="Times New Roman" w:hint="eastAsia"/>
          <w:kern w:val="0"/>
          <w:sz w:val="22"/>
          <w:szCs w:val="20"/>
          <w:lang w:eastAsia="lt-LT" w:bidi="lt-LT"/>
          <w14:ligatures w14:val="none"/>
        </w:rPr>
        <w:t>ą</w:t>
      </w:r>
      <w:r w:rsidRPr="00463BF0">
        <w:rPr>
          <w:rFonts w:ascii="Times New Roman" w:eastAsia="Times New Roman" w:hAnsi="Times New Roman" w:cs="Times New Roman"/>
          <w:kern w:val="0"/>
          <w:sz w:val="22"/>
          <w:szCs w:val="20"/>
          <w:lang w:eastAsia="lt-LT" w:bidi="lt-LT"/>
          <w14:ligatures w14:val="none"/>
        </w:rPr>
        <w:t xml:space="preserve"> po kateterio</w:t>
      </w:r>
      <w:r>
        <w:rPr>
          <w:rFonts w:ascii="Times New Roman" w:eastAsia="Times New Roman" w:hAnsi="Times New Roman" w:cs="Times New Roman"/>
          <w:kern w:val="0"/>
          <w:sz w:val="22"/>
          <w:szCs w:val="20"/>
          <w:lang w:eastAsia="lt-LT" w:bidi="lt-LT"/>
          <w14:ligatures w14:val="none"/>
        </w:rPr>
        <w:t xml:space="preserve"> </w:t>
      </w:r>
      <w:r w:rsidRPr="00463BF0">
        <w:rPr>
          <w:rFonts w:ascii="Times New Roman" w:eastAsia="Times New Roman" w:hAnsi="Times New Roman" w:cs="Times New Roman"/>
          <w:kern w:val="0"/>
          <w:sz w:val="22"/>
          <w:szCs w:val="20"/>
          <w:lang w:eastAsia="lt-LT" w:bidi="lt-LT"/>
          <w14:ligatures w14:val="none"/>
        </w:rPr>
        <w:t>pa</w:t>
      </w:r>
      <w:r w:rsidRPr="00463BF0">
        <w:rPr>
          <w:rFonts w:ascii="Times New Roman" w:eastAsia="Times New Roman" w:hAnsi="Times New Roman" w:cs="Times New Roman" w:hint="eastAsia"/>
          <w:kern w:val="0"/>
          <w:sz w:val="22"/>
          <w:szCs w:val="20"/>
          <w:lang w:eastAsia="lt-LT" w:bidi="lt-LT"/>
          <w14:ligatures w14:val="none"/>
        </w:rPr>
        <w:t>š</w:t>
      </w:r>
      <w:r w:rsidRPr="00463BF0">
        <w:rPr>
          <w:rFonts w:ascii="Times New Roman" w:eastAsia="Times New Roman" w:hAnsi="Times New Roman" w:cs="Times New Roman"/>
          <w:kern w:val="0"/>
          <w:sz w:val="22"/>
          <w:szCs w:val="20"/>
          <w:lang w:eastAsia="lt-LT" w:bidi="lt-LT"/>
          <w14:ligatures w14:val="none"/>
        </w:rPr>
        <w:t>alinimo pra</w:t>
      </w:r>
      <w:r w:rsidRPr="00463BF0">
        <w:rPr>
          <w:rFonts w:ascii="Times New Roman" w:eastAsia="Times New Roman" w:hAnsi="Times New Roman" w:cs="Times New Roman" w:hint="eastAsia"/>
          <w:kern w:val="0"/>
          <w:sz w:val="22"/>
          <w:szCs w:val="20"/>
          <w:lang w:eastAsia="lt-LT" w:bidi="lt-LT"/>
          <w14:ligatures w14:val="none"/>
        </w:rPr>
        <w:t>ė</w:t>
      </w:r>
      <w:r w:rsidRPr="00463BF0">
        <w:rPr>
          <w:rFonts w:ascii="Times New Roman" w:eastAsia="Times New Roman" w:hAnsi="Times New Roman" w:cs="Times New Roman"/>
          <w:kern w:val="0"/>
          <w:sz w:val="22"/>
          <w:szCs w:val="20"/>
          <w:lang w:eastAsia="lt-LT" w:bidi="lt-LT"/>
          <w14:ligatures w14:val="none"/>
        </w:rPr>
        <w:t>jus 5</w:t>
      </w:r>
      <w:r>
        <w:rPr>
          <w:rFonts w:ascii="Times New Roman" w:eastAsia="Times New Roman" w:hAnsi="Times New Roman" w:cs="Times New Roman"/>
          <w:kern w:val="0"/>
          <w:sz w:val="22"/>
          <w:szCs w:val="20"/>
          <w:lang w:eastAsia="lt-LT" w:bidi="lt-LT"/>
          <w14:ligatures w14:val="none"/>
        </w:rPr>
        <w:t> </w:t>
      </w:r>
      <w:r w:rsidRPr="00463BF0">
        <w:rPr>
          <w:rFonts w:ascii="Times New Roman" w:eastAsia="Times New Roman" w:hAnsi="Times New Roman" w:cs="Times New Roman"/>
          <w:kern w:val="0"/>
          <w:sz w:val="22"/>
          <w:szCs w:val="20"/>
          <w:lang w:eastAsia="lt-LT" w:bidi="lt-LT"/>
          <w14:ligatures w14:val="none"/>
        </w:rPr>
        <w:t>valandoms ar daugiau;</w:t>
      </w:r>
    </w:p>
    <w:p w14:paraId="7A6D0CC2" w14:textId="77777777"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Jums </w:t>
      </w:r>
      <w:r w:rsidRPr="00D21DFA">
        <w:rPr>
          <w:rFonts w:ascii="Times New Roman" w:eastAsia="Times New Roman" w:hAnsi="Times New Roman" w:cs="Times New Roman"/>
          <w:b/>
          <w:kern w:val="0"/>
          <w:sz w:val="22"/>
          <w:szCs w:val="20"/>
          <w:lang w:eastAsia="lt-LT" w:bidi="lt-LT"/>
          <w14:ligatures w14:val="none"/>
        </w:rPr>
        <w:t>protezuoti širdies vožtuvai</w:t>
      </w:r>
      <w:r w:rsidRPr="00D21DFA">
        <w:rPr>
          <w:rFonts w:ascii="Times New Roman" w:eastAsia="Times New Roman" w:hAnsi="Times New Roman" w:cs="Times New Roman"/>
          <w:kern w:val="0"/>
          <w:sz w:val="22"/>
          <w:szCs w:val="20"/>
          <w:lang w:eastAsia="lt-LT" w:bidi="lt-LT"/>
          <w14:ligatures w14:val="none"/>
        </w:rPr>
        <w:t xml:space="preserve">; </w:t>
      </w:r>
    </w:p>
    <w:p w14:paraId="0B321378" w14:textId="048AADD6" w:rsidR="004243D5"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 gydytojas nustatė, kad Jūsų kraujospūdis nestabilus</w:t>
      </w:r>
      <w:r w:rsidR="004243D5" w:rsidRPr="00D21DFA">
        <w:rPr>
          <w:rFonts w:ascii="Times New Roman" w:eastAsia="Times New Roman" w:hAnsi="Times New Roman" w:cs="Times New Roman"/>
          <w:kern w:val="0"/>
          <w:sz w:val="22"/>
          <w:szCs w:val="20"/>
          <w:lang w:eastAsia="lt-LT" w:bidi="lt-LT"/>
          <w14:ligatures w14:val="none"/>
        </w:rPr>
        <w:t>;</w:t>
      </w:r>
    </w:p>
    <w:p w14:paraId="448F6CE1" w14:textId="571C9164" w:rsidR="00C95D96" w:rsidRPr="00D21DFA" w:rsidRDefault="00C95D96" w:rsidP="00C95D96">
      <w:pPr>
        <w:numPr>
          <w:ilvl w:val="0"/>
          <w:numId w:val="4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 numatoma skirti gydymą ar atlikti chirurginę operaciją kraujo krešuliui iš plaučių pašalinti. </w:t>
      </w:r>
    </w:p>
    <w:p w14:paraId="4D50DE10" w14:textId="77777777" w:rsidR="00C95D96" w:rsidRPr="00D21DFA" w:rsidRDefault="00C95D96" w:rsidP="00C95D96">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3263DBF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Vartojant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ypatingų atsargumo priemonių reikia, jeigu: </w:t>
      </w:r>
    </w:p>
    <w:p w14:paraId="3BFB3A06" w14:textId="77777777" w:rsidR="00C95D96" w:rsidRPr="00D21DFA" w:rsidRDefault="00C95D96" w:rsidP="00C95D96">
      <w:pPr>
        <w:numPr>
          <w:ilvl w:val="0"/>
          <w:numId w:val="44"/>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žinote, kad sergate liga, vadinama </w:t>
      </w:r>
      <w:proofErr w:type="spellStart"/>
      <w:r w:rsidRPr="00D21DFA">
        <w:rPr>
          <w:rFonts w:ascii="Times New Roman" w:eastAsia="Times New Roman" w:hAnsi="Times New Roman" w:cs="Times New Roman"/>
          <w:kern w:val="0"/>
          <w:sz w:val="22"/>
          <w:szCs w:val="20"/>
          <w:lang w:eastAsia="lt-LT" w:bidi="lt-LT"/>
          <w14:ligatures w14:val="none"/>
        </w:rPr>
        <w:t>antifosfolipidiniu</w:t>
      </w:r>
      <w:proofErr w:type="spellEnd"/>
      <w:r w:rsidRPr="00D21DFA">
        <w:rPr>
          <w:rFonts w:ascii="Times New Roman" w:eastAsia="Times New Roman" w:hAnsi="Times New Roman" w:cs="Times New Roman"/>
          <w:kern w:val="0"/>
          <w:sz w:val="22"/>
          <w:szCs w:val="20"/>
          <w:lang w:eastAsia="lt-LT" w:bidi="lt-LT"/>
          <w14:ligatures w14:val="none"/>
        </w:rPr>
        <w:t xml:space="preserve"> sindromu (imuninės sistemos sutrikimas, dėl kurio padidėja kraujo krešulių susiformavimo rizika). Tokiu atveju pasakykite apie tai gydytojui, kuris nuspręs, ar reikės keisti Jums taikomą gydymą. </w:t>
      </w:r>
    </w:p>
    <w:p w14:paraId="2FEDCC1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BBC5B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prireiks chirurginės operacijos arba procedūros, kuri gali sukelti kraujavimą, Jūsų gydytojas gali paprašyti laikinai neilgam nutraukti šio vaisto vartojimą. Jeigu abejojate, ar procedūra gali sukelti kraujavimą, klauskite gydytojo.</w:t>
      </w:r>
    </w:p>
    <w:p w14:paraId="4E9C767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3787DAD"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Vaikams ir paaugliams</w:t>
      </w:r>
    </w:p>
    <w:p w14:paraId="207A51A2" w14:textId="512F66C3"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nerekomenduojama vartoti vaikams ir </w:t>
      </w:r>
      <w:r w:rsidR="00404325" w:rsidRPr="00D21DFA">
        <w:rPr>
          <w:rFonts w:ascii="Times New Roman" w:eastAsia="Times New Roman" w:hAnsi="Times New Roman" w:cs="Times New Roman"/>
          <w:snapToGrid w:val="0"/>
          <w:kern w:val="0"/>
          <w:sz w:val="22"/>
          <w:szCs w:val="20"/>
          <w14:ligatures w14:val="none"/>
        </w:rPr>
        <w:t>paaugliams, kurių kūno svoris mažesnis kaip 35</w:t>
      </w:r>
      <w:r w:rsidR="00CA2849">
        <w:rPr>
          <w:rFonts w:ascii="Times New Roman" w:eastAsia="Times New Roman" w:hAnsi="Times New Roman" w:cs="Times New Roman"/>
          <w:snapToGrid w:val="0"/>
          <w:kern w:val="0"/>
          <w:sz w:val="22"/>
          <w:szCs w:val="20"/>
          <w14:ligatures w14:val="none"/>
        </w:rPr>
        <w:t> </w:t>
      </w:r>
      <w:r w:rsidR="00404325" w:rsidRPr="00D21DFA">
        <w:rPr>
          <w:rFonts w:ascii="Times New Roman" w:eastAsia="Times New Roman" w:hAnsi="Times New Roman" w:cs="Times New Roman"/>
          <w:snapToGrid w:val="0"/>
          <w:kern w:val="0"/>
          <w:sz w:val="22"/>
          <w:szCs w:val="20"/>
          <w14:ligatures w14:val="none"/>
        </w:rPr>
        <w:t>kg.</w:t>
      </w:r>
    </w:p>
    <w:p w14:paraId="0F9A6A07"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31E24E88"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Kiti vaistai ir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51EB95E4" w14:textId="2286252D"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vartojate ar neseniai vartojote kitų vaistų arba dėl to nesate tikri, apie tai pasakykite gydytojui</w:t>
      </w:r>
      <w:r w:rsidR="00404325"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vaistininkui</w:t>
      </w:r>
      <w:r w:rsidR="00404325" w:rsidRPr="00D21DFA">
        <w:rPr>
          <w:rFonts w:ascii="Times New Roman" w:eastAsia="Times New Roman" w:hAnsi="Times New Roman" w:cs="Times New Roman"/>
          <w:snapToGrid w:val="0"/>
          <w:kern w:val="0"/>
          <w:sz w:val="22"/>
          <w:szCs w:val="20"/>
          <w14:ligatures w14:val="none"/>
        </w:rPr>
        <w:t xml:space="preserve"> arba slaugytojui</w:t>
      </w:r>
      <w:r w:rsidRPr="00D21DFA">
        <w:rPr>
          <w:rFonts w:ascii="Times New Roman" w:eastAsia="Times New Roman" w:hAnsi="Times New Roman" w:cs="Times New Roman"/>
          <w:snapToGrid w:val="0"/>
          <w:kern w:val="0"/>
          <w:sz w:val="22"/>
          <w:szCs w:val="20"/>
          <w14:ligatures w14:val="none"/>
        </w:rPr>
        <w:t>.</w:t>
      </w:r>
    </w:p>
    <w:p w14:paraId="55E2278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013BF8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 kurie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o kiti vaistai gali jį silpninti. Jūsų gydytojas nuspręs, ar Jums skirti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šių vaistų vartojimo metu ir kaip atidžiai stebėti Jūsų būklę. </w:t>
      </w:r>
    </w:p>
    <w:p w14:paraId="70A8B66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6A650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Toliau išvardyti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ir didinti nepageidaujamo kraujavimo galimybę:</w:t>
      </w:r>
    </w:p>
    <w:p w14:paraId="73B1E49A"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r w:rsidRPr="00D21DFA">
        <w:rPr>
          <w:rFonts w:ascii="Times New Roman" w:eastAsia="Times New Roman" w:hAnsi="Times New Roman" w:cs="Times New Roman"/>
          <w:b/>
          <w:kern w:val="0"/>
          <w:sz w:val="22"/>
          <w:szCs w:val="20"/>
          <w:lang w:eastAsia="lt-LT" w:bidi="lt-LT"/>
          <w14:ligatures w14:val="none"/>
        </w:rPr>
        <w:t>vaistai nuo grybelių sukeltų infekcijų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ketokonazolas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0A9BD0D9"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proofErr w:type="spellStart"/>
      <w:r w:rsidRPr="00D21DFA">
        <w:rPr>
          <w:rFonts w:ascii="Times New Roman" w:eastAsia="Times New Roman" w:hAnsi="Times New Roman" w:cs="Times New Roman"/>
          <w:b/>
          <w:kern w:val="0"/>
          <w:sz w:val="22"/>
          <w:szCs w:val="20"/>
          <w:lang w:eastAsia="lt-LT" w:bidi="lt-LT"/>
          <w14:ligatures w14:val="none"/>
        </w:rPr>
        <w:t>priešvirusiniai</w:t>
      </w:r>
      <w:proofErr w:type="spellEnd"/>
      <w:r w:rsidRPr="00D21DFA">
        <w:rPr>
          <w:rFonts w:ascii="Times New Roman" w:eastAsia="Times New Roman" w:hAnsi="Times New Roman" w:cs="Times New Roman"/>
          <w:b/>
          <w:kern w:val="0"/>
          <w:sz w:val="22"/>
          <w:szCs w:val="20"/>
          <w:lang w:eastAsia="lt-LT" w:bidi="lt-LT"/>
          <w14:ligatures w14:val="none"/>
        </w:rPr>
        <w:t xml:space="preserve"> vaistai nuo ŽIV ar </w:t>
      </w:r>
      <w:r w:rsidRPr="00D21DFA">
        <w:rPr>
          <w:rFonts w:ascii="Times New Roman" w:eastAsia="Times New Roman" w:hAnsi="Times New Roman" w:cs="Times New Roman"/>
          <w:b/>
          <w:i/>
          <w:iCs/>
          <w:kern w:val="0"/>
          <w:sz w:val="22"/>
          <w:szCs w:val="20"/>
          <w:lang w:eastAsia="lt-LT" w:bidi="lt-LT"/>
          <w14:ligatures w14:val="none"/>
        </w:rPr>
        <w:t xml:space="preserve">AIDS </w:t>
      </w:r>
      <w:r w:rsidRPr="00D21DFA">
        <w:rPr>
          <w:rFonts w:ascii="Times New Roman" w:eastAsia="Times New Roman" w:hAnsi="Times New Roman" w:cs="Times New Roman"/>
          <w:b/>
          <w:kern w:val="0"/>
          <w:sz w:val="22"/>
          <w:szCs w:val="20"/>
          <w:lang w:eastAsia="lt-LT" w:bidi="lt-LT"/>
          <w14:ligatures w14:val="none"/>
        </w:rPr>
        <w:t>(įgyto imunodeficito sindromo)</w:t>
      </w:r>
      <w:r w:rsidRPr="00D21DFA">
        <w:rPr>
          <w:rFonts w:ascii="Times New Roman" w:eastAsia="Times New Roman" w:hAnsi="Times New Roman" w:cs="Times New Roman"/>
          <w:kern w:val="0"/>
          <w:sz w:val="22"/>
          <w:szCs w:val="20"/>
          <w:lang w:eastAsia="lt-LT" w:bidi="lt-LT"/>
          <w14:ligatures w14:val="none"/>
        </w:rPr>
        <w:t xml:space="preserve"> (pvz., ritonaviras);</w:t>
      </w:r>
    </w:p>
    <w:p w14:paraId="16A7D3B3"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kiti </w:t>
      </w:r>
      <w:r w:rsidRPr="00D21DFA">
        <w:rPr>
          <w:rFonts w:ascii="Times New Roman" w:eastAsia="Times New Roman" w:hAnsi="Times New Roman" w:cs="Times New Roman"/>
          <w:b/>
          <w:kern w:val="0"/>
          <w:sz w:val="22"/>
          <w:szCs w:val="20"/>
          <w:lang w:eastAsia="lt-LT" w:bidi="lt-LT"/>
          <w14:ligatures w14:val="none"/>
        </w:rPr>
        <w:t>kraujo krešėjimui mažinti vartojami vaistai</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enoksaparinas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3F713CB7"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nuo uždegimo ar skausmo</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rūgštis ar </w:t>
      </w:r>
      <w:proofErr w:type="spellStart"/>
      <w:r w:rsidRPr="00D21DFA">
        <w:rPr>
          <w:rFonts w:ascii="Times New Roman" w:eastAsia="Times New Roman" w:hAnsi="Times New Roman" w:cs="Times New Roman"/>
          <w:kern w:val="0"/>
          <w:sz w:val="22"/>
          <w:szCs w:val="20"/>
          <w:lang w:eastAsia="lt-LT" w:bidi="lt-LT"/>
          <w14:ligatures w14:val="none"/>
        </w:rPr>
        <w:t>naproksenas</w:t>
      </w:r>
      <w:proofErr w:type="spellEnd"/>
      <w:r w:rsidRPr="00D21DFA">
        <w:rPr>
          <w:rFonts w:ascii="Times New Roman" w:eastAsia="Times New Roman" w:hAnsi="Times New Roman" w:cs="Times New Roman"/>
          <w:kern w:val="0"/>
          <w:sz w:val="22"/>
          <w:szCs w:val="20"/>
          <w:lang w:eastAsia="lt-LT" w:bidi="lt-LT"/>
          <w14:ligatures w14:val="none"/>
        </w:rPr>
        <w:t xml:space="preserve">). Ypač, jei esate vyresni kaip 75 metų ir vartojate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rūgšties, Jums gali būti padidėjusi kraujavimo galimybė; </w:t>
      </w:r>
    </w:p>
    <w:p w14:paraId="76330547"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lastRenderedPageBreak/>
        <w:t>vaistai nuo aukšto kraujospūdžio ar širdies sutrikimų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diltiazemas</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1E5E7BF7" w14:textId="77777777" w:rsidR="00C95D96" w:rsidRPr="00D21DFA" w:rsidRDefault="00C95D96" w:rsidP="00C95D96">
      <w:pPr>
        <w:numPr>
          <w:ilvl w:val="0"/>
          <w:numId w:val="4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antidepresantai</w:t>
      </w:r>
      <w:r w:rsidRPr="00D21DFA">
        <w:rPr>
          <w:rFonts w:ascii="Times New Roman" w:eastAsia="Times New Roman" w:hAnsi="Times New Roman" w:cs="Times New Roman"/>
          <w:kern w:val="0"/>
          <w:sz w:val="22"/>
          <w:szCs w:val="20"/>
          <w:lang w:eastAsia="lt-LT" w:bidi="lt-LT"/>
          <w14:ligatures w14:val="none"/>
        </w:rPr>
        <w:t xml:space="preserve">, vadinamieji </w:t>
      </w:r>
      <w:r w:rsidRPr="00D21DFA">
        <w:rPr>
          <w:rFonts w:ascii="Times New Roman" w:eastAsia="Times New Roman" w:hAnsi="Times New Roman" w:cs="Times New Roman"/>
          <w:b/>
          <w:kern w:val="0"/>
          <w:sz w:val="22"/>
          <w:szCs w:val="20"/>
          <w:lang w:eastAsia="lt-LT" w:bidi="lt-LT"/>
          <w14:ligatures w14:val="none"/>
        </w:rPr>
        <w:t xml:space="preserve">selektyvieji </w:t>
      </w:r>
      <w:proofErr w:type="spellStart"/>
      <w:r w:rsidRPr="00D21DFA">
        <w:rPr>
          <w:rFonts w:ascii="Times New Roman" w:eastAsia="Times New Roman" w:hAnsi="Times New Roman" w:cs="Times New Roman"/>
          <w:b/>
          <w:kern w:val="0"/>
          <w:sz w:val="22"/>
          <w:szCs w:val="20"/>
          <w:lang w:eastAsia="lt-LT" w:bidi="lt-LT"/>
          <w14:ligatures w14:val="none"/>
        </w:rPr>
        <w:t>serotonino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 arba </w:t>
      </w:r>
      <w:proofErr w:type="spellStart"/>
      <w:r w:rsidRPr="00D21DFA">
        <w:rPr>
          <w:rFonts w:ascii="Times New Roman" w:eastAsia="Times New Roman" w:hAnsi="Times New Roman" w:cs="Times New Roman"/>
          <w:b/>
          <w:kern w:val="0"/>
          <w:sz w:val="22"/>
          <w:szCs w:val="20"/>
          <w:lang w:eastAsia="lt-LT" w:bidi="lt-LT"/>
          <w14:ligatures w14:val="none"/>
        </w:rPr>
        <w:t>serotonino-norepinefrino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w:t>
      </w:r>
      <w:r w:rsidRPr="00D21DFA">
        <w:rPr>
          <w:rFonts w:ascii="Times New Roman" w:eastAsia="Times New Roman" w:hAnsi="Times New Roman" w:cs="Times New Roman"/>
          <w:kern w:val="0"/>
          <w:sz w:val="22"/>
          <w:szCs w:val="20"/>
          <w:lang w:eastAsia="lt-LT" w:bidi="lt-LT"/>
          <w14:ligatures w14:val="none"/>
        </w:rPr>
        <w:t xml:space="preserve">. </w:t>
      </w:r>
    </w:p>
    <w:p w14:paraId="29C68048" w14:textId="77777777" w:rsidR="00C95D96" w:rsidRPr="00D21DFA" w:rsidRDefault="00C95D96" w:rsidP="00C95D96">
      <w:pPr>
        <w:numPr>
          <w:ilvl w:val="12"/>
          <w:numId w:val="0"/>
        </w:num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3F3423E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Toliau išvardyti vaistai gali silpninti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pajėgumą apsaugoti nuo kraujo krešulių susiformavimo: </w:t>
      </w:r>
    </w:p>
    <w:p w14:paraId="4E52DF70" w14:textId="77777777" w:rsidR="00C95D96" w:rsidRPr="00D21DFA"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užkertantys kelią epilepsijos ar traukulių</w:t>
      </w:r>
      <w:r w:rsidRPr="00D21DFA">
        <w:rPr>
          <w:rFonts w:ascii="Times New Roman" w:eastAsia="Times New Roman" w:hAnsi="Times New Roman" w:cs="Times New Roman"/>
          <w:kern w:val="0"/>
          <w:sz w:val="22"/>
          <w:szCs w:val="20"/>
          <w:lang w:eastAsia="lt-LT" w:bidi="lt-LT"/>
          <w14:ligatures w14:val="none"/>
        </w:rPr>
        <w:t xml:space="preserve"> pasireiškimui (pvz., </w:t>
      </w:r>
      <w:proofErr w:type="spellStart"/>
      <w:r w:rsidRPr="00D21DFA">
        <w:rPr>
          <w:rFonts w:ascii="Times New Roman" w:eastAsia="Times New Roman" w:hAnsi="Times New Roman" w:cs="Times New Roman"/>
          <w:kern w:val="0"/>
          <w:sz w:val="22"/>
          <w:szCs w:val="20"/>
          <w:lang w:eastAsia="lt-LT" w:bidi="lt-LT"/>
          <w14:ligatures w14:val="none"/>
        </w:rPr>
        <w:t>fenitoinas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5C52A932" w14:textId="478B23F8" w:rsidR="00C95D96" w:rsidRPr="00D21DFA"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jonažol</w:t>
      </w:r>
      <w:r w:rsidR="007F5A7C" w:rsidRPr="00D21DFA">
        <w:rPr>
          <w:rFonts w:ascii="Times New Roman" w:eastAsia="Times New Roman" w:hAnsi="Times New Roman" w:cs="Times New Roman"/>
          <w:b/>
          <w:kern w:val="0"/>
          <w:sz w:val="22"/>
          <w:szCs w:val="20"/>
          <w:lang w:eastAsia="lt-LT" w:bidi="lt-LT"/>
          <w14:ligatures w14:val="none"/>
        </w:rPr>
        <w:t>ių žolės sudėtyje turintys vaistai</w:t>
      </w:r>
      <w:r w:rsidRPr="00D21DFA">
        <w:rPr>
          <w:rFonts w:ascii="Times New Roman" w:eastAsia="Times New Roman" w:hAnsi="Times New Roman" w:cs="Times New Roman"/>
          <w:kern w:val="0"/>
          <w:sz w:val="22"/>
          <w:szCs w:val="20"/>
          <w:lang w:eastAsia="lt-LT" w:bidi="lt-LT"/>
          <w14:ligatures w14:val="none"/>
        </w:rPr>
        <w:t xml:space="preserve"> (vaistažolių papildas, vartojamas nuo depresijos); </w:t>
      </w:r>
    </w:p>
    <w:p w14:paraId="6A31D760" w14:textId="77777777" w:rsidR="00C95D96" w:rsidRPr="00D21DFA" w:rsidRDefault="00C95D96" w:rsidP="00C95D96">
      <w:pPr>
        <w:numPr>
          <w:ilvl w:val="0"/>
          <w:numId w:val="46"/>
        </w:numPr>
        <w:tabs>
          <w:tab w:val="left" w:pos="567"/>
          <w:tab w:val="left" w:pos="9214"/>
        </w:tabs>
        <w:spacing w:after="0" w:line="240" w:lineRule="auto"/>
        <w:ind w:left="567" w:right="-2" w:hanging="567"/>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tuberkuliozei ar kitoms infekcijoms</w:t>
      </w:r>
      <w:r w:rsidRPr="00D21DFA">
        <w:rPr>
          <w:rFonts w:ascii="Times New Roman" w:eastAsia="Times New Roman" w:hAnsi="Times New Roman" w:cs="Times New Roman"/>
          <w:kern w:val="0"/>
          <w:sz w:val="22"/>
          <w:szCs w:val="20"/>
          <w:lang w:eastAsia="lt-LT" w:bidi="lt-LT"/>
          <w14:ligatures w14:val="none"/>
        </w:rPr>
        <w:t xml:space="preserve"> gydyti vartojami vaistai (pvz., </w:t>
      </w:r>
      <w:proofErr w:type="spellStart"/>
      <w:r w:rsidRPr="00D21DFA">
        <w:rPr>
          <w:rFonts w:ascii="Times New Roman" w:eastAsia="Times New Roman" w:hAnsi="Times New Roman" w:cs="Times New Roman"/>
          <w:kern w:val="0"/>
          <w:sz w:val="22"/>
          <w:szCs w:val="20"/>
          <w:lang w:eastAsia="lt-LT" w:bidi="lt-LT"/>
          <w14:ligatures w14:val="none"/>
        </w:rPr>
        <w:t>rifampicinas</w:t>
      </w:r>
      <w:proofErr w:type="spellEnd"/>
      <w:r w:rsidRPr="00D21DFA">
        <w:rPr>
          <w:rFonts w:ascii="Times New Roman" w:eastAsia="Times New Roman" w:hAnsi="Times New Roman" w:cs="Times New Roman"/>
          <w:kern w:val="0"/>
          <w:sz w:val="22"/>
          <w:szCs w:val="20"/>
          <w:lang w:eastAsia="lt-LT" w:bidi="lt-LT"/>
          <w14:ligatures w14:val="none"/>
        </w:rPr>
        <w:t>).</w:t>
      </w:r>
    </w:p>
    <w:p w14:paraId="1520738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8FC492D"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Nėštumas ir žindymo laikotarpis </w:t>
      </w:r>
    </w:p>
    <w:p w14:paraId="218FFBFF"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esate nėščia, žindote kūdikį, manote, kad galbūt esate nėščia arba planuojate pastoti, tai prieš vartodama šio vaisto pasitarkite su gydytoju arba vaistininku.</w:t>
      </w:r>
    </w:p>
    <w:p w14:paraId="2BC3256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87EA9F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poveikis nėštumo eigai ir negimusiam kūdikiui nežinomas. Jeigu esate nėščia, šio vaisto turite nevartoti. Jeigu šio vaisto vartojimo metu pastojote, </w:t>
      </w:r>
      <w:r w:rsidRPr="00D21DFA">
        <w:rPr>
          <w:rFonts w:ascii="Times New Roman" w:eastAsia="Times New Roman" w:hAnsi="Times New Roman" w:cs="Times New Roman"/>
          <w:b/>
          <w:snapToGrid w:val="0"/>
          <w:kern w:val="0"/>
          <w:sz w:val="22"/>
          <w:szCs w:val="20"/>
          <w14:ligatures w14:val="none"/>
        </w:rPr>
        <w:t>nedelsdama kreipkitės į savo gydytoją</w:t>
      </w:r>
      <w:r w:rsidRPr="00D21DFA">
        <w:rPr>
          <w:rFonts w:ascii="Times New Roman" w:eastAsia="Times New Roman" w:hAnsi="Times New Roman" w:cs="Times New Roman"/>
          <w:snapToGrid w:val="0"/>
          <w:kern w:val="0"/>
          <w:sz w:val="22"/>
          <w:szCs w:val="20"/>
          <w14:ligatures w14:val="none"/>
        </w:rPr>
        <w:t xml:space="preserve">. </w:t>
      </w:r>
    </w:p>
    <w:p w14:paraId="2E4C83B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65C27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Nežinoma, ar </w:t>
      </w:r>
      <w:proofErr w:type="spellStart"/>
      <w:r w:rsidRPr="00D21DFA">
        <w:rPr>
          <w:rFonts w:ascii="Times New Roman" w:eastAsia="Times New Roman" w:hAnsi="Times New Roman" w:cs="Times New Roman"/>
          <w:snapToGrid w:val="0"/>
          <w:kern w:val="0"/>
          <w:sz w:val="22"/>
          <w:szCs w:val="20"/>
          <w14:ligatures w14:val="none"/>
        </w:rPr>
        <w:t>apilsabano</w:t>
      </w:r>
      <w:proofErr w:type="spellEnd"/>
      <w:r w:rsidRPr="00D21DFA">
        <w:rPr>
          <w:rFonts w:ascii="Times New Roman" w:eastAsia="Times New Roman" w:hAnsi="Times New Roman" w:cs="Times New Roman"/>
          <w:snapToGrid w:val="0"/>
          <w:kern w:val="0"/>
          <w:sz w:val="22"/>
          <w:szCs w:val="20"/>
          <w14:ligatures w14:val="none"/>
        </w:rPr>
        <w:t xml:space="preserve"> prasiskverbia į žindyvės pieną. Prieš vartojant šio vaisto žindymo metu, pasitarkite su gydytoju, vaistininku arba slaugytoja. Jie Jums patars arba nutraukti žindymą, arba nutraukti ar nepradėti vartoti šio vaisto.</w:t>
      </w:r>
    </w:p>
    <w:p w14:paraId="02E352C3"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65EAC76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Vairavimas ir mechanizmų valdymas</w:t>
      </w:r>
    </w:p>
    <w:p w14:paraId="7AF0759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veiktų gebėjimą vairuoti ar valdyti mechanizmus.</w:t>
      </w:r>
    </w:p>
    <w:p w14:paraId="75DCE58B"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365EF9B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sudėtyje yra laktozės ir natrio</w:t>
      </w:r>
      <w:r w:rsidRPr="00D21DFA">
        <w:rPr>
          <w:rFonts w:ascii="Times New Roman" w:eastAsia="Times New Roman" w:hAnsi="Times New Roman" w:cs="Times New Roman"/>
          <w:snapToGrid w:val="0"/>
          <w:kern w:val="0"/>
          <w:sz w:val="22"/>
          <w:szCs w:val="20"/>
          <w14:ligatures w14:val="none"/>
        </w:rPr>
        <w:t xml:space="preserve"> </w:t>
      </w:r>
    </w:p>
    <w:p w14:paraId="749E8A7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gydytojas Jums yra sakęs, kad netoleruojate kokių nors angliavandenių, kreipkitės į jį prieš pradėdami vartoti šį vaistą. </w:t>
      </w:r>
    </w:p>
    <w:p w14:paraId="0132DEC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79979B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Šio vaisto kiekvienoje plėvele dengtoje tabletėje yra mažiau kaip 1 </w:t>
      </w:r>
      <w:proofErr w:type="spellStart"/>
      <w:r w:rsidRPr="00D21DFA">
        <w:rPr>
          <w:rFonts w:ascii="Times New Roman" w:eastAsia="Times New Roman" w:hAnsi="Times New Roman" w:cs="Times New Roman"/>
          <w:snapToGrid w:val="0"/>
          <w:kern w:val="0"/>
          <w:sz w:val="22"/>
          <w:szCs w:val="20"/>
          <w14:ligatures w14:val="none"/>
        </w:rPr>
        <w:t>mmol</w:t>
      </w:r>
      <w:proofErr w:type="spellEnd"/>
      <w:r w:rsidRPr="00D21DFA">
        <w:rPr>
          <w:rFonts w:ascii="Times New Roman" w:eastAsia="Times New Roman" w:hAnsi="Times New Roman" w:cs="Times New Roman"/>
          <w:snapToGrid w:val="0"/>
          <w:kern w:val="0"/>
          <w:sz w:val="22"/>
          <w:szCs w:val="20"/>
          <w14:ligatures w14:val="none"/>
        </w:rPr>
        <w:t xml:space="preserve"> (23 mg) natrio, t. y. jis beveik neturi reikšmės.</w:t>
      </w:r>
    </w:p>
    <w:p w14:paraId="75DE6FB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7171955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D7B0D96" w14:textId="77777777" w:rsidR="00C95D96" w:rsidRPr="00D21DFA" w:rsidRDefault="00C95D96" w:rsidP="00C95D96">
      <w:pPr>
        <w:keepNext/>
        <w:numPr>
          <w:ilvl w:val="0"/>
          <w:numId w:val="78"/>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64C50B62"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528AE9" w14:textId="0F4CFD20"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Visada vartokite šį vaistą tiksliai kaip nurodė gydytojas arba vaistininkas. Jeigu abejojate, kreipkitės į gydytoją</w:t>
      </w:r>
      <w:r w:rsidR="00404325"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 xml:space="preserve"> vaistininką</w:t>
      </w:r>
      <w:r w:rsidR="00404325" w:rsidRPr="00D21DFA">
        <w:rPr>
          <w:rFonts w:ascii="Times New Roman" w:eastAsia="Times New Roman" w:hAnsi="Times New Roman" w:cs="Times New Roman"/>
          <w:snapToGrid w:val="0"/>
          <w:kern w:val="0"/>
          <w:sz w:val="22"/>
          <w:szCs w:val="20"/>
          <w14:ligatures w14:val="none"/>
        </w:rPr>
        <w:t xml:space="preserve"> arba slaugytoją</w:t>
      </w:r>
      <w:r w:rsidRPr="00D21DFA">
        <w:rPr>
          <w:rFonts w:ascii="Times New Roman" w:eastAsia="Times New Roman" w:hAnsi="Times New Roman" w:cs="Times New Roman"/>
          <w:snapToGrid w:val="0"/>
          <w:kern w:val="0"/>
          <w:sz w:val="22"/>
          <w:szCs w:val="20"/>
          <w14:ligatures w14:val="none"/>
        </w:rPr>
        <w:t>.</w:t>
      </w:r>
    </w:p>
    <w:p w14:paraId="57A80474"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3BFC110"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Dozė </w:t>
      </w:r>
    </w:p>
    <w:p w14:paraId="4E5E645E"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Nurykite tabletę užsigerdami vandeniu.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galima vartoti valgant arba nevalgius. Stenkitės tabletes vartoti kasdien tuo pačiu laiku, kad būtų pasiektas geriausias gydomasis poveikis. </w:t>
      </w:r>
    </w:p>
    <w:p w14:paraId="163D5706"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4031BC"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sunku nuryti sveiką tabletę, su gydytoju aptarkite kitus būdus, kaip vartoti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Tabletę galima susmulkinti ir, sumaišius su vandeniu arba 5 % gliukozės tirpalu, obuolių sultimis arba obuolių tyre, nedelsiant išgerti.</w:t>
      </w:r>
    </w:p>
    <w:p w14:paraId="1BC0C7C0"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DBBCB0B"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 xml:space="preserve">Nurodymai, kaip susmulkinti: </w:t>
      </w:r>
    </w:p>
    <w:p w14:paraId="38694AF9" w14:textId="77777777" w:rsidR="00C95D96" w:rsidRPr="00D21DFA" w:rsidRDefault="00C95D96" w:rsidP="00C95D96">
      <w:pPr>
        <w:numPr>
          <w:ilvl w:val="0"/>
          <w:numId w:val="48"/>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Susmulkinkite tabletes grūstuvėje su piestele. </w:t>
      </w:r>
    </w:p>
    <w:p w14:paraId="3A6E1477" w14:textId="77777777" w:rsidR="00C95D96" w:rsidRPr="00D21DFA" w:rsidRDefault="00C95D96" w:rsidP="00C95D96">
      <w:pPr>
        <w:numPr>
          <w:ilvl w:val="0"/>
          <w:numId w:val="48"/>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Atsargiai išberkite visus miltelius į tinkamą indą ir sumaišykite su nedideliu kiekiu, pvz., 30 ml (2 valgomaisiais šaukštais) vandens ar vienu iš kitų pirmiau nurodytų skysčių, padarydami mišinį. </w:t>
      </w:r>
    </w:p>
    <w:p w14:paraId="2C13E330" w14:textId="77777777" w:rsidR="00C95D96" w:rsidRPr="00D21DFA" w:rsidRDefault="00C95D96" w:rsidP="00C95D96">
      <w:pPr>
        <w:numPr>
          <w:ilvl w:val="0"/>
          <w:numId w:val="47"/>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Išgerkite mišinį. </w:t>
      </w:r>
    </w:p>
    <w:p w14:paraId="11FF66A2" w14:textId="77777777" w:rsidR="00C95D96" w:rsidRPr="00D21DFA" w:rsidRDefault="00C95D96" w:rsidP="00C95D96">
      <w:pPr>
        <w:numPr>
          <w:ilvl w:val="0"/>
          <w:numId w:val="47"/>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Paskalaukite grūstuvę ir piestelę, kuriuos naudojote, nedideliu kiekiu vandens ar kitų skysčių (pvz., 30 ml) ir jį išgerkite. </w:t>
      </w:r>
    </w:p>
    <w:p w14:paraId="0E10FF30"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D1A9FF7"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reikia, gydytojas gali paskirti vartoti susmulkintą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sumaišytą su 60 ml vandens arba 5 % gliukozės tirpalo, per nosies-skrandžio vamzdelį.</w:t>
      </w:r>
    </w:p>
    <w:p w14:paraId="4177A42B"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5E1CC8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lastRenderedPageBreak/>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vartokite pagal rekomendacijas tokiu būdu: </w:t>
      </w:r>
    </w:p>
    <w:p w14:paraId="626F444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Kad apsaugoti nuo kraujo krešulių formavimosi širdyje pacientams, kurių širdis plaka neritmiškai ir yra bent vienas papildomas rizikos veiksnys </w:t>
      </w:r>
    </w:p>
    <w:p w14:paraId="619A782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 xml:space="preserve">vieną </w:t>
      </w:r>
      <w:r w:rsidRPr="00D21DFA">
        <w:rPr>
          <w:rFonts w:ascii="Times New Roman" w:eastAsia="Times New Roman" w:hAnsi="Times New Roman" w:cs="Times New Roman"/>
          <w:b/>
          <w:snapToGrid w:val="0"/>
          <w:kern w:val="0"/>
          <w:sz w:val="22"/>
          <w:szCs w:val="20"/>
          <w14:ligatures w14:val="none"/>
        </w:rPr>
        <w:t>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w:t>
      </w:r>
    </w:p>
    <w:p w14:paraId="7E01859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6F5FA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vieną</w:t>
      </w:r>
      <w:r w:rsidRPr="00D21DFA">
        <w:rPr>
          <w:rFonts w:ascii="Times New Roman" w:eastAsia="Times New Roman" w:hAnsi="Times New Roman" w:cs="Times New Roman"/>
          <w:b/>
          <w:snapToGrid w:val="0"/>
          <w:kern w:val="0"/>
          <w:sz w:val="22"/>
          <w:szCs w:val="20"/>
          <w14:ligatures w14:val="none"/>
        </w:rPr>
        <w:t xml:space="preserve"> 2,5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jeigu </w:t>
      </w:r>
    </w:p>
    <w:p w14:paraId="1AB65E12" w14:textId="7100936B" w:rsidR="00C95D96" w:rsidRPr="00D21DFA"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yra labai </w:t>
      </w:r>
      <w:r w:rsidRPr="00D21DFA">
        <w:rPr>
          <w:rFonts w:ascii="Times New Roman" w:eastAsia="Times New Roman" w:hAnsi="Times New Roman" w:cs="Times New Roman"/>
          <w:b/>
          <w:bCs/>
          <w:kern w:val="0"/>
          <w:sz w:val="22"/>
          <w:szCs w:val="20"/>
          <w:lang w:eastAsia="lt-LT" w:bidi="lt-LT"/>
          <w14:ligatures w14:val="none"/>
        </w:rPr>
        <w:t xml:space="preserve">susilpnėjusi inkstų </w:t>
      </w:r>
      <w:r w:rsidR="007F5A7C" w:rsidRPr="00D21DFA">
        <w:rPr>
          <w:rFonts w:ascii="Times New Roman" w:eastAsia="Times New Roman" w:hAnsi="Times New Roman" w:cs="Times New Roman"/>
          <w:b/>
          <w:bCs/>
          <w:kern w:val="0"/>
          <w:sz w:val="22"/>
          <w:szCs w:val="20"/>
          <w:lang w:eastAsia="lt-LT" w:bidi="lt-LT"/>
          <w14:ligatures w14:val="none"/>
        </w:rPr>
        <w:t>veikla</w:t>
      </w:r>
      <w:r w:rsidRPr="00D21DFA">
        <w:rPr>
          <w:rFonts w:ascii="Times New Roman" w:eastAsia="Times New Roman" w:hAnsi="Times New Roman" w:cs="Times New Roman"/>
          <w:kern w:val="0"/>
          <w:sz w:val="22"/>
          <w:szCs w:val="20"/>
          <w:lang w:eastAsia="lt-LT" w:bidi="lt-LT"/>
          <w14:ligatures w14:val="none"/>
        </w:rPr>
        <w:t xml:space="preserve">; </w:t>
      </w:r>
    </w:p>
    <w:p w14:paraId="6143936E" w14:textId="77777777" w:rsidR="00C95D96" w:rsidRPr="00D21DFA" w:rsidRDefault="00C95D96" w:rsidP="00C95D96">
      <w:pPr>
        <w:numPr>
          <w:ilvl w:val="0"/>
          <w:numId w:val="49"/>
        </w:numPr>
        <w:tabs>
          <w:tab w:val="left" w:pos="567"/>
          <w:tab w:val="left" w:pos="9214"/>
        </w:tabs>
        <w:spacing w:after="0" w:line="240" w:lineRule="auto"/>
        <w:ind w:left="567" w:right="-2" w:hanging="567"/>
        <w:contextualSpacing/>
        <w:rPr>
          <w:rFonts w:ascii="Times New Roman" w:eastAsia="Times New Roman" w:hAnsi="Times New Roman" w:cs="Times New Roman"/>
          <w:b/>
          <w:bCs/>
          <w:kern w:val="0"/>
          <w:sz w:val="22"/>
          <w:szCs w:val="20"/>
          <w:lang w:eastAsia="lt-LT" w:bidi="lt-LT"/>
          <w14:ligatures w14:val="none"/>
        </w:rPr>
      </w:pPr>
      <w:r w:rsidRPr="00D21DFA">
        <w:rPr>
          <w:rFonts w:ascii="Times New Roman" w:eastAsia="Times New Roman" w:hAnsi="Times New Roman" w:cs="Times New Roman"/>
          <w:b/>
          <w:bCs/>
          <w:kern w:val="0"/>
          <w:sz w:val="22"/>
          <w:szCs w:val="20"/>
          <w:lang w:eastAsia="lt-LT" w:bidi="lt-LT"/>
          <w14:ligatures w14:val="none"/>
        </w:rPr>
        <w:t xml:space="preserve">yra dvi arba daugiau iš toliau išvardytų aplinkybių: </w:t>
      </w:r>
    </w:p>
    <w:p w14:paraId="787BDA52" w14:textId="78807BA1" w:rsidR="00C95D96" w:rsidRPr="00D21DFA"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Jūsų kraujo tyrimų rodmenys rodo blogą inkstų </w:t>
      </w:r>
      <w:r w:rsidR="007F5A7C" w:rsidRPr="00D21DFA">
        <w:rPr>
          <w:rFonts w:ascii="Times New Roman" w:eastAsia="Times New Roman" w:hAnsi="Times New Roman" w:cs="Times New Roman"/>
          <w:kern w:val="0"/>
          <w:sz w:val="22"/>
          <w:szCs w:val="20"/>
          <w:lang w:eastAsia="lt-LT" w:bidi="lt-LT"/>
          <w14:ligatures w14:val="none"/>
        </w:rPr>
        <w:t xml:space="preserve">veiklą </w:t>
      </w:r>
      <w:r w:rsidRPr="00D21DFA">
        <w:rPr>
          <w:rFonts w:ascii="Times New Roman" w:eastAsia="Times New Roman" w:hAnsi="Times New Roman" w:cs="Times New Roman"/>
          <w:kern w:val="0"/>
          <w:sz w:val="22"/>
          <w:szCs w:val="20"/>
          <w:lang w:eastAsia="lt-LT" w:bidi="lt-LT"/>
          <w14:ligatures w14:val="none"/>
        </w:rPr>
        <w:t>(kreatinino koncentracija serume yra 1,5 mg/dl [133 </w:t>
      </w:r>
      <w:proofErr w:type="spellStart"/>
      <w:r w:rsidRPr="00D21DFA">
        <w:rPr>
          <w:rFonts w:ascii="Times New Roman" w:eastAsia="Times New Roman" w:hAnsi="Times New Roman" w:cs="Times New Roman"/>
          <w:kern w:val="0"/>
          <w:sz w:val="22"/>
          <w:szCs w:val="20"/>
          <w:lang w:eastAsia="lt-LT" w:bidi="lt-LT"/>
          <w14:ligatures w14:val="none"/>
        </w:rPr>
        <w:t>mikromoliai</w:t>
      </w:r>
      <w:proofErr w:type="spellEnd"/>
      <w:r w:rsidRPr="00D21DFA">
        <w:rPr>
          <w:rFonts w:ascii="Times New Roman" w:eastAsia="Times New Roman" w:hAnsi="Times New Roman" w:cs="Times New Roman"/>
          <w:kern w:val="0"/>
          <w:sz w:val="22"/>
          <w:szCs w:val="20"/>
          <w:lang w:eastAsia="lt-LT" w:bidi="lt-LT"/>
          <w14:ligatures w14:val="none"/>
        </w:rPr>
        <w:t xml:space="preserve">/l] arba didesnė); </w:t>
      </w:r>
    </w:p>
    <w:p w14:paraId="42736331" w14:textId="77777777" w:rsidR="00C95D96" w:rsidRPr="00D21DFA"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80 metų arba vyresni; </w:t>
      </w:r>
    </w:p>
    <w:p w14:paraId="5FB11BC0" w14:textId="77777777" w:rsidR="00C95D96" w:rsidRPr="00D21DFA" w:rsidRDefault="00C95D96" w:rsidP="00C95D96">
      <w:pPr>
        <w:numPr>
          <w:ilvl w:val="0"/>
          <w:numId w:val="26"/>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2882837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1FB647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tabletę du kartus per parą, pavyzdžiui, vieną tabletę reikia vartoti ryte, o kitą – vakare. Gydytojas nuspręs, kaip ilgai turite tęsti gydymą. </w:t>
      </w:r>
    </w:p>
    <w:p w14:paraId="144943E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9BFC51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Kraujo krešuliams Jūsų kojų venose ir kraujo krešuliams Jūsų plaučių kraujagyslėse gydyti </w:t>
      </w:r>
    </w:p>
    <w:p w14:paraId="2CFA10E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pirmąsias 7 paras yra po dvi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tabletes du kartus per parą, pavyzdžiui, dvi tabletes reikia vartoti ryte, o kitas dvi – vakare. </w:t>
      </w:r>
    </w:p>
    <w:p w14:paraId="106825B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7 parų rekomenduojama dozė yra po vieną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067AF01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594E5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Pakartotino kraujo krešulių susiformavimo prevencijai užbaigus 6 mėnesių gydymą </w:t>
      </w:r>
    </w:p>
    <w:p w14:paraId="3E1F2AF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2,5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4CC0D50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Gydytojas nuspręs, kaip ilgai turite tęsti gydymą. </w:t>
      </w:r>
    </w:p>
    <w:p w14:paraId="1CB9FC7C"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AD3C22D" w14:textId="77777777" w:rsidR="00404325" w:rsidRPr="00D21DFA"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404325">
        <w:rPr>
          <w:rFonts w:ascii="Times New Roman" w:eastAsia="Times New Roman" w:hAnsi="Times New Roman" w:cs="Times New Roman"/>
          <w:snapToGrid w:val="0"/>
          <w:kern w:val="0"/>
          <w:sz w:val="22"/>
          <w:szCs w:val="20"/>
          <w:u w:val="single"/>
          <w14:ligatures w14:val="none"/>
        </w:rPr>
        <w:t>Vartojimas vaikams ir paaugliams</w:t>
      </w:r>
    </w:p>
    <w:p w14:paraId="6142029D"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18CD1197"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Kraujo krešuliams gydyti ir užkirsti kelią pakartotiniam kraujo krešulių susidarymui venose arba plaučių kraujagyslėse.</w:t>
      </w:r>
    </w:p>
    <w:p w14:paraId="0E288E26"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4E1F570"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Visada vartokite arba duokite šį vaistą tiksliai, kaip nurodė Jūsų arba vaiko gydytojas arba vaistininkas. Jeigu abejojate, kreipkitės į savo arba vaiko gydytoją, vaistininką arba slaugytoją.</w:t>
      </w:r>
    </w:p>
    <w:p w14:paraId="2B9194EB"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FEF431" w14:textId="17977CEF"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Stenkitės dozę vartoti arba duoti kasdien tuo pačiu laiku, kad būtų pasiektas geriausias gydomasis</w:t>
      </w:r>
      <w:r w:rsidR="00A63EC4">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snapToGrid w:val="0"/>
          <w:kern w:val="0"/>
          <w:sz w:val="22"/>
          <w:szCs w:val="20"/>
          <w14:ligatures w14:val="none"/>
        </w:rPr>
        <w:t>poveikis.</w:t>
      </w:r>
    </w:p>
    <w:p w14:paraId="10EACDB3"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3E888A1" w14:textId="245FF186"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404325">
        <w:rPr>
          <w:rFonts w:ascii="Times New Roman" w:eastAsia="Times New Roman" w:hAnsi="Times New Roman" w:cs="Times New Roman"/>
          <w:snapToGrid w:val="0"/>
          <w:kern w:val="0"/>
          <w:sz w:val="22"/>
          <w:szCs w:val="20"/>
          <w14:ligatures w14:val="none"/>
        </w:rPr>
        <w:t>Apixaban</w:t>
      </w:r>
      <w:proofErr w:type="spellEnd"/>
      <w:r w:rsidRPr="00404325">
        <w:rPr>
          <w:rFonts w:ascii="Times New Roman" w:eastAsia="Times New Roman" w:hAnsi="Times New Roman" w:cs="Times New Roman"/>
          <w:snapToGrid w:val="0"/>
          <w:kern w:val="0"/>
          <w:sz w:val="22"/>
          <w:szCs w:val="20"/>
          <w14:ligatures w14:val="none"/>
        </w:rPr>
        <w:t xml:space="preserve"> </w:t>
      </w:r>
      <w:proofErr w:type="spellStart"/>
      <w:r w:rsidRPr="00404325">
        <w:rPr>
          <w:rFonts w:ascii="Times New Roman" w:eastAsia="Times New Roman" w:hAnsi="Times New Roman" w:cs="Times New Roman"/>
          <w:snapToGrid w:val="0"/>
          <w:kern w:val="0"/>
          <w:sz w:val="22"/>
          <w:szCs w:val="20"/>
          <w14:ligatures w14:val="none"/>
        </w:rPr>
        <w:t>Zentiva</w:t>
      </w:r>
      <w:proofErr w:type="spellEnd"/>
      <w:r w:rsidRPr="00404325">
        <w:rPr>
          <w:rFonts w:ascii="Times New Roman" w:eastAsia="Times New Roman" w:hAnsi="Times New Roman" w:cs="Times New Roman"/>
          <w:snapToGrid w:val="0"/>
          <w:kern w:val="0"/>
          <w:sz w:val="22"/>
          <w:szCs w:val="20"/>
          <w14:ligatures w14:val="none"/>
        </w:rPr>
        <w:t xml:space="preserve"> dozė priklauso nuo kūno svorio, ją apskaičiuos gydytojas. Rekomenduojama dozė vaikams ir paaugliams, sveriantiems mažiausiai 35 kg, pirmąsias 7 dienas yra po </w:t>
      </w:r>
      <w:r w:rsidRPr="00D21DFA">
        <w:rPr>
          <w:rFonts w:ascii="Times New Roman" w:eastAsia="Times New Roman" w:hAnsi="Times New Roman" w:cs="Times New Roman"/>
          <w:b/>
          <w:bCs/>
          <w:snapToGrid w:val="0"/>
          <w:kern w:val="0"/>
          <w:sz w:val="22"/>
          <w:szCs w:val="20"/>
          <w14:ligatures w14:val="none"/>
        </w:rPr>
        <w:t>dvi</w:t>
      </w:r>
      <w:r w:rsidRPr="00404325">
        <w:rPr>
          <w:rFonts w:ascii="Times New Roman" w:eastAsia="Times New Roman" w:hAnsi="Times New Roman" w:cs="Times New Roman"/>
          <w:b/>
          <w:bCs/>
          <w:snapToGrid w:val="0"/>
          <w:kern w:val="0"/>
          <w:sz w:val="22"/>
          <w:szCs w:val="20"/>
          <w14:ligatures w14:val="none"/>
        </w:rPr>
        <w:t xml:space="preserve"> </w:t>
      </w:r>
      <w:proofErr w:type="spellStart"/>
      <w:r w:rsidRPr="00404325">
        <w:rPr>
          <w:rFonts w:ascii="Times New Roman" w:eastAsia="Times New Roman" w:hAnsi="Times New Roman" w:cs="Times New Roman"/>
          <w:snapToGrid w:val="0"/>
          <w:kern w:val="0"/>
          <w:sz w:val="22"/>
          <w:szCs w:val="20"/>
          <w14:ligatures w14:val="none"/>
        </w:rPr>
        <w:t>Apixaban</w:t>
      </w:r>
      <w:proofErr w:type="spellEnd"/>
      <w:r w:rsidRPr="00404325">
        <w:rPr>
          <w:rFonts w:ascii="Times New Roman" w:eastAsia="Times New Roman" w:hAnsi="Times New Roman" w:cs="Times New Roman"/>
          <w:snapToGrid w:val="0"/>
          <w:kern w:val="0"/>
          <w:sz w:val="22"/>
          <w:szCs w:val="20"/>
          <w14:ligatures w14:val="none"/>
        </w:rPr>
        <w:t xml:space="preserve"> </w:t>
      </w:r>
      <w:proofErr w:type="spellStart"/>
      <w:r w:rsidRPr="00404325">
        <w:rPr>
          <w:rFonts w:ascii="Times New Roman" w:eastAsia="Times New Roman" w:hAnsi="Times New Roman" w:cs="Times New Roman"/>
          <w:snapToGrid w:val="0"/>
          <w:kern w:val="0"/>
          <w:sz w:val="22"/>
          <w:szCs w:val="20"/>
          <w14:ligatures w14:val="none"/>
        </w:rPr>
        <w:t>Zentiva</w:t>
      </w:r>
      <w:proofErr w:type="spellEnd"/>
      <w:r w:rsidRPr="00404325">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b/>
          <w:bCs/>
          <w:snapToGrid w:val="0"/>
          <w:kern w:val="0"/>
          <w:sz w:val="22"/>
          <w:szCs w:val="20"/>
          <w14:ligatures w14:val="none"/>
        </w:rPr>
        <w:t xml:space="preserve">5 mg tabletes </w:t>
      </w:r>
      <w:r w:rsidRPr="00404325">
        <w:rPr>
          <w:rFonts w:ascii="Times New Roman" w:eastAsia="Times New Roman" w:hAnsi="Times New Roman" w:cs="Times New Roman"/>
          <w:snapToGrid w:val="0"/>
          <w:kern w:val="0"/>
          <w:sz w:val="22"/>
          <w:szCs w:val="20"/>
          <w14:ligatures w14:val="none"/>
        </w:rPr>
        <w:t xml:space="preserve">du kartus per parą, pavyzdžiui: </w:t>
      </w:r>
      <w:r w:rsidRPr="00D21DFA">
        <w:rPr>
          <w:rFonts w:ascii="Times New Roman" w:eastAsia="Times New Roman" w:hAnsi="Times New Roman" w:cs="Times New Roman"/>
          <w:snapToGrid w:val="0"/>
          <w:kern w:val="0"/>
          <w:sz w:val="22"/>
          <w:szCs w:val="20"/>
          <w14:ligatures w14:val="none"/>
        </w:rPr>
        <w:t>dvi</w:t>
      </w:r>
      <w:r w:rsidRPr="00404325">
        <w:rPr>
          <w:rFonts w:ascii="Times New Roman" w:eastAsia="Times New Roman" w:hAnsi="Times New Roman" w:cs="Times New Roman"/>
          <w:snapToGrid w:val="0"/>
          <w:kern w:val="0"/>
          <w:sz w:val="22"/>
          <w:szCs w:val="20"/>
          <w14:ligatures w14:val="none"/>
        </w:rPr>
        <w:t xml:space="preserve"> tabletes reikia vartoti ryte, o kitas </w:t>
      </w:r>
      <w:r w:rsidRPr="00D21DFA">
        <w:rPr>
          <w:rFonts w:ascii="Times New Roman" w:eastAsia="Times New Roman" w:hAnsi="Times New Roman" w:cs="Times New Roman"/>
          <w:snapToGrid w:val="0"/>
          <w:kern w:val="0"/>
          <w:sz w:val="22"/>
          <w:szCs w:val="20"/>
          <w14:ligatures w14:val="none"/>
        </w:rPr>
        <w:t>dvi</w:t>
      </w:r>
      <w:r w:rsidRPr="00404325">
        <w:rPr>
          <w:rFonts w:ascii="Times New Roman" w:eastAsia="Times New Roman" w:hAnsi="Times New Roman" w:cs="Times New Roman"/>
          <w:snapToGrid w:val="0"/>
          <w:kern w:val="0"/>
          <w:sz w:val="22"/>
          <w:szCs w:val="20"/>
          <w14:ligatures w14:val="none"/>
        </w:rPr>
        <w:t xml:space="preserve"> – vakare.</w:t>
      </w:r>
      <w:r w:rsidRPr="00D21DFA">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snapToGrid w:val="0"/>
          <w:kern w:val="0"/>
          <w:sz w:val="22"/>
          <w:szCs w:val="20"/>
          <w14:ligatures w14:val="none"/>
        </w:rPr>
        <w:t xml:space="preserve">Po 7 dienų rekomenduojama dozė yra po </w:t>
      </w:r>
      <w:r w:rsidRPr="00D21DFA">
        <w:rPr>
          <w:rFonts w:ascii="Times New Roman" w:eastAsia="Times New Roman" w:hAnsi="Times New Roman" w:cs="Times New Roman"/>
          <w:b/>
          <w:bCs/>
          <w:snapToGrid w:val="0"/>
          <w:kern w:val="0"/>
          <w:sz w:val="22"/>
          <w:szCs w:val="20"/>
          <w14:ligatures w14:val="none"/>
        </w:rPr>
        <w:t>viena</w:t>
      </w:r>
      <w:r w:rsidRPr="00404325">
        <w:rPr>
          <w:rFonts w:ascii="Times New Roman" w:eastAsia="Times New Roman" w:hAnsi="Times New Roman" w:cs="Times New Roman"/>
          <w:b/>
          <w:bCs/>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404325">
        <w:rPr>
          <w:rFonts w:ascii="Times New Roman" w:eastAsia="Times New Roman" w:hAnsi="Times New Roman" w:cs="Times New Roman"/>
          <w:snapToGrid w:val="0"/>
          <w:kern w:val="0"/>
          <w:sz w:val="22"/>
          <w:szCs w:val="20"/>
          <w14:ligatures w14:val="none"/>
        </w:rPr>
        <w:t xml:space="preserve"> </w:t>
      </w:r>
      <w:r w:rsidRPr="00404325">
        <w:rPr>
          <w:rFonts w:ascii="Times New Roman" w:eastAsia="Times New Roman" w:hAnsi="Times New Roman" w:cs="Times New Roman"/>
          <w:b/>
          <w:bCs/>
          <w:snapToGrid w:val="0"/>
          <w:kern w:val="0"/>
          <w:sz w:val="22"/>
          <w:szCs w:val="20"/>
          <w14:ligatures w14:val="none"/>
        </w:rPr>
        <w:t>5 mg table</w:t>
      </w:r>
      <w:r w:rsidRPr="00D21DFA">
        <w:rPr>
          <w:rFonts w:ascii="Times New Roman" w:eastAsia="Times New Roman" w:hAnsi="Times New Roman" w:cs="Times New Roman"/>
          <w:b/>
          <w:bCs/>
          <w:snapToGrid w:val="0"/>
          <w:kern w:val="0"/>
          <w:sz w:val="22"/>
          <w:szCs w:val="20"/>
          <w14:ligatures w14:val="none"/>
        </w:rPr>
        <w:t>tė</w:t>
      </w:r>
      <w:r w:rsidRPr="00404325">
        <w:rPr>
          <w:rFonts w:ascii="Times New Roman" w:eastAsia="Times New Roman" w:hAnsi="Times New Roman" w:cs="Times New Roman"/>
          <w:b/>
          <w:bCs/>
          <w:snapToGrid w:val="0"/>
          <w:kern w:val="0"/>
          <w:sz w:val="22"/>
          <w:szCs w:val="20"/>
          <w14:ligatures w14:val="none"/>
        </w:rPr>
        <w:t xml:space="preserve"> </w:t>
      </w:r>
      <w:r w:rsidRPr="00404325">
        <w:rPr>
          <w:rFonts w:ascii="Times New Roman" w:eastAsia="Times New Roman" w:hAnsi="Times New Roman" w:cs="Times New Roman"/>
          <w:snapToGrid w:val="0"/>
          <w:kern w:val="0"/>
          <w:sz w:val="22"/>
          <w:szCs w:val="20"/>
          <w14:ligatures w14:val="none"/>
        </w:rPr>
        <w:t>du kartus per parą, pavyzdžiui:</w:t>
      </w:r>
      <w:r w:rsidRPr="00D21DFA">
        <w:rPr>
          <w:rFonts w:ascii="Times New Roman" w:eastAsia="Times New Roman" w:hAnsi="Times New Roman" w:cs="Times New Roman"/>
          <w:snapToGrid w:val="0"/>
          <w:kern w:val="0"/>
          <w:sz w:val="22"/>
          <w:szCs w:val="20"/>
          <w14:ligatures w14:val="none"/>
        </w:rPr>
        <w:t xml:space="preserve"> viena</w:t>
      </w:r>
      <w:r w:rsidRPr="00404325">
        <w:rPr>
          <w:rFonts w:ascii="Times New Roman" w:eastAsia="Times New Roman" w:hAnsi="Times New Roman" w:cs="Times New Roman"/>
          <w:snapToGrid w:val="0"/>
          <w:kern w:val="0"/>
          <w:sz w:val="22"/>
          <w:szCs w:val="20"/>
          <w14:ligatures w14:val="none"/>
        </w:rPr>
        <w:t xml:space="preserve"> tablet</w:t>
      </w:r>
      <w:r w:rsidRPr="00D21DFA">
        <w:rPr>
          <w:rFonts w:ascii="Times New Roman" w:eastAsia="Times New Roman" w:hAnsi="Times New Roman" w:cs="Times New Roman"/>
          <w:snapToGrid w:val="0"/>
          <w:kern w:val="0"/>
          <w:sz w:val="22"/>
          <w:szCs w:val="20"/>
          <w14:ligatures w14:val="none"/>
        </w:rPr>
        <w:t>ę</w:t>
      </w:r>
      <w:r w:rsidRPr="00404325">
        <w:rPr>
          <w:rFonts w:ascii="Times New Roman" w:eastAsia="Times New Roman" w:hAnsi="Times New Roman" w:cs="Times New Roman"/>
          <w:snapToGrid w:val="0"/>
          <w:kern w:val="0"/>
          <w:sz w:val="22"/>
          <w:szCs w:val="20"/>
          <w14:ligatures w14:val="none"/>
        </w:rPr>
        <w:t xml:space="preserve"> reikia vartoti ryte, o kit</w:t>
      </w:r>
      <w:r w:rsidRPr="00D21DFA">
        <w:rPr>
          <w:rFonts w:ascii="Times New Roman" w:eastAsia="Times New Roman" w:hAnsi="Times New Roman" w:cs="Times New Roman"/>
          <w:snapToGrid w:val="0"/>
          <w:kern w:val="0"/>
          <w:sz w:val="22"/>
          <w:szCs w:val="20"/>
          <w14:ligatures w14:val="none"/>
        </w:rPr>
        <w:t>ą</w:t>
      </w:r>
      <w:r w:rsidRPr="00404325">
        <w:rPr>
          <w:rFonts w:ascii="Times New Roman" w:eastAsia="Times New Roman" w:hAnsi="Times New Roman" w:cs="Times New Roman"/>
          <w:snapToGrid w:val="0"/>
          <w:kern w:val="0"/>
          <w:sz w:val="22"/>
          <w:szCs w:val="20"/>
          <w14:ligatures w14:val="none"/>
        </w:rPr>
        <w:t xml:space="preserve"> – vakare.</w:t>
      </w:r>
    </w:p>
    <w:p w14:paraId="5ACE397D"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48068AC"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Tėvai ar prižiūrintys asmenys turi stebėti vaiką, kad įsitikintų, jog suvartota visa dozė.</w:t>
      </w:r>
    </w:p>
    <w:p w14:paraId="3D3C566B" w14:textId="77777777" w:rsidR="00404325" w:rsidRPr="00404325" w:rsidRDefault="00404325" w:rsidP="00404325">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5C09048" w14:textId="70F0BC52" w:rsidR="00404325" w:rsidRPr="00D21DFA" w:rsidRDefault="00404325"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404325">
        <w:rPr>
          <w:rFonts w:ascii="Times New Roman" w:eastAsia="Times New Roman" w:hAnsi="Times New Roman" w:cs="Times New Roman"/>
          <w:snapToGrid w:val="0"/>
          <w:kern w:val="0"/>
          <w:sz w:val="22"/>
          <w:szCs w:val="20"/>
          <w14:ligatures w14:val="none"/>
        </w:rPr>
        <w:t>Svarbu laikytis vizitų pas gydytoją grafiko, nes keičiantis svoriui dozę gali tekti keisti.</w:t>
      </w:r>
    </w:p>
    <w:p w14:paraId="53B343D3" w14:textId="77777777" w:rsidR="00404325" w:rsidRPr="00D21DFA" w:rsidRDefault="00404325"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617F3B2"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b/>
          <w:iCs/>
          <w:snapToGrid w:val="0"/>
          <w:kern w:val="0"/>
          <w:sz w:val="22"/>
          <w:szCs w:val="20"/>
          <w:u w:val="single"/>
          <w14:ligatures w14:val="none"/>
        </w:rPr>
        <w:t>Jūsų gydytojas gali keisti gydymą antikoaguliantais taip, kaip nurodyta toliau</w:t>
      </w:r>
      <w:r w:rsidRPr="00D21DFA">
        <w:rPr>
          <w:rFonts w:ascii="Times New Roman" w:eastAsia="Times New Roman" w:hAnsi="Times New Roman" w:cs="Times New Roman"/>
          <w:iCs/>
          <w:snapToGrid w:val="0"/>
          <w:kern w:val="0"/>
          <w:sz w:val="22"/>
          <w:szCs w:val="20"/>
          <w:u w:val="single"/>
          <w14:ligatures w14:val="none"/>
        </w:rPr>
        <w:t xml:space="preserve"> </w:t>
      </w:r>
    </w:p>
    <w:p w14:paraId="7FECB48C" w14:textId="77777777" w:rsidR="00C95D96" w:rsidRPr="00D21DFA" w:rsidRDefault="00C95D96" w:rsidP="00C95D96">
      <w:pPr>
        <w:numPr>
          <w:ilvl w:val="0"/>
          <w:numId w:val="50"/>
        </w:numPr>
        <w:tabs>
          <w:tab w:val="left" w:pos="567"/>
          <w:tab w:val="left" w:pos="9214"/>
        </w:tabs>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antikoaguliantais </w:t>
      </w:r>
    </w:p>
    <w:p w14:paraId="36D76A9A"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Nutraukite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vartojimą. Pradėkite gydymą antikoaguliantais (pvz., heparinu) tuo laiku, kada turite išgerti kitą tabletę.</w:t>
      </w:r>
    </w:p>
    <w:p w14:paraId="012166A6"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796B9377" w14:textId="77777777" w:rsidR="00C95D96" w:rsidRPr="00D21DFA"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antikoaguliantais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w:t>
      </w:r>
    </w:p>
    <w:p w14:paraId="2F054008" w14:textId="77777777" w:rsidR="00C95D96" w:rsidRPr="00D21DFA" w:rsidRDefault="00C95D96" w:rsidP="00C95D96">
      <w:pPr>
        <w:tabs>
          <w:tab w:val="left" w:pos="0"/>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r w:rsidRPr="00D21DFA">
        <w:rPr>
          <w:rFonts w:ascii="Times New Roman" w:eastAsia="Times New Roman" w:hAnsi="Times New Roman" w:cs="Times New Roman"/>
          <w:iCs/>
          <w:snapToGrid w:val="0"/>
          <w:kern w:val="0"/>
          <w:sz w:val="22"/>
          <w:szCs w:val="20"/>
          <w14:ligatures w14:val="none"/>
        </w:rPr>
        <w:t xml:space="preserve">Nutraukite antikoaguliantų vartojimą. Pradėkite gydymą </w:t>
      </w:r>
      <w:proofErr w:type="spellStart"/>
      <w:r w:rsidRPr="00D21DFA">
        <w:rPr>
          <w:rFonts w:ascii="Times New Roman" w:eastAsia="Times New Roman" w:hAnsi="Times New Roman" w:cs="Times New Roman"/>
          <w:iCs/>
          <w:snapToGrid w:val="0"/>
          <w:kern w:val="0"/>
          <w:sz w:val="22"/>
          <w:szCs w:val="20"/>
          <w14:ligatures w14:val="none"/>
        </w:rPr>
        <w:t>Apixaban</w:t>
      </w:r>
      <w:proofErr w:type="spellEnd"/>
      <w:r w:rsidRPr="00D21DFA">
        <w:rPr>
          <w:rFonts w:ascii="Times New Roman" w:eastAsia="Times New Roman" w:hAnsi="Times New Roman" w:cs="Times New Roman"/>
          <w:iCs/>
          <w:snapToGrid w:val="0"/>
          <w:kern w:val="0"/>
          <w:sz w:val="22"/>
          <w:szCs w:val="20"/>
          <w14:ligatures w14:val="none"/>
        </w:rPr>
        <w:t xml:space="preserve"> </w:t>
      </w:r>
      <w:proofErr w:type="spellStart"/>
      <w:r w:rsidRPr="00D21DFA">
        <w:rPr>
          <w:rFonts w:ascii="Times New Roman" w:eastAsia="Times New Roman" w:hAnsi="Times New Roman" w:cs="Times New Roman"/>
          <w:iCs/>
          <w:snapToGrid w:val="0"/>
          <w:kern w:val="0"/>
          <w:sz w:val="22"/>
          <w:szCs w:val="20"/>
          <w14:ligatures w14:val="none"/>
        </w:rPr>
        <w:t>Zentiva</w:t>
      </w:r>
      <w:proofErr w:type="spellEnd"/>
      <w:r w:rsidRPr="00D21DFA">
        <w:rPr>
          <w:rFonts w:ascii="Times New Roman" w:eastAsia="Times New Roman" w:hAnsi="Times New Roman" w:cs="Times New Roman"/>
          <w:iCs/>
          <w:snapToGrid w:val="0"/>
          <w:kern w:val="0"/>
          <w:sz w:val="22"/>
          <w:szCs w:val="20"/>
          <w14:ligatures w14:val="none"/>
        </w:rPr>
        <w:t xml:space="preserve"> tuo laiku, kada turėtumėte vartoti kitą antikoagulianto dozę, o toliau vartokite vaistą įprastai. </w:t>
      </w:r>
    </w:p>
    <w:p w14:paraId="77764566" w14:textId="77777777" w:rsidR="00C95D96" w:rsidRPr="00D21DFA" w:rsidRDefault="00C95D96" w:rsidP="00C95D96">
      <w:pPr>
        <w:tabs>
          <w:tab w:val="left" w:pos="567"/>
          <w:tab w:val="left" w:pos="9214"/>
        </w:tabs>
        <w:autoSpaceDE w:val="0"/>
        <w:autoSpaceDN w:val="0"/>
        <w:adjustRightInd w:val="0"/>
        <w:spacing w:after="0" w:line="240" w:lineRule="auto"/>
        <w:ind w:left="567" w:right="-2"/>
        <w:rPr>
          <w:rFonts w:ascii="Times New Roman" w:eastAsia="Times New Roman" w:hAnsi="Times New Roman" w:cs="Times New Roman"/>
          <w:iCs/>
          <w:snapToGrid w:val="0"/>
          <w:kern w:val="0"/>
          <w:sz w:val="22"/>
          <w:szCs w:val="20"/>
          <w14:ligatures w14:val="none"/>
        </w:rPr>
      </w:pPr>
    </w:p>
    <w:p w14:paraId="0F5159BC" w14:textId="77777777" w:rsidR="00C95D96" w:rsidRPr="00D21DFA"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antikoaguliantu, kurio sudėtyje yra vitamino K antagonisto (pvz., varfarino)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p>
    <w:p w14:paraId="3EEC488E" w14:textId="77777777"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iCs/>
          <w:kern w:val="0"/>
          <w:sz w:val="22"/>
          <w:szCs w:val="20"/>
          <w:lang w:eastAsia="lt-LT" w:bidi="lt-LT"/>
          <w14:ligatures w14:val="none"/>
        </w:rPr>
      </w:pPr>
      <w:r w:rsidRPr="00D21DFA">
        <w:rPr>
          <w:rFonts w:ascii="Times New Roman" w:eastAsia="Times New Roman" w:hAnsi="Times New Roman" w:cs="Times New Roman"/>
          <w:iCs/>
          <w:kern w:val="0"/>
          <w:sz w:val="22"/>
          <w:szCs w:val="20"/>
          <w:lang w:eastAsia="lt-LT" w:bidi="lt-LT"/>
          <w14:ligatures w14:val="none"/>
        </w:rPr>
        <w:t xml:space="preserve">Nutraukite vaisto, kurio sudėtyje yra vitamino K antagonisto, vartojimą. Gydytojas turės matuoti kraujo rodmenis ir nurodys Jums, kada pradėti vartoti </w:t>
      </w:r>
      <w:proofErr w:type="spellStart"/>
      <w:r w:rsidRPr="00D21DFA">
        <w:rPr>
          <w:rFonts w:ascii="Times New Roman" w:eastAsia="Times New Roman" w:hAnsi="Times New Roman" w:cs="Times New Roman"/>
          <w:iCs/>
          <w:snapToGrid w:val="0"/>
          <w:kern w:val="0"/>
          <w:sz w:val="22"/>
          <w:szCs w:val="20"/>
          <w:lang w:eastAsia="lt-LT" w:bidi="lt-LT"/>
          <w14:ligatures w14:val="none"/>
        </w:rPr>
        <w:t>Apixaban</w:t>
      </w:r>
      <w:proofErr w:type="spellEnd"/>
      <w:r w:rsidRPr="00D21DFA">
        <w:rPr>
          <w:rFonts w:ascii="Times New Roman" w:eastAsia="Times New Roman" w:hAnsi="Times New Roman" w:cs="Times New Roman"/>
          <w:iCs/>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iCs/>
          <w:snapToGrid w:val="0"/>
          <w:kern w:val="0"/>
          <w:sz w:val="22"/>
          <w:szCs w:val="20"/>
          <w:lang w:eastAsia="lt-LT" w:bidi="lt-LT"/>
          <w14:ligatures w14:val="none"/>
        </w:rPr>
        <w:t>Zentiva</w:t>
      </w:r>
      <w:proofErr w:type="spellEnd"/>
      <w:r w:rsidRPr="00D21DFA">
        <w:rPr>
          <w:rFonts w:ascii="Times New Roman" w:eastAsia="Times New Roman" w:hAnsi="Times New Roman" w:cs="Times New Roman"/>
          <w:iCs/>
          <w:kern w:val="0"/>
          <w:sz w:val="22"/>
          <w:szCs w:val="20"/>
          <w:lang w:eastAsia="lt-LT" w:bidi="lt-LT"/>
          <w14:ligatures w14:val="none"/>
        </w:rPr>
        <w:t>.</w:t>
      </w:r>
    </w:p>
    <w:p w14:paraId="09A83F77"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p>
    <w:p w14:paraId="16975D79" w14:textId="77777777" w:rsidR="00C95D96" w:rsidRPr="00D21DFA" w:rsidRDefault="00C95D96" w:rsidP="00C95D96">
      <w:pPr>
        <w:numPr>
          <w:ilvl w:val="0"/>
          <w:numId w:val="50"/>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antikoaguliantu, kurio sudėtyje yra vitamino K antagonisto (pvz., varfarino) </w:t>
      </w:r>
    </w:p>
    <w:p w14:paraId="47E9A8FF" w14:textId="77777777" w:rsidR="00C95D96" w:rsidRPr="00D21DFA" w:rsidRDefault="00C95D96" w:rsidP="00C95D96">
      <w:pPr>
        <w:tabs>
          <w:tab w:val="left" w:pos="9214"/>
        </w:tabs>
        <w:autoSpaceDE w:val="0"/>
        <w:autoSpaceDN w:val="0"/>
        <w:adjustRightInd w:val="0"/>
        <w:spacing w:after="0" w:line="240" w:lineRule="auto"/>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gydytojas nurodė Jums, kad pradėtumėte vartoti vaistą, kurio sudėtyje yra vitamino K antagonisto, toliau vartokite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 xml:space="preserve">ne trumpiau kaip 2 paras po to, kai suvartosite pirmąją vaisto, kurio sudėtyje yra vitamino K antagonisto, dozę. Gydytojas turės matuoti kraujo rodmenis ir nurodys Jums, kada baigti vartoti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w:t>
      </w:r>
    </w:p>
    <w:p w14:paraId="6A0527C2" w14:textId="77777777"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p>
    <w:p w14:paraId="62D3379C" w14:textId="77777777"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 xml:space="preserve">Pacientai, kuriems atliekama </w:t>
      </w:r>
      <w:proofErr w:type="spellStart"/>
      <w:r w:rsidRPr="00D21DFA">
        <w:rPr>
          <w:rFonts w:ascii="Times New Roman" w:eastAsia="Times New Roman" w:hAnsi="Times New Roman" w:cs="Times New Roman"/>
          <w:b/>
          <w:kern w:val="0"/>
          <w:sz w:val="22"/>
          <w:szCs w:val="20"/>
          <w:lang w:eastAsia="lt-LT" w:bidi="lt-LT"/>
          <w14:ligatures w14:val="none"/>
        </w:rPr>
        <w:t>kardioversija</w:t>
      </w:r>
      <w:proofErr w:type="spellEnd"/>
      <w:r w:rsidRPr="00D21DFA">
        <w:rPr>
          <w:rFonts w:ascii="Times New Roman" w:eastAsia="Times New Roman" w:hAnsi="Times New Roman" w:cs="Times New Roman"/>
          <w:b/>
          <w:kern w:val="0"/>
          <w:sz w:val="22"/>
          <w:szCs w:val="20"/>
          <w:lang w:eastAsia="lt-LT" w:bidi="lt-LT"/>
          <w14:ligatures w14:val="none"/>
        </w:rPr>
        <w:t xml:space="preserve"> </w:t>
      </w:r>
    </w:p>
    <w:p w14:paraId="5C09385B" w14:textId="3EE48A14" w:rsidR="00C95D96" w:rsidRPr="00D21DFA" w:rsidRDefault="00C95D96" w:rsidP="00C95D96">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Jeigu Jūsų širdis plaka ne</w:t>
      </w:r>
      <w:r w:rsidR="007F5A7C" w:rsidRPr="00D21DFA">
        <w:rPr>
          <w:rFonts w:ascii="Times New Roman" w:eastAsia="Times New Roman" w:hAnsi="Times New Roman" w:cs="Times New Roman"/>
          <w:kern w:val="0"/>
          <w:sz w:val="22"/>
          <w:szCs w:val="20"/>
          <w:lang w:eastAsia="lt-LT" w:bidi="lt-LT"/>
          <w14:ligatures w14:val="none"/>
        </w:rPr>
        <w:t>ritmiškai</w:t>
      </w:r>
      <w:r w:rsidRPr="00D21DFA">
        <w:rPr>
          <w:rFonts w:ascii="Times New Roman" w:eastAsia="Times New Roman" w:hAnsi="Times New Roman" w:cs="Times New Roman"/>
          <w:kern w:val="0"/>
          <w:sz w:val="22"/>
          <w:szCs w:val="20"/>
          <w:lang w:eastAsia="lt-LT" w:bidi="lt-LT"/>
          <w14:ligatures w14:val="none"/>
        </w:rPr>
        <w:t xml:space="preserve"> ir reikia atstatyti jos normalų ritmą taikant </w:t>
      </w:r>
      <w:proofErr w:type="spellStart"/>
      <w:r w:rsidRPr="00D21DFA">
        <w:rPr>
          <w:rFonts w:ascii="Times New Roman" w:eastAsia="Times New Roman" w:hAnsi="Times New Roman" w:cs="Times New Roman"/>
          <w:kern w:val="0"/>
          <w:sz w:val="22"/>
          <w:szCs w:val="20"/>
          <w:lang w:eastAsia="lt-LT" w:bidi="lt-LT"/>
          <w14:ligatures w14:val="none"/>
        </w:rPr>
        <w:t>kardioversija</w:t>
      </w:r>
      <w:proofErr w:type="spellEnd"/>
      <w:r w:rsidRPr="00D21DFA">
        <w:rPr>
          <w:rFonts w:ascii="Times New Roman" w:eastAsia="Times New Roman" w:hAnsi="Times New Roman" w:cs="Times New Roman"/>
          <w:kern w:val="0"/>
          <w:sz w:val="22"/>
          <w:szCs w:val="20"/>
          <w:lang w:eastAsia="lt-LT" w:bidi="lt-LT"/>
          <w14:ligatures w14:val="none"/>
        </w:rPr>
        <w:t xml:space="preserve"> vadinamą procedūrą, vartokite </w:t>
      </w:r>
      <w:r w:rsidRPr="00D21DFA">
        <w:rPr>
          <w:rFonts w:ascii="Times New Roman" w:eastAsia="Times New Roman" w:hAnsi="Times New Roman" w:cs="Times New Roman"/>
          <w:snapToGrid w:val="0"/>
          <w:kern w:val="0"/>
          <w:sz w:val="22"/>
          <w:szCs w:val="20"/>
          <w:lang w:eastAsia="lt-LT" w:bidi="lt-LT"/>
          <w14:ligatures w14:val="none"/>
        </w:rPr>
        <w:t xml:space="preserve">šį vaistą </w:t>
      </w:r>
      <w:r w:rsidRPr="00D21DFA">
        <w:rPr>
          <w:rFonts w:ascii="Times New Roman" w:eastAsia="Times New Roman" w:hAnsi="Times New Roman" w:cs="Times New Roman"/>
          <w:kern w:val="0"/>
          <w:sz w:val="22"/>
          <w:szCs w:val="20"/>
          <w:lang w:eastAsia="lt-LT" w:bidi="lt-LT"/>
          <w14:ligatures w14:val="none"/>
        </w:rPr>
        <w:t>taip, kaip nurodė gydytojas, siekiant išvengti krešulių susiformavimo galvos smegenų ir kitose Jūsų kūno kraujagyslėse.</w:t>
      </w:r>
    </w:p>
    <w:p w14:paraId="68C3EF58"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3FC1FF93"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Ką daryti pavartojus per didelę</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dozę</w:t>
      </w:r>
    </w:p>
    <w:p w14:paraId="107686DE"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šio vaisto dozę nei buvo paskirta, </w:t>
      </w:r>
      <w:r w:rsidRPr="00D21DFA">
        <w:rPr>
          <w:rFonts w:ascii="Times New Roman" w:eastAsia="Times New Roman" w:hAnsi="Times New Roman" w:cs="Times New Roman"/>
          <w:b/>
          <w:snapToGrid w:val="0"/>
          <w:kern w:val="0"/>
          <w:sz w:val="22"/>
          <w:szCs w:val="20"/>
          <w14:ligatures w14:val="none"/>
        </w:rPr>
        <w:t>nedelsdami pasakykite gydytojui</w:t>
      </w:r>
      <w:r w:rsidRPr="00D21DFA">
        <w:rPr>
          <w:rFonts w:ascii="Times New Roman" w:eastAsia="Times New Roman" w:hAnsi="Times New Roman" w:cs="Times New Roman"/>
          <w:snapToGrid w:val="0"/>
          <w:kern w:val="0"/>
          <w:sz w:val="22"/>
          <w:szCs w:val="20"/>
          <w14:ligatures w14:val="none"/>
        </w:rPr>
        <w:t xml:space="preserve">. Pasiimkite su savimi vaisto pakuotę, net jeigu joje nebeliko tablečių. </w:t>
      </w:r>
    </w:p>
    <w:p w14:paraId="2E20ABAC"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666A1BA"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faktoriui.</w:t>
      </w:r>
    </w:p>
    <w:p w14:paraId="1A5737E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F08A93B"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Pamiršus pavartoti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372B19D9" w14:textId="2FC3AC7A" w:rsidR="00D21DFA" w:rsidRPr="00D21DFA" w:rsidRDefault="00404325" w:rsidP="00AD1A35">
      <w:pPr>
        <w:numPr>
          <w:ilvl w:val="0"/>
          <w:numId w:val="6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Jeigu praleidote rytinę</w:t>
      </w:r>
      <w:r w:rsidR="00C95D96" w:rsidRPr="00AD1A35">
        <w:rPr>
          <w:rFonts w:ascii="Times New Roman" w:eastAsia="Times New Roman" w:hAnsi="Times New Roman" w:cs="Times New Roman"/>
          <w:kern w:val="0"/>
          <w:sz w:val="22"/>
          <w:szCs w:val="20"/>
          <w:lang w:eastAsia="lt-LT" w:bidi="lt-LT"/>
          <w14:ligatures w14:val="none"/>
        </w:rPr>
        <w:t xml:space="preserve"> dozę</w:t>
      </w:r>
      <w:r w:rsidRPr="00AD1A35">
        <w:rPr>
          <w:rFonts w:ascii="Times New Roman" w:eastAsia="Times New Roman" w:hAnsi="Times New Roman" w:cs="Times New Roman"/>
          <w:kern w:val="0"/>
          <w:sz w:val="22"/>
          <w:szCs w:val="20"/>
          <w:lang w:eastAsia="lt-LT" w:bidi="lt-LT"/>
          <w14:ligatures w14:val="none"/>
        </w:rPr>
        <w:t>, suvartokite ją</w:t>
      </w:r>
      <w:r w:rsidR="00C95D96" w:rsidRPr="00AD1A35">
        <w:rPr>
          <w:rFonts w:ascii="Times New Roman" w:eastAsia="Times New Roman" w:hAnsi="Times New Roman" w:cs="Times New Roman"/>
          <w:kern w:val="0"/>
          <w:sz w:val="22"/>
          <w:szCs w:val="20"/>
          <w:lang w:eastAsia="lt-LT" w:bidi="lt-LT"/>
          <w14:ligatures w14:val="none"/>
        </w:rPr>
        <w:t xml:space="preserve"> iš karto</w:t>
      </w:r>
      <w:r w:rsidRPr="00AD1A35">
        <w:rPr>
          <w:rFonts w:ascii="Times New Roman" w:eastAsia="Times New Roman" w:hAnsi="Times New Roman" w:cs="Times New Roman"/>
          <w:kern w:val="0"/>
          <w:sz w:val="22"/>
          <w:szCs w:val="20"/>
          <w:lang w:eastAsia="lt-LT" w:bidi="lt-LT"/>
          <w14:ligatures w14:val="none"/>
        </w:rPr>
        <w:t>, kai tik</w:t>
      </w:r>
      <w:r w:rsidR="00C95D96" w:rsidRPr="00AD1A35">
        <w:rPr>
          <w:rFonts w:ascii="Times New Roman" w:eastAsia="Times New Roman" w:hAnsi="Times New Roman" w:cs="Times New Roman"/>
          <w:kern w:val="0"/>
          <w:sz w:val="22"/>
          <w:szCs w:val="20"/>
          <w:lang w:eastAsia="lt-LT" w:bidi="lt-LT"/>
          <w14:ligatures w14:val="none"/>
        </w:rPr>
        <w:t xml:space="preserve"> prisimin</w:t>
      </w:r>
      <w:r w:rsidRPr="00AD1A35">
        <w:rPr>
          <w:rFonts w:ascii="Times New Roman" w:eastAsia="Times New Roman" w:hAnsi="Times New Roman" w:cs="Times New Roman"/>
          <w:kern w:val="0"/>
          <w:sz w:val="22"/>
          <w:szCs w:val="20"/>
          <w:lang w:eastAsia="lt-LT" w:bidi="lt-LT"/>
          <w14:ligatures w14:val="none"/>
        </w:rPr>
        <w:t>site, ją galima vartoti kartu su vakarine doze.</w:t>
      </w:r>
      <w:r w:rsidR="00D21DFA" w:rsidRPr="00D21DFA">
        <w:rPr>
          <w:rFonts w:ascii="Times New Roman" w:eastAsia="Times New Roman" w:hAnsi="Times New Roman" w:cs="Times New Roman"/>
          <w:kern w:val="0"/>
          <w:sz w:val="22"/>
          <w:szCs w:val="20"/>
          <w:lang w:eastAsia="lt-LT" w:bidi="lt-LT"/>
          <w14:ligatures w14:val="none"/>
        </w:rPr>
        <w:t xml:space="preserve"> </w:t>
      </w:r>
    </w:p>
    <w:p w14:paraId="1869AA58" w14:textId="3EB202F8" w:rsidR="00C95D96" w:rsidRPr="00AD1A35" w:rsidRDefault="00404325" w:rsidP="00AD1A35">
      <w:pPr>
        <w:numPr>
          <w:ilvl w:val="0"/>
          <w:numId w:val="6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w:t>
      </w:r>
      <w:r w:rsidR="00D21DFA" w:rsidRPr="00AD1A35">
        <w:rPr>
          <w:rFonts w:ascii="Times New Roman" w:eastAsia="Times New Roman" w:hAnsi="Times New Roman" w:cs="Times New Roman"/>
          <w:kern w:val="0"/>
          <w:sz w:val="22"/>
          <w:szCs w:val="20"/>
          <w:lang w:eastAsia="lt-LT" w:bidi="lt-LT"/>
          <w14:ligatures w14:val="none"/>
        </w:rPr>
        <w:t>raleist</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xml:space="preserve"> vakarin</w:t>
      </w:r>
      <w:r w:rsidR="00D21DFA" w:rsidRPr="00AD1A35">
        <w:rPr>
          <w:rFonts w:ascii="Times New Roman" w:eastAsia="Times New Roman" w:hAnsi="Times New Roman" w:cs="Times New Roman" w:hint="eastAsia"/>
          <w:kern w:val="0"/>
          <w:sz w:val="22"/>
          <w:szCs w:val="20"/>
          <w:lang w:eastAsia="lt-LT" w:bidi="lt-LT"/>
          <w14:ligatures w14:val="none"/>
        </w:rPr>
        <w:t>ę</w:t>
      </w:r>
      <w:r w:rsidR="00D21DFA" w:rsidRPr="00AD1A35">
        <w:rPr>
          <w:rFonts w:ascii="Times New Roman" w:eastAsia="Times New Roman" w:hAnsi="Times New Roman" w:cs="Times New Roman"/>
          <w:kern w:val="0"/>
          <w:sz w:val="22"/>
          <w:szCs w:val="20"/>
          <w:lang w:eastAsia="lt-LT" w:bidi="lt-LT"/>
          <w14:ligatures w14:val="none"/>
        </w:rPr>
        <w:t xml:space="preserve"> doz</w:t>
      </w:r>
      <w:r w:rsidR="00D21DFA" w:rsidRPr="00AD1A35">
        <w:rPr>
          <w:rFonts w:ascii="Times New Roman" w:eastAsia="Times New Roman" w:hAnsi="Times New Roman" w:cs="Times New Roman" w:hint="eastAsia"/>
          <w:kern w:val="0"/>
          <w:sz w:val="22"/>
          <w:szCs w:val="20"/>
          <w:lang w:eastAsia="lt-LT" w:bidi="lt-LT"/>
          <w14:ligatures w14:val="none"/>
        </w:rPr>
        <w:t>ę</w:t>
      </w:r>
      <w:r w:rsidR="00D21DFA" w:rsidRPr="00AD1A35">
        <w:rPr>
          <w:rFonts w:ascii="Times New Roman" w:eastAsia="Times New Roman" w:hAnsi="Times New Roman" w:cs="Times New Roman"/>
          <w:kern w:val="0"/>
          <w:sz w:val="22"/>
          <w:szCs w:val="20"/>
          <w:lang w:eastAsia="lt-LT" w:bidi="lt-LT"/>
          <w14:ligatures w14:val="none"/>
        </w:rPr>
        <w:t xml:space="preserve"> galima vartoti tik t</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xml:space="preserve"> pat</w:t>
      </w:r>
      <w:r w:rsidR="00D21DFA" w:rsidRPr="00AD1A35">
        <w:rPr>
          <w:rFonts w:ascii="Times New Roman" w:eastAsia="Times New Roman" w:hAnsi="Times New Roman" w:cs="Times New Roman" w:hint="eastAsia"/>
          <w:kern w:val="0"/>
          <w:sz w:val="22"/>
          <w:szCs w:val="20"/>
          <w:lang w:eastAsia="lt-LT" w:bidi="lt-LT"/>
          <w14:ligatures w14:val="none"/>
        </w:rPr>
        <w:t>į</w:t>
      </w:r>
      <w:r w:rsidR="00D21DFA" w:rsidRPr="00AD1A35">
        <w:rPr>
          <w:rFonts w:ascii="Times New Roman" w:eastAsia="Times New Roman" w:hAnsi="Times New Roman" w:cs="Times New Roman"/>
          <w:kern w:val="0"/>
          <w:sz w:val="22"/>
          <w:szCs w:val="20"/>
          <w:lang w:eastAsia="lt-LT" w:bidi="lt-LT"/>
          <w14:ligatures w14:val="none"/>
        </w:rPr>
        <w:t xml:space="preserve"> vakar</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Nevartokite dviej</w:t>
      </w:r>
      <w:r w:rsidR="00D21DFA" w:rsidRPr="00AD1A35">
        <w:rPr>
          <w:rFonts w:ascii="Times New Roman" w:eastAsia="Times New Roman" w:hAnsi="Times New Roman" w:cs="Times New Roman" w:hint="eastAsia"/>
          <w:kern w:val="0"/>
          <w:sz w:val="22"/>
          <w:szCs w:val="20"/>
          <w:lang w:eastAsia="lt-LT" w:bidi="lt-LT"/>
          <w14:ligatures w14:val="none"/>
        </w:rPr>
        <w:t>ų</w:t>
      </w:r>
      <w:r w:rsidR="00D21DFA" w:rsidRPr="00AD1A35">
        <w:rPr>
          <w:rFonts w:ascii="Times New Roman" w:eastAsia="Times New Roman" w:hAnsi="Times New Roman" w:cs="Times New Roman"/>
          <w:kern w:val="0"/>
          <w:sz w:val="22"/>
          <w:szCs w:val="20"/>
          <w:lang w:eastAsia="lt-LT" w:bidi="lt-LT"/>
          <w14:ligatures w14:val="none"/>
        </w:rPr>
        <w:t xml:space="preserve"> dozi</w:t>
      </w:r>
      <w:r w:rsidR="00D21DFA" w:rsidRPr="00AD1A35">
        <w:rPr>
          <w:rFonts w:ascii="Times New Roman" w:eastAsia="Times New Roman" w:hAnsi="Times New Roman" w:cs="Times New Roman" w:hint="eastAsia"/>
          <w:kern w:val="0"/>
          <w:sz w:val="22"/>
          <w:szCs w:val="20"/>
          <w:lang w:eastAsia="lt-LT" w:bidi="lt-LT"/>
          <w14:ligatures w14:val="none"/>
        </w:rPr>
        <w:t>ų</w:t>
      </w:r>
      <w:r w:rsidR="00D21DFA" w:rsidRPr="00AD1A35">
        <w:rPr>
          <w:rFonts w:ascii="Times New Roman" w:eastAsia="Times New Roman" w:hAnsi="Times New Roman" w:cs="Times New Roman"/>
          <w:kern w:val="0"/>
          <w:sz w:val="22"/>
          <w:szCs w:val="20"/>
          <w:lang w:eastAsia="lt-LT" w:bidi="lt-LT"/>
          <w14:ligatures w14:val="none"/>
        </w:rPr>
        <w:t xml:space="preserve"> kit</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xml:space="preserve"> ryt</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Kit</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xml:space="preserve"> dien</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xml:space="preserve"> tiesiog toliau vartokite </w:t>
      </w:r>
      <w:r w:rsidR="00D21DFA" w:rsidRPr="00AD1A35">
        <w:rPr>
          <w:rFonts w:ascii="Times New Roman" w:eastAsia="Times New Roman" w:hAnsi="Times New Roman" w:cs="Times New Roman" w:hint="eastAsia"/>
          <w:kern w:val="0"/>
          <w:sz w:val="22"/>
          <w:szCs w:val="20"/>
          <w:lang w:eastAsia="lt-LT" w:bidi="lt-LT"/>
          <w14:ligatures w14:val="none"/>
        </w:rPr>
        <w:t>į</w:t>
      </w:r>
      <w:r w:rsidR="00D21DFA" w:rsidRPr="00AD1A35">
        <w:rPr>
          <w:rFonts w:ascii="Times New Roman" w:eastAsia="Times New Roman" w:hAnsi="Times New Roman" w:cs="Times New Roman"/>
          <w:kern w:val="0"/>
          <w:sz w:val="22"/>
          <w:szCs w:val="20"/>
          <w:lang w:eastAsia="lt-LT" w:bidi="lt-LT"/>
          <w14:ligatures w14:val="none"/>
        </w:rPr>
        <w:t>prast</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xml:space="preserve"> doz</w:t>
      </w:r>
      <w:r w:rsidR="00D21DFA" w:rsidRPr="00AD1A35">
        <w:rPr>
          <w:rFonts w:ascii="Times New Roman" w:eastAsia="Times New Roman" w:hAnsi="Times New Roman" w:cs="Times New Roman" w:hint="eastAsia"/>
          <w:kern w:val="0"/>
          <w:sz w:val="22"/>
          <w:szCs w:val="20"/>
          <w:lang w:eastAsia="lt-LT" w:bidi="lt-LT"/>
          <w14:ligatures w14:val="none"/>
        </w:rPr>
        <w:t>ę</w:t>
      </w:r>
      <w:r w:rsidR="00D21DFA" w:rsidRPr="00AD1A35">
        <w:rPr>
          <w:rFonts w:ascii="Times New Roman" w:eastAsia="Times New Roman" w:hAnsi="Times New Roman" w:cs="Times New Roman"/>
          <w:kern w:val="0"/>
          <w:sz w:val="22"/>
          <w:szCs w:val="20"/>
          <w:lang w:eastAsia="lt-LT" w:bidi="lt-LT"/>
          <w14:ligatures w14:val="none"/>
        </w:rPr>
        <w:t xml:space="preserve"> du kartus per par</w:t>
      </w:r>
      <w:r w:rsidR="00D21DFA" w:rsidRPr="00AD1A35">
        <w:rPr>
          <w:rFonts w:ascii="Times New Roman" w:eastAsia="Times New Roman" w:hAnsi="Times New Roman" w:cs="Times New Roman" w:hint="eastAsia"/>
          <w:kern w:val="0"/>
          <w:sz w:val="22"/>
          <w:szCs w:val="20"/>
          <w:lang w:eastAsia="lt-LT" w:bidi="lt-LT"/>
          <w14:ligatures w14:val="none"/>
        </w:rPr>
        <w:t>ą</w:t>
      </w:r>
      <w:r w:rsidR="00D21DFA" w:rsidRPr="00AD1A35">
        <w:rPr>
          <w:rFonts w:ascii="Times New Roman" w:eastAsia="Times New Roman" w:hAnsi="Times New Roman" w:cs="Times New Roman"/>
          <w:kern w:val="0"/>
          <w:sz w:val="22"/>
          <w:szCs w:val="20"/>
          <w:lang w:eastAsia="lt-LT" w:bidi="lt-LT"/>
          <w14:ligatures w14:val="none"/>
        </w:rPr>
        <w:t>, kaip rekomenduojama.</w:t>
      </w:r>
    </w:p>
    <w:p w14:paraId="51CF15FA" w14:textId="77777777" w:rsidR="00D21DFA" w:rsidRPr="00D21DFA" w:rsidRDefault="00D21DFA" w:rsidP="00AD1A35">
      <w:pPr>
        <w:tabs>
          <w:tab w:val="left" w:pos="567"/>
          <w:tab w:val="left" w:pos="9214"/>
        </w:tabs>
        <w:spacing w:after="0" w:line="240" w:lineRule="auto"/>
        <w:ind w:right="-2"/>
        <w:contextualSpacing/>
        <w:rPr>
          <w:rFonts w:ascii="Times New Roman" w:eastAsia="Times New Roman" w:hAnsi="Times New Roman" w:cs="Times New Roman"/>
          <w:snapToGrid w:val="0"/>
          <w:kern w:val="0"/>
          <w:sz w:val="22"/>
          <w:szCs w:val="20"/>
          <w14:ligatures w14:val="none"/>
        </w:rPr>
      </w:pPr>
    </w:p>
    <w:p w14:paraId="28B8C29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Jeigu abejojate, ką daryti, arba pamiršote pavartoti daugiau nei vieną dozę</w:t>
      </w:r>
      <w:r w:rsidRPr="00D21DFA">
        <w:rPr>
          <w:rFonts w:ascii="Times New Roman" w:eastAsia="Times New Roman" w:hAnsi="Times New Roman" w:cs="Times New Roman"/>
          <w:snapToGrid w:val="0"/>
          <w:kern w:val="0"/>
          <w:sz w:val="22"/>
          <w:szCs w:val="20"/>
          <w14:ligatures w14:val="none"/>
        </w:rPr>
        <w:t>, kreipkitės į savo gydytoją, vaistininką arba slaugytoją.</w:t>
      </w:r>
    </w:p>
    <w:p w14:paraId="530E05C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C0084D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Nustojus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1AF565B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Nenutraukite šio vaisto vartojimo prieš tai nepasitarę su savo gydytoju, kadangi per anksti nutraukus gydymą, gali būti didesnė kraujo krešulio susiformavimo rizika. </w:t>
      </w:r>
    </w:p>
    <w:p w14:paraId="534B814E"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2AC822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kiltų daugiau klausimų dėl šio vaisto vartojimo, kreipkitės į gydytoją, vaistininką arba slaugytoją. </w:t>
      </w:r>
    </w:p>
    <w:p w14:paraId="7F09CC7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F5B0D8"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D8E308D" w14:textId="77777777" w:rsidR="00C95D96" w:rsidRPr="00D21DFA" w:rsidRDefault="00C95D96" w:rsidP="00C95D96">
      <w:pPr>
        <w:keepNext/>
        <w:numPr>
          <w:ilvl w:val="0"/>
          <w:numId w:val="78"/>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Galimas šalutinis poveikis</w:t>
      </w:r>
    </w:p>
    <w:p w14:paraId="42E96225"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E6705E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Šis vaistas, kaip ir visi kiti, gali sukelti šalutinį poveikį, nors jis pasireiškia ne visiems žmonėms.</w:t>
      </w:r>
    </w:p>
    <w:p w14:paraId="2159337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Dažniausiai pasireiškęs bendrasis šio vaisto šalutinis poveikis buvo kraujavimas, kuris gali būti pavojingas gyvybei ir reikalauti skubios medicinos pagalbos.</w:t>
      </w:r>
    </w:p>
    <w:p w14:paraId="76178AC8"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003409DB"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vartojant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kad apsaugoti nuo kraujo krešulių formavimosi širdyje pacientams, kurių širdis plaka neritmiškai ir yra bent vienas papildomas rizikos veiksnys. </w:t>
      </w:r>
    </w:p>
    <w:p w14:paraId="676AB8F3"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04462A6F"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 reiškiniai (gali pasireikšti rečiau kaip 1 iš 10 asmenų) </w:t>
      </w:r>
    </w:p>
    <w:p w14:paraId="12D69242" w14:textId="77777777" w:rsidR="00C95D96" w:rsidRPr="00D21DFA" w:rsidRDefault="00C95D96" w:rsidP="00C95D96">
      <w:pPr>
        <w:numPr>
          <w:ilvl w:val="0"/>
          <w:numId w:val="6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4CB5AEB7"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akis, </w:t>
      </w:r>
    </w:p>
    <w:p w14:paraId="70FC79EB" w14:textId="13CA6E0B"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iš skrandžio</w:t>
      </w:r>
      <w:r w:rsidR="007F5A7C"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žarn</w:t>
      </w:r>
      <w:r w:rsidR="007F5A7C" w:rsidRPr="00D21DFA">
        <w:rPr>
          <w:rFonts w:ascii="Times New Roman" w:eastAsia="Times New Roman" w:hAnsi="Times New Roman" w:cs="Times New Roman"/>
          <w:kern w:val="0"/>
          <w:sz w:val="22"/>
          <w:szCs w:val="20"/>
          <w:lang w:eastAsia="lt-LT" w:bidi="lt-LT"/>
          <w14:ligatures w14:val="none"/>
        </w:rPr>
        <w:t>yno ar</w:t>
      </w:r>
      <w:r w:rsidRPr="00D21DFA">
        <w:rPr>
          <w:rFonts w:ascii="Times New Roman" w:eastAsia="Times New Roman" w:hAnsi="Times New Roman" w:cs="Times New Roman"/>
          <w:kern w:val="0"/>
          <w:sz w:val="22"/>
          <w:szCs w:val="20"/>
          <w:lang w:eastAsia="lt-LT" w:bidi="lt-LT"/>
          <w14:ligatures w14:val="none"/>
        </w:rPr>
        <w:t xml:space="preserve"> tiesiosios žarnos, </w:t>
      </w:r>
    </w:p>
    <w:p w14:paraId="20DE2B9A"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kraują šlapime, </w:t>
      </w:r>
    </w:p>
    <w:p w14:paraId="063B76E9"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324D7275"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602CB39D" w14:textId="77777777" w:rsidR="00C95D96" w:rsidRPr="00D21DFA" w:rsidRDefault="00C95D96" w:rsidP="00C95D96">
      <w:pPr>
        <w:numPr>
          <w:ilvl w:val="0"/>
          <w:numId w:val="3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atsiradimą ir patinimą. </w:t>
      </w:r>
    </w:p>
    <w:p w14:paraId="2DF38852"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72C1760C" w14:textId="57EC66A0"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w:t>
      </w:r>
      <w:r w:rsidR="007F5A7C" w:rsidRPr="00D21DFA">
        <w:rPr>
          <w:rFonts w:ascii="Times New Roman" w:eastAsia="Times New Roman" w:hAnsi="Times New Roman" w:cs="Times New Roman"/>
          <w:kern w:val="0"/>
          <w:sz w:val="22"/>
          <w:szCs w:val="20"/>
          <w:lang w:eastAsia="lt-LT" w:bidi="lt-LT"/>
          <w14:ligatures w14:val="none"/>
        </w:rPr>
        <w:t>silpnumą</w:t>
      </w:r>
      <w:r w:rsidRPr="00D21DFA">
        <w:rPr>
          <w:rFonts w:ascii="Times New Roman" w:eastAsia="Times New Roman" w:hAnsi="Times New Roman" w:cs="Times New Roman"/>
          <w:kern w:val="0"/>
          <w:sz w:val="22"/>
          <w:szCs w:val="20"/>
          <w:lang w:eastAsia="lt-LT" w:bidi="lt-LT"/>
          <w14:ligatures w14:val="none"/>
        </w:rPr>
        <w:t xml:space="preserve"> ar </w:t>
      </w:r>
      <w:r w:rsidR="007F5A7C" w:rsidRPr="00D21DFA">
        <w:rPr>
          <w:rFonts w:ascii="Times New Roman" w:eastAsia="Times New Roman" w:hAnsi="Times New Roman" w:cs="Times New Roman"/>
          <w:kern w:val="0"/>
          <w:sz w:val="22"/>
          <w:szCs w:val="20"/>
          <w:lang w:eastAsia="lt-LT" w:bidi="lt-LT"/>
          <w14:ligatures w14:val="none"/>
        </w:rPr>
        <w:t xml:space="preserve">gali </w:t>
      </w:r>
      <w:r w:rsidRPr="00D21DFA">
        <w:rPr>
          <w:rFonts w:ascii="Times New Roman" w:eastAsia="Times New Roman" w:hAnsi="Times New Roman" w:cs="Times New Roman"/>
          <w:kern w:val="0"/>
          <w:sz w:val="22"/>
          <w:szCs w:val="20"/>
          <w:lang w:eastAsia="lt-LT" w:bidi="lt-LT"/>
          <w14:ligatures w14:val="none"/>
        </w:rPr>
        <w:t xml:space="preserve">padažnėti širdies plakimas. </w:t>
      </w:r>
    </w:p>
    <w:p w14:paraId="02DA9669"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16C8EAED" w14:textId="77777777" w:rsidR="00C95D96" w:rsidRPr="00D21DFA" w:rsidRDefault="00C95D96" w:rsidP="00C95D96">
      <w:pPr>
        <w:numPr>
          <w:ilvl w:val="0"/>
          <w:numId w:val="6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34E94318" w14:textId="77777777" w:rsidR="00C95D96" w:rsidRPr="00D21DFA" w:rsidRDefault="00C95D96" w:rsidP="00C95D96">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aktyvumą kraujyje. </w:t>
      </w:r>
    </w:p>
    <w:p w14:paraId="73BFB4A6"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C8248B5"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4D2BF9BB" w14:textId="77777777" w:rsidR="00C95D96" w:rsidRPr="00D21DFA" w:rsidRDefault="00C95D96" w:rsidP="00C95D96">
      <w:pPr>
        <w:numPr>
          <w:ilvl w:val="0"/>
          <w:numId w:val="6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2B185AB2"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605C1762"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kraują atkosėtuose skrepliuose, </w:t>
      </w:r>
    </w:p>
    <w:p w14:paraId="47F9F7B2" w14:textId="582A3C26"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pilvą arba iš makšties, </w:t>
      </w:r>
    </w:p>
    <w:p w14:paraId="5BA0537C"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30AFA480"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(kraujosruvos) ir patinimą, kraujo ar skysčio išskyras iš chirurginės žaizdos (pjūvio) vietos (žaizdos sekreciją) arba injekcijos vietų, </w:t>
      </w:r>
    </w:p>
    <w:p w14:paraId="5D467DEB" w14:textId="67526A26"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w:t>
      </w:r>
      <w:r w:rsidR="007F5A7C" w:rsidRPr="00D21DFA">
        <w:rPr>
          <w:rFonts w:ascii="Times New Roman" w:eastAsia="Times New Roman" w:hAnsi="Times New Roman" w:cs="Times New Roman"/>
          <w:kern w:val="0"/>
          <w:sz w:val="22"/>
          <w:szCs w:val="20"/>
          <w:lang w:eastAsia="lt-LT" w:bidi="lt-LT"/>
          <w14:ligatures w14:val="none"/>
        </w:rPr>
        <w:t>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74597BC8" w14:textId="77777777" w:rsidR="00C95D96" w:rsidRPr="00D21DFA" w:rsidRDefault="00C95D96" w:rsidP="00C95D96">
      <w:pPr>
        <w:numPr>
          <w:ilvl w:val="0"/>
          <w:numId w:val="3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27EE9893" w14:textId="6C251495" w:rsidR="00C95D96" w:rsidRPr="00D21DFA"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Sumažėjęs trombocitų</w:t>
      </w:r>
      <w:r w:rsidR="007F5A7C" w:rsidRPr="00D21DFA">
        <w:rPr>
          <w:rFonts w:ascii="Times New Roman" w:eastAsia="Times New Roman" w:hAnsi="Times New Roman" w:cs="Times New Roman"/>
          <w:kern w:val="0"/>
          <w:sz w:val="22"/>
          <w:szCs w:val="20"/>
          <w:lang w:eastAsia="lt-LT" w:bidi="lt-LT"/>
          <w14:ligatures w14:val="none"/>
        </w:rPr>
        <w:t xml:space="preserve"> (kraujo plokštelių)</w:t>
      </w:r>
      <w:r w:rsidRPr="00D21DFA">
        <w:rPr>
          <w:rFonts w:ascii="Times New Roman" w:eastAsia="Times New Roman" w:hAnsi="Times New Roman" w:cs="Times New Roman"/>
          <w:kern w:val="0"/>
          <w:sz w:val="22"/>
          <w:szCs w:val="20"/>
          <w:lang w:eastAsia="lt-LT" w:bidi="lt-LT"/>
          <w14:ligatures w14:val="none"/>
        </w:rPr>
        <w:t xml:space="preserve"> skaičius kraujyje (dėl to gali sutrikti krešėjimas). </w:t>
      </w:r>
    </w:p>
    <w:p w14:paraId="07600F0E" w14:textId="77777777" w:rsidR="00C95D96" w:rsidRPr="00D21DFA" w:rsidRDefault="00C95D96" w:rsidP="00C95D96">
      <w:pPr>
        <w:numPr>
          <w:ilvl w:val="0"/>
          <w:numId w:val="6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0B2E42CA" w14:textId="5FBF26AB" w:rsidR="00C95D96" w:rsidRPr="00D21DFA"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sutrikusią kepenų</w:t>
      </w:r>
      <w:r w:rsidR="007F5A7C" w:rsidRPr="00D21DFA">
        <w:rPr>
          <w:rFonts w:ascii="Times New Roman" w:eastAsia="Times New Roman" w:hAnsi="Times New Roman" w:cs="Times New Roman"/>
          <w:kern w:val="0"/>
          <w:sz w:val="22"/>
          <w:szCs w:val="20"/>
          <w:lang w:eastAsia="lt-LT" w:bidi="lt-LT"/>
          <w14:ligatures w14:val="none"/>
        </w:rPr>
        <w:t xml:space="preserve"> veiklą</w:t>
      </w:r>
      <w:r w:rsidRPr="00D21DFA">
        <w:rPr>
          <w:rFonts w:ascii="Times New Roman" w:eastAsia="Times New Roman" w:hAnsi="Times New Roman" w:cs="Times New Roman"/>
          <w:kern w:val="0"/>
          <w:sz w:val="22"/>
          <w:szCs w:val="20"/>
          <w:lang w:eastAsia="lt-LT" w:bidi="lt-LT"/>
          <w14:ligatures w14:val="none"/>
        </w:rPr>
        <w:t xml:space="preserve"> </w:t>
      </w:r>
      <w:r w:rsidR="007F5A7C"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funkciją</w:t>
      </w:r>
      <w:r w:rsidR="007F5A7C"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w:t>
      </w:r>
    </w:p>
    <w:p w14:paraId="08C4E36D" w14:textId="77777777" w:rsidR="00C95D96" w:rsidRPr="00D21DFA"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04558E3D" w14:textId="77777777" w:rsidR="00C95D96" w:rsidRPr="00D21DFA" w:rsidRDefault="00C95D96" w:rsidP="00C95D96">
      <w:pPr>
        <w:numPr>
          <w:ilvl w:val="0"/>
          <w:numId w:val="3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613E7221" w14:textId="77777777"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Odos išbėrimas.</w:t>
      </w:r>
    </w:p>
    <w:p w14:paraId="33AD5021" w14:textId="0E7165B2"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Niež</w:t>
      </w:r>
      <w:r w:rsidR="007F5A7C" w:rsidRPr="00D21DFA">
        <w:rPr>
          <w:rFonts w:ascii="Times New Roman" w:eastAsia="Times New Roman" w:hAnsi="Times New Roman" w:cs="Times New Roman"/>
          <w:kern w:val="0"/>
          <w:sz w:val="22"/>
          <w:szCs w:val="20"/>
          <w:lang w:eastAsia="lt-LT" w:bidi="lt-LT"/>
          <w14:ligatures w14:val="none"/>
        </w:rPr>
        <w:t>ėjimas</w:t>
      </w:r>
      <w:r w:rsidRPr="00D21DFA">
        <w:rPr>
          <w:rFonts w:ascii="Times New Roman" w:eastAsia="Times New Roman" w:hAnsi="Times New Roman" w:cs="Times New Roman"/>
          <w:kern w:val="0"/>
          <w:sz w:val="22"/>
          <w:szCs w:val="20"/>
          <w:lang w:eastAsia="lt-LT" w:bidi="lt-LT"/>
          <w14:ligatures w14:val="none"/>
        </w:rPr>
        <w:t xml:space="preserve">. </w:t>
      </w:r>
    </w:p>
    <w:p w14:paraId="1AE7CA4C" w14:textId="77777777"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494883F3" w14:textId="77777777" w:rsidR="00C95D96" w:rsidRPr="00D21DFA" w:rsidRDefault="00C95D96" w:rsidP="00C95D96">
      <w:pPr>
        <w:numPr>
          <w:ilvl w:val="0"/>
          <w:numId w:val="6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kvėpavimo pasunkėjimą. Jeigu pasireikštų bet kuris iš šių simptomų, </w:t>
      </w:r>
      <w:r w:rsidRPr="00D21DFA">
        <w:rPr>
          <w:rFonts w:ascii="Times New Roman" w:eastAsia="Times New Roman" w:hAnsi="Times New Roman" w:cs="Times New Roman"/>
          <w:b/>
          <w:bCs/>
          <w:kern w:val="0"/>
          <w:sz w:val="22"/>
          <w:szCs w:val="20"/>
          <w:lang w:eastAsia="lt-LT" w:bidi="lt-LT"/>
          <w14:ligatures w14:val="none"/>
        </w:rPr>
        <w:t>nedelsdami kreipkitės į savo gydytoją</w:t>
      </w:r>
      <w:r w:rsidRPr="00D21DFA">
        <w:rPr>
          <w:rFonts w:ascii="Times New Roman" w:eastAsia="Times New Roman" w:hAnsi="Times New Roman" w:cs="Times New Roman"/>
          <w:kern w:val="0"/>
          <w:sz w:val="22"/>
          <w:szCs w:val="20"/>
          <w:lang w:eastAsia="lt-LT" w:bidi="lt-LT"/>
          <w14:ligatures w14:val="none"/>
        </w:rPr>
        <w:t xml:space="preserve">. </w:t>
      </w:r>
    </w:p>
    <w:p w14:paraId="7DFADFE9"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C6CD74C"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168C3695" w14:textId="77777777" w:rsidR="00C95D96" w:rsidRPr="00D21DFA" w:rsidRDefault="00C95D96" w:rsidP="00C95D96">
      <w:pPr>
        <w:numPr>
          <w:ilvl w:val="0"/>
          <w:numId w:val="6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1C16BFE8" w14:textId="2F5727FF" w:rsidR="00C95D96" w:rsidRPr="00D21DFA"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plaučių arba gerklės</w:t>
      </w:r>
      <w:r w:rsidR="007F5A7C"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w:t>
      </w:r>
    </w:p>
    <w:p w14:paraId="2FCCEF97" w14:textId="2898BECB" w:rsidR="00C95D96" w:rsidRPr="00D21DFA"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w:t>
      </w:r>
      <w:r w:rsidR="007F5A7C" w:rsidRPr="00D21DFA">
        <w:rPr>
          <w:rFonts w:ascii="Times New Roman" w:eastAsia="Times New Roman" w:hAnsi="Times New Roman" w:cs="Times New Roman"/>
          <w:kern w:val="0"/>
          <w:sz w:val="22"/>
          <w:szCs w:val="20"/>
          <w:lang w:eastAsia="lt-LT" w:bidi="lt-LT"/>
          <w14:ligatures w14:val="none"/>
        </w:rPr>
        <w:t>er</w:t>
      </w:r>
      <w:r w:rsidR="006A2B9E" w:rsidRPr="00D21DFA">
        <w:rPr>
          <w:rFonts w:ascii="Times New Roman" w:eastAsia="Times New Roman" w:hAnsi="Times New Roman" w:cs="Times New Roman"/>
          <w:kern w:val="0"/>
          <w:sz w:val="22"/>
          <w:szCs w:val="20"/>
          <w:lang w:eastAsia="lt-LT" w:bidi="lt-LT"/>
          <w14:ligatures w14:val="none"/>
        </w:rPr>
        <w:t>dvę</w:t>
      </w:r>
      <w:r w:rsidR="007F5A7C" w:rsidRPr="00D21DFA">
        <w:rPr>
          <w:rFonts w:ascii="Times New Roman" w:eastAsia="Times New Roman" w:hAnsi="Times New Roman" w:cs="Times New Roman"/>
          <w:kern w:val="0"/>
          <w:sz w:val="22"/>
          <w:szCs w:val="20"/>
          <w:lang w:eastAsia="lt-LT" w:bidi="lt-LT"/>
          <w14:ligatures w14:val="none"/>
        </w:rPr>
        <w:t xml:space="preserve"> už</w:t>
      </w:r>
      <w:r w:rsidRPr="00D21DFA">
        <w:rPr>
          <w:rFonts w:ascii="Times New Roman" w:eastAsia="Times New Roman" w:hAnsi="Times New Roman" w:cs="Times New Roman"/>
          <w:kern w:val="0"/>
          <w:sz w:val="22"/>
          <w:szCs w:val="20"/>
          <w:lang w:eastAsia="lt-LT" w:bidi="lt-LT"/>
          <w14:ligatures w14:val="none"/>
        </w:rPr>
        <w:t xml:space="preserve"> pilvo ertm</w:t>
      </w:r>
      <w:r w:rsidR="007F5A7C" w:rsidRPr="00D21DFA">
        <w:rPr>
          <w:rFonts w:ascii="Times New Roman" w:eastAsia="Times New Roman" w:hAnsi="Times New Roman" w:cs="Times New Roman"/>
          <w:kern w:val="0"/>
          <w:sz w:val="22"/>
          <w:szCs w:val="20"/>
          <w:lang w:eastAsia="lt-LT" w:bidi="lt-LT"/>
          <w14:ligatures w14:val="none"/>
        </w:rPr>
        <w:t>ės,</w:t>
      </w:r>
      <w:r w:rsidRPr="00D21DFA">
        <w:rPr>
          <w:rFonts w:ascii="Times New Roman" w:eastAsia="Times New Roman" w:hAnsi="Times New Roman" w:cs="Times New Roman"/>
          <w:kern w:val="0"/>
          <w:sz w:val="22"/>
          <w:szCs w:val="20"/>
          <w:lang w:eastAsia="lt-LT" w:bidi="lt-LT"/>
          <w14:ligatures w14:val="none"/>
        </w:rPr>
        <w:t xml:space="preserve"> </w:t>
      </w:r>
    </w:p>
    <w:p w14:paraId="64103232" w14:textId="77777777" w:rsidR="00C95D96" w:rsidRPr="00D21DFA" w:rsidRDefault="00C95D96" w:rsidP="00C95D96">
      <w:pPr>
        <w:numPr>
          <w:ilvl w:val="0"/>
          <w:numId w:val="3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raumenis.</w:t>
      </w:r>
    </w:p>
    <w:p w14:paraId="5C6286CC"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4ADA29C2"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Labai reti šalutinio poveikio reiškiniai (gali pasireikšti rečiau kaip 1 iš 10 000 asmenų) </w:t>
      </w:r>
    </w:p>
    <w:p w14:paraId="2E80D5AA" w14:textId="77777777" w:rsidR="00C95D96" w:rsidRPr="00D21DFA" w:rsidRDefault="00C95D96" w:rsidP="00C95D96">
      <w:pPr>
        <w:numPr>
          <w:ilvl w:val="0"/>
          <w:numId w:val="66"/>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1F919A99"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2FE4B022" w14:textId="77777777" w:rsidR="00C95D96" w:rsidRPr="00D21DFA" w:rsidRDefault="00C95D96" w:rsidP="00C95D96">
      <w:pPr>
        <w:tabs>
          <w:tab w:val="left" w:pos="567"/>
          <w:tab w:val="left" w:pos="9214"/>
        </w:tabs>
        <w:autoSpaceDE w:val="0"/>
        <w:autoSpaceDN w:val="0"/>
        <w:adjustRightInd w:val="0"/>
        <w:spacing w:after="0" w:line="240" w:lineRule="auto"/>
        <w:ind w:right="-2"/>
        <w:contextualSpacing/>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345C5F1" w14:textId="4856BDCE" w:rsidR="00C95D96" w:rsidRPr="00D21DFA" w:rsidRDefault="00C95D96" w:rsidP="00C95D96">
      <w:pPr>
        <w:numPr>
          <w:ilvl w:val="0"/>
          <w:numId w:val="67"/>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Kraujagyslių uždegimas (</w:t>
      </w:r>
      <w:proofErr w:type="spellStart"/>
      <w:r w:rsidRPr="00D21DFA">
        <w:rPr>
          <w:rFonts w:ascii="Times New Roman" w:eastAsia="Times New Roman" w:hAnsi="Times New Roman" w:cs="Times New Roman"/>
          <w:kern w:val="0"/>
          <w:sz w:val="22"/>
          <w:szCs w:val="22"/>
          <w:lang w:eastAsia="lt-LT" w:bidi="lt-LT"/>
          <w14:ligatures w14:val="none"/>
        </w:rPr>
        <w:t>vaskulitas</w:t>
      </w:r>
      <w:proofErr w:type="spellEnd"/>
      <w:r w:rsidRPr="00D21DFA">
        <w:rPr>
          <w:rFonts w:ascii="Times New Roman" w:eastAsia="Times New Roman" w:hAnsi="Times New Roman" w:cs="Times New Roman"/>
          <w:kern w:val="0"/>
          <w:sz w:val="22"/>
          <w:szCs w:val="22"/>
          <w:lang w:eastAsia="lt-LT" w:bidi="lt-LT"/>
          <w14:ligatures w14:val="none"/>
        </w:rPr>
        <w:t xml:space="preserve">), dėl kurio gali atsirasti odos išbėrimas arba </w:t>
      </w:r>
      <w:r w:rsidR="007F5A7C" w:rsidRPr="00D21DFA">
        <w:rPr>
          <w:rFonts w:ascii="Times New Roman" w:eastAsia="Times New Roman" w:hAnsi="Times New Roman" w:cs="Times New Roman"/>
          <w:kern w:val="0"/>
          <w:sz w:val="22"/>
          <w:szCs w:val="22"/>
          <w:lang w:eastAsia="lt-LT" w:bidi="lt-LT"/>
          <w14:ligatures w14:val="none"/>
        </w:rPr>
        <w:t>taškinės</w:t>
      </w:r>
      <w:r w:rsidRPr="00D21DFA">
        <w:rPr>
          <w:rFonts w:ascii="Times New Roman" w:eastAsia="Times New Roman" w:hAnsi="Times New Roman" w:cs="Times New Roman"/>
          <w:kern w:val="0"/>
          <w:sz w:val="22"/>
          <w:szCs w:val="22"/>
          <w:lang w:eastAsia="lt-LT" w:bidi="lt-LT"/>
          <w14:ligatures w14:val="none"/>
        </w:rPr>
        <w:t>, plokščios, raudonos, apvalios dėmės po odos paviršiumi arba mėlynės (kraujosruvos</w:t>
      </w:r>
      <w:r w:rsidRPr="00D21DFA">
        <w:rPr>
          <w:rFonts w:ascii="Times New Roman" w:eastAsia="TimesNewRoman" w:hAnsi="Times New Roman" w:cs="Times New Roman"/>
          <w:kern w:val="0"/>
          <w:sz w:val="22"/>
          <w:szCs w:val="22"/>
          <w:lang w:eastAsia="lt-LT" w:bidi="lt-LT"/>
          <w14:ligatures w14:val="none"/>
        </w:rPr>
        <w:t>).</w:t>
      </w:r>
    </w:p>
    <w:p w14:paraId="33D2B85A" w14:textId="77777777" w:rsidR="00F27B4D" w:rsidRPr="005E78DD" w:rsidRDefault="00F27B4D" w:rsidP="00F264C7">
      <w:pPr>
        <w:pStyle w:val="Sraopastraipa"/>
        <w:numPr>
          <w:ilvl w:val="0"/>
          <w:numId w:val="67"/>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56C7943A"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418E61A4"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kai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vartojamas kraujo krešuliams Jūsų kojų venose ir Jūsų plaučių kraujagyslėse gydyti arba apsaugoti nuo jų kartotinio formavimosi</w:t>
      </w:r>
      <w:r w:rsidRPr="00D21DFA">
        <w:rPr>
          <w:rFonts w:ascii="Times New Roman" w:eastAsia="Times New Roman" w:hAnsi="Times New Roman" w:cs="Times New Roman"/>
          <w:i/>
          <w:snapToGrid w:val="0"/>
          <w:kern w:val="0"/>
          <w:sz w:val="22"/>
          <w:szCs w:val="20"/>
          <w14:ligatures w14:val="none"/>
        </w:rPr>
        <w:t xml:space="preserve">. </w:t>
      </w:r>
    </w:p>
    <w:p w14:paraId="0E44B1FD"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p>
    <w:p w14:paraId="7C6CEF7A"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7A2C20D7" w14:textId="77777777" w:rsidR="00C95D96" w:rsidRPr="00D21DFA" w:rsidRDefault="00C95D96" w:rsidP="00C95D96">
      <w:pPr>
        <w:numPr>
          <w:ilvl w:val="0"/>
          <w:numId w:val="6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09F4CC53"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0F4F3524"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6CB66743"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pasirodymą šlapime, </w:t>
      </w:r>
    </w:p>
    <w:p w14:paraId="2CA47698"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susidarymą ir patinimą, </w:t>
      </w:r>
    </w:p>
    <w:p w14:paraId="3C66656F" w14:textId="42BC6BA4"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w:t>
      </w:r>
      <w:r w:rsidR="006A2B9E" w:rsidRPr="00D21DFA">
        <w:rPr>
          <w:rFonts w:ascii="Times New Roman" w:eastAsia="Times New Roman" w:hAnsi="Times New Roman" w:cs="Times New Roman"/>
          <w:kern w:val="0"/>
          <w:sz w:val="22"/>
          <w:szCs w:val="20"/>
          <w:lang w:eastAsia="lt-LT" w:bidi="lt-LT"/>
          <w14:ligatures w14:val="none"/>
        </w:rPr>
        <w:t xml:space="preserve">iš </w:t>
      </w:r>
      <w:r w:rsidRPr="00D21DFA">
        <w:rPr>
          <w:rFonts w:ascii="Times New Roman" w:eastAsia="Times New Roman" w:hAnsi="Times New Roman" w:cs="Times New Roman"/>
          <w:kern w:val="0"/>
          <w:sz w:val="22"/>
          <w:szCs w:val="20"/>
          <w:lang w:eastAsia="lt-LT" w:bidi="lt-LT"/>
          <w14:ligatures w14:val="none"/>
        </w:rPr>
        <w:t>skrand</w:t>
      </w:r>
      <w:r w:rsidR="006A2B9E" w:rsidRPr="00D21DFA">
        <w:rPr>
          <w:rFonts w:ascii="Times New Roman" w:eastAsia="Times New Roman" w:hAnsi="Times New Roman" w:cs="Times New Roman"/>
          <w:kern w:val="0"/>
          <w:sz w:val="22"/>
          <w:szCs w:val="20"/>
          <w:lang w:eastAsia="lt-LT" w:bidi="lt-LT"/>
          <w14:ligatures w14:val="none"/>
        </w:rPr>
        <w:t>žio</w:t>
      </w:r>
      <w:r w:rsidRPr="00D21DFA">
        <w:rPr>
          <w:rFonts w:ascii="Times New Roman" w:eastAsia="Times New Roman" w:hAnsi="Times New Roman" w:cs="Times New Roman"/>
          <w:kern w:val="0"/>
          <w:sz w:val="22"/>
          <w:szCs w:val="20"/>
          <w:lang w:eastAsia="lt-LT" w:bidi="lt-LT"/>
          <w14:ligatures w14:val="none"/>
        </w:rPr>
        <w:t>, žarnyn</w:t>
      </w:r>
      <w:r w:rsidR="006A2B9E" w:rsidRPr="00D21DFA">
        <w:rPr>
          <w:rFonts w:ascii="Times New Roman" w:eastAsia="Times New Roman" w:hAnsi="Times New Roman" w:cs="Times New Roman"/>
          <w:kern w:val="0"/>
          <w:sz w:val="22"/>
          <w:szCs w:val="20"/>
          <w:lang w:eastAsia="lt-LT" w:bidi="lt-LT"/>
          <w14:ligatures w14:val="none"/>
        </w:rPr>
        <w:t>o</w:t>
      </w:r>
      <w:r w:rsidRPr="00D21DFA">
        <w:rPr>
          <w:rFonts w:ascii="Times New Roman" w:eastAsia="Times New Roman" w:hAnsi="Times New Roman" w:cs="Times New Roman"/>
          <w:kern w:val="0"/>
          <w:sz w:val="22"/>
          <w:szCs w:val="20"/>
          <w:lang w:eastAsia="lt-LT" w:bidi="lt-LT"/>
          <w14:ligatures w14:val="none"/>
        </w:rPr>
        <w:t xml:space="preserve"> ar tiesi</w:t>
      </w:r>
      <w:r w:rsidR="006A2B9E" w:rsidRPr="00D21DFA">
        <w:rPr>
          <w:rFonts w:ascii="Times New Roman" w:eastAsia="Times New Roman" w:hAnsi="Times New Roman" w:cs="Times New Roman"/>
          <w:kern w:val="0"/>
          <w:sz w:val="22"/>
          <w:szCs w:val="20"/>
          <w:lang w:eastAsia="lt-LT" w:bidi="lt-LT"/>
          <w14:ligatures w14:val="none"/>
        </w:rPr>
        <w:t>osios</w:t>
      </w:r>
      <w:r w:rsidRPr="00D21DFA">
        <w:rPr>
          <w:rFonts w:ascii="Times New Roman" w:eastAsia="Times New Roman" w:hAnsi="Times New Roman" w:cs="Times New Roman"/>
          <w:kern w:val="0"/>
          <w:sz w:val="22"/>
          <w:szCs w:val="20"/>
          <w:lang w:eastAsia="lt-LT" w:bidi="lt-LT"/>
          <w14:ligatures w14:val="none"/>
        </w:rPr>
        <w:t xml:space="preserve"> žarn</w:t>
      </w:r>
      <w:r w:rsidR="006A2B9E" w:rsidRPr="00D21DFA">
        <w:rPr>
          <w:rFonts w:ascii="Times New Roman" w:eastAsia="Times New Roman" w:hAnsi="Times New Roman" w:cs="Times New Roman"/>
          <w:kern w:val="0"/>
          <w:sz w:val="22"/>
          <w:szCs w:val="20"/>
          <w:lang w:eastAsia="lt-LT" w:bidi="lt-LT"/>
          <w14:ligatures w14:val="none"/>
        </w:rPr>
        <w:t>os</w:t>
      </w:r>
      <w:r w:rsidRPr="00D21DFA">
        <w:rPr>
          <w:rFonts w:ascii="Times New Roman" w:eastAsia="Times New Roman" w:hAnsi="Times New Roman" w:cs="Times New Roman"/>
          <w:kern w:val="0"/>
          <w:sz w:val="22"/>
          <w:szCs w:val="20"/>
          <w:lang w:eastAsia="lt-LT" w:bidi="lt-LT"/>
          <w14:ligatures w14:val="none"/>
        </w:rPr>
        <w:t xml:space="preserve">, </w:t>
      </w:r>
    </w:p>
    <w:p w14:paraId="3F4E205A"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burnoje, </w:t>
      </w:r>
    </w:p>
    <w:p w14:paraId="333BEC0C" w14:textId="77777777" w:rsidR="00C95D96" w:rsidRPr="00D21DFA" w:rsidRDefault="00C95D96" w:rsidP="00C95D96">
      <w:pPr>
        <w:numPr>
          <w:ilvl w:val="0"/>
          <w:numId w:val="3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makšties. </w:t>
      </w:r>
    </w:p>
    <w:p w14:paraId="1CDB498D"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23A15AC0"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Sumažėjęs trombocitų skaičius kraujyje (dėl ko gali sutrikti krešėjimas).</w:t>
      </w:r>
    </w:p>
    <w:p w14:paraId="002337E5"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6223EBE2"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Odos išbėrimas. </w:t>
      </w:r>
    </w:p>
    <w:p w14:paraId="171D36F0" w14:textId="77777777" w:rsidR="00C95D96" w:rsidRPr="00D21DFA" w:rsidRDefault="00C95D96" w:rsidP="00C95D96">
      <w:pPr>
        <w:numPr>
          <w:ilvl w:val="0"/>
          <w:numId w:val="6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56D16463" w14:textId="77777777" w:rsidR="00C95D96" w:rsidRPr="00D21DFA" w:rsidRDefault="00C95D96" w:rsidP="00C95D96">
      <w:pPr>
        <w:numPr>
          <w:ilvl w:val="0"/>
          <w:numId w:val="36"/>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arba alaninaminotransferazės (ALT) aktyvumą kraujyje. </w:t>
      </w:r>
    </w:p>
    <w:p w14:paraId="3A050394"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D6727E5"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297261F2" w14:textId="77777777" w:rsidR="00C95D96" w:rsidRPr="00D21DFA"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alpimą ar gali padažnėti širdies susitraukimai. </w:t>
      </w:r>
    </w:p>
    <w:p w14:paraId="24244E2B" w14:textId="77777777" w:rsidR="00C95D96" w:rsidRPr="00D21DFA" w:rsidRDefault="00C95D96" w:rsidP="00C95D96">
      <w:pPr>
        <w:numPr>
          <w:ilvl w:val="0"/>
          <w:numId w:val="7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1FD78584"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akyse, </w:t>
      </w:r>
    </w:p>
    <w:p w14:paraId="2A29CDC7"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kraujas atkosėtuose skrepliuose, </w:t>
      </w:r>
    </w:p>
    <w:p w14:paraId="20C8274F"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3998B746"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tyrimais nustatytas kraujas išmatose ar šlapime, </w:t>
      </w:r>
    </w:p>
    <w:p w14:paraId="32BBCD66"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po</w:t>
      </w:r>
      <w:r w:rsidR="0045436E">
        <w:rPr>
          <w:rFonts w:ascii="Times New Roman" w:eastAsia="Times New Roman" w:hAnsi="Times New Roman" w:cs="Times New Roman"/>
          <w:kern w:val="0"/>
          <w:sz w:val="22"/>
          <w:szCs w:val="20"/>
          <w:lang w:eastAsia="lt-LT" w:bidi="lt-LT"/>
          <w14:ligatures w14:val="none"/>
        </w:rPr>
        <w:t xml:space="preserve"> bet kurios</w:t>
      </w:r>
      <w:r w:rsidRPr="00D21DFA">
        <w:rPr>
          <w:rFonts w:ascii="Times New Roman" w:eastAsia="Times New Roman" w:hAnsi="Times New Roman" w:cs="Times New Roman"/>
          <w:kern w:val="0"/>
          <w:sz w:val="22"/>
          <w:szCs w:val="20"/>
          <w:lang w:eastAsia="lt-LT" w:bidi="lt-LT"/>
          <w14:ligatures w14:val="none"/>
        </w:rPr>
        <w:t xml:space="preserve"> operacijos pasireiškiantis kraujavimas, įskaitant mėlynes (kraujosruvas) ir patinimą, kraujo ar skysčio išskyras iš chirurginės žaizdos (pjūvio) vietos (žaizdos sekreciją) arba injekcijos vietų, </w:t>
      </w:r>
    </w:p>
    <w:p w14:paraId="69C39B24" w14:textId="548BFA8A"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w:t>
      </w:r>
      <w:r w:rsidR="006A2B9E" w:rsidRPr="00D21DFA">
        <w:rPr>
          <w:rFonts w:ascii="Times New Roman" w:eastAsia="Times New Roman" w:hAnsi="Times New Roman" w:cs="Times New Roman"/>
          <w:kern w:val="0"/>
          <w:sz w:val="22"/>
          <w:szCs w:val="20"/>
          <w:lang w:eastAsia="lt-LT" w:bidi="lt-LT"/>
          <w14:ligatures w14:val="none"/>
        </w:rPr>
        <w:t>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1023B329" w14:textId="77777777" w:rsidR="00C95D96" w:rsidRPr="00D21DFA" w:rsidRDefault="00C95D96" w:rsidP="00C95D96">
      <w:pPr>
        <w:numPr>
          <w:ilvl w:val="0"/>
          <w:numId w:val="3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raumenis. </w:t>
      </w:r>
    </w:p>
    <w:p w14:paraId="449CE1C5" w14:textId="19175555"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Niež</w:t>
      </w:r>
      <w:r w:rsidR="007F5A7C" w:rsidRPr="00D21DFA">
        <w:rPr>
          <w:rFonts w:ascii="Times New Roman" w:eastAsia="Times New Roman" w:hAnsi="Times New Roman" w:cs="Times New Roman"/>
          <w:kern w:val="0"/>
          <w:sz w:val="22"/>
          <w:szCs w:val="20"/>
          <w:lang w:eastAsia="lt-LT" w:bidi="lt-LT"/>
          <w14:ligatures w14:val="none"/>
        </w:rPr>
        <w:t>ėjimas</w:t>
      </w:r>
      <w:r w:rsidRPr="00D21DFA">
        <w:rPr>
          <w:rFonts w:ascii="Times New Roman" w:eastAsia="Times New Roman" w:hAnsi="Times New Roman" w:cs="Times New Roman"/>
          <w:kern w:val="0"/>
          <w:sz w:val="22"/>
          <w:szCs w:val="20"/>
          <w:lang w:eastAsia="lt-LT" w:bidi="lt-LT"/>
          <w14:ligatures w14:val="none"/>
        </w:rPr>
        <w:t xml:space="preserve">. </w:t>
      </w:r>
    </w:p>
    <w:p w14:paraId="518E0D0B" w14:textId="77777777"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51974DF7" w14:textId="77777777"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ryklės (gerklės) patinimą bei kvėpavimo pasunkėjimą. Jeigu pasireikštų bet kuris iš šių simptomų, </w:t>
      </w:r>
      <w:r w:rsidRPr="00D21DFA">
        <w:rPr>
          <w:rFonts w:ascii="Times New Roman" w:eastAsia="Times New Roman" w:hAnsi="Times New Roman" w:cs="Times New Roman"/>
          <w:b/>
          <w:kern w:val="0"/>
          <w:sz w:val="22"/>
          <w:szCs w:val="20"/>
          <w:lang w:eastAsia="lt-LT" w:bidi="lt-LT"/>
          <w14:ligatures w14:val="none"/>
        </w:rPr>
        <w:t>nedelsdami kreipkitės į gydytoją</w:t>
      </w:r>
      <w:r w:rsidRPr="00D21DFA">
        <w:rPr>
          <w:rFonts w:ascii="Times New Roman" w:eastAsia="Times New Roman" w:hAnsi="Times New Roman" w:cs="Times New Roman"/>
          <w:kern w:val="0"/>
          <w:sz w:val="22"/>
          <w:szCs w:val="20"/>
          <w:lang w:eastAsia="lt-LT" w:bidi="lt-LT"/>
          <w14:ligatures w14:val="none"/>
        </w:rPr>
        <w:t xml:space="preserve">. </w:t>
      </w:r>
    </w:p>
    <w:p w14:paraId="3496D6F2" w14:textId="77777777" w:rsidR="00C95D96" w:rsidRPr="00D21DFA" w:rsidRDefault="00C95D96" w:rsidP="00C95D96">
      <w:pPr>
        <w:numPr>
          <w:ilvl w:val="0"/>
          <w:numId w:val="7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19C0D011" w14:textId="64EA2278" w:rsidR="00C95D96" w:rsidRPr="00D21DFA"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w:t>
      </w:r>
      <w:r w:rsidR="006A2B9E" w:rsidRPr="00D21DFA">
        <w:rPr>
          <w:rFonts w:ascii="Times New Roman" w:eastAsia="Times New Roman" w:hAnsi="Times New Roman" w:cs="Times New Roman"/>
          <w:kern w:val="0"/>
          <w:sz w:val="22"/>
          <w:szCs w:val="20"/>
          <w:lang w:eastAsia="lt-LT" w:bidi="lt-LT"/>
          <w14:ligatures w14:val="none"/>
        </w:rPr>
        <w:t>veiklą (</w:t>
      </w:r>
      <w:r w:rsidRPr="00D21DFA">
        <w:rPr>
          <w:rFonts w:ascii="Times New Roman" w:eastAsia="Times New Roman" w:hAnsi="Times New Roman" w:cs="Times New Roman"/>
          <w:kern w:val="0"/>
          <w:sz w:val="22"/>
          <w:szCs w:val="20"/>
          <w:lang w:eastAsia="lt-LT" w:bidi="lt-LT"/>
          <w14:ligatures w14:val="none"/>
        </w:rPr>
        <w:t>funkciją</w:t>
      </w:r>
      <w:r w:rsidR="006A2B9E" w:rsidRPr="00D21DFA">
        <w:rPr>
          <w:rFonts w:ascii="Times New Roman" w:eastAsia="Times New Roman" w:hAnsi="Times New Roman" w:cs="Times New Roman"/>
          <w:kern w:val="0"/>
          <w:sz w:val="22"/>
          <w:szCs w:val="20"/>
          <w:lang w:eastAsia="lt-LT" w:bidi="lt-LT"/>
          <w14:ligatures w14:val="none"/>
        </w:rPr>
        <w:t>)</w:t>
      </w:r>
      <w:r w:rsidRPr="00D21DFA">
        <w:rPr>
          <w:rFonts w:ascii="Times New Roman" w:eastAsia="Times New Roman" w:hAnsi="Times New Roman" w:cs="Times New Roman"/>
          <w:kern w:val="0"/>
          <w:sz w:val="22"/>
          <w:szCs w:val="20"/>
          <w:lang w:eastAsia="lt-LT" w:bidi="lt-LT"/>
          <w14:ligatures w14:val="none"/>
        </w:rPr>
        <w:t xml:space="preserve">, </w:t>
      </w:r>
    </w:p>
    <w:p w14:paraId="14FAE0F7" w14:textId="77777777" w:rsidR="00C95D96" w:rsidRPr="00D21DFA"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77950D76" w14:textId="77777777" w:rsidR="00C95D96" w:rsidRPr="00D21DFA" w:rsidRDefault="00C95D96" w:rsidP="00C95D96">
      <w:pPr>
        <w:numPr>
          <w:ilvl w:val="0"/>
          <w:numId w:val="38"/>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2C326EBD"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5CF20B4"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16265D47" w14:textId="77777777" w:rsidR="00C95D96" w:rsidRPr="00D21DFA" w:rsidRDefault="00C95D96" w:rsidP="00C95D96">
      <w:pPr>
        <w:numPr>
          <w:ilvl w:val="0"/>
          <w:numId w:val="7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58D535FF" w14:textId="77777777" w:rsidR="00C95D96" w:rsidRPr="00D21DFA"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0685633D" w14:textId="02BA76B1" w:rsidR="00C95D96" w:rsidRPr="00D21DFA" w:rsidRDefault="00C95D96" w:rsidP="00C95D96">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plaučių.</w:t>
      </w:r>
    </w:p>
    <w:p w14:paraId="463CC858"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4DE9FC1" w14:textId="77777777" w:rsidR="00C95D96" w:rsidRPr="00D21DFA" w:rsidRDefault="00C95D96" w:rsidP="00C95D96">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0BA3630B" w14:textId="77777777" w:rsidR="00C95D96" w:rsidRPr="00D21DFA" w:rsidRDefault="00C95D96" w:rsidP="00C95D96">
      <w:pPr>
        <w:numPr>
          <w:ilvl w:val="0"/>
          <w:numId w:val="7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161B4BC1" w14:textId="01419FF2" w:rsidR="00C95D96" w:rsidRPr="00D21DFA" w:rsidRDefault="00C95D96" w:rsidP="00C95D96">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pilvo ertmę arba į </w:t>
      </w:r>
      <w:r w:rsidR="006A2B9E" w:rsidRPr="00D21DFA">
        <w:rPr>
          <w:rFonts w:ascii="Times New Roman" w:eastAsia="Times New Roman" w:hAnsi="Times New Roman" w:cs="Times New Roman"/>
          <w:kern w:val="0"/>
          <w:sz w:val="22"/>
          <w:szCs w:val="20"/>
          <w:lang w:eastAsia="lt-LT" w:bidi="lt-LT"/>
          <w14:ligatures w14:val="none"/>
        </w:rPr>
        <w:t>erdvė už</w:t>
      </w:r>
      <w:r w:rsidRPr="00D21DFA">
        <w:rPr>
          <w:rFonts w:ascii="Times New Roman" w:eastAsia="Times New Roman" w:hAnsi="Times New Roman" w:cs="Times New Roman"/>
          <w:kern w:val="0"/>
          <w:sz w:val="22"/>
          <w:szCs w:val="20"/>
          <w:lang w:eastAsia="lt-LT" w:bidi="lt-LT"/>
          <w14:ligatures w14:val="none"/>
        </w:rPr>
        <w:t xml:space="preserve"> pilvo ertm</w:t>
      </w:r>
      <w:r w:rsidR="006A2B9E" w:rsidRPr="00D21DFA">
        <w:rPr>
          <w:rFonts w:ascii="Times New Roman" w:eastAsia="Times New Roman" w:hAnsi="Times New Roman" w:cs="Times New Roman"/>
          <w:kern w:val="0"/>
          <w:sz w:val="22"/>
          <w:szCs w:val="20"/>
          <w:lang w:eastAsia="lt-LT" w:bidi="lt-LT"/>
          <w14:ligatures w14:val="none"/>
        </w:rPr>
        <w:t>ės</w:t>
      </w:r>
      <w:r w:rsidRPr="00D21DFA">
        <w:rPr>
          <w:rFonts w:ascii="Times New Roman" w:eastAsia="Times New Roman" w:hAnsi="Times New Roman" w:cs="Times New Roman"/>
          <w:kern w:val="0"/>
          <w:sz w:val="22"/>
          <w:szCs w:val="20"/>
          <w:lang w:eastAsia="lt-LT" w:bidi="lt-LT"/>
          <w14:ligatures w14:val="none"/>
        </w:rPr>
        <w:t>.</w:t>
      </w:r>
    </w:p>
    <w:p w14:paraId="3035EBC7" w14:textId="77777777" w:rsidR="00C95D96" w:rsidRPr="00D21DFA" w:rsidRDefault="00C95D96" w:rsidP="00C95D96">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1FA301C5" w14:textId="77777777" w:rsidR="00C95D96" w:rsidRPr="00D21DFA" w:rsidRDefault="00C95D96" w:rsidP="00C95D96">
      <w:pPr>
        <w:numPr>
          <w:ilvl w:val="0"/>
          <w:numId w:val="7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Kraujagyslių uždegimas (</w:t>
      </w:r>
      <w:proofErr w:type="spellStart"/>
      <w:r w:rsidRPr="00D21DFA">
        <w:rPr>
          <w:rFonts w:ascii="Times New Roman" w:eastAsia="Times New Roman" w:hAnsi="Times New Roman" w:cs="Times New Roman"/>
          <w:kern w:val="0"/>
          <w:sz w:val="22"/>
          <w:szCs w:val="20"/>
          <w:lang w:eastAsia="lt-LT" w:bidi="lt-LT"/>
          <w14:ligatures w14:val="none"/>
        </w:rPr>
        <w:t>vaskulitas</w:t>
      </w:r>
      <w:proofErr w:type="spellEnd"/>
      <w:r w:rsidRPr="00D21DFA">
        <w:rPr>
          <w:rFonts w:ascii="Times New Roman" w:eastAsia="Times New Roman" w:hAnsi="Times New Roman" w:cs="Times New Roman"/>
          <w:kern w:val="0"/>
          <w:sz w:val="22"/>
          <w:szCs w:val="20"/>
          <w:lang w:eastAsia="lt-LT" w:bidi="lt-LT"/>
          <w14:ligatures w14:val="none"/>
        </w:rPr>
        <w:t>), dėl kurio gali atsirasti odos išbėrimas arba ryškios, plokščios, raudonos, apvalios dėmės po odos paviršiumi arba mėlynės (kraujosruvos).</w:t>
      </w:r>
    </w:p>
    <w:p w14:paraId="69089AD9" w14:textId="77777777" w:rsidR="00F27B4D" w:rsidRPr="005E78DD" w:rsidRDefault="00F27B4D" w:rsidP="00F264C7">
      <w:pPr>
        <w:pStyle w:val="Sraopastraipa"/>
        <w:numPr>
          <w:ilvl w:val="0"/>
          <w:numId w:val="74"/>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lastRenderedPageBreak/>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4B879930"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18C1C908"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u w:val="single"/>
          <w14:ligatures w14:val="none"/>
        </w:rPr>
      </w:pPr>
      <w:r w:rsidRPr="00D21DFA">
        <w:rPr>
          <w:rFonts w:ascii="Times New Roman" w:eastAsia="Times New Roman" w:hAnsi="Times New Roman" w:cs="Times New Roman"/>
          <w:snapToGrid w:val="0"/>
          <w:kern w:val="0"/>
          <w:sz w:val="22"/>
          <w:szCs w:val="22"/>
          <w:u w:val="single"/>
          <w14:ligatures w14:val="none"/>
        </w:rPr>
        <w:t>Papildomas šalutinis poveikis vaikams ir paaugliams</w:t>
      </w:r>
    </w:p>
    <w:p w14:paraId="5D49F186"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8C395AA"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Jeigu pastebėjote bet kurį iš šių simptomų, </w:t>
      </w:r>
      <w:r w:rsidRPr="00D21DFA">
        <w:rPr>
          <w:rFonts w:ascii="Times New Roman" w:eastAsia="Times New Roman" w:hAnsi="Times New Roman" w:cs="Times New Roman"/>
          <w:b/>
          <w:bCs/>
          <w:snapToGrid w:val="0"/>
          <w:kern w:val="0"/>
          <w:sz w:val="22"/>
          <w:szCs w:val="22"/>
          <w14:ligatures w14:val="none"/>
        </w:rPr>
        <w:t>nedelsdami kreipkitės į vaiko gydytoją</w:t>
      </w:r>
      <w:r w:rsidRPr="00D21DFA">
        <w:rPr>
          <w:rFonts w:ascii="Times New Roman" w:eastAsia="Times New Roman" w:hAnsi="Times New Roman" w:cs="Times New Roman"/>
          <w:snapToGrid w:val="0"/>
          <w:kern w:val="0"/>
          <w:sz w:val="22"/>
          <w:szCs w:val="22"/>
          <w14:ligatures w14:val="none"/>
        </w:rPr>
        <w:t>:</w:t>
      </w:r>
    </w:p>
    <w:p w14:paraId="0251A1DC" w14:textId="77777777" w:rsidR="00D21DFA" w:rsidRPr="00D21DFA" w:rsidRDefault="00D21DFA" w:rsidP="00D21DFA">
      <w:pPr>
        <w:numPr>
          <w:ilvl w:val="0"/>
          <w:numId w:val="74"/>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Alerginės (padidėjusio jautrumo) reakcijos, kurios gali sukelti: veido, lūpų, burnos, liežuvio ir (arba) gerklės patinimą bei kvėpavimo pasunkėjimą. Šis šalutinis poveikis yra dažnas (gali pasireikšti rečiau kaip 1 iš 10 asmenų).</w:t>
      </w:r>
    </w:p>
    <w:p w14:paraId="10BB1538"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7429C3D5"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Apskritai vaikams ir paaugliams, gydytiems </w:t>
      </w: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14AC5F5"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2C98F9FC" w14:textId="77777777" w:rsidR="00D21DFA" w:rsidRPr="00D21DFA" w:rsidRDefault="00D21DFA" w:rsidP="00D21DFA">
      <w:pPr>
        <w:tabs>
          <w:tab w:val="left" w:pos="709"/>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Labai dažni šalutinio poveikio reiškiniai (gali pasireikšti ne rečiau kaip 1 iš 10 asmenų):</w:t>
      </w:r>
    </w:p>
    <w:p w14:paraId="03BAF1F2"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įskaitant:</w:t>
      </w:r>
    </w:p>
    <w:p w14:paraId="35E09523"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makšties;</w:t>
      </w:r>
    </w:p>
    <w:p w14:paraId="03C6351A"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nosies.</w:t>
      </w:r>
    </w:p>
    <w:p w14:paraId="65EFC5EA" w14:textId="77777777" w:rsidR="00D21DFA" w:rsidRPr="00D21DFA" w:rsidRDefault="00D21DFA" w:rsidP="00D21DFA">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p>
    <w:p w14:paraId="3A8886F0"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p>
    <w:p w14:paraId="22AD725E"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įskaitant:</w:t>
      </w:r>
    </w:p>
    <w:p w14:paraId="73093711"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dantenų;</w:t>
      </w:r>
    </w:p>
    <w:p w14:paraId="43928CD9"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kraują šlapime;</w:t>
      </w:r>
    </w:p>
    <w:p w14:paraId="68323C78"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mėlynių (kraujosruvų) atsiradimą ir patinimą;</w:t>
      </w:r>
    </w:p>
    <w:p w14:paraId="6A46A70D"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kraujavimą iš žarnyno arba tiesiosios žarnos;</w:t>
      </w:r>
    </w:p>
    <w:p w14:paraId="3383874C"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ryškaus (raudono) kraujo atsiradimą išmatose;</w:t>
      </w:r>
    </w:p>
    <w:p w14:paraId="57EA45D3"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po operacijos pasireiškiantį kraujavimą, įskaitant mėlynes (kraujosruvas) ir patinimą,</w:t>
      </w:r>
    </w:p>
    <w:p w14:paraId="518599FA" w14:textId="77777777" w:rsidR="00D21DFA" w:rsidRPr="00D21DFA" w:rsidRDefault="00D21DFA" w:rsidP="00941B04">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w:t>
      </w:r>
      <w:r w:rsidR="0045436E">
        <w:rPr>
          <w:rFonts w:ascii="Times New Roman" w:eastAsia="Times New Roman" w:hAnsi="Times New Roman" w:cs="Times New Roman"/>
          <w:kern w:val="0"/>
          <w:sz w:val="22"/>
          <w:szCs w:val="20"/>
          <w:lang w:eastAsia="lt-LT" w:bidi="lt-LT"/>
          <w14:ligatures w14:val="none"/>
        </w:rPr>
        <w:t>ar skysčio</w:t>
      </w:r>
      <w:r w:rsidRPr="00D21DFA">
        <w:rPr>
          <w:rFonts w:ascii="Times New Roman" w:eastAsia="Times New Roman" w:hAnsi="Times New Roman" w:cs="Times New Roman"/>
          <w:kern w:val="0"/>
          <w:sz w:val="22"/>
          <w:szCs w:val="20"/>
          <w:lang w:eastAsia="lt-LT" w:bidi="lt-LT"/>
          <w14:ligatures w14:val="none"/>
        </w:rPr>
        <w:t xml:space="preserve"> sunkimąsi iš chirurginės žaizdos (pjūvio) vietos (žaizdos sekreciją) arba injekcijos vietų;</w:t>
      </w:r>
    </w:p>
    <w:p w14:paraId="0D70DBFF"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Plaukų slinkimas;</w:t>
      </w:r>
    </w:p>
    <w:p w14:paraId="3DB486C0"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Mažakraujystė, dėl kurios gali pasireikšti nuovargis ar blyškumas;</w:t>
      </w:r>
    </w:p>
    <w:p w14:paraId="51A247AB"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trombocitų (kraujo plokštelių) skaičius vaiko kraujyje (dėl ko gali sutrikti krešėjimas);</w:t>
      </w:r>
    </w:p>
    <w:p w14:paraId="59A455BE"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Pykinimas (šleikštulys);</w:t>
      </w:r>
    </w:p>
    <w:p w14:paraId="107A4613"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w:t>
      </w:r>
    </w:p>
    <w:p w14:paraId="3DDEF788"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Niežulys;</w:t>
      </w:r>
    </w:p>
    <w:p w14:paraId="2DCAF1D3"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kraujospūdis, dėl ko vaikas gali jausti silpnumą (alpti) ar gali padažnėti širdies susitraukimų ritmas (pulsas);</w:t>
      </w:r>
    </w:p>
    <w:p w14:paraId="5DAC0830"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2BC2FFCB"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sutrikusią kepenų veiklą;</w:t>
      </w:r>
    </w:p>
    <w:p w14:paraId="72DBC6DD"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padidėjusį kai kurių kepenų fermentų aktyvumą;</w:t>
      </w:r>
    </w:p>
    <w:p w14:paraId="74690E5C"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padidėjusį alaninaminotransferazės (ALT) aktyvumą.</w:t>
      </w:r>
    </w:p>
    <w:p w14:paraId="7D58C5D8"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p>
    <w:p w14:paraId="51AAFB5C" w14:textId="77777777" w:rsidR="00D21DFA" w:rsidRPr="00D21DFA" w:rsidRDefault="00D21DFA" w:rsidP="00D21DFA">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Šalutinio poveikio reiškiniai, kurių dažnis nežinomas</w:t>
      </w:r>
      <w:r w:rsidRPr="00D21DFA" w:rsidDel="00F44B27">
        <w:rPr>
          <w:rFonts w:ascii="Times New Roman" w:eastAsia="Times New Roman" w:hAnsi="Times New Roman" w:cs="Times New Roman"/>
          <w:b/>
          <w:bCs/>
          <w:snapToGrid w:val="0"/>
          <w:kern w:val="0"/>
          <w:sz w:val="22"/>
          <w:szCs w:val="22"/>
          <w14:ligatures w14:val="none"/>
        </w:rPr>
        <w:t xml:space="preserve"> </w:t>
      </w:r>
      <w:r w:rsidRPr="00D21DFA">
        <w:rPr>
          <w:rFonts w:ascii="Times New Roman" w:eastAsia="Times New Roman" w:hAnsi="Times New Roman" w:cs="Times New Roman"/>
          <w:b/>
          <w:bCs/>
          <w:snapToGrid w:val="0"/>
          <w:kern w:val="0"/>
          <w:sz w:val="22"/>
          <w:szCs w:val="22"/>
          <w14:ligatures w14:val="none"/>
        </w:rPr>
        <w:t>(negali būti apskaičiuotas pagal turimus duomenis)</w:t>
      </w:r>
    </w:p>
    <w:p w14:paraId="2779D70F"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w:t>
      </w:r>
    </w:p>
    <w:p w14:paraId="083C1DBD"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pilvo ertmę arba į aplink pilvo ertmę esančią ertmę;</w:t>
      </w:r>
    </w:p>
    <w:p w14:paraId="054D937C"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skrandyje;</w:t>
      </w:r>
    </w:p>
    <w:p w14:paraId="0C1FBBE4"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akis;</w:t>
      </w:r>
    </w:p>
    <w:p w14:paraId="3877C403"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burnos;</w:t>
      </w:r>
    </w:p>
    <w:p w14:paraId="65A78B0B"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hemoroidų</w:t>
      </w:r>
      <w:proofErr w:type="spellEnd"/>
      <w:r w:rsidRPr="00D21DFA">
        <w:rPr>
          <w:rFonts w:ascii="Times New Roman" w:eastAsia="Times New Roman" w:hAnsi="Times New Roman" w:cs="Times New Roman"/>
          <w:kern w:val="0"/>
          <w:sz w:val="22"/>
          <w:szCs w:val="20"/>
          <w:lang w:eastAsia="lt-LT" w:bidi="lt-LT"/>
          <w14:ligatures w14:val="none"/>
        </w:rPr>
        <w:t xml:space="preserve"> (tiesiosios žarnos venų mazginių išsiplėtimų);</w:t>
      </w:r>
    </w:p>
    <w:p w14:paraId="678E0AAC"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burnos arba kraujas atkosėtuose skrepliuose;</w:t>
      </w:r>
    </w:p>
    <w:p w14:paraId="4F3C54FB"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galvos arba nugaros smegenis;</w:t>
      </w:r>
    </w:p>
    <w:p w14:paraId="5894FB9F"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plaučiuose;</w:t>
      </w:r>
    </w:p>
    <w:p w14:paraId="6685E5D1"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į raumenis;</w:t>
      </w:r>
    </w:p>
    <w:p w14:paraId="39CE61B6"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 dėl kurio gali susidaryti pūslės arba dėmės, atrodančios kaip maži taikiniai (tamsus taškas viduryje, apjuostas šviesesniu apskritimu su tamsiu išoriniu žiedu; toks išbėrimas vadinamas daugiaforme raudone);</w:t>
      </w:r>
    </w:p>
    <w:p w14:paraId="3D875457"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Kraujagyslių uždegimas (</w:t>
      </w:r>
      <w:proofErr w:type="spellStart"/>
      <w:r w:rsidRPr="00D21DFA">
        <w:rPr>
          <w:rFonts w:ascii="Times New Roman" w:eastAsia="Times New Roman" w:hAnsi="Times New Roman" w:cs="Times New Roman"/>
          <w:snapToGrid w:val="0"/>
          <w:kern w:val="0"/>
          <w:sz w:val="22"/>
          <w:szCs w:val="22"/>
          <w14:ligatures w14:val="none"/>
        </w:rPr>
        <w:t>vaskulitas</w:t>
      </w:r>
      <w:proofErr w:type="spellEnd"/>
      <w:r w:rsidRPr="00D21DFA">
        <w:rPr>
          <w:rFonts w:ascii="Times New Roman" w:eastAsia="Times New Roman" w:hAnsi="Times New Roman" w:cs="Times New Roman"/>
          <w:snapToGrid w:val="0"/>
          <w:kern w:val="0"/>
          <w:sz w:val="22"/>
          <w:szCs w:val="22"/>
          <w14:ligatures w14:val="none"/>
        </w:rPr>
        <w:t>), dėl kurio gali atsirasti odos išbėrimas arba ryškios, plokščios, raudonos, apvalios dėmės po odos paviršiumi arba mėlynės (kraujosruvos);</w:t>
      </w:r>
    </w:p>
    <w:p w14:paraId="0BBB638D" w14:textId="77777777" w:rsidR="00D21DFA" w:rsidRPr="00D21DFA" w:rsidRDefault="00D21DFA" w:rsidP="00D21DFA">
      <w:pPr>
        <w:pStyle w:val="Sraopastraipa"/>
        <w:numPr>
          <w:ilvl w:val="0"/>
          <w:numId w:val="80"/>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2EE6D8D0"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aktyvumą kraujyje;</w:t>
      </w:r>
    </w:p>
    <w:p w14:paraId="69186D11" w14:textId="77777777" w:rsidR="00D21DFA" w:rsidRPr="00D21DFA" w:rsidRDefault="00D21DFA" w:rsidP="00D21DFA">
      <w:pPr>
        <w:numPr>
          <w:ilvl w:val="0"/>
          <w:numId w:val="3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laboratoriniais tyrimais nustatomas kraujas išmatose arba šlapime.</w:t>
      </w:r>
    </w:p>
    <w:p w14:paraId="268C28F0" w14:textId="77777777" w:rsidR="001152E3" w:rsidRPr="005E78DD" w:rsidRDefault="001152E3" w:rsidP="00F264C7">
      <w:pPr>
        <w:pStyle w:val="Sraopastraipa"/>
        <w:numPr>
          <w:ilvl w:val="0"/>
          <w:numId w:val="83"/>
        </w:num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5E78DD">
        <w:rPr>
          <w:rFonts w:ascii="Times New Roman" w:eastAsia="Times New Roman" w:hAnsi="Times New Roman" w:cs="Times New Roman"/>
          <w:snapToGrid w:val="0"/>
          <w:kern w:val="0"/>
          <w:sz w:val="22"/>
          <w:szCs w:val="22"/>
          <w14:ligatures w14:val="none"/>
        </w:rPr>
        <w:t xml:space="preserve">Kraujavimas inkstuose, kartais su krauju šlapime, dėl kurio inkstai negali tinkamai veikti (su antikoaguliantais susijusi </w:t>
      </w:r>
      <w:proofErr w:type="spellStart"/>
      <w:r w:rsidRPr="005E78DD">
        <w:rPr>
          <w:rFonts w:ascii="Times New Roman" w:eastAsia="Times New Roman" w:hAnsi="Times New Roman" w:cs="Times New Roman"/>
          <w:snapToGrid w:val="0"/>
          <w:kern w:val="0"/>
          <w:sz w:val="22"/>
          <w:szCs w:val="22"/>
          <w14:ligatures w14:val="none"/>
        </w:rPr>
        <w:t>nefropatija</w:t>
      </w:r>
      <w:proofErr w:type="spellEnd"/>
      <w:r w:rsidRPr="005E78DD">
        <w:rPr>
          <w:rFonts w:ascii="Times New Roman" w:eastAsia="Times New Roman" w:hAnsi="Times New Roman" w:cs="Times New Roman"/>
          <w:snapToGrid w:val="0"/>
          <w:kern w:val="0"/>
          <w:sz w:val="22"/>
          <w:szCs w:val="22"/>
          <w14:ligatures w14:val="none"/>
        </w:rPr>
        <w:t>).</w:t>
      </w:r>
    </w:p>
    <w:p w14:paraId="36CD83D5" w14:textId="77777777" w:rsidR="00D21DFA" w:rsidRPr="00D21DFA" w:rsidRDefault="00D21DFA" w:rsidP="00941B04">
      <w:p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p>
    <w:p w14:paraId="2C0CB03D" w14:textId="77777777" w:rsidR="00C95D96" w:rsidRPr="00D21DFA" w:rsidRDefault="00C95D96" w:rsidP="00C95D96">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Pranešimas apie šalutinį poveikį</w:t>
      </w:r>
    </w:p>
    <w:p w14:paraId="7DD1D9EA" w14:textId="4E28B88A" w:rsidR="00C95D96" w:rsidRPr="00D21DFA" w:rsidRDefault="00C95D96" w:rsidP="00C95D96">
      <w:pPr>
        <w:tabs>
          <w:tab w:val="left" w:pos="567"/>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vaistininkui arba slaugytojui. </w:t>
      </w:r>
      <w:r w:rsidR="006A2B9E" w:rsidRPr="00D21DFA">
        <w:rPr>
          <w:rFonts w:ascii="Times New Roman" w:hAnsi="Times New Roman"/>
          <w:color w:val="000000"/>
          <w:kern w:val="0"/>
          <w:sz w:val="22"/>
          <w14:ligatures w14:val="none"/>
        </w:rPr>
        <w:t xml:space="preserve">Pranešimą apie šalutinį poveikį galite </w:t>
      </w:r>
      <w:r w:rsidR="006A2B9E" w:rsidRPr="00D21DFA">
        <w:rPr>
          <w:rFonts w:ascii="Times New Roman" w:eastAsia="Times New Roman" w:hAnsi="Times New Roman" w:cs="Times New Roman"/>
          <w:color w:val="000000"/>
          <w:kern w:val="0"/>
          <w:sz w:val="22"/>
          <w:szCs w:val="22"/>
          <w14:ligatures w14:val="none"/>
        </w:rPr>
        <w:t xml:space="preserve">užpildyti ir </w:t>
      </w:r>
      <w:r w:rsidR="006A2B9E" w:rsidRPr="00D21DFA">
        <w:rPr>
          <w:rFonts w:ascii="Times New Roman" w:hAnsi="Times New Roman"/>
          <w:color w:val="000000"/>
          <w:kern w:val="0"/>
          <w:sz w:val="22"/>
          <w14:ligatures w14:val="none"/>
        </w:rPr>
        <w:t xml:space="preserve">pateikti Valstybinės vaistų kontrolės tarnybos prie Lietuvos Respublikos sveikatos apsaugos ministerijos </w:t>
      </w:r>
      <w:r w:rsidR="006A2B9E" w:rsidRPr="00D21DFA">
        <w:rPr>
          <w:rFonts w:ascii="Times New Roman" w:eastAsia="Times New Roman" w:hAnsi="Times New Roman" w:cs="Times New Roman"/>
          <w:color w:val="000000"/>
          <w:kern w:val="0"/>
          <w:sz w:val="22"/>
          <w:szCs w:val="22"/>
          <w14:ligatures w14:val="none"/>
        </w:rPr>
        <w:t xml:space="preserve">tinklalapyje </w:t>
      </w:r>
      <w:r w:rsidR="006A2B9E" w:rsidRPr="00D21DFA">
        <w:rPr>
          <w:rFonts w:ascii="Times New Roman" w:eastAsia="Times New Roman" w:hAnsi="Times New Roman" w:cs="Times New Roman"/>
          <w:color w:val="0000EE"/>
          <w:kern w:val="0"/>
          <w:sz w:val="22"/>
          <w:szCs w:val="22"/>
          <w:u w:val="single"/>
          <w14:ligatures w14:val="none"/>
        </w:rPr>
        <w:t>https://vvkt.lrv.lt/lt/</w:t>
      </w:r>
      <w:r w:rsidR="006A2B9E" w:rsidRPr="00D21DFA">
        <w:rPr>
          <w:rFonts w:ascii="Times New Roman" w:eastAsia="Times New Roman" w:hAnsi="Times New Roman" w:cs="Times New Roman"/>
          <w:color w:val="000000"/>
          <w:kern w:val="0"/>
          <w:sz w:val="22"/>
          <w:szCs w:val="22"/>
          <w14:ligatures w14:val="none"/>
        </w:rPr>
        <w:t> nurodytais būdais</w:t>
      </w:r>
      <w:r w:rsidR="006A2B9E" w:rsidRPr="00D21DFA">
        <w:rPr>
          <w:rFonts w:ascii="Times New Roman" w:hAnsi="Times New Roman"/>
          <w:color w:val="000000"/>
          <w:kern w:val="0"/>
          <w:sz w:val="22"/>
          <w14:ligatures w14:val="none"/>
        </w:rPr>
        <w:t xml:space="preserve"> arba </w:t>
      </w:r>
      <w:r w:rsidR="006A2B9E" w:rsidRPr="00D21DFA">
        <w:rPr>
          <w:rFonts w:ascii="Times New Roman" w:eastAsia="Times New Roman" w:hAnsi="Times New Roman" w:cs="Times New Roman"/>
          <w:color w:val="000000"/>
          <w:kern w:val="0"/>
          <w:sz w:val="22"/>
          <w:szCs w:val="22"/>
          <w14:ligatures w14:val="none"/>
        </w:rPr>
        <w:t>paskambinti</w:t>
      </w:r>
      <w:r w:rsidR="006A2B9E" w:rsidRPr="00D21DFA">
        <w:rPr>
          <w:rFonts w:ascii="Times New Roman" w:hAnsi="Times New Roman"/>
          <w:color w:val="000000"/>
          <w:kern w:val="0"/>
          <w:sz w:val="22"/>
          <w14:ligatures w14:val="none"/>
        </w:rPr>
        <w:t xml:space="preserve"> nemokamu telefonu </w:t>
      </w:r>
      <w:r w:rsidR="00EC5D23">
        <w:rPr>
          <w:rFonts w:ascii="Times New Roman" w:hAnsi="Times New Roman"/>
          <w:color w:val="000000"/>
          <w:kern w:val="0"/>
          <w:sz w:val="22"/>
          <w14:ligatures w14:val="none"/>
        </w:rPr>
        <w:t>+370</w:t>
      </w:r>
      <w:r w:rsidR="00EC5D23" w:rsidRPr="00D21DFA">
        <w:rPr>
          <w:rFonts w:ascii="Times New Roman" w:hAnsi="Times New Roman"/>
          <w:color w:val="000000"/>
          <w:kern w:val="0"/>
          <w:sz w:val="22"/>
          <w14:ligatures w14:val="none"/>
        </w:rPr>
        <w:t xml:space="preserve"> </w:t>
      </w:r>
      <w:r w:rsidR="006A2B9E" w:rsidRPr="00D21DFA">
        <w:rPr>
          <w:rFonts w:ascii="Times New Roman" w:hAnsi="Times New Roman"/>
          <w:color w:val="000000"/>
          <w:kern w:val="0"/>
          <w:sz w:val="22"/>
          <w14:ligatures w14:val="none"/>
        </w:rPr>
        <w:t>800 73 568. Pranešdami apie šalutinį poveikį galite mums padėti gauti daugiau informacijos apie šio vaisto saugumą.</w:t>
      </w:r>
    </w:p>
    <w:p w14:paraId="76A1EA54"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3CA79054" w14:textId="77777777" w:rsidR="00C95D96" w:rsidRPr="00D21DFA" w:rsidRDefault="00C95D96" w:rsidP="00C95D96">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0358AB14" w14:textId="77777777" w:rsidR="00C95D96" w:rsidRPr="00D21DFA" w:rsidRDefault="00C95D96" w:rsidP="00C95D96">
      <w:pPr>
        <w:keepNext/>
        <w:numPr>
          <w:ilvl w:val="0"/>
          <w:numId w:val="78"/>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laikyti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7BA7D975"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4E4A5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Šį vaistą laikykite vaikams nepastebimoje ir nepasiekiamoje vietoje.</w:t>
      </w:r>
    </w:p>
    <w:p w14:paraId="63881BD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7A1E923"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Ant kartono dėžutės ir lizdinės plokštelės po „EXP“ nurodytam tinkamumo laikui pasibaigus, šio vaisto vartoti negalima. Vaistas tinkamas vartoti iki paskutinės nurodyto mėnesio dienos. </w:t>
      </w:r>
    </w:p>
    <w:p w14:paraId="1979ED9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9C4F5B"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Šiam vaistui specialių laikymo sąlygų nereikia. </w:t>
      </w:r>
    </w:p>
    <w:p w14:paraId="089D5B4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7C3B180"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u w:val="single"/>
          <w14:ligatures w14:val="none"/>
        </w:rPr>
        <w:t xml:space="preserve">Susmulkintos </w:t>
      </w:r>
      <w:r w:rsidRPr="00D21DFA">
        <w:rPr>
          <w:rFonts w:ascii="Times New Roman" w:eastAsia="Times New Roman" w:hAnsi="Times New Roman" w:cs="Times New Roman"/>
          <w:kern w:val="0"/>
          <w:sz w:val="22"/>
          <w:szCs w:val="20"/>
          <w14:ligatures w14:val="none"/>
        </w:rPr>
        <w:t>tabletės</w:t>
      </w:r>
    </w:p>
    <w:p w14:paraId="497D34E5" w14:textId="77777777" w:rsidR="00C95D96" w:rsidRPr="00D21DFA" w:rsidRDefault="00C95D96" w:rsidP="00C95D96">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6363144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B0DAE8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Vaistų negalima išmesti į kanalizaciją arba su buitinėmis atliekomis. Kaip išmesti nereikalingus vaistus, klauskite vaistininko. Šios priemonės padės apsaugoti aplinką.</w:t>
      </w:r>
    </w:p>
    <w:p w14:paraId="06ED3681"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550B50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43D8FEF" w14:textId="77777777" w:rsidR="00C95D96" w:rsidRPr="00D21DFA" w:rsidRDefault="00C95D96" w:rsidP="00C95D96">
      <w:pPr>
        <w:keepNext/>
        <w:numPr>
          <w:ilvl w:val="0"/>
          <w:numId w:val="78"/>
        </w:numPr>
        <w:tabs>
          <w:tab w:val="left" w:pos="567"/>
          <w:tab w:val="left" w:pos="9214"/>
        </w:tabs>
        <w:spacing w:after="0" w:line="240" w:lineRule="auto"/>
        <w:ind w:left="567"/>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Pakuotės turinys ir kita informacija</w:t>
      </w:r>
    </w:p>
    <w:p w14:paraId="18C774C1" w14:textId="77777777" w:rsidR="00C95D96" w:rsidRPr="00D21DFA" w:rsidRDefault="00C95D96" w:rsidP="00C95D96">
      <w:pPr>
        <w:keepNext/>
        <w:tabs>
          <w:tab w:val="left" w:pos="720"/>
          <w:tab w:val="left" w:pos="9214"/>
        </w:tabs>
        <w:spacing w:after="0" w:line="240" w:lineRule="auto"/>
        <w:rPr>
          <w:rFonts w:ascii="Times New Roman" w:eastAsia="Times New Roman" w:hAnsi="Times New Roman" w:cs="Times New Roman"/>
          <w:snapToGrid w:val="0"/>
          <w:kern w:val="0"/>
          <w:sz w:val="22"/>
          <w:szCs w:val="20"/>
          <w14:ligatures w14:val="none"/>
        </w:rPr>
      </w:pPr>
    </w:p>
    <w:p w14:paraId="36D6DB0B" w14:textId="77777777" w:rsidR="00C95D96" w:rsidRPr="00D21DFA" w:rsidRDefault="00C95D96" w:rsidP="00C95D96">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sudėtis </w:t>
      </w:r>
    </w:p>
    <w:p w14:paraId="6B9E010C" w14:textId="77777777" w:rsidR="00C95D96" w:rsidRPr="00D21DFA" w:rsidRDefault="00C95D96" w:rsidP="00C95D96">
      <w:pPr>
        <w:numPr>
          <w:ilvl w:val="0"/>
          <w:numId w:val="75"/>
        </w:numPr>
        <w:tabs>
          <w:tab w:val="left" w:pos="567"/>
          <w:tab w:val="left" w:pos="720"/>
          <w:tab w:val="left" w:pos="9214"/>
        </w:tabs>
        <w:spacing w:after="0" w:line="240" w:lineRule="auto"/>
        <w:ind w:left="567" w:right="-2" w:hanging="567"/>
        <w:rPr>
          <w:rFonts w:ascii="Times New Roman" w:eastAsia="Times New Roman" w:hAnsi="Times New Roman" w:cs="Times New Roman"/>
          <w:i/>
          <w:iCs/>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Veiklioji medžiaga yra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Kiekvienoje plėvele dengtoje tabletėje yra 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279B1136" w14:textId="77777777" w:rsidR="00C95D96" w:rsidRPr="00D21DFA" w:rsidRDefault="00C95D96" w:rsidP="00C95D96">
      <w:pPr>
        <w:numPr>
          <w:ilvl w:val="0"/>
          <w:numId w:val="40"/>
        </w:numPr>
        <w:tabs>
          <w:tab w:val="left" w:pos="567"/>
          <w:tab w:val="left" w:pos="720"/>
          <w:tab w:val="left" w:pos="851"/>
          <w:tab w:val="left" w:pos="9214"/>
        </w:tabs>
        <w:spacing w:after="0" w:line="240" w:lineRule="auto"/>
        <w:ind w:left="851" w:right="-2" w:hanging="284"/>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Pagalbinės medžiagos yra: </w:t>
      </w:r>
      <w:r w:rsidRPr="00D21DFA">
        <w:rPr>
          <w:rFonts w:ascii="Times New Roman" w:eastAsia="Times New Roman" w:hAnsi="Times New Roman" w:cs="Times New Roman"/>
          <w:i/>
          <w:iCs/>
          <w:snapToGrid w:val="0"/>
          <w:kern w:val="0"/>
          <w:sz w:val="22"/>
          <w:szCs w:val="20"/>
          <w14:ligatures w14:val="none"/>
        </w:rPr>
        <w:t>tabletės branduolys</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mikrokristalinė</w:t>
      </w:r>
      <w:proofErr w:type="spellEnd"/>
      <w:r w:rsidRPr="00D21DFA">
        <w:rPr>
          <w:rFonts w:ascii="Times New Roman" w:eastAsia="Times New Roman" w:hAnsi="Times New Roman" w:cs="Times New Roman"/>
          <w:snapToGrid w:val="0"/>
          <w:kern w:val="0"/>
          <w:sz w:val="22"/>
          <w:szCs w:val="20"/>
          <w14:ligatures w14:val="none"/>
        </w:rPr>
        <w:t xml:space="preserve"> celiuliozė (101 tipo), laktozė, natrio </w:t>
      </w:r>
      <w:proofErr w:type="spellStart"/>
      <w:r w:rsidRPr="00D21DFA">
        <w:rPr>
          <w:rFonts w:ascii="Times New Roman" w:eastAsia="Times New Roman" w:hAnsi="Times New Roman" w:cs="Times New Roman"/>
          <w:snapToGrid w:val="0"/>
          <w:kern w:val="0"/>
          <w:sz w:val="22"/>
          <w:szCs w:val="20"/>
          <w14:ligatures w14:val="none"/>
        </w:rPr>
        <w:t>laurilsulfatas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kroskarmeliozės</w:t>
      </w:r>
      <w:proofErr w:type="spellEnd"/>
      <w:r w:rsidRPr="00D21DFA">
        <w:rPr>
          <w:rFonts w:ascii="Times New Roman" w:eastAsia="Times New Roman" w:hAnsi="Times New Roman" w:cs="Times New Roman"/>
          <w:snapToGrid w:val="0"/>
          <w:kern w:val="0"/>
          <w:sz w:val="22"/>
          <w:szCs w:val="20"/>
          <w14:ligatures w14:val="none"/>
        </w:rPr>
        <w:t xml:space="preserve"> natrio druska (E468), magnio </w:t>
      </w:r>
      <w:proofErr w:type="spellStart"/>
      <w:r w:rsidRPr="00D21DFA">
        <w:rPr>
          <w:rFonts w:ascii="Times New Roman" w:eastAsia="Times New Roman" w:hAnsi="Times New Roman" w:cs="Times New Roman"/>
          <w:snapToGrid w:val="0"/>
          <w:kern w:val="0"/>
          <w:sz w:val="22"/>
          <w:szCs w:val="20"/>
          <w14:ligatures w14:val="none"/>
        </w:rPr>
        <w:t>stearatas</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iCs/>
          <w:snapToGrid w:val="0"/>
          <w:kern w:val="0"/>
          <w:sz w:val="22"/>
          <w:szCs w:val="20"/>
          <w14:ligatures w14:val="none"/>
        </w:rPr>
        <w:t>tabletės plėvelė</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hipromeliozė</w:t>
      </w:r>
      <w:proofErr w:type="spellEnd"/>
      <w:r w:rsidRPr="00D21DFA">
        <w:rPr>
          <w:rFonts w:ascii="Times New Roman" w:eastAsia="Times New Roman" w:hAnsi="Times New Roman" w:cs="Times New Roman"/>
          <w:snapToGrid w:val="0"/>
          <w:kern w:val="0"/>
          <w:sz w:val="22"/>
          <w:szCs w:val="20"/>
          <w14:ligatures w14:val="none"/>
        </w:rPr>
        <w:t xml:space="preserve"> 2910 (E464), laktozė </w:t>
      </w:r>
      <w:proofErr w:type="spellStart"/>
      <w:r w:rsidRPr="00D21DFA">
        <w:rPr>
          <w:rFonts w:ascii="Times New Roman" w:eastAsia="Times New Roman" w:hAnsi="Times New Roman" w:cs="Times New Roman"/>
          <w:snapToGrid w:val="0"/>
          <w:kern w:val="0"/>
          <w:sz w:val="22"/>
          <w:szCs w:val="20"/>
          <w14:ligatures w14:val="none"/>
        </w:rPr>
        <w:t>monohidratas</w:t>
      </w:r>
      <w:proofErr w:type="spellEnd"/>
      <w:r w:rsidRPr="00D21DFA">
        <w:rPr>
          <w:rFonts w:ascii="Times New Roman" w:eastAsia="Times New Roman" w:hAnsi="Times New Roman" w:cs="Times New Roman"/>
          <w:snapToGrid w:val="0"/>
          <w:kern w:val="0"/>
          <w:sz w:val="22"/>
          <w:szCs w:val="20"/>
          <w14:ligatures w14:val="none"/>
        </w:rPr>
        <w:t xml:space="preserve">, titano dioksidas (E171), </w:t>
      </w:r>
      <w:proofErr w:type="spellStart"/>
      <w:r w:rsidRPr="00D21DFA">
        <w:rPr>
          <w:rFonts w:ascii="Times New Roman" w:eastAsia="Times New Roman" w:hAnsi="Times New Roman" w:cs="Times New Roman"/>
          <w:snapToGrid w:val="0"/>
          <w:kern w:val="0"/>
          <w:sz w:val="22"/>
          <w:szCs w:val="20"/>
          <w14:ligatures w14:val="none"/>
        </w:rPr>
        <w:t>triacetinas</w:t>
      </w:r>
      <w:proofErr w:type="spellEnd"/>
      <w:r w:rsidRPr="00D21DFA">
        <w:rPr>
          <w:rFonts w:ascii="Times New Roman" w:eastAsia="Times New Roman" w:hAnsi="Times New Roman" w:cs="Times New Roman"/>
          <w:snapToGrid w:val="0"/>
          <w:kern w:val="0"/>
          <w:sz w:val="22"/>
          <w:szCs w:val="20"/>
          <w14:ligatures w14:val="none"/>
        </w:rPr>
        <w:t xml:space="preserve"> (E1518), raudonasis geležies oksidas (E172).</w:t>
      </w:r>
    </w:p>
    <w:p w14:paraId="02F0152B" w14:textId="77777777" w:rsidR="00C95D96" w:rsidRPr="00D21DFA" w:rsidRDefault="00C95D96" w:rsidP="00C95D96">
      <w:pPr>
        <w:keepNext/>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F68D03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išvaizda ir kiekis pakuotėje</w:t>
      </w:r>
    </w:p>
    <w:p w14:paraId="03088D4D" w14:textId="6418D042" w:rsidR="00C95D96" w:rsidRPr="00D21DFA" w:rsidRDefault="00C95D96" w:rsidP="00C95D96">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Rožinė, pailga 10,</w:t>
      </w:r>
      <w:r w:rsidR="0044721F">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x 5,</w:t>
      </w:r>
      <w:r w:rsidR="0044721F">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 0,2 mm dydžio plėvele dengta tabletė.</w:t>
      </w:r>
    </w:p>
    <w:p w14:paraId="7A2179BE" w14:textId="77777777" w:rsidR="00C95D96" w:rsidRPr="00D21DFA" w:rsidRDefault="00C95D96" w:rsidP="00C95D96">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714865C2"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D21DFA">
        <w:rPr>
          <w:rFonts w:ascii="Times New Roman" w:eastAsia="Times New Roman" w:hAnsi="Times New Roman" w:cs="Times New Roman"/>
          <w:snapToGrid w:val="0"/>
          <w:kern w:val="0"/>
          <w:sz w:val="22"/>
          <w:szCs w:val="20"/>
          <w:lang w:eastAsia="x-none"/>
          <w14:ligatures w14:val="none"/>
        </w:rPr>
        <w:t>Supakuota PVC/PVDC//Al lizdinėse plokštelėse.</w:t>
      </w:r>
    </w:p>
    <w:p w14:paraId="0174BE70"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6BA8502" w14:textId="77777777" w:rsidR="00C95D96" w:rsidRPr="00D21DFA" w:rsidRDefault="00C95D96" w:rsidP="00C95D96">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Pakuotės dydis: 10, 14, 20, 28, 30, 56, 60, 90, 100, 120, 168 arba 200 plėvele dengtų tablečių.</w:t>
      </w:r>
    </w:p>
    <w:p w14:paraId="6C8D9204"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E27853D" w14:textId="77777777" w:rsidR="00C95D96" w:rsidRPr="00D21DFA" w:rsidRDefault="00C95D96" w:rsidP="00C95D96">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Gali būti tiekiamos ne visų dydžių pakuotės.</w:t>
      </w:r>
    </w:p>
    <w:p w14:paraId="1D2F2A4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576040B"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Paciento įspėjamojoje kortelėje pateikiama informacija </w:t>
      </w:r>
    </w:p>
    <w:p w14:paraId="0B85E574"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Kartu su pakuotės lapeliu, pakuotėje rasite Paciento įspėjamąją kortelę arba panašią kortelę gali duoti Jūsų sveikatos priežiūros specialistas.</w:t>
      </w:r>
    </w:p>
    <w:p w14:paraId="2AC0433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CE092E4" w14:textId="248E586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Šioje Paciento įspėjamojoje kortelėje pateikiama informacijos, kuri bus naudinga Jums ir kitus gydytojus įspės, kad vartojate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Cs/>
          <w:snapToGrid w:val="0"/>
          <w:kern w:val="0"/>
          <w:sz w:val="22"/>
          <w:szCs w:val="20"/>
          <w14:ligatures w14:val="none"/>
        </w:rPr>
        <w:t xml:space="preserve">Šią kortelę </w:t>
      </w:r>
      <w:r w:rsidR="00096386">
        <w:rPr>
          <w:rFonts w:ascii="Times New Roman" w:eastAsia="Times New Roman" w:hAnsi="Times New Roman" w:cs="Times New Roman"/>
          <w:bCs/>
          <w:snapToGrid w:val="0"/>
          <w:kern w:val="0"/>
          <w:sz w:val="22"/>
          <w:szCs w:val="20"/>
          <w14:ligatures w14:val="none"/>
        </w:rPr>
        <w:t xml:space="preserve">pacientas ar prižiūrintis asmuo </w:t>
      </w:r>
      <w:r w:rsidRPr="00D21DFA">
        <w:rPr>
          <w:rFonts w:ascii="Times New Roman" w:eastAsia="Times New Roman" w:hAnsi="Times New Roman" w:cs="Times New Roman"/>
          <w:bCs/>
          <w:snapToGrid w:val="0"/>
          <w:kern w:val="0"/>
          <w:sz w:val="22"/>
          <w:szCs w:val="20"/>
          <w14:ligatures w14:val="none"/>
        </w:rPr>
        <w:t xml:space="preserve">turi visada </w:t>
      </w:r>
      <w:r w:rsidR="00E00E8C">
        <w:rPr>
          <w:rFonts w:ascii="Times New Roman" w:eastAsia="Times New Roman" w:hAnsi="Times New Roman" w:cs="Times New Roman"/>
          <w:bCs/>
          <w:snapToGrid w:val="0"/>
          <w:kern w:val="0"/>
          <w:sz w:val="22"/>
          <w:szCs w:val="20"/>
          <w14:ligatures w14:val="none"/>
        </w:rPr>
        <w:t>turėti</w:t>
      </w:r>
      <w:r w:rsidR="00E00E8C" w:rsidRPr="00D21DFA">
        <w:rPr>
          <w:rFonts w:ascii="Times New Roman" w:eastAsia="Times New Roman" w:hAnsi="Times New Roman" w:cs="Times New Roman"/>
          <w:bCs/>
          <w:snapToGrid w:val="0"/>
          <w:kern w:val="0"/>
          <w:sz w:val="22"/>
          <w:szCs w:val="20"/>
          <w14:ligatures w14:val="none"/>
        </w:rPr>
        <w:t xml:space="preserve"> </w:t>
      </w:r>
      <w:r w:rsidRPr="00D21DFA">
        <w:rPr>
          <w:rFonts w:ascii="Times New Roman" w:eastAsia="Times New Roman" w:hAnsi="Times New Roman" w:cs="Times New Roman"/>
          <w:bCs/>
          <w:snapToGrid w:val="0"/>
          <w:kern w:val="0"/>
          <w:sz w:val="22"/>
          <w:szCs w:val="20"/>
          <w14:ligatures w14:val="none"/>
        </w:rPr>
        <w:t xml:space="preserve">su savimi. </w:t>
      </w:r>
    </w:p>
    <w:p w14:paraId="3E7007D9"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6AE9F38F"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1. Kortelę išimkite. </w:t>
      </w:r>
    </w:p>
    <w:p w14:paraId="2C31AC16"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2. Užpildykite toliau nurodytas skiltis arba paprašykite, kad jas užpildytų gydytojas: </w:t>
      </w:r>
    </w:p>
    <w:p w14:paraId="08A39AA4"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Vardas ir pavardė: </w:t>
      </w:r>
    </w:p>
    <w:p w14:paraId="07704678"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Gimimo data: </w:t>
      </w:r>
    </w:p>
    <w:p w14:paraId="01B10BA0" w14:textId="77777777" w:rsidR="00E00E8C"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Indikacija:</w:t>
      </w:r>
    </w:p>
    <w:p w14:paraId="794C289B" w14:textId="23C68F10" w:rsidR="00C95D96" w:rsidRPr="00D21DFA" w:rsidRDefault="00E00E8C"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Svoris</w:t>
      </w:r>
      <w:r w:rsidR="0047402B">
        <w:rPr>
          <w:rFonts w:ascii="Times New Roman" w:eastAsia="Times New Roman" w:hAnsi="Times New Roman" w:cs="Times New Roman"/>
          <w:kern w:val="0"/>
          <w:sz w:val="22"/>
          <w:szCs w:val="20"/>
          <w:lang w:eastAsia="lt-LT" w:bidi="lt-LT"/>
          <w14:ligatures w14:val="none"/>
        </w:rPr>
        <w:t>:</w:t>
      </w:r>
      <w:r w:rsidR="00C95D96" w:rsidRPr="00D21DFA">
        <w:rPr>
          <w:rFonts w:ascii="Times New Roman" w:eastAsia="Times New Roman" w:hAnsi="Times New Roman" w:cs="Times New Roman"/>
          <w:kern w:val="0"/>
          <w:sz w:val="22"/>
          <w:szCs w:val="20"/>
          <w:lang w:eastAsia="lt-LT" w:bidi="lt-LT"/>
          <w14:ligatures w14:val="none"/>
        </w:rPr>
        <w:t xml:space="preserve"> </w:t>
      </w:r>
    </w:p>
    <w:p w14:paraId="79BEB94B"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Dozė: ........mg du kartus per parą </w:t>
      </w:r>
    </w:p>
    <w:p w14:paraId="24D75D2C"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vardas ir pavardė: </w:t>
      </w:r>
    </w:p>
    <w:p w14:paraId="751E1C40" w14:textId="77777777" w:rsidR="00C95D96" w:rsidRPr="00D21DFA" w:rsidRDefault="00C95D96" w:rsidP="00C95D96">
      <w:pPr>
        <w:numPr>
          <w:ilvl w:val="0"/>
          <w:numId w:val="76"/>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telefono numeris: </w:t>
      </w:r>
    </w:p>
    <w:p w14:paraId="1F2EB717"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3. Kortelę sulenkite ir visada nešiokitės su savimi</w:t>
      </w:r>
    </w:p>
    <w:p w14:paraId="5E32C04D" w14:textId="77777777" w:rsidR="00C95D96" w:rsidRPr="00D21DFA" w:rsidRDefault="00C95D96" w:rsidP="00C95D96">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0826BC"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Registruotojas ir gamintojas</w:t>
      </w:r>
    </w:p>
    <w:p w14:paraId="3FC2CF31"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Registruotojas</w:t>
      </w:r>
    </w:p>
    <w:p w14:paraId="2F935CEC"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4360A692"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6DE30AE6"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3A260DEB" w14:textId="77777777" w:rsidR="00C95D96" w:rsidRPr="00D21DFA" w:rsidRDefault="00C95D96" w:rsidP="00C95D96">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60F0CDA8"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18"/>
          <w14:ligatures w14:val="none"/>
        </w:rPr>
        <w:t>Čekija</w:t>
      </w:r>
    </w:p>
    <w:p w14:paraId="110E8558"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751E363D"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Gamintojas</w:t>
      </w:r>
    </w:p>
    <w:p w14:paraId="2313C7FC"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PHARMADOX </w:t>
      </w:r>
      <w:proofErr w:type="spellStart"/>
      <w:r w:rsidRPr="00D21DFA">
        <w:rPr>
          <w:rFonts w:ascii="Times New Roman" w:eastAsia="Times New Roman" w:hAnsi="Times New Roman" w:cs="Times New Roman"/>
          <w:bCs/>
          <w:snapToGrid w:val="0"/>
          <w:kern w:val="0"/>
          <w:sz w:val="22"/>
          <w:szCs w:val="20"/>
          <w14:ligatures w14:val="none"/>
        </w:rPr>
        <w:t>Healthcare</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Limited</w:t>
      </w:r>
      <w:proofErr w:type="spellEnd"/>
    </w:p>
    <w:p w14:paraId="48EBD1E8"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KW20A </w:t>
      </w:r>
      <w:proofErr w:type="spellStart"/>
      <w:r w:rsidRPr="00D21DFA">
        <w:rPr>
          <w:rFonts w:ascii="Times New Roman" w:eastAsia="Times New Roman" w:hAnsi="Times New Roman" w:cs="Times New Roman"/>
          <w:bCs/>
          <w:snapToGrid w:val="0"/>
          <w:kern w:val="0"/>
          <w:sz w:val="22"/>
          <w:szCs w:val="20"/>
          <w14:ligatures w14:val="none"/>
        </w:rPr>
        <w:t>Kordin</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Industrial</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Park</w:t>
      </w:r>
      <w:proofErr w:type="spellEnd"/>
    </w:p>
    <w:p w14:paraId="19E09670"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0"/>
          <w14:ligatures w14:val="none"/>
        </w:rPr>
        <w:t>Paola</w:t>
      </w:r>
      <w:proofErr w:type="spellEnd"/>
      <w:r w:rsidRPr="00D21DFA">
        <w:rPr>
          <w:rFonts w:ascii="Times New Roman" w:eastAsia="Times New Roman" w:hAnsi="Times New Roman" w:cs="Times New Roman"/>
          <w:bCs/>
          <w:snapToGrid w:val="0"/>
          <w:kern w:val="0"/>
          <w:sz w:val="22"/>
          <w:szCs w:val="20"/>
          <w14:ligatures w14:val="none"/>
        </w:rPr>
        <w:t>, PLA 3000</w:t>
      </w:r>
    </w:p>
    <w:p w14:paraId="57F80267" w14:textId="77777777" w:rsidR="00C95D96" w:rsidRPr="00D21DFA" w:rsidRDefault="00C95D96" w:rsidP="00C95D96">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Malta </w:t>
      </w:r>
    </w:p>
    <w:p w14:paraId="608120B4" w14:textId="77777777" w:rsidR="00C95D96" w:rsidRPr="00D21DFA" w:rsidRDefault="00C95D96" w:rsidP="00C95D96">
      <w:pPr>
        <w:spacing w:after="0" w:line="240" w:lineRule="auto"/>
        <w:ind w:right="-2"/>
        <w:jc w:val="both"/>
        <w:rPr>
          <w:rFonts w:ascii="Times New Roman" w:eastAsia="Times New Roman" w:hAnsi="Times New Roman" w:cs="Times New Roman"/>
          <w:kern w:val="0"/>
          <w:sz w:val="22"/>
          <w:szCs w:val="22"/>
          <w:lang w:eastAsia="lt-LT"/>
          <w14:ligatures w14:val="none"/>
        </w:rPr>
      </w:pPr>
    </w:p>
    <w:p w14:paraId="54D079D3" w14:textId="77777777" w:rsidR="00C95D96" w:rsidRPr="00D21DFA" w:rsidRDefault="00C95D96" w:rsidP="00C95D96">
      <w:pPr>
        <w:suppressAutoHyphens/>
        <w:spacing w:after="0" w:line="240" w:lineRule="auto"/>
        <w:ind w:right="-2"/>
        <w:jc w:val="both"/>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Šis vaistas </w:t>
      </w:r>
      <w:r w:rsidRPr="00D21DFA">
        <w:rPr>
          <w:rFonts w:ascii="Times New Roman" w:eastAsia="SimSun" w:hAnsi="Times New Roman" w:cs="Times New Roman"/>
          <w:b/>
          <w:snapToGrid w:val="0"/>
          <w:color w:val="000000"/>
          <w:kern w:val="0"/>
          <w:sz w:val="22"/>
          <w:szCs w:val="22"/>
          <w:lang w:eastAsia="ar-SA"/>
          <w14:ligatures w14:val="none"/>
        </w:rPr>
        <w:t xml:space="preserve">Europos ekonominės erdvės valstybėse narėse </w:t>
      </w:r>
      <w:r w:rsidRPr="00D21DFA">
        <w:rPr>
          <w:rFonts w:ascii="Times New Roman" w:eastAsia="Times New Roman" w:hAnsi="Times New Roman" w:cs="Times New Roman"/>
          <w:b/>
          <w:kern w:val="0"/>
          <w:sz w:val="22"/>
          <w:szCs w:val="22"/>
          <w14:ligatures w14:val="none"/>
        </w:rPr>
        <w:t>registruotas tokiais pavadinimais:</w:t>
      </w:r>
    </w:p>
    <w:p w14:paraId="5CDE64B9" w14:textId="77777777" w:rsidR="00C95D96" w:rsidRPr="00D21DFA" w:rsidRDefault="00C95D96" w:rsidP="00C95D96">
      <w:pPr>
        <w:suppressAutoHyphens/>
        <w:spacing w:after="0" w:line="240" w:lineRule="auto"/>
        <w:ind w:right="-2"/>
        <w:jc w:val="both"/>
        <w:rPr>
          <w:rFonts w:ascii="Times New Roman" w:eastAsia="Times New Roman" w:hAnsi="Times New Roman" w:cs="Times New Roman"/>
          <w:b/>
          <w:kern w:val="0"/>
          <w:sz w:val="22"/>
          <w:szCs w:val="22"/>
          <w14:ligatures w14:val="none"/>
        </w:rPr>
      </w:pPr>
    </w:p>
    <w:p w14:paraId="5ACAFB93" w14:textId="77777777" w:rsidR="00C95D96" w:rsidRPr="00D21DFA"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Austrija, Čekija, Danija, Estija, Islandija, Ispanija, Italija, Latvija, Lietuva, Nyderlandai, Norvegija, Prancūzija, Švedija, Vokietija – </w:t>
      </w:r>
      <w:proofErr w:type="spellStart"/>
      <w:r w:rsidRPr="00D21DFA">
        <w:rPr>
          <w:rFonts w:ascii="Times New Roman" w:eastAsia="Times New Roman" w:hAnsi="Times New Roman" w:cs="Times New Roman"/>
          <w:bCs/>
          <w:kern w:val="0"/>
          <w:sz w:val="22"/>
          <w:szCs w:val="22"/>
          <w:lang w:eastAsia="lt-LT"/>
          <w14:ligatures w14:val="none"/>
        </w:rPr>
        <w:t>Apixaban</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38222599" w14:textId="77777777" w:rsidR="00C95D96" w:rsidRPr="00D21DFA"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Portugalija – </w:t>
      </w:r>
      <w:proofErr w:type="spellStart"/>
      <w:r w:rsidRPr="00D21DFA">
        <w:rPr>
          <w:rFonts w:ascii="Times New Roman" w:eastAsia="Times New Roman" w:hAnsi="Times New Roman" w:cs="Times New Roman"/>
          <w:bCs/>
          <w:kern w:val="0"/>
          <w:sz w:val="22"/>
          <w:szCs w:val="22"/>
          <w:lang w:eastAsia="lt-LT"/>
          <w14:ligatures w14:val="none"/>
        </w:rPr>
        <w:t>Apixabano</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11092757" w14:textId="77777777" w:rsidR="00C95D96" w:rsidRPr="00D21DFA" w:rsidRDefault="00C95D96" w:rsidP="00C95D96">
      <w:pPr>
        <w:spacing w:after="0" w:line="240" w:lineRule="auto"/>
        <w:ind w:right="-2"/>
        <w:rPr>
          <w:rFonts w:ascii="Times New Roman" w:eastAsia="Times New Roman" w:hAnsi="Times New Roman" w:cs="Times New Roman"/>
          <w:bCs/>
          <w:kern w:val="0"/>
          <w:sz w:val="22"/>
          <w:szCs w:val="22"/>
          <w:lang w:eastAsia="lt-LT"/>
          <w14:ligatures w14:val="none"/>
        </w:rPr>
      </w:pPr>
    </w:p>
    <w:p w14:paraId="2736F665" w14:textId="185529B9" w:rsidR="00C95D96" w:rsidRPr="00D21DFA" w:rsidRDefault="00C95D96" w:rsidP="00C95D96">
      <w:pPr>
        <w:spacing w:after="0" w:line="240" w:lineRule="auto"/>
        <w:ind w:right="-2"/>
        <w:rPr>
          <w:rFonts w:ascii="Times New Roman" w:eastAsia="Times New Roman" w:hAnsi="Times New Roman" w:cs="Times New Roman"/>
          <w:b/>
          <w:kern w:val="0"/>
          <w:sz w:val="22"/>
          <w:szCs w:val="22"/>
          <w:lang w:eastAsia="lt-LT"/>
          <w14:ligatures w14:val="none"/>
        </w:rPr>
      </w:pPr>
      <w:r w:rsidRPr="00D21DFA">
        <w:rPr>
          <w:rFonts w:ascii="Times New Roman" w:eastAsia="Times New Roman" w:hAnsi="Times New Roman" w:cs="Times New Roman"/>
          <w:b/>
          <w:kern w:val="0"/>
          <w:sz w:val="22"/>
          <w:szCs w:val="22"/>
          <w:lang w:eastAsia="lt-LT"/>
          <w14:ligatures w14:val="none"/>
        </w:rPr>
        <w:t xml:space="preserve">Šis pakuotės lapelis paskutinį kartą peržiūrėtas </w:t>
      </w:r>
      <w:r w:rsidR="005D22C0" w:rsidRPr="00D21DFA">
        <w:rPr>
          <w:rFonts w:ascii="Times New Roman" w:eastAsia="Times New Roman" w:hAnsi="Times New Roman" w:cs="Times New Roman"/>
          <w:b/>
          <w:kern w:val="0"/>
          <w:sz w:val="22"/>
          <w:szCs w:val="22"/>
          <w:lang w:eastAsia="lt-LT"/>
          <w14:ligatures w14:val="none"/>
        </w:rPr>
        <w:t>202</w:t>
      </w:r>
      <w:r w:rsidR="0044721F">
        <w:rPr>
          <w:rFonts w:ascii="Times New Roman" w:eastAsia="Times New Roman" w:hAnsi="Times New Roman" w:cs="Times New Roman"/>
          <w:b/>
          <w:kern w:val="0"/>
          <w:sz w:val="22"/>
          <w:szCs w:val="22"/>
          <w:lang w:eastAsia="lt-LT"/>
          <w14:ligatures w14:val="none"/>
        </w:rPr>
        <w:t>5</w:t>
      </w:r>
      <w:r w:rsidR="00B04C01">
        <w:rPr>
          <w:rFonts w:ascii="Times New Roman" w:eastAsia="Times New Roman" w:hAnsi="Times New Roman" w:cs="Times New Roman"/>
          <w:b/>
          <w:kern w:val="0"/>
          <w:sz w:val="22"/>
          <w:szCs w:val="22"/>
          <w:lang w:eastAsia="lt-LT"/>
          <w14:ligatures w14:val="none"/>
        </w:rPr>
        <w:t>-</w:t>
      </w:r>
      <w:r w:rsidR="00941B04">
        <w:rPr>
          <w:rFonts w:ascii="Times New Roman" w:eastAsia="Times New Roman" w:hAnsi="Times New Roman" w:cs="Times New Roman"/>
          <w:b/>
          <w:kern w:val="0"/>
          <w:sz w:val="22"/>
          <w:szCs w:val="22"/>
          <w:lang w:eastAsia="lt-LT"/>
          <w14:ligatures w14:val="none"/>
        </w:rPr>
        <w:t>11-06.</w:t>
      </w:r>
    </w:p>
    <w:p w14:paraId="0297469B" w14:textId="77777777" w:rsidR="00C95D96" w:rsidRPr="00D21DFA" w:rsidRDefault="00C95D96" w:rsidP="00C95D96">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007C477C" w14:textId="16D42AB0" w:rsidR="00C95D96" w:rsidRPr="00D21DFA" w:rsidRDefault="00C95D96" w:rsidP="00C95D96">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D21DFA">
        <w:rPr>
          <w:rFonts w:ascii="Times New Roman" w:eastAsia="Times New Roman" w:hAnsi="Times New Roman" w:cs="Times New Roman"/>
          <w:i/>
          <w:snapToGrid w:val="0"/>
          <w:kern w:val="0"/>
          <w:sz w:val="22"/>
          <w:szCs w:val="22"/>
          <w14:ligatures w14:val="none"/>
        </w:rPr>
        <w:t xml:space="preserve"> </w:t>
      </w:r>
      <w:r w:rsidR="006A2B9E" w:rsidRPr="00D21DFA">
        <w:rPr>
          <w:rFonts w:ascii="Times New Roman" w:eastAsia="SimSun" w:hAnsi="Times New Roman" w:cs="Times New Roman"/>
          <w:color w:val="0000FF"/>
          <w:kern w:val="0"/>
          <w:sz w:val="22"/>
          <w:szCs w:val="20"/>
          <w:u w:val="single"/>
          <w14:ligatures w14:val="none"/>
        </w:rPr>
        <w:t>https://vvkt.lrv.lt/lt/</w:t>
      </w:r>
      <w:r w:rsidR="006A2B9E" w:rsidRPr="00D21DFA">
        <w:rPr>
          <w:rFonts w:ascii="Times New Roman" w:eastAsia="Times New Roman" w:hAnsi="Times New Roman" w:cs="Times New Roman"/>
          <w:kern w:val="0"/>
          <w:sz w:val="22"/>
          <w:szCs w:val="20"/>
          <w14:ligatures w14:val="none"/>
        </w:rPr>
        <w:t>.</w:t>
      </w:r>
    </w:p>
    <w:p w14:paraId="3ACF02BE" w14:textId="77777777" w:rsidR="00C95D96" w:rsidRPr="00D21DFA" w:rsidRDefault="00C95D96" w:rsidP="00C95D96">
      <w:pPr>
        <w:tabs>
          <w:tab w:val="left" w:pos="567"/>
        </w:tabs>
        <w:spacing w:after="0" w:line="260" w:lineRule="exact"/>
        <w:ind w:right="-2"/>
        <w:rPr>
          <w:rFonts w:ascii="Times New Roman" w:eastAsia="Times New Roman" w:hAnsi="Times New Roman" w:cs="Times New Roman"/>
          <w:snapToGrid w:val="0"/>
          <w:kern w:val="0"/>
          <w:sz w:val="22"/>
          <w:szCs w:val="20"/>
          <w14:ligatures w14:val="none"/>
        </w:rPr>
      </w:pPr>
    </w:p>
    <w:bookmarkEnd w:id="8"/>
    <w:p w14:paraId="06942F22" w14:textId="77777777" w:rsidR="003064BD" w:rsidRPr="00D21DFA" w:rsidRDefault="003064BD"/>
    <w:sectPr w:rsidR="003064BD" w:rsidRPr="00D21DFA" w:rsidSect="000B4F34">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A93A" w14:textId="77777777" w:rsidR="00917DA4" w:rsidRDefault="00917DA4">
      <w:pPr>
        <w:spacing w:after="0" w:line="240" w:lineRule="auto"/>
      </w:pPr>
      <w:r>
        <w:separator/>
      </w:r>
    </w:p>
  </w:endnote>
  <w:endnote w:type="continuationSeparator" w:id="0">
    <w:p w14:paraId="60535340" w14:textId="77777777" w:rsidR="00917DA4" w:rsidRDefault="00917DA4">
      <w:pPr>
        <w:spacing w:after="0" w:line="240" w:lineRule="auto"/>
      </w:pPr>
      <w:r>
        <w:continuationSeparator/>
      </w:r>
    </w:p>
  </w:endnote>
  <w:endnote w:type="continuationNotice" w:id="1">
    <w:p w14:paraId="5D95EF26" w14:textId="77777777" w:rsidR="00917DA4" w:rsidRDefault="00917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0152" w14:textId="75E626F5" w:rsidR="00AE7288" w:rsidRPr="00244486" w:rsidRDefault="004E10E8" w:rsidP="00244486">
    <w:pPr>
      <w:pStyle w:val="Porat"/>
      <w:jc w:val="center"/>
      <w:rPr>
        <w:rFonts w:ascii="Arial" w:hAnsi="Arial" w:cs="Arial"/>
        <w:sz w:val="10"/>
        <w:szCs w:val="10"/>
      </w:rPr>
    </w:pPr>
    <w:r w:rsidRPr="00244486">
      <w:rPr>
        <w:rFonts w:ascii="Arial" w:hAnsi="Arial" w:cs="Arial"/>
        <w:sz w:val="16"/>
        <w:szCs w:val="14"/>
      </w:rPr>
      <w:fldChar w:fldCharType="begin"/>
    </w:r>
    <w:r w:rsidRPr="00244486">
      <w:rPr>
        <w:rFonts w:ascii="Arial" w:hAnsi="Arial" w:cs="Arial"/>
        <w:sz w:val="16"/>
        <w:szCs w:val="14"/>
      </w:rPr>
      <w:instrText xml:space="preserve"> PAGE   \* MERGEFORMAT </w:instrText>
    </w:r>
    <w:r w:rsidRPr="00244486">
      <w:rPr>
        <w:rFonts w:ascii="Arial" w:hAnsi="Arial" w:cs="Arial"/>
        <w:sz w:val="16"/>
        <w:szCs w:val="14"/>
      </w:rPr>
      <w:fldChar w:fldCharType="separate"/>
    </w:r>
    <w:r w:rsidR="00FF2CFF">
      <w:rPr>
        <w:rFonts w:ascii="Arial" w:hAnsi="Arial" w:cs="Arial"/>
        <w:noProof/>
        <w:sz w:val="16"/>
        <w:szCs w:val="14"/>
      </w:rPr>
      <w:t>3</w:t>
    </w:r>
    <w:r w:rsidR="00FF2CFF">
      <w:rPr>
        <w:rFonts w:ascii="Arial" w:hAnsi="Arial" w:cs="Arial"/>
        <w:noProof/>
        <w:sz w:val="16"/>
        <w:szCs w:val="14"/>
      </w:rPr>
      <w:t>9</w:t>
    </w:r>
    <w:r w:rsidRPr="00244486">
      <w:rPr>
        <w:rFonts w:ascii="Arial" w:hAnsi="Arial" w:cs="Arial"/>
        <w:noProof/>
        <w:sz w:val="16"/>
        <w:szCs w:val="14"/>
      </w:rPr>
      <w:fldChar w:fldCharType="end"/>
    </w:r>
  </w:p>
  <w:p w14:paraId="18A46668" w14:textId="77777777" w:rsidR="00AE7288" w:rsidRDefault="00AE72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2B89" w14:textId="77777777" w:rsidR="00917DA4" w:rsidRDefault="00917DA4">
      <w:pPr>
        <w:spacing w:after="0" w:line="240" w:lineRule="auto"/>
      </w:pPr>
      <w:r>
        <w:separator/>
      </w:r>
    </w:p>
  </w:footnote>
  <w:footnote w:type="continuationSeparator" w:id="0">
    <w:p w14:paraId="5B09B700" w14:textId="77777777" w:rsidR="00917DA4" w:rsidRDefault="00917DA4">
      <w:pPr>
        <w:spacing w:after="0" w:line="240" w:lineRule="auto"/>
      </w:pPr>
      <w:r>
        <w:continuationSeparator/>
      </w:r>
    </w:p>
  </w:footnote>
  <w:footnote w:type="continuationNotice" w:id="1">
    <w:p w14:paraId="05F4EE5B" w14:textId="77777777" w:rsidR="00917DA4" w:rsidRDefault="00917D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5B82" w14:textId="77777777" w:rsidR="00700C7F" w:rsidRDefault="00700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20DD2"/>
    <w:multiLevelType w:val="hybridMultilevel"/>
    <w:tmpl w:val="1F9AC57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A651E6"/>
    <w:multiLevelType w:val="hybridMultilevel"/>
    <w:tmpl w:val="F4C6FC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AB50DC"/>
    <w:multiLevelType w:val="hybridMultilevel"/>
    <w:tmpl w:val="6CF0CC3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BC113E4"/>
    <w:multiLevelType w:val="hybridMultilevel"/>
    <w:tmpl w:val="A5FC3E76"/>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BD011E"/>
    <w:multiLevelType w:val="hybridMultilevel"/>
    <w:tmpl w:val="8BF839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5F8A94D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869B9"/>
    <w:multiLevelType w:val="hybridMultilevel"/>
    <w:tmpl w:val="D8283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84628"/>
    <w:multiLevelType w:val="hybridMultilevel"/>
    <w:tmpl w:val="E2F45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C44CAB"/>
    <w:multiLevelType w:val="hybridMultilevel"/>
    <w:tmpl w:val="1F820A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5C6752"/>
    <w:multiLevelType w:val="hybridMultilevel"/>
    <w:tmpl w:val="0A0CDE18"/>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870C72"/>
    <w:multiLevelType w:val="hybridMultilevel"/>
    <w:tmpl w:val="4162D4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23A2F"/>
    <w:multiLevelType w:val="hybridMultilevel"/>
    <w:tmpl w:val="CF569D1C"/>
    <w:lvl w:ilvl="0" w:tplc="F964FEA2">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5E1E1E"/>
    <w:multiLevelType w:val="hybridMultilevel"/>
    <w:tmpl w:val="246A4CE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209C6"/>
    <w:multiLevelType w:val="hybridMultilevel"/>
    <w:tmpl w:val="3CDE63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2B1DD2"/>
    <w:multiLevelType w:val="hybridMultilevel"/>
    <w:tmpl w:val="52D87B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FB5153"/>
    <w:multiLevelType w:val="hybridMultilevel"/>
    <w:tmpl w:val="B96E4C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28091476"/>
    <w:multiLevelType w:val="hybridMultilevel"/>
    <w:tmpl w:val="E2FEB1B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D0961B6"/>
    <w:multiLevelType w:val="hybridMultilevel"/>
    <w:tmpl w:val="83EA05B2"/>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8"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9" w15:restartNumberingAfterBreak="0">
    <w:nsid w:val="303478C4"/>
    <w:multiLevelType w:val="hybridMultilevel"/>
    <w:tmpl w:val="FBB27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1" w15:restartNumberingAfterBreak="0">
    <w:nsid w:val="30C40E54"/>
    <w:multiLevelType w:val="hybridMultilevel"/>
    <w:tmpl w:val="C27CBA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1F00165"/>
    <w:multiLevelType w:val="hybridMultilevel"/>
    <w:tmpl w:val="554E045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52A4060"/>
    <w:multiLevelType w:val="hybridMultilevel"/>
    <w:tmpl w:val="4E5ED88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65E70EA"/>
    <w:multiLevelType w:val="hybridMultilevel"/>
    <w:tmpl w:val="8BE2058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65ADF"/>
    <w:multiLevelType w:val="hybridMultilevel"/>
    <w:tmpl w:val="324027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B552C9"/>
    <w:multiLevelType w:val="hybridMultilevel"/>
    <w:tmpl w:val="506E02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BDF0DC0"/>
    <w:multiLevelType w:val="hybridMultilevel"/>
    <w:tmpl w:val="B8202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EE0E90"/>
    <w:multiLevelType w:val="hybridMultilevel"/>
    <w:tmpl w:val="3EA846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41842459"/>
    <w:multiLevelType w:val="hybridMultilevel"/>
    <w:tmpl w:val="5542510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231124A"/>
    <w:multiLevelType w:val="hybridMultilevel"/>
    <w:tmpl w:val="224C3A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614368D"/>
    <w:multiLevelType w:val="hybridMultilevel"/>
    <w:tmpl w:val="0F1AB2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0E4302"/>
    <w:multiLevelType w:val="hybridMultilevel"/>
    <w:tmpl w:val="D64007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D35262"/>
    <w:multiLevelType w:val="hybridMultilevel"/>
    <w:tmpl w:val="6AE09C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2960242"/>
    <w:multiLevelType w:val="hybridMultilevel"/>
    <w:tmpl w:val="3C2E05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5C6621C"/>
    <w:multiLevelType w:val="hybridMultilevel"/>
    <w:tmpl w:val="17161236"/>
    <w:lvl w:ilvl="0" w:tplc="AF2EF3D2">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7E4B18"/>
    <w:multiLevelType w:val="hybridMultilevel"/>
    <w:tmpl w:val="3718168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AB80EDA"/>
    <w:multiLevelType w:val="hybridMultilevel"/>
    <w:tmpl w:val="FC42162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4"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05B51A5"/>
    <w:multiLevelType w:val="hybridMultilevel"/>
    <w:tmpl w:val="11C0779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3370FEF"/>
    <w:multiLevelType w:val="hybridMultilevel"/>
    <w:tmpl w:val="C63A515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5CA4242"/>
    <w:multiLevelType w:val="hybridMultilevel"/>
    <w:tmpl w:val="58D0807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69" w15:restartNumberingAfterBreak="0">
    <w:nsid w:val="67D0610E"/>
    <w:multiLevelType w:val="hybridMultilevel"/>
    <w:tmpl w:val="63BECABE"/>
    <w:lvl w:ilvl="0" w:tplc="FFFFFFFF">
      <w:start w:val="1"/>
      <w:numFmt w:val="bullet"/>
      <w:lvlText w:val="-"/>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1"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B03333"/>
    <w:multiLevelType w:val="hybridMultilevel"/>
    <w:tmpl w:val="D3342032"/>
    <w:lvl w:ilvl="0" w:tplc="FFFFFFFF">
      <w:start w:val="1"/>
      <w:numFmt w:val="bullet"/>
      <w:lvlText w:val="-"/>
      <w:lvlJc w:val="left"/>
      <w:pPr>
        <w:ind w:left="63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6"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7"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9" w15:restartNumberingAfterBreak="0">
    <w:nsid w:val="7967286D"/>
    <w:multiLevelType w:val="hybridMultilevel"/>
    <w:tmpl w:val="543C03F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A415554"/>
    <w:multiLevelType w:val="hybridMultilevel"/>
    <w:tmpl w:val="40403B1E"/>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1"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2" w15:restartNumberingAfterBreak="0">
    <w:nsid w:val="7CA926C4"/>
    <w:multiLevelType w:val="hybridMultilevel"/>
    <w:tmpl w:val="BFF49CB2"/>
    <w:lvl w:ilvl="0" w:tplc="FFFFFFFF">
      <w:start w:val="1"/>
      <w:numFmt w:val="bullet"/>
      <w:lvlText w:val="-"/>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404063739">
    <w:abstractNumId w:val="0"/>
    <w:lvlOverride w:ilvl="0">
      <w:lvl w:ilvl="0">
        <w:numFmt w:val="bullet"/>
        <w:lvlText w:val="-"/>
        <w:legacy w:legacy="1" w:legacySpace="0" w:legacyIndent="360"/>
        <w:lvlJc w:val="left"/>
        <w:pPr>
          <w:ind w:left="360" w:hanging="360"/>
        </w:pPr>
      </w:lvl>
    </w:lvlOverride>
  </w:num>
  <w:num w:numId="2" w16cid:durableId="13843270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608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827271">
    <w:abstractNumId w:val="53"/>
  </w:num>
  <w:num w:numId="5" w16cid:durableId="1128399815">
    <w:abstractNumId w:val="1"/>
  </w:num>
  <w:num w:numId="6" w16cid:durableId="800730749">
    <w:abstractNumId w:val="74"/>
  </w:num>
  <w:num w:numId="7" w16cid:durableId="864713263">
    <w:abstractNumId w:val="71"/>
  </w:num>
  <w:num w:numId="8" w16cid:durableId="550003536">
    <w:abstractNumId w:val="76"/>
  </w:num>
  <w:num w:numId="9" w16cid:durableId="1326394316">
    <w:abstractNumId w:val="37"/>
  </w:num>
  <w:num w:numId="10" w16cid:durableId="1063531183">
    <w:abstractNumId w:val="18"/>
  </w:num>
  <w:num w:numId="11" w16cid:durableId="1210192253">
    <w:abstractNumId w:val="42"/>
  </w:num>
  <w:num w:numId="12" w16cid:durableId="801115718">
    <w:abstractNumId w:val="16"/>
  </w:num>
  <w:num w:numId="13" w16cid:durableId="110977256">
    <w:abstractNumId w:val="32"/>
  </w:num>
  <w:num w:numId="14" w16cid:durableId="248198578">
    <w:abstractNumId w:val="64"/>
  </w:num>
  <w:num w:numId="15" w16cid:durableId="539976745">
    <w:abstractNumId w:val="26"/>
  </w:num>
  <w:num w:numId="16" w16cid:durableId="1403721167">
    <w:abstractNumId w:val="68"/>
  </w:num>
  <w:num w:numId="17" w16cid:durableId="1306622077">
    <w:abstractNumId w:val="6"/>
  </w:num>
  <w:num w:numId="18" w16cid:durableId="1871651144">
    <w:abstractNumId w:val="38"/>
  </w:num>
  <w:num w:numId="19" w16cid:durableId="1288663672">
    <w:abstractNumId w:val="77"/>
  </w:num>
  <w:num w:numId="20" w16cid:durableId="1365209550">
    <w:abstractNumId w:val="54"/>
  </w:num>
  <w:num w:numId="21" w16cid:durableId="1019160292">
    <w:abstractNumId w:val="11"/>
  </w:num>
  <w:num w:numId="22" w16cid:durableId="1550266952">
    <w:abstractNumId w:val="60"/>
  </w:num>
  <w:num w:numId="23" w16cid:durableId="1445274523">
    <w:abstractNumId w:val="52"/>
  </w:num>
  <w:num w:numId="24" w16cid:durableId="480463542">
    <w:abstractNumId w:val="12"/>
  </w:num>
  <w:num w:numId="25" w16cid:durableId="570890252">
    <w:abstractNumId w:val="49"/>
  </w:num>
  <w:num w:numId="26" w16cid:durableId="2039164526">
    <w:abstractNumId w:val="73"/>
  </w:num>
  <w:num w:numId="27" w16cid:durableId="1683817766">
    <w:abstractNumId w:val="50"/>
  </w:num>
  <w:num w:numId="28" w16cid:durableId="491920414">
    <w:abstractNumId w:val="45"/>
  </w:num>
  <w:num w:numId="29" w16cid:durableId="1825925072">
    <w:abstractNumId w:val="36"/>
  </w:num>
  <w:num w:numId="30" w16cid:durableId="1496189474">
    <w:abstractNumId w:val="2"/>
  </w:num>
  <w:num w:numId="31" w16cid:durableId="1310399355">
    <w:abstractNumId w:val="55"/>
  </w:num>
  <w:num w:numId="32" w16cid:durableId="985359101">
    <w:abstractNumId w:val="78"/>
  </w:num>
  <w:num w:numId="33" w16cid:durableId="974675784">
    <w:abstractNumId w:val="81"/>
  </w:num>
  <w:num w:numId="34" w16cid:durableId="1841964968">
    <w:abstractNumId w:val="44"/>
  </w:num>
  <w:num w:numId="35" w16cid:durableId="445469601">
    <w:abstractNumId w:val="63"/>
  </w:num>
  <w:num w:numId="36" w16cid:durableId="1803227922">
    <w:abstractNumId w:val="70"/>
  </w:num>
  <w:num w:numId="37" w16cid:durableId="1072460256">
    <w:abstractNumId w:val="24"/>
  </w:num>
  <w:num w:numId="38" w16cid:durableId="1013842446">
    <w:abstractNumId w:val="59"/>
  </w:num>
  <w:num w:numId="39" w16cid:durableId="347681408">
    <w:abstractNumId w:val="39"/>
  </w:num>
  <w:num w:numId="40" w16cid:durableId="315111533">
    <w:abstractNumId w:val="75"/>
  </w:num>
  <w:num w:numId="41" w16cid:durableId="1422876830">
    <w:abstractNumId w:val="22"/>
  </w:num>
  <w:num w:numId="42" w16cid:durableId="93944727">
    <w:abstractNumId w:val="62"/>
  </w:num>
  <w:num w:numId="43" w16cid:durableId="1057898164">
    <w:abstractNumId w:val="33"/>
  </w:num>
  <w:num w:numId="44" w16cid:durableId="1202551925">
    <w:abstractNumId w:val="56"/>
  </w:num>
  <w:num w:numId="45" w16cid:durableId="831026358">
    <w:abstractNumId w:val="17"/>
  </w:num>
  <w:num w:numId="46" w16cid:durableId="272638795">
    <w:abstractNumId w:val="47"/>
  </w:num>
  <w:num w:numId="47" w16cid:durableId="379940772">
    <w:abstractNumId w:val="13"/>
  </w:num>
  <w:num w:numId="48" w16cid:durableId="453057552">
    <w:abstractNumId w:val="61"/>
  </w:num>
  <w:num w:numId="49" w16cid:durableId="342825995">
    <w:abstractNumId w:val="66"/>
  </w:num>
  <w:num w:numId="50" w16cid:durableId="339550004">
    <w:abstractNumId w:val="25"/>
  </w:num>
  <w:num w:numId="51" w16cid:durableId="581960036">
    <w:abstractNumId w:val="21"/>
  </w:num>
  <w:num w:numId="52" w16cid:durableId="1963073109">
    <w:abstractNumId w:val="80"/>
  </w:num>
  <w:num w:numId="53" w16cid:durableId="1094279216">
    <w:abstractNumId w:val="69"/>
  </w:num>
  <w:num w:numId="54" w16cid:durableId="878010233">
    <w:abstractNumId w:val="35"/>
  </w:num>
  <w:num w:numId="55" w16cid:durableId="187449097">
    <w:abstractNumId w:val="23"/>
  </w:num>
  <w:num w:numId="56" w16cid:durableId="54359605">
    <w:abstractNumId w:val="65"/>
  </w:num>
  <w:num w:numId="57" w16cid:durableId="16201334">
    <w:abstractNumId w:val="14"/>
  </w:num>
  <w:num w:numId="58" w16cid:durableId="732889890">
    <w:abstractNumId w:val="46"/>
  </w:num>
  <w:num w:numId="59" w16cid:durableId="636958462">
    <w:abstractNumId w:val="72"/>
  </w:num>
  <w:num w:numId="60" w16cid:durableId="310988990">
    <w:abstractNumId w:val="51"/>
  </w:num>
  <w:num w:numId="61" w16cid:durableId="1066950992">
    <w:abstractNumId w:val="27"/>
  </w:num>
  <w:num w:numId="62" w16cid:durableId="1862820905">
    <w:abstractNumId w:val="41"/>
  </w:num>
  <w:num w:numId="63" w16cid:durableId="759369778">
    <w:abstractNumId w:val="31"/>
  </w:num>
  <w:num w:numId="64" w16cid:durableId="390151664">
    <w:abstractNumId w:val="10"/>
  </w:num>
  <w:num w:numId="65" w16cid:durableId="1555585496">
    <w:abstractNumId w:val="48"/>
  </w:num>
  <w:num w:numId="66" w16cid:durableId="399865295">
    <w:abstractNumId w:val="4"/>
  </w:num>
  <w:num w:numId="67" w16cid:durableId="287248998">
    <w:abstractNumId w:val="8"/>
  </w:num>
  <w:num w:numId="68" w16cid:durableId="10844989">
    <w:abstractNumId w:val="43"/>
  </w:num>
  <w:num w:numId="69" w16cid:durableId="1649552053">
    <w:abstractNumId w:val="57"/>
  </w:num>
  <w:num w:numId="70" w16cid:durableId="1165322150">
    <w:abstractNumId w:val="40"/>
  </w:num>
  <w:num w:numId="71" w16cid:durableId="1803499326">
    <w:abstractNumId w:val="3"/>
  </w:num>
  <w:num w:numId="72" w16cid:durableId="46806301">
    <w:abstractNumId w:val="79"/>
  </w:num>
  <w:num w:numId="73" w16cid:durableId="1878815997">
    <w:abstractNumId w:val="5"/>
  </w:num>
  <w:num w:numId="74" w16cid:durableId="678503766">
    <w:abstractNumId w:val="29"/>
  </w:num>
  <w:num w:numId="75" w16cid:durableId="689331531">
    <w:abstractNumId w:val="34"/>
  </w:num>
  <w:num w:numId="76" w16cid:durableId="1720284538">
    <w:abstractNumId w:val="82"/>
  </w:num>
  <w:num w:numId="77" w16cid:durableId="476727232">
    <w:abstractNumId w:val="19"/>
  </w:num>
  <w:num w:numId="78" w16cid:durableId="1745762628">
    <w:abstractNumId w:val="58"/>
  </w:num>
  <w:num w:numId="79" w16cid:durableId="339817530">
    <w:abstractNumId w:val="9"/>
  </w:num>
  <w:num w:numId="80" w16cid:durableId="298531665">
    <w:abstractNumId w:val="20"/>
  </w:num>
  <w:num w:numId="81" w16cid:durableId="67657610">
    <w:abstractNumId w:val="67"/>
  </w:num>
  <w:num w:numId="82" w16cid:durableId="1149984272">
    <w:abstractNumId w:val="7"/>
  </w:num>
  <w:num w:numId="83" w16cid:durableId="291445374">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96"/>
    <w:rsid w:val="000002B5"/>
    <w:rsid w:val="0000124A"/>
    <w:rsid w:val="00004EC2"/>
    <w:rsid w:val="00011E3A"/>
    <w:rsid w:val="00011E56"/>
    <w:rsid w:val="00011F25"/>
    <w:rsid w:val="0001305D"/>
    <w:rsid w:val="00014F95"/>
    <w:rsid w:val="00015A5D"/>
    <w:rsid w:val="00024FEF"/>
    <w:rsid w:val="00033AF3"/>
    <w:rsid w:val="00040AAC"/>
    <w:rsid w:val="000469C7"/>
    <w:rsid w:val="000477EA"/>
    <w:rsid w:val="00052930"/>
    <w:rsid w:val="00054B97"/>
    <w:rsid w:val="000618CE"/>
    <w:rsid w:val="000625CF"/>
    <w:rsid w:val="0006462C"/>
    <w:rsid w:val="0006715D"/>
    <w:rsid w:val="00070977"/>
    <w:rsid w:val="000717FD"/>
    <w:rsid w:val="00074D0E"/>
    <w:rsid w:val="000758F6"/>
    <w:rsid w:val="00076D55"/>
    <w:rsid w:val="000840F4"/>
    <w:rsid w:val="00086D36"/>
    <w:rsid w:val="00095ED3"/>
    <w:rsid w:val="00096386"/>
    <w:rsid w:val="00097D1F"/>
    <w:rsid w:val="000A48E1"/>
    <w:rsid w:val="000A4CE6"/>
    <w:rsid w:val="000B1CEF"/>
    <w:rsid w:val="000B4F34"/>
    <w:rsid w:val="000B7903"/>
    <w:rsid w:val="000C5AA2"/>
    <w:rsid w:val="000C7FFE"/>
    <w:rsid w:val="000D5B88"/>
    <w:rsid w:val="000E210C"/>
    <w:rsid w:val="000E3318"/>
    <w:rsid w:val="000F329F"/>
    <w:rsid w:val="000F65CE"/>
    <w:rsid w:val="001003B0"/>
    <w:rsid w:val="00105408"/>
    <w:rsid w:val="00111F89"/>
    <w:rsid w:val="00113877"/>
    <w:rsid w:val="001152E3"/>
    <w:rsid w:val="00122753"/>
    <w:rsid w:val="00124631"/>
    <w:rsid w:val="001258AA"/>
    <w:rsid w:val="00131643"/>
    <w:rsid w:val="0013500B"/>
    <w:rsid w:val="00137F39"/>
    <w:rsid w:val="00143237"/>
    <w:rsid w:val="00145170"/>
    <w:rsid w:val="001473FD"/>
    <w:rsid w:val="0015139D"/>
    <w:rsid w:val="001568BA"/>
    <w:rsid w:val="0016348D"/>
    <w:rsid w:val="00163FC9"/>
    <w:rsid w:val="001670D0"/>
    <w:rsid w:val="00167622"/>
    <w:rsid w:val="00170E61"/>
    <w:rsid w:val="00171D91"/>
    <w:rsid w:val="001855DE"/>
    <w:rsid w:val="001907B4"/>
    <w:rsid w:val="00193C47"/>
    <w:rsid w:val="00194A17"/>
    <w:rsid w:val="00195B2E"/>
    <w:rsid w:val="00197171"/>
    <w:rsid w:val="001A2D57"/>
    <w:rsid w:val="001A3261"/>
    <w:rsid w:val="001B39DA"/>
    <w:rsid w:val="001B760E"/>
    <w:rsid w:val="001C1130"/>
    <w:rsid w:val="001C2C38"/>
    <w:rsid w:val="001C4A8D"/>
    <w:rsid w:val="001C4F2E"/>
    <w:rsid w:val="001C78CE"/>
    <w:rsid w:val="001D058D"/>
    <w:rsid w:val="001D145F"/>
    <w:rsid w:val="001D1F43"/>
    <w:rsid w:val="001D5196"/>
    <w:rsid w:val="0020077D"/>
    <w:rsid w:val="0020465F"/>
    <w:rsid w:val="00207E9F"/>
    <w:rsid w:val="0021367B"/>
    <w:rsid w:val="002259A5"/>
    <w:rsid w:val="00226049"/>
    <w:rsid w:val="00235341"/>
    <w:rsid w:val="00236213"/>
    <w:rsid w:val="00240677"/>
    <w:rsid w:val="00241545"/>
    <w:rsid w:val="002426C3"/>
    <w:rsid w:val="00242F2E"/>
    <w:rsid w:val="00246FB8"/>
    <w:rsid w:val="00247A8B"/>
    <w:rsid w:val="00270552"/>
    <w:rsid w:val="00282E1F"/>
    <w:rsid w:val="002858EE"/>
    <w:rsid w:val="00285F2A"/>
    <w:rsid w:val="00286F45"/>
    <w:rsid w:val="00287598"/>
    <w:rsid w:val="002B5642"/>
    <w:rsid w:val="002B6D5C"/>
    <w:rsid w:val="002C0C62"/>
    <w:rsid w:val="002C3DE9"/>
    <w:rsid w:val="002C4AF8"/>
    <w:rsid w:val="002C71E5"/>
    <w:rsid w:val="002D69A2"/>
    <w:rsid w:val="002D6F31"/>
    <w:rsid w:val="002D7C3D"/>
    <w:rsid w:val="002E7E7E"/>
    <w:rsid w:val="002F26FD"/>
    <w:rsid w:val="002F6B91"/>
    <w:rsid w:val="003024F7"/>
    <w:rsid w:val="00303C51"/>
    <w:rsid w:val="003064BD"/>
    <w:rsid w:val="00313F48"/>
    <w:rsid w:val="0031457F"/>
    <w:rsid w:val="00321C6A"/>
    <w:rsid w:val="003308FD"/>
    <w:rsid w:val="003326A1"/>
    <w:rsid w:val="003352FA"/>
    <w:rsid w:val="003368B4"/>
    <w:rsid w:val="003377F0"/>
    <w:rsid w:val="0035517B"/>
    <w:rsid w:val="003666CC"/>
    <w:rsid w:val="0037197F"/>
    <w:rsid w:val="00371C35"/>
    <w:rsid w:val="00373470"/>
    <w:rsid w:val="00375C07"/>
    <w:rsid w:val="00386785"/>
    <w:rsid w:val="00392BEC"/>
    <w:rsid w:val="00392DE6"/>
    <w:rsid w:val="00394060"/>
    <w:rsid w:val="00397AF5"/>
    <w:rsid w:val="003A0512"/>
    <w:rsid w:val="003A75B2"/>
    <w:rsid w:val="003B78CD"/>
    <w:rsid w:val="003C2BB0"/>
    <w:rsid w:val="003E17A1"/>
    <w:rsid w:val="003F3FEB"/>
    <w:rsid w:val="003F444E"/>
    <w:rsid w:val="003F618A"/>
    <w:rsid w:val="004016C9"/>
    <w:rsid w:val="00401A2C"/>
    <w:rsid w:val="00404325"/>
    <w:rsid w:val="00404768"/>
    <w:rsid w:val="00410CEE"/>
    <w:rsid w:val="00410D0B"/>
    <w:rsid w:val="004117A5"/>
    <w:rsid w:val="00413F9D"/>
    <w:rsid w:val="004150E7"/>
    <w:rsid w:val="004243D5"/>
    <w:rsid w:val="00430732"/>
    <w:rsid w:val="0043125B"/>
    <w:rsid w:val="00432549"/>
    <w:rsid w:val="004348F9"/>
    <w:rsid w:val="00437EF2"/>
    <w:rsid w:val="00442339"/>
    <w:rsid w:val="0044721F"/>
    <w:rsid w:val="00447321"/>
    <w:rsid w:val="00453429"/>
    <w:rsid w:val="00453C61"/>
    <w:rsid w:val="0045436E"/>
    <w:rsid w:val="00454DC6"/>
    <w:rsid w:val="00456DF7"/>
    <w:rsid w:val="00463BF0"/>
    <w:rsid w:val="004640AA"/>
    <w:rsid w:val="00464440"/>
    <w:rsid w:val="00464C82"/>
    <w:rsid w:val="0047402B"/>
    <w:rsid w:val="004804C6"/>
    <w:rsid w:val="004814B0"/>
    <w:rsid w:val="00484ED5"/>
    <w:rsid w:val="00497D86"/>
    <w:rsid w:val="004A20FE"/>
    <w:rsid w:val="004B1EAC"/>
    <w:rsid w:val="004B6256"/>
    <w:rsid w:val="004B730B"/>
    <w:rsid w:val="004C39DA"/>
    <w:rsid w:val="004C6201"/>
    <w:rsid w:val="004D64A7"/>
    <w:rsid w:val="004D7DD0"/>
    <w:rsid w:val="004E10E8"/>
    <w:rsid w:val="004E5635"/>
    <w:rsid w:val="004E64FF"/>
    <w:rsid w:val="00512CE4"/>
    <w:rsid w:val="005131AB"/>
    <w:rsid w:val="00517C77"/>
    <w:rsid w:val="005200E3"/>
    <w:rsid w:val="00521B07"/>
    <w:rsid w:val="00534DC5"/>
    <w:rsid w:val="00537E92"/>
    <w:rsid w:val="00540593"/>
    <w:rsid w:val="005454E9"/>
    <w:rsid w:val="0055130F"/>
    <w:rsid w:val="00552E7F"/>
    <w:rsid w:val="005565DB"/>
    <w:rsid w:val="005648DD"/>
    <w:rsid w:val="0057045E"/>
    <w:rsid w:val="00571207"/>
    <w:rsid w:val="00571415"/>
    <w:rsid w:val="005738CA"/>
    <w:rsid w:val="005744A0"/>
    <w:rsid w:val="00575E53"/>
    <w:rsid w:val="005760CE"/>
    <w:rsid w:val="00577878"/>
    <w:rsid w:val="00580350"/>
    <w:rsid w:val="00582932"/>
    <w:rsid w:val="00583B79"/>
    <w:rsid w:val="00586A74"/>
    <w:rsid w:val="005975DE"/>
    <w:rsid w:val="005A0E09"/>
    <w:rsid w:val="005A34D8"/>
    <w:rsid w:val="005A5F41"/>
    <w:rsid w:val="005B165C"/>
    <w:rsid w:val="005B1934"/>
    <w:rsid w:val="005B1A8B"/>
    <w:rsid w:val="005B54DF"/>
    <w:rsid w:val="005B658F"/>
    <w:rsid w:val="005C1259"/>
    <w:rsid w:val="005C63C7"/>
    <w:rsid w:val="005C7EA1"/>
    <w:rsid w:val="005D0C32"/>
    <w:rsid w:val="005D101F"/>
    <w:rsid w:val="005D22C0"/>
    <w:rsid w:val="005D45F3"/>
    <w:rsid w:val="005E4160"/>
    <w:rsid w:val="005E661B"/>
    <w:rsid w:val="0060562C"/>
    <w:rsid w:val="006071ED"/>
    <w:rsid w:val="00607BEC"/>
    <w:rsid w:val="00614388"/>
    <w:rsid w:val="00615B4A"/>
    <w:rsid w:val="006162A5"/>
    <w:rsid w:val="00617F3E"/>
    <w:rsid w:val="0062111A"/>
    <w:rsid w:val="006225F8"/>
    <w:rsid w:val="00623346"/>
    <w:rsid w:val="00632D2C"/>
    <w:rsid w:val="006341E5"/>
    <w:rsid w:val="006360E1"/>
    <w:rsid w:val="006375D6"/>
    <w:rsid w:val="00640A60"/>
    <w:rsid w:val="00662FC1"/>
    <w:rsid w:val="0066401F"/>
    <w:rsid w:val="00680F98"/>
    <w:rsid w:val="006843AB"/>
    <w:rsid w:val="00684712"/>
    <w:rsid w:val="0069152A"/>
    <w:rsid w:val="00693861"/>
    <w:rsid w:val="00697D4E"/>
    <w:rsid w:val="006A2B9E"/>
    <w:rsid w:val="006B08F4"/>
    <w:rsid w:val="006B0E8F"/>
    <w:rsid w:val="006B410F"/>
    <w:rsid w:val="006B46C8"/>
    <w:rsid w:val="006D7BF9"/>
    <w:rsid w:val="006E33E9"/>
    <w:rsid w:val="00700724"/>
    <w:rsid w:val="00700C7F"/>
    <w:rsid w:val="00701598"/>
    <w:rsid w:val="00704838"/>
    <w:rsid w:val="007055D8"/>
    <w:rsid w:val="00706954"/>
    <w:rsid w:val="00714839"/>
    <w:rsid w:val="00715B28"/>
    <w:rsid w:val="00725C8A"/>
    <w:rsid w:val="00732A22"/>
    <w:rsid w:val="007433D4"/>
    <w:rsid w:val="007440DA"/>
    <w:rsid w:val="00747CA1"/>
    <w:rsid w:val="007523D4"/>
    <w:rsid w:val="00756DC1"/>
    <w:rsid w:val="007703FC"/>
    <w:rsid w:val="00771C31"/>
    <w:rsid w:val="007734CD"/>
    <w:rsid w:val="00783B1D"/>
    <w:rsid w:val="00787CEA"/>
    <w:rsid w:val="00791C57"/>
    <w:rsid w:val="0079600C"/>
    <w:rsid w:val="0079672F"/>
    <w:rsid w:val="00797565"/>
    <w:rsid w:val="007A7CCA"/>
    <w:rsid w:val="007B16F7"/>
    <w:rsid w:val="007B29B2"/>
    <w:rsid w:val="007B5A75"/>
    <w:rsid w:val="007B7671"/>
    <w:rsid w:val="007C0F84"/>
    <w:rsid w:val="007C30D3"/>
    <w:rsid w:val="007D120E"/>
    <w:rsid w:val="007D3A7A"/>
    <w:rsid w:val="007E37A7"/>
    <w:rsid w:val="007E4946"/>
    <w:rsid w:val="007F0FD4"/>
    <w:rsid w:val="007F5A7C"/>
    <w:rsid w:val="007F6496"/>
    <w:rsid w:val="008026FD"/>
    <w:rsid w:val="008046C2"/>
    <w:rsid w:val="0081006F"/>
    <w:rsid w:val="0081576B"/>
    <w:rsid w:val="0082016C"/>
    <w:rsid w:val="0082053A"/>
    <w:rsid w:val="0082547B"/>
    <w:rsid w:val="00837E36"/>
    <w:rsid w:val="008401FE"/>
    <w:rsid w:val="00846E77"/>
    <w:rsid w:val="00846FC1"/>
    <w:rsid w:val="008722FC"/>
    <w:rsid w:val="00876C6D"/>
    <w:rsid w:val="00882F0A"/>
    <w:rsid w:val="008843B4"/>
    <w:rsid w:val="0088519C"/>
    <w:rsid w:val="00885406"/>
    <w:rsid w:val="00886C0C"/>
    <w:rsid w:val="00887466"/>
    <w:rsid w:val="00892015"/>
    <w:rsid w:val="00895A76"/>
    <w:rsid w:val="00897092"/>
    <w:rsid w:val="008979E7"/>
    <w:rsid w:val="008A17D0"/>
    <w:rsid w:val="008A1A43"/>
    <w:rsid w:val="008A3802"/>
    <w:rsid w:val="008A5011"/>
    <w:rsid w:val="008B6ADB"/>
    <w:rsid w:val="008C1DF1"/>
    <w:rsid w:val="008C3A33"/>
    <w:rsid w:val="008C7EAB"/>
    <w:rsid w:val="008D2EE0"/>
    <w:rsid w:val="008D7A5A"/>
    <w:rsid w:val="008E4459"/>
    <w:rsid w:val="008E4E03"/>
    <w:rsid w:val="008F7271"/>
    <w:rsid w:val="00906081"/>
    <w:rsid w:val="00911C81"/>
    <w:rsid w:val="00912B24"/>
    <w:rsid w:val="009133A5"/>
    <w:rsid w:val="009153C0"/>
    <w:rsid w:val="00917DA4"/>
    <w:rsid w:val="00921D9F"/>
    <w:rsid w:val="009242CC"/>
    <w:rsid w:val="00932BC3"/>
    <w:rsid w:val="009353F0"/>
    <w:rsid w:val="00941B04"/>
    <w:rsid w:val="00942026"/>
    <w:rsid w:val="0095070F"/>
    <w:rsid w:val="009508F6"/>
    <w:rsid w:val="00953862"/>
    <w:rsid w:val="009602DA"/>
    <w:rsid w:val="009610B9"/>
    <w:rsid w:val="00963E53"/>
    <w:rsid w:val="0096558D"/>
    <w:rsid w:val="00965EFA"/>
    <w:rsid w:val="00965FCE"/>
    <w:rsid w:val="00971BAB"/>
    <w:rsid w:val="00977539"/>
    <w:rsid w:val="00982EEF"/>
    <w:rsid w:val="009860EA"/>
    <w:rsid w:val="00987FEC"/>
    <w:rsid w:val="00994F29"/>
    <w:rsid w:val="00995E58"/>
    <w:rsid w:val="00995F14"/>
    <w:rsid w:val="009A2441"/>
    <w:rsid w:val="009B2934"/>
    <w:rsid w:val="009B2F6A"/>
    <w:rsid w:val="009B306E"/>
    <w:rsid w:val="009B5DAF"/>
    <w:rsid w:val="009C35BF"/>
    <w:rsid w:val="009C6D04"/>
    <w:rsid w:val="009D043D"/>
    <w:rsid w:val="009D2A08"/>
    <w:rsid w:val="009D483E"/>
    <w:rsid w:val="009D556C"/>
    <w:rsid w:val="009D73F3"/>
    <w:rsid w:val="009F0AA2"/>
    <w:rsid w:val="009F1F23"/>
    <w:rsid w:val="009F4B8D"/>
    <w:rsid w:val="009F6B18"/>
    <w:rsid w:val="00A02D18"/>
    <w:rsid w:val="00A04D88"/>
    <w:rsid w:val="00A1281A"/>
    <w:rsid w:val="00A12FDF"/>
    <w:rsid w:val="00A1442B"/>
    <w:rsid w:val="00A32F63"/>
    <w:rsid w:val="00A37E17"/>
    <w:rsid w:val="00A4257D"/>
    <w:rsid w:val="00A50489"/>
    <w:rsid w:val="00A56268"/>
    <w:rsid w:val="00A57421"/>
    <w:rsid w:val="00A6270B"/>
    <w:rsid w:val="00A63EC4"/>
    <w:rsid w:val="00A66823"/>
    <w:rsid w:val="00A671BF"/>
    <w:rsid w:val="00A71A9F"/>
    <w:rsid w:val="00A7444B"/>
    <w:rsid w:val="00A83269"/>
    <w:rsid w:val="00A87B75"/>
    <w:rsid w:val="00A92FE5"/>
    <w:rsid w:val="00A942B0"/>
    <w:rsid w:val="00AA0635"/>
    <w:rsid w:val="00AB0E89"/>
    <w:rsid w:val="00AB1325"/>
    <w:rsid w:val="00AB36A5"/>
    <w:rsid w:val="00AC27EF"/>
    <w:rsid w:val="00AC6199"/>
    <w:rsid w:val="00AD109F"/>
    <w:rsid w:val="00AD1A35"/>
    <w:rsid w:val="00AD2FC8"/>
    <w:rsid w:val="00AD7969"/>
    <w:rsid w:val="00AE7288"/>
    <w:rsid w:val="00AF66E5"/>
    <w:rsid w:val="00B00070"/>
    <w:rsid w:val="00B006ED"/>
    <w:rsid w:val="00B0353D"/>
    <w:rsid w:val="00B04C01"/>
    <w:rsid w:val="00B07833"/>
    <w:rsid w:val="00B23F6B"/>
    <w:rsid w:val="00B26BEF"/>
    <w:rsid w:val="00B35D0D"/>
    <w:rsid w:val="00B404A7"/>
    <w:rsid w:val="00B4099E"/>
    <w:rsid w:val="00B41EA8"/>
    <w:rsid w:val="00B54E72"/>
    <w:rsid w:val="00B56E07"/>
    <w:rsid w:val="00B72151"/>
    <w:rsid w:val="00B74574"/>
    <w:rsid w:val="00B83A08"/>
    <w:rsid w:val="00B85B75"/>
    <w:rsid w:val="00B86311"/>
    <w:rsid w:val="00B875D2"/>
    <w:rsid w:val="00B876E7"/>
    <w:rsid w:val="00B87A22"/>
    <w:rsid w:val="00B9493B"/>
    <w:rsid w:val="00B95AB9"/>
    <w:rsid w:val="00BA4849"/>
    <w:rsid w:val="00BB08C7"/>
    <w:rsid w:val="00BB2FC7"/>
    <w:rsid w:val="00BB677D"/>
    <w:rsid w:val="00BC05F4"/>
    <w:rsid w:val="00BC70E7"/>
    <w:rsid w:val="00BD000A"/>
    <w:rsid w:val="00BD3077"/>
    <w:rsid w:val="00BE2760"/>
    <w:rsid w:val="00BE3224"/>
    <w:rsid w:val="00BE3EC3"/>
    <w:rsid w:val="00BE5A5C"/>
    <w:rsid w:val="00BE6869"/>
    <w:rsid w:val="00BF2F84"/>
    <w:rsid w:val="00C03A04"/>
    <w:rsid w:val="00C054D6"/>
    <w:rsid w:val="00C0709B"/>
    <w:rsid w:val="00C07A77"/>
    <w:rsid w:val="00C1077C"/>
    <w:rsid w:val="00C11B1E"/>
    <w:rsid w:val="00C14374"/>
    <w:rsid w:val="00C157C2"/>
    <w:rsid w:val="00C21385"/>
    <w:rsid w:val="00C22777"/>
    <w:rsid w:val="00C25960"/>
    <w:rsid w:val="00C27A2C"/>
    <w:rsid w:val="00C4006D"/>
    <w:rsid w:val="00C51FF0"/>
    <w:rsid w:val="00C5757F"/>
    <w:rsid w:val="00C60C47"/>
    <w:rsid w:val="00C67290"/>
    <w:rsid w:val="00C706D7"/>
    <w:rsid w:val="00C761C4"/>
    <w:rsid w:val="00C866C7"/>
    <w:rsid w:val="00C916BD"/>
    <w:rsid w:val="00C92B53"/>
    <w:rsid w:val="00C954E6"/>
    <w:rsid w:val="00C95D96"/>
    <w:rsid w:val="00CA1CCC"/>
    <w:rsid w:val="00CA2849"/>
    <w:rsid w:val="00CA6D24"/>
    <w:rsid w:val="00CB748A"/>
    <w:rsid w:val="00CB7883"/>
    <w:rsid w:val="00CC4E08"/>
    <w:rsid w:val="00CD0F83"/>
    <w:rsid w:val="00CD47DE"/>
    <w:rsid w:val="00CD53AE"/>
    <w:rsid w:val="00CE0B1D"/>
    <w:rsid w:val="00CE0DDF"/>
    <w:rsid w:val="00CF12A1"/>
    <w:rsid w:val="00CF400D"/>
    <w:rsid w:val="00D020A1"/>
    <w:rsid w:val="00D044AF"/>
    <w:rsid w:val="00D11DAB"/>
    <w:rsid w:val="00D133A8"/>
    <w:rsid w:val="00D13844"/>
    <w:rsid w:val="00D216FD"/>
    <w:rsid w:val="00D21DFA"/>
    <w:rsid w:val="00D238F4"/>
    <w:rsid w:val="00D25C28"/>
    <w:rsid w:val="00D308BE"/>
    <w:rsid w:val="00D33DD3"/>
    <w:rsid w:val="00D368FD"/>
    <w:rsid w:val="00D405F8"/>
    <w:rsid w:val="00D50421"/>
    <w:rsid w:val="00D563DC"/>
    <w:rsid w:val="00D62017"/>
    <w:rsid w:val="00D64851"/>
    <w:rsid w:val="00D6718C"/>
    <w:rsid w:val="00D71A43"/>
    <w:rsid w:val="00D813C0"/>
    <w:rsid w:val="00D823CC"/>
    <w:rsid w:val="00D82BB4"/>
    <w:rsid w:val="00D83D98"/>
    <w:rsid w:val="00D91171"/>
    <w:rsid w:val="00D92FB7"/>
    <w:rsid w:val="00D94FA9"/>
    <w:rsid w:val="00D956E2"/>
    <w:rsid w:val="00DA293F"/>
    <w:rsid w:val="00DA2CD2"/>
    <w:rsid w:val="00DA6AF3"/>
    <w:rsid w:val="00DA7366"/>
    <w:rsid w:val="00DB0866"/>
    <w:rsid w:val="00DB31FB"/>
    <w:rsid w:val="00DB3688"/>
    <w:rsid w:val="00DB3DA4"/>
    <w:rsid w:val="00DC2B95"/>
    <w:rsid w:val="00DC7462"/>
    <w:rsid w:val="00DF61AB"/>
    <w:rsid w:val="00E00E8C"/>
    <w:rsid w:val="00E02387"/>
    <w:rsid w:val="00E02974"/>
    <w:rsid w:val="00E037FC"/>
    <w:rsid w:val="00E12898"/>
    <w:rsid w:val="00E179B0"/>
    <w:rsid w:val="00E2246A"/>
    <w:rsid w:val="00E2301C"/>
    <w:rsid w:val="00E401BE"/>
    <w:rsid w:val="00E425EB"/>
    <w:rsid w:val="00E42C62"/>
    <w:rsid w:val="00E42CC3"/>
    <w:rsid w:val="00E50922"/>
    <w:rsid w:val="00E53A44"/>
    <w:rsid w:val="00E5434F"/>
    <w:rsid w:val="00E64BB6"/>
    <w:rsid w:val="00E64E8A"/>
    <w:rsid w:val="00E6688E"/>
    <w:rsid w:val="00E737CE"/>
    <w:rsid w:val="00E73A5F"/>
    <w:rsid w:val="00E76D6A"/>
    <w:rsid w:val="00E86919"/>
    <w:rsid w:val="00E95B0F"/>
    <w:rsid w:val="00E96A2D"/>
    <w:rsid w:val="00EA69C7"/>
    <w:rsid w:val="00EA6F95"/>
    <w:rsid w:val="00EB13A8"/>
    <w:rsid w:val="00EB2314"/>
    <w:rsid w:val="00EB6369"/>
    <w:rsid w:val="00EC0250"/>
    <w:rsid w:val="00EC1EBC"/>
    <w:rsid w:val="00EC1ECA"/>
    <w:rsid w:val="00EC3331"/>
    <w:rsid w:val="00EC4C67"/>
    <w:rsid w:val="00EC5D23"/>
    <w:rsid w:val="00EE71A3"/>
    <w:rsid w:val="00EF4F01"/>
    <w:rsid w:val="00F014BC"/>
    <w:rsid w:val="00F04893"/>
    <w:rsid w:val="00F04C9C"/>
    <w:rsid w:val="00F07A1A"/>
    <w:rsid w:val="00F10399"/>
    <w:rsid w:val="00F10955"/>
    <w:rsid w:val="00F264C7"/>
    <w:rsid w:val="00F27B4D"/>
    <w:rsid w:val="00F36E3F"/>
    <w:rsid w:val="00F44B27"/>
    <w:rsid w:val="00F44DCC"/>
    <w:rsid w:val="00F44FFD"/>
    <w:rsid w:val="00F654A6"/>
    <w:rsid w:val="00F7184A"/>
    <w:rsid w:val="00F80016"/>
    <w:rsid w:val="00F90994"/>
    <w:rsid w:val="00F93D01"/>
    <w:rsid w:val="00F951F7"/>
    <w:rsid w:val="00FA03A0"/>
    <w:rsid w:val="00FA0F9B"/>
    <w:rsid w:val="00FA3B64"/>
    <w:rsid w:val="00FA4757"/>
    <w:rsid w:val="00FA7303"/>
    <w:rsid w:val="00FC433C"/>
    <w:rsid w:val="00FC45C2"/>
    <w:rsid w:val="00FC6A1E"/>
    <w:rsid w:val="00FD68D4"/>
    <w:rsid w:val="00FE0795"/>
    <w:rsid w:val="00FF0390"/>
    <w:rsid w:val="00FF2CFF"/>
    <w:rsid w:val="00FF440F"/>
    <w:rsid w:val="00FF7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C87D9"/>
  <w15:chartTrackingRefBased/>
  <w15:docId w15:val="{1D790722-267F-4BA9-B01D-3AAC9AD5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C95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C95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C95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C95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C95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C95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C95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C95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C95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95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C95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C95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C95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C95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C95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C95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C95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C95D96"/>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C95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C95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5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5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5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5D96"/>
    <w:rPr>
      <w:i/>
      <w:iCs/>
      <w:color w:val="404040" w:themeColor="text1" w:themeTint="BF"/>
    </w:rPr>
  </w:style>
  <w:style w:type="paragraph" w:styleId="Sraopastraipa">
    <w:name w:val="List Paragraph"/>
    <w:basedOn w:val="prastasis"/>
    <w:uiPriority w:val="34"/>
    <w:qFormat/>
    <w:rsid w:val="00C95D96"/>
    <w:pPr>
      <w:ind w:left="720"/>
      <w:contextualSpacing/>
    </w:pPr>
  </w:style>
  <w:style w:type="character" w:styleId="Rykuspabraukimas">
    <w:name w:val="Intense Emphasis"/>
    <w:basedOn w:val="Numatytasispastraiposriftas"/>
    <w:uiPriority w:val="21"/>
    <w:qFormat/>
    <w:rsid w:val="00C95D96"/>
    <w:rPr>
      <w:i/>
      <w:iCs/>
      <w:color w:val="0F4761" w:themeColor="accent1" w:themeShade="BF"/>
    </w:rPr>
  </w:style>
  <w:style w:type="paragraph" w:styleId="Iskirtacitata">
    <w:name w:val="Intense Quote"/>
    <w:basedOn w:val="prastasis"/>
    <w:next w:val="prastasis"/>
    <w:link w:val="IskirtacitataDiagrama"/>
    <w:uiPriority w:val="30"/>
    <w:qFormat/>
    <w:rsid w:val="00C95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5D96"/>
    <w:rPr>
      <w:i/>
      <w:iCs/>
      <w:color w:val="0F4761" w:themeColor="accent1" w:themeShade="BF"/>
    </w:rPr>
  </w:style>
  <w:style w:type="character" w:styleId="Rykinuoroda">
    <w:name w:val="Intense Reference"/>
    <w:basedOn w:val="Numatytasispastraiposriftas"/>
    <w:uiPriority w:val="32"/>
    <w:qFormat/>
    <w:rsid w:val="00C95D96"/>
    <w:rPr>
      <w:b/>
      <w:bCs/>
      <w:smallCaps/>
      <w:color w:val="0F4761" w:themeColor="accent1" w:themeShade="BF"/>
      <w:spacing w:val="5"/>
    </w:rPr>
  </w:style>
  <w:style w:type="numbering" w:customStyle="1" w:styleId="Sraonra1">
    <w:name w:val="Sąrašo nėra1"/>
    <w:next w:val="Sraonra"/>
    <w:uiPriority w:val="99"/>
    <w:semiHidden/>
    <w:unhideWhenUsed/>
    <w:rsid w:val="00C95D96"/>
  </w:style>
  <w:style w:type="paragraph" w:styleId="Porat">
    <w:name w:val="footer"/>
    <w:basedOn w:val="prastasis"/>
    <w:link w:val="PoratDiagrama"/>
    <w:uiPriority w:val="99"/>
    <w:rsid w:val="00C95D96"/>
    <w:pPr>
      <w:tabs>
        <w:tab w:val="left" w:pos="567"/>
        <w:tab w:val="center" w:pos="4536"/>
        <w:tab w:val="right" w:pos="8306"/>
      </w:tabs>
      <w:spacing w:after="0" w:line="260" w:lineRule="exact"/>
    </w:pPr>
    <w:rPr>
      <w:rFonts w:ascii="Times New Roman" w:eastAsia="Times New Roman" w:hAnsi="Times New Roman" w:cs="Times New Roman"/>
      <w:snapToGrid w:val="0"/>
      <w:kern w:val="0"/>
      <w:sz w:val="22"/>
      <w:szCs w:val="20"/>
      <w:lang w:eastAsia="x-none"/>
      <w14:ligatures w14:val="none"/>
    </w:rPr>
  </w:style>
  <w:style w:type="character" w:customStyle="1" w:styleId="PoratDiagrama">
    <w:name w:val="Poraštė Diagrama"/>
    <w:basedOn w:val="Numatytasispastraiposriftas"/>
    <w:link w:val="Porat"/>
    <w:uiPriority w:val="99"/>
    <w:rsid w:val="00C95D96"/>
    <w:rPr>
      <w:rFonts w:ascii="Times New Roman" w:eastAsia="Times New Roman" w:hAnsi="Times New Roman" w:cs="Times New Roman"/>
      <w:snapToGrid w:val="0"/>
      <w:kern w:val="0"/>
      <w:sz w:val="22"/>
      <w:szCs w:val="20"/>
      <w:lang w:eastAsia="x-none"/>
      <w14:ligatures w14:val="none"/>
    </w:rPr>
  </w:style>
  <w:style w:type="character" w:customStyle="1" w:styleId="HeaderChar">
    <w:name w:val="Header Char"/>
    <w:rsid w:val="00C95D96"/>
    <w:rPr>
      <w:snapToGrid w:val="0"/>
      <w:sz w:val="22"/>
      <w:lang w:val="en-GB" w:eastAsia="en-US"/>
    </w:rPr>
  </w:style>
  <w:style w:type="character" w:styleId="Puslapionumeris">
    <w:name w:val="page number"/>
    <w:uiPriority w:val="99"/>
    <w:rsid w:val="00C95D96"/>
    <w:rPr>
      <w:rFonts w:cs="Times New Roman"/>
    </w:rPr>
  </w:style>
  <w:style w:type="character" w:styleId="Hipersaitas">
    <w:name w:val="Hyperlink"/>
    <w:uiPriority w:val="99"/>
    <w:rsid w:val="00C95D96"/>
    <w:rPr>
      <w:color w:val="0000FF"/>
      <w:u w:val="single"/>
    </w:rPr>
  </w:style>
  <w:style w:type="paragraph" w:customStyle="1" w:styleId="BodytextAgency">
    <w:name w:val="Body text (Agency)"/>
    <w:basedOn w:val="prastasis"/>
    <w:link w:val="BodytextAgencyChar"/>
    <w:uiPriority w:val="99"/>
    <w:rsid w:val="00C95D96"/>
    <w:pPr>
      <w:spacing w:after="140" w:line="280" w:lineRule="atLeast"/>
    </w:pPr>
    <w:rPr>
      <w:rFonts w:ascii="Verdana" w:eastAsia="Times New Roman" w:hAnsi="Verdana" w:cs="Times New Roman"/>
      <w:snapToGrid w:val="0"/>
      <w:kern w:val="0"/>
      <w:sz w:val="18"/>
      <w:szCs w:val="20"/>
      <w:lang w:eastAsia="x-none"/>
      <w14:ligatures w14:val="none"/>
    </w:rPr>
  </w:style>
  <w:style w:type="paragraph" w:customStyle="1" w:styleId="NormalAgency">
    <w:name w:val="Normal (Agency)"/>
    <w:link w:val="NormalAgencyChar"/>
    <w:uiPriority w:val="99"/>
    <w:rsid w:val="00C95D96"/>
    <w:pPr>
      <w:spacing w:after="0" w:line="240" w:lineRule="auto"/>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C95D96"/>
    <w:pPr>
      <w:spacing w:after="0" w:line="280" w:lineRule="exact"/>
    </w:pPr>
    <w:rPr>
      <w:rFonts w:ascii="Verdana" w:eastAsia="Times New Roman" w:hAnsi="Verdana" w:cs="Times New Roman"/>
      <w:snapToGrid w:val="0"/>
      <w:kern w:val="0"/>
      <w:sz w:val="18"/>
      <w:szCs w:val="20"/>
      <w14:ligatures w14:val="none"/>
    </w:rPr>
  </w:style>
  <w:style w:type="character" w:customStyle="1" w:styleId="tw4winError">
    <w:name w:val="tw4winError"/>
    <w:uiPriority w:val="99"/>
    <w:rsid w:val="00C95D96"/>
    <w:rPr>
      <w:rFonts w:ascii="Courier New" w:hAnsi="Courier New"/>
      <w:color w:val="00FF00"/>
      <w:sz w:val="40"/>
    </w:rPr>
  </w:style>
  <w:style w:type="character" w:customStyle="1" w:styleId="tw4winTerm">
    <w:name w:val="tw4winTerm"/>
    <w:uiPriority w:val="99"/>
    <w:rsid w:val="00C95D96"/>
    <w:rPr>
      <w:color w:val="0000FF"/>
    </w:rPr>
  </w:style>
  <w:style w:type="character" w:customStyle="1" w:styleId="tw4winPopup">
    <w:name w:val="tw4winPopup"/>
    <w:uiPriority w:val="99"/>
    <w:rsid w:val="00C95D96"/>
    <w:rPr>
      <w:rFonts w:ascii="Courier New" w:hAnsi="Courier New"/>
      <w:noProof/>
      <w:color w:val="008000"/>
    </w:rPr>
  </w:style>
  <w:style w:type="character" w:customStyle="1" w:styleId="tw4winJump">
    <w:name w:val="tw4winJump"/>
    <w:uiPriority w:val="99"/>
    <w:rsid w:val="00C95D96"/>
    <w:rPr>
      <w:rFonts w:ascii="Courier New" w:hAnsi="Courier New"/>
      <w:noProof/>
      <w:color w:val="008080"/>
    </w:rPr>
  </w:style>
  <w:style w:type="character" w:customStyle="1" w:styleId="tw4winExternal">
    <w:name w:val="tw4winExternal"/>
    <w:uiPriority w:val="99"/>
    <w:rsid w:val="00C95D96"/>
    <w:rPr>
      <w:rFonts w:ascii="Courier New" w:hAnsi="Courier New"/>
      <w:noProof/>
      <w:color w:val="808080"/>
    </w:rPr>
  </w:style>
  <w:style w:type="character" w:customStyle="1" w:styleId="tw4winInternal">
    <w:name w:val="tw4winInternal"/>
    <w:uiPriority w:val="99"/>
    <w:rsid w:val="00C95D96"/>
    <w:rPr>
      <w:rFonts w:ascii="Courier New" w:hAnsi="Courier New"/>
      <w:noProof/>
      <w:color w:val="FF0000"/>
    </w:rPr>
  </w:style>
  <w:style w:type="character" w:customStyle="1" w:styleId="DONOTTRANSLATE">
    <w:name w:val="DO_NOT_TRANSLATE"/>
    <w:uiPriority w:val="99"/>
    <w:rsid w:val="00C95D96"/>
    <w:rPr>
      <w:rFonts w:ascii="Courier New" w:hAnsi="Courier New"/>
      <w:noProof/>
      <w:color w:val="800000"/>
    </w:rPr>
  </w:style>
  <w:style w:type="paragraph" w:styleId="Debesliotekstas">
    <w:name w:val="Balloon Text"/>
    <w:basedOn w:val="prastasis"/>
    <w:link w:val="DebesliotekstasDiagrama"/>
    <w:uiPriority w:val="99"/>
    <w:rsid w:val="00C95D96"/>
    <w:pPr>
      <w:tabs>
        <w:tab w:val="left" w:pos="567"/>
      </w:tabs>
      <w:spacing w:after="0" w:line="240" w:lineRule="auto"/>
    </w:pPr>
    <w:rPr>
      <w:rFonts w:ascii="Tahoma" w:eastAsia="Times New Roman" w:hAnsi="Tahoma" w:cs="Times New Roman"/>
      <w:snapToGrid w:val="0"/>
      <w:kern w:val="0"/>
      <w:sz w:val="16"/>
      <w:szCs w:val="16"/>
      <w:lang w:eastAsia="x-none"/>
      <w14:ligatures w14:val="none"/>
    </w:rPr>
  </w:style>
  <w:style w:type="character" w:customStyle="1" w:styleId="DebesliotekstasDiagrama">
    <w:name w:val="Debesėlio tekstas Diagrama"/>
    <w:basedOn w:val="Numatytasispastraiposriftas"/>
    <w:link w:val="Debesliotekstas"/>
    <w:uiPriority w:val="99"/>
    <w:rsid w:val="00C95D96"/>
    <w:rPr>
      <w:rFonts w:ascii="Tahoma" w:eastAsia="Times New Roman" w:hAnsi="Tahoma" w:cs="Times New Roman"/>
      <w:snapToGrid w:val="0"/>
      <w:kern w:val="0"/>
      <w:sz w:val="16"/>
      <w:szCs w:val="16"/>
      <w:lang w:eastAsia="x-none"/>
      <w14:ligatures w14:val="none"/>
    </w:rPr>
  </w:style>
  <w:style w:type="character" w:styleId="Komentaronuoroda">
    <w:name w:val="annotation reference"/>
    <w:uiPriority w:val="99"/>
    <w:rsid w:val="00C95D96"/>
    <w:rPr>
      <w:sz w:val="16"/>
      <w:szCs w:val="16"/>
    </w:rPr>
  </w:style>
  <w:style w:type="paragraph" w:styleId="Komentarotekstas">
    <w:name w:val="annotation text"/>
    <w:basedOn w:val="prastasis"/>
    <w:link w:val="KomentarotekstasDiagrama"/>
    <w:rsid w:val="00C95D96"/>
    <w:pPr>
      <w:tabs>
        <w:tab w:val="left" w:pos="567"/>
      </w:tabs>
      <w:spacing w:after="0" w:line="260" w:lineRule="exact"/>
    </w:pPr>
    <w:rPr>
      <w:rFonts w:ascii="Times New Roman" w:eastAsia="Times New Roman" w:hAnsi="Times New Roman" w:cs="Times New Roman"/>
      <w:snapToGrid w:val="0"/>
      <w:kern w:val="0"/>
      <w:sz w:val="20"/>
      <w:szCs w:val="20"/>
      <w14:ligatures w14:val="none"/>
    </w:rPr>
  </w:style>
  <w:style w:type="character" w:customStyle="1" w:styleId="KomentarotekstasDiagrama">
    <w:name w:val="Komentaro tekstas Diagrama"/>
    <w:basedOn w:val="Numatytasispastraiposriftas"/>
    <w:link w:val="Komentarotekstas"/>
    <w:rsid w:val="00C95D96"/>
    <w:rPr>
      <w:rFonts w:ascii="Times New Roman" w:eastAsia="Times New Roman" w:hAnsi="Times New Roman" w:cs="Times New Roman"/>
      <w:snapToGrid w:val="0"/>
      <w:kern w:val="0"/>
      <w:sz w:val="20"/>
      <w:szCs w:val="20"/>
      <w14:ligatures w14:val="none"/>
    </w:rPr>
  </w:style>
  <w:style w:type="paragraph" w:styleId="Komentarotema">
    <w:name w:val="annotation subject"/>
    <w:basedOn w:val="Komentarotekstas"/>
    <w:next w:val="Komentarotekstas"/>
    <w:link w:val="KomentarotemaDiagrama"/>
    <w:uiPriority w:val="99"/>
    <w:rsid w:val="00C95D96"/>
    <w:rPr>
      <w:b/>
      <w:bCs/>
    </w:rPr>
  </w:style>
  <w:style w:type="character" w:customStyle="1" w:styleId="KomentarotemaDiagrama">
    <w:name w:val="Komentaro tema Diagrama"/>
    <w:basedOn w:val="KomentarotekstasDiagrama"/>
    <w:link w:val="Komentarotema"/>
    <w:uiPriority w:val="99"/>
    <w:rsid w:val="00C95D96"/>
    <w:rPr>
      <w:rFonts w:ascii="Times New Roman" w:eastAsia="Times New Roman" w:hAnsi="Times New Roman" w:cs="Times New Roman"/>
      <w:b/>
      <w:bCs/>
      <w:snapToGrid w:val="0"/>
      <w:kern w:val="0"/>
      <w:sz w:val="20"/>
      <w:szCs w:val="20"/>
      <w14:ligatures w14:val="none"/>
    </w:rPr>
  </w:style>
  <w:style w:type="paragraph" w:styleId="Pataisymai">
    <w:name w:val="Revision"/>
    <w:hidden/>
    <w:uiPriority w:val="99"/>
    <w:semiHidden/>
    <w:rsid w:val="00C95D96"/>
    <w:pPr>
      <w:spacing w:after="0" w:line="240" w:lineRule="auto"/>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C95D96"/>
    <w:pPr>
      <w:spacing w:before="120" w:after="120" w:line="240" w:lineRule="auto"/>
      <w:jc w:val="both"/>
    </w:pPr>
    <w:rPr>
      <w:rFonts w:ascii="Times New Roman" w:eastAsia="SimSun" w:hAnsi="Times New Roman" w:cs="Times New Roman"/>
      <w:kern w:val="0"/>
      <w:sz w:val="22"/>
      <w:szCs w:val="20"/>
      <w:lang w:val="en-US" w:eastAsia="zh-CN"/>
      <w14:ligatures w14:val="none"/>
    </w:rPr>
  </w:style>
  <w:style w:type="character" w:customStyle="1" w:styleId="tw4winMark">
    <w:name w:val="tw4winMark"/>
    <w:uiPriority w:val="99"/>
    <w:rsid w:val="00C95D96"/>
    <w:rPr>
      <w:rFonts w:ascii="Courier New" w:hAnsi="Courier New"/>
      <w:vanish/>
      <w:color w:val="800080"/>
      <w:sz w:val="24"/>
      <w:vertAlign w:val="subscript"/>
    </w:rPr>
  </w:style>
  <w:style w:type="paragraph" w:styleId="Antrats">
    <w:name w:val="header"/>
    <w:basedOn w:val="prastasis"/>
    <w:link w:val="AntratsDiagrama"/>
    <w:uiPriority w:val="99"/>
    <w:rsid w:val="00C95D96"/>
    <w:pPr>
      <w:tabs>
        <w:tab w:val="center" w:pos="4320"/>
        <w:tab w:val="right" w:pos="8640"/>
      </w:tabs>
      <w:spacing w:after="0" w:line="260" w:lineRule="exact"/>
    </w:pPr>
    <w:rPr>
      <w:rFonts w:ascii="Times New Roman" w:eastAsia="SimSun" w:hAnsi="Times New Roman" w:cs="Times New Roman"/>
      <w:kern w:val="0"/>
      <w:sz w:val="22"/>
      <w:szCs w:val="20"/>
      <w:lang w:eastAsia="zh-CN"/>
      <w14:ligatures w14:val="none"/>
    </w:rPr>
  </w:style>
  <w:style w:type="character" w:customStyle="1" w:styleId="AntratsDiagrama">
    <w:name w:val="Antraštės Diagrama"/>
    <w:basedOn w:val="Numatytasispastraiposriftas"/>
    <w:link w:val="Antrats"/>
    <w:uiPriority w:val="99"/>
    <w:rsid w:val="00C95D96"/>
    <w:rPr>
      <w:rFonts w:ascii="Times New Roman" w:eastAsia="SimSun" w:hAnsi="Times New Roman" w:cs="Times New Roman"/>
      <w:kern w:val="0"/>
      <w:sz w:val="22"/>
      <w:szCs w:val="20"/>
      <w:lang w:eastAsia="zh-CN"/>
      <w14:ligatures w14:val="none"/>
    </w:rPr>
  </w:style>
  <w:style w:type="paragraph" w:styleId="Dokumentostruktra">
    <w:name w:val="Document Map"/>
    <w:basedOn w:val="prastasis"/>
    <w:link w:val="DokumentostruktraDiagrama"/>
    <w:uiPriority w:val="99"/>
    <w:rsid w:val="00C95D96"/>
    <w:pPr>
      <w:shd w:val="clear" w:color="auto" w:fill="000080"/>
      <w:tabs>
        <w:tab w:val="left" w:pos="567"/>
      </w:tabs>
      <w:spacing w:after="0" w:line="260" w:lineRule="exact"/>
    </w:pPr>
    <w:rPr>
      <w:rFonts w:ascii="Tahoma" w:eastAsia="SimSun" w:hAnsi="Tahoma" w:cs="Times New Roman"/>
      <w:kern w:val="0"/>
      <w:sz w:val="20"/>
      <w:szCs w:val="20"/>
      <w:lang w:eastAsia="zh-CN"/>
      <w14:ligatures w14:val="none"/>
    </w:rPr>
  </w:style>
  <w:style w:type="character" w:customStyle="1" w:styleId="DokumentostruktraDiagrama">
    <w:name w:val="Dokumento struktūra Diagrama"/>
    <w:basedOn w:val="Numatytasispastraiposriftas"/>
    <w:link w:val="Dokumentostruktra"/>
    <w:uiPriority w:val="99"/>
    <w:rsid w:val="00C95D96"/>
    <w:rPr>
      <w:rFonts w:ascii="Tahoma" w:eastAsia="SimSun" w:hAnsi="Tahoma" w:cs="Times New Roman"/>
      <w:kern w:val="0"/>
      <w:sz w:val="20"/>
      <w:szCs w:val="20"/>
      <w:shd w:val="clear" w:color="auto" w:fill="000080"/>
      <w:lang w:eastAsia="zh-CN"/>
      <w14:ligatures w14:val="none"/>
    </w:rPr>
  </w:style>
  <w:style w:type="paragraph" w:styleId="Pagrindiniotekstotrauka">
    <w:name w:val="Body Text Indent"/>
    <w:basedOn w:val="prastasis"/>
    <w:link w:val="PagrindiniotekstotraukaDiagrama"/>
    <w:uiPriority w:val="99"/>
    <w:rsid w:val="00C95D96"/>
    <w:pPr>
      <w:autoSpaceDE w:val="0"/>
      <w:autoSpaceDN w:val="0"/>
      <w:adjustRightInd w:val="0"/>
      <w:spacing w:after="0" w:line="240" w:lineRule="auto"/>
      <w:ind w:left="720"/>
      <w:jc w:val="both"/>
    </w:pPr>
    <w:rPr>
      <w:rFonts w:ascii="Times New Roman" w:eastAsia="SimSun" w:hAnsi="Times New Roman" w:cs="Times New Roman"/>
      <w:kern w:val="0"/>
      <w:sz w:val="22"/>
      <w:szCs w:val="22"/>
      <w:lang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C95D96"/>
    <w:rPr>
      <w:rFonts w:ascii="Times New Roman" w:eastAsia="SimSun" w:hAnsi="Times New Roman" w:cs="Times New Roman"/>
      <w:kern w:val="0"/>
      <w:sz w:val="22"/>
      <w:szCs w:val="22"/>
      <w:lang w:eastAsia="en-GB"/>
      <w14:ligatures w14:val="none"/>
    </w:rPr>
  </w:style>
  <w:style w:type="paragraph" w:styleId="Pagrindinistekstas3">
    <w:name w:val="Body Text 3"/>
    <w:basedOn w:val="prastasis"/>
    <w:link w:val="Pagrindinistekstas3Diagrama"/>
    <w:uiPriority w:val="99"/>
    <w:rsid w:val="00C95D96"/>
    <w:pPr>
      <w:autoSpaceDE w:val="0"/>
      <w:autoSpaceDN w:val="0"/>
      <w:adjustRightInd w:val="0"/>
      <w:spacing w:after="0" w:line="240" w:lineRule="auto"/>
      <w:jc w:val="both"/>
    </w:pPr>
    <w:rPr>
      <w:rFonts w:ascii="Times New Roman" w:eastAsia="SimSun" w:hAnsi="Times New Roman" w:cs="Times New Roman"/>
      <w:color w:val="0000FF"/>
      <w:kern w:val="0"/>
      <w:sz w:val="22"/>
      <w:szCs w:val="22"/>
      <w:lang w:eastAsia="en-GB"/>
      <w14:ligatures w14:val="none"/>
    </w:rPr>
  </w:style>
  <w:style w:type="character" w:customStyle="1" w:styleId="Pagrindinistekstas3Diagrama">
    <w:name w:val="Pagrindinis tekstas 3 Diagrama"/>
    <w:basedOn w:val="Numatytasispastraiposriftas"/>
    <w:link w:val="Pagrindinistekstas3"/>
    <w:uiPriority w:val="99"/>
    <w:rsid w:val="00C95D96"/>
    <w:rPr>
      <w:rFonts w:ascii="Times New Roman" w:eastAsia="SimSun" w:hAnsi="Times New Roman" w:cs="Times New Roman"/>
      <w:color w:val="0000FF"/>
      <w:kern w:val="0"/>
      <w:sz w:val="22"/>
      <w:szCs w:val="22"/>
      <w:lang w:eastAsia="en-GB"/>
      <w14:ligatures w14:val="none"/>
    </w:rPr>
  </w:style>
  <w:style w:type="paragraph" w:styleId="Pagrindiniotekstotrauka2">
    <w:name w:val="Body Text Indent 2"/>
    <w:basedOn w:val="prastasis"/>
    <w:link w:val="Pagrindiniotekstotrauka2Diagrama"/>
    <w:uiPriority w:val="99"/>
    <w:rsid w:val="00C95D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sz w:val="22"/>
      <w:szCs w:val="22"/>
      <w14:ligatures w14:val="none"/>
    </w:rPr>
  </w:style>
  <w:style w:type="character" w:customStyle="1" w:styleId="Pagrindiniotekstotrauka2Diagrama">
    <w:name w:val="Pagrindinio teksto įtrauka 2 Diagrama"/>
    <w:basedOn w:val="Numatytasispastraiposriftas"/>
    <w:link w:val="Pagrindiniotekstotrauka2"/>
    <w:uiPriority w:val="99"/>
    <w:rsid w:val="00C95D96"/>
    <w:rPr>
      <w:rFonts w:ascii="Times New Roman" w:eastAsia="SimSun" w:hAnsi="Times New Roman" w:cs="Times New Roman"/>
      <w:b/>
      <w:bCs/>
      <w:color w:val="0000FF"/>
      <w:kern w:val="0"/>
      <w:sz w:val="22"/>
      <w:szCs w:val="22"/>
      <w14:ligatures w14:val="none"/>
    </w:rPr>
  </w:style>
  <w:style w:type="paragraph" w:styleId="Pagrindinistekstas">
    <w:name w:val="Body Text"/>
    <w:basedOn w:val="prastasis"/>
    <w:link w:val="PagrindinistekstasDiagrama"/>
    <w:uiPriority w:val="99"/>
    <w:rsid w:val="00C95D96"/>
    <w:pPr>
      <w:spacing w:after="0" w:line="240" w:lineRule="auto"/>
    </w:pPr>
    <w:rPr>
      <w:rFonts w:ascii="Times New Roman" w:eastAsia="SimSun" w:hAnsi="Times New Roman" w:cs="Times New Roman"/>
      <w:i/>
      <w:color w:val="008000"/>
      <w:kern w:val="0"/>
      <w:sz w:val="22"/>
      <w:szCs w:val="20"/>
      <w14:ligatures w14:val="none"/>
    </w:rPr>
  </w:style>
  <w:style w:type="character" w:customStyle="1" w:styleId="PagrindinistekstasDiagrama">
    <w:name w:val="Pagrindinis tekstas Diagrama"/>
    <w:basedOn w:val="Numatytasispastraiposriftas"/>
    <w:link w:val="Pagrindinistekstas"/>
    <w:uiPriority w:val="99"/>
    <w:rsid w:val="00C95D96"/>
    <w:rPr>
      <w:rFonts w:ascii="Times New Roman" w:eastAsia="SimSun" w:hAnsi="Times New Roman" w:cs="Times New Roman"/>
      <w:i/>
      <w:color w:val="008000"/>
      <w:kern w:val="0"/>
      <w:sz w:val="22"/>
      <w:szCs w:val="20"/>
      <w14:ligatures w14:val="none"/>
    </w:rPr>
  </w:style>
  <w:style w:type="paragraph" w:styleId="Pagrindinistekstas2">
    <w:name w:val="Body Text 2"/>
    <w:basedOn w:val="prastasis"/>
    <w:link w:val="Pagrindinistekstas2Diagrama"/>
    <w:uiPriority w:val="99"/>
    <w:rsid w:val="00C95D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sz w:val="22"/>
      <w:szCs w:val="22"/>
      <w:u w:val="single"/>
      <w14:ligatures w14:val="none"/>
    </w:rPr>
  </w:style>
  <w:style w:type="character" w:customStyle="1" w:styleId="Pagrindinistekstas2Diagrama">
    <w:name w:val="Pagrindinis tekstas 2 Diagrama"/>
    <w:basedOn w:val="Numatytasispastraiposriftas"/>
    <w:link w:val="Pagrindinistekstas2"/>
    <w:uiPriority w:val="99"/>
    <w:rsid w:val="00C95D96"/>
    <w:rPr>
      <w:rFonts w:ascii="Times New Roman" w:eastAsia="SimSun" w:hAnsi="Times New Roman" w:cs="Times New Roman"/>
      <w:b/>
      <w:bCs/>
      <w:color w:val="0000FF"/>
      <w:kern w:val="0"/>
      <w:sz w:val="22"/>
      <w:szCs w:val="22"/>
      <w:u w:val="single"/>
      <w14:ligatures w14:val="none"/>
    </w:rPr>
  </w:style>
  <w:style w:type="paragraph" w:customStyle="1" w:styleId="AHeader1">
    <w:name w:val="AHeader 1"/>
    <w:basedOn w:val="prastasis"/>
    <w:uiPriority w:val="99"/>
    <w:rsid w:val="00C95D96"/>
    <w:pPr>
      <w:tabs>
        <w:tab w:val="num" w:pos="720"/>
      </w:tabs>
      <w:spacing w:after="120" w:line="240" w:lineRule="auto"/>
      <w:ind w:left="284" w:hanging="284"/>
    </w:pPr>
    <w:rPr>
      <w:rFonts w:ascii="Arial" w:eastAsia="SimSun" w:hAnsi="Arial" w:cs="Arial"/>
      <w:b/>
      <w:bCs/>
      <w:kern w:val="0"/>
      <w:szCs w:val="20"/>
      <w14:ligatures w14:val="none"/>
    </w:rPr>
  </w:style>
  <w:style w:type="paragraph" w:customStyle="1" w:styleId="AHeader2">
    <w:name w:val="AHeader 2"/>
    <w:basedOn w:val="AHeader1"/>
    <w:uiPriority w:val="99"/>
    <w:rsid w:val="00C95D96"/>
    <w:pPr>
      <w:tabs>
        <w:tab w:val="clear" w:pos="720"/>
        <w:tab w:val="num" w:pos="360"/>
      </w:tabs>
      <w:ind w:left="709" w:hanging="425"/>
    </w:pPr>
    <w:rPr>
      <w:sz w:val="22"/>
    </w:rPr>
  </w:style>
  <w:style w:type="paragraph" w:customStyle="1" w:styleId="AHeader3">
    <w:name w:val="AHeader 3"/>
    <w:basedOn w:val="AHeader2"/>
    <w:uiPriority w:val="99"/>
    <w:rsid w:val="00C95D96"/>
    <w:pPr>
      <w:ind w:left="1276" w:hanging="567"/>
    </w:pPr>
  </w:style>
  <w:style w:type="paragraph" w:customStyle="1" w:styleId="AHeader2abc">
    <w:name w:val="AHeader 2 abc"/>
    <w:basedOn w:val="AHeader3"/>
    <w:uiPriority w:val="99"/>
    <w:rsid w:val="00C95D96"/>
    <w:pPr>
      <w:jc w:val="both"/>
    </w:pPr>
    <w:rPr>
      <w:b w:val="0"/>
      <w:bCs w:val="0"/>
    </w:rPr>
  </w:style>
  <w:style w:type="paragraph" w:customStyle="1" w:styleId="AHeader3abc">
    <w:name w:val="AHeader 3 abc"/>
    <w:basedOn w:val="AHeader2abc"/>
    <w:uiPriority w:val="99"/>
    <w:rsid w:val="00C95D96"/>
    <w:pPr>
      <w:ind w:left="1701" w:hanging="425"/>
    </w:pPr>
  </w:style>
  <w:style w:type="paragraph" w:styleId="Pagrindiniotekstotrauka3">
    <w:name w:val="Body Text Indent 3"/>
    <w:basedOn w:val="prastasis"/>
    <w:link w:val="Pagrindiniotekstotrauka3Diagrama"/>
    <w:uiPriority w:val="99"/>
    <w:rsid w:val="00C95D96"/>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 w:val="22"/>
      <w:szCs w:val="21"/>
      <w14:ligatures w14:val="none"/>
    </w:rPr>
  </w:style>
  <w:style w:type="character" w:customStyle="1" w:styleId="Pagrindiniotekstotrauka3Diagrama">
    <w:name w:val="Pagrindinio teksto įtrauka 3 Diagrama"/>
    <w:basedOn w:val="Numatytasispastraiposriftas"/>
    <w:link w:val="Pagrindiniotekstotrauka3"/>
    <w:uiPriority w:val="99"/>
    <w:rsid w:val="00C95D96"/>
    <w:rPr>
      <w:rFonts w:ascii="Times New Roman" w:eastAsia="SimSun" w:hAnsi="Times New Roman" w:cs="Times New Roman"/>
      <w:kern w:val="0"/>
      <w:sz w:val="22"/>
      <w:szCs w:val="21"/>
      <w14:ligatures w14:val="none"/>
    </w:rPr>
  </w:style>
  <w:style w:type="character" w:styleId="Perirtashipersaitas">
    <w:name w:val="FollowedHyperlink"/>
    <w:uiPriority w:val="99"/>
    <w:rsid w:val="00C95D96"/>
    <w:rPr>
      <w:rFonts w:cs="Times New Roman"/>
      <w:color w:val="800080"/>
      <w:u w:val="single"/>
    </w:rPr>
  </w:style>
  <w:style w:type="character" w:styleId="Grietas">
    <w:name w:val="Strong"/>
    <w:uiPriority w:val="99"/>
    <w:qFormat/>
    <w:rsid w:val="00C95D96"/>
    <w:rPr>
      <w:rFonts w:cs="Times New Roman"/>
      <w:b/>
      <w:bCs/>
    </w:rPr>
  </w:style>
  <w:style w:type="character" w:customStyle="1" w:styleId="BodytextAgencyChar">
    <w:name w:val="Body text (Agency) Char"/>
    <w:link w:val="BodytextAgency"/>
    <w:uiPriority w:val="99"/>
    <w:locked/>
    <w:rsid w:val="00C95D96"/>
    <w:rPr>
      <w:rFonts w:ascii="Verdana" w:eastAsia="Times New Roman" w:hAnsi="Verdana" w:cs="Times New Roman"/>
      <w:snapToGrid w:val="0"/>
      <w:kern w:val="0"/>
      <w:sz w:val="18"/>
      <w:szCs w:val="20"/>
      <w:lang w:eastAsia="x-none"/>
      <w14:ligatures w14:val="none"/>
    </w:rPr>
  </w:style>
  <w:style w:type="table" w:customStyle="1" w:styleId="TablegridAgencyblack">
    <w:name w:val="Table grid (Agency) black"/>
    <w:uiPriority w:val="99"/>
    <w:semiHidden/>
    <w:rsid w:val="00C95D96"/>
    <w:pPr>
      <w:spacing w:after="0" w:line="240" w:lineRule="auto"/>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95D96"/>
  </w:style>
  <w:style w:type="character" w:customStyle="1" w:styleId="NormalAgencyChar">
    <w:name w:val="Normal (Agency) Char"/>
    <w:link w:val="NormalAgency"/>
    <w:uiPriority w:val="99"/>
    <w:locked/>
    <w:rsid w:val="00C95D96"/>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C95D96"/>
    <w:pPr>
      <w:spacing w:after="0" w:line="240" w:lineRule="auto"/>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C95D96"/>
    <w:rPr>
      <w:rFonts w:ascii="Courier New" w:eastAsia="SimSun" w:hAnsi="Courier New" w:cs="Times New Roman"/>
      <w:kern w:val="0"/>
      <w:sz w:val="20"/>
      <w:szCs w:val="20"/>
      <w:lang w:val="en-US"/>
      <w14:ligatures w14:val="none"/>
    </w:rPr>
  </w:style>
  <w:style w:type="paragraph" w:customStyle="1" w:styleId="Default">
    <w:name w:val="Default"/>
    <w:rsid w:val="00C95D96"/>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C95D96"/>
    <w:pPr>
      <w:tabs>
        <w:tab w:val="left" w:pos="567"/>
      </w:tabs>
      <w:spacing w:after="0" w:line="240" w:lineRule="auto"/>
    </w:pPr>
    <w:rPr>
      <w:rFonts w:ascii="Times New Roman" w:eastAsia="SimSun" w:hAnsi="Times New Roman" w:cs="Times New Roman"/>
      <w:kern w:val="0"/>
      <w:sz w:val="22"/>
      <w:szCs w:val="20"/>
      <w14:ligatures w14:val="none"/>
    </w:rPr>
  </w:style>
  <w:style w:type="character" w:customStyle="1" w:styleId="DokumentoinaostekstasDiagrama">
    <w:name w:val="Dokumento išnašos tekstas Diagrama"/>
    <w:basedOn w:val="Numatytasispastraiposriftas"/>
    <w:link w:val="Dokumentoinaostekstas"/>
    <w:uiPriority w:val="99"/>
    <w:rsid w:val="00C95D96"/>
    <w:rPr>
      <w:rFonts w:ascii="Times New Roman" w:eastAsia="SimSun" w:hAnsi="Times New Roman" w:cs="Times New Roman"/>
      <w:kern w:val="0"/>
      <w:sz w:val="22"/>
      <w:szCs w:val="20"/>
      <w14:ligatures w14:val="none"/>
    </w:rPr>
  </w:style>
  <w:style w:type="paragraph" w:customStyle="1" w:styleId="BTEMEASMCA">
    <w:name w:val="BT EMEA_SMCA"/>
    <w:basedOn w:val="prastasis"/>
    <w:link w:val="BTEMEASMCAChar"/>
    <w:autoRedefine/>
    <w:rsid w:val="00C95D96"/>
    <w:pPr>
      <w:spacing w:after="0" w:line="240" w:lineRule="auto"/>
    </w:pPr>
    <w:rPr>
      <w:rFonts w:ascii="Times New Roman" w:eastAsia="SimSun" w:hAnsi="Times New Roman" w:cs="Times New Roman"/>
      <w:noProof/>
      <w:kern w:val="0"/>
      <w:sz w:val="20"/>
      <w:szCs w:val="20"/>
      <w:lang w:val="x-none" w:eastAsia="x-none"/>
      <w14:ligatures w14:val="none"/>
    </w:rPr>
  </w:style>
  <w:style w:type="character" w:customStyle="1" w:styleId="BTEMEASMCAChar">
    <w:name w:val="BT EMEA_SMCA Char"/>
    <w:link w:val="BTEMEASMCA"/>
    <w:locked/>
    <w:rsid w:val="00C95D96"/>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C95D96"/>
    <w:rPr>
      <w:snapToGrid w:val="0"/>
      <w:lang w:val="en-GB" w:eastAsia="en-US" w:bidi="ar-SA"/>
    </w:rPr>
  </w:style>
  <w:style w:type="character" w:customStyle="1" w:styleId="DoNotTranslateExternal1">
    <w:name w:val="DoNotTranslateExternal1"/>
    <w:qFormat/>
    <w:rsid w:val="00C95D96"/>
    <w:rPr>
      <w:b/>
      <w:bCs w:val="0"/>
      <w:noProof/>
      <w:szCs w:val="22"/>
    </w:rPr>
  </w:style>
  <w:style w:type="character" w:styleId="Emfaz">
    <w:name w:val="Emphasis"/>
    <w:uiPriority w:val="20"/>
    <w:qFormat/>
    <w:rsid w:val="00C95D96"/>
    <w:rPr>
      <w:i/>
      <w:iCs/>
    </w:rPr>
  </w:style>
  <w:style w:type="table" w:styleId="Lentelstinklelis">
    <w:name w:val="Table Grid"/>
    <w:basedOn w:val="prastojilentel"/>
    <w:uiPriority w:val="39"/>
    <w:rsid w:val="00C95D9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C95D96"/>
    <w:pPr>
      <w:spacing w:after="0" w:line="240" w:lineRule="auto"/>
    </w:pPr>
    <w:rPr>
      <w:rFonts w:ascii="Calibri" w:eastAsia="Calibri" w:hAnsi="Calibri" w:cs="Times New Roman"/>
      <w:kern w:val="0"/>
      <w:sz w:val="22"/>
      <w:szCs w:val="22"/>
      <w:lang w:val="en-US"/>
      <w14:ligatures w14:val="none"/>
    </w:rPr>
  </w:style>
  <w:style w:type="character" w:customStyle="1" w:styleId="UnresolvedMention1">
    <w:name w:val="Unresolved Mention1"/>
    <w:basedOn w:val="Numatytasispastraiposriftas"/>
    <w:uiPriority w:val="99"/>
    <w:semiHidden/>
    <w:unhideWhenUsed/>
    <w:rsid w:val="00C95D96"/>
    <w:rPr>
      <w:color w:val="605E5C"/>
      <w:shd w:val="clear" w:color="auto" w:fill="E1DFDD"/>
    </w:rPr>
  </w:style>
  <w:style w:type="character" w:customStyle="1" w:styleId="UnresolvedMention2">
    <w:name w:val="Unresolved Mention2"/>
    <w:basedOn w:val="Numatytasispastraiposriftas"/>
    <w:uiPriority w:val="99"/>
    <w:semiHidden/>
    <w:unhideWhenUsed/>
    <w:rsid w:val="006843AB"/>
    <w:rPr>
      <w:color w:val="605E5C"/>
      <w:shd w:val="clear" w:color="auto" w:fill="E1DFDD"/>
    </w:rPr>
  </w:style>
  <w:style w:type="table" w:customStyle="1" w:styleId="TableGrid">
    <w:name w:val="TableGrid"/>
    <w:rsid w:val="00285F2A"/>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 w:type="table" w:customStyle="1" w:styleId="TableGrid1">
    <w:name w:val="TableGrid1"/>
    <w:rsid w:val="00747CA1"/>
    <w:pPr>
      <w:spacing w:after="0" w:line="240" w:lineRule="auto"/>
    </w:pPr>
    <w:rPr>
      <w:rFonts w:eastAsia="Times New Roman"/>
      <w:kern w:val="0"/>
      <w:sz w:val="22"/>
      <w:szCs w:val="22"/>
      <w:lang w:val="en-GB"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FC5D-75A8-43CB-962D-BBF9FCD2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105</Pages>
  <Words>174927</Words>
  <Characters>99709</Characters>
  <Application>Microsoft Office Word</Application>
  <DocSecurity>0</DocSecurity>
  <Lines>830</Lines>
  <Paragraphs>548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3</cp:revision>
  <dcterms:created xsi:type="dcterms:W3CDTF">2025-12-17T13:31:00Z</dcterms:created>
  <dcterms:modified xsi:type="dcterms:W3CDTF">2025-12-17T13:34:00Z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2024-07-22T07:20:16Z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bb65b66a-38c0-4972-bedb-0ddb5fb940fa</vt:lpwstr>
  </property>
  <property fmtid="{D5CDD505-2E9C-101B-9397-08002B2CF9AE}" pid="8" name="MSIP_Label_c63a0701-319b-41bf-8431-58956e491e60_ContentBits">
    <vt:lpwstr>0</vt:lpwstr>
  </property>
</Properties>
</file>