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0C6C8" w14:textId="77777777" w:rsidR="00922D8A" w:rsidRPr="008661CD" w:rsidRDefault="00922D8A" w:rsidP="008661CD">
      <w:pPr>
        <w:jc w:val="center"/>
      </w:pPr>
    </w:p>
    <w:p w14:paraId="60F6A30C" w14:textId="77777777" w:rsidR="00922D8A" w:rsidRPr="008661CD" w:rsidRDefault="00922D8A" w:rsidP="008661CD">
      <w:pPr>
        <w:jc w:val="center"/>
      </w:pPr>
    </w:p>
    <w:p w14:paraId="70D9ECA2" w14:textId="77777777" w:rsidR="00922D8A" w:rsidRPr="008661CD" w:rsidRDefault="00922D8A" w:rsidP="008661CD">
      <w:pPr>
        <w:jc w:val="center"/>
      </w:pPr>
    </w:p>
    <w:p w14:paraId="7357E48E" w14:textId="77777777" w:rsidR="00922D8A" w:rsidRPr="008661CD" w:rsidRDefault="00922D8A" w:rsidP="008661CD">
      <w:pPr>
        <w:jc w:val="center"/>
      </w:pPr>
    </w:p>
    <w:p w14:paraId="0DE81666" w14:textId="77777777" w:rsidR="00922D8A" w:rsidRPr="008661CD" w:rsidRDefault="00922D8A" w:rsidP="008661CD">
      <w:pPr>
        <w:jc w:val="center"/>
      </w:pPr>
    </w:p>
    <w:p w14:paraId="1BAFEF72" w14:textId="77777777" w:rsidR="00922D8A" w:rsidRPr="008661CD" w:rsidRDefault="00922D8A" w:rsidP="008661CD">
      <w:pPr>
        <w:jc w:val="center"/>
      </w:pPr>
    </w:p>
    <w:p w14:paraId="47819838" w14:textId="77777777" w:rsidR="00922D8A" w:rsidRPr="008661CD" w:rsidRDefault="00922D8A" w:rsidP="008661CD">
      <w:pPr>
        <w:jc w:val="center"/>
      </w:pPr>
    </w:p>
    <w:p w14:paraId="51B971D6" w14:textId="77777777" w:rsidR="00922D8A" w:rsidRPr="008661CD" w:rsidRDefault="00922D8A" w:rsidP="008661CD">
      <w:pPr>
        <w:jc w:val="center"/>
      </w:pPr>
    </w:p>
    <w:p w14:paraId="5251023F" w14:textId="77777777" w:rsidR="00922D8A" w:rsidRPr="008661CD" w:rsidRDefault="00922D8A" w:rsidP="008661CD">
      <w:pPr>
        <w:jc w:val="center"/>
      </w:pPr>
    </w:p>
    <w:p w14:paraId="08D00D1F" w14:textId="77777777" w:rsidR="00922D8A" w:rsidRPr="008661CD" w:rsidRDefault="00922D8A" w:rsidP="008661CD">
      <w:pPr>
        <w:jc w:val="center"/>
      </w:pPr>
    </w:p>
    <w:p w14:paraId="309416C2" w14:textId="77777777" w:rsidR="00922D8A" w:rsidRPr="008661CD" w:rsidRDefault="00922D8A" w:rsidP="008661CD">
      <w:pPr>
        <w:jc w:val="center"/>
      </w:pPr>
    </w:p>
    <w:p w14:paraId="3C39E8AB" w14:textId="77777777" w:rsidR="00922D8A" w:rsidRPr="008661CD" w:rsidRDefault="00922D8A" w:rsidP="008661CD">
      <w:pPr>
        <w:jc w:val="center"/>
      </w:pPr>
    </w:p>
    <w:p w14:paraId="149FB9F2" w14:textId="77777777" w:rsidR="00922D8A" w:rsidRPr="008661CD" w:rsidRDefault="00922D8A" w:rsidP="008661CD">
      <w:pPr>
        <w:jc w:val="center"/>
      </w:pPr>
    </w:p>
    <w:p w14:paraId="4EAD39E0" w14:textId="77777777" w:rsidR="00922D8A" w:rsidRPr="008661CD" w:rsidRDefault="00922D8A" w:rsidP="008661CD">
      <w:pPr>
        <w:jc w:val="center"/>
      </w:pPr>
    </w:p>
    <w:p w14:paraId="669232B8" w14:textId="77777777" w:rsidR="00922D8A" w:rsidRPr="008661CD" w:rsidRDefault="00922D8A" w:rsidP="008661CD">
      <w:pPr>
        <w:jc w:val="center"/>
      </w:pPr>
    </w:p>
    <w:p w14:paraId="11B0AFB6" w14:textId="77777777" w:rsidR="00922D8A" w:rsidRPr="008661CD" w:rsidRDefault="00922D8A" w:rsidP="008661CD">
      <w:pPr>
        <w:jc w:val="center"/>
      </w:pPr>
    </w:p>
    <w:p w14:paraId="42519E0D" w14:textId="77777777" w:rsidR="00922D8A" w:rsidRPr="008661CD" w:rsidRDefault="00922D8A" w:rsidP="008661CD">
      <w:pPr>
        <w:jc w:val="center"/>
      </w:pPr>
    </w:p>
    <w:p w14:paraId="502936C2" w14:textId="77777777" w:rsidR="00922D8A" w:rsidRPr="008661CD" w:rsidRDefault="00922D8A" w:rsidP="008661CD">
      <w:pPr>
        <w:jc w:val="center"/>
      </w:pPr>
    </w:p>
    <w:p w14:paraId="582688BE" w14:textId="77777777" w:rsidR="00922D8A" w:rsidRPr="008661CD" w:rsidRDefault="00922D8A" w:rsidP="008661CD">
      <w:pPr>
        <w:jc w:val="center"/>
      </w:pPr>
    </w:p>
    <w:p w14:paraId="5958B9D0" w14:textId="77777777" w:rsidR="00922D8A" w:rsidRPr="008661CD" w:rsidRDefault="00922D8A" w:rsidP="008661CD">
      <w:pPr>
        <w:jc w:val="center"/>
      </w:pPr>
    </w:p>
    <w:p w14:paraId="3BDD43C5" w14:textId="77777777" w:rsidR="00922D8A" w:rsidRPr="008661CD" w:rsidRDefault="00922D8A" w:rsidP="008661CD">
      <w:pPr>
        <w:jc w:val="center"/>
      </w:pPr>
    </w:p>
    <w:p w14:paraId="327DA2ED" w14:textId="77777777" w:rsidR="00922D8A" w:rsidRPr="008661CD" w:rsidRDefault="00922D8A" w:rsidP="008661CD">
      <w:pPr>
        <w:jc w:val="center"/>
      </w:pPr>
    </w:p>
    <w:p w14:paraId="18E02715" w14:textId="77777777" w:rsidR="00922D8A" w:rsidRPr="008661CD" w:rsidRDefault="00922D8A" w:rsidP="008661CD">
      <w:pPr>
        <w:jc w:val="center"/>
        <w:outlineLvl w:val="0"/>
        <w:rPr>
          <w:b/>
        </w:rPr>
      </w:pPr>
    </w:p>
    <w:p w14:paraId="6A4800F5" w14:textId="77777777" w:rsidR="00922D8A" w:rsidRPr="008661CD" w:rsidRDefault="00922D8A" w:rsidP="008661CD">
      <w:pPr>
        <w:jc w:val="center"/>
        <w:outlineLvl w:val="0"/>
      </w:pPr>
      <w:r w:rsidRPr="008661CD">
        <w:rPr>
          <w:b/>
        </w:rPr>
        <w:t>A. ŽENKLINIMAS</w:t>
      </w:r>
    </w:p>
    <w:p w14:paraId="675996E9" w14:textId="77777777" w:rsidR="00922D8A" w:rsidRPr="008661CD" w:rsidRDefault="00922D8A" w:rsidP="008661CD">
      <w:pPr>
        <w:shd w:val="clear" w:color="auto" w:fill="FFFFFF"/>
      </w:pPr>
      <w:r w:rsidRPr="008661CD">
        <w:br w:type="page"/>
      </w:r>
    </w:p>
    <w:p w14:paraId="72FF55AA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661CD">
        <w:rPr>
          <w:b/>
        </w:rPr>
        <w:lastRenderedPageBreak/>
        <w:t>INFORMACIJA ANT IŠORINĖS PAKUOTĖS</w:t>
      </w:r>
    </w:p>
    <w:p w14:paraId="48863F9C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</w:p>
    <w:p w14:paraId="61433064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661CD">
        <w:rPr>
          <w:b/>
        </w:rPr>
        <w:t>KARTONO DĖŽUTĖ</w:t>
      </w:r>
    </w:p>
    <w:p w14:paraId="69A45BAB" w14:textId="77777777" w:rsidR="00922D8A" w:rsidRPr="008661CD" w:rsidRDefault="00922D8A" w:rsidP="008661CD"/>
    <w:p w14:paraId="615DAC2D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8661CD">
        <w:rPr>
          <w:b/>
        </w:rPr>
        <w:t>1.</w:t>
      </w:r>
      <w:r w:rsidRPr="008661CD">
        <w:rPr>
          <w:b/>
        </w:rPr>
        <w:tab/>
        <w:t>VAISTINIO PREPARATO PAVADINIMAS</w:t>
      </w:r>
    </w:p>
    <w:p w14:paraId="49331CA2" w14:textId="7FAB970C" w:rsidR="00922D8A" w:rsidRPr="008661CD" w:rsidRDefault="00922D8A" w:rsidP="008661CD"/>
    <w:p w14:paraId="31F315CE" w14:textId="4F53836D" w:rsidR="00C228BC" w:rsidRDefault="00C228BC" w:rsidP="008661CD">
      <w:proofErr w:type="spellStart"/>
      <w:r>
        <w:t>Zinnat</w:t>
      </w:r>
      <w:proofErr w:type="spellEnd"/>
      <w:r>
        <w:t xml:space="preserve"> 500 mg plėvele dengtos tabletės</w:t>
      </w:r>
    </w:p>
    <w:p w14:paraId="63A7CD71" w14:textId="78229B09" w:rsidR="00922D8A" w:rsidRPr="008661CD" w:rsidRDefault="00C228BC" w:rsidP="008661CD">
      <w:proofErr w:type="spellStart"/>
      <w:r>
        <w:t>c</w:t>
      </w:r>
      <w:r w:rsidR="00922D8A" w:rsidRPr="008661CD">
        <w:t>efuroksimas</w:t>
      </w:r>
      <w:proofErr w:type="spellEnd"/>
    </w:p>
    <w:p w14:paraId="78B7AC3C" w14:textId="77777777" w:rsidR="00922D8A" w:rsidRPr="008661CD" w:rsidRDefault="00922D8A" w:rsidP="008661CD"/>
    <w:p w14:paraId="3957629F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</w:rPr>
      </w:pPr>
      <w:r w:rsidRPr="008661CD">
        <w:rPr>
          <w:b/>
        </w:rPr>
        <w:t>2.</w:t>
      </w:r>
      <w:r w:rsidRPr="008661CD">
        <w:rPr>
          <w:b/>
        </w:rPr>
        <w:tab/>
        <w:t>VEIKLIOJI (-IOS) MEDŽIAGA (-OS) IR JOS (-Ų) KIEKIS (-IAI)</w:t>
      </w:r>
    </w:p>
    <w:p w14:paraId="5161FE54" w14:textId="77777777" w:rsidR="00075553" w:rsidRDefault="00075553" w:rsidP="008661CD"/>
    <w:p w14:paraId="66EF3390" w14:textId="294B860A" w:rsidR="00922D8A" w:rsidRPr="008661CD" w:rsidRDefault="00922D8A" w:rsidP="008661CD">
      <w:r w:rsidRPr="00075553">
        <w:t xml:space="preserve">Kiekvienoje plėvele dengtoje tabletėje yra 500 mg </w:t>
      </w:r>
      <w:proofErr w:type="spellStart"/>
      <w:r w:rsidRPr="00075553">
        <w:t>cefuroksimo</w:t>
      </w:r>
      <w:proofErr w:type="spellEnd"/>
      <w:r w:rsidRPr="00075553">
        <w:t xml:space="preserve"> (</w:t>
      </w:r>
      <w:proofErr w:type="spellStart"/>
      <w:r w:rsidRPr="00075553">
        <w:t>cefuroksimo</w:t>
      </w:r>
      <w:proofErr w:type="spellEnd"/>
      <w:r w:rsidRPr="00075553">
        <w:t xml:space="preserve"> </w:t>
      </w:r>
      <w:proofErr w:type="spellStart"/>
      <w:r w:rsidRPr="00075553">
        <w:t>aksetilo</w:t>
      </w:r>
      <w:proofErr w:type="spellEnd"/>
      <w:r w:rsidRPr="00075553">
        <w:t xml:space="preserve"> pavidalu).</w:t>
      </w:r>
    </w:p>
    <w:p w14:paraId="0CBD2F8E" w14:textId="77777777" w:rsidR="00922D8A" w:rsidRPr="008661CD" w:rsidRDefault="00922D8A" w:rsidP="008661CD"/>
    <w:p w14:paraId="50D61A6D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8661CD">
        <w:rPr>
          <w:b/>
        </w:rPr>
        <w:t>3.</w:t>
      </w:r>
      <w:r w:rsidRPr="008661CD">
        <w:rPr>
          <w:b/>
        </w:rPr>
        <w:tab/>
        <w:t>PAGALBINIŲ MEDŽIAGŲ SĄRAŠAS</w:t>
      </w:r>
    </w:p>
    <w:p w14:paraId="40C0A3A6" w14:textId="77777777" w:rsidR="00922D8A" w:rsidRPr="008661CD" w:rsidRDefault="00922D8A" w:rsidP="008661CD"/>
    <w:p w14:paraId="3BF1A186" w14:textId="77777777" w:rsidR="00922D8A" w:rsidRPr="00AA08CA" w:rsidRDefault="00922D8A" w:rsidP="008661CD">
      <w:pPr>
        <w:autoSpaceDE w:val="0"/>
        <w:autoSpaceDN w:val="0"/>
        <w:adjustRightInd w:val="0"/>
        <w:rPr>
          <w:color w:val="000000"/>
        </w:rPr>
      </w:pPr>
      <w:bookmarkStart w:id="0" w:name="_Hlk530748553"/>
      <w:r w:rsidRPr="00AA08CA">
        <w:t xml:space="preserve">Sudėtyje taip pat yra natrio, natrio </w:t>
      </w:r>
      <w:proofErr w:type="spellStart"/>
      <w:r w:rsidRPr="00AA08CA">
        <w:t>benzoato</w:t>
      </w:r>
      <w:proofErr w:type="spellEnd"/>
      <w:r w:rsidRPr="00AA08CA">
        <w:t xml:space="preserve"> (E211), </w:t>
      </w:r>
      <w:proofErr w:type="spellStart"/>
      <w:r w:rsidRPr="00AA08CA">
        <w:rPr>
          <w:color w:val="000000"/>
        </w:rPr>
        <w:t>metilparahidroksibenzoato</w:t>
      </w:r>
      <w:proofErr w:type="spellEnd"/>
      <w:r w:rsidRPr="00AA08CA">
        <w:rPr>
          <w:color w:val="000000"/>
        </w:rPr>
        <w:t xml:space="preserve"> (E218) ir </w:t>
      </w:r>
      <w:proofErr w:type="spellStart"/>
      <w:r w:rsidRPr="00AA08CA">
        <w:rPr>
          <w:color w:val="000000"/>
        </w:rPr>
        <w:t>propilparahidroksibenzoato</w:t>
      </w:r>
      <w:proofErr w:type="spellEnd"/>
      <w:r w:rsidRPr="00AA08CA">
        <w:rPr>
          <w:color w:val="000000"/>
        </w:rPr>
        <w:t xml:space="preserve"> (E216).</w:t>
      </w:r>
    </w:p>
    <w:p w14:paraId="69BB249F" w14:textId="77777777" w:rsidR="00922D8A" w:rsidRPr="008661CD" w:rsidRDefault="00922D8A" w:rsidP="008661CD">
      <w:pPr>
        <w:autoSpaceDE w:val="0"/>
        <w:autoSpaceDN w:val="0"/>
        <w:adjustRightInd w:val="0"/>
        <w:rPr>
          <w:color w:val="000000"/>
        </w:rPr>
      </w:pPr>
    </w:p>
    <w:p w14:paraId="4B78CB1E" w14:textId="77777777" w:rsidR="00922D8A" w:rsidRPr="008661CD" w:rsidRDefault="00922D8A" w:rsidP="008661CD">
      <w:pPr>
        <w:autoSpaceDE w:val="0"/>
        <w:autoSpaceDN w:val="0"/>
        <w:adjustRightInd w:val="0"/>
        <w:rPr>
          <w:color w:val="000000"/>
        </w:rPr>
      </w:pPr>
      <w:r w:rsidRPr="008661CD">
        <w:t>Daugiau informacijos žr. pakuotės lapelyje.</w:t>
      </w:r>
    </w:p>
    <w:bookmarkEnd w:id="0"/>
    <w:p w14:paraId="6767C8E6" w14:textId="77777777" w:rsidR="00922D8A" w:rsidRPr="008661CD" w:rsidRDefault="00922D8A" w:rsidP="008661CD"/>
    <w:p w14:paraId="13931D5D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8661CD">
        <w:rPr>
          <w:b/>
        </w:rPr>
        <w:t>4.</w:t>
      </w:r>
      <w:r w:rsidRPr="008661CD">
        <w:rPr>
          <w:b/>
        </w:rPr>
        <w:tab/>
        <w:t>FARMACINĖ FORMA IR KIEKIS PAKUOTĖJE</w:t>
      </w:r>
    </w:p>
    <w:p w14:paraId="0DDA2B4A" w14:textId="77777777" w:rsidR="00922D8A" w:rsidRPr="008661CD" w:rsidRDefault="00922D8A" w:rsidP="008661CD"/>
    <w:p w14:paraId="05BB79B2" w14:textId="77777777" w:rsidR="00922D8A" w:rsidRPr="009C0DB0" w:rsidRDefault="00922D8A" w:rsidP="000F3553">
      <w:pPr>
        <w:pStyle w:val="BodyText"/>
        <w:rPr>
          <w:color w:val="000000"/>
          <w:lang w:val="lt-LT"/>
        </w:rPr>
      </w:pPr>
      <w:r w:rsidRPr="000F3553">
        <w:rPr>
          <w:i w:val="0"/>
          <w:color w:val="000000"/>
          <w:highlight w:val="lightGray"/>
          <w:lang w:val="lt-LT"/>
        </w:rPr>
        <w:t>Plėvele dengtos tabletės</w:t>
      </w:r>
    </w:p>
    <w:p w14:paraId="043863E8" w14:textId="77777777" w:rsidR="00922D8A" w:rsidRPr="000F3553" w:rsidRDefault="00922D8A" w:rsidP="000F3553">
      <w:pPr>
        <w:pStyle w:val="BodyText"/>
        <w:rPr>
          <w:color w:val="000000"/>
        </w:rPr>
      </w:pPr>
      <w:r w:rsidRPr="000F3553">
        <w:rPr>
          <w:i w:val="0"/>
          <w:color w:val="000000"/>
          <w:lang w:val="lt-LT"/>
        </w:rPr>
        <w:t>10 plėvele dengtų tablečių</w:t>
      </w:r>
    </w:p>
    <w:p w14:paraId="5430BD40" w14:textId="77777777" w:rsidR="00922D8A" w:rsidRPr="008661CD" w:rsidRDefault="00922D8A" w:rsidP="008661CD"/>
    <w:p w14:paraId="6CD91FC8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8661CD">
        <w:rPr>
          <w:b/>
        </w:rPr>
        <w:t>5.</w:t>
      </w:r>
      <w:r w:rsidRPr="008661CD">
        <w:rPr>
          <w:b/>
        </w:rPr>
        <w:tab/>
        <w:t>VARTOJIMO METODAS IR BŪDAS (-AI)</w:t>
      </w:r>
    </w:p>
    <w:p w14:paraId="60A52C32" w14:textId="77777777" w:rsidR="00922D8A" w:rsidRPr="008661CD" w:rsidRDefault="00922D8A" w:rsidP="008661CD">
      <w:pPr>
        <w:rPr>
          <w:i/>
        </w:rPr>
      </w:pPr>
    </w:p>
    <w:p w14:paraId="3B9D73C6" w14:textId="77777777" w:rsidR="00922D8A" w:rsidRPr="008661CD" w:rsidRDefault="00922D8A" w:rsidP="008661CD">
      <w:r w:rsidRPr="008661CD">
        <w:t>Vartoti per burną.</w:t>
      </w:r>
    </w:p>
    <w:p w14:paraId="226F4534" w14:textId="77777777" w:rsidR="00922D8A" w:rsidRPr="008661CD" w:rsidRDefault="00922D8A" w:rsidP="008661CD">
      <w:r w:rsidRPr="008661CD">
        <w:t>Prieš vartojimą perskaitykite pakuotės lapelį.</w:t>
      </w:r>
    </w:p>
    <w:p w14:paraId="29187D98" w14:textId="77777777" w:rsidR="00922D8A" w:rsidRPr="008661CD" w:rsidRDefault="00922D8A" w:rsidP="008661CD"/>
    <w:p w14:paraId="2B96FEF8" w14:textId="77777777" w:rsidR="00922D8A" w:rsidRPr="008661CD" w:rsidRDefault="00922D8A" w:rsidP="008661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8661CD">
        <w:rPr>
          <w:b/>
        </w:rPr>
        <w:t>6.</w:t>
      </w:r>
      <w:r w:rsidRPr="008661CD">
        <w:rPr>
          <w:b/>
        </w:rPr>
        <w:tab/>
        <w:t>SPECIALUS ĮSPĖJIMAS, KAD VAISTINĮ PREPARATĄ BŪTINA LAIKYTI VAIKAMS NEPASTEBIMOJE IR NEPASIEKIAMOJE VIETOJE</w:t>
      </w:r>
    </w:p>
    <w:p w14:paraId="5AC04643" w14:textId="77777777" w:rsidR="00922D8A" w:rsidRPr="008661CD" w:rsidRDefault="00922D8A" w:rsidP="008661CD"/>
    <w:p w14:paraId="463AC7E2" w14:textId="1286B133" w:rsidR="00922D8A" w:rsidRPr="006560AA" w:rsidRDefault="00922D8A" w:rsidP="006560AA">
      <w:pPr>
        <w:pStyle w:val="BodyText"/>
        <w:rPr>
          <w:lang w:val="lt-LT"/>
        </w:rPr>
      </w:pPr>
      <w:r w:rsidRPr="000F3553">
        <w:rPr>
          <w:i w:val="0"/>
          <w:color w:val="auto"/>
          <w:lang w:val="lt-LT"/>
        </w:rPr>
        <w:t>Laikyti vaikams nepastebimoje ir nepasiekiamoje vietoje.</w:t>
      </w:r>
    </w:p>
    <w:p w14:paraId="58130B55" w14:textId="77777777" w:rsidR="00922D8A" w:rsidRPr="008661CD" w:rsidRDefault="00922D8A" w:rsidP="008661CD"/>
    <w:p w14:paraId="6DA69ABC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8661CD">
        <w:rPr>
          <w:b/>
        </w:rPr>
        <w:t>7.</w:t>
      </w:r>
      <w:r w:rsidRPr="008661CD">
        <w:rPr>
          <w:b/>
        </w:rPr>
        <w:tab/>
        <w:t>KITAS (-I) SPECIALUS (-ŪS) ĮSPĖJIMAS (-AI) (JEI REIKIA)</w:t>
      </w:r>
    </w:p>
    <w:p w14:paraId="2B8B1CDA" w14:textId="77777777" w:rsidR="00922D8A" w:rsidRPr="008661CD" w:rsidRDefault="00922D8A" w:rsidP="008661CD"/>
    <w:p w14:paraId="12DEA918" w14:textId="77777777" w:rsidR="00922D8A" w:rsidRPr="008661CD" w:rsidRDefault="00922D8A" w:rsidP="008661CD"/>
    <w:p w14:paraId="0309C5A7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8661CD">
        <w:rPr>
          <w:b/>
        </w:rPr>
        <w:t>8.</w:t>
      </w:r>
      <w:r w:rsidRPr="008661CD">
        <w:rPr>
          <w:b/>
        </w:rPr>
        <w:tab/>
        <w:t>TINKAMUMO LAIKAS</w:t>
      </w:r>
    </w:p>
    <w:p w14:paraId="28F05988" w14:textId="77777777" w:rsidR="00922D8A" w:rsidRPr="008661CD" w:rsidRDefault="00922D8A" w:rsidP="008661CD"/>
    <w:p w14:paraId="138A5FD5" w14:textId="77777777" w:rsidR="00992B07" w:rsidRPr="00992B07" w:rsidRDefault="00992B07" w:rsidP="00992B07">
      <w:r w:rsidRPr="00992B07">
        <w:t xml:space="preserve">EXP: </w:t>
      </w:r>
      <w:r w:rsidRPr="00992B07">
        <w:rPr>
          <w:highlight w:val="lightGray"/>
        </w:rPr>
        <w:t>MMMM mm</w:t>
      </w:r>
    </w:p>
    <w:p w14:paraId="05C13A8E" w14:textId="77777777" w:rsidR="00922D8A" w:rsidRPr="008661CD" w:rsidRDefault="00922D8A" w:rsidP="008661CD"/>
    <w:p w14:paraId="60F00E2F" w14:textId="77777777" w:rsidR="00922D8A" w:rsidRPr="008661CD" w:rsidRDefault="00922D8A" w:rsidP="008661CD"/>
    <w:p w14:paraId="745D0E8B" w14:textId="77777777" w:rsidR="00922D8A" w:rsidRPr="008661CD" w:rsidRDefault="00922D8A" w:rsidP="00866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8661CD">
        <w:rPr>
          <w:b/>
        </w:rPr>
        <w:t>9.</w:t>
      </w:r>
      <w:r w:rsidRPr="008661CD">
        <w:rPr>
          <w:b/>
        </w:rPr>
        <w:tab/>
      </w:r>
      <w:r w:rsidRPr="008661CD">
        <w:rPr>
          <w:b/>
          <w:caps/>
        </w:rPr>
        <w:t>SPECIALIOS laikymo sąlygos</w:t>
      </w:r>
    </w:p>
    <w:p w14:paraId="3103D2CC" w14:textId="77777777" w:rsidR="00922D8A" w:rsidRPr="008661CD" w:rsidRDefault="00922D8A" w:rsidP="008661CD">
      <w:pPr>
        <w:keepNext/>
        <w:tabs>
          <w:tab w:val="left" w:pos="567"/>
        </w:tabs>
      </w:pPr>
    </w:p>
    <w:p w14:paraId="7ABAAFF3" w14:textId="58E090F9" w:rsidR="00922D8A" w:rsidRPr="00AA08CA" w:rsidRDefault="00922D8A" w:rsidP="000F3553">
      <w:pPr>
        <w:pStyle w:val="BodyText"/>
        <w:rPr>
          <w:lang w:val="lt-LT"/>
        </w:rPr>
      </w:pPr>
      <w:r w:rsidRPr="000F3553">
        <w:rPr>
          <w:i w:val="0"/>
          <w:color w:val="auto"/>
          <w:lang w:val="lt-LT"/>
        </w:rPr>
        <w:t>Laikyti ne aukštesnėje kaip 30</w:t>
      </w:r>
      <w:r w:rsidR="00CA3D57">
        <w:rPr>
          <w:i w:val="0"/>
          <w:color w:val="auto"/>
          <w:lang w:val="lt-LT"/>
        </w:rPr>
        <w:t> </w:t>
      </w:r>
      <w:r w:rsidRPr="000F3553">
        <w:rPr>
          <w:i w:val="0"/>
          <w:color w:val="auto"/>
          <w:lang w:val="lt-LT"/>
        </w:rPr>
        <w:sym w:font="Symbol" w:char="F0B0"/>
      </w:r>
      <w:r w:rsidRPr="000F3553">
        <w:rPr>
          <w:i w:val="0"/>
          <w:color w:val="auto"/>
          <w:lang w:val="lt-LT"/>
        </w:rPr>
        <w:t>C temperatūroje.</w:t>
      </w:r>
    </w:p>
    <w:p w14:paraId="66FD074B" w14:textId="77777777" w:rsidR="00922D8A" w:rsidRPr="008661CD" w:rsidRDefault="00922D8A" w:rsidP="006560AA"/>
    <w:p w14:paraId="140DB891" w14:textId="77777777" w:rsidR="00922D8A" w:rsidRPr="008661CD" w:rsidRDefault="00922D8A" w:rsidP="006560AA"/>
    <w:p w14:paraId="6D6E50DD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</w:rPr>
      </w:pPr>
      <w:r w:rsidRPr="008661CD">
        <w:rPr>
          <w:b/>
        </w:rPr>
        <w:t>10.</w:t>
      </w:r>
      <w:r w:rsidRPr="008661CD">
        <w:rPr>
          <w:b/>
        </w:rPr>
        <w:tab/>
      </w:r>
      <w:r w:rsidRPr="008661CD">
        <w:rPr>
          <w:b/>
          <w:caps/>
        </w:rPr>
        <w:t>specialios atsargumo priemonės DĖL NESUVARTOTO</w:t>
      </w:r>
      <w:r w:rsidRPr="008661CD">
        <w:rPr>
          <w:b/>
        </w:rPr>
        <w:t xml:space="preserve"> </w:t>
      </w:r>
      <w:r w:rsidRPr="008661CD">
        <w:rPr>
          <w:b/>
          <w:caps/>
        </w:rPr>
        <w:t>VAISTINIO PREPARATO AR JO ATLIEKŲ</w:t>
      </w:r>
      <w:r w:rsidRPr="008661CD">
        <w:rPr>
          <w:caps/>
        </w:rPr>
        <w:t xml:space="preserve"> </w:t>
      </w:r>
      <w:r w:rsidRPr="008661CD">
        <w:rPr>
          <w:b/>
          <w:caps/>
        </w:rPr>
        <w:t>TVARKYMO (jei reikia)</w:t>
      </w:r>
    </w:p>
    <w:p w14:paraId="3C212559" w14:textId="77777777" w:rsidR="00922D8A" w:rsidRPr="008661CD" w:rsidRDefault="00922D8A" w:rsidP="008661CD"/>
    <w:p w14:paraId="5EA292EF" w14:textId="77777777" w:rsidR="00922D8A" w:rsidRPr="008661CD" w:rsidRDefault="00922D8A" w:rsidP="008661CD"/>
    <w:p w14:paraId="1DEBBF3B" w14:textId="58AD223A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</w:rPr>
      </w:pPr>
      <w:r w:rsidRPr="008661CD">
        <w:rPr>
          <w:b/>
        </w:rPr>
        <w:t>11.</w:t>
      </w:r>
      <w:r w:rsidRPr="008661CD">
        <w:rPr>
          <w:b/>
        </w:rPr>
        <w:tab/>
      </w:r>
      <w:r w:rsidR="006560AA">
        <w:rPr>
          <w:b/>
          <w:caps/>
        </w:rPr>
        <w:t>LYGIAGRETUS IMPORTUOTOJAS</w:t>
      </w:r>
    </w:p>
    <w:p w14:paraId="7813FD31" w14:textId="77777777" w:rsidR="00922D8A" w:rsidRPr="008661CD" w:rsidRDefault="00922D8A" w:rsidP="008661CD"/>
    <w:p w14:paraId="7EEA623E" w14:textId="7F13B042" w:rsidR="00922D8A" w:rsidRPr="008661CD" w:rsidRDefault="006560AA" w:rsidP="006560AA">
      <w:r>
        <w:lastRenderedPageBreak/>
        <w:t>Lygiagretus importuotojas UAB „</w:t>
      </w:r>
      <w:proofErr w:type="spellStart"/>
      <w:r>
        <w:t>Lex</w:t>
      </w:r>
      <w:proofErr w:type="spellEnd"/>
      <w:r>
        <w:t xml:space="preserve"> ano“</w:t>
      </w:r>
      <w:r w:rsidRPr="006560AA">
        <w:rPr>
          <w:highlight w:val="lightGray"/>
        </w:rPr>
        <w:t>, Naugarduko g. 3, LT-03231 Vilnius, Lietuva</w:t>
      </w:r>
    </w:p>
    <w:p w14:paraId="00C7EAA6" w14:textId="77777777" w:rsidR="00922D8A" w:rsidRPr="008661CD" w:rsidRDefault="00922D8A" w:rsidP="008661CD"/>
    <w:p w14:paraId="10819B2E" w14:textId="115F75C8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</w:pPr>
      <w:r w:rsidRPr="008661CD">
        <w:rPr>
          <w:b/>
        </w:rPr>
        <w:t>12.</w:t>
      </w:r>
      <w:r w:rsidRPr="008661CD">
        <w:rPr>
          <w:b/>
        </w:rPr>
        <w:tab/>
      </w:r>
      <w:r w:rsidR="006560AA">
        <w:rPr>
          <w:b/>
          <w:caps/>
        </w:rPr>
        <w:t>LYGIAGRETAUS IMPORTO LEIDIMO NUMERIS</w:t>
      </w:r>
    </w:p>
    <w:p w14:paraId="1CDE540D" w14:textId="48E4EA81" w:rsidR="00EC7E28" w:rsidRPr="002A5D82" w:rsidRDefault="00EC7E28" w:rsidP="00EC7E28">
      <w:pPr>
        <w:rPr>
          <w:shd w:val="clear" w:color="auto" w:fill="D9D9D9" w:themeFill="background1" w:themeFillShade="D9"/>
          <w:lang w:val="en-US"/>
        </w:rPr>
      </w:pPr>
    </w:p>
    <w:p w14:paraId="1A02D125" w14:textId="5A93A20D" w:rsidR="00EC7E28" w:rsidRPr="002A5D82" w:rsidRDefault="00EC7E28" w:rsidP="00EC7E28">
      <w:pPr>
        <w:rPr>
          <w:shd w:val="clear" w:color="auto" w:fill="D9D9D9" w:themeFill="background1" w:themeFillShade="D9"/>
          <w:lang w:val="en-US"/>
        </w:rPr>
      </w:pPr>
      <w:r w:rsidRPr="00EC7E28">
        <w:rPr>
          <w:lang w:val="en-US"/>
        </w:rPr>
        <w:t>LT/</w:t>
      </w:r>
      <w:r w:rsidR="006560AA">
        <w:rPr>
          <w:lang w:val="en-US"/>
        </w:rPr>
        <w:t>L/</w:t>
      </w:r>
      <w:r w:rsidR="00396DE3">
        <w:rPr>
          <w:lang w:val="en-US"/>
        </w:rPr>
        <w:t>22/1769/001</w:t>
      </w:r>
    </w:p>
    <w:p w14:paraId="791E40E5" w14:textId="77777777" w:rsidR="00EC7E28" w:rsidRPr="00EC7E28" w:rsidRDefault="00EC7E28" w:rsidP="00EC7E28">
      <w:pPr>
        <w:rPr>
          <w:lang w:val="en-US"/>
        </w:rPr>
      </w:pPr>
    </w:p>
    <w:p w14:paraId="62E7F19D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</w:pPr>
      <w:r w:rsidRPr="008661CD">
        <w:rPr>
          <w:b/>
        </w:rPr>
        <w:t>13.</w:t>
      </w:r>
      <w:r w:rsidRPr="008661CD">
        <w:rPr>
          <w:b/>
        </w:rPr>
        <w:tab/>
        <w:t>SERIJOS NUMERIS</w:t>
      </w:r>
    </w:p>
    <w:p w14:paraId="13F8E1AB" w14:textId="51A5A9DF" w:rsidR="00922D8A" w:rsidRPr="008661CD" w:rsidRDefault="00922D8A" w:rsidP="008661CD"/>
    <w:p w14:paraId="4DF61398" w14:textId="5B72BEAE" w:rsidR="00922D8A" w:rsidRPr="008661CD" w:rsidRDefault="00922D8A" w:rsidP="008661CD">
      <w:proofErr w:type="spellStart"/>
      <w:r w:rsidRPr="006560AA">
        <w:t>Lot</w:t>
      </w:r>
      <w:proofErr w:type="spellEnd"/>
      <w:r w:rsidR="006560AA" w:rsidRPr="006560AA">
        <w:t>:</w:t>
      </w:r>
    </w:p>
    <w:p w14:paraId="507015A1" w14:textId="77777777" w:rsidR="00922D8A" w:rsidRPr="008661CD" w:rsidRDefault="00922D8A" w:rsidP="008661CD"/>
    <w:p w14:paraId="76FA9EC5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</w:pPr>
      <w:r w:rsidRPr="008661CD">
        <w:rPr>
          <w:b/>
        </w:rPr>
        <w:t>14.</w:t>
      </w:r>
      <w:r w:rsidRPr="008661CD">
        <w:rPr>
          <w:b/>
        </w:rPr>
        <w:tab/>
        <w:t>PARDAVIMO (IŠDAVIMO)</w:t>
      </w:r>
      <w:r w:rsidRPr="008661CD">
        <w:rPr>
          <w:b/>
          <w:caps/>
        </w:rPr>
        <w:t xml:space="preserve"> tvarka</w:t>
      </w:r>
    </w:p>
    <w:p w14:paraId="07A9F13E" w14:textId="77777777" w:rsidR="00922D8A" w:rsidRPr="008661CD" w:rsidRDefault="00922D8A" w:rsidP="008661CD"/>
    <w:p w14:paraId="1D988CCD" w14:textId="77777777" w:rsidR="00922D8A" w:rsidRPr="008661CD" w:rsidRDefault="00922D8A" w:rsidP="008661CD">
      <w:r w:rsidRPr="008661CD">
        <w:t>Receptinis vaistas.</w:t>
      </w:r>
    </w:p>
    <w:p w14:paraId="3CD29D40" w14:textId="77777777" w:rsidR="00922D8A" w:rsidRPr="008661CD" w:rsidRDefault="00922D8A" w:rsidP="008661CD"/>
    <w:p w14:paraId="76E77777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</w:pPr>
      <w:r w:rsidRPr="008661CD">
        <w:rPr>
          <w:b/>
        </w:rPr>
        <w:t>15.</w:t>
      </w:r>
      <w:r w:rsidRPr="008661CD">
        <w:rPr>
          <w:b/>
        </w:rPr>
        <w:tab/>
      </w:r>
      <w:r w:rsidRPr="008661CD">
        <w:rPr>
          <w:b/>
          <w:caps/>
        </w:rPr>
        <w:t>vartojimo instrukcijA</w:t>
      </w:r>
    </w:p>
    <w:p w14:paraId="28DF08F1" w14:textId="77777777" w:rsidR="00922D8A" w:rsidRPr="008661CD" w:rsidRDefault="00922D8A" w:rsidP="008661CD"/>
    <w:p w14:paraId="0F66D102" w14:textId="77777777" w:rsidR="00922D8A" w:rsidRPr="00AA08CA" w:rsidRDefault="00922D8A" w:rsidP="000F3553">
      <w:pPr>
        <w:pStyle w:val="BodyText"/>
        <w:rPr>
          <w:lang w:val="lt-LT"/>
        </w:rPr>
      </w:pPr>
      <w:bookmarkStart w:id="1" w:name="_Hlk517876831"/>
      <w:r w:rsidRPr="000F3553">
        <w:rPr>
          <w:i w:val="0"/>
          <w:color w:val="auto"/>
          <w:lang w:val="lt-LT"/>
        </w:rPr>
        <w:t>Vartoti taip, kaip nurodė Jūsų gydytojas.</w:t>
      </w:r>
    </w:p>
    <w:p w14:paraId="766CE9D4" w14:textId="77777777" w:rsidR="00922D8A" w:rsidRPr="009C0DB0" w:rsidRDefault="00922D8A" w:rsidP="000F3553">
      <w:pPr>
        <w:pStyle w:val="BodyText"/>
        <w:rPr>
          <w:i w:val="0"/>
          <w:color w:val="auto"/>
          <w:lang w:val="lt-LT"/>
        </w:rPr>
      </w:pPr>
    </w:p>
    <w:p w14:paraId="4B535B62" w14:textId="77777777" w:rsidR="00922D8A" w:rsidRPr="000F3553" w:rsidRDefault="00922D8A" w:rsidP="000F3553">
      <w:pPr>
        <w:pStyle w:val="BodyText"/>
      </w:pPr>
      <w:r w:rsidRPr="000F3553">
        <w:rPr>
          <w:i w:val="0"/>
          <w:color w:val="auto"/>
          <w:lang w:val="lt-LT"/>
        </w:rPr>
        <w:t>Tablečių negalima smulkinti ar kramtyti. Reikia nuryti visą tabletę, užgeriant stikline vandens.</w:t>
      </w:r>
    </w:p>
    <w:bookmarkEnd w:id="1"/>
    <w:p w14:paraId="1D13445D" w14:textId="77777777" w:rsidR="00922D8A" w:rsidRPr="008661CD" w:rsidRDefault="00922D8A" w:rsidP="008661CD"/>
    <w:p w14:paraId="07327071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</w:pPr>
      <w:r w:rsidRPr="008661CD">
        <w:rPr>
          <w:b/>
        </w:rPr>
        <w:t>16.</w:t>
      </w:r>
      <w:r w:rsidRPr="008661CD">
        <w:rPr>
          <w:b/>
        </w:rPr>
        <w:tab/>
        <w:t>INFORMACIJA BRAILIO RAŠTU</w:t>
      </w:r>
    </w:p>
    <w:p w14:paraId="4D2F82BE" w14:textId="4C2D03C5" w:rsidR="00922D8A" w:rsidRPr="008661CD" w:rsidRDefault="00922D8A" w:rsidP="008661CD"/>
    <w:p w14:paraId="46842D61" w14:textId="0ACA69B9" w:rsidR="00922D8A" w:rsidRPr="008661CD" w:rsidRDefault="00922D8A" w:rsidP="008661CD">
      <w:proofErr w:type="spellStart"/>
      <w:r w:rsidRPr="007762D3">
        <w:t>zinnat</w:t>
      </w:r>
      <w:proofErr w:type="spellEnd"/>
      <w:r w:rsidRPr="007762D3">
        <w:t xml:space="preserve"> 500</w:t>
      </w:r>
      <w:r w:rsidR="00CA3D57" w:rsidRPr="007762D3">
        <w:t> </w:t>
      </w:r>
      <w:r w:rsidRPr="007762D3">
        <w:t>mg</w:t>
      </w:r>
    </w:p>
    <w:p w14:paraId="0BAF31B1" w14:textId="77777777" w:rsidR="00922D8A" w:rsidRPr="008661CD" w:rsidRDefault="00922D8A" w:rsidP="008661CD">
      <w:pPr>
        <w:tabs>
          <w:tab w:val="left" w:pos="567"/>
        </w:tabs>
        <w:spacing w:line="260" w:lineRule="exact"/>
        <w:rPr>
          <w:shd w:val="clear" w:color="auto" w:fill="CCCCCC"/>
        </w:rPr>
      </w:pPr>
    </w:p>
    <w:p w14:paraId="5B11F910" w14:textId="77777777" w:rsidR="00922D8A" w:rsidRPr="00AA08CA" w:rsidRDefault="00922D8A" w:rsidP="00866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</w:rPr>
      </w:pPr>
      <w:r w:rsidRPr="00AA08CA">
        <w:rPr>
          <w:b/>
        </w:rPr>
        <w:t>17.</w:t>
      </w:r>
      <w:r w:rsidRPr="00AA08CA">
        <w:rPr>
          <w:b/>
        </w:rPr>
        <w:tab/>
        <w:t>UNIKALUS IDENTIFIKATORIUS – 2D BRŪKŠNINIS KODAS</w:t>
      </w:r>
    </w:p>
    <w:p w14:paraId="5B8CC9A1" w14:textId="77777777" w:rsidR="00922D8A" w:rsidRPr="00AA08CA" w:rsidRDefault="00922D8A" w:rsidP="008661CD">
      <w:pPr>
        <w:tabs>
          <w:tab w:val="left" w:pos="567"/>
        </w:tabs>
        <w:spacing w:line="260" w:lineRule="exact"/>
      </w:pPr>
    </w:p>
    <w:p w14:paraId="43201821" w14:textId="77777777" w:rsidR="00922D8A" w:rsidRPr="00AA08CA" w:rsidRDefault="00922D8A" w:rsidP="008661CD">
      <w:pPr>
        <w:tabs>
          <w:tab w:val="left" w:pos="567"/>
        </w:tabs>
        <w:spacing w:line="260" w:lineRule="exact"/>
        <w:rPr>
          <w:shd w:val="clear" w:color="auto" w:fill="CCCCCC"/>
        </w:rPr>
      </w:pPr>
      <w:r w:rsidRPr="00AA08CA">
        <w:rPr>
          <w:highlight w:val="lightGray"/>
        </w:rPr>
        <w:t>2D brūkšninis kodas su nurodytu unikaliu identifikatoriumi.</w:t>
      </w:r>
    </w:p>
    <w:p w14:paraId="414A8061" w14:textId="77777777" w:rsidR="00922D8A" w:rsidRPr="00AA08CA" w:rsidRDefault="00922D8A" w:rsidP="008661CD">
      <w:pPr>
        <w:tabs>
          <w:tab w:val="left" w:pos="567"/>
        </w:tabs>
        <w:spacing w:line="260" w:lineRule="exact"/>
      </w:pPr>
    </w:p>
    <w:p w14:paraId="622BF3A2" w14:textId="77777777" w:rsidR="00922D8A" w:rsidRPr="00AA08CA" w:rsidRDefault="00922D8A" w:rsidP="008661CD">
      <w:pPr>
        <w:tabs>
          <w:tab w:val="left" w:pos="567"/>
        </w:tabs>
        <w:spacing w:line="260" w:lineRule="exact"/>
      </w:pPr>
    </w:p>
    <w:p w14:paraId="4B2E8B5B" w14:textId="77777777" w:rsidR="00922D8A" w:rsidRPr="00AA08CA" w:rsidRDefault="00922D8A" w:rsidP="00866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</w:rPr>
      </w:pPr>
      <w:r w:rsidRPr="00AA08CA">
        <w:rPr>
          <w:b/>
        </w:rPr>
        <w:t>18.</w:t>
      </w:r>
      <w:r w:rsidRPr="00AA08CA">
        <w:rPr>
          <w:b/>
        </w:rPr>
        <w:tab/>
        <w:t>UNIKALUS IDENTIFIKATORIUS – ŽMONĖMS SUPRANTAMI DUOMENYS</w:t>
      </w:r>
    </w:p>
    <w:p w14:paraId="53A5056A" w14:textId="77777777" w:rsidR="00922D8A" w:rsidRPr="00AA08CA" w:rsidRDefault="00922D8A" w:rsidP="008661CD">
      <w:pPr>
        <w:tabs>
          <w:tab w:val="left" w:pos="567"/>
        </w:tabs>
        <w:spacing w:line="260" w:lineRule="exact"/>
      </w:pPr>
    </w:p>
    <w:p w14:paraId="7CCD87CC" w14:textId="77777777" w:rsidR="00922D8A" w:rsidRPr="009C0DB0" w:rsidRDefault="00922D8A" w:rsidP="008661CD">
      <w:pPr>
        <w:tabs>
          <w:tab w:val="left" w:pos="567"/>
        </w:tabs>
        <w:spacing w:line="260" w:lineRule="exact"/>
        <w:rPr>
          <w:lang w:val="pl-PL"/>
        </w:rPr>
      </w:pPr>
      <w:r w:rsidRPr="009C0DB0">
        <w:rPr>
          <w:lang w:val="pl-PL"/>
        </w:rPr>
        <w:t>PC:</w:t>
      </w:r>
    </w:p>
    <w:p w14:paraId="73DFAA92" w14:textId="77777777" w:rsidR="00922D8A" w:rsidRPr="008661CD" w:rsidRDefault="00922D8A" w:rsidP="008661CD">
      <w:pPr>
        <w:tabs>
          <w:tab w:val="left" w:pos="567"/>
        </w:tabs>
        <w:spacing w:line="260" w:lineRule="exact"/>
        <w:rPr>
          <w:lang w:val="en-GB"/>
        </w:rPr>
      </w:pPr>
      <w:r w:rsidRPr="008661CD">
        <w:rPr>
          <w:lang w:val="en-GB"/>
        </w:rPr>
        <w:t>SN:</w:t>
      </w:r>
    </w:p>
    <w:p w14:paraId="669FA0D7" w14:textId="77777777" w:rsidR="00922D8A" w:rsidRPr="008661CD" w:rsidRDefault="00922D8A" w:rsidP="008661CD">
      <w:pPr>
        <w:tabs>
          <w:tab w:val="left" w:pos="567"/>
        </w:tabs>
        <w:spacing w:line="260" w:lineRule="exact"/>
        <w:rPr>
          <w:lang w:val="en-GB"/>
        </w:rPr>
      </w:pPr>
      <w:r w:rsidRPr="008661CD">
        <w:rPr>
          <w:highlight w:val="lightGray"/>
          <w:lang w:val="en-GB"/>
        </w:rPr>
        <w:t>NN:</w:t>
      </w:r>
    </w:p>
    <w:p w14:paraId="14EA5769" w14:textId="050E94CE" w:rsidR="00922D8A" w:rsidRDefault="00922D8A" w:rsidP="008661CD"/>
    <w:p w14:paraId="1B6F6287" w14:textId="55E3C5B7" w:rsidR="007762D3" w:rsidRDefault="007762D3" w:rsidP="008661CD">
      <w:r>
        <w:t>---------------------------------------------------------------------------------------------------------------------------</w:t>
      </w:r>
    </w:p>
    <w:p w14:paraId="1E24E2DC" w14:textId="150DD103" w:rsidR="007762D3" w:rsidRPr="008661CD" w:rsidRDefault="007762D3" w:rsidP="007762D3">
      <w:r>
        <w:t xml:space="preserve">Gamintojas: </w:t>
      </w:r>
      <w:proofErr w:type="spellStart"/>
      <w:r>
        <w:t>GlaxoSmithKline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, 12 </w:t>
      </w:r>
      <w:proofErr w:type="spellStart"/>
      <w:r>
        <w:t>Riverwalk</w:t>
      </w:r>
      <w:proofErr w:type="spellEnd"/>
      <w:r>
        <w:t xml:space="preserve">, </w:t>
      </w:r>
      <w:proofErr w:type="spellStart"/>
      <w:r>
        <w:t>Citywest</w:t>
      </w:r>
      <w:proofErr w:type="spellEnd"/>
      <w:r>
        <w:t xml:space="preserve"> Business </w:t>
      </w:r>
      <w:proofErr w:type="spellStart"/>
      <w:r>
        <w:t>Campus</w:t>
      </w:r>
      <w:proofErr w:type="spellEnd"/>
      <w:r>
        <w:t>, Dublin 24, D24 YK11, Airija</w:t>
      </w:r>
      <w:r w:rsidR="00DA3177">
        <w:t xml:space="preserve"> arba </w:t>
      </w:r>
      <w:proofErr w:type="spellStart"/>
      <w:r w:rsidR="00DA3177" w:rsidRPr="00DA3177">
        <w:t>Lek</w:t>
      </w:r>
      <w:proofErr w:type="spellEnd"/>
      <w:r w:rsidR="00DA3177" w:rsidRPr="00DA3177">
        <w:t xml:space="preserve"> </w:t>
      </w:r>
      <w:proofErr w:type="spellStart"/>
      <w:r w:rsidR="00DA3177" w:rsidRPr="00DA3177">
        <w:t>Pharmaceuticals</w:t>
      </w:r>
      <w:proofErr w:type="spellEnd"/>
      <w:r w:rsidR="00DA3177" w:rsidRPr="00DA3177">
        <w:t xml:space="preserve"> </w:t>
      </w:r>
      <w:proofErr w:type="spellStart"/>
      <w:r w:rsidR="00DA3177" w:rsidRPr="00DA3177">
        <w:t>d.d</w:t>
      </w:r>
      <w:proofErr w:type="spellEnd"/>
      <w:r w:rsidR="00DA3177" w:rsidRPr="00DA3177">
        <w:t xml:space="preserve">., </w:t>
      </w:r>
      <w:proofErr w:type="spellStart"/>
      <w:r w:rsidR="00DA3177" w:rsidRPr="00DA3177">
        <w:t>Verovškova</w:t>
      </w:r>
      <w:proofErr w:type="spellEnd"/>
      <w:r w:rsidR="00DA3177" w:rsidRPr="00DA3177">
        <w:t xml:space="preserve"> 57, </w:t>
      </w:r>
      <w:proofErr w:type="spellStart"/>
      <w:r w:rsidR="00DA3177" w:rsidRPr="00DA3177">
        <w:t>Ljubljana</w:t>
      </w:r>
      <w:proofErr w:type="spellEnd"/>
      <w:r w:rsidR="00DA3177" w:rsidRPr="00DA3177">
        <w:t>, 1526, Slovėnija</w:t>
      </w:r>
      <w:r w:rsidR="005A2E39">
        <w:t xml:space="preserve"> arba </w:t>
      </w:r>
      <w:proofErr w:type="spellStart"/>
      <w:r w:rsidR="005A2E39" w:rsidRPr="005A2E39">
        <w:t>Sandoz</w:t>
      </w:r>
      <w:proofErr w:type="spellEnd"/>
      <w:r w:rsidR="005A2E39" w:rsidRPr="005A2E39">
        <w:t xml:space="preserve"> </w:t>
      </w:r>
      <w:proofErr w:type="spellStart"/>
      <w:r w:rsidR="005A2E39" w:rsidRPr="005A2E39">
        <w:t>GmbH</w:t>
      </w:r>
      <w:proofErr w:type="spellEnd"/>
      <w:r w:rsidR="005A2E39" w:rsidRPr="005A2E39">
        <w:t xml:space="preserve">, </w:t>
      </w:r>
      <w:proofErr w:type="spellStart"/>
      <w:r w:rsidR="005A2E39" w:rsidRPr="005A2E39">
        <w:t>Kundl</w:t>
      </w:r>
      <w:proofErr w:type="spellEnd"/>
      <w:r w:rsidR="005A2E39" w:rsidRPr="005A2E39">
        <w:t xml:space="preserve"> (AICO FDF </w:t>
      </w:r>
      <w:proofErr w:type="spellStart"/>
      <w:r w:rsidR="005A2E39" w:rsidRPr="005A2E39">
        <w:t>Kundl</w:t>
      </w:r>
      <w:proofErr w:type="spellEnd"/>
      <w:r w:rsidR="005A2E39" w:rsidRPr="005A2E39">
        <w:t xml:space="preserve">), </w:t>
      </w:r>
      <w:proofErr w:type="spellStart"/>
      <w:r w:rsidR="005A2E39" w:rsidRPr="005A2E39">
        <w:t>Biochemiestra</w:t>
      </w:r>
      <w:proofErr w:type="spellEnd"/>
      <w:r w:rsidR="005A2E39" w:rsidRPr="005A2E39">
        <w:t xml:space="preserve">βe 10, 6250 </w:t>
      </w:r>
      <w:proofErr w:type="spellStart"/>
      <w:r w:rsidR="005A2E39" w:rsidRPr="005A2E39">
        <w:t>Kundl</w:t>
      </w:r>
      <w:proofErr w:type="spellEnd"/>
      <w:r w:rsidR="005A2E39" w:rsidRPr="005A2E39">
        <w:t>, Austrija</w:t>
      </w:r>
    </w:p>
    <w:p w14:paraId="30915EA9" w14:textId="77777777" w:rsidR="007762D3" w:rsidRDefault="007762D3" w:rsidP="000F3553">
      <w:pPr>
        <w:spacing w:after="160" w:line="259" w:lineRule="auto"/>
      </w:pPr>
    </w:p>
    <w:p w14:paraId="0FAE488A" w14:textId="77777777" w:rsidR="007762D3" w:rsidRPr="007762D3" w:rsidRDefault="007762D3" w:rsidP="007762D3">
      <w:pPr>
        <w:spacing w:line="259" w:lineRule="auto"/>
        <w:rPr>
          <w:highlight w:val="lightGray"/>
        </w:rPr>
      </w:pPr>
      <w:r>
        <w:t xml:space="preserve">Perpakavo </w:t>
      </w:r>
      <w:r w:rsidRPr="00DC1740">
        <w:t xml:space="preserve">UAB „ENTAFARMA“, </w:t>
      </w:r>
      <w:proofErr w:type="spellStart"/>
      <w:r w:rsidRPr="00DC1740">
        <w:t>Klonėnų</w:t>
      </w:r>
      <w:proofErr w:type="spellEnd"/>
      <w:r w:rsidRPr="00DC1740">
        <w:t xml:space="preserve"> vs. 1, LT-19156 Širvintų r. sav., Lietuva</w:t>
      </w:r>
    </w:p>
    <w:p w14:paraId="0AA33D36" w14:textId="65086366" w:rsidR="007762D3" w:rsidRPr="007762D3" w:rsidRDefault="007762D3" w:rsidP="007762D3">
      <w:pPr>
        <w:spacing w:line="259" w:lineRule="auto"/>
        <w:rPr>
          <w:highlight w:val="lightGray"/>
        </w:rPr>
      </w:pPr>
      <w:r w:rsidRPr="007762D3">
        <w:rPr>
          <w:highlight w:val="lightGray"/>
        </w:rPr>
        <w:t>Lietuvos ir Norvegijos UAB „</w:t>
      </w:r>
      <w:proofErr w:type="spellStart"/>
      <w:r w:rsidRPr="007762D3">
        <w:rPr>
          <w:highlight w:val="lightGray"/>
        </w:rPr>
        <w:t>Norfachema</w:t>
      </w:r>
      <w:proofErr w:type="spellEnd"/>
      <w:r w:rsidRPr="007762D3">
        <w:rPr>
          <w:highlight w:val="lightGray"/>
        </w:rPr>
        <w:t>“, Vytauto g. 6, LT-55175 Jonava, Lietuva</w:t>
      </w:r>
    </w:p>
    <w:p w14:paraId="337003C1" w14:textId="606DF584" w:rsidR="007762D3" w:rsidRDefault="007762D3" w:rsidP="007762D3">
      <w:pPr>
        <w:spacing w:line="259" w:lineRule="auto"/>
      </w:pPr>
      <w:r w:rsidRPr="007762D3">
        <w:rPr>
          <w:highlight w:val="lightGray"/>
        </w:rPr>
        <w:t xml:space="preserve">CEFEA Sp. z </w:t>
      </w:r>
      <w:proofErr w:type="spellStart"/>
      <w:r w:rsidRPr="007762D3">
        <w:rPr>
          <w:highlight w:val="lightGray"/>
        </w:rPr>
        <w:t>o.o</w:t>
      </w:r>
      <w:proofErr w:type="spellEnd"/>
      <w:r w:rsidRPr="007762D3">
        <w:rPr>
          <w:highlight w:val="lightGray"/>
        </w:rPr>
        <w:t xml:space="preserve">. Sp. K., </w:t>
      </w:r>
      <w:proofErr w:type="spellStart"/>
      <w:r w:rsidRPr="007762D3">
        <w:rPr>
          <w:highlight w:val="lightGray"/>
        </w:rPr>
        <w:t>Ul</w:t>
      </w:r>
      <w:proofErr w:type="spellEnd"/>
      <w:r w:rsidRPr="007762D3">
        <w:rPr>
          <w:highlight w:val="lightGray"/>
        </w:rPr>
        <w:t xml:space="preserve">. </w:t>
      </w:r>
      <w:proofErr w:type="spellStart"/>
      <w:r w:rsidRPr="007762D3">
        <w:rPr>
          <w:highlight w:val="lightGray"/>
        </w:rPr>
        <w:t>Działkowa</w:t>
      </w:r>
      <w:proofErr w:type="spellEnd"/>
      <w:r w:rsidRPr="007762D3">
        <w:rPr>
          <w:highlight w:val="lightGray"/>
        </w:rPr>
        <w:t xml:space="preserve"> </w:t>
      </w:r>
      <w:r w:rsidR="00DA3177">
        <w:rPr>
          <w:highlight w:val="lightGray"/>
        </w:rPr>
        <w:t>69</w:t>
      </w:r>
      <w:r w:rsidRPr="007762D3">
        <w:rPr>
          <w:highlight w:val="lightGray"/>
        </w:rPr>
        <w:t xml:space="preserve">, 02-234 </w:t>
      </w:r>
      <w:proofErr w:type="spellStart"/>
      <w:r w:rsidRPr="007762D3">
        <w:rPr>
          <w:highlight w:val="lightGray"/>
        </w:rPr>
        <w:t>Warszawa</w:t>
      </w:r>
      <w:proofErr w:type="spellEnd"/>
      <w:r w:rsidRPr="007762D3">
        <w:rPr>
          <w:highlight w:val="lightGray"/>
        </w:rPr>
        <w:t>, Lenkija</w:t>
      </w:r>
    </w:p>
    <w:p w14:paraId="55C168FF" w14:textId="77777777" w:rsidR="005C217D" w:rsidRDefault="005C217D" w:rsidP="007762D3">
      <w:pPr>
        <w:spacing w:line="259" w:lineRule="auto"/>
      </w:pPr>
    </w:p>
    <w:p w14:paraId="5DF5D895" w14:textId="77777777" w:rsidR="005C217D" w:rsidRDefault="005C217D" w:rsidP="005C217D">
      <w:pPr>
        <w:rPr>
          <w:rStyle w:val="ui-provider"/>
          <w:i/>
          <w:iCs/>
        </w:rPr>
      </w:pPr>
      <w:r w:rsidRPr="009330AE">
        <w:rPr>
          <w:i/>
        </w:rPr>
        <w:t>Lygiagrečiai importuojamas vaistas nuo referencinio vaisto skiriasi pagalbinėmis medžiagomis (</w:t>
      </w:r>
      <w:r>
        <w:rPr>
          <w:i/>
        </w:rPr>
        <w:t>lygiagrečiai importuojamo vaisto sudėtyje papildomai yra</w:t>
      </w:r>
      <w:r w:rsidRPr="00BD5B0B">
        <w:t xml:space="preserve"> </w:t>
      </w:r>
      <w:proofErr w:type="spellStart"/>
      <w:r w:rsidRPr="00BD5B0B">
        <w:rPr>
          <w:i/>
        </w:rPr>
        <w:t>metilparahidroksibenzo</w:t>
      </w:r>
      <w:r>
        <w:rPr>
          <w:i/>
        </w:rPr>
        <w:t>ato</w:t>
      </w:r>
      <w:proofErr w:type="spellEnd"/>
      <w:r w:rsidRPr="00BD5B0B">
        <w:rPr>
          <w:i/>
        </w:rPr>
        <w:t xml:space="preserve"> (E218), </w:t>
      </w:r>
      <w:proofErr w:type="spellStart"/>
      <w:r w:rsidRPr="00BD5B0B">
        <w:rPr>
          <w:i/>
        </w:rPr>
        <w:t>propilparahidroksibenzoat</w:t>
      </w:r>
      <w:r>
        <w:rPr>
          <w:i/>
        </w:rPr>
        <w:t>o</w:t>
      </w:r>
      <w:proofErr w:type="spellEnd"/>
      <w:r>
        <w:rPr>
          <w:i/>
        </w:rPr>
        <w:t xml:space="preserve"> </w:t>
      </w:r>
      <w:r w:rsidRPr="00BD5B0B">
        <w:rPr>
          <w:i/>
        </w:rPr>
        <w:t>(E216</w:t>
      </w:r>
      <w:r>
        <w:rPr>
          <w:i/>
        </w:rPr>
        <w:t>)).</w:t>
      </w:r>
    </w:p>
    <w:p w14:paraId="5767BFE7" w14:textId="1C5EB1FF" w:rsidR="005C217D" w:rsidRDefault="005C217D" w:rsidP="007762D3">
      <w:pPr>
        <w:spacing w:line="259" w:lineRule="auto"/>
      </w:pPr>
    </w:p>
    <w:p w14:paraId="77DF323D" w14:textId="7344608B" w:rsidR="008B0E26" w:rsidRDefault="008B0E26" w:rsidP="007762D3">
      <w:pPr>
        <w:spacing w:line="259" w:lineRule="auto"/>
      </w:pPr>
      <w:r w:rsidRPr="00DC1740">
        <w:rPr>
          <w:highlight w:val="lightGray"/>
        </w:rPr>
        <w:t>Perpakavimo serija</w:t>
      </w:r>
    </w:p>
    <w:p w14:paraId="6B4CD35C" w14:textId="5023ED08" w:rsidR="00F754F6" w:rsidRDefault="00F754F6">
      <w:pPr>
        <w:spacing w:after="160" w:line="259" w:lineRule="auto"/>
      </w:pPr>
      <w:r>
        <w:br w:type="page"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754F6" w:rsidRPr="00C510EF" w14:paraId="5A3C3E44" w14:textId="77777777" w:rsidTr="00DE3E39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319DD939" w14:textId="77777777" w:rsidR="00F754F6" w:rsidRPr="008661CD" w:rsidRDefault="00F754F6" w:rsidP="00DE3E39">
            <w:pPr>
              <w:rPr>
                <w:b/>
              </w:rPr>
            </w:pPr>
            <w:r w:rsidRPr="008661CD">
              <w:rPr>
                <w:b/>
                <w:color w:val="FF0000"/>
              </w:rPr>
              <w:br w:type="page"/>
            </w:r>
            <w:r w:rsidRPr="008661CD">
              <w:rPr>
                <w:b/>
              </w:rPr>
              <w:t xml:space="preserve">MINIMALI </w:t>
            </w:r>
            <w:r w:rsidRPr="008661CD">
              <w:rPr>
                <w:b/>
                <w:caps/>
              </w:rPr>
              <w:t xml:space="preserve">informacija ant </w:t>
            </w:r>
            <w:r w:rsidRPr="008661CD">
              <w:rPr>
                <w:b/>
              </w:rPr>
              <w:t xml:space="preserve">LIZDINIŲ PLOKŠTELIŲ </w:t>
            </w:r>
          </w:p>
          <w:p w14:paraId="0FA3234C" w14:textId="77777777" w:rsidR="00F754F6" w:rsidRPr="009C0DB0" w:rsidRDefault="00F754F6" w:rsidP="00DE3E39"/>
          <w:p w14:paraId="008DC7F2" w14:textId="77777777" w:rsidR="00F754F6" w:rsidRPr="008661CD" w:rsidRDefault="00F754F6" w:rsidP="00DE3E39">
            <w:pPr>
              <w:rPr>
                <w:b/>
              </w:rPr>
            </w:pPr>
            <w:r w:rsidRPr="008661CD">
              <w:rPr>
                <w:b/>
              </w:rPr>
              <w:t xml:space="preserve">LIZDINĖS PLOKŠTELĖS </w:t>
            </w:r>
          </w:p>
        </w:tc>
      </w:tr>
    </w:tbl>
    <w:p w14:paraId="542DAF1D" w14:textId="77777777" w:rsidR="00F754F6" w:rsidRPr="009C0DB0" w:rsidRDefault="00F754F6" w:rsidP="00F754F6"/>
    <w:p w14:paraId="77A3CCDD" w14:textId="77777777" w:rsidR="00F754F6" w:rsidRPr="009C0DB0" w:rsidRDefault="00F754F6" w:rsidP="00F754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754F6" w:rsidRPr="00C510EF" w14:paraId="6443C277" w14:textId="77777777" w:rsidTr="00DE3E39">
        <w:tc>
          <w:tcPr>
            <w:tcW w:w="9287" w:type="dxa"/>
          </w:tcPr>
          <w:p w14:paraId="61F7389D" w14:textId="77777777" w:rsidR="00F754F6" w:rsidRPr="008661CD" w:rsidRDefault="00F754F6" w:rsidP="00DE3E39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8661CD">
              <w:rPr>
                <w:b/>
              </w:rPr>
              <w:t>1.</w:t>
            </w:r>
            <w:r w:rsidRPr="008661CD">
              <w:rPr>
                <w:b/>
              </w:rPr>
              <w:tab/>
            </w:r>
            <w:r w:rsidRPr="008661CD">
              <w:rPr>
                <w:b/>
                <w:caps/>
              </w:rPr>
              <w:t>Vaistinio preparato pavadinimas</w:t>
            </w:r>
          </w:p>
        </w:tc>
      </w:tr>
    </w:tbl>
    <w:p w14:paraId="16882A7F" w14:textId="77777777" w:rsidR="00F754F6" w:rsidRPr="008661CD" w:rsidRDefault="00F754F6" w:rsidP="00F754F6">
      <w:pPr>
        <w:ind w:left="567" w:hanging="567"/>
      </w:pPr>
    </w:p>
    <w:p w14:paraId="3AB6F1EE" w14:textId="77777777" w:rsidR="00F754F6" w:rsidRPr="008661CD" w:rsidRDefault="00F754F6" w:rsidP="00F754F6">
      <w:proofErr w:type="spellStart"/>
      <w:r w:rsidRPr="008661CD">
        <w:rPr>
          <w:highlight w:val="lightGray"/>
          <w:shd w:val="clear" w:color="auto" w:fill="C0C0C0"/>
        </w:rPr>
        <w:t>Zinnat</w:t>
      </w:r>
      <w:proofErr w:type="spellEnd"/>
      <w:r w:rsidRPr="008661CD">
        <w:rPr>
          <w:highlight w:val="lightGray"/>
          <w:shd w:val="clear" w:color="auto" w:fill="C0C0C0"/>
        </w:rPr>
        <w:t xml:space="preserve"> 500 mg </w:t>
      </w:r>
      <w:r w:rsidRPr="008661CD">
        <w:rPr>
          <w:highlight w:val="lightGray"/>
        </w:rPr>
        <w:t>plėvele dengtos</w:t>
      </w:r>
      <w:r w:rsidRPr="008661CD">
        <w:rPr>
          <w:highlight w:val="lightGray"/>
          <w:shd w:val="clear" w:color="auto" w:fill="C0C0C0"/>
        </w:rPr>
        <w:t xml:space="preserve"> tabletės</w:t>
      </w:r>
    </w:p>
    <w:p w14:paraId="176C0CCF" w14:textId="77777777" w:rsidR="00F754F6" w:rsidRPr="008661CD" w:rsidRDefault="00F754F6" w:rsidP="00F754F6">
      <w:proofErr w:type="spellStart"/>
      <w:r w:rsidRPr="00DC1740">
        <w:rPr>
          <w:highlight w:val="lightGray"/>
        </w:rPr>
        <w:t>cefuroksimas</w:t>
      </w:r>
      <w:proofErr w:type="spellEnd"/>
    </w:p>
    <w:p w14:paraId="151DF61B" w14:textId="77777777" w:rsidR="00F754F6" w:rsidRPr="008661CD" w:rsidRDefault="00F754F6" w:rsidP="00F754F6"/>
    <w:p w14:paraId="39773736" w14:textId="77777777" w:rsidR="00F754F6" w:rsidRPr="009C0DB0" w:rsidRDefault="00F754F6" w:rsidP="00F754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754F6" w:rsidRPr="00C510EF" w14:paraId="369B8E5C" w14:textId="77777777" w:rsidTr="00DE3E39">
        <w:tc>
          <w:tcPr>
            <w:tcW w:w="9287" w:type="dxa"/>
          </w:tcPr>
          <w:p w14:paraId="2D8DDE72" w14:textId="0675A155" w:rsidR="00F754F6" w:rsidRPr="008661CD" w:rsidRDefault="00F754F6" w:rsidP="00DE3E39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8661CD">
              <w:rPr>
                <w:b/>
              </w:rPr>
              <w:t>2.</w:t>
            </w:r>
            <w:r w:rsidRPr="008661CD">
              <w:rPr>
                <w:b/>
              </w:rPr>
              <w:tab/>
            </w:r>
            <w:r w:rsidRPr="008A5A39">
              <w:rPr>
                <w:b/>
                <w:lang w:eastAsia="sl-SI"/>
              </w:rPr>
              <w:t>LYGIAGRETUS IMPORTUOTOJAS</w:t>
            </w:r>
          </w:p>
        </w:tc>
      </w:tr>
    </w:tbl>
    <w:p w14:paraId="08B13C30" w14:textId="77777777" w:rsidR="00F754F6" w:rsidRPr="009C0DB0" w:rsidRDefault="00F754F6" w:rsidP="00F754F6"/>
    <w:p w14:paraId="125EABF9" w14:textId="19E1F60F" w:rsidR="00F754F6" w:rsidRDefault="00F754F6" w:rsidP="00DC1740">
      <w:pPr>
        <w:widowControl w:val="0"/>
        <w:rPr>
          <w:lang w:eastAsia="sl-SI"/>
        </w:rPr>
      </w:pPr>
      <w:r w:rsidRPr="008A5A39">
        <w:rPr>
          <w:highlight w:val="lightGray"/>
          <w:lang w:eastAsia="sl-SI"/>
        </w:rPr>
        <w:t>UAB ,,</w:t>
      </w:r>
      <w:proofErr w:type="spellStart"/>
      <w:r w:rsidRPr="008A5A39">
        <w:rPr>
          <w:highlight w:val="lightGray"/>
          <w:lang w:eastAsia="sl-SI"/>
        </w:rPr>
        <w:t>Lex</w:t>
      </w:r>
      <w:proofErr w:type="spellEnd"/>
      <w:r w:rsidRPr="008A5A39">
        <w:rPr>
          <w:highlight w:val="lightGray"/>
          <w:lang w:eastAsia="sl-SI"/>
        </w:rPr>
        <w:t xml:space="preserve"> ano“</w:t>
      </w:r>
    </w:p>
    <w:p w14:paraId="54F81B37" w14:textId="77777777" w:rsidR="00F754F6" w:rsidRPr="009C0DB0" w:rsidRDefault="00F754F6" w:rsidP="00F754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754F6" w:rsidRPr="00C510EF" w14:paraId="1B6ED2CA" w14:textId="77777777" w:rsidTr="00DE3E39">
        <w:tc>
          <w:tcPr>
            <w:tcW w:w="9287" w:type="dxa"/>
          </w:tcPr>
          <w:p w14:paraId="4D38E9D1" w14:textId="77777777" w:rsidR="00F754F6" w:rsidRPr="008661CD" w:rsidRDefault="00F754F6" w:rsidP="00DE3E39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8661CD">
              <w:rPr>
                <w:b/>
              </w:rPr>
              <w:t>3.</w:t>
            </w:r>
            <w:r w:rsidRPr="008661CD">
              <w:rPr>
                <w:b/>
              </w:rPr>
              <w:tab/>
            </w:r>
            <w:r w:rsidRPr="008661CD">
              <w:rPr>
                <w:b/>
                <w:caps/>
              </w:rPr>
              <w:t>tinkamumo laikas</w:t>
            </w:r>
          </w:p>
        </w:tc>
      </w:tr>
    </w:tbl>
    <w:p w14:paraId="67A055CF" w14:textId="4C63FE01" w:rsidR="00F754F6" w:rsidRDefault="00F754F6" w:rsidP="00F754F6"/>
    <w:p w14:paraId="51BA39FD" w14:textId="2D20BEF1" w:rsidR="00F754F6" w:rsidRPr="008661CD" w:rsidRDefault="00F754F6" w:rsidP="00DC1740">
      <w:pPr>
        <w:widowControl w:val="0"/>
        <w:rPr>
          <w:lang w:eastAsia="sl-SI"/>
        </w:rPr>
      </w:pPr>
      <w:r w:rsidRPr="008A5A39">
        <w:rPr>
          <w:highlight w:val="lightGray"/>
          <w:lang w:eastAsia="sl-SI"/>
        </w:rPr>
        <w:t>EXP:</w:t>
      </w:r>
    </w:p>
    <w:p w14:paraId="0D08E4E8" w14:textId="77777777" w:rsidR="00F754F6" w:rsidRPr="008661CD" w:rsidRDefault="00F754F6" w:rsidP="00F754F6"/>
    <w:p w14:paraId="294251AE" w14:textId="77777777" w:rsidR="00F754F6" w:rsidRPr="008661CD" w:rsidRDefault="00F754F6" w:rsidP="00F754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754F6" w:rsidRPr="00C510EF" w14:paraId="0448EF8F" w14:textId="77777777" w:rsidTr="00DE3E39">
        <w:tc>
          <w:tcPr>
            <w:tcW w:w="9287" w:type="dxa"/>
          </w:tcPr>
          <w:p w14:paraId="704438EE" w14:textId="77777777" w:rsidR="00F754F6" w:rsidRPr="008661CD" w:rsidRDefault="00F754F6" w:rsidP="00DE3E39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8661CD">
              <w:rPr>
                <w:b/>
              </w:rPr>
              <w:t>4.</w:t>
            </w:r>
            <w:r w:rsidRPr="008661CD">
              <w:rPr>
                <w:b/>
              </w:rPr>
              <w:tab/>
            </w:r>
            <w:r w:rsidRPr="008661CD">
              <w:rPr>
                <w:b/>
                <w:caps/>
              </w:rPr>
              <w:t>serijos numeris</w:t>
            </w:r>
          </w:p>
        </w:tc>
      </w:tr>
    </w:tbl>
    <w:p w14:paraId="7D1B0668" w14:textId="77777777" w:rsidR="00F754F6" w:rsidRPr="008661CD" w:rsidRDefault="00F754F6" w:rsidP="00F754F6">
      <w:pPr>
        <w:ind w:right="113"/>
      </w:pPr>
    </w:p>
    <w:p w14:paraId="10D1AC3C" w14:textId="6A0011FE" w:rsidR="00F754F6" w:rsidRPr="008661CD" w:rsidRDefault="00F754F6" w:rsidP="00DC1740">
      <w:pPr>
        <w:widowControl w:val="0"/>
        <w:rPr>
          <w:lang w:eastAsia="sl-SI"/>
        </w:rPr>
      </w:pPr>
      <w:proofErr w:type="spellStart"/>
      <w:r w:rsidRPr="008A5A39">
        <w:rPr>
          <w:highlight w:val="lightGray"/>
          <w:lang w:eastAsia="sl-SI"/>
        </w:rPr>
        <w:t>Lot</w:t>
      </w:r>
      <w:proofErr w:type="spellEnd"/>
      <w:r w:rsidRPr="008A5A39">
        <w:rPr>
          <w:highlight w:val="lightGray"/>
          <w:lang w:eastAsia="sl-SI"/>
        </w:rPr>
        <w:t>:</w:t>
      </w:r>
    </w:p>
    <w:p w14:paraId="56C9355D" w14:textId="77777777" w:rsidR="00F754F6" w:rsidRPr="008661CD" w:rsidRDefault="00F754F6" w:rsidP="00F754F6">
      <w:pPr>
        <w:ind w:right="113"/>
      </w:pPr>
    </w:p>
    <w:p w14:paraId="00111A23" w14:textId="77777777" w:rsidR="00F754F6" w:rsidRPr="008661CD" w:rsidRDefault="00F754F6" w:rsidP="00F754F6">
      <w:pPr>
        <w:ind w:right="1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754F6" w:rsidRPr="00C510EF" w14:paraId="305DA3DE" w14:textId="77777777" w:rsidTr="00DE3E39">
        <w:tc>
          <w:tcPr>
            <w:tcW w:w="9287" w:type="dxa"/>
          </w:tcPr>
          <w:p w14:paraId="2B247307" w14:textId="77777777" w:rsidR="00F754F6" w:rsidRPr="008661CD" w:rsidRDefault="00F754F6" w:rsidP="00DE3E39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8661CD">
              <w:rPr>
                <w:b/>
              </w:rPr>
              <w:t>5.</w:t>
            </w:r>
            <w:r w:rsidRPr="008661CD">
              <w:rPr>
                <w:b/>
              </w:rPr>
              <w:tab/>
              <w:t>KITA</w:t>
            </w:r>
          </w:p>
        </w:tc>
      </w:tr>
    </w:tbl>
    <w:p w14:paraId="5E872BD0" w14:textId="44E8ABB9" w:rsidR="008B0E26" w:rsidRPr="00DC1740" w:rsidRDefault="008B0E26" w:rsidP="007762D3">
      <w:pPr>
        <w:spacing w:after="160" w:line="259" w:lineRule="auto"/>
        <w:rPr>
          <w:color w:val="000000" w:themeColor="text1"/>
          <w:szCs w:val="22"/>
        </w:rPr>
      </w:pPr>
      <w:r w:rsidRPr="00DC1740">
        <w:rPr>
          <w:bCs/>
          <w:color w:val="000000" w:themeColor="text1"/>
          <w:szCs w:val="22"/>
          <w:highlight w:val="lightGray"/>
          <w:lang w:eastAsia="lt-LT"/>
        </w:rPr>
        <w:t>Perpakavimo serija</w:t>
      </w:r>
    </w:p>
    <w:p w14:paraId="3687946E" w14:textId="0A562352" w:rsidR="00E543AA" w:rsidRDefault="00E543AA" w:rsidP="007762D3">
      <w:pPr>
        <w:spacing w:after="160" w:line="259" w:lineRule="auto"/>
      </w:pPr>
    </w:p>
    <w:p w14:paraId="2595AEB9" w14:textId="7A5CAFF1" w:rsidR="00E543AA" w:rsidRDefault="00E543AA" w:rsidP="007762D3">
      <w:pPr>
        <w:spacing w:after="160" w:line="259" w:lineRule="auto"/>
      </w:pPr>
    </w:p>
    <w:p w14:paraId="50D6AE5B" w14:textId="6444DAC5" w:rsidR="00E543AA" w:rsidRDefault="00E543AA" w:rsidP="007762D3">
      <w:pPr>
        <w:spacing w:after="160" w:line="259" w:lineRule="auto"/>
      </w:pPr>
    </w:p>
    <w:p w14:paraId="4089A7A9" w14:textId="7BF1CE0A" w:rsidR="00E543AA" w:rsidRDefault="00E543AA" w:rsidP="007762D3">
      <w:pPr>
        <w:spacing w:after="160" w:line="259" w:lineRule="auto"/>
      </w:pPr>
    </w:p>
    <w:p w14:paraId="012AB0E9" w14:textId="55C23A7F" w:rsidR="00922D8A" w:rsidRDefault="00922D8A" w:rsidP="00E543AA">
      <w:pPr>
        <w:shd w:val="clear" w:color="auto" w:fill="FFFFFF"/>
      </w:pPr>
    </w:p>
    <w:p w14:paraId="174AF3D4" w14:textId="3178CFC1" w:rsidR="00E543AA" w:rsidRDefault="00E543AA" w:rsidP="00E543AA">
      <w:pPr>
        <w:shd w:val="clear" w:color="auto" w:fill="FFFFFF"/>
      </w:pPr>
    </w:p>
    <w:p w14:paraId="02C6DA63" w14:textId="21B4AF14" w:rsidR="00E543AA" w:rsidRDefault="00E543AA" w:rsidP="00E543AA">
      <w:pPr>
        <w:shd w:val="clear" w:color="auto" w:fill="FFFFFF"/>
      </w:pPr>
    </w:p>
    <w:p w14:paraId="2BAD6511" w14:textId="360AFCA4" w:rsidR="00E543AA" w:rsidRDefault="00E543AA" w:rsidP="00E543AA">
      <w:pPr>
        <w:shd w:val="clear" w:color="auto" w:fill="FFFFFF"/>
      </w:pPr>
    </w:p>
    <w:p w14:paraId="5E8AF3A5" w14:textId="77777777" w:rsidR="00E543AA" w:rsidRPr="008661CD" w:rsidRDefault="00E543AA" w:rsidP="00E543AA">
      <w:pPr>
        <w:shd w:val="clear" w:color="auto" w:fill="FFFFFF"/>
      </w:pPr>
    </w:p>
    <w:p w14:paraId="5DD1940A" w14:textId="77777777" w:rsidR="00922D8A" w:rsidRPr="008661CD" w:rsidRDefault="00922D8A" w:rsidP="008661CD">
      <w:pPr>
        <w:jc w:val="center"/>
      </w:pPr>
    </w:p>
    <w:p w14:paraId="4C2922B8" w14:textId="77777777" w:rsidR="00922D8A" w:rsidRPr="008661CD" w:rsidRDefault="00922D8A" w:rsidP="008661CD">
      <w:pPr>
        <w:jc w:val="center"/>
      </w:pPr>
    </w:p>
    <w:p w14:paraId="6125BF0A" w14:textId="77777777" w:rsidR="00922D8A" w:rsidRPr="008661CD" w:rsidRDefault="00922D8A" w:rsidP="008661CD">
      <w:pPr>
        <w:jc w:val="center"/>
      </w:pPr>
    </w:p>
    <w:p w14:paraId="001EC671" w14:textId="77777777" w:rsidR="00922D8A" w:rsidRPr="008661CD" w:rsidRDefault="00922D8A" w:rsidP="008661CD">
      <w:pPr>
        <w:jc w:val="center"/>
      </w:pPr>
    </w:p>
    <w:p w14:paraId="37AF8E6E" w14:textId="77777777" w:rsidR="00922D8A" w:rsidRPr="008661CD" w:rsidRDefault="00922D8A" w:rsidP="008661CD">
      <w:pPr>
        <w:jc w:val="center"/>
      </w:pPr>
    </w:p>
    <w:p w14:paraId="64F7E056" w14:textId="77777777" w:rsidR="00922D8A" w:rsidRPr="008661CD" w:rsidRDefault="00922D8A" w:rsidP="008661CD">
      <w:pPr>
        <w:jc w:val="center"/>
      </w:pPr>
    </w:p>
    <w:p w14:paraId="14662B52" w14:textId="77777777" w:rsidR="00922D8A" w:rsidRPr="008661CD" w:rsidRDefault="00922D8A" w:rsidP="008661CD">
      <w:pPr>
        <w:jc w:val="center"/>
      </w:pPr>
    </w:p>
    <w:p w14:paraId="2E98A7BB" w14:textId="77777777" w:rsidR="00922D8A" w:rsidRPr="008661CD" w:rsidRDefault="00922D8A" w:rsidP="008661CD">
      <w:pPr>
        <w:jc w:val="center"/>
      </w:pPr>
    </w:p>
    <w:p w14:paraId="31677A97" w14:textId="77777777" w:rsidR="00922D8A" w:rsidRPr="008661CD" w:rsidRDefault="00922D8A" w:rsidP="008661CD">
      <w:pPr>
        <w:jc w:val="center"/>
      </w:pPr>
    </w:p>
    <w:p w14:paraId="69D6BB89" w14:textId="77777777" w:rsidR="00922D8A" w:rsidRPr="008661CD" w:rsidRDefault="00922D8A" w:rsidP="008661CD">
      <w:pPr>
        <w:jc w:val="center"/>
      </w:pPr>
    </w:p>
    <w:p w14:paraId="6DE557F3" w14:textId="77777777" w:rsidR="00922D8A" w:rsidRPr="008661CD" w:rsidRDefault="00922D8A" w:rsidP="008661CD">
      <w:pPr>
        <w:jc w:val="center"/>
      </w:pPr>
    </w:p>
    <w:p w14:paraId="126BF5AC" w14:textId="77777777" w:rsidR="00922D8A" w:rsidRPr="008661CD" w:rsidRDefault="00922D8A" w:rsidP="008661CD">
      <w:pPr>
        <w:jc w:val="center"/>
      </w:pPr>
    </w:p>
    <w:p w14:paraId="52BC8CA4" w14:textId="77777777" w:rsidR="00922D8A" w:rsidRPr="008661CD" w:rsidRDefault="00922D8A" w:rsidP="008661CD">
      <w:pPr>
        <w:jc w:val="center"/>
      </w:pPr>
    </w:p>
    <w:p w14:paraId="266C6285" w14:textId="77777777" w:rsidR="00922D8A" w:rsidRPr="008661CD" w:rsidRDefault="00922D8A" w:rsidP="008661CD">
      <w:pPr>
        <w:jc w:val="center"/>
      </w:pPr>
    </w:p>
    <w:p w14:paraId="270C5438" w14:textId="77777777" w:rsidR="00922D8A" w:rsidRPr="008661CD" w:rsidRDefault="00922D8A" w:rsidP="008661CD">
      <w:pPr>
        <w:jc w:val="center"/>
      </w:pPr>
    </w:p>
    <w:p w14:paraId="1F07C243" w14:textId="77777777" w:rsidR="00922D8A" w:rsidRPr="008661CD" w:rsidRDefault="00922D8A" w:rsidP="008661CD">
      <w:pPr>
        <w:jc w:val="center"/>
      </w:pPr>
    </w:p>
    <w:p w14:paraId="07B4369F" w14:textId="77777777" w:rsidR="00922D8A" w:rsidRPr="008661CD" w:rsidRDefault="00922D8A" w:rsidP="008661CD">
      <w:pPr>
        <w:jc w:val="center"/>
      </w:pPr>
    </w:p>
    <w:p w14:paraId="27A020AB" w14:textId="77777777" w:rsidR="00922D8A" w:rsidRPr="008661CD" w:rsidRDefault="00922D8A" w:rsidP="008661CD">
      <w:pPr>
        <w:jc w:val="center"/>
      </w:pPr>
    </w:p>
    <w:p w14:paraId="45120EB9" w14:textId="77777777" w:rsidR="00922D8A" w:rsidRDefault="00922D8A" w:rsidP="008661CD">
      <w:pPr>
        <w:jc w:val="center"/>
      </w:pPr>
    </w:p>
    <w:p w14:paraId="0E3AC6E5" w14:textId="77777777" w:rsidR="005C217D" w:rsidRDefault="005C217D" w:rsidP="008661CD">
      <w:pPr>
        <w:jc w:val="center"/>
      </w:pPr>
    </w:p>
    <w:p w14:paraId="6370F832" w14:textId="77777777" w:rsidR="005C217D" w:rsidRDefault="005C217D" w:rsidP="008661CD">
      <w:pPr>
        <w:jc w:val="center"/>
      </w:pPr>
    </w:p>
    <w:p w14:paraId="33834394" w14:textId="77777777" w:rsidR="005C217D" w:rsidRDefault="005C217D" w:rsidP="008661CD">
      <w:pPr>
        <w:jc w:val="center"/>
      </w:pPr>
    </w:p>
    <w:p w14:paraId="6733E44F" w14:textId="77777777" w:rsidR="005C217D" w:rsidRDefault="005C217D" w:rsidP="008661CD">
      <w:pPr>
        <w:jc w:val="center"/>
      </w:pPr>
    </w:p>
    <w:p w14:paraId="1314B2B8" w14:textId="77777777" w:rsidR="005C217D" w:rsidRDefault="005C217D" w:rsidP="008661CD">
      <w:pPr>
        <w:jc w:val="center"/>
      </w:pPr>
    </w:p>
    <w:p w14:paraId="6941246E" w14:textId="77777777" w:rsidR="005C217D" w:rsidRDefault="005C217D" w:rsidP="008661CD">
      <w:pPr>
        <w:jc w:val="center"/>
      </w:pPr>
    </w:p>
    <w:p w14:paraId="7E53D4AE" w14:textId="77777777" w:rsidR="005C217D" w:rsidRDefault="005C217D" w:rsidP="008661CD">
      <w:pPr>
        <w:jc w:val="center"/>
      </w:pPr>
    </w:p>
    <w:p w14:paraId="321ABD7B" w14:textId="77777777" w:rsidR="005C217D" w:rsidRDefault="005C217D" w:rsidP="008661CD">
      <w:pPr>
        <w:jc w:val="center"/>
      </w:pPr>
    </w:p>
    <w:p w14:paraId="5EF95CDA" w14:textId="77777777" w:rsidR="005C217D" w:rsidRDefault="005C217D" w:rsidP="008661CD">
      <w:pPr>
        <w:jc w:val="center"/>
      </w:pPr>
    </w:p>
    <w:p w14:paraId="7C5B8DA4" w14:textId="77777777" w:rsidR="005C217D" w:rsidRDefault="005C217D" w:rsidP="008661CD">
      <w:pPr>
        <w:jc w:val="center"/>
      </w:pPr>
    </w:p>
    <w:p w14:paraId="069BD282" w14:textId="77777777" w:rsidR="005C217D" w:rsidRDefault="005C217D" w:rsidP="008661CD">
      <w:pPr>
        <w:jc w:val="center"/>
      </w:pPr>
    </w:p>
    <w:p w14:paraId="17AC8593" w14:textId="77777777" w:rsidR="005C217D" w:rsidRDefault="005C217D" w:rsidP="008661CD">
      <w:pPr>
        <w:jc w:val="center"/>
      </w:pPr>
    </w:p>
    <w:p w14:paraId="6D55FA7A" w14:textId="77777777" w:rsidR="005C217D" w:rsidRDefault="005C217D" w:rsidP="008661CD">
      <w:pPr>
        <w:jc w:val="center"/>
      </w:pPr>
    </w:p>
    <w:p w14:paraId="76EBCACF" w14:textId="77777777" w:rsidR="005C217D" w:rsidRDefault="005C217D" w:rsidP="008661CD">
      <w:pPr>
        <w:jc w:val="center"/>
      </w:pPr>
    </w:p>
    <w:p w14:paraId="0C9F2374" w14:textId="77777777" w:rsidR="005C217D" w:rsidRDefault="005C217D" w:rsidP="008661CD">
      <w:pPr>
        <w:jc w:val="center"/>
      </w:pPr>
    </w:p>
    <w:p w14:paraId="2F556248" w14:textId="77777777" w:rsidR="005C217D" w:rsidRDefault="005C217D" w:rsidP="008661CD">
      <w:pPr>
        <w:jc w:val="center"/>
      </w:pPr>
    </w:p>
    <w:p w14:paraId="03D6E23D" w14:textId="77777777" w:rsidR="005C217D" w:rsidRDefault="005C217D" w:rsidP="008661CD">
      <w:pPr>
        <w:jc w:val="center"/>
      </w:pPr>
    </w:p>
    <w:p w14:paraId="58CC0E70" w14:textId="77777777" w:rsidR="005C217D" w:rsidRPr="008661CD" w:rsidRDefault="005C217D" w:rsidP="008661CD">
      <w:pPr>
        <w:jc w:val="center"/>
      </w:pPr>
    </w:p>
    <w:p w14:paraId="60CB9770" w14:textId="77777777" w:rsidR="00922D8A" w:rsidRPr="008661CD" w:rsidRDefault="00922D8A" w:rsidP="008661CD">
      <w:pPr>
        <w:jc w:val="center"/>
      </w:pPr>
    </w:p>
    <w:p w14:paraId="7D7D816B" w14:textId="77777777" w:rsidR="00922D8A" w:rsidRPr="008661CD" w:rsidRDefault="00922D8A" w:rsidP="008661CD">
      <w:pPr>
        <w:jc w:val="center"/>
      </w:pPr>
    </w:p>
    <w:p w14:paraId="52DAEEFD" w14:textId="77777777" w:rsidR="00922D8A" w:rsidRPr="008661CD" w:rsidRDefault="00922D8A" w:rsidP="008661CD">
      <w:pPr>
        <w:jc w:val="center"/>
      </w:pPr>
    </w:p>
    <w:p w14:paraId="497D3186" w14:textId="77777777" w:rsidR="00922D8A" w:rsidRPr="008661CD" w:rsidRDefault="00922D8A" w:rsidP="008661CD">
      <w:pPr>
        <w:jc w:val="center"/>
        <w:outlineLvl w:val="0"/>
      </w:pPr>
      <w:r w:rsidRPr="008661CD">
        <w:rPr>
          <w:b/>
        </w:rPr>
        <w:t>B. PAKUOTĖS LAPELIS</w:t>
      </w:r>
    </w:p>
    <w:p w14:paraId="62E1ADE1" w14:textId="77777777" w:rsidR="00922D8A" w:rsidRPr="008661CD" w:rsidRDefault="00922D8A" w:rsidP="008661CD">
      <w:pPr>
        <w:jc w:val="center"/>
        <w:outlineLvl w:val="0"/>
        <w:rPr>
          <w:b/>
        </w:rPr>
      </w:pPr>
      <w:r w:rsidRPr="008661CD">
        <w:rPr>
          <w:b/>
        </w:rPr>
        <w:br w:type="page"/>
        <w:t>Pakuotės lapelis: informacija vartotojui</w:t>
      </w:r>
    </w:p>
    <w:p w14:paraId="1173C84C" w14:textId="77777777" w:rsidR="00D6429C" w:rsidRPr="009C0DB0" w:rsidRDefault="00D6429C" w:rsidP="008661CD">
      <w:pPr>
        <w:jc w:val="center"/>
      </w:pPr>
    </w:p>
    <w:p w14:paraId="21D7CC20" w14:textId="441D35E3" w:rsidR="00922D8A" w:rsidRPr="00AA08CA" w:rsidRDefault="00922D8A" w:rsidP="008661CD">
      <w:pPr>
        <w:jc w:val="center"/>
        <w:rPr>
          <w:b/>
        </w:rPr>
      </w:pPr>
      <w:proofErr w:type="spellStart"/>
      <w:r w:rsidRPr="00AA08CA">
        <w:rPr>
          <w:b/>
        </w:rPr>
        <w:t>Zinnat</w:t>
      </w:r>
      <w:proofErr w:type="spellEnd"/>
      <w:r w:rsidRPr="00AA08CA">
        <w:rPr>
          <w:b/>
        </w:rPr>
        <w:t xml:space="preserve"> </w:t>
      </w:r>
      <w:r w:rsidR="00262565">
        <w:rPr>
          <w:b/>
        </w:rPr>
        <w:t>500</w:t>
      </w:r>
      <w:r w:rsidRPr="00AA08CA">
        <w:rPr>
          <w:b/>
        </w:rPr>
        <w:t> mg plėvele dengtos tabletės</w:t>
      </w:r>
    </w:p>
    <w:p w14:paraId="51ADAA63" w14:textId="7D25CA48" w:rsidR="00922D8A" w:rsidRPr="008661CD" w:rsidRDefault="00262565" w:rsidP="008661CD">
      <w:pPr>
        <w:numPr>
          <w:ilvl w:val="12"/>
          <w:numId w:val="0"/>
        </w:numPr>
        <w:jc w:val="center"/>
      </w:pPr>
      <w:proofErr w:type="spellStart"/>
      <w:r>
        <w:t>c</w:t>
      </w:r>
      <w:r w:rsidR="00922D8A" w:rsidRPr="008661CD">
        <w:t>efuroksimas</w:t>
      </w:r>
      <w:proofErr w:type="spellEnd"/>
    </w:p>
    <w:p w14:paraId="0E6E6BBD" w14:textId="77777777" w:rsidR="00922D8A" w:rsidRPr="008661CD" w:rsidRDefault="00922D8A" w:rsidP="008661CD">
      <w:pPr>
        <w:jc w:val="center"/>
      </w:pPr>
    </w:p>
    <w:p w14:paraId="3D27E7FC" w14:textId="77777777" w:rsidR="00922D8A" w:rsidRPr="008661CD" w:rsidRDefault="00922D8A" w:rsidP="008661CD">
      <w:pPr>
        <w:rPr>
          <w:b/>
        </w:rPr>
      </w:pPr>
      <w:r w:rsidRPr="008661CD">
        <w:rPr>
          <w:b/>
        </w:rPr>
        <w:t>Atidžiai perskaitykite visą šį lapelį, prieš pradėdami vartoti vaistą, nes jame pateikiama Jums svarbi informacija.</w:t>
      </w:r>
    </w:p>
    <w:p w14:paraId="3EFB7C79" w14:textId="77777777" w:rsidR="00922D8A" w:rsidRPr="008661CD" w:rsidRDefault="00922D8A" w:rsidP="008661CD">
      <w:pPr>
        <w:ind w:left="567" w:hanging="567"/>
      </w:pPr>
      <w:r w:rsidRPr="008661CD">
        <w:t>-</w:t>
      </w:r>
      <w:r w:rsidRPr="008661CD">
        <w:tab/>
        <w:t>Neišmeskite šio lapelio, nes vėl gali prireikti jį perskaityti.</w:t>
      </w:r>
    </w:p>
    <w:p w14:paraId="50E30433" w14:textId="77777777" w:rsidR="00922D8A" w:rsidRPr="008661CD" w:rsidRDefault="00922D8A" w:rsidP="008661CD">
      <w:pPr>
        <w:ind w:left="567" w:hanging="567"/>
      </w:pPr>
      <w:r w:rsidRPr="008661CD">
        <w:t>-</w:t>
      </w:r>
      <w:r w:rsidRPr="008661CD">
        <w:tab/>
        <w:t>Jeigu kiltų daugiau klausimų, kreipkitės į gydytoją, vaistininką arba slaugytoją.</w:t>
      </w:r>
    </w:p>
    <w:p w14:paraId="3024F4FD" w14:textId="77777777" w:rsidR="00922D8A" w:rsidRPr="008661CD" w:rsidRDefault="00922D8A" w:rsidP="000F3553">
      <w:pPr>
        <w:numPr>
          <w:ilvl w:val="0"/>
          <w:numId w:val="1"/>
        </w:numPr>
        <w:ind w:left="567" w:hanging="567"/>
      </w:pPr>
      <w:r w:rsidRPr="008661CD">
        <w:t>Šis vaistas skirtas tik Jums, todėl kitiems žmonėms jo duoti negalima. Vaistas gali jiems pakenkti (net tiems, kurių ligos požymiai yra tokie patys kaip Jūsų).</w:t>
      </w:r>
    </w:p>
    <w:p w14:paraId="14D76D4C" w14:textId="77777777" w:rsidR="00922D8A" w:rsidRPr="008661CD" w:rsidRDefault="00922D8A" w:rsidP="000F3553">
      <w:pPr>
        <w:numPr>
          <w:ilvl w:val="0"/>
          <w:numId w:val="1"/>
        </w:numPr>
        <w:ind w:left="567" w:hanging="567"/>
      </w:pPr>
      <w:r w:rsidRPr="008661CD">
        <w:t>Jeigu pasireiškė šalutinis poveikis (net jeigu jis šiame lapelyje nenurodytas), kreipkitės į gydytoją, vaistininką arba slaugytoją. Žr. 4 skyrių.</w:t>
      </w:r>
    </w:p>
    <w:p w14:paraId="2788B8DB" w14:textId="77777777" w:rsidR="00922D8A" w:rsidRPr="008661CD" w:rsidRDefault="00922D8A" w:rsidP="008661CD">
      <w:pPr>
        <w:ind w:right="-2"/>
      </w:pPr>
    </w:p>
    <w:p w14:paraId="43285E88" w14:textId="77777777" w:rsidR="00922D8A" w:rsidRPr="008661CD" w:rsidRDefault="00922D8A" w:rsidP="008661CD">
      <w:pPr>
        <w:ind w:left="567" w:hanging="567"/>
        <w:rPr>
          <w:b/>
        </w:rPr>
      </w:pPr>
      <w:r w:rsidRPr="008661CD">
        <w:rPr>
          <w:b/>
        </w:rPr>
        <w:t>Apie ką rašoma šiame lapelyje?</w:t>
      </w:r>
    </w:p>
    <w:p w14:paraId="7EBF715A" w14:textId="77777777" w:rsidR="00922D8A" w:rsidRPr="009C0DB0" w:rsidRDefault="00922D8A" w:rsidP="008661CD">
      <w:pPr>
        <w:ind w:left="567" w:hanging="567"/>
      </w:pPr>
    </w:p>
    <w:p w14:paraId="116C83C2" w14:textId="77777777" w:rsidR="00922D8A" w:rsidRPr="008661CD" w:rsidRDefault="00922D8A" w:rsidP="008661CD">
      <w:pPr>
        <w:ind w:left="567" w:hanging="567"/>
      </w:pPr>
      <w:r w:rsidRPr="008661CD">
        <w:t>1.</w:t>
      </w:r>
      <w:r w:rsidRPr="008661CD">
        <w:tab/>
        <w:t xml:space="preserve">Kas yra </w:t>
      </w:r>
      <w:proofErr w:type="spellStart"/>
      <w:r w:rsidRPr="008661CD">
        <w:t>Zinnat</w:t>
      </w:r>
      <w:proofErr w:type="spellEnd"/>
      <w:r w:rsidRPr="008661CD">
        <w:t xml:space="preserve"> ir kam jis vartojamas</w:t>
      </w:r>
    </w:p>
    <w:p w14:paraId="0B0758E9" w14:textId="77777777" w:rsidR="00922D8A" w:rsidRPr="008661CD" w:rsidRDefault="00922D8A" w:rsidP="008661CD">
      <w:pPr>
        <w:ind w:left="567" w:hanging="567"/>
      </w:pPr>
      <w:r w:rsidRPr="008661CD">
        <w:t>2.</w:t>
      </w:r>
      <w:r w:rsidRPr="008661CD">
        <w:tab/>
        <w:t xml:space="preserve">Kas žinotina prieš vartojant </w:t>
      </w:r>
      <w:proofErr w:type="spellStart"/>
      <w:r w:rsidRPr="008661CD">
        <w:t>Zinnat</w:t>
      </w:r>
      <w:proofErr w:type="spellEnd"/>
    </w:p>
    <w:p w14:paraId="33EA954C" w14:textId="77777777" w:rsidR="00922D8A" w:rsidRPr="008661CD" w:rsidRDefault="00922D8A" w:rsidP="008661CD">
      <w:pPr>
        <w:ind w:left="567" w:hanging="567"/>
      </w:pPr>
      <w:r w:rsidRPr="008661CD">
        <w:t>3.</w:t>
      </w:r>
      <w:r w:rsidRPr="008661CD">
        <w:tab/>
        <w:t xml:space="preserve">Kaip vartoti </w:t>
      </w:r>
      <w:proofErr w:type="spellStart"/>
      <w:r w:rsidRPr="008661CD">
        <w:t>Zinnat</w:t>
      </w:r>
      <w:proofErr w:type="spellEnd"/>
    </w:p>
    <w:p w14:paraId="496E565B" w14:textId="77777777" w:rsidR="00922D8A" w:rsidRPr="008661CD" w:rsidRDefault="00922D8A" w:rsidP="008661CD">
      <w:pPr>
        <w:ind w:left="567" w:hanging="567"/>
      </w:pPr>
      <w:r w:rsidRPr="008661CD">
        <w:t>4.</w:t>
      </w:r>
      <w:r w:rsidRPr="008661CD">
        <w:tab/>
        <w:t>Galimas šalutinis poveikis</w:t>
      </w:r>
    </w:p>
    <w:p w14:paraId="28F3C16B" w14:textId="77777777" w:rsidR="00922D8A" w:rsidRPr="008661CD" w:rsidRDefault="00922D8A" w:rsidP="008661CD">
      <w:pPr>
        <w:ind w:left="567" w:hanging="567"/>
      </w:pPr>
      <w:r w:rsidRPr="008661CD">
        <w:t>5.</w:t>
      </w:r>
      <w:r w:rsidRPr="008661CD">
        <w:tab/>
        <w:t xml:space="preserve">Kaip laikyti </w:t>
      </w:r>
      <w:proofErr w:type="spellStart"/>
      <w:r w:rsidRPr="008661CD">
        <w:t>Zinnat</w:t>
      </w:r>
      <w:proofErr w:type="spellEnd"/>
    </w:p>
    <w:p w14:paraId="2A4FEFFA" w14:textId="77777777" w:rsidR="00922D8A" w:rsidRPr="008661CD" w:rsidRDefault="00922D8A" w:rsidP="008661CD">
      <w:pPr>
        <w:ind w:left="567" w:hanging="567"/>
      </w:pPr>
      <w:r w:rsidRPr="008661CD">
        <w:t>6.</w:t>
      </w:r>
      <w:r w:rsidRPr="008661CD">
        <w:tab/>
        <w:t>Pakuotės turinys ir kita informacija</w:t>
      </w:r>
    </w:p>
    <w:p w14:paraId="57B615F2" w14:textId="77777777" w:rsidR="00922D8A" w:rsidRPr="008661CD" w:rsidRDefault="00922D8A" w:rsidP="008661CD">
      <w:pPr>
        <w:numPr>
          <w:ilvl w:val="12"/>
          <w:numId w:val="0"/>
        </w:numPr>
      </w:pPr>
    </w:p>
    <w:p w14:paraId="7F74D3BB" w14:textId="77777777" w:rsidR="00922D8A" w:rsidRPr="008661CD" w:rsidRDefault="00922D8A" w:rsidP="008661CD">
      <w:pPr>
        <w:numPr>
          <w:ilvl w:val="12"/>
          <w:numId w:val="0"/>
        </w:numPr>
      </w:pPr>
    </w:p>
    <w:p w14:paraId="3FEB9F93" w14:textId="77777777" w:rsidR="00922D8A" w:rsidRPr="008661CD" w:rsidRDefault="00922D8A" w:rsidP="000F3553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 w:rsidRPr="008661CD">
        <w:rPr>
          <w:b/>
        </w:rPr>
        <w:t>1.</w:t>
      </w:r>
      <w:r w:rsidRPr="008661CD">
        <w:rPr>
          <w:b/>
        </w:rPr>
        <w:tab/>
        <w:t xml:space="preserve">Kas yra </w:t>
      </w:r>
      <w:proofErr w:type="spellStart"/>
      <w:r w:rsidRPr="008661CD">
        <w:rPr>
          <w:b/>
        </w:rPr>
        <w:t>Zinnat</w:t>
      </w:r>
      <w:proofErr w:type="spellEnd"/>
      <w:r w:rsidRPr="008661CD">
        <w:rPr>
          <w:b/>
        </w:rPr>
        <w:t xml:space="preserve"> ir kam jis vartojamas</w:t>
      </w:r>
    </w:p>
    <w:p w14:paraId="4D55A0F2" w14:textId="77777777" w:rsidR="00922D8A" w:rsidRPr="008661CD" w:rsidRDefault="00922D8A" w:rsidP="008661CD">
      <w:pPr>
        <w:numPr>
          <w:ilvl w:val="12"/>
          <w:numId w:val="0"/>
        </w:numPr>
      </w:pPr>
    </w:p>
    <w:p w14:paraId="690C35E2" w14:textId="77777777" w:rsidR="00922D8A" w:rsidRPr="008661CD" w:rsidRDefault="00922D8A" w:rsidP="008661CD">
      <w:pPr>
        <w:numPr>
          <w:ilvl w:val="12"/>
          <w:numId w:val="0"/>
        </w:numPr>
        <w:ind w:right="-2"/>
      </w:pPr>
      <w:proofErr w:type="spellStart"/>
      <w:r w:rsidRPr="008661CD">
        <w:t>Zinnat</w:t>
      </w:r>
      <w:proofErr w:type="spellEnd"/>
      <w:r w:rsidRPr="008661CD">
        <w:t xml:space="preserve"> yra antibiotikas, kuriuo gydomi suaugusieji ir vaikai. Jis naikina infekcines ligas sukeliančias bakterijas. Jis priklauso vaistų, vadinamų </w:t>
      </w:r>
      <w:proofErr w:type="spellStart"/>
      <w:r w:rsidRPr="008661CD">
        <w:rPr>
          <w:i/>
        </w:rPr>
        <w:t>cefalosporinais</w:t>
      </w:r>
      <w:proofErr w:type="spellEnd"/>
      <w:r w:rsidRPr="008661CD">
        <w:t>, grupei.</w:t>
      </w:r>
    </w:p>
    <w:p w14:paraId="147C145E" w14:textId="77777777" w:rsidR="00922D8A" w:rsidRPr="009C0DB0" w:rsidRDefault="00922D8A" w:rsidP="008661CD">
      <w:pPr>
        <w:numPr>
          <w:ilvl w:val="12"/>
          <w:numId w:val="0"/>
        </w:numPr>
        <w:ind w:right="-2"/>
      </w:pPr>
    </w:p>
    <w:p w14:paraId="772617E3" w14:textId="77777777" w:rsidR="00922D8A" w:rsidRPr="008661CD" w:rsidRDefault="00922D8A" w:rsidP="008661CD">
      <w:pPr>
        <w:numPr>
          <w:ilvl w:val="12"/>
          <w:numId w:val="0"/>
        </w:numPr>
        <w:ind w:right="-2"/>
      </w:pPr>
      <w:proofErr w:type="spellStart"/>
      <w:r w:rsidRPr="008661CD">
        <w:t>Zinnat</w:t>
      </w:r>
      <w:proofErr w:type="spellEnd"/>
      <w:r w:rsidRPr="008661CD">
        <w:t xml:space="preserve"> gydomos sunkios infekcinės ligos:</w:t>
      </w:r>
    </w:p>
    <w:p w14:paraId="0B6F5315" w14:textId="48096852" w:rsidR="00922D8A" w:rsidRPr="008661CD" w:rsidRDefault="00405685" w:rsidP="000F3553">
      <w:pPr>
        <w:numPr>
          <w:ilvl w:val="0"/>
          <w:numId w:val="8"/>
        </w:numPr>
        <w:ind w:left="567" w:right="-2" w:hanging="567"/>
      </w:pPr>
      <w:r>
        <w:t>g</w:t>
      </w:r>
      <w:r w:rsidR="00922D8A" w:rsidRPr="008661CD">
        <w:t>erklės</w:t>
      </w:r>
      <w:r w:rsidR="0082231F">
        <w:t xml:space="preserve"> (ryklės)</w:t>
      </w:r>
      <w:r w:rsidR="00922D8A" w:rsidRPr="008661CD">
        <w:t>;</w:t>
      </w:r>
    </w:p>
    <w:p w14:paraId="48D30A98" w14:textId="77777777" w:rsidR="00922D8A" w:rsidRPr="008661CD" w:rsidRDefault="00922D8A" w:rsidP="000F3553">
      <w:pPr>
        <w:numPr>
          <w:ilvl w:val="0"/>
          <w:numId w:val="8"/>
        </w:numPr>
        <w:ind w:left="567" w:right="-2" w:hanging="567"/>
      </w:pPr>
      <w:r w:rsidRPr="008661CD">
        <w:t>nosies ančių;</w:t>
      </w:r>
    </w:p>
    <w:p w14:paraId="634A4B5F" w14:textId="77777777" w:rsidR="00922D8A" w:rsidRPr="008661CD" w:rsidRDefault="00922D8A" w:rsidP="000F3553">
      <w:pPr>
        <w:numPr>
          <w:ilvl w:val="0"/>
          <w:numId w:val="8"/>
        </w:numPr>
        <w:ind w:left="567" w:right="-2" w:hanging="567"/>
      </w:pPr>
      <w:r w:rsidRPr="008661CD">
        <w:t>vidurinės ausies;</w:t>
      </w:r>
    </w:p>
    <w:p w14:paraId="343A79C4" w14:textId="77777777" w:rsidR="00922D8A" w:rsidRPr="008661CD" w:rsidRDefault="00922D8A" w:rsidP="000F3553">
      <w:pPr>
        <w:numPr>
          <w:ilvl w:val="0"/>
          <w:numId w:val="8"/>
        </w:numPr>
        <w:ind w:left="567" w:right="-2" w:hanging="567"/>
      </w:pPr>
      <w:r w:rsidRPr="008661CD">
        <w:t>plaučių ar krūtinės ląstos;</w:t>
      </w:r>
    </w:p>
    <w:p w14:paraId="425E3084" w14:textId="77777777" w:rsidR="00922D8A" w:rsidRPr="008661CD" w:rsidRDefault="00922D8A" w:rsidP="000F3553">
      <w:pPr>
        <w:numPr>
          <w:ilvl w:val="0"/>
          <w:numId w:val="8"/>
        </w:numPr>
        <w:ind w:left="567" w:right="-2" w:hanging="567"/>
      </w:pPr>
      <w:r w:rsidRPr="008661CD">
        <w:t>šlapimo takų;</w:t>
      </w:r>
    </w:p>
    <w:p w14:paraId="32780967" w14:textId="77777777" w:rsidR="00922D8A" w:rsidRPr="008661CD" w:rsidRDefault="00922D8A" w:rsidP="000F3553">
      <w:pPr>
        <w:numPr>
          <w:ilvl w:val="0"/>
          <w:numId w:val="8"/>
        </w:numPr>
        <w:ind w:left="567" w:right="-2" w:hanging="567"/>
      </w:pPr>
      <w:r w:rsidRPr="008661CD">
        <w:t>odos ir poodinio audinio.</w:t>
      </w:r>
    </w:p>
    <w:p w14:paraId="420D78E7" w14:textId="77777777" w:rsidR="00922D8A" w:rsidRPr="008661CD" w:rsidRDefault="00922D8A" w:rsidP="009C0DB0">
      <w:pPr>
        <w:ind w:right="-2"/>
      </w:pPr>
    </w:p>
    <w:p w14:paraId="19E41082" w14:textId="77777777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t xml:space="preserve">Be to, </w:t>
      </w:r>
      <w:proofErr w:type="spellStart"/>
      <w:r w:rsidRPr="008661CD">
        <w:t>Zinnat</w:t>
      </w:r>
      <w:proofErr w:type="spellEnd"/>
      <w:r w:rsidRPr="008661CD">
        <w:t xml:space="preserve"> galima vartoti:</w:t>
      </w:r>
    </w:p>
    <w:p w14:paraId="5D5A15DB" w14:textId="77777777" w:rsidR="00922D8A" w:rsidRPr="008661CD" w:rsidRDefault="00922D8A" w:rsidP="000F3553">
      <w:pPr>
        <w:numPr>
          <w:ilvl w:val="0"/>
          <w:numId w:val="8"/>
        </w:numPr>
        <w:ind w:left="567" w:right="-2" w:hanging="567"/>
      </w:pPr>
      <w:proofErr w:type="spellStart"/>
      <w:r w:rsidRPr="008661CD">
        <w:t>Laimo</w:t>
      </w:r>
      <w:proofErr w:type="spellEnd"/>
      <w:r w:rsidRPr="008661CD">
        <w:t xml:space="preserve"> ligai gydyti (tai yra infekcinė liga, kurią perneša parazitai, vadinami erkėmis).</w:t>
      </w:r>
    </w:p>
    <w:p w14:paraId="64054919" w14:textId="77777777" w:rsidR="00922D8A" w:rsidRPr="008661CD" w:rsidRDefault="00922D8A" w:rsidP="008661CD">
      <w:pPr>
        <w:numPr>
          <w:ilvl w:val="12"/>
          <w:numId w:val="0"/>
        </w:numPr>
      </w:pPr>
    </w:p>
    <w:p w14:paraId="39D23C6B" w14:textId="77777777" w:rsidR="00922D8A" w:rsidRPr="008661CD" w:rsidRDefault="00922D8A" w:rsidP="008661CD">
      <w:pPr>
        <w:numPr>
          <w:ilvl w:val="12"/>
          <w:numId w:val="0"/>
        </w:numPr>
      </w:pPr>
      <w:r w:rsidRPr="008661CD">
        <w:t xml:space="preserve">Jūsų gydytojas gali ištirti, kokia bakterija sukėlė infekcinę ligą, ir stebėti, ar bakterijos yra jautrios </w:t>
      </w:r>
      <w:proofErr w:type="spellStart"/>
      <w:r w:rsidRPr="008661CD">
        <w:t>Zinnat</w:t>
      </w:r>
      <w:proofErr w:type="spellEnd"/>
      <w:r w:rsidRPr="008661CD">
        <w:t xml:space="preserve"> gydymo metu.</w:t>
      </w:r>
    </w:p>
    <w:p w14:paraId="5164A3C5" w14:textId="77777777" w:rsidR="00922D8A" w:rsidRPr="008661CD" w:rsidRDefault="00922D8A" w:rsidP="008661CD">
      <w:pPr>
        <w:numPr>
          <w:ilvl w:val="12"/>
          <w:numId w:val="0"/>
        </w:numPr>
      </w:pPr>
    </w:p>
    <w:p w14:paraId="1CEBA0AC" w14:textId="77777777" w:rsidR="00922D8A" w:rsidRPr="008661CD" w:rsidRDefault="00922D8A" w:rsidP="008661CD">
      <w:pPr>
        <w:numPr>
          <w:ilvl w:val="12"/>
          <w:numId w:val="0"/>
        </w:numPr>
      </w:pPr>
    </w:p>
    <w:p w14:paraId="167FB3BD" w14:textId="77777777" w:rsidR="00922D8A" w:rsidRPr="008661CD" w:rsidRDefault="00922D8A" w:rsidP="000F3553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 w:rsidRPr="008661CD">
        <w:rPr>
          <w:b/>
        </w:rPr>
        <w:t>2.</w:t>
      </w:r>
      <w:r w:rsidRPr="008661CD">
        <w:rPr>
          <w:b/>
        </w:rPr>
        <w:tab/>
        <w:t xml:space="preserve">Kas žinotina prieš vartojant </w:t>
      </w:r>
      <w:proofErr w:type="spellStart"/>
      <w:r w:rsidRPr="008661CD">
        <w:rPr>
          <w:b/>
        </w:rPr>
        <w:t>Zinnat</w:t>
      </w:r>
      <w:proofErr w:type="spellEnd"/>
    </w:p>
    <w:p w14:paraId="3C1F178D" w14:textId="77777777" w:rsidR="00922D8A" w:rsidRPr="008661CD" w:rsidRDefault="00922D8A" w:rsidP="008661CD">
      <w:pPr>
        <w:ind w:left="567" w:hanging="567"/>
      </w:pPr>
    </w:p>
    <w:p w14:paraId="53413328" w14:textId="7570AE7A" w:rsidR="00922D8A" w:rsidRPr="008661CD" w:rsidRDefault="00922D8A" w:rsidP="00DC1740">
      <w:pPr>
        <w:ind w:left="567" w:hanging="567"/>
      </w:pPr>
      <w:proofErr w:type="spellStart"/>
      <w:r w:rsidRPr="008661CD">
        <w:rPr>
          <w:b/>
        </w:rPr>
        <w:t>Zinnat</w:t>
      </w:r>
      <w:proofErr w:type="spellEnd"/>
      <w:r w:rsidRPr="008661CD">
        <w:rPr>
          <w:b/>
        </w:rPr>
        <w:t xml:space="preserve"> vartoti </w:t>
      </w:r>
      <w:r w:rsidR="007E1E44">
        <w:rPr>
          <w:b/>
        </w:rPr>
        <w:t>draudžiama</w:t>
      </w:r>
      <w:r w:rsidR="005C217D" w:rsidRPr="00DC1740">
        <w:rPr>
          <w:b/>
          <w:bCs/>
        </w:rPr>
        <w:t>:</w:t>
      </w:r>
    </w:p>
    <w:p w14:paraId="07546179" w14:textId="77777777" w:rsidR="00922D8A" w:rsidRPr="008661CD" w:rsidRDefault="00922D8A" w:rsidP="000F3553">
      <w:pPr>
        <w:numPr>
          <w:ilvl w:val="0"/>
          <w:numId w:val="8"/>
        </w:numPr>
        <w:ind w:left="567" w:right="-2" w:hanging="567"/>
      </w:pPr>
      <w:r w:rsidRPr="008661CD">
        <w:rPr>
          <w:b/>
        </w:rPr>
        <w:t>jeigu yra alergija</w:t>
      </w:r>
      <w:r w:rsidRPr="008661CD">
        <w:t xml:space="preserve"> </w:t>
      </w:r>
      <w:proofErr w:type="spellStart"/>
      <w:r w:rsidRPr="008661CD">
        <w:t>cefuroksimo</w:t>
      </w:r>
      <w:proofErr w:type="spellEnd"/>
      <w:r w:rsidRPr="008661CD">
        <w:t xml:space="preserve"> </w:t>
      </w:r>
      <w:proofErr w:type="spellStart"/>
      <w:r w:rsidRPr="008661CD">
        <w:t>aksetilui</w:t>
      </w:r>
      <w:proofErr w:type="spellEnd"/>
      <w:r w:rsidRPr="008661CD">
        <w:t xml:space="preserve"> arba </w:t>
      </w:r>
      <w:r w:rsidRPr="008661CD">
        <w:rPr>
          <w:b/>
        </w:rPr>
        <w:t xml:space="preserve">kuriam nors </w:t>
      </w:r>
      <w:proofErr w:type="spellStart"/>
      <w:r w:rsidRPr="008661CD">
        <w:rPr>
          <w:b/>
        </w:rPr>
        <w:t>cefalosporinų</w:t>
      </w:r>
      <w:proofErr w:type="spellEnd"/>
      <w:r w:rsidRPr="008661CD">
        <w:rPr>
          <w:b/>
        </w:rPr>
        <w:t xml:space="preserve"> grupės antibiotikui,</w:t>
      </w:r>
      <w:r w:rsidRPr="008661CD">
        <w:t xml:space="preserve"> arba bet kuriai pagalbinei šio vaisto medžiagai (jos išvardytos 6 skyriuje);</w:t>
      </w:r>
    </w:p>
    <w:p w14:paraId="4B2C0D90" w14:textId="7EE2833D" w:rsidR="00922D8A" w:rsidRDefault="00922D8A" w:rsidP="000F3553">
      <w:pPr>
        <w:numPr>
          <w:ilvl w:val="0"/>
          <w:numId w:val="8"/>
        </w:numPr>
        <w:ind w:left="567" w:right="-2" w:hanging="567"/>
      </w:pPr>
      <w:r w:rsidRPr="008661CD">
        <w:t>jeigu yra sunki alergija (</w:t>
      </w:r>
      <w:r w:rsidRPr="008661CD">
        <w:rPr>
          <w:i/>
        </w:rPr>
        <w:t>padidėjęs jautrumas</w:t>
      </w:r>
      <w:r w:rsidRPr="008661CD">
        <w:t xml:space="preserve">) kuriam nors kitokiam beta </w:t>
      </w:r>
      <w:proofErr w:type="spellStart"/>
      <w:r w:rsidRPr="008661CD">
        <w:t>laktaminiam</w:t>
      </w:r>
      <w:proofErr w:type="spellEnd"/>
      <w:r w:rsidRPr="008661CD">
        <w:t xml:space="preserve"> antibiotikui (penicilinams, </w:t>
      </w:r>
      <w:proofErr w:type="spellStart"/>
      <w:r w:rsidRPr="008661CD">
        <w:t>monobaktamams</w:t>
      </w:r>
      <w:proofErr w:type="spellEnd"/>
      <w:r w:rsidRPr="008661CD">
        <w:t xml:space="preserve">, </w:t>
      </w:r>
      <w:proofErr w:type="spellStart"/>
      <w:r w:rsidRPr="008661CD">
        <w:t>karbapenemams</w:t>
      </w:r>
      <w:proofErr w:type="spellEnd"/>
      <w:r w:rsidRPr="008661CD">
        <w:t>)</w:t>
      </w:r>
      <w:r w:rsidR="00A45CE9">
        <w:t>;</w:t>
      </w:r>
    </w:p>
    <w:p w14:paraId="315881DF" w14:textId="1D972E56" w:rsidR="00A45CE9" w:rsidRPr="008661CD" w:rsidRDefault="00A45CE9" w:rsidP="000F3553">
      <w:pPr>
        <w:numPr>
          <w:ilvl w:val="0"/>
          <w:numId w:val="8"/>
        </w:numPr>
        <w:ind w:left="567" w:right="-2" w:hanging="567"/>
      </w:pPr>
      <w:r w:rsidRPr="00773389">
        <w:t xml:space="preserve">jeigu po gydymo </w:t>
      </w:r>
      <w:proofErr w:type="spellStart"/>
      <w:r w:rsidRPr="00773389">
        <w:t>cefuroksimu</w:t>
      </w:r>
      <w:proofErr w:type="spellEnd"/>
      <w:r w:rsidRPr="00773389">
        <w:t xml:space="preserve"> arba bet kuriuo kitu </w:t>
      </w:r>
      <w:proofErr w:type="spellStart"/>
      <w:r w:rsidRPr="00773389">
        <w:t>cefalosporinų</w:t>
      </w:r>
      <w:proofErr w:type="spellEnd"/>
      <w:r w:rsidRPr="00773389">
        <w:t xml:space="preserve"> grupės antibiotiku pasireiškė sunkus odos išbėrimas arba odos lupimasis, pūslės ir (arba) burnos opos.</w:t>
      </w:r>
    </w:p>
    <w:p w14:paraId="57296F99" w14:textId="52D1C45A" w:rsidR="00A45CE9" w:rsidRPr="00DC1740" w:rsidRDefault="00922D8A" w:rsidP="00DC1740">
      <w:pPr>
        <w:numPr>
          <w:ilvl w:val="0"/>
          <w:numId w:val="9"/>
        </w:numPr>
        <w:tabs>
          <w:tab w:val="clear" w:pos="720"/>
        </w:tabs>
        <w:spacing w:before="240"/>
        <w:ind w:hanging="720"/>
      </w:pPr>
      <w:r w:rsidRPr="008661CD">
        <w:rPr>
          <w:color w:val="000000"/>
        </w:rPr>
        <w:t xml:space="preserve">Jeigu </w:t>
      </w:r>
      <w:r w:rsidR="00A45CE9">
        <w:rPr>
          <w:color w:val="000000"/>
        </w:rPr>
        <w:t>manote</w:t>
      </w:r>
      <w:r w:rsidRPr="008661CD">
        <w:rPr>
          <w:color w:val="000000"/>
        </w:rPr>
        <w:t xml:space="preserve">, kad yra tokių aplinkybių, </w:t>
      </w:r>
      <w:proofErr w:type="spellStart"/>
      <w:r w:rsidRPr="008661CD">
        <w:rPr>
          <w:b/>
          <w:color w:val="000000"/>
        </w:rPr>
        <w:t>Zinnat</w:t>
      </w:r>
      <w:proofErr w:type="spellEnd"/>
      <w:r w:rsidRPr="008661CD">
        <w:rPr>
          <w:b/>
          <w:color w:val="000000"/>
        </w:rPr>
        <w:t xml:space="preserve"> nevartokite </w:t>
      </w:r>
      <w:r w:rsidRPr="008661CD">
        <w:rPr>
          <w:color w:val="000000"/>
        </w:rPr>
        <w:t>tol, kol Jūsų neištirs gydytojas.</w:t>
      </w:r>
    </w:p>
    <w:p w14:paraId="1FEB5F62" w14:textId="77777777" w:rsidR="00A45CE9" w:rsidRDefault="00A45CE9" w:rsidP="00A45CE9">
      <w:pPr>
        <w:spacing w:before="240"/>
        <w:rPr>
          <w:u w:val="single"/>
        </w:rPr>
      </w:pPr>
    </w:p>
    <w:p w14:paraId="26651C89" w14:textId="5438BE5A" w:rsidR="00A45CE9" w:rsidRPr="00DC1740" w:rsidRDefault="00A45CE9" w:rsidP="00A45CE9">
      <w:pPr>
        <w:spacing w:before="240"/>
        <w:rPr>
          <w:u w:val="single"/>
        </w:rPr>
      </w:pPr>
      <w:r w:rsidRPr="00DC1740">
        <w:rPr>
          <w:u w:val="single"/>
        </w:rPr>
        <w:t xml:space="preserve">Vartojant </w:t>
      </w:r>
      <w:proofErr w:type="spellStart"/>
      <w:r w:rsidRPr="00DC1740">
        <w:rPr>
          <w:u w:val="single"/>
        </w:rPr>
        <w:t>Zinnat</w:t>
      </w:r>
      <w:proofErr w:type="spellEnd"/>
      <w:r w:rsidRPr="00DC1740">
        <w:rPr>
          <w:u w:val="single"/>
        </w:rPr>
        <w:t>, reikia imtis specialių atsargumo priemonių</w:t>
      </w:r>
    </w:p>
    <w:p w14:paraId="6B0F8629" w14:textId="100476FC" w:rsidR="00A45CE9" w:rsidRPr="008661CD" w:rsidRDefault="00A45CE9" w:rsidP="00DC1740">
      <w:pPr>
        <w:spacing w:before="240"/>
      </w:pPr>
      <w:r>
        <w:t xml:space="preserve">Gauta pranešimų apie su gydymu </w:t>
      </w:r>
      <w:proofErr w:type="spellStart"/>
      <w:r>
        <w:t>cefuroksimu</w:t>
      </w:r>
      <w:proofErr w:type="spellEnd"/>
      <w:r>
        <w:t xml:space="preserve"> susijusias pavojingas odos reakcijas, įskaitant </w:t>
      </w:r>
      <w:proofErr w:type="spellStart"/>
      <w:r>
        <w:t>Stivenso</w:t>
      </w:r>
      <w:proofErr w:type="spellEnd"/>
      <w:r>
        <w:t>-Džonsono (</w:t>
      </w:r>
      <w:proofErr w:type="spellStart"/>
      <w:r>
        <w:t>Stevens-Johnson</w:t>
      </w:r>
      <w:proofErr w:type="spellEnd"/>
      <w:r>
        <w:t xml:space="preserve">) sindromą, toksinę epidermio </w:t>
      </w:r>
      <w:proofErr w:type="spellStart"/>
      <w:r>
        <w:t>nekrolizę</w:t>
      </w:r>
      <w:proofErr w:type="spellEnd"/>
      <w:r>
        <w:t xml:space="preserve">, vaisto sukeltą reakciją su </w:t>
      </w:r>
      <w:proofErr w:type="spellStart"/>
      <w:r>
        <w:t>eozinofilija</w:t>
      </w:r>
      <w:proofErr w:type="spellEnd"/>
      <w:r>
        <w:t xml:space="preserve"> ir sisteminiais simptomais (DRESS). Pastebėję bet kurį iš 4 skyriuje aprašytų simptomų, susijusių su pavojingomis odos reakcijomis, nedelsdami kreipkitės į gydytoją (žr. 4 skyrių).</w:t>
      </w:r>
    </w:p>
    <w:p w14:paraId="50FB1622" w14:textId="77777777" w:rsidR="00922D8A" w:rsidRPr="008661CD" w:rsidRDefault="00922D8A" w:rsidP="008661CD">
      <w:pPr>
        <w:ind w:left="567" w:hanging="567"/>
      </w:pPr>
    </w:p>
    <w:p w14:paraId="4B8CF297" w14:textId="77777777" w:rsidR="00922D8A" w:rsidRPr="008661CD" w:rsidRDefault="00922D8A" w:rsidP="008661CD">
      <w:pPr>
        <w:keepNext/>
        <w:tabs>
          <w:tab w:val="left" w:pos="567"/>
        </w:tabs>
        <w:rPr>
          <w:b/>
        </w:rPr>
      </w:pPr>
      <w:r w:rsidRPr="008661CD">
        <w:rPr>
          <w:b/>
        </w:rPr>
        <w:t>Įspėjimai ir atsargumo priemonės</w:t>
      </w:r>
    </w:p>
    <w:p w14:paraId="79435555" w14:textId="77777777" w:rsidR="00922D8A" w:rsidRPr="009C0DB0" w:rsidRDefault="00922D8A" w:rsidP="008661CD">
      <w:pPr>
        <w:keepNext/>
        <w:tabs>
          <w:tab w:val="left" w:pos="567"/>
        </w:tabs>
      </w:pPr>
    </w:p>
    <w:p w14:paraId="272D8CD9" w14:textId="77777777" w:rsidR="00922D8A" w:rsidRPr="008661CD" w:rsidRDefault="00922D8A" w:rsidP="008661CD">
      <w:pPr>
        <w:keepNext/>
        <w:tabs>
          <w:tab w:val="left" w:pos="567"/>
        </w:tabs>
      </w:pPr>
      <w:r w:rsidRPr="008661CD">
        <w:t xml:space="preserve">Pasitarkite su gydytoju arba vaistininku, prieš pradėdami vartoti </w:t>
      </w:r>
      <w:proofErr w:type="spellStart"/>
      <w:r w:rsidRPr="008661CD">
        <w:t>Zinnat</w:t>
      </w:r>
      <w:proofErr w:type="spellEnd"/>
      <w:r w:rsidRPr="008661CD">
        <w:t>.</w:t>
      </w:r>
    </w:p>
    <w:p w14:paraId="19813B20" w14:textId="77777777" w:rsidR="00922D8A" w:rsidRPr="008661CD" w:rsidRDefault="00922D8A" w:rsidP="008661CD">
      <w:pPr>
        <w:keepNext/>
        <w:tabs>
          <w:tab w:val="left" w:pos="567"/>
        </w:tabs>
      </w:pPr>
    </w:p>
    <w:p w14:paraId="0DC5E962" w14:textId="77777777" w:rsidR="00922D8A" w:rsidRPr="008661CD" w:rsidRDefault="00922D8A" w:rsidP="008661CD">
      <w:pPr>
        <w:keepNext/>
        <w:tabs>
          <w:tab w:val="left" w:pos="567"/>
        </w:tabs>
        <w:rPr>
          <w:b/>
        </w:rPr>
      </w:pPr>
      <w:r w:rsidRPr="008661CD">
        <w:rPr>
          <w:b/>
        </w:rPr>
        <w:t>Vaikams</w:t>
      </w:r>
    </w:p>
    <w:p w14:paraId="7C971543" w14:textId="77777777" w:rsidR="00922D8A" w:rsidRPr="009C0DB0" w:rsidRDefault="00922D8A" w:rsidP="008661CD">
      <w:pPr>
        <w:keepNext/>
        <w:tabs>
          <w:tab w:val="left" w:pos="567"/>
        </w:tabs>
      </w:pPr>
    </w:p>
    <w:p w14:paraId="4B17A22D" w14:textId="77777777" w:rsidR="00922D8A" w:rsidRPr="008661CD" w:rsidRDefault="00922D8A" w:rsidP="008661CD">
      <w:pPr>
        <w:numPr>
          <w:ilvl w:val="12"/>
          <w:numId w:val="0"/>
        </w:numPr>
      </w:pPr>
      <w:proofErr w:type="spellStart"/>
      <w:r w:rsidRPr="008661CD">
        <w:rPr>
          <w:b/>
        </w:rPr>
        <w:t>Zinnat</w:t>
      </w:r>
      <w:proofErr w:type="spellEnd"/>
      <w:r w:rsidRPr="008661CD">
        <w:rPr>
          <w:b/>
        </w:rPr>
        <w:t xml:space="preserve"> nerekomenduojama vartoti jaunesniems kaip 3 mėnesių kūdikiams</w:t>
      </w:r>
      <w:r w:rsidRPr="008661CD">
        <w:t>, nes saugumas ir veiksmingumas šios grupės pacientams nežinomas.</w:t>
      </w:r>
    </w:p>
    <w:p w14:paraId="64B5757B" w14:textId="77777777" w:rsidR="00922D8A" w:rsidRPr="009C0DB0" w:rsidRDefault="00922D8A" w:rsidP="008661CD">
      <w:pPr>
        <w:numPr>
          <w:ilvl w:val="12"/>
          <w:numId w:val="0"/>
        </w:numPr>
      </w:pPr>
    </w:p>
    <w:p w14:paraId="2068E76C" w14:textId="77777777" w:rsidR="00922D8A" w:rsidRPr="008661CD" w:rsidRDefault="00922D8A" w:rsidP="008661CD">
      <w:pPr>
        <w:numPr>
          <w:ilvl w:val="12"/>
          <w:numId w:val="0"/>
        </w:numPr>
      </w:pPr>
      <w:r w:rsidRPr="008661CD">
        <w:t xml:space="preserve">Turite stebėti, ar vartojant </w:t>
      </w:r>
      <w:proofErr w:type="spellStart"/>
      <w:r w:rsidRPr="008661CD">
        <w:t>Zinnat</w:t>
      </w:r>
      <w:proofErr w:type="spellEnd"/>
      <w:r w:rsidRPr="008661CD">
        <w:t xml:space="preserve">, neatsiranda tam tikrų simptomų, pavyzdžiui: alerginės reakcijos, grybelių (pvz., </w:t>
      </w:r>
      <w:proofErr w:type="spellStart"/>
      <w:r w:rsidRPr="008661CD">
        <w:rPr>
          <w:i/>
        </w:rPr>
        <w:t>mieliagrybių</w:t>
      </w:r>
      <w:proofErr w:type="spellEnd"/>
      <w:r w:rsidRPr="008661CD">
        <w:t>) sukeltos infekcinės ligos, sunkaus viduriavimo (</w:t>
      </w:r>
      <w:proofErr w:type="spellStart"/>
      <w:r w:rsidRPr="008661CD">
        <w:rPr>
          <w:i/>
        </w:rPr>
        <w:t>pseudomembraninio</w:t>
      </w:r>
      <w:proofErr w:type="spellEnd"/>
      <w:r w:rsidRPr="008661CD">
        <w:rPr>
          <w:i/>
        </w:rPr>
        <w:t xml:space="preserve"> kolito</w:t>
      </w:r>
      <w:r w:rsidRPr="008661CD">
        <w:t>). Taip galima sumažinti bet kurių sutrikimų riziką. Žr. 4 skyriuje skyrelį ,,</w:t>
      </w:r>
      <w:r w:rsidRPr="008661CD">
        <w:rPr>
          <w:i/>
        </w:rPr>
        <w:t>Būklės, į kurias reikia atkreipti dėmes</w:t>
      </w:r>
      <w:r w:rsidRPr="008661CD">
        <w:t>į“.</w:t>
      </w:r>
    </w:p>
    <w:p w14:paraId="7382D7BF" w14:textId="77777777" w:rsidR="00922D8A" w:rsidRPr="008661CD" w:rsidRDefault="00922D8A" w:rsidP="008661CD">
      <w:pPr>
        <w:numPr>
          <w:ilvl w:val="12"/>
          <w:numId w:val="0"/>
        </w:numPr>
      </w:pPr>
    </w:p>
    <w:p w14:paraId="7D9BBF75" w14:textId="77777777" w:rsidR="00922D8A" w:rsidRPr="008661CD" w:rsidRDefault="00922D8A" w:rsidP="008661CD">
      <w:pPr>
        <w:numPr>
          <w:ilvl w:val="12"/>
          <w:numId w:val="0"/>
        </w:numPr>
        <w:rPr>
          <w:b/>
        </w:rPr>
      </w:pPr>
      <w:r w:rsidRPr="008661CD">
        <w:rPr>
          <w:b/>
        </w:rPr>
        <w:t>Jeigu reikia atlikti kraujo tyrimą</w:t>
      </w:r>
    </w:p>
    <w:p w14:paraId="5B0CDC1F" w14:textId="77777777" w:rsidR="00922D8A" w:rsidRPr="009C0DB0" w:rsidRDefault="00922D8A" w:rsidP="008661CD">
      <w:pPr>
        <w:numPr>
          <w:ilvl w:val="12"/>
          <w:numId w:val="0"/>
        </w:numPr>
      </w:pPr>
    </w:p>
    <w:p w14:paraId="17656B67" w14:textId="77777777" w:rsidR="00922D8A" w:rsidRPr="008661CD" w:rsidRDefault="00922D8A" w:rsidP="008661CD">
      <w:pPr>
        <w:numPr>
          <w:ilvl w:val="12"/>
          <w:numId w:val="0"/>
        </w:numPr>
        <w:rPr>
          <w:b/>
        </w:rPr>
      </w:pPr>
      <w:proofErr w:type="spellStart"/>
      <w:r w:rsidRPr="008661CD">
        <w:t>Zinnat</w:t>
      </w:r>
      <w:proofErr w:type="spellEnd"/>
      <w:r w:rsidRPr="008661CD">
        <w:t xml:space="preserve"> gali veikti kraujo tyrimo gliukozei nustatyti arba kraujo tyrimo, kuris vadinamas </w:t>
      </w:r>
      <w:proofErr w:type="spellStart"/>
      <w:r w:rsidRPr="008661CD">
        <w:rPr>
          <w:i/>
        </w:rPr>
        <w:t>Kumbso</w:t>
      </w:r>
      <w:proofErr w:type="spellEnd"/>
      <w:r w:rsidRPr="008661CD">
        <w:rPr>
          <w:i/>
        </w:rPr>
        <w:t xml:space="preserve"> mėginiu</w:t>
      </w:r>
      <w:r w:rsidRPr="008661CD">
        <w:t>, rezultatus. Jeigu reikia atlikti kraujo tyrimą:</w:t>
      </w:r>
    </w:p>
    <w:p w14:paraId="28D6159A" w14:textId="77777777" w:rsidR="00922D8A" w:rsidRPr="008661CD" w:rsidRDefault="00922D8A" w:rsidP="000F3553">
      <w:pPr>
        <w:numPr>
          <w:ilvl w:val="0"/>
          <w:numId w:val="9"/>
        </w:numPr>
        <w:tabs>
          <w:tab w:val="clear" w:pos="720"/>
        </w:tabs>
        <w:ind w:left="567" w:hanging="567"/>
        <w:rPr>
          <w:b/>
        </w:rPr>
      </w:pPr>
      <w:r w:rsidRPr="008661CD">
        <w:rPr>
          <w:b/>
        </w:rPr>
        <w:t xml:space="preserve">mėginį imančiam asmeniui pasakykite, </w:t>
      </w:r>
      <w:r w:rsidRPr="008661CD">
        <w:t xml:space="preserve">kad vartojate </w:t>
      </w:r>
      <w:proofErr w:type="spellStart"/>
      <w:r w:rsidRPr="008661CD">
        <w:t>Zinnat</w:t>
      </w:r>
      <w:proofErr w:type="spellEnd"/>
      <w:r w:rsidRPr="008661CD">
        <w:t>.</w:t>
      </w:r>
    </w:p>
    <w:p w14:paraId="38077DDA" w14:textId="77777777" w:rsidR="00922D8A" w:rsidRPr="008661CD" w:rsidRDefault="00922D8A" w:rsidP="008661CD">
      <w:pPr>
        <w:numPr>
          <w:ilvl w:val="12"/>
          <w:numId w:val="0"/>
        </w:numPr>
      </w:pPr>
    </w:p>
    <w:p w14:paraId="1273E3EC" w14:textId="77777777" w:rsidR="00922D8A" w:rsidRPr="008661CD" w:rsidRDefault="00922D8A" w:rsidP="008661CD">
      <w:pPr>
        <w:ind w:left="567" w:hanging="567"/>
        <w:rPr>
          <w:b/>
        </w:rPr>
      </w:pPr>
      <w:r w:rsidRPr="008661CD">
        <w:rPr>
          <w:b/>
        </w:rPr>
        <w:t xml:space="preserve">Kiti vaistai ir </w:t>
      </w:r>
      <w:proofErr w:type="spellStart"/>
      <w:r w:rsidRPr="008661CD">
        <w:rPr>
          <w:b/>
        </w:rPr>
        <w:t>Zinnat</w:t>
      </w:r>
      <w:proofErr w:type="spellEnd"/>
    </w:p>
    <w:p w14:paraId="02FB9268" w14:textId="77777777" w:rsidR="00922D8A" w:rsidRPr="008661CD" w:rsidRDefault="00922D8A" w:rsidP="008661CD"/>
    <w:p w14:paraId="082C3FB4" w14:textId="77777777" w:rsidR="00922D8A" w:rsidRPr="008661CD" w:rsidRDefault="00922D8A" w:rsidP="008661CD">
      <w:r w:rsidRPr="008661CD">
        <w:t xml:space="preserve">Jeigu vartojate, neseniai vartojote kitų vaistų arba dėl to nesate tikri, apie tai pasakykite gydytojui arba vaistininkui. </w:t>
      </w:r>
    </w:p>
    <w:p w14:paraId="24949E68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748DC739" w14:textId="77777777" w:rsidR="00922D8A" w:rsidRPr="008661CD" w:rsidRDefault="00922D8A" w:rsidP="008661CD">
      <w:pPr>
        <w:keepNext/>
        <w:rPr>
          <w:color w:val="000000"/>
        </w:rPr>
      </w:pPr>
      <w:r w:rsidRPr="008661CD">
        <w:t>Vaistai, kurie vartojami</w:t>
      </w:r>
      <w:r w:rsidRPr="008661CD">
        <w:rPr>
          <w:color w:val="000000"/>
        </w:rPr>
        <w:t xml:space="preserve"> </w:t>
      </w:r>
      <w:r w:rsidRPr="008661CD">
        <w:rPr>
          <w:b/>
          <w:color w:val="000000"/>
        </w:rPr>
        <w:t xml:space="preserve">skrandžio rūgštingumui mažinti </w:t>
      </w:r>
      <w:r w:rsidRPr="008661CD">
        <w:rPr>
          <w:color w:val="000000"/>
        </w:rPr>
        <w:t xml:space="preserve">(pvz., </w:t>
      </w:r>
      <w:proofErr w:type="spellStart"/>
      <w:r w:rsidRPr="008661CD">
        <w:rPr>
          <w:i/>
          <w:color w:val="000000"/>
        </w:rPr>
        <w:t>antacidiniai</w:t>
      </w:r>
      <w:proofErr w:type="spellEnd"/>
      <w:r w:rsidRPr="008661CD">
        <w:rPr>
          <w:i/>
          <w:color w:val="000000"/>
        </w:rPr>
        <w:t xml:space="preserve"> vaistai</w:t>
      </w:r>
      <w:r w:rsidRPr="008661CD">
        <w:rPr>
          <w:color w:val="000000"/>
        </w:rPr>
        <w:t xml:space="preserve">, kuriais gydomas </w:t>
      </w:r>
      <w:r w:rsidRPr="008661CD">
        <w:rPr>
          <w:b/>
          <w:color w:val="000000"/>
        </w:rPr>
        <w:t>rėmuo</w:t>
      </w:r>
      <w:r w:rsidRPr="008661CD">
        <w:rPr>
          <w:color w:val="000000"/>
        </w:rPr>
        <w:t xml:space="preserve">), gali keisti </w:t>
      </w:r>
      <w:proofErr w:type="spellStart"/>
      <w:r w:rsidRPr="008661CD">
        <w:rPr>
          <w:color w:val="000000"/>
        </w:rPr>
        <w:t>Zinnat</w:t>
      </w:r>
      <w:proofErr w:type="spellEnd"/>
      <w:r w:rsidRPr="008661CD">
        <w:rPr>
          <w:color w:val="000000"/>
        </w:rPr>
        <w:t xml:space="preserve"> veikimą. </w:t>
      </w:r>
    </w:p>
    <w:p w14:paraId="7E20C349" w14:textId="77777777" w:rsidR="00922D8A" w:rsidRPr="008661CD" w:rsidRDefault="00922D8A" w:rsidP="008661CD">
      <w:pPr>
        <w:keepNext/>
        <w:rPr>
          <w:color w:val="000000"/>
        </w:rPr>
      </w:pPr>
      <w:proofErr w:type="spellStart"/>
      <w:r w:rsidRPr="008661CD">
        <w:rPr>
          <w:color w:val="000000"/>
        </w:rPr>
        <w:t>Probenecidas</w:t>
      </w:r>
      <w:proofErr w:type="spellEnd"/>
      <w:r w:rsidRPr="008661CD">
        <w:rPr>
          <w:color w:val="000000"/>
        </w:rPr>
        <w:t>.</w:t>
      </w:r>
    </w:p>
    <w:p w14:paraId="49F0CD91" w14:textId="77777777" w:rsidR="00922D8A" w:rsidRPr="008661CD" w:rsidRDefault="00922D8A" w:rsidP="008661CD">
      <w:pPr>
        <w:keepNext/>
        <w:rPr>
          <w:color w:val="000000"/>
        </w:rPr>
      </w:pPr>
      <w:r w:rsidRPr="008661CD">
        <w:rPr>
          <w:color w:val="000000"/>
        </w:rPr>
        <w:t>Geriamieji antikoaguliantai.</w:t>
      </w:r>
    </w:p>
    <w:p w14:paraId="360B0BDE" w14:textId="77777777" w:rsidR="00922D8A" w:rsidRPr="008661CD" w:rsidRDefault="00922D8A" w:rsidP="000F3553">
      <w:pPr>
        <w:numPr>
          <w:ilvl w:val="0"/>
          <w:numId w:val="9"/>
        </w:numPr>
        <w:tabs>
          <w:tab w:val="clear" w:pos="720"/>
        </w:tabs>
        <w:ind w:left="567" w:hanging="567"/>
      </w:pPr>
      <w:r w:rsidRPr="008661CD">
        <w:t xml:space="preserve">Jeigu vartojate kokių nors panašių vaistų, </w:t>
      </w:r>
      <w:r w:rsidRPr="008661CD">
        <w:rPr>
          <w:b/>
        </w:rPr>
        <w:t>pasakykite gydytojui arba vaistininkui.</w:t>
      </w:r>
    </w:p>
    <w:p w14:paraId="7E72A843" w14:textId="77777777" w:rsidR="00922D8A" w:rsidRPr="008661CD" w:rsidRDefault="00922D8A" w:rsidP="008661CD">
      <w:pPr>
        <w:numPr>
          <w:ilvl w:val="12"/>
          <w:numId w:val="0"/>
        </w:numPr>
        <w:tabs>
          <w:tab w:val="left" w:pos="1290"/>
        </w:tabs>
        <w:ind w:right="-2"/>
      </w:pPr>
    </w:p>
    <w:p w14:paraId="0FAE16BE" w14:textId="77777777" w:rsidR="00922D8A" w:rsidRPr="008661CD" w:rsidRDefault="00922D8A" w:rsidP="008661CD">
      <w:pPr>
        <w:rPr>
          <w:b/>
        </w:rPr>
      </w:pPr>
      <w:r w:rsidRPr="008661CD">
        <w:rPr>
          <w:b/>
        </w:rPr>
        <w:t>Nėštumas, žindymo laikotarpis ir</w:t>
      </w:r>
      <w:r w:rsidRPr="008661CD">
        <w:t xml:space="preserve"> </w:t>
      </w:r>
      <w:r w:rsidRPr="008661CD">
        <w:rPr>
          <w:b/>
        </w:rPr>
        <w:t>vaisingumas</w:t>
      </w:r>
    </w:p>
    <w:p w14:paraId="24AB2901" w14:textId="77777777" w:rsidR="00922D8A" w:rsidRPr="009C0DB0" w:rsidRDefault="00922D8A" w:rsidP="008661CD">
      <w:pPr>
        <w:numPr>
          <w:ilvl w:val="12"/>
          <w:numId w:val="0"/>
        </w:numPr>
        <w:ind w:right="-2"/>
        <w:outlineLvl w:val="0"/>
      </w:pPr>
    </w:p>
    <w:p w14:paraId="5550C4C2" w14:textId="457FC683" w:rsidR="00922D8A" w:rsidRPr="008661CD" w:rsidRDefault="00922D8A" w:rsidP="008661CD">
      <w:pPr>
        <w:numPr>
          <w:ilvl w:val="12"/>
          <w:numId w:val="0"/>
        </w:numPr>
      </w:pPr>
      <w:r w:rsidRPr="008661CD">
        <w:t xml:space="preserve">Jeigu esate nėščia, žindote kūdikį, manote, kad galbūt esate nėščia, arba planuojate pastoti, tai prieš vartodama šį vaistą, pasitarkite su gydytoju arba vaistininku. </w:t>
      </w:r>
    </w:p>
    <w:p w14:paraId="16992590" w14:textId="77777777" w:rsidR="00922D8A" w:rsidRPr="009C0DB0" w:rsidRDefault="00922D8A" w:rsidP="008661CD">
      <w:pPr>
        <w:numPr>
          <w:ilvl w:val="12"/>
          <w:numId w:val="0"/>
        </w:numPr>
        <w:ind w:right="-2"/>
        <w:outlineLvl w:val="0"/>
      </w:pPr>
    </w:p>
    <w:p w14:paraId="0C42CC0C" w14:textId="77777777" w:rsidR="00922D8A" w:rsidRPr="008661CD" w:rsidRDefault="00922D8A" w:rsidP="008661CD">
      <w:pPr>
        <w:rPr>
          <w:b/>
        </w:rPr>
      </w:pPr>
      <w:r w:rsidRPr="008661CD">
        <w:rPr>
          <w:b/>
        </w:rPr>
        <w:t>Vairavimas ir mechanizmų valdymas</w:t>
      </w:r>
    </w:p>
    <w:p w14:paraId="799AADD1" w14:textId="77777777" w:rsidR="00922D8A" w:rsidRPr="008661CD" w:rsidRDefault="00922D8A" w:rsidP="008661CD">
      <w:pPr>
        <w:numPr>
          <w:ilvl w:val="12"/>
          <w:numId w:val="0"/>
        </w:numPr>
        <w:ind w:right="-2"/>
        <w:outlineLvl w:val="0"/>
      </w:pPr>
    </w:p>
    <w:p w14:paraId="3E0B1360" w14:textId="0614FC28" w:rsidR="00922D8A" w:rsidRPr="008661CD" w:rsidRDefault="00922D8A" w:rsidP="008661CD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proofErr w:type="spellStart"/>
      <w:r w:rsidRPr="008661CD">
        <w:t>Zinnat</w:t>
      </w:r>
      <w:proofErr w:type="spellEnd"/>
      <w:r w:rsidRPr="008661CD">
        <w:rPr>
          <w:b/>
          <w:color w:val="000000"/>
        </w:rPr>
        <w:t xml:space="preserve"> gali sukelti </w:t>
      </w:r>
      <w:r w:rsidR="0059070D">
        <w:rPr>
          <w:b/>
          <w:color w:val="000000"/>
        </w:rPr>
        <w:t>svaigulį</w:t>
      </w:r>
      <w:r w:rsidRPr="008661CD">
        <w:rPr>
          <w:color w:val="000000"/>
        </w:rPr>
        <w:t xml:space="preserve"> ir kitą šalutinį poveikį, dėl kurio gali sumažėti Jūsų budrumas.</w:t>
      </w:r>
    </w:p>
    <w:p w14:paraId="49F32BCE" w14:textId="77777777" w:rsidR="00922D8A" w:rsidRPr="008661CD" w:rsidRDefault="00922D8A" w:rsidP="000F3553">
      <w:pPr>
        <w:numPr>
          <w:ilvl w:val="0"/>
          <w:numId w:val="9"/>
        </w:numPr>
        <w:tabs>
          <w:tab w:val="clear" w:pos="720"/>
          <w:tab w:val="left" w:pos="-720"/>
          <w:tab w:val="left" w:pos="0"/>
        </w:tabs>
        <w:autoSpaceDE w:val="0"/>
        <w:autoSpaceDN w:val="0"/>
        <w:adjustRightInd w:val="0"/>
        <w:ind w:left="567" w:hanging="567"/>
        <w:rPr>
          <w:color w:val="000000"/>
        </w:rPr>
      </w:pPr>
      <w:r w:rsidRPr="008661CD">
        <w:rPr>
          <w:color w:val="000000"/>
        </w:rPr>
        <w:t xml:space="preserve">jeigu jaučiatės blogai, </w:t>
      </w:r>
      <w:r w:rsidRPr="008661CD">
        <w:rPr>
          <w:b/>
          <w:color w:val="000000"/>
        </w:rPr>
        <w:t>negalima vairuoti ir valdyti mechanizmų</w:t>
      </w:r>
      <w:r w:rsidRPr="008661CD">
        <w:rPr>
          <w:color w:val="000000"/>
        </w:rPr>
        <w:t>.</w:t>
      </w:r>
    </w:p>
    <w:p w14:paraId="10E46730" w14:textId="77777777" w:rsidR="00922D8A" w:rsidRPr="009C0DB0" w:rsidRDefault="00922D8A" w:rsidP="008661CD">
      <w:pPr>
        <w:keepNext/>
        <w:rPr>
          <w:highlight w:val="lightGray"/>
        </w:rPr>
      </w:pPr>
      <w:bookmarkStart w:id="2" w:name="_Hlk530749976"/>
    </w:p>
    <w:p w14:paraId="25575EC0" w14:textId="77777777" w:rsidR="00922D8A" w:rsidRPr="003731A2" w:rsidRDefault="00922D8A" w:rsidP="008661CD">
      <w:pPr>
        <w:keepNext/>
        <w:rPr>
          <w:b/>
        </w:rPr>
      </w:pPr>
      <w:r w:rsidRPr="003731A2">
        <w:rPr>
          <w:b/>
        </w:rPr>
        <w:t xml:space="preserve">Svarbi informacija apie kai kurias </w:t>
      </w:r>
      <w:proofErr w:type="spellStart"/>
      <w:r w:rsidRPr="003731A2">
        <w:rPr>
          <w:b/>
        </w:rPr>
        <w:t>Zinnat</w:t>
      </w:r>
      <w:proofErr w:type="spellEnd"/>
      <w:r w:rsidRPr="003731A2">
        <w:rPr>
          <w:b/>
        </w:rPr>
        <w:t xml:space="preserve"> sudėtyje esančias medžiagas</w:t>
      </w:r>
    </w:p>
    <w:p w14:paraId="23DABC13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196DF3F4" w14:textId="77777777" w:rsidR="00922D8A" w:rsidRPr="008661CD" w:rsidRDefault="00922D8A" w:rsidP="008661CD">
      <w:pPr>
        <w:numPr>
          <w:ilvl w:val="12"/>
          <w:numId w:val="0"/>
        </w:numPr>
        <w:ind w:right="-2"/>
      </w:pPr>
      <w:proofErr w:type="spellStart"/>
      <w:r w:rsidRPr="008661CD">
        <w:t>Zinnat</w:t>
      </w:r>
      <w:proofErr w:type="spellEnd"/>
      <w:r w:rsidRPr="008661CD">
        <w:t xml:space="preserve"> tabletėse yra </w:t>
      </w:r>
      <w:proofErr w:type="spellStart"/>
      <w:r w:rsidRPr="008661CD">
        <w:t>parabenų</w:t>
      </w:r>
      <w:proofErr w:type="spellEnd"/>
      <w:r w:rsidRPr="008661CD">
        <w:t>, kurie gali sukelti alergines reakcijas, kurios gali būti uždelstos.</w:t>
      </w:r>
    </w:p>
    <w:p w14:paraId="4804881D" w14:textId="77777777" w:rsidR="00922D8A" w:rsidRPr="00405685" w:rsidRDefault="00922D8A" w:rsidP="008661CD">
      <w:pPr>
        <w:numPr>
          <w:ilvl w:val="12"/>
          <w:numId w:val="0"/>
        </w:numPr>
        <w:ind w:right="-2"/>
      </w:pPr>
      <w:bookmarkStart w:id="3" w:name="_Hlk536117510"/>
      <w:r w:rsidRPr="00405685">
        <w:t xml:space="preserve">Kiekvienoje 500 mg tabletėje yra 0,00506 mg natrio </w:t>
      </w:r>
      <w:proofErr w:type="spellStart"/>
      <w:r w:rsidRPr="00405685">
        <w:t>benzoato</w:t>
      </w:r>
      <w:proofErr w:type="spellEnd"/>
      <w:r w:rsidRPr="00405685">
        <w:t>.</w:t>
      </w:r>
    </w:p>
    <w:p w14:paraId="70E694AD" w14:textId="06DF7FDC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t>Šiame vaiste yra mažiau kaip 1 </w:t>
      </w:r>
      <w:proofErr w:type="spellStart"/>
      <w:r w:rsidRPr="008661CD">
        <w:t>mmol</w:t>
      </w:r>
      <w:proofErr w:type="spellEnd"/>
      <w:r w:rsidRPr="008661CD">
        <w:t xml:space="preserve"> (23 mg) natrio</w:t>
      </w:r>
      <w:r w:rsidR="008F2B0C">
        <w:t xml:space="preserve"> vienoje tabletėje</w:t>
      </w:r>
      <w:r w:rsidRPr="008661CD">
        <w:t>, t. y. jis beveik neturi reikšmės.</w:t>
      </w:r>
    </w:p>
    <w:bookmarkEnd w:id="3"/>
    <w:p w14:paraId="58E2B060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0B9532B6" w14:textId="77777777" w:rsidR="00922D8A" w:rsidRPr="003731A2" w:rsidRDefault="00922D8A" w:rsidP="000F3553">
      <w:pPr>
        <w:numPr>
          <w:ilvl w:val="0"/>
          <w:numId w:val="9"/>
        </w:numPr>
        <w:tabs>
          <w:tab w:val="clear" w:pos="720"/>
          <w:tab w:val="left" w:pos="-720"/>
          <w:tab w:val="left" w:pos="0"/>
        </w:tabs>
        <w:autoSpaceDE w:val="0"/>
        <w:autoSpaceDN w:val="0"/>
        <w:adjustRightInd w:val="0"/>
        <w:ind w:left="567" w:hanging="567"/>
        <w:rPr>
          <w:color w:val="000000"/>
        </w:rPr>
      </w:pPr>
      <w:r w:rsidRPr="003731A2">
        <w:rPr>
          <w:color w:val="000000"/>
        </w:rPr>
        <w:t xml:space="preserve">Ar Jums tinka vartoti </w:t>
      </w:r>
      <w:proofErr w:type="spellStart"/>
      <w:r w:rsidRPr="003731A2">
        <w:rPr>
          <w:color w:val="000000"/>
        </w:rPr>
        <w:t>Zinnat</w:t>
      </w:r>
      <w:proofErr w:type="spellEnd"/>
      <w:r w:rsidRPr="003731A2">
        <w:rPr>
          <w:color w:val="000000"/>
        </w:rPr>
        <w:t xml:space="preserve">, </w:t>
      </w:r>
      <w:r w:rsidRPr="003731A2">
        <w:rPr>
          <w:b/>
          <w:color w:val="000000"/>
        </w:rPr>
        <w:t>klauskite savo gydytojo.</w:t>
      </w:r>
    </w:p>
    <w:p w14:paraId="75C72FCE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bookmarkEnd w:id="2"/>
    <w:p w14:paraId="7581DACF" w14:textId="77777777" w:rsidR="00922D8A" w:rsidRPr="00A604A7" w:rsidRDefault="00922D8A" w:rsidP="008661CD">
      <w:pPr>
        <w:numPr>
          <w:ilvl w:val="12"/>
          <w:numId w:val="0"/>
        </w:numPr>
        <w:ind w:right="-2"/>
        <w:rPr>
          <w:lang w:val="en-US"/>
        </w:rPr>
      </w:pPr>
    </w:p>
    <w:p w14:paraId="11B42379" w14:textId="77777777" w:rsidR="00922D8A" w:rsidRPr="008661CD" w:rsidRDefault="00922D8A" w:rsidP="008661CD">
      <w:pPr>
        <w:keepNext/>
        <w:ind w:left="540" w:hanging="540"/>
        <w:rPr>
          <w:b/>
          <w:caps/>
        </w:rPr>
      </w:pPr>
      <w:r w:rsidRPr="008661CD">
        <w:rPr>
          <w:b/>
        </w:rPr>
        <w:t>3.</w:t>
      </w:r>
      <w:r w:rsidRPr="008661CD">
        <w:rPr>
          <w:b/>
        </w:rPr>
        <w:tab/>
        <w:t xml:space="preserve">Kaip vartoti </w:t>
      </w:r>
      <w:proofErr w:type="spellStart"/>
      <w:r w:rsidRPr="008661CD">
        <w:rPr>
          <w:b/>
        </w:rPr>
        <w:t>Zinnat</w:t>
      </w:r>
      <w:proofErr w:type="spellEnd"/>
    </w:p>
    <w:p w14:paraId="46C19E91" w14:textId="77777777" w:rsidR="00922D8A" w:rsidRPr="008661CD" w:rsidRDefault="00922D8A" w:rsidP="008661CD">
      <w:pPr>
        <w:keepNext/>
      </w:pPr>
    </w:p>
    <w:p w14:paraId="0CECF0B4" w14:textId="77777777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rPr>
          <w:b/>
        </w:rPr>
        <w:t>Šį vaistą visada vartokite tiksliai, kaip nurodė gydytojas arba vaistininkas</w:t>
      </w:r>
      <w:r w:rsidRPr="008661CD">
        <w:t>. Jeigu abejojate, kreipkitės į gydytoją arba vaistininką.</w:t>
      </w:r>
    </w:p>
    <w:p w14:paraId="78DADC90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7F4C82D6" w14:textId="77777777" w:rsidR="00922D8A" w:rsidRPr="008661CD" w:rsidRDefault="00922D8A" w:rsidP="008661CD">
      <w:pPr>
        <w:keepNext/>
        <w:autoSpaceDE w:val="0"/>
        <w:autoSpaceDN w:val="0"/>
        <w:adjustRightInd w:val="0"/>
      </w:pPr>
      <w:proofErr w:type="spellStart"/>
      <w:r w:rsidRPr="008661CD">
        <w:rPr>
          <w:b/>
        </w:rPr>
        <w:t>Zinnat</w:t>
      </w:r>
      <w:proofErr w:type="spellEnd"/>
      <w:r w:rsidRPr="008661CD">
        <w:rPr>
          <w:b/>
        </w:rPr>
        <w:t xml:space="preserve"> vartokite po valgio. </w:t>
      </w:r>
      <w:r w:rsidRPr="008661CD">
        <w:t>Tai padės padidinti gydymo veiksmingumą.</w:t>
      </w:r>
    </w:p>
    <w:p w14:paraId="354435C4" w14:textId="77777777" w:rsidR="00922D8A" w:rsidRPr="008661CD" w:rsidRDefault="00922D8A" w:rsidP="008661CD">
      <w:pPr>
        <w:keepNext/>
        <w:autoSpaceDE w:val="0"/>
        <w:autoSpaceDN w:val="0"/>
        <w:adjustRightInd w:val="0"/>
      </w:pPr>
    </w:p>
    <w:p w14:paraId="14CF7AF2" w14:textId="77777777" w:rsidR="00922D8A" w:rsidRPr="008661CD" w:rsidRDefault="00922D8A" w:rsidP="008661CD">
      <w:pPr>
        <w:keepNext/>
        <w:autoSpaceDE w:val="0"/>
        <w:autoSpaceDN w:val="0"/>
        <w:adjustRightInd w:val="0"/>
      </w:pPr>
      <w:r w:rsidRPr="008661CD">
        <w:t xml:space="preserve">Nurykite visą </w:t>
      </w:r>
      <w:proofErr w:type="spellStart"/>
      <w:r w:rsidRPr="008661CD">
        <w:t>Zinnat</w:t>
      </w:r>
      <w:proofErr w:type="spellEnd"/>
      <w:r w:rsidRPr="008661CD">
        <w:t xml:space="preserve"> tabletę užsigerdami nedideliu vandens kiekiu.</w:t>
      </w:r>
    </w:p>
    <w:p w14:paraId="76AC481D" w14:textId="77777777" w:rsidR="00922D8A" w:rsidRPr="008661CD" w:rsidRDefault="00922D8A" w:rsidP="008661CD">
      <w:pPr>
        <w:keepNext/>
        <w:autoSpaceDE w:val="0"/>
        <w:autoSpaceDN w:val="0"/>
        <w:adjustRightInd w:val="0"/>
      </w:pPr>
    </w:p>
    <w:p w14:paraId="4A577533" w14:textId="77777777" w:rsidR="00922D8A" w:rsidRPr="008661CD" w:rsidRDefault="00922D8A" w:rsidP="008661CD">
      <w:pPr>
        <w:autoSpaceDE w:val="0"/>
        <w:autoSpaceDN w:val="0"/>
        <w:adjustRightInd w:val="0"/>
      </w:pPr>
      <w:r w:rsidRPr="008661CD">
        <w:rPr>
          <w:b/>
        </w:rPr>
        <w:t xml:space="preserve">Tablečių negalima kramtyti, traiškyti arba dalyti </w:t>
      </w:r>
      <w:r w:rsidRPr="008661CD">
        <w:t>— tai gali sumažinti gydymo veiksmingumą.</w:t>
      </w:r>
    </w:p>
    <w:p w14:paraId="1837F853" w14:textId="77777777" w:rsidR="00922D8A" w:rsidRPr="008661CD" w:rsidRDefault="00922D8A" w:rsidP="008661CD">
      <w:pPr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</w:pPr>
    </w:p>
    <w:p w14:paraId="363E56FA" w14:textId="77777777" w:rsidR="00922D8A" w:rsidRPr="008661CD" w:rsidRDefault="00922D8A" w:rsidP="008661CD">
      <w:pPr>
        <w:keepNext/>
        <w:numPr>
          <w:ilvl w:val="12"/>
          <w:numId w:val="0"/>
        </w:numPr>
        <w:rPr>
          <w:b/>
        </w:rPr>
      </w:pPr>
      <w:r w:rsidRPr="008661CD">
        <w:rPr>
          <w:b/>
        </w:rPr>
        <w:t>Rekomenduojama dozė</w:t>
      </w:r>
    </w:p>
    <w:p w14:paraId="109B91F6" w14:textId="77777777" w:rsidR="00922D8A" w:rsidRPr="009C0DB0" w:rsidRDefault="00922D8A" w:rsidP="008661CD">
      <w:pPr>
        <w:keepNext/>
        <w:numPr>
          <w:ilvl w:val="12"/>
          <w:numId w:val="0"/>
        </w:numPr>
      </w:pPr>
    </w:p>
    <w:p w14:paraId="3B3B3560" w14:textId="27C22A07" w:rsidR="00922D8A" w:rsidRPr="008661CD" w:rsidRDefault="00922D8A" w:rsidP="008661CD">
      <w:pPr>
        <w:keepNext/>
        <w:numPr>
          <w:ilvl w:val="12"/>
          <w:numId w:val="0"/>
        </w:numPr>
        <w:rPr>
          <w:b/>
        </w:rPr>
      </w:pPr>
      <w:r w:rsidRPr="008661CD">
        <w:rPr>
          <w:b/>
        </w:rPr>
        <w:t>Suaugusiesiems</w:t>
      </w:r>
      <w:r w:rsidR="00C16D62">
        <w:rPr>
          <w:b/>
        </w:rPr>
        <w:t xml:space="preserve"> </w:t>
      </w:r>
      <w:r w:rsidR="00C16D62" w:rsidRPr="002E78FA">
        <w:rPr>
          <w:b/>
        </w:rPr>
        <w:t>ir vaikams, sveriantiems 40 kg ir daugiau.</w:t>
      </w:r>
    </w:p>
    <w:p w14:paraId="697B87C1" w14:textId="77777777" w:rsidR="00922D8A" w:rsidRPr="008661CD" w:rsidRDefault="00922D8A" w:rsidP="008661CD">
      <w:pPr>
        <w:keepNext/>
        <w:numPr>
          <w:ilvl w:val="12"/>
          <w:numId w:val="0"/>
        </w:numPr>
      </w:pPr>
      <w:r w:rsidRPr="008661CD">
        <w:t xml:space="preserve">Rekomenduojama </w:t>
      </w:r>
      <w:proofErr w:type="spellStart"/>
      <w:r w:rsidRPr="008661CD">
        <w:t>Zinnat</w:t>
      </w:r>
      <w:proofErr w:type="spellEnd"/>
      <w:r w:rsidRPr="008661CD">
        <w:t xml:space="preserve"> dozė yra nuo 250 mg iki 500 mg du kartus per parą, priklausomai nuo infekcinės ligos sunkumo ir tipo.</w:t>
      </w:r>
    </w:p>
    <w:p w14:paraId="4313D5D3" w14:textId="77777777" w:rsidR="00922D8A" w:rsidRPr="008661CD" w:rsidRDefault="00922D8A" w:rsidP="008661CD">
      <w:pPr>
        <w:keepNext/>
        <w:numPr>
          <w:ilvl w:val="12"/>
          <w:numId w:val="0"/>
        </w:numPr>
      </w:pPr>
    </w:p>
    <w:p w14:paraId="6AFEC9E7" w14:textId="30D29FE0" w:rsidR="00922D8A" w:rsidRDefault="00922D8A" w:rsidP="008661CD">
      <w:pPr>
        <w:keepNext/>
        <w:numPr>
          <w:ilvl w:val="12"/>
          <w:numId w:val="0"/>
        </w:numPr>
        <w:rPr>
          <w:b/>
        </w:rPr>
      </w:pPr>
      <w:r w:rsidRPr="008661CD">
        <w:rPr>
          <w:b/>
        </w:rPr>
        <w:t>Vaikams</w:t>
      </w:r>
      <w:r w:rsidR="00C16D62">
        <w:rPr>
          <w:b/>
        </w:rPr>
        <w:t xml:space="preserve">, </w:t>
      </w:r>
      <w:r w:rsidR="00C16D62" w:rsidRPr="002E78FA">
        <w:rPr>
          <w:b/>
        </w:rPr>
        <w:t>sveria</w:t>
      </w:r>
      <w:r w:rsidR="00C16D62">
        <w:rPr>
          <w:b/>
        </w:rPr>
        <w:t>ntiems</w:t>
      </w:r>
      <w:r w:rsidR="00C16D62" w:rsidRPr="002E78FA">
        <w:rPr>
          <w:b/>
        </w:rPr>
        <w:t xml:space="preserve"> mažiau kaip 40 kg.</w:t>
      </w:r>
    </w:p>
    <w:p w14:paraId="384EAABE" w14:textId="19ACAD31" w:rsidR="00C16D62" w:rsidRPr="00DC1740" w:rsidRDefault="00C16D62" w:rsidP="008661CD">
      <w:pPr>
        <w:keepNext/>
        <w:numPr>
          <w:ilvl w:val="12"/>
          <w:numId w:val="0"/>
        </w:numPr>
      </w:pPr>
      <w:r w:rsidRPr="002E78FA">
        <w:t xml:space="preserve">Vaikus, sveriančius mažiau kaip 40 kg, geriausia gydyti </w:t>
      </w:r>
      <w:proofErr w:type="spellStart"/>
      <w:r w:rsidRPr="002E78FA">
        <w:t>Zinnat</w:t>
      </w:r>
      <w:proofErr w:type="spellEnd"/>
      <w:r w:rsidRPr="002E78FA">
        <w:t xml:space="preserve"> geriamąja suspensija </w:t>
      </w:r>
      <w:r w:rsidRPr="000B6AE0">
        <w:t>arba paketėliais.</w:t>
      </w:r>
    </w:p>
    <w:p w14:paraId="4B94A358" w14:textId="6F62416C" w:rsidR="00922D8A" w:rsidRPr="008661CD" w:rsidRDefault="00922D8A" w:rsidP="008661CD">
      <w:pPr>
        <w:keepNext/>
        <w:numPr>
          <w:ilvl w:val="12"/>
          <w:numId w:val="0"/>
        </w:numPr>
      </w:pPr>
      <w:r w:rsidRPr="008661CD">
        <w:t xml:space="preserve">Rekomenduojama </w:t>
      </w:r>
      <w:proofErr w:type="spellStart"/>
      <w:r w:rsidRPr="008661CD">
        <w:t>Zinnat</w:t>
      </w:r>
      <w:proofErr w:type="spellEnd"/>
      <w:r w:rsidRPr="008661CD">
        <w:t xml:space="preserve"> dozė yra nuo 10 mg/kg (daugiausiai iki </w:t>
      </w:r>
      <w:r w:rsidR="00D32EF3">
        <w:t>250</w:t>
      </w:r>
      <w:r w:rsidRPr="008661CD">
        <w:t> mg) iki 15mg/kg (daugiausiai iki 250 mg) du kartus per parą, priklausomai nuo:</w:t>
      </w:r>
    </w:p>
    <w:p w14:paraId="204B4DB3" w14:textId="77777777" w:rsidR="00922D8A" w:rsidRPr="008661CD" w:rsidRDefault="00922D8A" w:rsidP="000F3553">
      <w:pPr>
        <w:keepNext/>
        <w:numPr>
          <w:ilvl w:val="0"/>
          <w:numId w:val="10"/>
        </w:numPr>
        <w:tabs>
          <w:tab w:val="left" w:pos="567"/>
        </w:tabs>
        <w:ind w:left="765" w:hanging="765"/>
      </w:pPr>
      <w:r w:rsidRPr="008661CD">
        <w:t>infekcinės ligos sunkumo ir infekcijos rūšies.</w:t>
      </w:r>
    </w:p>
    <w:p w14:paraId="03F080A2" w14:textId="77777777" w:rsidR="00922D8A" w:rsidRPr="008661CD" w:rsidRDefault="00922D8A" w:rsidP="008661CD">
      <w:pPr>
        <w:keepNext/>
      </w:pPr>
    </w:p>
    <w:p w14:paraId="3C836799" w14:textId="77777777" w:rsidR="00922D8A" w:rsidRPr="008661CD" w:rsidRDefault="00922D8A" w:rsidP="008661CD">
      <w:pPr>
        <w:autoSpaceDE w:val="0"/>
        <w:autoSpaceDN w:val="0"/>
        <w:adjustRightInd w:val="0"/>
      </w:pPr>
      <w:proofErr w:type="spellStart"/>
      <w:r w:rsidRPr="008661CD">
        <w:rPr>
          <w:b/>
        </w:rPr>
        <w:t>Zinnat</w:t>
      </w:r>
      <w:proofErr w:type="spellEnd"/>
      <w:r w:rsidRPr="008661CD">
        <w:rPr>
          <w:b/>
        </w:rPr>
        <w:t xml:space="preserve"> nerekomenduojama vartoti jaunesniems kaip 3 mėnesių kūdikiams</w:t>
      </w:r>
      <w:r w:rsidRPr="008661CD">
        <w:t>, nes saugumas ir veiksmingumas šio amžiaus grupės pacientams nežinomas.</w:t>
      </w:r>
    </w:p>
    <w:p w14:paraId="182A1A86" w14:textId="77777777" w:rsidR="00922D8A" w:rsidRPr="008661CD" w:rsidRDefault="00922D8A" w:rsidP="008661CD">
      <w:pPr>
        <w:autoSpaceDE w:val="0"/>
        <w:autoSpaceDN w:val="0"/>
        <w:adjustRightInd w:val="0"/>
      </w:pPr>
    </w:p>
    <w:p w14:paraId="2248342A" w14:textId="77777777" w:rsidR="00922D8A" w:rsidRPr="008661CD" w:rsidRDefault="00922D8A" w:rsidP="008661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</w:pPr>
      <w:r w:rsidRPr="008661CD">
        <w:t>Atsižvelgiant į ligą ir kaip Jūs arba Jūsų vaikas reaguoja į gydymą, pradinė dozė gali būti keičiama arba gali prireikti daugiau nei vieno gydymo kurso.</w:t>
      </w:r>
    </w:p>
    <w:p w14:paraId="4705EC8D" w14:textId="77777777" w:rsidR="00922D8A" w:rsidRPr="008661CD" w:rsidRDefault="00922D8A" w:rsidP="008661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</w:pPr>
    </w:p>
    <w:p w14:paraId="4950A707" w14:textId="73868B41" w:rsidR="00922D8A" w:rsidRPr="008661CD" w:rsidRDefault="00922D8A" w:rsidP="008661CD">
      <w:pPr>
        <w:keepNext/>
        <w:numPr>
          <w:ilvl w:val="12"/>
          <w:numId w:val="0"/>
        </w:numPr>
        <w:rPr>
          <w:b/>
        </w:rPr>
      </w:pPr>
      <w:r w:rsidRPr="008661CD">
        <w:rPr>
          <w:b/>
        </w:rPr>
        <w:t xml:space="preserve">Pacientams, </w:t>
      </w:r>
      <w:r w:rsidR="0059070D">
        <w:rPr>
          <w:b/>
        </w:rPr>
        <w:t>kurių inkstų funkcija sutrikusi</w:t>
      </w:r>
    </w:p>
    <w:p w14:paraId="36248E29" w14:textId="77777777" w:rsidR="00922D8A" w:rsidRPr="008661CD" w:rsidRDefault="00922D8A" w:rsidP="008661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</w:pPr>
    </w:p>
    <w:p w14:paraId="336E93D6" w14:textId="77777777" w:rsidR="00922D8A" w:rsidRPr="008661CD" w:rsidRDefault="00922D8A" w:rsidP="008661CD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8661CD">
        <w:t>Jeigu Jums yra inkstų funkcijos sutrikimas, Jūsų gydytojas gali keisti Jums skirtą dozę.</w:t>
      </w:r>
    </w:p>
    <w:p w14:paraId="342A4386" w14:textId="77777777" w:rsidR="00922D8A" w:rsidRPr="008661CD" w:rsidRDefault="00922D8A" w:rsidP="000F3553">
      <w:pPr>
        <w:numPr>
          <w:ilvl w:val="0"/>
          <w:numId w:val="9"/>
        </w:numPr>
        <w:tabs>
          <w:tab w:val="clear" w:pos="720"/>
          <w:tab w:val="left" w:pos="-720"/>
          <w:tab w:val="left" w:pos="0"/>
          <w:tab w:val="left" w:pos="540"/>
          <w:tab w:val="num" w:pos="567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hanging="720"/>
        <w:rPr>
          <w:color w:val="000000"/>
        </w:rPr>
      </w:pPr>
      <w:r w:rsidRPr="008661CD">
        <w:rPr>
          <w:b/>
          <w:color w:val="000000"/>
        </w:rPr>
        <w:t xml:space="preserve">Pasakykite gydytojui, </w:t>
      </w:r>
      <w:r w:rsidRPr="008661CD">
        <w:rPr>
          <w:color w:val="000000"/>
        </w:rPr>
        <w:t>jeigu yra tokia aplinkybė.</w:t>
      </w:r>
    </w:p>
    <w:p w14:paraId="546D29CB" w14:textId="77777777" w:rsidR="00922D8A" w:rsidRPr="009C0DB0" w:rsidRDefault="00922D8A" w:rsidP="008661CD">
      <w:pPr>
        <w:ind w:left="567" w:hanging="567"/>
      </w:pPr>
    </w:p>
    <w:p w14:paraId="7AE940D6" w14:textId="2774B36A" w:rsidR="00922D8A" w:rsidRPr="008661CD" w:rsidRDefault="00922D8A" w:rsidP="008661CD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</w:rPr>
      </w:pPr>
      <w:r w:rsidRPr="008661CD">
        <w:rPr>
          <w:b/>
        </w:rPr>
        <w:t xml:space="preserve">Ką daryti pavartojus per didelę </w:t>
      </w:r>
      <w:proofErr w:type="spellStart"/>
      <w:r w:rsidRPr="008661CD">
        <w:rPr>
          <w:b/>
        </w:rPr>
        <w:t>Zinnat</w:t>
      </w:r>
      <w:proofErr w:type="spellEnd"/>
      <w:r w:rsidRPr="008661CD">
        <w:rPr>
          <w:b/>
        </w:rPr>
        <w:t xml:space="preserve"> dozę</w:t>
      </w:r>
    </w:p>
    <w:p w14:paraId="616947C1" w14:textId="77777777" w:rsidR="00922D8A" w:rsidRPr="009C0DB0" w:rsidRDefault="00922D8A" w:rsidP="008661CD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</w:pPr>
    </w:p>
    <w:p w14:paraId="1EF29440" w14:textId="77777777" w:rsidR="00922D8A" w:rsidRPr="008661CD" w:rsidRDefault="00922D8A" w:rsidP="008661CD">
      <w:pPr>
        <w:keepNext/>
        <w:autoSpaceDE w:val="0"/>
        <w:autoSpaceDN w:val="0"/>
        <w:adjustRightInd w:val="0"/>
        <w:rPr>
          <w:color w:val="000000"/>
        </w:rPr>
      </w:pPr>
      <w:r w:rsidRPr="008661CD">
        <w:rPr>
          <w:color w:val="000000"/>
        </w:rPr>
        <w:t xml:space="preserve">Jeigu išgėrėte per daug </w:t>
      </w:r>
      <w:proofErr w:type="spellStart"/>
      <w:r w:rsidRPr="008661CD">
        <w:rPr>
          <w:color w:val="000000"/>
        </w:rPr>
        <w:t>Zinnat</w:t>
      </w:r>
      <w:proofErr w:type="spellEnd"/>
      <w:r w:rsidRPr="008661CD">
        <w:rPr>
          <w:color w:val="000000"/>
        </w:rPr>
        <w:t xml:space="preserve">, Jums gali atsirasti neurologinių sutrikimų, ypač gali </w:t>
      </w:r>
      <w:r w:rsidRPr="008661CD">
        <w:rPr>
          <w:b/>
          <w:color w:val="000000"/>
        </w:rPr>
        <w:t xml:space="preserve">padidėti traukulių </w:t>
      </w:r>
      <w:r w:rsidRPr="008661CD">
        <w:rPr>
          <w:i/>
          <w:color w:val="000000"/>
        </w:rPr>
        <w:t xml:space="preserve">(priepuolių) </w:t>
      </w:r>
      <w:r w:rsidRPr="008661CD">
        <w:rPr>
          <w:b/>
          <w:color w:val="000000"/>
        </w:rPr>
        <w:t>atsiradimo tikimybė</w:t>
      </w:r>
      <w:r w:rsidRPr="008661CD">
        <w:rPr>
          <w:b/>
          <w:i/>
          <w:color w:val="000000"/>
        </w:rPr>
        <w:t>.</w:t>
      </w:r>
    </w:p>
    <w:p w14:paraId="5B2E2C9F" w14:textId="77777777" w:rsidR="00922D8A" w:rsidRPr="008661CD" w:rsidRDefault="00922D8A" w:rsidP="000F3553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color w:val="000000"/>
        </w:rPr>
      </w:pPr>
      <w:r w:rsidRPr="008661CD">
        <w:rPr>
          <w:b/>
          <w:color w:val="000000"/>
        </w:rPr>
        <w:t>Nedelskite.</w:t>
      </w:r>
      <w:r w:rsidRPr="008661CD">
        <w:rPr>
          <w:color w:val="000000"/>
        </w:rPr>
        <w:t xml:space="preserve"> </w:t>
      </w:r>
      <w:r w:rsidRPr="008661CD">
        <w:rPr>
          <w:b/>
          <w:color w:val="000000"/>
        </w:rPr>
        <w:t>Nedelsdami kreipkitės į gydytoją arba vykite į artimiausios ligoninės priėmimo skyrių</w:t>
      </w:r>
      <w:r w:rsidRPr="008661CD">
        <w:rPr>
          <w:color w:val="000000"/>
        </w:rPr>
        <w:t xml:space="preserve">. Jeigu įmanoma, parodykite gydytojui </w:t>
      </w:r>
      <w:proofErr w:type="spellStart"/>
      <w:r w:rsidRPr="008661CD">
        <w:rPr>
          <w:color w:val="000000"/>
        </w:rPr>
        <w:t>Zinnat</w:t>
      </w:r>
      <w:proofErr w:type="spellEnd"/>
      <w:r w:rsidRPr="008661CD">
        <w:rPr>
          <w:color w:val="000000"/>
        </w:rPr>
        <w:t xml:space="preserve"> pakuotę.</w:t>
      </w:r>
    </w:p>
    <w:p w14:paraId="1572B3A5" w14:textId="77777777" w:rsidR="00922D8A" w:rsidRPr="009C0DB0" w:rsidRDefault="00922D8A" w:rsidP="008661CD">
      <w:pPr>
        <w:ind w:left="567" w:hanging="567"/>
      </w:pPr>
    </w:p>
    <w:p w14:paraId="6C627949" w14:textId="77777777" w:rsidR="00922D8A" w:rsidRPr="008661CD" w:rsidRDefault="00922D8A" w:rsidP="008661CD">
      <w:pPr>
        <w:ind w:left="567" w:hanging="567"/>
        <w:rPr>
          <w:b/>
        </w:rPr>
      </w:pPr>
      <w:r w:rsidRPr="008661CD">
        <w:rPr>
          <w:b/>
        </w:rPr>
        <w:t xml:space="preserve">Pamiršus pavartoti </w:t>
      </w:r>
      <w:proofErr w:type="spellStart"/>
      <w:r w:rsidRPr="008661CD">
        <w:rPr>
          <w:b/>
        </w:rPr>
        <w:t>Zinnat</w:t>
      </w:r>
      <w:proofErr w:type="spellEnd"/>
    </w:p>
    <w:p w14:paraId="18D3D624" w14:textId="77777777" w:rsidR="00922D8A" w:rsidRPr="008661CD" w:rsidRDefault="00922D8A" w:rsidP="008661CD">
      <w:pPr>
        <w:ind w:left="567" w:hanging="567"/>
      </w:pPr>
    </w:p>
    <w:p w14:paraId="11CAD6DB" w14:textId="77777777" w:rsidR="00922D8A" w:rsidRPr="008661CD" w:rsidRDefault="00922D8A" w:rsidP="008661CD">
      <w:r w:rsidRPr="008661CD">
        <w:rPr>
          <w:b/>
        </w:rPr>
        <w:t>Negalima vartoti dvigubos dozės norint kompensuoti praleistą dozę</w:t>
      </w:r>
      <w:r w:rsidRPr="008661CD">
        <w:t>. Tik išgerkite kitą dozę įprastu laiku.</w:t>
      </w:r>
    </w:p>
    <w:p w14:paraId="2DA156BE" w14:textId="77777777" w:rsidR="00922D8A" w:rsidRPr="008661CD" w:rsidRDefault="00922D8A" w:rsidP="008661CD">
      <w:pPr>
        <w:ind w:left="567" w:hanging="567"/>
      </w:pPr>
    </w:p>
    <w:p w14:paraId="21897FEE" w14:textId="77777777" w:rsidR="00922D8A" w:rsidRPr="008661CD" w:rsidRDefault="00922D8A" w:rsidP="008661CD">
      <w:pPr>
        <w:numPr>
          <w:ilvl w:val="12"/>
          <w:numId w:val="0"/>
        </w:numPr>
        <w:ind w:right="-2"/>
        <w:outlineLvl w:val="0"/>
        <w:rPr>
          <w:b/>
        </w:rPr>
      </w:pPr>
      <w:r w:rsidRPr="008661CD">
        <w:rPr>
          <w:b/>
        </w:rPr>
        <w:t xml:space="preserve">Nustojus vartoti </w:t>
      </w:r>
      <w:proofErr w:type="spellStart"/>
      <w:r w:rsidRPr="008661CD">
        <w:rPr>
          <w:b/>
        </w:rPr>
        <w:t>Zinnat</w:t>
      </w:r>
      <w:proofErr w:type="spellEnd"/>
    </w:p>
    <w:p w14:paraId="32FD9D30" w14:textId="77777777" w:rsidR="00922D8A" w:rsidRPr="009C0DB0" w:rsidRDefault="00922D8A" w:rsidP="008661CD">
      <w:pPr>
        <w:numPr>
          <w:ilvl w:val="12"/>
          <w:numId w:val="0"/>
        </w:numPr>
        <w:ind w:right="-2"/>
        <w:outlineLvl w:val="0"/>
      </w:pPr>
    </w:p>
    <w:p w14:paraId="4683F81A" w14:textId="77777777" w:rsidR="00922D8A" w:rsidRPr="008661CD" w:rsidRDefault="00922D8A" w:rsidP="008661CD">
      <w:pPr>
        <w:numPr>
          <w:ilvl w:val="12"/>
          <w:numId w:val="0"/>
        </w:numPr>
        <w:ind w:right="-2"/>
        <w:outlineLvl w:val="0"/>
        <w:rPr>
          <w:b/>
        </w:rPr>
      </w:pPr>
      <w:r w:rsidRPr="008661CD">
        <w:rPr>
          <w:b/>
        </w:rPr>
        <w:t xml:space="preserve">Nenutraukite </w:t>
      </w:r>
      <w:proofErr w:type="spellStart"/>
      <w:r w:rsidRPr="008661CD">
        <w:rPr>
          <w:b/>
        </w:rPr>
        <w:t>Zinnat</w:t>
      </w:r>
      <w:proofErr w:type="spellEnd"/>
      <w:r w:rsidRPr="008661CD">
        <w:rPr>
          <w:b/>
        </w:rPr>
        <w:t xml:space="preserve"> vartojimo be nurodymo.</w:t>
      </w:r>
    </w:p>
    <w:p w14:paraId="4FD1EA17" w14:textId="77777777" w:rsidR="00922D8A" w:rsidRPr="009C0DB0" w:rsidRDefault="00922D8A" w:rsidP="008661CD">
      <w:pPr>
        <w:numPr>
          <w:ilvl w:val="12"/>
          <w:numId w:val="0"/>
        </w:numPr>
        <w:ind w:right="-2"/>
        <w:outlineLvl w:val="0"/>
      </w:pPr>
    </w:p>
    <w:p w14:paraId="430E5CBB" w14:textId="77777777" w:rsidR="00922D8A" w:rsidRPr="008661CD" w:rsidRDefault="00922D8A" w:rsidP="008661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</w:pPr>
      <w:r w:rsidRPr="008661CD">
        <w:rPr>
          <w:b/>
        </w:rPr>
        <w:t xml:space="preserve">Svarbu, kad užbaigtumėte visą </w:t>
      </w:r>
      <w:proofErr w:type="spellStart"/>
      <w:r w:rsidRPr="008661CD">
        <w:rPr>
          <w:b/>
        </w:rPr>
        <w:t>Zinnat</w:t>
      </w:r>
      <w:proofErr w:type="spellEnd"/>
      <w:r w:rsidRPr="008661CD">
        <w:rPr>
          <w:b/>
        </w:rPr>
        <w:t xml:space="preserve"> kursą.</w:t>
      </w:r>
      <w:r w:rsidRPr="008661CD">
        <w:t xml:space="preserve"> Nenutraukite vaisto vartojimo be gydytojo nurodymo, net jeigu geriau jaučiatės. Nebaigus viso gydymo kurso, infekcinė liga gali atsinaujinti.</w:t>
      </w:r>
    </w:p>
    <w:p w14:paraId="19084CC0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6E751AEB" w14:textId="77777777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t>Jei kiltų daugiau klausimų dėl šio vaisto vartojimo, kreipkitės į gydytoją ar vaistininką.</w:t>
      </w:r>
    </w:p>
    <w:p w14:paraId="1D9699EA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359B7941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288784E3" w14:textId="77777777" w:rsidR="00922D8A" w:rsidRPr="008661CD" w:rsidRDefault="00922D8A" w:rsidP="000F3553">
      <w:pPr>
        <w:keepNext/>
        <w:numPr>
          <w:ilvl w:val="12"/>
          <w:numId w:val="0"/>
        </w:numPr>
        <w:ind w:left="567" w:hanging="567"/>
        <w:outlineLvl w:val="0"/>
        <w:rPr>
          <w:b/>
          <w:caps/>
        </w:rPr>
      </w:pPr>
      <w:r w:rsidRPr="008661CD">
        <w:rPr>
          <w:b/>
          <w:caps/>
        </w:rPr>
        <w:t>4.</w:t>
      </w:r>
      <w:r w:rsidRPr="008661CD">
        <w:rPr>
          <w:b/>
          <w:caps/>
        </w:rPr>
        <w:tab/>
      </w:r>
      <w:r w:rsidRPr="008661CD">
        <w:rPr>
          <w:b/>
        </w:rPr>
        <w:t>Galimas šalutinis poveikis</w:t>
      </w:r>
    </w:p>
    <w:p w14:paraId="7201BCDF" w14:textId="77777777" w:rsidR="00922D8A" w:rsidRPr="008661CD" w:rsidRDefault="00922D8A" w:rsidP="008661CD">
      <w:pPr>
        <w:keepNext/>
        <w:ind w:left="567" w:hanging="567"/>
      </w:pPr>
    </w:p>
    <w:p w14:paraId="47B7B0FF" w14:textId="77777777" w:rsidR="00922D8A" w:rsidRPr="008661CD" w:rsidRDefault="00922D8A" w:rsidP="008661CD">
      <w:pPr>
        <w:ind w:left="567" w:hanging="567"/>
      </w:pPr>
      <w:r w:rsidRPr="008661CD">
        <w:t>Šis vaistas, kaip ir visi kiti, gali sukelti šalutinį poveikį, nors jis pasireiškia ne visiems žmonėms.</w:t>
      </w:r>
    </w:p>
    <w:p w14:paraId="6D0DF562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4B8BAD22" w14:textId="77777777" w:rsidR="00922D8A" w:rsidRPr="008661CD" w:rsidRDefault="00922D8A" w:rsidP="008661CD">
      <w:pPr>
        <w:keepNext/>
        <w:outlineLvl w:val="0"/>
        <w:rPr>
          <w:b/>
          <w:color w:val="000000"/>
        </w:rPr>
      </w:pPr>
      <w:r w:rsidRPr="008661CD">
        <w:rPr>
          <w:b/>
          <w:color w:val="000000"/>
        </w:rPr>
        <w:t>Būklės, į kurias reikia atkreipti dėmesį</w:t>
      </w:r>
    </w:p>
    <w:p w14:paraId="487DC6FF" w14:textId="77777777" w:rsidR="00922D8A" w:rsidRPr="009C0DB0" w:rsidRDefault="00922D8A" w:rsidP="008661CD">
      <w:pPr>
        <w:keepNext/>
        <w:outlineLvl w:val="0"/>
        <w:rPr>
          <w:color w:val="000000"/>
        </w:rPr>
      </w:pPr>
    </w:p>
    <w:p w14:paraId="0EC41979" w14:textId="4313A1A1" w:rsidR="00922D8A" w:rsidRPr="008661CD" w:rsidRDefault="00922D8A" w:rsidP="008661CD">
      <w:pPr>
        <w:keepNext/>
        <w:outlineLvl w:val="0"/>
      </w:pPr>
      <w:r w:rsidRPr="008661CD">
        <w:t xml:space="preserve">Mažai daliai </w:t>
      </w:r>
      <w:proofErr w:type="spellStart"/>
      <w:r w:rsidRPr="008661CD">
        <w:t>Zinnat</w:t>
      </w:r>
      <w:proofErr w:type="spellEnd"/>
      <w:r w:rsidRPr="008661CD">
        <w:t xml:space="preserve"> vartojančių žmonių pasireiškė alerginė reakcija arba galinti būti sunki odos reakcija. Tokių reakcijų simptomai yra:</w:t>
      </w:r>
    </w:p>
    <w:p w14:paraId="1411F035" w14:textId="77777777" w:rsidR="00922D8A" w:rsidRDefault="00922D8A" w:rsidP="00DC1740">
      <w:pPr>
        <w:pStyle w:val="Bullet"/>
        <w:numPr>
          <w:ilvl w:val="0"/>
          <w:numId w:val="29"/>
        </w:numPr>
        <w:ind w:left="562" w:hanging="562"/>
        <w:rPr>
          <w:lang w:val="lt-LT"/>
        </w:rPr>
      </w:pPr>
      <w:r w:rsidRPr="000F3553">
        <w:rPr>
          <w:b/>
          <w:lang w:val="lt-LT"/>
        </w:rPr>
        <w:t>sunki alerginė reakcija</w:t>
      </w:r>
      <w:r w:rsidRPr="000F3553">
        <w:rPr>
          <w:lang w:val="lt-LT"/>
        </w:rPr>
        <w:t xml:space="preserve">. Požymiai gali būti </w:t>
      </w:r>
      <w:r w:rsidRPr="000F3553">
        <w:rPr>
          <w:b/>
          <w:lang w:val="lt-LT"/>
        </w:rPr>
        <w:t xml:space="preserve">iškilusis niežtintysis </w:t>
      </w:r>
      <w:r w:rsidR="0059070D">
        <w:rPr>
          <w:b/>
          <w:lang w:val="lt-LT"/>
        </w:rPr>
        <w:t>iš</w:t>
      </w:r>
      <w:r w:rsidRPr="000F3553">
        <w:rPr>
          <w:b/>
          <w:lang w:val="lt-LT"/>
        </w:rPr>
        <w:t>bėrimas, patinimas</w:t>
      </w:r>
      <w:r w:rsidRPr="000F3553">
        <w:rPr>
          <w:lang w:val="lt-LT"/>
        </w:rPr>
        <w:t xml:space="preserve">, kartais veido ar burnos, dėl kurio </w:t>
      </w:r>
      <w:r w:rsidRPr="000F3553">
        <w:rPr>
          <w:b/>
          <w:lang w:val="lt-LT"/>
        </w:rPr>
        <w:t>pasunkėja kvėpavimas</w:t>
      </w:r>
      <w:r w:rsidRPr="000F3553">
        <w:rPr>
          <w:lang w:val="lt-LT"/>
        </w:rPr>
        <w:t>;</w:t>
      </w:r>
    </w:p>
    <w:p w14:paraId="566330EA" w14:textId="02F02ABE" w:rsidR="00C16D62" w:rsidRPr="002F41B1" w:rsidRDefault="00C16D62" w:rsidP="00DC1740">
      <w:pPr>
        <w:pStyle w:val="Bullet"/>
        <w:numPr>
          <w:ilvl w:val="0"/>
          <w:numId w:val="29"/>
        </w:numPr>
        <w:spacing w:before="0"/>
        <w:ind w:left="562" w:hanging="562"/>
        <w:rPr>
          <w:noProof/>
        </w:rPr>
      </w:pPr>
      <w:r w:rsidRPr="00AE79A1">
        <w:rPr>
          <w:b/>
          <w:bCs/>
          <w:noProof/>
        </w:rPr>
        <w:t>išplitęs bėrimas, aukšta kūno temperatūra</w:t>
      </w:r>
      <w:r w:rsidRPr="002F41B1">
        <w:rPr>
          <w:noProof/>
        </w:rPr>
        <w:t xml:space="preserve"> ir </w:t>
      </w:r>
      <w:r w:rsidRPr="00AE79A1">
        <w:rPr>
          <w:b/>
          <w:bCs/>
          <w:noProof/>
        </w:rPr>
        <w:t>padidėję limfmazgiai</w:t>
      </w:r>
      <w:r w:rsidRPr="002F41B1">
        <w:rPr>
          <w:noProof/>
        </w:rPr>
        <w:t xml:space="preserve"> (DRESS</w:t>
      </w:r>
      <w:r>
        <w:rPr>
          <w:noProof/>
        </w:rPr>
        <w:t xml:space="preserve"> </w:t>
      </w:r>
      <w:r w:rsidRPr="002F41B1">
        <w:rPr>
          <w:noProof/>
        </w:rPr>
        <w:t>sindromas ar padidėjusio jautrumo vaistui sindromas)</w:t>
      </w:r>
      <w:r w:rsidR="00045FA2">
        <w:rPr>
          <w:noProof/>
        </w:rPr>
        <w:t>;</w:t>
      </w:r>
    </w:p>
    <w:p w14:paraId="23D2B3D2" w14:textId="51B89B35" w:rsidR="00C16D62" w:rsidRPr="00DC1740" w:rsidRDefault="00C16D62" w:rsidP="00DC1740">
      <w:pPr>
        <w:pStyle w:val="Bullet"/>
        <w:numPr>
          <w:ilvl w:val="0"/>
          <w:numId w:val="29"/>
        </w:numPr>
        <w:spacing w:before="0"/>
        <w:ind w:left="562" w:hanging="562"/>
        <w:rPr>
          <w:noProof/>
        </w:rPr>
      </w:pPr>
      <w:r w:rsidRPr="00DC1740">
        <w:rPr>
          <w:b/>
          <w:bCs/>
          <w:noProof/>
        </w:rPr>
        <w:t>krūtinės skausmas pasireiškus alerginėms reakcijoms</w:t>
      </w:r>
      <w:r w:rsidRPr="002F41B1">
        <w:rPr>
          <w:noProof/>
        </w:rPr>
        <w:t xml:space="preserve"> – tai gali būti </w:t>
      </w:r>
      <w:r w:rsidRPr="00DC1740">
        <w:rPr>
          <w:b/>
          <w:bCs/>
          <w:noProof/>
        </w:rPr>
        <w:t>alergijos sukelto širdies infarkto</w:t>
      </w:r>
      <w:r w:rsidRPr="002F41B1">
        <w:rPr>
          <w:noProof/>
        </w:rPr>
        <w:t xml:space="preserve"> simptomas (</w:t>
      </w:r>
      <w:r w:rsidRPr="00AA4BD0">
        <w:rPr>
          <w:i/>
          <w:iCs/>
          <w:noProof/>
        </w:rPr>
        <w:t>Kounis</w:t>
      </w:r>
      <w:r w:rsidRPr="002F41B1">
        <w:rPr>
          <w:noProof/>
        </w:rPr>
        <w:t xml:space="preserve"> sindromas)</w:t>
      </w:r>
      <w:r w:rsidR="00045FA2">
        <w:rPr>
          <w:noProof/>
        </w:rPr>
        <w:t>;</w:t>
      </w:r>
    </w:p>
    <w:p w14:paraId="0F38CC0B" w14:textId="77777777" w:rsidR="00922D8A" w:rsidRPr="00AA08CA" w:rsidRDefault="00922D8A" w:rsidP="000F3553">
      <w:pPr>
        <w:pStyle w:val="Bullet"/>
        <w:numPr>
          <w:ilvl w:val="0"/>
          <w:numId w:val="18"/>
        </w:numPr>
        <w:tabs>
          <w:tab w:val="clear" w:pos="284"/>
          <w:tab w:val="num" w:pos="561"/>
        </w:tabs>
        <w:spacing w:before="0"/>
        <w:ind w:left="561" w:hanging="561"/>
        <w:rPr>
          <w:lang w:val="lt-LT"/>
        </w:rPr>
      </w:pPr>
      <w:r w:rsidRPr="000F3553">
        <w:rPr>
          <w:b/>
          <w:lang w:val="lt-LT"/>
        </w:rPr>
        <w:t xml:space="preserve">odos </w:t>
      </w:r>
      <w:r w:rsidR="0059070D">
        <w:rPr>
          <w:b/>
          <w:lang w:val="lt-LT"/>
        </w:rPr>
        <w:t>iš</w:t>
      </w:r>
      <w:r w:rsidRPr="000F3553">
        <w:rPr>
          <w:b/>
          <w:lang w:val="lt-LT"/>
        </w:rPr>
        <w:t>bėrimas</w:t>
      </w:r>
      <w:r w:rsidRPr="000F3553">
        <w:rPr>
          <w:lang w:val="lt-LT"/>
        </w:rPr>
        <w:t xml:space="preserve">, kuris gali apsitraukti </w:t>
      </w:r>
      <w:r w:rsidRPr="000F3553">
        <w:rPr>
          <w:b/>
          <w:lang w:val="lt-LT"/>
        </w:rPr>
        <w:t>pūslėmis</w:t>
      </w:r>
      <w:r w:rsidRPr="000F3553">
        <w:rPr>
          <w:lang w:val="lt-LT"/>
        </w:rPr>
        <w:t xml:space="preserve"> ar atrodyti kaip </w:t>
      </w:r>
      <w:r w:rsidRPr="000F3553">
        <w:rPr>
          <w:b/>
          <w:lang w:val="lt-LT"/>
        </w:rPr>
        <w:t>maži taikiniai</w:t>
      </w:r>
      <w:r w:rsidRPr="000F3553">
        <w:rPr>
          <w:lang w:val="lt-LT"/>
        </w:rPr>
        <w:t xml:space="preserve"> (centre tamsus taškas, apsuptas blyškesnės srities, o iš krašto apjuostas tamsaus žiedo);</w:t>
      </w:r>
    </w:p>
    <w:p w14:paraId="10F86A9C" w14:textId="77777777" w:rsidR="00922D8A" w:rsidRPr="00AA08CA" w:rsidRDefault="00922D8A" w:rsidP="000F3553">
      <w:pPr>
        <w:pStyle w:val="Bullet"/>
        <w:numPr>
          <w:ilvl w:val="0"/>
          <w:numId w:val="18"/>
        </w:numPr>
        <w:tabs>
          <w:tab w:val="clear" w:pos="284"/>
          <w:tab w:val="num" w:pos="561"/>
        </w:tabs>
        <w:spacing w:before="0"/>
        <w:ind w:left="561" w:hanging="561"/>
        <w:rPr>
          <w:lang w:val="lt-LT"/>
        </w:rPr>
      </w:pPr>
      <w:r w:rsidRPr="000F3553">
        <w:rPr>
          <w:b/>
          <w:lang w:val="lt-LT"/>
        </w:rPr>
        <w:t xml:space="preserve">išplitęs </w:t>
      </w:r>
      <w:r w:rsidR="0059070D">
        <w:rPr>
          <w:b/>
          <w:lang w:val="lt-LT"/>
        </w:rPr>
        <w:t>iš</w:t>
      </w:r>
      <w:r w:rsidRPr="000F3553">
        <w:rPr>
          <w:b/>
          <w:lang w:val="lt-LT"/>
        </w:rPr>
        <w:t>bėrimas</w:t>
      </w:r>
      <w:r w:rsidRPr="000F3553">
        <w:rPr>
          <w:lang w:val="lt-LT"/>
        </w:rPr>
        <w:t xml:space="preserve"> su </w:t>
      </w:r>
      <w:r w:rsidRPr="000F3553">
        <w:rPr>
          <w:b/>
          <w:lang w:val="lt-LT"/>
        </w:rPr>
        <w:t>pūslėmis</w:t>
      </w:r>
      <w:r w:rsidRPr="000F3553">
        <w:rPr>
          <w:lang w:val="lt-LT"/>
        </w:rPr>
        <w:t xml:space="preserve"> ir </w:t>
      </w:r>
      <w:r w:rsidRPr="000F3553">
        <w:rPr>
          <w:b/>
          <w:lang w:val="lt-LT"/>
        </w:rPr>
        <w:t>odos lupimusi</w:t>
      </w:r>
      <w:r w:rsidRPr="000F3553">
        <w:rPr>
          <w:lang w:val="lt-LT"/>
        </w:rPr>
        <w:t xml:space="preserve"> (tai gali būti </w:t>
      </w:r>
      <w:proofErr w:type="spellStart"/>
      <w:r w:rsidRPr="00DC1740">
        <w:rPr>
          <w:iCs/>
          <w:lang w:val="lt-LT"/>
        </w:rPr>
        <w:t>Stevens-Johnson</w:t>
      </w:r>
      <w:proofErr w:type="spellEnd"/>
      <w:r w:rsidRPr="00DC1740">
        <w:rPr>
          <w:iCs/>
          <w:lang w:val="lt-LT"/>
        </w:rPr>
        <w:t xml:space="preserve"> sindromo</w:t>
      </w:r>
      <w:r w:rsidRPr="00C16D62">
        <w:rPr>
          <w:iCs/>
          <w:lang w:val="lt-LT"/>
        </w:rPr>
        <w:t xml:space="preserve"> arba </w:t>
      </w:r>
      <w:r w:rsidRPr="00DC1740">
        <w:rPr>
          <w:iCs/>
          <w:lang w:val="lt-LT"/>
        </w:rPr>
        <w:t xml:space="preserve">toksinės epidermio </w:t>
      </w:r>
      <w:proofErr w:type="spellStart"/>
      <w:r w:rsidRPr="00DC1740">
        <w:rPr>
          <w:iCs/>
          <w:lang w:val="lt-LT"/>
        </w:rPr>
        <w:t>nekrolizės</w:t>
      </w:r>
      <w:proofErr w:type="spellEnd"/>
      <w:r w:rsidRPr="000F3553">
        <w:rPr>
          <w:i/>
          <w:lang w:val="lt-LT"/>
        </w:rPr>
        <w:t xml:space="preserve"> </w:t>
      </w:r>
      <w:r w:rsidRPr="000F3553">
        <w:rPr>
          <w:lang w:val="lt-LT"/>
        </w:rPr>
        <w:t>požymiai).</w:t>
      </w:r>
    </w:p>
    <w:p w14:paraId="251EA762" w14:textId="77777777" w:rsidR="00922D8A" w:rsidRPr="00AA08CA" w:rsidRDefault="00922D8A" w:rsidP="000F3553">
      <w:pPr>
        <w:pStyle w:val="Bullet"/>
        <w:numPr>
          <w:ilvl w:val="0"/>
          <w:numId w:val="0"/>
        </w:numPr>
        <w:tabs>
          <w:tab w:val="left" w:pos="0"/>
        </w:tabs>
        <w:spacing w:before="0"/>
        <w:jc w:val="both"/>
        <w:rPr>
          <w:lang w:val="lt-LT"/>
        </w:rPr>
      </w:pPr>
    </w:p>
    <w:p w14:paraId="240823BC" w14:textId="355CFFE7" w:rsidR="00922D8A" w:rsidRPr="00AA08CA" w:rsidRDefault="00922D8A" w:rsidP="000F3553">
      <w:pPr>
        <w:pStyle w:val="Bullet"/>
        <w:numPr>
          <w:ilvl w:val="0"/>
          <w:numId w:val="0"/>
        </w:numPr>
        <w:tabs>
          <w:tab w:val="left" w:pos="0"/>
        </w:tabs>
        <w:spacing w:before="0"/>
        <w:jc w:val="both"/>
        <w:rPr>
          <w:b/>
          <w:lang w:val="lt-LT"/>
        </w:rPr>
      </w:pPr>
      <w:r w:rsidRPr="000F3553">
        <w:rPr>
          <w:b/>
          <w:lang w:val="lt-LT"/>
        </w:rPr>
        <w:t xml:space="preserve">Kitos būklės, į kurias reikia atkreipti dėmesį vartojant </w:t>
      </w:r>
      <w:proofErr w:type="spellStart"/>
      <w:r w:rsidRPr="000F3553">
        <w:rPr>
          <w:b/>
          <w:lang w:val="lt-LT"/>
        </w:rPr>
        <w:t>Zinnat</w:t>
      </w:r>
      <w:proofErr w:type="spellEnd"/>
      <w:r w:rsidRPr="000F3553">
        <w:rPr>
          <w:b/>
          <w:lang w:val="lt-LT"/>
        </w:rPr>
        <w:t>, yra</w:t>
      </w:r>
      <w:r w:rsidR="00045FA2">
        <w:rPr>
          <w:b/>
          <w:lang w:val="lt-LT"/>
        </w:rPr>
        <w:t>:</w:t>
      </w:r>
    </w:p>
    <w:p w14:paraId="674FA18F" w14:textId="77777777" w:rsidR="00922D8A" w:rsidRPr="00AA08CA" w:rsidRDefault="00922D8A" w:rsidP="000F3553">
      <w:pPr>
        <w:pStyle w:val="Bullet"/>
        <w:numPr>
          <w:ilvl w:val="0"/>
          <w:numId w:val="18"/>
        </w:numPr>
        <w:tabs>
          <w:tab w:val="clear" w:pos="284"/>
          <w:tab w:val="num" w:pos="561"/>
        </w:tabs>
        <w:spacing w:before="0"/>
        <w:ind w:left="561" w:hanging="561"/>
        <w:rPr>
          <w:lang w:val="lt-LT"/>
        </w:rPr>
      </w:pPr>
      <w:r w:rsidRPr="000F3553">
        <w:rPr>
          <w:b/>
          <w:color w:val="000000"/>
          <w:lang w:val="lt-LT"/>
        </w:rPr>
        <w:t xml:space="preserve">grybelių sukelta infekcinė liga. </w:t>
      </w:r>
      <w:r w:rsidRPr="000F3553">
        <w:rPr>
          <w:lang w:val="lt-LT"/>
        </w:rPr>
        <w:t xml:space="preserve">Į </w:t>
      </w:r>
      <w:proofErr w:type="spellStart"/>
      <w:r w:rsidRPr="000F3553">
        <w:rPr>
          <w:lang w:val="lt-LT"/>
        </w:rPr>
        <w:t>Zinnat</w:t>
      </w:r>
      <w:proofErr w:type="spellEnd"/>
      <w:r w:rsidRPr="000F3553">
        <w:rPr>
          <w:lang w:val="lt-LT"/>
        </w:rPr>
        <w:t xml:space="preserve"> panašūs vaistai gali sukelti pernelyg didelį </w:t>
      </w:r>
      <w:proofErr w:type="spellStart"/>
      <w:r w:rsidRPr="000F3553">
        <w:rPr>
          <w:lang w:val="lt-LT"/>
        </w:rPr>
        <w:t>mieliagrybių</w:t>
      </w:r>
      <w:proofErr w:type="spellEnd"/>
      <w:r w:rsidRPr="000F3553">
        <w:rPr>
          <w:lang w:val="lt-LT"/>
        </w:rPr>
        <w:t xml:space="preserve"> (</w:t>
      </w:r>
      <w:proofErr w:type="spellStart"/>
      <w:r w:rsidRPr="000F3553">
        <w:rPr>
          <w:i/>
          <w:lang w:val="lt-LT"/>
        </w:rPr>
        <w:t>Candida</w:t>
      </w:r>
      <w:proofErr w:type="spellEnd"/>
      <w:r w:rsidRPr="000F3553">
        <w:rPr>
          <w:lang w:val="lt-LT"/>
        </w:rPr>
        <w:t xml:space="preserve">) dauginimąsi organizme ir sukelti grybelinę infekcinę ligą (pvz., pienligę). </w:t>
      </w:r>
      <w:r w:rsidRPr="00AA08CA">
        <w:rPr>
          <w:lang w:val="lt-LT"/>
        </w:rPr>
        <w:t xml:space="preserve">Toks šalutinis poveikis labiau tikėtinas, jeigu </w:t>
      </w:r>
      <w:proofErr w:type="spellStart"/>
      <w:r w:rsidRPr="00AA08CA">
        <w:rPr>
          <w:lang w:val="lt-LT"/>
        </w:rPr>
        <w:t>Zinnat</w:t>
      </w:r>
      <w:proofErr w:type="spellEnd"/>
      <w:r w:rsidRPr="00AA08CA">
        <w:rPr>
          <w:lang w:val="lt-LT"/>
        </w:rPr>
        <w:t xml:space="preserve"> vartojate ilgą laiką;</w:t>
      </w:r>
    </w:p>
    <w:p w14:paraId="74F5E8FA" w14:textId="77777777" w:rsidR="00922D8A" w:rsidRPr="00AA08CA" w:rsidRDefault="00922D8A" w:rsidP="000F3553">
      <w:pPr>
        <w:pStyle w:val="Bullet"/>
        <w:numPr>
          <w:ilvl w:val="0"/>
          <w:numId w:val="18"/>
        </w:numPr>
        <w:tabs>
          <w:tab w:val="clear" w:pos="284"/>
          <w:tab w:val="num" w:pos="561"/>
        </w:tabs>
        <w:spacing w:before="0"/>
        <w:ind w:left="561" w:hanging="561"/>
        <w:rPr>
          <w:lang w:val="lt-LT"/>
        </w:rPr>
      </w:pPr>
      <w:r w:rsidRPr="000F3553">
        <w:rPr>
          <w:b/>
          <w:lang w:val="lt-LT"/>
        </w:rPr>
        <w:t>sunkus viduriavimas (</w:t>
      </w:r>
      <w:proofErr w:type="spellStart"/>
      <w:r w:rsidRPr="000F3553">
        <w:rPr>
          <w:b/>
          <w:i/>
          <w:lang w:val="lt-LT"/>
        </w:rPr>
        <w:t>pseudomembraninis</w:t>
      </w:r>
      <w:proofErr w:type="spellEnd"/>
      <w:r w:rsidRPr="000F3553">
        <w:rPr>
          <w:b/>
          <w:i/>
          <w:lang w:val="lt-LT"/>
        </w:rPr>
        <w:t xml:space="preserve"> kolitas</w:t>
      </w:r>
      <w:r w:rsidRPr="000F3553">
        <w:rPr>
          <w:b/>
          <w:lang w:val="lt-LT"/>
        </w:rPr>
        <w:t xml:space="preserve">). </w:t>
      </w:r>
      <w:r w:rsidRPr="000F3553">
        <w:rPr>
          <w:lang w:val="lt-LT"/>
        </w:rPr>
        <w:t xml:space="preserve">Į </w:t>
      </w:r>
      <w:proofErr w:type="spellStart"/>
      <w:r w:rsidRPr="000F3553">
        <w:rPr>
          <w:lang w:val="lt-LT"/>
        </w:rPr>
        <w:t>Zinnat</w:t>
      </w:r>
      <w:proofErr w:type="spellEnd"/>
      <w:r w:rsidRPr="000F3553">
        <w:rPr>
          <w:lang w:val="lt-LT"/>
        </w:rPr>
        <w:t xml:space="preserve"> panašūs vaistai gali sukelti gaubtinės (storosios) žarnos uždegimą, sukeldami sunkų viduriavimą, paprastai su krauju ir gleivėmis, pilvo skausmu, karščiavimu;</w:t>
      </w:r>
    </w:p>
    <w:p w14:paraId="18F7AC98" w14:textId="77777777" w:rsidR="00922D8A" w:rsidRPr="00AA08CA" w:rsidRDefault="00922D8A" w:rsidP="000F3553">
      <w:pPr>
        <w:pStyle w:val="Bullet"/>
        <w:numPr>
          <w:ilvl w:val="0"/>
          <w:numId w:val="18"/>
        </w:numPr>
        <w:tabs>
          <w:tab w:val="clear" w:pos="284"/>
          <w:tab w:val="num" w:pos="561"/>
        </w:tabs>
        <w:spacing w:before="0"/>
        <w:ind w:left="561" w:hanging="561"/>
        <w:rPr>
          <w:lang w:val="lt-LT"/>
        </w:rPr>
      </w:pPr>
      <w:proofErr w:type="spellStart"/>
      <w:r w:rsidRPr="000F3553">
        <w:rPr>
          <w:b/>
          <w:i/>
          <w:lang w:val="lt-LT"/>
        </w:rPr>
        <w:t>Jarisch-Herxheimer</w:t>
      </w:r>
      <w:proofErr w:type="spellEnd"/>
      <w:r w:rsidRPr="000F3553">
        <w:rPr>
          <w:b/>
          <w:lang w:val="lt-LT"/>
        </w:rPr>
        <w:t xml:space="preserve"> reakcija. </w:t>
      </w:r>
      <w:r w:rsidRPr="000F3553">
        <w:rPr>
          <w:lang w:val="lt-LT"/>
        </w:rPr>
        <w:t xml:space="preserve">Kai kuriems </w:t>
      </w:r>
      <w:proofErr w:type="spellStart"/>
      <w:r w:rsidRPr="000F3553">
        <w:rPr>
          <w:lang w:val="lt-LT"/>
        </w:rPr>
        <w:t>Zinnat</w:t>
      </w:r>
      <w:proofErr w:type="spellEnd"/>
      <w:r w:rsidRPr="000F3553">
        <w:rPr>
          <w:lang w:val="lt-LT"/>
        </w:rPr>
        <w:t xml:space="preserve"> gydytiems </w:t>
      </w:r>
      <w:proofErr w:type="spellStart"/>
      <w:r w:rsidRPr="000F3553">
        <w:rPr>
          <w:lang w:val="lt-LT"/>
        </w:rPr>
        <w:t>Laimo</w:t>
      </w:r>
      <w:proofErr w:type="spellEnd"/>
      <w:r w:rsidRPr="000F3553">
        <w:rPr>
          <w:lang w:val="lt-LT"/>
        </w:rPr>
        <w:t xml:space="preserve"> liga sergantiems pacientams labai padidėjo kūno temperatūra (pasireiškė karščiavimas), pasireiškė </w:t>
      </w:r>
      <w:proofErr w:type="spellStart"/>
      <w:r w:rsidRPr="000F3553">
        <w:rPr>
          <w:lang w:val="lt-LT"/>
        </w:rPr>
        <w:t>šaltkrėtis</w:t>
      </w:r>
      <w:proofErr w:type="spellEnd"/>
      <w:r w:rsidRPr="000F3553">
        <w:rPr>
          <w:lang w:val="lt-LT"/>
        </w:rPr>
        <w:t xml:space="preserve">, galvos skausmas, raumenų skausmas ir odos </w:t>
      </w:r>
      <w:r w:rsidR="0059070D">
        <w:rPr>
          <w:lang w:val="lt-LT"/>
        </w:rPr>
        <w:t>iš</w:t>
      </w:r>
      <w:r w:rsidRPr="000F3553">
        <w:rPr>
          <w:lang w:val="lt-LT"/>
        </w:rPr>
        <w:t xml:space="preserve">bėrimas. Tai vadinamoji </w:t>
      </w:r>
      <w:proofErr w:type="spellStart"/>
      <w:r w:rsidRPr="000F3553">
        <w:rPr>
          <w:i/>
          <w:lang w:val="lt-LT"/>
        </w:rPr>
        <w:t>Jarisch-Herxheimer</w:t>
      </w:r>
      <w:proofErr w:type="spellEnd"/>
      <w:r w:rsidRPr="000F3553">
        <w:rPr>
          <w:i/>
          <w:lang w:val="lt-LT"/>
        </w:rPr>
        <w:t xml:space="preserve"> reakcija.</w:t>
      </w:r>
      <w:r w:rsidRPr="000F3553">
        <w:rPr>
          <w:lang w:val="lt-LT"/>
        </w:rPr>
        <w:t xml:space="preserve"> Simptomų paprastai būna keletą valandų ar ne ilgiau kaip vieną parą.</w:t>
      </w:r>
    </w:p>
    <w:p w14:paraId="70A4FABD" w14:textId="77777777" w:rsidR="00922D8A" w:rsidRPr="008661CD" w:rsidRDefault="00922D8A" w:rsidP="008661CD">
      <w:pPr>
        <w:numPr>
          <w:ilvl w:val="0"/>
          <w:numId w:val="16"/>
        </w:numPr>
        <w:jc w:val="both"/>
        <w:rPr>
          <w:b/>
        </w:rPr>
      </w:pPr>
      <w:r w:rsidRPr="008661CD">
        <w:rPr>
          <w:b/>
          <w:color w:val="000000"/>
        </w:rPr>
        <w:t>Jeigu pasireiškė kuris nors iš šių simptomų, apie tai nedelsdami pasakykite gydytojui arba slaugytojai</w:t>
      </w:r>
      <w:r w:rsidRPr="008661CD">
        <w:t>.</w:t>
      </w:r>
    </w:p>
    <w:p w14:paraId="0434155B" w14:textId="77777777" w:rsidR="00922D8A" w:rsidRPr="009C0DB0" w:rsidRDefault="00922D8A" w:rsidP="009C0DB0">
      <w:pPr>
        <w:tabs>
          <w:tab w:val="left" w:pos="-720"/>
          <w:tab w:val="left" w:pos="0"/>
          <w:tab w:val="left" w:pos="5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</w:pPr>
    </w:p>
    <w:p w14:paraId="6FCD2CBD" w14:textId="5E101D33" w:rsidR="00922D8A" w:rsidRPr="008661CD" w:rsidRDefault="00436204" w:rsidP="00DC1740">
      <w:pPr>
        <w:pStyle w:val="NoNumHead2"/>
      </w:pPr>
      <w:proofErr w:type="spellStart"/>
      <w:r>
        <w:rPr>
          <w:bCs/>
          <w:lang w:eastAsia="lt-LT"/>
        </w:rPr>
        <w:t>Dažni</w:t>
      </w:r>
      <w:proofErr w:type="spellEnd"/>
      <w:r>
        <w:rPr>
          <w:bCs/>
          <w:lang w:eastAsia="lt-LT"/>
        </w:rPr>
        <w:t xml:space="preserve"> </w:t>
      </w:r>
      <w:proofErr w:type="spellStart"/>
      <w:r>
        <w:rPr>
          <w:bCs/>
          <w:lang w:eastAsia="lt-LT"/>
        </w:rPr>
        <w:t>šalutinio</w:t>
      </w:r>
      <w:proofErr w:type="spellEnd"/>
      <w:r>
        <w:rPr>
          <w:bCs/>
          <w:lang w:eastAsia="lt-LT"/>
        </w:rPr>
        <w:t xml:space="preserve"> </w:t>
      </w:r>
      <w:proofErr w:type="spellStart"/>
      <w:r>
        <w:rPr>
          <w:bCs/>
          <w:lang w:eastAsia="lt-LT"/>
        </w:rPr>
        <w:t>poveikio</w:t>
      </w:r>
      <w:proofErr w:type="spellEnd"/>
      <w:r>
        <w:rPr>
          <w:bCs/>
          <w:lang w:eastAsia="lt-LT"/>
        </w:rPr>
        <w:t xml:space="preserve"> </w:t>
      </w:r>
      <w:proofErr w:type="spellStart"/>
      <w:r>
        <w:rPr>
          <w:bCs/>
          <w:lang w:eastAsia="lt-LT"/>
        </w:rPr>
        <w:t>reiškiniai</w:t>
      </w:r>
      <w:proofErr w:type="spellEnd"/>
      <w:r>
        <w:rPr>
          <w:bCs/>
          <w:lang w:eastAsia="lt-LT"/>
        </w:rPr>
        <w:t xml:space="preserve"> (</w:t>
      </w:r>
      <w:proofErr w:type="spellStart"/>
      <w:r>
        <w:rPr>
          <w:bCs/>
          <w:lang w:eastAsia="lt-LT"/>
        </w:rPr>
        <w:t>gali</w:t>
      </w:r>
      <w:proofErr w:type="spellEnd"/>
      <w:r>
        <w:rPr>
          <w:bCs/>
          <w:lang w:eastAsia="lt-LT"/>
        </w:rPr>
        <w:t xml:space="preserve"> </w:t>
      </w:r>
      <w:proofErr w:type="spellStart"/>
      <w:r>
        <w:rPr>
          <w:bCs/>
          <w:lang w:eastAsia="lt-LT"/>
        </w:rPr>
        <w:t>pasireikšti</w:t>
      </w:r>
      <w:proofErr w:type="spellEnd"/>
      <w:r>
        <w:rPr>
          <w:bCs/>
          <w:lang w:eastAsia="lt-LT"/>
        </w:rPr>
        <w:t xml:space="preserve"> </w:t>
      </w:r>
      <w:proofErr w:type="spellStart"/>
      <w:r>
        <w:rPr>
          <w:bCs/>
          <w:lang w:eastAsia="lt-LT"/>
        </w:rPr>
        <w:t>rečiau</w:t>
      </w:r>
      <w:proofErr w:type="spellEnd"/>
      <w:r>
        <w:rPr>
          <w:bCs/>
          <w:lang w:eastAsia="lt-LT"/>
        </w:rPr>
        <w:t xml:space="preserve"> </w:t>
      </w:r>
      <w:proofErr w:type="spellStart"/>
      <w:r>
        <w:rPr>
          <w:bCs/>
          <w:lang w:eastAsia="lt-LT"/>
        </w:rPr>
        <w:t>kaip</w:t>
      </w:r>
      <w:proofErr w:type="spellEnd"/>
      <w:r>
        <w:rPr>
          <w:bCs/>
          <w:lang w:eastAsia="lt-LT"/>
        </w:rPr>
        <w:t xml:space="preserve"> 1 </w:t>
      </w:r>
      <w:proofErr w:type="spellStart"/>
      <w:r>
        <w:rPr>
          <w:bCs/>
          <w:lang w:eastAsia="lt-LT"/>
        </w:rPr>
        <w:t>iš</w:t>
      </w:r>
      <w:proofErr w:type="spellEnd"/>
      <w:r>
        <w:rPr>
          <w:bCs/>
          <w:lang w:eastAsia="lt-LT"/>
        </w:rPr>
        <w:t xml:space="preserve"> 10 </w:t>
      </w:r>
      <w:proofErr w:type="spellStart"/>
      <w:r>
        <w:rPr>
          <w:bCs/>
          <w:lang w:eastAsia="lt-LT"/>
        </w:rPr>
        <w:t>asmenų</w:t>
      </w:r>
      <w:proofErr w:type="spellEnd"/>
      <w:r>
        <w:rPr>
          <w:bCs/>
          <w:lang w:eastAsia="lt-LT"/>
        </w:rPr>
        <w:t>):</w:t>
      </w:r>
    </w:p>
    <w:p w14:paraId="2D3A47F8" w14:textId="77777777" w:rsidR="00922D8A" w:rsidRPr="009C0DB0" w:rsidRDefault="00922D8A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color w:val="000000"/>
          <w:sz w:val="22"/>
        </w:rPr>
      </w:pPr>
      <w:r w:rsidRPr="000F3553">
        <w:rPr>
          <w:rFonts w:ascii="Times New Roman" w:hAnsi="Times New Roman"/>
          <w:b w:val="0"/>
          <w:color w:val="000000"/>
          <w:sz w:val="22"/>
          <w:lang w:val="lt-LT"/>
        </w:rPr>
        <w:t xml:space="preserve">grybelių (pvz., </w:t>
      </w:r>
      <w:proofErr w:type="spellStart"/>
      <w:r w:rsidRPr="000F3553">
        <w:rPr>
          <w:rFonts w:ascii="Times New Roman" w:hAnsi="Times New Roman"/>
          <w:b w:val="0"/>
          <w:i/>
          <w:color w:val="000000"/>
          <w:sz w:val="22"/>
          <w:lang w:val="lt-LT"/>
        </w:rPr>
        <w:t>Candida</w:t>
      </w:r>
      <w:proofErr w:type="spellEnd"/>
      <w:r w:rsidRPr="000F3553">
        <w:rPr>
          <w:rFonts w:ascii="Times New Roman" w:hAnsi="Times New Roman"/>
          <w:b w:val="0"/>
          <w:color w:val="000000"/>
          <w:sz w:val="22"/>
          <w:lang w:val="lt-LT"/>
        </w:rPr>
        <w:t>) sukeltos infekcinės ligos;</w:t>
      </w:r>
    </w:p>
    <w:p w14:paraId="2FE7D1EE" w14:textId="77777777" w:rsidR="00922D8A" w:rsidRPr="009C0DB0" w:rsidRDefault="00922D8A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sz w:val="22"/>
        </w:rPr>
      </w:pPr>
      <w:r w:rsidRPr="00114810">
        <w:rPr>
          <w:rFonts w:ascii="Times New Roman" w:hAnsi="Times New Roman"/>
          <w:b w:val="0"/>
          <w:sz w:val="22"/>
          <w:szCs w:val="22"/>
          <w:lang w:val="lt-LT"/>
        </w:rPr>
        <w:t>galvos skausmas;</w:t>
      </w:r>
    </w:p>
    <w:p w14:paraId="6B6D7352" w14:textId="0CD3BCE3" w:rsidR="00922D8A" w:rsidRPr="009C0DB0" w:rsidRDefault="00B90A3E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sz w:val="22"/>
        </w:rPr>
      </w:pPr>
      <w:r w:rsidRPr="00114810">
        <w:rPr>
          <w:rFonts w:ascii="Times New Roman" w:hAnsi="Times New Roman"/>
          <w:b w:val="0"/>
          <w:sz w:val="22"/>
          <w:szCs w:val="22"/>
          <w:lang w:val="lt-LT"/>
        </w:rPr>
        <w:t>svaigulys</w:t>
      </w:r>
      <w:r w:rsidR="00922D8A" w:rsidRPr="00114810">
        <w:rPr>
          <w:rFonts w:ascii="Times New Roman" w:hAnsi="Times New Roman"/>
          <w:b w:val="0"/>
          <w:sz w:val="22"/>
          <w:szCs w:val="22"/>
          <w:lang w:val="lt-LT"/>
        </w:rPr>
        <w:t>;</w:t>
      </w:r>
    </w:p>
    <w:p w14:paraId="60EE0527" w14:textId="77777777" w:rsidR="00922D8A" w:rsidRPr="009C0DB0" w:rsidRDefault="00922D8A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sz w:val="22"/>
        </w:rPr>
      </w:pPr>
      <w:r w:rsidRPr="00114810">
        <w:rPr>
          <w:rFonts w:ascii="Times New Roman" w:hAnsi="Times New Roman"/>
          <w:b w:val="0"/>
          <w:sz w:val="22"/>
          <w:szCs w:val="22"/>
          <w:lang w:val="lt-LT"/>
        </w:rPr>
        <w:t>viduriavimas;</w:t>
      </w:r>
    </w:p>
    <w:p w14:paraId="26488675" w14:textId="77777777" w:rsidR="00922D8A" w:rsidRPr="009C0DB0" w:rsidRDefault="00922D8A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sz w:val="22"/>
        </w:rPr>
      </w:pPr>
      <w:r w:rsidRPr="00114810">
        <w:rPr>
          <w:rFonts w:ascii="Times New Roman" w:hAnsi="Times New Roman"/>
          <w:b w:val="0"/>
          <w:sz w:val="22"/>
          <w:szCs w:val="22"/>
          <w:lang w:val="lt-LT"/>
        </w:rPr>
        <w:t>pykinimas;</w:t>
      </w:r>
    </w:p>
    <w:p w14:paraId="475AEF73" w14:textId="77777777" w:rsidR="00922D8A" w:rsidRPr="009C0DB0" w:rsidRDefault="00922D8A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sz w:val="22"/>
        </w:rPr>
      </w:pPr>
      <w:r w:rsidRPr="00114810">
        <w:rPr>
          <w:rFonts w:ascii="Times New Roman" w:hAnsi="Times New Roman"/>
          <w:b w:val="0"/>
          <w:sz w:val="22"/>
          <w:szCs w:val="22"/>
          <w:lang w:val="lt-LT"/>
        </w:rPr>
        <w:t>pilvo skausmas.</w:t>
      </w:r>
    </w:p>
    <w:p w14:paraId="06A0EA6B" w14:textId="77777777" w:rsidR="00922D8A" w:rsidRPr="008661CD" w:rsidRDefault="00922D8A" w:rsidP="008661CD"/>
    <w:p w14:paraId="5063C44E" w14:textId="6197F891" w:rsidR="00922D8A" w:rsidRPr="008661CD" w:rsidRDefault="00436204" w:rsidP="008661CD">
      <w:pPr>
        <w:keepNext/>
        <w:autoSpaceDE w:val="0"/>
        <w:autoSpaceDN w:val="0"/>
        <w:adjustRightInd w:val="0"/>
      </w:pPr>
      <w:r w:rsidRPr="008661CD">
        <w:t>Dažn</w:t>
      </w:r>
      <w:r>
        <w:t>i</w:t>
      </w:r>
      <w:r w:rsidRPr="008661CD">
        <w:t xml:space="preserve"> šalutini</w:t>
      </w:r>
      <w:r>
        <w:t>o</w:t>
      </w:r>
      <w:r w:rsidRPr="00857812">
        <w:t xml:space="preserve"> poveikio reiškiniai, </w:t>
      </w:r>
      <w:r w:rsidRPr="008661CD">
        <w:t>kur</w:t>
      </w:r>
      <w:r>
        <w:t>uos</w:t>
      </w:r>
      <w:r w:rsidRPr="008661CD" w:rsidDel="00436204">
        <w:t xml:space="preserve"> </w:t>
      </w:r>
      <w:r w:rsidR="00922D8A" w:rsidRPr="008661CD">
        <w:t>gali rodyti kraujo tyrimai:</w:t>
      </w:r>
    </w:p>
    <w:p w14:paraId="1E6EBB8E" w14:textId="77777777" w:rsidR="00922D8A" w:rsidRPr="009C0DB0" w:rsidRDefault="00922D8A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20" w:hanging="720"/>
        <w:jc w:val="left"/>
        <w:rPr>
          <w:rFonts w:ascii="Times New Roman" w:hAnsi="Times New Roman"/>
          <w:b w:val="0"/>
          <w:sz w:val="22"/>
          <w:lang w:val="lt-LT"/>
        </w:rPr>
      </w:pPr>
      <w:r w:rsidRPr="000F3553">
        <w:rPr>
          <w:rFonts w:ascii="Times New Roman" w:hAnsi="Times New Roman"/>
          <w:b w:val="0"/>
          <w:sz w:val="22"/>
          <w:lang w:val="lt-LT"/>
        </w:rPr>
        <w:t xml:space="preserve">tam tikros rūšies baltųjų </w:t>
      </w:r>
      <w:r w:rsidRPr="00114810">
        <w:rPr>
          <w:rFonts w:ascii="Times New Roman" w:hAnsi="Times New Roman"/>
          <w:b w:val="0"/>
          <w:sz w:val="22"/>
          <w:szCs w:val="22"/>
          <w:lang w:val="lt-LT"/>
        </w:rPr>
        <w:t>kraujo ląstelių kiekio padidėjimas (</w:t>
      </w:r>
      <w:proofErr w:type="spellStart"/>
      <w:r w:rsidRPr="00114810">
        <w:rPr>
          <w:rFonts w:ascii="Times New Roman" w:hAnsi="Times New Roman"/>
          <w:b w:val="0"/>
          <w:i/>
          <w:sz w:val="22"/>
          <w:szCs w:val="22"/>
          <w:lang w:val="lt-LT"/>
        </w:rPr>
        <w:t>eozinofilija</w:t>
      </w:r>
      <w:proofErr w:type="spellEnd"/>
      <w:r w:rsidRPr="00114810">
        <w:rPr>
          <w:rFonts w:ascii="Times New Roman" w:hAnsi="Times New Roman"/>
          <w:b w:val="0"/>
          <w:sz w:val="22"/>
          <w:szCs w:val="22"/>
          <w:lang w:val="lt-LT"/>
        </w:rPr>
        <w:t>);</w:t>
      </w:r>
    </w:p>
    <w:p w14:paraId="191DFA8C" w14:textId="77777777" w:rsidR="00922D8A" w:rsidRPr="009C0DB0" w:rsidRDefault="00922D8A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20" w:hanging="720"/>
        <w:jc w:val="left"/>
        <w:rPr>
          <w:rFonts w:ascii="Times New Roman" w:hAnsi="Times New Roman"/>
          <w:b w:val="0"/>
          <w:color w:val="000000"/>
          <w:sz w:val="22"/>
        </w:rPr>
      </w:pPr>
      <w:r w:rsidRPr="00114810">
        <w:rPr>
          <w:rFonts w:ascii="Times New Roman" w:hAnsi="Times New Roman"/>
          <w:b w:val="0"/>
          <w:color w:val="000000"/>
          <w:sz w:val="22"/>
          <w:szCs w:val="22"/>
          <w:lang w:val="lt-LT"/>
        </w:rPr>
        <w:t>kepenų fermentų suaktyvėjimas.</w:t>
      </w:r>
    </w:p>
    <w:p w14:paraId="2E219D09" w14:textId="77777777" w:rsidR="00922D8A" w:rsidRPr="00114810" w:rsidRDefault="00922D8A" w:rsidP="008661CD">
      <w:pPr>
        <w:rPr>
          <w:szCs w:val="22"/>
        </w:rPr>
      </w:pPr>
    </w:p>
    <w:p w14:paraId="74B2E53B" w14:textId="679A4FA5" w:rsidR="00922D8A" w:rsidRPr="008661CD" w:rsidRDefault="00436204" w:rsidP="00DC1740">
      <w:pPr>
        <w:pStyle w:val="NoNumHead2"/>
      </w:pPr>
      <w:proofErr w:type="spellStart"/>
      <w:r>
        <w:rPr>
          <w:bCs/>
          <w:lang w:eastAsia="lt-LT"/>
        </w:rPr>
        <w:t>Nedažni</w:t>
      </w:r>
      <w:proofErr w:type="spellEnd"/>
      <w:r>
        <w:rPr>
          <w:bCs/>
          <w:lang w:eastAsia="lt-LT"/>
        </w:rPr>
        <w:t xml:space="preserve"> </w:t>
      </w:r>
      <w:proofErr w:type="spellStart"/>
      <w:r>
        <w:rPr>
          <w:bCs/>
          <w:lang w:eastAsia="lt-LT"/>
        </w:rPr>
        <w:t>šalutinio</w:t>
      </w:r>
      <w:proofErr w:type="spellEnd"/>
      <w:r>
        <w:rPr>
          <w:bCs/>
          <w:lang w:eastAsia="lt-LT"/>
        </w:rPr>
        <w:t xml:space="preserve"> </w:t>
      </w:r>
      <w:proofErr w:type="spellStart"/>
      <w:r>
        <w:rPr>
          <w:bCs/>
          <w:lang w:eastAsia="lt-LT"/>
        </w:rPr>
        <w:t>poveikio</w:t>
      </w:r>
      <w:proofErr w:type="spellEnd"/>
      <w:r>
        <w:rPr>
          <w:bCs/>
          <w:lang w:eastAsia="lt-LT"/>
        </w:rPr>
        <w:t xml:space="preserve"> </w:t>
      </w:r>
      <w:proofErr w:type="spellStart"/>
      <w:r>
        <w:rPr>
          <w:bCs/>
          <w:lang w:eastAsia="lt-LT"/>
        </w:rPr>
        <w:t>reiškiniai</w:t>
      </w:r>
      <w:proofErr w:type="spellEnd"/>
      <w:r>
        <w:rPr>
          <w:bCs/>
          <w:lang w:eastAsia="lt-LT"/>
        </w:rPr>
        <w:t xml:space="preserve"> (</w:t>
      </w:r>
      <w:proofErr w:type="spellStart"/>
      <w:r>
        <w:rPr>
          <w:bCs/>
          <w:lang w:eastAsia="lt-LT"/>
        </w:rPr>
        <w:t>gali</w:t>
      </w:r>
      <w:proofErr w:type="spellEnd"/>
      <w:r>
        <w:rPr>
          <w:bCs/>
          <w:lang w:eastAsia="lt-LT"/>
        </w:rPr>
        <w:t xml:space="preserve"> </w:t>
      </w:r>
      <w:proofErr w:type="spellStart"/>
      <w:r>
        <w:rPr>
          <w:bCs/>
          <w:lang w:eastAsia="lt-LT"/>
        </w:rPr>
        <w:t>pasireikšti</w:t>
      </w:r>
      <w:proofErr w:type="spellEnd"/>
      <w:r>
        <w:rPr>
          <w:bCs/>
          <w:lang w:eastAsia="lt-LT"/>
        </w:rPr>
        <w:t xml:space="preserve"> </w:t>
      </w:r>
      <w:proofErr w:type="spellStart"/>
      <w:r>
        <w:rPr>
          <w:bCs/>
          <w:lang w:eastAsia="lt-LT"/>
        </w:rPr>
        <w:t>rečiau</w:t>
      </w:r>
      <w:proofErr w:type="spellEnd"/>
      <w:r>
        <w:rPr>
          <w:bCs/>
          <w:lang w:eastAsia="lt-LT"/>
        </w:rPr>
        <w:t xml:space="preserve"> </w:t>
      </w:r>
      <w:proofErr w:type="spellStart"/>
      <w:r>
        <w:rPr>
          <w:bCs/>
          <w:lang w:eastAsia="lt-LT"/>
        </w:rPr>
        <w:t>kaip</w:t>
      </w:r>
      <w:proofErr w:type="spellEnd"/>
      <w:r>
        <w:rPr>
          <w:bCs/>
          <w:lang w:eastAsia="lt-LT"/>
        </w:rPr>
        <w:t xml:space="preserve"> 1 </w:t>
      </w:r>
      <w:proofErr w:type="spellStart"/>
      <w:r>
        <w:rPr>
          <w:bCs/>
          <w:lang w:eastAsia="lt-LT"/>
        </w:rPr>
        <w:t>iš</w:t>
      </w:r>
      <w:proofErr w:type="spellEnd"/>
      <w:r>
        <w:rPr>
          <w:bCs/>
          <w:lang w:eastAsia="lt-LT"/>
        </w:rPr>
        <w:t xml:space="preserve"> 100 </w:t>
      </w:r>
      <w:proofErr w:type="spellStart"/>
      <w:r>
        <w:rPr>
          <w:bCs/>
          <w:lang w:eastAsia="lt-LT"/>
        </w:rPr>
        <w:t>asmenų</w:t>
      </w:r>
      <w:proofErr w:type="spellEnd"/>
      <w:r>
        <w:rPr>
          <w:bCs/>
          <w:lang w:eastAsia="lt-LT"/>
        </w:rPr>
        <w:t>):</w:t>
      </w:r>
    </w:p>
    <w:p w14:paraId="0E1105CB" w14:textId="77777777" w:rsidR="00922D8A" w:rsidRPr="008661CD" w:rsidRDefault="00922D8A" w:rsidP="000F3553">
      <w:pPr>
        <w:numPr>
          <w:ilvl w:val="0"/>
          <w:numId w:val="13"/>
        </w:numPr>
        <w:tabs>
          <w:tab w:val="clear" w:pos="720"/>
          <w:tab w:val="num" w:pos="561"/>
        </w:tabs>
        <w:ind w:hanging="720"/>
      </w:pPr>
      <w:r w:rsidRPr="008661CD">
        <w:t>vėmimas;</w:t>
      </w:r>
    </w:p>
    <w:p w14:paraId="3E17EBE0" w14:textId="77777777" w:rsidR="00922D8A" w:rsidRPr="008661CD" w:rsidRDefault="00922D8A" w:rsidP="000F3553">
      <w:pPr>
        <w:numPr>
          <w:ilvl w:val="0"/>
          <w:numId w:val="13"/>
        </w:numPr>
        <w:tabs>
          <w:tab w:val="clear" w:pos="720"/>
          <w:tab w:val="num" w:pos="561"/>
        </w:tabs>
        <w:ind w:hanging="720"/>
      </w:pPr>
      <w:r w:rsidRPr="008661CD">
        <w:t xml:space="preserve">odos </w:t>
      </w:r>
      <w:r w:rsidR="0059070D">
        <w:t>iš</w:t>
      </w:r>
      <w:r w:rsidRPr="008661CD">
        <w:t>bėrimai.</w:t>
      </w:r>
    </w:p>
    <w:p w14:paraId="36C0D3E1" w14:textId="77777777" w:rsidR="00922D8A" w:rsidRPr="008661CD" w:rsidRDefault="00922D8A" w:rsidP="009C0DB0"/>
    <w:p w14:paraId="2C0248F4" w14:textId="30DC6864" w:rsidR="00922D8A" w:rsidRPr="008661CD" w:rsidRDefault="00436204" w:rsidP="008661CD">
      <w:pPr>
        <w:keepNext/>
        <w:autoSpaceDE w:val="0"/>
        <w:autoSpaceDN w:val="0"/>
        <w:adjustRightInd w:val="0"/>
      </w:pPr>
      <w:r w:rsidRPr="008661CD">
        <w:t>Nedažn</w:t>
      </w:r>
      <w:r>
        <w:t>i</w:t>
      </w:r>
      <w:r w:rsidRPr="008661CD">
        <w:t xml:space="preserve"> šalutini</w:t>
      </w:r>
      <w:r>
        <w:t>o</w:t>
      </w:r>
      <w:r w:rsidRPr="008661CD">
        <w:t xml:space="preserve"> poveiki</w:t>
      </w:r>
      <w:r>
        <w:t xml:space="preserve">o </w:t>
      </w:r>
      <w:r w:rsidRPr="00857812">
        <w:t>reiškiniai</w:t>
      </w:r>
      <w:r w:rsidRPr="008661CD">
        <w:t>, kur</w:t>
      </w:r>
      <w:r>
        <w:t xml:space="preserve">iuos </w:t>
      </w:r>
      <w:r w:rsidR="00922D8A" w:rsidRPr="008661CD">
        <w:t>gali rodyti kraujo tyrimai:</w:t>
      </w:r>
    </w:p>
    <w:p w14:paraId="6EB590D4" w14:textId="6D28437B" w:rsidR="00922D8A" w:rsidRPr="008661CD" w:rsidRDefault="00922D8A" w:rsidP="000F3553">
      <w:pPr>
        <w:numPr>
          <w:ilvl w:val="0"/>
          <w:numId w:val="13"/>
        </w:numPr>
        <w:tabs>
          <w:tab w:val="clear" w:pos="720"/>
          <w:tab w:val="num" w:pos="561"/>
        </w:tabs>
        <w:ind w:hanging="720"/>
        <w:rPr>
          <w:i/>
        </w:rPr>
      </w:pPr>
      <w:r w:rsidRPr="008661CD">
        <w:t>kraujo plokštelių kiekio sumažėjimas (ląstelių, kurios padeda kraujui krešėti)</w:t>
      </w:r>
      <w:r w:rsidR="00045FA2">
        <w:t>;</w:t>
      </w:r>
    </w:p>
    <w:p w14:paraId="46820D33" w14:textId="77777777" w:rsidR="00922D8A" w:rsidRPr="008661CD" w:rsidRDefault="00922D8A" w:rsidP="000F3553">
      <w:pPr>
        <w:numPr>
          <w:ilvl w:val="0"/>
          <w:numId w:val="13"/>
        </w:numPr>
        <w:tabs>
          <w:tab w:val="clear" w:pos="720"/>
          <w:tab w:val="num" w:pos="561"/>
        </w:tabs>
        <w:ind w:hanging="720"/>
      </w:pPr>
      <w:r w:rsidRPr="008661CD">
        <w:t>baltųjų kraujo ląstelių kiekio sumažėjimas;</w:t>
      </w:r>
    </w:p>
    <w:p w14:paraId="064144DB" w14:textId="77777777" w:rsidR="00922D8A" w:rsidRPr="008661CD" w:rsidRDefault="00922D8A" w:rsidP="000F3553">
      <w:pPr>
        <w:numPr>
          <w:ilvl w:val="0"/>
          <w:numId w:val="13"/>
        </w:numPr>
        <w:tabs>
          <w:tab w:val="clear" w:pos="720"/>
          <w:tab w:val="num" w:pos="561"/>
        </w:tabs>
        <w:ind w:hanging="720"/>
      </w:pPr>
      <w:r w:rsidRPr="008661CD">
        <w:t xml:space="preserve">teigiamas </w:t>
      </w:r>
      <w:proofErr w:type="spellStart"/>
      <w:r w:rsidRPr="008661CD">
        <w:t>Kumbso</w:t>
      </w:r>
      <w:proofErr w:type="spellEnd"/>
      <w:r w:rsidRPr="008661CD">
        <w:t xml:space="preserve"> mėginys.</w:t>
      </w:r>
    </w:p>
    <w:p w14:paraId="10FB4B8B" w14:textId="77777777" w:rsidR="00922D8A" w:rsidRDefault="00922D8A" w:rsidP="009C0DB0"/>
    <w:p w14:paraId="297F8FC5" w14:textId="3F590788" w:rsidR="00741F7A" w:rsidRPr="008661CD" w:rsidRDefault="00741F7A" w:rsidP="00DC1740">
      <w:pPr>
        <w:autoSpaceDE w:val="0"/>
        <w:autoSpaceDN w:val="0"/>
        <w:adjustRightInd w:val="0"/>
        <w:spacing w:after="120"/>
      </w:pPr>
      <w:r w:rsidRPr="00857812">
        <w:rPr>
          <w:b/>
        </w:rPr>
        <w:t>Šalutinio poveikio reiškiniai</w:t>
      </w:r>
      <w:r w:rsidRPr="00AA4BD0">
        <w:rPr>
          <w:b/>
          <w:bCs/>
          <w:noProof/>
          <w:snapToGrid w:val="0"/>
          <w:szCs w:val="22"/>
        </w:rPr>
        <w:t>, kurių dažnis nežinomas (negali būti apskaičiuotas pagal turimus duomenis):</w:t>
      </w:r>
    </w:p>
    <w:p w14:paraId="0CB0C2DD" w14:textId="77777777" w:rsidR="00922D8A" w:rsidRPr="008661CD" w:rsidRDefault="00922D8A" w:rsidP="000F3553">
      <w:pPr>
        <w:numPr>
          <w:ilvl w:val="0"/>
          <w:numId w:val="15"/>
        </w:numPr>
        <w:tabs>
          <w:tab w:val="clear" w:pos="720"/>
          <w:tab w:val="num" w:pos="561"/>
        </w:tabs>
        <w:ind w:left="561" w:hanging="561"/>
      </w:pPr>
      <w:r w:rsidRPr="008661CD">
        <w:t>sunkus viduriavimas (</w:t>
      </w:r>
      <w:proofErr w:type="spellStart"/>
      <w:r w:rsidRPr="008661CD">
        <w:rPr>
          <w:i/>
        </w:rPr>
        <w:t>pseudomembraninis</w:t>
      </w:r>
      <w:proofErr w:type="spellEnd"/>
      <w:r w:rsidRPr="008661CD">
        <w:rPr>
          <w:i/>
        </w:rPr>
        <w:t xml:space="preserve"> kolitas</w:t>
      </w:r>
      <w:r w:rsidRPr="008661CD">
        <w:t>);</w:t>
      </w:r>
    </w:p>
    <w:p w14:paraId="74304A2F" w14:textId="77777777" w:rsidR="00922D8A" w:rsidRPr="008661CD" w:rsidRDefault="00922D8A" w:rsidP="000F3553">
      <w:pPr>
        <w:numPr>
          <w:ilvl w:val="0"/>
          <w:numId w:val="15"/>
        </w:numPr>
        <w:tabs>
          <w:tab w:val="clear" w:pos="720"/>
          <w:tab w:val="num" w:pos="561"/>
        </w:tabs>
        <w:ind w:left="561" w:hanging="561"/>
      </w:pPr>
      <w:r w:rsidRPr="008661CD">
        <w:t>alerginės reakcijos;</w:t>
      </w:r>
    </w:p>
    <w:p w14:paraId="7B9AEC39" w14:textId="77777777" w:rsidR="00922D8A" w:rsidRPr="008661CD" w:rsidRDefault="00922D8A" w:rsidP="000F3553">
      <w:pPr>
        <w:numPr>
          <w:ilvl w:val="0"/>
          <w:numId w:val="15"/>
        </w:numPr>
        <w:tabs>
          <w:tab w:val="clear" w:pos="720"/>
          <w:tab w:val="num" w:pos="561"/>
        </w:tabs>
        <w:ind w:left="561" w:hanging="561"/>
      </w:pPr>
      <w:r w:rsidRPr="008661CD">
        <w:t>odos reakcijos (įskaitant sunkias);</w:t>
      </w:r>
    </w:p>
    <w:p w14:paraId="0165505B" w14:textId="77777777" w:rsidR="00922D8A" w:rsidRPr="008661CD" w:rsidRDefault="00922D8A" w:rsidP="000F3553">
      <w:pPr>
        <w:numPr>
          <w:ilvl w:val="0"/>
          <w:numId w:val="15"/>
        </w:numPr>
        <w:tabs>
          <w:tab w:val="clear" w:pos="720"/>
          <w:tab w:val="num" w:pos="561"/>
        </w:tabs>
        <w:ind w:left="561" w:hanging="561"/>
      </w:pPr>
      <w:r w:rsidRPr="008661CD">
        <w:t>kūno temperatūros padidėjimas (</w:t>
      </w:r>
      <w:r w:rsidRPr="008661CD">
        <w:rPr>
          <w:i/>
        </w:rPr>
        <w:t>karščiavimas</w:t>
      </w:r>
      <w:r w:rsidRPr="008661CD">
        <w:t>);</w:t>
      </w:r>
    </w:p>
    <w:p w14:paraId="26C85A19" w14:textId="77777777" w:rsidR="00922D8A" w:rsidRPr="008661CD" w:rsidRDefault="00922D8A" w:rsidP="000F3553">
      <w:pPr>
        <w:numPr>
          <w:ilvl w:val="0"/>
          <w:numId w:val="15"/>
        </w:numPr>
        <w:tabs>
          <w:tab w:val="clear" w:pos="720"/>
          <w:tab w:val="num" w:pos="561"/>
        </w:tabs>
        <w:ind w:left="561" w:hanging="561"/>
      </w:pPr>
      <w:r w:rsidRPr="008661CD">
        <w:t>akies baltymo ar odos pageltimas;</w:t>
      </w:r>
    </w:p>
    <w:p w14:paraId="6F353CE8" w14:textId="77777777" w:rsidR="00922D8A" w:rsidRPr="008661CD" w:rsidRDefault="00922D8A" w:rsidP="000F3553">
      <w:pPr>
        <w:numPr>
          <w:ilvl w:val="0"/>
          <w:numId w:val="15"/>
        </w:numPr>
        <w:tabs>
          <w:tab w:val="clear" w:pos="720"/>
          <w:tab w:val="num" w:pos="561"/>
        </w:tabs>
        <w:ind w:left="561" w:hanging="561"/>
      </w:pPr>
      <w:r w:rsidRPr="008661CD">
        <w:t>kepenų uždegimas (</w:t>
      </w:r>
      <w:r w:rsidRPr="008661CD">
        <w:rPr>
          <w:i/>
        </w:rPr>
        <w:t>hepatitas</w:t>
      </w:r>
      <w:r w:rsidRPr="008661CD">
        <w:t>).</w:t>
      </w:r>
    </w:p>
    <w:p w14:paraId="686E9517" w14:textId="77777777" w:rsidR="00922D8A" w:rsidRPr="008661CD" w:rsidRDefault="00922D8A" w:rsidP="009C0DB0"/>
    <w:p w14:paraId="2BC24A51" w14:textId="79C52F3F" w:rsidR="00922D8A" w:rsidRPr="008661CD" w:rsidRDefault="00741F7A" w:rsidP="008661CD">
      <w:pPr>
        <w:keepNext/>
        <w:autoSpaceDE w:val="0"/>
        <w:autoSpaceDN w:val="0"/>
        <w:adjustRightInd w:val="0"/>
      </w:pPr>
      <w:r w:rsidRPr="008661CD">
        <w:t>Šalutini</w:t>
      </w:r>
      <w:r>
        <w:t>o</w:t>
      </w:r>
      <w:r w:rsidRPr="008661CD">
        <w:t xml:space="preserve"> poveiki</w:t>
      </w:r>
      <w:r>
        <w:t>o reiškiniai</w:t>
      </w:r>
      <w:r w:rsidRPr="008661CD">
        <w:t>, kur</w:t>
      </w:r>
      <w:r>
        <w:t>iuos</w:t>
      </w:r>
      <w:r w:rsidR="00922D8A" w:rsidRPr="008661CD">
        <w:t xml:space="preserve"> gali rodyti kraujo tyrimai:</w:t>
      </w:r>
    </w:p>
    <w:p w14:paraId="57A9D17A" w14:textId="77777777" w:rsidR="00922D8A" w:rsidRPr="008661CD" w:rsidRDefault="00922D8A" w:rsidP="000F3553">
      <w:pPr>
        <w:numPr>
          <w:ilvl w:val="0"/>
          <w:numId w:val="14"/>
        </w:numPr>
        <w:tabs>
          <w:tab w:val="clear" w:pos="720"/>
          <w:tab w:val="num" w:pos="561"/>
        </w:tabs>
        <w:autoSpaceDE w:val="0"/>
        <w:autoSpaceDN w:val="0"/>
        <w:adjustRightInd w:val="0"/>
        <w:ind w:left="714" w:hanging="714"/>
      </w:pPr>
      <w:r w:rsidRPr="008661CD">
        <w:t>pernelyg greitas raudonųjų kraujo ląstelių suirimas (</w:t>
      </w:r>
      <w:r w:rsidRPr="008661CD">
        <w:rPr>
          <w:i/>
        </w:rPr>
        <w:t>hemolizinė anemija</w:t>
      </w:r>
      <w:r w:rsidRPr="008661CD">
        <w:t>).</w:t>
      </w:r>
    </w:p>
    <w:p w14:paraId="28D61D2C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3929F162" w14:textId="77777777" w:rsidR="00922D8A" w:rsidRPr="008661CD" w:rsidRDefault="00922D8A" w:rsidP="008661CD">
      <w:pPr>
        <w:rPr>
          <w:b/>
        </w:rPr>
      </w:pPr>
      <w:r w:rsidRPr="008661CD">
        <w:rPr>
          <w:b/>
        </w:rPr>
        <w:t>Pranešimas apie šalutinį poveikį</w:t>
      </w:r>
    </w:p>
    <w:p w14:paraId="31BD2552" w14:textId="0374AEB4" w:rsidR="00922D8A" w:rsidRDefault="008D4789" w:rsidP="008661CD">
      <w:pPr>
        <w:ind w:right="-449"/>
      </w:pPr>
      <w:r w:rsidRPr="008D4789">
        <w:t xml:space="preserve">Jeigu pasireiškė šalutinis poveikis, įskaitant šiame lapelyje nenurodytą, pasakykite gydytojui, vaistininkui arba slaugytojui. </w:t>
      </w:r>
      <w:r w:rsidR="007A32EB">
        <w:rPr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10" w:history="1">
        <w:r w:rsidR="007A32EB" w:rsidRPr="007A32EB">
          <w:rPr>
            <w:rStyle w:val="Hyperlink"/>
            <w:szCs w:val="22"/>
            <w:lang w:eastAsia="lt-LT"/>
          </w:rPr>
          <w:t>https://vvkt.lrv.lt/lt/</w:t>
        </w:r>
      </w:hyperlink>
      <w:r w:rsidR="007A32EB">
        <w:rPr>
          <w:szCs w:val="22"/>
          <w:lang w:eastAsia="lt-LT"/>
        </w:rPr>
        <w:t xml:space="preserve"> nurodytais būdais arba paskambinti nemokamu telefonu 8 800 73 568. Pranešdami apie šalutinį poveikį galite mums padėti gauti daugiau informacijos apie šio vaisto saugumą.</w:t>
      </w:r>
    </w:p>
    <w:p w14:paraId="0FAC283F" w14:textId="77777777" w:rsidR="008D4789" w:rsidRPr="008661CD" w:rsidRDefault="008D4789" w:rsidP="008661CD">
      <w:pPr>
        <w:ind w:right="-449"/>
      </w:pPr>
    </w:p>
    <w:p w14:paraId="404D802C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783AF977" w14:textId="77777777" w:rsidR="00922D8A" w:rsidRPr="008661CD" w:rsidRDefault="00922D8A" w:rsidP="000F3553">
      <w:pPr>
        <w:numPr>
          <w:ilvl w:val="12"/>
          <w:numId w:val="0"/>
        </w:numPr>
        <w:ind w:left="567" w:right="-2" w:hanging="567"/>
      </w:pPr>
      <w:r w:rsidRPr="008661CD">
        <w:rPr>
          <w:b/>
        </w:rPr>
        <w:t>5.</w:t>
      </w:r>
      <w:r w:rsidRPr="008661CD">
        <w:rPr>
          <w:b/>
        </w:rPr>
        <w:tab/>
        <w:t xml:space="preserve">Kaip laikyti </w:t>
      </w:r>
      <w:proofErr w:type="spellStart"/>
      <w:r w:rsidRPr="008661CD">
        <w:rPr>
          <w:b/>
        </w:rPr>
        <w:t>Zinnat</w:t>
      </w:r>
      <w:proofErr w:type="spellEnd"/>
    </w:p>
    <w:p w14:paraId="09813023" w14:textId="77777777" w:rsidR="00922D8A" w:rsidRPr="008661CD" w:rsidRDefault="00922D8A" w:rsidP="008661CD"/>
    <w:p w14:paraId="3C206364" w14:textId="77777777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t>Šį vaistą laikykite vaikams nepastebimoje ir nepasiekiamoje vietoje.</w:t>
      </w:r>
    </w:p>
    <w:p w14:paraId="4191C167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0FB5709A" w14:textId="77777777" w:rsidR="00922D8A" w:rsidRPr="008661CD" w:rsidRDefault="00922D8A" w:rsidP="008661CD">
      <w:bookmarkStart w:id="4" w:name="_Hlk536117555"/>
      <w:bookmarkStart w:id="5" w:name="_Hlk517877045"/>
      <w:r w:rsidRPr="008661CD">
        <w:t>Laikyti gamintojo pakuotėje ne aukštesnėje kaip 30 ºC temperatūroje.</w:t>
      </w:r>
    </w:p>
    <w:bookmarkEnd w:id="4"/>
    <w:p w14:paraId="3EAD71CD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1EF3A59C" w14:textId="77777777" w:rsidR="00922D8A" w:rsidRPr="009C0DB0" w:rsidRDefault="00922D8A" w:rsidP="000F3553">
      <w:pPr>
        <w:pStyle w:val="BodyText"/>
        <w:rPr>
          <w:color w:val="auto"/>
          <w:lang w:val="lt-LT"/>
        </w:rPr>
      </w:pPr>
      <w:r w:rsidRPr="000F3553">
        <w:rPr>
          <w:i w:val="0"/>
          <w:color w:val="auto"/>
          <w:lang w:val="lt-LT"/>
        </w:rPr>
        <w:t xml:space="preserve">Jei tabletės yra susmulkintos arba yra kitų matomų sugedimo požymių, </w:t>
      </w:r>
      <w:proofErr w:type="spellStart"/>
      <w:r w:rsidRPr="000F3553">
        <w:rPr>
          <w:i w:val="0"/>
          <w:color w:val="auto"/>
          <w:lang w:val="lt-LT"/>
        </w:rPr>
        <w:t>Zinnat</w:t>
      </w:r>
      <w:proofErr w:type="spellEnd"/>
      <w:r w:rsidRPr="000F3553">
        <w:rPr>
          <w:i w:val="0"/>
          <w:color w:val="auto"/>
          <w:lang w:val="lt-LT"/>
        </w:rPr>
        <w:t xml:space="preserve"> vartoti negalima.</w:t>
      </w:r>
    </w:p>
    <w:p w14:paraId="042506E0" w14:textId="77777777" w:rsidR="00922D8A" w:rsidRPr="009C0DB0" w:rsidRDefault="00922D8A" w:rsidP="000F3553">
      <w:pPr>
        <w:pStyle w:val="BodyText"/>
        <w:rPr>
          <w:i w:val="0"/>
          <w:color w:val="auto"/>
          <w:lang w:val="lt-LT"/>
        </w:rPr>
      </w:pPr>
    </w:p>
    <w:bookmarkEnd w:id="5"/>
    <w:p w14:paraId="1B857181" w14:textId="28FFA430" w:rsidR="00922D8A" w:rsidRPr="009C0DB0" w:rsidRDefault="00922D8A" w:rsidP="000F3553">
      <w:pPr>
        <w:pStyle w:val="BodyText"/>
        <w:rPr>
          <w:color w:val="auto"/>
          <w:lang w:val="lt-LT"/>
        </w:rPr>
      </w:pPr>
      <w:r w:rsidRPr="000F3553">
        <w:rPr>
          <w:i w:val="0"/>
          <w:color w:val="auto"/>
          <w:lang w:val="lt-LT"/>
        </w:rPr>
        <w:t>Ant dėžutės po „</w:t>
      </w:r>
      <w:r w:rsidRPr="008D4789">
        <w:rPr>
          <w:i w:val="0"/>
          <w:iCs/>
          <w:color w:val="auto"/>
          <w:lang w:val="lt-LT"/>
        </w:rPr>
        <w:t>EXP</w:t>
      </w:r>
      <w:r w:rsidRPr="000F3553">
        <w:rPr>
          <w:i w:val="0"/>
          <w:color w:val="auto"/>
          <w:lang w:val="lt-LT"/>
        </w:rPr>
        <w:t xml:space="preserve">“ ir lizdinės plokštelės po </w:t>
      </w:r>
      <w:r w:rsidRPr="008D4789">
        <w:rPr>
          <w:i w:val="0"/>
          <w:color w:val="auto"/>
          <w:lang w:val="lt-LT"/>
        </w:rPr>
        <w:t>,,EXP“</w:t>
      </w:r>
      <w:r w:rsidRPr="000F3553">
        <w:rPr>
          <w:i w:val="0"/>
          <w:color w:val="auto"/>
          <w:lang w:val="lt-LT"/>
        </w:rPr>
        <w:t xml:space="preserve"> nurodytam tinkamumo laikui pasibaigus, šio vaisto vartoti negalima. Vaistas tinkamas vartoti iki paskutinės nurodyto mėnesio dienos.</w:t>
      </w:r>
    </w:p>
    <w:p w14:paraId="69602931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29193A02" w14:textId="77777777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t>Vaistų negalima išmesti į kanalizaciją arba su buitinėmis</w:t>
      </w:r>
      <w:r w:rsidRPr="008661CD">
        <w:rPr>
          <w:color w:val="993366"/>
        </w:rPr>
        <w:t xml:space="preserve"> </w:t>
      </w:r>
      <w:r w:rsidRPr="008661CD">
        <w:t>atliekomis. Kaip išmesti nereikalingus vaistus, klauskite vaistininko. Šios priemonės padės apsaugoti aplinką.</w:t>
      </w:r>
    </w:p>
    <w:p w14:paraId="47D32635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0A6DA409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2B3AAC83" w14:textId="77777777" w:rsidR="00922D8A" w:rsidRPr="008661CD" w:rsidRDefault="00922D8A" w:rsidP="000F3553">
      <w:pPr>
        <w:numPr>
          <w:ilvl w:val="12"/>
          <w:numId w:val="0"/>
        </w:numPr>
        <w:ind w:left="540" w:right="-2" w:hanging="540"/>
        <w:rPr>
          <w:b/>
        </w:rPr>
      </w:pPr>
      <w:r w:rsidRPr="008661CD">
        <w:rPr>
          <w:b/>
        </w:rPr>
        <w:t>6.</w:t>
      </w:r>
      <w:r w:rsidRPr="008661CD">
        <w:rPr>
          <w:b/>
        </w:rPr>
        <w:tab/>
        <w:t>Pakuotės turinys ir kita informacija</w:t>
      </w:r>
    </w:p>
    <w:p w14:paraId="04F8DCC2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5A39B6AC" w14:textId="77777777" w:rsidR="00922D8A" w:rsidRPr="008661CD" w:rsidRDefault="00922D8A" w:rsidP="008661CD">
      <w:pPr>
        <w:numPr>
          <w:ilvl w:val="12"/>
          <w:numId w:val="0"/>
        </w:numPr>
        <w:ind w:right="-2"/>
        <w:rPr>
          <w:b/>
        </w:rPr>
      </w:pPr>
      <w:proofErr w:type="spellStart"/>
      <w:r w:rsidRPr="008661CD">
        <w:rPr>
          <w:b/>
        </w:rPr>
        <w:t>Zinnat</w:t>
      </w:r>
      <w:proofErr w:type="spellEnd"/>
      <w:r w:rsidRPr="008661CD">
        <w:rPr>
          <w:b/>
        </w:rPr>
        <w:t xml:space="preserve"> sudėtis</w:t>
      </w:r>
    </w:p>
    <w:p w14:paraId="7321C72A" w14:textId="77777777" w:rsidR="00922D8A" w:rsidRPr="009C0DB0" w:rsidRDefault="00922D8A" w:rsidP="008661CD">
      <w:pPr>
        <w:numPr>
          <w:ilvl w:val="12"/>
          <w:numId w:val="0"/>
        </w:numPr>
        <w:ind w:right="-2"/>
      </w:pPr>
    </w:p>
    <w:p w14:paraId="71E27890" w14:textId="77777777" w:rsidR="00922D8A" w:rsidRPr="008661CD" w:rsidRDefault="00922D8A" w:rsidP="008661CD">
      <w:pPr>
        <w:numPr>
          <w:ilvl w:val="12"/>
          <w:numId w:val="0"/>
        </w:numPr>
        <w:ind w:right="-2"/>
        <w:rPr>
          <w:u w:val="single"/>
        </w:rPr>
      </w:pPr>
      <w:r w:rsidRPr="008661CD">
        <w:rPr>
          <w:u w:val="single"/>
        </w:rPr>
        <w:t xml:space="preserve">Veiklioji medžiaga </w:t>
      </w:r>
    </w:p>
    <w:p w14:paraId="7C7A3ADE" w14:textId="3104588A" w:rsidR="00922D8A" w:rsidRPr="00AA08CA" w:rsidRDefault="00922D8A" w:rsidP="008661CD"/>
    <w:p w14:paraId="78315CB1" w14:textId="1A916BB3" w:rsidR="00922D8A" w:rsidRPr="008661CD" w:rsidRDefault="00FD17EA" w:rsidP="008661CD">
      <w:r w:rsidRPr="008D4789">
        <w:t>Kiekv</w:t>
      </w:r>
      <w:r w:rsidR="00922D8A" w:rsidRPr="008D4789">
        <w:t xml:space="preserve">ienoje tabletėje yra 500 mg </w:t>
      </w:r>
      <w:proofErr w:type="spellStart"/>
      <w:r w:rsidR="00922D8A" w:rsidRPr="008D4789">
        <w:t>cefuroksimo</w:t>
      </w:r>
      <w:proofErr w:type="spellEnd"/>
      <w:r w:rsidR="00922D8A" w:rsidRPr="008D4789">
        <w:t xml:space="preserve"> (</w:t>
      </w:r>
      <w:proofErr w:type="spellStart"/>
      <w:r w:rsidR="00922D8A" w:rsidRPr="008D4789">
        <w:t>cefuroksimo</w:t>
      </w:r>
      <w:proofErr w:type="spellEnd"/>
      <w:r w:rsidR="00922D8A" w:rsidRPr="008D4789">
        <w:t xml:space="preserve"> </w:t>
      </w:r>
      <w:proofErr w:type="spellStart"/>
      <w:r w:rsidR="00922D8A" w:rsidRPr="008D4789">
        <w:t>aksetilo</w:t>
      </w:r>
      <w:proofErr w:type="spellEnd"/>
      <w:r w:rsidR="00922D8A" w:rsidRPr="008D4789">
        <w:t xml:space="preserve"> pavidalu).</w:t>
      </w:r>
    </w:p>
    <w:p w14:paraId="18BDF0DB" w14:textId="77777777" w:rsidR="00922D8A" w:rsidRPr="008661CD" w:rsidRDefault="00922D8A" w:rsidP="008661CD"/>
    <w:p w14:paraId="49CDD374" w14:textId="77777777" w:rsidR="00922D8A" w:rsidRPr="009C0DB0" w:rsidRDefault="00922D8A" w:rsidP="008661CD">
      <w:pPr>
        <w:keepNext/>
        <w:ind w:left="567" w:hanging="567"/>
      </w:pPr>
      <w:r w:rsidRPr="008661CD">
        <w:rPr>
          <w:u w:val="single"/>
        </w:rPr>
        <w:t>Pagalbinės medžiagos yra</w:t>
      </w:r>
    </w:p>
    <w:p w14:paraId="7835F76F" w14:textId="77777777" w:rsidR="00922D8A" w:rsidRPr="008661CD" w:rsidRDefault="00922D8A" w:rsidP="008661CD">
      <w:pPr>
        <w:keepNext/>
      </w:pPr>
    </w:p>
    <w:p w14:paraId="4962458D" w14:textId="77777777" w:rsidR="00922D8A" w:rsidRPr="008661CD" w:rsidRDefault="00922D8A" w:rsidP="008661CD">
      <w:bookmarkStart w:id="6" w:name="_Hlk536117621"/>
      <w:proofErr w:type="spellStart"/>
      <w:r w:rsidRPr="008661CD">
        <w:t>Mikrokristalinė</w:t>
      </w:r>
      <w:proofErr w:type="spellEnd"/>
      <w:r w:rsidRPr="008661CD">
        <w:t xml:space="preserve"> celiuliozė, </w:t>
      </w:r>
      <w:proofErr w:type="spellStart"/>
      <w:r w:rsidRPr="008661CD">
        <w:t>kroskarmeliozės</w:t>
      </w:r>
      <w:proofErr w:type="spellEnd"/>
      <w:r w:rsidRPr="008661CD">
        <w:t xml:space="preserve"> natrio A tipo druska, natrio </w:t>
      </w:r>
      <w:proofErr w:type="spellStart"/>
      <w:r w:rsidRPr="008661CD">
        <w:t>laurilsulfatas</w:t>
      </w:r>
      <w:proofErr w:type="spellEnd"/>
      <w:r w:rsidRPr="008661CD">
        <w:t xml:space="preserve">, </w:t>
      </w:r>
      <w:proofErr w:type="spellStart"/>
      <w:r w:rsidRPr="008661CD">
        <w:t>hidrintas</w:t>
      </w:r>
      <w:proofErr w:type="spellEnd"/>
      <w:r w:rsidRPr="008661CD">
        <w:t xml:space="preserve"> augalinis aliejus, bevandenis koloidinis silicio dioksidas, </w:t>
      </w:r>
      <w:proofErr w:type="spellStart"/>
      <w:r w:rsidRPr="008661CD">
        <w:t>hipromeliozė</w:t>
      </w:r>
      <w:proofErr w:type="spellEnd"/>
      <w:r w:rsidRPr="008661CD">
        <w:t xml:space="preserve">, </w:t>
      </w:r>
      <w:proofErr w:type="spellStart"/>
      <w:r w:rsidRPr="008661CD">
        <w:t>propilenglikolis</w:t>
      </w:r>
      <w:proofErr w:type="spellEnd"/>
      <w:r w:rsidRPr="008661CD">
        <w:t xml:space="preserve">, </w:t>
      </w:r>
      <w:proofErr w:type="spellStart"/>
      <w:r w:rsidRPr="008661CD">
        <w:t>metilparahidroksibenzoatas</w:t>
      </w:r>
      <w:proofErr w:type="spellEnd"/>
      <w:r w:rsidRPr="008661CD">
        <w:t xml:space="preserve"> (E218), </w:t>
      </w:r>
      <w:proofErr w:type="spellStart"/>
      <w:r w:rsidRPr="008661CD">
        <w:t>propilparahidroksibenzoatas</w:t>
      </w:r>
      <w:proofErr w:type="spellEnd"/>
      <w:r w:rsidRPr="008661CD">
        <w:t xml:space="preserve"> (E216), baltasis </w:t>
      </w:r>
      <w:proofErr w:type="spellStart"/>
      <w:r w:rsidRPr="008661CD">
        <w:rPr>
          <w:i/>
        </w:rPr>
        <w:t>Opaspray</w:t>
      </w:r>
      <w:proofErr w:type="spellEnd"/>
      <w:r w:rsidRPr="008661CD">
        <w:t xml:space="preserve"> M–1-7120J [sudėtyje yra titano dioksido (E171) ir natrio </w:t>
      </w:r>
      <w:proofErr w:type="spellStart"/>
      <w:r w:rsidRPr="008661CD">
        <w:t>benzoato</w:t>
      </w:r>
      <w:proofErr w:type="spellEnd"/>
      <w:r w:rsidRPr="008661CD">
        <w:t xml:space="preserve"> (E211)].</w:t>
      </w:r>
    </w:p>
    <w:bookmarkEnd w:id="6"/>
    <w:p w14:paraId="5A12FF2C" w14:textId="77777777" w:rsidR="00922D8A" w:rsidRPr="008661CD" w:rsidRDefault="00922D8A" w:rsidP="008661CD">
      <w:pPr>
        <w:ind w:right="-2"/>
      </w:pPr>
    </w:p>
    <w:p w14:paraId="25D429BB" w14:textId="77777777" w:rsidR="00922D8A" w:rsidRPr="008661CD" w:rsidRDefault="00922D8A" w:rsidP="008661CD">
      <w:pPr>
        <w:keepNext/>
        <w:tabs>
          <w:tab w:val="left" w:pos="0"/>
        </w:tabs>
        <w:outlineLvl w:val="0"/>
        <w:rPr>
          <w:b/>
        </w:rPr>
      </w:pPr>
      <w:proofErr w:type="spellStart"/>
      <w:r w:rsidRPr="008661CD">
        <w:rPr>
          <w:b/>
        </w:rPr>
        <w:t>Zinnat</w:t>
      </w:r>
      <w:proofErr w:type="spellEnd"/>
      <w:r w:rsidRPr="008661CD">
        <w:rPr>
          <w:b/>
        </w:rPr>
        <w:t xml:space="preserve"> išvaizda ir kiekis pakuotėje</w:t>
      </w:r>
    </w:p>
    <w:p w14:paraId="5751B03E" w14:textId="77777777" w:rsidR="00922D8A" w:rsidRPr="008661CD" w:rsidRDefault="00922D8A" w:rsidP="008661CD"/>
    <w:p w14:paraId="5C04EBFC" w14:textId="1C929608" w:rsidR="00922D8A" w:rsidRPr="008661CD" w:rsidRDefault="00922D8A" w:rsidP="008661CD">
      <w:bookmarkStart w:id="7" w:name="_Hlk517877812"/>
      <w:proofErr w:type="spellStart"/>
      <w:r w:rsidRPr="008661CD">
        <w:t>Zinnat</w:t>
      </w:r>
      <w:proofErr w:type="spellEnd"/>
      <w:r w:rsidRPr="008661CD">
        <w:t xml:space="preserve"> 500 mg tabletės yra baltos spalvos, dengtos plėvele, kapsulės formos tabletės, kurių viena pusė yra lygi, o kitoje tabletės pusėje yra įspaustas užrašas „GX EG2“. Jos tiekiamos aliuminio folijos lizdinių plokštelių, supakuotų kartono dėžutėje, pakuotėse. Kiekvienoje pakuotėje yra 10</w:t>
      </w:r>
      <w:r w:rsidR="00901D52">
        <w:t xml:space="preserve"> </w:t>
      </w:r>
      <w:r w:rsidRPr="008661CD">
        <w:t>tablečių.</w:t>
      </w:r>
    </w:p>
    <w:bookmarkEnd w:id="7"/>
    <w:p w14:paraId="43DDFB1D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35F755D6" w14:textId="65CA2D8C" w:rsidR="00922D8A" w:rsidRPr="008661CD" w:rsidRDefault="001F68D7" w:rsidP="008661CD">
      <w:pPr>
        <w:numPr>
          <w:ilvl w:val="12"/>
          <w:numId w:val="0"/>
        </w:numPr>
        <w:ind w:right="-2"/>
        <w:rPr>
          <w:b/>
        </w:rPr>
      </w:pPr>
      <w:r>
        <w:rPr>
          <w:b/>
        </w:rPr>
        <w:t>G</w:t>
      </w:r>
      <w:r w:rsidR="00922D8A" w:rsidRPr="008661CD">
        <w:rPr>
          <w:b/>
        </w:rPr>
        <w:t>amintojas</w:t>
      </w:r>
    </w:p>
    <w:p w14:paraId="6CA4C576" w14:textId="0C23BBEE" w:rsidR="00922D8A" w:rsidRDefault="001F68D7" w:rsidP="001F68D7">
      <w:pPr>
        <w:numPr>
          <w:ilvl w:val="12"/>
          <w:numId w:val="0"/>
        </w:numPr>
        <w:ind w:right="-2"/>
      </w:pPr>
      <w:proofErr w:type="spellStart"/>
      <w:r>
        <w:t>GlaxoSmithKline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, 12 </w:t>
      </w:r>
      <w:proofErr w:type="spellStart"/>
      <w:r>
        <w:t>Riverwalk</w:t>
      </w:r>
      <w:proofErr w:type="spellEnd"/>
      <w:r>
        <w:t xml:space="preserve">, </w:t>
      </w:r>
      <w:proofErr w:type="spellStart"/>
      <w:r>
        <w:t>Citywest</w:t>
      </w:r>
      <w:proofErr w:type="spellEnd"/>
      <w:r>
        <w:t xml:space="preserve"> Business </w:t>
      </w:r>
      <w:proofErr w:type="spellStart"/>
      <w:r>
        <w:t>Campus</w:t>
      </w:r>
      <w:proofErr w:type="spellEnd"/>
      <w:r>
        <w:t>, Dublin 24, D24 YK11, Airija</w:t>
      </w:r>
    </w:p>
    <w:p w14:paraId="15FF69FF" w14:textId="77777777" w:rsidR="00AE2294" w:rsidRDefault="00AE2294" w:rsidP="00AE2294">
      <w:r>
        <w:t xml:space="preserve">arba </w:t>
      </w:r>
    </w:p>
    <w:p w14:paraId="5C07EF3B" w14:textId="4187E8EB" w:rsidR="00AE2294" w:rsidRDefault="00AE2294" w:rsidP="00AE2294">
      <w:proofErr w:type="spellStart"/>
      <w:r w:rsidRPr="00DA3177">
        <w:t>Lek</w:t>
      </w:r>
      <w:proofErr w:type="spellEnd"/>
      <w:r w:rsidRPr="00DA3177">
        <w:t xml:space="preserve"> </w:t>
      </w:r>
      <w:proofErr w:type="spellStart"/>
      <w:r w:rsidRPr="00DA3177">
        <w:t>Pharmaceuticals</w:t>
      </w:r>
      <w:proofErr w:type="spellEnd"/>
      <w:r w:rsidRPr="00DA3177">
        <w:t xml:space="preserve"> </w:t>
      </w:r>
      <w:proofErr w:type="spellStart"/>
      <w:r w:rsidRPr="00DA3177">
        <w:t>d.d</w:t>
      </w:r>
      <w:proofErr w:type="spellEnd"/>
      <w:r w:rsidRPr="00DA3177">
        <w:t xml:space="preserve">., </w:t>
      </w:r>
      <w:proofErr w:type="spellStart"/>
      <w:r w:rsidRPr="00DA3177">
        <w:t>Verovškova</w:t>
      </w:r>
      <w:proofErr w:type="spellEnd"/>
      <w:r w:rsidRPr="00DA3177">
        <w:t xml:space="preserve"> 57, </w:t>
      </w:r>
      <w:proofErr w:type="spellStart"/>
      <w:r w:rsidRPr="00DA3177">
        <w:t>Ljubljana</w:t>
      </w:r>
      <w:proofErr w:type="spellEnd"/>
      <w:r w:rsidRPr="00DA3177">
        <w:t>, 1526, Slovėnija</w:t>
      </w:r>
    </w:p>
    <w:p w14:paraId="5D8AEF30" w14:textId="397EC19C" w:rsidR="005A2E39" w:rsidRDefault="005A2E39" w:rsidP="00AE2294">
      <w:r>
        <w:t>arba</w:t>
      </w:r>
    </w:p>
    <w:p w14:paraId="0AB56A4D" w14:textId="329328E2" w:rsidR="005A2E39" w:rsidRPr="008661CD" w:rsidRDefault="005A2E39" w:rsidP="00AE2294">
      <w:proofErr w:type="spellStart"/>
      <w:r w:rsidRPr="005A2E39">
        <w:t>Sandoz</w:t>
      </w:r>
      <w:proofErr w:type="spellEnd"/>
      <w:r w:rsidRPr="005A2E39">
        <w:t xml:space="preserve"> </w:t>
      </w:r>
      <w:proofErr w:type="spellStart"/>
      <w:r w:rsidRPr="005A2E39">
        <w:t>GmbH</w:t>
      </w:r>
      <w:proofErr w:type="spellEnd"/>
      <w:r w:rsidRPr="005A2E39">
        <w:t xml:space="preserve">, </w:t>
      </w:r>
      <w:proofErr w:type="spellStart"/>
      <w:r w:rsidRPr="005A2E39">
        <w:t>Kundl</w:t>
      </w:r>
      <w:proofErr w:type="spellEnd"/>
      <w:r w:rsidRPr="005A2E39">
        <w:t xml:space="preserve"> (AICO FDF </w:t>
      </w:r>
      <w:proofErr w:type="spellStart"/>
      <w:r w:rsidRPr="005A2E39">
        <w:t>Kundl</w:t>
      </w:r>
      <w:proofErr w:type="spellEnd"/>
      <w:r w:rsidRPr="005A2E39">
        <w:t xml:space="preserve">), </w:t>
      </w:r>
      <w:proofErr w:type="spellStart"/>
      <w:r w:rsidRPr="005A2E39">
        <w:t>Biochemiestra</w:t>
      </w:r>
      <w:proofErr w:type="spellEnd"/>
      <w:r w:rsidRPr="005A2E39">
        <w:t xml:space="preserve">βe 10, 6250 </w:t>
      </w:r>
      <w:proofErr w:type="spellStart"/>
      <w:r w:rsidRPr="005A2E39">
        <w:t>Kundl</w:t>
      </w:r>
      <w:proofErr w:type="spellEnd"/>
      <w:r w:rsidRPr="005A2E39">
        <w:t>, Austrija</w:t>
      </w:r>
    </w:p>
    <w:p w14:paraId="17D43E1B" w14:textId="77777777" w:rsidR="007A66C0" w:rsidRPr="00C510EF" w:rsidRDefault="007A66C0" w:rsidP="007A66C0">
      <w:pPr>
        <w:numPr>
          <w:ilvl w:val="12"/>
          <w:numId w:val="0"/>
        </w:numPr>
        <w:ind w:right="-2"/>
        <w:rPr>
          <w:szCs w:val="22"/>
        </w:rPr>
      </w:pPr>
    </w:p>
    <w:p w14:paraId="5EA0E55A" w14:textId="77777777" w:rsidR="001F68D7" w:rsidRPr="007B3E38" w:rsidRDefault="001F68D7" w:rsidP="001F68D7">
      <w:pPr>
        <w:rPr>
          <w:b/>
          <w:bCs/>
        </w:rPr>
      </w:pPr>
      <w:r w:rsidRPr="007B3E38">
        <w:rPr>
          <w:b/>
          <w:bCs/>
        </w:rPr>
        <w:t>Lygiagretus importuotojas</w:t>
      </w:r>
    </w:p>
    <w:p w14:paraId="5D8B8AD4" w14:textId="7873FBCA" w:rsidR="001F68D7" w:rsidRDefault="001F68D7" w:rsidP="001F68D7">
      <w:r w:rsidRPr="007B3E38">
        <w:t>UAB „</w:t>
      </w:r>
      <w:proofErr w:type="spellStart"/>
      <w:r w:rsidRPr="007B3E38">
        <w:t>Lex</w:t>
      </w:r>
      <w:proofErr w:type="spellEnd"/>
      <w:r w:rsidRPr="007B3E38">
        <w:t xml:space="preserve"> ano“, Naugarduko g. 3, LT-03231 Vilnius, Lietuva</w:t>
      </w:r>
    </w:p>
    <w:p w14:paraId="148F7E07" w14:textId="5FE29FF1" w:rsidR="001F68D7" w:rsidRDefault="001F68D7" w:rsidP="001F68D7"/>
    <w:p w14:paraId="7D8795F7" w14:textId="77777777" w:rsidR="001F68D7" w:rsidRPr="00FA4BFE" w:rsidRDefault="001F68D7" w:rsidP="001F68D7">
      <w:pPr>
        <w:rPr>
          <w:b/>
          <w:bCs/>
        </w:rPr>
      </w:pPr>
      <w:r w:rsidRPr="00FA4BFE">
        <w:rPr>
          <w:b/>
          <w:bCs/>
        </w:rPr>
        <w:t>Perpakavo</w:t>
      </w:r>
    </w:p>
    <w:p w14:paraId="559127DB" w14:textId="77777777" w:rsidR="001F68D7" w:rsidRPr="00FA4BFE" w:rsidRDefault="001F68D7" w:rsidP="001F68D7">
      <w:r w:rsidRPr="00FA4BFE">
        <w:t xml:space="preserve">UAB „ENTAFARMA“, </w:t>
      </w:r>
      <w:proofErr w:type="spellStart"/>
      <w:r w:rsidRPr="00FA4BFE">
        <w:t>Klonėnų</w:t>
      </w:r>
      <w:proofErr w:type="spellEnd"/>
      <w:r w:rsidRPr="00FA4BFE">
        <w:t xml:space="preserve"> vs. 1, LT-19156 Širvintų r. sav., Lietuva</w:t>
      </w:r>
    </w:p>
    <w:p w14:paraId="3CB2D19A" w14:textId="77777777" w:rsidR="001F68D7" w:rsidRPr="00FA4BFE" w:rsidRDefault="001F68D7" w:rsidP="001F68D7">
      <w:r w:rsidRPr="00FA4BFE">
        <w:t>arba</w:t>
      </w:r>
    </w:p>
    <w:p w14:paraId="331FE101" w14:textId="77777777" w:rsidR="001F68D7" w:rsidRPr="00FA4BFE" w:rsidRDefault="001F68D7" w:rsidP="001F68D7">
      <w:r w:rsidRPr="00FA4BFE">
        <w:t>Lietuvos ir Norvegijos UAB „</w:t>
      </w:r>
      <w:proofErr w:type="spellStart"/>
      <w:r w:rsidRPr="00FA4BFE">
        <w:t>Norfachema</w:t>
      </w:r>
      <w:proofErr w:type="spellEnd"/>
      <w:r w:rsidRPr="00FA4BFE">
        <w:t>“, Vytauto g. 6, LT-55175 Jonava, Lietuva</w:t>
      </w:r>
    </w:p>
    <w:p w14:paraId="6907B7F5" w14:textId="77777777" w:rsidR="001F68D7" w:rsidRPr="00FA4BFE" w:rsidRDefault="001F68D7" w:rsidP="001F68D7">
      <w:r w:rsidRPr="00FA4BFE">
        <w:t>arba</w:t>
      </w:r>
    </w:p>
    <w:p w14:paraId="68290E9D" w14:textId="2E5EDA53" w:rsidR="001F68D7" w:rsidRDefault="001F68D7" w:rsidP="001F68D7">
      <w:r w:rsidRPr="00FA4BFE">
        <w:t xml:space="preserve">CEFEA Sp. z </w:t>
      </w:r>
      <w:proofErr w:type="spellStart"/>
      <w:r w:rsidRPr="00FA4BFE">
        <w:t>o.o</w:t>
      </w:r>
      <w:proofErr w:type="spellEnd"/>
      <w:r w:rsidRPr="00FA4BFE">
        <w:t xml:space="preserve">. Sp. K., </w:t>
      </w:r>
      <w:proofErr w:type="spellStart"/>
      <w:r w:rsidRPr="00FA4BFE">
        <w:t>Ul</w:t>
      </w:r>
      <w:proofErr w:type="spellEnd"/>
      <w:r w:rsidRPr="00FA4BFE">
        <w:t xml:space="preserve">. </w:t>
      </w:r>
      <w:proofErr w:type="spellStart"/>
      <w:r w:rsidRPr="00FA4BFE">
        <w:t>Działkowa</w:t>
      </w:r>
      <w:proofErr w:type="spellEnd"/>
      <w:r w:rsidRPr="00FA4BFE">
        <w:t xml:space="preserve"> </w:t>
      </w:r>
      <w:r w:rsidR="0086283E">
        <w:t>69</w:t>
      </w:r>
      <w:r w:rsidRPr="00FA4BFE">
        <w:t xml:space="preserve">, 02-234 </w:t>
      </w:r>
      <w:proofErr w:type="spellStart"/>
      <w:r w:rsidRPr="00FA4BFE">
        <w:t>Warszawa</w:t>
      </w:r>
      <w:proofErr w:type="spellEnd"/>
      <w:r w:rsidRPr="00FA4BFE">
        <w:t>, Lenkija</w:t>
      </w:r>
    </w:p>
    <w:p w14:paraId="141ED2BF" w14:textId="00901A59" w:rsidR="001F68D7" w:rsidRDefault="001F68D7" w:rsidP="001F68D7"/>
    <w:p w14:paraId="7EE8D1CD" w14:textId="4A196BA5" w:rsidR="001F68D7" w:rsidRDefault="001F68D7" w:rsidP="001F68D7">
      <w:r w:rsidRPr="00DC1740">
        <w:rPr>
          <w:b/>
          <w:bCs/>
        </w:rPr>
        <w:t>Registruotojas eksportuojančioje valstybėje yra</w:t>
      </w:r>
      <w:r>
        <w:t xml:space="preserve"> </w:t>
      </w:r>
      <w:proofErr w:type="spellStart"/>
      <w:r w:rsidR="0086283E" w:rsidRPr="0086283E">
        <w:t>Sandoz</w:t>
      </w:r>
      <w:proofErr w:type="spellEnd"/>
      <w:r w:rsidR="0086283E" w:rsidRPr="0086283E">
        <w:t xml:space="preserve"> </w:t>
      </w:r>
      <w:proofErr w:type="spellStart"/>
      <w:r w:rsidR="0086283E" w:rsidRPr="0086283E">
        <w:t>d.o.o</w:t>
      </w:r>
      <w:proofErr w:type="spellEnd"/>
      <w:r w:rsidR="0086283E" w:rsidRPr="0086283E">
        <w:t xml:space="preserve">., </w:t>
      </w:r>
      <w:proofErr w:type="spellStart"/>
      <w:r w:rsidR="0086283E" w:rsidRPr="0086283E">
        <w:t>Maksimirska</w:t>
      </w:r>
      <w:proofErr w:type="spellEnd"/>
      <w:r w:rsidR="0086283E" w:rsidRPr="0086283E">
        <w:t xml:space="preserve"> 120, </w:t>
      </w:r>
      <w:proofErr w:type="spellStart"/>
      <w:r w:rsidR="0086283E" w:rsidRPr="0086283E">
        <w:t>Zagreb</w:t>
      </w:r>
      <w:proofErr w:type="spellEnd"/>
      <w:r w:rsidR="0086283E" w:rsidRPr="0086283E">
        <w:t>, Kroatija</w:t>
      </w:r>
      <w:r w:rsidR="0086283E">
        <w:t>.</w:t>
      </w:r>
      <w:r w:rsidR="0086283E" w:rsidRPr="0086283E" w:rsidDel="0086283E">
        <w:t xml:space="preserve"> </w:t>
      </w:r>
    </w:p>
    <w:p w14:paraId="645B55F4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1EFD706C" w14:textId="54236575" w:rsidR="00922D8A" w:rsidRPr="008661CD" w:rsidRDefault="00922D8A" w:rsidP="008661CD">
      <w:pPr>
        <w:numPr>
          <w:ilvl w:val="12"/>
          <w:numId w:val="0"/>
        </w:numPr>
        <w:ind w:right="-2"/>
        <w:outlineLvl w:val="0"/>
      </w:pPr>
      <w:r w:rsidRPr="008661CD">
        <w:rPr>
          <w:b/>
        </w:rPr>
        <w:t>Šis pakuotės lapelis paskutinį kartą peržiūrėtas</w:t>
      </w:r>
      <w:r w:rsidR="00DC1740">
        <w:rPr>
          <w:b/>
        </w:rPr>
        <w:t xml:space="preserve"> </w:t>
      </w:r>
      <w:bookmarkStart w:id="8" w:name="_GoBack"/>
      <w:bookmarkEnd w:id="8"/>
      <w:r w:rsidR="00DC1740">
        <w:rPr>
          <w:b/>
        </w:rPr>
        <w:t>2024-09-18.</w:t>
      </w:r>
    </w:p>
    <w:p w14:paraId="40CD8B8C" w14:textId="77777777" w:rsidR="00922D8A" w:rsidRPr="009C0DB0" w:rsidRDefault="00922D8A" w:rsidP="008661CD">
      <w:pPr>
        <w:numPr>
          <w:ilvl w:val="12"/>
          <w:numId w:val="0"/>
        </w:numPr>
        <w:ind w:right="-2"/>
      </w:pPr>
    </w:p>
    <w:p w14:paraId="286F411E" w14:textId="7FC04A61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t>Išsami informacija apie šį vaistą pateikiama Valstybinės vaistų kontrolės tarnybos prie Lietuvos Respublikos sveikatos apsaugos ministerijos tinklalapyje</w:t>
      </w:r>
      <w:r w:rsidR="00880587">
        <w:rPr>
          <w:i/>
        </w:rPr>
        <w:t xml:space="preserve"> </w:t>
      </w:r>
      <w:hyperlink r:id="rId11" w:history="1">
        <w:r w:rsidR="00880587" w:rsidRPr="00880587">
          <w:rPr>
            <w:rStyle w:val="Hyperlink"/>
            <w:szCs w:val="22"/>
            <w:lang w:eastAsia="lt-LT"/>
          </w:rPr>
          <w:t>https://vvkt.lrv.lt/lt/</w:t>
        </w:r>
      </w:hyperlink>
      <w:r w:rsidRPr="008661CD">
        <w:t>.</w:t>
      </w:r>
    </w:p>
    <w:p w14:paraId="4F21EBC5" w14:textId="77777777" w:rsidR="00922D8A" w:rsidRPr="008661CD" w:rsidRDefault="00922D8A" w:rsidP="008661CD"/>
    <w:p w14:paraId="56EBD242" w14:textId="77777777" w:rsidR="0086283E" w:rsidRDefault="0086283E" w:rsidP="0086283E">
      <w:pPr>
        <w:rPr>
          <w:rStyle w:val="ui-provider"/>
          <w:i/>
          <w:iCs/>
        </w:rPr>
      </w:pPr>
      <w:bookmarkStart w:id="9" w:name="_Hlk172642938"/>
      <w:r w:rsidRPr="009330AE">
        <w:rPr>
          <w:i/>
        </w:rPr>
        <w:t>Lygiagrečiai importuojamas vaistas nuo referencinio vaisto skiriasi pagalbinėmis medžiagomis (</w:t>
      </w:r>
      <w:r>
        <w:rPr>
          <w:i/>
        </w:rPr>
        <w:t>lygiagrečiai importuojamo vaisto sudėtyje papildomai yra</w:t>
      </w:r>
      <w:r w:rsidRPr="00BD5B0B">
        <w:t xml:space="preserve"> </w:t>
      </w:r>
      <w:proofErr w:type="spellStart"/>
      <w:r w:rsidRPr="00BD5B0B">
        <w:rPr>
          <w:i/>
        </w:rPr>
        <w:t>metilparahidroksibenzo</w:t>
      </w:r>
      <w:r>
        <w:rPr>
          <w:i/>
        </w:rPr>
        <w:t>ato</w:t>
      </w:r>
      <w:proofErr w:type="spellEnd"/>
      <w:r w:rsidRPr="00BD5B0B">
        <w:rPr>
          <w:i/>
        </w:rPr>
        <w:t xml:space="preserve"> (E218), </w:t>
      </w:r>
      <w:proofErr w:type="spellStart"/>
      <w:r w:rsidRPr="00BD5B0B">
        <w:rPr>
          <w:i/>
        </w:rPr>
        <w:t>propilparahidroksibenzoat</w:t>
      </w:r>
      <w:r>
        <w:rPr>
          <w:i/>
        </w:rPr>
        <w:t>o</w:t>
      </w:r>
      <w:proofErr w:type="spellEnd"/>
      <w:r>
        <w:rPr>
          <w:i/>
        </w:rPr>
        <w:t xml:space="preserve"> </w:t>
      </w:r>
      <w:r w:rsidRPr="00BD5B0B">
        <w:rPr>
          <w:i/>
        </w:rPr>
        <w:t>(E216</w:t>
      </w:r>
      <w:r>
        <w:rPr>
          <w:i/>
        </w:rPr>
        <w:t>)).</w:t>
      </w:r>
      <w:bookmarkEnd w:id="9"/>
    </w:p>
    <w:p w14:paraId="635ED688" w14:textId="0DD8817E" w:rsidR="00AA471E" w:rsidRDefault="00AA471E">
      <w:pPr>
        <w:spacing w:after="160" w:line="259" w:lineRule="auto"/>
      </w:pPr>
    </w:p>
    <w:sectPr w:rsidR="00AA471E" w:rsidSect="00894113">
      <w:headerReference w:type="default" r:id="rId12"/>
      <w:footerReference w:type="even" r:id="rId13"/>
      <w:footerReference w:type="defaul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E79A7" w14:textId="77777777" w:rsidR="00F36DCB" w:rsidRDefault="00F36DCB" w:rsidP="008661CD">
      <w:r>
        <w:separator/>
      </w:r>
    </w:p>
  </w:endnote>
  <w:endnote w:type="continuationSeparator" w:id="0">
    <w:p w14:paraId="6BE970A1" w14:textId="77777777" w:rsidR="00F36DCB" w:rsidRDefault="00F36DCB" w:rsidP="008661CD">
      <w:r>
        <w:continuationSeparator/>
      </w:r>
    </w:p>
  </w:endnote>
  <w:endnote w:type="continuationNotice" w:id="1">
    <w:p w14:paraId="1C76C6D0" w14:textId="77777777" w:rsidR="00F36DCB" w:rsidRDefault="00F36DCB" w:rsidP="00866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93077" w14:textId="77777777" w:rsidR="00275DDF" w:rsidRDefault="00275DDF" w:rsidP="00894113">
    <w:pPr>
      <w:pStyle w:val="Footer"/>
      <w:framePr w:wrap="around" w:vAnchor="text" w:hAnchor="margin" w:xAlign="center" w:y="1"/>
      <w:rPr>
        <w:rStyle w:val="PageNumber"/>
        <w:lang w:val="lt-LT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14:paraId="5C951913" w14:textId="77777777" w:rsidR="00275DDF" w:rsidRDefault="00275DDF">
    <w:pPr>
      <w:pStyle w:val="Footer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724C1" w14:textId="3449E0C0" w:rsidR="00275DDF" w:rsidRDefault="00275DDF" w:rsidP="008941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740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59D6BC" w14:textId="77777777" w:rsidR="00275DDF" w:rsidRDefault="00275DDF">
    <w:pPr>
      <w:pStyle w:val="Footer"/>
      <w:framePr w:wrap="around" w:vAnchor="text" w:hAnchor="margin" w:xAlign="right" w:y="1"/>
      <w:rPr>
        <w:rStyle w:val="PageNumber"/>
        <w:lang w:val="lt-LT"/>
      </w:rPr>
    </w:pPr>
  </w:p>
  <w:p w14:paraId="3E8F9CE0" w14:textId="77777777" w:rsidR="00275DDF" w:rsidRDefault="00275DDF">
    <w:pPr>
      <w:pStyle w:val="Footer"/>
      <w:ind w:right="360"/>
      <w:jc w:val="center"/>
      <w:rPr>
        <w:rStyle w:val="PageNumber"/>
        <w:rFonts w:ascii="Arial" w:hAnsi="Arial" w:cs="Arial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1C14A" w14:textId="77777777" w:rsidR="00F36DCB" w:rsidRDefault="00F36DCB" w:rsidP="008661CD">
      <w:r>
        <w:separator/>
      </w:r>
    </w:p>
  </w:footnote>
  <w:footnote w:type="continuationSeparator" w:id="0">
    <w:p w14:paraId="47CCC465" w14:textId="77777777" w:rsidR="00F36DCB" w:rsidRDefault="00F36DCB" w:rsidP="008661CD">
      <w:r>
        <w:continuationSeparator/>
      </w:r>
    </w:p>
  </w:footnote>
  <w:footnote w:type="continuationNotice" w:id="1">
    <w:p w14:paraId="6694C766" w14:textId="77777777" w:rsidR="00F36DCB" w:rsidRDefault="00F36DCB" w:rsidP="00866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6E16E" w14:textId="77777777" w:rsidR="007A66C0" w:rsidRDefault="007A6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612C80"/>
    <w:multiLevelType w:val="hybridMultilevel"/>
    <w:tmpl w:val="AF0C11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2BFA"/>
    <w:multiLevelType w:val="hybridMultilevel"/>
    <w:tmpl w:val="DCF8B75E"/>
    <w:lvl w:ilvl="0" w:tplc="30FE0392">
      <w:numFmt w:val="bullet"/>
      <w:lvlText w:val="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Wingdings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2573D"/>
    <w:multiLevelType w:val="hybridMultilevel"/>
    <w:tmpl w:val="F578B5F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26D85DED"/>
    <w:multiLevelType w:val="hybridMultilevel"/>
    <w:tmpl w:val="A1D879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05ACF"/>
    <w:multiLevelType w:val="hybridMultilevel"/>
    <w:tmpl w:val="ABE05D2C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E43527"/>
    <w:multiLevelType w:val="hybridMultilevel"/>
    <w:tmpl w:val="B2A8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B172B"/>
    <w:multiLevelType w:val="hybridMultilevel"/>
    <w:tmpl w:val="B3EA927E"/>
    <w:lvl w:ilvl="0" w:tplc="866A0322">
      <w:numFmt w:val="bullet"/>
      <w:lvlText w:val="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  <w:b/>
        <w:bCs/>
        <w:i w:val="0"/>
        <w:iCs w:val="0"/>
        <w:color w:val="00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76792"/>
    <w:multiLevelType w:val="hybridMultilevel"/>
    <w:tmpl w:val="34484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02E1E"/>
    <w:multiLevelType w:val="hybridMultilevel"/>
    <w:tmpl w:val="9EC44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4570A"/>
    <w:multiLevelType w:val="hybridMultilevel"/>
    <w:tmpl w:val="60A28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F4A53"/>
    <w:multiLevelType w:val="hybridMultilevel"/>
    <w:tmpl w:val="8740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A23F0"/>
    <w:multiLevelType w:val="hybridMultilevel"/>
    <w:tmpl w:val="EA566F16"/>
    <w:lvl w:ilvl="0" w:tplc="C038A7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225D6"/>
    <w:multiLevelType w:val="hybridMultilevel"/>
    <w:tmpl w:val="685CE77E"/>
    <w:lvl w:ilvl="0" w:tplc="7750C47E">
      <w:start w:val="1"/>
      <w:numFmt w:val="bullet"/>
      <w:lvlText w:val="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20EBD"/>
    <w:multiLevelType w:val="hybridMultilevel"/>
    <w:tmpl w:val="5C3CEC40"/>
    <w:lvl w:ilvl="0" w:tplc="C4E2847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012CB"/>
    <w:multiLevelType w:val="hybridMultilevel"/>
    <w:tmpl w:val="6F8A6748"/>
    <w:lvl w:ilvl="0" w:tplc="B4D84058">
      <w:numFmt w:val="bullet"/>
      <w:pStyle w:val="Bullet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  <w:szCs w:val="22"/>
      </w:rPr>
    </w:lvl>
    <w:lvl w:ilvl="1" w:tplc="C284D12A">
      <w:start w:val="2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72425"/>
    <w:multiLevelType w:val="hybridMultilevel"/>
    <w:tmpl w:val="BA4EE5A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8" w15:restartNumberingAfterBreak="0">
    <w:nsid w:val="609C7D4A"/>
    <w:multiLevelType w:val="hybridMultilevel"/>
    <w:tmpl w:val="ABE05D2C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591EF3"/>
    <w:multiLevelType w:val="hybridMultilevel"/>
    <w:tmpl w:val="A4FE40A2"/>
    <w:lvl w:ilvl="0" w:tplc="08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27"/>
        </w:tabs>
        <w:ind w:left="162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20" w15:restartNumberingAfterBreak="0">
    <w:nsid w:val="65177953"/>
    <w:multiLevelType w:val="hybridMultilevel"/>
    <w:tmpl w:val="73E48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6CE43134"/>
    <w:multiLevelType w:val="hybridMultilevel"/>
    <w:tmpl w:val="ABE05D2C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3076EC"/>
    <w:multiLevelType w:val="hybridMultilevel"/>
    <w:tmpl w:val="437A2886"/>
    <w:lvl w:ilvl="0" w:tplc="1A266460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17ECE"/>
    <w:multiLevelType w:val="hybridMultilevel"/>
    <w:tmpl w:val="CC046914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23B43"/>
    <w:multiLevelType w:val="hybridMultilevel"/>
    <w:tmpl w:val="BACEEEFA"/>
    <w:lvl w:ilvl="0" w:tplc="FEA2497E">
      <w:start w:val="1"/>
      <w:numFmt w:val="bullet"/>
      <w:lvlText w:val="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b/>
        <w:bCs/>
        <w:i w:val="0"/>
        <w:iCs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41AE4"/>
    <w:multiLevelType w:val="multilevel"/>
    <w:tmpl w:val="C1CE9478"/>
    <w:lvl w:ilvl="0">
      <w:start w:val="2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</w:pPr>
      <w:rPr>
        <w:b/>
        <w:bCs/>
        <w:i/>
        <w:iCs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</w:pPr>
    </w:lvl>
  </w:abstractNum>
  <w:abstractNum w:abstractNumId="27" w15:restartNumberingAfterBreak="0">
    <w:nsid w:val="7DB6137D"/>
    <w:multiLevelType w:val="hybridMultilevel"/>
    <w:tmpl w:val="B05E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F5BAD"/>
    <w:multiLevelType w:val="hybridMultilevel"/>
    <w:tmpl w:val="1D56D44E"/>
    <w:lvl w:ilvl="0" w:tplc="E8BAF01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12"/>
  </w:num>
  <w:num w:numId="4">
    <w:abstractNumId w:val="7"/>
  </w:num>
  <w:num w:numId="5">
    <w:abstractNumId w:val="6"/>
  </w:num>
  <w:num w:numId="6">
    <w:abstractNumId w:val="22"/>
  </w:num>
  <w:num w:numId="7">
    <w:abstractNumId w:val="18"/>
  </w:num>
  <w:num w:numId="8">
    <w:abstractNumId w:val="20"/>
  </w:num>
  <w:num w:numId="9">
    <w:abstractNumId w:val="28"/>
  </w:num>
  <w:num w:numId="10">
    <w:abstractNumId w:val="3"/>
  </w:num>
  <w:num w:numId="11">
    <w:abstractNumId w:val="19"/>
  </w:num>
  <w:num w:numId="12">
    <w:abstractNumId w:val="14"/>
  </w:num>
  <w:num w:numId="13">
    <w:abstractNumId w:val="11"/>
  </w:num>
  <w:num w:numId="14">
    <w:abstractNumId w:val="9"/>
  </w:num>
  <w:num w:numId="15">
    <w:abstractNumId w:val="5"/>
  </w:num>
  <w:num w:numId="16">
    <w:abstractNumId w:val="2"/>
  </w:num>
  <w:num w:numId="17">
    <w:abstractNumId w:val="16"/>
  </w:num>
  <w:num w:numId="18">
    <w:abstractNumId w:val="26"/>
  </w:num>
  <w:num w:numId="19">
    <w:abstractNumId w:val="8"/>
  </w:num>
  <w:num w:numId="20">
    <w:abstractNumId w:val="25"/>
  </w:num>
  <w:num w:numId="21">
    <w:abstractNumId w:val="10"/>
  </w:num>
  <w:num w:numId="22">
    <w:abstractNumId w:val="21"/>
  </w:num>
  <w:num w:numId="23">
    <w:abstractNumId w:val="13"/>
  </w:num>
  <w:num w:numId="24">
    <w:abstractNumId w:val="23"/>
  </w:num>
  <w:num w:numId="25">
    <w:abstractNumId w:val="15"/>
  </w:num>
  <w:num w:numId="26">
    <w:abstractNumId w:val="24"/>
  </w:num>
  <w:num w:numId="27">
    <w:abstractNumId w:val="17"/>
  </w:num>
  <w:num w:numId="28">
    <w:abstractNumId w:val="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8A"/>
    <w:rsid w:val="00020E68"/>
    <w:rsid w:val="00045FA2"/>
    <w:rsid w:val="00051BB3"/>
    <w:rsid w:val="00051F3A"/>
    <w:rsid w:val="000609A6"/>
    <w:rsid w:val="00075553"/>
    <w:rsid w:val="00084D7C"/>
    <w:rsid w:val="00090104"/>
    <w:rsid w:val="000909C4"/>
    <w:rsid w:val="000B404E"/>
    <w:rsid w:val="000D6620"/>
    <w:rsid w:val="000E2855"/>
    <w:rsid w:val="000F3553"/>
    <w:rsid w:val="000F4C41"/>
    <w:rsid w:val="000F6DE4"/>
    <w:rsid w:val="00114810"/>
    <w:rsid w:val="001254EF"/>
    <w:rsid w:val="0012689E"/>
    <w:rsid w:val="00137990"/>
    <w:rsid w:val="0015205C"/>
    <w:rsid w:val="00180413"/>
    <w:rsid w:val="00196850"/>
    <w:rsid w:val="001A39BE"/>
    <w:rsid w:val="001D14F8"/>
    <w:rsid w:val="001E3979"/>
    <w:rsid w:val="001F68D7"/>
    <w:rsid w:val="00201A13"/>
    <w:rsid w:val="002153AB"/>
    <w:rsid w:val="00215DA7"/>
    <w:rsid w:val="002231B0"/>
    <w:rsid w:val="002262B1"/>
    <w:rsid w:val="0023469A"/>
    <w:rsid w:val="002354C4"/>
    <w:rsid w:val="00246E3C"/>
    <w:rsid w:val="002563D5"/>
    <w:rsid w:val="00262565"/>
    <w:rsid w:val="0027019D"/>
    <w:rsid w:val="00275DDF"/>
    <w:rsid w:val="002A4076"/>
    <w:rsid w:val="002A5D82"/>
    <w:rsid w:val="002B330B"/>
    <w:rsid w:val="002B44B7"/>
    <w:rsid w:val="002C4E86"/>
    <w:rsid w:val="002C5B54"/>
    <w:rsid w:val="002D0BEA"/>
    <w:rsid w:val="00312E9B"/>
    <w:rsid w:val="00317F24"/>
    <w:rsid w:val="0033524A"/>
    <w:rsid w:val="00370761"/>
    <w:rsid w:val="003731A2"/>
    <w:rsid w:val="003820B3"/>
    <w:rsid w:val="0038275E"/>
    <w:rsid w:val="00396DE3"/>
    <w:rsid w:val="003C4157"/>
    <w:rsid w:val="003F2CC8"/>
    <w:rsid w:val="0040039C"/>
    <w:rsid w:val="00405685"/>
    <w:rsid w:val="0043226E"/>
    <w:rsid w:val="00434A00"/>
    <w:rsid w:val="00436204"/>
    <w:rsid w:val="00454A2D"/>
    <w:rsid w:val="0045789A"/>
    <w:rsid w:val="004674F5"/>
    <w:rsid w:val="00475ED9"/>
    <w:rsid w:val="004802E3"/>
    <w:rsid w:val="004906D7"/>
    <w:rsid w:val="00494B84"/>
    <w:rsid w:val="00496485"/>
    <w:rsid w:val="004B00A8"/>
    <w:rsid w:val="004E79C7"/>
    <w:rsid w:val="005005A6"/>
    <w:rsid w:val="005076F0"/>
    <w:rsid w:val="00535996"/>
    <w:rsid w:val="00572457"/>
    <w:rsid w:val="0059070D"/>
    <w:rsid w:val="005A2E39"/>
    <w:rsid w:val="005C217D"/>
    <w:rsid w:val="00620AF9"/>
    <w:rsid w:val="006560AA"/>
    <w:rsid w:val="006B5F08"/>
    <w:rsid w:val="006D5BAE"/>
    <w:rsid w:val="006F379A"/>
    <w:rsid w:val="00720FF6"/>
    <w:rsid w:val="00741F7A"/>
    <w:rsid w:val="00760201"/>
    <w:rsid w:val="007762D3"/>
    <w:rsid w:val="0078026E"/>
    <w:rsid w:val="007871A7"/>
    <w:rsid w:val="007A14E7"/>
    <w:rsid w:val="007A2E59"/>
    <w:rsid w:val="007A32EB"/>
    <w:rsid w:val="007A66C0"/>
    <w:rsid w:val="007B7773"/>
    <w:rsid w:val="007C7FF6"/>
    <w:rsid w:val="007D56B2"/>
    <w:rsid w:val="007E1E44"/>
    <w:rsid w:val="0080565C"/>
    <w:rsid w:val="0082231F"/>
    <w:rsid w:val="0086283E"/>
    <w:rsid w:val="008655E1"/>
    <w:rsid w:val="008661CD"/>
    <w:rsid w:val="008669A6"/>
    <w:rsid w:val="0087135F"/>
    <w:rsid w:val="00880587"/>
    <w:rsid w:val="00894113"/>
    <w:rsid w:val="008B0E26"/>
    <w:rsid w:val="008B58A7"/>
    <w:rsid w:val="008D4789"/>
    <w:rsid w:val="008E31F8"/>
    <w:rsid w:val="008F2B0C"/>
    <w:rsid w:val="008F46C5"/>
    <w:rsid w:val="00901D52"/>
    <w:rsid w:val="009048DD"/>
    <w:rsid w:val="00913990"/>
    <w:rsid w:val="00915D52"/>
    <w:rsid w:val="00922D8A"/>
    <w:rsid w:val="00990D07"/>
    <w:rsid w:val="00992B07"/>
    <w:rsid w:val="009C0DB0"/>
    <w:rsid w:val="009C2836"/>
    <w:rsid w:val="009D476A"/>
    <w:rsid w:val="009F2518"/>
    <w:rsid w:val="009F4E08"/>
    <w:rsid w:val="00A14D63"/>
    <w:rsid w:val="00A4029E"/>
    <w:rsid w:val="00A45CE9"/>
    <w:rsid w:val="00A46785"/>
    <w:rsid w:val="00A604A7"/>
    <w:rsid w:val="00AA08CA"/>
    <w:rsid w:val="00AA471E"/>
    <w:rsid w:val="00AC48F2"/>
    <w:rsid w:val="00AE2294"/>
    <w:rsid w:val="00AE434E"/>
    <w:rsid w:val="00B118B5"/>
    <w:rsid w:val="00B25D18"/>
    <w:rsid w:val="00B61765"/>
    <w:rsid w:val="00B70391"/>
    <w:rsid w:val="00B833F4"/>
    <w:rsid w:val="00B90A3E"/>
    <w:rsid w:val="00C16D62"/>
    <w:rsid w:val="00C228BC"/>
    <w:rsid w:val="00C6070D"/>
    <w:rsid w:val="00CA3D57"/>
    <w:rsid w:val="00CB2F82"/>
    <w:rsid w:val="00CC5332"/>
    <w:rsid w:val="00CD0ED2"/>
    <w:rsid w:val="00D000FD"/>
    <w:rsid w:val="00D32EF3"/>
    <w:rsid w:val="00D6299C"/>
    <w:rsid w:val="00D6429C"/>
    <w:rsid w:val="00D645DE"/>
    <w:rsid w:val="00D703A6"/>
    <w:rsid w:val="00D76D34"/>
    <w:rsid w:val="00D9725E"/>
    <w:rsid w:val="00DA046F"/>
    <w:rsid w:val="00DA3177"/>
    <w:rsid w:val="00DC1740"/>
    <w:rsid w:val="00E32E7D"/>
    <w:rsid w:val="00E543AA"/>
    <w:rsid w:val="00E62286"/>
    <w:rsid w:val="00E657AC"/>
    <w:rsid w:val="00E8291B"/>
    <w:rsid w:val="00E84CBB"/>
    <w:rsid w:val="00EC00FB"/>
    <w:rsid w:val="00EC2440"/>
    <w:rsid w:val="00EC5180"/>
    <w:rsid w:val="00EC7E28"/>
    <w:rsid w:val="00ED5971"/>
    <w:rsid w:val="00EF7E49"/>
    <w:rsid w:val="00F36DCB"/>
    <w:rsid w:val="00F42392"/>
    <w:rsid w:val="00F43431"/>
    <w:rsid w:val="00F54DCD"/>
    <w:rsid w:val="00F754F6"/>
    <w:rsid w:val="00F97F7F"/>
    <w:rsid w:val="00FA064A"/>
    <w:rsid w:val="00FA799F"/>
    <w:rsid w:val="00FB6EA8"/>
    <w:rsid w:val="00FD17EA"/>
    <w:rsid w:val="00FD1D97"/>
    <w:rsid w:val="00FD26B3"/>
    <w:rsid w:val="00FE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D9F36"/>
  <w15:chartTrackingRefBased/>
  <w15:docId w15:val="{B16174BB-2298-4E30-A0EB-0FB260E9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1C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8661CD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22D8A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Heading3">
    <w:name w:val="heading 3"/>
    <w:basedOn w:val="Normal"/>
    <w:next w:val="Normal"/>
    <w:link w:val="Heading3Char"/>
    <w:qFormat/>
    <w:rsid w:val="008661CD"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8661CD"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Heading5">
    <w:name w:val="heading 5"/>
    <w:basedOn w:val="Normal"/>
    <w:next w:val="Normal"/>
    <w:link w:val="Heading5Char"/>
    <w:qFormat/>
    <w:rsid w:val="008661CD"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Heading6">
    <w:name w:val="heading 6"/>
    <w:basedOn w:val="Normal"/>
    <w:next w:val="Normal"/>
    <w:link w:val="Heading6Char"/>
    <w:qFormat/>
    <w:rsid w:val="008661C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Heading7">
    <w:name w:val="heading 7"/>
    <w:basedOn w:val="Normal"/>
    <w:next w:val="Normal"/>
    <w:link w:val="Heading7Char"/>
    <w:qFormat/>
    <w:rsid w:val="008661C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Heading8">
    <w:name w:val="heading 8"/>
    <w:basedOn w:val="Normal"/>
    <w:next w:val="Normal"/>
    <w:link w:val="Heading8Char"/>
    <w:qFormat/>
    <w:rsid w:val="008661CD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Heading9">
    <w:name w:val="heading 9"/>
    <w:basedOn w:val="Normal"/>
    <w:next w:val="Normal"/>
    <w:link w:val="Heading9Char"/>
    <w:qFormat/>
    <w:rsid w:val="008661CD"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2D8A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22D8A"/>
    <w:rPr>
      <w:rFonts w:ascii="Helvetica" w:eastAsia="Times New Roman" w:hAnsi="Helvetica" w:cs="Times New Roman"/>
      <w:b/>
      <w:i/>
      <w:szCs w:val="20"/>
      <w:lang w:val="cs-CZ"/>
    </w:rPr>
  </w:style>
  <w:style w:type="character" w:customStyle="1" w:styleId="Heading3Char">
    <w:name w:val="Heading 3 Char"/>
    <w:basedOn w:val="DefaultParagraphFont"/>
    <w:link w:val="Heading3"/>
    <w:rsid w:val="00922D8A"/>
    <w:rPr>
      <w:rFonts w:ascii="Times New Roman" w:eastAsia="Times New Roman" w:hAnsi="Times New Roman" w:cs="Times New Roman"/>
      <w:b/>
      <w:kern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22D8A"/>
    <w:rPr>
      <w:rFonts w:ascii="Times New Roman" w:eastAsia="Times New Roman" w:hAnsi="Times New Roman" w:cs="Times New Roman"/>
      <w:b/>
      <w:noProof/>
      <w:szCs w:val="20"/>
      <w:lang w:val="cs-CZ"/>
    </w:rPr>
  </w:style>
  <w:style w:type="character" w:customStyle="1" w:styleId="Heading5Char">
    <w:name w:val="Heading 5 Char"/>
    <w:basedOn w:val="DefaultParagraphFont"/>
    <w:link w:val="Heading5"/>
    <w:rsid w:val="00922D8A"/>
    <w:rPr>
      <w:rFonts w:ascii="Times New Roman" w:eastAsia="Times New Roman" w:hAnsi="Times New Roman" w:cs="Times New Roman"/>
      <w:noProof/>
      <w:szCs w:val="20"/>
      <w:lang w:val="cs-CZ"/>
    </w:rPr>
  </w:style>
  <w:style w:type="character" w:customStyle="1" w:styleId="Heading6Char">
    <w:name w:val="Heading 6 Char"/>
    <w:basedOn w:val="DefaultParagraphFont"/>
    <w:link w:val="Heading6"/>
    <w:rsid w:val="00922D8A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Heading7Char">
    <w:name w:val="Heading 7 Char"/>
    <w:basedOn w:val="DefaultParagraphFont"/>
    <w:link w:val="Heading7"/>
    <w:rsid w:val="00922D8A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Heading8Char">
    <w:name w:val="Heading 8 Char"/>
    <w:basedOn w:val="DefaultParagraphFont"/>
    <w:link w:val="Heading8"/>
    <w:rsid w:val="00922D8A"/>
    <w:rPr>
      <w:rFonts w:ascii="Times New Roman" w:eastAsia="Times New Roman" w:hAnsi="Times New Roman" w:cs="Times New Roman"/>
      <w:b/>
      <w:i/>
      <w:szCs w:val="20"/>
      <w:lang w:val="cs-CZ"/>
    </w:rPr>
  </w:style>
  <w:style w:type="character" w:customStyle="1" w:styleId="Heading9Char">
    <w:name w:val="Heading 9 Char"/>
    <w:basedOn w:val="DefaultParagraphFont"/>
    <w:link w:val="Heading9"/>
    <w:rsid w:val="00922D8A"/>
    <w:rPr>
      <w:rFonts w:ascii="Times New Roman" w:eastAsia="Times New Roman" w:hAnsi="Times New Roman" w:cs="Times New Roman"/>
      <w:b/>
      <w:i/>
      <w:szCs w:val="20"/>
      <w:lang w:val="cs-CZ"/>
    </w:rPr>
  </w:style>
  <w:style w:type="paragraph" w:styleId="Footer">
    <w:name w:val="footer"/>
    <w:basedOn w:val="Normal"/>
    <w:link w:val="FooterChar"/>
    <w:rsid w:val="008661CD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customStyle="1" w:styleId="FooterChar">
    <w:name w:val="Footer Char"/>
    <w:basedOn w:val="DefaultParagraphFont"/>
    <w:link w:val="Footer"/>
    <w:rsid w:val="00922D8A"/>
    <w:rPr>
      <w:rFonts w:ascii="Helvetica" w:eastAsia="Times New Roman" w:hAnsi="Helvetica" w:cs="Times New Roman"/>
      <w:sz w:val="16"/>
      <w:szCs w:val="20"/>
      <w:lang w:val="cs-CZ"/>
    </w:rPr>
  </w:style>
  <w:style w:type="character" w:styleId="PageNumber">
    <w:name w:val="page number"/>
    <w:basedOn w:val="DefaultParagraphFont"/>
    <w:rsid w:val="00922D8A"/>
  </w:style>
  <w:style w:type="paragraph" w:styleId="Header">
    <w:name w:val="header"/>
    <w:basedOn w:val="Normal"/>
    <w:link w:val="HeaderChar"/>
    <w:rsid w:val="008661CD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character" w:customStyle="1" w:styleId="HeaderChar">
    <w:name w:val="Header Char"/>
    <w:basedOn w:val="DefaultParagraphFont"/>
    <w:link w:val="Header"/>
    <w:rsid w:val="00922D8A"/>
    <w:rPr>
      <w:rFonts w:ascii="Helvetica" w:eastAsia="Times New Roman" w:hAnsi="Helvetica" w:cs="Times New Roman"/>
      <w:sz w:val="20"/>
      <w:szCs w:val="20"/>
      <w:lang w:val="cs-CZ"/>
    </w:rPr>
  </w:style>
  <w:style w:type="paragraph" w:customStyle="1" w:styleId="EMEAEnBodyText">
    <w:name w:val="EMEA En Body Text"/>
    <w:basedOn w:val="Normal"/>
    <w:rsid w:val="008661CD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Normal"/>
    <w:rsid w:val="00E32E7D"/>
    <w:pPr>
      <w:numPr>
        <w:numId w:val="2"/>
      </w:numPr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E32E7D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E32E7D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rsid w:val="00E32E7D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E32E7D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BodyText2">
    <w:name w:val="Body Text 2"/>
    <w:basedOn w:val="Normal"/>
    <w:link w:val="BodyText2Char"/>
    <w:rsid w:val="008661CD"/>
    <w:pPr>
      <w:numPr>
        <w:ilvl w:val="12"/>
      </w:numPr>
      <w:ind w:right="-2"/>
    </w:pPr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rsid w:val="00922D8A"/>
    <w:rPr>
      <w:rFonts w:ascii="Times New Roman" w:eastAsia="Times New Roman" w:hAnsi="Times New Roman" w:cs="Times New Roman"/>
      <w:b/>
      <w:bCs/>
      <w:szCs w:val="20"/>
    </w:rPr>
  </w:style>
  <w:style w:type="paragraph" w:styleId="BodyText">
    <w:name w:val="Body Text"/>
    <w:basedOn w:val="Normal"/>
    <w:link w:val="BodyTextChar"/>
    <w:rsid w:val="008661CD"/>
    <w:rPr>
      <w:i/>
      <w:color w:val="00800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22D8A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character" w:styleId="Hyperlink">
    <w:name w:val="Hyperlink"/>
    <w:uiPriority w:val="99"/>
    <w:rsid w:val="00922D8A"/>
    <w:rPr>
      <w:color w:val="0000FF"/>
      <w:u w:val="single"/>
    </w:rPr>
  </w:style>
  <w:style w:type="character" w:styleId="Strong">
    <w:name w:val="Strong"/>
    <w:qFormat/>
    <w:rsid w:val="00922D8A"/>
    <w:rPr>
      <w:b/>
      <w:bCs/>
    </w:rPr>
  </w:style>
  <w:style w:type="paragraph" w:styleId="BalloonText">
    <w:name w:val="Balloon Text"/>
    <w:basedOn w:val="Normal"/>
    <w:link w:val="BalloonTextChar"/>
    <w:semiHidden/>
    <w:rsid w:val="00866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22D8A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rsid w:val="00922D8A"/>
    <w:rPr>
      <w:color w:val="800080"/>
      <w:u w:val="single"/>
    </w:rPr>
  </w:style>
  <w:style w:type="paragraph" w:customStyle="1" w:styleId="Postspace">
    <w:name w:val="Postspace"/>
    <w:basedOn w:val="Normal"/>
    <w:autoRedefine/>
    <w:rsid w:val="008661CD"/>
    <w:rPr>
      <w:sz w:val="24"/>
      <w:szCs w:val="20"/>
      <w:lang w:val="en-GB"/>
    </w:rPr>
  </w:style>
  <w:style w:type="paragraph" w:customStyle="1" w:styleId="TableCell">
    <w:name w:val="TableCell"/>
    <w:basedOn w:val="Normal"/>
    <w:rsid w:val="008661CD"/>
    <w:rPr>
      <w:sz w:val="24"/>
      <w:szCs w:val="20"/>
      <w:lang w:val="en-GB"/>
    </w:rPr>
  </w:style>
  <w:style w:type="paragraph" w:customStyle="1" w:styleId="anchor">
    <w:name w:val="anchor"/>
    <w:basedOn w:val="Normal"/>
    <w:autoRedefine/>
    <w:rsid w:val="008661CD"/>
    <w:rPr>
      <w:sz w:val="24"/>
      <w:szCs w:val="20"/>
      <w:lang w:val="en-GB"/>
    </w:rPr>
  </w:style>
  <w:style w:type="paragraph" w:customStyle="1" w:styleId="NoNumHead2">
    <w:name w:val="NoNum:Head2"/>
    <w:basedOn w:val="Normal"/>
    <w:next w:val="Normal"/>
    <w:autoRedefine/>
    <w:rsid w:val="008661CD"/>
    <w:pPr>
      <w:keepNext/>
      <w:outlineLvl w:val="0"/>
    </w:pPr>
    <w:rPr>
      <w:b/>
      <w:szCs w:val="22"/>
      <w:lang w:val="en-GB"/>
    </w:rPr>
  </w:style>
  <w:style w:type="paragraph" w:customStyle="1" w:styleId="centhead12">
    <w:name w:val="centhead12"/>
    <w:basedOn w:val="Normal"/>
    <w:next w:val="Normal"/>
    <w:rsid w:val="008661CD"/>
    <w:pPr>
      <w:keepNext/>
      <w:spacing w:after="240"/>
      <w:jc w:val="center"/>
    </w:pPr>
    <w:rPr>
      <w:rFonts w:ascii="Arial" w:hAnsi="Arial"/>
      <w:b/>
      <w:sz w:val="24"/>
      <w:szCs w:val="20"/>
      <w:lang w:val="en-GB"/>
    </w:rPr>
  </w:style>
  <w:style w:type="paragraph" w:styleId="NormalWeb">
    <w:name w:val="Normal (Web)"/>
    <w:basedOn w:val="Normal"/>
    <w:rsid w:val="008661CD"/>
    <w:pPr>
      <w:spacing w:before="100" w:beforeAutospacing="1" w:after="100" w:afterAutospacing="1"/>
    </w:pPr>
    <w:rPr>
      <w:sz w:val="24"/>
      <w:lang w:val="en-GB" w:eastAsia="en-GB"/>
    </w:rPr>
  </w:style>
  <w:style w:type="paragraph" w:customStyle="1" w:styleId="Bullet">
    <w:name w:val="Bullet"/>
    <w:basedOn w:val="Normal"/>
    <w:rsid w:val="00E32E7D"/>
    <w:pPr>
      <w:numPr>
        <w:numId w:val="17"/>
      </w:numPr>
      <w:spacing w:before="120"/>
    </w:pPr>
    <w:rPr>
      <w:lang w:val="en-GB" w:eastAsia="en-GB"/>
    </w:rPr>
  </w:style>
  <w:style w:type="paragraph" w:styleId="BodyText3">
    <w:name w:val="Body Text 3"/>
    <w:basedOn w:val="Normal"/>
    <w:link w:val="BodyText3Char"/>
    <w:rsid w:val="008661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22D8A"/>
    <w:rPr>
      <w:rFonts w:ascii="Times New Roman" w:eastAsia="Times New Roman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8661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22D8A"/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922D8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customStyle="1" w:styleId="CharChar1CharCharCharCharCharChar1CharCharCharCharCharChar">
    <w:name w:val="Char Char1 Char Char Char Char Char Char1 Char Char Char Char Char Char"/>
    <w:basedOn w:val="Normal"/>
    <w:rsid w:val="008661CD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SimSun" w:hAnsi="Verdana"/>
      <w:sz w:val="20"/>
      <w:szCs w:val="20"/>
      <w:lang w:val="en-US" w:eastAsia="zh-CN"/>
    </w:rPr>
  </w:style>
  <w:style w:type="paragraph" w:customStyle="1" w:styleId="Header1">
    <w:name w:val="Header1"/>
    <w:rsid w:val="00922D8A"/>
    <w:pPr>
      <w:suppressAutoHyphens/>
      <w:spacing w:after="0" w:line="260" w:lineRule="exact"/>
    </w:pPr>
    <w:rPr>
      <w:rFonts w:ascii="Arial" w:eastAsia="Times New Roman" w:hAnsi="Arial" w:cs="Times New Roman"/>
      <w:b/>
      <w:sz w:val="20"/>
      <w:szCs w:val="20"/>
      <w:u w:val="single"/>
      <w:lang w:val="en-GB"/>
    </w:rPr>
  </w:style>
  <w:style w:type="paragraph" w:customStyle="1" w:styleId="Footer1">
    <w:name w:val="Footer1"/>
    <w:rsid w:val="00922D8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FootnoteTextChar">
    <w:name w:val="Footnote Text Char"/>
    <w:link w:val="FootnoteText"/>
    <w:rsid w:val="00922D8A"/>
    <w:rPr>
      <w:lang w:val="en-GB"/>
    </w:rPr>
  </w:style>
  <w:style w:type="paragraph" w:styleId="FootnoteText">
    <w:name w:val="footnote text"/>
    <w:basedOn w:val="Normal"/>
    <w:link w:val="FootnoteTextChar"/>
    <w:rsid w:val="008661CD"/>
    <w:pPr>
      <w:tabs>
        <w:tab w:val="left" w:pos="567"/>
      </w:tabs>
      <w:spacing w:line="260" w:lineRule="exact"/>
    </w:pPr>
    <w:rPr>
      <w:rFonts w:asciiTheme="minorHAnsi" w:eastAsiaTheme="minorHAnsi" w:hAnsiTheme="minorHAnsi" w:cstheme="minorBidi"/>
      <w:szCs w:val="22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922D8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922D8A"/>
    <w:rPr>
      <w:vertAlign w:val="superscript"/>
    </w:rPr>
  </w:style>
  <w:style w:type="character" w:styleId="CommentReference">
    <w:name w:val="annotation reference"/>
    <w:rsid w:val="00922D8A"/>
    <w:rPr>
      <w:sz w:val="16"/>
      <w:szCs w:val="16"/>
    </w:rPr>
  </w:style>
  <w:style w:type="character" w:customStyle="1" w:styleId="CommentTextChar">
    <w:name w:val="Comment Text Char"/>
    <w:link w:val="CommentText"/>
    <w:rsid w:val="00922D8A"/>
    <w:rPr>
      <w:lang w:val="en-GB"/>
    </w:rPr>
  </w:style>
  <w:style w:type="paragraph" w:styleId="CommentText">
    <w:name w:val="annotation text"/>
    <w:basedOn w:val="Normal"/>
    <w:link w:val="CommentTextChar"/>
    <w:rsid w:val="008661CD"/>
    <w:pPr>
      <w:tabs>
        <w:tab w:val="left" w:pos="567"/>
      </w:tabs>
      <w:spacing w:line="260" w:lineRule="exact"/>
    </w:pPr>
    <w:rPr>
      <w:rFonts w:asciiTheme="minorHAnsi" w:eastAsiaTheme="minorHAnsi" w:hAnsiTheme="minorHAnsi" w:cstheme="minorBidi"/>
      <w:szCs w:val="22"/>
      <w:lang w:val="en-GB"/>
    </w:rPr>
  </w:style>
  <w:style w:type="character" w:customStyle="1" w:styleId="CommentTextChar1">
    <w:name w:val="Comment Text Char1"/>
    <w:basedOn w:val="DefaultParagraphFont"/>
    <w:uiPriority w:val="99"/>
    <w:semiHidden/>
    <w:rsid w:val="00922D8A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link w:val="CommentSubject"/>
    <w:rsid w:val="00922D8A"/>
    <w:rPr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22D8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922D8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Agency">
    <w:name w:val="Body text (Agency)"/>
    <w:basedOn w:val="Normal"/>
    <w:link w:val="BodytextAgencyChar"/>
    <w:rsid w:val="00922D8A"/>
    <w:pPr>
      <w:spacing w:after="140" w:line="280" w:lineRule="atLeast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22D8A"/>
    <w:rPr>
      <w:rFonts w:ascii="Verdana" w:eastAsia="Verdana" w:hAnsi="Verdana" w:cs="Times New Roman"/>
      <w:sz w:val="18"/>
      <w:szCs w:val="18"/>
      <w:lang w:val="en-GB" w:eastAsia="en-GB"/>
    </w:rPr>
  </w:style>
  <w:style w:type="paragraph" w:customStyle="1" w:styleId="No-numheading1Agency">
    <w:name w:val="No-num heading 1 (Agency)"/>
    <w:basedOn w:val="Normal"/>
    <w:next w:val="BodytextAgency"/>
    <w:link w:val="No-numheading1AgencyChar"/>
    <w:rsid w:val="008661CD"/>
    <w:pPr>
      <w:keepNext/>
      <w:spacing w:before="280" w:after="220"/>
      <w:outlineLvl w:val="0"/>
    </w:pPr>
    <w:rPr>
      <w:rFonts w:ascii="Verdana" w:eastAsia="Verdana" w:hAnsi="Verdana"/>
      <w:b/>
      <w:bCs/>
      <w:kern w:val="32"/>
      <w:sz w:val="27"/>
      <w:szCs w:val="27"/>
      <w:lang w:val="en-GB" w:eastAsia="en-GB"/>
    </w:rPr>
  </w:style>
  <w:style w:type="character" w:customStyle="1" w:styleId="No-numheading1AgencyChar">
    <w:name w:val="No-num heading 1 (Agency) Char"/>
    <w:link w:val="No-numheading1Agency"/>
    <w:rsid w:val="00922D8A"/>
    <w:rPr>
      <w:rFonts w:ascii="Verdana" w:eastAsia="Verdana" w:hAnsi="Verdana" w:cs="Times New Roman"/>
      <w:b/>
      <w:bCs/>
      <w:kern w:val="32"/>
      <w:sz w:val="27"/>
      <w:szCs w:val="27"/>
      <w:lang w:val="en-GB" w:eastAsia="en-GB"/>
    </w:rPr>
  </w:style>
  <w:style w:type="paragraph" w:customStyle="1" w:styleId="No-numheading2Agency">
    <w:name w:val="No-num heading 2 (Agency)"/>
    <w:basedOn w:val="Normal"/>
    <w:next w:val="BodytextAgency"/>
    <w:link w:val="No-numheading2AgencyChar"/>
    <w:rsid w:val="008661CD"/>
    <w:pPr>
      <w:keepNext/>
      <w:spacing w:before="280" w:after="220"/>
      <w:outlineLvl w:val="1"/>
    </w:pPr>
    <w:rPr>
      <w:rFonts w:ascii="Verdana" w:eastAsia="Verdana" w:hAnsi="Verdana"/>
      <w:b/>
      <w:bCs/>
      <w:i/>
      <w:kern w:val="32"/>
      <w:sz w:val="20"/>
      <w:szCs w:val="20"/>
      <w:lang w:val="en-GB" w:eastAsia="en-GB"/>
    </w:rPr>
  </w:style>
  <w:style w:type="character" w:customStyle="1" w:styleId="No-numheading2AgencyChar">
    <w:name w:val="No-num heading 2 (Agency) Char"/>
    <w:link w:val="No-numheading2Agency"/>
    <w:rsid w:val="00922D8A"/>
    <w:rPr>
      <w:rFonts w:ascii="Verdana" w:eastAsia="Verdana" w:hAnsi="Verdana" w:cs="Times New Roman"/>
      <w:b/>
      <w:bCs/>
      <w:i/>
      <w:kern w:val="32"/>
      <w:sz w:val="20"/>
      <w:szCs w:val="20"/>
      <w:lang w:val="en-GB" w:eastAsia="en-GB"/>
    </w:rPr>
  </w:style>
  <w:style w:type="character" w:customStyle="1" w:styleId="MessageHeaderChar">
    <w:name w:val="Message Header Char"/>
    <w:link w:val="MessageHeader"/>
    <w:rsid w:val="00922D8A"/>
    <w:rPr>
      <w:rFonts w:ascii="Arial" w:hAnsi="Arial" w:cs="Arial"/>
      <w:sz w:val="24"/>
      <w:szCs w:val="24"/>
      <w:shd w:val="pct20" w:color="auto" w:fill="auto"/>
      <w:lang w:val="en-GB"/>
    </w:rPr>
  </w:style>
  <w:style w:type="paragraph" w:styleId="MessageHeader">
    <w:name w:val="Message Header"/>
    <w:basedOn w:val="Normal"/>
    <w:link w:val="MessageHeaderChar"/>
    <w:rsid w:val="008661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</w:tabs>
      <w:spacing w:line="260" w:lineRule="exact"/>
      <w:ind w:left="1134" w:hanging="1134"/>
    </w:pPr>
    <w:rPr>
      <w:rFonts w:ascii="Arial" w:eastAsiaTheme="minorHAnsi" w:hAnsi="Arial" w:cs="Arial"/>
      <w:sz w:val="24"/>
      <w:lang w:val="en-GB"/>
    </w:rPr>
  </w:style>
  <w:style w:type="character" w:customStyle="1" w:styleId="MessageHeaderChar1">
    <w:name w:val="Message Header Char1"/>
    <w:basedOn w:val="DefaultParagraphFont"/>
    <w:uiPriority w:val="99"/>
    <w:semiHidden/>
    <w:rsid w:val="00922D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itle">
    <w:name w:val="Title"/>
    <w:basedOn w:val="Normal"/>
    <w:link w:val="TitleChar"/>
    <w:autoRedefine/>
    <w:qFormat/>
    <w:rsid w:val="008661CD"/>
    <w:pPr>
      <w:jc w:val="center"/>
      <w:outlineLvl w:val="0"/>
    </w:pPr>
    <w:rPr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922D8A"/>
    <w:rPr>
      <w:rFonts w:ascii="Times New Roman" w:eastAsia="Times New Roman" w:hAnsi="Times New Roman" w:cs="Times New Roman"/>
      <w:b/>
      <w:kern w:val="28"/>
      <w:szCs w:val="20"/>
    </w:rPr>
  </w:style>
  <w:style w:type="paragraph" w:styleId="PlainText">
    <w:name w:val="Plain Text"/>
    <w:basedOn w:val="Normal"/>
    <w:link w:val="PlainTextChar"/>
    <w:uiPriority w:val="99"/>
    <w:rsid w:val="008661CD"/>
    <w:rPr>
      <w:rFonts w:ascii="Courier New" w:eastAsia="SimSun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22D8A"/>
    <w:rPr>
      <w:rFonts w:ascii="Courier New" w:eastAsia="SimSu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661CD"/>
    <w:pPr>
      <w:ind w:left="720"/>
      <w:contextualSpacing/>
    </w:pPr>
  </w:style>
  <w:style w:type="paragraph" w:styleId="Revision">
    <w:name w:val="Revision"/>
    <w:hidden/>
    <w:uiPriority w:val="99"/>
    <w:semiHidden/>
    <w:rsid w:val="00922D8A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7A66C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478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C217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A32EB"/>
    <w:rPr>
      <w:color w:val="605E5C"/>
      <w:shd w:val="clear" w:color="auto" w:fill="E1DFDD"/>
    </w:rPr>
  </w:style>
  <w:style w:type="character" w:customStyle="1" w:styleId="i-form-view-value">
    <w:name w:val="i-form-view-value"/>
    <w:basedOn w:val="DefaultParagraphFont"/>
    <w:rsid w:val="008B0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vkt.lrv.lt/l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vvkt.lrv.lt/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58A6CA99A0FF49BE0B4CB2C974994A" ma:contentTypeVersion="8" ma:contentTypeDescription="Create a new document." ma:contentTypeScope="" ma:versionID="eefd6eae8180512a16e3a51bd0363ba6">
  <xsd:schema xmlns:xsd="http://www.w3.org/2001/XMLSchema" xmlns:xs="http://www.w3.org/2001/XMLSchema" xmlns:p="http://schemas.microsoft.com/office/2006/metadata/properties" xmlns:ns2="449db409-c7e6-43d3-9946-3b5582bfc64d" targetNamespace="http://schemas.microsoft.com/office/2006/metadata/properties" ma:root="true" ma:fieldsID="7c59be55bf8a4f8b6e1719c1ca4a6aee" ns2:_="">
    <xsd:import namespace="449db409-c7e6-43d3-9946-3b5582bfc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b409-c7e6-43d3-9946-3b5582bfc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E9C96-6ABC-4C51-A2DD-BF1C9036BB99}">
  <ds:schemaRefs>
    <ds:schemaRef ds:uri="449db409-c7e6-43d3-9946-3b5582bfc64d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EC4B5C-90A2-4FD5-97A3-8924B6785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b409-c7e6-43d3-9946-3b5582bfc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BE55FB-BFAF-476A-B154-568187274B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2047</Words>
  <Characters>14401</Characters>
  <Application>Microsoft Office Word</Application>
  <DocSecurity>0</DocSecurity>
  <Lines>120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Cizaite</dc:creator>
  <cp:keywords/>
  <dc:description/>
  <cp:lastModifiedBy>Božena Kuntelija</cp:lastModifiedBy>
  <cp:revision>4</cp:revision>
  <dcterms:created xsi:type="dcterms:W3CDTF">2024-09-17T09:28:00Z</dcterms:created>
  <dcterms:modified xsi:type="dcterms:W3CDTF">2024-09-23T10:58:00Z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0x0101000858A6CA99A0FF49BE0B4CB2C974994A</vt:lpwstr>
  </property>
  <property fmtid="{D5CDD505-2E9C-101B-9397-08002B2CF9AE}" pid="3" name="GrammarlyDocumentId">
    <vt:lpwstr>53109630083a17f2b5b927867f0770c0b92ad65a7c223b2c4f6986b805c68129</vt:lpwstr>
  </property>
</Properties>
</file>