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1205E" w14:textId="77777777" w:rsidR="005D554B" w:rsidRPr="00211E3B" w:rsidRDefault="005D554B" w:rsidP="00D762D9">
      <w:pPr>
        <w:tabs>
          <w:tab w:val="left" w:pos="-1440"/>
          <w:tab w:val="left" w:pos="-720"/>
          <w:tab w:val="left" w:pos="567"/>
        </w:tabs>
        <w:spacing w:line="260" w:lineRule="exact"/>
        <w:rPr>
          <w:b/>
          <w:snapToGrid w:val="0"/>
          <w:sz w:val="22"/>
        </w:rPr>
      </w:pPr>
    </w:p>
    <w:p w14:paraId="6A9E7D43" w14:textId="77777777" w:rsidR="006B65E9" w:rsidRPr="00211E3B" w:rsidRDefault="006B65E9" w:rsidP="00D762D9">
      <w:pPr>
        <w:tabs>
          <w:tab w:val="left" w:pos="-1440"/>
          <w:tab w:val="left" w:pos="-720"/>
          <w:tab w:val="left" w:pos="567"/>
        </w:tabs>
        <w:spacing w:line="260" w:lineRule="exact"/>
        <w:rPr>
          <w:b/>
          <w:snapToGrid w:val="0"/>
          <w:sz w:val="22"/>
        </w:rPr>
      </w:pPr>
    </w:p>
    <w:p w14:paraId="58737BA7" w14:textId="77777777" w:rsidR="006B65E9" w:rsidRPr="00211E3B" w:rsidRDefault="006B65E9" w:rsidP="00D762D9">
      <w:pPr>
        <w:tabs>
          <w:tab w:val="left" w:pos="-1440"/>
          <w:tab w:val="left" w:pos="-720"/>
          <w:tab w:val="left" w:pos="567"/>
        </w:tabs>
        <w:spacing w:line="260" w:lineRule="exact"/>
        <w:rPr>
          <w:b/>
          <w:snapToGrid w:val="0"/>
          <w:sz w:val="22"/>
        </w:rPr>
      </w:pPr>
    </w:p>
    <w:p w14:paraId="10B9FE9C" w14:textId="77777777" w:rsidR="006B65E9" w:rsidRPr="00211E3B" w:rsidRDefault="006B65E9" w:rsidP="00D762D9">
      <w:pPr>
        <w:tabs>
          <w:tab w:val="left" w:pos="-1440"/>
          <w:tab w:val="left" w:pos="-720"/>
          <w:tab w:val="left" w:pos="567"/>
        </w:tabs>
        <w:spacing w:line="260" w:lineRule="exact"/>
        <w:rPr>
          <w:b/>
          <w:snapToGrid w:val="0"/>
          <w:sz w:val="22"/>
        </w:rPr>
      </w:pPr>
    </w:p>
    <w:p w14:paraId="4635BB2B" w14:textId="77777777" w:rsidR="006B65E9" w:rsidRPr="00211E3B" w:rsidRDefault="006B65E9" w:rsidP="00D762D9">
      <w:pPr>
        <w:tabs>
          <w:tab w:val="left" w:pos="-1440"/>
          <w:tab w:val="left" w:pos="-720"/>
          <w:tab w:val="left" w:pos="567"/>
        </w:tabs>
        <w:spacing w:line="260" w:lineRule="exact"/>
        <w:rPr>
          <w:b/>
          <w:snapToGrid w:val="0"/>
          <w:sz w:val="22"/>
        </w:rPr>
      </w:pPr>
    </w:p>
    <w:p w14:paraId="39F38EA4" w14:textId="77777777" w:rsidR="005D554B" w:rsidRPr="00211E3B" w:rsidRDefault="005D554B" w:rsidP="005D554B">
      <w:pPr>
        <w:tabs>
          <w:tab w:val="left" w:pos="-1440"/>
          <w:tab w:val="left" w:pos="-720"/>
          <w:tab w:val="left" w:pos="567"/>
        </w:tabs>
        <w:spacing w:line="260" w:lineRule="exact"/>
        <w:rPr>
          <w:b/>
          <w:snapToGrid w:val="0"/>
          <w:sz w:val="22"/>
        </w:rPr>
      </w:pPr>
    </w:p>
    <w:p w14:paraId="4FB3F0E9" w14:textId="77777777" w:rsidR="005D554B" w:rsidRPr="00211E3B" w:rsidRDefault="005D554B" w:rsidP="005D554B">
      <w:pPr>
        <w:tabs>
          <w:tab w:val="left" w:pos="-1440"/>
          <w:tab w:val="left" w:pos="-720"/>
          <w:tab w:val="left" w:pos="567"/>
        </w:tabs>
        <w:spacing w:line="260" w:lineRule="exact"/>
        <w:rPr>
          <w:b/>
          <w:snapToGrid w:val="0"/>
          <w:sz w:val="22"/>
        </w:rPr>
      </w:pPr>
    </w:p>
    <w:p w14:paraId="452DF17D" w14:textId="77777777" w:rsidR="005D554B" w:rsidRPr="00211E3B" w:rsidRDefault="005D554B" w:rsidP="005D554B">
      <w:pPr>
        <w:tabs>
          <w:tab w:val="left" w:pos="-1440"/>
          <w:tab w:val="left" w:pos="-720"/>
          <w:tab w:val="left" w:pos="567"/>
        </w:tabs>
        <w:spacing w:line="260" w:lineRule="exact"/>
        <w:rPr>
          <w:b/>
          <w:snapToGrid w:val="0"/>
          <w:sz w:val="22"/>
        </w:rPr>
      </w:pPr>
    </w:p>
    <w:p w14:paraId="0E960FE5" w14:textId="77777777" w:rsidR="005D554B" w:rsidRPr="00211E3B" w:rsidRDefault="005D554B" w:rsidP="005D554B">
      <w:pPr>
        <w:tabs>
          <w:tab w:val="left" w:pos="-1440"/>
          <w:tab w:val="left" w:pos="-720"/>
          <w:tab w:val="left" w:pos="567"/>
        </w:tabs>
        <w:spacing w:line="260" w:lineRule="exact"/>
        <w:rPr>
          <w:b/>
          <w:snapToGrid w:val="0"/>
          <w:sz w:val="22"/>
        </w:rPr>
      </w:pPr>
    </w:p>
    <w:p w14:paraId="2DEC829C" w14:textId="77777777" w:rsidR="005D554B" w:rsidRPr="00211E3B" w:rsidRDefault="005D554B" w:rsidP="005D554B">
      <w:pPr>
        <w:tabs>
          <w:tab w:val="left" w:pos="-1440"/>
          <w:tab w:val="left" w:pos="-720"/>
          <w:tab w:val="left" w:pos="567"/>
        </w:tabs>
        <w:spacing w:line="260" w:lineRule="exact"/>
        <w:rPr>
          <w:b/>
          <w:snapToGrid w:val="0"/>
          <w:sz w:val="22"/>
        </w:rPr>
      </w:pPr>
    </w:p>
    <w:p w14:paraId="655B59E9" w14:textId="77777777" w:rsidR="005D554B" w:rsidRPr="00211E3B" w:rsidRDefault="005D554B" w:rsidP="005D554B">
      <w:pPr>
        <w:tabs>
          <w:tab w:val="left" w:pos="-1440"/>
          <w:tab w:val="left" w:pos="-720"/>
          <w:tab w:val="left" w:pos="567"/>
        </w:tabs>
        <w:spacing w:line="260" w:lineRule="exact"/>
        <w:rPr>
          <w:b/>
          <w:snapToGrid w:val="0"/>
          <w:sz w:val="22"/>
        </w:rPr>
      </w:pPr>
    </w:p>
    <w:p w14:paraId="7C95252B" w14:textId="77777777" w:rsidR="005D554B" w:rsidRPr="00211E3B" w:rsidRDefault="005D554B" w:rsidP="005D554B">
      <w:pPr>
        <w:tabs>
          <w:tab w:val="left" w:pos="-1440"/>
          <w:tab w:val="left" w:pos="-720"/>
          <w:tab w:val="left" w:pos="567"/>
        </w:tabs>
        <w:spacing w:line="260" w:lineRule="exact"/>
        <w:rPr>
          <w:b/>
          <w:snapToGrid w:val="0"/>
          <w:sz w:val="22"/>
        </w:rPr>
      </w:pPr>
    </w:p>
    <w:p w14:paraId="00BFE78C" w14:textId="77777777" w:rsidR="005D554B" w:rsidRPr="00211E3B" w:rsidRDefault="005D554B" w:rsidP="005D554B">
      <w:pPr>
        <w:tabs>
          <w:tab w:val="left" w:pos="-1440"/>
          <w:tab w:val="left" w:pos="-720"/>
          <w:tab w:val="left" w:pos="567"/>
        </w:tabs>
        <w:spacing w:line="260" w:lineRule="exact"/>
        <w:rPr>
          <w:b/>
          <w:snapToGrid w:val="0"/>
          <w:sz w:val="22"/>
        </w:rPr>
      </w:pPr>
    </w:p>
    <w:p w14:paraId="5D22A253" w14:textId="77777777" w:rsidR="005D554B" w:rsidRPr="00211E3B" w:rsidRDefault="005D554B" w:rsidP="005D554B">
      <w:pPr>
        <w:tabs>
          <w:tab w:val="left" w:pos="-1440"/>
          <w:tab w:val="left" w:pos="-720"/>
          <w:tab w:val="left" w:pos="567"/>
        </w:tabs>
        <w:spacing w:line="260" w:lineRule="exact"/>
        <w:rPr>
          <w:b/>
          <w:snapToGrid w:val="0"/>
          <w:sz w:val="22"/>
        </w:rPr>
      </w:pPr>
    </w:p>
    <w:p w14:paraId="14BA3A66" w14:textId="77777777" w:rsidR="005D554B" w:rsidRPr="00211E3B" w:rsidRDefault="005D554B" w:rsidP="005D554B">
      <w:pPr>
        <w:tabs>
          <w:tab w:val="left" w:pos="-1440"/>
          <w:tab w:val="left" w:pos="-720"/>
          <w:tab w:val="left" w:pos="567"/>
        </w:tabs>
        <w:spacing w:line="260" w:lineRule="exact"/>
        <w:rPr>
          <w:b/>
          <w:snapToGrid w:val="0"/>
          <w:sz w:val="22"/>
        </w:rPr>
      </w:pPr>
    </w:p>
    <w:p w14:paraId="475F1DBE" w14:textId="77777777" w:rsidR="005D554B" w:rsidRPr="00211E3B" w:rsidRDefault="005D554B" w:rsidP="005D554B">
      <w:pPr>
        <w:tabs>
          <w:tab w:val="left" w:pos="-1440"/>
          <w:tab w:val="left" w:pos="-720"/>
          <w:tab w:val="left" w:pos="567"/>
        </w:tabs>
        <w:spacing w:line="260" w:lineRule="exact"/>
        <w:rPr>
          <w:b/>
          <w:snapToGrid w:val="0"/>
          <w:sz w:val="22"/>
        </w:rPr>
      </w:pPr>
    </w:p>
    <w:p w14:paraId="2704CED4" w14:textId="77777777" w:rsidR="005D554B" w:rsidRPr="00211E3B" w:rsidRDefault="005D554B" w:rsidP="005D554B">
      <w:pPr>
        <w:tabs>
          <w:tab w:val="left" w:pos="-1440"/>
          <w:tab w:val="left" w:pos="-720"/>
          <w:tab w:val="left" w:pos="567"/>
        </w:tabs>
        <w:spacing w:line="260" w:lineRule="exact"/>
        <w:rPr>
          <w:b/>
          <w:snapToGrid w:val="0"/>
          <w:sz w:val="22"/>
        </w:rPr>
      </w:pPr>
    </w:p>
    <w:p w14:paraId="7E7F5575" w14:textId="77777777" w:rsidR="005D554B" w:rsidRPr="00211E3B" w:rsidRDefault="005D554B" w:rsidP="005D554B">
      <w:pPr>
        <w:tabs>
          <w:tab w:val="left" w:pos="-1440"/>
          <w:tab w:val="left" w:pos="-720"/>
          <w:tab w:val="left" w:pos="567"/>
        </w:tabs>
        <w:spacing w:line="260" w:lineRule="exact"/>
        <w:rPr>
          <w:b/>
          <w:snapToGrid w:val="0"/>
          <w:sz w:val="22"/>
        </w:rPr>
      </w:pPr>
    </w:p>
    <w:p w14:paraId="75FE5D6A" w14:textId="77777777" w:rsidR="005D554B" w:rsidRPr="00211E3B" w:rsidRDefault="005D554B" w:rsidP="005D554B">
      <w:pPr>
        <w:tabs>
          <w:tab w:val="left" w:pos="-1440"/>
          <w:tab w:val="left" w:pos="-720"/>
          <w:tab w:val="left" w:pos="567"/>
        </w:tabs>
        <w:spacing w:line="260" w:lineRule="exact"/>
        <w:rPr>
          <w:b/>
          <w:snapToGrid w:val="0"/>
          <w:sz w:val="22"/>
        </w:rPr>
      </w:pPr>
    </w:p>
    <w:p w14:paraId="3A52ABB6" w14:textId="6BAC9C7F" w:rsidR="005D554B" w:rsidRDefault="005D554B" w:rsidP="005D554B">
      <w:pPr>
        <w:tabs>
          <w:tab w:val="left" w:pos="-1440"/>
          <w:tab w:val="left" w:pos="-720"/>
          <w:tab w:val="left" w:pos="567"/>
        </w:tabs>
        <w:spacing w:line="260" w:lineRule="exact"/>
        <w:rPr>
          <w:b/>
          <w:snapToGrid w:val="0"/>
          <w:sz w:val="22"/>
        </w:rPr>
      </w:pPr>
    </w:p>
    <w:p w14:paraId="57FCA354" w14:textId="1212BCA3" w:rsidR="0081504F" w:rsidRDefault="0081504F" w:rsidP="005D554B">
      <w:pPr>
        <w:tabs>
          <w:tab w:val="left" w:pos="-1440"/>
          <w:tab w:val="left" w:pos="-720"/>
          <w:tab w:val="left" w:pos="567"/>
        </w:tabs>
        <w:spacing w:line="260" w:lineRule="exact"/>
        <w:rPr>
          <w:b/>
          <w:snapToGrid w:val="0"/>
          <w:sz w:val="22"/>
        </w:rPr>
      </w:pPr>
    </w:p>
    <w:p w14:paraId="73DB7B00" w14:textId="460A9B45" w:rsidR="0081504F" w:rsidRDefault="0081504F" w:rsidP="005D554B">
      <w:pPr>
        <w:tabs>
          <w:tab w:val="left" w:pos="-1440"/>
          <w:tab w:val="left" w:pos="-720"/>
          <w:tab w:val="left" w:pos="567"/>
        </w:tabs>
        <w:spacing w:line="260" w:lineRule="exact"/>
        <w:rPr>
          <w:b/>
          <w:snapToGrid w:val="0"/>
          <w:sz w:val="22"/>
        </w:rPr>
      </w:pPr>
    </w:p>
    <w:p w14:paraId="1FF3920A" w14:textId="77777777" w:rsidR="0081504F" w:rsidRPr="00211E3B" w:rsidRDefault="0081504F" w:rsidP="005D554B">
      <w:pPr>
        <w:tabs>
          <w:tab w:val="left" w:pos="-1440"/>
          <w:tab w:val="left" w:pos="-720"/>
          <w:tab w:val="left" w:pos="567"/>
        </w:tabs>
        <w:spacing w:line="260" w:lineRule="exact"/>
        <w:rPr>
          <w:b/>
          <w:snapToGrid w:val="0"/>
          <w:sz w:val="22"/>
        </w:rPr>
      </w:pPr>
    </w:p>
    <w:p w14:paraId="109236DE" w14:textId="77777777" w:rsidR="005D554B" w:rsidRPr="00211E3B" w:rsidRDefault="005D554B" w:rsidP="005D554B">
      <w:pPr>
        <w:keepNext/>
        <w:tabs>
          <w:tab w:val="left" w:pos="567"/>
        </w:tabs>
        <w:jc w:val="center"/>
        <w:outlineLvl w:val="1"/>
        <w:rPr>
          <w:b/>
          <w:snapToGrid w:val="0"/>
          <w:sz w:val="22"/>
          <w:szCs w:val="24"/>
          <w:lang w:eastAsia="x-none"/>
        </w:rPr>
      </w:pPr>
      <w:r w:rsidRPr="00211E3B">
        <w:rPr>
          <w:b/>
          <w:bCs/>
          <w:iCs/>
          <w:snapToGrid w:val="0"/>
          <w:sz w:val="22"/>
          <w:szCs w:val="28"/>
          <w:lang w:eastAsia="x-none"/>
        </w:rPr>
        <w:t>I PRIEDAS</w:t>
      </w:r>
    </w:p>
    <w:p w14:paraId="544F9CA4" w14:textId="77777777" w:rsidR="005D554B" w:rsidRPr="00211E3B" w:rsidRDefault="005D554B" w:rsidP="005D554B">
      <w:pPr>
        <w:tabs>
          <w:tab w:val="left" w:pos="567"/>
        </w:tabs>
        <w:rPr>
          <w:snapToGrid w:val="0"/>
          <w:sz w:val="22"/>
          <w:szCs w:val="24"/>
        </w:rPr>
      </w:pPr>
    </w:p>
    <w:p w14:paraId="0D39300D" w14:textId="77777777" w:rsidR="005D554B" w:rsidRPr="00211E3B" w:rsidRDefault="005D554B" w:rsidP="005D554B">
      <w:pPr>
        <w:tabs>
          <w:tab w:val="left" w:pos="-1440"/>
          <w:tab w:val="left" w:pos="-720"/>
          <w:tab w:val="left" w:pos="567"/>
        </w:tabs>
        <w:spacing w:line="260" w:lineRule="exact"/>
        <w:jc w:val="center"/>
        <w:rPr>
          <w:b/>
          <w:snapToGrid w:val="0"/>
          <w:sz w:val="22"/>
        </w:rPr>
      </w:pPr>
      <w:r w:rsidRPr="00211E3B">
        <w:rPr>
          <w:b/>
          <w:snapToGrid w:val="0"/>
          <w:sz w:val="22"/>
        </w:rPr>
        <w:t>PREPARATO CHARAKTERISTIKŲ SANTRAUKA</w:t>
      </w:r>
    </w:p>
    <w:p w14:paraId="65F5087C" w14:textId="77777777" w:rsidR="005D554B" w:rsidRPr="00211E3B" w:rsidRDefault="005D554B" w:rsidP="005D554B">
      <w:pPr>
        <w:tabs>
          <w:tab w:val="left" w:pos="-1440"/>
          <w:tab w:val="left" w:pos="-720"/>
          <w:tab w:val="left" w:pos="567"/>
        </w:tabs>
        <w:spacing w:line="260" w:lineRule="exact"/>
        <w:jc w:val="center"/>
        <w:rPr>
          <w:snapToGrid w:val="0"/>
          <w:sz w:val="22"/>
        </w:rPr>
      </w:pPr>
      <w:r w:rsidRPr="00211E3B">
        <w:rPr>
          <w:snapToGrid w:val="0"/>
          <w:sz w:val="22"/>
          <w:lang w:eastAsia="zh-CN"/>
        </w:rPr>
        <w:br w:type="page"/>
      </w:r>
    </w:p>
    <w:p w14:paraId="21CA2D7E" w14:textId="77777777" w:rsidR="005D554B" w:rsidRPr="00211E3B" w:rsidRDefault="005D554B" w:rsidP="005D554B">
      <w:pPr>
        <w:tabs>
          <w:tab w:val="left" w:pos="567"/>
        </w:tabs>
        <w:spacing w:line="260" w:lineRule="exact"/>
        <w:rPr>
          <w:snapToGrid w:val="0"/>
          <w:sz w:val="22"/>
          <w:szCs w:val="24"/>
        </w:rPr>
      </w:pPr>
    </w:p>
    <w:p w14:paraId="643FFECE" w14:textId="77777777" w:rsidR="005D554B" w:rsidRPr="00211E3B" w:rsidRDefault="005D554B" w:rsidP="005D554B">
      <w:pPr>
        <w:keepNext/>
        <w:keepLines/>
        <w:tabs>
          <w:tab w:val="left" w:pos="567"/>
        </w:tabs>
        <w:outlineLvl w:val="2"/>
        <w:rPr>
          <w:b/>
          <w:bCs/>
          <w:snapToGrid w:val="0"/>
          <w:sz w:val="22"/>
          <w:szCs w:val="22"/>
          <w:lang w:eastAsia="x-none"/>
        </w:rPr>
      </w:pPr>
      <w:r w:rsidRPr="00211E3B">
        <w:rPr>
          <w:b/>
          <w:bCs/>
          <w:snapToGrid w:val="0"/>
          <w:sz w:val="22"/>
          <w:szCs w:val="22"/>
          <w:lang w:eastAsia="x-none"/>
        </w:rPr>
        <w:t>1.</w:t>
      </w:r>
      <w:r w:rsidRPr="00211E3B">
        <w:rPr>
          <w:b/>
          <w:bCs/>
          <w:snapToGrid w:val="0"/>
          <w:sz w:val="22"/>
          <w:szCs w:val="26"/>
          <w:lang w:eastAsia="x-none"/>
        </w:rPr>
        <w:tab/>
      </w:r>
      <w:r w:rsidRPr="00211E3B">
        <w:rPr>
          <w:b/>
          <w:bCs/>
          <w:snapToGrid w:val="0"/>
          <w:sz w:val="22"/>
          <w:szCs w:val="22"/>
          <w:lang w:eastAsia="x-none"/>
        </w:rPr>
        <w:t>VAISTINIO PREPARATO PAVADINIMAS</w:t>
      </w:r>
    </w:p>
    <w:p w14:paraId="061F2258" w14:textId="77777777" w:rsidR="005D554B" w:rsidRPr="00211E3B" w:rsidRDefault="005D554B" w:rsidP="005D554B">
      <w:pPr>
        <w:tabs>
          <w:tab w:val="left" w:pos="567"/>
        </w:tabs>
        <w:spacing w:line="260" w:lineRule="exact"/>
        <w:rPr>
          <w:snapToGrid w:val="0"/>
          <w:sz w:val="22"/>
          <w:szCs w:val="22"/>
        </w:rPr>
      </w:pPr>
    </w:p>
    <w:p w14:paraId="28371565" w14:textId="1A3472F0" w:rsidR="00D762D9" w:rsidRPr="00211E3B" w:rsidRDefault="00224B5B" w:rsidP="00D762D9">
      <w:pPr>
        <w:rPr>
          <w:sz w:val="22"/>
          <w:szCs w:val="22"/>
        </w:rPr>
      </w:pPr>
      <w:r w:rsidRPr="00211E3B">
        <w:rPr>
          <w:sz w:val="22"/>
          <w:szCs w:val="22"/>
        </w:rPr>
        <w:t>Agarf</w:t>
      </w:r>
      <w:r w:rsidR="00D762D9" w:rsidRPr="00211E3B">
        <w:rPr>
          <w:sz w:val="22"/>
          <w:szCs w:val="22"/>
        </w:rPr>
        <w:t xml:space="preserve"> 100</w:t>
      </w:r>
      <w:r w:rsidR="0085390D">
        <w:rPr>
          <w:sz w:val="22"/>
          <w:szCs w:val="22"/>
        </w:rPr>
        <w:t> mg</w:t>
      </w:r>
      <w:r w:rsidR="00D762D9" w:rsidRPr="00211E3B">
        <w:rPr>
          <w:sz w:val="22"/>
          <w:szCs w:val="22"/>
        </w:rPr>
        <w:t xml:space="preserve"> minkštosios kapsulės</w:t>
      </w:r>
    </w:p>
    <w:p w14:paraId="643C98BC" w14:textId="114D2E11" w:rsidR="00D762D9" w:rsidRPr="00211E3B" w:rsidRDefault="00224B5B" w:rsidP="00D762D9">
      <w:pPr>
        <w:rPr>
          <w:iCs/>
          <w:sz w:val="22"/>
          <w:szCs w:val="22"/>
        </w:rPr>
      </w:pPr>
      <w:r w:rsidRPr="00211E3B">
        <w:rPr>
          <w:sz w:val="22"/>
          <w:szCs w:val="22"/>
        </w:rPr>
        <w:t>Agarf</w:t>
      </w:r>
      <w:r w:rsidR="00D762D9" w:rsidRPr="00211E3B">
        <w:rPr>
          <w:sz w:val="22"/>
          <w:szCs w:val="22"/>
        </w:rPr>
        <w:t xml:space="preserve"> 150</w:t>
      </w:r>
      <w:r w:rsidR="0085390D">
        <w:rPr>
          <w:sz w:val="22"/>
          <w:szCs w:val="22"/>
        </w:rPr>
        <w:t> mg</w:t>
      </w:r>
      <w:r w:rsidR="00D762D9" w:rsidRPr="00211E3B">
        <w:rPr>
          <w:sz w:val="22"/>
          <w:szCs w:val="22"/>
        </w:rPr>
        <w:t xml:space="preserve"> minkštosios kapsulės</w:t>
      </w:r>
    </w:p>
    <w:p w14:paraId="75301FA9" w14:textId="77777777" w:rsidR="005D554B" w:rsidRPr="00211E3B" w:rsidRDefault="005D554B" w:rsidP="005D554B">
      <w:pPr>
        <w:tabs>
          <w:tab w:val="left" w:pos="567"/>
        </w:tabs>
        <w:spacing w:line="260" w:lineRule="exact"/>
        <w:rPr>
          <w:snapToGrid w:val="0"/>
          <w:sz w:val="22"/>
          <w:szCs w:val="22"/>
        </w:rPr>
      </w:pPr>
    </w:p>
    <w:p w14:paraId="523B7D92" w14:textId="77777777" w:rsidR="005D554B" w:rsidRPr="00211E3B" w:rsidRDefault="005D554B" w:rsidP="005D554B">
      <w:pPr>
        <w:tabs>
          <w:tab w:val="left" w:pos="567"/>
        </w:tabs>
        <w:spacing w:line="260" w:lineRule="exact"/>
        <w:rPr>
          <w:snapToGrid w:val="0"/>
          <w:sz w:val="22"/>
          <w:szCs w:val="22"/>
        </w:rPr>
      </w:pPr>
    </w:p>
    <w:p w14:paraId="4F4D2886" w14:textId="77777777" w:rsidR="005D554B" w:rsidRPr="00211E3B" w:rsidRDefault="005D554B" w:rsidP="005D554B">
      <w:pPr>
        <w:keepNext/>
        <w:keepLines/>
        <w:tabs>
          <w:tab w:val="left" w:pos="567"/>
        </w:tabs>
        <w:outlineLvl w:val="2"/>
        <w:rPr>
          <w:b/>
          <w:bCs/>
          <w:snapToGrid w:val="0"/>
          <w:sz w:val="22"/>
          <w:szCs w:val="26"/>
          <w:lang w:eastAsia="x-none"/>
        </w:rPr>
      </w:pPr>
      <w:r w:rsidRPr="00211E3B">
        <w:rPr>
          <w:b/>
          <w:bCs/>
          <w:snapToGrid w:val="0"/>
          <w:sz w:val="22"/>
          <w:szCs w:val="26"/>
          <w:lang w:eastAsia="x-none"/>
        </w:rPr>
        <w:t>2.</w:t>
      </w:r>
      <w:r w:rsidRPr="00211E3B">
        <w:rPr>
          <w:b/>
          <w:bCs/>
          <w:snapToGrid w:val="0"/>
          <w:sz w:val="22"/>
          <w:szCs w:val="26"/>
          <w:lang w:eastAsia="x-none"/>
        </w:rPr>
        <w:tab/>
        <w:t>KOKYBINĖ IR KIEKYBINĖ SUDĖTIS</w:t>
      </w:r>
    </w:p>
    <w:p w14:paraId="5E187864" w14:textId="77777777" w:rsidR="005D554B" w:rsidRPr="00211E3B" w:rsidRDefault="005D554B" w:rsidP="005D554B">
      <w:pPr>
        <w:tabs>
          <w:tab w:val="left" w:pos="567"/>
        </w:tabs>
        <w:spacing w:line="260" w:lineRule="exact"/>
        <w:rPr>
          <w:snapToGrid w:val="0"/>
          <w:sz w:val="22"/>
          <w:szCs w:val="24"/>
        </w:rPr>
      </w:pPr>
    </w:p>
    <w:p w14:paraId="5BBB4585" w14:textId="172B473D" w:rsidR="00FE062F" w:rsidRPr="00211E3B" w:rsidRDefault="00224B5B" w:rsidP="00FE062F">
      <w:pPr>
        <w:keepNext/>
        <w:keepLines/>
        <w:tabs>
          <w:tab w:val="left" w:pos="567"/>
        </w:tabs>
        <w:rPr>
          <w:i/>
          <w:sz w:val="22"/>
          <w:u w:val="single"/>
        </w:rPr>
      </w:pPr>
      <w:r w:rsidRPr="00211E3B">
        <w:rPr>
          <w:i/>
          <w:sz w:val="22"/>
          <w:u w:val="single"/>
        </w:rPr>
        <w:t>Agarf</w:t>
      </w:r>
      <w:r w:rsidR="00FE062F" w:rsidRPr="00211E3B">
        <w:rPr>
          <w:i/>
          <w:sz w:val="22"/>
          <w:u w:val="single"/>
        </w:rPr>
        <w:t xml:space="preserve"> 100</w:t>
      </w:r>
      <w:r w:rsidR="0085390D">
        <w:rPr>
          <w:i/>
          <w:sz w:val="22"/>
          <w:u w:val="single"/>
        </w:rPr>
        <w:t> mg</w:t>
      </w:r>
      <w:r w:rsidR="00FE062F" w:rsidRPr="00211E3B">
        <w:rPr>
          <w:i/>
          <w:sz w:val="22"/>
          <w:u w:val="single"/>
        </w:rPr>
        <w:t xml:space="preserve"> minkštosios kapsulės</w:t>
      </w:r>
    </w:p>
    <w:p w14:paraId="3A66F2A2" w14:textId="4D195C40" w:rsidR="00FE062F" w:rsidRPr="00211E3B" w:rsidRDefault="00FE062F" w:rsidP="00FE062F">
      <w:pPr>
        <w:tabs>
          <w:tab w:val="left" w:pos="567"/>
        </w:tabs>
        <w:rPr>
          <w:sz w:val="22"/>
        </w:rPr>
      </w:pPr>
      <w:r w:rsidRPr="00211E3B">
        <w:rPr>
          <w:sz w:val="22"/>
        </w:rPr>
        <w:t>Kiekvienoje minkštojoje kapsulėje yra nintedanibo esilato, atitinkančio 100</w:t>
      </w:r>
      <w:r w:rsidR="0085390D">
        <w:rPr>
          <w:sz w:val="22"/>
        </w:rPr>
        <w:t> mg</w:t>
      </w:r>
      <w:r w:rsidRPr="00211E3B">
        <w:rPr>
          <w:sz w:val="22"/>
        </w:rPr>
        <w:t xml:space="preserve"> nintedanibo.</w:t>
      </w:r>
    </w:p>
    <w:p w14:paraId="1A76F93C" w14:textId="77777777" w:rsidR="00FE062F" w:rsidRPr="00211E3B" w:rsidRDefault="00FE062F" w:rsidP="00FE062F">
      <w:pPr>
        <w:tabs>
          <w:tab w:val="left" w:pos="567"/>
        </w:tabs>
        <w:rPr>
          <w:sz w:val="22"/>
        </w:rPr>
      </w:pPr>
    </w:p>
    <w:p w14:paraId="6144381B" w14:textId="2B909B83" w:rsidR="00FE062F" w:rsidRPr="00211E3B" w:rsidRDefault="00224B5B" w:rsidP="00FE062F">
      <w:pPr>
        <w:tabs>
          <w:tab w:val="left" w:pos="567"/>
        </w:tabs>
        <w:rPr>
          <w:i/>
          <w:sz w:val="22"/>
          <w:u w:val="single"/>
        </w:rPr>
      </w:pPr>
      <w:r w:rsidRPr="00211E3B">
        <w:rPr>
          <w:i/>
          <w:sz w:val="22"/>
          <w:u w:val="single"/>
        </w:rPr>
        <w:t>Agarf</w:t>
      </w:r>
      <w:r w:rsidR="00FE062F" w:rsidRPr="00211E3B">
        <w:rPr>
          <w:i/>
          <w:sz w:val="22"/>
          <w:u w:val="single"/>
        </w:rPr>
        <w:t xml:space="preserve"> 150</w:t>
      </w:r>
      <w:r w:rsidR="0085390D">
        <w:rPr>
          <w:i/>
          <w:sz w:val="22"/>
          <w:u w:val="single"/>
        </w:rPr>
        <w:t> mg</w:t>
      </w:r>
      <w:r w:rsidR="00FE062F" w:rsidRPr="00211E3B">
        <w:rPr>
          <w:i/>
          <w:sz w:val="22"/>
          <w:u w:val="single"/>
        </w:rPr>
        <w:t xml:space="preserve"> minkštosios kapsulės</w:t>
      </w:r>
    </w:p>
    <w:p w14:paraId="40FFF941" w14:textId="64416E56" w:rsidR="00FE062F" w:rsidRPr="00211E3B" w:rsidRDefault="00FE062F" w:rsidP="00FE062F">
      <w:pPr>
        <w:tabs>
          <w:tab w:val="left" w:pos="567"/>
        </w:tabs>
        <w:rPr>
          <w:sz w:val="22"/>
        </w:rPr>
      </w:pPr>
      <w:r w:rsidRPr="00211E3B">
        <w:rPr>
          <w:sz w:val="22"/>
        </w:rPr>
        <w:t>Kiekvienoje minkštojoje kapsulėje yra nintedanibo esilato, atitinkančio 150</w:t>
      </w:r>
      <w:r w:rsidR="0085390D">
        <w:rPr>
          <w:sz w:val="22"/>
        </w:rPr>
        <w:t> mg</w:t>
      </w:r>
      <w:r w:rsidRPr="00211E3B">
        <w:rPr>
          <w:sz w:val="22"/>
        </w:rPr>
        <w:t xml:space="preserve"> nintedanibo.</w:t>
      </w:r>
    </w:p>
    <w:p w14:paraId="7648B9CF" w14:textId="77777777" w:rsidR="00FE062F" w:rsidRPr="00211E3B" w:rsidRDefault="00FE062F" w:rsidP="00FE062F">
      <w:pPr>
        <w:tabs>
          <w:tab w:val="left" w:pos="567"/>
        </w:tabs>
        <w:rPr>
          <w:sz w:val="22"/>
        </w:rPr>
      </w:pPr>
    </w:p>
    <w:p w14:paraId="0752496C" w14:textId="63F4ABED" w:rsidR="005D554B" w:rsidRPr="00211E3B" w:rsidRDefault="005D554B" w:rsidP="005D554B">
      <w:pPr>
        <w:tabs>
          <w:tab w:val="left" w:pos="567"/>
        </w:tabs>
        <w:spacing w:line="260" w:lineRule="exact"/>
        <w:rPr>
          <w:snapToGrid w:val="0"/>
          <w:sz w:val="22"/>
        </w:rPr>
      </w:pPr>
      <w:r w:rsidRPr="00211E3B">
        <w:rPr>
          <w:snapToGrid w:val="0"/>
          <w:sz w:val="22"/>
        </w:rPr>
        <w:t>Visos pagalbinės medžiagos išvardytos 6.1</w:t>
      </w:r>
      <w:r w:rsidR="00FE062F" w:rsidRPr="00211E3B">
        <w:rPr>
          <w:snapToGrid w:val="0"/>
          <w:sz w:val="22"/>
        </w:rPr>
        <w:t> </w:t>
      </w:r>
      <w:r w:rsidRPr="00211E3B">
        <w:rPr>
          <w:snapToGrid w:val="0"/>
          <w:sz w:val="22"/>
        </w:rPr>
        <w:t>skyriuje.</w:t>
      </w:r>
    </w:p>
    <w:p w14:paraId="7AD75C3E" w14:textId="77777777" w:rsidR="005D554B" w:rsidRPr="00211E3B" w:rsidRDefault="005D554B" w:rsidP="005D554B">
      <w:pPr>
        <w:tabs>
          <w:tab w:val="left" w:pos="567"/>
        </w:tabs>
        <w:spacing w:line="260" w:lineRule="exact"/>
        <w:rPr>
          <w:snapToGrid w:val="0"/>
          <w:sz w:val="22"/>
          <w:szCs w:val="24"/>
        </w:rPr>
      </w:pPr>
    </w:p>
    <w:p w14:paraId="32FAB694" w14:textId="77777777" w:rsidR="005D554B" w:rsidRPr="00211E3B" w:rsidRDefault="005D554B" w:rsidP="005D554B">
      <w:pPr>
        <w:tabs>
          <w:tab w:val="left" w:pos="567"/>
        </w:tabs>
        <w:spacing w:line="260" w:lineRule="exact"/>
        <w:rPr>
          <w:snapToGrid w:val="0"/>
          <w:sz w:val="22"/>
          <w:szCs w:val="24"/>
        </w:rPr>
      </w:pPr>
    </w:p>
    <w:p w14:paraId="573B0F93" w14:textId="77777777" w:rsidR="005D554B" w:rsidRPr="00211E3B" w:rsidRDefault="005D554B" w:rsidP="005D554B">
      <w:pPr>
        <w:keepNext/>
        <w:keepLines/>
        <w:tabs>
          <w:tab w:val="left" w:pos="567"/>
        </w:tabs>
        <w:outlineLvl w:val="2"/>
        <w:rPr>
          <w:b/>
          <w:bCs/>
          <w:snapToGrid w:val="0"/>
          <w:sz w:val="22"/>
          <w:szCs w:val="26"/>
          <w:lang w:eastAsia="x-none"/>
        </w:rPr>
      </w:pPr>
      <w:r w:rsidRPr="00211E3B">
        <w:rPr>
          <w:b/>
          <w:bCs/>
          <w:snapToGrid w:val="0"/>
          <w:sz w:val="22"/>
          <w:szCs w:val="26"/>
          <w:lang w:eastAsia="x-none"/>
        </w:rPr>
        <w:t>3.</w:t>
      </w:r>
      <w:r w:rsidRPr="00211E3B">
        <w:rPr>
          <w:b/>
          <w:bCs/>
          <w:snapToGrid w:val="0"/>
          <w:sz w:val="22"/>
          <w:szCs w:val="26"/>
          <w:lang w:eastAsia="x-none"/>
        </w:rPr>
        <w:tab/>
        <w:t>FARMACINĖ FORMA</w:t>
      </w:r>
    </w:p>
    <w:p w14:paraId="0FD16301" w14:textId="77777777" w:rsidR="005D554B" w:rsidRPr="00211E3B" w:rsidRDefault="005D554B" w:rsidP="005D554B">
      <w:pPr>
        <w:tabs>
          <w:tab w:val="left" w:pos="567"/>
        </w:tabs>
        <w:spacing w:line="260" w:lineRule="exact"/>
        <w:rPr>
          <w:snapToGrid w:val="0"/>
          <w:sz w:val="22"/>
          <w:szCs w:val="24"/>
        </w:rPr>
      </w:pPr>
    </w:p>
    <w:p w14:paraId="57C65D3E" w14:textId="77777777" w:rsidR="00563387" w:rsidRPr="00211E3B" w:rsidRDefault="00563387" w:rsidP="00563387">
      <w:pPr>
        <w:tabs>
          <w:tab w:val="left" w:pos="567"/>
        </w:tabs>
        <w:spacing w:line="260" w:lineRule="exact"/>
        <w:rPr>
          <w:snapToGrid w:val="0"/>
          <w:sz w:val="22"/>
          <w:szCs w:val="24"/>
        </w:rPr>
      </w:pPr>
      <w:r w:rsidRPr="00211E3B">
        <w:rPr>
          <w:snapToGrid w:val="0"/>
          <w:sz w:val="22"/>
          <w:szCs w:val="24"/>
        </w:rPr>
        <w:t>Minkštoji kapsulė (kapsulė).</w:t>
      </w:r>
    </w:p>
    <w:p w14:paraId="1800F3C4" w14:textId="77777777" w:rsidR="00563387" w:rsidRPr="00211E3B" w:rsidRDefault="00563387" w:rsidP="00563387">
      <w:pPr>
        <w:tabs>
          <w:tab w:val="left" w:pos="567"/>
        </w:tabs>
        <w:spacing w:line="260" w:lineRule="exact"/>
        <w:rPr>
          <w:snapToGrid w:val="0"/>
          <w:sz w:val="22"/>
          <w:szCs w:val="24"/>
        </w:rPr>
      </w:pPr>
    </w:p>
    <w:p w14:paraId="12D0C7E9" w14:textId="624E41C6" w:rsidR="00563387" w:rsidRPr="00211E3B" w:rsidRDefault="00224B5B" w:rsidP="00563387">
      <w:pPr>
        <w:tabs>
          <w:tab w:val="left" w:pos="567"/>
        </w:tabs>
        <w:rPr>
          <w:i/>
          <w:sz w:val="22"/>
          <w:u w:val="single"/>
        </w:rPr>
      </w:pPr>
      <w:r w:rsidRPr="00211E3B">
        <w:rPr>
          <w:i/>
          <w:sz w:val="22"/>
          <w:u w:val="single"/>
        </w:rPr>
        <w:t>Agarf</w:t>
      </w:r>
      <w:r w:rsidR="00563387" w:rsidRPr="00211E3B">
        <w:rPr>
          <w:i/>
          <w:sz w:val="22"/>
          <w:u w:val="single"/>
        </w:rPr>
        <w:t xml:space="preserve"> 100</w:t>
      </w:r>
      <w:r w:rsidR="0085390D">
        <w:rPr>
          <w:i/>
          <w:sz w:val="22"/>
          <w:u w:val="single"/>
        </w:rPr>
        <w:t> mg</w:t>
      </w:r>
      <w:r w:rsidR="00563387" w:rsidRPr="00211E3B">
        <w:rPr>
          <w:i/>
          <w:sz w:val="22"/>
          <w:u w:val="single"/>
        </w:rPr>
        <w:t xml:space="preserve"> minkštosios kapsulės</w:t>
      </w:r>
    </w:p>
    <w:p w14:paraId="044B5C1F" w14:textId="661A5B92" w:rsidR="00563387" w:rsidRPr="00211E3B" w:rsidRDefault="00563387" w:rsidP="00003859">
      <w:pPr>
        <w:tabs>
          <w:tab w:val="left" w:pos="567"/>
        </w:tabs>
        <w:spacing w:line="260" w:lineRule="exact"/>
        <w:rPr>
          <w:snapToGrid w:val="0"/>
          <w:sz w:val="22"/>
          <w:szCs w:val="24"/>
        </w:rPr>
      </w:pPr>
      <w:r w:rsidRPr="00211E3B">
        <w:rPr>
          <w:snapToGrid w:val="0"/>
          <w:sz w:val="22"/>
          <w:szCs w:val="24"/>
        </w:rPr>
        <w:t>Persiko spalvos, matinė</w:t>
      </w:r>
      <w:r w:rsidR="002013D3">
        <w:rPr>
          <w:snapToGrid w:val="0"/>
          <w:sz w:val="22"/>
          <w:szCs w:val="24"/>
        </w:rPr>
        <w:t>s</w:t>
      </w:r>
      <w:r w:rsidRPr="00211E3B">
        <w:rPr>
          <w:snapToGrid w:val="0"/>
          <w:sz w:val="22"/>
          <w:szCs w:val="24"/>
        </w:rPr>
        <w:t>, pailg</w:t>
      </w:r>
      <w:r w:rsidR="006F1FC2">
        <w:rPr>
          <w:snapToGrid w:val="0"/>
          <w:sz w:val="22"/>
          <w:szCs w:val="24"/>
        </w:rPr>
        <w:t>os,</w:t>
      </w:r>
      <w:r w:rsidR="00003859" w:rsidRPr="00211E3B">
        <w:rPr>
          <w:snapToGrid w:val="0"/>
          <w:sz w:val="22"/>
          <w:szCs w:val="24"/>
        </w:rPr>
        <w:t xml:space="preserve"> maždaug 16 mm ilgio kapsulė</w:t>
      </w:r>
      <w:r w:rsidR="006F1FC2">
        <w:rPr>
          <w:snapToGrid w:val="0"/>
          <w:sz w:val="22"/>
          <w:szCs w:val="24"/>
        </w:rPr>
        <w:t>s</w:t>
      </w:r>
      <w:r w:rsidRPr="00211E3B">
        <w:rPr>
          <w:snapToGrid w:val="0"/>
          <w:sz w:val="22"/>
          <w:szCs w:val="24"/>
        </w:rPr>
        <w:t>, kurio</w:t>
      </w:r>
      <w:r w:rsidR="006F1FC2">
        <w:rPr>
          <w:snapToGrid w:val="0"/>
          <w:sz w:val="22"/>
          <w:szCs w:val="24"/>
        </w:rPr>
        <w:t>s</w:t>
      </w:r>
      <w:r w:rsidRPr="00211E3B">
        <w:rPr>
          <w:snapToGrid w:val="0"/>
          <w:sz w:val="22"/>
          <w:szCs w:val="24"/>
        </w:rPr>
        <w:t xml:space="preserve">e yra geltonos klampios suspensijos, </w:t>
      </w:r>
      <w:r w:rsidR="00003859" w:rsidRPr="00211E3B">
        <w:rPr>
          <w:snapToGrid w:val="0"/>
          <w:sz w:val="22"/>
          <w:szCs w:val="24"/>
        </w:rPr>
        <w:t>su raudono rašalo įspaudu</w:t>
      </w:r>
      <w:r w:rsidRPr="00211E3B">
        <w:rPr>
          <w:snapToGrid w:val="0"/>
          <w:sz w:val="22"/>
          <w:szCs w:val="24"/>
        </w:rPr>
        <w:t xml:space="preserve"> „</w:t>
      </w:r>
      <w:r w:rsidR="00003859" w:rsidRPr="00211E3B">
        <w:rPr>
          <w:snapToGrid w:val="0"/>
          <w:sz w:val="22"/>
          <w:szCs w:val="24"/>
        </w:rPr>
        <w:t>NT </w:t>
      </w:r>
      <w:r w:rsidRPr="00211E3B">
        <w:rPr>
          <w:snapToGrid w:val="0"/>
          <w:sz w:val="22"/>
          <w:szCs w:val="24"/>
        </w:rPr>
        <w:t>100“.</w:t>
      </w:r>
    </w:p>
    <w:p w14:paraId="78A5675C" w14:textId="77777777" w:rsidR="00563387" w:rsidRPr="00211E3B" w:rsidRDefault="00563387" w:rsidP="00563387">
      <w:pPr>
        <w:tabs>
          <w:tab w:val="left" w:pos="567"/>
        </w:tabs>
        <w:spacing w:line="260" w:lineRule="exact"/>
        <w:rPr>
          <w:snapToGrid w:val="0"/>
          <w:sz w:val="22"/>
          <w:szCs w:val="24"/>
        </w:rPr>
      </w:pPr>
    </w:p>
    <w:p w14:paraId="7C7B36F2" w14:textId="41E4C1E8" w:rsidR="00563387" w:rsidRPr="00211E3B" w:rsidRDefault="00224B5B" w:rsidP="00563387">
      <w:pPr>
        <w:tabs>
          <w:tab w:val="left" w:pos="567"/>
        </w:tabs>
        <w:rPr>
          <w:i/>
          <w:sz w:val="22"/>
          <w:u w:val="single"/>
        </w:rPr>
      </w:pPr>
      <w:r w:rsidRPr="00211E3B">
        <w:rPr>
          <w:i/>
          <w:sz w:val="22"/>
          <w:u w:val="single"/>
        </w:rPr>
        <w:t>Agarf</w:t>
      </w:r>
      <w:r w:rsidR="00563387" w:rsidRPr="00211E3B">
        <w:rPr>
          <w:i/>
          <w:sz w:val="22"/>
          <w:u w:val="single"/>
        </w:rPr>
        <w:t xml:space="preserve"> 150</w:t>
      </w:r>
      <w:r w:rsidR="0085390D">
        <w:rPr>
          <w:i/>
          <w:sz w:val="22"/>
          <w:u w:val="single"/>
        </w:rPr>
        <w:t> mg</w:t>
      </w:r>
      <w:r w:rsidR="00563387" w:rsidRPr="00211E3B">
        <w:rPr>
          <w:i/>
          <w:sz w:val="22"/>
          <w:u w:val="single"/>
        </w:rPr>
        <w:t xml:space="preserve"> minkštosios kapsulės</w:t>
      </w:r>
    </w:p>
    <w:p w14:paraId="3903EFEF" w14:textId="11289BB3" w:rsidR="00003859" w:rsidRPr="00211E3B" w:rsidRDefault="003959AC" w:rsidP="00003859">
      <w:pPr>
        <w:tabs>
          <w:tab w:val="left" w:pos="567"/>
        </w:tabs>
        <w:spacing w:line="260" w:lineRule="exact"/>
        <w:rPr>
          <w:snapToGrid w:val="0"/>
          <w:sz w:val="22"/>
          <w:szCs w:val="24"/>
        </w:rPr>
      </w:pPr>
      <w:r w:rsidRPr="00211E3B">
        <w:rPr>
          <w:snapToGrid w:val="0"/>
          <w:sz w:val="22"/>
          <w:szCs w:val="24"/>
        </w:rPr>
        <w:t>Rud</w:t>
      </w:r>
      <w:r w:rsidR="002013D3">
        <w:rPr>
          <w:snapToGrid w:val="0"/>
          <w:sz w:val="22"/>
          <w:szCs w:val="24"/>
        </w:rPr>
        <w:t>os</w:t>
      </w:r>
      <w:r w:rsidR="00003859" w:rsidRPr="00211E3B">
        <w:rPr>
          <w:snapToGrid w:val="0"/>
          <w:sz w:val="22"/>
          <w:szCs w:val="24"/>
        </w:rPr>
        <w:t>, matinė</w:t>
      </w:r>
      <w:r w:rsidR="002013D3">
        <w:rPr>
          <w:snapToGrid w:val="0"/>
          <w:sz w:val="22"/>
          <w:szCs w:val="24"/>
        </w:rPr>
        <w:t>s</w:t>
      </w:r>
      <w:r w:rsidR="00003859" w:rsidRPr="00211E3B">
        <w:rPr>
          <w:snapToGrid w:val="0"/>
          <w:sz w:val="22"/>
          <w:szCs w:val="24"/>
        </w:rPr>
        <w:t>, pailg</w:t>
      </w:r>
      <w:r w:rsidR="002013D3">
        <w:rPr>
          <w:snapToGrid w:val="0"/>
          <w:sz w:val="22"/>
          <w:szCs w:val="24"/>
        </w:rPr>
        <w:t>os,</w:t>
      </w:r>
      <w:r w:rsidR="00003859" w:rsidRPr="00211E3B">
        <w:rPr>
          <w:snapToGrid w:val="0"/>
          <w:sz w:val="22"/>
          <w:szCs w:val="24"/>
        </w:rPr>
        <w:t xml:space="preserve"> maždaug 17 mm ilgio kapsulė</w:t>
      </w:r>
      <w:r w:rsidR="002013D3">
        <w:rPr>
          <w:snapToGrid w:val="0"/>
          <w:sz w:val="22"/>
          <w:szCs w:val="24"/>
        </w:rPr>
        <w:t>s</w:t>
      </w:r>
      <w:r w:rsidR="00003859" w:rsidRPr="00211E3B">
        <w:rPr>
          <w:snapToGrid w:val="0"/>
          <w:sz w:val="22"/>
          <w:szCs w:val="24"/>
        </w:rPr>
        <w:t>, kurio</w:t>
      </w:r>
      <w:r w:rsidR="002013D3">
        <w:rPr>
          <w:snapToGrid w:val="0"/>
          <w:sz w:val="22"/>
          <w:szCs w:val="24"/>
        </w:rPr>
        <w:t>s</w:t>
      </w:r>
      <w:r w:rsidR="00003859" w:rsidRPr="00211E3B">
        <w:rPr>
          <w:snapToGrid w:val="0"/>
          <w:sz w:val="22"/>
          <w:szCs w:val="24"/>
        </w:rPr>
        <w:t xml:space="preserve">e yra geltonos klampios suspensijos, su </w:t>
      </w:r>
      <w:r w:rsidR="00B4060D">
        <w:rPr>
          <w:snapToGrid w:val="0"/>
          <w:sz w:val="22"/>
          <w:szCs w:val="24"/>
        </w:rPr>
        <w:t>juodo</w:t>
      </w:r>
      <w:r w:rsidR="00B4060D" w:rsidRPr="00211E3B">
        <w:rPr>
          <w:snapToGrid w:val="0"/>
          <w:sz w:val="22"/>
          <w:szCs w:val="24"/>
        </w:rPr>
        <w:t xml:space="preserve"> </w:t>
      </w:r>
      <w:r w:rsidR="00003859" w:rsidRPr="00211E3B">
        <w:rPr>
          <w:snapToGrid w:val="0"/>
          <w:sz w:val="22"/>
          <w:szCs w:val="24"/>
        </w:rPr>
        <w:t>rašalo įspaudu „NT 150“.</w:t>
      </w:r>
    </w:p>
    <w:p w14:paraId="357D2123" w14:textId="77777777" w:rsidR="005D554B" w:rsidRPr="00211E3B" w:rsidRDefault="005D554B" w:rsidP="005D554B">
      <w:pPr>
        <w:tabs>
          <w:tab w:val="left" w:pos="567"/>
        </w:tabs>
        <w:spacing w:line="260" w:lineRule="exact"/>
        <w:rPr>
          <w:snapToGrid w:val="0"/>
          <w:sz w:val="22"/>
          <w:szCs w:val="24"/>
        </w:rPr>
      </w:pPr>
    </w:p>
    <w:p w14:paraId="1C6CF915" w14:textId="77777777" w:rsidR="005D554B" w:rsidRPr="00211E3B" w:rsidRDefault="005D554B" w:rsidP="005D554B">
      <w:pPr>
        <w:tabs>
          <w:tab w:val="left" w:pos="567"/>
        </w:tabs>
        <w:spacing w:line="260" w:lineRule="exact"/>
        <w:rPr>
          <w:snapToGrid w:val="0"/>
          <w:sz w:val="22"/>
          <w:szCs w:val="24"/>
        </w:rPr>
      </w:pPr>
    </w:p>
    <w:p w14:paraId="1B9C6B67" w14:textId="77777777" w:rsidR="005D554B" w:rsidRPr="00211E3B" w:rsidRDefault="005D554B" w:rsidP="005D554B">
      <w:pPr>
        <w:keepNext/>
        <w:keepLines/>
        <w:tabs>
          <w:tab w:val="left" w:pos="567"/>
        </w:tabs>
        <w:outlineLvl w:val="2"/>
        <w:rPr>
          <w:b/>
          <w:bCs/>
          <w:snapToGrid w:val="0"/>
          <w:sz w:val="22"/>
          <w:szCs w:val="26"/>
          <w:lang w:eastAsia="x-none"/>
        </w:rPr>
      </w:pPr>
      <w:r w:rsidRPr="00211E3B">
        <w:rPr>
          <w:b/>
          <w:bCs/>
          <w:snapToGrid w:val="0"/>
          <w:sz w:val="22"/>
          <w:szCs w:val="26"/>
          <w:lang w:eastAsia="x-none"/>
        </w:rPr>
        <w:t>4.</w:t>
      </w:r>
      <w:r w:rsidRPr="00211E3B">
        <w:rPr>
          <w:b/>
          <w:bCs/>
          <w:snapToGrid w:val="0"/>
          <w:sz w:val="22"/>
          <w:szCs w:val="26"/>
          <w:lang w:eastAsia="x-none"/>
        </w:rPr>
        <w:tab/>
        <w:t>KLINIKINĖ INFORMACIJA</w:t>
      </w:r>
    </w:p>
    <w:p w14:paraId="5AD120EA" w14:textId="77777777" w:rsidR="005D554B" w:rsidRPr="00211E3B" w:rsidRDefault="005D554B" w:rsidP="005D554B">
      <w:pPr>
        <w:tabs>
          <w:tab w:val="left" w:pos="567"/>
        </w:tabs>
        <w:spacing w:line="260" w:lineRule="exact"/>
        <w:rPr>
          <w:snapToGrid w:val="0"/>
          <w:sz w:val="22"/>
          <w:szCs w:val="24"/>
        </w:rPr>
      </w:pPr>
    </w:p>
    <w:p w14:paraId="23E88A53" w14:textId="77777777" w:rsidR="005D554B" w:rsidRPr="00211E3B" w:rsidRDefault="005D554B" w:rsidP="005D554B">
      <w:pPr>
        <w:keepNext/>
        <w:tabs>
          <w:tab w:val="left" w:pos="567"/>
        </w:tabs>
        <w:spacing w:line="260" w:lineRule="exact"/>
        <w:jc w:val="both"/>
        <w:outlineLvl w:val="3"/>
        <w:rPr>
          <w:b/>
          <w:bCs/>
          <w:snapToGrid w:val="0"/>
          <w:sz w:val="22"/>
          <w:szCs w:val="28"/>
          <w:lang w:eastAsia="x-none"/>
        </w:rPr>
      </w:pPr>
      <w:r w:rsidRPr="00211E3B">
        <w:rPr>
          <w:b/>
          <w:bCs/>
          <w:snapToGrid w:val="0"/>
          <w:sz w:val="22"/>
          <w:szCs w:val="28"/>
          <w:lang w:eastAsia="x-none"/>
        </w:rPr>
        <w:t>4.1</w:t>
      </w:r>
      <w:r w:rsidRPr="00211E3B">
        <w:rPr>
          <w:b/>
          <w:bCs/>
          <w:snapToGrid w:val="0"/>
          <w:sz w:val="22"/>
          <w:szCs w:val="28"/>
          <w:lang w:eastAsia="x-none"/>
        </w:rPr>
        <w:tab/>
        <w:t>Terapinės indikacijos</w:t>
      </w:r>
    </w:p>
    <w:p w14:paraId="2B0F5969" w14:textId="77777777" w:rsidR="005D554B" w:rsidRPr="00211E3B" w:rsidRDefault="005D554B" w:rsidP="005D554B">
      <w:pPr>
        <w:tabs>
          <w:tab w:val="left" w:pos="567"/>
        </w:tabs>
        <w:spacing w:line="260" w:lineRule="exact"/>
        <w:rPr>
          <w:snapToGrid w:val="0"/>
          <w:sz w:val="22"/>
          <w:szCs w:val="24"/>
        </w:rPr>
      </w:pPr>
    </w:p>
    <w:p w14:paraId="67CC7AB6" w14:textId="719865C9" w:rsidR="00A27F95" w:rsidRPr="00211E3B" w:rsidRDefault="00A27F95" w:rsidP="00A27F95">
      <w:pPr>
        <w:tabs>
          <w:tab w:val="left" w:pos="567"/>
        </w:tabs>
        <w:spacing w:line="260" w:lineRule="exact"/>
        <w:rPr>
          <w:snapToGrid w:val="0"/>
          <w:sz w:val="22"/>
          <w:szCs w:val="24"/>
        </w:rPr>
      </w:pPr>
      <w:r w:rsidRPr="00211E3B">
        <w:rPr>
          <w:snapToGrid w:val="0"/>
          <w:sz w:val="22"/>
          <w:szCs w:val="24"/>
        </w:rPr>
        <w:t>Agarf yra skirtas suaugusiųjų idiopatinės plaučių fibrozės (IPF) gydymui.</w:t>
      </w:r>
    </w:p>
    <w:p w14:paraId="6BE00B7D" w14:textId="77777777" w:rsidR="00A27F95" w:rsidRPr="00211E3B" w:rsidRDefault="00A27F95" w:rsidP="00A27F95">
      <w:pPr>
        <w:tabs>
          <w:tab w:val="left" w:pos="567"/>
        </w:tabs>
        <w:spacing w:line="260" w:lineRule="exact"/>
        <w:rPr>
          <w:snapToGrid w:val="0"/>
          <w:sz w:val="22"/>
          <w:szCs w:val="24"/>
        </w:rPr>
      </w:pPr>
    </w:p>
    <w:p w14:paraId="6C7D6D53" w14:textId="5C3A6DD7" w:rsidR="00A27F95" w:rsidRPr="00211E3B" w:rsidRDefault="00A27F95" w:rsidP="00A27F95">
      <w:pPr>
        <w:tabs>
          <w:tab w:val="left" w:pos="567"/>
        </w:tabs>
        <w:spacing w:line="260" w:lineRule="exact"/>
        <w:rPr>
          <w:snapToGrid w:val="0"/>
          <w:sz w:val="22"/>
          <w:szCs w:val="24"/>
        </w:rPr>
      </w:pPr>
      <w:r w:rsidRPr="00211E3B">
        <w:rPr>
          <w:snapToGrid w:val="0"/>
          <w:sz w:val="22"/>
          <w:szCs w:val="24"/>
        </w:rPr>
        <w:t>Agarf taip pat yra skirtas suaugusiųjų kitų lėtinių fibrozinių progresuojančio fenotipo intersticinių plaučių ligų (IPL) gydymui (žr. 5.1 skyrių).</w:t>
      </w:r>
    </w:p>
    <w:p w14:paraId="0BA5499F" w14:textId="77777777" w:rsidR="00A27F95" w:rsidRPr="00211E3B" w:rsidRDefault="00A27F95" w:rsidP="00A27F95">
      <w:pPr>
        <w:tabs>
          <w:tab w:val="left" w:pos="567"/>
        </w:tabs>
        <w:spacing w:line="260" w:lineRule="exact"/>
        <w:rPr>
          <w:snapToGrid w:val="0"/>
          <w:sz w:val="22"/>
          <w:szCs w:val="24"/>
        </w:rPr>
      </w:pPr>
    </w:p>
    <w:p w14:paraId="72451546" w14:textId="73BE23FE" w:rsidR="005D554B" w:rsidRPr="00211E3B" w:rsidRDefault="00A27F95" w:rsidP="00A27F95">
      <w:pPr>
        <w:tabs>
          <w:tab w:val="left" w:pos="567"/>
        </w:tabs>
        <w:spacing w:line="260" w:lineRule="exact"/>
        <w:rPr>
          <w:snapToGrid w:val="0"/>
          <w:sz w:val="22"/>
          <w:szCs w:val="24"/>
        </w:rPr>
      </w:pPr>
      <w:r w:rsidRPr="00211E3B">
        <w:rPr>
          <w:snapToGrid w:val="0"/>
          <w:sz w:val="22"/>
          <w:szCs w:val="24"/>
        </w:rPr>
        <w:t xml:space="preserve">Agarf </w:t>
      </w:r>
      <w:r w:rsidR="003F2578" w:rsidRPr="00211E3B">
        <w:rPr>
          <w:snapToGrid w:val="0"/>
          <w:sz w:val="22"/>
          <w:szCs w:val="24"/>
        </w:rPr>
        <w:t xml:space="preserve">yra </w:t>
      </w:r>
      <w:r w:rsidRPr="00211E3B">
        <w:rPr>
          <w:snapToGrid w:val="0"/>
          <w:sz w:val="22"/>
          <w:szCs w:val="24"/>
        </w:rPr>
        <w:t>skirtas su sistemine skleroze susijusiai intersticinei plaučių ligai (SS-IPL) gydyti suaugusiesiems.</w:t>
      </w:r>
    </w:p>
    <w:p w14:paraId="5F4E078D" w14:textId="77777777" w:rsidR="005D554B" w:rsidRPr="00211E3B" w:rsidRDefault="005D554B" w:rsidP="005D554B">
      <w:pPr>
        <w:tabs>
          <w:tab w:val="left" w:pos="567"/>
        </w:tabs>
        <w:spacing w:line="260" w:lineRule="exact"/>
        <w:rPr>
          <w:snapToGrid w:val="0"/>
          <w:sz w:val="22"/>
          <w:szCs w:val="24"/>
        </w:rPr>
      </w:pPr>
    </w:p>
    <w:p w14:paraId="4F84A66E" w14:textId="77777777" w:rsidR="005D554B" w:rsidRPr="00211E3B" w:rsidRDefault="005D554B" w:rsidP="005D554B">
      <w:pPr>
        <w:keepNext/>
        <w:tabs>
          <w:tab w:val="left" w:pos="567"/>
        </w:tabs>
        <w:spacing w:line="260" w:lineRule="exact"/>
        <w:jc w:val="both"/>
        <w:outlineLvl w:val="3"/>
        <w:rPr>
          <w:b/>
          <w:bCs/>
          <w:snapToGrid w:val="0"/>
          <w:sz w:val="22"/>
          <w:szCs w:val="28"/>
          <w:lang w:eastAsia="x-none"/>
        </w:rPr>
      </w:pPr>
      <w:r w:rsidRPr="00211E3B">
        <w:rPr>
          <w:b/>
          <w:bCs/>
          <w:snapToGrid w:val="0"/>
          <w:sz w:val="22"/>
          <w:szCs w:val="28"/>
          <w:lang w:eastAsia="x-none"/>
        </w:rPr>
        <w:t>4.2</w:t>
      </w:r>
      <w:r w:rsidRPr="00211E3B">
        <w:rPr>
          <w:b/>
          <w:bCs/>
          <w:snapToGrid w:val="0"/>
          <w:sz w:val="22"/>
          <w:szCs w:val="28"/>
          <w:lang w:eastAsia="x-none"/>
        </w:rPr>
        <w:tab/>
        <w:t>Dozavimas ir vartojimo metodas</w:t>
      </w:r>
    </w:p>
    <w:p w14:paraId="2EF1AD9E" w14:textId="77777777" w:rsidR="005D554B" w:rsidRPr="00211E3B" w:rsidRDefault="005D554B" w:rsidP="005D554B">
      <w:pPr>
        <w:tabs>
          <w:tab w:val="left" w:pos="567"/>
        </w:tabs>
        <w:spacing w:line="260" w:lineRule="exact"/>
        <w:rPr>
          <w:snapToGrid w:val="0"/>
          <w:sz w:val="22"/>
          <w:szCs w:val="24"/>
        </w:rPr>
      </w:pPr>
    </w:p>
    <w:p w14:paraId="47A44D06" w14:textId="74A6B652" w:rsidR="00083E6E" w:rsidRPr="00211E3B" w:rsidRDefault="007334B7" w:rsidP="007334B7">
      <w:pPr>
        <w:tabs>
          <w:tab w:val="left" w:pos="567"/>
        </w:tabs>
        <w:rPr>
          <w:sz w:val="22"/>
          <w:szCs w:val="22"/>
        </w:rPr>
      </w:pPr>
      <w:r w:rsidRPr="00211E3B">
        <w:rPr>
          <w:sz w:val="22"/>
          <w:szCs w:val="22"/>
        </w:rPr>
        <w:t>Gydymą turi pradėti gydytoja</w:t>
      </w:r>
      <w:r w:rsidR="00083E6E" w:rsidRPr="00211E3B">
        <w:rPr>
          <w:sz w:val="22"/>
          <w:szCs w:val="22"/>
        </w:rPr>
        <w:t>i</w:t>
      </w:r>
      <w:r w:rsidRPr="00211E3B">
        <w:rPr>
          <w:sz w:val="22"/>
          <w:szCs w:val="22"/>
        </w:rPr>
        <w:t>, turint</w:t>
      </w:r>
      <w:r w:rsidR="00083E6E" w:rsidRPr="00211E3B">
        <w:rPr>
          <w:sz w:val="22"/>
          <w:szCs w:val="22"/>
        </w:rPr>
        <w:t>y</w:t>
      </w:r>
      <w:r w:rsidRPr="00211E3B">
        <w:rPr>
          <w:sz w:val="22"/>
          <w:szCs w:val="22"/>
        </w:rPr>
        <w:t>s</w:t>
      </w:r>
      <w:r w:rsidR="00083E6E" w:rsidRPr="00211E3B">
        <w:rPr>
          <w:sz w:val="22"/>
          <w:szCs w:val="22"/>
        </w:rPr>
        <w:t xml:space="preserve"> ligų, kurioms gydyti Agarf yra patvirtintas, gydymo patirties.</w:t>
      </w:r>
    </w:p>
    <w:p w14:paraId="3C45FD08" w14:textId="77777777" w:rsidR="004A3A17" w:rsidRPr="00211E3B" w:rsidRDefault="004A3A17" w:rsidP="004A3A17">
      <w:pPr>
        <w:tabs>
          <w:tab w:val="left" w:pos="567"/>
        </w:tabs>
        <w:rPr>
          <w:sz w:val="22"/>
          <w:szCs w:val="22"/>
        </w:rPr>
      </w:pPr>
    </w:p>
    <w:p w14:paraId="6408F5BE" w14:textId="08B78D0F" w:rsidR="004A3A17" w:rsidRPr="00211E3B" w:rsidRDefault="00BB0712" w:rsidP="004A3A17">
      <w:pPr>
        <w:keepNext/>
        <w:tabs>
          <w:tab w:val="left" w:pos="567"/>
        </w:tabs>
        <w:rPr>
          <w:sz w:val="22"/>
          <w:szCs w:val="22"/>
          <w:u w:val="single"/>
        </w:rPr>
      </w:pPr>
      <w:r w:rsidRPr="00211E3B">
        <w:rPr>
          <w:sz w:val="22"/>
          <w:szCs w:val="22"/>
          <w:u w:val="single"/>
        </w:rPr>
        <w:t>Dozavimas</w:t>
      </w:r>
    </w:p>
    <w:p w14:paraId="294EA546" w14:textId="01E43E10" w:rsidR="00083E6E" w:rsidRPr="00211E3B" w:rsidRDefault="00083E6E" w:rsidP="00257AE0">
      <w:pPr>
        <w:tabs>
          <w:tab w:val="left" w:pos="567"/>
        </w:tabs>
        <w:rPr>
          <w:i/>
          <w:iCs/>
          <w:sz w:val="22"/>
          <w:szCs w:val="22"/>
        </w:rPr>
      </w:pPr>
      <w:r w:rsidRPr="00211E3B">
        <w:rPr>
          <w:i/>
          <w:iCs/>
          <w:sz w:val="22"/>
          <w:szCs w:val="22"/>
        </w:rPr>
        <w:t>Suaugusiesiems</w:t>
      </w:r>
    </w:p>
    <w:p w14:paraId="5B8306CE" w14:textId="6D45ACD3" w:rsidR="00F4282D" w:rsidRPr="00211E3B" w:rsidRDefault="00F4282D" w:rsidP="00F4282D">
      <w:pPr>
        <w:tabs>
          <w:tab w:val="left" w:pos="567"/>
        </w:tabs>
        <w:rPr>
          <w:sz w:val="22"/>
          <w:szCs w:val="22"/>
        </w:rPr>
      </w:pPr>
      <w:r w:rsidRPr="00211E3B">
        <w:rPr>
          <w:sz w:val="22"/>
          <w:szCs w:val="22"/>
        </w:rPr>
        <w:t>Rekomenduojama nintedanibo dozė yra 150</w:t>
      </w:r>
      <w:r w:rsidR="0085390D">
        <w:rPr>
          <w:sz w:val="22"/>
          <w:szCs w:val="22"/>
        </w:rPr>
        <w:t> mg</w:t>
      </w:r>
      <w:r w:rsidRPr="00211E3B">
        <w:rPr>
          <w:sz w:val="22"/>
          <w:szCs w:val="22"/>
        </w:rPr>
        <w:t>. Ji vartojama du kartus per parą, maždaug kas</w:t>
      </w:r>
      <w:r w:rsidR="006B6785" w:rsidRPr="00211E3B">
        <w:rPr>
          <w:sz w:val="22"/>
          <w:szCs w:val="22"/>
        </w:rPr>
        <w:t xml:space="preserve"> </w:t>
      </w:r>
      <w:r w:rsidRPr="00211E3B">
        <w:rPr>
          <w:sz w:val="22"/>
          <w:szCs w:val="22"/>
        </w:rPr>
        <w:t>12</w:t>
      </w:r>
      <w:r w:rsidR="006B6785" w:rsidRPr="00211E3B">
        <w:rPr>
          <w:sz w:val="22"/>
          <w:szCs w:val="22"/>
        </w:rPr>
        <w:t> </w:t>
      </w:r>
      <w:r w:rsidRPr="00211E3B">
        <w:rPr>
          <w:sz w:val="22"/>
          <w:szCs w:val="22"/>
        </w:rPr>
        <w:t>valandų.</w:t>
      </w:r>
      <w:r w:rsidR="004C0122" w:rsidRPr="00211E3B">
        <w:rPr>
          <w:sz w:val="22"/>
          <w:szCs w:val="22"/>
        </w:rPr>
        <w:t xml:space="preserve"> </w:t>
      </w:r>
      <w:r w:rsidR="006B6785" w:rsidRPr="00211E3B">
        <w:rPr>
          <w:sz w:val="22"/>
          <w:szCs w:val="22"/>
        </w:rPr>
        <w:t xml:space="preserve">Du kartus per parą vartojama </w:t>
      </w:r>
      <w:r w:rsidRPr="00211E3B">
        <w:rPr>
          <w:sz w:val="22"/>
          <w:szCs w:val="22"/>
        </w:rPr>
        <w:t>100</w:t>
      </w:r>
      <w:r w:rsidR="0085390D">
        <w:rPr>
          <w:sz w:val="22"/>
          <w:szCs w:val="22"/>
        </w:rPr>
        <w:t> mg</w:t>
      </w:r>
      <w:r w:rsidRPr="00211E3B">
        <w:rPr>
          <w:sz w:val="22"/>
          <w:szCs w:val="22"/>
        </w:rPr>
        <w:t xml:space="preserve"> dozė rekomenduojama pacientams, kurie netoleruoja </w:t>
      </w:r>
      <w:r w:rsidR="006B6785" w:rsidRPr="00211E3B">
        <w:rPr>
          <w:sz w:val="22"/>
          <w:szCs w:val="22"/>
        </w:rPr>
        <w:t xml:space="preserve">du kartus per parą vartojamos </w:t>
      </w:r>
      <w:r w:rsidRPr="00211E3B">
        <w:rPr>
          <w:sz w:val="22"/>
          <w:szCs w:val="22"/>
        </w:rPr>
        <w:t>150</w:t>
      </w:r>
      <w:r w:rsidR="0085390D">
        <w:rPr>
          <w:sz w:val="22"/>
          <w:szCs w:val="22"/>
        </w:rPr>
        <w:t> mg</w:t>
      </w:r>
      <w:r w:rsidRPr="00211E3B">
        <w:rPr>
          <w:sz w:val="22"/>
          <w:szCs w:val="22"/>
        </w:rPr>
        <w:t>.</w:t>
      </w:r>
    </w:p>
    <w:p w14:paraId="4CA902B3" w14:textId="7445CC61" w:rsidR="00F4282D" w:rsidRPr="00211E3B" w:rsidRDefault="00F4282D" w:rsidP="00F4282D">
      <w:pPr>
        <w:tabs>
          <w:tab w:val="left" w:pos="567"/>
        </w:tabs>
        <w:rPr>
          <w:sz w:val="22"/>
          <w:szCs w:val="22"/>
        </w:rPr>
      </w:pPr>
    </w:p>
    <w:p w14:paraId="57C510D0" w14:textId="285C22C2" w:rsidR="00F4282D" w:rsidRPr="00211E3B" w:rsidRDefault="00F4282D" w:rsidP="00F4282D">
      <w:pPr>
        <w:tabs>
          <w:tab w:val="left" w:pos="567"/>
        </w:tabs>
        <w:rPr>
          <w:sz w:val="22"/>
          <w:szCs w:val="22"/>
        </w:rPr>
      </w:pPr>
      <w:r w:rsidRPr="00211E3B">
        <w:rPr>
          <w:sz w:val="22"/>
          <w:szCs w:val="22"/>
        </w:rPr>
        <w:t>Jei dozė praleidžiama, vartojimą reikia atnaujinti rekomenduojamą dozę vartojant planuotu</w:t>
      </w:r>
      <w:r w:rsidR="00D52A02" w:rsidRPr="00211E3B">
        <w:rPr>
          <w:sz w:val="22"/>
          <w:szCs w:val="22"/>
        </w:rPr>
        <w:t xml:space="preserve"> </w:t>
      </w:r>
      <w:r w:rsidRPr="00211E3B">
        <w:rPr>
          <w:sz w:val="22"/>
          <w:szCs w:val="22"/>
        </w:rPr>
        <w:t>artimiausios dozės laiku. Jei pacientas dozę praleidžia, papildomos dozės jam vartoti negalima.</w:t>
      </w:r>
      <w:r w:rsidR="00D52A02" w:rsidRPr="00211E3B">
        <w:rPr>
          <w:sz w:val="22"/>
          <w:szCs w:val="22"/>
        </w:rPr>
        <w:t xml:space="preserve"> </w:t>
      </w:r>
      <w:r w:rsidRPr="00211E3B">
        <w:rPr>
          <w:sz w:val="22"/>
          <w:szCs w:val="22"/>
        </w:rPr>
        <w:t>Negalima viršyti maksimalios rekomenduojamos 300</w:t>
      </w:r>
      <w:r w:rsidR="0085390D">
        <w:rPr>
          <w:sz w:val="22"/>
          <w:szCs w:val="22"/>
        </w:rPr>
        <w:t> mg</w:t>
      </w:r>
      <w:r w:rsidRPr="00211E3B">
        <w:rPr>
          <w:sz w:val="22"/>
          <w:szCs w:val="22"/>
        </w:rPr>
        <w:t xml:space="preserve"> paros dozės.</w:t>
      </w:r>
    </w:p>
    <w:p w14:paraId="239200E6" w14:textId="77777777" w:rsidR="00AA2153" w:rsidRPr="00211E3B" w:rsidRDefault="00AA2153" w:rsidP="00F4282D">
      <w:pPr>
        <w:tabs>
          <w:tab w:val="left" w:pos="567"/>
        </w:tabs>
        <w:rPr>
          <w:sz w:val="22"/>
          <w:szCs w:val="22"/>
        </w:rPr>
      </w:pPr>
    </w:p>
    <w:p w14:paraId="3E22E0F1" w14:textId="233E2EB1" w:rsidR="00F4282D" w:rsidRPr="00211E3B" w:rsidRDefault="00F4282D" w:rsidP="00F4282D">
      <w:pPr>
        <w:tabs>
          <w:tab w:val="left" w:pos="567"/>
        </w:tabs>
        <w:rPr>
          <w:i/>
          <w:iCs/>
          <w:sz w:val="22"/>
          <w:szCs w:val="22"/>
        </w:rPr>
      </w:pPr>
      <w:r w:rsidRPr="00211E3B">
        <w:rPr>
          <w:i/>
          <w:iCs/>
          <w:sz w:val="22"/>
          <w:szCs w:val="22"/>
        </w:rPr>
        <w:t>Dozės koregavimas</w:t>
      </w:r>
    </w:p>
    <w:p w14:paraId="38D96907" w14:textId="2812C6BA" w:rsidR="00F4282D" w:rsidRPr="00211E3B" w:rsidRDefault="00F4282D" w:rsidP="00F4282D">
      <w:pPr>
        <w:tabs>
          <w:tab w:val="left" w:pos="567"/>
        </w:tabs>
        <w:rPr>
          <w:sz w:val="22"/>
          <w:szCs w:val="22"/>
        </w:rPr>
      </w:pPr>
      <w:r w:rsidRPr="00211E3B">
        <w:rPr>
          <w:sz w:val="22"/>
          <w:szCs w:val="22"/>
        </w:rPr>
        <w:t>Nepageidaujamoms reakcijoms į Agarf (žr. 4.4 ir 4.8</w:t>
      </w:r>
      <w:r w:rsidR="00D52A02" w:rsidRPr="00211E3B">
        <w:rPr>
          <w:sz w:val="22"/>
          <w:szCs w:val="22"/>
        </w:rPr>
        <w:t> </w:t>
      </w:r>
      <w:r w:rsidRPr="00211E3B">
        <w:rPr>
          <w:sz w:val="22"/>
          <w:szCs w:val="22"/>
        </w:rPr>
        <w:t xml:space="preserve">skyrius) </w:t>
      </w:r>
      <w:r w:rsidR="00D52A02" w:rsidRPr="00211E3B">
        <w:rPr>
          <w:sz w:val="22"/>
          <w:szCs w:val="22"/>
        </w:rPr>
        <w:t>kontroliuoti</w:t>
      </w:r>
      <w:r w:rsidRPr="00211E3B">
        <w:rPr>
          <w:sz w:val="22"/>
          <w:szCs w:val="22"/>
        </w:rPr>
        <w:t xml:space="preserve"> be simptominio gydymo, jeigu jis</w:t>
      </w:r>
      <w:r w:rsidR="00D52A02" w:rsidRPr="00211E3B">
        <w:rPr>
          <w:sz w:val="22"/>
          <w:szCs w:val="22"/>
        </w:rPr>
        <w:t xml:space="preserve"> </w:t>
      </w:r>
      <w:r w:rsidRPr="00211E3B">
        <w:rPr>
          <w:sz w:val="22"/>
          <w:szCs w:val="22"/>
        </w:rPr>
        <w:t xml:space="preserve">taikytinas, galima sumažinti dozę arba laikinai </w:t>
      </w:r>
      <w:r w:rsidR="00D52A02" w:rsidRPr="00211E3B">
        <w:rPr>
          <w:sz w:val="22"/>
          <w:szCs w:val="22"/>
        </w:rPr>
        <w:t>sustabdyti</w:t>
      </w:r>
      <w:r w:rsidRPr="00211E3B">
        <w:rPr>
          <w:sz w:val="22"/>
          <w:szCs w:val="22"/>
        </w:rPr>
        <w:t xml:space="preserve"> gydymą, kol specifinė nepageidaujama</w:t>
      </w:r>
      <w:r w:rsidR="00D52A02" w:rsidRPr="00211E3B">
        <w:rPr>
          <w:sz w:val="22"/>
          <w:szCs w:val="22"/>
        </w:rPr>
        <w:t xml:space="preserve"> </w:t>
      </w:r>
      <w:r w:rsidRPr="00211E3B">
        <w:rPr>
          <w:sz w:val="22"/>
          <w:szCs w:val="22"/>
        </w:rPr>
        <w:t xml:space="preserve">reakcija susilpnės iki gydymą tęsti </w:t>
      </w:r>
      <w:r w:rsidR="00D52A02" w:rsidRPr="00211E3B">
        <w:rPr>
          <w:sz w:val="22"/>
          <w:szCs w:val="22"/>
        </w:rPr>
        <w:t xml:space="preserve">leidžiančio </w:t>
      </w:r>
      <w:r w:rsidRPr="00211E3B">
        <w:rPr>
          <w:sz w:val="22"/>
          <w:szCs w:val="22"/>
        </w:rPr>
        <w:t>lygio. Gydymas Agarf gali būti atnaujintas visa doze</w:t>
      </w:r>
      <w:r w:rsidR="00D52A02" w:rsidRPr="00211E3B">
        <w:rPr>
          <w:sz w:val="22"/>
          <w:szCs w:val="22"/>
        </w:rPr>
        <w:t xml:space="preserve"> </w:t>
      </w:r>
      <w:r w:rsidRPr="00211E3B">
        <w:rPr>
          <w:sz w:val="22"/>
          <w:szCs w:val="22"/>
        </w:rPr>
        <w:t>(150</w:t>
      </w:r>
      <w:r w:rsidR="0085390D">
        <w:rPr>
          <w:sz w:val="22"/>
          <w:szCs w:val="22"/>
        </w:rPr>
        <w:t> mg</w:t>
      </w:r>
      <w:r w:rsidRPr="00211E3B">
        <w:rPr>
          <w:sz w:val="22"/>
          <w:szCs w:val="22"/>
        </w:rPr>
        <w:t xml:space="preserve"> du kartus per parą</w:t>
      </w:r>
      <w:r w:rsidR="004C0122" w:rsidRPr="00211E3B">
        <w:rPr>
          <w:sz w:val="22"/>
          <w:szCs w:val="22"/>
        </w:rPr>
        <w:t xml:space="preserve"> suaugusiems pacientams</w:t>
      </w:r>
      <w:r w:rsidRPr="00211E3B">
        <w:rPr>
          <w:sz w:val="22"/>
          <w:szCs w:val="22"/>
        </w:rPr>
        <w:t>) arba sumažinta doze (100</w:t>
      </w:r>
      <w:r w:rsidR="0085390D">
        <w:rPr>
          <w:sz w:val="22"/>
          <w:szCs w:val="22"/>
        </w:rPr>
        <w:t> mg</w:t>
      </w:r>
      <w:r w:rsidRPr="00211E3B">
        <w:rPr>
          <w:sz w:val="22"/>
          <w:szCs w:val="22"/>
        </w:rPr>
        <w:t xml:space="preserve"> du kartus per parą</w:t>
      </w:r>
      <w:r w:rsidR="004C0122" w:rsidRPr="00211E3B">
        <w:rPr>
          <w:sz w:val="22"/>
          <w:szCs w:val="22"/>
        </w:rPr>
        <w:t xml:space="preserve"> suaugusiems pacientams</w:t>
      </w:r>
      <w:r w:rsidRPr="00211E3B">
        <w:rPr>
          <w:sz w:val="22"/>
          <w:szCs w:val="22"/>
        </w:rPr>
        <w:t xml:space="preserve">). Jei </w:t>
      </w:r>
      <w:r w:rsidR="00D52A02" w:rsidRPr="00211E3B">
        <w:rPr>
          <w:sz w:val="22"/>
          <w:szCs w:val="22"/>
        </w:rPr>
        <w:t xml:space="preserve">suaugęs </w:t>
      </w:r>
      <w:r w:rsidRPr="00211E3B">
        <w:rPr>
          <w:sz w:val="22"/>
          <w:szCs w:val="22"/>
        </w:rPr>
        <w:t>pacientas</w:t>
      </w:r>
      <w:r w:rsidR="00D52A02" w:rsidRPr="00211E3B">
        <w:rPr>
          <w:sz w:val="22"/>
          <w:szCs w:val="22"/>
        </w:rPr>
        <w:t xml:space="preserve"> </w:t>
      </w:r>
      <w:r w:rsidRPr="00211E3B">
        <w:rPr>
          <w:sz w:val="22"/>
          <w:szCs w:val="22"/>
        </w:rPr>
        <w:t>netoleruoja du kartus per parą vartojamos 100</w:t>
      </w:r>
      <w:r w:rsidR="0085390D">
        <w:rPr>
          <w:sz w:val="22"/>
          <w:szCs w:val="22"/>
        </w:rPr>
        <w:t> mg</w:t>
      </w:r>
      <w:r w:rsidRPr="00211E3B">
        <w:rPr>
          <w:sz w:val="22"/>
          <w:szCs w:val="22"/>
        </w:rPr>
        <w:t xml:space="preserve"> dozės, gydymą Agarf reikia nutraukti.</w:t>
      </w:r>
    </w:p>
    <w:p w14:paraId="4934DE8E" w14:textId="77777777" w:rsidR="00D52A02" w:rsidRPr="00211E3B" w:rsidRDefault="00D52A02" w:rsidP="00F4282D">
      <w:pPr>
        <w:tabs>
          <w:tab w:val="left" w:pos="567"/>
        </w:tabs>
        <w:rPr>
          <w:sz w:val="22"/>
          <w:szCs w:val="22"/>
        </w:rPr>
      </w:pPr>
    </w:p>
    <w:p w14:paraId="1CF524AE" w14:textId="0BE942F1" w:rsidR="00F4282D" w:rsidRPr="00211E3B" w:rsidRDefault="00F4282D" w:rsidP="00F4282D">
      <w:pPr>
        <w:tabs>
          <w:tab w:val="left" w:pos="567"/>
        </w:tabs>
        <w:rPr>
          <w:sz w:val="22"/>
          <w:szCs w:val="22"/>
        </w:rPr>
      </w:pPr>
      <w:r w:rsidRPr="00211E3B">
        <w:rPr>
          <w:sz w:val="22"/>
          <w:szCs w:val="22"/>
        </w:rPr>
        <w:t>Jei</w:t>
      </w:r>
      <w:r w:rsidR="004823F3">
        <w:rPr>
          <w:sz w:val="22"/>
          <w:szCs w:val="22"/>
        </w:rPr>
        <w:t>,</w:t>
      </w:r>
      <w:r w:rsidRPr="00211E3B">
        <w:rPr>
          <w:sz w:val="22"/>
          <w:szCs w:val="22"/>
        </w:rPr>
        <w:t xml:space="preserve"> nepaisant tinkamo palaikomojo gydymo (įskaitant vėmimą slopinantį gydymą)</w:t>
      </w:r>
      <w:r w:rsidR="004823F3">
        <w:rPr>
          <w:sz w:val="22"/>
          <w:szCs w:val="22"/>
        </w:rPr>
        <w:t>,</w:t>
      </w:r>
      <w:r w:rsidRPr="00211E3B">
        <w:rPr>
          <w:sz w:val="22"/>
          <w:szCs w:val="22"/>
        </w:rPr>
        <w:t xml:space="preserve"> viduriavimas,</w:t>
      </w:r>
      <w:r w:rsidR="003A284E" w:rsidRPr="00211E3B">
        <w:rPr>
          <w:sz w:val="22"/>
          <w:szCs w:val="22"/>
        </w:rPr>
        <w:t xml:space="preserve"> </w:t>
      </w:r>
      <w:r w:rsidRPr="00211E3B">
        <w:rPr>
          <w:sz w:val="22"/>
          <w:szCs w:val="22"/>
        </w:rPr>
        <w:t xml:space="preserve">pykinimas ir (arba) vėmimas išlieka, gali prireikti sumažinti dozę ar </w:t>
      </w:r>
      <w:r w:rsidR="003A284E" w:rsidRPr="00211E3B">
        <w:rPr>
          <w:sz w:val="22"/>
          <w:szCs w:val="22"/>
        </w:rPr>
        <w:t>sustabdyti</w:t>
      </w:r>
      <w:r w:rsidRPr="00211E3B">
        <w:rPr>
          <w:sz w:val="22"/>
          <w:szCs w:val="22"/>
        </w:rPr>
        <w:t xml:space="preserve"> gydymą. </w:t>
      </w:r>
      <w:r w:rsidR="003A284E" w:rsidRPr="00211E3B">
        <w:rPr>
          <w:sz w:val="22"/>
          <w:szCs w:val="22"/>
        </w:rPr>
        <w:t>Gydymas Agarf gali būti atnaujintas visa doze (150</w:t>
      </w:r>
      <w:r w:rsidR="0085390D">
        <w:rPr>
          <w:sz w:val="22"/>
          <w:szCs w:val="22"/>
        </w:rPr>
        <w:t> mg</w:t>
      </w:r>
      <w:r w:rsidR="003A284E" w:rsidRPr="00211E3B">
        <w:rPr>
          <w:sz w:val="22"/>
          <w:szCs w:val="22"/>
        </w:rPr>
        <w:t xml:space="preserve"> du kartus per parą</w:t>
      </w:r>
      <w:r w:rsidR="00967FAF" w:rsidRPr="00211E3B">
        <w:rPr>
          <w:sz w:val="22"/>
          <w:szCs w:val="22"/>
        </w:rPr>
        <w:t xml:space="preserve"> suaugusiems pacientams</w:t>
      </w:r>
      <w:r w:rsidR="003A284E" w:rsidRPr="00211E3B">
        <w:rPr>
          <w:sz w:val="22"/>
          <w:szCs w:val="22"/>
        </w:rPr>
        <w:t>) arba sumažinta doze (100</w:t>
      </w:r>
      <w:r w:rsidR="0085390D">
        <w:rPr>
          <w:sz w:val="22"/>
          <w:szCs w:val="22"/>
        </w:rPr>
        <w:t> mg</w:t>
      </w:r>
      <w:r w:rsidR="003A284E" w:rsidRPr="00211E3B">
        <w:rPr>
          <w:sz w:val="22"/>
          <w:szCs w:val="22"/>
        </w:rPr>
        <w:t xml:space="preserve"> du kartus per parą</w:t>
      </w:r>
      <w:r w:rsidR="00967FAF" w:rsidRPr="00211E3B">
        <w:rPr>
          <w:sz w:val="22"/>
          <w:szCs w:val="22"/>
        </w:rPr>
        <w:t xml:space="preserve"> suaugusiems pacientams</w:t>
      </w:r>
      <w:r w:rsidR="003A284E" w:rsidRPr="00211E3B">
        <w:rPr>
          <w:sz w:val="22"/>
          <w:szCs w:val="22"/>
        </w:rPr>
        <w:t xml:space="preserve">). </w:t>
      </w:r>
      <w:r w:rsidRPr="00211E3B">
        <w:rPr>
          <w:sz w:val="22"/>
          <w:szCs w:val="22"/>
        </w:rPr>
        <w:t>Jei</w:t>
      </w:r>
      <w:r w:rsidR="004823F3">
        <w:rPr>
          <w:sz w:val="22"/>
          <w:szCs w:val="22"/>
        </w:rPr>
        <w:t>,</w:t>
      </w:r>
      <w:r w:rsidRPr="00211E3B">
        <w:rPr>
          <w:sz w:val="22"/>
          <w:szCs w:val="22"/>
        </w:rPr>
        <w:t xml:space="preserve"> nepaisant simptominio gydymo</w:t>
      </w:r>
      <w:r w:rsidR="004823F3">
        <w:rPr>
          <w:sz w:val="22"/>
          <w:szCs w:val="22"/>
        </w:rPr>
        <w:t>,</w:t>
      </w:r>
      <w:r w:rsidRPr="00211E3B">
        <w:rPr>
          <w:sz w:val="22"/>
          <w:szCs w:val="22"/>
        </w:rPr>
        <w:t xml:space="preserve"> </w:t>
      </w:r>
      <w:r w:rsidR="003A284E" w:rsidRPr="00211E3B">
        <w:rPr>
          <w:sz w:val="22"/>
          <w:szCs w:val="22"/>
        </w:rPr>
        <w:t>sunkus</w:t>
      </w:r>
      <w:r w:rsidRPr="00211E3B">
        <w:rPr>
          <w:sz w:val="22"/>
          <w:szCs w:val="22"/>
        </w:rPr>
        <w:t xml:space="preserve"> viduriavimas, pykinimas ir (arba) vėmimas</w:t>
      </w:r>
      <w:r w:rsidR="003A284E" w:rsidRPr="00211E3B">
        <w:rPr>
          <w:sz w:val="22"/>
          <w:szCs w:val="22"/>
        </w:rPr>
        <w:t xml:space="preserve"> išlieka</w:t>
      </w:r>
      <w:r w:rsidRPr="00211E3B">
        <w:rPr>
          <w:sz w:val="22"/>
          <w:szCs w:val="22"/>
        </w:rPr>
        <w:t>, gydymas Agarf turi būti nutrauktas (žr. 4.4</w:t>
      </w:r>
      <w:r w:rsidR="003A284E" w:rsidRPr="00211E3B">
        <w:rPr>
          <w:sz w:val="22"/>
          <w:szCs w:val="22"/>
        </w:rPr>
        <w:t> </w:t>
      </w:r>
      <w:r w:rsidRPr="00211E3B">
        <w:rPr>
          <w:sz w:val="22"/>
          <w:szCs w:val="22"/>
        </w:rPr>
        <w:t>skyrių).</w:t>
      </w:r>
    </w:p>
    <w:p w14:paraId="2F66CCC1" w14:textId="77777777" w:rsidR="003A284E" w:rsidRPr="00211E3B" w:rsidRDefault="003A284E" w:rsidP="00F4282D">
      <w:pPr>
        <w:tabs>
          <w:tab w:val="left" w:pos="567"/>
        </w:tabs>
        <w:rPr>
          <w:sz w:val="22"/>
          <w:szCs w:val="22"/>
        </w:rPr>
      </w:pPr>
    </w:p>
    <w:p w14:paraId="37B9CD34" w14:textId="0279AC53" w:rsidR="00F4282D" w:rsidRPr="00211E3B" w:rsidRDefault="00F4282D" w:rsidP="00F4282D">
      <w:pPr>
        <w:tabs>
          <w:tab w:val="left" w:pos="567"/>
        </w:tabs>
        <w:rPr>
          <w:sz w:val="22"/>
          <w:szCs w:val="22"/>
        </w:rPr>
      </w:pPr>
      <w:r w:rsidRPr="00211E3B">
        <w:rPr>
          <w:sz w:val="22"/>
          <w:szCs w:val="22"/>
        </w:rPr>
        <w:t xml:space="preserve">Jei gydymas buvo </w:t>
      </w:r>
      <w:r w:rsidR="00D8121A" w:rsidRPr="00211E3B">
        <w:rPr>
          <w:sz w:val="22"/>
          <w:szCs w:val="22"/>
        </w:rPr>
        <w:t>sustabdytas</w:t>
      </w:r>
      <w:r w:rsidRPr="00211E3B">
        <w:rPr>
          <w:sz w:val="22"/>
          <w:szCs w:val="22"/>
        </w:rPr>
        <w:t xml:space="preserve"> dėl </w:t>
      </w:r>
      <w:r w:rsidR="00D8121A" w:rsidRPr="00211E3B">
        <w:rPr>
          <w:sz w:val="22"/>
          <w:szCs w:val="22"/>
        </w:rPr>
        <w:t xml:space="preserve">&gt; 3x viršutinę normos ribą (VNR) viršijančio </w:t>
      </w:r>
      <w:r w:rsidRPr="00211E3B">
        <w:rPr>
          <w:sz w:val="22"/>
          <w:szCs w:val="22"/>
        </w:rPr>
        <w:t>aspartataminotransferazės (AST) ar alaninaminotransferazės (ALT)</w:t>
      </w:r>
      <w:r w:rsidR="00D8121A" w:rsidRPr="00211E3B">
        <w:rPr>
          <w:sz w:val="22"/>
          <w:szCs w:val="22"/>
        </w:rPr>
        <w:t xml:space="preserve"> </w:t>
      </w:r>
      <w:r w:rsidRPr="00211E3B">
        <w:rPr>
          <w:sz w:val="22"/>
          <w:szCs w:val="22"/>
        </w:rPr>
        <w:t xml:space="preserve">aktyvumo padidėjimo, transaminazių </w:t>
      </w:r>
      <w:r w:rsidR="00D8121A" w:rsidRPr="00211E3B">
        <w:rPr>
          <w:sz w:val="22"/>
          <w:szCs w:val="22"/>
        </w:rPr>
        <w:t>aktyvumui</w:t>
      </w:r>
      <w:r w:rsidRPr="00211E3B">
        <w:rPr>
          <w:sz w:val="22"/>
          <w:szCs w:val="22"/>
        </w:rPr>
        <w:t xml:space="preserve"> grįžus į</w:t>
      </w:r>
      <w:r w:rsidR="00D8121A" w:rsidRPr="00211E3B">
        <w:rPr>
          <w:sz w:val="22"/>
          <w:szCs w:val="22"/>
        </w:rPr>
        <w:t xml:space="preserve"> </w:t>
      </w:r>
      <w:r w:rsidRPr="00211E3B">
        <w:rPr>
          <w:sz w:val="22"/>
          <w:szCs w:val="22"/>
        </w:rPr>
        <w:t>pradinį lygį, gydymą Agarf galima atnaujinti sumažinta doze (100</w:t>
      </w:r>
      <w:r w:rsidR="0085390D">
        <w:rPr>
          <w:sz w:val="22"/>
          <w:szCs w:val="22"/>
        </w:rPr>
        <w:t> mg</w:t>
      </w:r>
      <w:r w:rsidRPr="00211E3B">
        <w:rPr>
          <w:sz w:val="22"/>
          <w:szCs w:val="22"/>
        </w:rPr>
        <w:t xml:space="preserve"> du kartus per parą</w:t>
      </w:r>
      <w:r w:rsidR="00967FAF" w:rsidRPr="00211E3B">
        <w:rPr>
          <w:sz w:val="22"/>
          <w:szCs w:val="22"/>
        </w:rPr>
        <w:t xml:space="preserve"> suaugusiems pacientams</w:t>
      </w:r>
      <w:r w:rsidRPr="00211E3B">
        <w:rPr>
          <w:sz w:val="22"/>
          <w:szCs w:val="22"/>
        </w:rPr>
        <w:t>), kuri vėliau</w:t>
      </w:r>
      <w:r w:rsidR="00D8121A" w:rsidRPr="00211E3B">
        <w:rPr>
          <w:sz w:val="22"/>
          <w:szCs w:val="22"/>
        </w:rPr>
        <w:t xml:space="preserve"> </w:t>
      </w:r>
      <w:r w:rsidRPr="00211E3B">
        <w:rPr>
          <w:sz w:val="22"/>
          <w:szCs w:val="22"/>
        </w:rPr>
        <w:t>gali būti padidinta iki visos dozės (150</w:t>
      </w:r>
      <w:r w:rsidR="0085390D">
        <w:rPr>
          <w:sz w:val="22"/>
          <w:szCs w:val="22"/>
        </w:rPr>
        <w:t> mg</w:t>
      </w:r>
      <w:r w:rsidRPr="00211E3B">
        <w:rPr>
          <w:sz w:val="22"/>
          <w:szCs w:val="22"/>
        </w:rPr>
        <w:t xml:space="preserve"> du kartus per parą</w:t>
      </w:r>
      <w:r w:rsidR="00967FAF" w:rsidRPr="00211E3B">
        <w:rPr>
          <w:sz w:val="22"/>
          <w:szCs w:val="22"/>
        </w:rPr>
        <w:t xml:space="preserve"> suaugusiems pacientams</w:t>
      </w:r>
      <w:r w:rsidRPr="00211E3B">
        <w:rPr>
          <w:sz w:val="22"/>
          <w:szCs w:val="22"/>
        </w:rPr>
        <w:t>) (žr. 4.4 ir 4.8</w:t>
      </w:r>
      <w:r w:rsidR="00D8121A" w:rsidRPr="00211E3B">
        <w:rPr>
          <w:sz w:val="22"/>
          <w:szCs w:val="22"/>
        </w:rPr>
        <w:t> </w:t>
      </w:r>
      <w:r w:rsidRPr="00211E3B">
        <w:rPr>
          <w:sz w:val="22"/>
          <w:szCs w:val="22"/>
        </w:rPr>
        <w:t>skyrius).</w:t>
      </w:r>
    </w:p>
    <w:p w14:paraId="4DD2093A" w14:textId="77777777" w:rsidR="003A284E" w:rsidRPr="00211E3B" w:rsidRDefault="003A284E" w:rsidP="00F4282D">
      <w:pPr>
        <w:tabs>
          <w:tab w:val="left" w:pos="567"/>
        </w:tabs>
        <w:rPr>
          <w:sz w:val="22"/>
          <w:szCs w:val="22"/>
        </w:rPr>
      </w:pPr>
    </w:p>
    <w:p w14:paraId="6E022286" w14:textId="046C67AD" w:rsidR="00F4282D" w:rsidRPr="00211E3B" w:rsidRDefault="00F4282D" w:rsidP="00F4282D">
      <w:pPr>
        <w:tabs>
          <w:tab w:val="left" w:pos="567"/>
        </w:tabs>
        <w:rPr>
          <w:sz w:val="22"/>
          <w:szCs w:val="22"/>
          <w:u w:val="single"/>
        </w:rPr>
      </w:pPr>
      <w:r w:rsidRPr="00211E3B">
        <w:rPr>
          <w:sz w:val="22"/>
          <w:szCs w:val="22"/>
          <w:u w:val="single"/>
        </w:rPr>
        <w:t>Ypatingos populiacijos</w:t>
      </w:r>
    </w:p>
    <w:p w14:paraId="0455231B" w14:textId="77777777" w:rsidR="003A284E" w:rsidRPr="00211E3B" w:rsidRDefault="003A284E" w:rsidP="00F4282D">
      <w:pPr>
        <w:tabs>
          <w:tab w:val="left" w:pos="567"/>
        </w:tabs>
        <w:rPr>
          <w:sz w:val="22"/>
          <w:szCs w:val="22"/>
        </w:rPr>
      </w:pPr>
    </w:p>
    <w:p w14:paraId="62F35854" w14:textId="4FACAB48" w:rsidR="00F4282D" w:rsidRPr="00211E3B" w:rsidRDefault="00F4282D" w:rsidP="00F4282D">
      <w:pPr>
        <w:tabs>
          <w:tab w:val="left" w:pos="567"/>
        </w:tabs>
        <w:rPr>
          <w:i/>
          <w:iCs/>
          <w:sz w:val="22"/>
          <w:szCs w:val="22"/>
        </w:rPr>
      </w:pPr>
      <w:r w:rsidRPr="00211E3B">
        <w:rPr>
          <w:i/>
          <w:iCs/>
          <w:sz w:val="22"/>
          <w:szCs w:val="22"/>
        </w:rPr>
        <w:t>Senyvi</w:t>
      </w:r>
      <w:r w:rsidR="0092718B">
        <w:rPr>
          <w:i/>
          <w:iCs/>
          <w:sz w:val="22"/>
          <w:szCs w:val="22"/>
        </w:rPr>
        <w:t>ems</w:t>
      </w:r>
      <w:r w:rsidRPr="00211E3B">
        <w:rPr>
          <w:i/>
          <w:iCs/>
          <w:sz w:val="22"/>
          <w:szCs w:val="22"/>
        </w:rPr>
        <w:t xml:space="preserve"> (≥</w:t>
      </w:r>
      <w:r w:rsidR="00D8121A" w:rsidRPr="00211E3B">
        <w:rPr>
          <w:i/>
          <w:iCs/>
          <w:sz w:val="22"/>
          <w:szCs w:val="22"/>
        </w:rPr>
        <w:t> </w:t>
      </w:r>
      <w:r w:rsidRPr="00211E3B">
        <w:rPr>
          <w:i/>
          <w:iCs/>
          <w:sz w:val="22"/>
          <w:szCs w:val="22"/>
        </w:rPr>
        <w:t>65</w:t>
      </w:r>
      <w:r w:rsidR="00D8121A" w:rsidRPr="00211E3B">
        <w:rPr>
          <w:i/>
          <w:iCs/>
          <w:sz w:val="22"/>
          <w:szCs w:val="22"/>
        </w:rPr>
        <w:t> </w:t>
      </w:r>
      <w:r w:rsidRPr="00211E3B">
        <w:rPr>
          <w:i/>
          <w:iCs/>
          <w:sz w:val="22"/>
          <w:szCs w:val="22"/>
        </w:rPr>
        <w:t>metų) pacienta</w:t>
      </w:r>
      <w:r w:rsidR="0092718B">
        <w:rPr>
          <w:i/>
          <w:iCs/>
          <w:sz w:val="22"/>
          <w:szCs w:val="22"/>
        </w:rPr>
        <w:t>ms</w:t>
      </w:r>
    </w:p>
    <w:p w14:paraId="6BA77CC3" w14:textId="3E3B816A" w:rsidR="00F4282D" w:rsidRPr="00211E3B" w:rsidRDefault="00F4282D" w:rsidP="00F4282D">
      <w:pPr>
        <w:tabs>
          <w:tab w:val="left" w:pos="567"/>
        </w:tabs>
        <w:rPr>
          <w:sz w:val="22"/>
          <w:szCs w:val="22"/>
        </w:rPr>
      </w:pPr>
      <w:r w:rsidRPr="00211E3B">
        <w:rPr>
          <w:sz w:val="22"/>
          <w:szCs w:val="22"/>
        </w:rPr>
        <w:t>Senyviems pacientams apskritai nebuvo pastebėta kokių nors saugumo ir veiksmingumo skirtumų.</w:t>
      </w:r>
      <w:r w:rsidR="00F73EA8" w:rsidRPr="00211E3B">
        <w:rPr>
          <w:sz w:val="22"/>
          <w:szCs w:val="22"/>
        </w:rPr>
        <w:t xml:space="preserve"> Senyviems žmonėms vien dėl amžiaus dozės koreguoti nereikia</w:t>
      </w:r>
      <w:r w:rsidRPr="00211E3B">
        <w:rPr>
          <w:sz w:val="22"/>
          <w:szCs w:val="22"/>
        </w:rPr>
        <w:t>. 75</w:t>
      </w:r>
      <w:r w:rsidR="00F73EA8" w:rsidRPr="00211E3B">
        <w:rPr>
          <w:sz w:val="22"/>
          <w:szCs w:val="22"/>
        </w:rPr>
        <w:t> </w:t>
      </w:r>
      <w:r w:rsidRPr="00211E3B">
        <w:rPr>
          <w:sz w:val="22"/>
          <w:szCs w:val="22"/>
        </w:rPr>
        <w:t>metų ir vyresniems pacientams</w:t>
      </w:r>
      <w:r w:rsidR="00F73EA8" w:rsidRPr="00211E3B">
        <w:rPr>
          <w:sz w:val="22"/>
          <w:szCs w:val="22"/>
        </w:rPr>
        <w:t xml:space="preserve"> yra didesnė tikimybė, </w:t>
      </w:r>
      <w:r w:rsidRPr="00211E3B">
        <w:rPr>
          <w:sz w:val="22"/>
          <w:szCs w:val="22"/>
        </w:rPr>
        <w:t>kad reikės mažinti dozę nepageidaujam</w:t>
      </w:r>
      <w:r w:rsidR="00F73EA8" w:rsidRPr="00211E3B">
        <w:rPr>
          <w:sz w:val="22"/>
          <w:szCs w:val="22"/>
        </w:rPr>
        <w:t>am</w:t>
      </w:r>
      <w:r w:rsidRPr="00211E3B">
        <w:rPr>
          <w:sz w:val="22"/>
          <w:szCs w:val="22"/>
        </w:rPr>
        <w:t xml:space="preserve"> </w:t>
      </w:r>
      <w:r w:rsidR="00F73EA8" w:rsidRPr="00211E3B">
        <w:rPr>
          <w:sz w:val="22"/>
          <w:szCs w:val="22"/>
        </w:rPr>
        <w:t>poveikiui kontroliuoti</w:t>
      </w:r>
      <w:r w:rsidRPr="00211E3B">
        <w:rPr>
          <w:sz w:val="22"/>
          <w:szCs w:val="22"/>
        </w:rPr>
        <w:t xml:space="preserve"> (žr. 5.2</w:t>
      </w:r>
      <w:r w:rsidR="00F73EA8" w:rsidRPr="00211E3B">
        <w:rPr>
          <w:sz w:val="22"/>
          <w:szCs w:val="22"/>
        </w:rPr>
        <w:t> </w:t>
      </w:r>
      <w:r w:rsidRPr="00211E3B">
        <w:rPr>
          <w:sz w:val="22"/>
          <w:szCs w:val="22"/>
        </w:rPr>
        <w:t>skyrių).</w:t>
      </w:r>
    </w:p>
    <w:p w14:paraId="2F7A4395" w14:textId="77777777" w:rsidR="00D8121A" w:rsidRPr="00211E3B" w:rsidRDefault="00D8121A" w:rsidP="00F4282D">
      <w:pPr>
        <w:tabs>
          <w:tab w:val="left" w:pos="567"/>
        </w:tabs>
        <w:rPr>
          <w:sz w:val="22"/>
          <w:szCs w:val="22"/>
        </w:rPr>
      </w:pPr>
    </w:p>
    <w:p w14:paraId="136A298C" w14:textId="11933069" w:rsidR="00F4282D" w:rsidRPr="00211E3B" w:rsidRDefault="0092718B" w:rsidP="00F4282D">
      <w:pPr>
        <w:tabs>
          <w:tab w:val="left" w:pos="567"/>
        </w:tabs>
        <w:rPr>
          <w:i/>
          <w:iCs/>
          <w:sz w:val="22"/>
          <w:szCs w:val="22"/>
        </w:rPr>
      </w:pPr>
      <w:r>
        <w:rPr>
          <w:i/>
          <w:iCs/>
          <w:sz w:val="22"/>
          <w:szCs w:val="22"/>
        </w:rPr>
        <w:t xml:space="preserve">Pcientams, kurių </w:t>
      </w:r>
      <w:r w:rsidR="00F4282D" w:rsidRPr="00211E3B">
        <w:rPr>
          <w:i/>
          <w:iCs/>
          <w:sz w:val="22"/>
          <w:szCs w:val="22"/>
        </w:rPr>
        <w:t>inkstų funkcija</w:t>
      </w:r>
      <w:r>
        <w:rPr>
          <w:i/>
          <w:iCs/>
          <w:sz w:val="22"/>
          <w:szCs w:val="22"/>
        </w:rPr>
        <w:t xml:space="preserve"> sutrikusi</w:t>
      </w:r>
    </w:p>
    <w:p w14:paraId="35021F99" w14:textId="4C868D0D" w:rsidR="004910A5" w:rsidRPr="00211E3B" w:rsidRDefault="004910A5" w:rsidP="004910A5">
      <w:pPr>
        <w:tabs>
          <w:tab w:val="left" w:pos="567"/>
        </w:tabs>
        <w:rPr>
          <w:iCs/>
          <w:sz w:val="22"/>
          <w:szCs w:val="22"/>
        </w:rPr>
      </w:pPr>
      <w:r w:rsidRPr="00211E3B">
        <w:rPr>
          <w:iCs/>
          <w:sz w:val="22"/>
          <w:szCs w:val="22"/>
        </w:rPr>
        <w:t>Jei yra lengvas arba vidutinio sunkumo inkstų funkcijos sutrikimas, pradinės dozės koreguoti nebūtina. Nintedanibo saugumo, veiksmingumo ir farmakokinetikos tyrimų su pacientais, kuriems yra sunkus inkstų funkcijos sutrikimas (kreatinino klirensas &lt; 30</w:t>
      </w:r>
      <w:r w:rsidR="0085390D">
        <w:rPr>
          <w:iCs/>
          <w:sz w:val="22"/>
          <w:szCs w:val="22"/>
        </w:rPr>
        <w:t> ml</w:t>
      </w:r>
      <w:r w:rsidRPr="00211E3B">
        <w:rPr>
          <w:iCs/>
          <w:sz w:val="22"/>
          <w:szCs w:val="22"/>
        </w:rPr>
        <w:t>/min.), neatlikta.</w:t>
      </w:r>
    </w:p>
    <w:p w14:paraId="6EDB328C" w14:textId="11102FB0" w:rsidR="00F4282D" w:rsidRPr="00211E3B" w:rsidRDefault="00F4282D" w:rsidP="00F4282D">
      <w:pPr>
        <w:tabs>
          <w:tab w:val="left" w:pos="567"/>
        </w:tabs>
        <w:rPr>
          <w:sz w:val="22"/>
          <w:szCs w:val="22"/>
        </w:rPr>
      </w:pPr>
    </w:p>
    <w:p w14:paraId="6A2F18FF" w14:textId="56B4D401" w:rsidR="00F4282D" w:rsidRPr="00211E3B" w:rsidRDefault="0092718B" w:rsidP="00F4282D">
      <w:pPr>
        <w:tabs>
          <w:tab w:val="left" w:pos="567"/>
        </w:tabs>
        <w:rPr>
          <w:i/>
          <w:iCs/>
          <w:sz w:val="22"/>
          <w:szCs w:val="22"/>
        </w:rPr>
      </w:pPr>
      <w:r>
        <w:rPr>
          <w:i/>
          <w:iCs/>
          <w:sz w:val="22"/>
          <w:szCs w:val="22"/>
        </w:rPr>
        <w:t xml:space="preserve">Pacientams, kurių </w:t>
      </w:r>
      <w:r w:rsidR="00F4282D" w:rsidRPr="00211E3B">
        <w:rPr>
          <w:i/>
          <w:iCs/>
          <w:sz w:val="22"/>
          <w:szCs w:val="22"/>
        </w:rPr>
        <w:t>kepenų funkcija</w:t>
      </w:r>
      <w:r>
        <w:rPr>
          <w:i/>
          <w:iCs/>
          <w:sz w:val="22"/>
          <w:szCs w:val="22"/>
        </w:rPr>
        <w:t xml:space="preserve"> sutrikusi</w:t>
      </w:r>
    </w:p>
    <w:p w14:paraId="758BE768" w14:textId="4A4CDA85" w:rsidR="00F4282D" w:rsidRPr="00211E3B" w:rsidRDefault="00F4282D" w:rsidP="008A5D79">
      <w:pPr>
        <w:tabs>
          <w:tab w:val="left" w:pos="567"/>
        </w:tabs>
        <w:rPr>
          <w:sz w:val="22"/>
          <w:szCs w:val="22"/>
        </w:rPr>
      </w:pPr>
      <w:r w:rsidRPr="00211E3B">
        <w:rPr>
          <w:sz w:val="22"/>
          <w:szCs w:val="22"/>
        </w:rPr>
        <w:t>Pacientams, kuriems yra lengvas kepenų funkcijos sutrikimas (</w:t>
      </w:r>
      <w:r w:rsidRPr="00211E3B">
        <w:rPr>
          <w:i/>
          <w:iCs/>
          <w:sz w:val="22"/>
          <w:szCs w:val="22"/>
        </w:rPr>
        <w:t>Child Pugh</w:t>
      </w:r>
      <w:r w:rsidRPr="00211E3B">
        <w:rPr>
          <w:sz w:val="22"/>
          <w:szCs w:val="22"/>
        </w:rPr>
        <w:t xml:space="preserve"> A), rekomenduojama Agarf</w:t>
      </w:r>
      <w:r w:rsidR="00322769" w:rsidRPr="00211E3B">
        <w:rPr>
          <w:sz w:val="22"/>
          <w:szCs w:val="22"/>
        </w:rPr>
        <w:t xml:space="preserve"> </w:t>
      </w:r>
      <w:r w:rsidRPr="00211E3B">
        <w:rPr>
          <w:sz w:val="22"/>
          <w:szCs w:val="22"/>
        </w:rPr>
        <w:t>dozė yra 100</w:t>
      </w:r>
      <w:r w:rsidR="0085390D">
        <w:rPr>
          <w:sz w:val="22"/>
          <w:szCs w:val="22"/>
        </w:rPr>
        <w:t> mg</w:t>
      </w:r>
      <w:r w:rsidRPr="00211E3B">
        <w:rPr>
          <w:sz w:val="22"/>
          <w:szCs w:val="22"/>
        </w:rPr>
        <w:t xml:space="preserve"> du kartus per parą </w:t>
      </w:r>
      <w:r w:rsidR="00322769" w:rsidRPr="00211E3B">
        <w:rPr>
          <w:sz w:val="22"/>
          <w:szCs w:val="22"/>
        </w:rPr>
        <w:t>maždaug</w:t>
      </w:r>
      <w:r w:rsidRPr="00211E3B">
        <w:rPr>
          <w:sz w:val="22"/>
          <w:szCs w:val="22"/>
        </w:rPr>
        <w:t xml:space="preserve"> kas 12</w:t>
      </w:r>
      <w:r w:rsidR="00322769" w:rsidRPr="00211E3B">
        <w:rPr>
          <w:sz w:val="22"/>
          <w:szCs w:val="22"/>
        </w:rPr>
        <w:t> </w:t>
      </w:r>
      <w:r w:rsidRPr="00211E3B">
        <w:rPr>
          <w:sz w:val="22"/>
          <w:szCs w:val="22"/>
        </w:rPr>
        <w:t>val</w:t>
      </w:r>
      <w:r w:rsidR="00322769" w:rsidRPr="00211E3B">
        <w:rPr>
          <w:sz w:val="22"/>
          <w:szCs w:val="22"/>
        </w:rPr>
        <w:t>andų</w:t>
      </w:r>
      <w:r w:rsidRPr="00211E3B">
        <w:rPr>
          <w:sz w:val="22"/>
          <w:szCs w:val="22"/>
        </w:rPr>
        <w:t>. Pacientams, kuriems yra lengvas kepenų</w:t>
      </w:r>
      <w:r w:rsidR="008A5D79" w:rsidRPr="00211E3B">
        <w:rPr>
          <w:sz w:val="22"/>
          <w:szCs w:val="22"/>
        </w:rPr>
        <w:t xml:space="preserve"> </w:t>
      </w:r>
      <w:r w:rsidRPr="00211E3B">
        <w:rPr>
          <w:sz w:val="22"/>
          <w:szCs w:val="22"/>
        </w:rPr>
        <w:t>funkcijos sutrikimas (</w:t>
      </w:r>
      <w:r w:rsidRPr="00211E3B">
        <w:rPr>
          <w:i/>
          <w:iCs/>
          <w:sz w:val="22"/>
          <w:szCs w:val="22"/>
        </w:rPr>
        <w:t>Child Pugh</w:t>
      </w:r>
      <w:r w:rsidRPr="00211E3B">
        <w:rPr>
          <w:sz w:val="22"/>
          <w:szCs w:val="22"/>
        </w:rPr>
        <w:t xml:space="preserve"> A), nepageidaujam</w:t>
      </w:r>
      <w:r w:rsidR="008A5D79" w:rsidRPr="00211E3B">
        <w:rPr>
          <w:sz w:val="22"/>
          <w:szCs w:val="22"/>
        </w:rPr>
        <w:t>oms</w:t>
      </w:r>
      <w:r w:rsidRPr="00211E3B">
        <w:rPr>
          <w:sz w:val="22"/>
          <w:szCs w:val="22"/>
        </w:rPr>
        <w:t xml:space="preserve"> reakcij</w:t>
      </w:r>
      <w:r w:rsidR="008A5D79" w:rsidRPr="00211E3B">
        <w:rPr>
          <w:sz w:val="22"/>
          <w:szCs w:val="22"/>
        </w:rPr>
        <w:t>oms</w:t>
      </w:r>
      <w:r w:rsidRPr="00211E3B">
        <w:rPr>
          <w:sz w:val="22"/>
          <w:szCs w:val="22"/>
        </w:rPr>
        <w:t xml:space="preserve"> </w:t>
      </w:r>
      <w:r w:rsidR="008A5D79" w:rsidRPr="00211E3B">
        <w:rPr>
          <w:sz w:val="22"/>
          <w:szCs w:val="22"/>
        </w:rPr>
        <w:t>kontroliuoti</w:t>
      </w:r>
      <w:r w:rsidRPr="00211E3B">
        <w:rPr>
          <w:sz w:val="22"/>
          <w:szCs w:val="22"/>
        </w:rPr>
        <w:t xml:space="preserve"> turi būti </w:t>
      </w:r>
      <w:r w:rsidR="008A5D79" w:rsidRPr="00211E3B">
        <w:rPr>
          <w:sz w:val="22"/>
          <w:szCs w:val="22"/>
        </w:rPr>
        <w:t xml:space="preserve">apsvarstytas </w:t>
      </w:r>
      <w:r w:rsidRPr="00211E3B">
        <w:rPr>
          <w:sz w:val="22"/>
          <w:szCs w:val="22"/>
        </w:rPr>
        <w:t xml:space="preserve">gydymo </w:t>
      </w:r>
      <w:r w:rsidR="008A5D79" w:rsidRPr="00211E3B">
        <w:rPr>
          <w:sz w:val="22"/>
          <w:szCs w:val="22"/>
        </w:rPr>
        <w:t>sustabdymas</w:t>
      </w:r>
      <w:r w:rsidRPr="00211E3B">
        <w:rPr>
          <w:sz w:val="22"/>
          <w:szCs w:val="22"/>
        </w:rPr>
        <w:t xml:space="preserve"> ar</w:t>
      </w:r>
      <w:r w:rsidR="008A5D79" w:rsidRPr="00211E3B">
        <w:rPr>
          <w:sz w:val="22"/>
          <w:szCs w:val="22"/>
        </w:rPr>
        <w:t>ba</w:t>
      </w:r>
      <w:r w:rsidRPr="00211E3B">
        <w:rPr>
          <w:sz w:val="22"/>
          <w:szCs w:val="22"/>
        </w:rPr>
        <w:t xml:space="preserve"> nutraukimas. Nintedanibo saugumo ir veiksmingumo tyrimų su pacientais,</w:t>
      </w:r>
      <w:r w:rsidR="008A5D79" w:rsidRPr="00211E3B">
        <w:rPr>
          <w:sz w:val="22"/>
          <w:szCs w:val="22"/>
        </w:rPr>
        <w:t xml:space="preserve"> </w:t>
      </w:r>
      <w:r w:rsidRPr="00211E3B">
        <w:rPr>
          <w:sz w:val="22"/>
          <w:szCs w:val="22"/>
        </w:rPr>
        <w:t>kuri</w:t>
      </w:r>
      <w:r w:rsidR="008A5D79" w:rsidRPr="00211E3B">
        <w:rPr>
          <w:sz w:val="22"/>
          <w:szCs w:val="22"/>
        </w:rPr>
        <w:t>ems yra</w:t>
      </w:r>
      <w:r w:rsidRPr="00211E3B">
        <w:rPr>
          <w:sz w:val="22"/>
          <w:szCs w:val="22"/>
        </w:rPr>
        <w:t xml:space="preserve"> </w:t>
      </w:r>
      <w:r w:rsidR="008A5D79" w:rsidRPr="00211E3B">
        <w:rPr>
          <w:i/>
          <w:iCs/>
          <w:sz w:val="22"/>
          <w:szCs w:val="22"/>
        </w:rPr>
        <w:t>Child Pugh</w:t>
      </w:r>
      <w:r w:rsidR="008A5D79" w:rsidRPr="00211E3B">
        <w:rPr>
          <w:sz w:val="22"/>
          <w:szCs w:val="22"/>
        </w:rPr>
        <w:t xml:space="preserve"> B arba C klasės </w:t>
      </w:r>
      <w:r w:rsidRPr="00211E3B">
        <w:rPr>
          <w:sz w:val="22"/>
          <w:szCs w:val="22"/>
        </w:rPr>
        <w:t xml:space="preserve">kepenų funkcijos sutrikimas, neatlikta. </w:t>
      </w:r>
      <w:r w:rsidR="008A5D79" w:rsidRPr="00211E3B">
        <w:rPr>
          <w:iCs/>
          <w:sz w:val="22"/>
          <w:szCs w:val="22"/>
        </w:rPr>
        <w:t>Pacientų, kuriems yra vidutinio sunkumo (</w:t>
      </w:r>
      <w:r w:rsidR="008A5D79" w:rsidRPr="00211E3B">
        <w:rPr>
          <w:i/>
          <w:sz w:val="22"/>
          <w:szCs w:val="22"/>
        </w:rPr>
        <w:t>Child Pugh</w:t>
      </w:r>
      <w:r w:rsidR="008A5D79" w:rsidRPr="00211E3B">
        <w:rPr>
          <w:iCs/>
          <w:sz w:val="22"/>
          <w:szCs w:val="22"/>
        </w:rPr>
        <w:t xml:space="preserve"> B) arba sunkus (</w:t>
      </w:r>
      <w:r w:rsidR="008A5D79" w:rsidRPr="00211E3B">
        <w:rPr>
          <w:i/>
          <w:sz w:val="22"/>
          <w:szCs w:val="22"/>
        </w:rPr>
        <w:t>Child Pugh</w:t>
      </w:r>
      <w:r w:rsidR="008A5D79" w:rsidRPr="00211E3B">
        <w:rPr>
          <w:iCs/>
          <w:sz w:val="22"/>
          <w:szCs w:val="22"/>
        </w:rPr>
        <w:t xml:space="preserve"> C) kepenų funkcijos sutrikimas</w:t>
      </w:r>
      <w:r w:rsidRPr="00211E3B">
        <w:rPr>
          <w:sz w:val="22"/>
          <w:szCs w:val="22"/>
        </w:rPr>
        <w:t>, Agarf gydyti nerekomenduojama (žr. 5.2</w:t>
      </w:r>
      <w:r w:rsidR="008A5D79" w:rsidRPr="00211E3B">
        <w:rPr>
          <w:sz w:val="22"/>
          <w:szCs w:val="22"/>
        </w:rPr>
        <w:t> </w:t>
      </w:r>
      <w:r w:rsidRPr="00211E3B">
        <w:rPr>
          <w:sz w:val="22"/>
          <w:szCs w:val="22"/>
        </w:rPr>
        <w:t>skyrių).</w:t>
      </w:r>
    </w:p>
    <w:p w14:paraId="1C4B66DA" w14:textId="77777777" w:rsidR="00AC2468" w:rsidRPr="00211E3B" w:rsidRDefault="00AC2468" w:rsidP="00F4282D">
      <w:pPr>
        <w:tabs>
          <w:tab w:val="left" w:pos="567"/>
        </w:tabs>
        <w:rPr>
          <w:sz w:val="22"/>
          <w:szCs w:val="22"/>
        </w:rPr>
      </w:pPr>
    </w:p>
    <w:p w14:paraId="133967E3" w14:textId="508F15FD" w:rsidR="00F4282D" w:rsidRPr="00211E3B" w:rsidRDefault="00F4282D" w:rsidP="00F4282D">
      <w:pPr>
        <w:tabs>
          <w:tab w:val="left" w:pos="567"/>
        </w:tabs>
        <w:rPr>
          <w:i/>
          <w:iCs/>
          <w:sz w:val="22"/>
          <w:szCs w:val="22"/>
        </w:rPr>
      </w:pPr>
      <w:r w:rsidRPr="00211E3B">
        <w:rPr>
          <w:i/>
          <w:iCs/>
          <w:sz w:val="22"/>
          <w:szCs w:val="22"/>
        </w:rPr>
        <w:t>Vaikų populiacija</w:t>
      </w:r>
    </w:p>
    <w:p w14:paraId="1C5337A0" w14:textId="02988646" w:rsidR="00F4282D" w:rsidRPr="00211E3B" w:rsidRDefault="008A5D79" w:rsidP="00F4282D">
      <w:pPr>
        <w:tabs>
          <w:tab w:val="left" w:pos="567"/>
        </w:tabs>
        <w:rPr>
          <w:sz w:val="22"/>
          <w:szCs w:val="22"/>
        </w:rPr>
      </w:pPr>
      <w:r w:rsidRPr="00211E3B">
        <w:rPr>
          <w:sz w:val="22"/>
          <w:szCs w:val="22"/>
        </w:rPr>
        <w:t>Nintedanibo</w:t>
      </w:r>
      <w:r w:rsidRPr="00211E3B">
        <w:rPr>
          <w:iCs/>
          <w:sz w:val="22"/>
          <w:szCs w:val="22"/>
        </w:rPr>
        <w:t xml:space="preserve"> vaikams vartoti negalima (žr. 4.8 ir 5.1 skyrius)</w:t>
      </w:r>
      <w:r w:rsidR="00F4282D" w:rsidRPr="00211E3B">
        <w:rPr>
          <w:sz w:val="22"/>
          <w:szCs w:val="22"/>
        </w:rPr>
        <w:t>.</w:t>
      </w:r>
    </w:p>
    <w:p w14:paraId="315BFC90" w14:textId="77777777" w:rsidR="00AC2468" w:rsidRPr="00211E3B" w:rsidRDefault="00AC2468" w:rsidP="00F4282D">
      <w:pPr>
        <w:tabs>
          <w:tab w:val="left" w:pos="567"/>
        </w:tabs>
        <w:rPr>
          <w:sz w:val="22"/>
          <w:szCs w:val="22"/>
        </w:rPr>
      </w:pPr>
    </w:p>
    <w:p w14:paraId="3F89A587" w14:textId="13B567CE" w:rsidR="00F4282D" w:rsidRPr="00211E3B" w:rsidRDefault="00F4282D" w:rsidP="00F4282D">
      <w:pPr>
        <w:tabs>
          <w:tab w:val="left" w:pos="567"/>
        </w:tabs>
        <w:rPr>
          <w:sz w:val="22"/>
          <w:szCs w:val="22"/>
          <w:u w:val="single"/>
        </w:rPr>
      </w:pPr>
      <w:r w:rsidRPr="00211E3B">
        <w:rPr>
          <w:sz w:val="22"/>
          <w:szCs w:val="22"/>
          <w:u w:val="single"/>
        </w:rPr>
        <w:t>Vartojimo metodas</w:t>
      </w:r>
    </w:p>
    <w:p w14:paraId="1A28F3EA" w14:textId="24A8016C" w:rsidR="007F5C08" w:rsidRPr="00211E3B" w:rsidRDefault="00F4282D" w:rsidP="007F5C08">
      <w:pPr>
        <w:tabs>
          <w:tab w:val="left" w:pos="567"/>
        </w:tabs>
        <w:rPr>
          <w:sz w:val="22"/>
          <w:szCs w:val="22"/>
        </w:rPr>
      </w:pPr>
      <w:r w:rsidRPr="00211E3B">
        <w:rPr>
          <w:sz w:val="22"/>
          <w:szCs w:val="22"/>
        </w:rPr>
        <w:t xml:space="preserve">Agarf </w:t>
      </w:r>
      <w:r w:rsidR="007F5C08" w:rsidRPr="00211E3B">
        <w:rPr>
          <w:sz w:val="22"/>
          <w:szCs w:val="22"/>
        </w:rPr>
        <w:t>kapsulės vartojamos per burną valgio metu. Reikia nuryti visą kapsulę užgeriant vandeniu. Kapsulės kramtyti negalima.</w:t>
      </w:r>
    </w:p>
    <w:p w14:paraId="30180B53" w14:textId="17D7D943" w:rsidR="005D554B" w:rsidRPr="00211E3B" w:rsidRDefault="007F5C08" w:rsidP="007F5C08">
      <w:pPr>
        <w:tabs>
          <w:tab w:val="left" w:pos="567"/>
        </w:tabs>
        <w:rPr>
          <w:snapToGrid w:val="0"/>
          <w:sz w:val="22"/>
          <w:szCs w:val="24"/>
        </w:rPr>
      </w:pPr>
      <w:r w:rsidRPr="00211E3B">
        <w:rPr>
          <w:sz w:val="22"/>
          <w:szCs w:val="22"/>
        </w:rPr>
        <w:t>Kapsulės negalima atidaryti ar traiškyti, kad būtų išvengta netyčinės ekspozicijos paimant kapsules (žr. 6.6 skyrių).</w:t>
      </w:r>
      <w:r w:rsidR="00F4282D" w:rsidRPr="00211E3B">
        <w:rPr>
          <w:sz w:val="22"/>
          <w:szCs w:val="22"/>
        </w:rPr>
        <w:cr/>
      </w:r>
    </w:p>
    <w:p w14:paraId="25773536" w14:textId="77777777" w:rsidR="005D554B" w:rsidRPr="00211E3B" w:rsidRDefault="005D554B" w:rsidP="005D554B">
      <w:pPr>
        <w:keepNext/>
        <w:tabs>
          <w:tab w:val="left" w:pos="567"/>
        </w:tabs>
        <w:spacing w:line="260" w:lineRule="exact"/>
        <w:jc w:val="both"/>
        <w:outlineLvl w:val="3"/>
        <w:rPr>
          <w:b/>
          <w:bCs/>
          <w:snapToGrid w:val="0"/>
          <w:sz w:val="22"/>
          <w:szCs w:val="28"/>
          <w:lang w:eastAsia="x-none"/>
        </w:rPr>
      </w:pPr>
      <w:r w:rsidRPr="00211E3B">
        <w:rPr>
          <w:b/>
          <w:bCs/>
          <w:snapToGrid w:val="0"/>
          <w:sz w:val="22"/>
          <w:szCs w:val="28"/>
          <w:lang w:eastAsia="x-none"/>
        </w:rPr>
        <w:t>4.3</w:t>
      </w:r>
      <w:r w:rsidRPr="00211E3B">
        <w:rPr>
          <w:b/>
          <w:bCs/>
          <w:snapToGrid w:val="0"/>
          <w:sz w:val="22"/>
          <w:szCs w:val="28"/>
          <w:lang w:eastAsia="x-none"/>
        </w:rPr>
        <w:tab/>
        <w:t>Kontraindikacijos</w:t>
      </w:r>
    </w:p>
    <w:p w14:paraId="69412C16" w14:textId="77777777" w:rsidR="005D554B" w:rsidRPr="00211E3B" w:rsidRDefault="005D554B" w:rsidP="005D554B">
      <w:pPr>
        <w:tabs>
          <w:tab w:val="left" w:pos="567"/>
        </w:tabs>
        <w:spacing w:line="260" w:lineRule="exact"/>
        <w:rPr>
          <w:snapToGrid w:val="0"/>
          <w:sz w:val="22"/>
          <w:szCs w:val="24"/>
        </w:rPr>
      </w:pPr>
    </w:p>
    <w:p w14:paraId="04452F2C" w14:textId="1B486E55" w:rsidR="005D554B" w:rsidRPr="00211E3B" w:rsidRDefault="00363A46" w:rsidP="005D554B">
      <w:pPr>
        <w:tabs>
          <w:tab w:val="left" w:pos="567"/>
        </w:tabs>
        <w:spacing w:line="260" w:lineRule="exact"/>
        <w:rPr>
          <w:snapToGrid w:val="0"/>
          <w:sz w:val="22"/>
          <w:szCs w:val="24"/>
        </w:rPr>
      </w:pPr>
      <w:r w:rsidRPr="00211E3B">
        <w:rPr>
          <w:snapToGrid w:val="0"/>
          <w:sz w:val="22"/>
          <w:szCs w:val="24"/>
        </w:rPr>
        <w:t>P</w:t>
      </w:r>
      <w:r w:rsidR="005D554B" w:rsidRPr="00211E3B">
        <w:rPr>
          <w:snapToGrid w:val="0"/>
          <w:sz w:val="22"/>
          <w:szCs w:val="24"/>
        </w:rPr>
        <w:t>adidėjęs jautrumas veikliajai arba bet kuriai 6.1</w:t>
      </w:r>
      <w:r w:rsidRPr="00211E3B">
        <w:rPr>
          <w:snapToGrid w:val="0"/>
          <w:sz w:val="22"/>
          <w:szCs w:val="24"/>
        </w:rPr>
        <w:t> </w:t>
      </w:r>
      <w:r w:rsidR="005D554B" w:rsidRPr="00211E3B">
        <w:rPr>
          <w:snapToGrid w:val="0"/>
          <w:sz w:val="22"/>
          <w:szCs w:val="24"/>
        </w:rPr>
        <w:t>skyriuje nurodytai pagalbinei medžiagai</w:t>
      </w:r>
      <w:r w:rsidRPr="00211E3B">
        <w:rPr>
          <w:snapToGrid w:val="0"/>
          <w:sz w:val="22"/>
          <w:szCs w:val="24"/>
        </w:rPr>
        <w:t>.</w:t>
      </w:r>
    </w:p>
    <w:p w14:paraId="5968FC98" w14:textId="52BD3D8F" w:rsidR="008B46FF" w:rsidRPr="00211E3B" w:rsidRDefault="008B46FF" w:rsidP="005D554B">
      <w:pPr>
        <w:tabs>
          <w:tab w:val="left" w:pos="567"/>
        </w:tabs>
        <w:spacing w:line="260" w:lineRule="exact"/>
        <w:rPr>
          <w:snapToGrid w:val="0"/>
          <w:sz w:val="22"/>
          <w:szCs w:val="24"/>
        </w:rPr>
      </w:pPr>
      <w:r w:rsidRPr="00211E3B">
        <w:rPr>
          <w:snapToGrid w:val="0"/>
          <w:sz w:val="22"/>
          <w:szCs w:val="24"/>
        </w:rPr>
        <w:t>Nėštumas (žr. 4.6 skyrių).</w:t>
      </w:r>
    </w:p>
    <w:p w14:paraId="6D2F6307" w14:textId="77777777" w:rsidR="005D554B" w:rsidRPr="00211E3B" w:rsidRDefault="005D554B" w:rsidP="005D554B">
      <w:pPr>
        <w:tabs>
          <w:tab w:val="left" w:pos="567"/>
        </w:tabs>
        <w:spacing w:line="260" w:lineRule="exact"/>
        <w:rPr>
          <w:snapToGrid w:val="0"/>
          <w:sz w:val="22"/>
          <w:szCs w:val="24"/>
        </w:rPr>
      </w:pPr>
    </w:p>
    <w:p w14:paraId="4DF6FEA6" w14:textId="77777777" w:rsidR="005D554B" w:rsidRPr="00211E3B" w:rsidRDefault="005D554B" w:rsidP="005D554B">
      <w:pPr>
        <w:tabs>
          <w:tab w:val="left" w:pos="567"/>
        </w:tabs>
        <w:spacing w:line="260" w:lineRule="exact"/>
        <w:rPr>
          <w:snapToGrid w:val="0"/>
          <w:sz w:val="22"/>
        </w:rPr>
      </w:pPr>
      <w:r w:rsidRPr="00211E3B">
        <w:rPr>
          <w:b/>
          <w:snapToGrid w:val="0"/>
          <w:sz w:val="22"/>
        </w:rPr>
        <w:lastRenderedPageBreak/>
        <w:t>4.4</w:t>
      </w:r>
      <w:r w:rsidRPr="00211E3B">
        <w:rPr>
          <w:b/>
          <w:snapToGrid w:val="0"/>
          <w:sz w:val="22"/>
        </w:rPr>
        <w:tab/>
        <w:t>Specialūs įspėjimai ir atsargumo priemonės</w:t>
      </w:r>
    </w:p>
    <w:p w14:paraId="179410EE" w14:textId="77777777" w:rsidR="005D554B" w:rsidRPr="00211E3B" w:rsidRDefault="005D554B" w:rsidP="005D554B">
      <w:pPr>
        <w:tabs>
          <w:tab w:val="left" w:pos="567"/>
        </w:tabs>
        <w:spacing w:line="260" w:lineRule="exact"/>
        <w:rPr>
          <w:snapToGrid w:val="0"/>
          <w:sz w:val="22"/>
        </w:rPr>
      </w:pPr>
    </w:p>
    <w:p w14:paraId="37995F2C" w14:textId="77777777" w:rsidR="00D14568" w:rsidRPr="00211E3B" w:rsidRDefault="00D14568" w:rsidP="00D14568">
      <w:pPr>
        <w:tabs>
          <w:tab w:val="left" w:pos="567"/>
        </w:tabs>
        <w:spacing w:line="260" w:lineRule="exact"/>
        <w:rPr>
          <w:snapToGrid w:val="0"/>
          <w:sz w:val="22"/>
          <w:u w:val="single"/>
        </w:rPr>
      </w:pPr>
      <w:r w:rsidRPr="00211E3B">
        <w:rPr>
          <w:snapToGrid w:val="0"/>
          <w:sz w:val="22"/>
          <w:u w:val="single"/>
        </w:rPr>
        <w:t>Virškinimo trakto sutrikimai</w:t>
      </w:r>
    </w:p>
    <w:p w14:paraId="4EC0A463" w14:textId="77777777" w:rsidR="0081379F" w:rsidRPr="00211E3B" w:rsidRDefault="0081379F" w:rsidP="0081379F">
      <w:pPr>
        <w:tabs>
          <w:tab w:val="left" w:pos="567"/>
        </w:tabs>
        <w:spacing w:line="260" w:lineRule="exact"/>
        <w:rPr>
          <w:i/>
          <w:iCs/>
          <w:snapToGrid w:val="0"/>
          <w:sz w:val="22"/>
        </w:rPr>
      </w:pPr>
      <w:r w:rsidRPr="00211E3B">
        <w:rPr>
          <w:i/>
          <w:iCs/>
          <w:snapToGrid w:val="0"/>
          <w:sz w:val="22"/>
        </w:rPr>
        <w:t>Viduriavimas</w:t>
      </w:r>
    </w:p>
    <w:p w14:paraId="4F6F54BD" w14:textId="77777777" w:rsidR="0081379F" w:rsidRPr="00211E3B" w:rsidRDefault="0081379F" w:rsidP="0081379F">
      <w:pPr>
        <w:tabs>
          <w:tab w:val="left" w:pos="567"/>
        </w:tabs>
        <w:spacing w:line="260" w:lineRule="exact"/>
        <w:rPr>
          <w:snapToGrid w:val="0"/>
          <w:sz w:val="22"/>
        </w:rPr>
      </w:pPr>
      <w:r w:rsidRPr="00211E3B">
        <w:rPr>
          <w:snapToGrid w:val="0"/>
          <w:sz w:val="22"/>
        </w:rPr>
        <w:t>Klinikinių tyrimų (žr. 5.1 skyrių) metu viduriavimas buvo dažniausiai pranešta virškinimo trakto nepageidaujama reakcija (žr. 4.8 skyrių). Daugumai pacientų ši nepageidaujama reakcija buvo lengva arba vidutinio sunkumo ir pasireiškė pirmaisiais 3 gydymo mėnesiais.</w:t>
      </w:r>
    </w:p>
    <w:p w14:paraId="7D12AA47" w14:textId="77777777" w:rsidR="0081379F" w:rsidRPr="00211E3B" w:rsidRDefault="0081379F" w:rsidP="0081379F">
      <w:pPr>
        <w:tabs>
          <w:tab w:val="left" w:pos="567"/>
        </w:tabs>
        <w:spacing w:line="260" w:lineRule="exact"/>
        <w:rPr>
          <w:snapToGrid w:val="0"/>
          <w:sz w:val="22"/>
        </w:rPr>
      </w:pPr>
    </w:p>
    <w:p w14:paraId="2F2E8FC5" w14:textId="50F7F53C" w:rsidR="00F17A08" w:rsidRPr="00211E3B" w:rsidRDefault="0081379F" w:rsidP="00F17A08">
      <w:pPr>
        <w:tabs>
          <w:tab w:val="left" w:pos="567"/>
        </w:tabs>
        <w:spacing w:line="260" w:lineRule="exact"/>
        <w:rPr>
          <w:snapToGrid w:val="0"/>
          <w:sz w:val="22"/>
        </w:rPr>
      </w:pPr>
      <w:r w:rsidRPr="00211E3B">
        <w:rPr>
          <w:snapToGrid w:val="0"/>
          <w:sz w:val="22"/>
        </w:rPr>
        <w:t xml:space="preserve">Po </w:t>
      </w:r>
      <w:r w:rsidRPr="00211E3B">
        <w:rPr>
          <w:iCs/>
          <w:sz w:val="22"/>
          <w:szCs w:val="22"/>
        </w:rPr>
        <w:t>nintedanibo</w:t>
      </w:r>
      <w:r w:rsidRPr="00211E3B">
        <w:rPr>
          <w:snapToGrid w:val="0"/>
          <w:sz w:val="22"/>
        </w:rPr>
        <w:t xml:space="preserve"> pateikimo į rinką gauta pranešimų apie sunkius viduriavimo atvejus, sukėlusius dehidrataciją ir elektrolitų pusiausvyros sutrikimus. </w:t>
      </w:r>
      <w:r w:rsidR="003F36C0" w:rsidRPr="00211E3B">
        <w:rPr>
          <w:snapToGrid w:val="0"/>
          <w:sz w:val="22"/>
        </w:rPr>
        <w:t>Pacientus</w:t>
      </w:r>
      <w:r w:rsidR="00D14568" w:rsidRPr="00211E3B">
        <w:rPr>
          <w:snapToGrid w:val="0"/>
          <w:sz w:val="22"/>
        </w:rPr>
        <w:t xml:space="preserve"> reikia gydyti nuo </w:t>
      </w:r>
      <w:r w:rsidR="00D14568" w:rsidRPr="00577196">
        <w:rPr>
          <w:snapToGrid w:val="0"/>
          <w:sz w:val="22"/>
        </w:rPr>
        <w:t xml:space="preserve">pirmųjų </w:t>
      </w:r>
      <w:r w:rsidR="00577196">
        <w:rPr>
          <w:snapToGrid w:val="0"/>
          <w:sz w:val="22"/>
        </w:rPr>
        <w:t>viduriavimo</w:t>
      </w:r>
      <w:r w:rsidR="00D14568" w:rsidRPr="00211E3B">
        <w:rPr>
          <w:snapToGrid w:val="0"/>
          <w:sz w:val="22"/>
        </w:rPr>
        <w:t xml:space="preserve"> požymių atsiradimo, užtikrinant pakankamą hidrataciją ir skiriant vaistinių preparatų nuo viduriavimo, pvz., loperamido; gali </w:t>
      </w:r>
      <w:r w:rsidR="00FA00A3" w:rsidRPr="00211E3B">
        <w:rPr>
          <w:snapToGrid w:val="0"/>
          <w:sz w:val="22"/>
        </w:rPr>
        <w:t xml:space="preserve">tekti </w:t>
      </w:r>
      <w:r w:rsidR="00D14568" w:rsidRPr="00211E3B">
        <w:rPr>
          <w:snapToGrid w:val="0"/>
          <w:sz w:val="22"/>
        </w:rPr>
        <w:t xml:space="preserve">sumažinti </w:t>
      </w:r>
      <w:r w:rsidR="003F36C0" w:rsidRPr="00211E3B">
        <w:rPr>
          <w:snapToGrid w:val="0"/>
          <w:sz w:val="22"/>
        </w:rPr>
        <w:t xml:space="preserve">nintedanibo </w:t>
      </w:r>
      <w:r w:rsidR="00D14568" w:rsidRPr="00211E3B">
        <w:rPr>
          <w:snapToGrid w:val="0"/>
          <w:sz w:val="22"/>
        </w:rPr>
        <w:t>dozę ar</w:t>
      </w:r>
      <w:r w:rsidR="003F36C0" w:rsidRPr="00211E3B">
        <w:rPr>
          <w:snapToGrid w:val="0"/>
          <w:sz w:val="22"/>
        </w:rPr>
        <w:t>ba</w:t>
      </w:r>
      <w:r w:rsidR="00D14568" w:rsidRPr="00211E3B">
        <w:rPr>
          <w:snapToGrid w:val="0"/>
          <w:sz w:val="22"/>
        </w:rPr>
        <w:t xml:space="preserve"> </w:t>
      </w:r>
      <w:r w:rsidR="003F36C0" w:rsidRPr="00211E3B">
        <w:rPr>
          <w:snapToGrid w:val="0"/>
          <w:sz w:val="22"/>
        </w:rPr>
        <w:t>sustabdyti</w:t>
      </w:r>
      <w:r w:rsidR="00D14568" w:rsidRPr="00211E3B">
        <w:rPr>
          <w:snapToGrid w:val="0"/>
          <w:sz w:val="22"/>
        </w:rPr>
        <w:t xml:space="preserve"> </w:t>
      </w:r>
      <w:r w:rsidR="003F36C0" w:rsidRPr="00211E3B">
        <w:rPr>
          <w:snapToGrid w:val="0"/>
          <w:sz w:val="22"/>
        </w:rPr>
        <w:t>jo vartojimą</w:t>
      </w:r>
      <w:r w:rsidR="00FA00A3" w:rsidRPr="00211E3B">
        <w:rPr>
          <w:snapToGrid w:val="0"/>
          <w:sz w:val="22"/>
        </w:rPr>
        <w:t xml:space="preserve"> </w:t>
      </w:r>
      <w:r w:rsidR="00D14568" w:rsidRPr="00211E3B">
        <w:rPr>
          <w:snapToGrid w:val="0"/>
          <w:sz w:val="22"/>
        </w:rPr>
        <w:t>(žr. 4.2</w:t>
      </w:r>
      <w:r w:rsidR="00FA00A3" w:rsidRPr="00211E3B">
        <w:rPr>
          <w:snapToGrid w:val="0"/>
          <w:sz w:val="22"/>
        </w:rPr>
        <w:t> </w:t>
      </w:r>
      <w:r w:rsidR="00D14568" w:rsidRPr="00211E3B">
        <w:rPr>
          <w:snapToGrid w:val="0"/>
          <w:sz w:val="22"/>
        </w:rPr>
        <w:t>skyrių</w:t>
      </w:r>
      <w:r w:rsidR="003F36C0" w:rsidRPr="00211E3B">
        <w:rPr>
          <w:snapToGrid w:val="0"/>
          <w:sz w:val="22"/>
        </w:rPr>
        <w:t xml:space="preserve"> „Dozės koregavimas“</w:t>
      </w:r>
      <w:r w:rsidR="00D14568" w:rsidRPr="00211E3B">
        <w:rPr>
          <w:snapToGrid w:val="0"/>
          <w:sz w:val="22"/>
        </w:rPr>
        <w:t>).</w:t>
      </w:r>
      <w:r w:rsidR="00F17A08" w:rsidRPr="00211E3B">
        <w:t xml:space="preserve"> </w:t>
      </w:r>
      <w:r w:rsidR="00F17A08" w:rsidRPr="00211E3B">
        <w:rPr>
          <w:snapToGrid w:val="0"/>
          <w:sz w:val="22"/>
        </w:rPr>
        <w:t>Jei sunkus viduriavimas išlieka nepaisant simptominio gydymo, Agarf vartojimą reikia nutraukti.</w:t>
      </w:r>
    </w:p>
    <w:p w14:paraId="1D14AFA6" w14:textId="77777777" w:rsidR="00F17A08" w:rsidRPr="00211E3B" w:rsidRDefault="00F17A08" w:rsidP="00F17A08">
      <w:pPr>
        <w:tabs>
          <w:tab w:val="left" w:pos="567"/>
        </w:tabs>
        <w:spacing w:line="260" w:lineRule="exact"/>
        <w:rPr>
          <w:snapToGrid w:val="0"/>
          <w:sz w:val="22"/>
        </w:rPr>
      </w:pPr>
    </w:p>
    <w:p w14:paraId="284E3689" w14:textId="77777777" w:rsidR="00F17A08" w:rsidRPr="00211E3B" w:rsidRDefault="00F17A08" w:rsidP="00F17A08">
      <w:pPr>
        <w:tabs>
          <w:tab w:val="left" w:pos="567"/>
        </w:tabs>
        <w:spacing w:line="260" w:lineRule="exact"/>
        <w:rPr>
          <w:i/>
          <w:iCs/>
          <w:snapToGrid w:val="0"/>
          <w:sz w:val="22"/>
        </w:rPr>
      </w:pPr>
      <w:r w:rsidRPr="00211E3B">
        <w:rPr>
          <w:i/>
          <w:iCs/>
          <w:snapToGrid w:val="0"/>
          <w:sz w:val="22"/>
        </w:rPr>
        <w:t>Pykinimas ir vėmimas</w:t>
      </w:r>
    </w:p>
    <w:p w14:paraId="2AB47857" w14:textId="5FF6B1C7" w:rsidR="00F17A08" w:rsidRPr="00211E3B" w:rsidRDefault="00D74476" w:rsidP="00F17A08">
      <w:pPr>
        <w:tabs>
          <w:tab w:val="left" w:pos="567"/>
        </w:tabs>
        <w:spacing w:line="260" w:lineRule="exact"/>
        <w:rPr>
          <w:snapToGrid w:val="0"/>
          <w:sz w:val="22"/>
        </w:rPr>
      </w:pPr>
      <w:r w:rsidRPr="00211E3B">
        <w:rPr>
          <w:snapToGrid w:val="0"/>
          <w:sz w:val="22"/>
        </w:rPr>
        <w:t>Pykinimas ir vėmimas buvo d</w:t>
      </w:r>
      <w:r w:rsidR="00F17A08" w:rsidRPr="00211E3B">
        <w:rPr>
          <w:snapToGrid w:val="0"/>
          <w:sz w:val="22"/>
        </w:rPr>
        <w:t xml:space="preserve">ažnai </w:t>
      </w:r>
      <w:r w:rsidRPr="00211E3B">
        <w:rPr>
          <w:snapToGrid w:val="0"/>
          <w:sz w:val="22"/>
        </w:rPr>
        <w:t>praneštos</w:t>
      </w:r>
      <w:r w:rsidR="00F17A08" w:rsidRPr="00211E3B">
        <w:rPr>
          <w:snapToGrid w:val="0"/>
          <w:sz w:val="22"/>
        </w:rPr>
        <w:t xml:space="preserve"> nepageidaujamos virškinimo trakto reakcijos (žr.</w:t>
      </w:r>
      <w:r w:rsidRPr="00211E3B">
        <w:rPr>
          <w:snapToGrid w:val="0"/>
          <w:sz w:val="22"/>
        </w:rPr>
        <w:t xml:space="preserve"> </w:t>
      </w:r>
      <w:r w:rsidR="00F17A08" w:rsidRPr="00211E3B">
        <w:rPr>
          <w:snapToGrid w:val="0"/>
          <w:sz w:val="22"/>
        </w:rPr>
        <w:t>4.8</w:t>
      </w:r>
      <w:r w:rsidRPr="00211E3B">
        <w:rPr>
          <w:snapToGrid w:val="0"/>
          <w:sz w:val="22"/>
        </w:rPr>
        <w:t> </w:t>
      </w:r>
      <w:r w:rsidR="00F17A08" w:rsidRPr="00211E3B">
        <w:rPr>
          <w:snapToGrid w:val="0"/>
          <w:sz w:val="22"/>
        </w:rPr>
        <w:t xml:space="preserve">skyrių). Daugumai pacientų pykinimas ir vėmimas buvo lengvi arba vidutinio </w:t>
      </w:r>
      <w:r w:rsidRPr="00211E3B">
        <w:rPr>
          <w:snapToGrid w:val="0"/>
          <w:sz w:val="22"/>
        </w:rPr>
        <w:t>sunkumo</w:t>
      </w:r>
      <w:r w:rsidR="00F17A08" w:rsidRPr="00211E3B">
        <w:rPr>
          <w:snapToGrid w:val="0"/>
          <w:sz w:val="22"/>
        </w:rPr>
        <w:t>. Klinikinių</w:t>
      </w:r>
      <w:r w:rsidRPr="00211E3B">
        <w:rPr>
          <w:snapToGrid w:val="0"/>
          <w:sz w:val="22"/>
        </w:rPr>
        <w:t xml:space="preserve"> </w:t>
      </w:r>
      <w:r w:rsidR="00F17A08" w:rsidRPr="00211E3B">
        <w:rPr>
          <w:snapToGrid w:val="0"/>
          <w:sz w:val="22"/>
        </w:rPr>
        <w:t xml:space="preserve">tyrimų metu dėl pykinimo </w:t>
      </w:r>
      <w:r w:rsidRPr="00211E3B">
        <w:rPr>
          <w:snapToGrid w:val="0"/>
          <w:sz w:val="22"/>
        </w:rPr>
        <w:t>Agarf</w:t>
      </w:r>
      <w:r w:rsidR="00F17A08" w:rsidRPr="00211E3B">
        <w:rPr>
          <w:snapToGrid w:val="0"/>
          <w:sz w:val="22"/>
        </w:rPr>
        <w:t xml:space="preserve"> vartojimą teko nutraukti iki 2,1</w:t>
      </w:r>
      <w:r w:rsidR="0085390D">
        <w:rPr>
          <w:snapToGrid w:val="0"/>
          <w:sz w:val="22"/>
        </w:rPr>
        <w:t> %</w:t>
      </w:r>
      <w:r w:rsidR="00F17A08" w:rsidRPr="00211E3B">
        <w:rPr>
          <w:snapToGrid w:val="0"/>
          <w:sz w:val="22"/>
        </w:rPr>
        <w:t xml:space="preserve"> pacientų, o dėl vėmimo ‒ iki 1,4</w:t>
      </w:r>
      <w:r w:rsidR="0085390D">
        <w:rPr>
          <w:snapToGrid w:val="0"/>
          <w:sz w:val="22"/>
        </w:rPr>
        <w:t> %</w:t>
      </w:r>
      <w:r w:rsidRPr="00211E3B">
        <w:rPr>
          <w:snapToGrid w:val="0"/>
          <w:sz w:val="22"/>
        </w:rPr>
        <w:t xml:space="preserve"> </w:t>
      </w:r>
      <w:r w:rsidR="00F17A08" w:rsidRPr="00211E3B">
        <w:rPr>
          <w:snapToGrid w:val="0"/>
          <w:sz w:val="22"/>
        </w:rPr>
        <w:t>pacientų.</w:t>
      </w:r>
    </w:p>
    <w:p w14:paraId="620AB86C" w14:textId="77777777" w:rsidR="00D74476" w:rsidRPr="00211E3B" w:rsidRDefault="00D74476" w:rsidP="00F17A08">
      <w:pPr>
        <w:tabs>
          <w:tab w:val="left" w:pos="567"/>
        </w:tabs>
        <w:spacing w:line="260" w:lineRule="exact"/>
        <w:rPr>
          <w:snapToGrid w:val="0"/>
          <w:sz w:val="22"/>
        </w:rPr>
      </w:pPr>
    </w:p>
    <w:p w14:paraId="0702EFF3" w14:textId="6D528A47" w:rsidR="00D74476" w:rsidRPr="00211E3B" w:rsidRDefault="00F17A08" w:rsidP="00D74476">
      <w:pPr>
        <w:tabs>
          <w:tab w:val="left" w:pos="567"/>
        </w:tabs>
        <w:spacing w:line="260" w:lineRule="exact"/>
        <w:rPr>
          <w:snapToGrid w:val="0"/>
          <w:sz w:val="22"/>
        </w:rPr>
      </w:pPr>
      <w:r w:rsidRPr="00211E3B">
        <w:rPr>
          <w:snapToGrid w:val="0"/>
          <w:sz w:val="22"/>
        </w:rPr>
        <w:t xml:space="preserve">Jei </w:t>
      </w:r>
      <w:r w:rsidR="00D74476" w:rsidRPr="00211E3B">
        <w:rPr>
          <w:snapToGrid w:val="0"/>
          <w:sz w:val="22"/>
        </w:rPr>
        <w:t xml:space="preserve">simptomų išlieka </w:t>
      </w:r>
      <w:r w:rsidRPr="00211E3B">
        <w:rPr>
          <w:snapToGrid w:val="0"/>
          <w:sz w:val="22"/>
        </w:rPr>
        <w:t>nepaisant tinkamo palaikomojo gydymo (įskaitant vėmimą slopinantį gydymą),</w:t>
      </w:r>
      <w:r w:rsidR="00D74476" w:rsidRPr="00211E3B">
        <w:rPr>
          <w:snapToGrid w:val="0"/>
          <w:sz w:val="22"/>
        </w:rPr>
        <w:t xml:space="preserve"> </w:t>
      </w:r>
      <w:r w:rsidR="00D74476" w:rsidRPr="00211E3B">
        <w:rPr>
          <w:sz w:val="22"/>
          <w:szCs w:val="22"/>
        </w:rPr>
        <w:t>gali prireikti sumažinti dozę ar sustabdyti gydymą</w:t>
      </w:r>
      <w:r w:rsidRPr="00211E3B">
        <w:rPr>
          <w:snapToGrid w:val="0"/>
          <w:sz w:val="22"/>
        </w:rPr>
        <w:t xml:space="preserve">. Gydymas </w:t>
      </w:r>
      <w:r w:rsidR="00D74476" w:rsidRPr="00211E3B">
        <w:rPr>
          <w:snapToGrid w:val="0"/>
          <w:sz w:val="22"/>
        </w:rPr>
        <w:t>Agarf</w:t>
      </w:r>
      <w:r w:rsidRPr="00211E3B">
        <w:rPr>
          <w:snapToGrid w:val="0"/>
          <w:sz w:val="22"/>
        </w:rPr>
        <w:t xml:space="preserve"> gali būti atnaujintas sumažinta doze</w:t>
      </w:r>
      <w:r w:rsidR="00D74476" w:rsidRPr="00211E3B">
        <w:rPr>
          <w:snapToGrid w:val="0"/>
          <w:sz w:val="22"/>
        </w:rPr>
        <w:t xml:space="preserve"> </w:t>
      </w:r>
      <w:r w:rsidRPr="00211E3B">
        <w:rPr>
          <w:snapToGrid w:val="0"/>
          <w:sz w:val="22"/>
        </w:rPr>
        <w:t xml:space="preserve">arba visa doze </w:t>
      </w:r>
      <w:r w:rsidR="00D74476" w:rsidRPr="00211E3B">
        <w:rPr>
          <w:snapToGrid w:val="0"/>
          <w:sz w:val="22"/>
        </w:rPr>
        <w:t>(žr. 4.2 skyrių „Dozės koregavimas“)</w:t>
      </w:r>
      <w:r w:rsidRPr="00211E3B">
        <w:rPr>
          <w:snapToGrid w:val="0"/>
          <w:sz w:val="22"/>
        </w:rPr>
        <w:t xml:space="preserve">. </w:t>
      </w:r>
      <w:r w:rsidR="00D74476" w:rsidRPr="00211E3B">
        <w:rPr>
          <w:snapToGrid w:val="0"/>
          <w:sz w:val="22"/>
        </w:rPr>
        <w:t>Jei sunkūs simptomai išlieka nepaisant simptominio gydymo, Agarf vartojimą reikia nutraukti.</w:t>
      </w:r>
    </w:p>
    <w:p w14:paraId="61F75CDA" w14:textId="16BC0091" w:rsidR="00D74476" w:rsidRPr="00211E3B" w:rsidRDefault="00D74476" w:rsidP="00D74476">
      <w:pPr>
        <w:tabs>
          <w:tab w:val="left" w:pos="567"/>
        </w:tabs>
        <w:spacing w:line="260" w:lineRule="exact"/>
        <w:rPr>
          <w:snapToGrid w:val="0"/>
          <w:sz w:val="22"/>
        </w:rPr>
      </w:pPr>
    </w:p>
    <w:p w14:paraId="425D309B" w14:textId="77777777" w:rsidR="00F17A08" w:rsidRPr="00211E3B" w:rsidRDefault="00F17A08" w:rsidP="00F17A08">
      <w:pPr>
        <w:tabs>
          <w:tab w:val="left" w:pos="567"/>
        </w:tabs>
        <w:spacing w:line="260" w:lineRule="exact"/>
        <w:rPr>
          <w:snapToGrid w:val="0"/>
          <w:sz w:val="22"/>
          <w:u w:val="single"/>
        </w:rPr>
      </w:pPr>
      <w:r w:rsidRPr="00211E3B">
        <w:rPr>
          <w:snapToGrid w:val="0"/>
          <w:sz w:val="22"/>
          <w:u w:val="single"/>
        </w:rPr>
        <w:t>Kepenų funkcija</w:t>
      </w:r>
    </w:p>
    <w:p w14:paraId="2C2A0BD8" w14:textId="1A2BA9D1" w:rsidR="00F17A08" w:rsidRPr="00211E3B" w:rsidRDefault="00D74476" w:rsidP="00F17A08">
      <w:pPr>
        <w:tabs>
          <w:tab w:val="left" w:pos="567"/>
        </w:tabs>
        <w:spacing w:line="260" w:lineRule="exact"/>
        <w:rPr>
          <w:snapToGrid w:val="0"/>
          <w:sz w:val="22"/>
        </w:rPr>
      </w:pPr>
      <w:r w:rsidRPr="00211E3B">
        <w:rPr>
          <w:snapToGrid w:val="0"/>
          <w:sz w:val="22"/>
        </w:rPr>
        <w:t>Agarf</w:t>
      </w:r>
      <w:r w:rsidR="00F17A08" w:rsidRPr="00211E3B">
        <w:rPr>
          <w:snapToGrid w:val="0"/>
          <w:sz w:val="22"/>
        </w:rPr>
        <w:t xml:space="preserve"> saugumas ir veiksmingumas pacientams, kuriems yra vidutinio sunkumo (</w:t>
      </w:r>
      <w:r w:rsidR="00F17A08" w:rsidRPr="00211E3B">
        <w:rPr>
          <w:i/>
          <w:iCs/>
          <w:snapToGrid w:val="0"/>
          <w:sz w:val="22"/>
        </w:rPr>
        <w:t>Child Pugh</w:t>
      </w:r>
      <w:r w:rsidR="00F17A08" w:rsidRPr="00211E3B">
        <w:rPr>
          <w:snapToGrid w:val="0"/>
          <w:sz w:val="22"/>
        </w:rPr>
        <w:t xml:space="preserve"> B) ar</w:t>
      </w:r>
      <w:r w:rsidR="007C175B" w:rsidRPr="00211E3B">
        <w:rPr>
          <w:snapToGrid w:val="0"/>
          <w:sz w:val="22"/>
        </w:rPr>
        <w:t xml:space="preserve"> </w:t>
      </w:r>
      <w:r w:rsidR="00F17A08" w:rsidRPr="00211E3B">
        <w:rPr>
          <w:snapToGrid w:val="0"/>
          <w:sz w:val="22"/>
        </w:rPr>
        <w:t>sunkus (</w:t>
      </w:r>
      <w:r w:rsidR="00F17A08" w:rsidRPr="00211E3B">
        <w:rPr>
          <w:i/>
          <w:iCs/>
          <w:snapToGrid w:val="0"/>
          <w:sz w:val="22"/>
        </w:rPr>
        <w:t>Child Pugh</w:t>
      </w:r>
      <w:r w:rsidR="00F17A08" w:rsidRPr="00211E3B">
        <w:rPr>
          <w:snapToGrid w:val="0"/>
          <w:sz w:val="22"/>
        </w:rPr>
        <w:t xml:space="preserve"> C) kepenų funkcijos sutrikimas, netirtas. </w:t>
      </w:r>
      <w:r w:rsidR="007C175B" w:rsidRPr="00211E3B">
        <w:rPr>
          <w:snapToGrid w:val="0"/>
          <w:sz w:val="22"/>
        </w:rPr>
        <w:t>Dėl to</w:t>
      </w:r>
      <w:r w:rsidR="00F17A08" w:rsidRPr="00211E3B">
        <w:rPr>
          <w:snapToGrid w:val="0"/>
          <w:sz w:val="22"/>
        </w:rPr>
        <w:t xml:space="preserve"> tokių pacientų </w:t>
      </w:r>
      <w:r w:rsidR="007C175B" w:rsidRPr="00211E3B">
        <w:rPr>
          <w:snapToGrid w:val="0"/>
          <w:sz w:val="22"/>
        </w:rPr>
        <w:t xml:space="preserve">Agarf </w:t>
      </w:r>
      <w:r w:rsidR="00F17A08" w:rsidRPr="00211E3B">
        <w:rPr>
          <w:snapToGrid w:val="0"/>
          <w:sz w:val="22"/>
        </w:rPr>
        <w:t xml:space="preserve">gydyti </w:t>
      </w:r>
      <w:r w:rsidR="007C175B" w:rsidRPr="00211E3B">
        <w:rPr>
          <w:snapToGrid w:val="0"/>
          <w:sz w:val="22"/>
        </w:rPr>
        <w:t xml:space="preserve">nerekomenduojama </w:t>
      </w:r>
      <w:r w:rsidR="00F17A08" w:rsidRPr="00211E3B">
        <w:rPr>
          <w:snapToGrid w:val="0"/>
          <w:sz w:val="22"/>
        </w:rPr>
        <w:t>(žr. 4.2</w:t>
      </w:r>
      <w:r w:rsidR="007C175B" w:rsidRPr="00211E3B">
        <w:rPr>
          <w:snapToGrid w:val="0"/>
          <w:sz w:val="22"/>
        </w:rPr>
        <w:t> </w:t>
      </w:r>
      <w:r w:rsidR="00F17A08" w:rsidRPr="00211E3B">
        <w:rPr>
          <w:snapToGrid w:val="0"/>
          <w:sz w:val="22"/>
        </w:rPr>
        <w:t>skyrių). Dėl padidėjusios ekspozicijos pacientams, kuriems yra lengvas kepenų</w:t>
      </w:r>
      <w:r w:rsidR="007C175B" w:rsidRPr="00211E3B">
        <w:rPr>
          <w:snapToGrid w:val="0"/>
          <w:sz w:val="22"/>
        </w:rPr>
        <w:t xml:space="preserve"> </w:t>
      </w:r>
      <w:r w:rsidR="00F17A08" w:rsidRPr="00211E3B">
        <w:rPr>
          <w:snapToGrid w:val="0"/>
          <w:sz w:val="22"/>
        </w:rPr>
        <w:t>funkcijos sutrikimas (</w:t>
      </w:r>
      <w:r w:rsidR="00F17A08" w:rsidRPr="00211E3B">
        <w:rPr>
          <w:i/>
          <w:iCs/>
          <w:snapToGrid w:val="0"/>
          <w:sz w:val="22"/>
        </w:rPr>
        <w:t>Child Pugh</w:t>
      </w:r>
      <w:r w:rsidR="00F17A08" w:rsidRPr="00211E3B">
        <w:rPr>
          <w:snapToGrid w:val="0"/>
          <w:sz w:val="22"/>
        </w:rPr>
        <w:t xml:space="preserve"> A), gali padidėti nepageidaujamų reakcijų </w:t>
      </w:r>
      <w:r w:rsidR="007C175B" w:rsidRPr="00211E3B">
        <w:rPr>
          <w:snapToGrid w:val="0"/>
          <w:sz w:val="22"/>
        </w:rPr>
        <w:t>rizika</w:t>
      </w:r>
      <w:r w:rsidR="00F17A08" w:rsidRPr="00211E3B">
        <w:rPr>
          <w:snapToGrid w:val="0"/>
          <w:sz w:val="22"/>
        </w:rPr>
        <w:t xml:space="preserve">. </w:t>
      </w:r>
      <w:r w:rsidR="00594A26" w:rsidRPr="00211E3B">
        <w:rPr>
          <w:snapToGrid w:val="0"/>
          <w:sz w:val="22"/>
        </w:rPr>
        <w:t>Suaugusius p</w:t>
      </w:r>
      <w:r w:rsidR="00F17A08" w:rsidRPr="00211E3B">
        <w:rPr>
          <w:snapToGrid w:val="0"/>
          <w:sz w:val="22"/>
        </w:rPr>
        <w:t>acientus,</w:t>
      </w:r>
      <w:r w:rsidR="007C175B" w:rsidRPr="00211E3B">
        <w:rPr>
          <w:snapToGrid w:val="0"/>
          <w:sz w:val="22"/>
        </w:rPr>
        <w:t xml:space="preserve"> </w:t>
      </w:r>
      <w:r w:rsidR="00F17A08" w:rsidRPr="00211E3B">
        <w:rPr>
          <w:snapToGrid w:val="0"/>
          <w:sz w:val="22"/>
        </w:rPr>
        <w:t xml:space="preserve">kuriems yra lengvas kepenų funkcijos sutrikimas </w:t>
      </w:r>
      <w:r w:rsidR="00F17A08" w:rsidRPr="00211E3B">
        <w:rPr>
          <w:i/>
          <w:iCs/>
          <w:snapToGrid w:val="0"/>
          <w:sz w:val="22"/>
        </w:rPr>
        <w:t>(Child Pugh</w:t>
      </w:r>
      <w:r w:rsidR="00F17A08" w:rsidRPr="00211E3B">
        <w:rPr>
          <w:snapToGrid w:val="0"/>
          <w:sz w:val="22"/>
        </w:rPr>
        <w:t xml:space="preserve"> A), reikia gydyti sumažinta </w:t>
      </w:r>
      <w:r w:rsidRPr="00211E3B">
        <w:rPr>
          <w:snapToGrid w:val="0"/>
          <w:sz w:val="22"/>
        </w:rPr>
        <w:t>Agarf</w:t>
      </w:r>
      <w:r w:rsidR="00F17A08" w:rsidRPr="00211E3B">
        <w:rPr>
          <w:snapToGrid w:val="0"/>
          <w:sz w:val="22"/>
        </w:rPr>
        <w:t xml:space="preserve"> doze</w:t>
      </w:r>
      <w:r w:rsidR="007C175B" w:rsidRPr="00211E3B">
        <w:rPr>
          <w:snapToGrid w:val="0"/>
          <w:sz w:val="22"/>
        </w:rPr>
        <w:t xml:space="preserve"> </w:t>
      </w:r>
      <w:r w:rsidR="00F17A08" w:rsidRPr="00211E3B">
        <w:rPr>
          <w:snapToGrid w:val="0"/>
          <w:sz w:val="22"/>
        </w:rPr>
        <w:t>(žr. 4.2 ir 5.2</w:t>
      </w:r>
      <w:r w:rsidR="007C175B" w:rsidRPr="00211E3B">
        <w:rPr>
          <w:snapToGrid w:val="0"/>
          <w:sz w:val="22"/>
        </w:rPr>
        <w:t> </w:t>
      </w:r>
      <w:r w:rsidR="00F17A08" w:rsidRPr="00211E3B">
        <w:rPr>
          <w:snapToGrid w:val="0"/>
          <w:sz w:val="22"/>
        </w:rPr>
        <w:t>skyrius).</w:t>
      </w:r>
    </w:p>
    <w:p w14:paraId="0D7916D1" w14:textId="77777777" w:rsidR="007C175B" w:rsidRPr="00211E3B" w:rsidRDefault="007C175B" w:rsidP="00F17A08">
      <w:pPr>
        <w:tabs>
          <w:tab w:val="left" w:pos="567"/>
        </w:tabs>
        <w:spacing w:line="260" w:lineRule="exact"/>
        <w:rPr>
          <w:snapToGrid w:val="0"/>
          <w:sz w:val="22"/>
        </w:rPr>
      </w:pPr>
    </w:p>
    <w:p w14:paraId="2B7F7E86" w14:textId="3BF0C4E9" w:rsidR="00F17A08" w:rsidRPr="00211E3B" w:rsidRDefault="00AF685F" w:rsidP="00F17A08">
      <w:pPr>
        <w:tabs>
          <w:tab w:val="left" w:pos="567"/>
        </w:tabs>
        <w:spacing w:line="260" w:lineRule="exact"/>
        <w:rPr>
          <w:snapToGrid w:val="0"/>
          <w:sz w:val="22"/>
        </w:rPr>
      </w:pPr>
      <w:r w:rsidRPr="00211E3B">
        <w:rPr>
          <w:snapToGrid w:val="0"/>
          <w:sz w:val="22"/>
        </w:rPr>
        <w:t>Gydant nintedanibu, nustatyta vaistinio preparato sukelto kepenų pažeidimo atvejų, įskaitant sunkų kepenų pažeidimą, pasibaigusį mirtimi</w:t>
      </w:r>
      <w:r w:rsidR="00F17A08" w:rsidRPr="00211E3B">
        <w:rPr>
          <w:snapToGrid w:val="0"/>
          <w:sz w:val="22"/>
        </w:rPr>
        <w:t xml:space="preserve">. Dauguma kepenų reiškinių </w:t>
      </w:r>
      <w:r w:rsidR="00F33ECC" w:rsidRPr="00211E3B">
        <w:rPr>
          <w:snapToGrid w:val="0"/>
          <w:sz w:val="22"/>
        </w:rPr>
        <w:t>atsiranda</w:t>
      </w:r>
      <w:r w:rsidR="00F17A08" w:rsidRPr="00211E3B">
        <w:rPr>
          <w:snapToGrid w:val="0"/>
          <w:sz w:val="22"/>
        </w:rPr>
        <w:t xml:space="preserve"> pirmaisiais trimis gydymo</w:t>
      </w:r>
      <w:r w:rsidRPr="00211E3B">
        <w:rPr>
          <w:snapToGrid w:val="0"/>
          <w:sz w:val="22"/>
        </w:rPr>
        <w:t xml:space="preserve"> </w:t>
      </w:r>
      <w:r w:rsidR="00F17A08" w:rsidRPr="00211E3B">
        <w:rPr>
          <w:snapToGrid w:val="0"/>
          <w:sz w:val="22"/>
        </w:rPr>
        <w:t xml:space="preserve">mėnesiais. </w:t>
      </w:r>
      <w:r w:rsidRPr="00211E3B">
        <w:rPr>
          <w:snapToGrid w:val="0"/>
          <w:sz w:val="22"/>
        </w:rPr>
        <w:t>Dėl to</w:t>
      </w:r>
      <w:r w:rsidR="00F17A08" w:rsidRPr="00211E3B">
        <w:rPr>
          <w:snapToGrid w:val="0"/>
          <w:sz w:val="22"/>
        </w:rPr>
        <w:t xml:space="preserve"> prieš pradedant gydymą </w:t>
      </w:r>
      <w:r w:rsidR="00D74476" w:rsidRPr="00211E3B">
        <w:rPr>
          <w:snapToGrid w:val="0"/>
          <w:sz w:val="22"/>
        </w:rPr>
        <w:t>Agarf</w:t>
      </w:r>
      <w:r w:rsidR="00F17A08" w:rsidRPr="00211E3B">
        <w:rPr>
          <w:snapToGrid w:val="0"/>
          <w:sz w:val="22"/>
        </w:rPr>
        <w:t xml:space="preserve"> ir pirmąjį </w:t>
      </w:r>
      <w:r w:rsidRPr="00211E3B">
        <w:rPr>
          <w:snapToGrid w:val="0"/>
          <w:sz w:val="22"/>
        </w:rPr>
        <w:t xml:space="preserve">gydymo </w:t>
      </w:r>
      <w:r w:rsidR="00F17A08" w:rsidRPr="00211E3B">
        <w:rPr>
          <w:snapToGrid w:val="0"/>
          <w:sz w:val="22"/>
        </w:rPr>
        <w:t>mėnesį reikia tirti kepenų</w:t>
      </w:r>
      <w:r w:rsidRPr="00211E3B">
        <w:rPr>
          <w:snapToGrid w:val="0"/>
          <w:sz w:val="22"/>
        </w:rPr>
        <w:t xml:space="preserve"> </w:t>
      </w:r>
      <w:r w:rsidR="00F17A08" w:rsidRPr="00211E3B">
        <w:rPr>
          <w:snapToGrid w:val="0"/>
          <w:sz w:val="22"/>
        </w:rPr>
        <w:t xml:space="preserve">transaminazių aktyvumą ir bilirubino kiekį. </w:t>
      </w:r>
      <w:r w:rsidRPr="00211E3B">
        <w:rPr>
          <w:snapToGrid w:val="0"/>
          <w:sz w:val="22"/>
        </w:rPr>
        <w:t>Vėlesnių</w:t>
      </w:r>
      <w:r w:rsidR="00F17A08" w:rsidRPr="00211E3B">
        <w:rPr>
          <w:snapToGrid w:val="0"/>
          <w:sz w:val="22"/>
        </w:rPr>
        <w:t xml:space="preserve"> dviejų gydymo mėnesių laikotarpiu pacientus</w:t>
      </w:r>
      <w:r w:rsidRPr="00211E3B">
        <w:rPr>
          <w:snapToGrid w:val="0"/>
          <w:sz w:val="22"/>
        </w:rPr>
        <w:t xml:space="preserve"> </w:t>
      </w:r>
      <w:r w:rsidR="00F17A08" w:rsidRPr="00211E3B">
        <w:rPr>
          <w:snapToGrid w:val="0"/>
          <w:sz w:val="22"/>
        </w:rPr>
        <w:t>reikia tikrinti reguliariais intervalais, o po to juos reikia tirti periodiškai, pvz., per kiekvieną paciento</w:t>
      </w:r>
      <w:r w:rsidRPr="00211E3B">
        <w:rPr>
          <w:snapToGrid w:val="0"/>
          <w:sz w:val="22"/>
        </w:rPr>
        <w:t xml:space="preserve"> </w:t>
      </w:r>
      <w:r w:rsidR="00F17A08" w:rsidRPr="00211E3B">
        <w:rPr>
          <w:snapToGrid w:val="0"/>
          <w:sz w:val="22"/>
        </w:rPr>
        <w:t>apsilankymą arba kai kliniškai būtina.</w:t>
      </w:r>
    </w:p>
    <w:p w14:paraId="1A2F6E48" w14:textId="77777777" w:rsidR="00AF685F" w:rsidRPr="00211E3B" w:rsidRDefault="00AF685F" w:rsidP="00F17A08">
      <w:pPr>
        <w:tabs>
          <w:tab w:val="left" w:pos="567"/>
        </w:tabs>
        <w:spacing w:line="260" w:lineRule="exact"/>
        <w:rPr>
          <w:snapToGrid w:val="0"/>
          <w:sz w:val="22"/>
        </w:rPr>
      </w:pPr>
    </w:p>
    <w:p w14:paraId="2FB3BC46" w14:textId="7223C68F" w:rsidR="00F17A08" w:rsidRPr="00211E3B" w:rsidRDefault="008A01AB" w:rsidP="00F17A08">
      <w:pPr>
        <w:tabs>
          <w:tab w:val="left" w:pos="567"/>
        </w:tabs>
        <w:spacing w:line="260" w:lineRule="exact"/>
        <w:rPr>
          <w:snapToGrid w:val="0"/>
          <w:sz w:val="22"/>
        </w:rPr>
      </w:pPr>
      <w:r w:rsidRPr="00211E3B">
        <w:rPr>
          <w:snapToGrid w:val="0"/>
          <w:sz w:val="22"/>
        </w:rPr>
        <w:t>Dažniausiai</w:t>
      </w:r>
      <w:r w:rsidR="00F17A08" w:rsidRPr="00211E3B">
        <w:rPr>
          <w:snapToGrid w:val="0"/>
          <w:sz w:val="22"/>
        </w:rPr>
        <w:t xml:space="preserve"> kepenų fermentų (ALT, AST, šarminės fosfatazės [ŠF] kraujyje, gama</w:t>
      </w:r>
      <w:r w:rsidR="00AF685F" w:rsidRPr="00211E3B">
        <w:rPr>
          <w:snapToGrid w:val="0"/>
          <w:sz w:val="22"/>
        </w:rPr>
        <w:t xml:space="preserve"> </w:t>
      </w:r>
      <w:r w:rsidR="00F17A08" w:rsidRPr="00211E3B">
        <w:rPr>
          <w:snapToGrid w:val="0"/>
          <w:sz w:val="22"/>
        </w:rPr>
        <w:t>glutamiltransferazės [GGT], žr. 4.8</w:t>
      </w:r>
      <w:r w:rsidR="00AF685F" w:rsidRPr="00211E3B">
        <w:rPr>
          <w:snapToGrid w:val="0"/>
          <w:sz w:val="22"/>
        </w:rPr>
        <w:t> </w:t>
      </w:r>
      <w:r w:rsidR="00F17A08" w:rsidRPr="00211E3B">
        <w:rPr>
          <w:snapToGrid w:val="0"/>
          <w:sz w:val="22"/>
        </w:rPr>
        <w:t>skyrių) aktyvumo ir bilirubino kiekio padidėjimas buvo laikinas ir</w:t>
      </w:r>
      <w:r w:rsidR="00AF685F" w:rsidRPr="00211E3B">
        <w:rPr>
          <w:snapToGrid w:val="0"/>
          <w:sz w:val="22"/>
        </w:rPr>
        <w:t xml:space="preserve"> rodmenys grįžo į pradinį lygį </w:t>
      </w:r>
      <w:r w:rsidR="00F17A08" w:rsidRPr="00211E3B">
        <w:rPr>
          <w:snapToGrid w:val="0"/>
          <w:sz w:val="22"/>
        </w:rPr>
        <w:t xml:space="preserve">sumažinus dozę ar </w:t>
      </w:r>
      <w:r w:rsidR="00AF685F" w:rsidRPr="00211E3B">
        <w:rPr>
          <w:snapToGrid w:val="0"/>
          <w:sz w:val="22"/>
        </w:rPr>
        <w:t>sustabdžius</w:t>
      </w:r>
      <w:r w:rsidR="00F17A08" w:rsidRPr="00211E3B">
        <w:rPr>
          <w:snapToGrid w:val="0"/>
          <w:sz w:val="22"/>
        </w:rPr>
        <w:t xml:space="preserve"> vartojimą. Jei nustatoma, kad transaminazių (AST ar</w:t>
      </w:r>
      <w:r w:rsidR="00AF685F" w:rsidRPr="00211E3B">
        <w:rPr>
          <w:snapToGrid w:val="0"/>
          <w:sz w:val="22"/>
        </w:rPr>
        <w:t xml:space="preserve"> </w:t>
      </w:r>
      <w:r w:rsidR="00F17A08" w:rsidRPr="00211E3B">
        <w:rPr>
          <w:snapToGrid w:val="0"/>
          <w:sz w:val="22"/>
        </w:rPr>
        <w:t>ALT) aktyvumas &gt;</w:t>
      </w:r>
      <w:r w:rsidR="00AF685F" w:rsidRPr="00211E3B">
        <w:rPr>
          <w:snapToGrid w:val="0"/>
          <w:sz w:val="22"/>
        </w:rPr>
        <w:t> </w:t>
      </w:r>
      <w:r w:rsidR="00F17A08" w:rsidRPr="00211E3B">
        <w:rPr>
          <w:snapToGrid w:val="0"/>
          <w:sz w:val="22"/>
        </w:rPr>
        <w:t>3</w:t>
      </w:r>
      <w:r w:rsidR="00AF685F" w:rsidRPr="00211E3B">
        <w:rPr>
          <w:snapToGrid w:val="0"/>
          <w:sz w:val="22"/>
        </w:rPr>
        <w:t> </w:t>
      </w:r>
      <w:r w:rsidR="00F17A08" w:rsidRPr="00211E3B">
        <w:rPr>
          <w:snapToGrid w:val="0"/>
          <w:sz w:val="22"/>
        </w:rPr>
        <w:t xml:space="preserve">kartus viršija VNR, rekomenduojama sumažinti </w:t>
      </w:r>
      <w:r w:rsidR="00D74476" w:rsidRPr="00211E3B">
        <w:rPr>
          <w:snapToGrid w:val="0"/>
          <w:sz w:val="22"/>
        </w:rPr>
        <w:t>Agarf</w:t>
      </w:r>
      <w:r w:rsidR="00F17A08" w:rsidRPr="00211E3B">
        <w:rPr>
          <w:snapToGrid w:val="0"/>
          <w:sz w:val="22"/>
        </w:rPr>
        <w:t xml:space="preserve"> dozę ar </w:t>
      </w:r>
      <w:r w:rsidR="00AF685F" w:rsidRPr="00211E3B">
        <w:rPr>
          <w:snapToGrid w:val="0"/>
          <w:sz w:val="22"/>
        </w:rPr>
        <w:t>sustabdyti</w:t>
      </w:r>
      <w:r w:rsidR="00F17A08" w:rsidRPr="00211E3B">
        <w:rPr>
          <w:snapToGrid w:val="0"/>
          <w:sz w:val="22"/>
        </w:rPr>
        <w:t xml:space="preserve"> gydymą</w:t>
      </w:r>
      <w:r w:rsidR="00AF685F" w:rsidRPr="00211E3B">
        <w:rPr>
          <w:snapToGrid w:val="0"/>
          <w:sz w:val="22"/>
        </w:rPr>
        <w:t xml:space="preserve"> </w:t>
      </w:r>
      <w:r w:rsidR="00F17A08" w:rsidRPr="00211E3B">
        <w:rPr>
          <w:snapToGrid w:val="0"/>
          <w:sz w:val="22"/>
        </w:rPr>
        <w:t xml:space="preserve">ir </w:t>
      </w:r>
      <w:r w:rsidR="00AF685F" w:rsidRPr="00211E3B">
        <w:rPr>
          <w:snapToGrid w:val="0"/>
          <w:sz w:val="22"/>
        </w:rPr>
        <w:t xml:space="preserve">pacientą </w:t>
      </w:r>
      <w:r w:rsidR="00F17A08" w:rsidRPr="00211E3B">
        <w:rPr>
          <w:snapToGrid w:val="0"/>
          <w:sz w:val="22"/>
        </w:rPr>
        <w:t xml:space="preserve">atidžiai stebėti. Transaminazių aktyvumui grįžus į pradinį lygį, gydymas </w:t>
      </w:r>
      <w:r w:rsidR="00D74476" w:rsidRPr="00211E3B">
        <w:rPr>
          <w:snapToGrid w:val="0"/>
          <w:sz w:val="22"/>
        </w:rPr>
        <w:t>Agarf</w:t>
      </w:r>
      <w:r w:rsidR="00F17A08" w:rsidRPr="00211E3B">
        <w:rPr>
          <w:snapToGrid w:val="0"/>
          <w:sz w:val="22"/>
        </w:rPr>
        <w:t xml:space="preserve"> gali būti</w:t>
      </w:r>
      <w:r w:rsidR="004C1681" w:rsidRPr="00211E3B">
        <w:rPr>
          <w:snapToGrid w:val="0"/>
          <w:sz w:val="22"/>
        </w:rPr>
        <w:t xml:space="preserve"> </w:t>
      </w:r>
      <w:r w:rsidR="00F17A08" w:rsidRPr="00211E3B">
        <w:rPr>
          <w:snapToGrid w:val="0"/>
          <w:sz w:val="22"/>
        </w:rPr>
        <w:t>atnaujintas visa doze arba sumažinta doze,</w:t>
      </w:r>
      <w:r w:rsidR="004C1681" w:rsidRPr="00211E3B">
        <w:rPr>
          <w:snapToGrid w:val="0"/>
          <w:sz w:val="22"/>
        </w:rPr>
        <w:t xml:space="preserve"> </w:t>
      </w:r>
      <w:r w:rsidR="00F17A08" w:rsidRPr="00211E3B">
        <w:rPr>
          <w:snapToGrid w:val="0"/>
          <w:sz w:val="22"/>
        </w:rPr>
        <w:t xml:space="preserve">kuri vėliau gali būti padidinta iki visos dozės </w:t>
      </w:r>
      <w:r w:rsidR="004C1681" w:rsidRPr="00211E3B">
        <w:rPr>
          <w:snapToGrid w:val="0"/>
          <w:sz w:val="22"/>
        </w:rPr>
        <w:t>(žr. 4.2 skyrių „Dozės koregavimas“)</w:t>
      </w:r>
      <w:r w:rsidR="00F17A08" w:rsidRPr="00211E3B">
        <w:rPr>
          <w:snapToGrid w:val="0"/>
          <w:sz w:val="22"/>
        </w:rPr>
        <w:t>. Jei bet koks kepenų funkcij</w:t>
      </w:r>
      <w:r w:rsidR="004C1681" w:rsidRPr="00211E3B">
        <w:rPr>
          <w:snapToGrid w:val="0"/>
          <w:sz w:val="22"/>
        </w:rPr>
        <w:t>ą atspindinčių rodmenų</w:t>
      </w:r>
      <w:r w:rsidR="00F17A08" w:rsidRPr="00211E3B">
        <w:rPr>
          <w:snapToGrid w:val="0"/>
          <w:sz w:val="22"/>
        </w:rPr>
        <w:t xml:space="preserve"> padidėjimas yra susijęs su klinikiniais kepenų pažaidos požymiais ar simptomais, pvz., gelta, gydymą</w:t>
      </w:r>
      <w:r w:rsidR="004C1681" w:rsidRPr="00211E3B">
        <w:rPr>
          <w:snapToGrid w:val="0"/>
          <w:sz w:val="22"/>
        </w:rPr>
        <w:t xml:space="preserve"> </w:t>
      </w:r>
      <w:r w:rsidR="00D74476" w:rsidRPr="00211E3B">
        <w:rPr>
          <w:snapToGrid w:val="0"/>
          <w:sz w:val="22"/>
        </w:rPr>
        <w:t>Agarf</w:t>
      </w:r>
      <w:r w:rsidR="00F17A08" w:rsidRPr="00211E3B">
        <w:rPr>
          <w:snapToGrid w:val="0"/>
          <w:sz w:val="22"/>
        </w:rPr>
        <w:t xml:space="preserve"> reikia </w:t>
      </w:r>
      <w:r w:rsidR="004C1681" w:rsidRPr="00211E3B">
        <w:rPr>
          <w:snapToGrid w:val="0"/>
          <w:sz w:val="22"/>
        </w:rPr>
        <w:t xml:space="preserve">nutraukti </w:t>
      </w:r>
      <w:r w:rsidR="00F17A08" w:rsidRPr="00211E3B">
        <w:rPr>
          <w:snapToGrid w:val="0"/>
          <w:sz w:val="22"/>
        </w:rPr>
        <w:t>visam laikui. Reikia ištirti, ar nėra kitų kepenų fermentų aktyvumo padidėjimo</w:t>
      </w:r>
      <w:r w:rsidR="004C1681" w:rsidRPr="00211E3B">
        <w:rPr>
          <w:snapToGrid w:val="0"/>
          <w:sz w:val="22"/>
        </w:rPr>
        <w:t xml:space="preserve"> </w:t>
      </w:r>
      <w:r w:rsidR="00F17A08" w:rsidRPr="00211E3B">
        <w:rPr>
          <w:snapToGrid w:val="0"/>
          <w:sz w:val="22"/>
        </w:rPr>
        <w:t>priežasčių.</w:t>
      </w:r>
    </w:p>
    <w:p w14:paraId="43328105" w14:textId="77777777" w:rsidR="00AF685F" w:rsidRPr="00211E3B" w:rsidRDefault="00AF685F" w:rsidP="00F17A08">
      <w:pPr>
        <w:tabs>
          <w:tab w:val="left" w:pos="567"/>
        </w:tabs>
        <w:spacing w:line="260" w:lineRule="exact"/>
        <w:rPr>
          <w:snapToGrid w:val="0"/>
          <w:sz w:val="22"/>
        </w:rPr>
      </w:pPr>
    </w:p>
    <w:p w14:paraId="3821AB4E" w14:textId="3AC76E4B" w:rsidR="00261BB7" w:rsidRPr="00211E3B" w:rsidRDefault="00261BB7" w:rsidP="00261BB7">
      <w:pPr>
        <w:tabs>
          <w:tab w:val="left" w:pos="567"/>
        </w:tabs>
        <w:spacing w:line="260" w:lineRule="exact"/>
        <w:rPr>
          <w:snapToGrid w:val="0"/>
          <w:sz w:val="22"/>
        </w:rPr>
      </w:pPr>
      <w:r w:rsidRPr="00211E3B">
        <w:rPr>
          <w:snapToGrid w:val="0"/>
          <w:sz w:val="22"/>
        </w:rPr>
        <w:t>Mažai sveriantiems suaugusiems pacientams (&lt; 65</w:t>
      </w:r>
      <w:r w:rsidR="00146FEE" w:rsidRPr="00211E3B">
        <w:rPr>
          <w:snapToGrid w:val="0"/>
          <w:sz w:val="22"/>
        </w:rPr>
        <w:t> kg</w:t>
      </w:r>
      <w:r w:rsidRPr="00211E3B">
        <w:rPr>
          <w:snapToGrid w:val="0"/>
          <w:sz w:val="22"/>
        </w:rPr>
        <w:t>), pacientams azijiečiams ir pacientėms moterims fermentų aktyvumo padidėjimo rizika yra didesnė. Nintedanibo ekspozicija didėjo proporcingai paciento amžiui, o tai gali lemti didesnę kepenų fermentų aktyvumo padidėjimo riziką (žr. 5.2 skyrių). Pacientus, kuriems yra tokių rizikos veiksnių, rekomenduojama atidžiai stebėti.</w:t>
      </w:r>
    </w:p>
    <w:p w14:paraId="4DB50B1F" w14:textId="18A2C9BA" w:rsidR="00D14568" w:rsidRPr="00211E3B" w:rsidRDefault="00D14568" w:rsidP="00F17A08">
      <w:pPr>
        <w:tabs>
          <w:tab w:val="left" w:pos="567"/>
        </w:tabs>
        <w:spacing w:line="260" w:lineRule="exact"/>
        <w:rPr>
          <w:snapToGrid w:val="0"/>
          <w:sz w:val="22"/>
        </w:rPr>
      </w:pPr>
    </w:p>
    <w:p w14:paraId="3578788F" w14:textId="26F9841E" w:rsidR="00D14568" w:rsidRPr="00211E3B" w:rsidRDefault="00D14568" w:rsidP="00D14568">
      <w:pPr>
        <w:tabs>
          <w:tab w:val="left" w:pos="567"/>
        </w:tabs>
        <w:spacing w:line="260" w:lineRule="exact"/>
        <w:rPr>
          <w:snapToGrid w:val="0"/>
          <w:sz w:val="22"/>
          <w:u w:val="single"/>
        </w:rPr>
      </w:pPr>
      <w:r w:rsidRPr="00211E3B">
        <w:rPr>
          <w:snapToGrid w:val="0"/>
          <w:sz w:val="22"/>
          <w:u w:val="single"/>
        </w:rPr>
        <w:t>Inkstų funkcija</w:t>
      </w:r>
    </w:p>
    <w:p w14:paraId="7D942560" w14:textId="7EF1BAC1" w:rsidR="00D14568" w:rsidRPr="00211E3B" w:rsidRDefault="00D14568" w:rsidP="00D14568">
      <w:pPr>
        <w:tabs>
          <w:tab w:val="left" w:pos="567"/>
        </w:tabs>
        <w:spacing w:line="260" w:lineRule="exact"/>
        <w:rPr>
          <w:snapToGrid w:val="0"/>
          <w:sz w:val="22"/>
        </w:rPr>
      </w:pPr>
      <w:r w:rsidRPr="00211E3B">
        <w:rPr>
          <w:snapToGrid w:val="0"/>
          <w:sz w:val="22"/>
        </w:rPr>
        <w:t xml:space="preserve">Gauta pranešimų apie inkstų </w:t>
      </w:r>
      <w:r w:rsidR="006D3BBE" w:rsidRPr="00211E3B">
        <w:rPr>
          <w:snapToGrid w:val="0"/>
          <w:sz w:val="22"/>
        </w:rPr>
        <w:t>funkcijos sutrikimo</w:t>
      </w:r>
      <w:r w:rsidRPr="00211E3B">
        <w:rPr>
          <w:snapToGrid w:val="0"/>
          <w:sz w:val="22"/>
        </w:rPr>
        <w:t xml:space="preserve"> / nepakankamumo atvejus</w:t>
      </w:r>
      <w:r w:rsidR="006D3BBE" w:rsidRPr="00211E3B">
        <w:rPr>
          <w:snapToGrid w:val="0"/>
          <w:sz w:val="22"/>
        </w:rPr>
        <w:t xml:space="preserve"> (</w:t>
      </w:r>
      <w:r w:rsidRPr="00211E3B">
        <w:rPr>
          <w:snapToGrid w:val="0"/>
          <w:sz w:val="22"/>
        </w:rPr>
        <w:t>kartais pasibaigusius mirtimi</w:t>
      </w:r>
      <w:r w:rsidR="006D3BBE" w:rsidRPr="00211E3B">
        <w:rPr>
          <w:snapToGrid w:val="0"/>
          <w:sz w:val="22"/>
        </w:rPr>
        <w:t xml:space="preserve">) </w:t>
      </w:r>
      <w:r w:rsidRPr="00211E3B">
        <w:rPr>
          <w:snapToGrid w:val="0"/>
          <w:sz w:val="22"/>
        </w:rPr>
        <w:t>nintedanibo vartojusiems pacientams (žr. 4.8</w:t>
      </w:r>
      <w:r w:rsidR="006D3BBE" w:rsidRPr="00211E3B">
        <w:rPr>
          <w:snapToGrid w:val="0"/>
          <w:sz w:val="22"/>
        </w:rPr>
        <w:t> </w:t>
      </w:r>
      <w:r w:rsidRPr="00211E3B">
        <w:rPr>
          <w:snapToGrid w:val="0"/>
          <w:sz w:val="22"/>
        </w:rPr>
        <w:t>skyrių).</w:t>
      </w:r>
    </w:p>
    <w:p w14:paraId="3CA633BD" w14:textId="43BDD792" w:rsidR="00D14568" w:rsidRPr="00211E3B" w:rsidRDefault="00D14568" w:rsidP="00D14568">
      <w:pPr>
        <w:tabs>
          <w:tab w:val="left" w:pos="567"/>
        </w:tabs>
        <w:spacing w:line="260" w:lineRule="exact"/>
        <w:rPr>
          <w:snapToGrid w:val="0"/>
          <w:sz w:val="22"/>
        </w:rPr>
      </w:pPr>
      <w:r w:rsidRPr="00211E3B">
        <w:rPr>
          <w:snapToGrid w:val="0"/>
          <w:sz w:val="22"/>
        </w:rPr>
        <w:t xml:space="preserve">Nintedanibu gydomus pacientus </w:t>
      </w:r>
      <w:r w:rsidR="006D3BBE" w:rsidRPr="00211E3B">
        <w:rPr>
          <w:snapToGrid w:val="0"/>
          <w:sz w:val="22"/>
        </w:rPr>
        <w:t>būtina</w:t>
      </w:r>
      <w:r w:rsidRPr="00211E3B">
        <w:rPr>
          <w:snapToGrid w:val="0"/>
          <w:sz w:val="22"/>
        </w:rPr>
        <w:t xml:space="preserve"> stebėti, ypatingą dėmesį skiriant pacientams, turintiems inkstų</w:t>
      </w:r>
      <w:r w:rsidR="006D3BBE" w:rsidRPr="00211E3B">
        <w:rPr>
          <w:snapToGrid w:val="0"/>
          <w:sz w:val="22"/>
        </w:rPr>
        <w:t xml:space="preserve"> funkcijos sutrikimo </w:t>
      </w:r>
      <w:r w:rsidRPr="00211E3B">
        <w:rPr>
          <w:snapToGrid w:val="0"/>
          <w:sz w:val="22"/>
        </w:rPr>
        <w:t xml:space="preserve">/ nepakankamumo </w:t>
      </w:r>
      <w:r w:rsidR="006D3BBE" w:rsidRPr="00211E3B">
        <w:rPr>
          <w:snapToGrid w:val="0"/>
          <w:sz w:val="22"/>
        </w:rPr>
        <w:t xml:space="preserve">pasireiškimo </w:t>
      </w:r>
      <w:r w:rsidRPr="00211E3B">
        <w:rPr>
          <w:snapToGrid w:val="0"/>
          <w:sz w:val="22"/>
        </w:rPr>
        <w:t xml:space="preserve">rizikos veiksnių. Inkstų </w:t>
      </w:r>
      <w:r w:rsidR="006D3BBE" w:rsidRPr="00211E3B">
        <w:rPr>
          <w:snapToGrid w:val="0"/>
          <w:sz w:val="22"/>
        </w:rPr>
        <w:t xml:space="preserve">funkcijos sutrikimo </w:t>
      </w:r>
      <w:r w:rsidRPr="00211E3B">
        <w:rPr>
          <w:snapToGrid w:val="0"/>
          <w:sz w:val="22"/>
        </w:rPr>
        <w:t>/ nepakankamumo atvejais reikia</w:t>
      </w:r>
      <w:r w:rsidR="006D3BBE" w:rsidRPr="00211E3B">
        <w:rPr>
          <w:snapToGrid w:val="0"/>
          <w:sz w:val="22"/>
        </w:rPr>
        <w:t xml:space="preserve"> </w:t>
      </w:r>
      <w:r w:rsidRPr="00211E3B">
        <w:rPr>
          <w:snapToGrid w:val="0"/>
          <w:sz w:val="22"/>
        </w:rPr>
        <w:t>apsvarstyti gydymo koregavimo galimybes (</w:t>
      </w:r>
      <w:r w:rsidR="006D3BBE" w:rsidRPr="00211E3B">
        <w:rPr>
          <w:snapToGrid w:val="0"/>
          <w:sz w:val="22"/>
        </w:rPr>
        <w:t xml:space="preserve">žr. </w:t>
      </w:r>
      <w:r w:rsidRPr="00211E3B">
        <w:rPr>
          <w:snapToGrid w:val="0"/>
          <w:sz w:val="22"/>
        </w:rPr>
        <w:t>4.2</w:t>
      </w:r>
      <w:r w:rsidR="006D3BBE" w:rsidRPr="00211E3B">
        <w:rPr>
          <w:snapToGrid w:val="0"/>
          <w:sz w:val="22"/>
        </w:rPr>
        <w:t> </w:t>
      </w:r>
      <w:r w:rsidRPr="00211E3B">
        <w:rPr>
          <w:snapToGrid w:val="0"/>
          <w:sz w:val="22"/>
        </w:rPr>
        <w:t>skyri</w:t>
      </w:r>
      <w:r w:rsidR="006D3BBE" w:rsidRPr="00211E3B">
        <w:rPr>
          <w:snapToGrid w:val="0"/>
          <w:sz w:val="22"/>
        </w:rPr>
        <w:t>ų „Dozės koregavimas“</w:t>
      </w:r>
      <w:r w:rsidRPr="00211E3B">
        <w:rPr>
          <w:snapToGrid w:val="0"/>
          <w:sz w:val="22"/>
        </w:rPr>
        <w:t>).</w:t>
      </w:r>
    </w:p>
    <w:p w14:paraId="61057554" w14:textId="77777777" w:rsidR="006D3BBE" w:rsidRPr="00211E3B" w:rsidRDefault="006D3BBE" w:rsidP="00D14568">
      <w:pPr>
        <w:tabs>
          <w:tab w:val="left" w:pos="567"/>
        </w:tabs>
        <w:spacing w:line="260" w:lineRule="exact"/>
        <w:rPr>
          <w:snapToGrid w:val="0"/>
          <w:sz w:val="22"/>
        </w:rPr>
      </w:pPr>
    </w:p>
    <w:p w14:paraId="4F1BC123" w14:textId="77777777" w:rsidR="00D14568" w:rsidRPr="00211E3B" w:rsidRDefault="00D14568" w:rsidP="00D14568">
      <w:pPr>
        <w:tabs>
          <w:tab w:val="left" w:pos="567"/>
        </w:tabs>
        <w:spacing w:line="260" w:lineRule="exact"/>
        <w:rPr>
          <w:snapToGrid w:val="0"/>
          <w:sz w:val="22"/>
          <w:u w:val="single"/>
        </w:rPr>
      </w:pPr>
      <w:r w:rsidRPr="00211E3B">
        <w:rPr>
          <w:snapToGrid w:val="0"/>
          <w:sz w:val="22"/>
          <w:u w:val="single"/>
        </w:rPr>
        <w:t>Kraujavimas</w:t>
      </w:r>
    </w:p>
    <w:p w14:paraId="72144A1A" w14:textId="5D51867A" w:rsidR="005F5414" w:rsidRPr="00211E3B" w:rsidRDefault="005F5414" w:rsidP="005F5414">
      <w:pPr>
        <w:tabs>
          <w:tab w:val="left" w:pos="567"/>
        </w:tabs>
        <w:spacing w:line="260" w:lineRule="exact"/>
        <w:rPr>
          <w:snapToGrid w:val="0"/>
          <w:sz w:val="22"/>
        </w:rPr>
      </w:pPr>
      <w:r w:rsidRPr="00211E3B">
        <w:rPr>
          <w:snapToGrid w:val="0"/>
          <w:sz w:val="22"/>
        </w:rPr>
        <w:t>Kraujagyslių endotelio augimo faktoriaus receptorių (KEAFR) slopinimas gali būti susijęs su</w:t>
      </w:r>
      <w:r w:rsidR="005009CE" w:rsidRPr="00211E3B">
        <w:rPr>
          <w:snapToGrid w:val="0"/>
          <w:sz w:val="22"/>
        </w:rPr>
        <w:t xml:space="preserve"> </w:t>
      </w:r>
      <w:r w:rsidRPr="00211E3B">
        <w:rPr>
          <w:snapToGrid w:val="0"/>
          <w:sz w:val="22"/>
        </w:rPr>
        <w:t>kraujavimo rizikos padidėjimu.</w:t>
      </w:r>
    </w:p>
    <w:p w14:paraId="06134767" w14:textId="77777777" w:rsidR="005009CE" w:rsidRPr="00211E3B" w:rsidRDefault="005009CE" w:rsidP="005F5414">
      <w:pPr>
        <w:tabs>
          <w:tab w:val="left" w:pos="567"/>
        </w:tabs>
        <w:spacing w:line="260" w:lineRule="exact"/>
        <w:rPr>
          <w:snapToGrid w:val="0"/>
          <w:sz w:val="22"/>
        </w:rPr>
      </w:pPr>
    </w:p>
    <w:p w14:paraId="1A1ACC5F" w14:textId="0B9AE71B" w:rsidR="005F5414" w:rsidRPr="00211E3B" w:rsidRDefault="005F5414" w:rsidP="005F5414">
      <w:pPr>
        <w:tabs>
          <w:tab w:val="left" w:pos="567"/>
        </w:tabs>
        <w:spacing w:line="260" w:lineRule="exact"/>
        <w:rPr>
          <w:snapToGrid w:val="0"/>
          <w:sz w:val="22"/>
        </w:rPr>
      </w:pPr>
      <w:r w:rsidRPr="00211E3B">
        <w:rPr>
          <w:snapToGrid w:val="0"/>
          <w:sz w:val="22"/>
        </w:rPr>
        <w:t xml:space="preserve">Pacientai, kuriems yra </w:t>
      </w:r>
      <w:r w:rsidR="007B0BCF" w:rsidRPr="00211E3B">
        <w:rPr>
          <w:snapToGrid w:val="0"/>
          <w:sz w:val="22"/>
        </w:rPr>
        <w:t>nustatyta</w:t>
      </w:r>
      <w:r w:rsidRPr="00211E3B">
        <w:rPr>
          <w:snapToGrid w:val="0"/>
          <w:sz w:val="22"/>
        </w:rPr>
        <w:t xml:space="preserve"> kraujavimo rizika, įskaitant pacientus, kuriems yra paveldėtas polinkis</w:t>
      </w:r>
      <w:r w:rsidR="007B0BCF" w:rsidRPr="00211E3B">
        <w:rPr>
          <w:snapToGrid w:val="0"/>
          <w:sz w:val="22"/>
        </w:rPr>
        <w:t xml:space="preserve"> </w:t>
      </w:r>
      <w:r w:rsidRPr="00211E3B">
        <w:rPr>
          <w:snapToGrid w:val="0"/>
          <w:sz w:val="22"/>
        </w:rPr>
        <w:t>kraujuot</w:t>
      </w:r>
      <w:r w:rsidR="007B0BCF" w:rsidRPr="00211E3B">
        <w:rPr>
          <w:snapToGrid w:val="0"/>
          <w:sz w:val="22"/>
        </w:rPr>
        <w:t>i</w:t>
      </w:r>
      <w:r w:rsidRPr="00211E3B">
        <w:rPr>
          <w:snapToGrid w:val="0"/>
          <w:sz w:val="22"/>
        </w:rPr>
        <w:t xml:space="preserve"> arba kuriems taikomas antikoaguliacinis gydymas visa doze, į</w:t>
      </w:r>
      <w:r w:rsidR="007B0BCF" w:rsidRPr="00211E3B">
        <w:rPr>
          <w:snapToGrid w:val="0"/>
          <w:sz w:val="22"/>
        </w:rPr>
        <w:t xml:space="preserve"> </w:t>
      </w:r>
      <w:r w:rsidRPr="00211E3B">
        <w:rPr>
          <w:snapToGrid w:val="0"/>
          <w:sz w:val="22"/>
        </w:rPr>
        <w:t>klinikinius tyrimus</w:t>
      </w:r>
      <w:r w:rsidR="008A01AB" w:rsidRPr="00211E3B">
        <w:rPr>
          <w:snapToGrid w:val="0"/>
          <w:sz w:val="22"/>
        </w:rPr>
        <w:t xml:space="preserve"> įtraukti nebuvo</w:t>
      </w:r>
      <w:r w:rsidRPr="00211E3B">
        <w:rPr>
          <w:snapToGrid w:val="0"/>
          <w:sz w:val="22"/>
        </w:rPr>
        <w:t xml:space="preserve">. </w:t>
      </w:r>
      <w:r w:rsidR="007B0BCF" w:rsidRPr="00211E3B">
        <w:rPr>
          <w:snapToGrid w:val="0"/>
          <w:sz w:val="22"/>
        </w:rPr>
        <w:t>Po v</w:t>
      </w:r>
      <w:r w:rsidRPr="00211E3B">
        <w:rPr>
          <w:snapToGrid w:val="0"/>
          <w:sz w:val="22"/>
        </w:rPr>
        <w:t>aistini</w:t>
      </w:r>
      <w:r w:rsidR="007B0BCF" w:rsidRPr="00211E3B">
        <w:rPr>
          <w:snapToGrid w:val="0"/>
          <w:sz w:val="22"/>
        </w:rPr>
        <w:t>o</w:t>
      </w:r>
      <w:r w:rsidRPr="00211E3B">
        <w:rPr>
          <w:snapToGrid w:val="0"/>
          <w:sz w:val="22"/>
        </w:rPr>
        <w:t xml:space="preserve"> preparat</w:t>
      </w:r>
      <w:r w:rsidR="007B0BCF" w:rsidRPr="00211E3B">
        <w:rPr>
          <w:snapToGrid w:val="0"/>
          <w:sz w:val="22"/>
        </w:rPr>
        <w:t>o</w:t>
      </w:r>
      <w:r w:rsidRPr="00211E3B">
        <w:rPr>
          <w:snapToGrid w:val="0"/>
          <w:sz w:val="22"/>
        </w:rPr>
        <w:t xml:space="preserve"> pate</w:t>
      </w:r>
      <w:r w:rsidR="007B0BCF" w:rsidRPr="00211E3B">
        <w:rPr>
          <w:snapToGrid w:val="0"/>
          <w:sz w:val="22"/>
        </w:rPr>
        <w:t>ikimo</w:t>
      </w:r>
      <w:r w:rsidRPr="00211E3B">
        <w:rPr>
          <w:snapToGrid w:val="0"/>
          <w:sz w:val="22"/>
        </w:rPr>
        <w:t xml:space="preserve"> į rinką gauta pranešimų apie nesunkius ir sunkius</w:t>
      </w:r>
      <w:r w:rsidR="007B0BCF" w:rsidRPr="00211E3B">
        <w:rPr>
          <w:snapToGrid w:val="0"/>
          <w:sz w:val="22"/>
        </w:rPr>
        <w:t xml:space="preserve"> </w:t>
      </w:r>
      <w:r w:rsidRPr="00211E3B">
        <w:rPr>
          <w:snapToGrid w:val="0"/>
          <w:sz w:val="22"/>
        </w:rPr>
        <w:t xml:space="preserve">kraujavimo </w:t>
      </w:r>
      <w:r w:rsidR="007B0BCF" w:rsidRPr="00211E3B">
        <w:rPr>
          <w:snapToGrid w:val="0"/>
          <w:sz w:val="22"/>
        </w:rPr>
        <w:t>reiškinius (</w:t>
      </w:r>
      <w:r w:rsidRPr="00211E3B">
        <w:rPr>
          <w:snapToGrid w:val="0"/>
          <w:sz w:val="22"/>
        </w:rPr>
        <w:t xml:space="preserve">kai kurie </w:t>
      </w:r>
      <w:r w:rsidR="007B0BCF" w:rsidRPr="00211E3B">
        <w:rPr>
          <w:snapToGrid w:val="0"/>
          <w:sz w:val="22"/>
        </w:rPr>
        <w:t xml:space="preserve">iš jų </w:t>
      </w:r>
      <w:r w:rsidRPr="00211E3B">
        <w:rPr>
          <w:snapToGrid w:val="0"/>
          <w:sz w:val="22"/>
        </w:rPr>
        <w:t>buvo mirtini</w:t>
      </w:r>
      <w:r w:rsidR="007B0BCF" w:rsidRPr="00211E3B">
        <w:rPr>
          <w:snapToGrid w:val="0"/>
          <w:sz w:val="22"/>
        </w:rPr>
        <w:t xml:space="preserve">) </w:t>
      </w:r>
      <w:r w:rsidRPr="00211E3B">
        <w:rPr>
          <w:snapToGrid w:val="0"/>
          <w:sz w:val="22"/>
        </w:rPr>
        <w:t xml:space="preserve">(įskaitant pacientus, gydomus antikoaguliantais ar kitais </w:t>
      </w:r>
      <w:r w:rsidR="007B0BCF" w:rsidRPr="00211E3B">
        <w:rPr>
          <w:snapToGrid w:val="0"/>
          <w:sz w:val="22"/>
        </w:rPr>
        <w:t xml:space="preserve">kraujavimą sukelti galinčiais </w:t>
      </w:r>
      <w:r w:rsidRPr="00211E3B">
        <w:rPr>
          <w:snapToGrid w:val="0"/>
          <w:sz w:val="22"/>
        </w:rPr>
        <w:t>vaistiniais preparatais</w:t>
      </w:r>
      <w:r w:rsidR="007B0BCF" w:rsidRPr="00211E3B">
        <w:rPr>
          <w:snapToGrid w:val="0"/>
          <w:sz w:val="22"/>
        </w:rPr>
        <w:t xml:space="preserve"> arba jais negydomais</w:t>
      </w:r>
      <w:r w:rsidRPr="00211E3B">
        <w:rPr>
          <w:snapToGrid w:val="0"/>
          <w:sz w:val="22"/>
        </w:rPr>
        <w:t xml:space="preserve">). </w:t>
      </w:r>
      <w:r w:rsidR="007B0BCF" w:rsidRPr="00211E3B">
        <w:rPr>
          <w:snapToGrid w:val="0"/>
          <w:sz w:val="22"/>
        </w:rPr>
        <w:t>Dėl to</w:t>
      </w:r>
      <w:r w:rsidRPr="00211E3B">
        <w:rPr>
          <w:snapToGrid w:val="0"/>
          <w:sz w:val="22"/>
        </w:rPr>
        <w:t xml:space="preserve"> </w:t>
      </w:r>
      <w:r w:rsidR="007B0BCF" w:rsidRPr="00211E3B">
        <w:rPr>
          <w:snapToGrid w:val="0"/>
          <w:sz w:val="22"/>
        </w:rPr>
        <w:t>tokius</w:t>
      </w:r>
      <w:r w:rsidRPr="00211E3B">
        <w:rPr>
          <w:snapToGrid w:val="0"/>
          <w:sz w:val="22"/>
        </w:rPr>
        <w:t xml:space="preserve"> pacientus</w:t>
      </w:r>
      <w:r w:rsidR="007B0BCF" w:rsidRPr="00211E3B">
        <w:rPr>
          <w:snapToGrid w:val="0"/>
          <w:sz w:val="22"/>
        </w:rPr>
        <w:t xml:space="preserve"> Agarf</w:t>
      </w:r>
      <w:r w:rsidRPr="00211E3B">
        <w:rPr>
          <w:snapToGrid w:val="0"/>
          <w:sz w:val="22"/>
        </w:rPr>
        <w:t xml:space="preserve"> galima gydyti tik tuo atveju, jei </w:t>
      </w:r>
      <w:r w:rsidR="007B0BCF" w:rsidRPr="00211E3B">
        <w:rPr>
          <w:snapToGrid w:val="0"/>
          <w:sz w:val="22"/>
        </w:rPr>
        <w:t>tikėtina</w:t>
      </w:r>
      <w:r w:rsidRPr="00211E3B">
        <w:rPr>
          <w:snapToGrid w:val="0"/>
          <w:sz w:val="22"/>
        </w:rPr>
        <w:t xml:space="preserve"> nauda </w:t>
      </w:r>
      <w:r w:rsidR="007B0BCF" w:rsidRPr="00211E3B">
        <w:rPr>
          <w:snapToGrid w:val="0"/>
          <w:sz w:val="22"/>
        </w:rPr>
        <w:t>viršija</w:t>
      </w:r>
      <w:r w:rsidRPr="00211E3B">
        <w:rPr>
          <w:snapToGrid w:val="0"/>
          <w:sz w:val="22"/>
        </w:rPr>
        <w:t xml:space="preserve"> galimą riziką.</w:t>
      </w:r>
    </w:p>
    <w:p w14:paraId="3BC2E634" w14:textId="77777777" w:rsidR="007B0BCF" w:rsidRPr="00211E3B" w:rsidRDefault="007B0BCF" w:rsidP="005F5414">
      <w:pPr>
        <w:tabs>
          <w:tab w:val="left" w:pos="567"/>
        </w:tabs>
        <w:spacing w:line="260" w:lineRule="exact"/>
        <w:rPr>
          <w:snapToGrid w:val="0"/>
          <w:sz w:val="22"/>
        </w:rPr>
      </w:pPr>
    </w:p>
    <w:p w14:paraId="111F1B47" w14:textId="1C9ECAE1" w:rsidR="005F5414" w:rsidRPr="00211E3B" w:rsidRDefault="005F5414" w:rsidP="005F5414">
      <w:pPr>
        <w:tabs>
          <w:tab w:val="left" w:pos="567"/>
        </w:tabs>
        <w:spacing w:line="260" w:lineRule="exact"/>
        <w:rPr>
          <w:snapToGrid w:val="0"/>
          <w:sz w:val="22"/>
          <w:u w:val="single"/>
        </w:rPr>
      </w:pPr>
      <w:r w:rsidRPr="00211E3B">
        <w:rPr>
          <w:snapToGrid w:val="0"/>
          <w:sz w:val="22"/>
          <w:u w:val="single"/>
        </w:rPr>
        <w:t>Arterijų tromboemboli</w:t>
      </w:r>
      <w:r w:rsidR="007B0BCF" w:rsidRPr="00211E3B">
        <w:rPr>
          <w:snapToGrid w:val="0"/>
          <w:sz w:val="22"/>
          <w:u w:val="single"/>
        </w:rPr>
        <w:t>jos</w:t>
      </w:r>
      <w:r w:rsidRPr="00211E3B">
        <w:rPr>
          <w:snapToGrid w:val="0"/>
          <w:sz w:val="22"/>
          <w:u w:val="single"/>
        </w:rPr>
        <w:t xml:space="preserve"> reiškiniai</w:t>
      </w:r>
    </w:p>
    <w:p w14:paraId="6BF12F98" w14:textId="34488CBF" w:rsidR="001F2253" w:rsidRPr="00211E3B" w:rsidRDefault="005F5414" w:rsidP="005F5414">
      <w:pPr>
        <w:tabs>
          <w:tab w:val="left" w:pos="567"/>
        </w:tabs>
        <w:spacing w:line="260" w:lineRule="exact"/>
        <w:rPr>
          <w:snapToGrid w:val="0"/>
          <w:sz w:val="22"/>
        </w:rPr>
      </w:pPr>
      <w:r w:rsidRPr="00211E3B">
        <w:rPr>
          <w:snapToGrid w:val="0"/>
          <w:sz w:val="22"/>
        </w:rPr>
        <w:t>Pacientai, kuriuos neseniai buvo ištikęs miokardo infarktas ar smegenų insultas, į klinikinius tyrimus</w:t>
      </w:r>
      <w:r w:rsidR="00AD7A56" w:rsidRPr="00211E3B">
        <w:rPr>
          <w:snapToGrid w:val="0"/>
          <w:sz w:val="22"/>
        </w:rPr>
        <w:t xml:space="preserve"> </w:t>
      </w:r>
      <w:r w:rsidR="008A01AB" w:rsidRPr="00211E3B">
        <w:rPr>
          <w:snapToGrid w:val="0"/>
          <w:sz w:val="22"/>
        </w:rPr>
        <w:t>ne</w:t>
      </w:r>
      <w:r w:rsidRPr="00211E3B">
        <w:rPr>
          <w:snapToGrid w:val="0"/>
          <w:sz w:val="22"/>
        </w:rPr>
        <w:t>buvo įtraukti.</w:t>
      </w:r>
      <w:r w:rsidR="008A01AB" w:rsidRPr="00211E3B">
        <w:rPr>
          <w:snapToGrid w:val="0"/>
          <w:sz w:val="22"/>
        </w:rPr>
        <w:t xml:space="preserve"> </w:t>
      </w:r>
      <w:r w:rsidRPr="00211E3B">
        <w:rPr>
          <w:snapToGrid w:val="0"/>
          <w:sz w:val="22"/>
        </w:rPr>
        <w:t xml:space="preserve">Klinikinių tyrimų </w:t>
      </w:r>
      <w:r w:rsidR="00AD7A56" w:rsidRPr="00211E3B">
        <w:rPr>
          <w:snapToGrid w:val="0"/>
          <w:sz w:val="22"/>
        </w:rPr>
        <w:t xml:space="preserve">su suaugusiais pacientais </w:t>
      </w:r>
      <w:r w:rsidRPr="00211E3B">
        <w:rPr>
          <w:snapToGrid w:val="0"/>
          <w:sz w:val="22"/>
        </w:rPr>
        <w:t>metu arterijų tromboemboli</w:t>
      </w:r>
      <w:r w:rsidR="00AD7A56" w:rsidRPr="00211E3B">
        <w:rPr>
          <w:snapToGrid w:val="0"/>
          <w:sz w:val="22"/>
        </w:rPr>
        <w:t>jos</w:t>
      </w:r>
      <w:r w:rsidRPr="00211E3B">
        <w:rPr>
          <w:snapToGrid w:val="0"/>
          <w:sz w:val="22"/>
        </w:rPr>
        <w:t xml:space="preserve"> reiškiniai buvo nedažni (2,5</w:t>
      </w:r>
      <w:r w:rsidR="0085390D">
        <w:rPr>
          <w:snapToGrid w:val="0"/>
          <w:sz w:val="22"/>
        </w:rPr>
        <w:t> %</w:t>
      </w:r>
      <w:r w:rsidR="00AD7A56" w:rsidRPr="00211E3B">
        <w:rPr>
          <w:snapToGrid w:val="0"/>
          <w:sz w:val="22"/>
        </w:rPr>
        <w:t xml:space="preserve"> nintedanibo </w:t>
      </w:r>
      <w:r w:rsidR="008A01AB" w:rsidRPr="00211E3B">
        <w:rPr>
          <w:snapToGrid w:val="0"/>
          <w:sz w:val="22"/>
        </w:rPr>
        <w:t xml:space="preserve">vartojusiųjų </w:t>
      </w:r>
      <w:r w:rsidR="00AD7A56" w:rsidRPr="00211E3B">
        <w:rPr>
          <w:snapToGrid w:val="0"/>
          <w:sz w:val="22"/>
        </w:rPr>
        <w:t>grupėje</w:t>
      </w:r>
      <w:r w:rsidRPr="00211E3B">
        <w:rPr>
          <w:snapToGrid w:val="0"/>
          <w:sz w:val="22"/>
        </w:rPr>
        <w:t>, palyginti su</w:t>
      </w:r>
      <w:r w:rsidR="00AD7A56" w:rsidRPr="00211E3B">
        <w:rPr>
          <w:snapToGrid w:val="0"/>
          <w:sz w:val="22"/>
        </w:rPr>
        <w:t xml:space="preserve"> </w:t>
      </w:r>
      <w:r w:rsidRPr="00211E3B">
        <w:rPr>
          <w:snapToGrid w:val="0"/>
          <w:sz w:val="22"/>
        </w:rPr>
        <w:t>0,7</w:t>
      </w:r>
      <w:r w:rsidR="0085390D">
        <w:rPr>
          <w:snapToGrid w:val="0"/>
          <w:sz w:val="22"/>
        </w:rPr>
        <w:t> %</w:t>
      </w:r>
      <w:r w:rsidR="00AD7A56" w:rsidRPr="00211E3B">
        <w:rPr>
          <w:snapToGrid w:val="0"/>
          <w:sz w:val="22"/>
        </w:rPr>
        <w:t xml:space="preserve"> placebo </w:t>
      </w:r>
      <w:r w:rsidR="008A01AB" w:rsidRPr="00211E3B">
        <w:rPr>
          <w:snapToGrid w:val="0"/>
          <w:sz w:val="22"/>
        </w:rPr>
        <w:t xml:space="preserve">vartojusiųjų </w:t>
      </w:r>
      <w:r w:rsidR="00AD7A56" w:rsidRPr="00211E3B">
        <w:rPr>
          <w:snapToGrid w:val="0"/>
          <w:sz w:val="22"/>
        </w:rPr>
        <w:t>grupėje</w:t>
      </w:r>
      <w:r w:rsidRPr="00211E3B">
        <w:rPr>
          <w:snapToGrid w:val="0"/>
          <w:sz w:val="22"/>
        </w:rPr>
        <w:t>, INPULSIS tyrime; 0,9</w:t>
      </w:r>
      <w:r w:rsidR="0085390D">
        <w:rPr>
          <w:snapToGrid w:val="0"/>
          <w:sz w:val="22"/>
        </w:rPr>
        <w:t> %</w:t>
      </w:r>
      <w:r w:rsidR="00AD7A56" w:rsidRPr="00211E3B">
        <w:rPr>
          <w:snapToGrid w:val="0"/>
          <w:sz w:val="22"/>
        </w:rPr>
        <w:t xml:space="preserve"> nintedanibo </w:t>
      </w:r>
      <w:r w:rsidR="008A01AB" w:rsidRPr="00211E3B">
        <w:rPr>
          <w:snapToGrid w:val="0"/>
          <w:sz w:val="22"/>
        </w:rPr>
        <w:t xml:space="preserve">vartojusiųjų </w:t>
      </w:r>
      <w:r w:rsidR="00AD7A56" w:rsidRPr="00211E3B">
        <w:rPr>
          <w:snapToGrid w:val="0"/>
          <w:sz w:val="22"/>
        </w:rPr>
        <w:t>grupėje, palyginti su</w:t>
      </w:r>
      <w:r w:rsidRPr="00211E3B">
        <w:rPr>
          <w:snapToGrid w:val="0"/>
          <w:sz w:val="22"/>
        </w:rPr>
        <w:t xml:space="preserve"> 0,9</w:t>
      </w:r>
      <w:r w:rsidR="0085390D">
        <w:rPr>
          <w:snapToGrid w:val="0"/>
          <w:sz w:val="22"/>
        </w:rPr>
        <w:t> %</w:t>
      </w:r>
      <w:r w:rsidR="00AD7A56" w:rsidRPr="00211E3B">
        <w:rPr>
          <w:snapToGrid w:val="0"/>
          <w:sz w:val="22"/>
        </w:rPr>
        <w:t xml:space="preserve"> </w:t>
      </w:r>
      <w:r w:rsidR="008A01AB" w:rsidRPr="00211E3B">
        <w:rPr>
          <w:snapToGrid w:val="0"/>
          <w:sz w:val="22"/>
        </w:rPr>
        <w:t xml:space="preserve">vartojusiųjų </w:t>
      </w:r>
      <w:r w:rsidR="00AD7A56" w:rsidRPr="00211E3B">
        <w:rPr>
          <w:snapToGrid w:val="0"/>
          <w:sz w:val="22"/>
        </w:rPr>
        <w:t>placebo grupėje</w:t>
      </w:r>
      <w:r w:rsidRPr="00211E3B">
        <w:rPr>
          <w:snapToGrid w:val="0"/>
          <w:sz w:val="22"/>
        </w:rPr>
        <w:t>, INBUILD tyrime; 0,7</w:t>
      </w:r>
      <w:r w:rsidR="0085390D">
        <w:rPr>
          <w:snapToGrid w:val="0"/>
          <w:sz w:val="22"/>
        </w:rPr>
        <w:t> %</w:t>
      </w:r>
      <w:r w:rsidR="00AD7A56" w:rsidRPr="00211E3B">
        <w:rPr>
          <w:snapToGrid w:val="0"/>
          <w:sz w:val="22"/>
        </w:rPr>
        <w:t xml:space="preserve"> nintedanibo </w:t>
      </w:r>
      <w:r w:rsidR="008A01AB" w:rsidRPr="00211E3B">
        <w:rPr>
          <w:snapToGrid w:val="0"/>
          <w:sz w:val="22"/>
        </w:rPr>
        <w:t xml:space="preserve">vartojusiųjų </w:t>
      </w:r>
      <w:r w:rsidR="00AD7A56" w:rsidRPr="00211E3B">
        <w:rPr>
          <w:snapToGrid w:val="0"/>
          <w:sz w:val="22"/>
        </w:rPr>
        <w:t>grupėje, palyginti su</w:t>
      </w:r>
      <w:r w:rsidRPr="00211E3B">
        <w:rPr>
          <w:snapToGrid w:val="0"/>
          <w:sz w:val="22"/>
        </w:rPr>
        <w:t xml:space="preserve"> 0,7</w:t>
      </w:r>
      <w:r w:rsidR="0085390D">
        <w:rPr>
          <w:snapToGrid w:val="0"/>
          <w:sz w:val="22"/>
        </w:rPr>
        <w:t> %</w:t>
      </w:r>
      <w:r w:rsidR="00AD7A56" w:rsidRPr="00211E3B">
        <w:rPr>
          <w:snapToGrid w:val="0"/>
          <w:sz w:val="22"/>
        </w:rPr>
        <w:t xml:space="preserve"> placebo </w:t>
      </w:r>
      <w:r w:rsidR="008A01AB" w:rsidRPr="00211E3B">
        <w:rPr>
          <w:snapToGrid w:val="0"/>
          <w:sz w:val="22"/>
        </w:rPr>
        <w:t xml:space="preserve">vartojusiųjų </w:t>
      </w:r>
      <w:r w:rsidR="00AD7A56" w:rsidRPr="00211E3B">
        <w:rPr>
          <w:snapToGrid w:val="0"/>
          <w:sz w:val="22"/>
        </w:rPr>
        <w:t>grupėje</w:t>
      </w:r>
      <w:r w:rsidRPr="00211E3B">
        <w:rPr>
          <w:snapToGrid w:val="0"/>
          <w:sz w:val="22"/>
        </w:rPr>
        <w:t>, SENSCIS tyrime).</w:t>
      </w:r>
      <w:r w:rsidR="00AD7A56" w:rsidRPr="00211E3B">
        <w:rPr>
          <w:snapToGrid w:val="0"/>
          <w:sz w:val="22"/>
        </w:rPr>
        <w:t xml:space="preserve"> </w:t>
      </w:r>
      <w:r w:rsidRPr="00211E3B">
        <w:rPr>
          <w:snapToGrid w:val="0"/>
          <w:sz w:val="22"/>
        </w:rPr>
        <w:t>INPULSIS tyrimuose miokardo infarktą didesnė</w:t>
      </w:r>
      <w:r w:rsidR="00B77014" w:rsidRPr="00211E3B">
        <w:rPr>
          <w:snapToGrid w:val="0"/>
          <w:sz w:val="22"/>
        </w:rPr>
        <w:t xml:space="preserve"> </w:t>
      </w:r>
      <w:r w:rsidRPr="00211E3B">
        <w:rPr>
          <w:snapToGrid w:val="0"/>
          <w:sz w:val="22"/>
        </w:rPr>
        <w:t xml:space="preserve">procentinė dalis pacientų patyrė </w:t>
      </w:r>
      <w:r w:rsidR="00B77014" w:rsidRPr="00211E3B">
        <w:rPr>
          <w:snapToGrid w:val="0"/>
          <w:sz w:val="22"/>
        </w:rPr>
        <w:t>nintedanibo</w:t>
      </w:r>
      <w:r w:rsidRPr="00211E3B">
        <w:rPr>
          <w:snapToGrid w:val="0"/>
          <w:sz w:val="22"/>
        </w:rPr>
        <w:t xml:space="preserve"> </w:t>
      </w:r>
      <w:r w:rsidR="008A01AB" w:rsidRPr="00211E3B">
        <w:rPr>
          <w:snapToGrid w:val="0"/>
          <w:sz w:val="22"/>
        </w:rPr>
        <w:t xml:space="preserve">vartojusiųjų </w:t>
      </w:r>
      <w:r w:rsidRPr="00211E3B">
        <w:rPr>
          <w:snapToGrid w:val="0"/>
          <w:sz w:val="22"/>
        </w:rPr>
        <w:t>grupėje (1,6</w:t>
      </w:r>
      <w:r w:rsidR="0085390D">
        <w:rPr>
          <w:snapToGrid w:val="0"/>
          <w:sz w:val="22"/>
        </w:rPr>
        <w:t> %</w:t>
      </w:r>
      <w:r w:rsidRPr="00211E3B">
        <w:rPr>
          <w:snapToGrid w:val="0"/>
          <w:sz w:val="22"/>
        </w:rPr>
        <w:t xml:space="preserve">), palyginti su placebo </w:t>
      </w:r>
      <w:r w:rsidR="008A01AB" w:rsidRPr="00211E3B">
        <w:rPr>
          <w:snapToGrid w:val="0"/>
          <w:sz w:val="22"/>
        </w:rPr>
        <w:t xml:space="preserve">vartojusiųjų </w:t>
      </w:r>
      <w:r w:rsidRPr="00211E3B">
        <w:rPr>
          <w:snapToGrid w:val="0"/>
          <w:sz w:val="22"/>
        </w:rPr>
        <w:t>grupe (0,5</w:t>
      </w:r>
      <w:r w:rsidR="0085390D">
        <w:rPr>
          <w:snapToGrid w:val="0"/>
          <w:sz w:val="22"/>
        </w:rPr>
        <w:t> %</w:t>
      </w:r>
      <w:r w:rsidRPr="00211E3B">
        <w:rPr>
          <w:snapToGrid w:val="0"/>
          <w:sz w:val="22"/>
        </w:rPr>
        <w:t xml:space="preserve">), </w:t>
      </w:r>
      <w:r w:rsidR="00B77014" w:rsidRPr="00211E3B">
        <w:rPr>
          <w:snapToGrid w:val="0"/>
          <w:sz w:val="22"/>
        </w:rPr>
        <w:t>tačiau iš</w:t>
      </w:r>
      <w:r w:rsidRPr="00211E3B">
        <w:rPr>
          <w:snapToGrid w:val="0"/>
          <w:sz w:val="22"/>
        </w:rPr>
        <w:t>eminę širdies ligą atspindin</w:t>
      </w:r>
      <w:r w:rsidR="00B77014" w:rsidRPr="00211E3B">
        <w:rPr>
          <w:snapToGrid w:val="0"/>
          <w:sz w:val="22"/>
        </w:rPr>
        <w:t>čių</w:t>
      </w:r>
      <w:r w:rsidRPr="00211E3B">
        <w:rPr>
          <w:snapToGrid w:val="0"/>
          <w:sz w:val="22"/>
        </w:rPr>
        <w:t xml:space="preserve"> nepageidaujam</w:t>
      </w:r>
      <w:r w:rsidR="00B77014" w:rsidRPr="00211E3B">
        <w:rPr>
          <w:snapToGrid w:val="0"/>
          <w:sz w:val="22"/>
        </w:rPr>
        <w:t>ų</w:t>
      </w:r>
      <w:r w:rsidRPr="00211E3B">
        <w:rPr>
          <w:snapToGrid w:val="0"/>
          <w:sz w:val="22"/>
        </w:rPr>
        <w:t xml:space="preserve"> reiškini</w:t>
      </w:r>
      <w:r w:rsidR="00B77014" w:rsidRPr="00211E3B">
        <w:rPr>
          <w:snapToGrid w:val="0"/>
          <w:sz w:val="22"/>
        </w:rPr>
        <w:t>ų dažnis</w:t>
      </w:r>
      <w:r w:rsidRPr="00211E3B">
        <w:rPr>
          <w:snapToGrid w:val="0"/>
          <w:sz w:val="22"/>
        </w:rPr>
        <w:t xml:space="preserve"> </w:t>
      </w:r>
      <w:r w:rsidR="00B77014" w:rsidRPr="00211E3B">
        <w:rPr>
          <w:snapToGrid w:val="0"/>
          <w:sz w:val="22"/>
        </w:rPr>
        <w:t xml:space="preserve">nintedanibo </w:t>
      </w:r>
      <w:r w:rsidRPr="00211E3B">
        <w:rPr>
          <w:snapToGrid w:val="0"/>
          <w:sz w:val="22"/>
        </w:rPr>
        <w:t>ar placeb</w:t>
      </w:r>
      <w:r w:rsidR="00B77014" w:rsidRPr="00211E3B">
        <w:rPr>
          <w:snapToGrid w:val="0"/>
          <w:sz w:val="22"/>
        </w:rPr>
        <w:t>o</w:t>
      </w:r>
      <w:r w:rsidRPr="00211E3B">
        <w:rPr>
          <w:snapToGrid w:val="0"/>
          <w:sz w:val="22"/>
        </w:rPr>
        <w:t xml:space="preserve"> </w:t>
      </w:r>
      <w:r w:rsidR="00B77014" w:rsidRPr="00211E3B">
        <w:rPr>
          <w:snapToGrid w:val="0"/>
          <w:sz w:val="22"/>
        </w:rPr>
        <w:t>vartojusiųjų</w:t>
      </w:r>
      <w:r w:rsidRPr="00211E3B">
        <w:rPr>
          <w:snapToGrid w:val="0"/>
          <w:sz w:val="22"/>
        </w:rPr>
        <w:t xml:space="preserve"> grupėse buvo</w:t>
      </w:r>
      <w:r w:rsidR="00B77014" w:rsidRPr="00211E3B">
        <w:rPr>
          <w:snapToGrid w:val="0"/>
          <w:sz w:val="22"/>
        </w:rPr>
        <w:t xml:space="preserve"> panašus</w:t>
      </w:r>
      <w:r w:rsidRPr="00211E3B">
        <w:rPr>
          <w:snapToGrid w:val="0"/>
          <w:sz w:val="22"/>
        </w:rPr>
        <w:t>. Miokardo infarkto dažnis INBUILD tyrime buvo mažas: 0,9</w:t>
      </w:r>
      <w:r w:rsidR="0085390D">
        <w:rPr>
          <w:snapToGrid w:val="0"/>
          <w:sz w:val="22"/>
        </w:rPr>
        <w:t> %</w:t>
      </w:r>
      <w:r w:rsidR="001F2253" w:rsidRPr="00211E3B">
        <w:rPr>
          <w:snapToGrid w:val="0"/>
          <w:sz w:val="22"/>
        </w:rPr>
        <w:t xml:space="preserve"> nintedanibo </w:t>
      </w:r>
      <w:r w:rsidR="008A01AB" w:rsidRPr="00211E3B">
        <w:rPr>
          <w:snapToGrid w:val="0"/>
          <w:sz w:val="22"/>
        </w:rPr>
        <w:t xml:space="preserve">vartojusiųjų </w:t>
      </w:r>
      <w:r w:rsidR="001F2253" w:rsidRPr="00211E3B">
        <w:rPr>
          <w:snapToGrid w:val="0"/>
          <w:sz w:val="22"/>
        </w:rPr>
        <w:t>grupėje, palyginti su</w:t>
      </w:r>
      <w:r w:rsidRPr="00211E3B">
        <w:rPr>
          <w:snapToGrid w:val="0"/>
          <w:sz w:val="22"/>
        </w:rPr>
        <w:t xml:space="preserve"> 0,9</w:t>
      </w:r>
      <w:r w:rsidR="0085390D">
        <w:rPr>
          <w:snapToGrid w:val="0"/>
          <w:sz w:val="22"/>
        </w:rPr>
        <w:t> %</w:t>
      </w:r>
      <w:r w:rsidR="001F2253" w:rsidRPr="00211E3B">
        <w:rPr>
          <w:snapToGrid w:val="0"/>
          <w:sz w:val="22"/>
        </w:rPr>
        <w:t xml:space="preserve"> placebo </w:t>
      </w:r>
      <w:r w:rsidR="008A01AB" w:rsidRPr="00211E3B">
        <w:rPr>
          <w:snapToGrid w:val="0"/>
          <w:sz w:val="22"/>
        </w:rPr>
        <w:t xml:space="preserve">vartojusiųjų </w:t>
      </w:r>
      <w:r w:rsidR="001F2253" w:rsidRPr="00211E3B">
        <w:rPr>
          <w:snapToGrid w:val="0"/>
          <w:sz w:val="22"/>
        </w:rPr>
        <w:t>grupėje</w:t>
      </w:r>
      <w:r w:rsidRPr="00211E3B">
        <w:rPr>
          <w:snapToGrid w:val="0"/>
          <w:sz w:val="22"/>
        </w:rPr>
        <w:t xml:space="preserve">. SENSCIS tyrimo metu miokardo infarkto dažnis placebo </w:t>
      </w:r>
      <w:r w:rsidR="008A01AB" w:rsidRPr="00211E3B">
        <w:rPr>
          <w:snapToGrid w:val="0"/>
          <w:sz w:val="22"/>
        </w:rPr>
        <w:t xml:space="preserve">vartojusiųjų </w:t>
      </w:r>
      <w:r w:rsidRPr="00211E3B">
        <w:rPr>
          <w:snapToGrid w:val="0"/>
          <w:sz w:val="22"/>
        </w:rPr>
        <w:t xml:space="preserve">grupėje buvo </w:t>
      </w:r>
      <w:r w:rsidR="001F2253" w:rsidRPr="00211E3B">
        <w:rPr>
          <w:snapToGrid w:val="0"/>
          <w:sz w:val="22"/>
        </w:rPr>
        <w:t>mažas</w:t>
      </w:r>
      <w:r w:rsidRPr="00211E3B">
        <w:rPr>
          <w:snapToGrid w:val="0"/>
          <w:sz w:val="22"/>
        </w:rPr>
        <w:t xml:space="preserve"> (0,7</w:t>
      </w:r>
      <w:r w:rsidR="0085390D">
        <w:rPr>
          <w:snapToGrid w:val="0"/>
          <w:sz w:val="22"/>
        </w:rPr>
        <w:t> %</w:t>
      </w:r>
      <w:r w:rsidRPr="00211E3B">
        <w:rPr>
          <w:snapToGrid w:val="0"/>
          <w:sz w:val="22"/>
        </w:rPr>
        <w:t>),</w:t>
      </w:r>
      <w:r w:rsidR="008A01AB" w:rsidRPr="00211E3B">
        <w:rPr>
          <w:snapToGrid w:val="0"/>
          <w:sz w:val="22"/>
        </w:rPr>
        <w:t xml:space="preserve"> </w:t>
      </w:r>
      <w:r w:rsidRPr="00211E3B">
        <w:rPr>
          <w:snapToGrid w:val="0"/>
          <w:sz w:val="22"/>
        </w:rPr>
        <w:t xml:space="preserve">o </w:t>
      </w:r>
      <w:r w:rsidR="001F2253" w:rsidRPr="00211E3B">
        <w:rPr>
          <w:snapToGrid w:val="0"/>
          <w:sz w:val="22"/>
        </w:rPr>
        <w:t>nintedanibo vartojusių grupėje miokardo infarkto atvejų nebuvo</w:t>
      </w:r>
      <w:r w:rsidRPr="00211E3B">
        <w:rPr>
          <w:snapToGrid w:val="0"/>
          <w:sz w:val="22"/>
        </w:rPr>
        <w:t>.</w:t>
      </w:r>
    </w:p>
    <w:p w14:paraId="088D52B0" w14:textId="77777777" w:rsidR="006666E0" w:rsidRPr="00211E3B" w:rsidRDefault="006666E0" w:rsidP="006666E0">
      <w:pPr>
        <w:tabs>
          <w:tab w:val="left" w:pos="567"/>
        </w:tabs>
        <w:spacing w:line="260" w:lineRule="exact"/>
        <w:rPr>
          <w:snapToGrid w:val="0"/>
          <w:sz w:val="22"/>
        </w:rPr>
      </w:pPr>
      <w:r w:rsidRPr="00211E3B">
        <w:rPr>
          <w:snapToGrid w:val="0"/>
          <w:sz w:val="22"/>
        </w:rPr>
        <w:t>Pacientus, kuriems yra didesnė kardiovaskulinių reiškinių rizika, įskaitant sergančius širdies vainikinių arterijų liga, reikia gydyti atsargiai. Pacientams, kuriems atsiranda ūminės miokardo išemijos požymių ar simptomų, reikia įvertinti gydymo sustabdymo reikalingumą.</w:t>
      </w:r>
    </w:p>
    <w:p w14:paraId="4A16EF75" w14:textId="77777777" w:rsidR="00C6399C" w:rsidRPr="00211E3B" w:rsidRDefault="00C6399C" w:rsidP="00D14568">
      <w:pPr>
        <w:tabs>
          <w:tab w:val="left" w:pos="567"/>
        </w:tabs>
        <w:spacing w:line="260" w:lineRule="exact"/>
        <w:rPr>
          <w:snapToGrid w:val="0"/>
          <w:sz w:val="22"/>
        </w:rPr>
      </w:pPr>
    </w:p>
    <w:p w14:paraId="4AFA84E3" w14:textId="41CB3F42" w:rsidR="00D14568" w:rsidRPr="00211E3B" w:rsidRDefault="00D14568" w:rsidP="00D14568">
      <w:pPr>
        <w:tabs>
          <w:tab w:val="left" w:pos="567"/>
        </w:tabs>
        <w:spacing w:line="260" w:lineRule="exact"/>
        <w:rPr>
          <w:snapToGrid w:val="0"/>
          <w:sz w:val="22"/>
          <w:u w:val="single"/>
        </w:rPr>
      </w:pPr>
      <w:r w:rsidRPr="00211E3B">
        <w:rPr>
          <w:snapToGrid w:val="0"/>
          <w:sz w:val="22"/>
          <w:u w:val="single"/>
        </w:rPr>
        <w:t xml:space="preserve">Aneurizmos ir arterijų </w:t>
      </w:r>
      <w:r w:rsidR="00A00D93" w:rsidRPr="00211E3B">
        <w:rPr>
          <w:snapToGrid w:val="0"/>
          <w:sz w:val="22"/>
          <w:u w:val="single"/>
        </w:rPr>
        <w:t>atsisluoksniavimas</w:t>
      </w:r>
      <w:r w:rsidR="0092718B">
        <w:rPr>
          <w:snapToGrid w:val="0"/>
          <w:sz w:val="22"/>
          <w:u w:val="single"/>
        </w:rPr>
        <w:t xml:space="preserve"> (disekacija)</w:t>
      </w:r>
    </w:p>
    <w:p w14:paraId="0B3091AC" w14:textId="44EFF2EE" w:rsidR="00D14568" w:rsidRPr="00211E3B" w:rsidRDefault="00D14568" w:rsidP="00D14568">
      <w:pPr>
        <w:tabs>
          <w:tab w:val="left" w:pos="567"/>
        </w:tabs>
        <w:spacing w:line="260" w:lineRule="exact"/>
        <w:rPr>
          <w:snapToGrid w:val="0"/>
          <w:sz w:val="22"/>
        </w:rPr>
      </w:pPr>
      <w:r w:rsidRPr="00211E3B">
        <w:rPr>
          <w:snapToGrid w:val="0"/>
          <w:sz w:val="22"/>
        </w:rPr>
        <w:t xml:space="preserve">KEAF reakcijų sekos inhibitorių vartojimas gali paskatinti aneurizmų ir (arba) arterijos </w:t>
      </w:r>
      <w:r w:rsidR="00A00D93" w:rsidRPr="00211E3B">
        <w:rPr>
          <w:snapToGrid w:val="0"/>
          <w:sz w:val="22"/>
        </w:rPr>
        <w:t xml:space="preserve">atsisluoksniavimo </w:t>
      </w:r>
      <w:r w:rsidRPr="00211E3B">
        <w:rPr>
          <w:snapToGrid w:val="0"/>
          <w:sz w:val="22"/>
        </w:rPr>
        <w:t>vystymąsi pacientams, kurie</w:t>
      </w:r>
      <w:r w:rsidR="008A01AB" w:rsidRPr="00211E3B">
        <w:rPr>
          <w:snapToGrid w:val="0"/>
          <w:sz w:val="22"/>
        </w:rPr>
        <w:t xml:space="preserve"> serga</w:t>
      </w:r>
      <w:r w:rsidRPr="00211E3B">
        <w:rPr>
          <w:snapToGrid w:val="0"/>
          <w:sz w:val="22"/>
        </w:rPr>
        <w:t xml:space="preserve"> </w:t>
      </w:r>
      <w:r w:rsidR="008A01AB" w:rsidRPr="00211E3B">
        <w:rPr>
          <w:snapToGrid w:val="0"/>
          <w:sz w:val="22"/>
        </w:rPr>
        <w:t>hipertenzija arba ja neserga</w:t>
      </w:r>
      <w:r w:rsidRPr="00211E3B">
        <w:rPr>
          <w:snapToGrid w:val="0"/>
          <w:sz w:val="22"/>
        </w:rPr>
        <w:t>. Prieš pradedant gydyti</w:t>
      </w:r>
      <w:r w:rsidR="00A00D93" w:rsidRPr="00211E3B">
        <w:rPr>
          <w:snapToGrid w:val="0"/>
          <w:sz w:val="22"/>
        </w:rPr>
        <w:t xml:space="preserve"> </w:t>
      </w:r>
      <w:r w:rsidR="00442E02" w:rsidRPr="00211E3B">
        <w:rPr>
          <w:snapToGrid w:val="0"/>
          <w:sz w:val="22"/>
        </w:rPr>
        <w:t>Agarf</w:t>
      </w:r>
      <w:r w:rsidRPr="00211E3B">
        <w:rPr>
          <w:snapToGrid w:val="0"/>
          <w:sz w:val="22"/>
        </w:rPr>
        <w:t xml:space="preserve">, </w:t>
      </w:r>
      <w:r w:rsidR="00B06708" w:rsidRPr="00211E3B">
        <w:rPr>
          <w:snapToGrid w:val="0"/>
          <w:sz w:val="22"/>
        </w:rPr>
        <w:t xml:space="preserve">tokią riziką </w:t>
      </w:r>
      <w:r w:rsidRPr="00211E3B">
        <w:rPr>
          <w:snapToGrid w:val="0"/>
          <w:sz w:val="22"/>
        </w:rPr>
        <w:t>reikia atidžiai įvertinti pacientams, kuriems nustatyta rizikos veiksnių</w:t>
      </w:r>
      <w:r w:rsidR="00B06708" w:rsidRPr="00211E3B">
        <w:rPr>
          <w:snapToGrid w:val="0"/>
          <w:sz w:val="22"/>
        </w:rPr>
        <w:t>, tokių</w:t>
      </w:r>
      <w:r w:rsidRPr="00211E3B">
        <w:rPr>
          <w:snapToGrid w:val="0"/>
          <w:sz w:val="22"/>
        </w:rPr>
        <w:t xml:space="preserve"> kaip</w:t>
      </w:r>
      <w:r w:rsidR="00B06708" w:rsidRPr="00211E3B">
        <w:rPr>
          <w:snapToGrid w:val="0"/>
          <w:sz w:val="22"/>
        </w:rPr>
        <w:t xml:space="preserve"> </w:t>
      </w:r>
      <w:r w:rsidRPr="00211E3B">
        <w:rPr>
          <w:snapToGrid w:val="0"/>
          <w:sz w:val="22"/>
        </w:rPr>
        <w:t>hipertenzija arba anksčiau diagnozuota aortos aneurizma.</w:t>
      </w:r>
    </w:p>
    <w:p w14:paraId="4735626C" w14:textId="77777777" w:rsidR="00A00D93" w:rsidRPr="00211E3B" w:rsidRDefault="00A00D93" w:rsidP="00D14568">
      <w:pPr>
        <w:tabs>
          <w:tab w:val="left" w:pos="567"/>
        </w:tabs>
        <w:spacing w:line="260" w:lineRule="exact"/>
        <w:rPr>
          <w:snapToGrid w:val="0"/>
          <w:sz w:val="22"/>
        </w:rPr>
      </w:pPr>
    </w:p>
    <w:p w14:paraId="51EA5622" w14:textId="77777777" w:rsidR="005A2A28" w:rsidRPr="00211E3B" w:rsidRDefault="005A2A28" w:rsidP="005A2A28">
      <w:pPr>
        <w:tabs>
          <w:tab w:val="left" w:pos="567"/>
        </w:tabs>
        <w:spacing w:line="260" w:lineRule="exact"/>
        <w:rPr>
          <w:snapToGrid w:val="0"/>
          <w:sz w:val="22"/>
          <w:u w:val="single"/>
        </w:rPr>
      </w:pPr>
      <w:r w:rsidRPr="00211E3B">
        <w:rPr>
          <w:snapToGrid w:val="0"/>
          <w:sz w:val="22"/>
          <w:u w:val="single"/>
        </w:rPr>
        <w:t>Venų tromboembolija</w:t>
      </w:r>
    </w:p>
    <w:p w14:paraId="4DC1C82A" w14:textId="7535D860" w:rsidR="005A2A28" w:rsidRPr="00211E3B" w:rsidRDefault="005A2A28" w:rsidP="005A2A28">
      <w:pPr>
        <w:tabs>
          <w:tab w:val="left" w:pos="567"/>
        </w:tabs>
        <w:spacing w:line="260" w:lineRule="exact"/>
        <w:rPr>
          <w:snapToGrid w:val="0"/>
          <w:sz w:val="22"/>
        </w:rPr>
      </w:pPr>
      <w:r w:rsidRPr="00211E3B">
        <w:rPr>
          <w:snapToGrid w:val="0"/>
          <w:sz w:val="22"/>
        </w:rPr>
        <w:t>Klinikinių tyrimų metu venų tromboembolijos rizikos padidėjimo nintedanibu gydytiems pacientams</w:t>
      </w:r>
      <w:r w:rsidR="0022251F" w:rsidRPr="00211E3B">
        <w:rPr>
          <w:snapToGrid w:val="0"/>
          <w:sz w:val="22"/>
        </w:rPr>
        <w:t xml:space="preserve"> </w:t>
      </w:r>
      <w:r w:rsidRPr="00211E3B">
        <w:rPr>
          <w:snapToGrid w:val="0"/>
          <w:sz w:val="22"/>
        </w:rPr>
        <w:t>nestebėta. Atsižvelgiant į nintedanibo veikimo mechanizmą, tromboembolinių reiškinių rizika pacientams gali būti padidėjusi.</w:t>
      </w:r>
    </w:p>
    <w:p w14:paraId="03BE030D" w14:textId="77777777" w:rsidR="005A2A28" w:rsidRPr="00211E3B" w:rsidRDefault="005A2A28" w:rsidP="005A2A28">
      <w:pPr>
        <w:tabs>
          <w:tab w:val="left" w:pos="567"/>
        </w:tabs>
        <w:spacing w:line="260" w:lineRule="exact"/>
        <w:rPr>
          <w:snapToGrid w:val="0"/>
          <w:sz w:val="22"/>
        </w:rPr>
      </w:pPr>
    </w:p>
    <w:p w14:paraId="1E28D292" w14:textId="77777777" w:rsidR="005A2A28" w:rsidRPr="00211E3B" w:rsidRDefault="005A2A28" w:rsidP="008A01AB">
      <w:pPr>
        <w:tabs>
          <w:tab w:val="left" w:pos="567"/>
        </w:tabs>
        <w:rPr>
          <w:snapToGrid w:val="0"/>
          <w:sz w:val="22"/>
          <w:u w:val="single"/>
        </w:rPr>
      </w:pPr>
      <w:r w:rsidRPr="00211E3B">
        <w:rPr>
          <w:snapToGrid w:val="0"/>
          <w:sz w:val="22"/>
          <w:u w:val="single"/>
        </w:rPr>
        <w:t>Virškinimo trakto perforacijos ir išeminis kolitas</w:t>
      </w:r>
    </w:p>
    <w:p w14:paraId="498A868A" w14:textId="46A21ED0" w:rsidR="005A2A28" w:rsidRPr="00211E3B" w:rsidRDefault="005A2A28" w:rsidP="008A01AB">
      <w:pPr>
        <w:tabs>
          <w:tab w:val="left" w:pos="567"/>
        </w:tabs>
        <w:rPr>
          <w:snapToGrid w:val="0"/>
          <w:sz w:val="22"/>
        </w:rPr>
      </w:pPr>
      <w:r w:rsidRPr="00211E3B">
        <w:rPr>
          <w:snapToGrid w:val="0"/>
          <w:sz w:val="22"/>
        </w:rPr>
        <w:t xml:space="preserve">Klinikinių tyrimų </w:t>
      </w:r>
      <w:r w:rsidR="00E725DB" w:rsidRPr="00211E3B">
        <w:rPr>
          <w:snapToGrid w:val="0"/>
          <w:sz w:val="22"/>
        </w:rPr>
        <w:t xml:space="preserve">su suaugusiais pacientais </w:t>
      </w:r>
      <w:r w:rsidRPr="00211E3B">
        <w:rPr>
          <w:snapToGrid w:val="0"/>
          <w:sz w:val="22"/>
        </w:rPr>
        <w:t xml:space="preserve">metu </w:t>
      </w:r>
      <w:r w:rsidR="00E725DB" w:rsidRPr="00211E3B">
        <w:rPr>
          <w:snapToGrid w:val="0"/>
          <w:sz w:val="22"/>
        </w:rPr>
        <w:t>perforacijos dažnis a</w:t>
      </w:r>
      <w:r w:rsidRPr="00211E3B">
        <w:rPr>
          <w:snapToGrid w:val="0"/>
          <w:sz w:val="22"/>
        </w:rPr>
        <w:t xml:space="preserve">biejose gydymo grupėse </w:t>
      </w:r>
      <w:r w:rsidR="00E725DB" w:rsidRPr="00211E3B">
        <w:rPr>
          <w:snapToGrid w:val="0"/>
          <w:sz w:val="22"/>
        </w:rPr>
        <w:t>buvo</w:t>
      </w:r>
      <w:r w:rsidR="00B6390F" w:rsidRPr="00211E3B">
        <w:rPr>
          <w:snapToGrid w:val="0"/>
          <w:sz w:val="22"/>
        </w:rPr>
        <w:t xml:space="preserve"> </w:t>
      </w:r>
      <w:r w:rsidRPr="00211E3B">
        <w:rPr>
          <w:snapToGrid w:val="0"/>
          <w:sz w:val="22"/>
        </w:rPr>
        <w:t>iki 0,3</w:t>
      </w:r>
      <w:r w:rsidR="0085390D">
        <w:rPr>
          <w:snapToGrid w:val="0"/>
          <w:sz w:val="22"/>
        </w:rPr>
        <w:t> %</w:t>
      </w:r>
      <w:r w:rsidRPr="00211E3B">
        <w:rPr>
          <w:snapToGrid w:val="0"/>
          <w:sz w:val="22"/>
        </w:rPr>
        <w:t>.</w:t>
      </w:r>
      <w:r w:rsidR="00E725DB" w:rsidRPr="00211E3B">
        <w:rPr>
          <w:snapToGrid w:val="0"/>
          <w:sz w:val="22"/>
        </w:rPr>
        <w:t xml:space="preserve"> Atsižvelgiant į nintedanibo veikimo mechanizmą,</w:t>
      </w:r>
      <w:r w:rsidRPr="00211E3B">
        <w:rPr>
          <w:snapToGrid w:val="0"/>
          <w:sz w:val="22"/>
        </w:rPr>
        <w:t xml:space="preserve"> virškinimo trakto perforacijos rizika gal</w:t>
      </w:r>
      <w:r w:rsidR="00E725DB" w:rsidRPr="00211E3B">
        <w:rPr>
          <w:snapToGrid w:val="0"/>
          <w:sz w:val="22"/>
        </w:rPr>
        <w:t>i</w:t>
      </w:r>
      <w:r w:rsidRPr="00211E3B">
        <w:rPr>
          <w:snapToGrid w:val="0"/>
          <w:sz w:val="22"/>
        </w:rPr>
        <w:t xml:space="preserve"> būti</w:t>
      </w:r>
      <w:r w:rsidR="00E725DB" w:rsidRPr="00211E3B">
        <w:rPr>
          <w:snapToGrid w:val="0"/>
          <w:sz w:val="22"/>
        </w:rPr>
        <w:t xml:space="preserve"> </w:t>
      </w:r>
      <w:r w:rsidRPr="00211E3B">
        <w:rPr>
          <w:snapToGrid w:val="0"/>
          <w:sz w:val="22"/>
        </w:rPr>
        <w:t xml:space="preserve">padidėjusi. </w:t>
      </w:r>
      <w:bookmarkStart w:id="0" w:name="_Hlk151225994"/>
      <w:r w:rsidR="00E725DB" w:rsidRPr="00211E3B">
        <w:rPr>
          <w:snapToGrid w:val="0"/>
          <w:sz w:val="22"/>
        </w:rPr>
        <w:t xml:space="preserve">Po vaistinio preparato pateikimo į rinką </w:t>
      </w:r>
      <w:bookmarkEnd w:id="0"/>
      <w:r w:rsidR="00E725DB" w:rsidRPr="00211E3B">
        <w:rPr>
          <w:snapToGrid w:val="0"/>
          <w:sz w:val="22"/>
        </w:rPr>
        <w:t>buvo gauta pranešimų apie virškinimo trakto perforacijos ir išeminio kolito atvejus, kai kurie atvejai buvo mirtini</w:t>
      </w:r>
      <w:r w:rsidRPr="00211E3B">
        <w:rPr>
          <w:snapToGrid w:val="0"/>
          <w:sz w:val="22"/>
        </w:rPr>
        <w:t xml:space="preserve">. </w:t>
      </w:r>
      <w:r w:rsidR="00E725DB" w:rsidRPr="00211E3B">
        <w:rPr>
          <w:snapToGrid w:val="0"/>
          <w:sz w:val="22"/>
        </w:rPr>
        <w:t>Ypač atsargiai reikia gydyti pacientus, kuriems anksčiau buvo atlikta pilvo organų operacija, pasireiškusi pep</w:t>
      </w:r>
      <w:r w:rsidR="00B10A67">
        <w:rPr>
          <w:snapToGrid w:val="0"/>
          <w:sz w:val="22"/>
        </w:rPr>
        <w:t>si</w:t>
      </w:r>
      <w:r w:rsidR="00E725DB" w:rsidRPr="00211E3B">
        <w:rPr>
          <w:snapToGrid w:val="0"/>
          <w:sz w:val="22"/>
        </w:rPr>
        <w:t xml:space="preserve">nė opa arba </w:t>
      </w:r>
      <w:r w:rsidR="00B6390F" w:rsidRPr="00211E3B">
        <w:rPr>
          <w:snapToGrid w:val="0"/>
          <w:sz w:val="22"/>
        </w:rPr>
        <w:t xml:space="preserve">nustatyta divertikulų </w:t>
      </w:r>
      <w:r w:rsidR="00E725DB" w:rsidRPr="00211E3B">
        <w:rPr>
          <w:snapToGrid w:val="0"/>
          <w:sz w:val="22"/>
        </w:rPr>
        <w:t xml:space="preserve">ar </w:t>
      </w:r>
      <w:r w:rsidR="00B6390F" w:rsidRPr="00211E3B">
        <w:rPr>
          <w:snapToGrid w:val="0"/>
          <w:sz w:val="22"/>
        </w:rPr>
        <w:t xml:space="preserve">kurie </w:t>
      </w:r>
      <w:r w:rsidR="00E725DB" w:rsidRPr="00211E3B">
        <w:rPr>
          <w:snapToGrid w:val="0"/>
          <w:sz w:val="22"/>
        </w:rPr>
        <w:t>tuo pat vartoja kortikosteroidų arba nesteroidinių vaistinių preparatų nuo uždegimo (NVNU</w:t>
      </w:r>
      <w:r w:rsidR="00F02AA9" w:rsidRPr="00211E3B">
        <w:rPr>
          <w:snapToGrid w:val="0"/>
          <w:sz w:val="22"/>
        </w:rPr>
        <w:t>)</w:t>
      </w:r>
      <w:r w:rsidR="00E725DB" w:rsidRPr="00211E3B">
        <w:rPr>
          <w:snapToGrid w:val="0"/>
          <w:sz w:val="22"/>
        </w:rPr>
        <w:t xml:space="preserve">. Agarf galima pradėti vartoti po </w:t>
      </w:r>
      <w:r w:rsidR="00B6390F" w:rsidRPr="00211E3B">
        <w:rPr>
          <w:snapToGrid w:val="0"/>
          <w:sz w:val="22"/>
        </w:rPr>
        <w:t>pilvo</w:t>
      </w:r>
      <w:r w:rsidR="00E725DB" w:rsidRPr="00211E3B">
        <w:rPr>
          <w:snapToGrid w:val="0"/>
          <w:sz w:val="22"/>
        </w:rPr>
        <w:t xml:space="preserve"> </w:t>
      </w:r>
      <w:r w:rsidR="0002292F" w:rsidRPr="00211E3B">
        <w:rPr>
          <w:snapToGrid w:val="0"/>
          <w:sz w:val="22"/>
        </w:rPr>
        <w:t xml:space="preserve">organų </w:t>
      </w:r>
      <w:r w:rsidR="00E725DB" w:rsidRPr="00211E3B">
        <w:rPr>
          <w:snapToGrid w:val="0"/>
          <w:sz w:val="22"/>
        </w:rPr>
        <w:t xml:space="preserve">operacijos praėjus </w:t>
      </w:r>
      <w:r w:rsidR="00B6390F" w:rsidRPr="00211E3B">
        <w:rPr>
          <w:snapToGrid w:val="0"/>
          <w:sz w:val="22"/>
        </w:rPr>
        <w:t>ne mažiau kaip</w:t>
      </w:r>
      <w:r w:rsidR="00E725DB" w:rsidRPr="00211E3B">
        <w:rPr>
          <w:snapToGrid w:val="0"/>
          <w:sz w:val="22"/>
        </w:rPr>
        <w:t xml:space="preserve"> </w:t>
      </w:r>
      <w:r w:rsidR="00E725DB" w:rsidRPr="00211E3B">
        <w:rPr>
          <w:snapToGrid w:val="0"/>
          <w:sz w:val="22"/>
        </w:rPr>
        <w:lastRenderedPageBreak/>
        <w:t>4 savaitėms. Pacientams, kurie patyrė virškinimo trakto perforaciją</w:t>
      </w:r>
      <w:r w:rsidR="00B6390F" w:rsidRPr="00211E3B">
        <w:rPr>
          <w:snapToGrid w:val="0"/>
          <w:sz w:val="22"/>
        </w:rPr>
        <w:t xml:space="preserve"> arba kuriems išsivystė išeminis kolitas</w:t>
      </w:r>
      <w:r w:rsidR="00E725DB" w:rsidRPr="00211E3B">
        <w:rPr>
          <w:snapToGrid w:val="0"/>
          <w:sz w:val="22"/>
        </w:rPr>
        <w:t xml:space="preserve">, gydymą </w:t>
      </w:r>
      <w:r w:rsidR="00B6390F" w:rsidRPr="00211E3B">
        <w:rPr>
          <w:snapToGrid w:val="0"/>
          <w:sz w:val="22"/>
        </w:rPr>
        <w:t>Agarf</w:t>
      </w:r>
      <w:r w:rsidR="00E725DB" w:rsidRPr="00211E3B">
        <w:rPr>
          <w:snapToGrid w:val="0"/>
          <w:sz w:val="22"/>
        </w:rPr>
        <w:t xml:space="preserve"> reikia nutraukti visam laikui. </w:t>
      </w:r>
      <w:r w:rsidR="00B6390F" w:rsidRPr="00211E3B">
        <w:rPr>
          <w:snapToGrid w:val="0"/>
          <w:sz w:val="22"/>
        </w:rPr>
        <w:t>I</w:t>
      </w:r>
      <w:r w:rsidR="00E725DB" w:rsidRPr="00211E3B">
        <w:rPr>
          <w:snapToGrid w:val="0"/>
          <w:sz w:val="22"/>
        </w:rPr>
        <w:t xml:space="preserve">šskirtiniais atvejais gydymą </w:t>
      </w:r>
      <w:r w:rsidR="00B6390F" w:rsidRPr="00211E3B">
        <w:rPr>
          <w:snapToGrid w:val="0"/>
          <w:sz w:val="22"/>
        </w:rPr>
        <w:t>Agarf</w:t>
      </w:r>
      <w:r w:rsidR="00E725DB" w:rsidRPr="00211E3B">
        <w:rPr>
          <w:snapToGrid w:val="0"/>
          <w:sz w:val="22"/>
        </w:rPr>
        <w:t xml:space="preserve"> galima atnaujinti visiškai išnykus išeminiam kolitui ir atidžiai įvertinus paciento būklę bei kitus rizikos veiksnius</w:t>
      </w:r>
      <w:r w:rsidRPr="00211E3B">
        <w:rPr>
          <w:snapToGrid w:val="0"/>
          <w:sz w:val="22"/>
        </w:rPr>
        <w:t>.</w:t>
      </w:r>
    </w:p>
    <w:p w14:paraId="6258331F" w14:textId="04658CB5" w:rsidR="005A2A28" w:rsidRPr="00211E3B" w:rsidRDefault="005A2A28" w:rsidP="005A2A28">
      <w:pPr>
        <w:tabs>
          <w:tab w:val="left" w:pos="567"/>
        </w:tabs>
        <w:spacing w:line="260" w:lineRule="exact"/>
        <w:rPr>
          <w:snapToGrid w:val="0"/>
          <w:sz w:val="22"/>
        </w:rPr>
      </w:pPr>
    </w:p>
    <w:p w14:paraId="3BDA1188" w14:textId="04132010" w:rsidR="0002292F" w:rsidRPr="00211E3B" w:rsidRDefault="0002292F" w:rsidP="0002292F">
      <w:pPr>
        <w:tabs>
          <w:tab w:val="left" w:pos="567"/>
        </w:tabs>
        <w:spacing w:line="260" w:lineRule="exact"/>
        <w:rPr>
          <w:snapToGrid w:val="0"/>
          <w:sz w:val="22"/>
          <w:u w:val="single"/>
        </w:rPr>
      </w:pPr>
      <w:r w:rsidRPr="00211E3B">
        <w:rPr>
          <w:snapToGrid w:val="0"/>
          <w:sz w:val="22"/>
          <w:u w:val="single"/>
        </w:rPr>
        <w:t>Nefrozinio lygio proteinurija</w:t>
      </w:r>
      <w:r w:rsidR="00A457E8" w:rsidRPr="00211E3B">
        <w:rPr>
          <w:snapToGrid w:val="0"/>
          <w:sz w:val="22"/>
          <w:u w:val="single"/>
        </w:rPr>
        <w:t xml:space="preserve"> ir trombozinė mikroangiopatija</w:t>
      </w:r>
    </w:p>
    <w:p w14:paraId="37DF6E8A" w14:textId="39D17368" w:rsidR="0002292F" w:rsidRPr="00211E3B" w:rsidRDefault="0002292F" w:rsidP="0002292F">
      <w:pPr>
        <w:tabs>
          <w:tab w:val="left" w:pos="567"/>
        </w:tabs>
        <w:spacing w:line="260" w:lineRule="exact"/>
        <w:rPr>
          <w:snapToGrid w:val="0"/>
          <w:sz w:val="22"/>
        </w:rPr>
      </w:pPr>
      <w:r w:rsidRPr="00211E3B">
        <w:rPr>
          <w:snapToGrid w:val="0"/>
          <w:sz w:val="22"/>
        </w:rPr>
        <w:t>Po vaistinio preparato pateikimo į rinką gauta labai nedaug pranešimų apie nefrozinio lygio proteinurijos atvejus</w:t>
      </w:r>
      <w:r w:rsidR="008F6072" w:rsidRPr="00211E3B">
        <w:rPr>
          <w:snapToGrid w:val="0"/>
          <w:sz w:val="22"/>
        </w:rPr>
        <w:t xml:space="preserve"> tiek su inkstų funkcijos sutrikimu, tiek be jo</w:t>
      </w:r>
      <w:r w:rsidRPr="00211E3B">
        <w:rPr>
          <w:snapToGrid w:val="0"/>
          <w:sz w:val="22"/>
        </w:rPr>
        <w:t>. Individualių atvejų histologiniai duomenys rodė glomerulų mikroangiopatiją su inkstų trombais arba be jų. Pastebėta, kad simptomai išnyko nutraukus gydymą nintedanibu</w:t>
      </w:r>
      <w:r w:rsidR="008F6072" w:rsidRPr="00211E3B">
        <w:rPr>
          <w:snapToGrid w:val="0"/>
          <w:sz w:val="22"/>
        </w:rPr>
        <w:t>, kai kuriais atvejais buvo nustatyta liekamoji proteinurija</w:t>
      </w:r>
      <w:r w:rsidRPr="00211E3B">
        <w:rPr>
          <w:snapToGrid w:val="0"/>
          <w:sz w:val="22"/>
        </w:rPr>
        <w:t>. Pacientams, kuriems atsiranda nefrozinio sindromo požymių ar simptomų, reikia įvertinti gydymo sustabdymo būtinybę.</w:t>
      </w:r>
    </w:p>
    <w:p w14:paraId="4860D279" w14:textId="77777777" w:rsidR="001B14DB" w:rsidRPr="00211E3B" w:rsidRDefault="001B14DB" w:rsidP="0002292F">
      <w:pPr>
        <w:tabs>
          <w:tab w:val="left" w:pos="567"/>
        </w:tabs>
        <w:spacing w:line="260" w:lineRule="exact"/>
        <w:rPr>
          <w:snapToGrid w:val="0"/>
          <w:sz w:val="22"/>
        </w:rPr>
      </w:pPr>
    </w:p>
    <w:p w14:paraId="0E5856C8" w14:textId="4BB3F86F" w:rsidR="001B14DB" w:rsidRPr="00211E3B" w:rsidRDefault="001B14DB" w:rsidP="001B14DB">
      <w:pPr>
        <w:tabs>
          <w:tab w:val="left" w:pos="567"/>
        </w:tabs>
        <w:spacing w:line="260" w:lineRule="exact"/>
        <w:rPr>
          <w:snapToGrid w:val="0"/>
          <w:sz w:val="22"/>
        </w:rPr>
      </w:pPr>
      <w:r w:rsidRPr="00211E3B">
        <w:rPr>
          <w:snapToGrid w:val="0"/>
          <w:sz w:val="22"/>
        </w:rPr>
        <w:t xml:space="preserve">KEAF reakcijų sekos inhibitoriai buvo susiję su trombozine mikroangiopatija (TMA), įskaitant labai nedaug atvejų, nustatytų vartojant nintedanibą. Nintedanibą vartojančiam pacientui nustačius su TMA susijusių laboratorinių arba klinikinių pakitimų, reikia nutraukti gydymą nintedanibu ir atlikti nuodugnų </w:t>
      </w:r>
      <w:r w:rsidR="0022251F" w:rsidRPr="00211E3B">
        <w:rPr>
          <w:snapToGrid w:val="0"/>
          <w:sz w:val="22"/>
        </w:rPr>
        <w:t>ištyrimą</w:t>
      </w:r>
      <w:r w:rsidRPr="00211E3B">
        <w:rPr>
          <w:snapToGrid w:val="0"/>
          <w:sz w:val="22"/>
        </w:rPr>
        <w:t xml:space="preserve"> dėl TMA.</w:t>
      </w:r>
    </w:p>
    <w:p w14:paraId="3351EB4F" w14:textId="77777777" w:rsidR="0002292F" w:rsidRPr="00211E3B" w:rsidRDefault="0002292F" w:rsidP="005A2A28">
      <w:pPr>
        <w:tabs>
          <w:tab w:val="left" w:pos="567"/>
        </w:tabs>
        <w:spacing w:line="260" w:lineRule="exact"/>
        <w:rPr>
          <w:snapToGrid w:val="0"/>
          <w:sz w:val="22"/>
        </w:rPr>
      </w:pPr>
    </w:p>
    <w:p w14:paraId="6CAE280A" w14:textId="796503DB" w:rsidR="005A2A28" w:rsidRPr="00211E3B" w:rsidRDefault="005A2A28" w:rsidP="005A2A28">
      <w:pPr>
        <w:tabs>
          <w:tab w:val="left" w:pos="567"/>
        </w:tabs>
        <w:spacing w:line="260" w:lineRule="exact"/>
        <w:rPr>
          <w:snapToGrid w:val="0"/>
          <w:sz w:val="22"/>
          <w:u w:val="single"/>
        </w:rPr>
      </w:pPr>
      <w:r w:rsidRPr="00211E3B">
        <w:rPr>
          <w:snapToGrid w:val="0"/>
          <w:sz w:val="22"/>
          <w:u w:val="single"/>
        </w:rPr>
        <w:t>Hipertenzija</w:t>
      </w:r>
    </w:p>
    <w:p w14:paraId="6E8246C9" w14:textId="7FDBCADF" w:rsidR="004B7CC3" w:rsidRPr="00211E3B" w:rsidRDefault="004B7CC3" w:rsidP="004B7CC3">
      <w:pPr>
        <w:tabs>
          <w:tab w:val="left" w:pos="567"/>
        </w:tabs>
        <w:spacing w:line="260" w:lineRule="exact"/>
        <w:rPr>
          <w:snapToGrid w:val="0"/>
          <w:sz w:val="22"/>
        </w:rPr>
      </w:pPr>
      <w:r w:rsidRPr="00211E3B">
        <w:rPr>
          <w:snapToGrid w:val="0"/>
          <w:sz w:val="22"/>
        </w:rPr>
        <w:t>Agarf vartojimas gali padidinti kraujospūdį. Sisteminį kraujospūdį reikia matuoti periodiškai ir atsižvelgiant į klinikinę situaciją.</w:t>
      </w:r>
    </w:p>
    <w:p w14:paraId="16E28488" w14:textId="2E02CF50" w:rsidR="004B7CC3" w:rsidRPr="00211E3B" w:rsidRDefault="004B7CC3" w:rsidP="004B7CC3">
      <w:pPr>
        <w:tabs>
          <w:tab w:val="left" w:pos="567"/>
        </w:tabs>
        <w:spacing w:line="260" w:lineRule="exact"/>
        <w:rPr>
          <w:snapToGrid w:val="0"/>
          <w:sz w:val="22"/>
        </w:rPr>
      </w:pPr>
    </w:p>
    <w:p w14:paraId="0B032476" w14:textId="77777777" w:rsidR="004B7CC3" w:rsidRPr="00211E3B" w:rsidRDefault="004B7CC3" w:rsidP="004B7CC3">
      <w:pPr>
        <w:tabs>
          <w:tab w:val="left" w:pos="567"/>
        </w:tabs>
        <w:spacing w:line="260" w:lineRule="exact"/>
        <w:rPr>
          <w:snapToGrid w:val="0"/>
          <w:sz w:val="22"/>
          <w:u w:val="single"/>
        </w:rPr>
      </w:pPr>
      <w:r w:rsidRPr="00211E3B">
        <w:rPr>
          <w:snapToGrid w:val="0"/>
          <w:sz w:val="22"/>
          <w:u w:val="single"/>
        </w:rPr>
        <w:t>Plaučių hipertenzija</w:t>
      </w:r>
    </w:p>
    <w:p w14:paraId="1AD71500" w14:textId="72361C7A" w:rsidR="004B7CC3" w:rsidRPr="00211E3B" w:rsidRDefault="004B7CC3" w:rsidP="004B7CC3">
      <w:pPr>
        <w:tabs>
          <w:tab w:val="left" w:pos="567"/>
        </w:tabs>
        <w:spacing w:line="260" w:lineRule="exact"/>
        <w:rPr>
          <w:snapToGrid w:val="0"/>
          <w:sz w:val="22"/>
        </w:rPr>
      </w:pPr>
      <w:r w:rsidRPr="00211E3B">
        <w:rPr>
          <w:snapToGrid w:val="0"/>
          <w:sz w:val="22"/>
        </w:rPr>
        <w:t xml:space="preserve">Duomenų apie </w:t>
      </w:r>
      <w:r w:rsidR="003512B6">
        <w:rPr>
          <w:snapToGrid w:val="0"/>
          <w:sz w:val="22"/>
        </w:rPr>
        <w:t>nintedanibo</w:t>
      </w:r>
      <w:r w:rsidR="003512B6" w:rsidRPr="00211E3B">
        <w:rPr>
          <w:snapToGrid w:val="0"/>
          <w:sz w:val="22"/>
        </w:rPr>
        <w:t xml:space="preserve"> </w:t>
      </w:r>
      <w:r w:rsidRPr="00211E3B">
        <w:rPr>
          <w:snapToGrid w:val="0"/>
          <w:sz w:val="22"/>
        </w:rPr>
        <w:t>vartojimą plaučių hipertenzija sergantiems pacientams yra nedaug. Pacientai, kuriems yra reikšminga plaučių hipertenzija (širdies indeksas ≤ 2 l/min./m², parenteriniu būdu skiriamas epoprostenolis ir (arba) treprostinilis arba reikšmingas dešiniosios širdies nepakankamumas), į INBUILD ir SENSCIS tyrimus nebuvo įtraukti.</w:t>
      </w:r>
    </w:p>
    <w:p w14:paraId="5F3C5A90" w14:textId="740535E5" w:rsidR="005A2A28" w:rsidRPr="00211E3B" w:rsidRDefault="004B7CC3" w:rsidP="004B7CC3">
      <w:pPr>
        <w:tabs>
          <w:tab w:val="left" w:pos="567"/>
        </w:tabs>
        <w:spacing w:line="260" w:lineRule="exact"/>
        <w:rPr>
          <w:snapToGrid w:val="0"/>
          <w:sz w:val="22"/>
          <w:szCs w:val="22"/>
        </w:rPr>
      </w:pPr>
      <w:r w:rsidRPr="00211E3B">
        <w:rPr>
          <w:snapToGrid w:val="0"/>
          <w:sz w:val="22"/>
        </w:rPr>
        <w:t>Pac</w:t>
      </w:r>
      <w:r w:rsidRPr="00211E3B">
        <w:rPr>
          <w:snapToGrid w:val="0"/>
          <w:sz w:val="22"/>
          <w:szCs w:val="22"/>
        </w:rPr>
        <w:t>ientų, kuriems yra sunki plaučių hipertenzija, Agarf gydyti negalima. Lengva ir vidutinio sunkumo</w:t>
      </w:r>
      <w:r w:rsidR="005A6D89" w:rsidRPr="00211E3B">
        <w:rPr>
          <w:snapToGrid w:val="0"/>
          <w:sz w:val="22"/>
          <w:szCs w:val="22"/>
        </w:rPr>
        <w:t xml:space="preserve"> </w:t>
      </w:r>
      <w:r w:rsidRPr="00211E3B">
        <w:rPr>
          <w:snapToGrid w:val="0"/>
          <w:sz w:val="22"/>
          <w:szCs w:val="22"/>
        </w:rPr>
        <w:t>plaučių hipertenzija sergančius pacientus rekomenduojama atidžiai stebėti.</w:t>
      </w:r>
      <w:r w:rsidR="005A2A28" w:rsidRPr="00211E3B">
        <w:rPr>
          <w:snapToGrid w:val="0"/>
          <w:sz w:val="22"/>
          <w:szCs w:val="22"/>
        </w:rPr>
        <w:cr/>
      </w:r>
    </w:p>
    <w:p w14:paraId="40E840E4" w14:textId="77777777" w:rsidR="00D14568" w:rsidRPr="00211E3B" w:rsidRDefault="00D14568" w:rsidP="00D14568">
      <w:pPr>
        <w:tabs>
          <w:tab w:val="left" w:pos="567"/>
        </w:tabs>
        <w:spacing w:line="260" w:lineRule="exact"/>
        <w:rPr>
          <w:snapToGrid w:val="0"/>
          <w:sz w:val="22"/>
          <w:szCs w:val="22"/>
          <w:u w:val="single"/>
        </w:rPr>
      </w:pPr>
      <w:r w:rsidRPr="00211E3B">
        <w:rPr>
          <w:snapToGrid w:val="0"/>
          <w:sz w:val="22"/>
          <w:szCs w:val="22"/>
          <w:u w:val="single"/>
        </w:rPr>
        <w:t>Žaizdos gijimo komplikacija</w:t>
      </w:r>
    </w:p>
    <w:p w14:paraId="2DC186DC" w14:textId="77777777" w:rsidR="00375C06" w:rsidRPr="00211E3B" w:rsidRDefault="00375C06" w:rsidP="00375C06">
      <w:pPr>
        <w:tabs>
          <w:tab w:val="left" w:pos="567"/>
        </w:tabs>
        <w:spacing w:line="260" w:lineRule="exact"/>
        <w:rPr>
          <w:sz w:val="22"/>
          <w:szCs w:val="22"/>
        </w:rPr>
      </w:pPr>
      <w:r w:rsidRPr="00211E3B">
        <w:rPr>
          <w:snapToGrid w:val="0"/>
          <w:sz w:val="22"/>
          <w:szCs w:val="22"/>
        </w:rPr>
        <w:t xml:space="preserve">Klinikinių tyrimų metu žaizdos gijimo pablogėjimo dažnio padidėjimo nepastebėta. </w:t>
      </w:r>
      <w:r w:rsidR="00D14568" w:rsidRPr="00211E3B">
        <w:rPr>
          <w:snapToGrid w:val="0"/>
          <w:sz w:val="22"/>
          <w:szCs w:val="22"/>
        </w:rPr>
        <w:t xml:space="preserve">Remiantis veikimo mechanizmu, nintedanibas gali pabloginti žaizdos gijimą. </w:t>
      </w:r>
      <w:r w:rsidR="00B063BB" w:rsidRPr="00211E3B">
        <w:rPr>
          <w:snapToGrid w:val="0"/>
          <w:sz w:val="22"/>
          <w:szCs w:val="22"/>
        </w:rPr>
        <w:t>N</w:t>
      </w:r>
      <w:r w:rsidR="00D14568" w:rsidRPr="00211E3B">
        <w:rPr>
          <w:snapToGrid w:val="0"/>
          <w:sz w:val="22"/>
          <w:szCs w:val="22"/>
        </w:rPr>
        <w:t>intedanibo</w:t>
      </w:r>
      <w:r w:rsidR="00B063BB" w:rsidRPr="00211E3B">
        <w:rPr>
          <w:snapToGrid w:val="0"/>
          <w:sz w:val="22"/>
          <w:szCs w:val="22"/>
        </w:rPr>
        <w:t xml:space="preserve"> </w:t>
      </w:r>
      <w:r w:rsidR="00D14568" w:rsidRPr="00211E3B">
        <w:rPr>
          <w:snapToGrid w:val="0"/>
          <w:sz w:val="22"/>
          <w:szCs w:val="22"/>
        </w:rPr>
        <w:t>tyrimų,</w:t>
      </w:r>
      <w:r w:rsidR="00B063BB" w:rsidRPr="00211E3B">
        <w:rPr>
          <w:snapToGrid w:val="0"/>
          <w:sz w:val="22"/>
          <w:szCs w:val="22"/>
        </w:rPr>
        <w:t xml:space="preserve"> </w:t>
      </w:r>
      <w:r w:rsidR="00D14568" w:rsidRPr="00211E3B">
        <w:rPr>
          <w:snapToGrid w:val="0"/>
          <w:sz w:val="22"/>
          <w:szCs w:val="22"/>
        </w:rPr>
        <w:t>skirtų jo poveikiui žaizdos gijimui ištirti</w:t>
      </w:r>
      <w:r w:rsidR="00B063BB" w:rsidRPr="00211E3B">
        <w:rPr>
          <w:snapToGrid w:val="0"/>
          <w:sz w:val="22"/>
          <w:szCs w:val="22"/>
        </w:rPr>
        <w:t>, nebuvo atlikta</w:t>
      </w:r>
      <w:r w:rsidR="00D14568" w:rsidRPr="00211E3B">
        <w:rPr>
          <w:snapToGrid w:val="0"/>
          <w:sz w:val="22"/>
          <w:szCs w:val="22"/>
        </w:rPr>
        <w:t xml:space="preserve">. Todėl gydymą </w:t>
      </w:r>
      <w:r w:rsidR="00224B5B" w:rsidRPr="00211E3B">
        <w:rPr>
          <w:snapToGrid w:val="0"/>
          <w:sz w:val="22"/>
          <w:szCs w:val="22"/>
        </w:rPr>
        <w:t>Agarf</w:t>
      </w:r>
      <w:r w:rsidR="00D14568" w:rsidRPr="00211E3B">
        <w:rPr>
          <w:snapToGrid w:val="0"/>
          <w:sz w:val="22"/>
          <w:szCs w:val="22"/>
        </w:rPr>
        <w:t xml:space="preserve"> reikia pradėti, o tuo atveju, kai jo</w:t>
      </w:r>
      <w:r w:rsidR="00B063BB" w:rsidRPr="00211E3B">
        <w:rPr>
          <w:snapToGrid w:val="0"/>
          <w:sz w:val="22"/>
          <w:szCs w:val="22"/>
        </w:rPr>
        <w:t xml:space="preserve"> </w:t>
      </w:r>
      <w:r w:rsidR="00D14568" w:rsidRPr="00211E3B">
        <w:rPr>
          <w:snapToGrid w:val="0"/>
          <w:sz w:val="22"/>
          <w:szCs w:val="22"/>
        </w:rPr>
        <w:t>vartojimas buvo nutrauktas prieš operaciją ‒ atnaujinti tik remiantis klinikin</w:t>
      </w:r>
      <w:r w:rsidR="00B063BB" w:rsidRPr="00211E3B">
        <w:rPr>
          <w:snapToGrid w:val="0"/>
          <w:sz w:val="22"/>
          <w:szCs w:val="22"/>
        </w:rPr>
        <w:t>iu sprendimu</w:t>
      </w:r>
      <w:r w:rsidR="00D14568" w:rsidRPr="00211E3B">
        <w:rPr>
          <w:snapToGrid w:val="0"/>
          <w:sz w:val="22"/>
          <w:szCs w:val="22"/>
        </w:rPr>
        <w:t xml:space="preserve"> dėl pakankamo</w:t>
      </w:r>
      <w:r w:rsidR="00B063BB" w:rsidRPr="00211E3B">
        <w:rPr>
          <w:snapToGrid w:val="0"/>
          <w:sz w:val="22"/>
          <w:szCs w:val="22"/>
        </w:rPr>
        <w:t xml:space="preserve"> </w:t>
      </w:r>
      <w:r w:rsidR="00D14568" w:rsidRPr="00211E3B">
        <w:rPr>
          <w:snapToGrid w:val="0"/>
          <w:sz w:val="22"/>
          <w:szCs w:val="22"/>
        </w:rPr>
        <w:t>žaizdos gijimo.</w:t>
      </w:r>
      <w:r w:rsidRPr="00211E3B">
        <w:rPr>
          <w:sz w:val="22"/>
          <w:szCs w:val="22"/>
        </w:rPr>
        <w:t xml:space="preserve"> </w:t>
      </w:r>
    </w:p>
    <w:p w14:paraId="0DE07716" w14:textId="77777777" w:rsidR="00375C06" w:rsidRPr="00211E3B" w:rsidRDefault="00375C06" w:rsidP="00375C06">
      <w:pPr>
        <w:tabs>
          <w:tab w:val="left" w:pos="567"/>
        </w:tabs>
        <w:spacing w:line="260" w:lineRule="exact"/>
        <w:rPr>
          <w:sz w:val="22"/>
          <w:szCs w:val="22"/>
        </w:rPr>
      </w:pPr>
    </w:p>
    <w:p w14:paraId="06EDF282" w14:textId="0D367EF6" w:rsidR="00375C06" w:rsidRPr="00211E3B" w:rsidRDefault="00375C06" w:rsidP="00375C06">
      <w:pPr>
        <w:tabs>
          <w:tab w:val="left" w:pos="567"/>
        </w:tabs>
        <w:spacing w:line="260" w:lineRule="exact"/>
        <w:rPr>
          <w:snapToGrid w:val="0"/>
          <w:sz w:val="22"/>
          <w:szCs w:val="22"/>
          <w:u w:val="single"/>
        </w:rPr>
      </w:pPr>
      <w:r w:rsidRPr="00211E3B">
        <w:rPr>
          <w:sz w:val="22"/>
          <w:szCs w:val="22"/>
          <w:u w:val="single"/>
        </w:rPr>
        <w:t>Vartojimas kartu</w:t>
      </w:r>
      <w:r w:rsidRPr="00211E3B">
        <w:rPr>
          <w:snapToGrid w:val="0"/>
          <w:sz w:val="22"/>
          <w:szCs w:val="22"/>
          <w:u w:val="single"/>
        </w:rPr>
        <w:t xml:space="preserve"> su pirfenidonu</w:t>
      </w:r>
    </w:p>
    <w:p w14:paraId="4D172654" w14:textId="20EF66AA" w:rsidR="00D14568" w:rsidRPr="00211E3B" w:rsidRDefault="00375C06" w:rsidP="00375C06">
      <w:pPr>
        <w:tabs>
          <w:tab w:val="left" w:pos="567"/>
        </w:tabs>
        <w:spacing w:line="260" w:lineRule="exact"/>
        <w:rPr>
          <w:snapToGrid w:val="0"/>
          <w:sz w:val="22"/>
        </w:rPr>
      </w:pPr>
      <w:r w:rsidRPr="00211E3B">
        <w:rPr>
          <w:snapToGrid w:val="0"/>
          <w:sz w:val="22"/>
          <w:szCs w:val="22"/>
        </w:rPr>
        <w:t xml:space="preserve">Tam skirto farmakokinetikos tyrimo metu vertintas nintedanibo vartojimas kartu su pirfenidonu IPF sergantiems pacientams. </w:t>
      </w:r>
      <w:r w:rsidR="00D67B57" w:rsidRPr="00211E3B">
        <w:rPr>
          <w:snapToGrid w:val="0"/>
          <w:sz w:val="22"/>
        </w:rPr>
        <w:t xml:space="preserve">Remiantis gautais rezultatais, duomenų apie reikšmingą vaistinių preparatų farmakokinetinę sąveiką kartu vartojant nintedanibo ir pirfenidono nėra </w:t>
      </w:r>
      <w:r w:rsidRPr="00211E3B">
        <w:rPr>
          <w:snapToGrid w:val="0"/>
          <w:sz w:val="22"/>
          <w:szCs w:val="22"/>
        </w:rPr>
        <w:t>(žr. 5.2 skyrių). Kadangi abiejų vaistinių prepara</w:t>
      </w:r>
      <w:r w:rsidRPr="00211E3B">
        <w:rPr>
          <w:snapToGrid w:val="0"/>
          <w:sz w:val="22"/>
        </w:rPr>
        <w:t xml:space="preserve">tų saugumo savybės yra panašios, yra tikėtinas </w:t>
      </w:r>
      <w:r w:rsidR="006B54A9">
        <w:rPr>
          <w:snapToGrid w:val="0"/>
          <w:sz w:val="22"/>
        </w:rPr>
        <w:t>papildomas</w:t>
      </w:r>
      <w:r w:rsidR="006B54A9" w:rsidRPr="00211E3B">
        <w:rPr>
          <w:snapToGrid w:val="0"/>
          <w:sz w:val="22"/>
        </w:rPr>
        <w:t xml:space="preserve"> </w:t>
      </w:r>
      <w:r w:rsidR="000B4027" w:rsidRPr="00211E3B">
        <w:rPr>
          <w:snapToGrid w:val="0"/>
          <w:sz w:val="22"/>
        </w:rPr>
        <w:t xml:space="preserve">poveikis sukeliant </w:t>
      </w:r>
      <w:r w:rsidRPr="00211E3B">
        <w:rPr>
          <w:snapToGrid w:val="0"/>
          <w:sz w:val="22"/>
        </w:rPr>
        <w:t>nepageidaujam</w:t>
      </w:r>
      <w:r w:rsidR="000B4027" w:rsidRPr="00211E3B">
        <w:rPr>
          <w:snapToGrid w:val="0"/>
          <w:sz w:val="22"/>
        </w:rPr>
        <w:t>as</w:t>
      </w:r>
      <w:r w:rsidRPr="00211E3B">
        <w:rPr>
          <w:snapToGrid w:val="0"/>
          <w:sz w:val="22"/>
        </w:rPr>
        <w:t xml:space="preserve"> reakcij</w:t>
      </w:r>
      <w:r w:rsidR="000B4027" w:rsidRPr="00211E3B">
        <w:rPr>
          <w:snapToGrid w:val="0"/>
          <w:sz w:val="22"/>
        </w:rPr>
        <w:t>as</w:t>
      </w:r>
      <w:r w:rsidRPr="00211E3B">
        <w:rPr>
          <w:snapToGrid w:val="0"/>
          <w:sz w:val="22"/>
        </w:rPr>
        <w:t>, įskaitant nepageidaujam</w:t>
      </w:r>
      <w:r w:rsidR="000B4027" w:rsidRPr="00211E3B">
        <w:rPr>
          <w:snapToGrid w:val="0"/>
          <w:sz w:val="22"/>
        </w:rPr>
        <w:t>us</w:t>
      </w:r>
      <w:r w:rsidRPr="00211E3B">
        <w:rPr>
          <w:snapToGrid w:val="0"/>
          <w:sz w:val="22"/>
        </w:rPr>
        <w:t xml:space="preserve"> virškinimo trak</w:t>
      </w:r>
      <w:r w:rsidR="000B4027" w:rsidRPr="00211E3B">
        <w:rPr>
          <w:snapToGrid w:val="0"/>
          <w:sz w:val="22"/>
        </w:rPr>
        <w:t>to</w:t>
      </w:r>
      <w:r w:rsidRPr="00211E3B">
        <w:rPr>
          <w:snapToGrid w:val="0"/>
          <w:sz w:val="22"/>
        </w:rPr>
        <w:t xml:space="preserve"> ir kepen</w:t>
      </w:r>
      <w:r w:rsidR="000B4027" w:rsidRPr="00211E3B">
        <w:rPr>
          <w:snapToGrid w:val="0"/>
          <w:sz w:val="22"/>
        </w:rPr>
        <w:t>ų reiškinius</w:t>
      </w:r>
      <w:r w:rsidRPr="00211E3B">
        <w:rPr>
          <w:snapToGrid w:val="0"/>
          <w:sz w:val="22"/>
        </w:rPr>
        <w:t>. Naudos ir</w:t>
      </w:r>
      <w:r w:rsidR="000B4027" w:rsidRPr="00211E3B">
        <w:rPr>
          <w:snapToGrid w:val="0"/>
          <w:sz w:val="22"/>
        </w:rPr>
        <w:t xml:space="preserve"> </w:t>
      </w:r>
      <w:r w:rsidRPr="00211E3B">
        <w:rPr>
          <w:snapToGrid w:val="0"/>
          <w:sz w:val="22"/>
        </w:rPr>
        <w:t>rizikos santykis</w:t>
      </w:r>
      <w:r w:rsidR="000B4027" w:rsidRPr="00211E3B">
        <w:rPr>
          <w:snapToGrid w:val="0"/>
          <w:sz w:val="22"/>
        </w:rPr>
        <w:t xml:space="preserve"> kartu skiriant</w:t>
      </w:r>
      <w:r w:rsidRPr="00211E3B">
        <w:rPr>
          <w:snapToGrid w:val="0"/>
          <w:sz w:val="22"/>
        </w:rPr>
        <w:t xml:space="preserve"> pirfenidon</w:t>
      </w:r>
      <w:r w:rsidR="000B4027" w:rsidRPr="00211E3B">
        <w:rPr>
          <w:snapToGrid w:val="0"/>
          <w:sz w:val="22"/>
        </w:rPr>
        <w:t>ą nenustatytas</w:t>
      </w:r>
      <w:r w:rsidRPr="00211E3B">
        <w:rPr>
          <w:snapToGrid w:val="0"/>
          <w:sz w:val="22"/>
        </w:rPr>
        <w:t>.</w:t>
      </w:r>
      <w:r w:rsidRPr="00211E3B">
        <w:rPr>
          <w:snapToGrid w:val="0"/>
          <w:sz w:val="22"/>
        </w:rPr>
        <w:cr/>
      </w:r>
    </w:p>
    <w:p w14:paraId="0C26361E" w14:textId="51B69DC3" w:rsidR="00D14568" w:rsidRPr="00211E3B" w:rsidRDefault="00D14568" w:rsidP="00D14568">
      <w:pPr>
        <w:tabs>
          <w:tab w:val="left" w:pos="567"/>
        </w:tabs>
        <w:spacing w:line="260" w:lineRule="exact"/>
        <w:rPr>
          <w:snapToGrid w:val="0"/>
          <w:sz w:val="22"/>
          <w:u w:val="single"/>
        </w:rPr>
      </w:pPr>
      <w:r w:rsidRPr="00211E3B">
        <w:rPr>
          <w:snapToGrid w:val="0"/>
          <w:sz w:val="22"/>
          <w:u w:val="single"/>
        </w:rPr>
        <w:t>Poveikis QT intervalui</w:t>
      </w:r>
    </w:p>
    <w:p w14:paraId="31DA1513" w14:textId="39F5407A" w:rsidR="00D14568" w:rsidRPr="00211E3B" w:rsidRDefault="00D14568" w:rsidP="00D14568">
      <w:pPr>
        <w:tabs>
          <w:tab w:val="left" w:pos="567"/>
        </w:tabs>
        <w:spacing w:line="260" w:lineRule="exact"/>
        <w:rPr>
          <w:snapToGrid w:val="0"/>
          <w:sz w:val="22"/>
        </w:rPr>
      </w:pPr>
      <w:r w:rsidRPr="00211E3B">
        <w:rPr>
          <w:snapToGrid w:val="0"/>
          <w:sz w:val="22"/>
        </w:rPr>
        <w:t xml:space="preserve">Klinikinių </w:t>
      </w:r>
      <w:r w:rsidR="000A7A49" w:rsidRPr="00211E3B">
        <w:rPr>
          <w:snapToGrid w:val="0"/>
          <w:sz w:val="22"/>
        </w:rPr>
        <w:t xml:space="preserve">nintedanibo </w:t>
      </w:r>
      <w:r w:rsidRPr="00211E3B">
        <w:rPr>
          <w:snapToGrid w:val="0"/>
          <w:sz w:val="22"/>
        </w:rPr>
        <w:t xml:space="preserve">tyrimų </w:t>
      </w:r>
      <w:r w:rsidR="000A7A49" w:rsidRPr="00211E3B">
        <w:rPr>
          <w:snapToGrid w:val="0"/>
          <w:sz w:val="22"/>
        </w:rPr>
        <w:t>programos</w:t>
      </w:r>
      <w:r w:rsidRPr="00211E3B">
        <w:rPr>
          <w:snapToGrid w:val="0"/>
          <w:sz w:val="22"/>
        </w:rPr>
        <w:t xml:space="preserve"> metu </w:t>
      </w:r>
      <w:r w:rsidR="00375C06" w:rsidRPr="00211E3B">
        <w:rPr>
          <w:snapToGrid w:val="0"/>
          <w:sz w:val="22"/>
        </w:rPr>
        <w:t xml:space="preserve">duomenų apie </w:t>
      </w:r>
      <w:r w:rsidRPr="00211E3B">
        <w:rPr>
          <w:snapToGrid w:val="0"/>
          <w:sz w:val="22"/>
        </w:rPr>
        <w:t>QT intervalo pailgėjim</w:t>
      </w:r>
      <w:r w:rsidR="00375C06" w:rsidRPr="00211E3B">
        <w:rPr>
          <w:snapToGrid w:val="0"/>
          <w:sz w:val="22"/>
        </w:rPr>
        <w:t>ą</w:t>
      </w:r>
      <w:r w:rsidRPr="00211E3B">
        <w:rPr>
          <w:snapToGrid w:val="0"/>
          <w:sz w:val="22"/>
        </w:rPr>
        <w:t xml:space="preserve"> </w:t>
      </w:r>
      <w:r w:rsidR="000A7A49" w:rsidRPr="00211E3B">
        <w:rPr>
          <w:snapToGrid w:val="0"/>
          <w:sz w:val="22"/>
        </w:rPr>
        <w:t xml:space="preserve">nebuvo </w:t>
      </w:r>
      <w:r w:rsidR="00375C06" w:rsidRPr="00211E3B">
        <w:rPr>
          <w:snapToGrid w:val="0"/>
          <w:sz w:val="22"/>
        </w:rPr>
        <w:t>gauta</w:t>
      </w:r>
      <w:r w:rsidR="000A7A49" w:rsidRPr="00211E3B">
        <w:rPr>
          <w:snapToGrid w:val="0"/>
          <w:sz w:val="22"/>
        </w:rPr>
        <w:t xml:space="preserve"> </w:t>
      </w:r>
      <w:r w:rsidRPr="00211E3B">
        <w:rPr>
          <w:snapToGrid w:val="0"/>
          <w:sz w:val="22"/>
        </w:rPr>
        <w:t>(žr. 5.1</w:t>
      </w:r>
      <w:r w:rsidR="000A7A49" w:rsidRPr="00211E3B">
        <w:rPr>
          <w:snapToGrid w:val="0"/>
          <w:sz w:val="22"/>
        </w:rPr>
        <w:t> </w:t>
      </w:r>
      <w:r w:rsidRPr="00211E3B">
        <w:rPr>
          <w:snapToGrid w:val="0"/>
          <w:sz w:val="22"/>
        </w:rPr>
        <w:t>skyrių).</w:t>
      </w:r>
      <w:r w:rsidR="000A7A49" w:rsidRPr="00211E3B">
        <w:rPr>
          <w:snapToGrid w:val="0"/>
          <w:sz w:val="22"/>
        </w:rPr>
        <w:t xml:space="preserve"> </w:t>
      </w:r>
      <w:r w:rsidRPr="00211E3B">
        <w:rPr>
          <w:snapToGrid w:val="0"/>
          <w:sz w:val="22"/>
        </w:rPr>
        <w:t xml:space="preserve">Kadangi žinoma, kad </w:t>
      </w:r>
      <w:r w:rsidR="000A7A49" w:rsidRPr="00211E3B">
        <w:rPr>
          <w:snapToGrid w:val="0"/>
          <w:sz w:val="22"/>
        </w:rPr>
        <w:t>keli</w:t>
      </w:r>
      <w:r w:rsidRPr="00211E3B">
        <w:rPr>
          <w:snapToGrid w:val="0"/>
          <w:sz w:val="22"/>
        </w:rPr>
        <w:t xml:space="preserve"> kiti tirozinkinazės inhibitoriai daro poveikį QT intervalui, nintedanibą </w:t>
      </w:r>
      <w:r w:rsidR="000A7A49" w:rsidRPr="00211E3B">
        <w:rPr>
          <w:snapToGrid w:val="0"/>
          <w:sz w:val="22"/>
        </w:rPr>
        <w:t xml:space="preserve">reikia atsargiai skirti </w:t>
      </w:r>
      <w:r w:rsidRPr="00211E3B">
        <w:rPr>
          <w:snapToGrid w:val="0"/>
          <w:sz w:val="22"/>
        </w:rPr>
        <w:t>pacientams, kuriems gali pailgėti QTc intervalas.</w:t>
      </w:r>
    </w:p>
    <w:p w14:paraId="391BCE4D" w14:textId="77777777" w:rsidR="005D554B" w:rsidRPr="00211E3B" w:rsidRDefault="005D554B" w:rsidP="005D554B">
      <w:pPr>
        <w:tabs>
          <w:tab w:val="left" w:pos="567"/>
        </w:tabs>
        <w:spacing w:line="260" w:lineRule="exact"/>
        <w:rPr>
          <w:snapToGrid w:val="0"/>
          <w:sz w:val="22"/>
          <w:szCs w:val="24"/>
        </w:rPr>
      </w:pPr>
    </w:p>
    <w:p w14:paraId="7AC63E74" w14:textId="77777777" w:rsidR="005D554B" w:rsidRPr="00211E3B" w:rsidRDefault="005D554B" w:rsidP="005D554B">
      <w:pPr>
        <w:keepNext/>
        <w:tabs>
          <w:tab w:val="left" w:pos="567"/>
        </w:tabs>
        <w:spacing w:line="260" w:lineRule="exact"/>
        <w:jc w:val="both"/>
        <w:outlineLvl w:val="3"/>
        <w:rPr>
          <w:b/>
          <w:bCs/>
          <w:snapToGrid w:val="0"/>
          <w:sz w:val="22"/>
          <w:szCs w:val="28"/>
          <w:lang w:eastAsia="x-none"/>
        </w:rPr>
      </w:pPr>
      <w:r w:rsidRPr="00211E3B">
        <w:rPr>
          <w:b/>
          <w:bCs/>
          <w:snapToGrid w:val="0"/>
          <w:sz w:val="22"/>
          <w:szCs w:val="28"/>
          <w:lang w:eastAsia="x-none"/>
        </w:rPr>
        <w:t>4.5</w:t>
      </w:r>
      <w:r w:rsidRPr="00211E3B">
        <w:rPr>
          <w:b/>
          <w:bCs/>
          <w:snapToGrid w:val="0"/>
          <w:sz w:val="22"/>
          <w:szCs w:val="28"/>
          <w:lang w:eastAsia="x-none"/>
        </w:rPr>
        <w:tab/>
        <w:t>Sąveika su kitais vaistiniais preparatais ir kitokia sąveika</w:t>
      </w:r>
    </w:p>
    <w:p w14:paraId="2256EA38" w14:textId="77777777" w:rsidR="005D554B" w:rsidRPr="00211E3B" w:rsidRDefault="005D554B" w:rsidP="005D554B">
      <w:pPr>
        <w:tabs>
          <w:tab w:val="left" w:pos="567"/>
        </w:tabs>
        <w:spacing w:line="260" w:lineRule="exact"/>
        <w:rPr>
          <w:snapToGrid w:val="0"/>
          <w:sz w:val="22"/>
          <w:szCs w:val="24"/>
        </w:rPr>
      </w:pPr>
    </w:p>
    <w:p w14:paraId="2847BDEA" w14:textId="6A6902EB" w:rsidR="00E27BA1" w:rsidRPr="00211E3B" w:rsidRDefault="00E27BA1" w:rsidP="00E27BA1">
      <w:pPr>
        <w:tabs>
          <w:tab w:val="left" w:pos="567"/>
        </w:tabs>
        <w:spacing w:line="260" w:lineRule="exact"/>
        <w:rPr>
          <w:snapToGrid w:val="0"/>
          <w:sz w:val="22"/>
          <w:szCs w:val="24"/>
          <w:u w:val="single"/>
        </w:rPr>
      </w:pPr>
      <w:r w:rsidRPr="00211E3B">
        <w:rPr>
          <w:snapToGrid w:val="0"/>
          <w:sz w:val="22"/>
          <w:szCs w:val="24"/>
          <w:u w:val="single"/>
        </w:rPr>
        <w:t>P glikoproteinas (P-gp)</w:t>
      </w:r>
    </w:p>
    <w:p w14:paraId="07D3363A" w14:textId="2423CB7A" w:rsidR="00E27BA1" w:rsidRPr="00211E3B" w:rsidRDefault="00E27BA1" w:rsidP="00707E7D">
      <w:pPr>
        <w:tabs>
          <w:tab w:val="left" w:pos="567"/>
        </w:tabs>
        <w:spacing w:line="260" w:lineRule="exact"/>
        <w:rPr>
          <w:snapToGrid w:val="0"/>
          <w:sz w:val="22"/>
          <w:szCs w:val="24"/>
        </w:rPr>
      </w:pPr>
      <w:r w:rsidRPr="00211E3B">
        <w:rPr>
          <w:snapToGrid w:val="0"/>
          <w:sz w:val="22"/>
          <w:szCs w:val="24"/>
        </w:rPr>
        <w:t>Nintedanibas yra P-gp substratas (žr. 5.2</w:t>
      </w:r>
      <w:r w:rsidR="00707E7D" w:rsidRPr="00211E3B">
        <w:rPr>
          <w:snapToGrid w:val="0"/>
          <w:sz w:val="22"/>
          <w:szCs w:val="24"/>
        </w:rPr>
        <w:t> </w:t>
      </w:r>
      <w:r w:rsidRPr="00211E3B">
        <w:rPr>
          <w:snapToGrid w:val="0"/>
          <w:sz w:val="22"/>
          <w:szCs w:val="24"/>
        </w:rPr>
        <w:t>skyrių). Vaistinių preparatų sąvei</w:t>
      </w:r>
      <w:r w:rsidR="00707E7D" w:rsidRPr="00211E3B">
        <w:rPr>
          <w:snapToGrid w:val="0"/>
          <w:sz w:val="22"/>
          <w:szCs w:val="24"/>
        </w:rPr>
        <w:t>kos</w:t>
      </w:r>
      <w:r w:rsidRPr="00211E3B">
        <w:rPr>
          <w:snapToGrid w:val="0"/>
          <w:sz w:val="22"/>
          <w:szCs w:val="24"/>
        </w:rPr>
        <w:t xml:space="preserve"> tyrimo</w:t>
      </w:r>
      <w:r w:rsidR="00707E7D" w:rsidRPr="00211E3B">
        <w:rPr>
          <w:snapToGrid w:val="0"/>
          <w:sz w:val="22"/>
          <w:szCs w:val="24"/>
        </w:rPr>
        <w:t xml:space="preserve"> </w:t>
      </w:r>
      <w:r w:rsidRPr="00211E3B">
        <w:rPr>
          <w:snapToGrid w:val="0"/>
          <w:sz w:val="22"/>
          <w:szCs w:val="24"/>
        </w:rPr>
        <w:t>metu kartu vartojamas stipriai veikiantis P-gp inhibitorius ketokonazolas nintedanibo ekspoziciją,</w:t>
      </w:r>
      <w:r w:rsidR="00707E7D" w:rsidRPr="00211E3B">
        <w:rPr>
          <w:snapToGrid w:val="0"/>
          <w:sz w:val="22"/>
          <w:szCs w:val="24"/>
        </w:rPr>
        <w:t xml:space="preserve"> </w:t>
      </w:r>
      <w:r w:rsidRPr="00211E3B">
        <w:rPr>
          <w:snapToGrid w:val="0"/>
          <w:sz w:val="22"/>
          <w:szCs w:val="24"/>
        </w:rPr>
        <w:t>remiantis AUC, padidino 1,61</w:t>
      </w:r>
      <w:r w:rsidR="00707E7D" w:rsidRPr="00211E3B">
        <w:rPr>
          <w:snapToGrid w:val="0"/>
          <w:sz w:val="22"/>
          <w:szCs w:val="24"/>
        </w:rPr>
        <w:t> </w:t>
      </w:r>
      <w:r w:rsidRPr="00211E3B">
        <w:rPr>
          <w:snapToGrid w:val="0"/>
          <w:sz w:val="22"/>
          <w:szCs w:val="24"/>
        </w:rPr>
        <w:t>karto, remiantis C</w:t>
      </w:r>
      <w:r w:rsidRPr="00211E3B">
        <w:rPr>
          <w:snapToGrid w:val="0"/>
          <w:sz w:val="22"/>
          <w:szCs w:val="24"/>
          <w:vertAlign w:val="subscript"/>
        </w:rPr>
        <w:t>max</w:t>
      </w:r>
      <w:r w:rsidRPr="00211E3B">
        <w:rPr>
          <w:snapToGrid w:val="0"/>
          <w:sz w:val="22"/>
          <w:szCs w:val="24"/>
        </w:rPr>
        <w:t xml:space="preserve"> – 1,83</w:t>
      </w:r>
      <w:r w:rsidR="00707E7D" w:rsidRPr="00211E3B">
        <w:rPr>
          <w:snapToGrid w:val="0"/>
          <w:sz w:val="22"/>
          <w:szCs w:val="24"/>
        </w:rPr>
        <w:t> </w:t>
      </w:r>
      <w:r w:rsidRPr="00211E3B">
        <w:rPr>
          <w:snapToGrid w:val="0"/>
          <w:sz w:val="22"/>
          <w:szCs w:val="24"/>
        </w:rPr>
        <w:t xml:space="preserve">karto. Vaistinių preparatų sąveikos tyrimo metu kartu </w:t>
      </w:r>
      <w:r w:rsidRPr="00211E3B">
        <w:rPr>
          <w:snapToGrid w:val="0"/>
          <w:sz w:val="22"/>
          <w:szCs w:val="24"/>
        </w:rPr>
        <w:lastRenderedPageBreak/>
        <w:t>vartojamas stipriai veikiantis P-gp induktorius rifampicinas nintedanibo</w:t>
      </w:r>
      <w:r w:rsidR="00707E7D" w:rsidRPr="00211E3B">
        <w:rPr>
          <w:snapToGrid w:val="0"/>
          <w:sz w:val="22"/>
          <w:szCs w:val="24"/>
        </w:rPr>
        <w:t xml:space="preserve"> </w:t>
      </w:r>
      <w:r w:rsidRPr="00211E3B">
        <w:rPr>
          <w:snapToGrid w:val="0"/>
          <w:sz w:val="22"/>
          <w:szCs w:val="24"/>
        </w:rPr>
        <w:t>ekspoziciją, remiantis AUC, sumažino 50,3</w:t>
      </w:r>
      <w:r w:rsidR="0085390D">
        <w:rPr>
          <w:snapToGrid w:val="0"/>
          <w:sz w:val="22"/>
          <w:szCs w:val="24"/>
        </w:rPr>
        <w:t> %</w:t>
      </w:r>
      <w:r w:rsidRPr="00211E3B">
        <w:rPr>
          <w:snapToGrid w:val="0"/>
          <w:sz w:val="22"/>
          <w:szCs w:val="24"/>
        </w:rPr>
        <w:t>, remiantis C</w:t>
      </w:r>
      <w:r w:rsidRPr="00211E3B">
        <w:rPr>
          <w:snapToGrid w:val="0"/>
          <w:sz w:val="22"/>
          <w:szCs w:val="24"/>
          <w:vertAlign w:val="subscript"/>
        </w:rPr>
        <w:t>max</w:t>
      </w:r>
      <w:r w:rsidRPr="00211E3B">
        <w:rPr>
          <w:snapToGrid w:val="0"/>
          <w:sz w:val="22"/>
          <w:szCs w:val="24"/>
        </w:rPr>
        <w:t xml:space="preserve"> – 60,3</w:t>
      </w:r>
      <w:r w:rsidR="0085390D">
        <w:rPr>
          <w:snapToGrid w:val="0"/>
          <w:sz w:val="22"/>
          <w:szCs w:val="24"/>
        </w:rPr>
        <w:t> %</w:t>
      </w:r>
      <w:r w:rsidRPr="00211E3B">
        <w:rPr>
          <w:snapToGrid w:val="0"/>
          <w:sz w:val="22"/>
          <w:szCs w:val="24"/>
        </w:rPr>
        <w:t>, palyginti su ekspozicija</w:t>
      </w:r>
      <w:r w:rsidR="00707E7D" w:rsidRPr="00211E3B">
        <w:rPr>
          <w:snapToGrid w:val="0"/>
          <w:sz w:val="22"/>
          <w:szCs w:val="24"/>
        </w:rPr>
        <w:t xml:space="preserve"> </w:t>
      </w:r>
      <w:r w:rsidRPr="00211E3B">
        <w:rPr>
          <w:snapToGrid w:val="0"/>
          <w:sz w:val="22"/>
          <w:szCs w:val="24"/>
        </w:rPr>
        <w:t xml:space="preserve">monoterapijos nintedanibu metu. </w:t>
      </w:r>
      <w:r w:rsidR="0039788C" w:rsidRPr="00211E3B">
        <w:rPr>
          <w:snapToGrid w:val="0"/>
          <w:sz w:val="22"/>
          <w:szCs w:val="24"/>
        </w:rPr>
        <w:t>Agarf</w:t>
      </w:r>
      <w:r w:rsidRPr="00211E3B">
        <w:rPr>
          <w:snapToGrid w:val="0"/>
          <w:sz w:val="22"/>
          <w:szCs w:val="24"/>
        </w:rPr>
        <w:t xml:space="preserve"> </w:t>
      </w:r>
      <w:r w:rsidR="00707E7D" w:rsidRPr="00211E3B">
        <w:rPr>
          <w:snapToGrid w:val="0"/>
          <w:sz w:val="22"/>
          <w:szCs w:val="24"/>
        </w:rPr>
        <w:t>vartojant kartu</w:t>
      </w:r>
      <w:r w:rsidRPr="00211E3B">
        <w:rPr>
          <w:snapToGrid w:val="0"/>
          <w:sz w:val="22"/>
          <w:szCs w:val="24"/>
        </w:rPr>
        <w:t xml:space="preserve"> su stipriai veikiančiais P-gp inhibitoriais (pvz</w:t>
      </w:r>
      <w:r w:rsidR="00707E7D" w:rsidRPr="00211E3B">
        <w:rPr>
          <w:snapToGrid w:val="0"/>
          <w:sz w:val="22"/>
          <w:szCs w:val="24"/>
        </w:rPr>
        <w:t>.</w:t>
      </w:r>
      <w:r w:rsidRPr="00211E3B">
        <w:rPr>
          <w:snapToGrid w:val="0"/>
          <w:sz w:val="22"/>
          <w:szCs w:val="24"/>
        </w:rPr>
        <w:t>,</w:t>
      </w:r>
      <w:r w:rsidR="00707E7D" w:rsidRPr="00211E3B">
        <w:rPr>
          <w:snapToGrid w:val="0"/>
          <w:sz w:val="22"/>
          <w:szCs w:val="24"/>
        </w:rPr>
        <w:t xml:space="preserve"> </w:t>
      </w:r>
      <w:r w:rsidRPr="00211E3B">
        <w:rPr>
          <w:snapToGrid w:val="0"/>
          <w:sz w:val="22"/>
          <w:szCs w:val="24"/>
        </w:rPr>
        <w:t>ketokonazolu</w:t>
      </w:r>
      <w:r w:rsidR="0039788C" w:rsidRPr="00211E3B">
        <w:rPr>
          <w:snapToGrid w:val="0"/>
          <w:sz w:val="22"/>
          <w:szCs w:val="24"/>
        </w:rPr>
        <w:t>,</w:t>
      </w:r>
      <w:r w:rsidRPr="00211E3B">
        <w:rPr>
          <w:snapToGrid w:val="0"/>
          <w:sz w:val="22"/>
          <w:szCs w:val="24"/>
        </w:rPr>
        <w:t xml:space="preserve"> eritromicinu</w:t>
      </w:r>
      <w:r w:rsidR="0039788C" w:rsidRPr="00211E3B">
        <w:rPr>
          <w:snapToGrid w:val="0"/>
          <w:sz w:val="22"/>
          <w:szCs w:val="24"/>
        </w:rPr>
        <w:t xml:space="preserve"> ar ciklosporinu</w:t>
      </w:r>
      <w:r w:rsidRPr="00211E3B">
        <w:rPr>
          <w:snapToGrid w:val="0"/>
          <w:sz w:val="22"/>
          <w:szCs w:val="24"/>
        </w:rPr>
        <w:t>), gali padidėti nintedanibo ekspozicija. Tais atvejais reikia atidžiai</w:t>
      </w:r>
      <w:r w:rsidR="00707E7D" w:rsidRPr="00211E3B">
        <w:rPr>
          <w:snapToGrid w:val="0"/>
          <w:sz w:val="22"/>
          <w:szCs w:val="24"/>
        </w:rPr>
        <w:t xml:space="preserve"> </w:t>
      </w:r>
      <w:r w:rsidRPr="00211E3B">
        <w:rPr>
          <w:snapToGrid w:val="0"/>
          <w:sz w:val="22"/>
          <w:szCs w:val="24"/>
        </w:rPr>
        <w:t xml:space="preserve">stebėti, kaip pacientas toleruoja nintedanibą. </w:t>
      </w:r>
      <w:r w:rsidR="00707E7D" w:rsidRPr="00211E3B">
        <w:rPr>
          <w:snapToGrid w:val="0"/>
          <w:sz w:val="22"/>
          <w:szCs w:val="24"/>
        </w:rPr>
        <w:t>Siekiant kontroliuoti</w:t>
      </w:r>
      <w:r w:rsidRPr="00211E3B">
        <w:rPr>
          <w:snapToGrid w:val="0"/>
          <w:sz w:val="22"/>
          <w:szCs w:val="24"/>
        </w:rPr>
        <w:t xml:space="preserve"> nepageidaujam</w:t>
      </w:r>
      <w:r w:rsidR="00707E7D" w:rsidRPr="00211E3B">
        <w:rPr>
          <w:snapToGrid w:val="0"/>
          <w:sz w:val="22"/>
          <w:szCs w:val="24"/>
        </w:rPr>
        <w:t>as</w:t>
      </w:r>
      <w:r w:rsidRPr="00211E3B">
        <w:rPr>
          <w:snapToGrid w:val="0"/>
          <w:sz w:val="22"/>
          <w:szCs w:val="24"/>
        </w:rPr>
        <w:t xml:space="preserve"> reakcij</w:t>
      </w:r>
      <w:r w:rsidR="00707E7D" w:rsidRPr="00211E3B">
        <w:rPr>
          <w:snapToGrid w:val="0"/>
          <w:sz w:val="22"/>
          <w:szCs w:val="24"/>
        </w:rPr>
        <w:t>as,</w:t>
      </w:r>
      <w:r w:rsidRPr="00211E3B">
        <w:rPr>
          <w:snapToGrid w:val="0"/>
          <w:sz w:val="22"/>
          <w:szCs w:val="24"/>
        </w:rPr>
        <w:t xml:space="preserve"> gali prireikti</w:t>
      </w:r>
      <w:r w:rsidR="00707E7D" w:rsidRPr="00211E3B">
        <w:rPr>
          <w:snapToGrid w:val="0"/>
          <w:sz w:val="22"/>
          <w:szCs w:val="24"/>
        </w:rPr>
        <w:t xml:space="preserve"> sustabdyti </w:t>
      </w:r>
      <w:r w:rsidR="0039788C" w:rsidRPr="00211E3B">
        <w:rPr>
          <w:snapToGrid w:val="0"/>
          <w:sz w:val="22"/>
          <w:szCs w:val="24"/>
        </w:rPr>
        <w:t xml:space="preserve">nintedanibo </w:t>
      </w:r>
      <w:r w:rsidR="00707E7D" w:rsidRPr="00211E3B">
        <w:rPr>
          <w:snapToGrid w:val="0"/>
          <w:sz w:val="22"/>
          <w:szCs w:val="24"/>
        </w:rPr>
        <w:t>vartojimą</w:t>
      </w:r>
      <w:r w:rsidRPr="00211E3B">
        <w:rPr>
          <w:snapToGrid w:val="0"/>
          <w:sz w:val="22"/>
          <w:szCs w:val="24"/>
        </w:rPr>
        <w:t>, sumažinti jo dozę ar</w:t>
      </w:r>
      <w:r w:rsidR="00707E7D" w:rsidRPr="00211E3B">
        <w:rPr>
          <w:snapToGrid w:val="0"/>
          <w:sz w:val="22"/>
          <w:szCs w:val="24"/>
        </w:rPr>
        <w:t>ba</w:t>
      </w:r>
      <w:r w:rsidRPr="00211E3B">
        <w:rPr>
          <w:snapToGrid w:val="0"/>
          <w:sz w:val="22"/>
          <w:szCs w:val="24"/>
        </w:rPr>
        <w:t xml:space="preserve"> nutraukti </w:t>
      </w:r>
      <w:r w:rsidR="00707E7D" w:rsidRPr="00211E3B">
        <w:rPr>
          <w:snapToGrid w:val="0"/>
          <w:sz w:val="22"/>
          <w:szCs w:val="24"/>
        </w:rPr>
        <w:t>gydymą</w:t>
      </w:r>
      <w:r w:rsidRPr="00211E3B">
        <w:rPr>
          <w:snapToGrid w:val="0"/>
          <w:sz w:val="22"/>
          <w:szCs w:val="24"/>
        </w:rPr>
        <w:t xml:space="preserve"> (žr. 4.2</w:t>
      </w:r>
      <w:r w:rsidR="00707E7D" w:rsidRPr="00211E3B">
        <w:rPr>
          <w:snapToGrid w:val="0"/>
          <w:sz w:val="22"/>
          <w:szCs w:val="24"/>
        </w:rPr>
        <w:t> </w:t>
      </w:r>
      <w:r w:rsidRPr="00211E3B">
        <w:rPr>
          <w:snapToGrid w:val="0"/>
          <w:sz w:val="22"/>
          <w:szCs w:val="24"/>
        </w:rPr>
        <w:t>skyrių).</w:t>
      </w:r>
    </w:p>
    <w:p w14:paraId="3FD4986C" w14:textId="77777777" w:rsidR="00707E7D" w:rsidRPr="00211E3B" w:rsidRDefault="00707E7D" w:rsidP="00E27BA1">
      <w:pPr>
        <w:tabs>
          <w:tab w:val="left" w:pos="567"/>
        </w:tabs>
        <w:spacing w:line="260" w:lineRule="exact"/>
        <w:rPr>
          <w:snapToGrid w:val="0"/>
          <w:sz w:val="22"/>
          <w:szCs w:val="24"/>
        </w:rPr>
      </w:pPr>
    </w:p>
    <w:p w14:paraId="00BC10BF" w14:textId="1F7E0508" w:rsidR="00707E7D" w:rsidRPr="00211E3B" w:rsidRDefault="00E27BA1" w:rsidP="00E27BA1">
      <w:pPr>
        <w:tabs>
          <w:tab w:val="left" w:pos="567"/>
        </w:tabs>
        <w:spacing w:line="260" w:lineRule="exact"/>
        <w:rPr>
          <w:snapToGrid w:val="0"/>
          <w:sz w:val="22"/>
          <w:szCs w:val="24"/>
        </w:rPr>
      </w:pPr>
      <w:r w:rsidRPr="00211E3B">
        <w:rPr>
          <w:snapToGrid w:val="0"/>
          <w:sz w:val="22"/>
          <w:szCs w:val="24"/>
        </w:rPr>
        <w:t>Stipriai veikiantys P-gp induktoriai (pvz., rifampicinas, karbamazepinas, fenitoinas ir jonažolių</w:t>
      </w:r>
      <w:r w:rsidR="00707E7D" w:rsidRPr="00211E3B">
        <w:rPr>
          <w:snapToGrid w:val="0"/>
          <w:sz w:val="22"/>
          <w:szCs w:val="24"/>
        </w:rPr>
        <w:t xml:space="preserve"> </w:t>
      </w:r>
      <w:r w:rsidRPr="00211E3B">
        <w:rPr>
          <w:snapToGrid w:val="0"/>
          <w:sz w:val="22"/>
          <w:szCs w:val="24"/>
        </w:rPr>
        <w:t>preparatai) gali sumažinti nintedanibo ekspoziciją.</w:t>
      </w:r>
      <w:r w:rsidR="0039788C" w:rsidRPr="00211E3B">
        <w:rPr>
          <w:snapToGrid w:val="0"/>
          <w:sz w:val="22"/>
          <w:szCs w:val="24"/>
        </w:rPr>
        <w:t xml:space="preserve"> Reikia apsvarstyti galimybę kartu vartoti parinkti alternatyvų vaistinį preparatą, kuris P-gp visai neindukuoja ar indukuoja mažai.</w:t>
      </w:r>
      <w:r w:rsidR="0039788C" w:rsidRPr="00211E3B">
        <w:rPr>
          <w:snapToGrid w:val="0"/>
          <w:sz w:val="22"/>
          <w:szCs w:val="24"/>
        </w:rPr>
        <w:cr/>
      </w:r>
    </w:p>
    <w:p w14:paraId="3410E126" w14:textId="1A31BA12" w:rsidR="00E27BA1" w:rsidRPr="00211E3B" w:rsidRDefault="00E27BA1" w:rsidP="00E27BA1">
      <w:pPr>
        <w:tabs>
          <w:tab w:val="left" w:pos="567"/>
        </w:tabs>
        <w:spacing w:line="260" w:lineRule="exact"/>
        <w:rPr>
          <w:snapToGrid w:val="0"/>
          <w:sz w:val="22"/>
          <w:szCs w:val="24"/>
          <w:u w:val="single"/>
        </w:rPr>
      </w:pPr>
      <w:r w:rsidRPr="00211E3B">
        <w:rPr>
          <w:snapToGrid w:val="0"/>
          <w:sz w:val="22"/>
          <w:szCs w:val="24"/>
          <w:u w:val="single"/>
        </w:rPr>
        <w:t>Citochromo (CYP) fermentai</w:t>
      </w:r>
    </w:p>
    <w:p w14:paraId="5CDE44C9" w14:textId="7AE1035B" w:rsidR="00E27BA1" w:rsidRPr="00211E3B" w:rsidRDefault="00E27BA1" w:rsidP="00E27BA1">
      <w:pPr>
        <w:tabs>
          <w:tab w:val="left" w:pos="567"/>
        </w:tabs>
        <w:spacing w:line="260" w:lineRule="exact"/>
        <w:rPr>
          <w:snapToGrid w:val="0"/>
          <w:sz w:val="22"/>
          <w:szCs w:val="24"/>
        </w:rPr>
      </w:pPr>
      <w:r w:rsidRPr="00211E3B">
        <w:rPr>
          <w:snapToGrid w:val="0"/>
          <w:sz w:val="22"/>
          <w:szCs w:val="24"/>
        </w:rPr>
        <w:t>Tik maža dalis nintedanibo biotransformacijos vyksta veikiant CYP fermentams. Ikiklinikinių tyrimų</w:t>
      </w:r>
      <w:r w:rsidR="00707E7D" w:rsidRPr="00211E3B">
        <w:rPr>
          <w:snapToGrid w:val="0"/>
          <w:sz w:val="22"/>
          <w:szCs w:val="24"/>
        </w:rPr>
        <w:t xml:space="preserve"> </w:t>
      </w:r>
      <w:r w:rsidRPr="00211E3B">
        <w:rPr>
          <w:snapToGrid w:val="0"/>
          <w:sz w:val="22"/>
          <w:szCs w:val="24"/>
        </w:rPr>
        <w:t xml:space="preserve">metu nustatyta, kad nintedanibas ir jo metabolitai, t. y. laisvos rūgšties </w:t>
      </w:r>
      <w:r w:rsidR="00707E7D" w:rsidRPr="00211E3B">
        <w:rPr>
          <w:snapToGrid w:val="0"/>
          <w:sz w:val="22"/>
          <w:szCs w:val="24"/>
        </w:rPr>
        <w:t>darinys</w:t>
      </w:r>
      <w:r w:rsidRPr="00211E3B">
        <w:rPr>
          <w:snapToGrid w:val="0"/>
          <w:sz w:val="22"/>
          <w:szCs w:val="24"/>
        </w:rPr>
        <w:t xml:space="preserve"> BIBF</w:t>
      </w:r>
      <w:r w:rsidR="00707E7D" w:rsidRPr="00211E3B">
        <w:rPr>
          <w:snapToGrid w:val="0"/>
          <w:sz w:val="22"/>
          <w:szCs w:val="24"/>
        </w:rPr>
        <w:t> </w:t>
      </w:r>
      <w:r w:rsidRPr="00211E3B">
        <w:rPr>
          <w:snapToGrid w:val="0"/>
          <w:sz w:val="22"/>
          <w:szCs w:val="24"/>
        </w:rPr>
        <w:t>1202 ir jo</w:t>
      </w:r>
      <w:r w:rsidR="00707E7D" w:rsidRPr="00211E3B">
        <w:rPr>
          <w:snapToGrid w:val="0"/>
          <w:sz w:val="22"/>
          <w:szCs w:val="24"/>
        </w:rPr>
        <w:t xml:space="preserve"> </w:t>
      </w:r>
      <w:r w:rsidRPr="00211E3B">
        <w:rPr>
          <w:snapToGrid w:val="0"/>
          <w:sz w:val="22"/>
          <w:szCs w:val="24"/>
        </w:rPr>
        <w:t xml:space="preserve">gliukuronidas </w:t>
      </w:r>
      <w:r w:rsidR="00993D1A" w:rsidRPr="00211E3B">
        <w:rPr>
          <w:snapToGrid w:val="0"/>
          <w:sz w:val="22"/>
          <w:szCs w:val="24"/>
        </w:rPr>
        <w:t>(</w:t>
      </w:r>
      <w:r w:rsidRPr="00211E3B">
        <w:rPr>
          <w:snapToGrid w:val="0"/>
          <w:sz w:val="22"/>
          <w:szCs w:val="24"/>
        </w:rPr>
        <w:t>BIBF</w:t>
      </w:r>
      <w:r w:rsidR="00707E7D" w:rsidRPr="00211E3B">
        <w:rPr>
          <w:snapToGrid w:val="0"/>
          <w:sz w:val="22"/>
          <w:szCs w:val="24"/>
        </w:rPr>
        <w:t> </w:t>
      </w:r>
      <w:r w:rsidRPr="00211E3B">
        <w:rPr>
          <w:snapToGrid w:val="0"/>
          <w:sz w:val="22"/>
          <w:szCs w:val="24"/>
        </w:rPr>
        <w:t>1202 gliukuronidas</w:t>
      </w:r>
      <w:r w:rsidR="00993D1A" w:rsidRPr="00211E3B">
        <w:rPr>
          <w:snapToGrid w:val="0"/>
          <w:sz w:val="22"/>
          <w:szCs w:val="24"/>
        </w:rPr>
        <w:t>)</w:t>
      </w:r>
      <w:r w:rsidRPr="00211E3B">
        <w:rPr>
          <w:snapToGrid w:val="0"/>
          <w:sz w:val="22"/>
          <w:szCs w:val="24"/>
        </w:rPr>
        <w:t xml:space="preserve"> CYP fermentų neslopina ir neindukuoja (žr. 5.2</w:t>
      </w:r>
      <w:r w:rsidR="00707E7D" w:rsidRPr="00211E3B">
        <w:rPr>
          <w:snapToGrid w:val="0"/>
          <w:sz w:val="22"/>
          <w:szCs w:val="24"/>
        </w:rPr>
        <w:t> </w:t>
      </w:r>
      <w:r w:rsidRPr="00211E3B">
        <w:rPr>
          <w:snapToGrid w:val="0"/>
          <w:sz w:val="22"/>
          <w:szCs w:val="24"/>
        </w:rPr>
        <w:t>skyrių).</w:t>
      </w:r>
      <w:r w:rsidR="00707E7D" w:rsidRPr="00211E3B">
        <w:rPr>
          <w:snapToGrid w:val="0"/>
          <w:sz w:val="22"/>
          <w:szCs w:val="24"/>
        </w:rPr>
        <w:t xml:space="preserve"> Dėl to </w:t>
      </w:r>
      <w:r w:rsidRPr="00211E3B">
        <w:rPr>
          <w:snapToGrid w:val="0"/>
          <w:sz w:val="22"/>
          <w:szCs w:val="24"/>
        </w:rPr>
        <w:t>manoma, kad CYP metabolizmu pagrįstos vaistinių preparatų sąveikos su nintedanibu tikimybė</w:t>
      </w:r>
      <w:r w:rsidR="00707E7D" w:rsidRPr="00211E3B">
        <w:rPr>
          <w:snapToGrid w:val="0"/>
          <w:sz w:val="22"/>
          <w:szCs w:val="24"/>
        </w:rPr>
        <w:t xml:space="preserve"> </w:t>
      </w:r>
      <w:r w:rsidRPr="00211E3B">
        <w:rPr>
          <w:snapToGrid w:val="0"/>
          <w:sz w:val="22"/>
          <w:szCs w:val="24"/>
        </w:rPr>
        <w:t>yra maža.</w:t>
      </w:r>
    </w:p>
    <w:p w14:paraId="7545BBEE" w14:textId="77777777" w:rsidR="00707E7D" w:rsidRPr="00211E3B" w:rsidRDefault="00707E7D" w:rsidP="00E27BA1">
      <w:pPr>
        <w:tabs>
          <w:tab w:val="left" w:pos="567"/>
        </w:tabs>
        <w:spacing w:line="260" w:lineRule="exact"/>
        <w:rPr>
          <w:snapToGrid w:val="0"/>
          <w:sz w:val="22"/>
          <w:szCs w:val="24"/>
        </w:rPr>
      </w:pPr>
    </w:p>
    <w:p w14:paraId="5601C50F" w14:textId="09E6DE48" w:rsidR="00E27BA1" w:rsidRPr="00211E3B" w:rsidRDefault="00707E7D" w:rsidP="00E27BA1">
      <w:pPr>
        <w:tabs>
          <w:tab w:val="left" w:pos="567"/>
        </w:tabs>
        <w:spacing w:line="260" w:lineRule="exact"/>
        <w:rPr>
          <w:snapToGrid w:val="0"/>
          <w:sz w:val="22"/>
          <w:szCs w:val="24"/>
          <w:u w:val="single"/>
        </w:rPr>
      </w:pPr>
      <w:r w:rsidRPr="00211E3B">
        <w:rPr>
          <w:snapToGrid w:val="0"/>
          <w:sz w:val="22"/>
          <w:szCs w:val="24"/>
          <w:u w:val="single"/>
        </w:rPr>
        <w:t>Vartojimas kartu</w:t>
      </w:r>
      <w:r w:rsidR="00E27BA1" w:rsidRPr="00211E3B">
        <w:rPr>
          <w:snapToGrid w:val="0"/>
          <w:sz w:val="22"/>
          <w:szCs w:val="24"/>
          <w:u w:val="single"/>
        </w:rPr>
        <w:t xml:space="preserve"> su kitais vaistiniais preparatais</w:t>
      </w:r>
    </w:p>
    <w:p w14:paraId="5A605A89" w14:textId="77F7EBCB" w:rsidR="005D554B" w:rsidRPr="00211E3B" w:rsidRDefault="00E27BA1" w:rsidP="00E27BA1">
      <w:pPr>
        <w:tabs>
          <w:tab w:val="left" w:pos="567"/>
        </w:tabs>
        <w:spacing w:line="260" w:lineRule="exact"/>
        <w:rPr>
          <w:snapToGrid w:val="0"/>
          <w:sz w:val="22"/>
          <w:szCs w:val="24"/>
        </w:rPr>
      </w:pPr>
      <w:r w:rsidRPr="00211E3B">
        <w:rPr>
          <w:snapToGrid w:val="0"/>
          <w:sz w:val="22"/>
          <w:szCs w:val="24"/>
        </w:rPr>
        <w:t>Nintedanibą vartojant kartu su geriamaisiais hormoniniais kontraceptikais, geriamųjų hormoninių</w:t>
      </w:r>
      <w:r w:rsidR="00707E7D" w:rsidRPr="00211E3B">
        <w:rPr>
          <w:snapToGrid w:val="0"/>
          <w:sz w:val="22"/>
          <w:szCs w:val="24"/>
        </w:rPr>
        <w:t xml:space="preserve"> </w:t>
      </w:r>
      <w:r w:rsidRPr="00211E3B">
        <w:rPr>
          <w:snapToGrid w:val="0"/>
          <w:sz w:val="22"/>
          <w:szCs w:val="24"/>
        </w:rPr>
        <w:t>kontraceptikų farmakokinetika reikšmingai nepakito (žr. 5.2</w:t>
      </w:r>
      <w:r w:rsidR="00707E7D" w:rsidRPr="00211E3B">
        <w:rPr>
          <w:snapToGrid w:val="0"/>
          <w:sz w:val="22"/>
          <w:szCs w:val="24"/>
        </w:rPr>
        <w:t> </w:t>
      </w:r>
      <w:r w:rsidRPr="00211E3B">
        <w:rPr>
          <w:snapToGrid w:val="0"/>
          <w:sz w:val="22"/>
          <w:szCs w:val="24"/>
        </w:rPr>
        <w:t>skyrių).</w:t>
      </w:r>
    </w:p>
    <w:p w14:paraId="027B27E7" w14:textId="77777777" w:rsidR="009811FC" w:rsidRPr="00211E3B" w:rsidRDefault="009811FC" w:rsidP="00E27BA1">
      <w:pPr>
        <w:tabs>
          <w:tab w:val="left" w:pos="567"/>
        </w:tabs>
        <w:spacing w:line="260" w:lineRule="exact"/>
        <w:rPr>
          <w:snapToGrid w:val="0"/>
          <w:sz w:val="22"/>
          <w:szCs w:val="24"/>
        </w:rPr>
      </w:pPr>
    </w:p>
    <w:p w14:paraId="75D542A2" w14:textId="6484B616" w:rsidR="009811FC" w:rsidRPr="00211E3B" w:rsidRDefault="00D67B57" w:rsidP="00E27BA1">
      <w:pPr>
        <w:tabs>
          <w:tab w:val="left" w:pos="567"/>
        </w:tabs>
        <w:spacing w:line="260" w:lineRule="exact"/>
        <w:rPr>
          <w:snapToGrid w:val="0"/>
          <w:sz w:val="22"/>
          <w:szCs w:val="24"/>
        </w:rPr>
      </w:pPr>
      <w:r w:rsidRPr="00211E3B">
        <w:rPr>
          <w:snapToGrid w:val="0"/>
          <w:sz w:val="22"/>
          <w:szCs w:val="24"/>
        </w:rPr>
        <w:t>K</w:t>
      </w:r>
      <w:r w:rsidR="009811FC" w:rsidRPr="00211E3B">
        <w:rPr>
          <w:snapToGrid w:val="0"/>
          <w:sz w:val="22"/>
          <w:szCs w:val="24"/>
        </w:rPr>
        <w:t>artu su bozentanu</w:t>
      </w:r>
      <w:r w:rsidRPr="00211E3B">
        <w:rPr>
          <w:snapToGrid w:val="0"/>
          <w:sz w:val="22"/>
          <w:szCs w:val="24"/>
        </w:rPr>
        <w:t xml:space="preserve"> vartojamo</w:t>
      </w:r>
      <w:r w:rsidR="009811FC" w:rsidRPr="00211E3B">
        <w:rPr>
          <w:snapToGrid w:val="0"/>
          <w:sz w:val="22"/>
          <w:szCs w:val="24"/>
        </w:rPr>
        <w:t xml:space="preserve"> nintedanibo farmakokinetika nepakito (žr. 5.2 skyrių).</w:t>
      </w:r>
    </w:p>
    <w:p w14:paraId="3D7E2E82" w14:textId="77777777" w:rsidR="005D554B" w:rsidRPr="00211E3B" w:rsidRDefault="005D554B" w:rsidP="005D554B">
      <w:pPr>
        <w:tabs>
          <w:tab w:val="left" w:pos="567"/>
        </w:tabs>
        <w:spacing w:line="260" w:lineRule="exact"/>
        <w:rPr>
          <w:snapToGrid w:val="0"/>
          <w:sz w:val="22"/>
          <w:szCs w:val="24"/>
        </w:rPr>
      </w:pPr>
    </w:p>
    <w:p w14:paraId="2CCB0AEB" w14:textId="77777777" w:rsidR="005D554B" w:rsidRPr="00211E3B" w:rsidRDefault="005D554B" w:rsidP="005D554B">
      <w:pPr>
        <w:keepNext/>
        <w:tabs>
          <w:tab w:val="left" w:pos="567"/>
        </w:tabs>
        <w:spacing w:line="260" w:lineRule="exact"/>
        <w:jc w:val="both"/>
        <w:outlineLvl w:val="3"/>
        <w:rPr>
          <w:b/>
          <w:bCs/>
          <w:snapToGrid w:val="0"/>
          <w:sz w:val="22"/>
          <w:szCs w:val="28"/>
          <w:lang w:eastAsia="x-none"/>
        </w:rPr>
      </w:pPr>
      <w:r w:rsidRPr="00211E3B">
        <w:rPr>
          <w:b/>
          <w:bCs/>
          <w:snapToGrid w:val="0"/>
          <w:sz w:val="22"/>
          <w:szCs w:val="28"/>
          <w:lang w:eastAsia="x-none"/>
        </w:rPr>
        <w:t>4.6</w:t>
      </w:r>
      <w:r w:rsidRPr="00211E3B">
        <w:rPr>
          <w:b/>
          <w:bCs/>
          <w:snapToGrid w:val="0"/>
          <w:sz w:val="22"/>
          <w:szCs w:val="28"/>
          <w:lang w:eastAsia="x-none"/>
        </w:rPr>
        <w:tab/>
        <w:t>Vaisingumas, nėštumo ir žindymo laikotarpis</w:t>
      </w:r>
    </w:p>
    <w:p w14:paraId="046E9D1C" w14:textId="77777777" w:rsidR="005D554B" w:rsidRPr="00211E3B" w:rsidRDefault="005D554B" w:rsidP="005D554B">
      <w:pPr>
        <w:tabs>
          <w:tab w:val="left" w:pos="567"/>
        </w:tabs>
        <w:spacing w:line="260" w:lineRule="exact"/>
        <w:rPr>
          <w:snapToGrid w:val="0"/>
          <w:sz w:val="22"/>
          <w:szCs w:val="24"/>
        </w:rPr>
      </w:pPr>
    </w:p>
    <w:p w14:paraId="21287052" w14:textId="1B42426E" w:rsidR="0055137E" w:rsidRPr="00211E3B" w:rsidRDefault="0055137E" w:rsidP="0055137E">
      <w:pPr>
        <w:tabs>
          <w:tab w:val="left" w:pos="567"/>
        </w:tabs>
        <w:spacing w:line="260" w:lineRule="exact"/>
        <w:rPr>
          <w:snapToGrid w:val="0"/>
          <w:color w:val="0D0D0D"/>
          <w:sz w:val="22"/>
          <w:szCs w:val="24"/>
          <w:u w:val="single"/>
        </w:rPr>
      </w:pPr>
      <w:r w:rsidRPr="00211E3B">
        <w:rPr>
          <w:snapToGrid w:val="0"/>
          <w:color w:val="0D0D0D"/>
          <w:sz w:val="22"/>
          <w:szCs w:val="24"/>
          <w:u w:val="single"/>
        </w:rPr>
        <w:t>Vaisingo</w:t>
      </w:r>
      <w:r w:rsidR="00C16AF9">
        <w:rPr>
          <w:snapToGrid w:val="0"/>
          <w:color w:val="0D0D0D"/>
          <w:sz w:val="22"/>
          <w:szCs w:val="24"/>
          <w:u w:val="single"/>
        </w:rPr>
        <w:t>s</w:t>
      </w:r>
      <w:r w:rsidRPr="00211E3B">
        <w:rPr>
          <w:snapToGrid w:val="0"/>
          <w:color w:val="0D0D0D"/>
          <w:sz w:val="22"/>
          <w:szCs w:val="24"/>
          <w:u w:val="single"/>
        </w:rPr>
        <w:t xml:space="preserve"> moterys / kontracepcija</w:t>
      </w:r>
    </w:p>
    <w:p w14:paraId="51EF4976" w14:textId="7C54E78F" w:rsidR="0055137E" w:rsidRPr="00211E3B" w:rsidRDefault="0055137E" w:rsidP="0055137E">
      <w:pPr>
        <w:tabs>
          <w:tab w:val="left" w:pos="567"/>
        </w:tabs>
        <w:spacing w:line="260" w:lineRule="exact"/>
        <w:rPr>
          <w:snapToGrid w:val="0"/>
          <w:color w:val="0D0D0D"/>
          <w:sz w:val="22"/>
          <w:szCs w:val="24"/>
        </w:rPr>
      </w:pPr>
      <w:r w:rsidRPr="00211E3B">
        <w:rPr>
          <w:snapToGrid w:val="0"/>
          <w:color w:val="0D0D0D"/>
          <w:sz w:val="22"/>
          <w:szCs w:val="24"/>
        </w:rPr>
        <w:t>Nintedanibas gali pakenkti žmogaus vaisiui (žr. 5.3</w:t>
      </w:r>
      <w:r w:rsidR="00E81DC6" w:rsidRPr="00211E3B">
        <w:rPr>
          <w:snapToGrid w:val="0"/>
          <w:color w:val="0D0D0D"/>
          <w:sz w:val="22"/>
          <w:szCs w:val="24"/>
        </w:rPr>
        <w:t> </w:t>
      </w:r>
      <w:r w:rsidRPr="00211E3B">
        <w:rPr>
          <w:snapToGrid w:val="0"/>
          <w:color w:val="0D0D0D"/>
          <w:sz w:val="22"/>
          <w:szCs w:val="24"/>
        </w:rPr>
        <w:t>skyrių). Vaisingo amžiaus moterims reikia patarti</w:t>
      </w:r>
      <w:r w:rsidR="00E81DC6" w:rsidRPr="00211E3B">
        <w:rPr>
          <w:snapToGrid w:val="0"/>
          <w:color w:val="0D0D0D"/>
          <w:sz w:val="22"/>
          <w:szCs w:val="24"/>
        </w:rPr>
        <w:t xml:space="preserve"> </w:t>
      </w:r>
      <w:r w:rsidRPr="00211E3B">
        <w:rPr>
          <w:snapToGrid w:val="0"/>
          <w:color w:val="0D0D0D"/>
          <w:sz w:val="22"/>
          <w:szCs w:val="24"/>
        </w:rPr>
        <w:t xml:space="preserve">vengti pastoti gydymo </w:t>
      </w:r>
      <w:r w:rsidR="00224B5B" w:rsidRPr="00211E3B">
        <w:rPr>
          <w:snapToGrid w:val="0"/>
          <w:color w:val="0D0D0D"/>
          <w:sz w:val="22"/>
          <w:szCs w:val="24"/>
        </w:rPr>
        <w:t>Agarf</w:t>
      </w:r>
      <w:r w:rsidRPr="00211E3B">
        <w:rPr>
          <w:snapToGrid w:val="0"/>
          <w:color w:val="0D0D0D"/>
          <w:sz w:val="22"/>
          <w:szCs w:val="24"/>
        </w:rPr>
        <w:t xml:space="preserve"> metu</w:t>
      </w:r>
      <w:r w:rsidR="00E81DC6" w:rsidRPr="00211E3B">
        <w:rPr>
          <w:snapToGrid w:val="0"/>
          <w:color w:val="0D0D0D"/>
          <w:sz w:val="22"/>
          <w:szCs w:val="24"/>
        </w:rPr>
        <w:t xml:space="preserve"> ir p</w:t>
      </w:r>
      <w:r w:rsidRPr="00211E3B">
        <w:rPr>
          <w:snapToGrid w:val="0"/>
          <w:color w:val="0D0D0D"/>
          <w:sz w:val="22"/>
          <w:szCs w:val="24"/>
        </w:rPr>
        <w:t xml:space="preserve">radedant gydymą, </w:t>
      </w:r>
      <w:r w:rsidR="00E81DC6" w:rsidRPr="00211E3B">
        <w:rPr>
          <w:snapToGrid w:val="0"/>
          <w:color w:val="0D0D0D"/>
          <w:sz w:val="22"/>
          <w:szCs w:val="24"/>
        </w:rPr>
        <w:t>jo</w:t>
      </w:r>
      <w:r w:rsidRPr="00211E3B">
        <w:rPr>
          <w:snapToGrid w:val="0"/>
          <w:color w:val="0D0D0D"/>
          <w:sz w:val="22"/>
          <w:szCs w:val="24"/>
        </w:rPr>
        <w:t xml:space="preserve"> metu </w:t>
      </w:r>
      <w:r w:rsidR="00E81DC6" w:rsidRPr="00211E3B">
        <w:rPr>
          <w:snapToGrid w:val="0"/>
          <w:color w:val="0D0D0D"/>
          <w:sz w:val="22"/>
          <w:szCs w:val="24"/>
        </w:rPr>
        <w:t>bei</w:t>
      </w:r>
      <w:r w:rsidRPr="00211E3B">
        <w:rPr>
          <w:snapToGrid w:val="0"/>
          <w:color w:val="0D0D0D"/>
          <w:sz w:val="22"/>
          <w:szCs w:val="24"/>
        </w:rPr>
        <w:t xml:space="preserve"> mažiausiai 3</w:t>
      </w:r>
      <w:r w:rsidR="00E81DC6" w:rsidRPr="00211E3B">
        <w:rPr>
          <w:snapToGrid w:val="0"/>
          <w:color w:val="0D0D0D"/>
          <w:sz w:val="22"/>
          <w:szCs w:val="24"/>
        </w:rPr>
        <w:t> </w:t>
      </w:r>
      <w:r w:rsidRPr="00211E3B">
        <w:rPr>
          <w:snapToGrid w:val="0"/>
          <w:color w:val="0D0D0D"/>
          <w:sz w:val="22"/>
          <w:szCs w:val="24"/>
        </w:rPr>
        <w:t>mėnesius po</w:t>
      </w:r>
      <w:r w:rsidR="00E81DC6" w:rsidRPr="00211E3B">
        <w:rPr>
          <w:snapToGrid w:val="0"/>
          <w:color w:val="0D0D0D"/>
          <w:sz w:val="22"/>
          <w:szCs w:val="24"/>
        </w:rPr>
        <w:t xml:space="preserve"> </w:t>
      </w:r>
      <w:r w:rsidRPr="00211E3B">
        <w:rPr>
          <w:snapToGrid w:val="0"/>
          <w:color w:val="0D0D0D"/>
          <w:sz w:val="22"/>
          <w:szCs w:val="24"/>
        </w:rPr>
        <w:t xml:space="preserve">paskutinės </w:t>
      </w:r>
      <w:r w:rsidR="00224B5B" w:rsidRPr="00211E3B">
        <w:rPr>
          <w:snapToGrid w:val="0"/>
          <w:color w:val="0D0D0D"/>
          <w:sz w:val="22"/>
          <w:szCs w:val="24"/>
        </w:rPr>
        <w:t>Agarf</w:t>
      </w:r>
      <w:r w:rsidRPr="00211E3B">
        <w:rPr>
          <w:snapToGrid w:val="0"/>
          <w:color w:val="0D0D0D"/>
          <w:sz w:val="22"/>
          <w:szCs w:val="24"/>
        </w:rPr>
        <w:t xml:space="preserve"> dozės pavartojimo naudoti labai veiksmingus kontracepcijos metodus.</w:t>
      </w:r>
      <w:r w:rsidR="00E81DC6" w:rsidRPr="00211E3B">
        <w:rPr>
          <w:snapToGrid w:val="0"/>
          <w:color w:val="0D0D0D"/>
          <w:sz w:val="22"/>
          <w:szCs w:val="24"/>
        </w:rPr>
        <w:t xml:space="preserve"> </w:t>
      </w:r>
      <w:r w:rsidRPr="00211E3B">
        <w:rPr>
          <w:snapToGrid w:val="0"/>
          <w:color w:val="0D0D0D"/>
          <w:sz w:val="22"/>
          <w:szCs w:val="24"/>
        </w:rPr>
        <w:t xml:space="preserve">Nintedanibas etinilestradiolio ir levonorgestrelio ekspozicijos </w:t>
      </w:r>
      <w:r w:rsidR="00E81DC6" w:rsidRPr="00211E3B">
        <w:rPr>
          <w:snapToGrid w:val="0"/>
          <w:color w:val="0D0D0D"/>
          <w:sz w:val="22"/>
          <w:szCs w:val="24"/>
        </w:rPr>
        <w:t xml:space="preserve">kraujo </w:t>
      </w:r>
      <w:r w:rsidRPr="00211E3B">
        <w:rPr>
          <w:snapToGrid w:val="0"/>
          <w:color w:val="0D0D0D"/>
          <w:sz w:val="22"/>
          <w:szCs w:val="24"/>
        </w:rPr>
        <w:t xml:space="preserve">plazmoje </w:t>
      </w:r>
      <w:r w:rsidR="00E81DC6" w:rsidRPr="00211E3B">
        <w:rPr>
          <w:snapToGrid w:val="0"/>
          <w:color w:val="0D0D0D"/>
          <w:sz w:val="22"/>
          <w:szCs w:val="24"/>
        </w:rPr>
        <w:t xml:space="preserve">reikšmingai neveikia </w:t>
      </w:r>
      <w:r w:rsidRPr="00211E3B">
        <w:rPr>
          <w:snapToGrid w:val="0"/>
          <w:color w:val="0D0D0D"/>
          <w:sz w:val="22"/>
          <w:szCs w:val="24"/>
        </w:rPr>
        <w:t>(žr.</w:t>
      </w:r>
      <w:r w:rsidR="00E81DC6" w:rsidRPr="00211E3B">
        <w:rPr>
          <w:snapToGrid w:val="0"/>
          <w:color w:val="0D0D0D"/>
          <w:sz w:val="22"/>
          <w:szCs w:val="24"/>
        </w:rPr>
        <w:t xml:space="preserve"> </w:t>
      </w:r>
      <w:r w:rsidRPr="00211E3B">
        <w:rPr>
          <w:snapToGrid w:val="0"/>
          <w:color w:val="0D0D0D"/>
          <w:sz w:val="22"/>
          <w:szCs w:val="24"/>
        </w:rPr>
        <w:t>5.2</w:t>
      </w:r>
      <w:r w:rsidR="00E81DC6" w:rsidRPr="00211E3B">
        <w:rPr>
          <w:snapToGrid w:val="0"/>
          <w:color w:val="0D0D0D"/>
          <w:sz w:val="22"/>
          <w:szCs w:val="24"/>
        </w:rPr>
        <w:t> </w:t>
      </w:r>
      <w:r w:rsidRPr="00211E3B">
        <w:rPr>
          <w:snapToGrid w:val="0"/>
          <w:color w:val="0D0D0D"/>
          <w:sz w:val="22"/>
          <w:szCs w:val="24"/>
        </w:rPr>
        <w:t>skyrių). Geriamųjų hormoninių kontraceptikų veiksmingumas gali sumažėti dėl vėmimo ir (arba)</w:t>
      </w:r>
      <w:r w:rsidR="00E81DC6" w:rsidRPr="00211E3B">
        <w:rPr>
          <w:snapToGrid w:val="0"/>
          <w:color w:val="0D0D0D"/>
          <w:sz w:val="22"/>
          <w:szCs w:val="24"/>
        </w:rPr>
        <w:t xml:space="preserve"> </w:t>
      </w:r>
      <w:r w:rsidRPr="00211E3B">
        <w:rPr>
          <w:snapToGrid w:val="0"/>
          <w:color w:val="0D0D0D"/>
          <w:sz w:val="22"/>
          <w:szCs w:val="24"/>
        </w:rPr>
        <w:t>viduriavimo arba kitų būklių, kurios gali paveikti absorbciją. Geriamųjų hormoninių kontraceptikų</w:t>
      </w:r>
      <w:r w:rsidR="00E81DC6" w:rsidRPr="00211E3B">
        <w:rPr>
          <w:snapToGrid w:val="0"/>
          <w:color w:val="0D0D0D"/>
          <w:sz w:val="22"/>
          <w:szCs w:val="24"/>
        </w:rPr>
        <w:t xml:space="preserve"> </w:t>
      </w:r>
      <w:r w:rsidRPr="00211E3B">
        <w:rPr>
          <w:snapToGrid w:val="0"/>
          <w:color w:val="0D0D0D"/>
          <w:sz w:val="22"/>
          <w:szCs w:val="24"/>
        </w:rPr>
        <w:t>vartojančio</w:t>
      </w:r>
      <w:r w:rsidR="00E81DC6" w:rsidRPr="00211E3B">
        <w:rPr>
          <w:snapToGrid w:val="0"/>
          <w:color w:val="0D0D0D"/>
          <w:sz w:val="22"/>
          <w:szCs w:val="24"/>
        </w:rPr>
        <w:t>m</w:t>
      </w:r>
      <w:r w:rsidRPr="00211E3B">
        <w:rPr>
          <w:snapToGrid w:val="0"/>
          <w:color w:val="0D0D0D"/>
          <w:sz w:val="22"/>
          <w:szCs w:val="24"/>
        </w:rPr>
        <w:t>s moter</w:t>
      </w:r>
      <w:r w:rsidR="00E81DC6" w:rsidRPr="00211E3B">
        <w:rPr>
          <w:snapToGrid w:val="0"/>
          <w:color w:val="0D0D0D"/>
          <w:sz w:val="22"/>
          <w:szCs w:val="24"/>
        </w:rPr>
        <w:t>im</w:t>
      </w:r>
      <w:r w:rsidRPr="00211E3B">
        <w:rPr>
          <w:snapToGrid w:val="0"/>
          <w:color w:val="0D0D0D"/>
          <w:sz w:val="22"/>
          <w:szCs w:val="24"/>
        </w:rPr>
        <w:t xml:space="preserve">s, kurios patiria minėtų būklių, turi būti </w:t>
      </w:r>
      <w:r w:rsidR="00E81DC6" w:rsidRPr="00211E3B">
        <w:rPr>
          <w:snapToGrid w:val="0"/>
          <w:color w:val="0D0D0D"/>
          <w:sz w:val="22"/>
          <w:szCs w:val="24"/>
        </w:rPr>
        <w:t>patarta</w:t>
      </w:r>
      <w:r w:rsidRPr="00211E3B">
        <w:rPr>
          <w:snapToGrid w:val="0"/>
          <w:color w:val="0D0D0D"/>
          <w:sz w:val="22"/>
          <w:szCs w:val="24"/>
        </w:rPr>
        <w:t xml:space="preserve"> naudoti alternatyvią labai</w:t>
      </w:r>
      <w:r w:rsidR="00E81DC6" w:rsidRPr="00211E3B">
        <w:rPr>
          <w:snapToGrid w:val="0"/>
          <w:color w:val="0D0D0D"/>
          <w:sz w:val="22"/>
          <w:szCs w:val="24"/>
        </w:rPr>
        <w:t xml:space="preserve"> </w:t>
      </w:r>
      <w:r w:rsidRPr="00211E3B">
        <w:rPr>
          <w:snapToGrid w:val="0"/>
          <w:color w:val="0D0D0D"/>
          <w:sz w:val="22"/>
          <w:szCs w:val="24"/>
        </w:rPr>
        <w:t>veiksmingą kontracepcijos priemonę.</w:t>
      </w:r>
    </w:p>
    <w:p w14:paraId="5116CC62" w14:textId="77777777" w:rsidR="00E81DC6" w:rsidRPr="00211E3B" w:rsidRDefault="00E81DC6" w:rsidP="0055137E">
      <w:pPr>
        <w:tabs>
          <w:tab w:val="left" w:pos="567"/>
        </w:tabs>
        <w:spacing w:line="260" w:lineRule="exact"/>
        <w:rPr>
          <w:snapToGrid w:val="0"/>
          <w:color w:val="0D0D0D"/>
          <w:sz w:val="22"/>
          <w:szCs w:val="24"/>
        </w:rPr>
      </w:pPr>
    </w:p>
    <w:p w14:paraId="63E21D84" w14:textId="77777777" w:rsidR="0055137E" w:rsidRPr="00211E3B" w:rsidRDefault="0055137E" w:rsidP="0055137E">
      <w:pPr>
        <w:tabs>
          <w:tab w:val="left" w:pos="567"/>
        </w:tabs>
        <w:spacing w:line="260" w:lineRule="exact"/>
        <w:rPr>
          <w:snapToGrid w:val="0"/>
          <w:color w:val="0D0D0D"/>
          <w:sz w:val="22"/>
          <w:szCs w:val="24"/>
          <w:u w:val="single"/>
        </w:rPr>
      </w:pPr>
      <w:r w:rsidRPr="00211E3B">
        <w:rPr>
          <w:snapToGrid w:val="0"/>
          <w:color w:val="0D0D0D"/>
          <w:sz w:val="22"/>
          <w:szCs w:val="24"/>
          <w:u w:val="single"/>
        </w:rPr>
        <w:t>Nėštumas</w:t>
      </w:r>
    </w:p>
    <w:p w14:paraId="4DF1A25E" w14:textId="67A5C622" w:rsidR="00034169" w:rsidRPr="00211E3B" w:rsidRDefault="00C70F90" w:rsidP="0055137E">
      <w:pPr>
        <w:tabs>
          <w:tab w:val="left" w:pos="567"/>
        </w:tabs>
        <w:spacing w:line="260" w:lineRule="exact"/>
        <w:rPr>
          <w:snapToGrid w:val="0"/>
          <w:color w:val="0D0D0D"/>
          <w:sz w:val="22"/>
          <w:szCs w:val="24"/>
        </w:rPr>
      </w:pPr>
      <w:r w:rsidRPr="00211E3B">
        <w:rPr>
          <w:snapToGrid w:val="0"/>
          <w:color w:val="0D0D0D"/>
          <w:sz w:val="22"/>
          <w:szCs w:val="24"/>
        </w:rPr>
        <w:t xml:space="preserve">Duomenų apie nintedanibo vartojimą nėštumo metu nėra, su gyvūnais atlikti ikiklinikiniai tyrimai parodė toksinį šios veikliosios medžiagos poveikį reprodukcijai </w:t>
      </w:r>
      <w:r w:rsidR="0055137E" w:rsidRPr="00211E3B">
        <w:rPr>
          <w:snapToGrid w:val="0"/>
          <w:color w:val="0D0D0D"/>
          <w:sz w:val="22"/>
          <w:szCs w:val="24"/>
        </w:rPr>
        <w:t>(žr. 5.3</w:t>
      </w:r>
      <w:r w:rsidRPr="00211E3B">
        <w:rPr>
          <w:snapToGrid w:val="0"/>
          <w:color w:val="0D0D0D"/>
          <w:sz w:val="22"/>
          <w:szCs w:val="24"/>
        </w:rPr>
        <w:t> </w:t>
      </w:r>
      <w:r w:rsidR="0055137E" w:rsidRPr="00211E3B">
        <w:rPr>
          <w:snapToGrid w:val="0"/>
          <w:color w:val="0D0D0D"/>
          <w:sz w:val="22"/>
          <w:szCs w:val="24"/>
        </w:rPr>
        <w:t xml:space="preserve">skyrių). </w:t>
      </w:r>
      <w:r w:rsidR="00C2682D" w:rsidRPr="00211E3B">
        <w:rPr>
          <w:snapToGrid w:val="0"/>
          <w:color w:val="0D0D0D"/>
          <w:sz w:val="22"/>
          <w:szCs w:val="24"/>
        </w:rPr>
        <w:t>N</w:t>
      </w:r>
      <w:bookmarkStart w:id="1" w:name="_Hlk151229649"/>
      <w:r w:rsidR="0055137E" w:rsidRPr="00211E3B">
        <w:rPr>
          <w:snapToGrid w:val="0"/>
          <w:color w:val="0D0D0D"/>
          <w:sz w:val="22"/>
          <w:szCs w:val="24"/>
        </w:rPr>
        <w:t>intedanibas</w:t>
      </w:r>
      <w:bookmarkEnd w:id="1"/>
      <w:r w:rsidRPr="00211E3B">
        <w:rPr>
          <w:snapToGrid w:val="0"/>
          <w:color w:val="0D0D0D"/>
          <w:sz w:val="22"/>
          <w:szCs w:val="24"/>
        </w:rPr>
        <w:t xml:space="preserve"> </w:t>
      </w:r>
      <w:r w:rsidR="0055137E" w:rsidRPr="00211E3B">
        <w:rPr>
          <w:snapToGrid w:val="0"/>
          <w:color w:val="0D0D0D"/>
          <w:sz w:val="22"/>
          <w:szCs w:val="24"/>
        </w:rPr>
        <w:t xml:space="preserve">gali pakenkti ir žmogaus vaisiui, </w:t>
      </w:r>
      <w:r w:rsidR="00C2682D" w:rsidRPr="00211E3B">
        <w:rPr>
          <w:snapToGrid w:val="0"/>
          <w:color w:val="0D0D0D"/>
          <w:sz w:val="22"/>
          <w:szCs w:val="24"/>
        </w:rPr>
        <w:t xml:space="preserve">todėl </w:t>
      </w:r>
      <w:r w:rsidR="0055137E" w:rsidRPr="00211E3B">
        <w:rPr>
          <w:snapToGrid w:val="0"/>
          <w:color w:val="0D0D0D"/>
          <w:sz w:val="22"/>
          <w:szCs w:val="24"/>
        </w:rPr>
        <w:t xml:space="preserve">nėštumo metu </w:t>
      </w:r>
      <w:r w:rsidRPr="00211E3B">
        <w:rPr>
          <w:snapToGrid w:val="0"/>
          <w:color w:val="0D0D0D"/>
          <w:sz w:val="22"/>
          <w:szCs w:val="24"/>
        </w:rPr>
        <w:t>jo</w:t>
      </w:r>
      <w:r w:rsidR="0055137E" w:rsidRPr="00211E3B">
        <w:rPr>
          <w:snapToGrid w:val="0"/>
          <w:color w:val="0D0D0D"/>
          <w:sz w:val="22"/>
          <w:szCs w:val="24"/>
        </w:rPr>
        <w:t xml:space="preserve"> vartoti negalima</w:t>
      </w:r>
      <w:r w:rsidR="00034169" w:rsidRPr="00211E3B">
        <w:rPr>
          <w:snapToGrid w:val="0"/>
          <w:color w:val="0D0D0D"/>
          <w:sz w:val="22"/>
          <w:szCs w:val="24"/>
        </w:rPr>
        <w:t xml:space="preserve"> (žr. 4.3 skyrių) ir n</w:t>
      </w:r>
      <w:r w:rsidR="0055137E" w:rsidRPr="00211E3B">
        <w:rPr>
          <w:snapToGrid w:val="0"/>
          <w:color w:val="0D0D0D"/>
          <w:sz w:val="22"/>
          <w:szCs w:val="24"/>
        </w:rPr>
        <w:t xml:space="preserve">ėštumo </w:t>
      </w:r>
      <w:r w:rsidR="00034169" w:rsidRPr="00211E3B">
        <w:rPr>
          <w:snapToGrid w:val="0"/>
          <w:color w:val="0D0D0D"/>
          <w:sz w:val="22"/>
          <w:szCs w:val="24"/>
        </w:rPr>
        <w:t>testą</w:t>
      </w:r>
      <w:r w:rsidR="0055137E" w:rsidRPr="00211E3B">
        <w:rPr>
          <w:snapToGrid w:val="0"/>
          <w:color w:val="0D0D0D"/>
          <w:sz w:val="22"/>
          <w:szCs w:val="24"/>
        </w:rPr>
        <w:t xml:space="preserve"> reikia atlikti </w:t>
      </w:r>
      <w:r w:rsidR="00C2682D" w:rsidRPr="00211E3B">
        <w:rPr>
          <w:snapToGrid w:val="0"/>
          <w:color w:val="0D0D0D"/>
          <w:sz w:val="22"/>
          <w:szCs w:val="24"/>
        </w:rPr>
        <w:t xml:space="preserve">prieš </w:t>
      </w:r>
      <w:r w:rsidR="00034169" w:rsidRPr="00211E3B">
        <w:rPr>
          <w:snapToGrid w:val="0"/>
          <w:color w:val="0D0D0D"/>
          <w:sz w:val="22"/>
          <w:szCs w:val="24"/>
        </w:rPr>
        <w:t>pradedant gydymą Agarf ir prireikus gydymo metu</w:t>
      </w:r>
      <w:r w:rsidR="0055137E" w:rsidRPr="00211E3B">
        <w:rPr>
          <w:snapToGrid w:val="0"/>
          <w:color w:val="0D0D0D"/>
          <w:sz w:val="22"/>
          <w:szCs w:val="24"/>
        </w:rPr>
        <w:t>.</w:t>
      </w:r>
    </w:p>
    <w:p w14:paraId="66E7B62D" w14:textId="77777777" w:rsidR="00034169" w:rsidRPr="00211E3B" w:rsidRDefault="00034169" w:rsidP="0055137E">
      <w:pPr>
        <w:tabs>
          <w:tab w:val="left" w:pos="567"/>
        </w:tabs>
        <w:spacing w:line="260" w:lineRule="exact"/>
        <w:rPr>
          <w:snapToGrid w:val="0"/>
          <w:color w:val="0D0D0D"/>
          <w:sz w:val="22"/>
          <w:szCs w:val="24"/>
        </w:rPr>
      </w:pPr>
    </w:p>
    <w:p w14:paraId="0321AF08" w14:textId="32BF82A1" w:rsidR="0055137E" w:rsidRPr="00211E3B" w:rsidRDefault="0055137E" w:rsidP="0055137E">
      <w:pPr>
        <w:tabs>
          <w:tab w:val="left" w:pos="567"/>
        </w:tabs>
        <w:spacing w:line="260" w:lineRule="exact"/>
        <w:rPr>
          <w:snapToGrid w:val="0"/>
          <w:color w:val="0D0D0D"/>
          <w:sz w:val="22"/>
          <w:szCs w:val="24"/>
        </w:rPr>
      </w:pPr>
      <w:r w:rsidRPr="00211E3B">
        <w:rPr>
          <w:snapToGrid w:val="0"/>
          <w:color w:val="0D0D0D"/>
          <w:sz w:val="22"/>
          <w:szCs w:val="24"/>
        </w:rPr>
        <w:t>Pacientes moteris reikia perspėti, kad jos praneštų savo gydytojui ar vaistininkui, jei pastojo gydymo</w:t>
      </w:r>
      <w:r w:rsidR="00C70F90" w:rsidRPr="00211E3B">
        <w:rPr>
          <w:snapToGrid w:val="0"/>
          <w:color w:val="0D0D0D"/>
          <w:sz w:val="22"/>
          <w:szCs w:val="24"/>
        </w:rPr>
        <w:t xml:space="preserve"> </w:t>
      </w:r>
      <w:r w:rsidR="00034169" w:rsidRPr="00211E3B">
        <w:rPr>
          <w:snapToGrid w:val="0"/>
          <w:color w:val="0D0D0D"/>
          <w:sz w:val="22"/>
          <w:szCs w:val="24"/>
        </w:rPr>
        <w:t>Agarf</w:t>
      </w:r>
      <w:r w:rsidRPr="00211E3B">
        <w:rPr>
          <w:snapToGrid w:val="0"/>
          <w:color w:val="0D0D0D"/>
          <w:sz w:val="22"/>
          <w:szCs w:val="24"/>
        </w:rPr>
        <w:t xml:space="preserve"> metu.</w:t>
      </w:r>
    </w:p>
    <w:p w14:paraId="501A1763" w14:textId="77777777" w:rsidR="00C70F90" w:rsidRPr="00211E3B" w:rsidRDefault="00C70F90" w:rsidP="0055137E">
      <w:pPr>
        <w:tabs>
          <w:tab w:val="left" w:pos="567"/>
        </w:tabs>
        <w:spacing w:line="260" w:lineRule="exact"/>
        <w:rPr>
          <w:snapToGrid w:val="0"/>
          <w:color w:val="0D0D0D"/>
          <w:sz w:val="22"/>
          <w:szCs w:val="24"/>
        </w:rPr>
      </w:pPr>
    </w:p>
    <w:p w14:paraId="6553065E" w14:textId="58B60968" w:rsidR="0055137E" w:rsidRPr="00211E3B" w:rsidRDefault="0055137E" w:rsidP="0055137E">
      <w:pPr>
        <w:tabs>
          <w:tab w:val="left" w:pos="567"/>
        </w:tabs>
        <w:spacing w:line="260" w:lineRule="exact"/>
        <w:rPr>
          <w:snapToGrid w:val="0"/>
          <w:color w:val="0D0D0D"/>
          <w:sz w:val="22"/>
          <w:szCs w:val="24"/>
        </w:rPr>
      </w:pPr>
      <w:r w:rsidRPr="00211E3B">
        <w:rPr>
          <w:snapToGrid w:val="0"/>
          <w:color w:val="0D0D0D"/>
          <w:sz w:val="22"/>
          <w:szCs w:val="24"/>
        </w:rPr>
        <w:t xml:space="preserve">Jei pacientė pastoja vartodama </w:t>
      </w:r>
      <w:r w:rsidR="00224B5B" w:rsidRPr="00211E3B">
        <w:rPr>
          <w:snapToGrid w:val="0"/>
          <w:color w:val="0D0D0D"/>
          <w:sz w:val="22"/>
          <w:szCs w:val="24"/>
        </w:rPr>
        <w:t>Agarf</w:t>
      </w:r>
      <w:r w:rsidRPr="00211E3B">
        <w:rPr>
          <w:snapToGrid w:val="0"/>
          <w:color w:val="0D0D0D"/>
          <w:sz w:val="22"/>
          <w:szCs w:val="24"/>
        </w:rPr>
        <w:t xml:space="preserve">, </w:t>
      </w:r>
      <w:r w:rsidR="00034169" w:rsidRPr="00211E3B">
        <w:rPr>
          <w:snapToGrid w:val="0"/>
          <w:color w:val="0D0D0D"/>
          <w:sz w:val="22"/>
          <w:szCs w:val="24"/>
        </w:rPr>
        <w:t xml:space="preserve">teikia nutraukti gydymą ir </w:t>
      </w:r>
      <w:r w:rsidRPr="00211E3B">
        <w:rPr>
          <w:snapToGrid w:val="0"/>
          <w:color w:val="0D0D0D"/>
          <w:sz w:val="22"/>
          <w:szCs w:val="24"/>
        </w:rPr>
        <w:t>ją reikia informuoti apie galimą pavojų vaisiui.</w:t>
      </w:r>
    </w:p>
    <w:p w14:paraId="0C396939" w14:textId="77777777" w:rsidR="00501AD8" w:rsidRPr="00211E3B" w:rsidRDefault="00501AD8" w:rsidP="0055137E">
      <w:pPr>
        <w:tabs>
          <w:tab w:val="left" w:pos="567"/>
        </w:tabs>
        <w:spacing w:line="260" w:lineRule="exact"/>
        <w:rPr>
          <w:snapToGrid w:val="0"/>
          <w:color w:val="0D0D0D"/>
          <w:sz w:val="22"/>
          <w:szCs w:val="24"/>
        </w:rPr>
      </w:pPr>
    </w:p>
    <w:p w14:paraId="3D282C60" w14:textId="07881FD2" w:rsidR="0055137E" w:rsidRPr="00211E3B" w:rsidRDefault="0055137E" w:rsidP="0055137E">
      <w:pPr>
        <w:tabs>
          <w:tab w:val="left" w:pos="567"/>
        </w:tabs>
        <w:spacing w:line="260" w:lineRule="exact"/>
        <w:rPr>
          <w:snapToGrid w:val="0"/>
          <w:color w:val="0D0D0D"/>
          <w:sz w:val="22"/>
          <w:szCs w:val="24"/>
          <w:u w:val="single"/>
        </w:rPr>
      </w:pPr>
      <w:r w:rsidRPr="00211E3B">
        <w:rPr>
          <w:snapToGrid w:val="0"/>
          <w:color w:val="0D0D0D"/>
          <w:sz w:val="22"/>
          <w:szCs w:val="24"/>
          <w:u w:val="single"/>
        </w:rPr>
        <w:t>Žindymas</w:t>
      </w:r>
    </w:p>
    <w:p w14:paraId="20E71C19" w14:textId="55DDB9C6" w:rsidR="0055137E" w:rsidRPr="00211E3B" w:rsidRDefault="002C1DB2" w:rsidP="0055137E">
      <w:pPr>
        <w:tabs>
          <w:tab w:val="left" w:pos="567"/>
        </w:tabs>
        <w:spacing w:line="260" w:lineRule="exact"/>
        <w:rPr>
          <w:snapToGrid w:val="0"/>
          <w:color w:val="0D0D0D"/>
          <w:sz w:val="22"/>
          <w:szCs w:val="24"/>
        </w:rPr>
      </w:pPr>
      <w:r w:rsidRPr="00211E3B">
        <w:rPr>
          <w:snapToGrid w:val="0"/>
          <w:color w:val="0D0D0D"/>
          <w:sz w:val="22"/>
          <w:szCs w:val="24"/>
        </w:rPr>
        <w:t>I</w:t>
      </w:r>
      <w:r w:rsidR="0055137E" w:rsidRPr="00211E3B">
        <w:rPr>
          <w:snapToGrid w:val="0"/>
          <w:color w:val="0D0D0D"/>
          <w:sz w:val="22"/>
          <w:szCs w:val="24"/>
        </w:rPr>
        <w:t>nformacijos</w:t>
      </w:r>
      <w:r w:rsidRPr="00211E3B">
        <w:rPr>
          <w:snapToGrid w:val="0"/>
          <w:color w:val="0D0D0D"/>
          <w:sz w:val="22"/>
          <w:szCs w:val="24"/>
        </w:rPr>
        <w:t xml:space="preserve"> </w:t>
      </w:r>
      <w:r w:rsidR="0055137E" w:rsidRPr="00211E3B">
        <w:rPr>
          <w:snapToGrid w:val="0"/>
          <w:color w:val="0D0D0D"/>
          <w:sz w:val="22"/>
          <w:szCs w:val="24"/>
        </w:rPr>
        <w:t>apie nintedanib</w:t>
      </w:r>
      <w:r w:rsidRPr="00211E3B">
        <w:rPr>
          <w:snapToGrid w:val="0"/>
          <w:color w:val="0D0D0D"/>
          <w:sz w:val="22"/>
          <w:szCs w:val="24"/>
        </w:rPr>
        <w:t>o</w:t>
      </w:r>
      <w:r w:rsidR="0055137E" w:rsidRPr="00211E3B">
        <w:rPr>
          <w:snapToGrid w:val="0"/>
          <w:color w:val="0D0D0D"/>
          <w:sz w:val="22"/>
          <w:szCs w:val="24"/>
        </w:rPr>
        <w:t xml:space="preserve"> ir jo metabolit</w:t>
      </w:r>
      <w:r w:rsidRPr="00211E3B">
        <w:rPr>
          <w:snapToGrid w:val="0"/>
          <w:color w:val="0D0D0D"/>
          <w:sz w:val="22"/>
          <w:szCs w:val="24"/>
        </w:rPr>
        <w:t xml:space="preserve">ų išsiskyrimą </w:t>
      </w:r>
      <w:r w:rsidR="0055137E" w:rsidRPr="00211E3B">
        <w:rPr>
          <w:snapToGrid w:val="0"/>
          <w:color w:val="0D0D0D"/>
          <w:sz w:val="22"/>
          <w:szCs w:val="24"/>
        </w:rPr>
        <w:t>į motinos pieną</w:t>
      </w:r>
      <w:r w:rsidRPr="00211E3B">
        <w:rPr>
          <w:snapToGrid w:val="0"/>
          <w:color w:val="0D0D0D"/>
          <w:sz w:val="22"/>
          <w:szCs w:val="24"/>
        </w:rPr>
        <w:t xml:space="preserve"> nėra</w:t>
      </w:r>
      <w:r w:rsidR="0055137E" w:rsidRPr="00211E3B">
        <w:rPr>
          <w:snapToGrid w:val="0"/>
          <w:color w:val="0D0D0D"/>
          <w:sz w:val="22"/>
          <w:szCs w:val="24"/>
        </w:rPr>
        <w:t>.</w:t>
      </w:r>
      <w:r w:rsidRPr="00211E3B">
        <w:rPr>
          <w:snapToGrid w:val="0"/>
          <w:color w:val="0D0D0D"/>
          <w:sz w:val="22"/>
          <w:szCs w:val="24"/>
        </w:rPr>
        <w:t xml:space="preserve"> </w:t>
      </w:r>
      <w:r w:rsidR="0055137E" w:rsidRPr="00211E3B">
        <w:rPr>
          <w:snapToGrid w:val="0"/>
          <w:color w:val="0D0D0D"/>
          <w:sz w:val="22"/>
          <w:szCs w:val="24"/>
        </w:rPr>
        <w:t>Ikiklinikiniai tyrimai parodė, kad nedideli</w:t>
      </w:r>
      <w:r w:rsidRPr="00211E3B">
        <w:rPr>
          <w:snapToGrid w:val="0"/>
          <w:color w:val="0D0D0D"/>
          <w:sz w:val="22"/>
          <w:szCs w:val="24"/>
        </w:rPr>
        <w:t>s</w:t>
      </w:r>
      <w:r w:rsidR="0055137E" w:rsidRPr="00211E3B">
        <w:rPr>
          <w:snapToGrid w:val="0"/>
          <w:color w:val="0D0D0D"/>
          <w:sz w:val="22"/>
          <w:szCs w:val="24"/>
        </w:rPr>
        <w:t xml:space="preserve"> kieki</w:t>
      </w:r>
      <w:r w:rsidRPr="00211E3B">
        <w:rPr>
          <w:snapToGrid w:val="0"/>
          <w:color w:val="0D0D0D"/>
          <w:sz w:val="22"/>
          <w:szCs w:val="24"/>
        </w:rPr>
        <w:t>s</w:t>
      </w:r>
      <w:r w:rsidR="0055137E" w:rsidRPr="00211E3B">
        <w:rPr>
          <w:snapToGrid w:val="0"/>
          <w:color w:val="0D0D0D"/>
          <w:sz w:val="22"/>
          <w:szCs w:val="24"/>
        </w:rPr>
        <w:t xml:space="preserve"> nintedanibo ir jo metabolitų (≤</w:t>
      </w:r>
      <w:r w:rsidRPr="00211E3B">
        <w:rPr>
          <w:snapToGrid w:val="0"/>
          <w:color w:val="0D0D0D"/>
          <w:sz w:val="22"/>
          <w:szCs w:val="24"/>
        </w:rPr>
        <w:t> </w:t>
      </w:r>
      <w:r w:rsidR="0055137E" w:rsidRPr="00211E3B">
        <w:rPr>
          <w:snapToGrid w:val="0"/>
          <w:color w:val="0D0D0D"/>
          <w:sz w:val="22"/>
          <w:szCs w:val="24"/>
        </w:rPr>
        <w:t>0,5</w:t>
      </w:r>
      <w:r w:rsidR="0085390D">
        <w:rPr>
          <w:snapToGrid w:val="0"/>
          <w:color w:val="0D0D0D"/>
          <w:sz w:val="22"/>
          <w:szCs w:val="24"/>
        </w:rPr>
        <w:t> %</w:t>
      </w:r>
      <w:r w:rsidR="0055137E" w:rsidRPr="00211E3B">
        <w:rPr>
          <w:snapToGrid w:val="0"/>
          <w:color w:val="0D0D0D"/>
          <w:sz w:val="22"/>
          <w:szCs w:val="24"/>
        </w:rPr>
        <w:t xml:space="preserve"> pavartotos</w:t>
      </w:r>
      <w:r w:rsidRPr="00211E3B">
        <w:rPr>
          <w:snapToGrid w:val="0"/>
          <w:color w:val="0D0D0D"/>
          <w:sz w:val="22"/>
          <w:szCs w:val="24"/>
        </w:rPr>
        <w:t xml:space="preserve"> </w:t>
      </w:r>
      <w:r w:rsidR="0055137E" w:rsidRPr="00211E3B">
        <w:rPr>
          <w:snapToGrid w:val="0"/>
          <w:color w:val="0D0D0D"/>
          <w:sz w:val="22"/>
          <w:szCs w:val="24"/>
        </w:rPr>
        <w:t xml:space="preserve">dozės) išsiskyrė į </w:t>
      </w:r>
      <w:r w:rsidR="006E37AB" w:rsidRPr="00211E3B">
        <w:rPr>
          <w:snapToGrid w:val="0"/>
          <w:color w:val="0D0D0D"/>
          <w:sz w:val="22"/>
          <w:szCs w:val="24"/>
        </w:rPr>
        <w:t>laktuojančių</w:t>
      </w:r>
      <w:r w:rsidR="0055137E" w:rsidRPr="00211E3B">
        <w:rPr>
          <w:snapToGrid w:val="0"/>
          <w:color w:val="0D0D0D"/>
          <w:sz w:val="22"/>
          <w:szCs w:val="24"/>
        </w:rPr>
        <w:t xml:space="preserve"> žiurkių pieną. Pavojaus </w:t>
      </w:r>
      <w:r w:rsidR="004A1BDF" w:rsidRPr="00211E3B">
        <w:rPr>
          <w:snapToGrid w:val="0"/>
          <w:color w:val="0D0D0D"/>
          <w:sz w:val="22"/>
          <w:szCs w:val="24"/>
        </w:rPr>
        <w:t>naujagimiui / kūdikiui</w:t>
      </w:r>
      <w:r w:rsidR="0055137E" w:rsidRPr="00211E3B">
        <w:rPr>
          <w:snapToGrid w:val="0"/>
          <w:color w:val="0D0D0D"/>
          <w:sz w:val="22"/>
          <w:szCs w:val="24"/>
        </w:rPr>
        <w:t xml:space="preserve"> negalima atmesti. Gydymo</w:t>
      </w:r>
      <w:r w:rsidR="006E37AB" w:rsidRPr="00211E3B">
        <w:rPr>
          <w:snapToGrid w:val="0"/>
          <w:color w:val="0D0D0D"/>
          <w:sz w:val="22"/>
          <w:szCs w:val="24"/>
        </w:rPr>
        <w:t xml:space="preserve"> šiuo vaistiniu preparatu</w:t>
      </w:r>
      <w:r w:rsidR="0055137E" w:rsidRPr="00211E3B">
        <w:rPr>
          <w:snapToGrid w:val="0"/>
          <w:color w:val="0D0D0D"/>
          <w:sz w:val="22"/>
          <w:szCs w:val="24"/>
        </w:rPr>
        <w:t xml:space="preserve"> metu žindymą reikia nutraukti.</w:t>
      </w:r>
    </w:p>
    <w:p w14:paraId="1516F665" w14:textId="77777777" w:rsidR="006E37AB" w:rsidRPr="00211E3B" w:rsidRDefault="006E37AB" w:rsidP="0055137E">
      <w:pPr>
        <w:tabs>
          <w:tab w:val="left" w:pos="567"/>
        </w:tabs>
        <w:spacing w:line="260" w:lineRule="exact"/>
        <w:rPr>
          <w:snapToGrid w:val="0"/>
          <w:color w:val="0D0D0D"/>
          <w:sz w:val="22"/>
          <w:szCs w:val="24"/>
        </w:rPr>
      </w:pPr>
    </w:p>
    <w:p w14:paraId="5D2DB256" w14:textId="376ABE65" w:rsidR="0055137E" w:rsidRPr="00211E3B" w:rsidRDefault="0055137E" w:rsidP="0055137E">
      <w:pPr>
        <w:tabs>
          <w:tab w:val="left" w:pos="567"/>
        </w:tabs>
        <w:spacing w:line="260" w:lineRule="exact"/>
        <w:rPr>
          <w:snapToGrid w:val="0"/>
          <w:color w:val="0D0D0D"/>
          <w:sz w:val="22"/>
          <w:szCs w:val="24"/>
          <w:u w:val="single"/>
        </w:rPr>
      </w:pPr>
      <w:r w:rsidRPr="00211E3B">
        <w:rPr>
          <w:snapToGrid w:val="0"/>
          <w:color w:val="0D0D0D"/>
          <w:sz w:val="22"/>
          <w:szCs w:val="24"/>
          <w:u w:val="single"/>
        </w:rPr>
        <w:t>Vaisingumas</w:t>
      </w:r>
    </w:p>
    <w:p w14:paraId="5A506C98" w14:textId="7C0B3CDD" w:rsidR="005D554B" w:rsidRPr="00211E3B" w:rsidRDefault="0055137E" w:rsidP="004A1BDF">
      <w:pPr>
        <w:tabs>
          <w:tab w:val="left" w:pos="567"/>
        </w:tabs>
        <w:spacing w:line="260" w:lineRule="exact"/>
        <w:rPr>
          <w:snapToGrid w:val="0"/>
          <w:color w:val="0D0D0D"/>
          <w:sz w:val="22"/>
        </w:rPr>
      </w:pPr>
      <w:r w:rsidRPr="00211E3B">
        <w:rPr>
          <w:snapToGrid w:val="0"/>
          <w:color w:val="0D0D0D"/>
          <w:sz w:val="22"/>
          <w:szCs w:val="24"/>
        </w:rPr>
        <w:lastRenderedPageBreak/>
        <w:t xml:space="preserve">Remiantis ikiklinikiniais tyrimais, </w:t>
      </w:r>
      <w:r w:rsidR="00731FD4" w:rsidRPr="00211E3B">
        <w:rPr>
          <w:snapToGrid w:val="0"/>
          <w:color w:val="0D0D0D"/>
          <w:sz w:val="22"/>
          <w:szCs w:val="24"/>
        </w:rPr>
        <w:t xml:space="preserve">duomenų apie </w:t>
      </w:r>
      <w:r w:rsidRPr="00211E3B">
        <w:rPr>
          <w:snapToGrid w:val="0"/>
          <w:color w:val="0D0D0D"/>
          <w:sz w:val="22"/>
          <w:szCs w:val="24"/>
        </w:rPr>
        <w:t>vyrų vaisingumo sutrikim</w:t>
      </w:r>
      <w:r w:rsidR="00731FD4" w:rsidRPr="00211E3B">
        <w:rPr>
          <w:snapToGrid w:val="0"/>
          <w:color w:val="0D0D0D"/>
          <w:sz w:val="22"/>
          <w:szCs w:val="24"/>
        </w:rPr>
        <w:t xml:space="preserve">us nėra </w:t>
      </w:r>
      <w:r w:rsidRPr="00211E3B">
        <w:rPr>
          <w:snapToGrid w:val="0"/>
          <w:color w:val="0D0D0D"/>
          <w:sz w:val="22"/>
          <w:szCs w:val="24"/>
        </w:rPr>
        <w:t>(žr. 5.3</w:t>
      </w:r>
      <w:r w:rsidR="00731FD4" w:rsidRPr="00211E3B">
        <w:rPr>
          <w:snapToGrid w:val="0"/>
          <w:color w:val="0D0D0D"/>
          <w:sz w:val="22"/>
          <w:szCs w:val="24"/>
        </w:rPr>
        <w:t> </w:t>
      </w:r>
      <w:r w:rsidRPr="00211E3B">
        <w:rPr>
          <w:snapToGrid w:val="0"/>
          <w:color w:val="0D0D0D"/>
          <w:sz w:val="22"/>
          <w:szCs w:val="24"/>
        </w:rPr>
        <w:t xml:space="preserve">skyrių). </w:t>
      </w:r>
      <w:r w:rsidR="004A1BDF" w:rsidRPr="00211E3B">
        <w:rPr>
          <w:snapToGrid w:val="0"/>
          <w:color w:val="0D0D0D"/>
          <w:sz w:val="22"/>
          <w:szCs w:val="24"/>
        </w:rPr>
        <w:t>Poūmio ir lėtinio toksinio poveikio tyrimų metu žiurkių patelių vaisingumo sutrikimų, esant sisteminei ekspozicijai, kuri yra panaši į būnančią vartojant didžiausią rekomenduojamą dozę žmogui (DRDŽ), t. y. 150</w:t>
      </w:r>
      <w:r w:rsidR="0085390D">
        <w:rPr>
          <w:snapToGrid w:val="0"/>
          <w:color w:val="0D0D0D"/>
          <w:sz w:val="22"/>
          <w:szCs w:val="24"/>
        </w:rPr>
        <w:t> mg</w:t>
      </w:r>
      <w:r w:rsidR="004A1BDF" w:rsidRPr="00211E3B">
        <w:rPr>
          <w:snapToGrid w:val="0"/>
          <w:color w:val="0D0D0D"/>
          <w:sz w:val="22"/>
          <w:szCs w:val="24"/>
        </w:rPr>
        <w:t xml:space="preserve"> du kartus per parą, nenustatyta (žr. 5.3 skyrių).</w:t>
      </w:r>
    </w:p>
    <w:p w14:paraId="5A62FAF4" w14:textId="77777777" w:rsidR="005D554B" w:rsidRPr="00211E3B" w:rsidRDefault="005D554B" w:rsidP="005D554B">
      <w:pPr>
        <w:tabs>
          <w:tab w:val="left" w:pos="567"/>
        </w:tabs>
        <w:spacing w:line="260" w:lineRule="exact"/>
        <w:rPr>
          <w:snapToGrid w:val="0"/>
          <w:sz w:val="22"/>
          <w:szCs w:val="24"/>
        </w:rPr>
      </w:pPr>
    </w:p>
    <w:p w14:paraId="22424686" w14:textId="77777777" w:rsidR="005D554B" w:rsidRPr="00211E3B" w:rsidRDefault="005D554B" w:rsidP="005D554B">
      <w:pPr>
        <w:keepNext/>
        <w:tabs>
          <w:tab w:val="left" w:pos="567"/>
        </w:tabs>
        <w:spacing w:line="260" w:lineRule="exact"/>
        <w:jc w:val="both"/>
        <w:outlineLvl w:val="3"/>
        <w:rPr>
          <w:b/>
          <w:bCs/>
          <w:snapToGrid w:val="0"/>
          <w:sz w:val="22"/>
          <w:szCs w:val="28"/>
          <w:lang w:eastAsia="x-none"/>
        </w:rPr>
      </w:pPr>
      <w:r w:rsidRPr="00211E3B">
        <w:rPr>
          <w:b/>
          <w:bCs/>
          <w:snapToGrid w:val="0"/>
          <w:sz w:val="22"/>
          <w:szCs w:val="28"/>
          <w:lang w:eastAsia="x-none"/>
        </w:rPr>
        <w:t>4.7</w:t>
      </w:r>
      <w:r w:rsidRPr="00211E3B">
        <w:rPr>
          <w:b/>
          <w:bCs/>
          <w:snapToGrid w:val="0"/>
          <w:sz w:val="22"/>
          <w:szCs w:val="28"/>
          <w:lang w:eastAsia="x-none"/>
        </w:rPr>
        <w:tab/>
        <w:t>Poveikis gebėjimui vairuoti ir valdyti mechanizmus</w:t>
      </w:r>
    </w:p>
    <w:p w14:paraId="63983B06" w14:textId="77777777" w:rsidR="005D554B" w:rsidRPr="00211E3B" w:rsidRDefault="005D554B" w:rsidP="005D554B">
      <w:pPr>
        <w:tabs>
          <w:tab w:val="left" w:pos="567"/>
        </w:tabs>
        <w:spacing w:line="260" w:lineRule="exact"/>
        <w:rPr>
          <w:snapToGrid w:val="0"/>
          <w:sz w:val="22"/>
          <w:szCs w:val="24"/>
        </w:rPr>
      </w:pPr>
    </w:p>
    <w:p w14:paraId="0BCDE791" w14:textId="236C9F1F" w:rsidR="005D554B" w:rsidRPr="00211E3B" w:rsidRDefault="00224B5B" w:rsidP="004F3C73">
      <w:pPr>
        <w:tabs>
          <w:tab w:val="left" w:pos="567"/>
        </w:tabs>
        <w:spacing w:line="260" w:lineRule="exact"/>
        <w:rPr>
          <w:snapToGrid w:val="0"/>
          <w:sz w:val="22"/>
          <w:szCs w:val="24"/>
        </w:rPr>
      </w:pPr>
      <w:r w:rsidRPr="00211E3B">
        <w:rPr>
          <w:snapToGrid w:val="0"/>
          <w:sz w:val="22"/>
          <w:szCs w:val="24"/>
        </w:rPr>
        <w:t>Agarf</w:t>
      </w:r>
      <w:r w:rsidR="004F3C73" w:rsidRPr="00211E3B">
        <w:rPr>
          <w:snapToGrid w:val="0"/>
          <w:sz w:val="22"/>
          <w:szCs w:val="24"/>
        </w:rPr>
        <w:t xml:space="preserve"> </w:t>
      </w:r>
      <w:r w:rsidR="005D554B" w:rsidRPr="00211E3B">
        <w:rPr>
          <w:snapToGrid w:val="0"/>
          <w:sz w:val="22"/>
          <w:szCs w:val="24"/>
        </w:rPr>
        <w:t>gebėjim</w:t>
      </w:r>
      <w:r w:rsidR="00CE585C" w:rsidRPr="00211E3B">
        <w:rPr>
          <w:snapToGrid w:val="0"/>
          <w:sz w:val="22"/>
          <w:szCs w:val="24"/>
        </w:rPr>
        <w:t>ą</w:t>
      </w:r>
      <w:r w:rsidR="005D554B" w:rsidRPr="00211E3B">
        <w:rPr>
          <w:snapToGrid w:val="0"/>
          <w:sz w:val="22"/>
          <w:szCs w:val="24"/>
        </w:rPr>
        <w:t xml:space="preserve"> vairuoti ir valdyti mechanizmus veikia </w:t>
      </w:r>
      <w:r w:rsidR="00CE585C" w:rsidRPr="00211E3B">
        <w:rPr>
          <w:snapToGrid w:val="0"/>
          <w:sz w:val="22"/>
          <w:szCs w:val="24"/>
        </w:rPr>
        <w:t>silpnai</w:t>
      </w:r>
      <w:r w:rsidR="004F3C73" w:rsidRPr="00211E3B">
        <w:rPr>
          <w:snapToGrid w:val="0"/>
          <w:sz w:val="22"/>
          <w:szCs w:val="24"/>
        </w:rPr>
        <w:t>.</w:t>
      </w:r>
      <w:r w:rsidR="004F3C73" w:rsidRPr="00211E3B">
        <w:t xml:space="preserve"> </w:t>
      </w:r>
      <w:r w:rsidR="004F3C73" w:rsidRPr="00211E3B">
        <w:rPr>
          <w:snapToGrid w:val="0"/>
          <w:sz w:val="22"/>
          <w:szCs w:val="24"/>
        </w:rPr>
        <w:t>Pacientams reikia patarti būti atsargiems, vairuojant ir valdant mechanizmus gydymo</w:t>
      </w:r>
      <w:r w:rsidR="00B96573" w:rsidRPr="00211E3B">
        <w:rPr>
          <w:snapToGrid w:val="0"/>
          <w:sz w:val="22"/>
          <w:szCs w:val="24"/>
        </w:rPr>
        <w:t xml:space="preserve"> nintedanibu</w:t>
      </w:r>
      <w:r w:rsidR="004F3C73" w:rsidRPr="00211E3B">
        <w:rPr>
          <w:snapToGrid w:val="0"/>
          <w:sz w:val="22"/>
          <w:szCs w:val="24"/>
        </w:rPr>
        <w:t xml:space="preserve"> metu.</w:t>
      </w:r>
    </w:p>
    <w:p w14:paraId="75394C56" w14:textId="77777777" w:rsidR="005D554B" w:rsidRPr="00211E3B" w:rsidRDefault="005D554B" w:rsidP="005D554B">
      <w:pPr>
        <w:tabs>
          <w:tab w:val="left" w:pos="567"/>
        </w:tabs>
        <w:spacing w:line="260" w:lineRule="exact"/>
        <w:rPr>
          <w:snapToGrid w:val="0"/>
          <w:sz w:val="22"/>
          <w:szCs w:val="24"/>
        </w:rPr>
      </w:pPr>
    </w:p>
    <w:p w14:paraId="323274F5" w14:textId="77777777" w:rsidR="005D554B" w:rsidRPr="00211E3B" w:rsidRDefault="005D554B" w:rsidP="005D554B">
      <w:pPr>
        <w:tabs>
          <w:tab w:val="left" w:pos="567"/>
        </w:tabs>
        <w:outlineLvl w:val="0"/>
        <w:rPr>
          <w:snapToGrid w:val="0"/>
          <w:sz w:val="22"/>
          <w:u w:val="single"/>
        </w:rPr>
      </w:pPr>
      <w:r w:rsidRPr="00211E3B">
        <w:rPr>
          <w:b/>
          <w:snapToGrid w:val="0"/>
          <w:sz w:val="22"/>
        </w:rPr>
        <w:t>4.8</w:t>
      </w:r>
      <w:r w:rsidRPr="00211E3B">
        <w:rPr>
          <w:b/>
          <w:snapToGrid w:val="0"/>
          <w:sz w:val="22"/>
        </w:rPr>
        <w:tab/>
        <w:t>Nepageidaujamas poveikis</w:t>
      </w:r>
    </w:p>
    <w:p w14:paraId="744AF453" w14:textId="77777777" w:rsidR="004F3C73" w:rsidRPr="00211E3B" w:rsidRDefault="004F3C73" w:rsidP="005D554B">
      <w:pPr>
        <w:tabs>
          <w:tab w:val="left" w:pos="567"/>
        </w:tabs>
        <w:contextualSpacing/>
        <w:outlineLvl w:val="0"/>
        <w:rPr>
          <w:snapToGrid w:val="0"/>
          <w:sz w:val="22"/>
          <w:szCs w:val="22"/>
        </w:rPr>
      </w:pPr>
    </w:p>
    <w:p w14:paraId="0920BE90" w14:textId="6763A1EE" w:rsidR="005D554B" w:rsidRPr="00211E3B" w:rsidRDefault="005D554B" w:rsidP="005D554B">
      <w:pPr>
        <w:tabs>
          <w:tab w:val="left" w:pos="567"/>
        </w:tabs>
        <w:spacing w:line="260" w:lineRule="exact"/>
        <w:rPr>
          <w:iCs/>
          <w:snapToGrid w:val="0"/>
          <w:sz w:val="22"/>
          <w:szCs w:val="22"/>
          <w:u w:val="single"/>
          <w:lang w:eastAsia="lt-LT"/>
        </w:rPr>
      </w:pPr>
      <w:r w:rsidRPr="00211E3B">
        <w:rPr>
          <w:iCs/>
          <w:snapToGrid w:val="0"/>
          <w:sz w:val="22"/>
          <w:szCs w:val="22"/>
          <w:u w:val="single"/>
          <w:lang w:eastAsia="lt-LT"/>
        </w:rPr>
        <w:t>Saugumo duomenų santrauka</w:t>
      </w:r>
    </w:p>
    <w:p w14:paraId="4D665E42" w14:textId="5A99D1CE" w:rsidR="009E34BE" w:rsidRPr="00211E3B" w:rsidRDefault="009E34BE" w:rsidP="009E34BE">
      <w:pPr>
        <w:tabs>
          <w:tab w:val="left" w:pos="567"/>
        </w:tabs>
        <w:spacing w:line="260" w:lineRule="exact"/>
        <w:rPr>
          <w:iCs/>
          <w:snapToGrid w:val="0"/>
          <w:sz w:val="22"/>
          <w:szCs w:val="22"/>
          <w:lang w:eastAsia="lt-LT"/>
        </w:rPr>
      </w:pPr>
      <w:r w:rsidRPr="00211E3B">
        <w:rPr>
          <w:iCs/>
          <w:snapToGrid w:val="0"/>
          <w:sz w:val="22"/>
          <w:szCs w:val="22"/>
          <w:lang w:eastAsia="lt-LT"/>
        </w:rPr>
        <w:t xml:space="preserve">Klinikinių tyrimų metu ir </w:t>
      </w:r>
      <w:r w:rsidR="003D2B76" w:rsidRPr="00211E3B">
        <w:rPr>
          <w:iCs/>
          <w:snapToGrid w:val="0"/>
          <w:sz w:val="22"/>
          <w:szCs w:val="22"/>
          <w:lang w:eastAsia="lt-LT"/>
        </w:rPr>
        <w:t>po vaistinio preparato pateikimo į rinką</w:t>
      </w:r>
      <w:r w:rsidRPr="00211E3B">
        <w:rPr>
          <w:iCs/>
          <w:snapToGrid w:val="0"/>
          <w:sz w:val="22"/>
          <w:szCs w:val="22"/>
          <w:lang w:eastAsia="lt-LT"/>
        </w:rPr>
        <w:t xml:space="preserve"> laikotarpiu dažniausiai </w:t>
      </w:r>
      <w:r w:rsidR="003D2B76" w:rsidRPr="00211E3B">
        <w:rPr>
          <w:iCs/>
          <w:snapToGrid w:val="0"/>
          <w:sz w:val="22"/>
          <w:szCs w:val="22"/>
          <w:lang w:eastAsia="lt-LT"/>
        </w:rPr>
        <w:t>praneštos</w:t>
      </w:r>
      <w:r w:rsidRPr="00211E3B">
        <w:rPr>
          <w:iCs/>
          <w:snapToGrid w:val="0"/>
          <w:sz w:val="22"/>
          <w:szCs w:val="22"/>
          <w:lang w:eastAsia="lt-LT"/>
        </w:rPr>
        <w:t xml:space="preserve"> su nintedanibo</w:t>
      </w:r>
      <w:r w:rsidR="003D2B76" w:rsidRPr="00211E3B">
        <w:rPr>
          <w:iCs/>
          <w:snapToGrid w:val="0"/>
          <w:sz w:val="22"/>
          <w:szCs w:val="22"/>
          <w:lang w:eastAsia="lt-LT"/>
        </w:rPr>
        <w:t xml:space="preserve"> </w:t>
      </w:r>
      <w:r w:rsidRPr="00211E3B">
        <w:rPr>
          <w:iCs/>
          <w:snapToGrid w:val="0"/>
          <w:sz w:val="22"/>
          <w:szCs w:val="22"/>
          <w:lang w:eastAsia="lt-LT"/>
        </w:rPr>
        <w:t>vartojimu susijusios nepageidaujamos reakcijos buvo viduriavimas, pykinimas ir vėmimas, pilvo</w:t>
      </w:r>
      <w:r w:rsidR="003D2B76" w:rsidRPr="00211E3B">
        <w:rPr>
          <w:iCs/>
          <w:snapToGrid w:val="0"/>
          <w:sz w:val="22"/>
          <w:szCs w:val="22"/>
          <w:lang w:eastAsia="lt-LT"/>
        </w:rPr>
        <w:t xml:space="preserve"> </w:t>
      </w:r>
      <w:r w:rsidRPr="00211E3B">
        <w:rPr>
          <w:iCs/>
          <w:snapToGrid w:val="0"/>
          <w:sz w:val="22"/>
          <w:szCs w:val="22"/>
          <w:lang w:eastAsia="lt-LT"/>
        </w:rPr>
        <w:t>skausmas, apetit</w:t>
      </w:r>
      <w:r w:rsidR="003D2B76" w:rsidRPr="00211E3B">
        <w:rPr>
          <w:iCs/>
          <w:snapToGrid w:val="0"/>
          <w:sz w:val="22"/>
          <w:szCs w:val="22"/>
          <w:lang w:eastAsia="lt-LT"/>
        </w:rPr>
        <w:t>o sumažėjimas</w:t>
      </w:r>
      <w:r w:rsidRPr="00211E3B">
        <w:rPr>
          <w:iCs/>
          <w:snapToGrid w:val="0"/>
          <w:sz w:val="22"/>
          <w:szCs w:val="22"/>
          <w:lang w:eastAsia="lt-LT"/>
        </w:rPr>
        <w:t xml:space="preserve">, </w:t>
      </w:r>
      <w:r w:rsidR="003D2B76" w:rsidRPr="00211E3B">
        <w:rPr>
          <w:iCs/>
          <w:snapToGrid w:val="0"/>
          <w:sz w:val="22"/>
          <w:szCs w:val="22"/>
          <w:lang w:eastAsia="lt-LT"/>
        </w:rPr>
        <w:t xml:space="preserve">kūno </w:t>
      </w:r>
      <w:r w:rsidRPr="00211E3B">
        <w:rPr>
          <w:iCs/>
          <w:snapToGrid w:val="0"/>
          <w:sz w:val="22"/>
          <w:szCs w:val="22"/>
          <w:lang w:eastAsia="lt-LT"/>
        </w:rPr>
        <w:t>svorio sumažėjimas ir kepenų fermentų aktyvumo padidėjimas.</w:t>
      </w:r>
    </w:p>
    <w:p w14:paraId="19AF80E9" w14:textId="77777777" w:rsidR="003D2B76" w:rsidRPr="00211E3B" w:rsidRDefault="003D2B76" w:rsidP="009E34BE">
      <w:pPr>
        <w:tabs>
          <w:tab w:val="left" w:pos="567"/>
        </w:tabs>
        <w:spacing w:line="260" w:lineRule="exact"/>
        <w:rPr>
          <w:iCs/>
          <w:snapToGrid w:val="0"/>
          <w:sz w:val="22"/>
          <w:szCs w:val="22"/>
          <w:lang w:eastAsia="lt-LT"/>
        </w:rPr>
      </w:pPr>
    </w:p>
    <w:p w14:paraId="6B3ADC05" w14:textId="4A5975C7" w:rsidR="009E34BE" w:rsidRPr="00211E3B" w:rsidRDefault="003D2B76" w:rsidP="009E34BE">
      <w:pPr>
        <w:tabs>
          <w:tab w:val="left" w:pos="567"/>
        </w:tabs>
        <w:spacing w:line="260" w:lineRule="exact"/>
        <w:rPr>
          <w:iCs/>
          <w:snapToGrid w:val="0"/>
          <w:sz w:val="22"/>
          <w:szCs w:val="22"/>
          <w:lang w:eastAsia="lt-LT"/>
        </w:rPr>
      </w:pPr>
      <w:r w:rsidRPr="00211E3B">
        <w:rPr>
          <w:iCs/>
          <w:snapToGrid w:val="0"/>
          <w:sz w:val="22"/>
          <w:szCs w:val="22"/>
          <w:lang w:eastAsia="lt-LT"/>
        </w:rPr>
        <w:t xml:space="preserve">Informacijos apie </w:t>
      </w:r>
      <w:r w:rsidR="009E34BE" w:rsidRPr="00211E3B">
        <w:rPr>
          <w:iCs/>
          <w:snapToGrid w:val="0"/>
          <w:sz w:val="22"/>
          <w:szCs w:val="22"/>
          <w:lang w:eastAsia="lt-LT"/>
        </w:rPr>
        <w:t xml:space="preserve">atrinktų nepageidaujamų reakcijų </w:t>
      </w:r>
      <w:r w:rsidRPr="00211E3B">
        <w:rPr>
          <w:iCs/>
          <w:snapToGrid w:val="0"/>
          <w:sz w:val="22"/>
          <w:szCs w:val="22"/>
          <w:lang w:eastAsia="lt-LT"/>
        </w:rPr>
        <w:t>kontrolę pateikiama</w:t>
      </w:r>
      <w:r w:rsidR="009E34BE" w:rsidRPr="00211E3B">
        <w:rPr>
          <w:iCs/>
          <w:snapToGrid w:val="0"/>
          <w:sz w:val="22"/>
          <w:szCs w:val="22"/>
          <w:lang w:eastAsia="lt-LT"/>
        </w:rPr>
        <w:t xml:space="preserve"> 4.4</w:t>
      </w:r>
      <w:r w:rsidRPr="00211E3B">
        <w:rPr>
          <w:iCs/>
          <w:snapToGrid w:val="0"/>
          <w:sz w:val="22"/>
          <w:szCs w:val="22"/>
          <w:lang w:eastAsia="lt-LT"/>
        </w:rPr>
        <w:t> </w:t>
      </w:r>
      <w:r w:rsidR="009E34BE" w:rsidRPr="00211E3B">
        <w:rPr>
          <w:iCs/>
          <w:snapToGrid w:val="0"/>
          <w:sz w:val="22"/>
          <w:szCs w:val="22"/>
          <w:lang w:eastAsia="lt-LT"/>
        </w:rPr>
        <w:t>skyri</w:t>
      </w:r>
      <w:r w:rsidRPr="00211E3B">
        <w:rPr>
          <w:iCs/>
          <w:snapToGrid w:val="0"/>
          <w:sz w:val="22"/>
          <w:szCs w:val="22"/>
          <w:lang w:eastAsia="lt-LT"/>
        </w:rPr>
        <w:t>uje</w:t>
      </w:r>
      <w:r w:rsidR="009E34BE" w:rsidRPr="00211E3B">
        <w:rPr>
          <w:iCs/>
          <w:snapToGrid w:val="0"/>
          <w:sz w:val="22"/>
          <w:szCs w:val="22"/>
          <w:lang w:eastAsia="lt-LT"/>
        </w:rPr>
        <w:t>.</w:t>
      </w:r>
    </w:p>
    <w:p w14:paraId="1EBC5B97" w14:textId="77777777" w:rsidR="00C1308C" w:rsidRPr="00211E3B" w:rsidRDefault="00C1308C" w:rsidP="009E34BE">
      <w:pPr>
        <w:tabs>
          <w:tab w:val="left" w:pos="567"/>
        </w:tabs>
        <w:spacing w:line="260" w:lineRule="exact"/>
        <w:rPr>
          <w:iCs/>
          <w:snapToGrid w:val="0"/>
          <w:sz w:val="22"/>
          <w:szCs w:val="22"/>
          <w:lang w:eastAsia="lt-LT"/>
        </w:rPr>
      </w:pPr>
    </w:p>
    <w:p w14:paraId="4C17A80C" w14:textId="26CCED67" w:rsidR="009E34BE" w:rsidRPr="00211E3B" w:rsidRDefault="009E34BE" w:rsidP="009E34BE">
      <w:pPr>
        <w:tabs>
          <w:tab w:val="left" w:pos="567"/>
        </w:tabs>
        <w:spacing w:line="260" w:lineRule="exact"/>
        <w:rPr>
          <w:iCs/>
          <w:snapToGrid w:val="0"/>
          <w:sz w:val="22"/>
          <w:szCs w:val="22"/>
          <w:u w:val="single"/>
          <w:lang w:eastAsia="lt-LT"/>
        </w:rPr>
      </w:pPr>
      <w:r w:rsidRPr="00211E3B">
        <w:rPr>
          <w:iCs/>
          <w:snapToGrid w:val="0"/>
          <w:sz w:val="22"/>
          <w:szCs w:val="22"/>
          <w:u w:val="single"/>
          <w:lang w:eastAsia="lt-LT"/>
        </w:rPr>
        <w:t>Nepageidaujamų reakcijų santrauka lentelėje</w:t>
      </w:r>
    </w:p>
    <w:p w14:paraId="4600B95D" w14:textId="27F8D3E6" w:rsidR="009E34BE" w:rsidRPr="00211E3B" w:rsidRDefault="009E34BE" w:rsidP="00436411">
      <w:pPr>
        <w:tabs>
          <w:tab w:val="left" w:pos="567"/>
        </w:tabs>
        <w:spacing w:line="260" w:lineRule="exact"/>
        <w:rPr>
          <w:iCs/>
          <w:snapToGrid w:val="0"/>
          <w:sz w:val="22"/>
          <w:szCs w:val="22"/>
          <w:lang w:eastAsia="lt-LT"/>
        </w:rPr>
      </w:pPr>
      <w:r w:rsidRPr="00211E3B">
        <w:rPr>
          <w:iCs/>
          <w:snapToGrid w:val="0"/>
          <w:sz w:val="22"/>
          <w:szCs w:val="22"/>
          <w:lang w:eastAsia="lt-LT"/>
        </w:rPr>
        <w:t>1</w:t>
      </w:r>
      <w:r w:rsidR="00436411" w:rsidRPr="00211E3B">
        <w:rPr>
          <w:iCs/>
          <w:snapToGrid w:val="0"/>
          <w:sz w:val="22"/>
          <w:szCs w:val="22"/>
          <w:lang w:eastAsia="lt-LT"/>
        </w:rPr>
        <w:t> </w:t>
      </w:r>
      <w:r w:rsidRPr="00211E3B">
        <w:rPr>
          <w:iCs/>
          <w:snapToGrid w:val="0"/>
          <w:sz w:val="22"/>
          <w:szCs w:val="22"/>
          <w:lang w:eastAsia="lt-LT"/>
        </w:rPr>
        <w:t xml:space="preserve"> lentelėje </w:t>
      </w:r>
      <w:r w:rsidR="00436411" w:rsidRPr="00211E3B">
        <w:rPr>
          <w:iCs/>
          <w:snapToGrid w:val="0"/>
          <w:sz w:val="22"/>
          <w:szCs w:val="22"/>
          <w:lang w:eastAsia="lt-LT"/>
        </w:rPr>
        <w:t>pateikiamas nepageidaujamų reakcijų (NR) apibendrinimas pagal</w:t>
      </w:r>
      <w:r w:rsidR="00436411" w:rsidRPr="00211E3B">
        <w:t xml:space="preserve"> </w:t>
      </w:r>
      <w:r w:rsidR="00436411" w:rsidRPr="00211E3B">
        <w:rPr>
          <w:iCs/>
          <w:snapToGrid w:val="0"/>
          <w:sz w:val="22"/>
          <w:szCs w:val="22"/>
          <w:lang w:eastAsia="lt-LT"/>
        </w:rPr>
        <w:t xml:space="preserve">MedDRA organų sistemų klases (OSK) ir dažnį, kuris </w:t>
      </w:r>
      <w:r w:rsidR="00436411" w:rsidRPr="00211E3B">
        <w:rPr>
          <w:snapToGrid w:val="0"/>
          <w:sz w:val="22"/>
        </w:rPr>
        <w:t>apibūdinamas taip: labai dažnas (≥ 1/10), dažnas (nuo ≥ 1/100 iki &lt; 1/10), nedažnas (nuo ≥ 1/1 000 iki &lt; 1/100), retas (nuo ≥ 1/10 000 iki &lt; 1/1 000), labai retas (&lt; 1/10 000) ir nežinomas (negali būti apskaičiuotas pagal turimus duomenis)</w:t>
      </w:r>
      <w:r w:rsidR="00490C25">
        <w:rPr>
          <w:snapToGrid w:val="0"/>
          <w:sz w:val="22"/>
        </w:rPr>
        <w:t>.</w:t>
      </w:r>
    </w:p>
    <w:p w14:paraId="24D40093" w14:textId="15F5B432" w:rsidR="009E34BE" w:rsidRPr="00211E3B" w:rsidRDefault="009E34BE" w:rsidP="009E34BE">
      <w:pPr>
        <w:tabs>
          <w:tab w:val="left" w:pos="567"/>
        </w:tabs>
        <w:spacing w:line="260" w:lineRule="exact"/>
        <w:rPr>
          <w:iCs/>
          <w:snapToGrid w:val="0"/>
          <w:sz w:val="22"/>
          <w:szCs w:val="22"/>
          <w:lang w:eastAsia="lt-LT"/>
        </w:rPr>
      </w:pPr>
    </w:p>
    <w:p w14:paraId="7426CE6E" w14:textId="06AA3505" w:rsidR="009E34BE" w:rsidRPr="00211E3B" w:rsidRDefault="009E34BE" w:rsidP="009E34BE">
      <w:pPr>
        <w:tabs>
          <w:tab w:val="left" w:pos="567"/>
        </w:tabs>
        <w:spacing w:line="260" w:lineRule="exact"/>
        <w:rPr>
          <w:b/>
          <w:bCs/>
          <w:iCs/>
          <w:snapToGrid w:val="0"/>
          <w:sz w:val="22"/>
          <w:szCs w:val="22"/>
          <w:lang w:eastAsia="lt-LT"/>
        </w:rPr>
      </w:pPr>
      <w:r w:rsidRPr="00211E3B">
        <w:rPr>
          <w:b/>
          <w:bCs/>
          <w:iCs/>
          <w:snapToGrid w:val="0"/>
          <w:sz w:val="22"/>
          <w:szCs w:val="22"/>
          <w:lang w:eastAsia="lt-LT"/>
        </w:rPr>
        <w:t>1</w:t>
      </w:r>
      <w:r w:rsidR="00436411" w:rsidRPr="00211E3B">
        <w:rPr>
          <w:b/>
          <w:bCs/>
          <w:iCs/>
          <w:snapToGrid w:val="0"/>
          <w:sz w:val="22"/>
          <w:szCs w:val="22"/>
          <w:lang w:eastAsia="lt-LT"/>
        </w:rPr>
        <w:t> </w:t>
      </w:r>
      <w:r w:rsidRPr="00211E3B">
        <w:rPr>
          <w:b/>
          <w:bCs/>
          <w:iCs/>
          <w:snapToGrid w:val="0"/>
          <w:sz w:val="22"/>
          <w:szCs w:val="22"/>
          <w:lang w:eastAsia="lt-LT"/>
        </w:rPr>
        <w:t>lentelė.</w:t>
      </w:r>
      <w:r w:rsidR="00F054CD" w:rsidRPr="00211E3B">
        <w:rPr>
          <w:b/>
          <w:bCs/>
          <w:iCs/>
          <w:snapToGrid w:val="0"/>
          <w:sz w:val="22"/>
          <w:szCs w:val="22"/>
          <w:lang w:eastAsia="lt-LT"/>
        </w:rPr>
        <w:tab/>
      </w:r>
      <w:r w:rsidRPr="00211E3B">
        <w:rPr>
          <w:b/>
          <w:bCs/>
          <w:iCs/>
          <w:snapToGrid w:val="0"/>
          <w:sz w:val="22"/>
          <w:szCs w:val="22"/>
          <w:lang w:eastAsia="lt-LT"/>
        </w:rPr>
        <w:t xml:space="preserve">NR </w:t>
      </w:r>
      <w:r w:rsidR="00436411" w:rsidRPr="00211E3B">
        <w:rPr>
          <w:b/>
          <w:bCs/>
          <w:iCs/>
          <w:snapToGrid w:val="0"/>
          <w:sz w:val="22"/>
          <w:szCs w:val="22"/>
          <w:lang w:eastAsia="lt-LT"/>
        </w:rPr>
        <w:t>apibendrinimas pagal dažnio kategorijas</w:t>
      </w:r>
    </w:p>
    <w:p w14:paraId="3C826835" w14:textId="77777777" w:rsidR="009E34BE" w:rsidRPr="009E34BE" w:rsidRDefault="009E34BE" w:rsidP="009E34BE">
      <w:pPr>
        <w:keepNext/>
        <w:tabs>
          <w:tab w:val="left" w:pos="1134"/>
        </w:tabs>
        <w:autoSpaceDE w:val="0"/>
        <w:autoSpaceDN w:val="0"/>
        <w:adjustRightInd w:val="0"/>
        <w:ind w:left="1134" w:hanging="1134"/>
        <w:jc w:val="both"/>
        <w:rPr>
          <w:sz w:val="22"/>
          <w:szCs w:val="22"/>
        </w:rPr>
      </w:pPr>
    </w:p>
    <w:tbl>
      <w:tblPr>
        <w:tblStyle w:val="Lentelstinklelis"/>
        <w:tblW w:w="4994" w:type="pct"/>
        <w:tblLook w:val="04A0" w:firstRow="1" w:lastRow="0" w:firstColumn="1" w:lastColumn="0" w:noHBand="0" w:noVBand="1"/>
      </w:tblPr>
      <w:tblGrid>
        <w:gridCol w:w="2562"/>
        <w:gridCol w:w="2162"/>
        <w:gridCol w:w="2162"/>
        <w:gridCol w:w="2163"/>
      </w:tblGrid>
      <w:tr w:rsidR="009E34BE" w:rsidRPr="009E34BE" w14:paraId="4F3503FF" w14:textId="77777777" w:rsidTr="009E34BE">
        <w:trPr>
          <w:tblHeader/>
        </w:trPr>
        <w:tc>
          <w:tcPr>
            <w:tcW w:w="1250" w:type="pct"/>
            <w:tcBorders>
              <w:top w:val="single" w:sz="4" w:space="0" w:color="auto"/>
              <w:left w:val="single" w:sz="4" w:space="0" w:color="auto"/>
              <w:bottom w:val="single" w:sz="4" w:space="0" w:color="auto"/>
              <w:right w:val="single" w:sz="4" w:space="0" w:color="auto"/>
            </w:tcBorders>
          </w:tcPr>
          <w:p w14:paraId="71E49D48" w14:textId="77777777" w:rsidR="009E34BE" w:rsidRPr="009E34BE" w:rsidRDefault="009E34BE" w:rsidP="009E34BE">
            <w:pPr>
              <w:tabs>
                <w:tab w:val="left" w:pos="567"/>
              </w:tabs>
              <w:autoSpaceDE w:val="0"/>
              <w:autoSpaceDN w:val="0"/>
              <w:adjustRightInd w:val="0"/>
              <w:jc w:val="both"/>
              <w:rPr>
                <w:b/>
                <w:sz w:val="22"/>
                <w:szCs w:val="22"/>
                <w:lang w:val="lt-LT"/>
              </w:rPr>
            </w:pPr>
          </w:p>
        </w:tc>
        <w:tc>
          <w:tcPr>
            <w:tcW w:w="3750" w:type="pct"/>
            <w:gridSpan w:val="3"/>
            <w:tcBorders>
              <w:top w:val="single" w:sz="4" w:space="0" w:color="auto"/>
              <w:left w:val="single" w:sz="4" w:space="0" w:color="auto"/>
              <w:bottom w:val="single" w:sz="4" w:space="0" w:color="auto"/>
              <w:right w:val="single" w:sz="4" w:space="0" w:color="auto"/>
            </w:tcBorders>
            <w:hideMark/>
          </w:tcPr>
          <w:p w14:paraId="6A72BFCD" w14:textId="2FAAF1B3" w:rsidR="009E34BE" w:rsidRPr="009E34BE" w:rsidRDefault="00D8244A" w:rsidP="009E34BE">
            <w:pPr>
              <w:tabs>
                <w:tab w:val="left" w:pos="567"/>
              </w:tabs>
              <w:autoSpaceDE w:val="0"/>
              <w:autoSpaceDN w:val="0"/>
              <w:adjustRightInd w:val="0"/>
              <w:jc w:val="center"/>
              <w:rPr>
                <w:b/>
                <w:sz w:val="22"/>
                <w:szCs w:val="22"/>
                <w:lang w:val="lt-LT"/>
              </w:rPr>
            </w:pPr>
            <w:r w:rsidRPr="00211E3B">
              <w:rPr>
                <w:b/>
                <w:sz w:val="22"/>
                <w:szCs w:val="22"/>
                <w:lang w:val="lt-LT"/>
              </w:rPr>
              <w:t>Dažnis</w:t>
            </w:r>
          </w:p>
        </w:tc>
      </w:tr>
      <w:tr w:rsidR="009E34BE" w:rsidRPr="009E34BE" w14:paraId="103509BC" w14:textId="77777777" w:rsidTr="009E34BE">
        <w:trPr>
          <w:tblHeader/>
        </w:trPr>
        <w:tc>
          <w:tcPr>
            <w:tcW w:w="1250" w:type="pct"/>
            <w:tcBorders>
              <w:top w:val="single" w:sz="4" w:space="0" w:color="auto"/>
              <w:left w:val="single" w:sz="4" w:space="0" w:color="auto"/>
              <w:bottom w:val="single" w:sz="4" w:space="0" w:color="auto"/>
              <w:right w:val="single" w:sz="4" w:space="0" w:color="auto"/>
            </w:tcBorders>
            <w:hideMark/>
          </w:tcPr>
          <w:p w14:paraId="3FE73663" w14:textId="2D8BE6E8" w:rsidR="009E34BE" w:rsidRPr="009E34BE" w:rsidRDefault="00D8244A" w:rsidP="009E34BE">
            <w:pPr>
              <w:tabs>
                <w:tab w:val="left" w:pos="567"/>
              </w:tabs>
              <w:autoSpaceDE w:val="0"/>
              <w:autoSpaceDN w:val="0"/>
              <w:adjustRightInd w:val="0"/>
              <w:jc w:val="center"/>
              <w:rPr>
                <w:b/>
                <w:sz w:val="22"/>
                <w:szCs w:val="22"/>
                <w:lang w:val="lt-LT"/>
              </w:rPr>
            </w:pPr>
            <w:r w:rsidRPr="00211E3B">
              <w:rPr>
                <w:b/>
                <w:sz w:val="22"/>
                <w:szCs w:val="22"/>
                <w:lang w:val="lt-LT"/>
              </w:rPr>
              <w:t>Organų sistemų klasės rekomenduojamas terminas</w:t>
            </w:r>
          </w:p>
        </w:tc>
        <w:tc>
          <w:tcPr>
            <w:tcW w:w="1250" w:type="pct"/>
            <w:tcBorders>
              <w:top w:val="single" w:sz="4" w:space="0" w:color="auto"/>
              <w:left w:val="single" w:sz="4" w:space="0" w:color="auto"/>
              <w:bottom w:val="single" w:sz="4" w:space="0" w:color="auto"/>
              <w:right w:val="single" w:sz="4" w:space="0" w:color="auto"/>
            </w:tcBorders>
            <w:hideMark/>
          </w:tcPr>
          <w:p w14:paraId="241E4B42" w14:textId="5F912EC7" w:rsidR="009E34BE" w:rsidRPr="009E34BE" w:rsidRDefault="00D8244A" w:rsidP="00D8244A">
            <w:pPr>
              <w:tabs>
                <w:tab w:val="left" w:pos="567"/>
              </w:tabs>
              <w:autoSpaceDE w:val="0"/>
              <w:autoSpaceDN w:val="0"/>
              <w:adjustRightInd w:val="0"/>
              <w:jc w:val="center"/>
              <w:rPr>
                <w:b/>
                <w:sz w:val="22"/>
                <w:szCs w:val="22"/>
                <w:lang w:val="lt-LT"/>
              </w:rPr>
            </w:pPr>
            <w:r w:rsidRPr="00211E3B">
              <w:rPr>
                <w:b/>
                <w:sz w:val="22"/>
                <w:szCs w:val="22"/>
                <w:lang w:val="lt-LT"/>
              </w:rPr>
              <w:t>Idiopatinė plaučių fibrozė</w:t>
            </w:r>
          </w:p>
        </w:tc>
        <w:tc>
          <w:tcPr>
            <w:tcW w:w="1250" w:type="pct"/>
            <w:tcBorders>
              <w:top w:val="single" w:sz="4" w:space="0" w:color="auto"/>
              <w:left w:val="single" w:sz="4" w:space="0" w:color="auto"/>
              <w:bottom w:val="single" w:sz="4" w:space="0" w:color="auto"/>
              <w:right w:val="single" w:sz="4" w:space="0" w:color="auto"/>
            </w:tcBorders>
            <w:hideMark/>
          </w:tcPr>
          <w:p w14:paraId="3939EDE8" w14:textId="4EDED1AF" w:rsidR="009E34BE" w:rsidRPr="009E34BE" w:rsidRDefault="00D8244A" w:rsidP="00D8244A">
            <w:pPr>
              <w:tabs>
                <w:tab w:val="left" w:pos="567"/>
              </w:tabs>
              <w:autoSpaceDE w:val="0"/>
              <w:autoSpaceDN w:val="0"/>
              <w:adjustRightInd w:val="0"/>
              <w:jc w:val="center"/>
              <w:rPr>
                <w:b/>
                <w:sz w:val="22"/>
                <w:szCs w:val="22"/>
                <w:lang w:val="lt-LT"/>
              </w:rPr>
            </w:pPr>
            <w:r w:rsidRPr="00211E3B">
              <w:rPr>
                <w:b/>
                <w:sz w:val="22"/>
                <w:szCs w:val="22"/>
                <w:lang w:val="lt-LT"/>
              </w:rPr>
              <w:t>Kitos lėtinės fibrozinės progresuojančio fenotipo IPL</w:t>
            </w:r>
          </w:p>
        </w:tc>
        <w:tc>
          <w:tcPr>
            <w:tcW w:w="1250" w:type="pct"/>
            <w:tcBorders>
              <w:top w:val="single" w:sz="4" w:space="0" w:color="auto"/>
              <w:left w:val="single" w:sz="4" w:space="0" w:color="auto"/>
              <w:bottom w:val="single" w:sz="4" w:space="0" w:color="auto"/>
              <w:right w:val="single" w:sz="4" w:space="0" w:color="auto"/>
            </w:tcBorders>
            <w:hideMark/>
          </w:tcPr>
          <w:p w14:paraId="7E68A954" w14:textId="6534E6E1" w:rsidR="009E34BE" w:rsidRPr="009E34BE" w:rsidRDefault="00D8244A" w:rsidP="00D8244A">
            <w:pPr>
              <w:tabs>
                <w:tab w:val="left" w:pos="567"/>
              </w:tabs>
              <w:autoSpaceDE w:val="0"/>
              <w:autoSpaceDN w:val="0"/>
              <w:adjustRightInd w:val="0"/>
              <w:jc w:val="center"/>
              <w:rPr>
                <w:b/>
                <w:sz w:val="22"/>
                <w:szCs w:val="22"/>
                <w:lang w:val="lt-LT"/>
              </w:rPr>
            </w:pPr>
            <w:r w:rsidRPr="00211E3B">
              <w:rPr>
                <w:b/>
                <w:sz w:val="22"/>
                <w:szCs w:val="22"/>
                <w:lang w:val="lt-LT"/>
              </w:rPr>
              <w:t>Su sistemine skleroze susijusi intersticinė plaučių liga</w:t>
            </w:r>
          </w:p>
        </w:tc>
      </w:tr>
      <w:tr w:rsidR="009E34BE" w:rsidRPr="009E34BE" w14:paraId="210221A4" w14:textId="77777777" w:rsidTr="009E34BE">
        <w:tc>
          <w:tcPr>
            <w:tcW w:w="5000" w:type="pct"/>
            <w:gridSpan w:val="4"/>
            <w:tcBorders>
              <w:top w:val="single" w:sz="4" w:space="0" w:color="auto"/>
              <w:left w:val="single" w:sz="4" w:space="0" w:color="auto"/>
              <w:bottom w:val="single" w:sz="4" w:space="0" w:color="auto"/>
              <w:right w:val="single" w:sz="4" w:space="0" w:color="auto"/>
            </w:tcBorders>
            <w:hideMark/>
          </w:tcPr>
          <w:p w14:paraId="5DC31B7B" w14:textId="63A10F5B" w:rsidR="009E34BE" w:rsidRPr="009E34BE" w:rsidRDefault="003201AD" w:rsidP="009E34BE">
            <w:pPr>
              <w:tabs>
                <w:tab w:val="left" w:pos="567"/>
              </w:tabs>
              <w:autoSpaceDE w:val="0"/>
              <w:autoSpaceDN w:val="0"/>
              <w:adjustRightInd w:val="0"/>
              <w:rPr>
                <w:b/>
                <w:sz w:val="22"/>
                <w:szCs w:val="22"/>
                <w:lang w:val="lt-LT"/>
              </w:rPr>
            </w:pPr>
            <w:r w:rsidRPr="00211E3B">
              <w:rPr>
                <w:b/>
                <w:sz w:val="22"/>
                <w:szCs w:val="22"/>
                <w:lang w:val="lt-LT"/>
              </w:rPr>
              <w:t>Kraujo ir limfinės sistemos sutrikimai</w:t>
            </w:r>
          </w:p>
        </w:tc>
      </w:tr>
      <w:tr w:rsidR="009E34BE" w:rsidRPr="009E34BE" w14:paraId="26936C6E" w14:textId="77777777" w:rsidTr="009E34BE">
        <w:tc>
          <w:tcPr>
            <w:tcW w:w="1250" w:type="pct"/>
            <w:tcBorders>
              <w:top w:val="single" w:sz="4" w:space="0" w:color="auto"/>
              <w:left w:val="single" w:sz="4" w:space="0" w:color="auto"/>
              <w:bottom w:val="single" w:sz="4" w:space="0" w:color="auto"/>
              <w:right w:val="single" w:sz="4" w:space="0" w:color="auto"/>
            </w:tcBorders>
            <w:hideMark/>
          </w:tcPr>
          <w:p w14:paraId="69D14FE4" w14:textId="3E3511A5" w:rsidR="009E34BE" w:rsidRPr="009E34BE" w:rsidRDefault="003201AD" w:rsidP="009E34BE">
            <w:pPr>
              <w:tabs>
                <w:tab w:val="left" w:pos="567"/>
              </w:tabs>
              <w:autoSpaceDE w:val="0"/>
              <w:autoSpaceDN w:val="0"/>
              <w:adjustRightInd w:val="0"/>
              <w:rPr>
                <w:sz w:val="22"/>
                <w:szCs w:val="22"/>
                <w:lang w:val="lt-LT"/>
              </w:rPr>
            </w:pPr>
            <w:r w:rsidRPr="00211E3B">
              <w:rPr>
                <w:sz w:val="22"/>
                <w:szCs w:val="22"/>
                <w:lang w:val="lt-LT"/>
              </w:rPr>
              <w:t>Trombocitopenija</w:t>
            </w:r>
          </w:p>
        </w:tc>
        <w:tc>
          <w:tcPr>
            <w:tcW w:w="1250" w:type="pct"/>
            <w:tcBorders>
              <w:top w:val="single" w:sz="4" w:space="0" w:color="auto"/>
              <w:left w:val="single" w:sz="4" w:space="0" w:color="auto"/>
              <w:bottom w:val="single" w:sz="4" w:space="0" w:color="auto"/>
              <w:right w:val="single" w:sz="4" w:space="0" w:color="auto"/>
            </w:tcBorders>
            <w:hideMark/>
          </w:tcPr>
          <w:p w14:paraId="1DF2CA54" w14:textId="1F3D7800" w:rsidR="009E34BE" w:rsidRPr="009E34BE" w:rsidRDefault="00D8244A" w:rsidP="009E34BE">
            <w:pPr>
              <w:tabs>
                <w:tab w:val="left" w:pos="567"/>
              </w:tabs>
              <w:autoSpaceDE w:val="0"/>
              <w:autoSpaceDN w:val="0"/>
              <w:adjustRightInd w:val="0"/>
              <w:rPr>
                <w:sz w:val="22"/>
                <w:szCs w:val="22"/>
                <w:lang w:val="lt-LT"/>
              </w:rPr>
            </w:pPr>
            <w:r w:rsidRPr="00211E3B">
              <w:rPr>
                <w:sz w:val="22"/>
                <w:szCs w:val="22"/>
                <w:lang w:val="lt-LT"/>
              </w:rPr>
              <w:t>Nedažnas</w:t>
            </w:r>
          </w:p>
        </w:tc>
        <w:tc>
          <w:tcPr>
            <w:tcW w:w="1250" w:type="pct"/>
            <w:tcBorders>
              <w:top w:val="single" w:sz="4" w:space="0" w:color="auto"/>
              <w:left w:val="single" w:sz="4" w:space="0" w:color="auto"/>
              <w:bottom w:val="single" w:sz="4" w:space="0" w:color="auto"/>
              <w:right w:val="single" w:sz="4" w:space="0" w:color="auto"/>
            </w:tcBorders>
            <w:hideMark/>
          </w:tcPr>
          <w:p w14:paraId="0648AC98" w14:textId="473CB58A" w:rsidR="009E34BE" w:rsidRPr="009E34BE" w:rsidRDefault="00D8244A" w:rsidP="009E34BE">
            <w:pPr>
              <w:tabs>
                <w:tab w:val="left" w:pos="567"/>
              </w:tabs>
              <w:autoSpaceDE w:val="0"/>
              <w:autoSpaceDN w:val="0"/>
              <w:adjustRightInd w:val="0"/>
              <w:rPr>
                <w:sz w:val="22"/>
                <w:szCs w:val="22"/>
                <w:lang w:val="lt-LT"/>
              </w:rPr>
            </w:pPr>
            <w:r w:rsidRPr="00211E3B">
              <w:rPr>
                <w:sz w:val="22"/>
                <w:szCs w:val="22"/>
                <w:lang w:val="lt-LT"/>
              </w:rPr>
              <w:t>Nedažnas</w:t>
            </w:r>
          </w:p>
        </w:tc>
        <w:tc>
          <w:tcPr>
            <w:tcW w:w="1250" w:type="pct"/>
            <w:tcBorders>
              <w:top w:val="single" w:sz="4" w:space="0" w:color="auto"/>
              <w:left w:val="single" w:sz="4" w:space="0" w:color="auto"/>
              <w:bottom w:val="single" w:sz="4" w:space="0" w:color="auto"/>
              <w:right w:val="single" w:sz="4" w:space="0" w:color="auto"/>
            </w:tcBorders>
            <w:hideMark/>
          </w:tcPr>
          <w:p w14:paraId="2D11FFEA" w14:textId="3CD79D11" w:rsidR="009E34BE" w:rsidRPr="009E34BE" w:rsidRDefault="00D8244A" w:rsidP="009E34BE">
            <w:pPr>
              <w:tabs>
                <w:tab w:val="left" w:pos="567"/>
              </w:tabs>
              <w:autoSpaceDE w:val="0"/>
              <w:autoSpaceDN w:val="0"/>
              <w:adjustRightInd w:val="0"/>
              <w:rPr>
                <w:sz w:val="22"/>
                <w:szCs w:val="22"/>
                <w:lang w:val="lt-LT"/>
              </w:rPr>
            </w:pPr>
            <w:r w:rsidRPr="00211E3B">
              <w:rPr>
                <w:sz w:val="22"/>
                <w:szCs w:val="22"/>
                <w:lang w:val="lt-LT"/>
              </w:rPr>
              <w:t>Nedažnas</w:t>
            </w:r>
          </w:p>
        </w:tc>
      </w:tr>
      <w:tr w:rsidR="009E34BE" w:rsidRPr="009E34BE" w14:paraId="02A2A605" w14:textId="77777777" w:rsidTr="009E34BE">
        <w:tc>
          <w:tcPr>
            <w:tcW w:w="5000" w:type="pct"/>
            <w:gridSpan w:val="4"/>
            <w:tcBorders>
              <w:top w:val="single" w:sz="4" w:space="0" w:color="auto"/>
              <w:left w:val="single" w:sz="4" w:space="0" w:color="auto"/>
              <w:bottom w:val="single" w:sz="4" w:space="0" w:color="auto"/>
              <w:right w:val="single" w:sz="4" w:space="0" w:color="auto"/>
            </w:tcBorders>
            <w:hideMark/>
          </w:tcPr>
          <w:p w14:paraId="00B38930" w14:textId="49D3725C" w:rsidR="009E34BE" w:rsidRPr="009E34BE" w:rsidRDefault="008D266E" w:rsidP="009E34BE">
            <w:pPr>
              <w:tabs>
                <w:tab w:val="left" w:pos="567"/>
              </w:tabs>
              <w:autoSpaceDE w:val="0"/>
              <w:autoSpaceDN w:val="0"/>
              <w:adjustRightInd w:val="0"/>
              <w:rPr>
                <w:b/>
                <w:sz w:val="22"/>
                <w:szCs w:val="22"/>
                <w:lang w:val="lt-LT"/>
              </w:rPr>
            </w:pPr>
            <w:r w:rsidRPr="00211E3B">
              <w:rPr>
                <w:b/>
                <w:sz w:val="22"/>
                <w:szCs w:val="22"/>
                <w:lang w:val="lt-LT"/>
              </w:rPr>
              <w:t>Metabolizmo ir mitybos sutrikimai</w:t>
            </w:r>
          </w:p>
        </w:tc>
      </w:tr>
      <w:tr w:rsidR="008D266E" w:rsidRPr="009E34BE" w14:paraId="70D6EDFF" w14:textId="77777777" w:rsidTr="009E34BE">
        <w:tc>
          <w:tcPr>
            <w:tcW w:w="1250" w:type="pct"/>
            <w:tcBorders>
              <w:top w:val="single" w:sz="4" w:space="0" w:color="auto"/>
              <w:left w:val="single" w:sz="4" w:space="0" w:color="auto"/>
              <w:bottom w:val="single" w:sz="4" w:space="0" w:color="auto"/>
              <w:right w:val="single" w:sz="4" w:space="0" w:color="auto"/>
            </w:tcBorders>
            <w:hideMark/>
          </w:tcPr>
          <w:p w14:paraId="34C7CE68" w14:textId="18DD491D" w:rsidR="008D266E" w:rsidRPr="009E34BE" w:rsidRDefault="008D266E" w:rsidP="008D266E">
            <w:pPr>
              <w:tabs>
                <w:tab w:val="left" w:pos="567"/>
              </w:tabs>
              <w:autoSpaceDE w:val="0"/>
              <w:autoSpaceDN w:val="0"/>
              <w:adjustRightInd w:val="0"/>
              <w:rPr>
                <w:sz w:val="22"/>
                <w:szCs w:val="22"/>
                <w:lang w:val="lt-LT"/>
              </w:rPr>
            </w:pPr>
            <w:r w:rsidRPr="00211E3B">
              <w:rPr>
                <w:sz w:val="22"/>
                <w:szCs w:val="22"/>
                <w:lang w:val="lt-LT"/>
              </w:rPr>
              <w:t>Kūno svorio sumažėjimas</w:t>
            </w:r>
          </w:p>
        </w:tc>
        <w:tc>
          <w:tcPr>
            <w:tcW w:w="1250" w:type="pct"/>
            <w:tcBorders>
              <w:top w:val="single" w:sz="4" w:space="0" w:color="auto"/>
              <w:left w:val="single" w:sz="4" w:space="0" w:color="auto"/>
              <w:bottom w:val="single" w:sz="4" w:space="0" w:color="auto"/>
              <w:right w:val="single" w:sz="4" w:space="0" w:color="auto"/>
            </w:tcBorders>
            <w:hideMark/>
          </w:tcPr>
          <w:p w14:paraId="704640C8" w14:textId="50FE1733" w:rsidR="008D266E" w:rsidRPr="009E34BE" w:rsidRDefault="008D266E" w:rsidP="008D266E">
            <w:pPr>
              <w:tabs>
                <w:tab w:val="left" w:pos="567"/>
              </w:tabs>
              <w:autoSpaceDE w:val="0"/>
              <w:autoSpaceDN w:val="0"/>
              <w:adjustRightInd w:val="0"/>
              <w:rPr>
                <w:sz w:val="22"/>
                <w:szCs w:val="22"/>
                <w:lang w:val="lt-LT"/>
              </w:rPr>
            </w:pPr>
            <w:r w:rsidRPr="00211E3B">
              <w:rPr>
                <w:sz w:val="22"/>
                <w:szCs w:val="22"/>
                <w:lang w:val="lt-LT"/>
              </w:rPr>
              <w:t>Dažnas</w:t>
            </w:r>
          </w:p>
        </w:tc>
        <w:tc>
          <w:tcPr>
            <w:tcW w:w="1250" w:type="pct"/>
            <w:tcBorders>
              <w:top w:val="single" w:sz="4" w:space="0" w:color="auto"/>
              <w:left w:val="single" w:sz="4" w:space="0" w:color="auto"/>
              <w:bottom w:val="single" w:sz="4" w:space="0" w:color="auto"/>
              <w:right w:val="single" w:sz="4" w:space="0" w:color="auto"/>
            </w:tcBorders>
            <w:hideMark/>
          </w:tcPr>
          <w:p w14:paraId="523037C5" w14:textId="529C49C1" w:rsidR="008D266E" w:rsidRPr="009E34BE" w:rsidRDefault="008D266E" w:rsidP="008D266E">
            <w:pPr>
              <w:tabs>
                <w:tab w:val="left" w:pos="567"/>
              </w:tabs>
              <w:autoSpaceDE w:val="0"/>
              <w:autoSpaceDN w:val="0"/>
              <w:adjustRightInd w:val="0"/>
              <w:rPr>
                <w:sz w:val="22"/>
                <w:szCs w:val="22"/>
                <w:lang w:val="lt-LT"/>
              </w:rPr>
            </w:pPr>
            <w:r w:rsidRPr="00211E3B">
              <w:rPr>
                <w:sz w:val="22"/>
                <w:szCs w:val="22"/>
                <w:lang w:val="lt-LT"/>
              </w:rPr>
              <w:t>Dažnas</w:t>
            </w:r>
          </w:p>
        </w:tc>
        <w:tc>
          <w:tcPr>
            <w:tcW w:w="1250" w:type="pct"/>
            <w:tcBorders>
              <w:top w:val="single" w:sz="4" w:space="0" w:color="auto"/>
              <w:left w:val="single" w:sz="4" w:space="0" w:color="auto"/>
              <w:bottom w:val="single" w:sz="4" w:space="0" w:color="auto"/>
              <w:right w:val="single" w:sz="4" w:space="0" w:color="auto"/>
            </w:tcBorders>
            <w:hideMark/>
          </w:tcPr>
          <w:p w14:paraId="1ED87395" w14:textId="60A99628" w:rsidR="008D266E" w:rsidRPr="009E34BE" w:rsidRDefault="008D266E" w:rsidP="008D266E">
            <w:pPr>
              <w:tabs>
                <w:tab w:val="left" w:pos="567"/>
              </w:tabs>
              <w:autoSpaceDE w:val="0"/>
              <w:autoSpaceDN w:val="0"/>
              <w:adjustRightInd w:val="0"/>
              <w:rPr>
                <w:sz w:val="22"/>
                <w:szCs w:val="22"/>
                <w:lang w:val="lt-LT"/>
              </w:rPr>
            </w:pPr>
            <w:r w:rsidRPr="00211E3B">
              <w:rPr>
                <w:sz w:val="22"/>
                <w:szCs w:val="22"/>
                <w:lang w:val="lt-LT"/>
              </w:rPr>
              <w:t>Dažnas</w:t>
            </w:r>
          </w:p>
        </w:tc>
      </w:tr>
      <w:tr w:rsidR="008D266E" w:rsidRPr="009E34BE" w14:paraId="60B21CB0" w14:textId="77777777" w:rsidTr="009E34BE">
        <w:tc>
          <w:tcPr>
            <w:tcW w:w="1250" w:type="pct"/>
            <w:tcBorders>
              <w:top w:val="single" w:sz="4" w:space="0" w:color="auto"/>
              <w:left w:val="single" w:sz="4" w:space="0" w:color="auto"/>
              <w:bottom w:val="single" w:sz="4" w:space="0" w:color="auto"/>
              <w:right w:val="single" w:sz="4" w:space="0" w:color="auto"/>
            </w:tcBorders>
            <w:hideMark/>
          </w:tcPr>
          <w:p w14:paraId="00754BCC" w14:textId="2D599DBF" w:rsidR="008D266E" w:rsidRPr="009E34BE" w:rsidRDefault="008D266E" w:rsidP="008D266E">
            <w:pPr>
              <w:tabs>
                <w:tab w:val="left" w:pos="567"/>
              </w:tabs>
              <w:autoSpaceDE w:val="0"/>
              <w:autoSpaceDN w:val="0"/>
              <w:adjustRightInd w:val="0"/>
              <w:rPr>
                <w:sz w:val="22"/>
                <w:szCs w:val="22"/>
                <w:lang w:val="lt-LT"/>
              </w:rPr>
            </w:pPr>
            <w:r w:rsidRPr="00211E3B">
              <w:rPr>
                <w:sz w:val="22"/>
                <w:szCs w:val="22"/>
                <w:lang w:val="lt-LT"/>
              </w:rPr>
              <w:t>Apetito sumažėjimas</w:t>
            </w:r>
          </w:p>
        </w:tc>
        <w:tc>
          <w:tcPr>
            <w:tcW w:w="1250" w:type="pct"/>
            <w:tcBorders>
              <w:top w:val="single" w:sz="4" w:space="0" w:color="auto"/>
              <w:left w:val="single" w:sz="4" w:space="0" w:color="auto"/>
              <w:bottom w:val="single" w:sz="4" w:space="0" w:color="auto"/>
              <w:right w:val="single" w:sz="4" w:space="0" w:color="auto"/>
            </w:tcBorders>
            <w:hideMark/>
          </w:tcPr>
          <w:p w14:paraId="2EE983D6" w14:textId="44941662" w:rsidR="008D266E" w:rsidRPr="009E34BE" w:rsidRDefault="008D266E" w:rsidP="008D266E">
            <w:pPr>
              <w:tabs>
                <w:tab w:val="left" w:pos="567"/>
              </w:tabs>
              <w:autoSpaceDE w:val="0"/>
              <w:autoSpaceDN w:val="0"/>
              <w:adjustRightInd w:val="0"/>
              <w:rPr>
                <w:sz w:val="22"/>
                <w:szCs w:val="22"/>
                <w:lang w:val="lt-LT"/>
              </w:rPr>
            </w:pPr>
            <w:r w:rsidRPr="00211E3B">
              <w:rPr>
                <w:sz w:val="22"/>
                <w:szCs w:val="22"/>
                <w:lang w:val="lt-LT"/>
              </w:rPr>
              <w:t>Dažnas</w:t>
            </w:r>
          </w:p>
        </w:tc>
        <w:tc>
          <w:tcPr>
            <w:tcW w:w="1250" w:type="pct"/>
            <w:tcBorders>
              <w:top w:val="single" w:sz="4" w:space="0" w:color="auto"/>
              <w:left w:val="single" w:sz="4" w:space="0" w:color="auto"/>
              <w:bottom w:val="single" w:sz="4" w:space="0" w:color="auto"/>
              <w:right w:val="single" w:sz="4" w:space="0" w:color="auto"/>
            </w:tcBorders>
            <w:hideMark/>
          </w:tcPr>
          <w:p w14:paraId="4F738175" w14:textId="5DCF0D7F" w:rsidR="008D266E" w:rsidRPr="009E34BE" w:rsidRDefault="008D266E" w:rsidP="008D266E">
            <w:pPr>
              <w:tabs>
                <w:tab w:val="left" w:pos="567"/>
              </w:tabs>
              <w:autoSpaceDE w:val="0"/>
              <w:autoSpaceDN w:val="0"/>
              <w:adjustRightInd w:val="0"/>
              <w:rPr>
                <w:sz w:val="22"/>
                <w:szCs w:val="22"/>
                <w:lang w:val="lt-LT"/>
              </w:rPr>
            </w:pPr>
            <w:r w:rsidRPr="00211E3B">
              <w:rPr>
                <w:sz w:val="22"/>
                <w:szCs w:val="22"/>
                <w:lang w:val="lt-LT"/>
              </w:rPr>
              <w:t>Labai dažnas</w:t>
            </w:r>
          </w:p>
        </w:tc>
        <w:tc>
          <w:tcPr>
            <w:tcW w:w="1250" w:type="pct"/>
            <w:tcBorders>
              <w:top w:val="single" w:sz="4" w:space="0" w:color="auto"/>
              <w:left w:val="single" w:sz="4" w:space="0" w:color="auto"/>
              <w:bottom w:val="single" w:sz="4" w:space="0" w:color="auto"/>
              <w:right w:val="single" w:sz="4" w:space="0" w:color="auto"/>
            </w:tcBorders>
            <w:hideMark/>
          </w:tcPr>
          <w:p w14:paraId="1D3A4D3F" w14:textId="22B277CF" w:rsidR="008D266E" w:rsidRPr="009E34BE" w:rsidRDefault="008D266E" w:rsidP="008D266E">
            <w:pPr>
              <w:tabs>
                <w:tab w:val="left" w:pos="567"/>
              </w:tabs>
              <w:autoSpaceDE w:val="0"/>
              <w:autoSpaceDN w:val="0"/>
              <w:adjustRightInd w:val="0"/>
              <w:rPr>
                <w:sz w:val="22"/>
                <w:szCs w:val="22"/>
                <w:lang w:val="lt-LT"/>
              </w:rPr>
            </w:pPr>
            <w:r w:rsidRPr="00211E3B">
              <w:rPr>
                <w:sz w:val="22"/>
                <w:szCs w:val="22"/>
                <w:lang w:val="lt-LT"/>
              </w:rPr>
              <w:t>Dažnas</w:t>
            </w:r>
          </w:p>
        </w:tc>
      </w:tr>
      <w:tr w:rsidR="009E34BE" w:rsidRPr="009E34BE" w14:paraId="366F15F2" w14:textId="77777777" w:rsidTr="009E34BE">
        <w:tc>
          <w:tcPr>
            <w:tcW w:w="1250" w:type="pct"/>
            <w:tcBorders>
              <w:top w:val="single" w:sz="4" w:space="0" w:color="auto"/>
              <w:left w:val="single" w:sz="4" w:space="0" w:color="auto"/>
              <w:bottom w:val="single" w:sz="4" w:space="0" w:color="auto"/>
              <w:right w:val="single" w:sz="4" w:space="0" w:color="auto"/>
            </w:tcBorders>
            <w:hideMark/>
          </w:tcPr>
          <w:p w14:paraId="2C036B9F" w14:textId="58C77C14" w:rsidR="009E34BE" w:rsidRPr="009E34BE" w:rsidRDefault="009E34BE" w:rsidP="009E34BE">
            <w:pPr>
              <w:tabs>
                <w:tab w:val="left" w:pos="567"/>
              </w:tabs>
              <w:autoSpaceDE w:val="0"/>
              <w:autoSpaceDN w:val="0"/>
              <w:adjustRightInd w:val="0"/>
              <w:rPr>
                <w:sz w:val="22"/>
                <w:szCs w:val="22"/>
                <w:lang w:val="lt-LT"/>
              </w:rPr>
            </w:pPr>
            <w:r w:rsidRPr="009E34BE">
              <w:rPr>
                <w:sz w:val="22"/>
                <w:szCs w:val="22"/>
                <w:lang w:val="lt-LT"/>
              </w:rPr>
              <w:t>Deh</w:t>
            </w:r>
            <w:r w:rsidR="008D266E" w:rsidRPr="00211E3B">
              <w:rPr>
                <w:sz w:val="22"/>
                <w:szCs w:val="22"/>
                <w:lang w:val="lt-LT"/>
              </w:rPr>
              <w:t>i</w:t>
            </w:r>
            <w:r w:rsidRPr="009E34BE">
              <w:rPr>
                <w:sz w:val="22"/>
                <w:szCs w:val="22"/>
                <w:lang w:val="lt-LT"/>
              </w:rPr>
              <w:t>drat</w:t>
            </w:r>
            <w:r w:rsidR="008D266E" w:rsidRPr="00211E3B">
              <w:rPr>
                <w:sz w:val="22"/>
                <w:szCs w:val="22"/>
                <w:lang w:val="lt-LT"/>
              </w:rPr>
              <w:t>acija</w:t>
            </w:r>
          </w:p>
        </w:tc>
        <w:tc>
          <w:tcPr>
            <w:tcW w:w="1250" w:type="pct"/>
            <w:tcBorders>
              <w:top w:val="single" w:sz="4" w:space="0" w:color="auto"/>
              <w:left w:val="single" w:sz="4" w:space="0" w:color="auto"/>
              <w:bottom w:val="single" w:sz="4" w:space="0" w:color="auto"/>
              <w:right w:val="single" w:sz="4" w:space="0" w:color="auto"/>
            </w:tcBorders>
            <w:hideMark/>
          </w:tcPr>
          <w:p w14:paraId="1A448AE1" w14:textId="50CBB4D0" w:rsidR="009E34BE" w:rsidRPr="009E34BE" w:rsidRDefault="00D8244A" w:rsidP="009E34BE">
            <w:pPr>
              <w:tabs>
                <w:tab w:val="left" w:pos="567"/>
              </w:tabs>
              <w:autoSpaceDE w:val="0"/>
              <w:autoSpaceDN w:val="0"/>
              <w:adjustRightInd w:val="0"/>
              <w:rPr>
                <w:sz w:val="22"/>
                <w:szCs w:val="22"/>
                <w:lang w:val="lt-LT"/>
              </w:rPr>
            </w:pPr>
            <w:r w:rsidRPr="00211E3B">
              <w:rPr>
                <w:sz w:val="22"/>
                <w:szCs w:val="22"/>
                <w:lang w:val="lt-LT"/>
              </w:rPr>
              <w:t>Nedažnas</w:t>
            </w:r>
          </w:p>
        </w:tc>
        <w:tc>
          <w:tcPr>
            <w:tcW w:w="1250" w:type="pct"/>
            <w:tcBorders>
              <w:top w:val="single" w:sz="4" w:space="0" w:color="auto"/>
              <w:left w:val="single" w:sz="4" w:space="0" w:color="auto"/>
              <w:bottom w:val="single" w:sz="4" w:space="0" w:color="auto"/>
              <w:right w:val="single" w:sz="4" w:space="0" w:color="auto"/>
            </w:tcBorders>
            <w:hideMark/>
          </w:tcPr>
          <w:p w14:paraId="5290A497" w14:textId="24221548" w:rsidR="009E34BE" w:rsidRPr="009E34BE" w:rsidRDefault="00D8244A" w:rsidP="009E34BE">
            <w:pPr>
              <w:tabs>
                <w:tab w:val="left" w:pos="567"/>
              </w:tabs>
              <w:autoSpaceDE w:val="0"/>
              <w:autoSpaceDN w:val="0"/>
              <w:adjustRightInd w:val="0"/>
              <w:rPr>
                <w:sz w:val="22"/>
                <w:szCs w:val="22"/>
                <w:lang w:val="lt-LT"/>
              </w:rPr>
            </w:pPr>
            <w:r w:rsidRPr="00211E3B">
              <w:rPr>
                <w:sz w:val="22"/>
                <w:szCs w:val="22"/>
                <w:lang w:val="lt-LT"/>
              </w:rPr>
              <w:t>Nedažnas</w:t>
            </w:r>
          </w:p>
        </w:tc>
        <w:tc>
          <w:tcPr>
            <w:tcW w:w="1250" w:type="pct"/>
            <w:tcBorders>
              <w:top w:val="single" w:sz="4" w:space="0" w:color="auto"/>
              <w:left w:val="single" w:sz="4" w:space="0" w:color="auto"/>
              <w:bottom w:val="single" w:sz="4" w:space="0" w:color="auto"/>
              <w:right w:val="single" w:sz="4" w:space="0" w:color="auto"/>
            </w:tcBorders>
            <w:hideMark/>
          </w:tcPr>
          <w:p w14:paraId="1207204E" w14:textId="39FA59C4" w:rsidR="009E34BE" w:rsidRPr="009E34BE" w:rsidRDefault="00D8244A" w:rsidP="009E34BE">
            <w:pPr>
              <w:tabs>
                <w:tab w:val="left" w:pos="567"/>
              </w:tabs>
              <w:autoSpaceDE w:val="0"/>
              <w:autoSpaceDN w:val="0"/>
              <w:adjustRightInd w:val="0"/>
              <w:rPr>
                <w:sz w:val="22"/>
                <w:szCs w:val="22"/>
                <w:lang w:val="lt-LT"/>
              </w:rPr>
            </w:pPr>
            <w:r w:rsidRPr="00211E3B">
              <w:rPr>
                <w:sz w:val="22"/>
                <w:szCs w:val="22"/>
                <w:lang w:val="lt-LT"/>
              </w:rPr>
              <w:t>Nežinomas</w:t>
            </w:r>
          </w:p>
        </w:tc>
      </w:tr>
      <w:tr w:rsidR="009E34BE" w:rsidRPr="009E34BE" w14:paraId="2F8F34BA" w14:textId="77777777" w:rsidTr="009E34BE">
        <w:tc>
          <w:tcPr>
            <w:tcW w:w="5000" w:type="pct"/>
            <w:gridSpan w:val="4"/>
            <w:tcBorders>
              <w:top w:val="single" w:sz="4" w:space="0" w:color="auto"/>
              <w:left w:val="single" w:sz="4" w:space="0" w:color="auto"/>
              <w:bottom w:val="single" w:sz="4" w:space="0" w:color="auto"/>
              <w:right w:val="single" w:sz="4" w:space="0" w:color="auto"/>
            </w:tcBorders>
            <w:hideMark/>
          </w:tcPr>
          <w:p w14:paraId="5EA9B4F0" w14:textId="58EA01D5" w:rsidR="009E34BE" w:rsidRPr="009E34BE" w:rsidRDefault="008D266E" w:rsidP="009E34BE">
            <w:pPr>
              <w:tabs>
                <w:tab w:val="left" w:pos="567"/>
              </w:tabs>
              <w:autoSpaceDE w:val="0"/>
              <w:autoSpaceDN w:val="0"/>
              <w:adjustRightInd w:val="0"/>
              <w:rPr>
                <w:b/>
                <w:sz w:val="22"/>
                <w:szCs w:val="22"/>
                <w:lang w:val="lt-LT"/>
              </w:rPr>
            </w:pPr>
            <w:r w:rsidRPr="00211E3B">
              <w:rPr>
                <w:b/>
                <w:sz w:val="22"/>
                <w:szCs w:val="22"/>
                <w:lang w:val="lt-LT"/>
              </w:rPr>
              <w:t>Širdies sutrikimai</w:t>
            </w:r>
          </w:p>
        </w:tc>
      </w:tr>
      <w:tr w:rsidR="009E34BE" w:rsidRPr="009E34BE" w14:paraId="400A24DC" w14:textId="77777777" w:rsidTr="009E34BE">
        <w:tc>
          <w:tcPr>
            <w:tcW w:w="1250" w:type="pct"/>
            <w:tcBorders>
              <w:top w:val="single" w:sz="4" w:space="0" w:color="auto"/>
              <w:left w:val="single" w:sz="4" w:space="0" w:color="auto"/>
              <w:bottom w:val="single" w:sz="4" w:space="0" w:color="auto"/>
              <w:right w:val="single" w:sz="4" w:space="0" w:color="auto"/>
            </w:tcBorders>
            <w:hideMark/>
          </w:tcPr>
          <w:p w14:paraId="23E69FBC" w14:textId="23104697" w:rsidR="009E34BE" w:rsidRPr="009E34BE" w:rsidRDefault="008D266E" w:rsidP="009E34BE">
            <w:pPr>
              <w:tabs>
                <w:tab w:val="left" w:pos="567"/>
              </w:tabs>
              <w:autoSpaceDE w:val="0"/>
              <w:autoSpaceDN w:val="0"/>
              <w:adjustRightInd w:val="0"/>
              <w:rPr>
                <w:sz w:val="22"/>
                <w:szCs w:val="22"/>
                <w:lang w:val="lt-LT"/>
              </w:rPr>
            </w:pPr>
            <w:r w:rsidRPr="00211E3B">
              <w:rPr>
                <w:sz w:val="22"/>
                <w:szCs w:val="22"/>
                <w:lang w:val="lt-LT"/>
              </w:rPr>
              <w:t>Miokardo infarktas</w:t>
            </w:r>
          </w:p>
        </w:tc>
        <w:tc>
          <w:tcPr>
            <w:tcW w:w="1250" w:type="pct"/>
            <w:tcBorders>
              <w:top w:val="single" w:sz="4" w:space="0" w:color="auto"/>
              <w:left w:val="single" w:sz="4" w:space="0" w:color="auto"/>
              <w:bottom w:val="single" w:sz="4" w:space="0" w:color="auto"/>
              <w:right w:val="single" w:sz="4" w:space="0" w:color="auto"/>
            </w:tcBorders>
            <w:hideMark/>
          </w:tcPr>
          <w:p w14:paraId="618AB2CE" w14:textId="22A17CF9" w:rsidR="009E34BE" w:rsidRPr="009E34BE" w:rsidRDefault="00D8244A" w:rsidP="009E34BE">
            <w:pPr>
              <w:tabs>
                <w:tab w:val="left" w:pos="567"/>
              </w:tabs>
              <w:autoSpaceDE w:val="0"/>
              <w:autoSpaceDN w:val="0"/>
              <w:adjustRightInd w:val="0"/>
              <w:rPr>
                <w:sz w:val="22"/>
                <w:szCs w:val="22"/>
                <w:lang w:val="lt-LT"/>
              </w:rPr>
            </w:pPr>
            <w:r w:rsidRPr="00211E3B">
              <w:rPr>
                <w:sz w:val="22"/>
                <w:szCs w:val="22"/>
                <w:lang w:val="lt-LT"/>
              </w:rPr>
              <w:t>Nedažnas</w:t>
            </w:r>
          </w:p>
        </w:tc>
        <w:tc>
          <w:tcPr>
            <w:tcW w:w="1250" w:type="pct"/>
            <w:tcBorders>
              <w:top w:val="single" w:sz="4" w:space="0" w:color="auto"/>
              <w:left w:val="single" w:sz="4" w:space="0" w:color="auto"/>
              <w:bottom w:val="single" w:sz="4" w:space="0" w:color="auto"/>
              <w:right w:val="single" w:sz="4" w:space="0" w:color="auto"/>
            </w:tcBorders>
            <w:hideMark/>
          </w:tcPr>
          <w:p w14:paraId="20FA7BEE" w14:textId="5A292732" w:rsidR="009E34BE" w:rsidRPr="009E34BE" w:rsidRDefault="00D8244A" w:rsidP="009E34BE">
            <w:pPr>
              <w:tabs>
                <w:tab w:val="left" w:pos="567"/>
              </w:tabs>
              <w:autoSpaceDE w:val="0"/>
              <w:autoSpaceDN w:val="0"/>
              <w:adjustRightInd w:val="0"/>
              <w:rPr>
                <w:sz w:val="22"/>
                <w:szCs w:val="22"/>
                <w:lang w:val="lt-LT"/>
              </w:rPr>
            </w:pPr>
            <w:r w:rsidRPr="00211E3B">
              <w:rPr>
                <w:sz w:val="22"/>
                <w:szCs w:val="22"/>
                <w:lang w:val="lt-LT"/>
              </w:rPr>
              <w:t>Nedažnas</w:t>
            </w:r>
          </w:p>
        </w:tc>
        <w:tc>
          <w:tcPr>
            <w:tcW w:w="1250" w:type="pct"/>
            <w:tcBorders>
              <w:top w:val="single" w:sz="4" w:space="0" w:color="auto"/>
              <w:left w:val="single" w:sz="4" w:space="0" w:color="auto"/>
              <w:bottom w:val="single" w:sz="4" w:space="0" w:color="auto"/>
              <w:right w:val="single" w:sz="4" w:space="0" w:color="auto"/>
            </w:tcBorders>
            <w:hideMark/>
          </w:tcPr>
          <w:p w14:paraId="44710CF0" w14:textId="7BAA89FD" w:rsidR="009E34BE" w:rsidRPr="009E34BE" w:rsidRDefault="00D8244A" w:rsidP="009E34BE">
            <w:pPr>
              <w:tabs>
                <w:tab w:val="left" w:pos="567"/>
              </w:tabs>
              <w:autoSpaceDE w:val="0"/>
              <w:autoSpaceDN w:val="0"/>
              <w:adjustRightInd w:val="0"/>
              <w:rPr>
                <w:sz w:val="22"/>
                <w:szCs w:val="22"/>
                <w:lang w:val="lt-LT"/>
              </w:rPr>
            </w:pPr>
            <w:r w:rsidRPr="00211E3B">
              <w:rPr>
                <w:sz w:val="22"/>
                <w:szCs w:val="22"/>
                <w:lang w:val="lt-LT"/>
              </w:rPr>
              <w:t>Nežinomas</w:t>
            </w:r>
          </w:p>
        </w:tc>
      </w:tr>
      <w:tr w:rsidR="009E34BE" w:rsidRPr="009E34BE" w14:paraId="684DFC49" w14:textId="77777777" w:rsidTr="009E34BE">
        <w:tc>
          <w:tcPr>
            <w:tcW w:w="5000" w:type="pct"/>
            <w:gridSpan w:val="4"/>
            <w:tcBorders>
              <w:top w:val="single" w:sz="4" w:space="0" w:color="auto"/>
              <w:left w:val="single" w:sz="4" w:space="0" w:color="auto"/>
              <w:bottom w:val="single" w:sz="4" w:space="0" w:color="auto"/>
              <w:right w:val="single" w:sz="4" w:space="0" w:color="auto"/>
            </w:tcBorders>
            <w:hideMark/>
          </w:tcPr>
          <w:p w14:paraId="6034E54F" w14:textId="13EFD66B" w:rsidR="009E34BE" w:rsidRPr="009E34BE" w:rsidRDefault="008D266E" w:rsidP="009E34BE">
            <w:pPr>
              <w:tabs>
                <w:tab w:val="left" w:pos="567"/>
              </w:tabs>
              <w:autoSpaceDE w:val="0"/>
              <w:autoSpaceDN w:val="0"/>
              <w:adjustRightInd w:val="0"/>
              <w:rPr>
                <w:b/>
                <w:sz w:val="22"/>
                <w:szCs w:val="22"/>
                <w:lang w:val="lt-LT"/>
              </w:rPr>
            </w:pPr>
            <w:r w:rsidRPr="00211E3B">
              <w:rPr>
                <w:b/>
                <w:sz w:val="22"/>
                <w:szCs w:val="22"/>
                <w:lang w:val="lt-LT"/>
              </w:rPr>
              <w:t>Kraujagyslių sutrikimai</w:t>
            </w:r>
          </w:p>
        </w:tc>
      </w:tr>
      <w:tr w:rsidR="009E34BE" w:rsidRPr="009E34BE" w14:paraId="6B81473B" w14:textId="77777777" w:rsidTr="009E34BE">
        <w:tc>
          <w:tcPr>
            <w:tcW w:w="1250" w:type="pct"/>
            <w:tcBorders>
              <w:top w:val="single" w:sz="4" w:space="0" w:color="auto"/>
              <w:left w:val="single" w:sz="4" w:space="0" w:color="auto"/>
              <w:bottom w:val="single" w:sz="4" w:space="0" w:color="auto"/>
              <w:right w:val="single" w:sz="4" w:space="0" w:color="auto"/>
            </w:tcBorders>
            <w:hideMark/>
          </w:tcPr>
          <w:p w14:paraId="12D46EA3" w14:textId="0D16558F" w:rsidR="009E34BE" w:rsidRPr="009E34BE" w:rsidRDefault="008D266E" w:rsidP="009E34BE">
            <w:pPr>
              <w:tabs>
                <w:tab w:val="left" w:pos="567"/>
              </w:tabs>
              <w:autoSpaceDE w:val="0"/>
              <w:autoSpaceDN w:val="0"/>
              <w:adjustRightInd w:val="0"/>
              <w:rPr>
                <w:sz w:val="22"/>
                <w:szCs w:val="22"/>
                <w:lang w:val="lt-LT"/>
              </w:rPr>
            </w:pPr>
            <w:r w:rsidRPr="00211E3B">
              <w:rPr>
                <w:sz w:val="22"/>
                <w:szCs w:val="22"/>
                <w:lang w:val="lt-LT"/>
              </w:rPr>
              <w:t>Kraujavimas (žr. 4.4 skyrių)</w:t>
            </w:r>
          </w:p>
        </w:tc>
        <w:tc>
          <w:tcPr>
            <w:tcW w:w="1250" w:type="pct"/>
            <w:tcBorders>
              <w:top w:val="single" w:sz="4" w:space="0" w:color="auto"/>
              <w:left w:val="single" w:sz="4" w:space="0" w:color="auto"/>
              <w:bottom w:val="single" w:sz="4" w:space="0" w:color="auto"/>
              <w:right w:val="single" w:sz="4" w:space="0" w:color="auto"/>
            </w:tcBorders>
            <w:hideMark/>
          </w:tcPr>
          <w:p w14:paraId="7AA52F30" w14:textId="42E2766B" w:rsidR="009E34BE" w:rsidRPr="009E34BE" w:rsidRDefault="00D8244A" w:rsidP="009E34BE">
            <w:pPr>
              <w:tabs>
                <w:tab w:val="left" w:pos="567"/>
              </w:tabs>
              <w:autoSpaceDE w:val="0"/>
              <w:autoSpaceDN w:val="0"/>
              <w:adjustRightInd w:val="0"/>
              <w:rPr>
                <w:sz w:val="22"/>
                <w:szCs w:val="22"/>
                <w:lang w:val="lt-LT"/>
              </w:rPr>
            </w:pPr>
            <w:r w:rsidRPr="00211E3B">
              <w:rPr>
                <w:sz w:val="22"/>
                <w:szCs w:val="22"/>
                <w:lang w:val="lt-LT"/>
              </w:rPr>
              <w:t>Dažnas</w:t>
            </w:r>
          </w:p>
        </w:tc>
        <w:tc>
          <w:tcPr>
            <w:tcW w:w="1250" w:type="pct"/>
            <w:tcBorders>
              <w:top w:val="single" w:sz="4" w:space="0" w:color="auto"/>
              <w:left w:val="single" w:sz="4" w:space="0" w:color="auto"/>
              <w:bottom w:val="single" w:sz="4" w:space="0" w:color="auto"/>
              <w:right w:val="single" w:sz="4" w:space="0" w:color="auto"/>
            </w:tcBorders>
            <w:hideMark/>
          </w:tcPr>
          <w:p w14:paraId="2E104BAF" w14:textId="7F40FF37" w:rsidR="009E34BE" w:rsidRPr="009E34BE" w:rsidRDefault="00D8244A" w:rsidP="009E34BE">
            <w:pPr>
              <w:tabs>
                <w:tab w:val="left" w:pos="567"/>
              </w:tabs>
              <w:autoSpaceDE w:val="0"/>
              <w:autoSpaceDN w:val="0"/>
              <w:adjustRightInd w:val="0"/>
              <w:rPr>
                <w:sz w:val="22"/>
                <w:szCs w:val="22"/>
                <w:lang w:val="lt-LT"/>
              </w:rPr>
            </w:pPr>
            <w:r w:rsidRPr="00211E3B">
              <w:rPr>
                <w:sz w:val="22"/>
                <w:szCs w:val="22"/>
                <w:lang w:val="lt-LT"/>
              </w:rPr>
              <w:t>Dažnas</w:t>
            </w:r>
          </w:p>
        </w:tc>
        <w:tc>
          <w:tcPr>
            <w:tcW w:w="1250" w:type="pct"/>
            <w:tcBorders>
              <w:top w:val="single" w:sz="4" w:space="0" w:color="auto"/>
              <w:left w:val="single" w:sz="4" w:space="0" w:color="auto"/>
              <w:bottom w:val="single" w:sz="4" w:space="0" w:color="auto"/>
              <w:right w:val="single" w:sz="4" w:space="0" w:color="auto"/>
            </w:tcBorders>
            <w:hideMark/>
          </w:tcPr>
          <w:p w14:paraId="42344D2B" w14:textId="3DDDB5C1" w:rsidR="009E34BE" w:rsidRPr="009E34BE" w:rsidRDefault="00D8244A" w:rsidP="009E34BE">
            <w:pPr>
              <w:tabs>
                <w:tab w:val="left" w:pos="567"/>
              </w:tabs>
              <w:autoSpaceDE w:val="0"/>
              <w:autoSpaceDN w:val="0"/>
              <w:adjustRightInd w:val="0"/>
              <w:rPr>
                <w:sz w:val="22"/>
                <w:szCs w:val="22"/>
                <w:lang w:val="lt-LT"/>
              </w:rPr>
            </w:pPr>
            <w:r w:rsidRPr="00211E3B">
              <w:rPr>
                <w:sz w:val="22"/>
                <w:szCs w:val="22"/>
                <w:lang w:val="lt-LT"/>
              </w:rPr>
              <w:t>Dažnas</w:t>
            </w:r>
          </w:p>
        </w:tc>
      </w:tr>
      <w:tr w:rsidR="009E34BE" w:rsidRPr="009E34BE" w14:paraId="4A9707A0" w14:textId="77777777" w:rsidTr="009E34BE">
        <w:tc>
          <w:tcPr>
            <w:tcW w:w="1250" w:type="pct"/>
            <w:tcBorders>
              <w:top w:val="single" w:sz="4" w:space="0" w:color="auto"/>
              <w:left w:val="single" w:sz="4" w:space="0" w:color="auto"/>
              <w:bottom w:val="single" w:sz="4" w:space="0" w:color="auto"/>
              <w:right w:val="single" w:sz="4" w:space="0" w:color="auto"/>
            </w:tcBorders>
            <w:hideMark/>
          </w:tcPr>
          <w:p w14:paraId="59968FC1" w14:textId="3501C834" w:rsidR="009E34BE" w:rsidRPr="009E34BE" w:rsidRDefault="008D266E" w:rsidP="009E34BE">
            <w:pPr>
              <w:tabs>
                <w:tab w:val="left" w:pos="567"/>
              </w:tabs>
              <w:autoSpaceDE w:val="0"/>
              <w:autoSpaceDN w:val="0"/>
              <w:adjustRightInd w:val="0"/>
              <w:rPr>
                <w:sz w:val="22"/>
                <w:szCs w:val="22"/>
                <w:lang w:val="lt-LT"/>
              </w:rPr>
            </w:pPr>
            <w:r w:rsidRPr="00211E3B">
              <w:rPr>
                <w:sz w:val="22"/>
                <w:szCs w:val="22"/>
                <w:lang w:val="lt-LT"/>
              </w:rPr>
              <w:t>Hipertenzija</w:t>
            </w:r>
          </w:p>
        </w:tc>
        <w:tc>
          <w:tcPr>
            <w:tcW w:w="1250" w:type="pct"/>
            <w:tcBorders>
              <w:top w:val="single" w:sz="4" w:space="0" w:color="auto"/>
              <w:left w:val="single" w:sz="4" w:space="0" w:color="auto"/>
              <w:bottom w:val="single" w:sz="4" w:space="0" w:color="auto"/>
              <w:right w:val="single" w:sz="4" w:space="0" w:color="auto"/>
            </w:tcBorders>
            <w:hideMark/>
          </w:tcPr>
          <w:p w14:paraId="0015B98E" w14:textId="3EA96BDC" w:rsidR="009E34BE" w:rsidRPr="009E34BE" w:rsidRDefault="00D8244A" w:rsidP="009E34BE">
            <w:pPr>
              <w:tabs>
                <w:tab w:val="left" w:pos="567"/>
              </w:tabs>
              <w:autoSpaceDE w:val="0"/>
              <w:autoSpaceDN w:val="0"/>
              <w:adjustRightInd w:val="0"/>
              <w:rPr>
                <w:sz w:val="22"/>
                <w:szCs w:val="22"/>
                <w:lang w:val="lt-LT"/>
              </w:rPr>
            </w:pPr>
            <w:r w:rsidRPr="00211E3B">
              <w:rPr>
                <w:sz w:val="22"/>
                <w:szCs w:val="22"/>
                <w:lang w:val="lt-LT"/>
              </w:rPr>
              <w:t>Nedažnas</w:t>
            </w:r>
          </w:p>
        </w:tc>
        <w:tc>
          <w:tcPr>
            <w:tcW w:w="1250" w:type="pct"/>
            <w:tcBorders>
              <w:top w:val="single" w:sz="4" w:space="0" w:color="auto"/>
              <w:left w:val="single" w:sz="4" w:space="0" w:color="auto"/>
              <w:bottom w:val="single" w:sz="4" w:space="0" w:color="auto"/>
              <w:right w:val="single" w:sz="4" w:space="0" w:color="auto"/>
            </w:tcBorders>
            <w:hideMark/>
          </w:tcPr>
          <w:p w14:paraId="5C7C3947" w14:textId="7B77F77B" w:rsidR="009E34BE" w:rsidRPr="009E34BE" w:rsidRDefault="00D8244A" w:rsidP="009E34BE">
            <w:pPr>
              <w:tabs>
                <w:tab w:val="left" w:pos="567"/>
              </w:tabs>
              <w:autoSpaceDE w:val="0"/>
              <w:autoSpaceDN w:val="0"/>
              <w:adjustRightInd w:val="0"/>
              <w:rPr>
                <w:sz w:val="22"/>
                <w:szCs w:val="22"/>
                <w:lang w:val="lt-LT"/>
              </w:rPr>
            </w:pPr>
            <w:r w:rsidRPr="00211E3B">
              <w:rPr>
                <w:sz w:val="22"/>
                <w:szCs w:val="22"/>
                <w:lang w:val="lt-LT"/>
              </w:rPr>
              <w:t>Dažnas</w:t>
            </w:r>
          </w:p>
        </w:tc>
        <w:tc>
          <w:tcPr>
            <w:tcW w:w="1250" w:type="pct"/>
            <w:tcBorders>
              <w:top w:val="single" w:sz="4" w:space="0" w:color="auto"/>
              <w:left w:val="single" w:sz="4" w:space="0" w:color="auto"/>
              <w:bottom w:val="single" w:sz="4" w:space="0" w:color="auto"/>
              <w:right w:val="single" w:sz="4" w:space="0" w:color="auto"/>
            </w:tcBorders>
            <w:hideMark/>
          </w:tcPr>
          <w:p w14:paraId="24AE3795" w14:textId="67D6651C" w:rsidR="009E34BE" w:rsidRPr="009E34BE" w:rsidRDefault="00D8244A" w:rsidP="009E34BE">
            <w:pPr>
              <w:tabs>
                <w:tab w:val="left" w:pos="567"/>
              </w:tabs>
              <w:autoSpaceDE w:val="0"/>
              <w:autoSpaceDN w:val="0"/>
              <w:adjustRightInd w:val="0"/>
              <w:rPr>
                <w:sz w:val="22"/>
                <w:szCs w:val="22"/>
                <w:lang w:val="lt-LT"/>
              </w:rPr>
            </w:pPr>
            <w:r w:rsidRPr="00211E3B">
              <w:rPr>
                <w:sz w:val="22"/>
                <w:szCs w:val="22"/>
                <w:lang w:val="lt-LT"/>
              </w:rPr>
              <w:t>Dažnas</w:t>
            </w:r>
          </w:p>
        </w:tc>
      </w:tr>
      <w:tr w:rsidR="009E34BE" w:rsidRPr="009E34BE" w14:paraId="6430B53B" w14:textId="77777777" w:rsidTr="009E34BE">
        <w:tc>
          <w:tcPr>
            <w:tcW w:w="1250" w:type="pct"/>
            <w:tcBorders>
              <w:top w:val="single" w:sz="4" w:space="0" w:color="auto"/>
              <w:left w:val="single" w:sz="4" w:space="0" w:color="auto"/>
              <w:bottom w:val="single" w:sz="4" w:space="0" w:color="auto"/>
              <w:right w:val="single" w:sz="4" w:space="0" w:color="auto"/>
            </w:tcBorders>
            <w:hideMark/>
          </w:tcPr>
          <w:p w14:paraId="1F0C5D51" w14:textId="03781908" w:rsidR="009E34BE" w:rsidRPr="009E34BE" w:rsidRDefault="008D266E" w:rsidP="008D266E">
            <w:pPr>
              <w:tabs>
                <w:tab w:val="left" w:pos="567"/>
              </w:tabs>
              <w:autoSpaceDE w:val="0"/>
              <w:autoSpaceDN w:val="0"/>
              <w:adjustRightInd w:val="0"/>
              <w:rPr>
                <w:sz w:val="22"/>
                <w:szCs w:val="22"/>
                <w:lang w:val="lt-LT"/>
              </w:rPr>
            </w:pPr>
            <w:r w:rsidRPr="00211E3B">
              <w:rPr>
                <w:sz w:val="22"/>
                <w:szCs w:val="22"/>
                <w:lang w:val="lt-LT"/>
              </w:rPr>
              <w:t>Aneurizmos ir arterijų atsisluoksniavimas</w:t>
            </w:r>
            <w:r w:rsidR="00C16AF9">
              <w:rPr>
                <w:sz w:val="22"/>
                <w:szCs w:val="22"/>
                <w:lang w:val="lt-LT"/>
              </w:rPr>
              <w:t xml:space="preserve"> (disekacija)</w:t>
            </w:r>
          </w:p>
        </w:tc>
        <w:tc>
          <w:tcPr>
            <w:tcW w:w="1250" w:type="pct"/>
            <w:tcBorders>
              <w:top w:val="single" w:sz="4" w:space="0" w:color="auto"/>
              <w:left w:val="single" w:sz="4" w:space="0" w:color="auto"/>
              <w:bottom w:val="single" w:sz="4" w:space="0" w:color="auto"/>
              <w:right w:val="single" w:sz="4" w:space="0" w:color="auto"/>
            </w:tcBorders>
            <w:hideMark/>
          </w:tcPr>
          <w:p w14:paraId="3864BE40" w14:textId="3F8AFD8F" w:rsidR="009E34BE" w:rsidRPr="009E34BE" w:rsidRDefault="00D8244A" w:rsidP="009E34BE">
            <w:pPr>
              <w:tabs>
                <w:tab w:val="left" w:pos="567"/>
              </w:tabs>
              <w:autoSpaceDE w:val="0"/>
              <w:autoSpaceDN w:val="0"/>
              <w:adjustRightInd w:val="0"/>
              <w:rPr>
                <w:sz w:val="22"/>
                <w:szCs w:val="22"/>
                <w:lang w:val="lt-LT"/>
              </w:rPr>
            </w:pPr>
            <w:r w:rsidRPr="00211E3B">
              <w:rPr>
                <w:sz w:val="22"/>
                <w:szCs w:val="22"/>
                <w:lang w:val="lt-LT"/>
              </w:rPr>
              <w:t>Nežinomas</w:t>
            </w:r>
          </w:p>
        </w:tc>
        <w:tc>
          <w:tcPr>
            <w:tcW w:w="1250" w:type="pct"/>
            <w:tcBorders>
              <w:top w:val="single" w:sz="4" w:space="0" w:color="auto"/>
              <w:left w:val="single" w:sz="4" w:space="0" w:color="auto"/>
              <w:bottom w:val="single" w:sz="4" w:space="0" w:color="auto"/>
              <w:right w:val="single" w:sz="4" w:space="0" w:color="auto"/>
            </w:tcBorders>
            <w:hideMark/>
          </w:tcPr>
          <w:p w14:paraId="0BE35E37" w14:textId="51A52075" w:rsidR="009E34BE" w:rsidRPr="009E34BE" w:rsidRDefault="00D8244A" w:rsidP="009E34BE">
            <w:pPr>
              <w:tabs>
                <w:tab w:val="left" w:pos="567"/>
              </w:tabs>
              <w:autoSpaceDE w:val="0"/>
              <w:autoSpaceDN w:val="0"/>
              <w:adjustRightInd w:val="0"/>
              <w:rPr>
                <w:sz w:val="22"/>
                <w:szCs w:val="22"/>
                <w:lang w:val="lt-LT"/>
              </w:rPr>
            </w:pPr>
            <w:r w:rsidRPr="00211E3B">
              <w:rPr>
                <w:sz w:val="22"/>
                <w:szCs w:val="22"/>
                <w:lang w:val="lt-LT"/>
              </w:rPr>
              <w:t>Nežinomas</w:t>
            </w:r>
          </w:p>
        </w:tc>
        <w:tc>
          <w:tcPr>
            <w:tcW w:w="1250" w:type="pct"/>
            <w:tcBorders>
              <w:top w:val="single" w:sz="4" w:space="0" w:color="auto"/>
              <w:left w:val="single" w:sz="4" w:space="0" w:color="auto"/>
              <w:bottom w:val="single" w:sz="4" w:space="0" w:color="auto"/>
              <w:right w:val="single" w:sz="4" w:space="0" w:color="auto"/>
            </w:tcBorders>
            <w:hideMark/>
          </w:tcPr>
          <w:p w14:paraId="2CA229F7" w14:textId="5DE3F9E3" w:rsidR="009E34BE" w:rsidRPr="009E34BE" w:rsidRDefault="00D8244A" w:rsidP="009E34BE">
            <w:pPr>
              <w:tabs>
                <w:tab w:val="left" w:pos="567"/>
              </w:tabs>
              <w:autoSpaceDE w:val="0"/>
              <w:autoSpaceDN w:val="0"/>
              <w:adjustRightInd w:val="0"/>
              <w:rPr>
                <w:sz w:val="22"/>
                <w:szCs w:val="22"/>
                <w:lang w:val="lt-LT"/>
              </w:rPr>
            </w:pPr>
            <w:r w:rsidRPr="00211E3B">
              <w:rPr>
                <w:sz w:val="22"/>
                <w:szCs w:val="22"/>
                <w:lang w:val="lt-LT"/>
              </w:rPr>
              <w:t>Nežinomas</w:t>
            </w:r>
          </w:p>
        </w:tc>
      </w:tr>
      <w:tr w:rsidR="009E34BE" w:rsidRPr="009E34BE" w14:paraId="57BB7AF8" w14:textId="77777777" w:rsidTr="009E34BE">
        <w:tc>
          <w:tcPr>
            <w:tcW w:w="5000" w:type="pct"/>
            <w:gridSpan w:val="4"/>
            <w:tcBorders>
              <w:top w:val="single" w:sz="4" w:space="0" w:color="auto"/>
              <w:left w:val="single" w:sz="4" w:space="0" w:color="auto"/>
              <w:bottom w:val="single" w:sz="4" w:space="0" w:color="auto"/>
              <w:right w:val="single" w:sz="4" w:space="0" w:color="auto"/>
            </w:tcBorders>
            <w:hideMark/>
          </w:tcPr>
          <w:p w14:paraId="3BA583BB" w14:textId="275B950F" w:rsidR="009E34BE" w:rsidRPr="009E34BE" w:rsidRDefault="008D266E" w:rsidP="009E34BE">
            <w:pPr>
              <w:tabs>
                <w:tab w:val="left" w:pos="567"/>
              </w:tabs>
              <w:autoSpaceDE w:val="0"/>
              <w:autoSpaceDN w:val="0"/>
              <w:adjustRightInd w:val="0"/>
              <w:rPr>
                <w:b/>
                <w:sz w:val="22"/>
                <w:szCs w:val="22"/>
                <w:lang w:val="lt-LT"/>
              </w:rPr>
            </w:pPr>
            <w:r w:rsidRPr="00211E3B">
              <w:rPr>
                <w:b/>
                <w:sz w:val="22"/>
                <w:szCs w:val="22"/>
                <w:lang w:val="lt-LT"/>
              </w:rPr>
              <w:t>Virškinimo trakto sutrikimai</w:t>
            </w:r>
          </w:p>
        </w:tc>
      </w:tr>
      <w:tr w:rsidR="009E34BE" w:rsidRPr="009E34BE" w14:paraId="1814F513" w14:textId="77777777" w:rsidTr="009E34BE">
        <w:tc>
          <w:tcPr>
            <w:tcW w:w="1250" w:type="pct"/>
            <w:tcBorders>
              <w:top w:val="single" w:sz="4" w:space="0" w:color="auto"/>
              <w:left w:val="single" w:sz="4" w:space="0" w:color="auto"/>
              <w:bottom w:val="single" w:sz="4" w:space="0" w:color="auto"/>
              <w:right w:val="single" w:sz="4" w:space="0" w:color="auto"/>
            </w:tcBorders>
            <w:hideMark/>
          </w:tcPr>
          <w:p w14:paraId="4E69545C" w14:textId="6F534054" w:rsidR="009E34BE" w:rsidRPr="009E34BE" w:rsidRDefault="008D266E" w:rsidP="009E34BE">
            <w:pPr>
              <w:tabs>
                <w:tab w:val="left" w:pos="567"/>
              </w:tabs>
              <w:autoSpaceDE w:val="0"/>
              <w:autoSpaceDN w:val="0"/>
              <w:adjustRightInd w:val="0"/>
              <w:rPr>
                <w:sz w:val="22"/>
                <w:szCs w:val="22"/>
                <w:lang w:val="lt-LT"/>
              </w:rPr>
            </w:pPr>
            <w:r w:rsidRPr="00211E3B">
              <w:rPr>
                <w:sz w:val="22"/>
                <w:szCs w:val="22"/>
                <w:lang w:val="lt-LT"/>
              </w:rPr>
              <w:t>Viduriavimas</w:t>
            </w:r>
          </w:p>
        </w:tc>
        <w:tc>
          <w:tcPr>
            <w:tcW w:w="1250" w:type="pct"/>
            <w:tcBorders>
              <w:top w:val="single" w:sz="4" w:space="0" w:color="auto"/>
              <w:left w:val="single" w:sz="4" w:space="0" w:color="auto"/>
              <w:bottom w:val="single" w:sz="4" w:space="0" w:color="auto"/>
              <w:right w:val="single" w:sz="4" w:space="0" w:color="auto"/>
            </w:tcBorders>
            <w:hideMark/>
          </w:tcPr>
          <w:p w14:paraId="39D62636" w14:textId="6D5940CF" w:rsidR="009E34BE" w:rsidRPr="009E34BE" w:rsidRDefault="00D8244A" w:rsidP="009E34BE">
            <w:pPr>
              <w:tabs>
                <w:tab w:val="left" w:pos="567"/>
              </w:tabs>
              <w:autoSpaceDE w:val="0"/>
              <w:autoSpaceDN w:val="0"/>
              <w:adjustRightInd w:val="0"/>
              <w:rPr>
                <w:sz w:val="22"/>
                <w:szCs w:val="22"/>
                <w:lang w:val="lt-LT"/>
              </w:rPr>
            </w:pPr>
            <w:r w:rsidRPr="00211E3B">
              <w:rPr>
                <w:sz w:val="22"/>
                <w:szCs w:val="22"/>
                <w:lang w:val="lt-LT"/>
              </w:rPr>
              <w:t>Labai dažnas</w:t>
            </w:r>
          </w:p>
        </w:tc>
        <w:tc>
          <w:tcPr>
            <w:tcW w:w="1250" w:type="pct"/>
            <w:tcBorders>
              <w:top w:val="single" w:sz="4" w:space="0" w:color="auto"/>
              <w:left w:val="single" w:sz="4" w:space="0" w:color="auto"/>
              <w:bottom w:val="single" w:sz="4" w:space="0" w:color="auto"/>
              <w:right w:val="single" w:sz="4" w:space="0" w:color="auto"/>
            </w:tcBorders>
            <w:hideMark/>
          </w:tcPr>
          <w:p w14:paraId="6784C8D2" w14:textId="029E4CFF" w:rsidR="009E34BE" w:rsidRPr="009E34BE" w:rsidRDefault="00D8244A" w:rsidP="009E34BE">
            <w:pPr>
              <w:tabs>
                <w:tab w:val="left" w:pos="567"/>
              </w:tabs>
              <w:autoSpaceDE w:val="0"/>
              <w:autoSpaceDN w:val="0"/>
              <w:adjustRightInd w:val="0"/>
              <w:rPr>
                <w:sz w:val="22"/>
                <w:szCs w:val="22"/>
                <w:lang w:val="lt-LT"/>
              </w:rPr>
            </w:pPr>
            <w:r w:rsidRPr="00211E3B">
              <w:rPr>
                <w:sz w:val="22"/>
                <w:szCs w:val="22"/>
                <w:lang w:val="lt-LT"/>
              </w:rPr>
              <w:t>Labai dažnas</w:t>
            </w:r>
          </w:p>
        </w:tc>
        <w:tc>
          <w:tcPr>
            <w:tcW w:w="1250" w:type="pct"/>
            <w:tcBorders>
              <w:top w:val="single" w:sz="4" w:space="0" w:color="auto"/>
              <w:left w:val="single" w:sz="4" w:space="0" w:color="auto"/>
              <w:bottom w:val="single" w:sz="4" w:space="0" w:color="auto"/>
              <w:right w:val="single" w:sz="4" w:space="0" w:color="auto"/>
            </w:tcBorders>
            <w:hideMark/>
          </w:tcPr>
          <w:p w14:paraId="6C190D02" w14:textId="2AF7009E" w:rsidR="009E34BE" w:rsidRPr="009E34BE" w:rsidRDefault="00D8244A" w:rsidP="009E34BE">
            <w:pPr>
              <w:tabs>
                <w:tab w:val="left" w:pos="567"/>
              </w:tabs>
              <w:autoSpaceDE w:val="0"/>
              <w:autoSpaceDN w:val="0"/>
              <w:adjustRightInd w:val="0"/>
              <w:rPr>
                <w:sz w:val="22"/>
                <w:szCs w:val="22"/>
                <w:lang w:val="lt-LT"/>
              </w:rPr>
            </w:pPr>
            <w:r w:rsidRPr="00211E3B">
              <w:rPr>
                <w:sz w:val="22"/>
                <w:szCs w:val="22"/>
                <w:lang w:val="lt-LT"/>
              </w:rPr>
              <w:t>Labai dažnas</w:t>
            </w:r>
          </w:p>
        </w:tc>
      </w:tr>
      <w:tr w:rsidR="009E34BE" w:rsidRPr="009E34BE" w14:paraId="56DEEEE9" w14:textId="77777777" w:rsidTr="009E34BE">
        <w:tc>
          <w:tcPr>
            <w:tcW w:w="1250" w:type="pct"/>
            <w:tcBorders>
              <w:top w:val="single" w:sz="4" w:space="0" w:color="auto"/>
              <w:left w:val="single" w:sz="4" w:space="0" w:color="auto"/>
              <w:bottom w:val="single" w:sz="4" w:space="0" w:color="auto"/>
              <w:right w:val="single" w:sz="4" w:space="0" w:color="auto"/>
            </w:tcBorders>
            <w:hideMark/>
          </w:tcPr>
          <w:p w14:paraId="770A8A61" w14:textId="29CCF86E" w:rsidR="009E34BE" w:rsidRPr="009E34BE" w:rsidRDefault="008D266E" w:rsidP="009E34BE">
            <w:pPr>
              <w:tabs>
                <w:tab w:val="left" w:pos="567"/>
              </w:tabs>
              <w:autoSpaceDE w:val="0"/>
              <w:autoSpaceDN w:val="0"/>
              <w:adjustRightInd w:val="0"/>
              <w:rPr>
                <w:sz w:val="22"/>
                <w:szCs w:val="22"/>
                <w:lang w:val="lt-LT"/>
              </w:rPr>
            </w:pPr>
            <w:r w:rsidRPr="00211E3B">
              <w:rPr>
                <w:sz w:val="22"/>
                <w:szCs w:val="22"/>
                <w:lang w:val="lt-LT"/>
              </w:rPr>
              <w:t>Pykinimas</w:t>
            </w:r>
          </w:p>
        </w:tc>
        <w:tc>
          <w:tcPr>
            <w:tcW w:w="1250" w:type="pct"/>
            <w:tcBorders>
              <w:top w:val="single" w:sz="4" w:space="0" w:color="auto"/>
              <w:left w:val="single" w:sz="4" w:space="0" w:color="auto"/>
              <w:bottom w:val="single" w:sz="4" w:space="0" w:color="auto"/>
              <w:right w:val="single" w:sz="4" w:space="0" w:color="auto"/>
            </w:tcBorders>
            <w:hideMark/>
          </w:tcPr>
          <w:p w14:paraId="6A6B9915" w14:textId="77DB9D48" w:rsidR="009E34BE" w:rsidRPr="009E34BE" w:rsidRDefault="00D8244A" w:rsidP="009E34BE">
            <w:pPr>
              <w:tabs>
                <w:tab w:val="left" w:pos="567"/>
              </w:tabs>
              <w:autoSpaceDE w:val="0"/>
              <w:autoSpaceDN w:val="0"/>
              <w:adjustRightInd w:val="0"/>
              <w:rPr>
                <w:sz w:val="22"/>
                <w:szCs w:val="22"/>
                <w:lang w:val="lt-LT"/>
              </w:rPr>
            </w:pPr>
            <w:r w:rsidRPr="00211E3B">
              <w:rPr>
                <w:sz w:val="22"/>
                <w:szCs w:val="22"/>
                <w:lang w:val="lt-LT"/>
              </w:rPr>
              <w:t>Labai dažnas</w:t>
            </w:r>
          </w:p>
        </w:tc>
        <w:tc>
          <w:tcPr>
            <w:tcW w:w="1250" w:type="pct"/>
            <w:tcBorders>
              <w:top w:val="single" w:sz="4" w:space="0" w:color="auto"/>
              <w:left w:val="single" w:sz="4" w:space="0" w:color="auto"/>
              <w:bottom w:val="single" w:sz="4" w:space="0" w:color="auto"/>
              <w:right w:val="single" w:sz="4" w:space="0" w:color="auto"/>
            </w:tcBorders>
            <w:hideMark/>
          </w:tcPr>
          <w:p w14:paraId="3CDC9F8F" w14:textId="59E49B42" w:rsidR="009E34BE" w:rsidRPr="009E34BE" w:rsidRDefault="00D8244A" w:rsidP="009E34BE">
            <w:pPr>
              <w:tabs>
                <w:tab w:val="left" w:pos="567"/>
              </w:tabs>
              <w:autoSpaceDE w:val="0"/>
              <w:autoSpaceDN w:val="0"/>
              <w:adjustRightInd w:val="0"/>
              <w:rPr>
                <w:sz w:val="22"/>
                <w:szCs w:val="22"/>
                <w:lang w:val="lt-LT"/>
              </w:rPr>
            </w:pPr>
            <w:r w:rsidRPr="00211E3B">
              <w:rPr>
                <w:sz w:val="22"/>
                <w:szCs w:val="22"/>
                <w:lang w:val="lt-LT"/>
              </w:rPr>
              <w:t>Labai dažnas</w:t>
            </w:r>
          </w:p>
        </w:tc>
        <w:tc>
          <w:tcPr>
            <w:tcW w:w="1250" w:type="pct"/>
            <w:tcBorders>
              <w:top w:val="single" w:sz="4" w:space="0" w:color="auto"/>
              <w:left w:val="single" w:sz="4" w:space="0" w:color="auto"/>
              <w:bottom w:val="single" w:sz="4" w:space="0" w:color="auto"/>
              <w:right w:val="single" w:sz="4" w:space="0" w:color="auto"/>
            </w:tcBorders>
            <w:hideMark/>
          </w:tcPr>
          <w:p w14:paraId="76E1FE1F" w14:textId="5277DEF3" w:rsidR="009E34BE" w:rsidRPr="009E34BE" w:rsidRDefault="00D8244A" w:rsidP="009E34BE">
            <w:pPr>
              <w:tabs>
                <w:tab w:val="left" w:pos="567"/>
              </w:tabs>
              <w:autoSpaceDE w:val="0"/>
              <w:autoSpaceDN w:val="0"/>
              <w:adjustRightInd w:val="0"/>
              <w:rPr>
                <w:sz w:val="22"/>
                <w:szCs w:val="22"/>
                <w:lang w:val="lt-LT"/>
              </w:rPr>
            </w:pPr>
            <w:r w:rsidRPr="00211E3B">
              <w:rPr>
                <w:sz w:val="22"/>
                <w:szCs w:val="22"/>
                <w:lang w:val="lt-LT"/>
              </w:rPr>
              <w:t>Labai dažnas</w:t>
            </w:r>
          </w:p>
        </w:tc>
      </w:tr>
      <w:tr w:rsidR="009E34BE" w:rsidRPr="009E34BE" w14:paraId="498D131C" w14:textId="77777777" w:rsidTr="009E34BE">
        <w:tc>
          <w:tcPr>
            <w:tcW w:w="1250" w:type="pct"/>
            <w:tcBorders>
              <w:top w:val="single" w:sz="4" w:space="0" w:color="auto"/>
              <w:left w:val="single" w:sz="4" w:space="0" w:color="auto"/>
              <w:bottom w:val="single" w:sz="4" w:space="0" w:color="auto"/>
              <w:right w:val="single" w:sz="4" w:space="0" w:color="auto"/>
            </w:tcBorders>
            <w:hideMark/>
          </w:tcPr>
          <w:p w14:paraId="41804007" w14:textId="351A9A6C" w:rsidR="009E34BE" w:rsidRPr="009E34BE" w:rsidRDefault="008D266E" w:rsidP="009E34BE">
            <w:pPr>
              <w:tabs>
                <w:tab w:val="left" w:pos="567"/>
              </w:tabs>
              <w:autoSpaceDE w:val="0"/>
              <w:autoSpaceDN w:val="0"/>
              <w:adjustRightInd w:val="0"/>
              <w:rPr>
                <w:sz w:val="22"/>
                <w:szCs w:val="22"/>
                <w:lang w:val="lt-LT"/>
              </w:rPr>
            </w:pPr>
            <w:r w:rsidRPr="00211E3B">
              <w:rPr>
                <w:sz w:val="22"/>
                <w:szCs w:val="22"/>
                <w:lang w:val="lt-LT"/>
              </w:rPr>
              <w:t>Pilvo skausmas</w:t>
            </w:r>
          </w:p>
        </w:tc>
        <w:tc>
          <w:tcPr>
            <w:tcW w:w="1250" w:type="pct"/>
            <w:tcBorders>
              <w:top w:val="single" w:sz="4" w:space="0" w:color="auto"/>
              <w:left w:val="single" w:sz="4" w:space="0" w:color="auto"/>
              <w:bottom w:val="single" w:sz="4" w:space="0" w:color="auto"/>
              <w:right w:val="single" w:sz="4" w:space="0" w:color="auto"/>
            </w:tcBorders>
            <w:hideMark/>
          </w:tcPr>
          <w:p w14:paraId="70252F25" w14:textId="2FAA54B3" w:rsidR="009E34BE" w:rsidRPr="009E34BE" w:rsidRDefault="00D8244A" w:rsidP="009E34BE">
            <w:pPr>
              <w:tabs>
                <w:tab w:val="left" w:pos="567"/>
              </w:tabs>
              <w:autoSpaceDE w:val="0"/>
              <w:autoSpaceDN w:val="0"/>
              <w:adjustRightInd w:val="0"/>
              <w:rPr>
                <w:sz w:val="22"/>
                <w:szCs w:val="22"/>
                <w:lang w:val="lt-LT"/>
              </w:rPr>
            </w:pPr>
            <w:r w:rsidRPr="00211E3B">
              <w:rPr>
                <w:sz w:val="22"/>
                <w:szCs w:val="22"/>
                <w:lang w:val="lt-LT"/>
              </w:rPr>
              <w:t>Labai dažnas</w:t>
            </w:r>
          </w:p>
        </w:tc>
        <w:tc>
          <w:tcPr>
            <w:tcW w:w="1250" w:type="pct"/>
            <w:tcBorders>
              <w:top w:val="single" w:sz="4" w:space="0" w:color="auto"/>
              <w:left w:val="single" w:sz="4" w:space="0" w:color="auto"/>
              <w:bottom w:val="single" w:sz="4" w:space="0" w:color="auto"/>
              <w:right w:val="single" w:sz="4" w:space="0" w:color="auto"/>
            </w:tcBorders>
            <w:hideMark/>
          </w:tcPr>
          <w:p w14:paraId="5D8EA024" w14:textId="301F9D07" w:rsidR="009E34BE" w:rsidRPr="009E34BE" w:rsidRDefault="00D8244A" w:rsidP="009E34BE">
            <w:pPr>
              <w:tabs>
                <w:tab w:val="left" w:pos="567"/>
              </w:tabs>
              <w:autoSpaceDE w:val="0"/>
              <w:autoSpaceDN w:val="0"/>
              <w:adjustRightInd w:val="0"/>
              <w:rPr>
                <w:sz w:val="22"/>
                <w:szCs w:val="22"/>
                <w:lang w:val="lt-LT"/>
              </w:rPr>
            </w:pPr>
            <w:r w:rsidRPr="00211E3B">
              <w:rPr>
                <w:sz w:val="22"/>
                <w:szCs w:val="22"/>
                <w:lang w:val="lt-LT"/>
              </w:rPr>
              <w:t>Labai dažnas</w:t>
            </w:r>
          </w:p>
        </w:tc>
        <w:tc>
          <w:tcPr>
            <w:tcW w:w="1250" w:type="pct"/>
            <w:tcBorders>
              <w:top w:val="single" w:sz="4" w:space="0" w:color="auto"/>
              <w:left w:val="single" w:sz="4" w:space="0" w:color="auto"/>
              <w:bottom w:val="single" w:sz="4" w:space="0" w:color="auto"/>
              <w:right w:val="single" w:sz="4" w:space="0" w:color="auto"/>
            </w:tcBorders>
            <w:hideMark/>
          </w:tcPr>
          <w:p w14:paraId="43A26F1A" w14:textId="3EBD1A2B" w:rsidR="009E34BE" w:rsidRPr="009E34BE" w:rsidRDefault="00D8244A" w:rsidP="009E34BE">
            <w:pPr>
              <w:tabs>
                <w:tab w:val="left" w:pos="567"/>
              </w:tabs>
              <w:autoSpaceDE w:val="0"/>
              <w:autoSpaceDN w:val="0"/>
              <w:adjustRightInd w:val="0"/>
              <w:rPr>
                <w:sz w:val="22"/>
                <w:szCs w:val="22"/>
                <w:lang w:val="lt-LT"/>
              </w:rPr>
            </w:pPr>
            <w:r w:rsidRPr="00211E3B">
              <w:rPr>
                <w:sz w:val="22"/>
                <w:szCs w:val="22"/>
                <w:lang w:val="lt-LT"/>
              </w:rPr>
              <w:t>Labai dažnas</w:t>
            </w:r>
          </w:p>
        </w:tc>
      </w:tr>
      <w:tr w:rsidR="009E34BE" w:rsidRPr="009E34BE" w14:paraId="21665E8F" w14:textId="77777777" w:rsidTr="009E34BE">
        <w:tc>
          <w:tcPr>
            <w:tcW w:w="1250" w:type="pct"/>
            <w:tcBorders>
              <w:top w:val="single" w:sz="4" w:space="0" w:color="auto"/>
              <w:left w:val="single" w:sz="4" w:space="0" w:color="auto"/>
              <w:bottom w:val="single" w:sz="4" w:space="0" w:color="auto"/>
              <w:right w:val="single" w:sz="4" w:space="0" w:color="auto"/>
            </w:tcBorders>
            <w:hideMark/>
          </w:tcPr>
          <w:p w14:paraId="4422EAC5" w14:textId="22A9EB81" w:rsidR="009E34BE" w:rsidRPr="009E34BE" w:rsidRDefault="008D266E" w:rsidP="009E34BE">
            <w:pPr>
              <w:tabs>
                <w:tab w:val="left" w:pos="567"/>
              </w:tabs>
              <w:autoSpaceDE w:val="0"/>
              <w:autoSpaceDN w:val="0"/>
              <w:adjustRightInd w:val="0"/>
              <w:rPr>
                <w:sz w:val="22"/>
                <w:szCs w:val="22"/>
                <w:lang w:val="lt-LT"/>
              </w:rPr>
            </w:pPr>
            <w:r w:rsidRPr="00211E3B">
              <w:rPr>
                <w:sz w:val="22"/>
                <w:szCs w:val="22"/>
                <w:lang w:val="lt-LT"/>
              </w:rPr>
              <w:t>Vėmimas</w:t>
            </w:r>
          </w:p>
        </w:tc>
        <w:tc>
          <w:tcPr>
            <w:tcW w:w="1250" w:type="pct"/>
            <w:tcBorders>
              <w:top w:val="single" w:sz="4" w:space="0" w:color="auto"/>
              <w:left w:val="single" w:sz="4" w:space="0" w:color="auto"/>
              <w:bottom w:val="single" w:sz="4" w:space="0" w:color="auto"/>
              <w:right w:val="single" w:sz="4" w:space="0" w:color="auto"/>
            </w:tcBorders>
            <w:hideMark/>
          </w:tcPr>
          <w:p w14:paraId="0A9559FE" w14:textId="28874D3B" w:rsidR="009E34BE" w:rsidRPr="009E34BE" w:rsidRDefault="00D8244A" w:rsidP="009E34BE">
            <w:pPr>
              <w:tabs>
                <w:tab w:val="left" w:pos="567"/>
              </w:tabs>
              <w:autoSpaceDE w:val="0"/>
              <w:autoSpaceDN w:val="0"/>
              <w:adjustRightInd w:val="0"/>
              <w:rPr>
                <w:sz w:val="22"/>
                <w:szCs w:val="22"/>
                <w:lang w:val="lt-LT"/>
              </w:rPr>
            </w:pPr>
            <w:r w:rsidRPr="00211E3B">
              <w:rPr>
                <w:sz w:val="22"/>
                <w:szCs w:val="22"/>
                <w:lang w:val="lt-LT"/>
              </w:rPr>
              <w:t>Dažnas</w:t>
            </w:r>
          </w:p>
        </w:tc>
        <w:tc>
          <w:tcPr>
            <w:tcW w:w="1250" w:type="pct"/>
            <w:tcBorders>
              <w:top w:val="single" w:sz="4" w:space="0" w:color="auto"/>
              <w:left w:val="single" w:sz="4" w:space="0" w:color="auto"/>
              <w:bottom w:val="single" w:sz="4" w:space="0" w:color="auto"/>
              <w:right w:val="single" w:sz="4" w:space="0" w:color="auto"/>
            </w:tcBorders>
            <w:hideMark/>
          </w:tcPr>
          <w:p w14:paraId="1EAA1142" w14:textId="0FD7AD1B" w:rsidR="009E34BE" w:rsidRPr="009E34BE" w:rsidRDefault="00D8244A" w:rsidP="009E34BE">
            <w:pPr>
              <w:tabs>
                <w:tab w:val="left" w:pos="567"/>
              </w:tabs>
              <w:autoSpaceDE w:val="0"/>
              <w:autoSpaceDN w:val="0"/>
              <w:adjustRightInd w:val="0"/>
              <w:rPr>
                <w:sz w:val="22"/>
                <w:szCs w:val="22"/>
                <w:lang w:val="lt-LT"/>
              </w:rPr>
            </w:pPr>
            <w:r w:rsidRPr="00211E3B">
              <w:rPr>
                <w:sz w:val="22"/>
                <w:szCs w:val="22"/>
                <w:lang w:val="lt-LT"/>
              </w:rPr>
              <w:t>Labai dažnas</w:t>
            </w:r>
          </w:p>
        </w:tc>
        <w:tc>
          <w:tcPr>
            <w:tcW w:w="1250" w:type="pct"/>
            <w:tcBorders>
              <w:top w:val="single" w:sz="4" w:space="0" w:color="auto"/>
              <w:left w:val="single" w:sz="4" w:space="0" w:color="auto"/>
              <w:bottom w:val="single" w:sz="4" w:space="0" w:color="auto"/>
              <w:right w:val="single" w:sz="4" w:space="0" w:color="auto"/>
            </w:tcBorders>
            <w:hideMark/>
          </w:tcPr>
          <w:p w14:paraId="7D64DC5A" w14:textId="2DA4D704" w:rsidR="009E34BE" w:rsidRPr="009E34BE" w:rsidRDefault="00D8244A" w:rsidP="009E34BE">
            <w:pPr>
              <w:tabs>
                <w:tab w:val="left" w:pos="567"/>
              </w:tabs>
              <w:autoSpaceDE w:val="0"/>
              <w:autoSpaceDN w:val="0"/>
              <w:adjustRightInd w:val="0"/>
              <w:rPr>
                <w:sz w:val="22"/>
                <w:szCs w:val="22"/>
                <w:lang w:val="lt-LT"/>
              </w:rPr>
            </w:pPr>
            <w:r w:rsidRPr="00211E3B">
              <w:rPr>
                <w:sz w:val="22"/>
                <w:szCs w:val="22"/>
                <w:lang w:val="lt-LT"/>
              </w:rPr>
              <w:t>Labai dažnas</w:t>
            </w:r>
          </w:p>
        </w:tc>
      </w:tr>
      <w:tr w:rsidR="009E34BE" w:rsidRPr="009E34BE" w14:paraId="300BA016" w14:textId="77777777" w:rsidTr="009E34BE">
        <w:tc>
          <w:tcPr>
            <w:tcW w:w="1250" w:type="pct"/>
            <w:tcBorders>
              <w:top w:val="single" w:sz="4" w:space="0" w:color="auto"/>
              <w:left w:val="single" w:sz="4" w:space="0" w:color="auto"/>
              <w:bottom w:val="single" w:sz="4" w:space="0" w:color="auto"/>
              <w:right w:val="single" w:sz="4" w:space="0" w:color="auto"/>
            </w:tcBorders>
            <w:hideMark/>
          </w:tcPr>
          <w:p w14:paraId="6F466325" w14:textId="5660E132" w:rsidR="009E34BE" w:rsidRPr="009E34BE" w:rsidRDefault="008D266E" w:rsidP="009E34BE">
            <w:pPr>
              <w:tabs>
                <w:tab w:val="left" w:pos="567"/>
              </w:tabs>
              <w:autoSpaceDE w:val="0"/>
              <w:autoSpaceDN w:val="0"/>
              <w:adjustRightInd w:val="0"/>
              <w:rPr>
                <w:sz w:val="22"/>
                <w:szCs w:val="22"/>
                <w:lang w:val="lt-LT"/>
              </w:rPr>
            </w:pPr>
            <w:r w:rsidRPr="00211E3B">
              <w:rPr>
                <w:sz w:val="22"/>
                <w:szCs w:val="22"/>
                <w:lang w:val="lt-LT"/>
              </w:rPr>
              <w:t>Pankreatitas</w:t>
            </w:r>
          </w:p>
        </w:tc>
        <w:tc>
          <w:tcPr>
            <w:tcW w:w="1250" w:type="pct"/>
            <w:tcBorders>
              <w:top w:val="single" w:sz="4" w:space="0" w:color="auto"/>
              <w:left w:val="single" w:sz="4" w:space="0" w:color="auto"/>
              <w:bottom w:val="single" w:sz="4" w:space="0" w:color="auto"/>
              <w:right w:val="single" w:sz="4" w:space="0" w:color="auto"/>
            </w:tcBorders>
            <w:hideMark/>
          </w:tcPr>
          <w:p w14:paraId="7A56826A" w14:textId="628B8983" w:rsidR="009E34BE" w:rsidRPr="009E34BE" w:rsidRDefault="00D8244A" w:rsidP="009E34BE">
            <w:pPr>
              <w:tabs>
                <w:tab w:val="left" w:pos="567"/>
              </w:tabs>
              <w:autoSpaceDE w:val="0"/>
              <w:autoSpaceDN w:val="0"/>
              <w:adjustRightInd w:val="0"/>
              <w:rPr>
                <w:sz w:val="22"/>
                <w:szCs w:val="22"/>
                <w:lang w:val="lt-LT"/>
              </w:rPr>
            </w:pPr>
            <w:r w:rsidRPr="00211E3B">
              <w:rPr>
                <w:sz w:val="22"/>
                <w:szCs w:val="22"/>
                <w:lang w:val="lt-LT"/>
              </w:rPr>
              <w:t>Nedažnas</w:t>
            </w:r>
          </w:p>
        </w:tc>
        <w:tc>
          <w:tcPr>
            <w:tcW w:w="1250" w:type="pct"/>
            <w:tcBorders>
              <w:top w:val="single" w:sz="4" w:space="0" w:color="auto"/>
              <w:left w:val="single" w:sz="4" w:space="0" w:color="auto"/>
              <w:bottom w:val="single" w:sz="4" w:space="0" w:color="auto"/>
              <w:right w:val="single" w:sz="4" w:space="0" w:color="auto"/>
            </w:tcBorders>
            <w:hideMark/>
          </w:tcPr>
          <w:p w14:paraId="63D62600" w14:textId="6574AFE3" w:rsidR="009E34BE" w:rsidRPr="009E34BE" w:rsidRDefault="00D8244A" w:rsidP="009E34BE">
            <w:pPr>
              <w:tabs>
                <w:tab w:val="left" w:pos="567"/>
              </w:tabs>
              <w:autoSpaceDE w:val="0"/>
              <w:autoSpaceDN w:val="0"/>
              <w:adjustRightInd w:val="0"/>
              <w:rPr>
                <w:sz w:val="22"/>
                <w:szCs w:val="22"/>
                <w:lang w:val="lt-LT"/>
              </w:rPr>
            </w:pPr>
            <w:r w:rsidRPr="00211E3B">
              <w:rPr>
                <w:sz w:val="22"/>
                <w:szCs w:val="22"/>
                <w:lang w:val="lt-LT"/>
              </w:rPr>
              <w:t>Nedažnas</w:t>
            </w:r>
          </w:p>
        </w:tc>
        <w:tc>
          <w:tcPr>
            <w:tcW w:w="1250" w:type="pct"/>
            <w:tcBorders>
              <w:top w:val="single" w:sz="4" w:space="0" w:color="auto"/>
              <w:left w:val="single" w:sz="4" w:space="0" w:color="auto"/>
              <w:bottom w:val="single" w:sz="4" w:space="0" w:color="auto"/>
              <w:right w:val="single" w:sz="4" w:space="0" w:color="auto"/>
            </w:tcBorders>
            <w:hideMark/>
          </w:tcPr>
          <w:p w14:paraId="297CB3D4" w14:textId="3D9ECC3E" w:rsidR="009E34BE" w:rsidRPr="009E34BE" w:rsidRDefault="00D8244A" w:rsidP="009E34BE">
            <w:pPr>
              <w:tabs>
                <w:tab w:val="left" w:pos="567"/>
              </w:tabs>
              <w:autoSpaceDE w:val="0"/>
              <w:autoSpaceDN w:val="0"/>
              <w:adjustRightInd w:val="0"/>
              <w:rPr>
                <w:sz w:val="22"/>
                <w:szCs w:val="22"/>
                <w:lang w:val="lt-LT"/>
              </w:rPr>
            </w:pPr>
            <w:r w:rsidRPr="00211E3B">
              <w:rPr>
                <w:sz w:val="22"/>
                <w:szCs w:val="22"/>
                <w:lang w:val="lt-LT"/>
              </w:rPr>
              <w:t>Nežinomas</w:t>
            </w:r>
          </w:p>
        </w:tc>
      </w:tr>
      <w:tr w:rsidR="009E34BE" w:rsidRPr="009E34BE" w14:paraId="75094BF4" w14:textId="77777777" w:rsidTr="009E34BE">
        <w:tc>
          <w:tcPr>
            <w:tcW w:w="1250" w:type="pct"/>
            <w:tcBorders>
              <w:top w:val="single" w:sz="4" w:space="0" w:color="auto"/>
              <w:left w:val="single" w:sz="4" w:space="0" w:color="auto"/>
              <w:bottom w:val="single" w:sz="4" w:space="0" w:color="auto"/>
              <w:right w:val="single" w:sz="4" w:space="0" w:color="auto"/>
            </w:tcBorders>
            <w:hideMark/>
          </w:tcPr>
          <w:p w14:paraId="49093E30" w14:textId="21C0B870" w:rsidR="009E34BE" w:rsidRPr="009E34BE" w:rsidRDefault="008D266E" w:rsidP="009E34BE">
            <w:pPr>
              <w:tabs>
                <w:tab w:val="left" w:pos="567"/>
              </w:tabs>
              <w:autoSpaceDE w:val="0"/>
              <w:autoSpaceDN w:val="0"/>
              <w:adjustRightInd w:val="0"/>
              <w:rPr>
                <w:sz w:val="22"/>
                <w:szCs w:val="22"/>
                <w:lang w:val="lt-LT"/>
              </w:rPr>
            </w:pPr>
            <w:r w:rsidRPr="00211E3B">
              <w:rPr>
                <w:sz w:val="22"/>
                <w:szCs w:val="22"/>
                <w:lang w:val="lt-LT"/>
              </w:rPr>
              <w:t>Kolitas</w:t>
            </w:r>
          </w:p>
        </w:tc>
        <w:tc>
          <w:tcPr>
            <w:tcW w:w="1250" w:type="pct"/>
            <w:tcBorders>
              <w:top w:val="single" w:sz="4" w:space="0" w:color="auto"/>
              <w:left w:val="single" w:sz="4" w:space="0" w:color="auto"/>
              <w:bottom w:val="single" w:sz="4" w:space="0" w:color="auto"/>
              <w:right w:val="single" w:sz="4" w:space="0" w:color="auto"/>
            </w:tcBorders>
            <w:hideMark/>
          </w:tcPr>
          <w:p w14:paraId="02A39B3F" w14:textId="50817C62" w:rsidR="009E34BE" w:rsidRPr="009E34BE" w:rsidRDefault="00D8244A" w:rsidP="009E34BE">
            <w:pPr>
              <w:tabs>
                <w:tab w:val="left" w:pos="567"/>
              </w:tabs>
              <w:autoSpaceDE w:val="0"/>
              <w:autoSpaceDN w:val="0"/>
              <w:adjustRightInd w:val="0"/>
              <w:rPr>
                <w:sz w:val="22"/>
                <w:szCs w:val="22"/>
                <w:lang w:val="lt-LT"/>
              </w:rPr>
            </w:pPr>
            <w:r w:rsidRPr="00211E3B">
              <w:rPr>
                <w:sz w:val="22"/>
                <w:szCs w:val="22"/>
                <w:lang w:val="lt-LT"/>
              </w:rPr>
              <w:t>Nedažnas</w:t>
            </w:r>
          </w:p>
        </w:tc>
        <w:tc>
          <w:tcPr>
            <w:tcW w:w="1250" w:type="pct"/>
            <w:tcBorders>
              <w:top w:val="single" w:sz="4" w:space="0" w:color="auto"/>
              <w:left w:val="single" w:sz="4" w:space="0" w:color="auto"/>
              <w:bottom w:val="single" w:sz="4" w:space="0" w:color="auto"/>
              <w:right w:val="single" w:sz="4" w:space="0" w:color="auto"/>
            </w:tcBorders>
            <w:hideMark/>
          </w:tcPr>
          <w:p w14:paraId="59877143" w14:textId="5FA77F52" w:rsidR="009E34BE" w:rsidRPr="009E34BE" w:rsidRDefault="00D8244A" w:rsidP="009E34BE">
            <w:pPr>
              <w:tabs>
                <w:tab w:val="left" w:pos="567"/>
              </w:tabs>
              <w:autoSpaceDE w:val="0"/>
              <w:autoSpaceDN w:val="0"/>
              <w:adjustRightInd w:val="0"/>
              <w:rPr>
                <w:sz w:val="22"/>
                <w:szCs w:val="22"/>
                <w:lang w:val="lt-LT"/>
              </w:rPr>
            </w:pPr>
            <w:r w:rsidRPr="00211E3B">
              <w:rPr>
                <w:sz w:val="22"/>
                <w:szCs w:val="22"/>
                <w:lang w:val="lt-LT"/>
              </w:rPr>
              <w:t>Nedažnas</w:t>
            </w:r>
          </w:p>
        </w:tc>
        <w:tc>
          <w:tcPr>
            <w:tcW w:w="1250" w:type="pct"/>
            <w:tcBorders>
              <w:top w:val="single" w:sz="4" w:space="0" w:color="auto"/>
              <w:left w:val="single" w:sz="4" w:space="0" w:color="auto"/>
              <w:bottom w:val="single" w:sz="4" w:space="0" w:color="auto"/>
              <w:right w:val="single" w:sz="4" w:space="0" w:color="auto"/>
            </w:tcBorders>
            <w:hideMark/>
          </w:tcPr>
          <w:p w14:paraId="3C110C15" w14:textId="351FC4BE" w:rsidR="009E34BE" w:rsidRPr="009E34BE" w:rsidRDefault="00D8244A" w:rsidP="009E34BE">
            <w:pPr>
              <w:tabs>
                <w:tab w:val="left" w:pos="567"/>
              </w:tabs>
              <w:autoSpaceDE w:val="0"/>
              <w:autoSpaceDN w:val="0"/>
              <w:adjustRightInd w:val="0"/>
              <w:rPr>
                <w:sz w:val="22"/>
                <w:szCs w:val="22"/>
                <w:lang w:val="lt-LT"/>
              </w:rPr>
            </w:pPr>
            <w:r w:rsidRPr="00211E3B">
              <w:rPr>
                <w:sz w:val="22"/>
                <w:szCs w:val="22"/>
                <w:lang w:val="lt-LT"/>
              </w:rPr>
              <w:t>Nedažnas</w:t>
            </w:r>
          </w:p>
        </w:tc>
      </w:tr>
      <w:tr w:rsidR="009E34BE" w:rsidRPr="009E34BE" w14:paraId="0E4D56CE" w14:textId="77777777" w:rsidTr="009E34BE">
        <w:tc>
          <w:tcPr>
            <w:tcW w:w="5000" w:type="pct"/>
            <w:gridSpan w:val="4"/>
            <w:tcBorders>
              <w:top w:val="single" w:sz="4" w:space="0" w:color="auto"/>
              <w:left w:val="single" w:sz="4" w:space="0" w:color="auto"/>
              <w:bottom w:val="single" w:sz="4" w:space="0" w:color="auto"/>
              <w:right w:val="single" w:sz="4" w:space="0" w:color="auto"/>
            </w:tcBorders>
            <w:hideMark/>
          </w:tcPr>
          <w:p w14:paraId="00B3D70A" w14:textId="36D85379" w:rsidR="009E34BE" w:rsidRPr="009E34BE" w:rsidRDefault="008D266E" w:rsidP="009E34BE">
            <w:pPr>
              <w:tabs>
                <w:tab w:val="left" w:pos="567"/>
              </w:tabs>
              <w:autoSpaceDE w:val="0"/>
              <w:autoSpaceDN w:val="0"/>
              <w:adjustRightInd w:val="0"/>
              <w:rPr>
                <w:b/>
                <w:sz w:val="22"/>
                <w:szCs w:val="22"/>
                <w:lang w:val="lt-LT"/>
              </w:rPr>
            </w:pPr>
            <w:r w:rsidRPr="00211E3B">
              <w:rPr>
                <w:b/>
                <w:sz w:val="22"/>
                <w:szCs w:val="22"/>
                <w:lang w:val="lt-LT"/>
              </w:rPr>
              <w:lastRenderedPageBreak/>
              <w:t>Kepenų, tulžies pūslės ir latakų sutrikimai</w:t>
            </w:r>
          </w:p>
        </w:tc>
      </w:tr>
      <w:tr w:rsidR="009E34BE" w:rsidRPr="009E34BE" w14:paraId="530D7225" w14:textId="77777777" w:rsidTr="009E34BE">
        <w:tc>
          <w:tcPr>
            <w:tcW w:w="1250" w:type="pct"/>
            <w:tcBorders>
              <w:top w:val="single" w:sz="4" w:space="0" w:color="auto"/>
              <w:left w:val="single" w:sz="4" w:space="0" w:color="auto"/>
              <w:bottom w:val="single" w:sz="4" w:space="0" w:color="auto"/>
              <w:right w:val="single" w:sz="4" w:space="0" w:color="auto"/>
            </w:tcBorders>
            <w:hideMark/>
          </w:tcPr>
          <w:p w14:paraId="69F0B8BA" w14:textId="77777777" w:rsidR="008D266E" w:rsidRPr="00211E3B" w:rsidRDefault="008D266E" w:rsidP="008D266E">
            <w:pPr>
              <w:tabs>
                <w:tab w:val="left" w:pos="567"/>
              </w:tabs>
              <w:autoSpaceDE w:val="0"/>
              <w:autoSpaceDN w:val="0"/>
              <w:adjustRightInd w:val="0"/>
              <w:rPr>
                <w:sz w:val="22"/>
                <w:szCs w:val="22"/>
              </w:rPr>
            </w:pPr>
            <w:r w:rsidRPr="00211E3B">
              <w:rPr>
                <w:sz w:val="22"/>
                <w:szCs w:val="22"/>
              </w:rPr>
              <w:t>Vaistinio preparato sukeltas</w:t>
            </w:r>
          </w:p>
          <w:p w14:paraId="4807CAD8" w14:textId="52EBAE42" w:rsidR="009E34BE" w:rsidRPr="009E34BE" w:rsidRDefault="008D266E" w:rsidP="008D266E">
            <w:pPr>
              <w:tabs>
                <w:tab w:val="left" w:pos="567"/>
              </w:tabs>
              <w:autoSpaceDE w:val="0"/>
              <w:autoSpaceDN w:val="0"/>
              <w:adjustRightInd w:val="0"/>
              <w:rPr>
                <w:sz w:val="22"/>
                <w:szCs w:val="22"/>
                <w:lang w:val="lt-LT"/>
              </w:rPr>
            </w:pPr>
            <w:r w:rsidRPr="00211E3B">
              <w:rPr>
                <w:sz w:val="22"/>
                <w:szCs w:val="22"/>
                <w:lang w:val="lt-LT"/>
              </w:rPr>
              <w:t>kepenų pažeidimas</w:t>
            </w:r>
          </w:p>
        </w:tc>
        <w:tc>
          <w:tcPr>
            <w:tcW w:w="1250" w:type="pct"/>
            <w:tcBorders>
              <w:top w:val="single" w:sz="4" w:space="0" w:color="auto"/>
              <w:left w:val="single" w:sz="4" w:space="0" w:color="auto"/>
              <w:bottom w:val="single" w:sz="4" w:space="0" w:color="auto"/>
              <w:right w:val="single" w:sz="4" w:space="0" w:color="auto"/>
            </w:tcBorders>
            <w:hideMark/>
          </w:tcPr>
          <w:p w14:paraId="6DFD93AD" w14:textId="023DCFBC" w:rsidR="009E34BE" w:rsidRPr="009E34BE" w:rsidRDefault="00D8244A" w:rsidP="009E34BE">
            <w:pPr>
              <w:tabs>
                <w:tab w:val="left" w:pos="567"/>
              </w:tabs>
              <w:autoSpaceDE w:val="0"/>
              <w:autoSpaceDN w:val="0"/>
              <w:adjustRightInd w:val="0"/>
              <w:rPr>
                <w:sz w:val="22"/>
                <w:szCs w:val="22"/>
                <w:lang w:val="lt-LT"/>
              </w:rPr>
            </w:pPr>
            <w:r w:rsidRPr="00211E3B">
              <w:rPr>
                <w:sz w:val="22"/>
                <w:szCs w:val="22"/>
                <w:lang w:val="lt-LT"/>
              </w:rPr>
              <w:t>Nedažnas</w:t>
            </w:r>
          </w:p>
        </w:tc>
        <w:tc>
          <w:tcPr>
            <w:tcW w:w="1250" w:type="pct"/>
            <w:tcBorders>
              <w:top w:val="single" w:sz="4" w:space="0" w:color="auto"/>
              <w:left w:val="single" w:sz="4" w:space="0" w:color="auto"/>
              <w:bottom w:val="single" w:sz="4" w:space="0" w:color="auto"/>
              <w:right w:val="single" w:sz="4" w:space="0" w:color="auto"/>
            </w:tcBorders>
            <w:hideMark/>
          </w:tcPr>
          <w:p w14:paraId="341735DB" w14:textId="4FC999D7" w:rsidR="009E34BE" w:rsidRPr="009E34BE" w:rsidRDefault="00D8244A" w:rsidP="009E34BE">
            <w:pPr>
              <w:tabs>
                <w:tab w:val="left" w:pos="567"/>
              </w:tabs>
              <w:autoSpaceDE w:val="0"/>
              <w:autoSpaceDN w:val="0"/>
              <w:adjustRightInd w:val="0"/>
              <w:rPr>
                <w:sz w:val="22"/>
                <w:szCs w:val="22"/>
                <w:lang w:val="lt-LT"/>
              </w:rPr>
            </w:pPr>
            <w:r w:rsidRPr="00211E3B">
              <w:rPr>
                <w:sz w:val="22"/>
                <w:szCs w:val="22"/>
                <w:lang w:val="lt-LT"/>
              </w:rPr>
              <w:t>Dažnas</w:t>
            </w:r>
          </w:p>
        </w:tc>
        <w:tc>
          <w:tcPr>
            <w:tcW w:w="1250" w:type="pct"/>
            <w:tcBorders>
              <w:top w:val="single" w:sz="4" w:space="0" w:color="auto"/>
              <w:left w:val="single" w:sz="4" w:space="0" w:color="auto"/>
              <w:bottom w:val="single" w:sz="4" w:space="0" w:color="auto"/>
              <w:right w:val="single" w:sz="4" w:space="0" w:color="auto"/>
            </w:tcBorders>
            <w:hideMark/>
          </w:tcPr>
          <w:p w14:paraId="7979DC82" w14:textId="6074FC39" w:rsidR="009E34BE" w:rsidRPr="009E34BE" w:rsidRDefault="00D8244A" w:rsidP="009E34BE">
            <w:pPr>
              <w:tabs>
                <w:tab w:val="left" w:pos="567"/>
              </w:tabs>
              <w:autoSpaceDE w:val="0"/>
              <w:autoSpaceDN w:val="0"/>
              <w:adjustRightInd w:val="0"/>
              <w:rPr>
                <w:sz w:val="22"/>
                <w:szCs w:val="22"/>
                <w:lang w:val="lt-LT"/>
              </w:rPr>
            </w:pPr>
            <w:r w:rsidRPr="00211E3B">
              <w:rPr>
                <w:sz w:val="22"/>
                <w:szCs w:val="22"/>
                <w:lang w:val="lt-LT"/>
              </w:rPr>
              <w:t>Nedažnas</w:t>
            </w:r>
          </w:p>
        </w:tc>
      </w:tr>
      <w:tr w:rsidR="009E34BE" w:rsidRPr="009E34BE" w14:paraId="51DE8C33" w14:textId="77777777" w:rsidTr="009E34BE">
        <w:tc>
          <w:tcPr>
            <w:tcW w:w="1250" w:type="pct"/>
            <w:tcBorders>
              <w:top w:val="single" w:sz="4" w:space="0" w:color="auto"/>
              <w:left w:val="single" w:sz="4" w:space="0" w:color="auto"/>
              <w:bottom w:val="single" w:sz="4" w:space="0" w:color="auto"/>
              <w:right w:val="single" w:sz="4" w:space="0" w:color="auto"/>
            </w:tcBorders>
            <w:hideMark/>
          </w:tcPr>
          <w:p w14:paraId="54FD14CF" w14:textId="77777777" w:rsidR="008D266E" w:rsidRPr="00211E3B" w:rsidRDefault="008D266E" w:rsidP="008D266E">
            <w:pPr>
              <w:tabs>
                <w:tab w:val="left" w:pos="567"/>
              </w:tabs>
              <w:autoSpaceDE w:val="0"/>
              <w:autoSpaceDN w:val="0"/>
              <w:adjustRightInd w:val="0"/>
              <w:rPr>
                <w:sz w:val="22"/>
                <w:szCs w:val="22"/>
              </w:rPr>
            </w:pPr>
            <w:r w:rsidRPr="00211E3B">
              <w:rPr>
                <w:sz w:val="22"/>
                <w:szCs w:val="22"/>
              </w:rPr>
              <w:t>Kepenų fermentų aktyvumo</w:t>
            </w:r>
          </w:p>
          <w:p w14:paraId="45E0C64A" w14:textId="0C14243E" w:rsidR="009E34BE" w:rsidRPr="009E34BE" w:rsidRDefault="008D266E" w:rsidP="008D266E">
            <w:pPr>
              <w:tabs>
                <w:tab w:val="left" w:pos="567"/>
              </w:tabs>
              <w:autoSpaceDE w:val="0"/>
              <w:autoSpaceDN w:val="0"/>
              <w:adjustRightInd w:val="0"/>
              <w:rPr>
                <w:sz w:val="22"/>
                <w:szCs w:val="22"/>
                <w:lang w:val="lt-LT"/>
              </w:rPr>
            </w:pPr>
            <w:r w:rsidRPr="00211E3B">
              <w:rPr>
                <w:sz w:val="22"/>
                <w:szCs w:val="22"/>
                <w:lang w:val="lt-LT"/>
              </w:rPr>
              <w:t>padidėjimas</w:t>
            </w:r>
          </w:p>
        </w:tc>
        <w:tc>
          <w:tcPr>
            <w:tcW w:w="1250" w:type="pct"/>
            <w:tcBorders>
              <w:top w:val="single" w:sz="4" w:space="0" w:color="auto"/>
              <w:left w:val="single" w:sz="4" w:space="0" w:color="auto"/>
              <w:bottom w:val="single" w:sz="4" w:space="0" w:color="auto"/>
              <w:right w:val="single" w:sz="4" w:space="0" w:color="auto"/>
            </w:tcBorders>
            <w:hideMark/>
          </w:tcPr>
          <w:p w14:paraId="5B23DE59" w14:textId="5EE1742D" w:rsidR="009E34BE" w:rsidRPr="009E34BE" w:rsidRDefault="00D8244A" w:rsidP="009E34BE">
            <w:pPr>
              <w:tabs>
                <w:tab w:val="left" w:pos="567"/>
              </w:tabs>
              <w:autoSpaceDE w:val="0"/>
              <w:autoSpaceDN w:val="0"/>
              <w:adjustRightInd w:val="0"/>
              <w:rPr>
                <w:sz w:val="22"/>
                <w:szCs w:val="22"/>
                <w:lang w:val="lt-LT"/>
              </w:rPr>
            </w:pPr>
            <w:r w:rsidRPr="00211E3B">
              <w:rPr>
                <w:sz w:val="22"/>
                <w:szCs w:val="22"/>
                <w:lang w:val="lt-LT"/>
              </w:rPr>
              <w:t>Labai dažnas</w:t>
            </w:r>
          </w:p>
        </w:tc>
        <w:tc>
          <w:tcPr>
            <w:tcW w:w="1250" w:type="pct"/>
            <w:tcBorders>
              <w:top w:val="single" w:sz="4" w:space="0" w:color="auto"/>
              <w:left w:val="single" w:sz="4" w:space="0" w:color="auto"/>
              <w:bottom w:val="single" w:sz="4" w:space="0" w:color="auto"/>
              <w:right w:val="single" w:sz="4" w:space="0" w:color="auto"/>
            </w:tcBorders>
            <w:hideMark/>
          </w:tcPr>
          <w:p w14:paraId="0A15D187" w14:textId="5B3BA323" w:rsidR="009E34BE" w:rsidRPr="009E34BE" w:rsidRDefault="00D8244A" w:rsidP="009E34BE">
            <w:pPr>
              <w:tabs>
                <w:tab w:val="left" w:pos="567"/>
              </w:tabs>
              <w:autoSpaceDE w:val="0"/>
              <w:autoSpaceDN w:val="0"/>
              <w:adjustRightInd w:val="0"/>
              <w:rPr>
                <w:sz w:val="22"/>
                <w:szCs w:val="22"/>
                <w:lang w:val="lt-LT"/>
              </w:rPr>
            </w:pPr>
            <w:r w:rsidRPr="00211E3B">
              <w:rPr>
                <w:sz w:val="22"/>
                <w:szCs w:val="22"/>
                <w:lang w:val="lt-LT"/>
              </w:rPr>
              <w:t>Labai dažnas</w:t>
            </w:r>
          </w:p>
        </w:tc>
        <w:tc>
          <w:tcPr>
            <w:tcW w:w="1250" w:type="pct"/>
            <w:tcBorders>
              <w:top w:val="single" w:sz="4" w:space="0" w:color="auto"/>
              <w:left w:val="single" w:sz="4" w:space="0" w:color="auto"/>
              <w:bottom w:val="single" w:sz="4" w:space="0" w:color="auto"/>
              <w:right w:val="single" w:sz="4" w:space="0" w:color="auto"/>
            </w:tcBorders>
            <w:hideMark/>
          </w:tcPr>
          <w:p w14:paraId="0213EFAE" w14:textId="691AED7A" w:rsidR="009E34BE" w:rsidRPr="009E34BE" w:rsidRDefault="00D8244A" w:rsidP="009E34BE">
            <w:pPr>
              <w:tabs>
                <w:tab w:val="left" w:pos="567"/>
              </w:tabs>
              <w:autoSpaceDE w:val="0"/>
              <w:autoSpaceDN w:val="0"/>
              <w:adjustRightInd w:val="0"/>
              <w:rPr>
                <w:sz w:val="22"/>
                <w:szCs w:val="22"/>
                <w:lang w:val="lt-LT"/>
              </w:rPr>
            </w:pPr>
            <w:r w:rsidRPr="00211E3B">
              <w:rPr>
                <w:sz w:val="22"/>
                <w:szCs w:val="22"/>
                <w:lang w:val="lt-LT"/>
              </w:rPr>
              <w:t>Labai dažnas</w:t>
            </w:r>
          </w:p>
        </w:tc>
      </w:tr>
      <w:tr w:rsidR="009E34BE" w:rsidRPr="009E34BE" w14:paraId="538AA02E" w14:textId="77777777" w:rsidTr="009E34BE">
        <w:tc>
          <w:tcPr>
            <w:tcW w:w="1250" w:type="pct"/>
            <w:tcBorders>
              <w:top w:val="single" w:sz="4" w:space="0" w:color="auto"/>
              <w:left w:val="single" w:sz="4" w:space="0" w:color="auto"/>
              <w:bottom w:val="single" w:sz="4" w:space="0" w:color="auto"/>
              <w:right w:val="single" w:sz="4" w:space="0" w:color="auto"/>
            </w:tcBorders>
            <w:hideMark/>
          </w:tcPr>
          <w:p w14:paraId="39F6FCAC" w14:textId="77777777" w:rsidR="008D266E" w:rsidRPr="00211E3B" w:rsidRDefault="008D266E" w:rsidP="008D266E">
            <w:pPr>
              <w:tabs>
                <w:tab w:val="left" w:pos="567"/>
              </w:tabs>
              <w:autoSpaceDE w:val="0"/>
              <w:autoSpaceDN w:val="0"/>
              <w:adjustRightInd w:val="0"/>
              <w:rPr>
                <w:sz w:val="22"/>
                <w:szCs w:val="22"/>
              </w:rPr>
            </w:pPr>
            <w:r w:rsidRPr="00211E3B">
              <w:rPr>
                <w:sz w:val="22"/>
                <w:szCs w:val="22"/>
              </w:rPr>
              <w:t>Alaninaminotransferazės (ALT)</w:t>
            </w:r>
          </w:p>
          <w:p w14:paraId="61B55DE3" w14:textId="53481B04" w:rsidR="009E34BE" w:rsidRPr="009E34BE" w:rsidRDefault="008D266E" w:rsidP="008D266E">
            <w:pPr>
              <w:tabs>
                <w:tab w:val="left" w:pos="567"/>
              </w:tabs>
              <w:autoSpaceDE w:val="0"/>
              <w:autoSpaceDN w:val="0"/>
              <w:adjustRightInd w:val="0"/>
              <w:rPr>
                <w:sz w:val="22"/>
                <w:szCs w:val="22"/>
                <w:lang w:val="lt-LT"/>
              </w:rPr>
            </w:pPr>
            <w:r w:rsidRPr="00211E3B">
              <w:rPr>
                <w:sz w:val="22"/>
                <w:szCs w:val="22"/>
                <w:lang w:val="lt-LT"/>
              </w:rPr>
              <w:t>aktyvumo padidėjimas</w:t>
            </w:r>
          </w:p>
        </w:tc>
        <w:tc>
          <w:tcPr>
            <w:tcW w:w="1250" w:type="pct"/>
            <w:tcBorders>
              <w:top w:val="single" w:sz="4" w:space="0" w:color="auto"/>
              <w:left w:val="single" w:sz="4" w:space="0" w:color="auto"/>
              <w:bottom w:val="single" w:sz="4" w:space="0" w:color="auto"/>
              <w:right w:val="single" w:sz="4" w:space="0" w:color="auto"/>
            </w:tcBorders>
            <w:hideMark/>
          </w:tcPr>
          <w:p w14:paraId="05DFCAC0" w14:textId="4C548F18" w:rsidR="009E34BE" w:rsidRPr="009E34BE" w:rsidRDefault="00D8244A" w:rsidP="009E34BE">
            <w:pPr>
              <w:tabs>
                <w:tab w:val="left" w:pos="567"/>
              </w:tabs>
              <w:autoSpaceDE w:val="0"/>
              <w:autoSpaceDN w:val="0"/>
              <w:adjustRightInd w:val="0"/>
              <w:rPr>
                <w:sz w:val="22"/>
                <w:szCs w:val="22"/>
                <w:lang w:val="lt-LT"/>
              </w:rPr>
            </w:pPr>
            <w:r w:rsidRPr="00211E3B">
              <w:rPr>
                <w:sz w:val="22"/>
                <w:szCs w:val="22"/>
                <w:lang w:val="lt-LT"/>
              </w:rPr>
              <w:t>Dažnas</w:t>
            </w:r>
          </w:p>
        </w:tc>
        <w:tc>
          <w:tcPr>
            <w:tcW w:w="1250" w:type="pct"/>
            <w:tcBorders>
              <w:top w:val="single" w:sz="4" w:space="0" w:color="auto"/>
              <w:left w:val="single" w:sz="4" w:space="0" w:color="auto"/>
              <w:bottom w:val="single" w:sz="4" w:space="0" w:color="auto"/>
              <w:right w:val="single" w:sz="4" w:space="0" w:color="auto"/>
            </w:tcBorders>
            <w:hideMark/>
          </w:tcPr>
          <w:p w14:paraId="7571CFD5" w14:textId="50F849A2" w:rsidR="009E34BE" w:rsidRPr="009E34BE" w:rsidRDefault="00D8244A" w:rsidP="009E34BE">
            <w:pPr>
              <w:tabs>
                <w:tab w:val="left" w:pos="567"/>
              </w:tabs>
              <w:autoSpaceDE w:val="0"/>
              <w:autoSpaceDN w:val="0"/>
              <w:adjustRightInd w:val="0"/>
              <w:rPr>
                <w:sz w:val="22"/>
                <w:szCs w:val="22"/>
                <w:lang w:val="lt-LT"/>
              </w:rPr>
            </w:pPr>
            <w:r w:rsidRPr="00211E3B">
              <w:rPr>
                <w:sz w:val="22"/>
                <w:szCs w:val="22"/>
                <w:lang w:val="lt-LT"/>
              </w:rPr>
              <w:t>Labai dažnas</w:t>
            </w:r>
          </w:p>
        </w:tc>
        <w:tc>
          <w:tcPr>
            <w:tcW w:w="1250" w:type="pct"/>
            <w:tcBorders>
              <w:top w:val="single" w:sz="4" w:space="0" w:color="auto"/>
              <w:left w:val="single" w:sz="4" w:space="0" w:color="auto"/>
              <w:bottom w:val="single" w:sz="4" w:space="0" w:color="auto"/>
              <w:right w:val="single" w:sz="4" w:space="0" w:color="auto"/>
            </w:tcBorders>
            <w:hideMark/>
          </w:tcPr>
          <w:p w14:paraId="2A3F2567" w14:textId="7126AC47" w:rsidR="009E34BE" w:rsidRPr="009E34BE" w:rsidRDefault="00D8244A" w:rsidP="009E34BE">
            <w:pPr>
              <w:tabs>
                <w:tab w:val="left" w:pos="567"/>
              </w:tabs>
              <w:autoSpaceDE w:val="0"/>
              <w:autoSpaceDN w:val="0"/>
              <w:adjustRightInd w:val="0"/>
              <w:rPr>
                <w:sz w:val="22"/>
                <w:szCs w:val="22"/>
                <w:lang w:val="lt-LT"/>
              </w:rPr>
            </w:pPr>
            <w:r w:rsidRPr="00211E3B">
              <w:rPr>
                <w:sz w:val="22"/>
                <w:szCs w:val="22"/>
                <w:lang w:val="lt-LT"/>
              </w:rPr>
              <w:t>Dažnas</w:t>
            </w:r>
          </w:p>
        </w:tc>
      </w:tr>
      <w:tr w:rsidR="009E34BE" w:rsidRPr="009E34BE" w14:paraId="056BE8BE" w14:textId="77777777" w:rsidTr="009E34BE">
        <w:tc>
          <w:tcPr>
            <w:tcW w:w="1250" w:type="pct"/>
            <w:tcBorders>
              <w:top w:val="single" w:sz="4" w:space="0" w:color="auto"/>
              <w:left w:val="single" w:sz="4" w:space="0" w:color="auto"/>
              <w:bottom w:val="single" w:sz="4" w:space="0" w:color="auto"/>
              <w:right w:val="single" w:sz="4" w:space="0" w:color="auto"/>
            </w:tcBorders>
            <w:hideMark/>
          </w:tcPr>
          <w:p w14:paraId="082FF4A8" w14:textId="2DDC5154" w:rsidR="009E34BE" w:rsidRPr="009E34BE" w:rsidRDefault="008D266E" w:rsidP="009E34BE">
            <w:pPr>
              <w:tabs>
                <w:tab w:val="left" w:pos="567"/>
              </w:tabs>
              <w:autoSpaceDE w:val="0"/>
              <w:autoSpaceDN w:val="0"/>
              <w:adjustRightInd w:val="0"/>
              <w:rPr>
                <w:sz w:val="22"/>
                <w:szCs w:val="22"/>
                <w:lang w:val="lt-LT"/>
              </w:rPr>
            </w:pPr>
            <w:r w:rsidRPr="00211E3B">
              <w:rPr>
                <w:sz w:val="22"/>
                <w:szCs w:val="22"/>
                <w:lang w:val="lt-LT"/>
              </w:rPr>
              <w:t>Aspartataminotransferazės (AST) aktyvumo padidėjimas</w:t>
            </w:r>
          </w:p>
        </w:tc>
        <w:tc>
          <w:tcPr>
            <w:tcW w:w="1250" w:type="pct"/>
            <w:tcBorders>
              <w:top w:val="single" w:sz="4" w:space="0" w:color="auto"/>
              <w:left w:val="single" w:sz="4" w:space="0" w:color="auto"/>
              <w:bottom w:val="single" w:sz="4" w:space="0" w:color="auto"/>
              <w:right w:val="single" w:sz="4" w:space="0" w:color="auto"/>
            </w:tcBorders>
            <w:hideMark/>
          </w:tcPr>
          <w:p w14:paraId="32C992BF" w14:textId="2C31F886" w:rsidR="009E34BE" w:rsidRPr="009E34BE" w:rsidRDefault="00D8244A" w:rsidP="009E34BE">
            <w:pPr>
              <w:tabs>
                <w:tab w:val="left" w:pos="567"/>
              </w:tabs>
              <w:autoSpaceDE w:val="0"/>
              <w:autoSpaceDN w:val="0"/>
              <w:adjustRightInd w:val="0"/>
              <w:rPr>
                <w:sz w:val="22"/>
                <w:szCs w:val="22"/>
                <w:lang w:val="lt-LT"/>
              </w:rPr>
            </w:pPr>
            <w:r w:rsidRPr="00211E3B">
              <w:rPr>
                <w:sz w:val="22"/>
                <w:szCs w:val="22"/>
                <w:lang w:val="lt-LT"/>
              </w:rPr>
              <w:t>Dažnas</w:t>
            </w:r>
          </w:p>
        </w:tc>
        <w:tc>
          <w:tcPr>
            <w:tcW w:w="1250" w:type="pct"/>
            <w:tcBorders>
              <w:top w:val="single" w:sz="4" w:space="0" w:color="auto"/>
              <w:left w:val="single" w:sz="4" w:space="0" w:color="auto"/>
              <w:bottom w:val="single" w:sz="4" w:space="0" w:color="auto"/>
              <w:right w:val="single" w:sz="4" w:space="0" w:color="auto"/>
            </w:tcBorders>
            <w:hideMark/>
          </w:tcPr>
          <w:p w14:paraId="7A0F6853" w14:textId="742A22C0" w:rsidR="009E34BE" w:rsidRPr="009E34BE" w:rsidRDefault="00D8244A" w:rsidP="009E34BE">
            <w:pPr>
              <w:tabs>
                <w:tab w:val="left" w:pos="567"/>
              </w:tabs>
              <w:autoSpaceDE w:val="0"/>
              <w:autoSpaceDN w:val="0"/>
              <w:adjustRightInd w:val="0"/>
              <w:rPr>
                <w:sz w:val="22"/>
                <w:szCs w:val="22"/>
                <w:lang w:val="lt-LT"/>
              </w:rPr>
            </w:pPr>
            <w:r w:rsidRPr="00211E3B">
              <w:rPr>
                <w:sz w:val="22"/>
                <w:szCs w:val="22"/>
                <w:lang w:val="lt-LT"/>
              </w:rPr>
              <w:t>Dažnas</w:t>
            </w:r>
          </w:p>
        </w:tc>
        <w:tc>
          <w:tcPr>
            <w:tcW w:w="1250" w:type="pct"/>
            <w:tcBorders>
              <w:top w:val="single" w:sz="4" w:space="0" w:color="auto"/>
              <w:left w:val="single" w:sz="4" w:space="0" w:color="auto"/>
              <w:bottom w:val="single" w:sz="4" w:space="0" w:color="auto"/>
              <w:right w:val="single" w:sz="4" w:space="0" w:color="auto"/>
            </w:tcBorders>
            <w:hideMark/>
          </w:tcPr>
          <w:p w14:paraId="3C22282C" w14:textId="59BC718B" w:rsidR="009E34BE" w:rsidRPr="009E34BE" w:rsidRDefault="00D8244A" w:rsidP="009E34BE">
            <w:pPr>
              <w:tabs>
                <w:tab w:val="left" w:pos="567"/>
              </w:tabs>
              <w:autoSpaceDE w:val="0"/>
              <w:autoSpaceDN w:val="0"/>
              <w:adjustRightInd w:val="0"/>
              <w:rPr>
                <w:sz w:val="22"/>
                <w:szCs w:val="22"/>
                <w:lang w:val="lt-LT"/>
              </w:rPr>
            </w:pPr>
            <w:r w:rsidRPr="00211E3B">
              <w:rPr>
                <w:sz w:val="22"/>
                <w:szCs w:val="22"/>
                <w:lang w:val="lt-LT"/>
              </w:rPr>
              <w:t>Dažnas</w:t>
            </w:r>
          </w:p>
        </w:tc>
      </w:tr>
      <w:tr w:rsidR="009E34BE" w:rsidRPr="009E34BE" w14:paraId="131F9AAE" w14:textId="77777777" w:rsidTr="009E34BE">
        <w:tc>
          <w:tcPr>
            <w:tcW w:w="1250" w:type="pct"/>
            <w:tcBorders>
              <w:top w:val="single" w:sz="4" w:space="0" w:color="auto"/>
              <w:left w:val="single" w:sz="4" w:space="0" w:color="auto"/>
              <w:bottom w:val="single" w:sz="4" w:space="0" w:color="auto"/>
              <w:right w:val="single" w:sz="4" w:space="0" w:color="auto"/>
            </w:tcBorders>
            <w:hideMark/>
          </w:tcPr>
          <w:p w14:paraId="17CC82D0" w14:textId="7EC753E3" w:rsidR="009E34BE" w:rsidRPr="009E34BE" w:rsidRDefault="008D266E" w:rsidP="009E34BE">
            <w:pPr>
              <w:tabs>
                <w:tab w:val="left" w:pos="567"/>
              </w:tabs>
              <w:autoSpaceDE w:val="0"/>
              <w:autoSpaceDN w:val="0"/>
              <w:adjustRightInd w:val="0"/>
              <w:rPr>
                <w:sz w:val="22"/>
                <w:szCs w:val="22"/>
                <w:lang w:val="lt-LT"/>
              </w:rPr>
            </w:pPr>
            <w:r w:rsidRPr="00211E3B">
              <w:rPr>
                <w:sz w:val="22"/>
                <w:szCs w:val="22"/>
                <w:lang w:val="lt-LT"/>
              </w:rPr>
              <w:t>Gamaglutamiltransferazės (GGT) aktyvumo padidėjimas</w:t>
            </w:r>
          </w:p>
        </w:tc>
        <w:tc>
          <w:tcPr>
            <w:tcW w:w="1250" w:type="pct"/>
            <w:tcBorders>
              <w:top w:val="single" w:sz="4" w:space="0" w:color="auto"/>
              <w:left w:val="single" w:sz="4" w:space="0" w:color="auto"/>
              <w:bottom w:val="single" w:sz="4" w:space="0" w:color="auto"/>
              <w:right w:val="single" w:sz="4" w:space="0" w:color="auto"/>
            </w:tcBorders>
            <w:hideMark/>
          </w:tcPr>
          <w:p w14:paraId="1BC32B79" w14:textId="5B157232" w:rsidR="009E34BE" w:rsidRPr="009E34BE" w:rsidRDefault="00D8244A" w:rsidP="009E34BE">
            <w:pPr>
              <w:tabs>
                <w:tab w:val="left" w:pos="567"/>
              </w:tabs>
              <w:autoSpaceDE w:val="0"/>
              <w:autoSpaceDN w:val="0"/>
              <w:adjustRightInd w:val="0"/>
              <w:rPr>
                <w:sz w:val="22"/>
                <w:szCs w:val="22"/>
                <w:lang w:val="lt-LT"/>
              </w:rPr>
            </w:pPr>
            <w:r w:rsidRPr="00211E3B">
              <w:rPr>
                <w:sz w:val="22"/>
                <w:szCs w:val="22"/>
                <w:lang w:val="lt-LT"/>
              </w:rPr>
              <w:t>Dažnas</w:t>
            </w:r>
          </w:p>
        </w:tc>
        <w:tc>
          <w:tcPr>
            <w:tcW w:w="1250" w:type="pct"/>
            <w:tcBorders>
              <w:top w:val="single" w:sz="4" w:space="0" w:color="auto"/>
              <w:left w:val="single" w:sz="4" w:space="0" w:color="auto"/>
              <w:bottom w:val="single" w:sz="4" w:space="0" w:color="auto"/>
              <w:right w:val="single" w:sz="4" w:space="0" w:color="auto"/>
            </w:tcBorders>
            <w:hideMark/>
          </w:tcPr>
          <w:p w14:paraId="2967867E" w14:textId="5F11000F" w:rsidR="009E34BE" w:rsidRPr="009E34BE" w:rsidRDefault="00D8244A" w:rsidP="009E34BE">
            <w:pPr>
              <w:tabs>
                <w:tab w:val="left" w:pos="567"/>
              </w:tabs>
              <w:autoSpaceDE w:val="0"/>
              <w:autoSpaceDN w:val="0"/>
              <w:adjustRightInd w:val="0"/>
              <w:rPr>
                <w:sz w:val="22"/>
                <w:szCs w:val="22"/>
                <w:lang w:val="lt-LT"/>
              </w:rPr>
            </w:pPr>
            <w:r w:rsidRPr="00211E3B">
              <w:rPr>
                <w:sz w:val="22"/>
                <w:szCs w:val="22"/>
                <w:lang w:val="lt-LT"/>
              </w:rPr>
              <w:t>Dažnas</w:t>
            </w:r>
          </w:p>
        </w:tc>
        <w:tc>
          <w:tcPr>
            <w:tcW w:w="1250" w:type="pct"/>
            <w:tcBorders>
              <w:top w:val="single" w:sz="4" w:space="0" w:color="auto"/>
              <w:left w:val="single" w:sz="4" w:space="0" w:color="auto"/>
              <w:bottom w:val="single" w:sz="4" w:space="0" w:color="auto"/>
              <w:right w:val="single" w:sz="4" w:space="0" w:color="auto"/>
            </w:tcBorders>
            <w:hideMark/>
          </w:tcPr>
          <w:p w14:paraId="039F58D5" w14:textId="5EF659CD" w:rsidR="009E34BE" w:rsidRPr="009E34BE" w:rsidRDefault="00D8244A" w:rsidP="009E34BE">
            <w:pPr>
              <w:tabs>
                <w:tab w:val="left" w:pos="567"/>
              </w:tabs>
              <w:autoSpaceDE w:val="0"/>
              <w:autoSpaceDN w:val="0"/>
              <w:adjustRightInd w:val="0"/>
              <w:rPr>
                <w:sz w:val="22"/>
                <w:szCs w:val="22"/>
                <w:lang w:val="lt-LT"/>
              </w:rPr>
            </w:pPr>
            <w:r w:rsidRPr="00211E3B">
              <w:rPr>
                <w:sz w:val="22"/>
                <w:szCs w:val="22"/>
                <w:lang w:val="lt-LT"/>
              </w:rPr>
              <w:t>Dažnas</w:t>
            </w:r>
          </w:p>
        </w:tc>
      </w:tr>
      <w:tr w:rsidR="009E34BE" w:rsidRPr="009E34BE" w14:paraId="549FA5D9" w14:textId="77777777" w:rsidTr="009E34BE">
        <w:tc>
          <w:tcPr>
            <w:tcW w:w="1250" w:type="pct"/>
            <w:tcBorders>
              <w:top w:val="single" w:sz="4" w:space="0" w:color="auto"/>
              <w:left w:val="single" w:sz="4" w:space="0" w:color="auto"/>
              <w:bottom w:val="single" w:sz="4" w:space="0" w:color="auto"/>
              <w:right w:val="single" w:sz="4" w:space="0" w:color="auto"/>
            </w:tcBorders>
            <w:hideMark/>
          </w:tcPr>
          <w:p w14:paraId="3E7DBAA3" w14:textId="52737E5B" w:rsidR="009E34BE" w:rsidRPr="009E34BE" w:rsidRDefault="008D266E" w:rsidP="009E34BE">
            <w:pPr>
              <w:tabs>
                <w:tab w:val="left" w:pos="567"/>
              </w:tabs>
              <w:autoSpaceDE w:val="0"/>
              <w:autoSpaceDN w:val="0"/>
              <w:adjustRightInd w:val="0"/>
              <w:rPr>
                <w:sz w:val="22"/>
                <w:szCs w:val="22"/>
                <w:lang w:val="lt-LT"/>
              </w:rPr>
            </w:pPr>
            <w:r w:rsidRPr="00211E3B">
              <w:rPr>
                <w:sz w:val="22"/>
                <w:szCs w:val="22"/>
                <w:lang w:val="lt-LT"/>
              </w:rPr>
              <w:t>Hiperbilirubinemija</w:t>
            </w:r>
          </w:p>
        </w:tc>
        <w:tc>
          <w:tcPr>
            <w:tcW w:w="1250" w:type="pct"/>
            <w:tcBorders>
              <w:top w:val="single" w:sz="4" w:space="0" w:color="auto"/>
              <w:left w:val="single" w:sz="4" w:space="0" w:color="auto"/>
              <w:bottom w:val="single" w:sz="4" w:space="0" w:color="auto"/>
              <w:right w:val="single" w:sz="4" w:space="0" w:color="auto"/>
            </w:tcBorders>
            <w:hideMark/>
          </w:tcPr>
          <w:p w14:paraId="786DC63E" w14:textId="3D6B539C" w:rsidR="009E34BE" w:rsidRPr="009E34BE" w:rsidRDefault="00D8244A" w:rsidP="009E34BE">
            <w:pPr>
              <w:tabs>
                <w:tab w:val="left" w:pos="567"/>
              </w:tabs>
              <w:autoSpaceDE w:val="0"/>
              <w:autoSpaceDN w:val="0"/>
              <w:adjustRightInd w:val="0"/>
              <w:rPr>
                <w:sz w:val="22"/>
                <w:szCs w:val="22"/>
                <w:lang w:val="lt-LT"/>
              </w:rPr>
            </w:pPr>
            <w:r w:rsidRPr="00211E3B">
              <w:rPr>
                <w:sz w:val="22"/>
                <w:szCs w:val="22"/>
                <w:lang w:val="lt-LT"/>
              </w:rPr>
              <w:t>Nedažnas</w:t>
            </w:r>
          </w:p>
        </w:tc>
        <w:tc>
          <w:tcPr>
            <w:tcW w:w="1250" w:type="pct"/>
            <w:tcBorders>
              <w:top w:val="single" w:sz="4" w:space="0" w:color="auto"/>
              <w:left w:val="single" w:sz="4" w:space="0" w:color="auto"/>
              <w:bottom w:val="single" w:sz="4" w:space="0" w:color="auto"/>
              <w:right w:val="single" w:sz="4" w:space="0" w:color="auto"/>
            </w:tcBorders>
            <w:hideMark/>
          </w:tcPr>
          <w:p w14:paraId="265B4038" w14:textId="38010354" w:rsidR="009E34BE" w:rsidRPr="009E34BE" w:rsidRDefault="00D8244A" w:rsidP="009E34BE">
            <w:pPr>
              <w:tabs>
                <w:tab w:val="left" w:pos="567"/>
              </w:tabs>
              <w:autoSpaceDE w:val="0"/>
              <w:autoSpaceDN w:val="0"/>
              <w:adjustRightInd w:val="0"/>
              <w:rPr>
                <w:sz w:val="22"/>
                <w:szCs w:val="22"/>
                <w:lang w:val="lt-LT"/>
              </w:rPr>
            </w:pPr>
            <w:r w:rsidRPr="00211E3B">
              <w:rPr>
                <w:sz w:val="22"/>
                <w:szCs w:val="22"/>
                <w:lang w:val="lt-LT"/>
              </w:rPr>
              <w:t>Nedažnas</w:t>
            </w:r>
          </w:p>
        </w:tc>
        <w:tc>
          <w:tcPr>
            <w:tcW w:w="1250" w:type="pct"/>
            <w:tcBorders>
              <w:top w:val="single" w:sz="4" w:space="0" w:color="auto"/>
              <w:left w:val="single" w:sz="4" w:space="0" w:color="auto"/>
              <w:bottom w:val="single" w:sz="4" w:space="0" w:color="auto"/>
              <w:right w:val="single" w:sz="4" w:space="0" w:color="auto"/>
            </w:tcBorders>
            <w:hideMark/>
          </w:tcPr>
          <w:p w14:paraId="15BB7C63" w14:textId="0BE7F70F" w:rsidR="009E34BE" w:rsidRPr="009E34BE" w:rsidRDefault="00D8244A" w:rsidP="009E34BE">
            <w:pPr>
              <w:tabs>
                <w:tab w:val="left" w:pos="567"/>
              </w:tabs>
              <w:autoSpaceDE w:val="0"/>
              <w:autoSpaceDN w:val="0"/>
              <w:adjustRightInd w:val="0"/>
              <w:rPr>
                <w:sz w:val="22"/>
                <w:szCs w:val="22"/>
                <w:lang w:val="lt-LT"/>
              </w:rPr>
            </w:pPr>
            <w:r w:rsidRPr="00211E3B">
              <w:rPr>
                <w:sz w:val="22"/>
                <w:szCs w:val="22"/>
                <w:lang w:val="lt-LT"/>
              </w:rPr>
              <w:t>Nežinomas</w:t>
            </w:r>
          </w:p>
        </w:tc>
      </w:tr>
      <w:tr w:rsidR="009E34BE" w:rsidRPr="009E34BE" w14:paraId="6E9B109D" w14:textId="77777777" w:rsidTr="009E34BE">
        <w:tc>
          <w:tcPr>
            <w:tcW w:w="1250" w:type="pct"/>
            <w:tcBorders>
              <w:top w:val="single" w:sz="4" w:space="0" w:color="auto"/>
              <w:left w:val="single" w:sz="4" w:space="0" w:color="auto"/>
              <w:bottom w:val="single" w:sz="4" w:space="0" w:color="auto"/>
              <w:right w:val="single" w:sz="4" w:space="0" w:color="auto"/>
            </w:tcBorders>
            <w:hideMark/>
          </w:tcPr>
          <w:p w14:paraId="74770B36" w14:textId="2AC84D49" w:rsidR="009E34BE" w:rsidRPr="009E34BE" w:rsidRDefault="008D266E" w:rsidP="008D266E">
            <w:pPr>
              <w:tabs>
                <w:tab w:val="left" w:pos="567"/>
              </w:tabs>
              <w:autoSpaceDE w:val="0"/>
              <w:autoSpaceDN w:val="0"/>
              <w:adjustRightInd w:val="0"/>
              <w:rPr>
                <w:sz w:val="22"/>
                <w:szCs w:val="22"/>
                <w:lang w:val="lt-LT"/>
              </w:rPr>
            </w:pPr>
            <w:r w:rsidRPr="00211E3B">
              <w:rPr>
                <w:sz w:val="22"/>
                <w:szCs w:val="22"/>
                <w:lang w:val="lt-LT"/>
              </w:rPr>
              <w:t>Šarminės fosfatazės (ŠF) aktyvumo padidėjimas kraujyje</w:t>
            </w:r>
          </w:p>
        </w:tc>
        <w:tc>
          <w:tcPr>
            <w:tcW w:w="1250" w:type="pct"/>
            <w:tcBorders>
              <w:top w:val="single" w:sz="4" w:space="0" w:color="auto"/>
              <w:left w:val="single" w:sz="4" w:space="0" w:color="auto"/>
              <w:bottom w:val="single" w:sz="4" w:space="0" w:color="auto"/>
              <w:right w:val="single" w:sz="4" w:space="0" w:color="auto"/>
            </w:tcBorders>
            <w:hideMark/>
          </w:tcPr>
          <w:p w14:paraId="15F604C4" w14:textId="2F567B98" w:rsidR="009E34BE" w:rsidRPr="009E34BE" w:rsidRDefault="00D8244A" w:rsidP="009E34BE">
            <w:pPr>
              <w:tabs>
                <w:tab w:val="left" w:pos="567"/>
              </w:tabs>
              <w:autoSpaceDE w:val="0"/>
              <w:autoSpaceDN w:val="0"/>
              <w:adjustRightInd w:val="0"/>
              <w:rPr>
                <w:sz w:val="22"/>
                <w:szCs w:val="22"/>
                <w:lang w:val="lt-LT"/>
              </w:rPr>
            </w:pPr>
            <w:r w:rsidRPr="00211E3B">
              <w:rPr>
                <w:sz w:val="22"/>
                <w:szCs w:val="22"/>
                <w:lang w:val="lt-LT"/>
              </w:rPr>
              <w:t>Nedažnas</w:t>
            </w:r>
          </w:p>
        </w:tc>
        <w:tc>
          <w:tcPr>
            <w:tcW w:w="1250" w:type="pct"/>
            <w:tcBorders>
              <w:top w:val="single" w:sz="4" w:space="0" w:color="auto"/>
              <w:left w:val="single" w:sz="4" w:space="0" w:color="auto"/>
              <w:bottom w:val="single" w:sz="4" w:space="0" w:color="auto"/>
              <w:right w:val="single" w:sz="4" w:space="0" w:color="auto"/>
            </w:tcBorders>
            <w:hideMark/>
          </w:tcPr>
          <w:p w14:paraId="1A218748" w14:textId="4CBE9FED" w:rsidR="009E34BE" w:rsidRPr="009E34BE" w:rsidRDefault="00D8244A" w:rsidP="009E34BE">
            <w:pPr>
              <w:tabs>
                <w:tab w:val="left" w:pos="567"/>
              </w:tabs>
              <w:autoSpaceDE w:val="0"/>
              <w:autoSpaceDN w:val="0"/>
              <w:adjustRightInd w:val="0"/>
              <w:rPr>
                <w:sz w:val="22"/>
                <w:szCs w:val="22"/>
                <w:lang w:val="lt-LT"/>
              </w:rPr>
            </w:pPr>
            <w:r w:rsidRPr="00211E3B">
              <w:rPr>
                <w:sz w:val="22"/>
                <w:szCs w:val="22"/>
                <w:lang w:val="lt-LT"/>
              </w:rPr>
              <w:t>Dažnas</w:t>
            </w:r>
          </w:p>
        </w:tc>
        <w:tc>
          <w:tcPr>
            <w:tcW w:w="1250" w:type="pct"/>
            <w:tcBorders>
              <w:top w:val="single" w:sz="4" w:space="0" w:color="auto"/>
              <w:left w:val="single" w:sz="4" w:space="0" w:color="auto"/>
              <w:bottom w:val="single" w:sz="4" w:space="0" w:color="auto"/>
              <w:right w:val="single" w:sz="4" w:space="0" w:color="auto"/>
            </w:tcBorders>
            <w:hideMark/>
          </w:tcPr>
          <w:p w14:paraId="134F91DA" w14:textId="47734ACD" w:rsidR="009E34BE" w:rsidRPr="009E34BE" w:rsidRDefault="00D8244A" w:rsidP="009E34BE">
            <w:pPr>
              <w:tabs>
                <w:tab w:val="left" w:pos="567"/>
              </w:tabs>
              <w:autoSpaceDE w:val="0"/>
              <w:autoSpaceDN w:val="0"/>
              <w:adjustRightInd w:val="0"/>
              <w:rPr>
                <w:sz w:val="22"/>
                <w:szCs w:val="22"/>
                <w:lang w:val="lt-LT"/>
              </w:rPr>
            </w:pPr>
            <w:r w:rsidRPr="00211E3B">
              <w:rPr>
                <w:sz w:val="22"/>
                <w:szCs w:val="22"/>
                <w:lang w:val="lt-LT"/>
              </w:rPr>
              <w:t>Dažnas</w:t>
            </w:r>
          </w:p>
        </w:tc>
      </w:tr>
      <w:tr w:rsidR="009E34BE" w:rsidRPr="009E34BE" w14:paraId="24A9FFB5" w14:textId="77777777" w:rsidTr="009E34BE">
        <w:tc>
          <w:tcPr>
            <w:tcW w:w="5000" w:type="pct"/>
            <w:gridSpan w:val="4"/>
            <w:tcBorders>
              <w:top w:val="single" w:sz="4" w:space="0" w:color="auto"/>
              <w:left w:val="single" w:sz="4" w:space="0" w:color="auto"/>
              <w:bottom w:val="single" w:sz="4" w:space="0" w:color="auto"/>
              <w:right w:val="single" w:sz="4" w:space="0" w:color="auto"/>
            </w:tcBorders>
            <w:hideMark/>
          </w:tcPr>
          <w:p w14:paraId="4DD94E9F" w14:textId="0D8DD8AB" w:rsidR="009E34BE" w:rsidRPr="009E34BE" w:rsidRDefault="008D266E" w:rsidP="009E34BE">
            <w:pPr>
              <w:tabs>
                <w:tab w:val="left" w:pos="567"/>
              </w:tabs>
              <w:autoSpaceDE w:val="0"/>
              <w:autoSpaceDN w:val="0"/>
              <w:adjustRightInd w:val="0"/>
              <w:rPr>
                <w:b/>
                <w:sz w:val="22"/>
                <w:szCs w:val="22"/>
                <w:lang w:val="lt-LT"/>
              </w:rPr>
            </w:pPr>
            <w:r w:rsidRPr="00211E3B">
              <w:rPr>
                <w:b/>
                <w:sz w:val="22"/>
                <w:szCs w:val="22"/>
                <w:lang w:val="lt-LT"/>
              </w:rPr>
              <w:t>Odos ir poodinio audinio sutrikimai</w:t>
            </w:r>
          </w:p>
        </w:tc>
      </w:tr>
      <w:tr w:rsidR="009E34BE" w:rsidRPr="009E34BE" w14:paraId="014CCB72" w14:textId="77777777" w:rsidTr="009E34BE">
        <w:tc>
          <w:tcPr>
            <w:tcW w:w="1250" w:type="pct"/>
            <w:tcBorders>
              <w:top w:val="single" w:sz="4" w:space="0" w:color="auto"/>
              <w:left w:val="single" w:sz="4" w:space="0" w:color="auto"/>
              <w:bottom w:val="single" w:sz="4" w:space="0" w:color="auto"/>
              <w:right w:val="single" w:sz="4" w:space="0" w:color="auto"/>
            </w:tcBorders>
            <w:hideMark/>
          </w:tcPr>
          <w:p w14:paraId="28C38358" w14:textId="06506E28" w:rsidR="009E34BE" w:rsidRPr="009E34BE" w:rsidRDefault="008D266E" w:rsidP="009E34BE">
            <w:pPr>
              <w:tabs>
                <w:tab w:val="left" w:pos="567"/>
              </w:tabs>
              <w:autoSpaceDE w:val="0"/>
              <w:autoSpaceDN w:val="0"/>
              <w:adjustRightInd w:val="0"/>
              <w:rPr>
                <w:sz w:val="22"/>
                <w:szCs w:val="22"/>
                <w:lang w:val="lt-LT"/>
              </w:rPr>
            </w:pPr>
            <w:r w:rsidRPr="00211E3B">
              <w:rPr>
                <w:sz w:val="22"/>
                <w:szCs w:val="22"/>
                <w:lang w:val="lt-LT"/>
              </w:rPr>
              <w:t>Išbėrimas</w:t>
            </w:r>
          </w:p>
        </w:tc>
        <w:tc>
          <w:tcPr>
            <w:tcW w:w="1250" w:type="pct"/>
            <w:tcBorders>
              <w:top w:val="single" w:sz="4" w:space="0" w:color="auto"/>
              <w:left w:val="single" w:sz="4" w:space="0" w:color="auto"/>
              <w:bottom w:val="single" w:sz="4" w:space="0" w:color="auto"/>
              <w:right w:val="single" w:sz="4" w:space="0" w:color="auto"/>
            </w:tcBorders>
            <w:hideMark/>
          </w:tcPr>
          <w:p w14:paraId="6F929079" w14:textId="5C72AD3F" w:rsidR="009E34BE" w:rsidRPr="009E34BE" w:rsidRDefault="00D8244A" w:rsidP="009E34BE">
            <w:pPr>
              <w:tabs>
                <w:tab w:val="left" w:pos="567"/>
              </w:tabs>
              <w:autoSpaceDE w:val="0"/>
              <w:autoSpaceDN w:val="0"/>
              <w:adjustRightInd w:val="0"/>
              <w:rPr>
                <w:sz w:val="22"/>
                <w:szCs w:val="22"/>
                <w:lang w:val="lt-LT"/>
              </w:rPr>
            </w:pPr>
            <w:r w:rsidRPr="00211E3B">
              <w:rPr>
                <w:sz w:val="22"/>
                <w:szCs w:val="22"/>
                <w:lang w:val="lt-LT"/>
              </w:rPr>
              <w:t>Dažnas</w:t>
            </w:r>
          </w:p>
        </w:tc>
        <w:tc>
          <w:tcPr>
            <w:tcW w:w="1250" w:type="pct"/>
            <w:tcBorders>
              <w:top w:val="single" w:sz="4" w:space="0" w:color="auto"/>
              <w:left w:val="single" w:sz="4" w:space="0" w:color="auto"/>
              <w:bottom w:val="single" w:sz="4" w:space="0" w:color="auto"/>
              <w:right w:val="single" w:sz="4" w:space="0" w:color="auto"/>
            </w:tcBorders>
            <w:hideMark/>
          </w:tcPr>
          <w:p w14:paraId="64BD5310" w14:textId="140EC799" w:rsidR="009E34BE" w:rsidRPr="009E34BE" w:rsidRDefault="00D8244A" w:rsidP="009E34BE">
            <w:pPr>
              <w:tabs>
                <w:tab w:val="left" w:pos="567"/>
              </w:tabs>
              <w:autoSpaceDE w:val="0"/>
              <w:autoSpaceDN w:val="0"/>
              <w:adjustRightInd w:val="0"/>
              <w:rPr>
                <w:sz w:val="22"/>
                <w:szCs w:val="22"/>
                <w:lang w:val="lt-LT"/>
              </w:rPr>
            </w:pPr>
            <w:r w:rsidRPr="00211E3B">
              <w:rPr>
                <w:sz w:val="22"/>
                <w:szCs w:val="22"/>
                <w:lang w:val="lt-LT"/>
              </w:rPr>
              <w:t>Dažnas</w:t>
            </w:r>
          </w:p>
        </w:tc>
        <w:tc>
          <w:tcPr>
            <w:tcW w:w="1250" w:type="pct"/>
            <w:tcBorders>
              <w:top w:val="single" w:sz="4" w:space="0" w:color="auto"/>
              <w:left w:val="single" w:sz="4" w:space="0" w:color="auto"/>
              <w:bottom w:val="single" w:sz="4" w:space="0" w:color="auto"/>
              <w:right w:val="single" w:sz="4" w:space="0" w:color="auto"/>
            </w:tcBorders>
            <w:hideMark/>
          </w:tcPr>
          <w:p w14:paraId="4E28763C" w14:textId="0706FEDF" w:rsidR="009E34BE" w:rsidRPr="009E34BE" w:rsidRDefault="00D8244A" w:rsidP="009E34BE">
            <w:pPr>
              <w:tabs>
                <w:tab w:val="left" w:pos="567"/>
              </w:tabs>
              <w:autoSpaceDE w:val="0"/>
              <w:autoSpaceDN w:val="0"/>
              <w:adjustRightInd w:val="0"/>
              <w:rPr>
                <w:sz w:val="22"/>
                <w:szCs w:val="22"/>
                <w:lang w:val="lt-LT"/>
              </w:rPr>
            </w:pPr>
            <w:r w:rsidRPr="00211E3B">
              <w:rPr>
                <w:sz w:val="22"/>
                <w:szCs w:val="22"/>
                <w:lang w:val="lt-LT"/>
              </w:rPr>
              <w:t>Nedažnas</w:t>
            </w:r>
          </w:p>
        </w:tc>
      </w:tr>
      <w:tr w:rsidR="009E34BE" w:rsidRPr="009E34BE" w14:paraId="612791D7" w14:textId="77777777" w:rsidTr="009E34BE">
        <w:tc>
          <w:tcPr>
            <w:tcW w:w="1250" w:type="pct"/>
            <w:tcBorders>
              <w:top w:val="single" w:sz="4" w:space="0" w:color="auto"/>
              <w:left w:val="single" w:sz="4" w:space="0" w:color="auto"/>
              <w:bottom w:val="single" w:sz="4" w:space="0" w:color="auto"/>
              <w:right w:val="single" w:sz="4" w:space="0" w:color="auto"/>
            </w:tcBorders>
            <w:hideMark/>
          </w:tcPr>
          <w:p w14:paraId="7A257A40" w14:textId="4219DBAD" w:rsidR="009E34BE" w:rsidRPr="009E34BE" w:rsidRDefault="008D266E" w:rsidP="009E34BE">
            <w:pPr>
              <w:tabs>
                <w:tab w:val="left" w:pos="567"/>
              </w:tabs>
              <w:autoSpaceDE w:val="0"/>
              <w:autoSpaceDN w:val="0"/>
              <w:adjustRightInd w:val="0"/>
              <w:rPr>
                <w:sz w:val="22"/>
                <w:szCs w:val="22"/>
                <w:lang w:val="lt-LT"/>
              </w:rPr>
            </w:pPr>
            <w:r w:rsidRPr="00211E3B">
              <w:rPr>
                <w:sz w:val="22"/>
                <w:szCs w:val="22"/>
                <w:lang w:val="lt-LT"/>
              </w:rPr>
              <w:t>Niežėjimas</w:t>
            </w:r>
          </w:p>
        </w:tc>
        <w:tc>
          <w:tcPr>
            <w:tcW w:w="1250" w:type="pct"/>
            <w:tcBorders>
              <w:top w:val="single" w:sz="4" w:space="0" w:color="auto"/>
              <w:left w:val="single" w:sz="4" w:space="0" w:color="auto"/>
              <w:bottom w:val="single" w:sz="4" w:space="0" w:color="auto"/>
              <w:right w:val="single" w:sz="4" w:space="0" w:color="auto"/>
            </w:tcBorders>
            <w:hideMark/>
          </w:tcPr>
          <w:p w14:paraId="0ACFDF0B" w14:textId="01977543" w:rsidR="009E34BE" w:rsidRPr="009E34BE" w:rsidRDefault="00D8244A" w:rsidP="009E34BE">
            <w:pPr>
              <w:tabs>
                <w:tab w:val="left" w:pos="567"/>
              </w:tabs>
              <w:autoSpaceDE w:val="0"/>
              <w:autoSpaceDN w:val="0"/>
              <w:adjustRightInd w:val="0"/>
              <w:rPr>
                <w:sz w:val="22"/>
                <w:szCs w:val="22"/>
                <w:lang w:val="lt-LT"/>
              </w:rPr>
            </w:pPr>
            <w:r w:rsidRPr="00211E3B">
              <w:rPr>
                <w:sz w:val="22"/>
                <w:szCs w:val="22"/>
                <w:lang w:val="lt-LT"/>
              </w:rPr>
              <w:t>Nedažnas</w:t>
            </w:r>
          </w:p>
        </w:tc>
        <w:tc>
          <w:tcPr>
            <w:tcW w:w="1250" w:type="pct"/>
            <w:tcBorders>
              <w:top w:val="single" w:sz="4" w:space="0" w:color="auto"/>
              <w:left w:val="single" w:sz="4" w:space="0" w:color="auto"/>
              <w:bottom w:val="single" w:sz="4" w:space="0" w:color="auto"/>
              <w:right w:val="single" w:sz="4" w:space="0" w:color="auto"/>
            </w:tcBorders>
            <w:hideMark/>
          </w:tcPr>
          <w:p w14:paraId="63AC5653" w14:textId="2D52FA6A" w:rsidR="009E34BE" w:rsidRPr="009E34BE" w:rsidRDefault="00D8244A" w:rsidP="009E34BE">
            <w:pPr>
              <w:tabs>
                <w:tab w:val="left" w:pos="567"/>
              </w:tabs>
              <w:autoSpaceDE w:val="0"/>
              <w:autoSpaceDN w:val="0"/>
              <w:adjustRightInd w:val="0"/>
              <w:rPr>
                <w:sz w:val="22"/>
                <w:szCs w:val="22"/>
                <w:lang w:val="lt-LT"/>
              </w:rPr>
            </w:pPr>
            <w:r w:rsidRPr="00211E3B">
              <w:rPr>
                <w:sz w:val="22"/>
                <w:szCs w:val="22"/>
                <w:lang w:val="lt-LT"/>
              </w:rPr>
              <w:t>Nedažnas</w:t>
            </w:r>
          </w:p>
        </w:tc>
        <w:tc>
          <w:tcPr>
            <w:tcW w:w="1250" w:type="pct"/>
            <w:tcBorders>
              <w:top w:val="single" w:sz="4" w:space="0" w:color="auto"/>
              <w:left w:val="single" w:sz="4" w:space="0" w:color="auto"/>
              <w:bottom w:val="single" w:sz="4" w:space="0" w:color="auto"/>
              <w:right w:val="single" w:sz="4" w:space="0" w:color="auto"/>
            </w:tcBorders>
            <w:hideMark/>
          </w:tcPr>
          <w:p w14:paraId="6578AA3B" w14:textId="12DF3F79" w:rsidR="009E34BE" w:rsidRPr="009E34BE" w:rsidRDefault="00D8244A" w:rsidP="009E34BE">
            <w:pPr>
              <w:tabs>
                <w:tab w:val="left" w:pos="567"/>
              </w:tabs>
              <w:autoSpaceDE w:val="0"/>
              <w:autoSpaceDN w:val="0"/>
              <w:adjustRightInd w:val="0"/>
              <w:rPr>
                <w:sz w:val="22"/>
                <w:szCs w:val="22"/>
                <w:lang w:val="lt-LT"/>
              </w:rPr>
            </w:pPr>
            <w:r w:rsidRPr="00211E3B">
              <w:rPr>
                <w:sz w:val="22"/>
                <w:szCs w:val="22"/>
                <w:lang w:val="lt-LT"/>
              </w:rPr>
              <w:t>Nedažnas</w:t>
            </w:r>
          </w:p>
        </w:tc>
      </w:tr>
      <w:tr w:rsidR="009E34BE" w:rsidRPr="009E34BE" w14:paraId="4A17B6A3" w14:textId="77777777" w:rsidTr="009E34BE">
        <w:tc>
          <w:tcPr>
            <w:tcW w:w="1250" w:type="pct"/>
            <w:tcBorders>
              <w:top w:val="single" w:sz="4" w:space="0" w:color="auto"/>
              <w:left w:val="single" w:sz="4" w:space="0" w:color="auto"/>
              <w:bottom w:val="single" w:sz="4" w:space="0" w:color="auto"/>
              <w:right w:val="single" w:sz="4" w:space="0" w:color="auto"/>
            </w:tcBorders>
            <w:hideMark/>
          </w:tcPr>
          <w:p w14:paraId="4612E156" w14:textId="485D2812" w:rsidR="009E34BE" w:rsidRPr="009E34BE" w:rsidRDefault="008D266E" w:rsidP="009E34BE">
            <w:pPr>
              <w:tabs>
                <w:tab w:val="left" w:pos="567"/>
              </w:tabs>
              <w:autoSpaceDE w:val="0"/>
              <w:autoSpaceDN w:val="0"/>
              <w:adjustRightInd w:val="0"/>
              <w:rPr>
                <w:sz w:val="22"/>
                <w:szCs w:val="22"/>
                <w:lang w:val="lt-LT"/>
              </w:rPr>
            </w:pPr>
            <w:r w:rsidRPr="00211E3B">
              <w:rPr>
                <w:sz w:val="22"/>
                <w:szCs w:val="22"/>
                <w:lang w:val="lt-LT"/>
              </w:rPr>
              <w:t>Alopecija</w:t>
            </w:r>
          </w:p>
        </w:tc>
        <w:tc>
          <w:tcPr>
            <w:tcW w:w="1250" w:type="pct"/>
            <w:tcBorders>
              <w:top w:val="single" w:sz="4" w:space="0" w:color="auto"/>
              <w:left w:val="single" w:sz="4" w:space="0" w:color="auto"/>
              <w:bottom w:val="single" w:sz="4" w:space="0" w:color="auto"/>
              <w:right w:val="single" w:sz="4" w:space="0" w:color="auto"/>
            </w:tcBorders>
            <w:hideMark/>
          </w:tcPr>
          <w:p w14:paraId="5D5B8039" w14:textId="300A45D9" w:rsidR="009E34BE" w:rsidRPr="009E34BE" w:rsidRDefault="00D8244A" w:rsidP="009E34BE">
            <w:pPr>
              <w:tabs>
                <w:tab w:val="left" w:pos="567"/>
              </w:tabs>
              <w:autoSpaceDE w:val="0"/>
              <w:autoSpaceDN w:val="0"/>
              <w:adjustRightInd w:val="0"/>
              <w:rPr>
                <w:sz w:val="22"/>
                <w:szCs w:val="22"/>
                <w:lang w:val="lt-LT"/>
              </w:rPr>
            </w:pPr>
            <w:r w:rsidRPr="00211E3B">
              <w:rPr>
                <w:sz w:val="22"/>
                <w:szCs w:val="22"/>
                <w:lang w:val="lt-LT"/>
              </w:rPr>
              <w:t>Nedažnas</w:t>
            </w:r>
          </w:p>
        </w:tc>
        <w:tc>
          <w:tcPr>
            <w:tcW w:w="1250" w:type="pct"/>
            <w:tcBorders>
              <w:top w:val="single" w:sz="4" w:space="0" w:color="auto"/>
              <w:left w:val="single" w:sz="4" w:space="0" w:color="auto"/>
              <w:bottom w:val="single" w:sz="4" w:space="0" w:color="auto"/>
              <w:right w:val="single" w:sz="4" w:space="0" w:color="auto"/>
            </w:tcBorders>
            <w:hideMark/>
          </w:tcPr>
          <w:p w14:paraId="1A52FEB3" w14:textId="7A8EF995" w:rsidR="009E34BE" w:rsidRPr="009E34BE" w:rsidRDefault="00D8244A" w:rsidP="009E34BE">
            <w:pPr>
              <w:tabs>
                <w:tab w:val="left" w:pos="567"/>
              </w:tabs>
              <w:autoSpaceDE w:val="0"/>
              <w:autoSpaceDN w:val="0"/>
              <w:adjustRightInd w:val="0"/>
              <w:rPr>
                <w:sz w:val="22"/>
                <w:szCs w:val="22"/>
                <w:lang w:val="lt-LT"/>
              </w:rPr>
            </w:pPr>
            <w:r w:rsidRPr="00211E3B">
              <w:rPr>
                <w:sz w:val="22"/>
                <w:szCs w:val="22"/>
                <w:lang w:val="lt-LT"/>
              </w:rPr>
              <w:t>Nedažnas</w:t>
            </w:r>
          </w:p>
        </w:tc>
        <w:tc>
          <w:tcPr>
            <w:tcW w:w="1250" w:type="pct"/>
            <w:tcBorders>
              <w:top w:val="single" w:sz="4" w:space="0" w:color="auto"/>
              <w:left w:val="single" w:sz="4" w:space="0" w:color="auto"/>
              <w:bottom w:val="single" w:sz="4" w:space="0" w:color="auto"/>
              <w:right w:val="single" w:sz="4" w:space="0" w:color="auto"/>
            </w:tcBorders>
            <w:hideMark/>
          </w:tcPr>
          <w:p w14:paraId="7D01D365" w14:textId="0A9BD38F" w:rsidR="009E34BE" w:rsidRPr="009E34BE" w:rsidRDefault="00D8244A" w:rsidP="009E34BE">
            <w:pPr>
              <w:tabs>
                <w:tab w:val="left" w:pos="567"/>
              </w:tabs>
              <w:autoSpaceDE w:val="0"/>
              <w:autoSpaceDN w:val="0"/>
              <w:adjustRightInd w:val="0"/>
              <w:rPr>
                <w:sz w:val="22"/>
                <w:szCs w:val="22"/>
                <w:lang w:val="lt-LT"/>
              </w:rPr>
            </w:pPr>
            <w:r w:rsidRPr="00211E3B">
              <w:rPr>
                <w:sz w:val="22"/>
                <w:szCs w:val="22"/>
                <w:lang w:val="lt-LT"/>
              </w:rPr>
              <w:t>Nežinomas</w:t>
            </w:r>
          </w:p>
        </w:tc>
      </w:tr>
      <w:tr w:rsidR="009E34BE" w:rsidRPr="009E34BE" w14:paraId="78C09483" w14:textId="77777777" w:rsidTr="009E34BE">
        <w:tc>
          <w:tcPr>
            <w:tcW w:w="5000" w:type="pct"/>
            <w:gridSpan w:val="4"/>
            <w:tcBorders>
              <w:top w:val="single" w:sz="4" w:space="0" w:color="auto"/>
              <w:left w:val="single" w:sz="4" w:space="0" w:color="auto"/>
              <w:bottom w:val="single" w:sz="4" w:space="0" w:color="auto"/>
              <w:right w:val="single" w:sz="4" w:space="0" w:color="auto"/>
            </w:tcBorders>
            <w:hideMark/>
          </w:tcPr>
          <w:p w14:paraId="0AC66941" w14:textId="1DA9EAD3" w:rsidR="009E34BE" w:rsidRPr="009E34BE" w:rsidRDefault="008D266E" w:rsidP="009E34BE">
            <w:pPr>
              <w:tabs>
                <w:tab w:val="left" w:pos="567"/>
              </w:tabs>
              <w:autoSpaceDE w:val="0"/>
              <w:autoSpaceDN w:val="0"/>
              <w:adjustRightInd w:val="0"/>
              <w:rPr>
                <w:b/>
                <w:bCs/>
                <w:sz w:val="22"/>
                <w:szCs w:val="22"/>
                <w:lang w:val="lt-LT"/>
              </w:rPr>
            </w:pPr>
            <w:r w:rsidRPr="00211E3B">
              <w:rPr>
                <w:b/>
                <w:bCs/>
                <w:sz w:val="22"/>
                <w:szCs w:val="22"/>
                <w:lang w:val="lt-LT"/>
              </w:rPr>
              <w:t>Inkstų ir šlapimo takų sutrikimai</w:t>
            </w:r>
          </w:p>
        </w:tc>
      </w:tr>
      <w:tr w:rsidR="009E34BE" w:rsidRPr="009E34BE" w14:paraId="036A9F78" w14:textId="77777777" w:rsidTr="009E34BE">
        <w:tc>
          <w:tcPr>
            <w:tcW w:w="1250" w:type="pct"/>
            <w:tcBorders>
              <w:top w:val="single" w:sz="4" w:space="0" w:color="auto"/>
              <w:left w:val="single" w:sz="4" w:space="0" w:color="auto"/>
              <w:bottom w:val="single" w:sz="4" w:space="0" w:color="auto"/>
              <w:right w:val="single" w:sz="4" w:space="0" w:color="auto"/>
            </w:tcBorders>
            <w:hideMark/>
          </w:tcPr>
          <w:p w14:paraId="0F0E64BF" w14:textId="1588F032" w:rsidR="009E34BE" w:rsidRPr="009E34BE" w:rsidRDefault="008D266E" w:rsidP="008D266E">
            <w:pPr>
              <w:tabs>
                <w:tab w:val="left" w:pos="567"/>
              </w:tabs>
              <w:autoSpaceDE w:val="0"/>
              <w:autoSpaceDN w:val="0"/>
              <w:adjustRightInd w:val="0"/>
              <w:rPr>
                <w:sz w:val="22"/>
                <w:szCs w:val="22"/>
                <w:lang w:val="lt-LT"/>
              </w:rPr>
            </w:pPr>
            <w:r w:rsidRPr="00211E3B">
              <w:rPr>
                <w:sz w:val="22"/>
                <w:szCs w:val="22"/>
                <w:lang w:val="lt-LT"/>
              </w:rPr>
              <w:t>Inkstų nepakankamumas (žr. 4.4 skyrių)</w:t>
            </w:r>
          </w:p>
        </w:tc>
        <w:tc>
          <w:tcPr>
            <w:tcW w:w="1250" w:type="pct"/>
            <w:tcBorders>
              <w:top w:val="single" w:sz="4" w:space="0" w:color="auto"/>
              <w:left w:val="single" w:sz="4" w:space="0" w:color="auto"/>
              <w:bottom w:val="single" w:sz="4" w:space="0" w:color="auto"/>
              <w:right w:val="single" w:sz="4" w:space="0" w:color="auto"/>
            </w:tcBorders>
            <w:hideMark/>
          </w:tcPr>
          <w:p w14:paraId="363BB04E" w14:textId="685401D2" w:rsidR="009E34BE" w:rsidRPr="009E34BE" w:rsidRDefault="00D8244A" w:rsidP="009E34BE">
            <w:pPr>
              <w:tabs>
                <w:tab w:val="left" w:pos="567"/>
              </w:tabs>
              <w:autoSpaceDE w:val="0"/>
              <w:autoSpaceDN w:val="0"/>
              <w:adjustRightInd w:val="0"/>
              <w:rPr>
                <w:sz w:val="22"/>
                <w:szCs w:val="22"/>
                <w:lang w:val="lt-LT"/>
              </w:rPr>
            </w:pPr>
            <w:r w:rsidRPr="00211E3B">
              <w:rPr>
                <w:sz w:val="22"/>
                <w:szCs w:val="22"/>
                <w:lang w:val="lt-LT"/>
              </w:rPr>
              <w:t>Nežinomas</w:t>
            </w:r>
          </w:p>
        </w:tc>
        <w:tc>
          <w:tcPr>
            <w:tcW w:w="1250" w:type="pct"/>
            <w:tcBorders>
              <w:top w:val="single" w:sz="4" w:space="0" w:color="auto"/>
              <w:left w:val="single" w:sz="4" w:space="0" w:color="auto"/>
              <w:bottom w:val="single" w:sz="4" w:space="0" w:color="auto"/>
              <w:right w:val="single" w:sz="4" w:space="0" w:color="auto"/>
            </w:tcBorders>
            <w:hideMark/>
          </w:tcPr>
          <w:p w14:paraId="2AE76DAA" w14:textId="3D7C25FA" w:rsidR="009E34BE" w:rsidRPr="009E34BE" w:rsidRDefault="00D8244A" w:rsidP="009E34BE">
            <w:pPr>
              <w:tabs>
                <w:tab w:val="left" w:pos="567"/>
              </w:tabs>
              <w:autoSpaceDE w:val="0"/>
              <w:autoSpaceDN w:val="0"/>
              <w:adjustRightInd w:val="0"/>
              <w:rPr>
                <w:sz w:val="22"/>
                <w:szCs w:val="22"/>
                <w:lang w:val="lt-LT"/>
              </w:rPr>
            </w:pPr>
            <w:r w:rsidRPr="00211E3B">
              <w:rPr>
                <w:sz w:val="22"/>
                <w:szCs w:val="22"/>
                <w:lang w:val="lt-LT"/>
              </w:rPr>
              <w:t>Nežinomas</w:t>
            </w:r>
          </w:p>
        </w:tc>
        <w:tc>
          <w:tcPr>
            <w:tcW w:w="1250" w:type="pct"/>
            <w:tcBorders>
              <w:top w:val="single" w:sz="4" w:space="0" w:color="auto"/>
              <w:left w:val="single" w:sz="4" w:space="0" w:color="auto"/>
              <w:bottom w:val="single" w:sz="4" w:space="0" w:color="auto"/>
              <w:right w:val="single" w:sz="4" w:space="0" w:color="auto"/>
            </w:tcBorders>
            <w:hideMark/>
          </w:tcPr>
          <w:p w14:paraId="0B66D79F" w14:textId="41EB5151" w:rsidR="009E34BE" w:rsidRPr="009E34BE" w:rsidRDefault="00D8244A" w:rsidP="009E34BE">
            <w:pPr>
              <w:tabs>
                <w:tab w:val="left" w:pos="567"/>
              </w:tabs>
              <w:autoSpaceDE w:val="0"/>
              <w:autoSpaceDN w:val="0"/>
              <w:adjustRightInd w:val="0"/>
              <w:rPr>
                <w:sz w:val="22"/>
                <w:szCs w:val="22"/>
                <w:lang w:val="lt-LT"/>
              </w:rPr>
            </w:pPr>
            <w:r w:rsidRPr="00211E3B">
              <w:rPr>
                <w:sz w:val="22"/>
                <w:szCs w:val="22"/>
                <w:lang w:val="lt-LT"/>
              </w:rPr>
              <w:t>Nedažnas</w:t>
            </w:r>
          </w:p>
        </w:tc>
      </w:tr>
      <w:tr w:rsidR="009E34BE" w:rsidRPr="009E34BE" w14:paraId="21E747F1" w14:textId="77777777" w:rsidTr="009E34BE">
        <w:tc>
          <w:tcPr>
            <w:tcW w:w="1250" w:type="pct"/>
            <w:tcBorders>
              <w:top w:val="single" w:sz="4" w:space="0" w:color="auto"/>
              <w:left w:val="single" w:sz="4" w:space="0" w:color="auto"/>
              <w:bottom w:val="single" w:sz="4" w:space="0" w:color="auto"/>
              <w:right w:val="single" w:sz="4" w:space="0" w:color="auto"/>
            </w:tcBorders>
            <w:hideMark/>
          </w:tcPr>
          <w:p w14:paraId="2C74749E" w14:textId="41736250" w:rsidR="009E34BE" w:rsidRPr="009E34BE" w:rsidRDefault="009E34BE" w:rsidP="009E34BE">
            <w:pPr>
              <w:tabs>
                <w:tab w:val="left" w:pos="567"/>
              </w:tabs>
              <w:autoSpaceDE w:val="0"/>
              <w:autoSpaceDN w:val="0"/>
              <w:adjustRightInd w:val="0"/>
              <w:rPr>
                <w:sz w:val="22"/>
                <w:szCs w:val="22"/>
                <w:lang w:val="lt-LT"/>
              </w:rPr>
            </w:pPr>
            <w:r w:rsidRPr="009E34BE">
              <w:rPr>
                <w:sz w:val="22"/>
                <w:szCs w:val="22"/>
                <w:lang w:val="lt-LT"/>
              </w:rPr>
              <w:t>Proteinuri</w:t>
            </w:r>
            <w:r w:rsidR="008D266E" w:rsidRPr="00211E3B">
              <w:rPr>
                <w:sz w:val="22"/>
                <w:szCs w:val="22"/>
                <w:lang w:val="lt-LT"/>
              </w:rPr>
              <w:t>j</w:t>
            </w:r>
            <w:r w:rsidRPr="009E34BE">
              <w:rPr>
                <w:sz w:val="22"/>
                <w:szCs w:val="22"/>
                <w:lang w:val="lt-LT"/>
              </w:rPr>
              <w:t>a</w:t>
            </w:r>
          </w:p>
        </w:tc>
        <w:tc>
          <w:tcPr>
            <w:tcW w:w="1250" w:type="pct"/>
            <w:tcBorders>
              <w:top w:val="single" w:sz="4" w:space="0" w:color="auto"/>
              <w:left w:val="single" w:sz="4" w:space="0" w:color="auto"/>
              <w:bottom w:val="single" w:sz="4" w:space="0" w:color="auto"/>
              <w:right w:val="single" w:sz="4" w:space="0" w:color="auto"/>
            </w:tcBorders>
            <w:hideMark/>
          </w:tcPr>
          <w:p w14:paraId="0AAAA9D1" w14:textId="1400A79C" w:rsidR="009E34BE" w:rsidRPr="009E34BE" w:rsidRDefault="00D8244A" w:rsidP="009E34BE">
            <w:pPr>
              <w:tabs>
                <w:tab w:val="left" w:pos="567"/>
              </w:tabs>
              <w:autoSpaceDE w:val="0"/>
              <w:autoSpaceDN w:val="0"/>
              <w:adjustRightInd w:val="0"/>
              <w:rPr>
                <w:sz w:val="22"/>
                <w:szCs w:val="22"/>
                <w:lang w:val="lt-LT"/>
              </w:rPr>
            </w:pPr>
            <w:r w:rsidRPr="00211E3B">
              <w:rPr>
                <w:sz w:val="22"/>
                <w:szCs w:val="22"/>
                <w:lang w:val="lt-LT"/>
              </w:rPr>
              <w:t>Nedažnas</w:t>
            </w:r>
          </w:p>
        </w:tc>
        <w:tc>
          <w:tcPr>
            <w:tcW w:w="1250" w:type="pct"/>
            <w:tcBorders>
              <w:top w:val="single" w:sz="4" w:space="0" w:color="auto"/>
              <w:left w:val="single" w:sz="4" w:space="0" w:color="auto"/>
              <w:bottom w:val="single" w:sz="4" w:space="0" w:color="auto"/>
              <w:right w:val="single" w:sz="4" w:space="0" w:color="auto"/>
            </w:tcBorders>
            <w:hideMark/>
          </w:tcPr>
          <w:p w14:paraId="5041774A" w14:textId="1ED679BB" w:rsidR="009E34BE" w:rsidRPr="009E34BE" w:rsidRDefault="00D8244A" w:rsidP="009E34BE">
            <w:pPr>
              <w:tabs>
                <w:tab w:val="left" w:pos="567"/>
              </w:tabs>
              <w:autoSpaceDE w:val="0"/>
              <w:autoSpaceDN w:val="0"/>
              <w:adjustRightInd w:val="0"/>
              <w:rPr>
                <w:sz w:val="22"/>
                <w:szCs w:val="22"/>
                <w:lang w:val="lt-LT"/>
              </w:rPr>
            </w:pPr>
            <w:r w:rsidRPr="00211E3B">
              <w:rPr>
                <w:sz w:val="22"/>
                <w:szCs w:val="22"/>
                <w:lang w:val="lt-LT"/>
              </w:rPr>
              <w:t>Nedažnas</w:t>
            </w:r>
          </w:p>
        </w:tc>
        <w:tc>
          <w:tcPr>
            <w:tcW w:w="1250" w:type="pct"/>
            <w:tcBorders>
              <w:top w:val="single" w:sz="4" w:space="0" w:color="auto"/>
              <w:left w:val="single" w:sz="4" w:space="0" w:color="auto"/>
              <w:bottom w:val="single" w:sz="4" w:space="0" w:color="auto"/>
              <w:right w:val="single" w:sz="4" w:space="0" w:color="auto"/>
            </w:tcBorders>
            <w:hideMark/>
          </w:tcPr>
          <w:p w14:paraId="7A8A2CD8" w14:textId="7DDAB945" w:rsidR="009E34BE" w:rsidRPr="009E34BE" w:rsidRDefault="00D8244A" w:rsidP="009E34BE">
            <w:pPr>
              <w:tabs>
                <w:tab w:val="left" w:pos="567"/>
              </w:tabs>
              <w:autoSpaceDE w:val="0"/>
              <w:autoSpaceDN w:val="0"/>
              <w:adjustRightInd w:val="0"/>
              <w:rPr>
                <w:sz w:val="22"/>
                <w:szCs w:val="22"/>
                <w:lang w:val="lt-LT"/>
              </w:rPr>
            </w:pPr>
            <w:r w:rsidRPr="00211E3B">
              <w:rPr>
                <w:sz w:val="22"/>
                <w:szCs w:val="22"/>
                <w:lang w:val="lt-LT"/>
              </w:rPr>
              <w:t>Nežinomas</w:t>
            </w:r>
          </w:p>
        </w:tc>
      </w:tr>
      <w:tr w:rsidR="009E34BE" w:rsidRPr="009E34BE" w14:paraId="13FF3121" w14:textId="77777777" w:rsidTr="009E34BE">
        <w:tc>
          <w:tcPr>
            <w:tcW w:w="5000" w:type="pct"/>
            <w:gridSpan w:val="4"/>
            <w:tcBorders>
              <w:top w:val="single" w:sz="4" w:space="0" w:color="auto"/>
              <w:left w:val="single" w:sz="4" w:space="0" w:color="auto"/>
              <w:bottom w:val="single" w:sz="4" w:space="0" w:color="auto"/>
              <w:right w:val="single" w:sz="4" w:space="0" w:color="auto"/>
            </w:tcBorders>
            <w:hideMark/>
          </w:tcPr>
          <w:p w14:paraId="40BFAA90" w14:textId="6AB59F13" w:rsidR="009E34BE" w:rsidRPr="009E34BE" w:rsidRDefault="008D266E" w:rsidP="009E34BE">
            <w:pPr>
              <w:tabs>
                <w:tab w:val="left" w:pos="567"/>
              </w:tabs>
              <w:autoSpaceDE w:val="0"/>
              <w:autoSpaceDN w:val="0"/>
              <w:adjustRightInd w:val="0"/>
              <w:rPr>
                <w:sz w:val="22"/>
                <w:szCs w:val="22"/>
                <w:lang w:val="lt-LT"/>
              </w:rPr>
            </w:pPr>
            <w:r w:rsidRPr="00211E3B">
              <w:rPr>
                <w:b/>
                <w:sz w:val="22"/>
                <w:szCs w:val="22"/>
                <w:lang w:val="lt-LT"/>
              </w:rPr>
              <w:t>Nervų sistemos sutrikimai</w:t>
            </w:r>
          </w:p>
        </w:tc>
      </w:tr>
      <w:tr w:rsidR="009E34BE" w:rsidRPr="009E34BE" w14:paraId="16AB92E6" w14:textId="77777777" w:rsidTr="009E34BE">
        <w:tc>
          <w:tcPr>
            <w:tcW w:w="1250" w:type="pct"/>
            <w:tcBorders>
              <w:top w:val="single" w:sz="4" w:space="0" w:color="auto"/>
              <w:left w:val="single" w:sz="4" w:space="0" w:color="auto"/>
              <w:bottom w:val="single" w:sz="4" w:space="0" w:color="auto"/>
              <w:right w:val="single" w:sz="4" w:space="0" w:color="auto"/>
            </w:tcBorders>
            <w:hideMark/>
          </w:tcPr>
          <w:p w14:paraId="400C7829" w14:textId="4C3156F0" w:rsidR="009E34BE" w:rsidRPr="009E34BE" w:rsidRDefault="008D266E" w:rsidP="009E34BE">
            <w:pPr>
              <w:tabs>
                <w:tab w:val="left" w:pos="567"/>
              </w:tabs>
              <w:autoSpaceDE w:val="0"/>
              <w:autoSpaceDN w:val="0"/>
              <w:adjustRightInd w:val="0"/>
              <w:rPr>
                <w:sz w:val="22"/>
                <w:szCs w:val="22"/>
                <w:lang w:val="lt-LT"/>
              </w:rPr>
            </w:pPr>
            <w:r w:rsidRPr="00211E3B">
              <w:rPr>
                <w:sz w:val="22"/>
                <w:szCs w:val="22"/>
                <w:lang w:val="lt-LT"/>
              </w:rPr>
              <w:t>Galvos skausmas</w:t>
            </w:r>
          </w:p>
        </w:tc>
        <w:tc>
          <w:tcPr>
            <w:tcW w:w="1250" w:type="pct"/>
            <w:tcBorders>
              <w:top w:val="single" w:sz="4" w:space="0" w:color="auto"/>
              <w:left w:val="single" w:sz="4" w:space="0" w:color="auto"/>
              <w:bottom w:val="single" w:sz="4" w:space="0" w:color="auto"/>
              <w:right w:val="single" w:sz="4" w:space="0" w:color="auto"/>
            </w:tcBorders>
            <w:hideMark/>
          </w:tcPr>
          <w:p w14:paraId="396A8713" w14:textId="6503CF3F" w:rsidR="009E34BE" w:rsidRPr="009E34BE" w:rsidRDefault="00D8244A" w:rsidP="009E34BE">
            <w:pPr>
              <w:tabs>
                <w:tab w:val="left" w:pos="567"/>
              </w:tabs>
              <w:autoSpaceDE w:val="0"/>
              <w:autoSpaceDN w:val="0"/>
              <w:adjustRightInd w:val="0"/>
              <w:rPr>
                <w:sz w:val="22"/>
                <w:szCs w:val="22"/>
                <w:lang w:val="lt-LT"/>
              </w:rPr>
            </w:pPr>
            <w:r w:rsidRPr="00211E3B">
              <w:rPr>
                <w:sz w:val="22"/>
                <w:szCs w:val="22"/>
                <w:lang w:val="lt-LT"/>
              </w:rPr>
              <w:t>Dažnas</w:t>
            </w:r>
          </w:p>
        </w:tc>
        <w:tc>
          <w:tcPr>
            <w:tcW w:w="1250" w:type="pct"/>
            <w:tcBorders>
              <w:top w:val="single" w:sz="4" w:space="0" w:color="auto"/>
              <w:left w:val="single" w:sz="4" w:space="0" w:color="auto"/>
              <w:bottom w:val="single" w:sz="4" w:space="0" w:color="auto"/>
              <w:right w:val="single" w:sz="4" w:space="0" w:color="auto"/>
            </w:tcBorders>
            <w:hideMark/>
          </w:tcPr>
          <w:p w14:paraId="46CCB6FF" w14:textId="530DEEBB" w:rsidR="009E34BE" w:rsidRPr="009E34BE" w:rsidRDefault="00D8244A" w:rsidP="009E34BE">
            <w:pPr>
              <w:tabs>
                <w:tab w:val="left" w:pos="567"/>
              </w:tabs>
              <w:autoSpaceDE w:val="0"/>
              <w:autoSpaceDN w:val="0"/>
              <w:adjustRightInd w:val="0"/>
              <w:rPr>
                <w:sz w:val="22"/>
                <w:szCs w:val="22"/>
                <w:lang w:val="lt-LT"/>
              </w:rPr>
            </w:pPr>
            <w:r w:rsidRPr="00211E3B">
              <w:rPr>
                <w:sz w:val="22"/>
                <w:szCs w:val="22"/>
                <w:lang w:val="lt-LT"/>
              </w:rPr>
              <w:t>Dažnas</w:t>
            </w:r>
          </w:p>
        </w:tc>
        <w:tc>
          <w:tcPr>
            <w:tcW w:w="1250" w:type="pct"/>
            <w:tcBorders>
              <w:top w:val="single" w:sz="4" w:space="0" w:color="auto"/>
              <w:left w:val="single" w:sz="4" w:space="0" w:color="auto"/>
              <w:bottom w:val="single" w:sz="4" w:space="0" w:color="auto"/>
              <w:right w:val="single" w:sz="4" w:space="0" w:color="auto"/>
            </w:tcBorders>
            <w:hideMark/>
          </w:tcPr>
          <w:p w14:paraId="36953F56" w14:textId="1D38E248" w:rsidR="009E34BE" w:rsidRPr="009E34BE" w:rsidRDefault="00D8244A" w:rsidP="009E34BE">
            <w:pPr>
              <w:tabs>
                <w:tab w:val="left" w:pos="567"/>
              </w:tabs>
              <w:autoSpaceDE w:val="0"/>
              <w:autoSpaceDN w:val="0"/>
              <w:adjustRightInd w:val="0"/>
              <w:rPr>
                <w:sz w:val="22"/>
                <w:szCs w:val="22"/>
                <w:lang w:val="lt-LT"/>
              </w:rPr>
            </w:pPr>
            <w:r w:rsidRPr="00211E3B">
              <w:rPr>
                <w:sz w:val="22"/>
                <w:szCs w:val="22"/>
                <w:lang w:val="lt-LT"/>
              </w:rPr>
              <w:t>Dažnas</w:t>
            </w:r>
          </w:p>
        </w:tc>
      </w:tr>
    </w:tbl>
    <w:p w14:paraId="78B1BE5D" w14:textId="77777777" w:rsidR="009E34BE" w:rsidRPr="00211E3B" w:rsidRDefault="009E34BE" w:rsidP="009E34BE">
      <w:pPr>
        <w:tabs>
          <w:tab w:val="left" w:pos="567"/>
        </w:tabs>
        <w:spacing w:line="260" w:lineRule="exact"/>
        <w:rPr>
          <w:iCs/>
          <w:snapToGrid w:val="0"/>
          <w:sz w:val="22"/>
          <w:szCs w:val="22"/>
          <w:lang w:eastAsia="lt-LT"/>
        </w:rPr>
      </w:pPr>
      <w:r w:rsidRPr="00211E3B">
        <w:rPr>
          <w:iCs/>
          <w:snapToGrid w:val="0"/>
          <w:sz w:val="22"/>
          <w:szCs w:val="22"/>
          <w:lang w:eastAsia="lt-LT"/>
        </w:rPr>
        <w:t xml:space="preserve"> </w:t>
      </w:r>
    </w:p>
    <w:p w14:paraId="337712F9" w14:textId="3F3F411D" w:rsidR="009E34BE" w:rsidRPr="00211E3B" w:rsidRDefault="009E34BE" w:rsidP="009E34BE">
      <w:pPr>
        <w:tabs>
          <w:tab w:val="left" w:pos="567"/>
        </w:tabs>
        <w:spacing w:line="260" w:lineRule="exact"/>
        <w:rPr>
          <w:iCs/>
          <w:snapToGrid w:val="0"/>
          <w:sz w:val="22"/>
          <w:szCs w:val="22"/>
          <w:u w:val="single"/>
          <w:lang w:eastAsia="lt-LT"/>
        </w:rPr>
      </w:pPr>
      <w:r w:rsidRPr="00211E3B">
        <w:rPr>
          <w:iCs/>
          <w:snapToGrid w:val="0"/>
          <w:sz w:val="22"/>
          <w:szCs w:val="22"/>
          <w:u w:val="single"/>
          <w:lang w:eastAsia="lt-LT"/>
        </w:rPr>
        <w:t>Atrinktų nepageidaujamų reakcijų apibūdinimas</w:t>
      </w:r>
    </w:p>
    <w:p w14:paraId="3CCD76A5" w14:textId="77777777" w:rsidR="003D762A" w:rsidRPr="00211E3B" w:rsidRDefault="003D762A" w:rsidP="009E34BE">
      <w:pPr>
        <w:tabs>
          <w:tab w:val="left" w:pos="567"/>
        </w:tabs>
        <w:spacing w:line="260" w:lineRule="exact"/>
        <w:rPr>
          <w:iCs/>
          <w:snapToGrid w:val="0"/>
          <w:sz w:val="22"/>
          <w:szCs w:val="22"/>
          <w:lang w:eastAsia="lt-LT"/>
        </w:rPr>
      </w:pPr>
    </w:p>
    <w:p w14:paraId="7A1FB5B7" w14:textId="6AB1A9D6" w:rsidR="009E34BE" w:rsidRPr="00211E3B" w:rsidRDefault="009E34BE" w:rsidP="009E34BE">
      <w:pPr>
        <w:tabs>
          <w:tab w:val="left" w:pos="567"/>
        </w:tabs>
        <w:spacing w:line="260" w:lineRule="exact"/>
        <w:rPr>
          <w:i/>
          <w:snapToGrid w:val="0"/>
          <w:sz w:val="22"/>
          <w:szCs w:val="22"/>
          <w:lang w:eastAsia="lt-LT"/>
        </w:rPr>
      </w:pPr>
      <w:r w:rsidRPr="00211E3B">
        <w:rPr>
          <w:i/>
          <w:snapToGrid w:val="0"/>
          <w:sz w:val="22"/>
          <w:szCs w:val="22"/>
          <w:lang w:eastAsia="lt-LT"/>
        </w:rPr>
        <w:t>Viduriavimas</w:t>
      </w:r>
    </w:p>
    <w:p w14:paraId="53BD8429" w14:textId="1DC90474" w:rsidR="009E34BE" w:rsidRPr="00211E3B" w:rsidRDefault="009E34BE" w:rsidP="009E34BE">
      <w:pPr>
        <w:tabs>
          <w:tab w:val="left" w:pos="567"/>
        </w:tabs>
        <w:spacing w:line="260" w:lineRule="exact"/>
        <w:rPr>
          <w:iCs/>
          <w:snapToGrid w:val="0"/>
          <w:sz w:val="22"/>
          <w:szCs w:val="22"/>
          <w:lang w:eastAsia="lt-LT"/>
        </w:rPr>
      </w:pPr>
      <w:r w:rsidRPr="00211E3B">
        <w:rPr>
          <w:iCs/>
          <w:snapToGrid w:val="0"/>
          <w:sz w:val="22"/>
          <w:szCs w:val="22"/>
          <w:lang w:eastAsia="lt-LT"/>
        </w:rPr>
        <w:t xml:space="preserve">Klinikinių tyrimų metu (žr. 5.1 skyrių) viduriavimas buvo dažniausiai </w:t>
      </w:r>
      <w:r w:rsidR="00180ECA" w:rsidRPr="00211E3B">
        <w:rPr>
          <w:iCs/>
          <w:snapToGrid w:val="0"/>
          <w:sz w:val="22"/>
          <w:szCs w:val="22"/>
          <w:lang w:eastAsia="lt-LT"/>
        </w:rPr>
        <w:t>praneštas</w:t>
      </w:r>
      <w:r w:rsidRPr="00211E3B">
        <w:rPr>
          <w:iCs/>
          <w:snapToGrid w:val="0"/>
          <w:sz w:val="22"/>
          <w:szCs w:val="22"/>
          <w:lang w:eastAsia="lt-LT"/>
        </w:rPr>
        <w:t xml:space="preserve"> virškinimo trakto</w:t>
      </w:r>
      <w:r w:rsidR="00180ECA" w:rsidRPr="00211E3B">
        <w:rPr>
          <w:iCs/>
          <w:snapToGrid w:val="0"/>
          <w:sz w:val="22"/>
          <w:szCs w:val="22"/>
          <w:lang w:eastAsia="lt-LT"/>
        </w:rPr>
        <w:t xml:space="preserve"> </w:t>
      </w:r>
      <w:r w:rsidRPr="00211E3B">
        <w:rPr>
          <w:iCs/>
          <w:snapToGrid w:val="0"/>
          <w:sz w:val="22"/>
          <w:szCs w:val="22"/>
          <w:lang w:eastAsia="lt-LT"/>
        </w:rPr>
        <w:t>reiškinys. Daugumai pacientų šis reiškinys buvo lengvas arba vidutinio sunkumo. Daugiau kaip dviem</w:t>
      </w:r>
      <w:r w:rsidR="00180ECA" w:rsidRPr="00211E3B">
        <w:rPr>
          <w:iCs/>
          <w:snapToGrid w:val="0"/>
          <w:sz w:val="22"/>
          <w:szCs w:val="22"/>
          <w:lang w:eastAsia="lt-LT"/>
        </w:rPr>
        <w:t xml:space="preserve"> </w:t>
      </w:r>
      <w:r w:rsidRPr="00211E3B">
        <w:rPr>
          <w:iCs/>
          <w:snapToGrid w:val="0"/>
          <w:sz w:val="22"/>
          <w:szCs w:val="22"/>
          <w:lang w:eastAsia="lt-LT"/>
        </w:rPr>
        <w:t>trečdaliams pacientų, kuriems pasireiškė viduriavimas, jis prasidėjo jau pirmaisiais trimis gydymo</w:t>
      </w:r>
      <w:r w:rsidR="00180ECA" w:rsidRPr="00211E3B">
        <w:rPr>
          <w:iCs/>
          <w:snapToGrid w:val="0"/>
          <w:sz w:val="22"/>
          <w:szCs w:val="22"/>
          <w:lang w:eastAsia="lt-LT"/>
        </w:rPr>
        <w:t xml:space="preserve"> </w:t>
      </w:r>
      <w:r w:rsidRPr="00211E3B">
        <w:rPr>
          <w:iCs/>
          <w:snapToGrid w:val="0"/>
          <w:sz w:val="22"/>
          <w:szCs w:val="22"/>
          <w:lang w:eastAsia="lt-LT"/>
        </w:rPr>
        <w:t xml:space="preserve">mėnesiais. Daugumai pacientų viduriavimas buvo </w:t>
      </w:r>
      <w:r w:rsidR="00C2682D" w:rsidRPr="00211E3B">
        <w:rPr>
          <w:iCs/>
          <w:snapToGrid w:val="0"/>
          <w:sz w:val="22"/>
          <w:szCs w:val="22"/>
          <w:lang w:eastAsia="lt-LT"/>
        </w:rPr>
        <w:t>kontroliuojamas</w:t>
      </w:r>
      <w:r w:rsidRPr="00211E3B">
        <w:rPr>
          <w:iCs/>
          <w:snapToGrid w:val="0"/>
          <w:sz w:val="22"/>
          <w:szCs w:val="22"/>
          <w:lang w:eastAsia="lt-LT"/>
        </w:rPr>
        <w:t xml:space="preserve"> viduriavimą slopinančiais vaistiniais</w:t>
      </w:r>
      <w:r w:rsidR="00180ECA" w:rsidRPr="00211E3B">
        <w:rPr>
          <w:iCs/>
          <w:snapToGrid w:val="0"/>
          <w:sz w:val="22"/>
          <w:szCs w:val="22"/>
          <w:lang w:eastAsia="lt-LT"/>
        </w:rPr>
        <w:t xml:space="preserve"> </w:t>
      </w:r>
      <w:r w:rsidRPr="00211E3B">
        <w:rPr>
          <w:iCs/>
          <w:snapToGrid w:val="0"/>
          <w:sz w:val="22"/>
          <w:szCs w:val="22"/>
          <w:lang w:eastAsia="lt-LT"/>
        </w:rPr>
        <w:t xml:space="preserve">preparatais, dozės mažinimu ar nintedanibo vartojimo </w:t>
      </w:r>
      <w:r w:rsidR="00180ECA" w:rsidRPr="00211E3B">
        <w:rPr>
          <w:iCs/>
          <w:snapToGrid w:val="0"/>
          <w:sz w:val="22"/>
          <w:szCs w:val="22"/>
          <w:lang w:eastAsia="lt-LT"/>
        </w:rPr>
        <w:t>sustabdymu</w:t>
      </w:r>
      <w:r w:rsidRPr="00211E3B">
        <w:rPr>
          <w:iCs/>
          <w:snapToGrid w:val="0"/>
          <w:sz w:val="22"/>
          <w:szCs w:val="22"/>
          <w:lang w:eastAsia="lt-LT"/>
        </w:rPr>
        <w:t xml:space="preserve"> (žr. 4.4</w:t>
      </w:r>
      <w:r w:rsidR="00180ECA" w:rsidRPr="00211E3B">
        <w:rPr>
          <w:iCs/>
          <w:snapToGrid w:val="0"/>
          <w:sz w:val="22"/>
          <w:szCs w:val="22"/>
          <w:lang w:eastAsia="lt-LT"/>
        </w:rPr>
        <w:t> </w:t>
      </w:r>
      <w:r w:rsidRPr="00211E3B">
        <w:rPr>
          <w:iCs/>
          <w:snapToGrid w:val="0"/>
          <w:sz w:val="22"/>
          <w:szCs w:val="22"/>
          <w:lang w:eastAsia="lt-LT"/>
        </w:rPr>
        <w:t>skyrių). Klinikinių tyrimų</w:t>
      </w:r>
      <w:r w:rsidR="00180ECA" w:rsidRPr="00211E3B">
        <w:rPr>
          <w:iCs/>
          <w:snapToGrid w:val="0"/>
          <w:sz w:val="22"/>
          <w:szCs w:val="22"/>
          <w:lang w:eastAsia="lt-LT"/>
        </w:rPr>
        <w:t xml:space="preserve"> </w:t>
      </w:r>
      <w:r w:rsidRPr="00211E3B">
        <w:rPr>
          <w:iCs/>
          <w:snapToGrid w:val="0"/>
          <w:sz w:val="22"/>
          <w:szCs w:val="22"/>
          <w:lang w:eastAsia="lt-LT"/>
        </w:rPr>
        <w:t xml:space="preserve">metu </w:t>
      </w:r>
      <w:r w:rsidR="00180ECA" w:rsidRPr="00211E3B">
        <w:rPr>
          <w:iCs/>
          <w:snapToGrid w:val="0"/>
          <w:sz w:val="22"/>
          <w:szCs w:val="22"/>
          <w:lang w:eastAsia="lt-LT"/>
        </w:rPr>
        <w:t>pranešti</w:t>
      </w:r>
      <w:r w:rsidRPr="00211E3B">
        <w:rPr>
          <w:iCs/>
          <w:snapToGrid w:val="0"/>
          <w:sz w:val="22"/>
          <w:szCs w:val="22"/>
          <w:lang w:eastAsia="lt-LT"/>
        </w:rPr>
        <w:t xml:space="preserve"> viduriavimo reiškiniai apžvelgiami 2</w:t>
      </w:r>
      <w:r w:rsidR="00180ECA" w:rsidRPr="00211E3B">
        <w:rPr>
          <w:iCs/>
          <w:snapToGrid w:val="0"/>
          <w:sz w:val="22"/>
          <w:szCs w:val="22"/>
          <w:lang w:eastAsia="lt-LT"/>
        </w:rPr>
        <w:t> </w:t>
      </w:r>
      <w:r w:rsidRPr="00211E3B">
        <w:rPr>
          <w:iCs/>
          <w:snapToGrid w:val="0"/>
          <w:sz w:val="22"/>
          <w:szCs w:val="22"/>
          <w:lang w:eastAsia="lt-LT"/>
        </w:rPr>
        <w:t>lentelėje.</w:t>
      </w:r>
    </w:p>
    <w:p w14:paraId="06FBF199" w14:textId="77777777" w:rsidR="00180ECA" w:rsidRPr="00211E3B" w:rsidRDefault="00180ECA" w:rsidP="009E34BE">
      <w:pPr>
        <w:tabs>
          <w:tab w:val="left" w:pos="567"/>
        </w:tabs>
        <w:spacing w:line="260" w:lineRule="exact"/>
        <w:rPr>
          <w:iCs/>
          <w:snapToGrid w:val="0"/>
          <w:sz w:val="22"/>
          <w:szCs w:val="22"/>
          <w:lang w:eastAsia="lt-LT"/>
        </w:rPr>
      </w:pPr>
    </w:p>
    <w:p w14:paraId="2883F668" w14:textId="70112952" w:rsidR="009E34BE" w:rsidRPr="00211E3B" w:rsidRDefault="009E34BE" w:rsidP="009E34BE">
      <w:pPr>
        <w:tabs>
          <w:tab w:val="left" w:pos="567"/>
        </w:tabs>
        <w:spacing w:line="260" w:lineRule="exact"/>
        <w:rPr>
          <w:b/>
          <w:bCs/>
          <w:iCs/>
          <w:snapToGrid w:val="0"/>
          <w:sz w:val="22"/>
          <w:szCs w:val="22"/>
          <w:lang w:eastAsia="lt-LT"/>
        </w:rPr>
      </w:pPr>
      <w:r w:rsidRPr="00211E3B">
        <w:rPr>
          <w:b/>
          <w:bCs/>
          <w:iCs/>
          <w:snapToGrid w:val="0"/>
          <w:sz w:val="22"/>
          <w:szCs w:val="22"/>
          <w:lang w:eastAsia="lt-LT"/>
        </w:rPr>
        <w:t>2</w:t>
      </w:r>
      <w:r w:rsidR="00180ECA" w:rsidRPr="00211E3B">
        <w:rPr>
          <w:b/>
          <w:bCs/>
          <w:iCs/>
          <w:snapToGrid w:val="0"/>
          <w:sz w:val="22"/>
          <w:szCs w:val="22"/>
          <w:lang w:eastAsia="lt-LT"/>
        </w:rPr>
        <w:t> </w:t>
      </w:r>
      <w:r w:rsidRPr="00211E3B">
        <w:rPr>
          <w:b/>
          <w:bCs/>
          <w:iCs/>
          <w:snapToGrid w:val="0"/>
          <w:sz w:val="22"/>
          <w:szCs w:val="22"/>
          <w:lang w:eastAsia="lt-LT"/>
        </w:rPr>
        <w:t>lentelė.</w:t>
      </w:r>
      <w:r w:rsidR="00F054CD" w:rsidRPr="00211E3B">
        <w:rPr>
          <w:b/>
          <w:bCs/>
          <w:iCs/>
          <w:snapToGrid w:val="0"/>
          <w:sz w:val="22"/>
          <w:szCs w:val="22"/>
          <w:lang w:eastAsia="lt-LT"/>
        </w:rPr>
        <w:tab/>
      </w:r>
      <w:r w:rsidRPr="00211E3B">
        <w:rPr>
          <w:b/>
          <w:bCs/>
          <w:iCs/>
          <w:snapToGrid w:val="0"/>
          <w:sz w:val="22"/>
          <w:szCs w:val="22"/>
          <w:lang w:eastAsia="lt-LT"/>
        </w:rPr>
        <w:t>Viduriavimas klinikinių tyrimų metu</w:t>
      </w:r>
      <w:r w:rsidR="00180ECA" w:rsidRPr="00211E3B">
        <w:rPr>
          <w:b/>
          <w:bCs/>
          <w:iCs/>
          <w:snapToGrid w:val="0"/>
          <w:sz w:val="22"/>
          <w:szCs w:val="22"/>
          <w:lang w:eastAsia="lt-LT"/>
        </w:rPr>
        <w:t xml:space="preserve"> </w:t>
      </w:r>
      <w:r w:rsidR="00D7087C" w:rsidRPr="00211E3B">
        <w:rPr>
          <w:b/>
          <w:bCs/>
          <w:iCs/>
          <w:snapToGrid w:val="0"/>
          <w:sz w:val="22"/>
          <w:szCs w:val="22"/>
          <w:lang w:eastAsia="lt-LT"/>
        </w:rPr>
        <w:t>52 s</w:t>
      </w:r>
      <w:r w:rsidR="00180ECA" w:rsidRPr="00211E3B">
        <w:rPr>
          <w:b/>
          <w:bCs/>
          <w:iCs/>
          <w:snapToGrid w:val="0"/>
          <w:sz w:val="22"/>
          <w:szCs w:val="22"/>
          <w:lang w:eastAsia="lt-LT"/>
        </w:rPr>
        <w:t>avaičių laikotarpiu</w:t>
      </w:r>
    </w:p>
    <w:p w14:paraId="40295572" w14:textId="77777777" w:rsidR="009E34BE" w:rsidRPr="009E34BE" w:rsidRDefault="009E34BE" w:rsidP="009E34BE">
      <w:pPr>
        <w:keepNext/>
        <w:tabs>
          <w:tab w:val="left" w:pos="1134"/>
        </w:tabs>
        <w:autoSpaceDE w:val="0"/>
        <w:autoSpaceDN w:val="0"/>
        <w:adjustRightInd w:val="0"/>
        <w:ind w:left="1134" w:hanging="1134"/>
        <w:jc w:val="both"/>
        <w:rPr>
          <w:sz w:val="22"/>
          <w:szCs w:val="22"/>
        </w:rPr>
      </w:pPr>
    </w:p>
    <w:tbl>
      <w:tblPr>
        <w:tblStyle w:val="Lentelstinklelis"/>
        <w:tblW w:w="4994" w:type="pct"/>
        <w:tblLook w:val="04A0" w:firstRow="1" w:lastRow="0" w:firstColumn="1" w:lastColumn="0" w:noHBand="0" w:noVBand="1"/>
      </w:tblPr>
      <w:tblGrid>
        <w:gridCol w:w="1469"/>
        <w:gridCol w:w="1149"/>
        <w:gridCol w:w="1377"/>
        <w:gridCol w:w="1149"/>
        <w:gridCol w:w="1377"/>
        <w:gridCol w:w="1151"/>
        <w:gridCol w:w="1377"/>
      </w:tblGrid>
      <w:tr w:rsidR="009E34BE" w:rsidRPr="009E34BE" w14:paraId="7DB5F3EA" w14:textId="77777777" w:rsidTr="009E34BE">
        <w:trPr>
          <w:tblHeader/>
        </w:trPr>
        <w:tc>
          <w:tcPr>
            <w:tcW w:w="714" w:type="pct"/>
            <w:tcBorders>
              <w:top w:val="single" w:sz="4" w:space="0" w:color="auto"/>
              <w:left w:val="single" w:sz="4" w:space="0" w:color="auto"/>
              <w:bottom w:val="single" w:sz="4" w:space="0" w:color="auto"/>
              <w:right w:val="single" w:sz="4" w:space="0" w:color="auto"/>
            </w:tcBorders>
          </w:tcPr>
          <w:p w14:paraId="0CBFC1DF" w14:textId="77777777" w:rsidR="009E34BE" w:rsidRPr="009E34BE" w:rsidRDefault="009E34BE" w:rsidP="009E34BE">
            <w:pPr>
              <w:tabs>
                <w:tab w:val="left" w:pos="567"/>
              </w:tabs>
              <w:autoSpaceDE w:val="0"/>
              <w:autoSpaceDN w:val="0"/>
              <w:adjustRightInd w:val="0"/>
              <w:rPr>
                <w:sz w:val="22"/>
                <w:szCs w:val="22"/>
                <w:lang w:val="lt-LT"/>
              </w:rPr>
            </w:pPr>
          </w:p>
        </w:tc>
        <w:tc>
          <w:tcPr>
            <w:tcW w:w="1428" w:type="pct"/>
            <w:gridSpan w:val="2"/>
            <w:tcBorders>
              <w:top w:val="single" w:sz="4" w:space="0" w:color="auto"/>
              <w:left w:val="single" w:sz="4" w:space="0" w:color="auto"/>
              <w:bottom w:val="single" w:sz="4" w:space="0" w:color="auto"/>
              <w:right w:val="single" w:sz="4" w:space="0" w:color="auto"/>
            </w:tcBorders>
            <w:hideMark/>
          </w:tcPr>
          <w:p w14:paraId="337D381E" w14:textId="77777777" w:rsidR="009E34BE" w:rsidRPr="009E34BE" w:rsidRDefault="009E34BE" w:rsidP="009E34BE">
            <w:pPr>
              <w:tabs>
                <w:tab w:val="left" w:pos="567"/>
              </w:tabs>
              <w:autoSpaceDE w:val="0"/>
              <w:autoSpaceDN w:val="0"/>
              <w:adjustRightInd w:val="0"/>
              <w:jc w:val="center"/>
              <w:rPr>
                <w:b/>
                <w:sz w:val="22"/>
                <w:szCs w:val="22"/>
                <w:lang w:val="lt-LT"/>
              </w:rPr>
            </w:pPr>
            <w:r w:rsidRPr="009E34BE">
              <w:rPr>
                <w:b/>
                <w:sz w:val="22"/>
                <w:szCs w:val="22"/>
                <w:lang w:val="lt-LT"/>
              </w:rPr>
              <w:t>INPULSIS</w:t>
            </w:r>
          </w:p>
        </w:tc>
        <w:tc>
          <w:tcPr>
            <w:tcW w:w="1429" w:type="pct"/>
            <w:gridSpan w:val="2"/>
            <w:tcBorders>
              <w:top w:val="single" w:sz="4" w:space="0" w:color="auto"/>
              <w:left w:val="single" w:sz="4" w:space="0" w:color="auto"/>
              <w:bottom w:val="single" w:sz="4" w:space="0" w:color="auto"/>
              <w:right w:val="single" w:sz="4" w:space="0" w:color="auto"/>
            </w:tcBorders>
            <w:hideMark/>
          </w:tcPr>
          <w:p w14:paraId="65DEA1E6" w14:textId="77777777" w:rsidR="009E34BE" w:rsidRPr="009E34BE" w:rsidRDefault="009E34BE" w:rsidP="009E34BE">
            <w:pPr>
              <w:tabs>
                <w:tab w:val="left" w:pos="567"/>
              </w:tabs>
              <w:autoSpaceDE w:val="0"/>
              <w:autoSpaceDN w:val="0"/>
              <w:adjustRightInd w:val="0"/>
              <w:jc w:val="center"/>
              <w:rPr>
                <w:b/>
                <w:sz w:val="22"/>
                <w:szCs w:val="22"/>
                <w:lang w:val="lt-LT"/>
              </w:rPr>
            </w:pPr>
            <w:r w:rsidRPr="009E34BE">
              <w:rPr>
                <w:b/>
                <w:sz w:val="22"/>
                <w:szCs w:val="22"/>
                <w:lang w:val="lt-LT"/>
              </w:rPr>
              <w:t>INBUILD</w:t>
            </w:r>
          </w:p>
        </w:tc>
        <w:tc>
          <w:tcPr>
            <w:tcW w:w="1429" w:type="pct"/>
            <w:gridSpan w:val="2"/>
            <w:tcBorders>
              <w:top w:val="single" w:sz="4" w:space="0" w:color="auto"/>
              <w:left w:val="single" w:sz="4" w:space="0" w:color="auto"/>
              <w:bottom w:val="single" w:sz="4" w:space="0" w:color="auto"/>
              <w:right w:val="single" w:sz="4" w:space="0" w:color="auto"/>
            </w:tcBorders>
            <w:hideMark/>
          </w:tcPr>
          <w:p w14:paraId="28F5EDF1" w14:textId="77777777" w:rsidR="009E34BE" w:rsidRPr="009E34BE" w:rsidRDefault="009E34BE" w:rsidP="009E34BE">
            <w:pPr>
              <w:tabs>
                <w:tab w:val="left" w:pos="567"/>
              </w:tabs>
              <w:autoSpaceDE w:val="0"/>
              <w:autoSpaceDN w:val="0"/>
              <w:adjustRightInd w:val="0"/>
              <w:jc w:val="center"/>
              <w:rPr>
                <w:b/>
                <w:sz w:val="22"/>
                <w:szCs w:val="22"/>
                <w:lang w:val="lt-LT"/>
              </w:rPr>
            </w:pPr>
            <w:r w:rsidRPr="009E34BE">
              <w:rPr>
                <w:b/>
                <w:sz w:val="22"/>
                <w:szCs w:val="22"/>
                <w:lang w:val="lt-LT"/>
              </w:rPr>
              <w:t>SENSCIS</w:t>
            </w:r>
          </w:p>
        </w:tc>
      </w:tr>
      <w:tr w:rsidR="009E34BE" w:rsidRPr="009E34BE" w14:paraId="43A98730" w14:textId="77777777" w:rsidTr="009E34BE">
        <w:trPr>
          <w:tblHeader/>
        </w:trPr>
        <w:tc>
          <w:tcPr>
            <w:tcW w:w="714" w:type="pct"/>
            <w:tcBorders>
              <w:top w:val="single" w:sz="4" w:space="0" w:color="auto"/>
              <w:left w:val="single" w:sz="4" w:space="0" w:color="auto"/>
              <w:bottom w:val="single" w:sz="4" w:space="0" w:color="auto"/>
              <w:right w:val="single" w:sz="4" w:space="0" w:color="auto"/>
            </w:tcBorders>
          </w:tcPr>
          <w:p w14:paraId="485B4F25" w14:textId="77777777" w:rsidR="009E34BE" w:rsidRPr="009E34BE" w:rsidRDefault="009E34BE" w:rsidP="009E34BE">
            <w:pPr>
              <w:tabs>
                <w:tab w:val="left" w:pos="567"/>
              </w:tabs>
              <w:autoSpaceDE w:val="0"/>
              <w:autoSpaceDN w:val="0"/>
              <w:adjustRightInd w:val="0"/>
              <w:rPr>
                <w:sz w:val="22"/>
                <w:szCs w:val="22"/>
                <w:lang w:val="lt-LT"/>
              </w:rPr>
            </w:pPr>
          </w:p>
        </w:tc>
        <w:tc>
          <w:tcPr>
            <w:tcW w:w="714" w:type="pct"/>
            <w:tcBorders>
              <w:top w:val="single" w:sz="4" w:space="0" w:color="auto"/>
              <w:left w:val="single" w:sz="4" w:space="0" w:color="auto"/>
              <w:bottom w:val="single" w:sz="4" w:space="0" w:color="auto"/>
              <w:right w:val="single" w:sz="4" w:space="0" w:color="auto"/>
            </w:tcBorders>
            <w:hideMark/>
          </w:tcPr>
          <w:p w14:paraId="71F81116" w14:textId="36882E2F" w:rsidR="009E34BE" w:rsidRPr="009E34BE" w:rsidRDefault="009E34BE" w:rsidP="009E34BE">
            <w:pPr>
              <w:tabs>
                <w:tab w:val="left" w:pos="567"/>
              </w:tabs>
              <w:autoSpaceDE w:val="0"/>
              <w:autoSpaceDN w:val="0"/>
              <w:adjustRightInd w:val="0"/>
              <w:jc w:val="center"/>
              <w:rPr>
                <w:sz w:val="22"/>
                <w:szCs w:val="22"/>
                <w:lang w:val="lt-LT"/>
              </w:rPr>
            </w:pPr>
            <w:r w:rsidRPr="009E34BE">
              <w:rPr>
                <w:sz w:val="22"/>
                <w:szCs w:val="22"/>
                <w:lang w:val="lt-LT"/>
              </w:rPr>
              <w:t>Placeb</w:t>
            </w:r>
            <w:r w:rsidR="001B0079" w:rsidRPr="00211E3B">
              <w:rPr>
                <w:sz w:val="22"/>
                <w:szCs w:val="22"/>
                <w:lang w:val="lt-LT"/>
              </w:rPr>
              <w:t>as</w:t>
            </w:r>
          </w:p>
        </w:tc>
        <w:tc>
          <w:tcPr>
            <w:tcW w:w="714" w:type="pct"/>
            <w:tcBorders>
              <w:top w:val="single" w:sz="4" w:space="0" w:color="auto"/>
              <w:left w:val="single" w:sz="4" w:space="0" w:color="auto"/>
              <w:bottom w:val="single" w:sz="4" w:space="0" w:color="auto"/>
              <w:right w:val="single" w:sz="4" w:space="0" w:color="auto"/>
            </w:tcBorders>
            <w:hideMark/>
          </w:tcPr>
          <w:p w14:paraId="54B4603E" w14:textId="0F217758" w:rsidR="009E34BE" w:rsidRPr="009E34BE" w:rsidRDefault="009E34BE" w:rsidP="009E34BE">
            <w:pPr>
              <w:tabs>
                <w:tab w:val="left" w:pos="567"/>
              </w:tabs>
              <w:autoSpaceDE w:val="0"/>
              <w:autoSpaceDN w:val="0"/>
              <w:adjustRightInd w:val="0"/>
              <w:jc w:val="center"/>
              <w:rPr>
                <w:sz w:val="22"/>
                <w:szCs w:val="22"/>
                <w:lang w:val="lt-LT"/>
              </w:rPr>
            </w:pPr>
            <w:r w:rsidRPr="009E34BE">
              <w:rPr>
                <w:sz w:val="22"/>
                <w:szCs w:val="22"/>
                <w:lang w:val="lt-LT"/>
              </w:rPr>
              <w:t>Nintedanib</w:t>
            </w:r>
            <w:r w:rsidR="001B0079" w:rsidRPr="00211E3B">
              <w:rPr>
                <w:sz w:val="22"/>
                <w:szCs w:val="22"/>
                <w:lang w:val="lt-LT"/>
              </w:rPr>
              <w:t>as</w:t>
            </w:r>
          </w:p>
        </w:tc>
        <w:tc>
          <w:tcPr>
            <w:tcW w:w="714" w:type="pct"/>
            <w:tcBorders>
              <w:top w:val="single" w:sz="4" w:space="0" w:color="auto"/>
              <w:left w:val="single" w:sz="4" w:space="0" w:color="auto"/>
              <w:bottom w:val="single" w:sz="4" w:space="0" w:color="auto"/>
              <w:right w:val="single" w:sz="4" w:space="0" w:color="auto"/>
            </w:tcBorders>
            <w:hideMark/>
          </w:tcPr>
          <w:p w14:paraId="26DD100E" w14:textId="106576D9" w:rsidR="009E34BE" w:rsidRPr="009E34BE" w:rsidRDefault="009E34BE" w:rsidP="009E34BE">
            <w:pPr>
              <w:tabs>
                <w:tab w:val="left" w:pos="567"/>
              </w:tabs>
              <w:autoSpaceDE w:val="0"/>
              <w:autoSpaceDN w:val="0"/>
              <w:adjustRightInd w:val="0"/>
              <w:jc w:val="center"/>
              <w:rPr>
                <w:sz w:val="22"/>
                <w:szCs w:val="22"/>
                <w:lang w:val="lt-LT"/>
              </w:rPr>
            </w:pPr>
            <w:r w:rsidRPr="009E34BE">
              <w:rPr>
                <w:sz w:val="22"/>
                <w:szCs w:val="22"/>
                <w:lang w:val="lt-LT"/>
              </w:rPr>
              <w:t>Placeb</w:t>
            </w:r>
            <w:r w:rsidR="001B0079" w:rsidRPr="00211E3B">
              <w:rPr>
                <w:sz w:val="22"/>
                <w:szCs w:val="22"/>
                <w:lang w:val="lt-LT"/>
              </w:rPr>
              <w:t>as</w:t>
            </w:r>
          </w:p>
        </w:tc>
        <w:tc>
          <w:tcPr>
            <w:tcW w:w="715" w:type="pct"/>
            <w:tcBorders>
              <w:top w:val="single" w:sz="4" w:space="0" w:color="auto"/>
              <w:left w:val="single" w:sz="4" w:space="0" w:color="auto"/>
              <w:bottom w:val="single" w:sz="4" w:space="0" w:color="auto"/>
              <w:right w:val="single" w:sz="4" w:space="0" w:color="auto"/>
            </w:tcBorders>
            <w:hideMark/>
          </w:tcPr>
          <w:p w14:paraId="09BDA149" w14:textId="05F91FB5" w:rsidR="009E34BE" w:rsidRPr="009E34BE" w:rsidRDefault="009E34BE" w:rsidP="009E34BE">
            <w:pPr>
              <w:tabs>
                <w:tab w:val="left" w:pos="567"/>
              </w:tabs>
              <w:autoSpaceDE w:val="0"/>
              <w:autoSpaceDN w:val="0"/>
              <w:adjustRightInd w:val="0"/>
              <w:jc w:val="center"/>
              <w:rPr>
                <w:sz w:val="22"/>
                <w:szCs w:val="22"/>
                <w:lang w:val="lt-LT"/>
              </w:rPr>
            </w:pPr>
            <w:r w:rsidRPr="009E34BE">
              <w:rPr>
                <w:sz w:val="22"/>
                <w:szCs w:val="22"/>
                <w:lang w:val="lt-LT"/>
              </w:rPr>
              <w:t>Nintedanib</w:t>
            </w:r>
            <w:r w:rsidR="001B0079" w:rsidRPr="00211E3B">
              <w:rPr>
                <w:sz w:val="22"/>
                <w:szCs w:val="22"/>
                <w:lang w:val="lt-LT"/>
              </w:rPr>
              <w:t>as</w:t>
            </w:r>
          </w:p>
        </w:tc>
        <w:tc>
          <w:tcPr>
            <w:tcW w:w="715" w:type="pct"/>
            <w:tcBorders>
              <w:top w:val="single" w:sz="4" w:space="0" w:color="auto"/>
              <w:left w:val="single" w:sz="4" w:space="0" w:color="auto"/>
              <w:bottom w:val="single" w:sz="4" w:space="0" w:color="auto"/>
              <w:right w:val="single" w:sz="4" w:space="0" w:color="auto"/>
            </w:tcBorders>
            <w:hideMark/>
          </w:tcPr>
          <w:p w14:paraId="4AE129D6" w14:textId="3DB8D986" w:rsidR="009E34BE" w:rsidRPr="009E34BE" w:rsidRDefault="009E34BE" w:rsidP="009E34BE">
            <w:pPr>
              <w:tabs>
                <w:tab w:val="left" w:pos="567"/>
              </w:tabs>
              <w:autoSpaceDE w:val="0"/>
              <w:autoSpaceDN w:val="0"/>
              <w:adjustRightInd w:val="0"/>
              <w:jc w:val="center"/>
              <w:rPr>
                <w:sz w:val="22"/>
                <w:szCs w:val="22"/>
                <w:lang w:val="lt-LT"/>
              </w:rPr>
            </w:pPr>
            <w:r w:rsidRPr="009E34BE">
              <w:rPr>
                <w:sz w:val="22"/>
                <w:szCs w:val="22"/>
                <w:lang w:val="lt-LT"/>
              </w:rPr>
              <w:t>Placeb</w:t>
            </w:r>
            <w:r w:rsidR="001B0079" w:rsidRPr="00211E3B">
              <w:rPr>
                <w:sz w:val="22"/>
                <w:szCs w:val="22"/>
                <w:lang w:val="lt-LT"/>
              </w:rPr>
              <w:t>as</w:t>
            </w:r>
          </w:p>
        </w:tc>
        <w:tc>
          <w:tcPr>
            <w:tcW w:w="714" w:type="pct"/>
            <w:tcBorders>
              <w:top w:val="single" w:sz="4" w:space="0" w:color="auto"/>
              <w:left w:val="single" w:sz="4" w:space="0" w:color="auto"/>
              <w:bottom w:val="single" w:sz="4" w:space="0" w:color="auto"/>
              <w:right w:val="single" w:sz="4" w:space="0" w:color="auto"/>
            </w:tcBorders>
            <w:hideMark/>
          </w:tcPr>
          <w:p w14:paraId="3B0ED90C" w14:textId="3A9522D1" w:rsidR="009E34BE" w:rsidRPr="009E34BE" w:rsidRDefault="009E34BE" w:rsidP="009E34BE">
            <w:pPr>
              <w:tabs>
                <w:tab w:val="left" w:pos="567"/>
              </w:tabs>
              <w:autoSpaceDE w:val="0"/>
              <w:autoSpaceDN w:val="0"/>
              <w:adjustRightInd w:val="0"/>
              <w:jc w:val="center"/>
              <w:rPr>
                <w:sz w:val="22"/>
                <w:szCs w:val="22"/>
                <w:lang w:val="lt-LT"/>
              </w:rPr>
            </w:pPr>
            <w:r w:rsidRPr="009E34BE">
              <w:rPr>
                <w:sz w:val="22"/>
                <w:szCs w:val="22"/>
                <w:lang w:val="lt-LT"/>
              </w:rPr>
              <w:t>Nintedani</w:t>
            </w:r>
            <w:r w:rsidR="001B0079" w:rsidRPr="00211E3B">
              <w:rPr>
                <w:sz w:val="22"/>
                <w:szCs w:val="22"/>
                <w:lang w:val="lt-LT"/>
              </w:rPr>
              <w:t>bas</w:t>
            </w:r>
          </w:p>
        </w:tc>
      </w:tr>
      <w:tr w:rsidR="009E34BE" w:rsidRPr="009E34BE" w14:paraId="13EBBAEF" w14:textId="77777777" w:rsidTr="009E34BE">
        <w:tc>
          <w:tcPr>
            <w:tcW w:w="714" w:type="pct"/>
            <w:tcBorders>
              <w:top w:val="single" w:sz="4" w:space="0" w:color="auto"/>
              <w:left w:val="single" w:sz="4" w:space="0" w:color="auto"/>
              <w:bottom w:val="single" w:sz="4" w:space="0" w:color="auto"/>
              <w:right w:val="single" w:sz="4" w:space="0" w:color="auto"/>
            </w:tcBorders>
            <w:hideMark/>
          </w:tcPr>
          <w:p w14:paraId="59B41081" w14:textId="61F2668F" w:rsidR="009E34BE" w:rsidRPr="009E34BE" w:rsidRDefault="001F1298" w:rsidP="009E34BE">
            <w:pPr>
              <w:tabs>
                <w:tab w:val="left" w:pos="567"/>
              </w:tabs>
              <w:autoSpaceDE w:val="0"/>
              <w:autoSpaceDN w:val="0"/>
              <w:adjustRightInd w:val="0"/>
              <w:rPr>
                <w:sz w:val="22"/>
                <w:szCs w:val="22"/>
                <w:lang w:val="lt-LT"/>
              </w:rPr>
            </w:pPr>
            <w:r w:rsidRPr="00211E3B">
              <w:rPr>
                <w:sz w:val="22"/>
                <w:szCs w:val="22"/>
                <w:lang w:val="lt-LT"/>
              </w:rPr>
              <w:t>Viduriavimas</w:t>
            </w:r>
          </w:p>
        </w:tc>
        <w:tc>
          <w:tcPr>
            <w:tcW w:w="714" w:type="pct"/>
            <w:tcBorders>
              <w:top w:val="single" w:sz="4" w:space="0" w:color="auto"/>
              <w:left w:val="single" w:sz="4" w:space="0" w:color="auto"/>
              <w:bottom w:val="single" w:sz="4" w:space="0" w:color="auto"/>
              <w:right w:val="single" w:sz="4" w:space="0" w:color="auto"/>
            </w:tcBorders>
            <w:vAlign w:val="center"/>
            <w:hideMark/>
          </w:tcPr>
          <w:p w14:paraId="6BEA1D6C" w14:textId="6DDA9FAA" w:rsidR="009E34BE" w:rsidRPr="009E34BE" w:rsidRDefault="009E34BE" w:rsidP="009E34BE">
            <w:pPr>
              <w:tabs>
                <w:tab w:val="left" w:pos="567"/>
              </w:tabs>
              <w:autoSpaceDE w:val="0"/>
              <w:autoSpaceDN w:val="0"/>
              <w:adjustRightInd w:val="0"/>
              <w:jc w:val="center"/>
              <w:rPr>
                <w:sz w:val="22"/>
                <w:szCs w:val="22"/>
                <w:lang w:val="lt-LT"/>
              </w:rPr>
            </w:pPr>
            <w:r w:rsidRPr="009E34BE">
              <w:rPr>
                <w:sz w:val="22"/>
                <w:szCs w:val="22"/>
                <w:lang w:val="lt-LT"/>
              </w:rPr>
              <w:t>18</w:t>
            </w:r>
            <w:r w:rsidRPr="00211E3B">
              <w:rPr>
                <w:sz w:val="22"/>
                <w:szCs w:val="22"/>
                <w:lang w:val="lt-LT"/>
              </w:rPr>
              <w:t>,</w:t>
            </w:r>
            <w:r w:rsidRPr="009E34BE">
              <w:rPr>
                <w:sz w:val="22"/>
                <w:szCs w:val="22"/>
                <w:lang w:val="lt-LT"/>
              </w:rPr>
              <w:t>4</w:t>
            </w:r>
            <w:r w:rsidR="0085390D">
              <w:rPr>
                <w:sz w:val="22"/>
                <w:szCs w:val="22"/>
                <w:lang w:val="lt-LT"/>
              </w:rPr>
              <w:t> %</w:t>
            </w:r>
          </w:p>
        </w:tc>
        <w:tc>
          <w:tcPr>
            <w:tcW w:w="714" w:type="pct"/>
            <w:tcBorders>
              <w:top w:val="single" w:sz="4" w:space="0" w:color="auto"/>
              <w:left w:val="single" w:sz="4" w:space="0" w:color="auto"/>
              <w:bottom w:val="single" w:sz="4" w:space="0" w:color="auto"/>
              <w:right w:val="single" w:sz="4" w:space="0" w:color="auto"/>
            </w:tcBorders>
            <w:vAlign w:val="center"/>
            <w:hideMark/>
          </w:tcPr>
          <w:p w14:paraId="0F779C0B" w14:textId="7764F886" w:rsidR="009E34BE" w:rsidRPr="009E34BE" w:rsidRDefault="009E34BE" w:rsidP="009E34BE">
            <w:pPr>
              <w:tabs>
                <w:tab w:val="left" w:pos="567"/>
              </w:tabs>
              <w:autoSpaceDE w:val="0"/>
              <w:autoSpaceDN w:val="0"/>
              <w:adjustRightInd w:val="0"/>
              <w:jc w:val="center"/>
              <w:rPr>
                <w:sz w:val="22"/>
                <w:szCs w:val="22"/>
                <w:lang w:val="lt-LT"/>
              </w:rPr>
            </w:pPr>
            <w:r w:rsidRPr="009E34BE">
              <w:rPr>
                <w:sz w:val="22"/>
                <w:szCs w:val="22"/>
                <w:lang w:val="lt-LT"/>
              </w:rPr>
              <w:t>62</w:t>
            </w:r>
            <w:r w:rsidRPr="00211E3B">
              <w:rPr>
                <w:sz w:val="22"/>
                <w:szCs w:val="22"/>
                <w:lang w:val="lt-LT"/>
              </w:rPr>
              <w:t>,</w:t>
            </w:r>
            <w:r w:rsidRPr="009E34BE">
              <w:rPr>
                <w:sz w:val="22"/>
                <w:szCs w:val="22"/>
                <w:lang w:val="lt-LT"/>
              </w:rPr>
              <w:t>4</w:t>
            </w:r>
            <w:r w:rsidR="0085390D">
              <w:rPr>
                <w:sz w:val="22"/>
                <w:szCs w:val="22"/>
                <w:lang w:val="lt-LT"/>
              </w:rPr>
              <w:t> %</w:t>
            </w:r>
          </w:p>
        </w:tc>
        <w:tc>
          <w:tcPr>
            <w:tcW w:w="714" w:type="pct"/>
            <w:tcBorders>
              <w:top w:val="single" w:sz="4" w:space="0" w:color="auto"/>
              <w:left w:val="single" w:sz="4" w:space="0" w:color="auto"/>
              <w:bottom w:val="single" w:sz="4" w:space="0" w:color="auto"/>
              <w:right w:val="single" w:sz="4" w:space="0" w:color="auto"/>
            </w:tcBorders>
            <w:vAlign w:val="center"/>
            <w:hideMark/>
          </w:tcPr>
          <w:p w14:paraId="7AAA035F" w14:textId="30AC2A4C" w:rsidR="009E34BE" w:rsidRPr="009E34BE" w:rsidRDefault="009E34BE" w:rsidP="009E34BE">
            <w:pPr>
              <w:tabs>
                <w:tab w:val="left" w:pos="567"/>
              </w:tabs>
              <w:autoSpaceDE w:val="0"/>
              <w:autoSpaceDN w:val="0"/>
              <w:adjustRightInd w:val="0"/>
              <w:jc w:val="center"/>
              <w:rPr>
                <w:sz w:val="22"/>
                <w:szCs w:val="22"/>
                <w:lang w:val="lt-LT"/>
              </w:rPr>
            </w:pPr>
            <w:r w:rsidRPr="009E34BE">
              <w:rPr>
                <w:sz w:val="22"/>
                <w:szCs w:val="22"/>
                <w:lang w:val="lt-LT"/>
              </w:rPr>
              <w:t>23</w:t>
            </w:r>
            <w:r w:rsidRPr="00211E3B">
              <w:rPr>
                <w:sz w:val="22"/>
                <w:szCs w:val="22"/>
                <w:lang w:val="lt-LT"/>
              </w:rPr>
              <w:t>,</w:t>
            </w:r>
            <w:r w:rsidRPr="009E34BE">
              <w:rPr>
                <w:sz w:val="22"/>
                <w:szCs w:val="22"/>
                <w:lang w:val="lt-LT"/>
              </w:rPr>
              <w:t>9</w:t>
            </w:r>
            <w:r w:rsidR="0085390D">
              <w:rPr>
                <w:sz w:val="22"/>
                <w:szCs w:val="22"/>
                <w:lang w:val="lt-LT"/>
              </w:rPr>
              <w:t> %</w:t>
            </w:r>
          </w:p>
        </w:tc>
        <w:tc>
          <w:tcPr>
            <w:tcW w:w="715" w:type="pct"/>
            <w:tcBorders>
              <w:top w:val="single" w:sz="4" w:space="0" w:color="auto"/>
              <w:left w:val="single" w:sz="4" w:space="0" w:color="auto"/>
              <w:bottom w:val="single" w:sz="4" w:space="0" w:color="auto"/>
              <w:right w:val="single" w:sz="4" w:space="0" w:color="auto"/>
            </w:tcBorders>
            <w:vAlign w:val="center"/>
            <w:hideMark/>
          </w:tcPr>
          <w:p w14:paraId="6750483F" w14:textId="337CB836" w:rsidR="009E34BE" w:rsidRPr="009E34BE" w:rsidRDefault="009E34BE" w:rsidP="009E34BE">
            <w:pPr>
              <w:tabs>
                <w:tab w:val="left" w:pos="567"/>
              </w:tabs>
              <w:autoSpaceDE w:val="0"/>
              <w:autoSpaceDN w:val="0"/>
              <w:adjustRightInd w:val="0"/>
              <w:jc w:val="center"/>
              <w:rPr>
                <w:sz w:val="22"/>
                <w:szCs w:val="22"/>
                <w:lang w:val="lt-LT"/>
              </w:rPr>
            </w:pPr>
            <w:r w:rsidRPr="009E34BE">
              <w:rPr>
                <w:sz w:val="22"/>
                <w:szCs w:val="22"/>
                <w:lang w:val="lt-LT"/>
              </w:rPr>
              <w:t>66</w:t>
            </w:r>
            <w:r w:rsidRPr="00211E3B">
              <w:rPr>
                <w:sz w:val="22"/>
                <w:szCs w:val="22"/>
                <w:lang w:val="lt-LT"/>
              </w:rPr>
              <w:t>,</w:t>
            </w:r>
            <w:r w:rsidRPr="009E34BE">
              <w:rPr>
                <w:sz w:val="22"/>
                <w:szCs w:val="22"/>
                <w:lang w:val="lt-LT"/>
              </w:rPr>
              <w:t>9</w:t>
            </w:r>
            <w:r w:rsidR="0085390D">
              <w:rPr>
                <w:sz w:val="22"/>
                <w:szCs w:val="22"/>
                <w:lang w:val="lt-LT"/>
              </w:rPr>
              <w:t> %</w:t>
            </w:r>
          </w:p>
        </w:tc>
        <w:tc>
          <w:tcPr>
            <w:tcW w:w="715" w:type="pct"/>
            <w:tcBorders>
              <w:top w:val="single" w:sz="4" w:space="0" w:color="auto"/>
              <w:left w:val="single" w:sz="4" w:space="0" w:color="auto"/>
              <w:bottom w:val="single" w:sz="4" w:space="0" w:color="auto"/>
              <w:right w:val="single" w:sz="4" w:space="0" w:color="auto"/>
            </w:tcBorders>
            <w:vAlign w:val="center"/>
            <w:hideMark/>
          </w:tcPr>
          <w:p w14:paraId="0DF09918" w14:textId="5302C4AE" w:rsidR="009E34BE" w:rsidRPr="009E34BE" w:rsidRDefault="009E34BE" w:rsidP="009E34BE">
            <w:pPr>
              <w:tabs>
                <w:tab w:val="left" w:pos="567"/>
              </w:tabs>
              <w:autoSpaceDE w:val="0"/>
              <w:autoSpaceDN w:val="0"/>
              <w:adjustRightInd w:val="0"/>
              <w:jc w:val="center"/>
              <w:rPr>
                <w:sz w:val="22"/>
                <w:szCs w:val="22"/>
                <w:lang w:val="lt-LT"/>
              </w:rPr>
            </w:pPr>
            <w:r w:rsidRPr="009E34BE">
              <w:rPr>
                <w:sz w:val="22"/>
                <w:szCs w:val="22"/>
                <w:lang w:val="lt-LT"/>
              </w:rPr>
              <w:t>31</w:t>
            </w:r>
            <w:r w:rsidRPr="00211E3B">
              <w:rPr>
                <w:sz w:val="22"/>
                <w:szCs w:val="22"/>
                <w:lang w:val="lt-LT"/>
              </w:rPr>
              <w:t>,</w:t>
            </w:r>
            <w:r w:rsidRPr="009E34BE">
              <w:rPr>
                <w:sz w:val="22"/>
                <w:szCs w:val="22"/>
                <w:lang w:val="lt-LT"/>
              </w:rPr>
              <w:t>6</w:t>
            </w:r>
            <w:r w:rsidR="0085390D">
              <w:rPr>
                <w:sz w:val="22"/>
                <w:szCs w:val="22"/>
                <w:lang w:val="lt-LT"/>
              </w:rPr>
              <w:t> %</w:t>
            </w:r>
          </w:p>
        </w:tc>
        <w:tc>
          <w:tcPr>
            <w:tcW w:w="714" w:type="pct"/>
            <w:tcBorders>
              <w:top w:val="single" w:sz="4" w:space="0" w:color="auto"/>
              <w:left w:val="single" w:sz="4" w:space="0" w:color="auto"/>
              <w:bottom w:val="single" w:sz="4" w:space="0" w:color="auto"/>
              <w:right w:val="single" w:sz="4" w:space="0" w:color="auto"/>
            </w:tcBorders>
            <w:vAlign w:val="center"/>
            <w:hideMark/>
          </w:tcPr>
          <w:p w14:paraId="622DD907" w14:textId="340FB816" w:rsidR="009E34BE" w:rsidRPr="009E34BE" w:rsidRDefault="009E34BE" w:rsidP="009E34BE">
            <w:pPr>
              <w:tabs>
                <w:tab w:val="left" w:pos="567"/>
              </w:tabs>
              <w:autoSpaceDE w:val="0"/>
              <w:autoSpaceDN w:val="0"/>
              <w:adjustRightInd w:val="0"/>
              <w:jc w:val="center"/>
              <w:rPr>
                <w:sz w:val="22"/>
                <w:szCs w:val="22"/>
                <w:lang w:val="lt-LT"/>
              </w:rPr>
            </w:pPr>
            <w:r w:rsidRPr="009E34BE">
              <w:rPr>
                <w:sz w:val="22"/>
                <w:szCs w:val="22"/>
                <w:lang w:val="lt-LT"/>
              </w:rPr>
              <w:t>75</w:t>
            </w:r>
            <w:r w:rsidRPr="00211E3B">
              <w:rPr>
                <w:sz w:val="22"/>
                <w:szCs w:val="22"/>
                <w:lang w:val="lt-LT"/>
              </w:rPr>
              <w:t>,</w:t>
            </w:r>
            <w:r w:rsidRPr="009E34BE">
              <w:rPr>
                <w:sz w:val="22"/>
                <w:szCs w:val="22"/>
                <w:lang w:val="lt-LT"/>
              </w:rPr>
              <w:t>7</w:t>
            </w:r>
            <w:r w:rsidR="0085390D">
              <w:rPr>
                <w:sz w:val="22"/>
                <w:szCs w:val="22"/>
                <w:lang w:val="lt-LT"/>
              </w:rPr>
              <w:t> %</w:t>
            </w:r>
          </w:p>
        </w:tc>
      </w:tr>
      <w:tr w:rsidR="009E34BE" w:rsidRPr="009E34BE" w14:paraId="4C4DCA24" w14:textId="77777777" w:rsidTr="009E34BE">
        <w:tc>
          <w:tcPr>
            <w:tcW w:w="714" w:type="pct"/>
            <w:tcBorders>
              <w:top w:val="single" w:sz="4" w:space="0" w:color="auto"/>
              <w:left w:val="single" w:sz="4" w:space="0" w:color="auto"/>
              <w:bottom w:val="single" w:sz="4" w:space="0" w:color="auto"/>
              <w:right w:val="single" w:sz="4" w:space="0" w:color="auto"/>
            </w:tcBorders>
            <w:hideMark/>
          </w:tcPr>
          <w:p w14:paraId="556F310C" w14:textId="449D15E9" w:rsidR="009E34BE" w:rsidRPr="009E34BE" w:rsidRDefault="001F1298" w:rsidP="009E34BE">
            <w:pPr>
              <w:tabs>
                <w:tab w:val="left" w:pos="567"/>
              </w:tabs>
              <w:autoSpaceDE w:val="0"/>
              <w:autoSpaceDN w:val="0"/>
              <w:adjustRightInd w:val="0"/>
              <w:rPr>
                <w:sz w:val="22"/>
                <w:szCs w:val="22"/>
                <w:lang w:val="lt-LT"/>
              </w:rPr>
            </w:pPr>
            <w:r w:rsidRPr="00211E3B">
              <w:rPr>
                <w:sz w:val="22"/>
                <w:szCs w:val="22"/>
                <w:lang w:val="lt-LT"/>
              </w:rPr>
              <w:t>Sunkus viduriavimas</w:t>
            </w:r>
          </w:p>
        </w:tc>
        <w:tc>
          <w:tcPr>
            <w:tcW w:w="714" w:type="pct"/>
            <w:tcBorders>
              <w:top w:val="single" w:sz="4" w:space="0" w:color="auto"/>
              <w:left w:val="single" w:sz="4" w:space="0" w:color="auto"/>
              <w:bottom w:val="single" w:sz="4" w:space="0" w:color="auto"/>
              <w:right w:val="single" w:sz="4" w:space="0" w:color="auto"/>
            </w:tcBorders>
            <w:vAlign w:val="center"/>
            <w:hideMark/>
          </w:tcPr>
          <w:p w14:paraId="25B98B7A" w14:textId="146D9775" w:rsidR="009E34BE" w:rsidRPr="009E34BE" w:rsidRDefault="009E34BE" w:rsidP="009E34BE">
            <w:pPr>
              <w:tabs>
                <w:tab w:val="left" w:pos="567"/>
              </w:tabs>
              <w:autoSpaceDE w:val="0"/>
              <w:autoSpaceDN w:val="0"/>
              <w:adjustRightInd w:val="0"/>
              <w:jc w:val="center"/>
              <w:rPr>
                <w:sz w:val="22"/>
                <w:szCs w:val="22"/>
                <w:lang w:val="lt-LT"/>
              </w:rPr>
            </w:pPr>
            <w:r w:rsidRPr="009E34BE">
              <w:rPr>
                <w:sz w:val="22"/>
                <w:szCs w:val="22"/>
                <w:lang w:val="lt-LT"/>
              </w:rPr>
              <w:t>0</w:t>
            </w:r>
            <w:r w:rsidR="001B0079" w:rsidRPr="00211E3B">
              <w:rPr>
                <w:sz w:val="22"/>
                <w:szCs w:val="22"/>
                <w:lang w:val="lt-LT"/>
              </w:rPr>
              <w:t>,</w:t>
            </w:r>
            <w:r w:rsidRPr="009E34BE">
              <w:rPr>
                <w:sz w:val="22"/>
                <w:szCs w:val="22"/>
                <w:lang w:val="lt-LT"/>
              </w:rPr>
              <w:t>5</w:t>
            </w:r>
            <w:r w:rsidR="0085390D">
              <w:rPr>
                <w:sz w:val="22"/>
                <w:szCs w:val="22"/>
                <w:lang w:val="lt-LT"/>
              </w:rPr>
              <w:t> %</w:t>
            </w:r>
          </w:p>
        </w:tc>
        <w:tc>
          <w:tcPr>
            <w:tcW w:w="714" w:type="pct"/>
            <w:tcBorders>
              <w:top w:val="single" w:sz="4" w:space="0" w:color="auto"/>
              <w:left w:val="single" w:sz="4" w:space="0" w:color="auto"/>
              <w:bottom w:val="single" w:sz="4" w:space="0" w:color="auto"/>
              <w:right w:val="single" w:sz="4" w:space="0" w:color="auto"/>
            </w:tcBorders>
            <w:vAlign w:val="center"/>
            <w:hideMark/>
          </w:tcPr>
          <w:p w14:paraId="5A28934C" w14:textId="0D98EB4F" w:rsidR="009E34BE" w:rsidRPr="009E34BE" w:rsidRDefault="009E34BE" w:rsidP="009E34BE">
            <w:pPr>
              <w:tabs>
                <w:tab w:val="left" w:pos="567"/>
              </w:tabs>
              <w:autoSpaceDE w:val="0"/>
              <w:autoSpaceDN w:val="0"/>
              <w:adjustRightInd w:val="0"/>
              <w:jc w:val="center"/>
              <w:rPr>
                <w:sz w:val="22"/>
                <w:szCs w:val="22"/>
                <w:lang w:val="lt-LT"/>
              </w:rPr>
            </w:pPr>
            <w:r w:rsidRPr="009E34BE">
              <w:rPr>
                <w:sz w:val="22"/>
                <w:szCs w:val="22"/>
                <w:lang w:val="lt-LT"/>
              </w:rPr>
              <w:t>3</w:t>
            </w:r>
            <w:r w:rsidR="001B0079" w:rsidRPr="00211E3B">
              <w:rPr>
                <w:sz w:val="22"/>
                <w:szCs w:val="22"/>
                <w:lang w:val="lt-LT"/>
              </w:rPr>
              <w:t>,</w:t>
            </w:r>
            <w:r w:rsidRPr="009E34BE">
              <w:rPr>
                <w:sz w:val="22"/>
                <w:szCs w:val="22"/>
                <w:lang w:val="lt-LT"/>
              </w:rPr>
              <w:t>3</w:t>
            </w:r>
            <w:r w:rsidR="0085390D">
              <w:rPr>
                <w:sz w:val="22"/>
                <w:szCs w:val="22"/>
                <w:lang w:val="lt-LT"/>
              </w:rPr>
              <w:t> %</w:t>
            </w:r>
          </w:p>
        </w:tc>
        <w:tc>
          <w:tcPr>
            <w:tcW w:w="714" w:type="pct"/>
            <w:tcBorders>
              <w:top w:val="single" w:sz="4" w:space="0" w:color="auto"/>
              <w:left w:val="single" w:sz="4" w:space="0" w:color="auto"/>
              <w:bottom w:val="single" w:sz="4" w:space="0" w:color="auto"/>
              <w:right w:val="single" w:sz="4" w:space="0" w:color="auto"/>
            </w:tcBorders>
            <w:vAlign w:val="center"/>
            <w:hideMark/>
          </w:tcPr>
          <w:p w14:paraId="61A7AB7D" w14:textId="7D4E88EF" w:rsidR="009E34BE" w:rsidRPr="009E34BE" w:rsidRDefault="009E34BE" w:rsidP="009E34BE">
            <w:pPr>
              <w:tabs>
                <w:tab w:val="left" w:pos="567"/>
              </w:tabs>
              <w:autoSpaceDE w:val="0"/>
              <w:autoSpaceDN w:val="0"/>
              <w:adjustRightInd w:val="0"/>
              <w:jc w:val="center"/>
              <w:rPr>
                <w:sz w:val="22"/>
                <w:szCs w:val="22"/>
                <w:lang w:val="lt-LT"/>
              </w:rPr>
            </w:pPr>
            <w:r w:rsidRPr="009E34BE">
              <w:rPr>
                <w:sz w:val="22"/>
                <w:szCs w:val="22"/>
                <w:lang w:val="lt-LT"/>
              </w:rPr>
              <w:t>0</w:t>
            </w:r>
            <w:r w:rsidR="001B0079" w:rsidRPr="00211E3B">
              <w:rPr>
                <w:sz w:val="22"/>
                <w:szCs w:val="22"/>
                <w:lang w:val="lt-LT"/>
              </w:rPr>
              <w:t>,</w:t>
            </w:r>
            <w:r w:rsidRPr="009E34BE">
              <w:rPr>
                <w:sz w:val="22"/>
                <w:szCs w:val="22"/>
                <w:lang w:val="lt-LT"/>
              </w:rPr>
              <w:t>9</w:t>
            </w:r>
            <w:r w:rsidR="0085390D">
              <w:rPr>
                <w:sz w:val="22"/>
                <w:szCs w:val="22"/>
                <w:lang w:val="lt-LT"/>
              </w:rPr>
              <w:t> %</w:t>
            </w:r>
          </w:p>
        </w:tc>
        <w:tc>
          <w:tcPr>
            <w:tcW w:w="715" w:type="pct"/>
            <w:tcBorders>
              <w:top w:val="single" w:sz="4" w:space="0" w:color="auto"/>
              <w:left w:val="single" w:sz="4" w:space="0" w:color="auto"/>
              <w:bottom w:val="single" w:sz="4" w:space="0" w:color="auto"/>
              <w:right w:val="single" w:sz="4" w:space="0" w:color="auto"/>
            </w:tcBorders>
            <w:vAlign w:val="center"/>
            <w:hideMark/>
          </w:tcPr>
          <w:p w14:paraId="786AD54A" w14:textId="0D2EB255" w:rsidR="009E34BE" w:rsidRPr="009E34BE" w:rsidRDefault="009E34BE" w:rsidP="009E34BE">
            <w:pPr>
              <w:tabs>
                <w:tab w:val="left" w:pos="567"/>
              </w:tabs>
              <w:autoSpaceDE w:val="0"/>
              <w:autoSpaceDN w:val="0"/>
              <w:adjustRightInd w:val="0"/>
              <w:jc w:val="center"/>
              <w:rPr>
                <w:sz w:val="22"/>
                <w:szCs w:val="22"/>
                <w:lang w:val="lt-LT"/>
              </w:rPr>
            </w:pPr>
            <w:r w:rsidRPr="009E34BE">
              <w:rPr>
                <w:sz w:val="22"/>
                <w:szCs w:val="22"/>
                <w:lang w:val="lt-LT"/>
              </w:rPr>
              <w:t>2</w:t>
            </w:r>
            <w:r w:rsidR="001B0079" w:rsidRPr="00211E3B">
              <w:rPr>
                <w:sz w:val="22"/>
                <w:szCs w:val="22"/>
                <w:lang w:val="lt-LT"/>
              </w:rPr>
              <w:t>,</w:t>
            </w:r>
            <w:r w:rsidRPr="009E34BE">
              <w:rPr>
                <w:sz w:val="22"/>
                <w:szCs w:val="22"/>
                <w:lang w:val="lt-LT"/>
              </w:rPr>
              <w:t>4</w:t>
            </w:r>
            <w:r w:rsidR="0085390D">
              <w:rPr>
                <w:sz w:val="22"/>
                <w:szCs w:val="22"/>
                <w:lang w:val="lt-LT"/>
              </w:rPr>
              <w:t> %</w:t>
            </w:r>
          </w:p>
        </w:tc>
        <w:tc>
          <w:tcPr>
            <w:tcW w:w="715" w:type="pct"/>
            <w:tcBorders>
              <w:top w:val="single" w:sz="4" w:space="0" w:color="auto"/>
              <w:left w:val="single" w:sz="4" w:space="0" w:color="auto"/>
              <w:bottom w:val="single" w:sz="4" w:space="0" w:color="auto"/>
              <w:right w:val="single" w:sz="4" w:space="0" w:color="auto"/>
            </w:tcBorders>
            <w:vAlign w:val="center"/>
            <w:hideMark/>
          </w:tcPr>
          <w:p w14:paraId="358573E4" w14:textId="5AC409F6" w:rsidR="009E34BE" w:rsidRPr="009E34BE" w:rsidRDefault="009E34BE" w:rsidP="009E34BE">
            <w:pPr>
              <w:tabs>
                <w:tab w:val="left" w:pos="567"/>
              </w:tabs>
              <w:autoSpaceDE w:val="0"/>
              <w:autoSpaceDN w:val="0"/>
              <w:adjustRightInd w:val="0"/>
              <w:jc w:val="center"/>
              <w:rPr>
                <w:sz w:val="22"/>
                <w:szCs w:val="22"/>
                <w:lang w:val="lt-LT"/>
              </w:rPr>
            </w:pPr>
            <w:r w:rsidRPr="009E34BE">
              <w:rPr>
                <w:sz w:val="22"/>
                <w:szCs w:val="22"/>
                <w:lang w:val="lt-LT"/>
              </w:rPr>
              <w:t>1</w:t>
            </w:r>
            <w:r w:rsidR="001B0079" w:rsidRPr="00211E3B">
              <w:rPr>
                <w:sz w:val="22"/>
                <w:szCs w:val="22"/>
                <w:lang w:val="lt-LT"/>
              </w:rPr>
              <w:t>,</w:t>
            </w:r>
            <w:r w:rsidRPr="009E34BE">
              <w:rPr>
                <w:sz w:val="22"/>
                <w:szCs w:val="22"/>
                <w:lang w:val="lt-LT"/>
              </w:rPr>
              <w:t>0</w:t>
            </w:r>
            <w:r w:rsidR="0085390D">
              <w:rPr>
                <w:sz w:val="22"/>
                <w:szCs w:val="22"/>
                <w:lang w:val="lt-LT"/>
              </w:rPr>
              <w:t> %</w:t>
            </w:r>
          </w:p>
        </w:tc>
        <w:tc>
          <w:tcPr>
            <w:tcW w:w="714" w:type="pct"/>
            <w:tcBorders>
              <w:top w:val="single" w:sz="4" w:space="0" w:color="auto"/>
              <w:left w:val="single" w:sz="4" w:space="0" w:color="auto"/>
              <w:bottom w:val="single" w:sz="4" w:space="0" w:color="auto"/>
              <w:right w:val="single" w:sz="4" w:space="0" w:color="auto"/>
            </w:tcBorders>
            <w:vAlign w:val="center"/>
            <w:hideMark/>
          </w:tcPr>
          <w:p w14:paraId="5BBBBCFB" w14:textId="16BE0250" w:rsidR="009E34BE" w:rsidRPr="009E34BE" w:rsidRDefault="009E34BE" w:rsidP="009E34BE">
            <w:pPr>
              <w:tabs>
                <w:tab w:val="left" w:pos="567"/>
              </w:tabs>
              <w:autoSpaceDE w:val="0"/>
              <w:autoSpaceDN w:val="0"/>
              <w:adjustRightInd w:val="0"/>
              <w:jc w:val="center"/>
              <w:rPr>
                <w:sz w:val="22"/>
                <w:szCs w:val="22"/>
                <w:lang w:val="lt-LT"/>
              </w:rPr>
            </w:pPr>
            <w:r w:rsidRPr="009E34BE">
              <w:rPr>
                <w:sz w:val="22"/>
                <w:szCs w:val="22"/>
                <w:lang w:val="lt-LT"/>
              </w:rPr>
              <w:t>4</w:t>
            </w:r>
            <w:r w:rsidR="001B0079" w:rsidRPr="00211E3B">
              <w:rPr>
                <w:sz w:val="22"/>
                <w:szCs w:val="22"/>
                <w:lang w:val="lt-LT"/>
              </w:rPr>
              <w:t>,</w:t>
            </w:r>
            <w:r w:rsidRPr="009E34BE">
              <w:rPr>
                <w:sz w:val="22"/>
                <w:szCs w:val="22"/>
                <w:lang w:val="lt-LT"/>
              </w:rPr>
              <w:t>2</w:t>
            </w:r>
            <w:r w:rsidR="0085390D">
              <w:rPr>
                <w:sz w:val="22"/>
                <w:szCs w:val="22"/>
                <w:lang w:val="lt-LT"/>
              </w:rPr>
              <w:t> %</w:t>
            </w:r>
          </w:p>
        </w:tc>
      </w:tr>
      <w:tr w:rsidR="009E34BE" w:rsidRPr="009E34BE" w14:paraId="190EC1FF" w14:textId="77777777" w:rsidTr="009E34BE">
        <w:tc>
          <w:tcPr>
            <w:tcW w:w="714" w:type="pct"/>
            <w:tcBorders>
              <w:top w:val="single" w:sz="4" w:space="0" w:color="auto"/>
              <w:left w:val="single" w:sz="4" w:space="0" w:color="auto"/>
              <w:bottom w:val="single" w:sz="4" w:space="0" w:color="auto"/>
              <w:right w:val="single" w:sz="4" w:space="0" w:color="auto"/>
            </w:tcBorders>
            <w:hideMark/>
          </w:tcPr>
          <w:p w14:paraId="5F50A290" w14:textId="1FA45B53" w:rsidR="009E34BE" w:rsidRPr="009E34BE" w:rsidRDefault="001F1298" w:rsidP="001F1298">
            <w:pPr>
              <w:tabs>
                <w:tab w:val="left" w:pos="567"/>
              </w:tabs>
              <w:autoSpaceDE w:val="0"/>
              <w:autoSpaceDN w:val="0"/>
              <w:adjustRightInd w:val="0"/>
              <w:rPr>
                <w:sz w:val="22"/>
                <w:szCs w:val="22"/>
                <w:lang w:val="lt-LT"/>
              </w:rPr>
            </w:pPr>
            <w:r w:rsidRPr="00211E3B">
              <w:rPr>
                <w:sz w:val="22"/>
                <w:szCs w:val="22"/>
                <w:lang w:val="lt-LT"/>
              </w:rPr>
              <w:t xml:space="preserve">Viduriavimas, dėl kurio sumažinta </w:t>
            </w:r>
            <w:r w:rsidRPr="00211E3B">
              <w:rPr>
                <w:sz w:val="22"/>
                <w:szCs w:val="22"/>
                <w:lang w:val="lt-LT"/>
              </w:rPr>
              <w:lastRenderedPageBreak/>
              <w:t>nintedanibo dozė</w:t>
            </w:r>
          </w:p>
        </w:tc>
        <w:tc>
          <w:tcPr>
            <w:tcW w:w="714" w:type="pct"/>
            <w:tcBorders>
              <w:top w:val="single" w:sz="4" w:space="0" w:color="auto"/>
              <w:left w:val="single" w:sz="4" w:space="0" w:color="auto"/>
              <w:bottom w:val="single" w:sz="4" w:space="0" w:color="auto"/>
              <w:right w:val="single" w:sz="4" w:space="0" w:color="auto"/>
            </w:tcBorders>
            <w:vAlign w:val="center"/>
            <w:hideMark/>
          </w:tcPr>
          <w:p w14:paraId="33796633" w14:textId="3D78A697" w:rsidR="009E34BE" w:rsidRPr="009E34BE" w:rsidRDefault="009E34BE" w:rsidP="009E34BE">
            <w:pPr>
              <w:tabs>
                <w:tab w:val="left" w:pos="567"/>
              </w:tabs>
              <w:autoSpaceDE w:val="0"/>
              <w:autoSpaceDN w:val="0"/>
              <w:adjustRightInd w:val="0"/>
              <w:jc w:val="center"/>
              <w:rPr>
                <w:sz w:val="22"/>
                <w:szCs w:val="22"/>
                <w:lang w:val="lt-LT"/>
              </w:rPr>
            </w:pPr>
            <w:r w:rsidRPr="009E34BE">
              <w:rPr>
                <w:sz w:val="22"/>
                <w:szCs w:val="22"/>
                <w:lang w:val="lt-LT"/>
              </w:rPr>
              <w:lastRenderedPageBreak/>
              <w:t>0</w:t>
            </w:r>
            <w:r w:rsidR="0085390D">
              <w:rPr>
                <w:sz w:val="22"/>
                <w:szCs w:val="22"/>
                <w:lang w:val="lt-LT"/>
              </w:rPr>
              <w:t> %</w:t>
            </w:r>
          </w:p>
        </w:tc>
        <w:tc>
          <w:tcPr>
            <w:tcW w:w="714" w:type="pct"/>
            <w:tcBorders>
              <w:top w:val="single" w:sz="4" w:space="0" w:color="auto"/>
              <w:left w:val="single" w:sz="4" w:space="0" w:color="auto"/>
              <w:bottom w:val="single" w:sz="4" w:space="0" w:color="auto"/>
              <w:right w:val="single" w:sz="4" w:space="0" w:color="auto"/>
            </w:tcBorders>
            <w:vAlign w:val="center"/>
            <w:hideMark/>
          </w:tcPr>
          <w:p w14:paraId="53527DFB" w14:textId="6B3888CA" w:rsidR="009E34BE" w:rsidRPr="009E34BE" w:rsidRDefault="009E34BE" w:rsidP="009E34BE">
            <w:pPr>
              <w:tabs>
                <w:tab w:val="left" w:pos="567"/>
              </w:tabs>
              <w:autoSpaceDE w:val="0"/>
              <w:autoSpaceDN w:val="0"/>
              <w:adjustRightInd w:val="0"/>
              <w:jc w:val="center"/>
              <w:rPr>
                <w:sz w:val="22"/>
                <w:szCs w:val="22"/>
                <w:lang w:val="lt-LT"/>
              </w:rPr>
            </w:pPr>
            <w:r w:rsidRPr="009E34BE">
              <w:rPr>
                <w:sz w:val="22"/>
                <w:szCs w:val="22"/>
                <w:lang w:val="lt-LT"/>
              </w:rPr>
              <w:t>10</w:t>
            </w:r>
            <w:r w:rsidR="001B0079" w:rsidRPr="00211E3B">
              <w:rPr>
                <w:sz w:val="22"/>
                <w:szCs w:val="22"/>
                <w:lang w:val="lt-LT"/>
              </w:rPr>
              <w:t>,</w:t>
            </w:r>
            <w:r w:rsidRPr="009E34BE">
              <w:rPr>
                <w:sz w:val="22"/>
                <w:szCs w:val="22"/>
                <w:lang w:val="lt-LT"/>
              </w:rPr>
              <w:t>7</w:t>
            </w:r>
            <w:r w:rsidR="0085390D">
              <w:rPr>
                <w:sz w:val="22"/>
                <w:szCs w:val="22"/>
                <w:lang w:val="lt-LT"/>
              </w:rPr>
              <w:t> %</w:t>
            </w:r>
          </w:p>
        </w:tc>
        <w:tc>
          <w:tcPr>
            <w:tcW w:w="714" w:type="pct"/>
            <w:tcBorders>
              <w:top w:val="single" w:sz="4" w:space="0" w:color="auto"/>
              <w:left w:val="single" w:sz="4" w:space="0" w:color="auto"/>
              <w:bottom w:val="single" w:sz="4" w:space="0" w:color="auto"/>
              <w:right w:val="single" w:sz="4" w:space="0" w:color="auto"/>
            </w:tcBorders>
            <w:vAlign w:val="center"/>
            <w:hideMark/>
          </w:tcPr>
          <w:p w14:paraId="1EB7DCA7" w14:textId="4A0F4360" w:rsidR="009E34BE" w:rsidRPr="009E34BE" w:rsidRDefault="009E34BE" w:rsidP="009E34BE">
            <w:pPr>
              <w:tabs>
                <w:tab w:val="left" w:pos="567"/>
              </w:tabs>
              <w:autoSpaceDE w:val="0"/>
              <w:autoSpaceDN w:val="0"/>
              <w:adjustRightInd w:val="0"/>
              <w:jc w:val="center"/>
              <w:rPr>
                <w:sz w:val="22"/>
                <w:szCs w:val="22"/>
                <w:lang w:val="lt-LT"/>
              </w:rPr>
            </w:pPr>
            <w:r w:rsidRPr="009E34BE">
              <w:rPr>
                <w:sz w:val="22"/>
                <w:szCs w:val="22"/>
                <w:lang w:val="lt-LT"/>
              </w:rPr>
              <w:t>0</w:t>
            </w:r>
            <w:r w:rsidR="001B0079" w:rsidRPr="00211E3B">
              <w:rPr>
                <w:sz w:val="22"/>
                <w:szCs w:val="22"/>
                <w:lang w:val="lt-LT"/>
              </w:rPr>
              <w:t>,</w:t>
            </w:r>
            <w:r w:rsidRPr="009E34BE">
              <w:rPr>
                <w:sz w:val="22"/>
                <w:szCs w:val="22"/>
                <w:lang w:val="lt-LT"/>
              </w:rPr>
              <w:t>9</w:t>
            </w:r>
            <w:r w:rsidR="0085390D">
              <w:rPr>
                <w:sz w:val="22"/>
                <w:szCs w:val="22"/>
                <w:lang w:val="lt-LT"/>
              </w:rPr>
              <w:t> %</w:t>
            </w:r>
          </w:p>
        </w:tc>
        <w:tc>
          <w:tcPr>
            <w:tcW w:w="715" w:type="pct"/>
            <w:tcBorders>
              <w:top w:val="single" w:sz="4" w:space="0" w:color="auto"/>
              <w:left w:val="single" w:sz="4" w:space="0" w:color="auto"/>
              <w:bottom w:val="single" w:sz="4" w:space="0" w:color="auto"/>
              <w:right w:val="single" w:sz="4" w:space="0" w:color="auto"/>
            </w:tcBorders>
            <w:vAlign w:val="center"/>
            <w:hideMark/>
          </w:tcPr>
          <w:p w14:paraId="0E98BDAD" w14:textId="64EC3639" w:rsidR="009E34BE" w:rsidRPr="009E34BE" w:rsidRDefault="009E34BE" w:rsidP="009E34BE">
            <w:pPr>
              <w:tabs>
                <w:tab w:val="left" w:pos="567"/>
              </w:tabs>
              <w:autoSpaceDE w:val="0"/>
              <w:autoSpaceDN w:val="0"/>
              <w:adjustRightInd w:val="0"/>
              <w:jc w:val="center"/>
              <w:rPr>
                <w:sz w:val="22"/>
                <w:szCs w:val="22"/>
                <w:lang w:val="lt-LT"/>
              </w:rPr>
            </w:pPr>
            <w:r w:rsidRPr="009E34BE">
              <w:rPr>
                <w:sz w:val="22"/>
                <w:szCs w:val="22"/>
                <w:lang w:val="lt-LT"/>
              </w:rPr>
              <w:t>16</w:t>
            </w:r>
            <w:r w:rsidR="001B0079" w:rsidRPr="00211E3B">
              <w:rPr>
                <w:sz w:val="22"/>
                <w:szCs w:val="22"/>
                <w:lang w:val="lt-LT"/>
              </w:rPr>
              <w:t>,</w:t>
            </w:r>
            <w:r w:rsidRPr="009E34BE">
              <w:rPr>
                <w:sz w:val="22"/>
                <w:szCs w:val="22"/>
                <w:lang w:val="lt-LT"/>
              </w:rPr>
              <w:t>0</w:t>
            </w:r>
            <w:r w:rsidR="0085390D">
              <w:rPr>
                <w:sz w:val="22"/>
                <w:szCs w:val="22"/>
                <w:lang w:val="lt-LT"/>
              </w:rPr>
              <w:t> %</w:t>
            </w:r>
          </w:p>
        </w:tc>
        <w:tc>
          <w:tcPr>
            <w:tcW w:w="715" w:type="pct"/>
            <w:tcBorders>
              <w:top w:val="single" w:sz="4" w:space="0" w:color="auto"/>
              <w:left w:val="single" w:sz="4" w:space="0" w:color="auto"/>
              <w:bottom w:val="single" w:sz="4" w:space="0" w:color="auto"/>
              <w:right w:val="single" w:sz="4" w:space="0" w:color="auto"/>
            </w:tcBorders>
            <w:vAlign w:val="center"/>
            <w:hideMark/>
          </w:tcPr>
          <w:p w14:paraId="14B14282" w14:textId="0B0ABB6A" w:rsidR="009E34BE" w:rsidRPr="009E34BE" w:rsidRDefault="009E34BE" w:rsidP="009E34BE">
            <w:pPr>
              <w:tabs>
                <w:tab w:val="left" w:pos="567"/>
              </w:tabs>
              <w:autoSpaceDE w:val="0"/>
              <w:autoSpaceDN w:val="0"/>
              <w:adjustRightInd w:val="0"/>
              <w:jc w:val="center"/>
              <w:rPr>
                <w:sz w:val="22"/>
                <w:szCs w:val="22"/>
                <w:lang w:val="lt-LT"/>
              </w:rPr>
            </w:pPr>
            <w:r w:rsidRPr="009E34BE">
              <w:rPr>
                <w:sz w:val="22"/>
                <w:szCs w:val="22"/>
                <w:lang w:val="lt-LT"/>
              </w:rPr>
              <w:t>1</w:t>
            </w:r>
            <w:r w:rsidR="001B0079" w:rsidRPr="00211E3B">
              <w:rPr>
                <w:sz w:val="22"/>
                <w:szCs w:val="22"/>
                <w:lang w:val="lt-LT"/>
              </w:rPr>
              <w:t>,</w:t>
            </w:r>
            <w:r w:rsidRPr="009E34BE">
              <w:rPr>
                <w:sz w:val="22"/>
                <w:szCs w:val="22"/>
                <w:lang w:val="lt-LT"/>
              </w:rPr>
              <w:t>0</w:t>
            </w:r>
            <w:r w:rsidR="0085390D">
              <w:rPr>
                <w:sz w:val="22"/>
                <w:szCs w:val="22"/>
                <w:lang w:val="lt-LT"/>
              </w:rPr>
              <w:t> %</w:t>
            </w:r>
          </w:p>
        </w:tc>
        <w:tc>
          <w:tcPr>
            <w:tcW w:w="714" w:type="pct"/>
            <w:tcBorders>
              <w:top w:val="single" w:sz="4" w:space="0" w:color="auto"/>
              <w:left w:val="single" w:sz="4" w:space="0" w:color="auto"/>
              <w:bottom w:val="single" w:sz="4" w:space="0" w:color="auto"/>
              <w:right w:val="single" w:sz="4" w:space="0" w:color="auto"/>
            </w:tcBorders>
            <w:vAlign w:val="center"/>
            <w:hideMark/>
          </w:tcPr>
          <w:p w14:paraId="6F513297" w14:textId="4DBE99C6" w:rsidR="009E34BE" w:rsidRPr="009E34BE" w:rsidRDefault="009E34BE" w:rsidP="009E34BE">
            <w:pPr>
              <w:tabs>
                <w:tab w:val="left" w:pos="567"/>
              </w:tabs>
              <w:autoSpaceDE w:val="0"/>
              <w:autoSpaceDN w:val="0"/>
              <w:adjustRightInd w:val="0"/>
              <w:jc w:val="center"/>
              <w:rPr>
                <w:sz w:val="22"/>
                <w:szCs w:val="22"/>
                <w:lang w:val="lt-LT"/>
              </w:rPr>
            </w:pPr>
            <w:r w:rsidRPr="009E34BE">
              <w:rPr>
                <w:sz w:val="22"/>
                <w:szCs w:val="22"/>
                <w:lang w:val="lt-LT"/>
              </w:rPr>
              <w:t>22</w:t>
            </w:r>
            <w:r w:rsidR="001B0079" w:rsidRPr="00211E3B">
              <w:rPr>
                <w:sz w:val="22"/>
                <w:szCs w:val="22"/>
                <w:lang w:val="lt-LT"/>
              </w:rPr>
              <w:t>,</w:t>
            </w:r>
            <w:r w:rsidRPr="009E34BE">
              <w:rPr>
                <w:sz w:val="22"/>
                <w:szCs w:val="22"/>
                <w:lang w:val="lt-LT"/>
              </w:rPr>
              <w:t>2</w:t>
            </w:r>
            <w:r w:rsidR="0085390D">
              <w:rPr>
                <w:sz w:val="22"/>
                <w:szCs w:val="22"/>
                <w:lang w:val="lt-LT"/>
              </w:rPr>
              <w:t> %</w:t>
            </w:r>
          </w:p>
        </w:tc>
      </w:tr>
      <w:tr w:rsidR="009E34BE" w:rsidRPr="009E34BE" w14:paraId="271ADD3E" w14:textId="77777777" w:rsidTr="009E34BE">
        <w:tc>
          <w:tcPr>
            <w:tcW w:w="714" w:type="pct"/>
            <w:tcBorders>
              <w:top w:val="single" w:sz="4" w:space="0" w:color="auto"/>
              <w:left w:val="single" w:sz="4" w:space="0" w:color="auto"/>
              <w:bottom w:val="single" w:sz="4" w:space="0" w:color="auto"/>
              <w:right w:val="single" w:sz="4" w:space="0" w:color="auto"/>
            </w:tcBorders>
            <w:hideMark/>
          </w:tcPr>
          <w:p w14:paraId="6634FFEB" w14:textId="6D63C5E9" w:rsidR="009E34BE" w:rsidRPr="009E34BE" w:rsidRDefault="001F1298" w:rsidP="001F1298">
            <w:pPr>
              <w:tabs>
                <w:tab w:val="left" w:pos="567"/>
              </w:tabs>
              <w:autoSpaceDE w:val="0"/>
              <w:autoSpaceDN w:val="0"/>
              <w:adjustRightInd w:val="0"/>
              <w:rPr>
                <w:sz w:val="22"/>
                <w:szCs w:val="22"/>
                <w:lang w:val="lt-LT"/>
              </w:rPr>
            </w:pPr>
            <w:r w:rsidRPr="00211E3B">
              <w:rPr>
                <w:sz w:val="22"/>
                <w:szCs w:val="22"/>
                <w:lang w:val="lt-LT"/>
              </w:rPr>
              <w:t>Viduriavimas, dėl kurio nutrauktas nintedanibo vartojimas</w:t>
            </w:r>
          </w:p>
        </w:tc>
        <w:tc>
          <w:tcPr>
            <w:tcW w:w="714" w:type="pct"/>
            <w:tcBorders>
              <w:top w:val="single" w:sz="4" w:space="0" w:color="auto"/>
              <w:left w:val="single" w:sz="4" w:space="0" w:color="auto"/>
              <w:bottom w:val="single" w:sz="4" w:space="0" w:color="auto"/>
              <w:right w:val="single" w:sz="4" w:space="0" w:color="auto"/>
            </w:tcBorders>
            <w:vAlign w:val="center"/>
            <w:hideMark/>
          </w:tcPr>
          <w:p w14:paraId="1A4AC1A0" w14:textId="30749A92" w:rsidR="009E34BE" w:rsidRPr="009E34BE" w:rsidRDefault="009E34BE" w:rsidP="009E34BE">
            <w:pPr>
              <w:tabs>
                <w:tab w:val="left" w:pos="567"/>
              </w:tabs>
              <w:autoSpaceDE w:val="0"/>
              <w:autoSpaceDN w:val="0"/>
              <w:adjustRightInd w:val="0"/>
              <w:jc w:val="center"/>
              <w:rPr>
                <w:sz w:val="22"/>
                <w:szCs w:val="22"/>
                <w:lang w:val="lt-LT"/>
              </w:rPr>
            </w:pPr>
            <w:r w:rsidRPr="009E34BE">
              <w:rPr>
                <w:sz w:val="22"/>
                <w:szCs w:val="22"/>
                <w:lang w:val="lt-LT"/>
              </w:rPr>
              <w:t>0</w:t>
            </w:r>
            <w:r w:rsidR="001B0079" w:rsidRPr="00211E3B">
              <w:rPr>
                <w:sz w:val="22"/>
                <w:szCs w:val="22"/>
                <w:lang w:val="lt-LT"/>
              </w:rPr>
              <w:t>,</w:t>
            </w:r>
            <w:r w:rsidRPr="009E34BE">
              <w:rPr>
                <w:sz w:val="22"/>
                <w:szCs w:val="22"/>
                <w:lang w:val="lt-LT"/>
              </w:rPr>
              <w:t>2</w:t>
            </w:r>
            <w:r w:rsidR="0085390D">
              <w:rPr>
                <w:sz w:val="22"/>
                <w:szCs w:val="22"/>
                <w:lang w:val="lt-LT"/>
              </w:rPr>
              <w:t> %</w:t>
            </w:r>
          </w:p>
        </w:tc>
        <w:tc>
          <w:tcPr>
            <w:tcW w:w="714" w:type="pct"/>
            <w:tcBorders>
              <w:top w:val="single" w:sz="4" w:space="0" w:color="auto"/>
              <w:left w:val="single" w:sz="4" w:space="0" w:color="auto"/>
              <w:bottom w:val="single" w:sz="4" w:space="0" w:color="auto"/>
              <w:right w:val="single" w:sz="4" w:space="0" w:color="auto"/>
            </w:tcBorders>
            <w:vAlign w:val="center"/>
            <w:hideMark/>
          </w:tcPr>
          <w:p w14:paraId="40F2D624" w14:textId="221AAE47" w:rsidR="009E34BE" w:rsidRPr="009E34BE" w:rsidRDefault="009E34BE" w:rsidP="009E34BE">
            <w:pPr>
              <w:tabs>
                <w:tab w:val="left" w:pos="567"/>
              </w:tabs>
              <w:autoSpaceDE w:val="0"/>
              <w:autoSpaceDN w:val="0"/>
              <w:adjustRightInd w:val="0"/>
              <w:jc w:val="center"/>
              <w:rPr>
                <w:sz w:val="22"/>
                <w:szCs w:val="22"/>
                <w:lang w:val="lt-LT"/>
              </w:rPr>
            </w:pPr>
            <w:r w:rsidRPr="009E34BE">
              <w:rPr>
                <w:sz w:val="22"/>
                <w:szCs w:val="22"/>
                <w:lang w:val="lt-LT"/>
              </w:rPr>
              <w:t>4</w:t>
            </w:r>
            <w:r w:rsidR="001B0079" w:rsidRPr="00211E3B">
              <w:rPr>
                <w:sz w:val="22"/>
                <w:szCs w:val="22"/>
                <w:lang w:val="lt-LT"/>
              </w:rPr>
              <w:t>,</w:t>
            </w:r>
            <w:r w:rsidRPr="009E34BE">
              <w:rPr>
                <w:sz w:val="22"/>
                <w:szCs w:val="22"/>
                <w:lang w:val="lt-LT"/>
              </w:rPr>
              <w:t>4</w:t>
            </w:r>
            <w:r w:rsidR="0085390D">
              <w:rPr>
                <w:sz w:val="22"/>
                <w:szCs w:val="22"/>
                <w:lang w:val="lt-LT"/>
              </w:rPr>
              <w:t> %</w:t>
            </w:r>
          </w:p>
        </w:tc>
        <w:tc>
          <w:tcPr>
            <w:tcW w:w="714" w:type="pct"/>
            <w:tcBorders>
              <w:top w:val="single" w:sz="4" w:space="0" w:color="auto"/>
              <w:left w:val="single" w:sz="4" w:space="0" w:color="auto"/>
              <w:bottom w:val="single" w:sz="4" w:space="0" w:color="auto"/>
              <w:right w:val="single" w:sz="4" w:space="0" w:color="auto"/>
            </w:tcBorders>
            <w:vAlign w:val="center"/>
            <w:hideMark/>
          </w:tcPr>
          <w:p w14:paraId="3F0DF3B4" w14:textId="3A4263EC" w:rsidR="009E34BE" w:rsidRPr="009E34BE" w:rsidRDefault="009E34BE" w:rsidP="009E34BE">
            <w:pPr>
              <w:tabs>
                <w:tab w:val="left" w:pos="567"/>
              </w:tabs>
              <w:autoSpaceDE w:val="0"/>
              <w:autoSpaceDN w:val="0"/>
              <w:adjustRightInd w:val="0"/>
              <w:jc w:val="center"/>
              <w:rPr>
                <w:sz w:val="22"/>
                <w:szCs w:val="22"/>
                <w:lang w:val="lt-LT"/>
              </w:rPr>
            </w:pPr>
            <w:r w:rsidRPr="009E34BE">
              <w:rPr>
                <w:sz w:val="22"/>
                <w:szCs w:val="22"/>
                <w:lang w:val="lt-LT"/>
              </w:rPr>
              <w:t>0</w:t>
            </w:r>
            <w:r w:rsidR="001B0079" w:rsidRPr="00211E3B">
              <w:rPr>
                <w:sz w:val="22"/>
                <w:szCs w:val="22"/>
                <w:lang w:val="lt-LT"/>
              </w:rPr>
              <w:t>,</w:t>
            </w:r>
            <w:r w:rsidRPr="009E34BE">
              <w:rPr>
                <w:sz w:val="22"/>
                <w:szCs w:val="22"/>
                <w:lang w:val="lt-LT"/>
              </w:rPr>
              <w:t>3</w:t>
            </w:r>
            <w:r w:rsidR="0085390D">
              <w:rPr>
                <w:sz w:val="22"/>
                <w:szCs w:val="22"/>
                <w:lang w:val="lt-LT"/>
              </w:rPr>
              <w:t> %</w:t>
            </w:r>
          </w:p>
        </w:tc>
        <w:tc>
          <w:tcPr>
            <w:tcW w:w="715" w:type="pct"/>
            <w:tcBorders>
              <w:top w:val="single" w:sz="4" w:space="0" w:color="auto"/>
              <w:left w:val="single" w:sz="4" w:space="0" w:color="auto"/>
              <w:bottom w:val="single" w:sz="4" w:space="0" w:color="auto"/>
              <w:right w:val="single" w:sz="4" w:space="0" w:color="auto"/>
            </w:tcBorders>
            <w:vAlign w:val="center"/>
            <w:hideMark/>
          </w:tcPr>
          <w:p w14:paraId="154B04F4" w14:textId="3FF6A6DF" w:rsidR="009E34BE" w:rsidRPr="009E34BE" w:rsidRDefault="009E34BE" w:rsidP="009E34BE">
            <w:pPr>
              <w:tabs>
                <w:tab w:val="left" w:pos="567"/>
              </w:tabs>
              <w:autoSpaceDE w:val="0"/>
              <w:autoSpaceDN w:val="0"/>
              <w:adjustRightInd w:val="0"/>
              <w:jc w:val="center"/>
              <w:rPr>
                <w:sz w:val="22"/>
                <w:szCs w:val="22"/>
                <w:lang w:val="lt-LT"/>
              </w:rPr>
            </w:pPr>
            <w:r w:rsidRPr="009E34BE">
              <w:rPr>
                <w:sz w:val="22"/>
                <w:szCs w:val="22"/>
                <w:lang w:val="lt-LT"/>
              </w:rPr>
              <w:t>5</w:t>
            </w:r>
            <w:r w:rsidR="001B0079" w:rsidRPr="00211E3B">
              <w:rPr>
                <w:sz w:val="22"/>
                <w:szCs w:val="22"/>
                <w:lang w:val="lt-LT"/>
              </w:rPr>
              <w:t>,</w:t>
            </w:r>
            <w:r w:rsidRPr="009E34BE">
              <w:rPr>
                <w:sz w:val="22"/>
                <w:szCs w:val="22"/>
                <w:lang w:val="lt-LT"/>
              </w:rPr>
              <w:t>7</w:t>
            </w:r>
            <w:r w:rsidR="0085390D">
              <w:rPr>
                <w:sz w:val="22"/>
                <w:szCs w:val="22"/>
                <w:lang w:val="lt-LT"/>
              </w:rPr>
              <w:t> %</w:t>
            </w:r>
          </w:p>
        </w:tc>
        <w:tc>
          <w:tcPr>
            <w:tcW w:w="715" w:type="pct"/>
            <w:tcBorders>
              <w:top w:val="single" w:sz="4" w:space="0" w:color="auto"/>
              <w:left w:val="single" w:sz="4" w:space="0" w:color="auto"/>
              <w:bottom w:val="single" w:sz="4" w:space="0" w:color="auto"/>
              <w:right w:val="single" w:sz="4" w:space="0" w:color="auto"/>
            </w:tcBorders>
            <w:vAlign w:val="center"/>
            <w:hideMark/>
          </w:tcPr>
          <w:p w14:paraId="7A09BFD5" w14:textId="02E0572B" w:rsidR="009E34BE" w:rsidRPr="009E34BE" w:rsidRDefault="009E34BE" w:rsidP="009E34BE">
            <w:pPr>
              <w:tabs>
                <w:tab w:val="left" w:pos="567"/>
              </w:tabs>
              <w:autoSpaceDE w:val="0"/>
              <w:autoSpaceDN w:val="0"/>
              <w:adjustRightInd w:val="0"/>
              <w:jc w:val="center"/>
              <w:rPr>
                <w:sz w:val="22"/>
                <w:szCs w:val="22"/>
                <w:lang w:val="lt-LT"/>
              </w:rPr>
            </w:pPr>
            <w:r w:rsidRPr="009E34BE">
              <w:rPr>
                <w:sz w:val="22"/>
                <w:szCs w:val="22"/>
                <w:lang w:val="lt-LT"/>
              </w:rPr>
              <w:t>0</w:t>
            </w:r>
            <w:r w:rsidR="001B0079" w:rsidRPr="00211E3B">
              <w:rPr>
                <w:sz w:val="22"/>
                <w:szCs w:val="22"/>
                <w:lang w:val="lt-LT"/>
              </w:rPr>
              <w:t>,</w:t>
            </w:r>
            <w:r w:rsidRPr="009E34BE">
              <w:rPr>
                <w:sz w:val="22"/>
                <w:szCs w:val="22"/>
                <w:lang w:val="lt-LT"/>
              </w:rPr>
              <w:t>3</w:t>
            </w:r>
            <w:r w:rsidR="0085390D">
              <w:rPr>
                <w:sz w:val="22"/>
                <w:szCs w:val="22"/>
                <w:lang w:val="lt-LT"/>
              </w:rPr>
              <w:t> %</w:t>
            </w:r>
          </w:p>
        </w:tc>
        <w:tc>
          <w:tcPr>
            <w:tcW w:w="714" w:type="pct"/>
            <w:tcBorders>
              <w:top w:val="single" w:sz="4" w:space="0" w:color="auto"/>
              <w:left w:val="single" w:sz="4" w:space="0" w:color="auto"/>
              <w:bottom w:val="single" w:sz="4" w:space="0" w:color="auto"/>
              <w:right w:val="single" w:sz="4" w:space="0" w:color="auto"/>
            </w:tcBorders>
            <w:vAlign w:val="center"/>
            <w:hideMark/>
          </w:tcPr>
          <w:p w14:paraId="63113B3F" w14:textId="1124F051" w:rsidR="009E34BE" w:rsidRPr="009E34BE" w:rsidRDefault="009E34BE" w:rsidP="009E34BE">
            <w:pPr>
              <w:tabs>
                <w:tab w:val="left" w:pos="567"/>
              </w:tabs>
              <w:autoSpaceDE w:val="0"/>
              <w:autoSpaceDN w:val="0"/>
              <w:adjustRightInd w:val="0"/>
              <w:jc w:val="center"/>
              <w:rPr>
                <w:sz w:val="22"/>
                <w:szCs w:val="22"/>
                <w:lang w:val="lt-LT"/>
              </w:rPr>
            </w:pPr>
            <w:r w:rsidRPr="009E34BE">
              <w:rPr>
                <w:sz w:val="22"/>
                <w:szCs w:val="22"/>
                <w:lang w:val="lt-LT"/>
              </w:rPr>
              <w:t>6</w:t>
            </w:r>
            <w:r w:rsidR="001B0079" w:rsidRPr="00211E3B">
              <w:rPr>
                <w:sz w:val="22"/>
                <w:szCs w:val="22"/>
                <w:lang w:val="lt-LT"/>
              </w:rPr>
              <w:t>,</w:t>
            </w:r>
            <w:r w:rsidRPr="009E34BE">
              <w:rPr>
                <w:sz w:val="22"/>
                <w:szCs w:val="22"/>
                <w:lang w:val="lt-LT"/>
              </w:rPr>
              <w:t>9</w:t>
            </w:r>
            <w:r w:rsidR="0085390D">
              <w:rPr>
                <w:sz w:val="22"/>
                <w:szCs w:val="22"/>
                <w:lang w:val="lt-LT"/>
              </w:rPr>
              <w:t> %</w:t>
            </w:r>
          </w:p>
        </w:tc>
      </w:tr>
    </w:tbl>
    <w:p w14:paraId="4CA668F1" w14:textId="77777777" w:rsidR="009E34BE" w:rsidRPr="009E34BE" w:rsidRDefault="009E34BE" w:rsidP="009E34BE">
      <w:pPr>
        <w:tabs>
          <w:tab w:val="left" w:pos="567"/>
        </w:tabs>
        <w:autoSpaceDE w:val="0"/>
        <w:autoSpaceDN w:val="0"/>
        <w:adjustRightInd w:val="0"/>
        <w:jc w:val="both"/>
        <w:rPr>
          <w:sz w:val="22"/>
          <w:szCs w:val="22"/>
        </w:rPr>
      </w:pPr>
    </w:p>
    <w:p w14:paraId="6F2693AC" w14:textId="77777777" w:rsidR="009E34BE" w:rsidRPr="00211E3B" w:rsidRDefault="009E34BE" w:rsidP="009E34BE">
      <w:pPr>
        <w:tabs>
          <w:tab w:val="left" w:pos="567"/>
        </w:tabs>
        <w:spacing w:line="260" w:lineRule="exact"/>
        <w:rPr>
          <w:i/>
          <w:snapToGrid w:val="0"/>
          <w:sz w:val="22"/>
          <w:szCs w:val="22"/>
          <w:lang w:eastAsia="lt-LT"/>
        </w:rPr>
      </w:pPr>
      <w:r w:rsidRPr="00211E3B">
        <w:rPr>
          <w:i/>
          <w:snapToGrid w:val="0"/>
          <w:sz w:val="22"/>
          <w:szCs w:val="22"/>
          <w:lang w:eastAsia="lt-LT"/>
        </w:rPr>
        <w:t>Padidėjęs kepenų fermentų aktyvumas</w:t>
      </w:r>
    </w:p>
    <w:p w14:paraId="0A9A9F01" w14:textId="4A7D2EA2" w:rsidR="009E34BE" w:rsidRPr="00211E3B" w:rsidRDefault="009E34BE" w:rsidP="009E34BE">
      <w:pPr>
        <w:tabs>
          <w:tab w:val="left" w:pos="567"/>
        </w:tabs>
        <w:spacing w:line="260" w:lineRule="exact"/>
        <w:rPr>
          <w:iCs/>
          <w:snapToGrid w:val="0"/>
          <w:sz w:val="22"/>
          <w:szCs w:val="22"/>
          <w:lang w:eastAsia="lt-LT"/>
        </w:rPr>
      </w:pPr>
      <w:r w:rsidRPr="00211E3B">
        <w:rPr>
          <w:iCs/>
          <w:snapToGrid w:val="0"/>
          <w:sz w:val="22"/>
          <w:szCs w:val="22"/>
          <w:lang w:eastAsia="lt-LT"/>
        </w:rPr>
        <w:t>INPULSIS tyrimų metu kepenų fermentų aktyvumas padidėjo 13,6</w:t>
      </w:r>
      <w:r w:rsidR="0085390D">
        <w:rPr>
          <w:iCs/>
          <w:snapToGrid w:val="0"/>
          <w:sz w:val="22"/>
          <w:szCs w:val="22"/>
          <w:lang w:eastAsia="lt-LT"/>
        </w:rPr>
        <w:t xml:space="preserve"> %</w:t>
      </w:r>
      <w:r w:rsidRPr="00211E3B">
        <w:rPr>
          <w:iCs/>
          <w:snapToGrid w:val="0"/>
          <w:sz w:val="22"/>
          <w:szCs w:val="22"/>
          <w:lang w:eastAsia="lt-LT"/>
        </w:rPr>
        <w:t xml:space="preserve"> </w:t>
      </w:r>
      <w:r w:rsidR="009C68A2" w:rsidRPr="00211E3B">
        <w:rPr>
          <w:iCs/>
          <w:snapToGrid w:val="0"/>
          <w:sz w:val="22"/>
          <w:szCs w:val="22"/>
          <w:lang w:eastAsia="lt-LT"/>
        </w:rPr>
        <w:t xml:space="preserve">nintedanibu </w:t>
      </w:r>
      <w:r w:rsidRPr="00211E3B">
        <w:rPr>
          <w:iCs/>
          <w:snapToGrid w:val="0"/>
          <w:sz w:val="22"/>
          <w:szCs w:val="22"/>
          <w:lang w:eastAsia="lt-LT"/>
        </w:rPr>
        <w:t>gydytų pacientų</w:t>
      </w:r>
      <w:r w:rsidR="00F30725" w:rsidRPr="00211E3B">
        <w:rPr>
          <w:iCs/>
          <w:snapToGrid w:val="0"/>
          <w:sz w:val="22"/>
          <w:szCs w:val="22"/>
          <w:lang w:eastAsia="lt-LT"/>
        </w:rPr>
        <w:t xml:space="preserve">, </w:t>
      </w:r>
      <w:r w:rsidRPr="00211E3B">
        <w:rPr>
          <w:iCs/>
          <w:snapToGrid w:val="0"/>
          <w:sz w:val="22"/>
          <w:szCs w:val="22"/>
          <w:lang w:eastAsia="lt-LT"/>
        </w:rPr>
        <w:t>palyginti su 2,6</w:t>
      </w:r>
      <w:r w:rsidR="0085390D">
        <w:rPr>
          <w:iCs/>
          <w:snapToGrid w:val="0"/>
          <w:sz w:val="22"/>
          <w:szCs w:val="22"/>
          <w:lang w:eastAsia="lt-LT"/>
        </w:rPr>
        <w:t> %</w:t>
      </w:r>
      <w:r w:rsidRPr="00211E3B">
        <w:rPr>
          <w:iCs/>
          <w:snapToGrid w:val="0"/>
          <w:sz w:val="22"/>
          <w:szCs w:val="22"/>
          <w:lang w:eastAsia="lt-LT"/>
        </w:rPr>
        <w:t xml:space="preserve"> placebą vartojusių pacientų (žr. 4.4</w:t>
      </w:r>
      <w:r w:rsidR="00F30725" w:rsidRPr="00211E3B">
        <w:rPr>
          <w:iCs/>
          <w:snapToGrid w:val="0"/>
          <w:sz w:val="22"/>
          <w:szCs w:val="22"/>
          <w:lang w:eastAsia="lt-LT"/>
        </w:rPr>
        <w:t> </w:t>
      </w:r>
      <w:r w:rsidRPr="00211E3B">
        <w:rPr>
          <w:iCs/>
          <w:snapToGrid w:val="0"/>
          <w:sz w:val="22"/>
          <w:szCs w:val="22"/>
          <w:lang w:eastAsia="lt-LT"/>
        </w:rPr>
        <w:t>skyrių). INBUILD tyrimo metu kepenų</w:t>
      </w:r>
      <w:r w:rsidR="00F30725" w:rsidRPr="00211E3B">
        <w:rPr>
          <w:iCs/>
          <w:snapToGrid w:val="0"/>
          <w:sz w:val="22"/>
          <w:szCs w:val="22"/>
          <w:lang w:eastAsia="lt-LT"/>
        </w:rPr>
        <w:t xml:space="preserve"> </w:t>
      </w:r>
      <w:r w:rsidRPr="00211E3B">
        <w:rPr>
          <w:iCs/>
          <w:snapToGrid w:val="0"/>
          <w:sz w:val="22"/>
          <w:szCs w:val="22"/>
          <w:lang w:eastAsia="lt-LT"/>
        </w:rPr>
        <w:t>fermentų aktyvumas padidėjo 22,6</w:t>
      </w:r>
      <w:r w:rsidR="0085390D">
        <w:rPr>
          <w:iCs/>
          <w:snapToGrid w:val="0"/>
          <w:sz w:val="22"/>
          <w:szCs w:val="22"/>
          <w:lang w:eastAsia="lt-LT"/>
        </w:rPr>
        <w:t> %</w:t>
      </w:r>
      <w:r w:rsidRPr="00211E3B">
        <w:rPr>
          <w:iCs/>
          <w:snapToGrid w:val="0"/>
          <w:sz w:val="22"/>
          <w:szCs w:val="22"/>
          <w:lang w:eastAsia="lt-LT"/>
        </w:rPr>
        <w:t xml:space="preserve"> </w:t>
      </w:r>
      <w:r w:rsidR="009C68A2" w:rsidRPr="00211E3B">
        <w:rPr>
          <w:iCs/>
          <w:snapToGrid w:val="0"/>
          <w:sz w:val="22"/>
          <w:szCs w:val="22"/>
          <w:lang w:eastAsia="lt-LT"/>
        </w:rPr>
        <w:t xml:space="preserve">nintedanibu </w:t>
      </w:r>
      <w:r w:rsidRPr="00211E3B">
        <w:rPr>
          <w:iCs/>
          <w:snapToGrid w:val="0"/>
          <w:sz w:val="22"/>
          <w:szCs w:val="22"/>
          <w:lang w:eastAsia="lt-LT"/>
        </w:rPr>
        <w:t>gydytų pacientų, palyginti su 5,7</w:t>
      </w:r>
      <w:r w:rsidR="0085390D">
        <w:rPr>
          <w:iCs/>
          <w:snapToGrid w:val="0"/>
          <w:sz w:val="22"/>
          <w:szCs w:val="22"/>
          <w:lang w:eastAsia="lt-LT"/>
        </w:rPr>
        <w:t> %</w:t>
      </w:r>
      <w:r w:rsidRPr="00211E3B">
        <w:rPr>
          <w:iCs/>
          <w:snapToGrid w:val="0"/>
          <w:sz w:val="22"/>
          <w:szCs w:val="22"/>
          <w:lang w:eastAsia="lt-LT"/>
        </w:rPr>
        <w:t xml:space="preserve"> placebą vartojusių</w:t>
      </w:r>
      <w:r w:rsidR="00F30725" w:rsidRPr="00211E3B">
        <w:rPr>
          <w:iCs/>
          <w:snapToGrid w:val="0"/>
          <w:sz w:val="22"/>
          <w:szCs w:val="22"/>
          <w:lang w:eastAsia="lt-LT"/>
        </w:rPr>
        <w:t xml:space="preserve"> </w:t>
      </w:r>
      <w:r w:rsidRPr="00211E3B">
        <w:rPr>
          <w:iCs/>
          <w:snapToGrid w:val="0"/>
          <w:sz w:val="22"/>
          <w:szCs w:val="22"/>
          <w:lang w:eastAsia="lt-LT"/>
        </w:rPr>
        <w:t>pacientų. SENSCIS tyrimo metu kepenų fermentų aktyvumas padidėjo 13,2</w:t>
      </w:r>
      <w:r w:rsidR="0085390D">
        <w:rPr>
          <w:iCs/>
          <w:snapToGrid w:val="0"/>
          <w:sz w:val="22"/>
          <w:szCs w:val="22"/>
          <w:lang w:eastAsia="lt-LT"/>
        </w:rPr>
        <w:t> %</w:t>
      </w:r>
      <w:r w:rsidRPr="00211E3B">
        <w:rPr>
          <w:iCs/>
          <w:snapToGrid w:val="0"/>
          <w:sz w:val="22"/>
          <w:szCs w:val="22"/>
          <w:lang w:eastAsia="lt-LT"/>
        </w:rPr>
        <w:t xml:space="preserve"> </w:t>
      </w:r>
      <w:r w:rsidR="009C68A2" w:rsidRPr="00211E3B">
        <w:rPr>
          <w:iCs/>
          <w:snapToGrid w:val="0"/>
          <w:sz w:val="22"/>
          <w:szCs w:val="22"/>
          <w:lang w:eastAsia="lt-LT"/>
        </w:rPr>
        <w:t xml:space="preserve">nintedanibu </w:t>
      </w:r>
      <w:r w:rsidRPr="00211E3B">
        <w:rPr>
          <w:iCs/>
          <w:snapToGrid w:val="0"/>
          <w:sz w:val="22"/>
          <w:szCs w:val="22"/>
          <w:lang w:eastAsia="lt-LT"/>
        </w:rPr>
        <w:t>gydytų pacientų</w:t>
      </w:r>
      <w:r w:rsidR="00F30725" w:rsidRPr="00211E3B">
        <w:rPr>
          <w:iCs/>
          <w:snapToGrid w:val="0"/>
          <w:sz w:val="22"/>
          <w:szCs w:val="22"/>
          <w:lang w:eastAsia="lt-LT"/>
        </w:rPr>
        <w:t xml:space="preserve">, </w:t>
      </w:r>
      <w:r w:rsidRPr="00211E3B">
        <w:rPr>
          <w:iCs/>
          <w:snapToGrid w:val="0"/>
          <w:sz w:val="22"/>
          <w:szCs w:val="22"/>
          <w:lang w:eastAsia="lt-LT"/>
        </w:rPr>
        <w:t>palygin</w:t>
      </w:r>
      <w:r w:rsidR="00F30725" w:rsidRPr="00211E3B">
        <w:rPr>
          <w:iCs/>
          <w:snapToGrid w:val="0"/>
          <w:sz w:val="22"/>
          <w:szCs w:val="22"/>
          <w:lang w:eastAsia="lt-LT"/>
        </w:rPr>
        <w:t>ti</w:t>
      </w:r>
      <w:r w:rsidRPr="00211E3B">
        <w:rPr>
          <w:iCs/>
          <w:snapToGrid w:val="0"/>
          <w:sz w:val="22"/>
          <w:szCs w:val="22"/>
          <w:lang w:eastAsia="lt-LT"/>
        </w:rPr>
        <w:t xml:space="preserve"> su 3,1</w:t>
      </w:r>
      <w:r w:rsidR="0085390D">
        <w:rPr>
          <w:iCs/>
          <w:snapToGrid w:val="0"/>
          <w:sz w:val="22"/>
          <w:szCs w:val="22"/>
          <w:lang w:eastAsia="lt-LT"/>
        </w:rPr>
        <w:t> %</w:t>
      </w:r>
      <w:r w:rsidRPr="00211E3B">
        <w:rPr>
          <w:iCs/>
          <w:snapToGrid w:val="0"/>
          <w:sz w:val="22"/>
          <w:szCs w:val="22"/>
          <w:lang w:eastAsia="lt-LT"/>
        </w:rPr>
        <w:t xml:space="preserve"> placebą vartojusių pacientų. Kepenų fermentų aktyvumo kraujyje padidėjimas</w:t>
      </w:r>
      <w:r w:rsidR="00F30725" w:rsidRPr="00211E3B">
        <w:rPr>
          <w:iCs/>
          <w:snapToGrid w:val="0"/>
          <w:sz w:val="22"/>
          <w:szCs w:val="22"/>
          <w:lang w:eastAsia="lt-LT"/>
        </w:rPr>
        <w:t xml:space="preserve"> </w:t>
      </w:r>
      <w:r w:rsidRPr="00211E3B">
        <w:rPr>
          <w:iCs/>
          <w:snapToGrid w:val="0"/>
          <w:sz w:val="22"/>
          <w:szCs w:val="22"/>
          <w:lang w:eastAsia="lt-LT"/>
        </w:rPr>
        <w:t>buvo laikinas ir nesusijęs su kliniškai pasireiškusia kepenų liga.</w:t>
      </w:r>
    </w:p>
    <w:p w14:paraId="6E693F58" w14:textId="305F0930" w:rsidR="009E34BE" w:rsidRPr="00211E3B" w:rsidRDefault="009E34BE" w:rsidP="009E34BE">
      <w:pPr>
        <w:tabs>
          <w:tab w:val="left" w:pos="567"/>
        </w:tabs>
        <w:spacing w:line="260" w:lineRule="exact"/>
        <w:rPr>
          <w:iCs/>
          <w:snapToGrid w:val="0"/>
          <w:sz w:val="22"/>
          <w:szCs w:val="22"/>
          <w:lang w:eastAsia="lt-LT"/>
        </w:rPr>
      </w:pPr>
      <w:r w:rsidRPr="00211E3B">
        <w:rPr>
          <w:iCs/>
          <w:snapToGrid w:val="0"/>
          <w:sz w:val="22"/>
          <w:szCs w:val="22"/>
          <w:lang w:eastAsia="lt-LT"/>
        </w:rPr>
        <w:t xml:space="preserve">Daugiau informacijos apie </w:t>
      </w:r>
      <w:r w:rsidR="00F30725" w:rsidRPr="00211E3B">
        <w:rPr>
          <w:iCs/>
          <w:snapToGrid w:val="0"/>
          <w:sz w:val="22"/>
          <w:szCs w:val="22"/>
          <w:lang w:eastAsia="lt-LT"/>
        </w:rPr>
        <w:t>ypatingas</w:t>
      </w:r>
      <w:r w:rsidRPr="00211E3B">
        <w:rPr>
          <w:iCs/>
          <w:snapToGrid w:val="0"/>
          <w:sz w:val="22"/>
          <w:szCs w:val="22"/>
          <w:lang w:eastAsia="lt-LT"/>
        </w:rPr>
        <w:t xml:space="preserve"> populiacijas, rekomenduojamas priemones ir dozės koregavimą</w:t>
      </w:r>
      <w:r w:rsidR="00C2682D" w:rsidRPr="00211E3B">
        <w:rPr>
          <w:iCs/>
          <w:snapToGrid w:val="0"/>
          <w:sz w:val="22"/>
          <w:szCs w:val="22"/>
          <w:lang w:eastAsia="lt-LT"/>
        </w:rPr>
        <w:t xml:space="preserve"> </w:t>
      </w:r>
      <w:r w:rsidRPr="00211E3B">
        <w:rPr>
          <w:iCs/>
          <w:snapToGrid w:val="0"/>
          <w:sz w:val="22"/>
          <w:szCs w:val="22"/>
          <w:lang w:eastAsia="lt-LT"/>
        </w:rPr>
        <w:t xml:space="preserve">pasireiškus viduriavimui </w:t>
      </w:r>
      <w:r w:rsidR="00C2682D" w:rsidRPr="00211E3B">
        <w:rPr>
          <w:iCs/>
          <w:snapToGrid w:val="0"/>
          <w:sz w:val="22"/>
          <w:szCs w:val="22"/>
          <w:lang w:eastAsia="lt-LT"/>
        </w:rPr>
        <w:t>bei</w:t>
      </w:r>
      <w:r w:rsidRPr="00211E3B">
        <w:rPr>
          <w:iCs/>
          <w:snapToGrid w:val="0"/>
          <w:sz w:val="22"/>
          <w:szCs w:val="22"/>
          <w:lang w:eastAsia="lt-LT"/>
        </w:rPr>
        <w:t xml:space="preserve"> padidėjus kepenų fermentų aktyvumui kraujyje </w:t>
      </w:r>
      <w:r w:rsidR="00F30725" w:rsidRPr="00211E3B">
        <w:rPr>
          <w:iCs/>
          <w:snapToGrid w:val="0"/>
          <w:sz w:val="22"/>
          <w:szCs w:val="22"/>
          <w:lang w:eastAsia="lt-LT"/>
        </w:rPr>
        <w:t xml:space="preserve">pateikiamas </w:t>
      </w:r>
      <w:r w:rsidRPr="00211E3B">
        <w:rPr>
          <w:iCs/>
          <w:snapToGrid w:val="0"/>
          <w:sz w:val="22"/>
          <w:szCs w:val="22"/>
          <w:lang w:eastAsia="lt-LT"/>
        </w:rPr>
        <w:t>atitinkamai 4.4 ir 4.2</w:t>
      </w:r>
      <w:r w:rsidR="00F30725" w:rsidRPr="00211E3B">
        <w:rPr>
          <w:iCs/>
          <w:snapToGrid w:val="0"/>
          <w:sz w:val="22"/>
          <w:szCs w:val="22"/>
          <w:lang w:eastAsia="lt-LT"/>
        </w:rPr>
        <w:t> </w:t>
      </w:r>
      <w:r w:rsidRPr="00211E3B">
        <w:rPr>
          <w:iCs/>
          <w:snapToGrid w:val="0"/>
          <w:sz w:val="22"/>
          <w:szCs w:val="22"/>
          <w:lang w:eastAsia="lt-LT"/>
        </w:rPr>
        <w:t>skyriuose.</w:t>
      </w:r>
    </w:p>
    <w:p w14:paraId="19C38D03" w14:textId="77777777" w:rsidR="00BC1525" w:rsidRPr="00211E3B" w:rsidRDefault="00BC1525" w:rsidP="009E34BE">
      <w:pPr>
        <w:tabs>
          <w:tab w:val="left" w:pos="567"/>
        </w:tabs>
        <w:spacing w:line="260" w:lineRule="exact"/>
        <w:rPr>
          <w:iCs/>
          <w:snapToGrid w:val="0"/>
          <w:sz w:val="22"/>
          <w:szCs w:val="22"/>
          <w:lang w:eastAsia="lt-LT"/>
        </w:rPr>
      </w:pPr>
    </w:p>
    <w:p w14:paraId="56B00D7A" w14:textId="65982B57" w:rsidR="009E34BE" w:rsidRPr="00211E3B" w:rsidRDefault="009E34BE" w:rsidP="009E34BE">
      <w:pPr>
        <w:tabs>
          <w:tab w:val="left" w:pos="567"/>
        </w:tabs>
        <w:spacing w:line="260" w:lineRule="exact"/>
        <w:rPr>
          <w:i/>
          <w:snapToGrid w:val="0"/>
          <w:sz w:val="22"/>
          <w:szCs w:val="22"/>
          <w:lang w:eastAsia="lt-LT"/>
        </w:rPr>
      </w:pPr>
      <w:r w:rsidRPr="00211E3B">
        <w:rPr>
          <w:i/>
          <w:snapToGrid w:val="0"/>
          <w:sz w:val="22"/>
          <w:szCs w:val="22"/>
          <w:lang w:eastAsia="lt-LT"/>
        </w:rPr>
        <w:t>Kraujavimas</w:t>
      </w:r>
    </w:p>
    <w:p w14:paraId="20B9BE04" w14:textId="3CE4FA4B" w:rsidR="009E34BE" w:rsidRPr="00211E3B" w:rsidRDefault="009E34BE" w:rsidP="009C68A2">
      <w:pPr>
        <w:tabs>
          <w:tab w:val="left" w:pos="567"/>
        </w:tabs>
        <w:spacing w:line="260" w:lineRule="exact"/>
        <w:rPr>
          <w:iCs/>
          <w:snapToGrid w:val="0"/>
          <w:sz w:val="22"/>
          <w:szCs w:val="22"/>
          <w:lang w:eastAsia="lt-LT"/>
        </w:rPr>
      </w:pPr>
      <w:r w:rsidRPr="00211E3B">
        <w:rPr>
          <w:iCs/>
          <w:snapToGrid w:val="0"/>
          <w:sz w:val="22"/>
          <w:szCs w:val="22"/>
          <w:lang w:eastAsia="lt-LT"/>
        </w:rPr>
        <w:t xml:space="preserve">Klinikinių tyrimų metu kraujavimas </w:t>
      </w:r>
      <w:r w:rsidR="002335C4" w:rsidRPr="00211E3B">
        <w:rPr>
          <w:iCs/>
          <w:snapToGrid w:val="0"/>
          <w:sz w:val="22"/>
          <w:szCs w:val="22"/>
          <w:lang w:eastAsia="lt-LT"/>
        </w:rPr>
        <w:t>nintedanibu</w:t>
      </w:r>
      <w:r w:rsidRPr="00211E3B">
        <w:rPr>
          <w:iCs/>
          <w:snapToGrid w:val="0"/>
          <w:sz w:val="22"/>
          <w:szCs w:val="22"/>
          <w:lang w:eastAsia="lt-LT"/>
        </w:rPr>
        <w:t xml:space="preserve"> gydytiems pacientams pasireiškė šiek tiek dažniau arba šis</w:t>
      </w:r>
      <w:r w:rsidR="002335C4" w:rsidRPr="00211E3B">
        <w:rPr>
          <w:iCs/>
          <w:snapToGrid w:val="0"/>
          <w:sz w:val="22"/>
          <w:szCs w:val="22"/>
          <w:lang w:eastAsia="lt-LT"/>
        </w:rPr>
        <w:t xml:space="preserve"> </w:t>
      </w:r>
      <w:r w:rsidRPr="00211E3B">
        <w:rPr>
          <w:iCs/>
          <w:snapToGrid w:val="0"/>
          <w:sz w:val="22"/>
          <w:szCs w:val="22"/>
          <w:lang w:eastAsia="lt-LT"/>
        </w:rPr>
        <w:t>dažnis gydymo grupėse buvo panašus (10,3</w:t>
      </w:r>
      <w:r w:rsidR="0085390D">
        <w:rPr>
          <w:iCs/>
          <w:snapToGrid w:val="0"/>
          <w:sz w:val="22"/>
          <w:szCs w:val="22"/>
          <w:lang w:eastAsia="lt-LT"/>
        </w:rPr>
        <w:t> %</w:t>
      </w:r>
      <w:r w:rsidR="002335C4" w:rsidRPr="00211E3B">
        <w:rPr>
          <w:iCs/>
          <w:snapToGrid w:val="0"/>
          <w:sz w:val="22"/>
          <w:szCs w:val="22"/>
          <w:lang w:eastAsia="lt-LT"/>
        </w:rPr>
        <w:t xml:space="preserve"> nintedanibo </w:t>
      </w:r>
      <w:r w:rsidR="00E85A72" w:rsidRPr="00211E3B">
        <w:rPr>
          <w:iCs/>
          <w:snapToGrid w:val="0"/>
          <w:sz w:val="22"/>
          <w:szCs w:val="22"/>
          <w:lang w:eastAsia="lt-LT"/>
        </w:rPr>
        <w:t xml:space="preserve">vartojusiųjų </w:t>
      </w:r>
      <w:r w:rsidR="002335C4" w:rsidRPr="00211E3B">
        <w:rPr>
          <w:iCs/>
          <w:snapToGrid w:val="0"/>
          <w:sz w:val="22"/>
          <w:szCs w:val="22"/>
          <w:lang w:eastAsia="lt-LT"/>
        </w:rPr>
        <w:t>grupėje, palyginti su</w:t>
      </w:r>
      <w:r w:rsidRPr="00211E3B">
        <w:rPr>
          <w:iCs/>
          <w:snapToGrid w:val="0"/>
          <w:sz w:val="22"/>
          <w:szCs w:val="22"/>
          <w:lang w:eastAsia="lt-LT"/>
        </w:rPr>
        <w:t xml:space="preserve"> 7,8</w:t>
      </w:r>
      <w:r w:rsidR="0085390D">
        <w:rPr>
          <w:iCs/>
          <w:snapToGrid w:val="0"/>
          <w:sz w:val="22"/>
          <w:szCs w:val="22"/>
          <w:lang w:eastAsia="lt-LT"/>
        </w:rPr>
        <w:t> %</w:t>
      </w:r>
      <w:r w:rsidR="002335C4" w:rsidRPr="00211E3B">
        <w:rPr>
          <w:iCs/>
          <w:snapToGrid w:val="0"/>
          <w:sz w:val="22"/>
          <w:szCs w:val="22"/>
          <w:lang w:eastAsia="lt-LT"/>
        </w:rPr>
        <w:t xml:space="preserve"> placebo </w:t>
      </w:r>
      <w:r w:rsidR="00E85A72" w:rsidRPr="00211E3B">
        <w:rPr>
          <w:iCs/>
          <w:snapToGrid w:val="0"/>
          <w:sz w:val="22"/>
          <w:szCs w:val="22"/>
          <w:lang w:eastAsia="lt-LT"/>
        </w:rPr>
        <w:t xml:space="preserve">vartojusiųjų </w:t>
      </w:r>
      <w:r w:rsidR="002335C4" w:rsidRPr="00211E3B">
        <w:rPr>
          <w:iCs/>
          <w:snapToGrid w:val="0"/>
          <w:sz w:val="22"/>
          <w:szCs w:val="22"/>
          <w:lang w:eastAsia="lt-LT"/>
        </w:rPr>
        <w:t>grupėje</w:t>
      </w:r>
      <w:r w:rsidR="009C68A2" w:rsidRPr="00211E3B">
        <w:rPr>
          <w:iCs/>
          <w:snapToGrid w:val="0"/>
          <w:sz w:val="22"/>
          <w:szCs w:val="22"/>
          <w:lang w:eastAsia="lt-LT"/>
        </w:rPr>
        <w:t>,</w:t>
      </w:r>
      <w:r w:rsidRPr="00211E3B">
        <w:rPr>
          <w:iCs/>
          <w:snapToGrid w:val="0"/>
          <w:sz w:val="22"/>
          <w:szCs w:val="22"/>
          <w:lang w:eastAsia="lt-LT"/>
        </w:rPr>
        <w:t xml:space="preserve"> INPULSIS tyrime;</w:t>
      </w:r>
      <w:r w:rsidR="002335C4" w:rsidRPr="00211E3B">
        <w:rPr>
          <w:iCs/>
          <w:snapToGrid w:val="0"/>
          <w:sz w:val="22"/>
          <w:szCs w:val="22"/>
          <w:lang w:eastAsia="lt-LT"/>
        </w:rPr>
        <w:t xml:space="preserve"> </w:t>
      </w:r>
      <w:r w:rsidRPr="00211E3B">
        <w:rPr>
          <w:iCs/>
          <w:snapToGrid w:val="0"/>
          <w:sz w:val="22"/>
          <w:szCs w:val="22"/>
          <w:lang w:eastAsia="lt-LT"/>
        </w:rPr>
        <w:t>11,1</w:t>
      </w:r>
      <w:r w:rsidR="0085390D">
        <w:rPr>
          <w:iCs/>
          <w:snapToGrid w:val="0"/>
          <w:sz w:val="22"/>
          <w:szCs w:val="22"/>
          <w:lang w:eastAsia="lt-LT"/>
        </w:rPr>
        <w:t> %</w:t>
      </w:r>
      <w:r w:rsidR="002335C4" w:rsidRPr="00211E3B">
        <w:rPr>
          <w:iCs/>
          <w:snapToGrid w:val="0"/>
          <w:sz w:val="22"/>
          <w:szCs w:val="22"/>
          <w:lang w:eastAsia="lt-LT"/>
        </w:rPr>
        <w:t xml:space="preserve"> nintedanibo </w:t>
      </w:r>
      <w:r w:rsidR="00E85A72" w:rsidRPr="00211E3B">
        <w:rPr>
          <w:iCs/>
          <w:snapToGrid w:val="0"/>
          <w:sz w:val="22"/>
          <w:szCs w:val="22"/>
          <w:lang w:eastAsia="lt-LT"/>
        </w:rPr>
        <w:t xml:space="preserve">vartojusiųjų </w:t>
      </w:r>
      <w:r w:rsidR="002335C4" w:rsidRPr="00211E3B">
        <w:rPr>
          <w:iCs/>
          <w:snapToGrid w:val="0"/>
          <w:sz w:val="22"/>
          <w:szCs w:val="22"/>
          <w:lang w:eastAsia="lt-LT"/>
        </w:rPr>
        <w:t>grupėje, palyginti su</w:t>
      </w:r>
      <w:r w:rsidRPr="00211E3B">
        <w:rPr>
          <w:iCs/>
          <w:snapToGrid w:val="0"/>
          <w:sz w:val="22"/>
          <w:szCs w:val="22"/>
          <w:lang w:eastAsia="lt-LT"/>
        </w:rPr>
        <w:t xml:space="preserve"> 12,7</w:t>
      </w:r>
      <w:r w:rsidR="0085390D">
        <w:rPr>
          <w:iCs/>
          <w:snapToGrid w:val="0"/>
          <w:sz w:val="22"/>
          <w:szCs w:val="22"/>
          <w:lang w:eastAsia="lt-LT"/>
        </w:rPr>
        <w:t> %</w:t>
      </w:r>
      <w:r w:rsidR="002335C4" w:rsidRPr="00211E3B">
        <w:rPr>
          <w:iCs/>
          <w:snapToGrid w:val="0"/>
          <w:sz w:val="22"/>
          <w:szCs w:val="22"/>
          <w:lang w:eastAsia="lt-LT"/>
        </w:rPr>
        <w:t xml:space="preserve"> placebo </w:t>
      </w:r>
      <w:r w:rsidR="00E85A72" w:rsidRPr="00211E3B">
        <w:rPr>
          <w:iCs/>
          <w:snapToGrid w:val="0"/>
          <w:sz w:val="22"/>
          <w:szCs w:val="22"/>
          <w:lang w:eastAsia="lt-LT"/>
        </w:rPr>
        <w:t xml:space="preserve">vartojusiųjų </w:t>
      </w:r>
      <w:r w:rsidR="002335C4" w:rsidRPr="00211E3B">
        <w:rPr>
          <w:iCs/>
          <w:snapToGrid w:val="0"/>
          <w:sz w:val="22"/>
          <w:szCs w:val="22"/>
          <w:lang w:eastAsia="lt-LT"/>
        </w:rPr>
        <w:t>grupėje</w:t>
      </w:r>
      <w:r w:rsidR="009C68A2" w:rsidRPr="00211E3B">
        <w:rPr>
          <w:iCs/>
          <w:snapToGrid w:val="0"/>
          <w:sz w:val="22"/>
          <w:szCs w:val="22"/>
          <w:lang w:eastAsia="lt-LT"/>
        </w:rPr>
        <w:t>,</w:t>
      </w:r>
      <w:r w:rsidRPr="00211E3B">
        <w:rPr>
          <w:iCs/>
          <w:snapToGrid w:val="0"/>
          <w:sz w:val="22"/>
          <w:szCs w:val="22"/>
          <w:lang w:eastAsia="lt-LT"/>
        </w:rPr>
        <w:t xml:space="preserve"> INBUILD tyrime; 11,1</w:t>
      </w:r>
      <w:r w:rsidR="0085390D">
        <w:rPr>
          <w:iCs/>
          <w:snapToGrid w:val="0"/>
          <w:sz w:val="22"/>
          <w:szCs w:val="22"/>
          <w:lang w:eastAsia="lt-LT"/>
        </w:rPr>
        <w:t> %</w:t>
      </w:r>
      <w:r w:rsidR="002335C4" w:rsidRPr="00211E3B">
        <w:rPr>
          <w:iCs/>
          <w:snapToGrid w:val="0"/>
          <w:sz w:val="22"/>
          <w:szCs w:val="22"/>
          <w:lang w:eastAsia="lt-LT"/>
        </w:rPr>
        <w:t xml:space="preserve"> nintedanibo </w:t>
      </w:r>
      <w:r w:rsidR="00E85A72" w:rsidRPr="00211E3B">
        <w:rPr>
          <w:iCs/>
          <w:snapToGrid w:val="0"/>
          <w:sz w:val="22"/>
          <w:szCs w:val="22"/>
          <w:lang w:eastAsia="lt-LT"/>
        </w:rPr>
        <w:t xml:space="preserve">vartojusiųjų </w:t>
      </w:r>
      <w:r w:rsidR="002335C4" w:rsidRPr="00211E3B">
        <w:rPr>
          <w:iCs/>
          <w:snapToGrid w:val="0"/>
          <w:sz w:val="22"/>
          <w:szCs w:val="22"/>
          <w:lang w:eastAsia="lt-LT"/>
        </w:rPr>
        <w:t>grupėje, palyginti su</w:t>
      </w:r>
      <w:r w:rsidRPr="00211E3B">
        <w:rPr>
          <w:iCs/>
          <w:snapToGrid w:val="0"/>
          <w:sz w:val="22"/>
          <w:szCs w:val="22"/>
          <w:lang w:eastAsia="lt-LT"/>
        </w:rPr>
        <w:t xml:space="preserve"> 8,3</w:t>
      </w:r>
      <w:r w:rsidR="0085390D">
        <w:rPr>
          <w:iCs/>
          <w:snapToGrid w:val="0"/>
          <w:sz w:val="22"/>
          <w:szCs w:val="22"/>
          <w:lang w:eastAsia="lt-LT"/>
        </w:rPr>
        <w:t> %</w:t>
      </w:r>
      <w:r w:rsidR="002335C4" w:rsidRPr="00211E3B">
        <w:rPr>
          <w:iCs/>
          <w:snapToGrid w:val="0"/>
          <w:sz w:val="22"/>
          <w:szCs w:val="22"/>
          <w:lang w:eastAsia="lt-LT"/>
        </w:rPr>
        <w:t xml:space="preserve"> placebo </w:t>
      </w:r>
      <w:r w:rsidR="00E85A72" w:rsidRPr="00211E3B">
        <w:rPr>
          <w:iCs/>
          <w:snapToGrid w:val="0"/>
          <w:sz w:val="22"/>
          <w:szCs w:val="22"/>
          <w:lang w:eastAsia="lt-LT"/>
        </w:rPr>
        <w:t xml:space="preserve">vartojusiųjų </w:t>
      </w:r>
      <w:r w:rsidR="002335C4" w:rsidRPr="00211E3B">
        <w:rPr>
          <w:iCs/>
          <w:snapToGrid w:val="0"/>
          <w:sz w:val="22"/>
          <w:szCs w:val="22"/>
          <w:lang w:eastAsia="lt-LT"/>
        </w:rPr>
        <w:t>grupėje</w:t>
      </w:r>
      <w:r w:rsidR="009C68A2" w:rsidRPr="00211E3B">
        <w:rPr>
          <w:iCs/>
          <w:snapToGrid w:val="0"/>
          <w:sz w:val="22"/>
          <w:szCs w:val="22"/>
          <w:lang w:eastAsia="lt-LT"/>
        </w:rPr>
        <w:t>,</w:t>
      </w:r>
      <w:r w:rsidR="002335C4" w:rsidRPr="00211E3B">
        <w:rPr>
          <w:iCs/>
          <w:snapToGrid w:val="0"/>
          <w:sz w:val="22"/>
          <w:szCs w:val="22"/>
          <w:lang w:eastAsia="lt-LT"/>
        </w:rPr>
        <w:t xml:space="preserve"> </w:t>
      </w:r>
      <w:r w:rsidRPr="00211E3B">
        <w:rPr>
          <w:iCs/>
          <w:snapToGrid w:val="0"/>
          <w:sz w:val="22"/>
          <w:szCs w:val="22"/>
          <w:lang w:eastAsia="lt-LT"/>
        </w:rPr>
        <w:t>SENSCIS tyrime). Dažniausiai pranešta</w:t>
      </w:r>
      <w:r w:rsidR="009C68A2" w:rsidRPr="00211E3B">
        <w:rPr>
          <w:iCs/>
          <w:snapToGrid w:val="0"/>
          <w:sz w:val="22"/>
          <w:szCs w:val="22"/>
          <w:lang w:eastAsia="lt-LT"/>
        </w:rPr>
        <w:t>s</w:t>
      </w:r>
      <w:r w:rsidRPr="00211E3B">
        <w:rPr>
          <w:iCs/>
          <w:snapToGrid w:val="0"/>
          <w:sz w:val="22"/>
          <w:szCs w:val="22"/>
          <w:lang w:eastAsia="lt-LT"/>
        </w:rPr>
        <w:t xml:space="preserve"> </w:t>
      </w:r>
      <w:r w:rsidR="009C68A2" w:rsidRPr="00211E3B">
        <w:rPr>
          <w:iCs/>
          <w:snapToGrid w:val="0"/>
          <w:sz w:val="22"/>
          <w:szCs w:val="22"/>
          <w:lang w:eastAsia="lt-LT"/>
        </w:rPr>
        <w:t>reiškinys buvo</w:t>
      </w:r>
      <w:r w:rsidRPr="00211E3B">
        <w:rPr>
          <w:iCs/>
          <w:snapToGrid w:val="0"/>
          <w:sz w:val="22"/>
          <w:szCs w:val="22"/>
          <w:lang w:eastAsia="lt-LT"/>
        </w:rPr>
        <w:t xml:space="preserve"> nesunk</w:t>
      </w:r>
      <w:r w:rsidR="009C68A2" w:rsidRPr="00211E3B">
        <w:rPr>
          <w:iCs/>
          <w:snapToGrid w:val="0"/>
          <w:sz w:val="22"/>
          <w:szCs w:val="22"/>
          <w:lang w:eastAsia="lt-LT"/>
        </w:rPr>
        <w:t>us</w:t>
      </w:r>
      <w:r w:rsidRPr="00211E3B">
        <w:rPr>
          <w:iCs/>
          <w:snapToGrid w:val="0"/>
          <w:sz w:val="22"/>
          <w:szCs w:val="22"/>
          <w:lang w:eastAsia="lt-LT"/>
        </w:rPr>
        <w:t xml:space="preserve"> kraujavim</w:t>
      </w:r>
      <w:r w:rsidR="009C68A2" w:rsidRPr="00211E3B">
        <w:rPr>
          <w:iCs/>
          <w:snapToGrid w:val="0"/>
          <w:sz w:val="22"/>
          <w:szCs w:val="22"/>
          <w:lang w:eastAsia="lt-LT"/>
        </w:rPr>
        <w:t>as</w:t>
      </w:r>
      <w:r w:rsidRPr="00211E3B">
        <w:rPr>
          <w:iCs/>
          <w:snapToGrid w:val="0"/>
          <w:sz w:val="22"/>
          <w:szCs w:val="22"/>
          <w:lang w:eastAsia="lt-LT"/>
        </w:rPr>
        <w:t xml:space="preserve"> iš nosies. Sunkių kraujavimo</w:t>
      </w:r>
      <w:r w:rsidR="009C68A2" w:rsidRPr="00211E3B">
        <w:rPr>
          <w:iCs/>
          <w:snapToGrid w:val="0"/>
          <w:sz w:val="22"/>
          <w:szCs w:val="22"/>
          <w:lang w:eastAsia="lt-LT"/>
        </w:rPr>
        <w:t xml:space="preserve"> </w:t>
      </w:r>
      <w:r w:rsidRPr="00211E3B">
        <w:rPr>
          <w:iCs/>
          <w:snapToGrid w:val="0"/>
          <w:sz w:val="22"/>
          <w:szCs w:val="22"/>
          <w:lang w:eastAsia="lt-LT"/>
        </w:rPr>
        <w:t>reiškinių dažnis 2</w:t>
      </w:r>
      <w:r w:rsidR="009C68A2" w:rsidRPr="00211E3B">
        <w:rPr>
          <w:iCs/>
          <w:snapToGrid w:val="0"/>
          <w:sz w:val="22"/>
          <w:szCs w:val="22"/>
          <w:lang w:eastAsia="lt-LT"/>
        </w:rPr>
        <w:t> </w:t>
      </w:r>
      <w:r w:rsidRPr="00211E3B">
        <w:rPr>
          <w:iCs/>
          <w:snapToGrid w:val="0"/>
          <w:sz w:val="22"/>
          <w:szCs w:val="22"/>
          <w:lang w:eastAsia="lt-LT"/>
        </w:rPr>
        <w:t xml:space="preserve">gydymo grupėse buvo </w:t>
      </w:r>
      <w:r w:rsidR="009C68A2" w:rsidRPr="00211E3B">
        <w:rPr>
          <w:iCs/>
          <w:snapToGrid w:val="0"/>
          <w:sz w:val="22"/>
          <w:szCs w:val="22"/>
          <w:lang w:eastAsia="lt-LT"/>
        </w:rPr>
        <w:t>mažas</w:t>
      </w:r>
      <w:r w:rsidRPr="00211E3B">
        <w:rPr>
          <w:iCs/>
          <w:snapToGrid w:val="0"/>
          <w:sz w:val="22"/>
          <w:szCs w:val="22"/>
          <w:lang w:eastAsia="lt-LT"/>
        </w:rPr>
        <w:t xml:space="preserve"> (1,3</w:t>
      </w:r>
      <w:r w:rsidR="0085390D">
        <w:rPr>
          <w:iCs/>
          <w:snapToGrid w:val="0"/>
          <w:sz w:val="22"/>
          <w:szCs w:val="22"/>
          <w:lang w:eastAsia="lt-LT"/>
        </w:rPr>
        <w:t> %</w:t>
      </w:r>
      <w:r w:rsidR="009C68A2" w:rsidRPr="00211E3B">
        <w:rPr>
          <w:iCs/>
          <w:snapToGrid w:val="0"/>
          <w:sz w:val="22"/>
          <w:szCs w:val="22"/>
          <w:lang w:eastAsia="lt-LT"/>
        </w:rPr>
        <w:t xml:space="preserve"> nintedanibo </w:t>
      </w:r>
      <w:r w:rsidR="00E85A72" w:rsidRPr="00211E3B">
        <w:rPr>
          <w:iCs/>
          <w:snapToGrid w:val="0"/>
          <w:sz w:val="22"/>
          <w:szCs w:val="22"/>
          <w:lang w:eastAsia="lt-LT"/>
        </w:rPr>
        <w:t xml:space="preserve">vartojusiųjų </w:t>
      </w:r>
      <w:r w:rsidR="009C68A2" w:rsidRPr="00211E3B">
        <w:rPr>
          <w:iCs/>
          <w:snapToGrid w:val="0"/>
          <w:sz w:val="22"/>
          <w:szCs w:val="22"/>
          <w:lang w:eastAsia="lt-LT"/>
        </w:rPr>
        <w:t>grupėje, palyginti su</w:t>
      </w:r>
      <w:r w:rsidRPr="00211E3B">
        <w:rPr>
          <w:iCs/>
          <w:snapToGrid w:val="0"/>
          <w:sz w:val="22"/>
          <w:szCs w:val="22"/>
          <w:lang w:eastAsia="lt-LT"/>
        </w:rPr>
        <w:t xml:space="preserve"> 1,4</w:t>
      </w:r>
      <w:r w:rsidR="0085390D">
        <w:rPr>
          <w:iCs/>
          <w:snapToGrid w:val="0"/>
          <w:sz w:val="22"/>
          <w:szCs w:val="22"/>
          <w:lang w:eastAsia="lt-LT"/>
        </w:rPr>
        <w:t> %</w:t>
      </w:r>
      <w:r w:rsidR="009C68A2" w:rsidRPr="00211E3B">
        <w:rPr>
          <w:iCs/>
          <w:snapToGrid w:val="0"/>
          <w:sz w:val="22"/>
          <w:szCs w:val="22"/>
          <w:lang w:eastAsia="lt-LT"/>
        </w:rPr>
        <w:t xml:space="preserve"> placebo grupėje</w:t>
      </w:r>
      <w:r w:rsidRPr="00211E3B">
        <w:rPr>
          <w:iCs/>
          <w:snapToGrid w:val="0"/>
          <w:sz w:val="22"/>
          <w:szCs w:val="22"/>
          <w:lang w:eastAsia="lt-LT"/>
        </w:rPr>
        <w:t>,</w:t>
      </w:r>
      <w:r w:rsidR="009C68A2" w:rsidRPr="00211E3B">
        <w:rPr>
          <w:iCs/>
          <w:snapToGrid w:val="0"/>
          <w:sz w:val="22"/>
          <w:szCs w:val="22"/>
          <w:lang w:eastAsia="lt-LT"/>
        </w:rPr>
        <w:t xml:space="preserve"> </w:t>
      </w:r>
      <w:r w:rsidRPr="00211E3B">
        <w:rPr>
          <w:iCs/>
          <w:snapToGrid w:val="0"/>
          <w:sz w:val="22"/>
          <w:szCs w:val="22"/>
          <w:lang w:eastAsia="lt-LT"/>
        </w:rPr>
        <w:t>INPULSIS tyrime; 0,9</w:t>
      </w:r>
      <w:r w:rsidR="0085390D">
        <w:rPr>
          <w:iCs/>
          <w:snapToGrid w:val="0"/>
          <w:sz w:val="22"/>
          <w:szCs w:val="22"/>
          <w:lang w:eastAsia="lt-LT"/>
        </w:rPr>
        <w:t> %</w:t>
      </w:r>
      <w:r w:rsidR="009C68A2" w:rsidRPr="00211E3B">
        <w:rPr>
          <w:iCs/>
          <w:snapToGrid w:val="0"/>
          <w:sz w:val="22"/>
          <w:szCs w:val="22"/>
          <w:lang w:eastAsia="lt-LT"/>
        </w:rPr>
        <w:t xml:space="preserve"> nintedanibo grupėje, palyginti su</w:t>
      </w:r>
      <w:r w:rsidRPr="00211E3B">
        <w:rPr>
          <w:iCs/>
          <w:snapToGrid w:val="0"/>
          <w:sz w:val="22"/>
          <w:szCs w:val="22"/>
          <w:lang w:eastAsia="lt-LT"/>
        </w:rPr>
        <w:t xml:space="preserve"> 1,5</w:t>
      </w:r>
      <w:r w:rsidR="0085390D">
        <w:rPr>
          <w:iCs/>
          <w:snapToGrid w:val="0"/>
          <w:sz w:val="22"/>
          <w:szCs w:val="22"/>
          <w:lang w:eastAsia="lt-LT"/>
        </w:rPr>
        <w:t> %</w:t>
      </w:r>
      <w:r w:rsidR="009C68A2" w:rsidRPr="00211E3B">
        <w:rPr>
          <w:iCs/>
          <w:snapToGrid w:val="0"/>
          <w:sz w:val="22"/>
          <w:szCs w:val="22"/>
          <w:lang w:eastAsia="lt-LT"/>
        </w:rPr>
        <w:t xml:space="preserve"> placebo </w:t>
      </w:r>
      <w:r w:rsidR="00E85A72" w:rsidRPr="00211E3B">
        <w:rPr>
          <w:iCs/>
          <w:snapToGrid w:val="0"/>
          <w:sz w:val="22"/>
          <w:szCs w:val="22"/>
          <w:lang w:eastAsia="lt-LT"/>
        </w:rPr>
        <w:t xml:space="preserve">vartojusiųjų </w:t>
      </w:r>
      <w:r w:rsidR="009C68A2" w:rsidRPr="00211E3B">
        <w:rPr>
          <w:iCs/>
          <w:snapToGrid w:val="0"/>
          <w:sz w:val="22"/>
          <w:szCs w:val="22"/>
          <w:lang w:eastAsia="lt-LT"/>
        </w:rPr>
        <w:t>grupėje</w:t>
      </w:r>
      <w:r w:rsidRPr="00211E3B">
        <w:rPr>
          <w:iCs/>
          <w:snapToGrid w:val="0"/>
          <w:sz w:val="22"/>
          <w:szCs w:val="22"/>
          <w:lang w:eastAsia="lt-LT"/>
        </w:rPr>
        <w:t>, INBUILD tyrime; 1,4</w:t>
      </w:r>
      <w:r w:rsidR="0085390D">
        <w:rPr>
          <w:iCs/>
          <w:snapToGrid w:val="0"/>
          <w:sz w:val="22"/>
          <w:szCs w:val="22"/>
          <w:lang w:eastAsia="lt-LT"/>
        </w:rPr>
        <w:t> %</w:t>
      </w:r>
      <w:r w:rsidR="009C68A2" w:rsidRPr="00211E3B">
        <w:rPr>
          <w:iCs/>
          <w:snapToGrid w:val="0"/>
          <w:sz w:val="22"/>
          <w:szCs w:val="22"/>
          <w:lang w:eastAsia="lt-LT"/>
        </w:rPr>
        <w:t xml:space="preserve"> nintedanibo </w:t>
      </w:r>
      <w:r w:rsidR="00E85A72" w:rsidRPr="00211E3B">
        <w:rPr>
          <w:iCs/>
          <w:snapToGrid w:val="0"/>
          <w:sz w:val="22"/>
          <w:szCs w:val="22"/>
          <w:lang w:eastAsia="lt-LT"/>
        </w:rPr>
        <w:t xml:space="preserve">vartojusiųjų </w:t>
      </w:r>
      <w:r w:rsidR="009C68A2" w:rsidRPr="00211E3B">
        <w:rPr>
          <w:iCs/>
          <w:snapToGrid w:val="0"/>
          <w:sz w:val="22"/>
          <w:szCs w:val="22"/>
          <w:lang w:eastAsia="lt-LT"/>
        </w:rPr>
        <w:t>grupėje, palyginti su</w:t>
      </w:r>
      <w:r w:rsidRPr="00211E3B">
        <w:rPr>
          <w:iCs/>
          <w:snapToGrid w:val="0"/>
          <w:sz w:val="22"/>
          <w:szCs w:val="22"/>
          <w:lang w:eastAsia="lt-LT"/>
        </w:rPr>
        <w:t xml:space="preserve"> 0,7</w:t>
      </w:r>
      <w:r w:rsidR="0085390D">
        <w:rPr>
          <w:iCs/>
          <w:snapToGrid w:val="0"/>
          <w:sz w:val="22"/>
          <w:szCs w:val="22"/>
          <w:lang w:eastAsia="lt-LT"/>
        </w:rPr>
        <w:t> %</w:t>
      </w:r>
      <w:r w:rsidR="009C68A2" w:rsidRPr="00211E3B">
        <w:rPr>
          <w:iCs/>
          <w:snapToGrid w:val="0"/>
          <w:sz w:val="22"/>
          <w:szCs w:val="22"/>
          <w:lang w:eastAsia="lt-LT"/>
        </w:rPr>
        <w:t xml:space="preserve"> placebo </w:t>
      </w:r>
      <w:r w:rsidR="00E85A72" w:rsidRPr="00211E3B">
        <w:rPr>
          <w:iCs/>
          <w:snapToGrid w:val="0"/>
          <w:sz w:val="22"/>
          <w:szCs w:val="22"/>
          <w:lang w:eastAsia="lt-LT"/>
        </w:rPr>
        <w:t xml:space="preserve">vartojusiųjų </w:t>
      </w:r>
      <w:r w:rsidR="009C68A2" w:rsidRPr="00211E3B">
        <w:rPr>
          <w:iCs/>
          <w:snapToGrid w:val="0"/>
          <w:sz w:val="22"/>
          <w:szCs w:val="22"/>
          <w:lang w:eastAsia="lt-LT"/>
        </w:rPr>
        <w:t>grupėje</w:t>
      </w:r>
      <w:r w:rsidRPr="00211E3B">
        <w:rPr>
          <w:iCs/>
          <w:snapToGrid w:val="0"/>
          <w:sz w:val="22"/>
          <w:szCs w:val="22"/>
          <w:lang w:eastAsia="lt-LT"/>
        </w:rPr>
        <w:t>, SENSCIS tyrime).</w:t>
      </w:r>
    </w:p>
    <w:p w14:paraId="5211B5C8" w14:textId="4446F028" w:rsidR="009E34BE" w:rsidRPr="00211E3B" w:rsidRDefault="009E34BE" w:rsidP="009E34BE">
      <w:pPr>
        <w:tabs>
          <w:tab w:val="left" w:pos="567"/>
        </w:tabs>
        <w:spacing w:line="260" w:lineRule="exact"/>
        <w:rPr>
          <w:iCs/>
          <w:snapToGrid w:val="0"/>
          <w:sz w:val="22"/>
          <w:szCs w:val="22"/>
          <w:lang w:eastAsia="lt-LT"/>
        </w:rPr>
      </w:pPr>
      <w:r w:rsidRPr="00211E3B">
        <w:rPr>
          <w:iCs/>
          <w:snapToGrid w:val="0"/>
          <w:sz w:val="22"/>
          <w:szCs w:val="22"/>
          <w:lang w:eastAsia="lt-LT"/>
        </w:rPr>
        <w:t>Kraujavimo reiškiniai, nustatyti po vaistinio preparato patekimo į rinką, pasireiškė virškinimo, kvėpavimo ir centrinėje nervų sistemoje</w:t>
      </w:r>
      <w:r w:rsidR="009C68A2" w:rsidRPr="00211E3B">
        <w:rPr>
          <w:iCs/>
          <w:snapToGrid w:val="0"/>
          <w:sz w:val="22"/>
          <w:szCs w:val="22"/>
          <w:lang w:eastAsia="lt-LT"/>
        </w:rPr>
        <w:t xml:space="preserve"> (tačiau ne vien šiose sistemose)</w:t>
      </w:r>
      <w:r w:rsidRPr="00211E3B">
        <w:rPr>
          <w:iCs/>
          <w:snapToGrid w:val="0"/>
          <w:sz w:val="22"/>
          <w:szCs w:val="22"/>
          <w:lang w:eastAsia="lt-LT"/>
        </w:rPr>
        <w:t xml:space="preserve">, dažniausiai </w:t>
      </w:r>
      <w:r w:rsidR="009C68A2" w:rsidRPr="00211E3B">
        <w:rPr>
          <w:iCs/>
          <w:snapToGrid w:val="0"/>
          <w:sz w:val="22"/>
          <w:szCs w:val="22"/>
          <w:lang w:eastAsia="lt-LT"/>
        </w:rPr>
        <w:t>pasireiškė</w:t>
      </w:r>
      <w:r w:rsidRPr="00211E3B">
        <w:rPr>
          <w:iCs/>
          <w:snapToGrid w:val="0"/>
          <w:sz w:val="22"/>
          <w:szCs w:val="22"/>
          <w:lang w:eastAsia="lt-LT"/>
        </w:rPr>
        <w:t xml:space="preserve"> kraujavimas iš</w:t>
      </w:r>
      <w:r w:rsidR="009C68A2" w:rsidRPr="00211E3B">
        <w:rPr>
          <w:iCs/>
          <w:snapToGrid w:val="0"/>
          <w:sz w:val="22"/>
          <w:szCs w:val="22"/>
          <w:lang w:eastAsia="lt-LT"/>
        </w:rPr>
        <w:t xml:space="preserve"> </w:t>
      </w:r>
      <w:r w:rsidRPr="00211E3B">
        <w:rPr>
          <w:iCs/>
          <w:snapToGrid w:val="0"/>
          <w:sz w:val="22"/>
          <w:szCs w:val="22"/>
          <w:lang w:eastAsia="lt-LT"/>
        </w:rPr>
        <w:t>virškinimo trakto (žr. 4.4</w:t>
      </w:r>
      <w:r w:rsidR="009C68A2" w:rsidRPr="00211E3B">
        <w:rPr>
          <w:iCs/>
          <w:snapToGrid w:val="0"/>
          <w:sz w:val="22"/>
          <w:szCs w:val="22"/>
          <w:lang w:eastAsia="lt-LT"/>
        </w:rPr>
        <w:t> </w:t>
      </w:r>
      <w:r w:rsidRPr="00211E3B">
        <w:rPr>
          <w:iCs/>
          <w:snapToGrid w:val="0"/>
          <w:sz w:val="22"/>
          <w:szCs w:val="22"/>
          <w:lang w:eastAsia="lt-LT"/>
        </w:rPr>
        <w:t>skyrių).</w:t>
      </w:r>
    </w:p>
    <w:p w14:paraId="493BDE31" w14:textId="77777777" w:rsidR="009C68A2" w:rsidRPr="00211E3B" w:rsidRDefault="009C68A2" w:rsidP="009E34BE">
      <w:pPr>
        <w:tabs>
          <w:tab w:val="left" w:pos="567"/>
        </w:tabs>
        <w:spacing w:line="260" w:lineRule="exact"/>
        <w:rPr>
          <w:iCs/>
          <w:snapToGrid w:val="0"/>
          <w:sz w:val="22"/>
          <w:szCs w:val="22"/>
          <w:lang w:eastAsia="lt-LT"/>
        </w:rPr>
      </w:pPr>
    </w:p>
    <w:p w14:paraId="0C77A1D0" w14:textId="77777777" w:rsidR="009E34BE" w:rsidRPr="00211E3B" w:rsidRDefault="009E34BE" w:rsidP="009E34BE">
      <w:pPr>
        <w:tabs>
          <w:tab w:val="left" w:pos="567"/>
        </w:tabs>
        <w:spacing w:line="260" w:lineRule="exact"/>
        <w:rPr>
          <w:i/>
          <w:snapToGrid w:val="0"/>
          <w:sz w:val="22"/>
          <w:szCs w:val="22"/>
          <w:lang w:eastAsia="lt-LT"/>
        </w:rPr>
      </w:pPr>
      <w:r w:rsidRPr="00211E3B">
        <w:rPr>
          <w:i/>
          <w:snapToGrid w:val="0"/>
          <w:sz w:val="22"/>
          <w:szCs w:val="22"/>
          <w:lang w:eastAsia="lt-LT"/>
        </w:rPr>
        <w:t>Proteinurija</w:t>
      </w:r>
    </w:p>
    <w:p w14:paraId="57EB07C8" w14:textId="1776696B" w:rsidR="009E34BE" w:rsidRPr="00211E3B" w:rsidRDefault="009E34BE" w:rsidP="00422466">
      <w:pPr>
        <w:tabs>
          <w:tab w:val="left" w:pos="567"/>
        </w:tabs>
        <w:spacing w:line="260" w:lineRule="exact"/>
        <w:rPr>
          <w:iCs/>
          <w:snapToGrid w:val="0"/>
          <w:sz w:val="22"/>
          <w:szCs w:val="22"/>
          <w:lang w:eastAsia="lt-LT"/>
        </w:rPr>
      </w:pPr>
      <w:r w:rsidRPr="00211E3B">
        <w:rPr>
          <w:iCs/>
          <w:snapToGrid w:val="0"/>
          <w:sz w:val="22"/>
          <w:szCs w:val="22"/>
          <w:lang w:eastAsia="lt-LT"/>
        </w:rPr>
        <w:t>Klinikinių tyrimų metu proteinurija pasireiškė retai ir jos dažnis gydymo grupėse buvo panašus (0,8</w:t>
      </w:r>
      <w:r w:rsidR="0085390D">
        <w:rPr>
          <w:iCs/>
          <w:snapToGrid w:val="0"/>
          <w:sz w:val="22"/>
          <w:szCs w:val="22"/>
          <w:lang w:eastAsia="lt-LT"/>
        </w:rPr>
        <w:t> %</w:t>
      </w:r>
      <w:r w:rsidR="00422466" w:rsidRPr="00211E3B">
        <w:rPr>
          <w:iCs/>
          <w:snapToGrid w:val="0"/>
          <w:sz w:val="22"/>
          <w:szCs w:val="22"/>
          <w:lang w:eastAsia="lt-LT"/>
        </w:rPr>
        <w:t xml:space="preserve"> nintedanibo </w:t>
      </w:r>
      <w:r w:rsidR="0014714A" w:rsidRPr="00211E3B">
        <w:rPr>
          <w:iCs/>
          <w:snapToGrid w:val="0"/>
          <w:sz w:val="22"/>
          <w:szCs w:val="22"/>
          <w:lang w:eastAsia="lt-LT"/>
        </w:rPr>
        <w:t xml:space="preserve">vartojusiųjų </w:t>
      </w:r>
      <w:r w:rsidR="00422466" w:rsidRPr="00211E3B">
        <w:rPr>
          <w:iCs/>
          <w:snapToGrid w:val="0"/>
          <w:sz w:val="22"/>
          <w:szCs w:val="22"/>
          <w:lang w:eastAsia="lt-LT"/>
        </w:rPr>
        <w:t xml:space="preserve">grupėje, palyginti su </w:t>
      </w:r>
      <w:r w:rsidRPr="00211E3B">
        <w:rPr>
          <w:iCs/>
          <w:snapToGrid w:val="0"/>
          <w:sz w:val="22"/>
          <w:szCs w:val="22"/>
          <w:lang w:eastAsia="lt-LT"/>
        </w:rPr>
        <w:t>0,5</w:t>
      </w:r>
      <w:r w:rsidR="0085390D">
        <w:rPr>
          <w:iCs/>
          <w:snapToGrid w:val="0"/>
          <w:sz w:val="22"/>
          <w:szCs w:val="22"/>
          <w:lang w:eastAsia="lt-LT"/>
        </w:rPr>
        <w:t> %</w:t>
      </w:r>
      <w:r w:rsidR="00422466" w:rsidRPr="00211E3B">
        <w:rPr>
          <w:iCs/>
          <w:snapToGrid w:val="0"/>
          <w:sz w:val="22"/>
          <w:szCs w:val="22"/>
          <w:lang w:eastAsia="lt-LT"/>
        </w:rPr>
        <w:t xml:space="preserve"> placebo </w:t>
      </w:r>
      <w:r w:rsidR="0014714A" w:rsidRPr="00211E3B">
        <w:rPr>
          <w:iCs/>
          <w:snapToGrid w:val="0"/>
          <w:sz w:val="22"/>
          <w:szCs w:val="22"/>
          <w:lang w:eastAsia="lt-LT"/>
        </w:rPr>
        <w:t xml:space="preserve">vartojusiųjų </w:t>
      </w:r>
      <w:r w:rsidR="00422466" w:rsidRPr="00211E3B">
        <w:rPr>
          <w:iCs/>
          <w:snapToGrid w:val="0"/>
          <w:sz w:val="22"/>
          <w:szCs w:val="22"/>
          <w:lang w:eastAsia="lt-LT"/>
        </w:rPr>
        <w:t>grupėje,</w:t>
      </w:r>
      <w:r w:rsidRPr="00211E3B">
        <w:rPr>
          <w:iCs/>
          <w:snapToGrid w:val="0"/>
          <w:sz w:val="22"/>
          <w:szCs w:val="22"/>
          <w:lang w:eastAsia="lt-LT"/>
        </w:rPr>
        <w:t xml:space="preserve"> INPULSIS tyrime; 1,5</w:t>
      </w:r>
      <w:r w:rsidR="0085390D">
        <w:rPr>
          <w:iCs/>
          <w:snapToGrid w:val="0"/>
          <w:sz w:val="22"/>
          <w:szCs w:val="22"/>
          <w:lang w:eastAsia="lt-LT"/>
        </w:rPr>
        <w:t> %</w:t>
      </w:r>
      <w:r w:rsidR="00422466" w:rsidRPr="00211E3B">
        <w:rPr>
          <w:iCs/>
          <w:snapToGrid w:val="0"/>
          <w:sz w:val="22"/>
          <w:szCs w:val="22"/>
          <w:lang w:eastAsia="lt-LT"/>
        </w:rPr>
        <w:t xml:space="preserve"> nintedanibo </w:t>
      </w:r>
      <w:r w:rsidR="0014714A" w:rsidRPr="00211E3B">
        <w:rPr>
          <w:iCs/>
          <w:snapToGrid w:val="0"/>
          <w:sz w:val="22"/>
          <w:szCs w:val="22"/>
          <w:lang w:eastAsia="lt-LT"/>
        </w:rPr>
        <w:t xml:space="preserve">vartojusiųjų </w:t>
      </w:r>
      <w:r w:rsidR="00422466" w:rsidRPr="00211E3B">
        <w:rPr>
          <w:iCs/>
          <w:snapToGrid w:val="0"/>
          <w:sz w:val="22"/>
          <w:szCs w:val="22"/>
          <w:lang w:eastAsia="lt-LT"/>
        </w:rPr>
        <w:t>grupėje, palyginti su</w:t>
      </w:r>
      <w:r w:rsidRPr="00211E3B">
        <w:rPr>
          <w:iCs/>
          <w:snapToGrid w:val="0"/>
          <w:sz w:val="22"/>
          <w:szCs w:val="22"/>
          <w:lang w:eastAsia="lt-LT"/>
        </w:rPr>
        <w:t xml:space="preserve"> 1,8</w:t>
      </w:r>
      <w:r w:rsidR="0085390D">
        <w:rPr>
          <w:iCs/>
          <w:snapToGrid w:val="0"/>
          <w:sz w:val="22"/>
          <w:szCs w:val="22"/>
          <w:lang w:eastAsia="lt-LT"/>
        </w:rPr>
        <w:t> %</w:t>
      </w:r>
      <w:r w:rsidR="00422466" w:rsidRPr="00211E3B">
        <w:rPr>
          <w:iCs/>
          <w:snapToGrid w:val="0"/>
          <w:sz w:val="22"/>
          <w:szCs w:val="22"/>
          <w:lang w:eastAsia="lt-LT"/>
        </w:rPr>
        <w:t xml:space="preserve"> placebo </w:t>
      </w:r>
      <w:r w:rsidR="0014714A" w:rsidRPr="00211E3B">
        <w:rPr>
          <w:iCs/>
          <w:snapToGrid w:val="0"/>
          <w:sz w:val="22"/>
          <w:szCs w:val="22"/>
          <w:lang w:eastAsia="lt-LT"/>
        </w:rPr>
        <w:t xml:space="preserve">vartojusiųjų </w:t>
      </w:r>
      <w:r w:rsidR="00422466" w:rsidRPr="00211E3B">
        <w:rPr>
          <w:iCs/>
          <w:snapToGrid w:val="0"/>
          <w:sz w:val="22"/>
          <w:szCs w:val="22"/>
          <w:lang w:eastAsia="lt-LT"/>
        </w:rPr>
        <w:t xml:space="preserve">grupėje, </w:t>
      </w:r>
      <w:r w:rsidRPr="00211E3B">
        <w:rPr>
          <w:iCs/>
          <w:snapToGrid w:val="0"/>
          <w:sz w:val="22"/>
          <w:szCs w:val="22"/>
          <w:lang w:eastAsia="lt-LT"/>
        </w:rPr>
        <w:t>INBUILD tyrime; 1,0</w:t>
      </w:r>
      <w:r w:rsidR="0085390D">
        <w:rPr>
          <w:iCs/>
          <w:snapToGrid w:val="0"/>
          <w:sz w:val="22"/>
          <w:szCs w:val="22"/>
          <w:lang w:eastAsia="lt-LT"/>
        </w:rPr>
        <w:t> %</w:t>
      </w:r>
      <w:r w:rsidR="00422466" w:rsidRPr="00211E3B">
        <w:rPr>
          <w:iCs/>
          <w:snapToGrid w:val="0"/>
          <w:sz w:val="22"/>
          <w:szCs w:val="22"/>
          <w:lang w:eastAsia="lt-LT"/>
        </w:rPr>
        <w:t xml:space="preserve"> nintedanibo </w:t>
      </w:r>
      <w:r w:rsidR="0014714A" w:rsidRPr="00211E3B">
        <w:rPr>
          <w:iCs/>
          <w:snapToGrid w:val="0"/>
          <w:sz w:val="22"/>
          <w:szCs w:val="22"/>
          <w:lang w:eastAsia="lt-LT"/>
        </w:rPr>
        <w:t xml:space="preserve">vartojusiųjų </w:t>
      </w:r>
      <w:r w:rsidR="00422466" w:rsidRPr="00211E3B">
        <w:rPr>
          <w:iCs/>
          <w:snapToGrid w:val="0"/>
          <w:sz w:val="22"/>
          <w:szCs w:val="22"/>
          <w:lang w:eastAsia="lt-LT"/>
        </w:rPr>
        <w:t xml:space="preserve">grupėje, palyginti su </w:t>
      </w:r>
      <w:r w:rsidRPr="00211E3B">
        <w:rPr>
          <w:iCs/>
          <w:snapToGrid w:val="0"/>
          <w:sz w:val="22"/>
          <w:szCs w:val="22"/>
          <w:lang w:eastAsia="lt-LT"/>
        </w:rPr>
        <w:t>0,0</w:t>
      </w:r>
      <w:r w:rsidR="0085390D">
        <w:rPr>
          <w:iCs/>
          <w:snapToGrid w:val="0"/>
          <w:sz w:val="22"/>
          <w:szCs w:val="22"/>
          <w:lang w:eastAsia="lt-LT"/>
        </w:rPr>
        <w:t> %</w:t>
      </w:r>
      <w:r w:rsidRPr="00211E3B">
        <w:rPr>
          <w:iCs/>
          <w:snapToGrid w:val="0"/>
          <w:sz w:val="22"/>
          <w:szCs w:val="22"/>
          <w:lang w:eastAsia="lt-LT"/>
        </w:rPr>
        <w:t xml:space="preserve"> </w:t>
      </w:r>
      <w:r w:rsidR="00422466" w:rsidRPr="00211E3B">
        <w:rPr>
          <w:iCs/>
          <w:snapToGrid w:val="0"/>
          <w:sz w:val="22"/>
          <w:szCs w:val="22"/>
          <w:lang w:eastAsia="lt-LT"/>
        </w:rPr>
        <w:t xml:space="preserve">placebo </w:t>
      </w:r>
      <w:r w:rsidR="0014714A" w:rsidRPr="00211E3B">
        <w:rPr>
          <w:iCs/>
          <w:snapToGrid w:val="0"/>
          <w:sz w:val="22"/>
          <w:szCs w:val="22"/>
          <w:lang w:eastAsia="lt-LT"/>
        </w:rPr>
        <w:t xml:space="preserve">vartojusiųjų </w:t>
      </w:r>
      <w:r w:rsidR="00422466" w:rsidRPr="00211E3B">
        <w:rPr>
          <w:iCs/>
          <w:snapToGrid w:val="0"/>
          <w:sz w:val="22"/>
          <w:szCs w:val="22"/>
          <w:lang w:eastAsia="lt-LT"/>
        </w:rPr>
        <w:t xml:space="preserve">grupėje, </w:t>
      </w:r>
      <w:r w:rsidRPr="00211E3B">
        <w:rPr>
          <w:iCs/>
          <w:snapToGrid w:val="0"/>
          <w:sz w:val="22"/>
          <w:szCs w:val="22"/>
          <w:lang w:eastAsia="lt-LT"/>
        </w:rPr>
        <w:t>SENSCIS tyrime). Klinikinių tyrimų metu</w:t>
      </w:r>
      <w:r w:rsidR="00422466" w:rsidRPr="00211E3B">
        <w:rPr>
          <w:iCs/>
          <w:snapToGrid w:val="0"/>
          <w:sz w:val="22"/>
          <w:szCs w:val="22"/>
          <w:lang w:eastAsia="lt-LT"/>
        </w:rPr>
        <w:t xml:space="preserve"> </w:t>
      </w:r>
      <w:r w:rsidRPr="00211E3B">
        <w:rPr>
          <w:iCs/>
          <w:snapToGrid w:val="0"/>
          <w:sz w:val="22"/>
          <w:szCs w:val="22"/>
          <w:lang w:eastAsia="lt-LT"/>
        </w:rPr>
        <w:t>apie nefrozinį sindromą ne</w:t>
      </w:r>
      <w:r w:rsidR="00422466" w:rsidRPr="00211E3B">
        <w:rPr>
          <w:iCs/>
          <w:snapToGrid w:val="0"/>
          <w:sz w:val="22"/>
          <w:szCs w:val="22"/>
          <w:lang w:eastAsia="lt-LT"/>
        </w:rPr>
        <w:t xml:space="preserve">buvo </w:t>
      </w:r>
      <w:r w:rsidRPr="00211E3B">
        <w:rPr>
          <w:iCs/>
          <w:snapToGrid w:val="0"/>
          <w:sz w:val="22"/>
          <w:szCs w:val="22"/>
          <w:lang w:eastAsia="lt-LT"/>
        </w:rPr>
        <w:t>pranešta. Po</w:t>
      </w:r>
      <w:r w:rsidR="00422466" w:rsidRPr="00211E3B">
        <w:rPr>
          <w:iCs/>
          <w:snapToGrid w:val="0"/>
          <w:sz w:val="22"/>
          <w:szCs w:val="22"/>
          <w:lang w:eastAsia="lt-LT"/>
        </w:rPr>
        <w:t xml:space="preserve"> vaistinio preparato pateikimo į rinką</w:t>
      </w:r>
      <w:r w:rsidRPr="00211E3B">
        <w:rPr>
          <w:iCs/>
          <w:snapToGrid w:val="0"/>
          <w:sz w:val="22"/>
          <w:szCs w:val="22"/>
          <w:lang w:eastAsia="lt-LT"/>
        </w:rPr>
        <w:t xml:space="preserve"> gauta labai mažai pranešimų apie</w:t>
      </w:r>
      <w:r w:rsidR="00422466" w:rsidRPr="00211E3B">
        <w:rPr>
          <w:iCs/>
          <w:snapToGrid w:val="0"/>
          <w:sz w:val="22"/>
          <w:szCs w:val="22"/>
          <w:lang w:eastAsia="lt-LT"/>
        </w:rPr>
        <w:t xml:space="preserve"> </w:t>
      </w:r>
      <w:r w:rsidRPr="00211E3B">
        <w:rPr>
          <w:iCs/>
          <w:snapToGrid w:val="0"/>
          <w:sz w:val="22"/>
          <w:szCs w:val="22"/>
          <w:lang w:eastAsia="lt-LT"/>
        </w:rPr>
        <w:t xml:space="preserve">nefrozinio lygio proteinurijos atvejus su inkstų funkcijos sutrikimu arba be jo. </w:t>
      </w:r>
      <w:r w:rsidR="00422466" w:rsidRPr="00211E3B">
        <w:rPr>
          <w:snapToGrid w:val="0"/>
          <w:sz w:val="22"/>
        </w:rPr>
        <w:t>Individualių atvejų histologiniai duomenys rodė glomerulų mikroangiopatiją su inkstų trombais arba be jų. Pastebėta, kad simptomai išnyko nutraukus gydymą nintedanibu, kai kuriais atvejais buvo nustatyta liekamoji proteinurija. Pacientams, kuriems atsiranda nefrozinio sindromo požymių ar simptomų, reikia įvertinti gydymo sustabdymo būtinybę</w:t>
      </w:r>
      <w:r w:rsidRPr="00211E3B">
        <w:rPr>
          <w:iCs/>
          <w:snapToGrid w:val="0"/>
          <w:sz w:val="22"/>
          <w:szCs w:val="22"/>
          <w:lang w:eastAsia="lt-LT"/>
        </w:rPr>
        <w:t xml:space="preserve"> (žr. 4.4</w:t>
      </w:r>
      <w:r w:rsidR="00422466" w:rsidRPr="00211E3B">
        <w:rPr>
          <w:iCs/>
          <w:snapToGrid w:val="0"/>
          <w:sz w:val="22"/>
          <w:szCs w:val="22"/>
          <w:lang w:eastAsia="lt-LT"/>
        </w:rPr>
        <w:t> </w:t>
      </w:r>
      <w:r w:rsidRPr="00211E3B">
        <w:rPr>
          <w:iCs/>
          <w:snapToGrid w:val="0"/>
          <w:sz w:val="22"/>
          <w:szCs w:val="22"/>
          <w:lang w:eastAsia="lt-LT"/>
        </w:rPr>
        <w:t>skyrių).</w:t>
      </w:r>
    </w:p>
    <w:p w14:paraId="79BBBE60" w14:textId="77777777" w:rsidR="00422466" w:rsidRPr="00211E3B" w:rsidRDefault="00422466" w:rsidP="009E34BE">
      <w:pPr>
        <w:tabs>
          <w:tab w:val="left" w:pos="567"/>
        </w:tabs>
        <w:spacing w:line="260" w:lineRule="exact"/>
        <w:rPr>
          <w:iCs/>
          <w:snapToGrid w:val="0"/>
          <w:sz w:val="22"/>
          <w:szCs w:val="22"/>
          <w:lang w:eastAsia="lt-LT"/>
        </w:rPr>
      </w:pPr>
    </w:p>
    <w:p w14:paraId="6E96563A" w14:textId="21CABCDA" w:rsidR="009E34BE" w:rsidRPr="00211E3B" w:rsidRDefault="009E34BE" w:rsidP="009E34BE">
      <w:pPr>
        <w:tabs>
          <w:tab w:val="left" w:pos="567"/>
        </w:tabs>
        <w:spacing w:line="260" w:lineRule="exact"/>
        <w:rPr>
          <w:iCs/>
          <w:snapToGrid w:val="0"/>
          <w:sz w:val="22"/>
          <w:szCs w:val="22"/>
          <w:u w:val="single"/>
          <w:lang w:eastAsia="lt-LT"/>
        </w:rPr>
      </w:pPr>
      <w:r w:rsidRPr="00211E3B">
        <w:rPr>
          <w:iCs/>
          <w:snapToGrid w:val="0"/>
          <w:sz w:val="22"/>
          <w:szCs w:val="22"/>
          <w:u w:val="single"/>
          <w:lang w:eastAsia="lt-LT"/>
        </w:rPr>
        <w:t>Vaikų populiacija</w:t>
      </w:r>
    </w:p>
    <w:p w14:paraId="1876CF5B" w14:textId="57FB320D" w:rsidR="009E34BE" w:rsidRPr="00211E3B" w:rsidRDefault="009E34BE" w:rsidP="009E34BE">
      <w:pPr>
        <w:tabs>
          <w:tab w:val="left" w:pos="567"/>
        </w:tabs>
        <w:spacing w:line="260" w:lineRule="exact"/>
        <w:rPr>
          <w:iCs/>
          <w:snapToGrid w:val="0"/>
          <w:sz w:val="22"/>
          <w:szCs w:val="22"/>
          <w:lang w:eastAsia="lt-LT"/>
        </w:rPr>
      </w:pPr>
      <w:r w:rsidRPr="00211E3B">
        <w:rPr>
          <w:iCs/>
          <w:snapToGrid w:val="0"/>
          <w:sz w:val="22"/>
          <w:szCs w:val="22"/>
          <w:lang w:eastAsia="lt-LT"/>
        </w:rPr>
        <w:t>Nintedanibo saugumo duomenų pacientams</w:t>
      </w:r>
      <w:r w:rsidR="00C16AF9">
        <w:rPr>
          <w:iCs/>
          <w:snapToGrid w:val="0"/>
          <w:sz w:val="22"/>
          <w:szCs w:val="22"/>
          <w:lang w:eastAsia="lt-LT"/>
        </w:rPr>
        <w:t xml:space="preserve"> vaikams</w:t>
      </w:r>
      <w:r w:rsidRPr="00211E3B">
        <w:rPr>
          <w:iCs/>
          <w:snapToGrid w:val="0"/>
          <w:sz w:val="22"/>
          <w:szCs w:val="22"/>
          <w:lang w:eastAsia="lt-LT"/>
        </w:rPr>
        <w:t xml:space="preserve"> </w:t>
      </w:r>
      <w:r w:rsidR="00195D7C" w:rsidRPr="00211E3B">
        <w:rPr>
          <w:iCs/>
          <w:snapToGrid w:val="0"/>
          <w:sz w:val="22"/>
          <w:szCs w:val="22"/>
          <w:lang w:eastAsia="lt-LT"/>
        </w:rPr>
        <w:t>yra nedaug</w:t>
      </w:r>
      <w:r w:rsidRPr="00211E3B">
        <w:rPr>
          <w:iCs/>
          <w:snapToGrid w:val="0"/>
          <w:sz w:val="22"/>
          <w:szCs w:val="22"/>
          <w:lang w:eastAsia="lt-LT"/>
        </w:rPr>
        <w:t>.</w:t>
      </w:r>
    </w:p>
    <w:p w14:paraId="7D5F5D46" w14:textId="1BB3487B" w:rsidR="009E34BE" w:rsidRPr="00211E3B" w:rsidRDefault="009E34BE" w:rsidP="009E34BE">
      <w:pPr>
        <w:tabs>
          <w:tab w:val="left" w:pos="567"/>
        </w:tabs>
        <w:spacing w:line="260" w:lineRule="exact"/>
        <w:rPr>
          <w:iCs/>
          <w:snapToGrid w:val="0"/>
          <w:sz w:val="22"/>
          <w:szCs w:val="22"/>
          <w:lang w:eastAsia="lt-LT"/>
        </w:rPr>
      </w:pPr>
      <w:r w:rsidRPr="00211E3B">
        <w:rPr>
          <w:iCs/>
          <w:snapToGrid w:val="0"/>
          <w:sz w:val="22"/>
          <w:szCs w:val="22"/>
          <w:lang w:eastAsia="lt-LT"/>
        </w:rPr>
        <w:t>Iš viso 39</w:t>
      </w:r>
      <w:r w:rsidR="00195D7C" w:rsidRPr="00211E3B">
        <w:rPr>
          <w:iCs/>
          <w:snapToGrid w:val="0"/>
          <w:sz w:val="22"/>
          <w:szCs w:val="22"/>
          <w:lang w:eastAsia="lt-LT"/>
        </w:rPr>
        <w:t> </w:t>
      </w:r>
      <w:r w:rsidRPr="00211E3B">
        <w:rPr>
          <w:iCs/>
          <w:snapToGrid w:val="0"/>
          <w:sz w:val="22"/>
          <w:szCs w:val="22"/>
          <w:lang w:eastAsia="lt-LT"/>
        </w:rPr>
        <w:t>pacientai, kurių amžius buvo nuo 6 iki 17</w:t>
      </w:r>
      <w:r w:rsidR="00195D7C" w:rsidRPr="00211E3B">
        <w:rPr>
          <w:iCs/>
          <w:snapToGrid w:val="0"/>
          <w:sz w:val="22"/>
          <w:szCs w:val="22"/>
          <w:lang w:eastAsia="lt-LT"/>
        </w:rPr>
        <w:t> </w:t>
      </w:r>
      <w:r w:rsidRPr="00211E3B">
        <w:rPr>
          <w:iCs/>
          <w:snapToGrid w:val="0"/>
          <w:sz w:val="22"/>
          <w:szCs w:val="22"/>
          <w:lang w:eastAsia="lt-LT"/>
        </w:rPr>
        <w:t>metų, vartojo nintedanibą atsitiktinių imčių,</w:t>
      </w:r>
      <w:r w:rsidR="00195D7C" w:rsidRPr="00211E3B">
        <w:rPr>
          <w:iCs/>
          <w:snapToGrid w:val="0"/>
          <w:sz w:val="22"/>
          <w:szCs w:val="22"/>
          <w:lang w:eastAsia="lt-LT"/>
        </w:rPr>
        <w:t xml:space="preserve"> </w:t>
      </w:r>
      <w:r w:rsidRPr="00211E3B">
        <w:rPr>
          <w:iCs/>
          <w:snapToGrid w:val="0"/>
          <w:sz w:val="22"/>
          <w:szCs w:val="22"/>
          <w:lang w:eastAsia="lt-LT"/>
        </w:rPr>
        <w:t>dvigubai koduotame, placebu kontroliu</w:t>
      </w:r>
      <w:r w:rsidR="00195D7C" w:rsidRPr="00211E3B">
        <w:rPr>
          <w:iCs/>
          <w:snapToGrid w:val="0"/>
          <w:sz w:val="22"/>
          <w:szCs w:val="22"/>
          <w:lang w:eastAsia="lt-LT"/>
        </w:rPr>
        <w:t>ot</w:t>
      </w:r>
      <w:r w:rsidRPr="00211E3B">
        <w:rPr>
          <w:iCs/>
          <w:snapToGrid w:val="0"/>
          <w:sz w:val="22"/>
          <w:szCs w:val="22"/>
          <w:lang w:eastAsia="lt-LT"/>
        </w:rPr>
        <w:t>ame 24</w:t>
      </w:r>
      <w:r w:rsidR="00195D7C" w:rsidRPr="00211E3B">
        <w:rPr>
          <w:iCs/>
          <w:snapToGrid w:val="0"/>
          <w:sz w:val="22"/>
          <w:szCs w:val="22"/>
          <w:lang w:eastAsia="lt-LT"/>
        </w:rPr>
        <w:t> </w:t>
      </w:r>
      <w:r w:rsidRPr="00211E3B">
        <w:rPr>
          <w:iCs/>
          <w:snapToGrid w:val="0"/>
          <w:sz w:val="22"/>
          <w:szCs w:val="22"/>
          <w:lang w:eastAsia="lt-LT"/>
        </w:rPr>
        <w:t xml:space="preserve">savaičių trukmės tyrime, po kurio buvo </w:t>
      </w:r>
      <w:r w:rsidR="00195D7C" w:rsidRPr="00211E3B">
        <w:rPr>
          <w:iCs/>
          <w:snapToGrid w:val="0"/>
          <w:sz w:val="22"/>
          <w:szCs w:val="22"/>
          <w:lang w:eastAsia="lt-LT"/>
        </w:rPr>
        <w:t>taikomas nekoduotas įvairios trukmės</w:t>
      </w:r>
      <w:r w:rsidRPr="00211E3B">
        <w:rPr>
          <w:iCs/>
          <w:snapToGrid w:val="0"/>
          <w:sz w:val="22"/>
          <w:szCs w:val="22"/>
          <w:lang w:eastAsia="lt-LT"/>
        </w:rPr>
        <w:t xml:space="preserve"> gydymas nintedanibu (žr. 5.1</w:t>
      </w:r>
      <w:r w:rsidR="00195D7C" w:rsidRPr="00211E3B">
        <w:rPr>
          <w:iCs/>
          <w:snapToGrid w:val="0"/>
          <w:sz w:val="22"/>
          <w:szCs w:val="22"/>
          <w:lang w:eastAsia="lt-LT"/>
        </w:rPr>
        <w:t> </w:t>
      </w:r>
      <w:r w:rsidRPr="00211E3B">
        <w:rPr>
          <w:iCs/>
          <w:snapToGrid w:val="0"/>
          <w:sz w:val="22"/>
          <w:szCs w:val="22"/>
          <w:lang w:eastAsia="lt-LT"/>
        </w:rPr>
        <w:t xml:space="preserve">skyrių). Nintedanibo </w:t>
      </w:r>
      <w:r w:rsidR="0014714A" w:rsidRPr="00211E3B">
        <w:rPr>
          <w:iCs/>
          <w:snapToGrid w:val="0"/>
          <w:sz w:val="22"/>
          <w:szCs w:val="22"/>
          <w:lang w:eastAsia="lt-LT"/>
        </w:rPr>
        <w:t xml:space="preserve">vartojusiųjų </w:t>
      </w:r>
      <w:r w:rsidRPr="00211E3B">
        <w:rPr>
          <w:iCs/>
          <w:snapToGrid w:val="0"/>
          <w:sz w:val="22"/>
          <w:szCs w:val="22"/>
          <w:lang w:eastAsia="lt-LT"/>
        </w:rPr>
        <w:t>grupėje</w:t>
      </w:r>
      <w:r w:rsidR="00AD1DFB" w:rsidRPr="00211E3B">
        <w:rPr>
          <w:iCs/>
          <w:snapToGrid w:val="0"/>
          <w:sz w:val="22"/>
          <w:szCs w:val="22"/>
          <w:lang w:eastAsia="lt-LT"/>
        </w:rPr>
        <w:t xml:space="preserve"> </w:t>
      </w:r>
      <w:r w:rsidRPr="00211E3B">
        <w:rPr>
          <w:iCs/>
          <w:snapToGrid w:val="0"/>
          <w:sz w:val="22"/>
          <w:szCs w:val="22"/>
          <w:lang w:eastAsia="lt-LT"/>
        </w:rPr>
        <w:t>placebu kontroliuo</w:t>
      </w:r>
      <w:r w:rsidR="00B41968" w:rsidRPr="00211E3B">
        <w:rPr>
          <w:iCs/>
          <w:snapToGrid w:val="0"/>
          <w:sz w:val="22"/>
          <w:szCs w:val="22"/>
          <w:lang w:eastAsia="lt-LT"/>
        </w:rPr>
        <w:t>t</w:t>
      </w:r>
      <w:r w:rsidRPr="00211E3B">
        <w:rPr>
          <w:iCs/>
          <w:snapToGrid w:val="0"/>
          <w:sz w:val="22"/>
          <w:szCs w:val="22"/>
          <w:lang w:eastAsia="lt-LT"/>
        </w:rPr>
        <w:t>u 24</w:t>
      </w:r>
      <w:r w:rsidR="00AD1DFB" w:rsidRPr="00211E3B">
        <w:rPr>
          <w:iCs/>
          <w:snapToGrid w:val="0"/>
          <w:sz w:val="22"/>
          <w:szCs w:val="22"/>
          <w:lang w:eastAsia="lt-LT"/>
        </w:rPr>
        <w:t> </w:t>
      </w:r>
      <w:r w:rsidRPr="00211E3B">
        <w:rPr>
          <w:iCs/>
          <w:snapToGrid w:val="0"/>
          <w:sz w:val="22"/>
          <w:szCs w:val="22"/>
          <w:lang w:eastAsia="lt-LT"/>
        </w:rPr>
        <w:t xml:space="preserve">savaičių trukmės tyrimo laikotarpiu dažniausiai </w:t>
      </w:r>
      <w:r w:rsidR="00AD1DFB" w:rsidRPr="00211E3B">
        <w:rPr>
          <w:iCs/>
          <w:snapToGrid w:val="0"/>
          <w:sz w:val="22"/>
          <w:szCs w:val="22"/>
          <w:lang w:eastAsia="lt-LT"/>
        </w:rPr>
        <w:t xml:space="preserve">praneštos </w:t>
      </w:r>
      <w:r w:rsidRPr="00211E3B">
        <w:rPr>
          <w:iCs/>
          <w:snapToGrid w:val="0"/>
          <w:sz w:val="22"/>
          <w:szCs w:val="22"/>
          <w:lang w:eastAsia="lt-LT"/>
        </w:rPr>
        <w:t>nepageidaujamos reakcijos buvo viduriavimas (38,5</w:t>
      </w:r>
      <w:r w:rsidR="0085390D">
        <w:rPr>
          <w:iCs/>
          <w:snapToGrid w:val="0"/>
          <w:sz w:val="22"/>
          <w:szCs w:val="22"/>
          <w:lang w:eastAsia="lt-LT"/>
        </w:rPr>
        <w:t> %</w:t>
      </w:r>
      <w:r w:rsidRPr="00211E3B">
        <w:rPr>
          <w:iCs/>
          <w:snapToGrid w:val="0"/>
          <w:sz w:val="22"/>
          <w:szCs w:val="22"/>
          <w:lang w:eastAsia="lt-LT"/>
        </w:rPr>
        <w:t>), vėmimas (26,9</w:t>
      </w:r>
      <w:r w:rsidR="0085390D">
        <w:rPr>
          <w:iCs/>
          <w:snapToGrid w:val="0"/>
          <w:sz w:val="22"/>
          <w:szCs w:val="22"/>
          <w:lang w:eastAsia="lt-LT"/>
        </w:rPr>
        <w:t> %</w:t>
      </w:r>
      <w:r w:rsidRPr="00211E3B">
        <w:rPr>
          <w:iCs/>
          <w:snapToGrid w:val="0"/>
          <w:sz w:val="22"/>
          <w:szCs w:val="22"/>
          <w:lang w:eastAsia="lt-LT"/>
        </w:rPr>
        <w:t>), pykinimas (19,2</w:t>
      </w:r>
      <w:r w:rsidR="0085390D">
        <w:rPr>
          <w:iCs/>
          <w:snapToGrid w:val="0"/>
          <w:sz w:val="22"/>
          <w:szCs w:val="22"/>
          <w:lang w:eastAsia="lt-LT"/>
        </w:rPr>
        <w:t> %</w:t>
      </w:r>
      <w:r w:rsidRPr="00211E3B">
        <w:rPr>
          <w:iCs/>
          <w:snapToGrid w:val="0"/>
          <w:sz w:val="22"/>
          <w:szCs w:val="22"/>
          <w:lang w:eastAsia="lt-LT"/>
        </w:rPr>
        <w:t>), pilvo</w:t>
      </w:r>
      <w:r w:rsidR="00AD1DFB" w:rsidRPr="00211E3B">
        <w:rPr>
          <w:iCs/>
          <w:snapToGrid w:val="0"/>
          <w:sz w:val="22"/>
          <w:szCs w:val="22"/>
          <w:lang w:eastAsia="lt-LT"/>
        </w:rPr>
        <w:t xml:space="preserve"> </w:t>
      </w:r>
      <w:r w:rsidRPr="00211E3B">
        <w:rPr>
          <w:iCs/>
          <w:snapToGrid w:val="0"/>
          <w:sz w:val="22"/>
          <w:szCs w:val="22"/>
          <w:lang w:eastAsia="lt-LT"/>
        </w:rPr>
        <w:t xml:space="preserve">skausmas </w:t>
      </w:r>
      <w:r w:rsidRPr="00211E3B">
        <w:rPr>
          <w:iCs/>
          <w:snapToGrid w:val="0"/>
          <w:sz w:val="22"/>
          <w:szCs w:val="22"/>
          <w:lang w:eastAsia="lt-LT"/>
        </w:rPr>
        <w:lastRenderedPageBreak/>
        <w:t>(19,2</w:t>
      </w:r>
      <w:r w:rsidR="0085390D">
        <w:rPr>
          <w:iCs/>
          <w:snapToGrid w:val="0"/>
          <w:sz w:val="22"/>
          <w:szCs w:val="22"/>
          <w:lang w:eastAsia="lt-LT"/>
        </w:rPr>
        <w:t> %</w:t>
      </w:r>
      <w:r w:rsidRPr="00211E3B">
        <w:rPr>
          <w:iCs/>
          <w:snapToGrid w:val="0"/>
          <w:sz w:val="22"/>
          <w:szCs w:val="22"/>
          <w:lang w:eastAsia="lt-LT"/>
        </w:rPr>
        <w:t>) ir galvos skausmas (11,5</w:t>
      </w:r>
      <w:r w:rsidR="0085390D">
        <w:rPr>
          <w:iCs/>
          <w:snapToGrid w:val="0"/>
          <w:sz w:val="22"/>
          <w:szCs w:val="22"/>
          <w:lang w:eastAsia="lt-LT"/>
        </w:rPr>
        <w:t> %</w:t>
      </w:r>
      <w:r w:rsidRPr="00211E3B">
        <w:rPr>
          <w:iCs/>
          <w:snapToGrid w:val="0"/>
          <w:sz w:val="22"/>
          <w:szCs w:val="22"/>
          <w:lang w:eastAsia="lt-LT"/>
        </w:rPr>
        <w:t>)</w:t>
      </w:r>
      <w:r w:rsidR="002A3978">
        <w:rPr>
          <w:iCs/>
          <w:snapToGrid w:val="0"/>
          <w:sz w:val="22"/>
          <w:szCs w:val="22"/>
          <w:lang w:eastAsia="lt-LT"/>
        </w:rPr>
        <w:t>;</w:t>
      </w:r>
      <w:r w:rsidRPr="00211E3B">
        <w:rPr>
          <w:iCs/>
          <w:snapToGrid w:val="0"/>
          <w:sz w:val="22"/>
          <w:szCs w:val="22"/>
          <w:lang w:eastAsia="lt-LT"/>
        </w:rPr>
        <w:t xml:space="preserve"> tai atitiko saugumo duomenis, nustatytus</w:t>
      </w:r>
      <w:r w:rsidR="00AD1DFB" w:rsidRPr="00211E3B">
        <w:rPr>
          <w:iCs/>
          <w:snapToGrid w:val="0"/>
          <w:sz w:val="22"/>
          <w:szCs w:val="22"/>
          <w:lang w:eastAsia="lt-LT"/>
        </w:rPr>
        <w:t xml:space="preserve"> </w:t>
      </w:r>
      <w:r w:rsidRPr="00211E3B">
        <w:rPr>
          <w:iCs/>
          <w:snapToGrid w:val="0"/>
          <w:sz w:val="22"/>
          <w:szCs w:val="22"/>
          <w:lang w:eastAsia="lt-LT"/>
        </w:rPr>
        <w:t>suaugusiems pacientams, sergantiems IPF, kitomis lėtinėmis fibrozinėmis progresuojančio fenotipo</w:t>
      </w:r>
      <w:r w:rsidR="00AD1DFB" w:rsidRPr="00211E3B">
        <w:rPr>
          <w:iCs/>
          <w:snapToGrid w:val="0"/>
          <w:sz w:val="22"/>
          <w:szCs w:val="22"/>
          <w:lang w:eastAsia="lt-LT"/>
        </w:rPr>
        <w:t xml:space="preserve"> </w:t>
      </w:r>
      <w:r w:rsidRPr="00211E3B">
        <w:rPr>
          <w:iCs/>
          <w:snapToGrid w:val="0"/>
          <w:sz w:val="22"/>
          <w:szCs w:val="22"/>
          <w:lang w:eastAsia="lt-LT"/>
        </w:rPr>
        <w:t>IPL ir SS-IPL.</w:t>
      </w:r>
    </w:p>
    <w:p w14:paraId="3689650D" w14:textId="77777777" w:rsidR="00AD1DFB" w:rsidRPr="00211E3B" w:rsidRDefault="00AD1DFB" w:rsidP="009E34BE">
      <w:pPr>
        <w:tabs>
          <w:tab w:val="left" w:pos="567"/>
        </w:tabs>
        <w:spacing w:line="260" w:lineRule="exact"/>
        <w:rPr>
          <w:iCs/>
          <w:snapToGrid w:val="0"/>
          <w:sz w:val="22"/>
          <w:szCs w:val="22"/>
          <w:lang w:eastAsia="lt-LT"/>
        </w:rPr>
      </w:pPr>
    </w:p>
    <w:p w14:paraId="34FDCA4C" w14:textId="31CF181B" w:rsidR="009E34BE" w:rsidRPr="00211E3B" w:rsidRDefault="009E34BE" w:rsidP="009E34BE">
      <w:pPr>
        <w:tabs>
          <w:tab w:val="left" w:pos="567"/>
        </w:tabs>
        <w:spacing w:line="260" w:lineRule="exact"/>
        <w:rPr>
          <w:iCs/>
          <w:snapToGrid w:val="0"/>
          <w:sz w:val="22"/>
          <w:szCs w:val="22"/>
          <w:lang w:eastAsia="lt-LT"/>
        </w:rPr>
      </w:pPr>
      <w:r w:rsidRPr="00211E3B">
        <w:rPr>
          <w:iCs/>
          <w:snapToGrid w:val="0"/>
          <w:sz w:val="22"/>
          <w:szCs w:val="22"/>
          <w:lang w:eastAsia="lt-LT"/>
        </w:rPr>
        <w:t xml:space="preserve">Kepenų, tulžies pūslės ir latakų sutrikimai, </w:t>
      </w:r>
      <w:r w:rsidR="00E56814" w:rsidRPr="00211E3B">
        <w:rPr>
          <w:iCs/>
          <w:snapToGrid w:val="0"/>
          <w:sz w:val="22"/>
          <w:szCs w:val="22"/>
          <w:lang w:eastAsia="lt-LT"/>
        </w:rPr>
        <w:t>apie kuriuos pranešta placebu kontroliuo</w:t>
      </w:r>
      <w:r w:rsidR="00B41968" w:rsidRPr="00211E3B">
        <w:rPr>
          <w:iCs/>
          <w:snapToGrid w:val="0"/>
          <w:sz w:val="22"/>
          <w:szCs w:val="22"/>
          <w:lang w:eastAsia="lt-LT"/>
        </w:rPr>
        <w:t>t</w:t>
      </w:r>
      <w:r w:rsidR="00E56814" w:rsidRPr="00211E3B">
        <w:rPr>
          <w:iCs/>
          <w:snapToGrid w:val="0"/>
          <w:sz w:val="22"/>
          <w:szCs w:val="22"/>
          <w:lang w:eastAsia="lt-LT"/>
        </w:rPr>
        <w:t xml:space="preserve">u tyrimo laikotarpiu nintedanibo </w:t>
      </w:r>
      <w:r w:rsidR="0014714A" w:rsidRPr="00211E3B">
        <w:rPr>
          <w:iCs/>
          <w:snapToGrid w:val="0"/>
          <w:sz w:val="22"/>
          <w:szCs w:val="22"/>
          <w:lang w:eastAsia="lt-LT"/>
        </w:rPr>
        <w:t xml:space="preserve">vartojusiųjų </w:t>
      </w:r>
      <w:r w:rsidR="00E56814" w:rsidRPr="00211E3B">
        <w:rPr>
          <w:iCs/>
          <w:snapToGrid w:val="0"/>
          <w:sz w:val="22"/>
          <w:szCs w:val="22"/>
          <w:lang w:eastAsia="lt-LT"/>
        </w:rPr>
        <w:t>grupėje, buvo</w:t>
      </w:r>
      <w:r w:rsidRPr="00211E3B">
        <w:rPr>
          <w:iCs/>
          <w:snapToGrid w:val="0"/>
          <w:sz w:val="22"/>
          <w:szCs w:val="22"/>
          <w:lang w:eastAsia="lt-LT"/>
        </w:rPr>
        <w:t xml:space="preserve"> kepenų pažeidimas (3,8</w:t>
      </w:r>
      <w:r w:rsidR="0085390D">
        <w:rPr>
          <w:iCs/>
          <w:snapToGrid w:val="0"/>
          <w:sz w:val="22"/>
          <w:szCs w:val="22"/>
          <w:lang w:eastAsia="lt-LT"/>
        </w:rPr>
        <w:t> %</w:t>
      </w:r>
      <w:r w:rsidRPr="00211E3B">
        <w:rPr>
          <w:iCs/>
          <w:snapToGrid w:val="0"/>
          <w:sz w:val="22"/>
          <w:szCs w:val="22"/>
          <w:lang w:eastAsia="lt-LT"/>
        </w:rPr>
        <w:t>) ir padidėję</w:t>
      </w:r>
      <w:r w:rsidR="00E56814" w:rsidRPr="00211E3B">
        <w:rPr>
          <w:iCs/>
          <w:snapToGrid w:val="0"/>
          <w:sz w:val="22"/>
          <w:szCs w:val="22"/>
          <w:lang w:eastAsia="lt-LT"/>
        </w:rPr>
        <w:t xml:space="preserve"> </w:t>
      </w:r>
      <w:r w:rsidRPr="00211E3B">
        <w:rPr>
          <w:iCs/>
          <w:snapToGrid w:val="0"/>
          <w:sz w:val="22"/>
          <w:szCs w:val="22"/>
          <w:lang w:eastAsia="lt-LT"/>
        </w:rPr>
        <w:t>kepenų funkcij</w:t>
      </w:r>
      <w:r w:rsidR="00C2199F">
        <w:rPr>
          <w:iCs/>
          <w:snapToGrid w:val="0"/>
          <w:sz w:val="22"/>
          <w:szCs w:val="22"/>
          <w:lang w:eastAsia="lt-LT"/>
        </w:rPr>
        <w:t>ą</w:t>
      </w:r>
      <w:r w:rsidR="00E56814" w:rsidRPr="00211E3B">
        <w:rPr>
          <w:iCs/>
          <w:snapToGrid w:val="0"/>
          <w:sz w:val="22"/>
          <w:szCs w:val="22"/>
          <w:lang w:eastAsia="lt-LT"/>
        </w:rPr>
        <w:t xml:space="preserve"> atspindinčių tyrimų rodmenys</w:t>
      </w:r>
      <w:r w:rsidRPr="00211E3B">
        <w:rPr>
          <w:iCs/>
          <w:snapToGrid w:val="0"/>
          <w:sz w:val="22"/>
          <w:szCs w:val="22"/>
          <w:lang w:eastAsia="lt-LT"/>
        </w:rPr>
        <w:t xml:space="preserve"> (3,8</w:t>
      </w:r>
      <w:r w:rsidR="0085390D">
        <w:rPr>
          <w:iCs/>
          <w:snapToGrid w:val="0"/>
          <w:sz w:val="22"/>
          <w:szCs w:val="22"/>
          <w:lang w:eastAsia="lt-LT"/>
        </w:rPr>
        <w:t> %</w:t>
      </w:r>
      <w:r w:rsidRPr="00211E3B">
        <w:rPr>
          <w:iCs/>
          <w:snapToGrid w:val="0"/>
          <w:sz w:val="22"/>
          <w:szCs w:val="22"/>
          <w:lang w:eastAsia="lt-LT"/>
        </w:rPr>
        <w:t xml:space="preserve">). </w:t>
      </w:r>
      <w:r w:rsidR="00E56814" w:rsidRPr="00211E3B">
        <w:rPr>
          <w:iCs/>
          <w:snapToGrid w:val="0"/>
          <w:sz w:val="22"/>
          <w:szCs w:val="22"/>
          <w:lang w:eastAsia="lt-LT"/>
        </w:rPr>
        <w:t>D</w:t>
      </w:r>
      <w:r w:rsidRPr="00211E3B">
        <w:rPr>
          <w:iCs/>
          <w:snapToGrid w:val="0"/>
          <w:sz w:val="22"/>
          <w:szCs w:val="22"/>
          <w:lang w:eastAsia="lt-LT"/>
        </w:rPr>
        <w:t>uomenų</w:t>
      </w:r>
      <w:r w:rsidR="00E56814" w:rsidRPr="00211E3B">
        <w:rPr>
          <w:iCs/>
          <w:snapToGrid w:val="0"/>
          <w:sz w:val="22"/>
          <w:szCs w:val="22"/>
          <w:lang w:eastAsia="lt-LT"/>
        </w:rPr>
        <w:t xml:space="preserve"> nepakanka</w:t>
      </w:r>
      <w:r w:rsidRPr="00211E3B">
        <w:rPr>
          <w:iCs/>
          <w:snapToGrid w:val="0"/>
          <w:sz w:val="22"/>
          <w:szCs w:val="22"/>
          <w:lang w:eastAsia="lt-LT"/>
        </w:rPr>
        <w:t xml:space="preserve">, </w:t>
      </w:r>
      <w:r w:rsidR="00E56814" w:rsidRPr="00211E3B">
        <w:rPr>
          <w:iCs/>
          <w:snapToGrid w:val="0"/>
          <w:sz w:val="22"/>
          <w:szCs w:val="22"/>
          <w:lang w:eastAsia="lt-LT"/>
        </w:rPr>
        <w:t xml:space="preserve">todėl </w:t>
      </w:r>
      <w:r w:rsidRPr="00211E3B">
        <w:rPr>
          <w:iCs/>
          <w:snapToGrid w:val="0"/>
          <w:sz w:val="22"/>
          <w:szCs w:val="22"/>
          <w:lang w:eastAsia="lt-LT"/>
        </w:rPr>
        <w:t>nėra aišku, ar vaikams vaistinio</w:t>
      </w:r>
      <w:r w:rsidR="00E56814" w:rsidRPr="00211E3B">
        <w:rPr>
          <w:iCs/>
          <w:snapToGrid w:val="0"/>
          <w:sz w:val="22"/>
          <w:szCs w:val="22"/>
          <w:lang w:eastAsia="lt-LT"/>
        </w:rPr>
        <w:t xml:space="preserve"> </w:t>
      </w:r>
      <w:r w:rsidRPr="00211E3B">
        <w:rPr>
          <w:iCs/>
          <w:snapToGrid w:val="0"/>
          <w:sz w:val="22"/>
          <w:szCs w:val="22"/>
          <w:lang w:eastAsia="lt-LT"/>
        </w:rPr>
        <w:t>preparato sukelto kepenų pažeidimo rizika yra tokia pat kaip suaugusiesiems (žr. 4.4</w:t>
      </w:r>
      <w:r w:rsidR="00E56814" w:rsidRPr="00211E3B">
        <w:rPr>
          <w:iCs/>
          <w:snapToGrid w:val="0"/>
          <w:sz w:val="22"/>
          <w:szCs w:val="22"/>
          <w:lang w:eastAsia="lt-LT"/>
        </w:rPr>
        <w:t> </w:t>
      </w:r>
      <w:r w:rsidRPr="00211E3B">
        <w:rPr>
          <w:iCs/>
          <w:snapToGrid w:val="0"/>
          <w:sz w:val="22"/>
          <w:szCs w:val="22"/>
          <w:lang w:eastAsia="lt-LT"/>
        </w:rPr>
        <w:t>skyrių).</w:t>
      </w:r>
    </w:p>
    <w:p w14:paraId="497C1E06" w14:textId="77777777" w:rsidR="00E56814" w:rsidRPr="00211E3B" w:rsidRDefault="00E56814" w:rsidP="009E34BE">
      <w:pPr>
        <w:tabs>
          <w:tab w:val="left" w:pos="567"/>
        </w:tabs>
        <w:spacing w:line="260" w:lineRule="exact"/>
        <w:rPr>
          <w:iCs/>
          <w:snapToGrid w:val="0"/>
          <w:sz w:val="22"/>
          <w:szCs w:val="22"/>
          <w:lang w:eastAsia="lt-LT"/>
        </w:rPr>
      </w:pPr>
    </w:p>
    <w:p w14:paraId="1AF9677F" w14:textId="1D8446A2" w:rsidR="009E34BE" w:rsidRPr="00211E3B" w:rsidRDefault="009E34BE" w:rsidP="009E34BE">
      <w:pPr>
        <w:tabs>
          <w:tab w:val="left" w:pos="567"/>
        </w:tabs>
        <w:spacing w:line="260" w:lineRule="exact"/>
        <w:rPr>
          <w:iCs/>
          <w:snapToGrid w:val="0"/>
          <w:sz w:val="22"/>
          <w:szCs w:val="22"/>
          <w:lang w:eastAsia="lt-LT"/>
        </w:rPr>
      </w:pPr>
      <w:r w:rsidRPr="00211E3B">
        <w:rPr>
          <w:iCs/>
          <w:snapToGrid w:val="0"/>
          <w:sz w:val="22"/>
          <w:szCs w:val="22"/>
          <w:lang w:eastAsia="lt-LT"/>
        </w:rPr>
        <w:t>Remiantis ikiklinikiniais duomenimis, vaikų klinikinio tyrimo metu kaip galima rizika stebėtas kaulų</w:t>
      </w:r>
      <w:r w:rsidR="002B3F2C" w:rsidRPr="00211E3B">
        <w:rPr>
          <w:iCs/>
          <w:snapToGrid w:val="0"/>
          <w:sz w:val="22"/>
          <w:szCs w:val="22"/>
          <w:lang w:eastAsia="lt-LT"/>
        </w:rPr>
        <w:t xml:space="preserve"> </w:t>
      </w:r>
      <w:r w:rsidRPr="00211E3B">
        <w:rPr>
          <w:iCs/>
          <w:snapToGrid w:val="0"/>
          <w:sz w:val="22"/>
          <w:szCs w:val="22"/>
          <w:lang w:eastAsia="lt-LT"/>
        </w:rPr>
        <w:t>ir dantų vystymasis bei augimas (žr. 5.3</w:t>
      </w:r>
      <w:r w:rsidR="002B3F2C" w:rsidRPr="00211E3B">
        <w:rPr>
          <w:iCs/>
          <w:snapToGrid w:val="0"/>
          <w:sz w:val="22"/>
          <w:szCs w:val="22"/>
          <w:lang w:eastAsia="lt-LT"/>
        </w:rPr>
        <w:t> </w:t>
      </w:r>
      <w:r w:rsidRPr="00211E3B">
        <w:rPr>
          <w:iCs/>
          <w:snapToGrid w:val="0"/>
          <w:sz w:val="22"/>
          <w:szCs w:val="22"/>
          <w:lang w:eastAsia="lt-LT"/>
        </w:rPr>
        <w:t>skyrių). Galimas poveikis augimui ir dantų vystymuisi</w:t>
      </w:r>
      <w:r w:rsidR="002B3F2C" w:rsidRPr="00211E3B">
        <w:rPr>
          <w:iCs/>
          <w:snapToGrid w:val="0"/>
          <w:sz w:val="22"/>
          <w:szCs w:val="22"/>
          <w:lang w:eastAsia="lt-LT"/>
        </w:rPr>
        <w:t xml:space="preserve"> </w:t>
      </w:r>
      <w:r w:rsidRPr="00211E3B">
        <w:rPr>
          <w:iCs/>
          <w:snapToGrid w:val="0"/>
          <w:sz w:val="22"/>
          <w:szCs w:val="22"/>
          <w:lang w:eastAsia="lt-LT"/>
        </w:rPr>
        <w:t>nežinomas (žr. 5.1 skyrių).</w:t>
      </w:r>
    </w:p>
    <w:p w14:paraId="065D8B76" w14:textId="77777777" w:rsidR="002B3F2C" w:rsidRPr="00211E3B" w:rsidRDefault="002B3F2C" w:rsidP="009E34BE">
      <w:pPr>
        <w:tabs>
          <w:tab w:val="left" w:pos="567"/>
        </w:tabs>
        <w:spacing w:line="260" w:lineRule="exact"/>
        <w:rPr>
          <w:iCs/>
          <w:snapToGrid w:val="0"/>
          <w:sz w:val="22"/>
          <w:szCs w:val="22"/>
          <w:lang w:eastAsia="lt-LT"/>
        </w:rPr>
      </w:pPr>
    </w:p>
    <w:p w14:paraId="4613D732" w14:textId="7BD1573C" w:rsidR="00CB2E6A" w:rsidRPr="00211E3B" w:rsidRDefault="009E34BE" w:rsidP="009E34BE">
      <w:pPr>
        <w:tabs>
          <w:tab w:val="left" w:pos="567"/>
        </w:tabs>
        <w:spacing w:line="260" w:lineRule="exact"/>
        <w:rPr>
          <w:iCs/>
          <w:snapToGrid w:val="0"/>
          <w:sz w:val="22"/>
          <w:szCs w:val="22"/>
          <w:lang w:eastAsia="lt-LT"/>
        </w:rPr>
      </w:pPr>
      <w:r w:rsidRPr="00211E3B">
        <w:rPr>
          <w:iCs/>
          <w:snapToGrid w:val="0"/>
          <w:sz w:val="22"/>
          <w:szCs w:val="22"/>
          <w:lang w:eastAsia="lt-LT"/>
        </w:rPr>
        <w:t xml:space="preserve">Ilgalaikių saugumo duomenų </w:t>
      </w:r>
      <w:r w:rsidR="002B3F2C" w:rsidRPr="00211E3B">
        <w:rPr>
          <w:iCs/>
          <w:snapToGrid w:val="0"/>
          <w:sz w:val="22"/>
          <w:szCs w:val="22"/>
          <w:lang w:eastAsia="lt-LT"/>
        </w:rPr>
        <w:t>pacient</w:t>
      </w:r>
      <w:r w:rsidR="00C16AF9">
        <w:rPr>
          <w:iCs/>
          <w:snapToGrid w:val="0"/>
          <w:sz w:val="22"/>
          <w:szCs w:val="22"/>
          <w:lang w:eastAsia="lt-LT"/>
        </w:rPr>
        <w:t>ams vaikams</w:t>
      </w:r>
      <w:r w:rsidRPr="00211E3B">
        <w:rPr>
          <w:iCs/>
          <w:snapToGrid w:val="0"/>
          <w:sz w:val="22"/>
          <w:szCs w:val="22"/>
          <w:lang w:eastAsia="lt-LT"/>
        </w:rPr>
        <w:t xml:space="preserve"> nėra. </w:t>
      </w:r>
      <w:r w:rsidR="002B3F2C" w:rsidRPr="00211E3B">
        <w:rPr>
          <w:iCs/>
          <w:snapToGrid w:val="0"/>
          <w:sz w:val="22"/>
          <w:szCs w:val="22"/>
          <w:lang w:eastAsia="lt-LT"/>
        </w:rPr>
        <w:t>G</w:t>
      </w:r>
      <w:r w:rsidRPr="00211E3B">
        <w:rPr>
          <w:iCs/>
          <w:snapToGrid w:val="0"/>
          <w:sz w:val="22"/>
          <w:szCs w:val="22"/>
          <w:lang w:eastAsia="lt-LT"/>
        </w:rPr>
        <w:t>alimas poveikis</w:t>
      </w:r>
      <w:r w:rsidR="002B3F2C" w:rsidRPr="00211E3B">
        <w:rPr>
          <w:iCs/>
          <w:snapToGrid w:val="0"/>
          <w:sz w:val="22"/>
          <w:szCs w:val="22"/>
          <w:lang w:eastAsia="lt-LT"/>
        </w:rPr>
        <w:t xml:space="preserve"> </w:t>
      </w:r>
      <w:r w:rsidRPr="00211E3B">
        <w:rPr>
          <w:iCs/>
          <w:snapToGrid w:val="0"/>
          <w:sz w:val="22"/>
          <w:szCs w:val="22"/>
          <w:lang w:eastAsia="lt-LT"/>
        </w:rPr>
        <w:t>augimui, dantų vystymuisi, lytiniam brendimui ir kepenų pažeidimo rizika</w:t>
      </w:r>
      <w:r w:rsidR="002B3F2C" w:rsidRPr="00211E3B">
        <w:rPr>
          <w:iCs/>
          <w:snapToGrid w:val="0"/>
          <w:sz w:val="22"/>
          <w:szCs w:val="22"/>
          <w:lang w:eastAsia="lt-LT"/>
        </w:rPr>
        <w:t xml:space="preserve"> nėra visiškai aiškūs</w:t>
      </w:r>
      <w:r w:rsidRPr="00211E3B">
        <w:rPr>
          <w:iCs/>
          <w:snapToGrid w:val="0"/>
          <w:sz w:val="22"/>
          <w:szCs w:val="22"/>
          <w:lang w:eastAsia="lt-LT"/>
        </w:rPr>
        <w:t>.</w:t>
      </w:r>
    </w:p>
    <w:p w14:paraId="0CC3E889" w14:textId="77777777" w:rsidR="00CB2E6A" w:rsidRPr="00211E3B" w:rsidRDefault="00CB2E6A" w:rsidP="005D554B">
      <w:pPr>
        <w:tabs>
          <w:tab w:val="left" w:pos="567"/>
        </w:tabs>
        <w:spacing w:line="260" w:lineRule="exact"/>
        <w:rPr>
          <w:iCs/>
          <w:snapToGrid w:val="0"/>
          <w:sz w:val="22"/>
          <w:szCs w:val="22"/>
          <w:lang w:eastAsia="lt-LT"/>
        </w:rPr>
      </w:pPr>
    </w:p>
    <w:p w14:paraId="4668465B" w14:textId="77777777" w:rsidR="005D554B" w:rsidRPr="00211E3B" w:rsidRDefault="005D554B" w:rsidP="005D554B">
      <w:pPr>
        <w:tabs>
          <w:tab w:val="left" w:pos="567"/>
        </w:tabs>
        <w:autoSpaceDE w:val="0"/>
        <w:autoSpaceDN w:val="0"/>
        <w:adjustRightInd w:val="0"/>
        <w:spacing w:line="260" w:lineRule="exact"/>
        <w:jc w:val="both"/>
        <w:rPr>
          <w:snapToGrid w:val="0"/>
          <w:sz w:val="22"/>
          <w:szCs w:val="24"/>
          <w:u w:val="single"/>
        </w:rPr>
      </w:pPr>
      <w:r w:rsidRPr="00211E3B">
        <w:rPr>
          <w:snapToGrid w:val="0"/>
          <w:sz w:val="22"/>
          <w:szCs w:val="24"/>
          <w:u w:val="single"/>
        </w:rPr>
        <w:t>Pranešimas apie įtariamas nepageidaujamas reakcijas</w:t>
      </w:r>
    </w:p>
    <w:p w14:paraId="295FF816" w14:textId="77777777" w:rsidR="005D554B" w:rsidRPr="00211E3B" w:rsidRDefault="005D554B" w:rsidP="005D554B">
      <w:pPr>
        <w:tabs>
          <w:tab w:val="left" w:pos="567"/>
        </w:tabs>
        <w:autoSpaceDE w:val="0"/>
        <w:autoSpaceDN w:val="0"/>
        <w:adjustRightInd w:val="0"/>
        <w:spacing w:line="260" w:lineRule="exact"/>
        <w:jc w:val="both"/>
        <w:rPr>
          <w:snapToGrid w:val="0"/>
          <w:sz w:val="22"/>
          <w:szCs w:val="24"/>
        </w:rPr>
      </w:pPr>
      <w:r w:rsidRPr="00211E3B">
        <w:rPr>
          <w:snapToGrid w:val="0"/>
          <w:sz w:val="22"/>
          <w:szCs w:val="24"/>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8" w:history="1">
        <w:r w:rsidRPr="00211E3B">
          <w:rPr>
            <w:snapToGrid w:val="0"/>
            <w:color w:val="0000FF"/>
            <w:sz w:val="22"/>
            <w:szCs w:val="24"/>
            <w:u w:val="single"/>
          </w:rPr>
          <w:t>https://vapris.vvkt.lt/vvkt-web/public/nrvSpecialist</w:t>
        </w:r>
      </w:hyperlink>
      <w:r w:rsidRPr="00211E3B">
        <w:rPr>
          <w:snapToGrid w:val="0"/>
          <w:sz w:val="22"/>
          <w:szCs w:val="24"/>
        </w:rPr>
        <w:t xml:space="preserve"> arba užpildę Sveikatos priežiūros ar farmacijos specialisto pranešimo apie įtariamą nepageidaujamą reakciją (ĮNR) formą, kuri skelbiama </w:t>
      </w:r>
      <w:hyperlink r:id="rId9" w:history="1">
        <w:r w:rsidRPr="00211E3B">
          <w:rPr>
            <w:snapToGrid w:val="0"/>
            <w:color w:val="0000FF"/>
            <w:sz w:val="22"/>
            <w:szCs w:val="24"/>
            <w:u w:val="single"/>
          </w:rPr>
          <w:t>https://www.vvkt.lt/index.php?1399030386</w:t>
        </w:r>
      </w:hyperlink>
      <w:r w:rsidRPr="00211E3B">
        <w:rPr>
          <w:snapToGrid w:val="0"/>
          <w:sz w:val="22"/>
          <w:szCs w:val="24"/>
        </w:rPr>
        <w:t>, ir atsiųsti elektroniniu paštu (adresu NepageidaujamaR@vvkt.lt).</w:t>
      </w:r>
    </w:p>
    <w:p w14:paraId="32929638" w14:textId="77777777" w:rsidR="005D554B" w:rsidRPr="00211E3B" w:rsidRDefault="005D554B" w:rsidP="005D554B">
      <w:pPr>
        <w:tabs>
          <w:tab w:val="left" w:pos="567"/>
        </w:tabs>
        <w:spacing w:line="260" w:lineRule="exact"/>
        <w:rPr>
          <w:snapToGrid w:val="0"/>
          <w:sz w:val="22"/>
          <w:szCs w:val="24"/>
        </w:rPr>
      </w:pPr>
    </w:p>
    <w:p w14:paraId="3C99A5C8" w14:textId="77777777" w:rsidR="005D554B" w:rsidRPr="00211E3B" w:rsidRDefault="005D554B" w:rsidP="005D554B">
      <w:pPr>
        <w:keepNext/>
        <w:tabs>
          <w:tab w:val="left" w:pos="567"/>
        </w:tabs>
        <w:spacing w:line="260" w:lineRule="exact"/>
        <w:jc w:val="both"/>
        <w:outlineLvl w:val="3"/>
        <w:rPr>
          <w:b/>
          <w:bCs/>
          <w:snapToGrid w:val="0"/>
          <w:sz w:val="22"/>
          <w:szCs w:val="28"/>
          <w:lang w:eastAsia="x-none"/>
        </w:rPr>
      </w:pPr>
      <w:r w:rsidRPr="00211E3B">
        <w:rPr>
          <w:b/>
          <w:bCs/>
          <w:snapToGrid w:val="0"/>
          <w:sz w:val="22"/>
          <w:szCs w:val="28"/>
          <w:lang w:eastAsia="x-none"/>
        </w:rPr>
        <w:t>4.9</w:t>
      </w:r>
      <w:r w:rsidRPr="00211E3B">
        <w:rPr>
          <w:b/>
          <w:bCs/>
          <w:snapToGrid w:val="0"/>
          <w:sz w:val="22"/>
          <w:szCs w:val="28"/>
          <w:lang w:eastAsia="x-none"/>
        </w:rPr>
        <w:tab/>
        <w:t>Perdozavimas</w:t>
      </w:r>
    </w:p>
    <w:p w14:paraId="6D79AF69" w14:textId="77777777" w:rsidR="005D554B" w:rsidRPr="00211E3B" w:rsidRDefault="005D554B" w:rsidP="005D554B">
      <w:pPr>
        <w:tabs>
          <w:tab w:val="left" w:pos="567"/>
        </w:tabs>
        <w:spacing w:line="260" w:lineRule="exact"/>
        <w:rPr>
          <w:snapToGrid w:val="0"/>
          <w:sz w:val="22"/>
          <w:szCs w:val="24"/>
        </w:rPr>
      </w:pPr>
    </w:p>
    <w:p w14:paraId="704B5377" w14:textId="58FA59BA" w:rsidR="005D554B" w:rsidRPr="00211E3B" w:rsidRDefault="00135B95" w:rsidP="003141B9">
      <w:pPr>
        <w:tabs>
          <w:tab w:val="left" w:pos="567"/>
        </w:tabs>
        <w:spacing w:line="260" w:lineRule="exact"/>
        <w:rPr>
          <w:snapToGrid w:val="0"/>
          <w:sz w:val="22"/>
          <w:szCs w:val="24"/>
        </w:rPr>
      </w:pPr>
      <w:r w:rsidRPr="00211E3B">
        <w:rPr>
          <w:snapToGrid w:val="0"/>
          <w:sz w:val="22"/>
        </w:rPr>
        <w:t xml:space="preserve">Perdozavus nintedanibo, specifinio priešnuodžio ar gydymo nėra. </w:t>
      </w:r>
      <w:r w:rsidR="003141B9" w:rsidRPr="00211E3B">
        <w:rPr>
          <w:snapToGrid w:val="0"/>
          <w:sz w:val="22"/>
        </w:rPr>
        <w:t xml:space="preserve">Du </w:t>
      </w:r>
      <w:r w:rsidRPr="00211E3B">
        <w:rPr>
          <w:snapToGrid w:val="0"/>
          <w:sz w:val="22"/>
        </w:rPr>
        <w:t xml:space="preserve">pacientai </w:t>
      </w:r>
      <w:r w:rsidR="003141B9" w:rsidRPr="00211E3B">
        <w:rPr>
          <w:snapToGrid w:val="0"/>
          <w:sz w:val="22"/>
        </w:rPr>
        <w:t xml:space="preserve">onkologijos programos metu </w:t>
      </w:r>
      <w:r w:rsidRPr="00211E3B">
        <w:rPr>
          <w:snapToGrid w:val="0"/>
          <w:sz w:val="22"/>
        </w:rPr>
        <w:t>vartojo per didelę dozę (ne daugiau kaip 600</w:t>
      </w:r>
      <w:r w:rsidR="0085390D">
        <w:rPr>
          <w:snapToGrid w:val="0"/>
          <w:sz w:val="22"/>
        </w:rPr>
        <w:t> mg</w:t>
      </w:r>
      <w:r w:rsidRPr="00211E3B">
        <w:rPr>
          <w:snapToGrid w:val="0"/>
          <w:sz w:val="22"/>
        </w:rPr>
        <w:t xml:space="preserve"> du kartus per parą iki </w:t>
      </w:r>
      <w:r w:rsidR="00E671F0" w:rsidRPr="00211E3B">
        <w:rPr>
          <w:snapToGrid w:val="0"/>
          <w:sz w:val="22"/>
        </w:rPr>
        <w:t xml:space="preserve">aštuonių </w:t>
      </w:r>
      <w:r w:rsidRPr="00211E3B">
        <w:rPr>
          <w:snapToGrid w:val="0"/>
          <w:sz w:val="22"/>
        </w:rPr>
        <w:t>dienų). Pastebėt</w:t>
      </w:r>
      <w:r w:rsidR="003141B9" w:rsidRPr="00211E3B">
        <w:rPr>
          <w:snapToGrid w:val="0"/>
          <w:sz w:val="22"/>
        </w:rPr>
        <w:t>os</w:t>
      </w:r>
      <w:r w:rsidRPr="00211E3B">
        <w:rPr>
          <w:snapToGrid w:val="0"/>
          <w:sz w:val="22"/>
        </w:rPr>
        <w:t xml:space="preserve"> nepageidaujam</w:t>
      </w:r>
      <w:r w:rsidR="003141B9" w:rsidRPr="00211E3B">
        <w:rPr>
          <w:snapToGrid w:val="0"/>
          <w:sz w:val="22"/>
        </w:rPr>
        <w:t>os</w:t>
      </w:r>
      <w:r w:rsidRPr="00211E3B">
        <w:rPr>
          <w:snapToGrid w:val="0"/>
          <w:sz w:val="22"/>
        </w:rPr>
        <w:t xml:space="preserve"> </w:t>
      </w:r>
      <w:r w:rsidR="003141B9" w:rsidRPr="00211E3B">
        <w:rPr>
          <w:snapToGrid w:val="0"/>
          <w:sz w:val="22"/>
        </w:rPr>
        <w:t>reakcijos</w:t>
      </w:r>
      <w:r w:rsidRPr="00211E3B">
        <w:rPr>
          <w:snapToGrid w:val="0"/>
          <w:sz w:val="22"/>
        </w:rPr>
        <w:t xml:space="preserve"> atitiko žinomą nintedanibo saugumo pobūdį, t. y., padidėjo kepenų fermentų aktyvumas kraujyje ir atsirado virškinimo trakto simptomų. </w:t>
      </w:r>
      <w:r w:rsidR="0085390D" w:rsidRPr="00211E3B">
        <w:rPr>
          <w:snapToGrid w:val="0"/>
          <w:sz w:val="22"/>
        </w:rPr>
        <w:t>Abiem</w:t>
      </w:r>
      <w:r w:rsidRPr="00211E3B">
        <w:rPr>
          <w:snapToGrid w:val="0"/>
          <w:sz w:val="22"/>
        </w:rPr>
        <w:t xml:space="preserve"> pacientams šios nepageidaujamos reakcijos išnyko. </w:t>
      </w:r>
      <w:r w:rsidR="003141B9" w:rsidRPr="00211E3B">
        <w:rPr>
          <w:snapToGrid w:val="0"/>
          <w:sz w:val="22"/>
        </w:rPr>
        <w:t>INPULSIS tyrimų metu vienas pacientas netyčia vartojo 600</w:t>
      </w:r>
      <w:r w:rsidR="0085390D">
        <w:rPr>
          <w:snapToGrid w:val="0"/>
          <w:sz w:val="22"/>
        </w:rPr>
        <w:t> mg</w:t>
      </w:r>
      <w:r w:rsidR="003141B9" w:rsidRPr="00211E3B">
        <w:rPr>
          <w:snapToGrid w:val="0"/>
          <w:sz w:val="22"/>
        </w:rPr>
        <w:t xml:space="preserve"> paros dozę iš viso 21 dieną. Jam netinkamo dozavimo laikotarpiu pasireiškė ir išnyko nesunk</w:t>
      </w:r>
      <w:r w:rsidR="00E671F0" w:rsidRPr="00211E3B">
        <w:rPr>
          <w:snapToGrid w:val="0"/>
          <w:sz w:val="22"/>
        </w:rPr>
        <w:t>us</w:t>
      </w:r>
      <w:r w:rsidR="003141B9" w:rsidRPr="00211E3B">
        <w:rPr>
          <w:snapToGrid w:val="0"/>
          <w:sz w:val="22"/>
        </w:rPr>
        <w:t xml:space="preserve"> nepageidaujama</w:t>
      </w:r>
      <w:r w:rsidR="00E671F0" w:rsidRPr="00211E3B">
        <w:rPr>
          <w:snapToGrid w:val="0"/>
          <w:sz w:val="22"/>
        </w:rPr>
        <w:t>s</w:t>
      </w:r>
      <w:r w:rsidR="003141B9" w:rsidRPr="00211E3B">
        <w:rPr>
          <w:snapToGrid w:val="0"/>
          <w:sz w:val="22"/>
        </w:rPr>
        <w:t xml:space="preserve"> </w:t>
      </w:r>
      <w:r w:rsidR="00E671F0" w:rsidRPr="00211E3B">
        <w:rPr>
          <w:snapToGrid w:val="0"/>
          <w:sz w:val="22"/>
        </w:rPr>
        <w:t>reiškinys</w:t>
      </w:r>
      <w:r w:rsidR="003141B9" w:rsidRPr="00211E3B">
        <w:rPr>
          <w:snapToGrid w:val="0"/>
          <w:sz w:val="22"/>
        </w:rPr>
        <w:t xml:space="preserve"> (nazofaringitas), kitų reiškinių nebuvo. </w:t>
      </w:r>
      <w:r w:rsidRPr="00211E3B">
        <w:rPr>
          <w:snapToGrid w:val="0"/>
          <w:sz w:val="22"/>
        </w:rPr>
        <w:t xml:space="preserve">Perdozavimo atveju reikia sustabdyti gydymą ir </w:t>
      </w:r>
      <w:r w:rsidR="00A044DC" w:rsidRPr="00211E3B">
        <w:rPr>
          <w:snapToGrid w:val="0"/>
          <w:sz w:val="22"/>
        </w:rPr>
        <w:t>skirti atitinkamas</w:t>
      </w:r>
      <w:r w:rsidRPr="00211E3B">
        <w:rPr>
          <w:snapToGrid w:val="0"/>
          <w:sz w:val="22"/>
        </w:rPr>
        <w:t xml:space="preserve"> </w:t>
      </w:r>
      <w:r w:rsidR="00A044DC" w:rsidRPr="00211E3B">
        <w:rPr>
          <w:snapToGrid w:val="0"/>
          <w:sz w:val="22"/>
        </w:rPr>
        <w:t>bendrąsias</w:t>
      </w:r>
      <w:r w:rsidRPr="00211E3B">
        <w:rPr>
          <w:snapToGrid w:val="0"/>
          <w:sz w:val="22"/>
        </w:rPr>
        <w:t xml:space="preserve"> palaikomąsias </w:t>
      </w:r>
      <w:r w:rsidR="00A044DC" w:rsidRPr="00211E3B">
        <w:rPr>
          <w:snapToGrid w:val="0"/>
          <w:sz w:val="22"/>
        </w:rPr>
        <w:t>p</w:t>
      </w:r>
      <w:r w:rsidRPr="00211E3B">
        <w:rPr>
          <w:snapToGrid w:val="0"/>
          <w:sz w:val="22"/>
        </w:rPr>
        <w:t>riemones.</w:t>
      </w:r>
    </w:p>
    <w:p w14:paraId="14CDF40B" w14:textId="77777777" w:rsidR="005D554B" w:rsidRPr="00211E3B" w:rsidRDefault="005D554B" w:rsidP="005D554B">
      <w:pPr>
        <w:tabs>
          <w:tab w:val="left" w:pos="567"/>
        </w:tabs>
        <w:spacing w:line="260" w:lineRule="exact"/>
        <w:rPr>
          <w:snapToGrid w:val="0"/>
          <w:sz w:val="22"/>
          <w:szCs w:val="24"/>
        </w:rPr>
      </w:pPr>
    </w:p>
    <w:p w14:paraId="3C180E8E" w14:textId="77777777" w:rsidR="005D554B" w:rsidRPr="00211E3B" w:rsidRDefault="005D554B" w:rsidP="005D554B">
      <w:pPr>
        <w:tabs>
          <w:tab w:val="left" w:pos="567"/>
        </w:tabs>
        <w:spacing w:line="260" w:lineRule="exact"/>
        <w:rPr>
          <w:snapToGrid w:val="0"/>
          <w:sz w:val="22"/>
          <w:szCs w:val="24"/>
        </w:rPr>
      </w:pPr>
    </w:p>
    <w:p w14:paraId="01F33F26" w14:textId="77777777" w:rsidR="005D554B" w:rsidRPr="00211E3B" w:rsidRDefault="005D554B" w:rsidP="005D554B">
      <w:pPr>
        <w:keepNext/>
        <w:keepLines/>
        <w:tabs>
          <w:tab w:val="left" w:pos="567"/>
        </w:tabs>
        <w:outlineLvl w:val="2"/>
        <w:rPr>
          <w:b/>
          <w:bCs/>
          <w:snapToGrid w:val="0"/>
          <w:sz w:val="22"/>
          <w:szCs w:val="26"/>
          <w:lang w:eastAsia="x-none"/>
        </w:rPr>
      </w:pPr>
      <w:r w:rsidRPr="00211E3B">
        <w:rPr>
          <w:b/>
          <w:bCs/>
          <w:snapToGrid w:val="0"/>
          <w:sz w:val="22"/>
          <w:szCs w:val="26"/>
          <w:lang w:eastAsia="x-none"/>
        </w:rPr>
        <w:t>5.</w:t>
      </w:r>
      <w:r w:rsidRPr="00211E3B">
        <w:rPr>
          <w:b/>
          <w:bCs/>
          <w:snapToGrid w:val="0"/>
          <w:sz w:val="22"/>
          <w:szCs w:val="26"/>
          <w:lang w:eastAsia="x-none"/>
        </w:rPr>
        <w:tab/>
        <w:t>FARMAKOLOGINĖS SAVYBĖS</w:t>
      </w:r>
    </w:p>
    <w:p w14:paraId="6BCA34F2" w14:textId="77777777" w:rsidR="005D554B" w:rsidRPr="00211E3B" w:rsidRDefault="005D554B" w:rsidP="005D554B">
      <w:pPr>
        <w:tabs>
          <w:tab w:val="left" w:pos="567"/>
        </w:tabs>
        <w:spacing w:line="260" w:lineRule="exact"/>
        <w:rPr>
          <w:snapToGrid w:val="0"/>
          <w:sz w:val="22"/>
          <w:szCs w:val="24"/>
        </w:rPr>
      </w:pPr>
    </w:p>
    <w:p w14:paraId="475E2532" w14:textId="77777777" w:rsidR="005D554B" w:rsidRPr="00211E3B" w:rsidRDefault="005D554B" w:rsidP="005D554B">
      <w:pPr>
        <w:keepNext/>
        <w:tabs>
          <w:tab w:val="left" w:pos="567"/>
        </w:tabs>
        <w:spacing w:line="260" w:lineRule="exact"/>
        <w:jc w:val="both"/>
        <w:outlineLvl w:val="3"/>
        <w:rPr>
          <w:b/>
          <w:bCs/>
          <w:snapToGrid w:val="0"/>
          <w:sz w:val="22"/>
          <w:szCs w:val="28"/>
          <w:lang w:eastAsia="x-none"/>
        </w:rPr>
      </w:pPr>
      <w:r w:rsidRPr="00211E3B">
        <w:rPr>
          <w:b/>
          <w:bCs/>
          <w:snapToGrid w:val="0"/>
          <w:sz w:val="22"/>
          <w:szCs w:val="28"/>
          <w:lang w:eastAsia="x-none"/>
        </w:rPr>
        <w:t>5.1</w:t>
      </w:r>
      <w:r w:rsidRPr="00211E3B">
        <w:rPr>
          <w:b/>
          <w:snapToGrid w:val="0"/>
          <w:sz w:val="22"/>
          <w:szCs w:val="24"/>
          <w:lang w:eastAsia="x-none"/>
        </w:rPr>
        <w:t xml:space="preserve"> </w:t>
      </w:r>
      <w:r w:rsidRPr="00211E3B">
        <w:rPr>
          <w:b/>
          <w:bCs/>
          <w:snapToGrid w:val="0"/>
          <w:sz w:val="22"/>
          <w:szCs w:val="28"/>
          <w:lang w:eastAsia="x-none"/>
        </w:rPr>
        <w:tab/>
        <w:t>Farmakodinaminės savybės</w:t>
      </w:r>
    </w:p>
    <w:p w14:paraId="01C5D4B2" w14:textId="77777777" w:rsidR="005D554B" w:rsidRPr="00211E3B" w:rsidRDefault="005D554B" w:rsidP="005D554B">
      <w:pPr>
        <w:tabs>
          <w:tab w:val="left" w:pos="567"/>
        </w:tabs>
        <w:spacing w:line="260" w:lineRule="exact"/>
        <w:rPr>
          <w:snapToGrid w:val="0"/>
          <w:sz w:val="22"/>
          <w:szCs w:val="24"/>
        </w:rPr>
      </w:pPr>
    </w:p>
    <w:p w14:paraId="1BAFD8BE" w14:textId="290C921C" w:rsidR="00227F5B" w:rsidRPr="00211E3B" w:rsidRDefault="00227F5B" w:rsidP="00227F5B">
      <w:pPr>
        <w:ind w:right="-142"/>
        <w:rPr>
          <w:snapToGrid w:val="0"/>
          <w:sz w:val="22"/>
          <w:szCs w:val="24"/>
        </w:rPr>
      </w:pPr>
      <w:r w:rsidRPr="00211E3B">
        <w:rPr>
          <w:snapToGrid w:val="0"/>
          <w:sz w:val="22"/>
          <w:szCs w:val="24"/>
        </w:rPr>
        <w:t>Farmakoterapinė grupė ‒ vaistiniai preparatai</w:t>
      </w:r>
      <w:r w:rsidR="00256DA0">
        <w:rPr>
          <w:snapToGrid w:val="0"/>
          <w:sz w:val="22"/>
          <w:szCs w:val="24"/>
        </w:rPr>
        <w:t xml:space="preserve"> nuo vėžio</w:t>
      </w:r>
      <w:r w:rsidRPr="00211E3B">
        <w:rPr>
          <w:snapToGrid w:val="0"/>
          <w:sz w:val="22"/>
          <w:szCs w:val="24"/>
        </w:rPr>
        <w:t>, proteinkinazės inhibitoriai, ATC kodas ‒ L01EX09.</w:t>
      </w:r>
    </w:p>
    <w:p w14:paraId="4845B67E" w14:textId="77777777" w:rsidR="00227F5B" w:rsidRPr="00211E3B" w:rsidRDefault="00227F5B" w:rsidP="00227F5B">
      <w:pPr>
        <w:ind w:right="-142"/>
        <w:rPr>
          <w:snapToGrid w:val="0"/>
          <w:sz w:val="22"/>
          <w:szCs w:val="24"/>
        </w:rPr>
      </w:pPr>
    </w:p>
    <w:p w14:paraId="441ABF19" w14:textId="77777777" w:rsidR="00227F5B" w:rsidRPr="00211E3B" w:rsidRDefault="00227F5B" w:rsidP="00227F5B">
      <w:pPr>
        <w:ind w:right="-142"/>
        <w:rPr>
          <w:snapToGrid w:val="0"/>
          <w:sz w:val="22"/>
          <w:szCs w:val="24"/>
          <w:u w:val="single"/>
        </w:rPr>
      </w:pPr>
      <w:r w:rsidRPr="00211E3B">
        <w:rPr>
          <w:snapToGrid w:val="0"/>
          <w:sz w:val="22"/>
          <w:szCs w:val="24"/>
          <w:u w:val="single"/>
        </w:rPr>
        <w:t>Veikimo mechanizmas</w:t>
      </w:r>
    </w:p>
    <w:p w14:paraId="25A1BE1F" w14:textId="6CB1D6C8" w:rsidR="005E424F" w:rsidRPr="00211E3B" w:rsidRDefault="005E424F" w:rsidP="005E424F">
      <w:pPr>
        <w:ind w:right="-142"/>
        <w:rPr>
          <w:snapToGrid w:val="0"/>
          <w:sz w:val="22"/>
          <w:szCs w:val="24"/>
        </w:rPr>
      </w:pPr>
      <w:r w:rsidRPr="00211E3B">
        <w:rPr>
          <w:snapToGrid w:val="0"/>
          <w:sz w:val="22"/>
          <w:szCs w:val="24"/>
        </w:rPr>
        <w:t xml:space="preserve">Nintedanibas yra mažos molekulės tirozinkinazės, </w:t>
      </w:r>
      <w:r w:rsidR="00E647DB" w:rsidRPr="00211E3B">
        <w:rPr>
          <w:snapToGrid w:val="0"/>
          <w:sz w:val="22"/>
          <w:szCs w:val="24"/>
        </w:rPr>
        <w:t>įskaitant</w:t>
      </w:r>
      <w:r w:rsidRPr="00211E3B">
        <w:rPr>
          <w:snapToGrid w:val="0"/>
          <w:sz w:val="22"/>
          <w:szCs w:val="24"/>
        </w:rPr>
        <w:t xml:space="preserve"> trombocitų išskiriamo augimo</w:t>
      </w:r>
      <w:r w:rsidR="00E647DB" w:rsidRPr="00211E3B">
        <w:rPr>
          <w:snapToGrid w:val="0"/>
          <w:sz w:val="22"/>
          <w:szCs w:val="24"/>
        </w:rPr>
        <w:t xml:space="preserve"> </w:t>
      </w:r>
      <w:r w:rsidRPr="00211E3B">
        <w:rPr>
          <w:snapToGrid w:val="0"/>
          <w:sz w:val="22"/>
          <w:szCs w:val="24"/>
        </w:rPr>
        <w:t>faktoriaus receptori</w:t>
      </w:r>
      <w:r w:rsidR="00E647DB" w:rsidRPr="00211E3B">
        <w:rPr>
          <w:snapToGrid w:val="0"/>
          <w:sz w:val="22"/>
          <w:szCs w:val="24"/>
        </w:rPr>
        <w:t>ų</w:t>
      </w:r>
      <w:r w:rsidRPr="00211E3B">
        <w:rPr>
          <w:snapToGrid w:val="0"/>
          <w:sz w:val="22"/>
          <w:szCs w:val="24"/>
        </w:rPr>
        <w:t xml:space="preserve"> (TAFR) α ir β, fibroblastų augimo faktoriaus receptori</w:t>
      </w:r>
      <w:r w:rsidR="00E647DB" w:rsidRPr="00211E3B">
        <w:rPr>
          <w:snapToGrid w:val="0"/>
          <w:sz w:val="22"/>
          <w:szCs w:val="24"/>
        </w:rPr>
        <w:t>ų</w:t>
      </w:r>
      <w:r w:rsidRPr="00211E3B">
        <w:rPr>
          <w:snapToGrid w:val="0"/>
          <w:sz w:val="22"/>
          <w:szCs w:val="24"/>
        </w:rPr>
        <w:t xml:space="preserve"> (FAFR) 1-3 bei</w:t>
      </w:r>
      <w:r w:rsidR="00E647DB" w:rsidRPr="00211E3B">
        <w:rPr>
          <w:snapToGrid w:val="0"/>
          <w:sz w:val="22"/>
          <w:szCs w:val="24"/>
        </w:rPr>
        <w:t xml:space="preserve"> </w:t>
      </w:r>
      <w:r w:rsidRPr="00211E3B">
        <w:rPr>
          <w:snapToGrid w:val="0"/>
          <w:sz w:val="22"/>
          <w:szCs w:val="24"/>
        </w:rPr>
        <w:t>KEAFR 1-3</w:t>
      </w:r>
      <w:r w:rsidR="00E647DB" w:rsidRPr="00211E3B">
        <w:rPr>
          <w:snapToGrid w:val="0"/>
          <w:sz w:val="22"/>
          <w:szCs w:val="24"/>
        </w:rPr>
        <w:t xml:space="preserve"> kinazes, inhibitorius</w:t>
      </w:r>
      <w:r w:rsidRPr="00211E3B">
        <w:rPr>
          <w:snapToGrid w:val="0"/>
          <w:sz w:val="22"/>
          <w:szCs w:val="24"/>
        </w:rPr>
        <w:t>. Be to, nintedanibas slopina Lck (limfocitams specifinę tirozinproteinkinazę), Lyn</w:t>
      </w:r>
      <w:r w:rsidR="00E647DB" w:rsidRPr="00211E3B">
        <w:rPr>
          <w:snapToGrid w:val="0"/>
          <w:sz w:val="22"/>
          <w:szCs w:val="24"/>
        </w:rPr>
        <w:t xml:space="preserve"> </w:t>
      </w:r>
      <w:r w:rsidRPr="00211E3B">
        <w:rPr>
          <w:snapToGrid w:val="0"/>
          <w:sz w:val="22"/>
          <w:szCs w:val="24"/>
        </w:rPr>
        <w:t>(tirozinproteinkinazę lyn), Src (protoonkogeno tirozinproteinkinazę src) ir CSF1R (kolonijas</w:t>
      </w:r>
      <w:r w:rsidR="00E647DB" w:rsidRPr="00211E3B">
        <w:rPr>
          <w:snapToGrid w:val="0"/>
          <w:sz w:val="22"/>
          <w:szCs w:val="24"/>
        </w:rPr>
        <w:t xml:space="preserve"> </w:t>
      </w:r>
      <w:r w:rsidRPr="00211E3B">
        <w:rPr>
          <w:snapToGrid w:val="0"/>
          <w:sz w:val="22"/>
          <w:szCs w:val="24"/>
        </w:rPr>
        <w:t xml:space="preserve">stimuliuojančio faktoriaus 1 receptoriaus) kinazes. </w:t>
      </w:r>
      <w:bookmarkStart w:id="2" w:name="_Hlk154240637"/>
      <w:r w:rsidRPr="00211E3B">
        <w:rPr>
          <w:snapToGrid w:val="0"/>
          <w:sz w:val="22"/>
          <w:szCs w:val="24"/>
        </w:rPr>
        <w:t xml:space="preserve">Nintedanibas konkurenciniu būdu </w:t>
      </w:r>
      <w:r w:rsidR="00E647DB" w:rsidRPr="00211E3B">
        <w:rPr>
          <w:snapToGrid w:val="0"/>
          <w:sz w:val="22"/>
          <w:szCs w:val="24"/>
        </w:rPr>
        <w:t>jungiasi prie</w:t>
      </w:r>
      <w:r w:rsidRPr="00211E3B">
        <w:rPr>
          <w:snapToGrid w:val="0"/>
          <w:sz w:val="22"/>
          <w:szCs w:val="24"/>
        </w:rPr>
        <w:t xml:space="preserve"> šių</w:t>
      </w:r>
      <w:r w:rsidR="00E647DB" w:rsidRPr="00211E3B">
        <w:rPr>
          <w:snapToGrid w:val="0"/>
          <w:sz w:val="22"/>
          <w:szCs w:val="24"/>
        </w:rPr>
        <w:t xml:space="preserve"> </w:t>
      </w:r>
      <w:r w:rsidRPr="00211E3B">
        <w:rPr>
          <w:snapToGrid w:val="0"/>
          <w:sz w:val="22"/>
          <w:szCs w:val="24"/>
        </w:rPr>
        <w:t>kinazių adenozintrifosfato (ATF) prisijungimo viet</w:t>
      </w:r>
      <w:r w:rsidR="00E647DB" w:rsidRPr="00211E3B">
        <w:rPr>
          <w:snapToGrid w:val="0"/>
          <w:sz w:val="22"/>
          <w:szCs w:val="24"/>
        </w:rPr>
        <w:t>os</w:t>
      </w:r>
      <w:r w:rsidRPr="00211E3B">
        <w:rPr>
          <w:snapToGrid w:val="0"/>
          <w:sz w:val="22"/>
          <w:szCs w:val="24"/>
        </w:rPr>
        <w:t xml:space="preserve"> ir užblokuoja viduląstelines signalų perdavimo</w:t>
      </w:r>
      <w:r w:rsidR="00C37904" w:rsidRPr="00211E3B">
        <w:rPr>
          <w:snapToGrid w:val="0"/>
          <w:sz w:val="22"/>
          <w:szCs w:val="24"/>
        </w:rPr>
        <w:t xml:space="preserve"> </w:t>
      </w:r>
      <w:r w:rsidRPr="00211E3B">
        <w:rPr>
          <w:snapToGrid w:val="0"/>
          <w:sz w:val="22"/>
          <w:szCs w:val="24"/>
        </w:rPr>
        <w:t>kaskadas</w:t>
      </w:r>
      <w:bookmarkEnd w:id="2"/>
      <w:r w:rsidRPr="00211E3B">
        <w:rPr>
          <w:snapToGrid w:val="0"/>
          <w:sz w:val="22"/>
          <w:szCs w:val="24"/>
        </w:rPr>
        <w:t>, kurios, sergant intersticinėmis plaučių ligomis, dalyvauja fibrozinio audinio remodeliacijos</w:t>
      </w:r>
      <w:r w:rsidR="00C37904" w:rsidRPr="00211E3B">
        <w:rPr>
          <w:snapToGrid w:val="0"/>
          <w:sz w:val="22"/>
          <w:szCs w:val="24"/>
        </w:rPr>
        <w:t xml:space="preserve"> </w:t>
      </w:r>
      <w:r w:rsidRPr="00211E3B">
        <w:rPr>
          <w:snapToGrid w:val="0"/>
          <w:sz w:val="22"/>
          <w:szCs w:val="24"/>
        </w:rPr>
        <w:t>proceso patogenezėje.</w:t>
      </w:r>
    </w:p>
    <w:p w14:paraId="49076EB2" w14:textId="24282B0D" w:rsidR="005E424F" w:rsidRPr="00211E3B" w:rsidRDefault="005E424F" w:rsidP="005E424F">
      <w:pPr>
        <w:ind w:right="-142"/>
        <w:rPr>
          <w:snapToGrid w:val="0"/>
          <w:sz w:val="22"/>
          <w:szCs w:val="24"/>
        </w:rPr>
      </w:pPr>
    </w:p>
    <w:p w14:paraId="3D2E8EC9" w14:textId="77777777" w:rsidR="005E424F" w:rsidRPr="00211E3B" w:rsidRDefault="005E424F" w:rsidP="005E424F">
      <w:pPr>
        <w:ind w:right="-142"/>
        <w:rPr>
          <w:snapToGrid w:val="0"/>
          <w:sz w:val="22"/>
          <w:szCs w:val="24"/>
          <w:u w:val="single"/>
        </w:rPr>
      </w:pPr>
      <w:r w:rsidRPr="00211E3B">
        <w:rPr>
          <w:snapToGrid w:val="0"/>
          <w:sz w:val="22"/>
          <w:szCs w:val="24"/>
          <w:u w:val="single"/>
        </w:rPr>
        <w:t>Farmakodinaminis poveikis</w:t>
      </w:r>
    </w:p>
    <w:p w14:paraId="29C82CDE" w14:textId="789745DE" w:rsidR="000D5BEF" w:rsidRPr="00211E3B" w:rsidRDefault="005E424F" w:rsidP="005E424F">
      <w:pPr>
        <w:ind w:right="-142"/>
        <w:rPr>
          <w:snapToGrid w:val="0"/>
          <w:sz w:val="22"/>
          <w:szCs w:val="24"/>
        </w:rPr>
      </w:pPr>
      <w:r w:rsidRPr="00211E3B">
        <w:rPr>
          <w:snapToGrid w:val="0"/>
          <w:sz w:val="22"/>
          <w:szCs w:val="24"/>
        </w:rPr>
        <w:lastRenderedPageBreak/>
        <w:t xml:space="preserve">Žmogaus ląsteles tiriant </w:t>
      </w:r>
      <w:r w:rsidRPr="00211E3B">
        <w:rPr>
          <w:i/>
          <w:iCs/>
          <w:snapToGrid w:val="0"/>
          <w:sz w:val="22"/>
          <w:szCs w:val="24"/>
        </w:rPr>
        <w:t xml:space="preserve">in vitro </w:t>
      </w:r>
      <w:r w:rsidRPr="00211E3B">
        <w:rPr>
          <w:snapToGrid w:val="0"/>
          <w:sz w:val="22"/>
          <w:szCs w:val="24"/>
        </w:rPr>
        <w:t>nustatyta, kad nintedanibas slopina procesus, kurie, manoma, yra</w:t>
      </w:r>
      <w:r w:rsidR="004F14A9" w:rsidRPr="00211E3B">
        <w:rPr>
          <w:snapToGrid w:val="0"/>
          <w:sz w:val="22"/>
          <w:szCs w:val="24"/>
        </w:rPr>
        <w:t xml:space="preserve"> </w:t>
      </w:r>
      <w:r w:rsidRPr="00211E3B">
        <w:rPr>
          <w:snapToGrid w:val="0"/>
          <w:sz w:val="22"/>
          <w:szCs w:val="24"/>
        </w:rPr>
        <w:t>susiję su fibrozinės patogenezės pradžia, fibrozę skatinančių mediatorių atpalaidavimu iš periferinio</w:t>
      </w:r>
      <w:r w:rsidR="004F14A9" w:rsidRPr="00211E3B">
        <w:rPr>
          <w:snapToGrid w:val="0"/>
          <w:sz w:val="22"/>
          <w:szCs w:val="24"/>
        </w:rPr>
        <w:t xml:space="preserve"> </w:t>
      </w:r>
      <w:r w:rsidRPr="00211E3B">
        <w:rPr>
          <w:snapToGrid w:val="0"/>
          <w:sz w:val="22"/>
          <w:szCs w:val="24"/>
        </w:rPr>
        <w:t>kraujo monocitinių ląstelių bei makrofagų poliarizacija į alternatyviai aktyvintus makrofagus.</w:t>
      </w:r>
      <w:r w:rsidR="000D5BEF" w:rsidRPr="00211E3B">
        <w:rPr>
          <w:snapToGrid w:val="0"/>
          <w:sz w:val="22"/>
          <w:szCs w:val="24"/>
        </w:rPr>
        <w:t xml:space="preserve"> </w:t>
      </w:r>
      <w:r w:rsidRPr="00211E3B">
        <w:rPr>
          <w:snapToGrid w:val="0"/>
          <w:sz w:val="22"/>
          <w:szCs w:val="24"/>
        </w:rPr>
        <w:t>Nustatyta, kad nintedanibas slopina svarbiausius organų fibrozės procesus, fibroblastų proliferaciją, jų</w:t>
      </w:r>
      <w:r w:rsidR="000D5BEF" w:rsidRPr="00211E3B">
        <w:rPr>
          <w:snapToGrid w:val="0"/>
          <w:sz w:val="22"/>
          <w:szCs w:val="24"/>
        </w:rPr>
        <w:t xml:space="preserve"> </w:t>
      </w:r>
      <w:r w:rsidRPr="00211E3B">
        <w:rPr>
          <w:snapToGrid w:val="0"/>
          <w:sz w:val="22"/>
          <w:szCs w:val="24"/>
        </w:rPr>
        <w:t>migraciją bei transformaciją į aktyvių miofibroblastų fenotipą, taip pat sekreciją</w:t>
      </w:r>
      <w:r w:rsidR="000D5BEF" w:rsidRPr="00211E3B">
        <w:rPr>
          <w:snapToGrid w:val="0"/>
          <w:sz w:val="22"/>
          <w:szCs w:val="24"/>
        </w:rPr>
        <w:t xml:space="preserve"> ekstraląstelinėje matricoje</w:t>
      </w:r>
      <w:r w:rsidRPr="00211E3B">
        <w:rPr>
          <w:snapToGrid w:val="0"/>
          <w:sz w:val="22"/>
          <w:szCs w:val="24"/>
        </w:rPr>
        <w:t>.</w:t>
      </w:r>
      <w:r w:rsidR="000D5BEF" w:rsidRPr="00211E3B">
        <w:rPr>
          <w:snapToGrid w:val="0"/>
          <w:sz w:val="22"/>
          <w:szCs w:val="24"/>
        </w:rPr>
        <w:t xml:space="preserve"> </w:t>
      </w:r>
      <w:r w:rsidRPr="00211E3B">
        <w:rPr>
          <w:snapToGrid w:val="0"/>
          <w:sz w:val="22"/>
          <w:szCs w:val="24"/>
        </w:rPr>
        <w:t>Tyrimų su gyvūnais metu tiriant įvairius IPF, SS / SS-IPL, su reumatoidiniu artritu (RA) susijusios</w:t>
      </w:r>
      <w:r w:rsidR="000D5BEF" w:rsidRPr="00211E3B">
        <w:rPr>
          <w:snapToGrid w:val="0"/>
          <w:sz w:val="22"/>
          <w:szCs w:val="24"/>
        </w:rPr>
        <w:t xml:space="preserve"> </w:t>
      </w:r>
      <w:r w:rsidRPr="00211E3B">
        <w:rPr>
          <w:snapToGrid w:val="0"/>
          <w:sz w:val="22"/>
          <w:szCs w:val="24"/>
        </w:rPr>
        <w:t>IPL ir kitų organų fibrozės modelius, nustatytas nintedanibo priešuždegiminis ir antifibrozinis poveikis</w:t>
      </w:r>
      <w:r w:rsidR="000D5BEF" w:rsidRPr="00211E3B">
        <w:rPr>
          <w:snapToGrid w:val="0"/>
          <w:sz w:val="22"/>
          <w:szCs w:val="24"/>
        </w:rPr>
        <w:t xml:space="preserve"> </w:t>
      </w:r>
      <w:r w:rsidRPr="00211E3B">
        <w:rPr>
          <w:snapToGrid w:val="0"/>
          <w:sz w:val="22"/>
          <w:szCs w:val="24"/>
        </w:rPr>
        <w:t>plaučiams, odai, širdžiai, inkstams ir kepenims. Nintedanibas veikė ir kraujagysl</w:t>
      </w:r>
      <w:r w:rsidR="000D5BEF" w:rsidRPr="00211E3B">
        <w:rPr>
          <w:snapToGrid w:val="0"/>
          <w:sz w:val="22"/>
          <w:szCs w:val="24"/>
        </w:rPr>
        <w:t>ių aktyvumą</w:t>
      </w:r>
      <w:r w:rsidRPr="00211E3B">
        <w:rPr>
          <w:snapToGrid w:val="0"/>
          <w:sz w:val="22"/>
          <w:szCs w:val="24"/>
        </w:rPr>
        <w:t>.</w:t>
      </w:r>
    </w:p>
    <w:p w14:paraId="56F8899D" w14:textId="79CDEDD7" w:rsidR="005E424F" w:rsidRPr="00211E3B" w:rsidRDefault="005E424F" w:rsidP="005E424F">
      <w:pPr>
        <w:ind w:right="-142"/>
        <w:rPr>
          <w:snapToGrid w:val="0"/>
          <w:sz w:val="22"/>
          <w:szCs w:val="24"/>
        </w:rPr>
      </w:pPr>
      <w:r w:rsidRPr="00211E3B">
        <w:rPr>
          <w:snapToGrid w:val="0"/>
          <w:sz w:val="22"/>
          <w:szCs w:val="24"/>
        </w:rPr>
        <w:t>Vaistinis</w:t>
      </w:r>
      <w:r w:rsidR="000D5BEF" w:rsidRPr="00211E3B">
        <w:rPr>
          <w:snapToGrid w:val="0"/>
          <w:sz w:val="22"/>
          <w:szCs w:val="24"/>
        </w:rPr>
        <w:t xml:space="preserve"> </w:t>
      </w:r>
      <w:r w:rsidRPr="00211E3B">
        <w:rPr>
          <w:snapToGrid w:val="0"/>
          <w:sz w:val="22"/>
          <w:szCs w:val="24"/>
        </w:rPr>
        <w:t>preparatas slopino odos mikrokraujagyslių endotelio ląstelių apoptozę ir sulėtino plaučių kraujagyslių</w:t>
      </w:r>
      <w:r w:rsidR="000D5BEF" w:rsidRPr="00211E3B">
        <w:rPr>
          <w:snapToGrid w:val="0"/>
          <w:sz w:val="22"/>
          <w:szCs w:val="24"/>
        </w:rPr>
        <w:t xml:space="preserve"> </w:t>
      </w:r>
      <w:r w:rsidRPr="00211E3B">
        <w:rPr>
          <w:snapToGrid w:val="0"/>
          <w:sz w:val="22"/>
          <w:szCs w:val="24"/>
        </w:rPr>
        <w:t>remodeliacijos procesus, nes jam veikiant sumažėjo kraujagyslių lygiųjų raumenų ląstelių</w:t>
      </w:r>
      <w:r w:rsidR="000D5BEF" w:rsidRPr="00211E3B">
        <w:rPr>
          <w:snapToGrid w:val="0"/>
          <w:sz w:val="22"/>
          <w:szCs w:val="24"/>
        </w:rPr>
        <w:t xml:space="preserve"> </w:t>
      </w:r>
      <w:r w:rsidRPr="00211E3B">
        <w:rPr>
          <w:snapToGrid w:val="0"/>
          <w:sz w:val="22"/>
          <w:szCs w:val="24"/>
        </w:rPr>
        <w:t>proliferacija, plaučių kraujagyslių sienelių storis ir užsikimšusių plaučių kraujagyslių procentinė dalis.</w:t>
      </w:r>
    </w:p>
    <w:p w14:paraId="3F86CBCE" w14:textId="77777777" w:rsidR="00330A6E" w:rsidRPr="00211E3B" w:rsidRDefault="00330A6E" w:rsidP="005E424F">
      <w:pPr>
        <w:ind w:right="-142"/>
        <w:rPr>
          <w:snapToGrid w:val="0"/>
          <w:sz w:val="22"/>
          <w:szCs w:val="24"/>
        </w:rPr>
      </w:pPr>
    </w:p>
    <w:p w14:paraId="17C42ECB" w14:textId="4E94DA48" w:rsidR="005E424F" w:rsidRPr="00211E3B" w:rsidRDefault="005E424F" w:rsidP="005E424F">
      <w:pPr>
        <w:ind w:right="-142"/>
        <w:rPr>
          <w:snapToGrid w:val="0"/>
          <w:sz w:val="22"/>
          <w:szCs w:val="24"/>
          <w:u w:val="single"/>
        </w:rPr>
      </w:pPr>
      <w:r w:rsidRPr="00211E3B">
        <w:rPr>
          <w:snapToGrid w:val="0"/>
          <w:sz w:val="22"/>
          <w:szCs w:val="24"/>
          <w:u w:val="single"/>
        </w:rPr>
        <w:t>Klinikinis veiksmingumas ir saugumas</w:t>
      </w:r>
    </w:p>
    <w:p w14:paraId="5C43E4A8" w14:textId="77777777" w:rsidR="005E424F" w:rsidRPr="00211E3B" w:rsidRDefault="005E424F" w:rsidP="005E424F">
      <w:pPr>
        <w:ind w:right="-142"/>
        <w:rPr>
          <w:i/>
          <w:iCs/>
          <w:snapToGrid w:val="0"/>
          <w:sz w:val="22"/>
          <w:szCs w:val="24"/>
        </w:rPr>
      </w:pPr>
      <w:r w:rsidRPr="00211E3B">
        <w:rPr>
          <w:i/>
          <w:iCs/>
          <w:snapToGrid w:val="0"/>
          <w:sz w:val="22"/>
          <w:szCs w:val="24"/>
        </w:rPr>
        <w:t>Idiopatinė plaučių fibrozė (IPF)</w:t>
      </w:r>
    </w:p>
    <w:p w14:paraId="7E6A683D" w14:textId="624DF2A5" w:rsidR="005E424F" w:rsidRPr="00211E3B" w:rsidRDefault="005E424F" w:rsidP="005E424F">
      <w:pPr>
        <w:ind w:right="-142"/>
        <w:rPr>
          <w:snapToGrid w:val="0"/>
          <w:sz w:val="22"/>
          <w:szCs w:val="24"/>
        </w:rPr>
      </w:pPr>
      <w:r w:rsidRPr="00211E3B">
        <w:rPr>
          <w:snapToGrid w:val="0"/>
          <w:sz w:val="22"/>
          <w:szCs w:val="24"/>
        </w:rPr>
        <w:t>Nintedanibo klinikinis veiksmingumas buvo tirtas dviejų III</w:t>
      </w:r>
      <w:r w:rsidR="00396B6D" w:rsidRPr="00211E3B">
        <w:rPr>
          <w:snapToGrid w:val="0"/>
          <w:sz w:val="22"/>
          <w:szCs w:val="24"/>
        </w:rPr>
        <w:t> </w:t>
      </w:r>
      <w:r w:rsidRPr="00211E3B">
        <w:rPr>
          <w:snapToGrid w:val="0"/>
          <w:sz w:val="22"/>
          <w:szCs w:val="24"/>
        </w:rPr>
        <w:t>fazės, atsitiktinių imčių, dvigubai</w:t>
      </w:r>
      <w:r w:rsidR="00396B6D" w:rsidRPr="00211E3B">
        <w:rPr>
          <w:snapToGrid w:val="0"/>
          <w:sz w:val="22"/>
          <w:szCs w:val="24"/>
        </w:rPr>
        <w:t xml:space="preserve"> </w:t>
      </w:r>
      <w:r w:rsidRPr="00211E3B">
        <w:rPr>
          <w:snapToGrid w:val="0"/>
          <w:sz w:val="22"/>
          <w:szCs w:val="24"/>
        </w:rPr>
        <w:t>koduotų, placebu kontroliuo</w:t>
      </w:r>
      <w:r w:rsidR="00396B6D" w:rsidRPr="00211E3B">
        <w:rPr>
          <w:snapToGrid w:val="0"/>
          <w:sz w:val="22"/>
          <w:szCs w:val="24"/>
        </w:rPr>
        <w:t>t</w:t>
      </w:r>
      <w:r w:rsidRPr="00211E3B">
        <w:rPr>
          <w:snapToGrid w:val="0"/>
          <w:sz w:val="22"/>
          <w:szCs w:val="24"/>
        </w:rPr>
        <w:t>ų identiškos struktūros IPF sergančių pacientų tyrimų (INPULSIS-1</w:t>
      </w:r>
      <w:r w:rsidR="00396B6D" w:rsidRPr="00211E3B">
        <w:rPr>
          <w:snapToGrid w:val="0"/>
          <w:sz w:val="22"/>
          <w:szCs w:val="24"/>
        </w:rPr>
        <w:t xml:space="preserve"> </w:t>
      </w:r>
      <w:r w:rsidRPr="00211E3B">
        <w:rPr>
          <w:snapToGrid w:val="0"/>
          <w:sz w:val="22"/>
          <w:szCs w:val="24"/>
        </w:rPr>
        <w:t>(1199.32) ir INPULSIS-2 (1199.34) metu. Pacientai, kurių FGPT tyrimo pradžioje buvo &lt;</w:t>
      </w:r>
      <w:r w:rsidR="00396B6D" w:rsidRPr="00211E3B">
        <w:rPr>
          <w:snapToGrid w:val="0"/>
          <w:sz w:val="22"/>
          <w:szCs w:val="24"/>
        </w:rPr>
        <w:t> </w:t>
      </w:r>
      <w:r w:rsidRPr="00211E3B">
        <w:rPr>
          <w:snapToGrid w:val="0"/>
          <w:sz w:val="22"/>
          <w:szCs w:val="24"/>
        </w:rPr>
        <w:t>50</w:t>
      </w:r>
      <w:r w:rsidR="0085390D">
        <w:rPr>
          <w:snapToGrid w:val="0"/>
          <w:sz w:val="22"/>
          <w:szCs w:val="24"/>
        </w:rPr>
        <w:t xml:space="preserve"> %</w:t>
      </w:r>
      <w:r w:rsidR="00542C9F" w:rsidRPr="00211E3B">
        <w:rPr>
          <w:snapToGrid w:val="0"/>
          <w:sz w:val="22"/>
          <w:szCs w:val="24"/>
        </w:rPr>
        <w:t xml:space="preserve"> </w:t>
      </w:r>
      <w:r w:rsidRPr="00211E3B">
        <w:rPr>
          <w:snapToGrid w:val="0"/>
          <w:sz w:val="22"/>
          <w:szCs w:val="24"/>
        </w:rPr>
        <w:t>numatyto</w:t>
      </w:r>
      <w:r w:rsidR="00542C9F" w:rsidRPr="00211E3B">
        <w:rPr>
          <w:snapToGrid w:val="0"/>
          <w:sz w:val="22"/>
          <w:szCs w:val="24"/>
        </w:rPr>
        <w:t xml:space="preserve"> rodmens</w:t>
      </w:r>
      <w:r w:rsidRPr="00211E3B">
        <w:rPr>
          <w:snapToGrid w:val="0"/>
          <w:sz w:val="22"/>
          <w:szCs w:val="24"/>
        </w:rPr>
        <w:t xml:space="preserve"> ar anglies monoksido difuzij</w:t>
      </w:r>
      <w:r w:rsidR="00542C9F" w:rsidRPr="00211E3B">
        <w:rPr>
          <w:snapToGrid w:val="0"/>
          <w:sz w:val="22"/>
          <w:szCs w:val="24"/>
        </w:rPr>
        <w:t>os geba</w:t>
      </w:r>
      <w:r w:rsidRPr="00211E3B">
        <w:rPr>
          <w:snapToGrid w:val="0"/>
          <w:sz w:val="22"/>
          <w:szCs w:val="24"/>
        </w:rPr>
        <w:t xml:space="preserve"> (DLCO, koreguota </w:t>
      </w:r>
      <w:r w:rsidR="00542C9F" w:rsidRPr="00211E3B">
        <w:rPr>
          <w:snapToGrid w:val="0"/>
          <w:sz w:val="22"/>
          <w:szCs w:val="24"/>
        </w:rPr>
        <w:t xml:space="preserve">pagal </w:t>
      </w:r>
      <w:r w:rsidRPr="00211E3B">
        <w:rPr>
          <w:snapToGrid w:val="0"/>
          <w:sz w:val="22"/>
          <w:szCs w:val="24"/>
        </w:rPr>
        <w:t>hemoglobin</w:t>
      </w:r>
      <w:r w:rsidR="00542C9F" w:rsidRPr="00211E3B">
        <w:rPr>
          <w:snapToGrid w:val="0"/>
          <w:sz w:val="22"/>
          <w:szCs w:val="24"/>
        </w:rPr>
        <w:t>ą</w:t>
      </w:r>
      <w:r w:rsidRPr="00211E3B">
        <w:rPr>
          <w:snapToGrid w:val="0"/>
          <w:sz w:val="22"/>
          <w:szCs w:val="24"/>
        </w:rPr>
        <w:t>) tyrimo</w:t>
      </w:r>
      <w:r w:rsidR="00542C9F" w:rsidRPr="00211E3B">
        <w:rPr>
          <w:snapToGrid w:val="0"/>
          <w:sz w:val="22"/>
          <w:szCs w:val="24"/>
        </w:rPr>
        <w:t xml:space="preserve"> </w:t>
      </w:r>
      <w:r w:rsidRPr="00211E3B">
        <w:rPr>
          <w:snapToGrid w:val="0"/>
          <w:sz w:val="22"/>
          <w:szCs w:val="24"/>
        </w:rPr>
        <w:t>pradžioje buvo &lt;</w:t>
      </w:r>
      <w:r w:rsidR="00542C9F" w:rsidRPr="00211E3B">
        <w:rPr>
          <w:snapToGrid w:val="0"/>
          <w:sz w:val="22"/>
          <w:szCs w:val="24"/>
        </w:rPr>
        <w:t> </w:t>
      </w:r>
      <w:r w:rsidRPr="00211E3B">
        <w:rPr>
          <w:snapToGrid w:val="0"/>
          <w:sz w:val="22"/>
          <w:szCs w:val="24"/>
        </w:rPr>
        <w:t>30</w:t>
      </w:r>
      <w:r w:rsidR="00FF54A6">
        <w:rPr>
          <w:snapToGrid w:val="0"/>
          <w:sz w:val="22"/>
          <w:szCs w:val="24"/>
        </w:rPr>
        <w:t> </w:t>
      </w:r>
      <w:r w:rsidR="0085390D">
        <w:rPr>
          <w:snapToGrid w:val="0"/>
          <w:sz w:val="22"/>
          <w:szCs w:val="24"/>
        </w:rPr>
        <w:t>%</w:t>
      </w:r>
      <w:r w:rsidRPr="00211E3B">
        <w:rPr>
          <w:snapToGrid w:val="0"/>
          <w:sz w:val="22"/>
          <w:szCs w:val="24"/>
        </w:rPr>
        <w:t xml:space="preserve"> numatyto</w:t>
      </w:r>
      <w:r w:rsidR="00542C9F" w:rsidRPr="00211E3B">
        <w:rPr>
          <w:snapToGrid w:val="0"/>
          <w:sz w:val="22"/>
          <w:szCs w:val="24"/>
        </w:rPr>
        <w:t xml:space="preserve"> rodmens</w:t>
      </w:r>
      <w:r w:rsidRPr="00211E3B">
        <w:rPr>
          <w:snapToGrid w:val="0"/>
          <w:sz w:val="22"/>
          <w:szCs w:val="24"/>
        </w:rPr>
        <w:t>, į tyrimus nebuvo įtraukti. Pacientai</w:t>
      </w:r>
      <w:r w:rsidR="00542C9F" w:rsidRPr="00211E3B">
        <w:rPr>
          <w:snapToGrid w:val="0"/>
          <w:sz w:val="22"/>
          <w:szCs w:val="24"/>
        </w:rPr>
        <w:t xml:space="preserve"> santykiu </w:t>
      </w:r>
      <w:r w:rsidRPr="00211E3B">
        <w:rPr>
          <w:snapToGrid w:val="0"/>
          <w:sz w:val="22"/>
          <w:szCs w:val="24"/>
        </w:rPr>
        <w:t xml:space="preserve">3:2 </w:t>
      </w:r>
      <w:r w:rsidR="00542C9F" w:rsidRPr="00211E3B">
        <w:rPr>
          <w:snapToGrid w:val="0"/>
          <w:sz w:val="22"/>
          <w:szCs w:val="24"/>
        </w:rPr>
        <w:t>buvo suskirstyti į atsitiktines imtis ir</w:t>
      </w:r>
      <w:r w:rsidRPr="00211E3B">
        <w:rPr>
          <w:snapToGrid w:val="0"/>
          <w:sz w:val="22"/>
          <w:szCs w:val="24"/>
        </w:rPr>
        <w:t xml:space="preserve"> </w:t>
      </w:r>
      <w:r w:rsidR="00D7087C" w:rsidRPr="00211E3B">
        <w:rPr>
          <w:snapToGrid w:val="0"/>
          <w:sz w:val="22"/>
          <w:szCs w:val="24"/>
        </w:rPr>
        <w:t>52 s</w:t>
      </w:r>
      <w:r w:rsidRPr="00211E3B">
        <w:rPr>
          <w:snapToGrid w:val="0"/>
          <w:sz w:val="22"/>
          <w:szCs w:val="24"/>
        </w:rPr>
        <w:t xml:space="preserve">avaites </w:t>
      </w:r>
      <w:r w:rsidR="00542C9F" w:rsidRPr="00211E3B">
        <w:rPr>
          <w:snapToGrid w:val="0"/>
          <w:sz w:val="22"/>
          <w:szCs w:val="24"/>
        </w:rPr>
        <w:t xml:space="preserve">buvo arba gydomi </w:t>
      </w:r>
      <w:r w:rsidRPr="00211E3B">
        <w:rPr>
          <w:snapToGrid w:val="0"/>
          <w:sz w:val="22"/>
          <w:szCs w:val="24"/>
        </w:rPr>
        <w:t>du kartus per parą vartojam</w:t>
      </w:r>
      <w:r w:rsidR="00542C9F" w:rsidRPr="00211E3B">
        <w:rPr>
          <w:snapToGrid w:val="0"/>
          <w:sz w:val="22"/>
          <w:szCs w:val="24"/>
        </w:rPr>
        <w:t>a</w:t>
      </w:r>
      <w:r w:rsidRPr="00211E3B">
        <w:rPr>
          <w:snapToGrid w:val="0"/>
          <w:sz w:val="22"/>
          <w:szCs w:val="24"/>
        </w:rPr>
        <w:t xml:space="preserve"> 150</w:t>
      </w:r>
      <w:r w:rsidR="0085390D">
        <w:rPr>
          <w:snapToGrid w:val="0"/>
          <w:sz w:val="22"/>
          <w:szCs w:val="24"/>
        </w:rPr>
        <w:t> mg</w:t>
      </w:r>
      <w:r w:rsidRPr="00211E3B">
        <w:rPr>
          <w:snapToGrid w:val="0"/>
          <w:sz w:val="22"/>
          <w:szCs w:val="24"/>
        </w:rPr>
        <w:t xml:space="preserve"> </w:t>
      </w:r>
      <w:r w:rsidR="00542C9F" w:rsidRPr="00211E3B">
        <w:rPr>
          <w:snapToGrid w:val="0"/>
          <w:sz w:val="22"/>
          <w:szCs w:val="24"/>
        </w:rPr>
        <w:t xml:space="preserve">nintedanibo </w:t>
      </w:r>
      <w:r w:rsidRPr="00211E3B">
        <w:rPr>
          <w:snapToGrid w:val="0"/>
          <w:sz w:val="22"/>
          <w:szCs w:val="24"/>
        </w:rPr>
        <w:t>doze</w:t>
      </w:r>
      <w:r w:rsidR="00542C9F" w:rsidRPr="00211E3B">
        <w:rPr>
          <w:snapToGrid w:val="0"/>
          <w:sz w:val="22"/>
          <w:szCs w:val="24"/>
        </w:rPr>
        <w:t xml:space="preserve">, arba vartojo </w:t>
      </w:r>
      <w:r w:rsidRPr="00211E3B">
        <w:rPr>
          <w:snapToGrid w:val="0"/>
          <w:sz w:val="22"/>
          <w:szCs w:val="24"/>
        </w:rPr>
        <w:t>placeb</w:t>
      </w:r>
      <w:r w:rsidR="00542C9F" w:rsidRPr="00211E3B">
        <w:rPr>
          <w:snapToGrid w:val="0"/>
          <w:sz w:val="22"/>
          <w:szCs w:val="24"/>
        </w:rPr>
        <w:t>o</w:t>
      </w:r>
      <w:r w:rsidRPr="00211E3B">
        <w:rPr>
          <w:snapToGrid w:val="0"/>
          <w:sz w:val="22"/>
          <w:szCs w:val="24"/>
        </w:rPr>
        <w:t>.</w:t>
      </w:r>
    </w:p>
    <w:p w14:paraId="7FA84237" w14:textId="77777777" w:rsidR="00623EC9" w:rsidRPr="00211E3B" w:rsidRDefault="00623EC9" w:rsidP="005E424F">
      <w:pPr>
        <w:ind w:right="-142"/>
        <w:rPr>
          <w:snapToGrid w:val="0"/>
          <w:sz w:val="22"/>
          <w:szCs w:val="24"/>
        </w:rPr>
      </w:pPr>
    </w:p>
    <w:p w14:paraId="40FBA8D6" w14:textId="57DCE3AB" w:rsidR="005E424F" w:rsidRPr="00211E3B" w:rsidRDefault="00F7623C" w:rsidP="005E424F">
      <w:pPr>
        <w:ind w:right="-142"/>
        <w:rPr>
          <w:snapToGrid w:val="0"/>
          <w:sz w:val="22"/>
          <w:szCs w:val="24"/>
        </w:rPr>
      </w:pPr>
      <w:r w:rsidRPr="00211E3B">
        <w:rPr>
          <w:snapToGrid w:val="0"/>
          <w:sz w:val="22"/>
          <w:szCs w:val="24"/>
        </w:rPr>
        <w:t>Pagrindinė</w:t>
      </w:r>
      <w:r w:rsidR="005E424F" w:rsidRPr="00211E3B">
        <w:rPr>
          <w:snapToGrid w:val="0"/>
          <w:sz w:val="22"/>
          <w:szCs w:val="24"/>
        </w:rPr>
        <w:t xml:space="preserve"> vertinamoji baigtis buvo metinis forsuotos gyvybinės plaučių talpos (FGPT) sumažėjimo</w:t>
      </w:r>
      <w:r w:rsidRPr="00211E3B">
        <w:rPr>
          <w:snapToGrid w:val="0"/>
          <w:sz w:val="22"/>
          <w:szCs w:val="24"/>
        </w:rPr>
        <w:t xml:space="preserve"> </w:t>
      </w:r>
      <w:r w:rsidR="005E424F" w:rsidRPr="00211E3B">
        <w:rPr>
          <w:snapToGrid w:val="0"/>
          <w:sz w:val="22"/>
          <w:szCs w:val="24"/>
        </w:rPr>
        <w:t xml:space="preserve">rodmuo. </w:t>
      </w:r>
      <w:r w:rsidRPr="00211E3B">
        <w:rPr>
          <w:snapToGrid w:val="0"/>
          <w:sz w:val="22"/>
          <w:szCs w:val="24"/>
        </w:rPr>
        <w:t>Svarbiausios antrinės</w:t>
      </w:r>
      <w:r w:rsidR="005E424F" w:rsidRPr="00211E3B">
        <w:rPr>
          <w:snapToGrid w:val="0"/>
          <w:sz w:val="22"/>
          <w:szCs w:val="24"/>
        </w:rPr>
        <w:t xml:space="preserve"> vertinamosios baigtys buvo </w:t>
      </w:r>
      <w:r w:rsidR="005E424F" w:rsidRPr="00211E3B">
        <w:rPr>
          <w:i/>
          <w:iCs/>
          <w:snapToGrid w:val="0"/>
          <w:sz w:val="22"/>
          <w:szCs w:val="24"/>
        </w:rPr>
        <w:t>Saint George</w:t>
      </w:r>
      <w:r w:rsidR="005E424F" w:rsidRPr="00211E3B">
        <w:rPr>
          <w:snapToGrid w:val="0"/>
          <w:sz w:val="22"/>
          <w:szCs w:val="24"/>
        </w:rPr>
        <w:t xml:space="preserve"> kvėpavimo klausimyno</w:t>
      </w:r>
      <w:r w:rsidRPr="00211E3B">
        <w:rPr>
          <w:snapToGrid w:val="0"/>
          <w:sz w:val="22"/>
          <w:szCs w:val="24"/>
        </w:rPr>
        <w:t xml:space="preserve"> </w:t>
      </w:r>
      <w:r w:rsidR="005E424F" w:rsidRPr="00211E3B">
        <w:rPr>
          <w:snapToGrid w:val="0"/>
          <w:sz w:val="22"/>
          <w:szCs w:val="24"/>
        </w:rPr>
        <w:t xml:space="preserve">(angl. </w:t>
      </w:r>
      <w:r w:rsidR="005E424F" w:rsidRPr="00211E3B">
        <w:rPr>
          <w:i/>
          <w:iCs/>
          <w:snapToGrid w:val="0"/>
          <w:sz w:val="22"/>
          <w:szCs w:val="24"/>
        </w:rPr>
        <w:t>Saint George's Respiratory Questionnaire</w:t>
      </w:r>
      <w:r w:rsidR="005E424F" w:rsidRPr="00211E3B">
        <w:rPr>
          <w:snapToGrid w:val="0"/>
          <w:sz w:val="22"/>
          <w:szCs w:val="24"/>
        </w:rPr>
        <w:t>, SGRQ) bendro</w:t>
      </w:r>
      <w:r w:rsidRPr="00211E3B">
        <w:rPr>
          <w:snapToGrid w:val="0"/>
          <w:sz w:val="22"/>
          <w:szCs w:val="24"/>
        </w:rPr>
        <w:t xml:space="preserve">jo įvertinimo pokytis </w:t>
      </w:r>
      <w:r w:rsidR="00D7087C" w:rsidRPr="00211E3B">
        <w:rPr>
          <w:snapToGrid w:val="0"/>
          <w:sz w:val="22"/>
          <w:szCs w:val="24"/>
        </w:rPr>
        <w:t>52 s</w:t>
      </w:r>
      <w:r w:rsidR="005E424F" w:rsidRPr="00211E3B">
        <w:rPr>
          <w:snapToGrid w:val="0"/>
          <w:sz w:val="22"/>
          <w:szCs w:val="24"/>
        </w:rPr>
        <w:t>avaitę, palyginti su</w:t>
      </w:r>
      <w:r w:rsidRPr="00211E3B">
        <w:rPr>
          <w:snapToGrid w:val="0"/>
          <w:sz w:val="22"/>
          <w:szCs w:val="24"/>
        </w:rPr>
        <w:t xml:space="preserve"> </w:t>
      </w:r>
      <w:r w:rsidR="005E424F" w:rsidRPr="00211E3B">
        <w:rPr>
          <w:snapToGrid w:val="0"/>
          <w:sz w:val="22"/>
          <w:szCs w:val="24"/>
        </w:rPr>
        <w:t>pradiniu</w:t>
      </w:r>
      <w:r w:rsidRPr="00211E3B">
        <w:rPr>
          <w:snapToGrid w:val="0"/>
          <w:sz w:val="22"/>
          <w:szCs w:val="24"/>
        </w:rPr>
        <w:t xml:space="preserve"> rodmeniu</w:t>
      </w:r>
      <w:r w:rsidR="005E424F" w:rsidRPr="00211E3B">
        <w:rPr>
          <w:snapToGrid w:val="0"/>
          <w:sz w:val="22"/>
          <w:szCs w:val="24"/>
        </w:rPr>
        <w:t>, ir laikotarpis iki pirmojo ūmaus IPF pasunkėjimo.</w:t>
      </w:r>
    </w:p>
    <w:p w14:paraId="4F295BF0" w14:textId="77777777" w:rsidR="00F7623C" w:rsidRPr="00211E3B" w:rsidRDefault="00F7623C" w:rsidP="005E424F">
      <w:pPr>
        <w:ind w:right="-142"/>
        <w:rPr>
          <w:snapToGrid w:val="0"/>
          <w:sz w:val="22"/>
          <w:szCs w:val="24"/>
        </w:rPr>
      </w:pPr>
    </w:p>
    <w:p w14:paraId="1188FD2D" w14:textId="77777777" w:rsidR="005E424F" w:rsidRPr="00211E3B" w:rsidRDefault="005E424F" w:rsidP="005E424F">
      <w:pPr>
        <w:ind w:right="-142"/>
        <w:rPr>
          <w:i/>
          <w:iCs/>
          <w:snapToGrid w:val="0"/>
          <w:sz w:val="22"/>
          <w:szCs w:val="24"/>
        </w:rPr>
      </w:pPr>
      <w:r w:rsidRPr="00211E3B">
        <w:rPr>
          <w:i/>
          <w:iCs/>
          <w:snapToGrid w:val="0"/>
          <w:sz w:val="22"/>
          <w:szCs w:val="24"/>
        </w:rPr>
        <w:t>Metinis FGPT sumažėjimo rodmuo</w:t>
      </w:r>
    </w:p>
    <w:p w14:paraId="121D7F78" w14:textId="547D10C8" w:rsidR="005E424F" w:rsidRPr="00211E3B" w:rsidRDefault="005E424F" w:rsidP="005E424F">
      <w:pPr>
        <w:ind w:right="-142"/>
        <w:rPr>
          <w:snapToGrid w:val="0"/>
          <w:sz w:val="22"/>
          <w:szCs w:val="24"/>
        </w:rPr>
      </w:pPr>
      <w:r w:rsidRPr="00211E3B">
        <w:rPr>
          <w:snapToGrid w:val="0"/>
          <w:sz w:val="22"/>
          <w:szCs w:val="24"/>
        </w:rPr>
        <w:t>Nintedanibą vartojusių pacientų metinis FGPT sumažėjimo rodmuo (ml) buvo reikšmingai mažesnis,</w:t>
      </w:r>
      <w:r w:rsidR="00420114" w:rsidRPr="00211E3B">
        <w:rPr>
          <w:snapToGrid w:val="0"/>
          <w:sz w:val="22"/>
          <w:szCs w:val="24"/>
        </w:rPr>
        <w:t xml:space="preserve"> </w:t>
      </w:r>
      <w:r w:rsidRPr="00211E3B">
        <w:rPr>
          <w:snapToGrid w:val="0"/>
          <w:sz w:val="22"/>
          <w:szCs w:val="24"/>
        </w:rPr>
        <w:t>palyginti su placebą vartojusių pacientų</w:t>
      </w:r>
      <w:r w:rsidR="00420114" w:rsidRPr="00211E3B">
        <w:rPr>
          <w:snapToGrid w:val="0"/>
          <w:sz w:val="22"/>
          <w:szCs w:val="24"/>
        </w:rPr>
        <w:t xml:space="preserve"> rodmeniu</w:t>
      </w:r>
      <w:r w:rsidRPr="00211E3B">
        <w:rPr>
          <w:snapToGrid w:val="0"/>
          <w:sz w:val="22"/>
          <w:szCs w:val="24"/>
        </w:rPr>
        <w:t xml:space="preserve">. Gydymo poveikis buvo </w:t>
      </w:r>
      <w:r w:rsidR="00420114" w:rsidRPr="00211E3B">
        <w:rPr>
          <w:snapToGrid w:val="0"/>
          <w:sz w:val="22"/>
          <w:szCs w:val="24"/>
        </w:rPr>
        <w:t>stabilus</w:t>
      </w:r>
      <w:r w:rsidRPr="00211E3B">
        <w:rPr>
          <w:snapToGrid w:val="0"/>
          <w:sz w:val="22"/>
          <w:szCs w:val="24"/>
        </w:rPr>
        <w:t xml:space="preserve"> abiejų tyrimų metu. </w:t>
      </w:r>
      <w:r w:rsidR="00420114" w:rsidRPr="00211E3B">
        <w:rPr>
          <w:snapToGrid w:val="0"/>
          <w:sz w:val="22"/>
          <w:szCs w:val="24"/>
        </w:rPr>
        <w:t xml:space="preserve">Abiejų tyrimų atskiri ir apibendrinti rezultatai </w:t>
      </w:r>
      <w:r w:rsidRPr="00211E3B">
        <w:rPr>
          <w:snapToGrid w:val="0"/>
          <w:sz w:val="22"/>
          <w:szCs w:val="24"/>
        </w:rPr>
        <w:t>pateik</w:t>
      </w:r>
      <w:r w:rsidR="00420114" w:rsidRPr="00211E3B">
        <w:rPr>
          <w:snapToGrid w:val="0"/>
          <w:sz w:val="22"/>
          <w:szCs w:val="24"/>
        </w:rPr>
        <w:t>iami</w:t>
      </w:r>
      <w:r w:rsidRPr="00211E3B">
        <w:rPr>
          <w:snapToGrid w:val="0"/>
          <w:sz w:val="22"/>
          <w:szCs w:val="24"/>
        </w:rPr>
        <w:t xml:space="preserve"> 3</w:t>
      </w:r>
      <w:r w:rsidR="00420114" w:rsidRPr="00211E3B">
        <w:rPr>
          <w:snapToGrid w:val="0"/>
          <w:sz w:val="22"/>
          <w:szCs w:val="24"/>
        </w:rPr>
        <w:t> </w:t>
      </w:r>
      <w:r w:rsidRPr="00211E3B">
        <w:rPr>
          <w:snapToGrid w:val="0"/>
          <w:sz w:val="22"/>
          <w:szCs w:val="24"/>
        </w:rPr>
        <w:t>lentelėje.</w:t>
      </w:r>
    </w:p>
    <w:p w14:paraId="10AFCD94" w14:textId="740EC370" w:rsidR="005E424F" w:rsidRPr="00211E3B" w:rsidRDefault="005E424F" w:rsidP="005E424F">
      <w:pPr>
        <w:ind w:right="-142"/>
        <w:rPr>
          <w:snapToGrid w:val="0"/>
          <w:sz w:val="22"/>
          <w:szCs w:val="24"/>
        </w:rPr>
      </w:pPr>
    </w:p>
    <w:p w14:paraId="7AE4F590" w14:textId="2010C339" w:rsidR="005E424F" w:rsidRPr="00211E3B" w:rsidRDefault="005E424F" w:rsidP="00F054CD">
      <w:pPr>
        <w:ind w:left="1296" w:right="-142" w:hanging="1296"/>
        <w:rPr>
          <w:b/>
          <w:bCs/>
          <w:snapToGrid w:val="0"/>
          <w:sz w:val="22"/>
          <w:szCs w:val="24"/>
        </w:rPr>
      </w:pPr>
      <w:r w:rsidRPr="00211E3B">
        <w:rPr>
          <w:b/>
          <w:bCs/>
          <w:snapToGrid w:val="0"/>
          <w:sz w:val="22"/>
          <w:szCs w:val="24"/>
        </w:rPr>
        <w:t>3</w:t>
      </w:r>
      <w:r w:rsidR="00596F47" w:rsidRPr="00211E3B">
        <w:rPr>
          <w:b/>
          <w:bCs/>
          <w:snapToGrid w:val="0"/>
          <w:sz w:val="22"/>
          <w:szCs w:val="24"/>
        </w:rPr>
        <w:t> </w:t>
      </w:r>
      <w:r w:rsidRPr="00211E3B">
        <w:rPr>
          <w:b/>
          <w:bCs/>
          <w:snapToGrid w:val="0"/>
          <w:sz w:val="22"/>
          <w:szCs w:val="24"/>
        </w:rPr>
        <w:t>lentelė.</w:t>
      </w:r>
      <w:r w:rsidR="00F054CD" w:rsidRPr="00211E3B">
        <w:rPr>
          <w:b/>
          <w:bCs/>
          <w:snapToGrid w:val="0"/>
          <w:sz w:val="22"/>
          <w:szCs w:val="24"/>
        </w:rPr>
        <w:tab/>
      </w:r>
      <w:r w:rsidRPr="00211E3B">
        <w:rPr>
          <w:b/>
          <w:bCs/>
          <w:snapToGrid w:val="0"/>
          <w:sz w:val="22"/>
          <w:szCs w:val="24"/>
        </w:rPr>
        <w:t>Metinis FGPT sumažėjimo (ml) rodmuo tyrimų INPULSIS-1 ir INPULSIS-2</w:t>
      </w:r>
      <w:r w:rsidR="00596F47" w:rsidRPr="00211E3B">
        <w:rPr>
          <w:b/>
          <w:bCs/>
          <w:snapToGrid w:val="0"/>
          <w:sz w:val="22"/>
          <w:szCs w:val="24"/>
        </w:rPr>
        <w:t xml:space="preserve"> </w:t>
      </w:r>
      <w:r w:rsidRPr="00211E3B">
        <w:rPr>
          <w:b/>
          <w:bCs/>
          <w:snapToGrid w:val="0"/>
          <w:sz w:val="22"/>
          <w:szCs w:val="24"/>
        </w:rPr>
        <w:t xml:space="preserve">metu bei </w:t>
      </w:r>
      <w:r w:rsidR="00B1737F" w:rsidRPr="00211E3B">
        <w:rPr>
          <w:b/>
          <w:bCs/>
          <w:snapToGrid w:val="0"/>
          <w:sz w:val="22"/>
          <w:szCs w:val="24"/>
        </w:rPr>
        <w:t>apibendrinti</w:t>
      </w:r>
      <w:r w:rsidRPr="00211E3B">
        <w:rPr>
          <w:b/>
          <w:bCs/>
          <w:snapToGrid w:val="0"/>
          <w:sz w:val="22"/>
          <w:szCs w:val="24"/>
        </w:rPr>
        <w:t xml:space="preserve"> duomenys </w:t>
      </w:r>
      <w:r w:rsidR="00596F47" w:rsidRPr="00211E3B">
        <w:rPr>
          <w:b/>
          <w:bCs/>
          <w:snapToGrid w:val="0"/>
          <w:sz w:val="22"/>
          <w:szCs w:val="24"/>
        </w:rPr>
        <w:t>–</w:t>
      </w:r>
      <w:r w:rsidRPr="00211E3B">
        <w:rPr>
          <w:b/>
          <w:bCs/>
          <w:snapToGrid w:val="0"/>
          <w:sz w:val="22"/>
          <w:szCs w:val="24"/>
        </w:rPr>
        <w:t xml:space="preserve"> gydyt</w:t>
      </w:r>
      <w:r w:rsidR="00596F47" w:rsidRPr="00211E3B">
        <w:rPr>
          <w:b/>
          <w:bCs/>
          <w:snapToGrid w:val="0"/>
          <w:sz w:val="22"/>
          <w:szCs w:val="24"/>
        </w:rPr>
        <w:t>ų pacientų</w:t>
      </w:r>
      <w:r w:rsidRPr="00211E3B">
        <w:rPr>
          <w:b/>
          <w:bCs/>
          <w:snapToGrid w:val="0"/>
          <w:sz w:val="22"/>
          <w:szCs w:val="24"/>
        </w:rPr>
        <w:t xml:space="preserve"> grupė</w:t>
      </w:r>
    </w:p>
    <w:tbl>
      <w:tblPr>
        <w:tblStyle w:val="Lentelstinklelis"/>
        <w:tblW w:w="5000" w:type="pct"/>
        <w:tblLook w:val="04A0" w:firstRow="1" w:lastRow="0" w:firstColumn="1" w:lastColumn="0" w:noHBand="0" w:noVBand="1"/>
      </w:tblPr>
      <w:tblGrid>
        <w:gridCol w:w="1293"/>
        <w:gridCol w:w="1293"/>
        <w:gridCol w:w="1294"/>
        <w:gridCol w:w="1294"/>
        <w:gridCol w:w="1296"/>
        <w:gridCol w:w="1296"/>
        <w:gridCol w:w="1294"/>
      </w:tblGrid>
      <w:tr w:rsidR="00596F47" w:rsidRPr="00211E3B" w14:paraId="76291E90" w14:textId="77777777" w:rsidTr="00256DA0">
        <w:trPr>
          <w:tblHeader/>
        </w:trPr>
        <w:tc>
          <w:tcPr>
            <w:tcW w:w="714" w:type="pct"/>
          </w:tcPr>
          <w:p w14:paraId="46254C48" w14:textId="77777777" w:rsidR="00596F47" w:rsidRPr="00211E3B" w:rsidRDefault="00596F47" w:rsidP="00256DA0">
            <w:pPr>
              <w:autoSpaceDE w:val="0"/>
              <w:autoSpaceDN w:val="0"/>
              <w:adjustRightInd w:val="0"/>
              <w:rPr>
                <w:szCs w:val="22"/>
                <w:lang w:val="lt-LT"/>
              </w:rPr>
            </w:pPr>
          </w:p>
        </w:tc>
        <w:tc>
          <w:tcPr>
            <w:tcW w:w="1428" w:type="pct"/>
            <w:gridSpan w:val="2"/>
          </w:tcPr>
          <w:p w14:paraId="1FEC4FE2" w14:textId="77777777" w:rsidR="00596F47" w:rsidRPr="00211E3B" w:rsidRDefault="00596F47" w:rsidP="00256DA0">
            <w:pPr>
              <w:autoSpaceDE w:val="0"/>
              <w:autoSpaceDN w:val="0"/>
              <w:adjustRightInd w:val="0"/>
              <w:jc w:val="center"/>
              <w:rPr>
                <w:b/>
                <w:szCs w:val="22"/>
                <w:lang w:val="lt-LT"/>
              </w:rPr>
            </w:pPr>
            <w:r w:rsidRPr="00211E3B">
              <w:rPr>
                <w:b/>
                <w:szCs w:val="22"/>
                <w:lang w:val="lt-LT"/>
              </w:rPr>
              <w:t>INPULSIS</w:t>
            </w:r>
            <w:r w:rsidRPr="00211E3B">
              <w:rPr>
                <w:b/>
                <w:szCs w:val="22"/>
                <w:lang w:val="lt-LT"/>
              </w:rPr>
              <w:noBreakHyphen/>
              <w:t>1</w:t>
            </w:r>
          </w:p>
        </w:tc>
        <w:tc>
          <w:tcPr>
            <w:tcW w:w="1429" w:type="pct"/>
            <w:gridSpan w:val="2"/>
          </w:tcPr>
          <w:p w14:paraId="47C14FE4" w14:textId="77777777" w:rsidR="00596F47" w:rsidRPr="00211E3B" w:rsidRDefault="00596F47" w:rsidP="00256DA0">
            <w:pPr>
              <w:autoSpaceDE w:val="0"/>
              <w:autoSpaceDN w:val="0"/>
              <w:adjustRightInd w:val="0"/>
              <w:jc w:val="center"/>
              <w:rPr>
                <w:b/>
                <w:szCs w:val="22"/>
                <w:lang w:val="lt-LT"/>
              </w:rPr>
            </w:pPr>
            <w:r w:rsidRPr="00211E3B">
              <w:rPr>
                <w:b/>
                <w:szCs w:val="22"/>
                <w:lang w:val="lt-LT"/>
              </w:rPr>
              <w:t>INPULSIS</w:t>
            </w:r>
            <w:r w:rsidRPr="00211E3B">
              <w:rPr>
                <w:b/>
                <w:szCs w:val="22"/>
                <w:lang w:val="lt-LT"/>
              </w:rPr>
              <w:noBreakHyphen/>
              <w:t>2</w:t>
            </w:r>
          </w:p>
        </w:tc>
        <w:tc>
          <w:tcPr>
            <w:tcW w:w="1429" w:type="pct"/>
            <w:gridSpan w:val="2"/>
          </w:tcPr>
          <w:p w14:paraId="5E22BFE8" w14:textId="55BCE45A" w:rsidR="00596F47" w:rsidRPr="00211E3B" w:rsidRDefault="00596F47" w:rsidP="00256DA0">
            <w:pPr>
              <w:autoSpaceDE w:val="0"/>
              <w:autoSpaceDN w:val="0"/>
              <w:adjustRightInd w:val="0"/>
              <w:jc w:val="center"/>
              <w:rPr>
                <w:b/>
                <w:szCs w:val="22"/>
                <w:lang w:val="lt-LT"/>
              </w:rPr>
            </w:pPr>
            <w:r w:rsidRPr="00211E3B">
              <w:rPr>
                <w:b/>
                <w:szCs w:val="22"/>
                <w:lang w:val="lt-LT"/>
              </w:rPr>
              <w:t>INPULSIS</w:t>
            </w:r>
            <w:r w:rsidRPr="00211E3B">
              <w:rPr>
                <w:b/>
                <w:szCs w:val="22"/>
                <w:lang w:val="lt-LT"/>
              </w:rPr>
              <w:noBreakHyphen/>
              <w:t>1 ir INPULSIS</w:t>
            </w:r>
            <w:r w:rsidRPr="00211E3B">
              <w:rPr>
                <w:b/>
                <w:szCs w:val="22"/>
                <w:lang w:val="lt-LT"/>
              </w:rPr>
              <w:noBreakHyphen/>
              <w:t>2 apibendrinti duomenys</w:t>
            </w:r>
          </w:p>
        </w:tc>
      </w:tr>
      <w:tr w:rsidR="00596F47" w:rsidRPr="00211E3B" w14:paraId="5D3F279F" w14:textId="77777777" w:rsidTr="00256DA0">
        <w:trPr>
          <w:tblHeader/>
        </w:trPr>
        <w:tc>
          <w:tcPr>
            <w:tcW w:w="714" w:type="pct"/>
          </w:tcPr>
          <w:p w14:paraId="2286811C" w14:textId="77777777" w:rsidR="00596F47" w:rsidRPr="00211E3B" w:rsidRDefault="00596F47" w:rsidP="00256DA0">
            <w:pPr>
              <w:autoSpaceDE w:val="0"/>
              <w:autoSpaceDN w:val="0"/>
              <w:adjustRightInd w:val="0"/>
              <w:rPr>
                <w:szCs w:val="22"/>
                <w:lang w:val="lt-LT"/>
              </w:rPr>
            </w:pPr>
          </w:p>
        </w:tc>
        <w:tc>
          <w:tcPr>
            <w:tcW w:w="714" w:type="pct"/>
          </w:tcPr>
          <w:p w14:paraId="1D13E052" w14:textId="7849D202" w:rsidR="00596F47" w:rsidRPr="00211E3B" w:rsidRDefault="00596F47" w:rsidP="00256DA0">
            <w:pPr>
              <w:autoSpaceDE w:val="0"/>
              <w:autoSpaceDN w:val="0"/>
              <w:adjustRightInd w:val="0"/>
              <w:jc w:val="center"/>
              <w:rPr>
                <w:szCs w:val="22"/>
                <w:lang w:val="lt-LT"/>
              </w:rPr>
            </w:pPr>
            <w:r w:rsidRPr="00211E3B">
              <w:rPr>
                <w:szCs w:val="22"/>
                <w:lang w:val="lt-LT"/>
              </w:rPr>
              <w:t>Placebas</w:t>
            </w:r>
          </w:p>
        </w:tc>
        <w:tc>
          <w:tcPr>
            <w:tcW w:w="714" w:type="pct"/>
          </w:tcPr>
          <w:p w14:paraId="1E9178C4" w14:textId="3AAF6E31" w:rsidR="00596F47" w:rsidRPr="00211E3B" w:rsidRDefault="00596F47" w:rsidP="00256DA0">
            <w:pPr>
              <w:autoSpaceDE w:val="0"/>
              <w:autoSpaceDN w:val="0"/>
              <w:adjustRightInd w:val="0"/>
              <w:jc w:val="center"/>
              <w:rPr>
                <w:szCs w:val="22"/>
                <w:lang w:val="lt-LT"/>
              </w:rPr>
            </w:pPr>
            <w:r w:rsidRPr="00211E3B">
              <w:rPr>
                <w:szCs w:val="22"/>
                <w:lang w:val="lt-LT"/>
              </w:rPr>
              <w:t>Nintedanibas 150</w:t>
            </w:r>
            <w:r w:rsidR="0085390D">
              <w:rPr>
                <w:szCs w:val="22"/>
                <w:lang w:val="lt-LT"/>
              </w:rPr>
              <w:t> mg</w:t>
            </w:r>
            <w:r w:rsidRPr="00211E3B">
              <w:rPr>
                <w:szCs w:val="22"/>
                <w:lang w:val="lt-LT"/>
              </w:rPr>
              <w:t xml:space="preserve"> du kartus per parą</w:t>
            </w:r>
          </w:p>
        </w:tc>
        <w:tc>
          <w:tcPr>
            <w:tcW w:w="714" w:type="pct"/>
          </w:tcPr>
          <w:p w14:paraId="4DD2BBE9" w14:textId="694D290E" w:rsidR="00596F47" w:rsidRPr="00211E3B" w:rsidRDefault="00596F47" w:rsidP="00256DA0">
            <w:pPr>
              <w:autoSpaceDE w:val="0"/>
              <w:autoSpaceDN w:val="0"/>
              <w:adjustRightInd w:val="0"/>
              <w:jc w:val="center"/>
              <w:rPr>
                <w:szCs w:val="22"/>
                <w:lang w:val="lt-LT"/>
              </w:rPr>
            </w:pPr>
            <w:r w:rsidRPr="00211E3B">
              <w:rPr>
                <w:szCs w:val="22"/>
                <w:lang w:val="lt-LT"/>
              </w:rPr>
              <w:t>Placebas</w:t>
            </w:r>
          </w:p>
        </w:tc>
        <w:tc>
          <w:tcPr>
            <w:tcW w:w="715" w:type="pct"/>
          </w:tcPr>
          <w:p w14:paraId="287FC924" w14:textId="1705BAAC" w:rsidR="00596F47" w:rsidRPr="00211E3B" w:rsidRDefault="00596F47" w:rsidP="00256DA0">
            <w:pPr>
              <w:autoSpaceDE w:val="0"/>
              <w:autoSpaceDN w:val="0"/>
              <w:adjustRightInd w:val="0"/>
              <w:jc w:val="center"/>
              <w:rPr>
                <w:szCs w:val="22"/>
                <w:lang w:val="lt-LT"/>
              </w:rPr>
            </w:pPr>
            <w:r w:rsidRPr="00211E3B">
              <w:rPr>
                <w:szCs w:val="22"/>
                <w:lang w:val="lt-LT"/>
              </w:rPr>
              <w:t>Nintedanibas 150</w:t>
            </w:r>
            <w:r w:rsidR="0085390D">
              <w:rPr>
                <w:szCs w:val="22"/>
                <w:lang w:val="lt-LT"/>
              </w:rPr>
              <w:t> mg</w:t>
            </w:r>
            <w:r w:rsidRPr="00211E3B">
              <w:rPr>
                <w:szCs w:val="22"/>
                <w:lang w:val="lt-LT"/>
              </w:rPr>
              <w:t xml:space="preserve"> du kartus per parą</w:t>
            </w:r>
          </w:p>
        </w:tc>
        <w:tc>
          <w:tcPr>
            <w:tcW w:w="715" w:type="pct"/>
          </w:tcPr>
          <w:p w14:paraId="49542858" w14:textId="5FBE0C8F" w:rsidR="00596F47" w:rsidRPr="00211E3B" w:rsidRDefault="00596F47" w:rsidP="00256DA0">
            <w:pPr>
              <w:autoSpaceDE w:val="0"/>
              <w:autoSpaceDN w:val="0"/>
              <w:adjustRightInd w:val="0"/>
              <w:jc w:val="center"/>
              <w:rPr>
                <w:szCs w:val="22"/>
                <w:lang w:val="lt-LT"/>
              </w:rPr>
            </w:pPr>
            <w:r w:rsidRPr="00211E3B">
              <w:rPr>
                <w:szCs w:val="22"/>
                <w:lang w:val="lt-LT"/>
              </w:rPr>
              <w:t>Placebas</w:t>
            </w:r>
          </w:p>
        </w:tc>
        <w:tc>
          <w:tcPr>
            <w:tcW w:w="714" w:type="pct"/>
          </w:tcPr>
          <w:p w14:paraId="3C9C8FA3" w14:textId="43401F0A" w:rsidR="00596F47" w:rsidRPr="00211E3B" w:rsidRDefault="00596F47" w:rsidP="00256DA0">
            <w:pPr>
              <w:autoSpaceDE w:val="0"/>
              <w:autoSpaceDN w:val="0"/>
              <w:adjustRightInd w:val="0"/>
              <w:jc w:val="center"/>
              <w:rPr>
                <w:szCs w:val="22"/>
                <w:lang w:val="lt-LT"/>
              </w:rPr>
            </w:pPr>
            <w:r w:rsidRPr="00211E3B">
              <w:rPr>
                <w:szCs w:val="22"/>
                <w:lang w:val="lt-LT"/>
              </w:rPr>
              <w:t>Nintedanibas 150</w:t>
            </w:r>
            <w:r w:rsidR="0085390D">
              <w:rPr>
                <w:szCs w:val="22"/>
                <w:lang w:val="lt-LT"/>
              </w:rPr>
              <w:t> mg</w:t>
            </w:r>
            <w:r w:rsidRPr="00211E3B">
              <w:rPr>
                <w:szCs w:val="22"/>
                <w:lang w:val="lt-LT"/>
              </w:rPr>
              <w:t xml:space="preserve"> du kartus per parą</w:t>
            </w:r>
          </w:p>
        </w:tc>
      </w:tr>
      <w:tr w:rsidR="00596F47" w:rsidRPr="00211E3B" w14:paraId="636344F6" w14:textId="77777777" w:rsidTr="00256DA0">
        <w:tc>
          <w:tcPr>
            <w:tcW w:w="714" w:type="pct"/>
          </w:tcPr>
          <w:p w14:paraId="5ADFDC92" w14:textId="0B01550F" w:rsidR="00596F47" w:rsidRPr="00211E3B" w:rsidRDefault="00596F47" w:rsidP="00596F47">
            <w:pPr>
              <w:autoSpaceDE w:val="0"/>
              <w:autoSpaceDN w:val="0"/>
              <w:adjustRightInd w:val="0"/>
              <w:rPr>
                <w:szCs w:val="22"/>
                <w:lang w:val="lt-LT"/>
              </w:rPr>
            </w:pPr>
            <w:r w:rsidRPr="00211E3B">
              <w:rPr>
                <w:szCs w:val="22"/>
                <w:lang w:val="lt-LT"/>
              </w:rPr>
              <w:t>Analizuotų pacientų skaičius</w:t>
            </w:r>
          </w:p>
        </w:tc>
        <w:tc>
          <w:tcPr>
            <w:tcW w:w="714" w:type="pct"/>
            <w:vAlign w:val="bottom"/>
          </w:tcPr>
          <w:p w14:paraId="591DB6C3" w14:textId="77777777" w:rsidR="00596F47" w:rsidRPr="00211E3B" w:rsidRDefault="00596F47" w:rsidP="00256DA0">
            <w:pPr>
              <w:autoSpaceDE w:val="0"/>
              <w:autoSpaceDN w:val="0"/>
              <w:adjustRightInd w:val="0"/>
              <w:jc w:val="center"/>
              <w:rPr>
                <w:szCs w:val="22"/>
                <w:lang w:val="lt-LT"/>
              </w:rPr>
            </w:pPr>
            <w:r w:rsidRPr="00211E3B">
              <w:rPr>
                <w:szCs w:val="22"/>
                <w:lang w:val="lt-LT"/>
              </w:rPr>
              <w:t>204</w:t>
            </w:r>
          </w:p>
        </w:tc>
        <w:tc>
          <w:tcPr>
            <w:tcW w:w="714" w:type="pct"/>
            <w:vAlign w:val="bottom"/>
          </w:tcPr>
          <w:p w14:paraId="63F93BFE" w14:textId="77777777" w:rsidR="00596F47" w:rsidRPr="00211E3B" w:rsidRDefault="00596F47" w:rsidP="00256DA0">
            <w:pPr>
              <w:autoSpaceDE w:val="0"/>
              <w:autoSpaceDN w:val="0"/>
              <w:adjustRightInd w:val="0"/>
              <w:jc w:val="center"/>
              <w:rPr>
                <w:szCs w:val="22"/>
                <w:lang w:val="lt-LT"/>
              </w:rPr>
            </w:pPr>
            <w:r w:rsidRPr="00211E3B">
              <w:rPr>
                <w:szCs w:val="22"/>
                <w:lang w:val="lt-LT"/>
              </w:rPr>
              <w:t>309</w:t>
            </w:r>
          </w:p>
        </w:tc>
        <w:tc>
          <w:tcPr>
            <w:tcW w:w="714" w:type="pct"/>
            <w:vAlign w:val="bottom"/>
          </w:tcPr>
          <w:p w14:paraId="6B7F615A" w14:textId="77777777" w:rsidR="00596F47" w:rsidRPr="00211E3B" w:rsidRDefault="00596F47" w:rsidP="00256DA0">
            <w:pPr>
              <w:autoSpaceDE w:val="0"/>
              <w:autoSpaceDN w:val="0"/>
              <w:adjustRightInd w:val="0"/>
              <w:jc w:val="center"/>
              <w:rPr>
                <w:szCs w:val="22"/>
                <w:lang w:val="lt-LT"/>
              </w:rPr>
            </w:pPr>
            <w:r w:rsidRPr="00211E3B">
              <w:rPr>
                <w:szCs w:val="22"/>
                <w:lang w:val="lt-LT"/>
              </w:rPr>
              <w:t>219</w:t>
            </w:r>
          </w:p>
        </w:tc>
        <w:tc>
          <w:tcPr>
            <w:tcW w:w="715" w:type="pct"/>
            <w:vAlign w:val="bottom"/>
          </w:tcPr>
          <w:p w14:paraId="10C6B0FC" w14:textId="77777777" w:rsidR="00596F47" w:rsidRPr="00211E3B" w:rsidRDefault="00596F47" w:rsidP="00256DA0">
            <w:pPr>
              <w:autoSpaceDE w:val="0"/>
              <w:autoSpaceDN w:val="0"/>
              <w:adjustRightInd w:val="0"/>
              <w:jc w:val="center"/>
              <w:rPr>
                <w:szCs w:val="22"/>
                <w:lang w:val="lt-LT"/>
              </w:rPr>
            </w:pPr>
            <w:r w:rsidRPr="00211E3B">
              <w:rPr>
                <w:szCs w:val="22"/>
                <w:lang w:val="lt-LT"/>
              </w:rPr>
              <w:t>329</w:t>
            </w:r>
          </w:p>
        </w:tc>
        <w:tc>
          <w:tcPr>
            <w:tcW w:w="715" w:type="pct"/>
            <w:vAlign w:val="bottom"/>
          </w:tcPr>
          <w:p w14:paraId="31806D9E" w14:textId="77777777" w:rsidR="00596F47" w:rsidRPr="00211E3B" w:rsidRDefault="00596F47" w:rsidP="00256DA0">
            <w:pPr>
              <w:autoSpaceDE w:val="0"/>
              <w:autoSpaceDN w:val="0"/>
              <w:adjustRightInd w:val="0"/>
              <w:jc w:val="center"/>
              <w:rPr>
                <w:szCs w:val="22"/>
                <w:lang w:val="lt-LT"/>
              </w:rPr>
            </w:pPr>
            <w:r w:rsidRPr="00211E3B">
              <w:rPr>
                <w:szCs w:val="22"/>
                <w:lang w:val="lt-LT"/>
              </w:rPr>
              <w:t>423</w:t>
            </w:r>
          </w:p>
        </w:tc>
        <w:tc>
          <w:tcPr>
            <w:tcW w:w="714" w:type="pct"/>
            <w:vAlign w:val="bottom"/>
          </w:tcPr>
          <w:p w14:paraId="26FA1779" w14:textId="77777777" w:rsidR="00596F47" w:rsidRPr="00211E3B" w:rsidRDefault="00596F47" w:rsidP="00256DA0">
            <w:pPr>
              <w:autoSpaceDE w:val="0"/>
              <w:autoSpaceDN w:val="0"/>
              <w:adjustRightInd w:val="0"/>
              <w:jc w:val="center"/>
              <w:rPr>
                <w:szCs w:val="22"/>
                <w:lang w:val="lt-LT"/>
              </w:rPr>
            </w:pPr>
            <w:r w:rsidRPr="00211E3B">
              <w:rPr>
                <w:szCs w:val="22"/>
                <w:lang w:val="lt-LT"/>
              </w:rPr>
              <w:t>638</w:t>
            </w:r>
          </w:p>
        </w:tc>
      </w:tr>
      <w:tr w:rsidR="00596F47" w:rsidRPr="00211E3B" w14:paraId="2AE7E6C7" w14:textId="77777777" w:rsidTr="00256DA0">
        <w:tc>
          <w:tcPr>
            <w:tcW w:w="714" w:type="pct"/>
          </w:tcPr>
          <w:p w14:paraId="7259808F" w14:textId="0772F927" w:rsidR="00596F47" w:rsidRPr="00211E3B" w:rsidRDefault="00596F47" w:rsidP="00596F47">
            <w:pPr>
              <w:autoSpaceDE w:val="0"/>
              <w:autoSpaceDN w:val="0"/>
              <w:adjustRightInd w:val="0"/>
              <w:rPr>
                <w:szCs w:val="22"/>
                <w:lang w:val="lt-LT"/>
              </w:rPr>
            </w:pPr>
            <w:r w:rsidRPr="00211E3B">
              <w:rPr>
                <w:szCs w:val="22"/>
                <w:lang w:val="lt-LT"/>
              </w:rPr>
              <w:t xml:space="preserve">Sumažėjimo per </w:t>
            </w:r>
            <w:r w:rsidR="00D7087C" w:rsidRPr="00211E3B">
              <w:rPr>
                <w:szCs w:val="22"/>
                <w:lang w:val="lt-LT"/>
              </w:rPr>
              <w:t>52 s</w:t>
            </w:r>
            <w:r w:rsidRPr="00211E3B">
              <w:rPr>
                <w:szCs w:val="22"/>
                <w:lang w:val="lt-LT"/>
              </w:rPr>
              <w:t>avaites rodmuo</w:t>
            </w:r>
            <w:r w:rsidRPr="00211E3B">
              <w:rPr>
                <w:szCs w:val="22"/>
                <w:vertAlign w:val="superscript"/>
                <w:lang w:val="lt-LT"/>
              </w:rPr>
              <w:t>1</w:t>
            </w:r>
            <w:r w:rsidRPr="00211E3B">
              <w:rPr>
                <w:szCs w:val="22"/>
                <w:lang w:val="lt-LT"/>
              </w:rPr>
              <w:t xml:space="preserve"> (</w:t>
            </w:r>
            <w:r w:rsidR="00FF54A6" w:rsidRPr="00FF54A6">
              <w:rPr>
                <w:szCs w:val="22"/>
                <w:lang w:val="lt-LT"/>
              </w:rPr>
              <w:t xml:space="preserve">standartinė paklaida (angl. </w:t>
            </w:r>
            <w:r w:rsidR="00FF54A6" w:rsidRPr="0081504F">
              <w:rPr>
                <w:i/>
                <w:szCs w:val="22"/>
              </w:rPr>
              <w:t>standard error</w:t>
            </w:r>
            <w:r w:rsidR="00FF54A6" w:rsidRPr="00FF54A6">
              <w:rPr>
                <w:szCs w:val="22"/>
                <w:lang w:val="lt-LT"/>
              </w:rPr>
              <w:t xml:space="preserve">,) </w:t>
            </w:r>
            <w:r w:rsidRPr="00211E3B">
              <w:rPr>
                <w:szCs w:val="22"/>
                <w:lang w:val="lt-LT"/>
              </w:rPr>
              <w:t>SP)</w:t>
            </w:r>
          </w:p>
        </w:tc>
        <w:tc>
          <w:tcPr>
            <w:tcW w:w="714" w:type="pct"/>
            <w:vAlign w:val="bottom"/>
          </w:tcPr>
          <w:p w14:paraId="6EA5DD11" w14:textId="3D47C4E2" w:rsidR="00596F47" w:rsidRPr="00211E3B" w:rsidRDefault="00596F47" w:rsidP="00256DA0">
            <w:pPr>
              <w:autoSpaceDE w:val="0"/>
              <w:autoSpaceDN w:val="0"/>
              <w:adjustRightInd w:val="0"/>
              <w:jc w:val="center"/>
              <w:rPr>
                <w:szCs w:val="22"/>
                <w:lang w:val="lt-LT"/>
              </w:rPr>
            </w:pPr>
            <w:r w:rsidRPr="00211E3B">
              <w:rPr>
                <w:szCs w:val="22"/>
                <w:lang w:val="lt-LT"/>
              </w:rPr>
              <w:t>−239,9</w:t>
            </w:r>
          </w:p>
          <w:p w14:paraId="6C1EBD66" w14:textId="3E663979" w:rsidR="00596F47" w:rsidRPr="00211E3B" w:rsidRDefault="00596F47" w:rsidP="00256DA0">
            <w:pPr>
              <w:autoSpaceDE w:val="0"/>
              <w:autoSpaceDN w:val="0"/>
              <w:adjustRightInd w:val="0"/>
              <w:jc w:val="center"/>
              <w:rPr>
                <w:szCs w:val="22"/>
                <w:lang w:val="lt-LT"/>
              </w:rPr>
            </w:pPr>
            <w:r w:rsidRPr="00211E3B">
              <w:rPr>
                <w:szCs w:val="22"/>
                <w:lang w:val="lt-LT"/>
              </w:rPr>
              <w:t>(18,71)</w:t>
            </w:r>
          </w:p>
        </w:tc>
        <w:tc>
          <w:tcPr>
            <w:tcW w:w="714" w:type="pct"/>
            <w:vAlign w:val="bottom"/>
          </w:tcPr>
          <w:p w14:paraId="7254E55E" w14:textId="0DF1DDAB" w:rsidR="00596F47" w:rsidRPr="00211E3B" w:rsidRDefault="00596F47" w:rsidP="00256DA0">
            <w:pPr>
              <w:autoSpaceDE w:val="0"/>
              <w:autoSpaceDN w:val="0"/>
              <w:adjustRightInd w:val="0"/>
              <w:jc w:val="center"/>
              <w:rPr>
                <w:szCs w:val="22"/>
                <w:lang w:val="lt-LT"/>
              </w:rPr>
            </w:pPr>
            <w:r w:rsidRPr="00211E3B">
              <w:rPr>
                <w:szCs w:val="22"/>
                <w:lang w:val="lt-LT"/>
              </w:rPr>
              <w:t>−114,7</w:t>
            </w:r>
          </w:p>
          <w:p w14:paraId="3DF035F8" w14:textId="12038222" w:rsidR="00596F47" w:rsidRPr="00211E3B" w:rsidRDefault="00596F47" w:rsidP="00256DA0">
            <w:pPr>
              <w:autoSpaceDE w:val="0"/>
              <w:autoSpaceDN w:val="0"/>
              <w:adjustRightInd w:val="0"/>
              <w:jc w:val="center"/>
              <w:rPr>
                <w:szCs w:val="22"/>
                <w:lang w:val="lt-LT"/>
              </w:rPr>
            </w:pPr>
            <w:r w:rsidRPr="00211E3B">
              <w:rPr>
                <w:szCs w:val="22"/>
                <w:lang w:val="lt-LT"/>
              </w:rPr>
              <w:t>(15,33)</w:t>
            </w:r>
          </w:p>
        </w:tc>
        <w:tc>
          <w:tcPr>
            <w:tcW w:w="714" w:type="pct"/>
            <w:vAlign w:val="bottom"/>
          </w:tcPr>
          <w:p w14:paraId="43533772" w14:textId="4D837311" w:rsidR="00596F47" w:rsidRPr="00211E3B" w:rsidRDefault="00596F47" w:rsidP="00256DA0">
            <w:pPr>
              <w:autoSpaceDE w:val="0"/>
              <w:autoSpaceDN w:val="0"/>
              <w:adjustRightInd w:val="0"/>
              <w:jc w:val="center"/>
              <w:rPr>
                <w:szCs w:val="22"/>
                <w:lang w:val="lt-LT"/>
              </w:rPr>
            </w:pPr>
            <w:r w:rsidRPr="00211E3B">
              <w:rPr>
                <w:szCs w:val="22"/>
                <w:lang w:val="lt-LT"/>
              </w:rPr>
              <w:t>−207,3</w:t>
            </w:r>
          </w:p>
          <w:p w14:paraId="6A82EDC6" w14:textId="706F66E5" w:rsidR="00596F47" w:rsidRPr="00211E3B" w:rsidRDefault="00596F47" w:rsidP="00256DA0">
            <w:pPr>
              <w:autoSpaceDE w:val="0"/>
              <w:autoSpaceDN w:val="0"/>
              <w:adjustRightInd w:val="0"/>
              <w:jc w:val="center"/>
              <w:rPr>
                <w:szCs w:val="22"/>
                <w:lang w:val="lt-LT"/>
              </w:rPr>
            </w:pPr>
            <w:r w:rsidRPr="00211E3B">
              <w:rPr>
                <w:szCs w:val="22"/>
                <w:lang w:val="lt-LT"/>
              </w:rPr>
              <w:t>(19,31)</w:t>
            </w:r>
          </w:p>
        </w:tc>
        <w:tc>
          <w:tcPr>
            <w:tcW w:w="715" w:type="pct"/>
            <w:vAlign w:val="bottom"/>
          </w:tcPr>
          <w:p w14:paraId="3BE8AB35" w14:textId="1F6E0A95" w:rsidR="00596F47" w:rsidRPr="00211E3B" w:rsidRDefault="00596F47" w:rsidP="00256DA0">
            <w:pPr>
              <w:autoSpaceDE w:val="0"/>
              <w:autoSpaceDN w:val="0"/>
              <w:adjustRightInd w:val="0"/>
              <w:jc w:val="center"/>
              <w:rPr>
                <w:szCs w:val="22"/>
                <w:lang w:val="lt-LT"/>
              </w:rPr>
            </w:pPr>
            <w:r w:rsidRPr="00211E3B">
              <w:rPr>
                <w:szCs w:val="22"/>
                <w:lang w:val="lt-LT"/>
              </w:rPr>
              <w:t>−113,6</w:t>
            </w:r>
          </w:p>
          <w:p w14:paraId="67FCE7C5" w14:textId="0B16EC54" w:rsidR="00596F47" w:rsidRPr="00211E3B" w:rsidRDefault="00596F47" w:rsidP="00256DA0">
            <w:pPr>
              <w:autoSpaceDE w:val="0"/>
              <w:autoSpaceDN w:val="0"/>
              <w:adjustRightInd w:val="0"/>
              <w:jc w:val="center"/>
              <w:rPr>
                <w:szCs w:val="22"/>
                <w:lang w:val="lt-LT"/>
              </w:rPr>
            </w:pPr>
            <w:r w:rsidRPr="00211E3B">
              <w:rPr>
                <w:szCs w:val="22"/>
                <w:lang w:val="lt-LT"/>
              </w:rPr>
              <w:t>(15,73)</w:t>
            </w:r>
          </w:p>
        </w:tc>
        <w:tc>
          <w:tcPr>
            <w:tcW w:w="715" w:type="pct"/>
            <w:vAlign w:val="bottom"/>
          </w:tcPr>
          <w:p w14:paraId="6C545066" w14:textId="6A25EAED" w:rsidR="00596F47" w:rsidRPr="00211E3B" w:rsidRDefault="00596F47" w:rsidP="00256DA0">
            <w:pPr>
              <w:autoSpaceDE w:val="0"/>
              <w:autoSpaceDN w:val="0"/>
              <w:adjustRightInd w:val="0"/>
              <w:jc w:val="center"/>
              <w:rPr>
                <w:szCs w:val="22"/>
                <w:lang w:val="lt-LT"/>
              </w:rPr>
            </w:pPr>
            <w:r w:rsidRPr="00211E3B">
              <w:rPr>
                <w:szCs w:val="22"/>
                <w:lang w:val="lt-LT"/>
              </w:rPr>
              <w:t>−223,5</w:t>
            </w:r>
          </w:p>
          <w:p w14:paraId="799D3F1B" w14:textId="16FA3623" w:rsidR="00596F47" w:rsidRPr="00211E3B" w:rsidRDefault="00596F47" w:rsidP="00256DA0">
            <w:pPr>
              <w:autoSpaceDE w:val="0"/>
              <w:autoSpaceDN w:val="0"/>
              <w:adjustRightInd w:val="0"/>
              <w:jc w:val="center"/>
              <w:rPr>
                <w:szCs w:val="22"/>
                <w:lang w:val="lt-LT"/>
              </w:rPr>
            </w:pPr>
            <w:r w:rsidRPr="00211E3B">
              <w:rPr>
                <w:szCs w:val="22"/>
                <w:lang w:val="lt-LT"/>
              </w:rPr>
              <w:t>(13,45)</w:t>
            </w:r>
          </w:p>
        </w:tc>
        <w:tc>
          <w:tcPr>
            <w:tcW w:w="714" w:type="pct"/>
            <w:vAlign w:val="bottom"/>
          </w:tcPr>
          <w:p w14:paraId="208AD7EF" w14:textId="28813D5B" w:rsidR="00596F47" w:rsidRPr="00211E3B" w:rsidRDefault="00596F47" w:rsidP="00256DA0">
            <w:pPr>
              <w:autoSpaceDE w:val="0"/>
              <w:autoSpaceDN w:val="0"/>
              <w:adjustRightInd w:val="0"/>
              <w:jc w:val="center"/>
              <w:rPr>
                <w:szCs w:val="22"/>
                <w:lang w:val="lt-LT"/>
              </w:rPr>
            </w:pPr>
            <w:r w:rsidRPr="00211E3B">
              <w:rPr>
                <w:szCs w:val="22"/>
                <w:lang w:val="lt-LT"/>
              </w:rPr>
              <w:t>−113,6</w:t>
            </w:r>
          </w:p>
          <w:p w14:paraId="098ABFAC" w14:textId="182EEE7A" w:rsidR="00596F47" w:rsidRPr="00211E3B" w:rsidRDefault="00596F47" w:rsidP="00256DA0">
            <w:pPr>
              <w:autoSpaceDE w:val="0"/>
              <w:autoSpaceDN w:val="0"/>
              <w:adjustRightInd w:val="0"/>
              <w:jc w:val="center"/>
              <w:rPr>
                <w:szCs w:val="22"/>
                <w:lang w:val="lt-LT"/>
              </w:rPr>
            </w:pPr>
            <w:r w:rsidRPr="00211E3B">
              <w:rPr>
                <w:szCs w:val="22"/>
                <w:lang w:val="lt-LT"/>
              </w:rPr>
              <w:t>(10,98)</w:t>
            </w:r>
          </w:p>
        </w:tc>
      </w:tr>
      <w:tr w:rsidR="00596F47" w:rsidRPr="00211E3B" w14:paraId="4B94D7B3" w14:textId="77777777" w:rsidTr="00256DA0">
        <w:tc>
          <w:tcPr>
            <w:tcW w:w="5000" w:type="pct"/>
            <w:gridSpan w:val="7"/>
          </w:tcPr>
          <w:p w14:paraId="1D8D2A1A" w14:textId="30557EA0" w:rsidR="00596F47" w:rsidRPr="00211E3B" w:rsidRDefault="00596F47" w:rsidP="00256DA0">
            <w:pPr>
              <w:autoSpaceDE w:val="0"/>
              <w:autoSpaceDN w:val="0"/>
              <w:adjustRightInd w:val="0"/>
              <w:rPr>
                <w:szCs w:val="22"/>
                <w:lang w:val="lt-LT"/>
              </w:rPr>
            </w:pPr>
            <w:r w:rsidRPr="00211E3B">
              <w:rPr>
                <w:szCs w:val="22"/>
                <w:lang w:val="lt-LT"/>
              </w:rPr>
              <w:t>Palyginimas su placebu</w:t>
            </w:r>
          </w:p>
        </w:tc>
      </w:tr>
      <w:tr w:rsidR="00596F47" w:rsidRPr="00211E3B" w14:paraId="2E71D0E9" w14:textId="77777777" w:rsidTr="00256DA0">
        <w:tc>
          <w:tcPr>
            <w:tcW w:w="714" w:type="pct"/>
          </w:tcPr>
          <w:p w14:paraId="2823C6F8" w14:textId="4450A8E5" w:rsidR="00596F47" w:rsidRPr="00211E3B" w:rsidRDefault="00596F47" w:rsidP="00256DA0">
            <w:pPr>
              <w:autoSpaceDE w:val="0"/>
              <w:autoSpaceDN w:val="0"/>
              <w:adjustRightInd w:val="0"/>
              <w:rPr>
                <w:szCs w:val="22"/>
                <w:lang w:val="lt-LT"/>
              </w:rPr>
            </w:pPr>
            <w:r w:rsidRPr="00211E3B">
              <w:rPr>
                <w:szCs w:val="22"/>
                <w:lang w:val="lt-LT"/>
              </w:rPr>
              <w:t>Skirtumas</w:t>
            </w:r>
            <w:r w:rsidRPr="00211E3B">
              <w:rPr>
                <w:szCs w:val="22"/>
                <w:vertAlign w:val="superscript"/>
                <w:lang w:val="lt-LT"/>
              </w:rPr>
              <w:t>1</w:t>
            </w:r>
          </w:p>
        </w:tc>
        <w:tc>
          <w:tcPr>
            <w:tcW w:w="714" w:type="pct"/>
          </w:tcPr>
          <w:p w14:paraId="7F94E2DE" w14:textId="77777777" w:rsidR="00596F47" w:rsidRPr="00211E3B" w:rsidRDefault="00596F47" w:rsidP="00256DA0">
            <w:pPr>
              <w:autoSpaceDE w:val="0"/>
              <w:autoSpaceDN w:val="0"/>
              <w:adjustRightInd w:val="0"/>
              <w:rPr>
                <w:szCs w:val="22"/>
                <w:lang w:val="lt-LT"/>
              </w:rPr>
            </w:pPr>
          </w:p>
        </w:tc>
        <w:tc>
          <w:tcPr>
            <w:tcW w:w="714" w:type="pct"/>
            <w:vAlign w:val="center"/>
          </w:tcPr>
          <w:p w14:paraId="0DD0697E" w14:textId="4576A2AD" w:rsidR="00596F47" w:rsidRPr="00211E3B" w:rsidRDefault="00596F47" w:rsidP="00256DA0">
            <w:pPr>
              <w:autoSpaceDE w:val="0"/>
              <w:autoSpaceDN w:val="0"/>
              <w:adjustRightInd w:val="0"/>
              <w:jc w:val="center"/>
              <w:rPr>
                <w:szCs w:val="22"/>
                <w:lang w:val="lt-LT"/>
              </w:rPr>
            </w:pPr>
            <w:r w:rsidRPr="00211E3B">
              <w:rPr>
                <w:szCs w:val="22"/>
                <w:lang w:val="lt-LT"/>
              </w:rPr>
              <w:t>125,3</w:t>
            </w:r>
          </w:p>
        </w:tc>
        <w:tc>
          <w:tcPr>
            <w:tcW w:w="714" w:type="pct"/>
            <w:vAlign w:val="center"/>
          </w:tcPr>
          <w:p w14:paraId="0F6BD095" w14:textId="77777777" w:rsidR="00596F47" w:rsidRPr="00211E3B" w:rsidRDefault="00596F47" w:rsidP="00256DA0">
            <w:pPr>
              <w:autoSpaceDE w:val="0"/>
              <w:autoSpaceDN w:val="0"/>
              <w:adjustRightInd w:val="0"/>
              <w:jc w:val="center"/>
              <w:rPr>
                <w:szCs w:val="22"/>
                <w:lang w:val="lt-LT"/>
              </w:rPr>
            </w:pPr>
          </w:p>
        </w:tc>
        <w:tc>
          <w:tcPr>
            <w:tcW w:w="715" w:type="pct"/>
            <w:vAlign w:val="center"/>
          </w:tcPr>
          <w:p w14:paraId="362D9462" w14:textId="37F2EB04" w:rsidR="00596F47" w:rsidRPr="00211E3B" w:rsidRDefault="00596F47" w:rsidP="00256DA0">
            <w:pPr>
              <w:autoSpaceDE w:val="0"/>
              <w:autoSpaceDN w:val="0"/>
              <w:adjustRightInd w:val="0"/>
              <w:jc w:val="center"/>
              <w:rPr>
                <w:szCs w:val="22"/>
                <w:lang w:val="lt-LT"/>
              </w:rPr>
            </w:pPr>
            <w:r w:rsidRPr="00211E3B">
              <w:rPr>
                <w:szCs w:val="22"/>
                <w:lang w:val="lt-LT"/>
              </w:rPr>
              <w:t>93,7</w:t>
            </w:r>
          </w:p>
        </w:tc>
        <w:tc>
          <w:tcPr>
            <w:tcW w:w="715" w:type="pct"/>
            <w:vAlign w:val="center"/>
          </w:tcPr>
          <w:p w14:paraId="0DA24C8B" w14:textId="77777777" w:rsidR="00596F47" w:rsidRPr="00211E3B" w:rsidRDefault="00596F47" w:rsidP="00256DA0">
            <w:pPr>
              <w:autoSpaceDE w:val="0"/>
              <w:autoSpaceDN w:val="0"/>
              <w:adjustRightInd w:val="0"/>
              <w:jc w:val="center"/>
              <w:rPr>
                <w:szCs w:val="22"/>
                <w:lang w:val="lt-LT"/>
              </w:rPr>
            </w:pPr>
          </w:p>
        </w:tc>
        <w:tc>
          <w:tcPr>
            <w:tcW w:w="714" w:type="pct"/>
            <w:vAlign w:val="center"/>
          </w:tcPr>
          <w:p w14:paraId="265F3B47" w14:textId="0577B941" w:rsidR="00596F47" w:rsidRPr="00211E3B" w:rsidRDefault="00596F47" w:rsidP="00256DA0">
            <w:pPr>
              <w:autoSpaceDE w:val="0"/>
              <w:autoSpaceDN w:val="0"/>
              <w:adjustRightInd w:val="0"/>
              <w:jc w:val="center"/>
              <w:rPr>
                <w:szCs w:val="22"/>
                <w:lang w:val="lt-LT"/>
              </w:rPr>
            </w:pPr>
            <w:r w:rsidRPr="00211E3B">
              <w:rPr>
                <w:szCs w:val="22"/>
                <w:lang w:val="lt-LT"/>
              </w:rPr>
              <w:t>109,9</w:t>
            </w:r>
          </w:p>
        </w:tc>
      </w:tr>
      <w:tr w:rsidR="00596F47" w:rsidRPr="00211E3B" w14:paraId="681FE560" w14:textId="77777777" w:rsidTr="00256DA0">
        <w:tc>
          <w:tcPr>
            <w:tcW w:w="714" w:type="pct"/>
          </w:tcPr>
          <w:p w14:paraId="5F68445F" w14:textId="1E9D653F" w:rsidR="00596F47" w:rsidRPr="00211E3B" w:rsidRDefault="00596F47" w:rsidP="00256DA0">
            <w:pPr>
              <w:autoSpaceDE w:val="0"/>
              <w:autoSpaceDN w:val="0"/>
              <w:adjustRightInd w:val="0"/>
              <w:rPr>
                <w:szCs w:val="22"/>
                <w:lang w:val="lt-LT"/>
              </w:rPr>
            </w:pPr>
            <w:r w:rsidRPr="00211E3B">
              <w:rPr>
                <w:szCs w:val="22"/>
                <w:lang w:val="lt-LT"/>
              </w:rPr>
              <w:t>95</w:t>
            </w:r>
            <w:r w:rsidR="0085390D">
              <w:rPr>
                <w:szCs w:val="22"/>
                <w:lang w:val="lt-LT"/>
              </w:rPr>
              <w:t xml:space="preserve"> %</w:t>
            </w:r>
            <w:r w:rsidRPr="00211E3B">
              <w:rPr>
                <w:szCs w:val="22"/>
                <w:lang w:val="lt-LT"/>
              </w:rPr>
              <w:t> PI</w:t>
            </w:r>
          </w:p>
        </w:tc>
        <w:tc>
          <w:tcPr>
            <w:tcW w:w="714" w:type="pct"/>
          </w:tcPr>
          <w:p w14:paraId="3E13E686" w14:textId="77777777" w:rsidR="00596F47" w:rsidRPr="00211E3B" w:rsidRDefault="00596F47" w:rsidP="00256DA0">
            <w:pPr>
              <w:autoSpaceDE w:val="0"/>
              <w:autoSpaceDN w:val="0"/>
              <w:adjustRightInd w:val="0"/>
              <w:rPr>
                <w:szCs w:val="22"/>
                <w:lang w:val="lt-LT"/>
              </w:rPr>
            </w:pPr>
          </w:p>
        </w:tc>
        <w:tc>
          <w:tcPr>
            <w:tcW w:w="714" w:type="pct"/>
            <w:vAlign w:val="center"/>
          </w:tcPr>
          <w:p w14:paraId="1C7F7FBE" w14:textId="7BAC9C5F" w:rsidR="00596F47" w:rsidRPr="00211E3B" w:rsidRDefault="00596F47" w:rsidP="00256DA0">
            <w:pPr>
              <w:autoSpaceDE w:val="0"/>
              <w:autoSpaceDN w:val="0"/>
              <w:adjustRightInd w:val="0"/>
              <w:jc w:val="center"/>
              <w:rPr>
                <w:szCs w:val="22"/>
                <w:lang w:val="lt-LT"/>
              </w:rPr>
            </w:pPr>
            <w:r w:rsidRPr="00211E3B">
              <w:rPr>
                <w:szCs w:val="22"/>
                <w:lang w:val="lt-LT"/>
              </w:rPr>
              <w:t>(77,7,</w:t>
            </w:r>
          </w:p>
          <w:p w14:paraId="6254666D" w14:textId="6A4061E7" w:rsidR="00596F47" w:rsidRPr="00211E3B" w:rsidRDefault="00596F47" w:rsidP="00256DA0">
            <w:pPr>
              <w:autoSpaceDE w:val="0"/>
              <w:autoSpaceDN w:val="0"/>
              <w:adjustRightInd w:val="0"/>
              <w:jc w:val="center"/>
              <w:rPr>
                <w:szCs w:val="22"/>
                <w:lang w:val="lt-LT"/>
              </w:rPr>
            </w:pPr>
            <w:r w:rsidRPr="00211E3B">
              <w:rPr>
                <w:szCs w:val="22"/>
                <w:lang w:val="lt-LT"/>
              </w:rPr>
              <w:t>172,8)</w:t>
            </w:r>
          </w:p>
        </w:tc>
        <w:tc>
          <w:tcPr>
            <w:tcW w:w="714" w:type="pct"/>
            <w:vAlign w:val="center"/>
          </w:tcPr>
          <w:p w14:paraId="5AEA4B99" w14:textId="77777777" w:rsidR="00596F47" w:rsidRPr="00211E3B" w:rsidRDefault="00596F47" w:rsidP="00256DA0">
            <w:pPr>
              <w:autoSpaceDE w:val="0"/>
              <w:autoSpaceDN w:val="0"/>
              <w:adjustRightInd w:val="0"/>
              <w:jc w:val="center"/>
              <w:rPr>
                <w:szCs w:val="22"/>
                <w:lang w:val="lt-LT"/>
              </w:rPr>
            </w:pPr>
          </w:p>
        </w:tc>
        <w:tc>
          <w:tcPr>
            <w:tcW w:w="715" w:type="pct"/>
            <w:vAlign w:val="center"/>
          </w:tcPr>
          <w:p w14:paraId="69630AEA" w14:textId="5B241DAC" w:rsidR="00596F47" w:rsidRPr="00211E3B" w:rsidRDefault="00596F47" w:rsidP="00256DA0">
            <w:pPr>
              <w:autoSpaceDE w:val="0"/>
              <w:autoSpaceDN w:val="0"/>
              <w:adjustRightInd w:val="0"/>
              <w:jc w:val="center"/>
              <w:rPr>
                <w:szCs w:val="22"/>
                <w:lang w:val="lt-LT"/>
              </w:rPr>
            </w:pPr>
            <w:r w:rsidRPr="00211E3B">
              <w:rPr>
                <w:szCs w:val="22"/>
                <w:lang w:val="lt-LT"/>
              </w:rPr>
              <w:t>(44,8,</w:t>
            </w:r>
          </w:p>
          <w:p w14:paraId="17A6A726" w14:textId="114BB3D1" w:rsidR="00596F47" w:rsidRPr="00211E3B" w:rsidRDefault="00596F47" w:rsidP="00256DA0">
            <w:pPr>
              <w:autoSpaceDE w:val="0"/>
              <w:autoSpaceDN w:val="0"/>
              <w:adjustRightInd w:val="0"/>
              <w:jc w:val="center"/>
              <w:rPr>
                <w:szCs w:val="22"/>
                <w:lang w:val="lt-LT"/>
              </w:rPr>
            </w:pPr>
            <w:r w:rsidRPr="00211E3B">
              <w:rPr>
                <w:szCs w:val="22"/>
                <w:lang w:val="lt-LT"/>
              </w:rPr>
              <w:t>142,7)</w:t>
            </w:r>
          </w:p>
        </w:tc>
        <w:tc>
          <w:tcPr>
            <w:tcW w:w="715" w:type="pct"/>
            <w:vAlign w:val="center"/>
          </w:tcPr>
          <w:p w14:paraId="6F67251C" w14:textId="77777777" w:rsidR="00596F47" w:rsidRPr="00211E3B" w:rsidRDefault="00596F47" w:rsidP="00256DA0">
            <w:pPr>
              <w:autoSpaceDE w:val="0"/>
              <w:autoSpaceDN w:val="0"/>
              <w:adjustRightInd w:val="0"/>
              <w:jc w:val="center"/>
              <w:rPr>
                <w:szCs w:val="22"/>
                <w:lang w:val="lt-LT"/>
              </w:rPr>
            </w:pPr>
          </w:p>
        </w:tc>
        <w:tc>
          <w:tcPr>
            <w:tcW w:w="714" w:type="pct"/>
            <w:vAlign w:val="center"/>
          </w:tcPr>
          <w:p w14:paraId="630787E0" w14:textId="0890F008" w:rsidR="00596F47" w:rsidRPr="00211E3B" w:rsidRDefault="00596F47" w:rsidP="00256DA0">
            <w:pPr>
              <w:autoSpaceDE w:val="0"/>
              <w:autoSpaceDN w:val="0"/>
              <w:adjustRightInd w:val="0"/>
              <w:jc w:val="center"/>
              <w:rPr>
                <w:szCs w:val="22"/>
                <w:lang w:val="lt-LT"/>
              </w:rPr>
            </w:pPr>
            <w:r w:rsidRPr="00211E3B">
              <w:rPr>
                <w:szCs w:val="22"/>
                <w:lang w:val="lt-LT"/>
              </w:rPr>
              <w:t>(75,9,</w:t>
            </w:r>
          </w:p>
          <w:p w14:paraId="32F47B03" w14:textId="4B149617" w:rsidR="00596F47" w:rsidRPr="00211E3B" w:rsidRDefault="00596F47" w:rsidP="00256DA0">
            <w:pPr>
              <w:autoSpaceDE w:val="0"/>
              <w:autoSpaceDN w:val="0"/>
              <w:adjustRightInd w:val="0"/>
              <w:jc w:val="center"/>
              <w:rPr>
                <w:szCs w:val="22"/>
                <w:lang w:val="lt-LT"/>
              </w:rPr>
            </w:pPr>
            <w:r w:rsidRPr="00211E3B">
              <w:rPr>
                <w:szCs w:val="22"/>
                <w:lang w:val="lt-LT"/>
              </w:rPr>
              <w:t>144,0)</w:t>
            </w:r>
          </w:p>
        </w:tc>
      </w:tr>
      <w:tr w:rsidR="00596F47" w:rsidRPr="00211E3B" w14:paraId="17833DDA" w14:textId="77777777" w:rsidTr="00256DA0">
        <w:tc>
          <w:tcPr>
            <w:tcW w:w="714" w:type="pct"/>
          </w:tcPr>
          <w:p w14:paraId="2AAF7210" w14:textId="63627FCD" w:rsidR="00596F47" w:rsidRPr="00211E3B" w:rsidRDefault="00596F47" w:rsidP="00FF54A6">
            <w:pPr>
              <w:autoSpaceDE w:val="0"/>
              <w:autoSpaceDN w:val="0"/>
              <w:adjustRightInd w:val="0"/>
              <w:rPr>
                <w:szCs w:val="22"/>
                <w:lang w:val="lt-LT"/>
              </w:rPr>
            </w:pPr>
            <w:r w:rsidRPr="00211E3B">
              <w:rPr>
                <w:szCs w:val="22"/>
                <w:lang w:val="lt-LT"/>
              </w:rPr>
              <w:t xml:space="preserve">p </w:t>
            </w:r>
            <w:r w:rsidR="00FF54A6">
              <w:rPr>
                <w:szCs w:val="22"/>
                <w:lang w:val="lt-LT"/>
              </w:rPr>
              <w:t>reikšmė</w:t>
            </w:r>
          </w:p>
        </w:tc>
        <w:tc>
          <w:tcPr>
            <w:tcW w:w="714" w:type="pct"/>
          </w:tcPr>
          <w:p w14:paraId="27B78FA7" w14:textId="77777777" w:rsidR="00596F47" w:rsidRPr="00211E3B" w:rsidRDefault="00596F47" w:rsidP="00256DA0">
            <w:pPr>
              <w:autoSpaceDE w:val="0"/>
              <w:autoSpaceDN w:val="0"/>
              <w:adjustRightInd w:val="0"/>
              <w:rPr>
                <w:szCs w:val="22"/>
                <w:lang w:val="lt-LT"/>
              </w:rPr>
            </w:pPr>
          </w:p>
        </w:tc>
        <w:tc>
          <w:tcPr>
            <w:tcW w:w="714" w:type="pct"/>
            <w:vAlign w:val="center"/>
          </w:tcPr>
          <w:p w14:paraId="480ECA37" w14:textId="6D4379E8" w:rsidR="00596F47" w:rsidRPr="00211E3B" w:rsidRDefault="00596F47" w:rsidP="00256DA0">
            <w:pPr>
              <w:autoSpaceDE w:val="0"/>
              <w:autoSpaceDN w:val="0"/>
              <w:adjustRightInd w:val="0"/>
              <w:jc w:val="center"/>
              <w:rPr>
                <w:szCs w:val="22"/>
                <w:lang w:val="lt-LT"/>
              </w:rPr>
            </w:pPr>
            <w:r w:rsidRPr="00211E3B">
              <w:rPr>
                <w:szCs w:val="22"/>
                <w:lang w:val="lt-LT"/>
              </w:rPr>
              <w:t>&lt;0,0001</w:t>
            </w:r>
          </w:p>
        </w:tc>
        <w:tc>
          <w:tcPr>
            <w:tcW w:w="714" w:type="pct"/>
            <w:vAlign w:val="center"/>
          </w:tcPr>
          <w:p w14:paraId="7A7083EE" w14:textId="77777777" w:rsidR="00596F47" w:rsidRPr="00211E3B" w:rsidRDefault="00596F47" w:rsidP="00256DA0">
            <w:pPr>
              <w:autoSpaceDE w:val="0"/>
              <w:autoSpaceDN w:val="0"/>
              <w:adjustRightInd w:val="0"/>
              <w:jc w:val="center"/>
              <w:rPr>
                <w:szCs w:val="22"/>
                <w:lang w:val="lt-LT"/>
              </w:rPr>
            </w:pPr>
          </w:p>
        </w:tc>
        <w:tc>
          <w:tcPr>
            <w:tcW w:w="715" w:type="pct"/>
            <w:vAlign w:val="center"/>
          </w:tcPr>
          <w:p w14:paraId="49824D80" w14:textId="748D1408" w:rsidR="00596F47" w:rsidRPr="00211E3B" w:rsidRDefault="00596F47" w:rsidP="00256DA0">
            <w:pPr>
              <w:autoSpaceDE w:val="0"/>
              <w:autoSpaceDN w:val="0"/>
              <w:adjustRightInd w:val="0"/>
              <w:jc w:val="center"/>
              <w:rPr>
                <w:szCs w:val="22"/>
                <w:lang w:val="lt-LT"/>
              </w:rPr>
            </w:pPr>
            <w:r w:rsidRPr="00211E3B">
              <w:rPr>
                <w:szCs w:val="22"/>
                <w:lang w:val="lt-LT"/>
              </w:rPr>
              <w:t>0,0002</w:t>
            </w:r>
          </w:p>
        </w:tc>
        <w:tc>
          <w:tcPr>
            <w:tcW w:w="715" w:type="pct"/>
            <w:vAlign w:val="center"/>
          </w:tcPr>
          <w:p w14:paraId="26E41413" w14:textId="77777777" w:rsidR="00596F47" w:rsidRPr="00211E3B" w:rsidRDefault="00596F47" w:rsidP="00256DA0">
            <w:pPr>
              <w:autoSpaceDE w:val="0"/>
              <w:autoSpaceDN w:val="0"/>
              <w:adjustRightInd w:val="0"/>
              <w:jc w:val="center"/>
              <w:rPr>
                <w:szCs w:val="22"/>
                <w:lang w:val="lt-LT"/>
              </w:rPr>
            </w:pPr>
          </w:p>
        </w:tc>
        <w:tc>
          <w:tcPr>
            <w:tcW w:w="714" w:type="pct"/>
            <w:vAlign w:val="center"/>
          </w:tcPr>
          <w:p w14:paraId="16E2D7F3" w14:textId="1FBEF13B" w:rsidR="00596F47" w:rsidRPr="00211E3B" w:rsidRDefault="00596F47" w:rsidP="00256DA0">
            <w:pPr>
              <w:autoSpaceDE w:val="0"/>
              <w:autoSpaceDN w:val="0"/>
              <w:adjustRightInd w:val="0"/>
              <w:jc w:val="center"/>
              <w:rPr>
                <w:szCs w:val="22"/>
                <w:lang w:val="lt-LT"/>
              </w:rPr>
            </w:pPr>
            <w:r w:rsidRPr="00211E3B">
              <w:rPr>
                <w:szCs w:val="22"/>
                <w:lang w:val="lt-LT"/>
              </w:rPr>
              <w:t>&lt;0,0001</w:t>
            </w:r>
          </w:p>
        </w:tc>
      </w:tr>
    </w:tbl>
    <w:p w14:paraId="3420B763" w14:textId="065DB8B6" w:rsidR="005E424F" w:rsidRPr="00211E3B" w:rsidRDefault="005E424F" w:rsidP="005E424F">
      <w:pPr>
        <w:ind w:right="-142"/>
        <w:rPr>
          <w:snapToGrid w:val="0"/>
          <w:sz w:val="20"/>
          <w:szCs w:val="22"/>
        </w:rPr>
      </w:pPr>
      <w:r w:rsidRPr="00211E3B">
        <w:rPr>
          <w:snapToGrid w:val="0"/>
          <w:sz w:val="20"/>
          <w:szCs w:val="22"/>
          <w:vertAlign w:val="superscript"/>
        </w:rPr>
        <w:t>1</w:t>
      </w:r>
      <w:r w:rsidRPr="00211E3B">
        <w:rPr>
          <w:snapToGrid w:val="0"/>
          <w:sz w:val="20"/>
          <w:szCs w:val="22"/>
        </w:rPr>
        <w:t xml:space="preserve"> Apskaičiuota remiantis atsitiktinio koeficiento regresijos modeliu</w:t>
      </w:r>
      <w:r w:rsidR="00596F47" w:rsidRPr="00211E3B">
        <w:rPr>
          <w:snapToGrid w:val="0"/>
          <w:sz w:val="20"/>
          <w:szCs w:val="22"/>
        </w:rPr>
        <w:t>.</w:t>
      </w:r>
    </w:p>
    <w:p w14:paraId="66282FAC" w14:textId="77777777" w:rsidR="005E424F" w:rsidRPr="00211E3B" w:rsidRDefault="005E424F" w:rsidP="005E424F">
      <w:pPr>
        <w:ind w:right="-142"/>
        <w:rPr>
          <w:snapToGrid w:val="0"/>
          <w:sz w:val="20"/>
          <w:szCs w:val="22"/>
        </w:rPr>
      </w:pPr>
      <w:r w:rsidRPr="00211E3B">
        <w:rPr>
          <w:snapToGrid w:val="0"/>
          <w:sz w:val="20"/>
          <w:szCs w:val="22"/>
        </w:rPr>
        <w:lastRenderedPageBreak/>
        <w:t>PI: pasikliautinasis intervalas</w:t>
      </w:r>
    </w:p>
    <w:p w14:paraId="7D5BC054" w14:textId="77777777" w:rsidR="00596F47" w:rsidRPr="00211E3B" w:rsidRDefault="00596F47" w:rsidP="005E424F">
      <w:pPr>
        <w:ind w:right="-142"/>
        <w:rPr>
          <w:snapToGrid w:val="0"/>
          <w:sz w:val="22"/>
          <w:szCs w:val="24"/>
        </w:rPr>
      </w:pPr>
    </w:p>
    <w:p w14:paraId="37F5DAA3" w14:textId="4662FB06" w:rsidR="005E424F" w:rsidRPr="00211E3B" w:rsidRDefault="005E424F" w:rsidP="005E424F">
      <w:pPr>
        <w:ind w:right="-142"/>
        <w:rPr>
          <w:snapToGrid w:val="0"/>
          <w:sz w:val="22"/>
          <w:szCs w:val="24"/>
        </w:rPr>
      </w:pPr>
      <w:r w:rsidRPr="00211E3B">
        <w:rPr>
          <w:snapToGrid w:val="0"/>
          <w:sz w:val="22"/>
          <w:szCs w:val="24"/>
        </w:rPr>
        <w:t>Jautrumo analizėje buvo laikoma, kad pacien</w:t>
      </w:r>
      <w:r w:rsidR="00AE6D26" w:rsidRPr="00211E3B">
        <w:rPr>
          <w:snapToGrid w:val="0"/>
          <w:sz w:val="22"/>
          <w:szCs w:val="24"/>
        </w:rPr>
        <w:t>tams</w:t>
      </w:r>
      <w:r w:rsidRPr="00211E3B">
        <w:rPr>
          <w:snapToGrid w:val="0"/>
          <w:sz w:val="22"/>
          <w:szCs w:val="24"/>
        </w:rPr>
        <w:t xml:space="preserve">, kurių duomenų trūksta, </w:t>
      </w:r>
      <w:r w:rsidR="00D7087C" w:rsidRPr="00211E3B">
        <w:rPr>
          <w:snapToGrid w:val="0"/>
          <w:sz w:val="22"/>
          <w:szCs w:val="24"/>
        </w:rPr>
        <w:t>52 s</w:t>
      </w:r>
      <w:r w:rsidRPr="00211E3B">
        <w:rPr>
          <w:snapToGrid w:val="0"/>
          <w:sz w:val="22"/>
          <w:szCs w:val="24"/>
        </w:rPr>
        <w:t>avaitę FGPT</w:t>
      </w:r>
      <w:r w:rsidR="00AE6D26" w:rsidRPr="00211E3B">
        <w:rPr>
          <w:snapToGrid w:val="0"/>
          <w:sz w:val="22"/>
          <w:szCs w:val="24"/>
        </w:rPr>
        <w:t xml:space="preserve"> </w:t>
      </w:r>
      <w:r w:rsidRPr="00211E3B">
        <w:rPr>
          <w:snapToGrid w:val="0"/>
          <w:sz w:val="22"/>
          <w:szCs w:val="24"/>
        </w:rPr>
        <w:t>sumažėjimas po paskutinės stebėtos vertės bus toks pat, kaip ir visų placebą vartojusių pacientų</w:t>
      </w:r>
      <w:r w:rsidR="00AE6D26" w:rsidRPr="00211E3B">
        <w:rPr>
          <w:snapToGrid w:val="0"/>
          <w:sz w:val="22"/>
          <w:szCs w:val="24"/>
        </w:rPr>
        <w:t xml:space="preserve">; nustatyta, kad </w:t>
      </w:r>
      <w:r w:rsidRPr="00211E3B">
        <w:rPr>
          <w:snapToGrid w:val="0"/>
          <w:sz w:val="22"/>
          <w:szCs w:val="24"/>
        </w:rPr>
        <w:t xml:space="preserve">koreguotas metinis sumažėjimo </w:t>
      </w:r>
      <w:r w:rsidR="00AE6D26" w:rsidRPr="00211E3B">
        <w:rPr>
          <w:snapToGrid w:val="0"/>
          <w:sz w:val="22"/>
          <w:szCs w:val="24"/>
        </w:rPr>
        <w:t>skirtumas</w:t>
      </w:r>
      <w:r w:rsidRPr="00211E3B">
        <w:rPr>
          <w:snapToGrid w:val="0"/>
          <w:sz w:val="22"/>
          <w:szCs w:val="24"/>
        </w:rPr>
        <w:t xml:space="preserve"> </w:t>
      </w:r>
      <w:r w:rsidR="00AE6D26" w:rsidRPr="00211E3B">
        <w:rPr>
          <w:snapToGrid w:val="0"/>
          <w:sz w:val="22"/>
          <w:szCs w:val="24"/>
        </w:rPr>
        <w:t>lyginant</w:t>
      </w:r>
      <w:r w:rsidRPr="00211E3B">
        <w:rPr>
          <w:snapToGrid w:val="0"/>
          <w:sz w:val="22"/>
          <w:szCs w:val="24"/>
        </w:rPr>
        <w:t xml:space="preserve"> nintedanibą ir placebą vartojusi</w:t>
      </w:r>
      <w:r w:rsidR="00AE6D26" w:rsidRPr="00211E3B">
        <w:rPr>
          <w:snapToGrid w:val="0"/>
          <w:sz w:val="22"/>
          <w:szCs w:val="24"/>
        </w:rPr>
        <w:t>us pacientus</w:t>
      </w:r>
      <w:r w:rsidRPr="00211E3B">
        <w:rPr>
          <w:snapToGrid w:val="0"/>
          <w:sz w:val="22"/>
          <w:szCs w:val="24"/>
        </w:rPr>
        <w:t xml:space="preserve"> buvo</w:t>
      </w:r>
      <w:r w:rsidR="00AE6D26" w:rsidRPr="00211E3B">
        <w:rPr>
          <w:snapToGrid w:val="0"/>
          <w:sz w:val="22"/>
          <w:szCs w:val="24"/>
        </w:rPr>
        <w:t xml:space="preserve"> </w:t>
      </w:r>
      <w:r w:rsidRPr="00211E3B">
        <w:rPr>
          <w:snapToGrid w:val="0"/>
          <w:sz w:val="22"/>
          <w:szCs w:val="24"/>
        </w:rPr>
        <w:t>113,9</w:t>
      </w:r>
      <w:r w:rsidR="0085390D">
        <w:rPr>
          <w:snapToGrid w:val="0"/>
          <w:sz w:val="22"/>
          <w:szCs w:val="24"/>
        </w:rPr>
        <w:t> ml</w:t>
      </w:r>
      <w:r w:rsidRPr="00211E3B">
        <w:rPr>
          <w:snapToGrid w:val="0"/>
          <w:sz w:val="22"/>
          <w:szCs w:val="24"/>
        </w:rPr>
        <w:t>/per metus (95</w:t>
      </w:r>
      <w:r w:rsidR="0085390D">
        <w:rPr>
          <w:snapToGrid w:val="0"/>
          <w:sz w:val="22"/>
          <w:szCs w:val="24"/>
        </w:rPr>
        <w:t xml:space="preserve"> %</w:t>
      </w:r>
      <w:r w:rsidRPr="00211E3B">
        <w:rPr>
          <w:snapToGrid w:val="0"/>
          <w:sz w:val="22"/>
          <w:szCs w:val="24"/>
        </w:rPr>
        <w:t xml:space="preserve"> PI 69,2, 158,5) INPULSIS-1 ir 83,3</w:t>
      </w:r>
      <w:r w:rsidR="0085390D">
        <w:rPr>
          <w:snapToGrid w:val="0"/>
          <w:sz w:val="22"/>
          <w:szCs w:val="24"/>
        </w:rPr>
        <w:t> ml</w:t>
      </w:r>
      <w:r w:rsidRPr="00211E3B">
        <w:rPr>
          <w:snapToGrid w:val="0"/>
          <w:sz w:val="22"/>
          <w:szCs w:val="24"/>
        </w:rPr>
        <w:t>/per metus (95</w:t>
      </w:r>
      <w:r w:rsidR="0085390D">
        <w:rPr>
          <w:snapToGrid w:val="0"/>
          <w:sz w:val="22"/>
          <w:szCs w:val="24"/>
        </w:rPr>
        <w:t xml:space="preserve"> %</w:t>
      </w:r>
      <w:r w:rsidRPr="00211E3B">
        <w:rPr>
          <w:snapToGrid w:val="0"/>
          <w:sz w:val="22"/>
          <w:szCs w:val="24"/>
        </w:rPr>
        <w:t xml:space="preserve"> PI 37,6, 129,0)</w:t>
      </w:r>
      <w:r w:rsidR="00AE6D26" w:rsidRPr="00211E3B">
        <w:rPr>
          <w:snapToGrid w:val="0"/>
          <w:sz w:val="22"/>
          <w:szCs w:val="24"/>
        </w:rPr>
        <w:t xml:space="preserve"> </w:t>
      </w:r>
      <w:r w:rsidRPr="00211E3B">
        <w:rPr>
          <w:snapToGrid w:val="0"/>
          <w:sz w:val="22"/>
          <w:szCs w:val="24"/>
        </w:rPr>
        <w:t>INPULSIS-2 tyrime.</w:t>
      </w:r>
    </w:p>
    <w:p w14:paraId="5F6CB6FB" w14:textId="77777777" w:rsidR="00AE6D26" w:rsidRPr="00211E3B" w:rsidRDefault="00AE6D26" w:rsidP="005E424F">
      <w:pPr>
        <w:ind w:right="-142"/>
        <w:rPr>
          <w:snapToGrid w:val="0"/>
          <w:sz w:val="22"/>
          <w:szCs w:val="24"/>
        </w:rPr>
      </w:pPr>
    </w:p>
    <w:p w14:paraId="146F0A2E" w14:textId="3A65EED3" w:rsidR="005E424F" w:rsidRPr="00211E3B" w:rsidRDefault="005E424F" w:rsidP="005E424F">
      <w:pPr>
        <w:ind w:right="-142"/>
        <w:rPr>
          <w:snapToGrid w:val="0"/>
          <w:sz w:val="22"/>
          <w:szCs w:val="24"/>
        </w:rPr>
      </w:pPr>
      <w:r w:rsidRPr="00211E3B">
        <w:rPr>
          <w:snapToGrid w:val="0"/>
          <w:sz w:val="22"/>
          <w:szCs w:val="24"/>
        </w:rPr>
        <w:t>1</w:t>
      </w:r>
      <w:r w:rsidR="00EA0CA2" w:rsidRPr="00211E3B">
        <w:rPr>
          <w:snapToGrid w:val="0"/>
          <w:sz w:val="22"/>
          <w:szCs w:val="24"/>
        </w:rPr>
        <w:t xml:space="preserve"> paveiksle </w:t>
      </w:r>
      <w:r w:rsidRPr="00211E3B">
        <w:rPr>
          <w:snapToGrid w:val="0"/>
          <w:sz w:val="22"/>
          <w:szCs w:val="24"/>
        </w:rPr>
        <w:t xml:space="preserve">parodytas pokyčio nuo pradinio </w:t>
      </w:r>
      <w:r w:rsidR="00EA0CA2" w:rsidRPr="00211E3B">
        <w:rPr>
          <w:snapToGrid w:val="0"/>
          <w:sz w:val="22"/>
          <w:szCs w:val="24"/>
        </w:rPr>
        <w:t>rodmens</w:t>
      </w:r>
      <w:r w:rsidRPr="00211E3B">
        <w:rPr>
          <w:snapToGrid w:val="0"/>
          <w:sz w:val="22"/>
          <w:szCs w:val="24"/>
        </w:rPr>
        <w:t xml:space="preserve"> </w:t>
      </w:r>
      <w:r w:rsidR="00EA0CA2" w:rsidRPr="00211E3B">
        <w:rPr>
          <w:snapToGrid w:val="0"/>
          <w:sz w:val="22"/>
          <w:szCs w:val="24"/>
        </w:rPr>
        <w:t xml:space="preserve">kitimas </w:t>
      </w:r>
      <w:r w:rsidRPr="00211E3B">
        <w:rPr>
          <w:snapToGrid w:val="0"/>
          <w:sz w:val="22"/>
          <w:szCs w:val="24"/>
        </w:rPr>
        <w:t>laikui bėgant abiejose gydymo</w:t>
      </w:r>
      <w:r w:rsidR="00EA0CA2" w:rsidRPr="00211E3B">
        <w:rPr>
          <w:snapToGrid w:val="0"/>
          <w:sz w:val="22"/>
          <w:szCs w:val="24"/>
        </w:rPr>
        <w:t xml:space="preserve"> </w:t>
      </w:r>
      <w:r w:rsidRPr="00211E3B">
        <w:rPr>
          <w:snapToGrid w:val="0"/>
          <w:sz w:val="22"/>
          <w:szCs w:val="24"/>
        </w:rPr>
        <w:t>grupėse</w:t>
      </w:r>
      <w:r w:rsidR="00EA0CA2" w:rsidRPr="00211E3B">
        <w:rPr>
          <w:snapToGrid w:val="0"/>
          <w:sz w:val="22"/>
          <w:szCs w:val="24"/>
        </w:rPr>
        <w:t>, remiantis</w:t>
      </w:r>
      <w:r w:rsidRPr="00211E3B">
        <w:rPr>
          <w:snapToGrid w:val="0"/>
          <w:sz w:val="22"/>
          <w:szCs w:val="24"/>
        </w:rPr>
        <w:t xml:space="preserve"> </w:t>
      </w:r>
      <w:r w:rsidR="00EA0CA2" w:rsidRPr="00211E3B">
        <w:rPr>
          <w:snapToGrid w:val="0"/>
          <w:sz w:val="22"/>
          <w:szCs w:val="24"/>
        </w:rPr>
        <w:t>apibendrinta</w:t>
      </w:r>
      <w:r w:rsidRPr="00211E3B">
        <w:rPr>
          <w:snapToGrid w:val="0"/>
          <w:sz w:val="22"/>
          <w:szCs w:val="24"/>
        </w:rPr>
        <w:t xml:space="preserve"> tyrimų INPULSIS-1 ir INPULSIS-2 analize.</w:t>
      </w:r>
    </w:p>
    <w:p w14:paraId="02E642E2" w14:textId="405F4EBF" w:rsidR="005E424F" w:rsidRPr="00211E3B" w:rsidRDefault="005E424F" w:rsidP="005E424F">
      <w:pPr>
        <w:ind w:right="-142"/>
        <w:rPr>
          <w:snapToGrid w:val="0"/>
          <w:sz w:val="22"/>
          <w:szCs w:val="24"/>
        </w:rPr>
      </w:pPr>
    </w:p>
    <w:p w14:paraId="6745A7E1" w14:textId="0D81B44F" w:rsidR="005E424F" w:rsidRDefault="005E424F" w:rsidP="005E424F">
      <w:pPr>
        <w:ind w:right="-142"/>
        <w:rPr>
          <w:b/>
          <w:bCs/>
          <w:snapToGrid w:val="0"/>
          <w:sz w:val="22"/>
          <w:szCs w:val="24"/>
        </w:rPr>
      </w:pPr>
      <w:r w:rsidRPr="00211E3B">
        <w:rPr>
          <w:b/>
          <w:bCs/>
          <w:snapToGrid w:val="0"/>
          <w:sz w:val="22"/>
          <w:szCs w:val="24"/>
        </w:rPr>
        <w:t>1</w:t>
      </w:r>
      <w:r w:rsidR="00EA0CA2" w:rsidRPr="00211E3B">
        <w:rPr>
          <w:b/>
          <w:bCs/>
          <w:snapToGrid w:val="0"/>
          <w:sz w:val="22"/>
          <w:szCs w:val="24"/>
        </w:rPr>
        <w:t> </w:t>
      </w:r>
      <w:r w:rsidRPr="00211E3B">
        <w:rPr>
          <w:b/>
          <w:bCs/>
          <w:snapToGrid w:val="0"/>
          <w:sz w:val="22"/>
          <w:szCs w:val="24"/>
        </w:rPr>
        <w:t>pav</w:t>
      </w:r>
      <w:r w:rsidR="00EA0CA2" w:rsidRPr="00211E3B">
        <w:rPr>
          <w:b/>
          <w:bCs/>
          <w:snapToGrid w:val="0"/>
          <w:sz w:val="22"/>
          <w:szCs w:val="24"/>
        </w:rPr>
        <w:t>eikslas</w:t>
      </w:r>
      <w:r w:rsidRPr="00211E3B">
        <w:rPr>
          <w:b/>
          <w:bCs/>
          <w:snapToGrid w:val="0"/>
          <w:sz w:val="22"/>
          <w:szCs w:val="24"/>
        </w:rPr>
        <w:t xml:space="preserve">. </w:t>
      </w:r>
      <w:r w:rsidR="00EA0CA2" w:rsidRPr="00211E3B">
        <w:rPr>
          <w:b/>
          <w:bCs/>
          <w:snapToGrid w:val="0"/>
          <w:sz w:val="22"/>
          <w:szCs w:val="24"/>
        </w:rPr>
        <w:t>S</w:t>
      </w:r>
      <w:r w:rsidRPr="00211E3B">
        <w:rPr>
          <w:b/>
          <w:bCs/>
          <w:snapToGrid w:val="0"/>
          <w:sz w:val="22"/>
          <w:szCs w:val="24"/>
        </w:rPr>
        <w:t xml:space="preserve">tebėto FGPT pokyčio nuo pradinio lygmens </w:t>
      </w:r>
      <w:r w:rsidR="00EA0CA2" w:rsidRPr="00211E3B">
        <w:rPr>
          <w:b/>
          <w:bCs/>
          <w:snapToGrid w:val="0"/>
          <w:sz w:val="22"/>
          <w:szCs w:val="24"/>
        </w:rPr>
        <w:t xml:space="preserve">kitimo </w:t>
      </w:r>
      <w:r w:rsidRPr="00211E3B">
        <w:rPr>
          <w:b/>
          <w:bCs/>
          <w:snapToGrid w:val="0"/>
          <w:sz w:val="22"/>
          <w:szCs w:val="24"/>
        </w:rPr>
        <w:t>(ml) laikui bėgant</w:t>
      </w:r>
      <w:r w:rsidR="00EA0CA2" w:rsidRPr="00211E3B">
        <w:rPr>
          <w:b/>
          <w:bCs/>
          <w:snapToGrid w:val="0"/>
          <w:sz w:val="22"/>
          <w:szCs w:val="24"/>
        </w:rPr>
        <w:t xml:space="preserve"> </w:t>
      </w:r>
      <w:r w:rsidRPr="00211E3B">
        <w:rPr>
          <w:b/>
          <w:bCs/>
          <w:snapToGrid w:val="0"/>
          <w:sz w:val="22"/>
          <w:szCs w:val="24"/>
        </w:rPr>
        <w:t>vidurkis (</w:t>
      </w:r>
      <w:r w:rsidR="00FF54A6" w:rsidRPr="00FF54A6">
        <w:rPr>
          <w:b/>
          <w:bCs/>
          <w:snapToGrid w:val="0"/>
          <w:sz w:val="22"/>
          <w:szCs w:val="24"/>
        </w:rPr>
        <w:t>standartinė vidurkio paklaida (a</w:t>
      </w:r>
      <w:r w:rsidR="00FF54A6">
        <w:rPr>
          <w:b/>
          <w:bCs/>
          <w:snapToGrid w:val="0"/>
          <w:sz w:val="22"/>
          <w:szCs w:val="24"/>
        </w:rPr>
        <w:t xml:space="preserve">ngl. </w:t>
      </w:r>
      <w:r w:rsidR="00FF54A6" w:rsidRPr="0081504F">
        <w:rPr>
          <w:b/>
          <w:bCs/>
          <w:i/>
          <w:snapToGrid w:val="0"/>
          <w:sz w:val="22"/>
          <w:szCs w:val="24"/>
        </w:rPr>
        <w:t>standard error of the mean</w:t>
      </w:r>
      <w:r w:rsidR="00FF54A6">
        <w:rPr>
          <w:b/>
          <w:bCs/>
          <w:snapToGrid w:val="0"/>
          <w:sz w:val="22"/>
          <w:szCs w:val="24"/>
        </w:rPr>
        <w:t>,</w:t>
      </w:r>
      <w:r w:rsidR="00FF54A6" w:rsidRPr="00FF54A6">
        <w:rPr>
          <w:b/>
          <w:bCs/>
          <w:snapToGrid w:val="0"/>
          <w:sz w:val="22"/>
          <w:szCs w:val="24"/>
        </w:rPr>
        <w:t xml:space="preserve"> </w:t>
      </w:r>
      <w:r w:rsidRPr="00211E3B">
        <w:rPr>
          <w:b/>
          <w:bCs/>
          <w:snapToGrid w:val="0"/>
          <w:sz w:val="22"/>
          <w:szCs w:val="24"/>
        </w:rPr>
        <w:t xml:space="preserve">SVP), </w:t>
      </w:r>
      <w:r w:rsidR="00EA0CA2" w:rsidRPr="00211E3B">
        <w:rPr>
          <w:b/>
          <w:bCs/>
          <w:snapToGrid w:val="0"/>
          <w:sz w:val="22"/>
          <w:szCs w:val="24"/>
        </w:rPr>
        <w:t>apibendrinti tyrimų INPULSIS-1 ir INPULSIS-2 duomenys</w:t>
      </w:r>
    </w:p>
    <w:p w14:paraId="73195827" w14:textId="77777777" w:rsidR="00444B58" w:rsidRDefault="00444B58" w:rsidP="005E424F">
      <w:pPr>
        <w:ind w:right="-142"/>
        <w:rPr>
          <w:b/>
          <w:bCs/>
          <w:snapToGrid w:val="0"/>
          <w:sz w:val="22"/>
          <w:szCs w:val="24"/>
        </w:rPr>
      </w:pPr>
    </w:p>
    <w:p w14:paraId="7271C079" w14:textId="7E9CDC43" w:rsidR="00A82584" w:rsidRDefault="00A82584" w:rsidP="005E424F">
      <w:pPr>
        <w:ind w:right="-142"/>
        <w:rPr>
          <w:b/>
          <w:bCs/>
          <w:snapToGrid w:val="0"/>
          <w:sz w:val="22"/>
          <w:szCs w:val="24"/>
        </w:rPr>
      </w:pPr>
      <w:r>
        <w:rPr>
          <w:b/>
          <w:bCs/>
          <w:noProof/>
          <w:snapToGrid w:val="0"/>
          <w:sz w:val="22"/>
          <w:szCs w:val="24"/>
          <w:lang w:eastAsia="lt-LT"/>
        </w:rPr>
        <w:drawing>
          <wp:inline distT="0" distB="0" distL="0" distR="0" wp14:anchorId="783807E4" wp14:editId="1AF3309E">
            <wp:extent cx="5822315" cy="4023995"/>
            <wp:effectExtent l="0" t="0" r="6985" b="0"/>
            <wp:docPr id="19778447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22315" cy="4023995"/>
                    </a:xfrm>
                    <a:prstGeom prst="rect">
                      <a:avLst/>
                    </a:prstGeom>
                    <a:noFill/>
                  </pic:spPr>
                </pic:pic>
              </a:graphicData>
            </a:graphic>
          </wp:inline>
        </w:drawing>
      </w:r>
    </w:p>
    <w:p w14:paraId="76464D0F" w14:textId="56997888" w:rsidR="005E424F" w:rsidRPr="00211E3B" w:rsidRDefault="005E424F" w:rsidP="005E424F">
      <w:pPr>
        <w:ind w:right="-142"/>
        <w:rPr>
          <w:i/>
          <w:iCs/>
          <w:snapToGrid w:val="0"/>
          <w:sz w:val="22"/>
          <w:szCs w:val="24"/>
          <w:u w:val="single"/>
        </w:rPr>
      </w:pPr>
      <w:r w:rsidRPr="00211E3B">
        <w:rPr>
          <w:i/>
          <w:iCs/>
          <w:snapToGrid w:val="0"/>
          <w:sz w:val="22"/>
          <w:szCs w:val="24"/>
          <w:u w:val="single"/>
        </w:rPr>
        <w:t>Reagavusiųjų FGPT atsaku analizė</w:t>
      </w:r>
    </w:p>
    <w:p w14:paraId="7AFC4832" w14:textId="2826FC1F" w:rsidR="005039E7" w:rsidRPr="00211E3B" w:rsidRDefault="005E424F" w:rsidP="005039E7">
      <w:pPr>
        <w:ind w:right="-142"/>
        <w:rPr>
          <w:snapToGrid w:val="0"/>
          <w:sz w:val="22"/>
          <w:szCs w:val="24"/>
        </w:rPr>
      </w:pPr>
      <w:r w:rsidRPr="00211E3B">
        <w:rPr>
          <w:snapToGrid w:val="0"/>
          <w:sz w:val="22"/>
          <w:szCs w:val="24"/>
        </w:rPr>
        <w:t>Abiej</w:t>
      </w:r>
      <w:r w:rsidR="00AF3362" w:rsidRPr="00211E3B">
        <w:rPr>
          <w:snapToGrid w:val="0"/>
          <w:sz w:val="22"/>
          <w:szCs w:val="24"/>
        </w:rPr>
        <w:t>ų</w:t>
      </w:r>
      <w:r w:rsidRPr="00211E3B">
        <w:rPr>
          <w:snapToGrid w:val="0"/>
          <w:sz w:val="22"/>
          <w:szCs w:val="24"/>
        </w:rPr>
        <w:t xml:space="preserve"> INPULSIS tyrim</w:t>
      </w:r>
      <w:r w:rsidR="00AF3362" w:rsidRPr="00211E3B">
        <w:rPr>
          <w:snapToGrid w:val="0"/>
          <w:sz w:val="22"/>
          <w:szCs w:val="24"/>
        </w:rPr>
        <w:t>ų metu</w:t>
      </w:r>
      <w:r w:rsidRPr="00211E3B">
        <w:rPr>
          <w:snapToGrid w:val="0"/>
          <w:sz w:val="22"/>
          <w:szCs w:val="24"/>
        </w:rPr>
        <w:t xml:space="preserve"> FGPT atsaku reagavusiųjų, apibrėžtų kaip pacientai, kurių absoliutus</w:t>
      </w:r>
      <w:r w:rsidR="00AF3362" w:rsidRPr="00211E3B">
        <w:rPr>
          <w:snapToGrid w:val="0"/>
          <w:sz w:val="22"/>
          <w:szCs w:val="24"/>
        </w:rPr>
        <w:t xml:space="preserve"> </w:t>
      </w:r>
      <w:r w:rsidRPr="00211E3B">
        <w:rPr>
          <w:snapToGrid w:val="0"/>
          <w:sz w:val="22"/>
          <w:szCs w:val="24"/>
        </w:rPr>
        <w:t>numatytos FGPT sumažėjimas procentais buvo ne didesnis kaip 5</w:t>
      </w:r>
      <w:r w:rsidR="0085390D">
        <w:rPr>
          <w:snapToGrid w:val="0"/>
          <w:sz w:val="22"/>
          <w:szCs w:val="24"/>
        </w:rPr>
        <w:t xml:space="preserve"> %</w:t>
      </w:r>
      <w:r w:rsidRPr="00211E3B">
        <w:rPr>
          <w:snapToGrid w:val="0"/>
          <w:sz w:val="22"/>
          <w:szCs w:val="24"/>
        </w:rPr>
        <w:t xml:space="preserve"> (riba, rodanti mirštamumo nuo</w:t>
      </w:r>
      <w:r w:rsidR="005039E7" w:rsidRPr="00211E3B">
        <w:rPr>
          <w:snapToGrid w:val="0"/>
          <w:sz w:val="22"/>
          <w:szCs w:val="24"/>
        </w:rPr>
        <w:t xml:space="preserve"> </w:t>
      </w:r>
      <w:r w:rsidRPr="00211E3B">
        <w:rPr>
          <w:snapToGrid w:val="0"/>
          <w:sz w:val="22"/>
          <w:szCs w:val="24"/>
        </w:rPr>
        <w:t>IPF rizikos didėjimą), dalis nintedanibu gydytoje grupėje buvo reikšmingai didesnė, palyginti su</w:t>
      </w:r>
      <w:r w:rsidR="005039E7" w:rsidRPr="00211E3B">
        <w:rPr>
          <w:snapToGrid w:val="0"/>
          <w:sz w:val="22"/>
          <w:szCs w:val="24"/>
        </w:rPr>
        <w:t xml:space="preserve"> </w:t>
      </w:r>
      <w:r w:rsidRPr="00211E3B">
        <w:rPr>
          <w:snapToGrid w:val="0"/>
          <w:sz w:val="22"/>
          <w:szCs w:val="24"/>
        </w:rPr>
        <w:t>placeb</w:t>
      </w:r>
      <w:r w:rsidR="001A5C84" w:rsidRPr="00211E3B">
        <w:rPr>
          <w:snapToGrid w:val="0"/>
          <w:sz w:val="22"/>
          <w:szCs w:val="24"/>
        </w:rPr>
        <w:t>o</w:t>
      </w:r>
      <w:r w:rsidRPr="00211E3B">
        <w:rPr>
          <w:snapToGrid w:val="0"/>
          <w:sz w:val="22"/>
          <w:szCs w:val="24"/>
        </w:rPr>
        <w:t xml:space="preserve"> </w:t>
      </w:r>
      <w:r w:rsidR="001A5C84" w:rsidRPr="00211E3B">
        <w:rPr>
          <w:snapToGrid w:val="0"/>
          <w:sz w:val="22"/>
          <w:szCs w:val="24"/>
        </w:rPr>
        <w:t>vartojusiųjų</w:t>
      </w:r>
      <w:r w:rsidRPr="00211E3B">
        <w:rPr>
          <w:snapToGrid w:val="0"/>
          <w:sz w:val="22"/>
          <w:szCs w:val="24"/>
        </w:rPr>
        <w:t xml:space="preserve"> grupe. Panašūs rezultatai buvo gauti analizei naudojant konservatyvią 10</w:t>
      </w:r>
      <w:r w:rsidR="0085390D">
        <w:rPr>
          <w:snapToGrid w:val="0"/>
          <w:sz w:val="22"/>
          <w:szCs w:val="24"/>
        </w:rPr>
        <w:t xml:space="preserve"> %</w:t>
      </w:r>
      <w:r w:rsidRPr="00211E3B">
        <w:rPr>
          <w:snapToGrid w:val="0"/>
          <w:sz w:val="22"/>
          <w:szCs w:val="24"/>
        </w:rPr>
        <w:t xml:space="preserve"> ribą.</w:t>
      </w:r>
      <w:r w:rsidR="005039E7" w:rsidRPr="00211E3B">
        <w:rPr>
          <w:snapToGrid w:val="0"/>
          <w:sz w:val="22"/>
          <w:szCs w:val="24"/>
        </w:rPr>
        <w:t xml:space="preserve"> Abiejų tyrimų atskiri ir apibendrinti rezultatai pateikiami 4 lentelėje.</w:t>
      </w:r>
    </w:p>
    <w:p w14:paraId="4452FFDA" w14:textId="3B6A973B" w:rsidR="005E424F" w:rsidRPr="00211E3B" w:rsidRDefault="005E424F" w:rsidP="005039E7">
      <w:pPr>
        <w:ind w:right="-142"/>
        <w:rPr>
          <w:snapToGrid w:val="0"/>
          <w:sz w:val="22"/>
          <w:szCs w:val="24"/>
        </w:rPr>
      </w:pPr>
    </w:p>
    <w:p w14:paraId="3F2E20D7" w14:textId="1D0D9C08" w:rsidR="005E424F" w:rsidRPr="00211E3B" w:rsidRDefault="005E424F" w:rsidP="00F054CD">
      <w:pPr>
        <w:ind w:left="1296" w:right="-142" w:hanging="1296"/>
        <w:rPr>
          <w:b/>
          <w:bCs/>
          <w:snapToGrid w:val="0"/>
          <w:sz w:val="22"/>
          <w:szCs w:val="24"/>
        </w:rPr>
      </w:pPr>
      <w:r w:rsidRPr="00211E3B">
        <w:rPr>
          <w:b/>
          <w:bCs/>
          <w:snapToGrid w:val="0"/>
          <w:sz w:val="22"/>
          <w:szCs w:val="24"/>
        </w:rPr>
        <w:t>4</w:t>
      </w:r>
      <w:r w:rsidR="000251D8" w:rsidRPr="00211E3B">
        <w:rPr>
          <w:b/>
          <w:bCs/>
          <w:snapToGrid w:val="0"/>
          <w:sz w:val="22"/>
          <w:szCs w:val="24"/>
        </w:rPr>
        <w:t> </w:t>
      </w:r>
      <w:r w:rsidRPr="00211E3B">
        <w:rPr>
          <w:b/>
          <w:bCs/>
          <w:snapToGrid w:val="0"/>
          <w:sz w:val="22"/>
          <w:szCs w:val="24"/>
        </w:rPr>
        <w:t>lentelė.</w:t>
      </w:r>
      <w:r w:rsidR="00F054CD" w:rsidRPr="00211E3B">
        <w:rPr>
          <w:b/>
          <w:bCs/>
          <w:snapToGrid w:val="0"/>
          <w:sz w:val="22"/>
          <w:szCs w:val="24"/>
        </w:rPr>
        <w:tab/>
      </w:r>
      <w:r w:rsidRPr="00211E3B">
        <w:rPr>
          <w:b/>
          <w:bCs/>
          <w:snapToGrid w:val="0"/>
          <w:sz w:val="22"/>
          <w:szCs w:val="24"/>
        </w:rPr>
        <w:t xml:space="preserve">Reagavusiųjų FGPT atsaku </w:t>
      </w:r>
      <w:r w:rsidR="00D7087C" w:rsidRPr="00211E3B">
        <w:rPr>
          <w:b/>
          <w:bCs/>
          <w:snapToGrid w:val="0"/>
          <w:sz w:val="22"/>
          <w:szCs w:val="24"/>
        </w:rPr>
        <w:t>52 s</w:t>
      </w:r>
      <w:r w:rsidRPr="00211E3B">
        <w:rPr>
          <w:b/>
          <w:bCs/>
          <w:snapToGrid w:val="0"/>
          <w:sz w:val="22"/>
          <w:szCs w:val="24"/>
        </w:rPr>
        <w:t xml:space="preserve">avaitę dalis </w:t>
      </w:r>
      <w:r w:rsidR="00B1737F" w:rsidRPr="00211E3B">
        <w:rPr>
          <w:b/>
          <w:bCs/>
          <w:snapToGrid w:val="0"/>
          <w:sz w:val="22"/>
          <w:szCs w:val="24"/>
        </w:rPr>
        <w:t>tyrimų INPULSIS-1 ir INPULSIS-2 metu bei apibendrinti duomenys – gydytų pacientų grupė</w:t>
      </w:r>
    </w:p>
    <w:p w14:paraId="0CCC38E5" w14:textId="77777777" w:rsidR="00B1737F" w:rsidRPr="00211E3B" w:rsidRDefault="00B1737F" w:rsidP="005E424F">
      <w:pPr>
        <w:ind w:right="-142"/>
        <w:rPr>
          <w:b/>
          <w:bCs/>
          <w:snapToGrid w:val="0"/>
          <w:sz w:val="22"/>
          <w:szCs w:val="24"/>
        </w:rPr>
      </w:pPr>
    </w:p>
    <w:tbl>
      <w:tblPr>
        <w:tblStyle w:val="Lentelstinklelis"/>
        <w:tblW w:w="4994" w:type="pct"/>
        <w:tblLayout w:type="fixed"/>
        <w:tblLook w:val="04A0" w:firstRow="1" w:lastRow="0" w:firstColumn="1" w:lastColumn="0" w:noHBand="0" w:noVBand="1"/>
      </w:tblPr>
      <w:tblGrid>
        <w:gridCol w:w="1837"/>
        <w:gridCol w:w="1135"/>
        <w:gridCol w:w="1276"/>
        <w:gridCol w:w="1133"/>
        <w:gridCol w:w="1276"/>
        <w:gridCol w:w="1198"/>
        <w:gridCol w:w="1194"/>
      </w:tblGrid>
      <w:tr w:rsidR="001A5C84" w:rsidRPr="00211E3B" w14:paraId="36AD53E1" w14:textId="77777777" w:rsidTr="00256DA0">
        <w:trPr>
          <w:tblHeader/>
        </w:trPr>
        <w:tc>
          <w:tcPr>
            <w:tcW w:w="1015" w:type="pct"/>
          </w:tcPr>
          <w:p w14:paraId="72CBC341" w14:textId="77777777" w:rsidR="001A5C84" w:rsidRPr="00211E3B" w:rsidRDefault="001A5C84" w:rsidP="00256DA0">
            <w:pPr>
              <w:autoSpaceDE w:val="0"/>
              <w:autoSpaceDN w:val="0"/>
              <w:adjustRightInd w:val="0"/>
              <w:rPr>
                <w:szCs w:val="22"/>
                <w:lang w:val="lt-LT"/>
              </w:rPr>
            </w:pPr>
          </w:p>
        </w:tc>
        <w:tc>
          <w:tcPr>
            <w:tcW w:w="1332" w:type="pct"/>
            <w:gridSpan w:val="2"/>
          </w:tcPr>
          <w:p w14:paraId="0E0E7C8B" w14:textId="77777777" w:rsidR="001A5C84" w:rsidRPr="00211E3B" w:rsidRDefault="001A5C84" w:rsidP="00256DA0">
            <w:pPr>
              <w:autoSpaceDE w:val="0"/>
              <w:autoSpaceDN w:val="0"/>
              <w:adjustRightInd w:val="0"/>
              <w:jc w:val="center"/>
              <w:rPr>
                <w:b/>
                <w:szCs w:val="22"/>
                <w:lang w:val="lt-LT"/>
              </w:rPr>
            </w:pPr>
            <w:r w:rsidRPr="00211E3B">
              <w:rPr>
                <w:b/>
                <w:szCs w:val="22"/>
                <w:lang w:val="lt-LT"/>
              </w:rPr>
              <w:t>INPULSIS</w:t>
            </w:r>
            <w:r w:rsidRPr="00211E3B">
              <w:rPr>
                <w:b/>
                <w:szCs w:val="22"/>
                <w:lang w:val="lt-LT"/>
              </w:rPr>
              <w:noBreakHyphen/>
              <w:t>1</w:t>
            </w:r>
          </w:p>
        </w:tc>
        <w:tc>
          <w:tcPr>
            <w:tcW w:w="1331" w:type="pct"/>
            <w:gridSpan w:val="2"/>
          </w:tcPr>
          <w:p w14:paraId="5CCC9193" w14:textId="77777777" w:rsidR="001A5C84" w:rsidRPr="00211E3B" w:rsidRDefault="001A5C84" w:rsidP="00256DA0">
            <w:pPr>
              <w:autoSpaceDE w:val="0"/>
              <w:autoSpaceDN w:val="0"/>
              <w:adjustRightInd w:val="0"/>
              <w:jc w:val="center"/>
              <w:rPr>
                <w:b/>
                <w:szCs w:val="22"/>
                <w:lang w:val="lt-LT"/>
              </w:rPr>
            </w:pPr>
            <w:r w:rsidRPr="00211E3B">
              <w:rPr>
                <w:b/>
                <w:szCs w:val="22"/>
                <w:lang w:val="lt-LT"/>
              </w:rPr>
              <w:t>INPULSIS</w:t>
            </w:r>
            <w:r w:rsidRPr="00211E3B">
              <w:rPr>
                <w:b/>
                <w:szCs w:val="22"/>
                <w:lang w:val="lt-LT"/>
              </w:rPr>
              <w:noBreakHyphen/>
              <w:t>2</w:t>
            </w:r>
          </w:p>
        </w:tc>
        <w:tc>
          <w:tcPr>
            <w:tcW w:w="1322" w:type="pct"/>
            <w:gridSpan w:val="2"/>
          </w:tcPr>
          <w:p w14:paraId="2EF98D45" w14:textId="0703583A" w:rsidR="001A5C84" w:rsidRPr="00211E3B" w:rsidRDefault="001A5C84" w:rsidP="00256DA0">
            <w:pPr>
              <w:autoSpaceDE w:val="0"/>
              <w:autoSpaceDN w:val="0"/>
              <w:adjustRightInd w:val="0"/>
              <w:jc w:val="center"/>
              <w:rPr>
                <w:b/>
                <w:szCs w:val="22"/>
                <w:lang w:val="lt-LT"/>
              </w:rPr>
            </w:pPr>
            <w:r w:rsidRPr="00211E3B">
              <w:rPr>
                <w:b/>
                <w:szCs w:val="22"/>
                <w:lang w:val="lt-LT"/>
              </w:rPr>
              <w:t>I INPULSIS</w:t>
            </w:r>
            <w:r w:rsidRPr="00211E3B">
              <w:rPr>
                <w:b/>
                <w:szCs w:val="22"/>
                <w:lang w:val="lt-LT"/>
              </w:rPr>
              <w:noBreakHyphen/>
              <w:t>1 ir INPULSIS</w:t>
            </w:r>
            <w:r w:rsidRPr="00211E3B">
              <w:rPr>
                <w:b/>
                <w:szCs w:val="22"/>
                <w:lang w:val="lt-LT"/>
              </w:rPr>
              <w:noBreakHyphen/>
              <w:t>2 apibendrinti duomenys</w:t>
            </w:r>
          </w:p>
        </w:tc>
      </w:tr>
      <w:tr w:rsidR="001A5C84" w:rsidRPr="00211E3B" w14:paraId="116E36EC" w14:textId="77777777" w:rsidTr="00256DA0">
        <w:trPr>
          <w:tblHeader/>
        </w:trPr>
        <w:tc>
          <w:tcPr>
            <w:tcW w:w="1015" w:type="pct"/>
          </w:tcPr>
          <w:p w14:paraId="3277A0FA" w14:textId="77777777" w:rsidR="001A5C84" w:rsidRPr="00211E3B" w:rsidRDefault="001A5C84" w:rsidP="001A5C84">
            <w:pPr>
              <w:autoSpaceDE w:val="0"/>
              <w:autoSpaceDN w:val="0"/>
              <w:adjustRightInd w:val="0"/>
              <w:rPr>
                <w:szCs w:val="22"/>
                <w:lang w:val="lt-LT"/>
              </w:rPr>
            </w:pPr>
          </w:p>
        </w:tc>
        <w:tc>
          <w:tcPr>
            <w:tcW w:w="627" w:type="pct"/>
          </w:tcPr>
          <w:p w14:paraId="3267602D" w14:textId="5D62D9A7" w:rsidR="001A5C84" w:rsidRPr="00211E3B" w:rsidRDefault="001A5C84" w:rsidP="001A5C84">
            <w:pPr>
              <w:autoSpaceDE w:val="0"/>
              <w:autoSpaceDN w:val="0"/>
              <w:adjustRightInd w:val="0"/>
              <w:jc w:val="center"/>
              <w:rPr>
                <w:szCs w:val="22"/>
                <w:lang w:val="lt-LT"/>
              </w:rPr>
            </w:pPr>
            <w:r w:rsidRPr="00211E3B">
              <w:rPr>
                <w:szCs w:val="22"/>
                <w:lang w:val="lt-LT"/>
              </w:rPr>
              <w:t>Placebas</w:t>
            </w:r>
          </w:p>
        </w:tc>
        <w:tc>
          <w:tcPr>
            <w:tcW w:w="705" w:type="pct"/>
          </w:tcPr>
          <w:p w14:paraId="42E17185" w14:textId="515F7947" w:rsidR="001A5C84" w:rsidRPr="00211E3B" w:rsidRDefault="001A5C84" w:rsidP="001A5C84">
            <w:pPr>
              <w:autoSpaceDE w:val="0"/>
              <w:autoSpaceDN w:val="0"/>
              <w:adjustRightInd w:val="0"/>
              <w:jc w:val="center"/>
              <w:rPr>
                <w:szCs w:val="22"/>
                <w:lang w:val="lt-LT"/>
              </w:rPr>
            </w:pPr>
            <w:r w:rsidRPr="00211E3B">
              <w:rPr>
                <w:szCs w:val="22"/>
                <w:lang w:val="lt-LT"/>
              </w:rPr>
              <w:t>Nintedanibas 150</w:t>
            </w:r>
            <w:r w:rsidR="0085390D">
              <w:rPr>
                <w:szCs w:val="22"/>
                <w:lang w:val="lt-LT"/>
              </w:rPr>
              <w:t> mg</w:t>
            </w:r>
            <w:r w:rsidRPr="00211E3B">
              <w:rPr>
                <w:szCs w:val="22"/>
                <w:lang w:val="lt-LT"/>
              </w:rPr>
              <w:t xml:space="preserve"> du kartus per parą</w:t>
            </w:r>
          </w:p>
        </w:tc>
        <w:tc>
          <w:tcPr>
            <w:tcW w:w="626" w:type="pct"/>
          </w:tcPr>
          <w:p w14:paraId="5DCCC69E" w14:textId="07538BCE" w:rsidR="001A5C84" w:rsidRPr="00211E3B" w:rsidRDefault="001A5C84" w:rsidP="001A5C84">
            <w:pPr>
              <w:autoSpaceDE w:val="0"/>
              <w:autoSpaceDN w:val="0"/>
              <w:adjustRightInd w:val="0"/>
              <w:jc w:val="center"/>
              <w:rPr>
                <w:szCs w:val="22"/>
                <w:lang w:val="lt-LT"/>
              </w:rPr>
            </w:pPr>
            <w:r w:rsidRPr="00211E3B">
              <w:rPr>
                <w:szCs w:val="22"/>
                <w:lang w:val="lt-LT"/>
              </w:rPr>
              <w:t>Placebas</w:t>
            </w:r>
          </w:p>
        </w:tc>
        <w:tc>
          <w:tcPr>
            <w:tcW w:w="705" w:type="pct"/>
          </w:tcPr>
          <w:p w14:paraId="13EC8A4C" w14:textId="1985FFFF" w:rsidR="001A5C84" w:rsidRPr="00211E3B" w:rsidRDefault="001A5C84" w:rsidP="001A5C84">
            <w:pPr>
              <w:autoSpaceDE w:val="0"/>
              <w:autoSpaceDN w:val="0"/>
              <w:adjustRightInd w:val="0"/>
              <w:jc w:val="center"/>
              <w:rPr>
                <w:szCs w:val="22"/>
                <w:lang w:val="lt-LT"/>
              </w:rPr>
            </w:pPr>
            <w:r w:rsidRPr="00211E3B">
              <w:rPr>
                <w:szCs w:val="22"/>
                <w:lang w:val="lt-LT"/>
              </w:rPr>
              <w:t>Nintedanibas 150</w:t>
            </w:r>
            <w:r w:rsidR="0085390D">
              <w:rPr>
                <w:szCs w:val="22"/>
                <w:lang w:val="lt-LT"/>
              </w:rPr>
              <w:t> mg</w:t>
            </w:r>
            <w:r w:rsidRPr="00211E3B">
              <w:rPr>
                <w:szCs w:val="22"/>
                <w:lang w:val="lt-LT"/>
              </w:rPr>
              <w:t xml:space="preserve"> du kartus per parą</w:t>
            </w:r>
          </w:p>
        </w:tc>
        <w:tc>
          <w:tcPr>
            <w:tcW w:w="662" w:type="pct"/>
          </w:tcPr>
          <w:p w14:paraId="7482327D" w14:textId="2C4B0881" w:rsidR="001A5C84" w:rsidRPr="00211E3B" w:rsidRDefault="001A5C84" w:rsidP="001A5C84">
            <w:pPr>
              <w:autoSpaceDE w:val="0"/>
              <w:autoSpaceDN w:val="0"/>
              <w:adjustRightInd w:val="0"/>
              <w:jc w:val="center"/>
              <w:rPr>
                <w:szCs w:val="22"/>
                <w:lang w:val="lt-LT"/>
              </w:rPr>
            </w:pPr>
            <w:r w:rsidRPr="00211E3B">
              <w:rPr>
                <w:szCs w:val="22"/>
                <w:lang w:val="lt-LT"/>
              </w:rPr>
              <w:t>Placebas</w:t>
            </w:r>
          </w:p>
        </w:tc>
        <w:tc>
          <w:tcPr>
            <w:tcW w:w="660" w:type="pct"/>
          </w:tcPr>
          <w:p w14:paraId="41D7DE0C" w14:textId="4587AEE7" w:rsidR="001A5C84" w:rsidRPr="00211E3B" w:rsidRDefault="001A5C84" w:rsidP="001A5C84">
            <w:pPr>
              <w:autoSpaceDE w:val="0"/>
              <w:autoSpaceDN w:val="0"/>
              <w:adjustRightInd w:val="0"/>
              <w:jc w:val="center"/>
              <w:rPr>
                <w:szCs w:val="22"/>
                <w:lang w:val="lt-LT"/>
              </w:rPr>
            </w:pPr>
            <w:r w:rsidRPr="00211E3B">
              <w:rPr>
                <w:szCs w:val="22"/>
                <w:lang w:val="lt-LT"/>
              </w:rPr>
              <w:t>Nintedanibas 150</w:t>
            </w:r>
            <w:r w:rsidR="0085390D">
              <w:rPr>
                <w:szCs w:val="22"/>
                <w:lang w:val="lt-LT"/>
              </w:rPr>
              <w:t> mg</w:t>
            </w:r>
            <w:r w:rsidRPr="00211E3B">
              <w:rPr>
                <w:szCs w:val="22"/>
                <w:lang w:val="lt-LT"/>
              </w:rPr>
              <w:t xml:space="preserve"> du kartus per parą</w:t>
            </w:r>
          </w:p>
        </w:tc>
      </w:tr>
      <w:tr w:rsidR="001A5C84" w:rsidRPr="00211E3B" w14:paraId="1862A9CA" w14:textId="77777777" w:rsidTr="00256DA0">
        <w:tc>
          <w:tcPr>
            <w:tcW w:w="1015" w:type="pct"/>
          </w:tcPr>
          <w:p w14:paraId="4C3DB6ED" w14:textId="2E050123" w:rsidR="001A5C84" w:rsidRPr="00211E3B" w:rsidRDefault="001A5C84" w:rsidP="00256DA0">
            <w:pPr>
              <w:autoSpaceDE w:val="0"/>
              <w:autoSpaceDN w:val="0"/>
              <w:adjustRightInd w:val="0"/>
              <w:rPr>
                <w:szCs w:val="22"/>
                <w:lang w:val="lt-LT"/>
              </w:rPr>
            </w:pPr>
            <w:r w:rsidRPr="00211E3B">
              <w:rPr>
                <w:szCs w:val="22"/>
                <w:lang w:val="lt-LT"/>
              </w:rPr>
              <w:t>Analizuotų pacientų skaičius</w:t>
            </w:r>
          </w:p>
        </w:tc>
        <w:tc>
          <w:tcPr>
            <w:tcW w:w="627" w:type="pct"/>
            <w:vAlign w:val="bottom"/>
          </w:tcPr>
          <w:p w14:paraId="769F8EF7" w14:textId="77777777" w:rsidR="001A5C84" w:rsidRPr="00211E3B" w:rsidRDefault="001A5C84" w:rsidP="00256DA0">
            <w:pPr>
              <w:autoSpaceDE w:val="0"/>
              <w:autoSpaceDN w:val="0"/>
              <w:adjustRightInd w:val="0"/>
              <w:jc w:val="center"/>
              <w:rPr>
                <w:szCs w:val="22"/>
                <w:lang w:val="lt-LT"/>
              </w:rPr>
            </w:pPr>
            <w:r w:rsidRPr="00211E3B">
              <w:rPr>
                <w:szCs w:val="22"/>
                <w:lang w:val="lt-LT"/>
              </w:rPr>
              <w:t>204</w:t>
            </w:r>
          </w:p>
        </w:tc>
        <w:tc>
          <w:tcPr>
            <w:tcW w:w="705" w:type="pct"/>
            <w:vAlign w:val="bottom"/>
          </w:tcPr>
          <w:p w14:paraId="623C9702" w14:textId="77777777" w:rsidR="001A5C84" w:rsidRPr="00211E3B" w:rsidRDefault="001A5C84" w:rsidP="00256DA0">
            <w:pPr>
              <w:autoSpaceDE w:val="0"/>
              <w:autoSpaceDN w:val="0"/>
              <w:adjustRightInd w:val="0"/>
              <w:jc w:val="center"/>
              <w:rPr>
                <w:szCs w:val="22"/>
                <w:lang w:val="lt-LT"/>
              </w:rPr>
            </w:pPr>
            <w:r w:rsidRPr="00211E3B">
              <w:rPr>
                <w:szCs w:val="22"/>
                <w:lang w:val="lt-LT"/>
              </w:rPr>
              <w:t>309</w:t>
            </w:r>
          </w:p>
        </w:tc>
        <w:tc>
          <w:tcPr>
            <w:tcW w:w="626" w:type="pct"/>
            <w:vAlign w:val="bottom"/>
          </w:tcPr>
          <w:p w14:paraId="497A1C8A" w14:textId="77777777" w:rsidR="001A5C84" w:rsidRPr="00211E3B" w:rsidRDefault="001A5C84" w:rsidP="00256DA0">
            <w:pPr>
              <w:autoSpaceDE w:val="0"/>
              <w:autoSpaceDN w:val="0"/>
              <w:adjustRightInd w:val="0"/>
              <w:jc w:val="center"/>
              <w:rPr>
                <w:szCs w:val="22"/>
                <w:lang w:val="lt-LT"/>
              </w:rPr>
            </w:pPr>
            <w:r w:rsidRPr="00211E3B">
              <w:rPr>
                <w:szCs w:val="22"/>
                <w:lang w:val="lt-LT"/>
              </w:rPr>
              <w:t>219</w:t>
            </w:r>
          </w:p>
        </w:tc>
        <w:tc>
          <w:tcPr>
            <w:tcW w:w="705" w:type="pct"/>
            <w:vAlign w:val="bottom"/>
          </w:tcPr>
          <w:p w14:paraId="6CA5BACA" w14:textId="77777777" w:rsidR="001A5C84" w:rsidRPr="00211E3B" w:rsidRDefault="001A5C84" w:rsidP="00256DA0">
            <w:pPr>
              <w:autoSpaceDE w:val="0"/>
              <w:autoSpaceDN w:val="0"/>
              <w:adjustRightInd w:val="0"/>
              <w:jc w:val="center"/>
              <w:rPr>
                <w:szCs w:val="22"/>
                <w:lang w:val="lt-LT"/>
              </w:rPr>
            </w:pPr>
            <w:r w:rsidRPr="00211E3B">
              <w:rPr>
                <w:szCs w:val="22"/>
                <w:lang w:val="lt-LT"/>
              </w:rPr>
              <w:t>329</w:t>
            </w:r>
          </w:p>
        </w:tc>
        <w:tc>
          <w:tcPr>
            <w:tcW w:w="662" w:type="pct"/>
            <w:vAlign w:val="bottom"/>
          </w:tcPr>
          <w:p w14:paraId="2CFBBD5D" w14:textId="77777777" w:rsidR="001A5C84" w:rsidRPr="00211E3B" w:rsidRDefault="001A5C84" w:rsidP="00256DA0">
            <w:pPr>
              <w:autoSpaceDE w:val="0"/>
              <w:autoSpaceDN w:val="0"/>
              <w:adjustRightInd w:val="0"/>
              <w:jc w:val="center"/>
              <w:rPr>
                <w:szCs w:val="22"/>
                <w:lang w:val="lt-LT"/>
              </w:rPr>
            </w:pPr>
            <w:r w:rsidRPr="00211E3B">
              <w:rPr>
                <w:szCs w:val="22"/>
                <w:lang w:val="lt-LT"/>
              </w:rPr>
              <w:t>423</w:t>
            </w:r>
          </w:p>
        </w:tc>
        <w:tc>
          <w:tcPr>
            <w:tcW w:w="660" w:type="pct"/>
            <w:vAlign w:val="bottom"/>
          </w:tcPr>
          <w:p w14:paraId="509C5481" w14:textId="77777777" w:rsidR="001A5C84" w:rsidRPr="00211E3B" w:rsidRDefault="001A5C84" w:rsidP="00256DA0">
            <w:pPr>
              <w:autoSpaceDE w:val="0"/>
              <w:autoSpaceDN w:val="0"/>
              <w:adjustRightInd w:val="0"/>
              <w:jc w:val="center"/>
              <w:rPr>
                <w:szCs w:val="22"/>
                <w:lang w:val="lt-LT"/>
              </w:rPr>
            </w:pPr>
            <w:r w:rsidRPr="00211E3B">
              <w:rPr>
                <w:szCs w:val="22"/>
                <w:lang w:val="lt-LT"/>
              </w:rPr>
              <w:t>638</w:t>
            </w:r>
          </w:p>
        </w:tc>
      </w:tr>
      <w:tr w:rsidR="001A5C84" w:rsidRPr="00211E3B" w14:paraId="6ED28736" w14:textId="77777777" w:rsidTr="00256DA0">
        <w:tc>
          <w:tcPr>
            <w:tcW w:w="5000" w:type="pct"/>
            <w:gridSpan w:val="7"/>
          </w:tcPr>
          <w:p w14:paraId="1C186474" w14:textId="569573AD" w:rsidR="001A5C84" w:rsidRPr="00211E3B" w:rsidRDefault="001A5C84" w:rsidP="00256DA0">
            <w:pPr>
              <w:autoSpaceDE w:val="0"/>
              <w:autoSpaceDN w:val="0"/>
              <w:adjustRightInd w:val="0"/>
              <w:rPr>
                <w:b/>
                <w:szCs w:val="22"/>
                <w:lang w:val="lt-LT"/>
              </w:rPr>
            </w:pPr>
            <w:r w:rsidRPr="00211E3B">
              <w:rPr>
                <w:b/>
                <w:szCs w:val="22"/>
                <w:lang w:val="lt-LT"/>
              </w:rPr>
              <w:t>5</w:t>
            </w:r>
            <w:r w:rsidR="0085390D">
              <w:rPr>
                <w:b/>
                <w:szCs w:val="22"/>
                <w:lang w:val="lt-LT"/>
              </w:rPr>
              <w:t xml:space="preserve"> %</w:t>
            </w:r>
            <w:r w:rsidRPr="00211E3B">
              <w:rPr>
                <w:b/>
                <w:szCs w:val="22"/>
                <w:lang w:val="lt-LT"/>
              </w:rPr>
              <w:t xml:space="preserve"> riba</w:t>
            </w:r>
          </w:p>
        </w:tc>
      </w:tr>
      <w:tr w:rsidR="001A5C84" w:rsidRPr="00211E3B" w14:paraId="1922234B" w14:textId="77777777" w:rsidTr="00256DA0">
        <w:tc>
          <w:tcPr>
            <w:tcW w:w="1015" w:type="pct"/>
          </w:tcPr>
          <w:p w14:paraId="1D9A10FD" w14:textId="58976255" w:rsidR="001A5C84" w:rsidRPr="00211E3B" w:rsidRDefault="001A5C84" w:rsidP="001A5C84">
            <w:pPr>
              <w:autoSpaceDE w:val="0"/>
              <w:autoSpaceDN w:val="0"/>
              <w:adjustRightInd w:val="0"/>
              <w:rPr>
                <w:szCs w:val="22"/>
                <w:lang w:val="lt-LT"/>
              </w:rPr>
            </w:pPr>
            <w:r w:rsidRPr="00211E3B">
              <w:rPr>
                <w:szCs w:val="22"/>
                <w:lang w:val="lt-LT"/>
              </w:rPr>
              <w:t>Reagavusiųjų</w:t>
            </w:r>
            <w:r w:rsidRPr="00211E3B">
              <w:rPr>
                <w:szCs w:val="22"/>
                <w:vertAlign w:val="superscript"/>
                <w:lang w:val="lt-LT"/>
              </w:rPr>
              <w:t>1</w:t>
            </w:r>
            <w:r w:rsidRPr="00211E3B">
              <w:rPr>
                <w:szCs w:val="22"/>
                <w:lang w:val="lt-LT"/>
              </w:rPr>
              <w:t xml:space="preserve"> FGPT atsaku skaičius (</w:t>
            </w:r>
            <w:r w:rsidR="0085390D">
              <w:rPr>
                <w:szCs w:val="22"/>
                <w:lang w:val="lt-LT"/>
              </w:rPr>
              <w:t xml:space="preserve"> %</w:t>
            </w:r>
            <w:r w:rsidRPr="00211E3B">
              <w:rPr>
                <w:szCs w:val="22"/>
                <w:lang w:val="lt-LT"/>
              </w:rPr>
              <w:t>)</w:t>
            </w:r>
          </w:p>
        </w:tc>
        <w:tc>
          <w:tcPr>
            <w:tcW w:w="627" w:type="pct"/>
            <w:vAlign w:val="bottom"/>
          </w:tcPr>
          <w:p w14:paraId="3A8A82D1" w14:textId="46A72657" w:rsidR="001A5C84" w:rsidRPr="00211E3B" w:rsidRDefault="001A5C84" w:rsidP="001A5C84">
            <w:pPr>
              <w:autoSpaceDE w:val="0"/>
              <w:autoSpaceDN w:val="0"/>
              <w:adjustRightInd w:val="0"/>
              <w:jc w:val="center"/>
              <w:rPr>
                <w:szCs w:val="22"/>
                <w:lang w:val="lt-LT"/>
              </w:rPr>
            </w:pPr>
            <w:r w:rsidRPr="00211E3B">
              <w:rPr>
                <w:szCs w:val="22"/>
                <w:lang w:val="lt-LT"/>
              </w:rPr>
              <w:t>78 (38,2)</w:t>
            </w:r>
          </w:p>
        </w:tc>
        <w:tc>
          <w:tcPr>
            <w:tcW w:w="705" w:type="pct"/>
            <w:vAlign w:val="bottom"/>
          </w:tcPr>
          <w:p w14:paraId="6EC95BA6" w14:textId="06F22389" w:rsidR="001A5C84" w:rsidRPr="00211E3B" w:rsidRDefault="001A5C84" w:rsidP="001A5C84">
            <w:pPr>
              <w:autoSpaceDE w:val="0"/>
              <w:autoSpaceDN w:val="0"/>
              <w:adjustRightInd w:val="0"/>
              <w:jc w:val="center"/>
              <w:rPr>
                <w:szCs w:val="22"/>
                <w:lang w:val="lt-LT"/>
              </w:rPr>
            </w:pPr>
            <w:r w:rsidRPr="00211E3B">
              <w:rPr>
                <w:szCs w:val="22"/>
                <w:lang w:val="lt-LT"/>
              </w:rPr>
              <w:t>163 (52,8)</w:t>
            </w:r>
          </w:p>
        </w:tc>
        <w:tc>
          <w:tcPr>
            <w:tcW w:w="626" w:type="pct"/>
            <w:vAlign w:val="bottom"/>
          </w:tcPr>
          <w:p w14:paraId="3DCDD356" w14:textId="3B3DDCC8" w:rsidR="001A5C84" w:rsidRPr="00211E3B" w:rsidRDefault="001A5C84" w:rsidP="001A5C84">
            <w:pPr>
              <w:autoSpaceDE w:val="0"/>
              <w:autoSpaceDN w:val="0"/>
              <w:adjustRightInd w:val="0"/>
              <w:jc w:val="center"/>
              <w:rPr>
                <w:szCs w:val="22"/>
                <w:lang w:val="lt-LT"/>
              </w:rPr>
            </w:pPr>
            <w:r w:rsidRPr="00211E3B">
              <w:rPr>
                <w:szCs w:val="22"/>
                <w:lang w:val="lt-LT"/>
              </w:rPr>
              <w:t>86 (39,3)</w:t>
            </w:r>
          </w:p>
        </w:tc>
        <w:tc>
          <w:tcPr>
            <w:tcW w:w="705" w:type="pct"/>
            <w:vAlign w:val="bottom"/>
          </w:tcPr>
          <w:p w14:paraId="1C31509A" w14:textId="272B6792" w:rsidR="001A5C84" w:rsidRPr="00211E3B" w:rsidRDefault="001A5C84" w:rsidP="001A5C84">
            <w:pPr>
              <w:autoSpaceDE w:val="0"/>
              <w:autoSpaceDN w:val="0"/>
              <w:adjustRightInd w:val="0"/>
              <w:jc w:val="center"/>
              <w:rPr>
                <w:szCs w:val="22"/>
                <w:lang w:val="lt-LT"/>
              </w:rPr>
            </w:pPr>
            <w:r w:rsidRPr="00211E3B">
              <w:rPr>
                <w:szCs w:val="22"/>
                <w:lang w:val="lt-LT"/>
              </w:rPr>
              <w:t>175 (53,2)</w:t>
            </w:r>
          </w:p>
        </w:tc>
        <w:tc>
          <w:tcPr>
            <w:tcW w:w="662" w:type="pct"/>
            <w:vAlign w:val="bottom"/>
          </w:tcPr>
          <w:p w14:paraId="2AEDECED" w14:textId="40455FEA" w:rsidR="001A5C84" w:rsidRPr="00211E3B" w:rsidRDefault="001A5C84" w:rsidP="001A5C84">
            <w:pPr>
              <w:autoSpaceDE w:val="0"/>
              <w:autoSpaceDN w:val="0"/>
              <w:adjustRightInd w:val="0"/>
              <w:jc w:val="center"/>
              <w:rPr>
                <w:szCs w:val="22"/>
                <w:lang w:val="lt-LT"/>
              </w:rPr>
            </w:pPr>
            <w:r w:rsidRPr="00211E3B">
              <w:rPr>
                <w:szCs w:val="22"/>
                <w:lang w:val="lt-LT"/>
              </w:rPr>
              <w:t>164 (38,8)</w:t>
            </w:r>
          </w:p>
        </w:tc>
        <w:tc>
          <w:tcPr>
            <w:tcW w:w="660" w:type="pct"/>
            <w:vAlign w:val="bottom"/>
          </w:tcPr>
          <w:p w14:paraId="04A716CB" w14:textId="27BAE632" w:rsidR="001A5C84" w:rsidRPr="00211E3B" w:rsidRDefault="001A5C84" w:rsidP="001A5C84">
            <w:pPr>
              <w:autoSpaceDE w:val="0"/>
              <w:autoSpaceDN w:val="0"/>
              <w:adjustRightInd w:val="0"/>
              <w:jc w:val="center"/>
              <w:rPr>
                <w:szCs w:val="22"/>
                <w:lang w:val="lt-LT"/>
              </w:rPr>
            </w:pPr>
            <w:r w:rsidRPr="00211E3B">
              <w:rPr>
                <w:szCs w:val="22"/>
                <w:lang w:val="lt-LT"/>
              </w:rPr>
              <w:t>338 (53,0)</w:t>
            </w:r>
          </w:p>
        </w:tc>
      </w:tr>
      <w:tr w:rsidR="001A5C84" w:rsidRPr="00211E3B" w14:paraId="0FFF14C6" w14:textId="77777777" w:rsidTr="00256DA0">
        <w:tc>
          <w:tcPr>
            <w:tcW w:w="5000" w:type="pct"/>
            <w:gridSpan w:val="7"/>
          </w:tcPr>
          <w:p w14:paraId="4DB0BAE7" w14:textId="0116BC2E" w:rsidR="001A5C84" w:rsidRPr="00211E3B" w:rsidRDefault="001A5C84" w:rsidP="001A5C84">
            <w:pPr>
              <w:autoSpaceDE w:val="0"/>
              <w:autoSpaceDN w:val="0"/>
              <w:adjustRightInd w:val="0"/>
              <w:rPr>
                <w:szCs w:val="22"/>
                <w:lang w:val="lt-LT"/>
              </w:rPr>
            </w:pPr>
            <w:r w:rsidRPr="00211E3B">
              <w:rPr>
                <w:szCs w:val="22"/>
                <w:lang w:val="lt-LT"/>
              </w:rPr>
              <w:t>Palyginimas su placebu</w:t>
            </w:r>
          </w:p>
        </w:tc>
      </w:tr>
      <w:tr w:rsidR="001A5C84" w:rsidRPr="00211E3B" w14:paraId="1413EBDD" w14:textId="77777777" w:rsidTr="00256DA0">
        <w:tc>
          <w:tcPr>
            <w:tcW w:w="1015" w:type="pct"/>
          </w:tcPr>
          <w:p w14:paraId="47CCB623" w14:textId="434221C6" w:rsidR="001A5C84" w:rsidRPr="00211E3B" w:rsidRDefault="001A5C84" w:rsidP="001A5C84">
            <w:pPr>
              <w:autoSpaceDE w:val="0"/>
              <w:autoSpaceDN w:val="0"/>
              <w:adjustRightInd w:val="0"/>
              <w:rPr>
                <w:szCs w:val="22"/>
                <w:lang w:val="lt-LT"/>
              </w:rPr>
            </w:pPr>
            <w:r w:rsidRPr="00211E3B">
              <w:rPr>
                <w:szCs w:val="22"/>
                <w:lang w:val="lt-LT"/>
              </w:rPr>
              <w:t>Šansų santykis</w:t>
            </w:r>
          </w:p>
        </w:tc>
        <w:tc>
          <w:tcPr>
            <w:tcW w:w="627" w:type="pct"/>
            <w:vAlign w:val="center"/>
          </w:tcPr>
          <w:p w14:paraId="13743E20" w14:textId="77777777" w:rsidR="001A5C84" w:rsidRPr="00211E3B" w:rsidRDefault="001A5C84" w:rsidP="001A5C84">
            <w:pPr>
              <w:autoSpaceDE w:val="0"/>
              <w:autoSpaceDN w:val="0"/>
              <w:adjustRightInd w:val="0"/>
              <w:jc w:val="center"/>
              <w:rPr>
                <w:szCs w:val="22"/>
                <w:lang w:val="lt-LT"/>
              </w:rPr>
            </w:pPr>
          </w:p>
        </w:tc>
        <w:tc>
          <w:tcPr>
            <w:tcW w:w="705" w:type="pct"/>
            <w:vAlign w:val="center"/>
          </w:tcPr>
          <w:p w14:paraId="6D800A32" w14:textId="39C37770" w:rsidR="001A5C84" w:rsidRPr="00211E3B" w:rsidRDefault="001A5C84" w:rsidP="001A5C84">
            <w:pPr>
              <w:autoSpaceDE w:val="0"/>
              <w:autoSpaceDN w:val="0"/>
              <w:adjustRightInd w:val="0"/>
              <w:jc w:val="center"/>
              <w:rPr>
                <w:szCs w:val="22"/>
                <w:lang w:val="lt-LT"/>
              </w:rPr>
            </w:pPr>
            <w:r w:rsidRPr="00211E3B">
              <w:rPr>
                <w:szCs w:val="22"/>
                <w:lang w:val="lt-LT"/>
              </w:rPr>
              <w:t>1,85</w:t>
            </w:r>
          </w:p>
        </w:tc>
        <w:tc>
          <w:tcPr>
            <w:tcW w:w="626" w:type="pct"/>
            <w:vAlign w:val="center"/>
          </w:tcPr>
          <w:p w14:paraId="6413FF52" w14:textId="77777777" w:rsidR="001A5C84" w:rsidRPr="00211E3B" w:rsidRDefault="001A5C84" w:rsidP="001A5C84">
            <w:pPr>
              <w:autoSpaceDE w:val="0"/>
              <w:autoSpaceDN w:val="0"/>
              <w:adjustRightInd w:val="0"/>
              <w:jc w:val="center"/>
              <w:rPr>
                <w:szCs w:val="22"/>
                <w:lang w:val="lt-LT"/>
              </w:rPr>
            </w:pPr>
          </w:p>
        </w:tc>
        <w:tc>
          <w:tcPr>
            <w:tcW w:w="705" w:type="pct"/>
            <w:vAlign w:val="center"/>
          </w:tcPr>
          <w:p w14:paraId="6E36E100" w14:textId="4D66D42A" w:rsidR="001A5C84" w:rsidRPr="00211E3B" w:rsidRDefault="001A5C84" w:rsidP="001A5C84">
            <w:pPr>
              <w:autoSpaceDE w:val="0"/>
              <w:autoSpaceDN w:val="0"/>
              <w:adjustRightInd w:val="0"/>
              <w:jc w:val="center"/>
              <w:rPr>
                <w:szCs w:val="22"/>
                <w:lang w:val="lt-LT"/>
              </w:rPr>
            </w:pPr>
            <w:r w:rsidRPr="00211E3B">
              <w:rPr>
                <w:szCs w:val="22"/>
                <w:lang w:val="lt-LT"/>
              </w:rPr>
              <w:t>1,79</w:t>
            </w:r>
          </w:p>
        </w:tc>
        <w:tc>
          <w:tcPr>
            <w:tcW w:w="662" w:type="pct"/>
            <w:vAlign w:val="center"/>
          </w:tcPr>
          <w:p w14:paraId="4A62B2A3" w14:textId="77777777" w:rsidR="001A5C84" w:rsidRPr="00211E3B" w:rsidRDefault="001A5C84" w:rsidP="001A5C84">
            <w:pPr>
              <w:autoSpaceDE w:val="0"/>
              <w:autoSpaceDN w:val="0"/>
              <w:adjustRightInd w:val="0"/>
              <w:jc w:val="center"/>
              <w:rPr>
                <w:szCs w:val="22"/>
                <w:lang w:val="lt-LT"/>
              </w:rPr>
            </w:pPr>
          </w:p>
        </w:tc>
        <w:tc>
          <w:tcPr>
            <w:tcW w:w="660" w:type="pct"/>
            <w:vAlign w:val="center"/>
          </w:tcPr>
          <w:p w14:paraId="476BF7F2" w14:textId="2308C9AC" w:rsidR="001A5C84" w:rsidRPr="00211E3B" w:rsidRDefault="001A5C84" w:rsidP="001A5C84">
            <w:pPr>
              <w:autoSpaceDE w:val="0"/>
              <w:autoSpaceDN w:val="0"/>
              <w:adjustRightInd w:val="0"/>
              <w:jc w:val="center"/>
              <w:rPr>
                <w:szCs w:val="22"/>
                <w:lang w:val="lt-LT"/>
              </w:rPr>
            </w:pPr>
            <w:r w:rsidRPr="00211E3B">
              <w:rPr>
                <w:szCs w:val="22"/>
                <w:lang w:val="lt-LT"/>
              </w:rPr>
              <w:t>1,84</w:t>
            </w:r>
          </w:p>
        </w:tc>
      </w:tr>
      <w:tr w:rsidR="001A5C84" w:rsidRPr="00211E3B" w14:paraId="4C0AD440" w14:textId="77777777" w:rsidTr="00256DA0">
        <w:tc>
          <w:tcPr>
            <w:tcW w:w="1015" w:type="pct"/>
          </w:tcPr>
          <w:p w14:paraId="5B4C34CE" w14:textId="30948D04" w:rsidR="001A5C84" w:rsidRPr="00211E3B" w:rsidRDefault="001A5C84" w:rsidP="001A5C84">
            <w:pPr>
              <w:autoSpaceDE w:val="0"/>
              <w:autoSpaceDN w:val="0"/>
              <w:adjustRightInd w:val="0"/>
              <w:rPr>
                <w:szCs w:val="22"/>
                <w:lang w:val="lt-LT"/>
              </w:rPr>
            </w:pPr>
            <w:r w:rsidRPr="00211E3B">
              <w:rPr>
                <w:szCs w:val="22"/>
                <w:lang w:val="lt-LT"/>
              </w:rPr>
              <w:t>95</w:t>
            </w:r>
            <w:r w:rsidR="0085390D">
              <w:rPr>
                <w:szCs w:val="22"/>
                <w:lang w:val="lt-LT"/>
              </w:rPr>
              <w:t xml:space="preserve"> %</w:t>
            </w:r>
            <w:r w:rsidRPr="00211E3B">
              <w:rPr>
                <w:szCs w:val="22"/>
                <w:lang w:val="lt-LT"/>
              </w:rPr>
              <w:t> PI</w:t>
            </w:r>
          </w:p>
        </w:tc>
        <w:tc>
          <w:tcPr>
            <w:tcW w:w="627" w:type="pct"/>
            <w:vAlign w:val="center"/>
          </w:tcPr>
          <w:p w14:paraId="1592B388" w14:textId="77777777" w:rsidR="001A5C84" w:rsidRPr="00211E3B" w:rsidRDefault="001A5C84" w:rsidP="001A5C84">
            <w:pPr>
              <w:autoSpaceDE w:val="0"/>
              <w:autoSpaceDN w:val="0"/>
              <w:adjustRightInd w:val="0"/>
              <w:jc w:val="center"/>
              <w:rPr>
                <w:szCs w:val="22"/>
                <w:lang w:val="lt-LT"/>
              </w:rPr>
            </w:pPr>
          </w:p>
        </w:tc>
        <w:tc>
          <w:tcPr>
            <w:tcW w:w="705" w:type="pct"/>
            <w:vAlign w:val="center"/>
          </w:tcPr>
          <w:p w14:paraId="37FE2313" w14:textId="3F181D8F" w:rsidR="001A5C84" w:rsidRPr="00211E3B" w:rsidRDefault="001A5C84" w:rsidP="001A5C84">
            <w:pPr>
              <w:autoSpaceDE w:val="0"/>
              <w:autoSpaceDN w:val="0"/>
              <w:adjustRightInd w:val="0"/>
              <w:jc w:val="center"/>
              <w:rPr>
                <w:szCs w:val="22"/>
                <w:lang w:val="lt-LT"/>
              </w:rPr>
            </w:pPr>
            <w:r w:rsidRPr="00211E3B">
              <w:rPr>
                <w:szCs w:val="22"/>
                <w:lang w:val="lt-LT"/>
              </w:rPr>
              <w:t>(1,28, 2,66)</w:t>
            </w:r>
          </w:p>
        </w:tc>
        <w:tc>
          <w:tcPr>
            <w:tcW w:w="626" w:type="pct"/>
            <w:vAlign w:val="center"/>
          </w:tcPr>
          <w:p w14:paraId="2B94725C" w14:textId="77777777" w:rsidR="001A5C84" w:rsidRPr="00211E3B" w:rsidRDefault="001A5C84" w:rsidP="001A5C84">
            <w:pPr>
              <w:autoSpaceDE w:val="0"/>
              <w:autoSpaceDN w:val="0"/>
              <w:adjustRightInd w:val="0"/>
              <w:jc w:val="center"/>
              <w:rPr>
                <w:szCs w:val="22"/>
                <w:lang w:val="lt-LT"/>
              </w:rPr>
            </w:pPr>
          </w:p>
        </w:tc>
        <w:tc>
          <w:tcPr>
            <w:tcW w:w="705" w:type="pct"/>
            <w:vAlign w:val="center"/>
          </w:tcPr>
          <w:p w14:paraId="78F400D2" w14:textId="68813CAB" w:rsidR="001A5C84" w:rsidRPr="00211E3B" w:rsidRDefault="001A5C84" w:rsidP="001A5C84">
            <w:pPr>
              <w:autoSpaceDE w:val="0"/>
              <w:autoSpaceDN w:val="0"/>
              <w:adjustRightInd w:val="0"/>
              <w:jc w:val="center"/>
              <w:rPr>
                <w:szCs w:val="22"/>
                <w:lang w:val="lt-LT"/>
              </w:rPr>
            </w:pPr>
            <w:r w:rsidRPr="00211E3B">
              <w:rPr>
                <w:szCs w:val="22"/>
                <w:lang w:val="lt-LT"/>
              </w:rPr>
              <w:t>(1,26, 2,55)</w:t>
            </w:r>
          </w:p>
        </w:tc>
        <w:tc>
          <w:tcPr>
            <w:tcW w:w="662" w:type="pct"/>
            <w:vAlign w:val="center"/>
          </w:tcPr>
          <w:p w14:paraId="43D06A7B" w14:textId="77777777" w:rsidR="001A5C84" w:rsidRPr="00211E3B" w:rsidRDefault="001A5C84" w:rsidP="001A5C84">
            <w:pPr>
              <w:autoSpaceDE w:val="0"/>
              <w:autoSpaceDN w:val="0"/>
              <w:adjustRightInd w:val="0"/>
              <w:jc w:val="center"/>
              <w:rPr>
                <w:szCs w:val="22"/>
                <w:lang w:val="lt-LT"/>
              </w:rPr>
            </w:pPr>
          </w:p>
        </w:tc>
        <w:tc>
          <w:tcPr>
            <w:tcW w:w="660" w:type="pct"/>
            <w:vAlign w:val="center"/>
          </w:tcPr>
          <w:p w14:paraId="2D91C3A1" w14:textId="14017548" w:rsidR="001A5C84" w:rsidRPr="00211E3B" w:rsidRDefault="001A5C84" w:rsidP="001A5C84">
            <w:pPr>
              <w:autoSpaceDE w:val="0"/>
              <w:autoSpaceDN w:val="0"/>
              <w:adjustRightInd w:val="0"/>
              <w:ind w:right="-125"/>
              <w:jc w:val="center"/>
              <w:rPr>
                <w:szCs w:val="22"/>
                <w:lang w:val="lt-LT"/>
              </w:rPr>
            </w:pPr>
            <w:r w:rsidRPr="00211E3B">
              <w:rPr>
                <w:szCs w:val="22"/>
                <w:lang w:val="lt-LT"/>
              </w:rPr>
              <w:t>(1,43, 2,36)</w:t>
            </w:r>
          </w:p>
        </w:tc>
      </w:tr>
      <w:tr w:rsidR="001A5C84" w:rsidRPr="00211E3B" w14:paraId="09D24C5F" w14:textId="77777777" w:rsidTr="00256DA0">
        <w:tc>
          <w:tcPr>
            <w:tcW w:w="1015" w:type="pct"/>
          </w:tcPr>
          <w:p w14:paraId="567D7025" w14:textId="54CDCFD6" w:rsidR="001A5C84" w:rsidRPr="00211E3B" w:rsidRDefault="001A5C84" w:rsidP="001A5C84">
            <w:pPr>
              <w:autoSpaceDE w:val="0"/>
              <w:autoSpaceDN w:val="0"/>
              <w:adjustRightInd w:val="0"/>
              <w:rPr>
                <w:szCs w:val="22"/>
                <w:lang w:val="lt-LT"/>
              </w:rPr>
            </w:pPr>
            <w:r w:rsidRPr="00211E3B">
              <w:rPr>
                <w:szCs w:val="22"/>
                <w:lang w:val="lt-LT"/>
              </w:rPr>
              <w:t>p r</w:t>
            </w:r>
            <w:r w:rsidR="00736365">
              <w:rPr>
                <w:szCs w:val="22"/>
                <w:lang w:val="lt-LT"/>
              </w:rPr>
              <w:t>eikšmė</w:t>
            </w:r>
            <w:r w:rsidRPr="00211E3B">
              <w:rPr>
                <w:szCs w:val="22"/>
                <w:vertAlign w:val="superscript"/>
                <w:lang w:val="lt-LT"/>
              </w:rPr>
              <w:t>2</w:t>
            </w:r>
          </w:p>
        </w:tc>
        <w:tc>
          <w:tcPr>
            <w:tcW w:w="627" w:type="pct"/>
            <w:vAlign w:val="center"/>
          </w:tcPr>
          <w:p w14:paraId="25440D91" w14:textId="77777777" w:rsidR="001A5C84" w:rsidRPr="00211E3B" w:rsidRDefault="001A5C84" w:rsidP="001A5C84">
            <w:pPr>
              <w:autoSpaceDE w:val="0"/>
              <w:autoSpaceDN w:val="0"/>
              <w:adjustRightInd w:val="0"/>
              <w:jc w:val="center"/>
              <w:rPr>
                <w:szCs w:val="22"/>
                <w:lang w:val="lt-LT"/>
              </w:rPr>
            </w:pPr>
          </w:p>
        </w:tc>
        <w:tc>
          <w:tcPr>
            <w:tcW w:w="705" w:type="pct"/>
            <w:vAlign w:val="center"/>
          </w:tcPr>
          <w:p w14:paraId="3EC92A26" w14:textId="02AD3F6F" w:rsidR="001A5C84" w:rsidRPr="00211E3B" w:rsidRDefault="001A5C84" w:rsidP="001A5C84">
            <w:pPr>
              <w:autoSpaceDE w:val="0"/>
              <w:autoSpaceDN w:val="0"/>
              <w:adjustRightInd w:val="0"/>
              <w:jc w:val="center"/>
              <w:rPr>
                <w:szCs w:val="22"/>
                <w:lang w:val="lt-LT"/>
              </w:rPr>
            </w:pPr>
            <w:r w:rsidRPr="00211E3B">
              <w:rPr>
                <w:szCs w:val="22"/>
                <w:lang w:val="lt-LT"/>
              </w:rPr>
              <w:t>0,0010</w:t>
            </w:r>
          </w:p>
        </w:tc>
        <w:tc>
          <w:tcPr>
            <w:tcW w:w="626" w:type="pct"/>
            <w:vAlign w:val="center"/>
          </w:tcPr>
          <w:p w14:paraId="4662CFAB" w14:textId="77777777" w:rsidR="001A5C84" w:rsidRPr="00211E3B" w:rsidRDefault="001A5C84" w:rsidP="001A5C84">
            <w:pPr>
              <w:autoSpaceDE w:val="0"/>
              <w:autoSpaceDN w:val="0"/>
              <w:adjustRightInd w:val="0"/>
              <w:jc w:val="center"/>
              <w:rPr>
                <w:szCs w:val="22"/>
                <w:lang w:val="lt-LT"/>
              </w:rPr>
            </w:pPr>
          </w:p>
        </w:tc>
        <w:tc>
          <w:tcPr>
            <w:tcW w:w="705" w:type="pct"/>
            <w:vAlign w:val="center"/>
          </w:tcPr>
          <w:p w14:paraId="57C5A11F" w14:textId="507C9359" w:rsidR="001A5C84" w:rsidRPr="00211E3B" w:rsidRDefault="001A5C84" w:rsidP="001A5C84">
            <w:pPr>
              <w:autoSpaceDE w:val="0"/>
              <w:autoSpaceDN w:val="0"/>
              <w:adjustRightInd w:val="0"/>
              <w:jc w:val="center"/>
              <w:rPr>
                <w:szCs w:val="22"/>
                <w:lang w:val="lt-LT"/>
              </w:rPr>
            </w:pPr>
            <w:r w:rsidRPr="00211E3B">
              <w:rPr>
                <w:szCs w:val="22"/>
                <w:lang w:val="lt-LT"/>
              </w:rPr>
              <w:t>0,0011</w:t>
            </w:r>
          </w:p>
        </w:tc>
        <w:tc>
          <w:tcPr>
            <w:tcW w:w="662" w:type="pct"/>
            <w:vAlign w:val="center"/>
          </w:tcPr>
          <w:p w14:paraId="53C2FF79" w14:textId="77777777" w:rsidR="001A5C84" w:rsidRPr="00211E3B" w:rsidRDefault="001A5C84" w:rsidP="001A5C84">
            <w:pPr>
              <w:autoSpaceDE w:val="0"/>
              <w:autoSpaceDN w:val="0"/>
              <w:adjustRightInd w:val="0"/>
              <w:jc w:val="center"/>
              <w:rPr>
                <w:szCs w:val="22"/>
                <w:lang w:val="lt-LT"/>
              </w:rPr>
            </w:pPr>
          </w:p>
        </w:tc>
        <w:tc>
          <w:tcPr>
            <w:tcW w:w="660" w:type="pct"/>
            <w:vAlign w:val="center"/>
          </w:tcPr>
          <w:p w14:paraId="7ACF9D4B" w14:textId="2D554CEF" w:rsidR="001A5C84" w:rsidRPr="00211E3B" w:rsidRDefault="001A5C84" w:rsidP="001A5C84">
            <w:pPr>
              <w:autoSpaceDE w:val="0"/>
              <w:autoSpaceDN w:val="0"/>
              <w:adjustRightInd w:val="0"/>
              <w:jc w:val="center"/>
              <w:rPr>
                <w:szCs w:val="22"/>
                <w:lang w:val="lt-LT"/>
              </w:rPr>
            </w:pPr>
            <w:r w:rsidRPr="00211E3B">
              <w:rPr>
                <w:szCs w:val="22"/>
                <w:lang w:val="lt-LT"/>
              </w:rPr>
              <w:t>&lt;0,0001</w:t>
            </w:r>
          </w:p>
        </w:tc>
      </w:tr>
      <w:tr w:rsidR="001A5C84" w:rsidRPr="00211E3B" w14:paraId="207E3146" w14:textId="77777777" w:rsidTr="00256DA0">
        <w:tc>
          <w:tcPr>
            <w:tcW w:w="5000" w:type="pct"/>
            <w:gridSpan w:val="7"/>
          </w:tcPr>
          <w:p w14:paraId="63C89161" w14:textId="70641AF4" w:rsidR="001A5C84" w:rsidRPr="00211E3B" w:rsidRDefault="001A5C84" w:rsidP="00256DA0">
            <w:pPr>
              <w:autoSpaceDE w:val="0"/>
              <w:autoSpaceDN w:val="0"/>
              <w:adjustRightInd w:val="0"/>
              <w:rPr>
                <w:b/>
                <w:szCs w:val="22"/>
                <w:lang w:val="lt-LT"/>
              </w:rPr>
            </w:pPr>
            <w:r w:rsidRPr="00211E3B">
              <w:rPr>
                <w:b/>
                <w:szCs w:val="22"/>
                <w:lang w:val="lt-LT"/>
              </w:rPr>
              <w:t>10</w:t>
            </w:r>
            <w:r w:rsidR="0085390D">
              <w:rPr>
                <w:b/>
                <w:szCs w:val="22"/>
                <w:lang w:val="lt-LT"/>
              </w:rPr>
              <w:t xml:space="preserve"> %</w:t>
            </w:r>
            <w:r w:rsidRPr="00211E3B">
              <w:rPr>
                <w:b/>
                <w:szCs w:val="22"/>
                <w:lang w:val="lt-LT"/>
              </w:rPr>
              <w:t xml:space="preserve"> riba</w:t>
            </w:r>
          </w:p>
        </w:tc>
      </w:tr>
      <w:tr w:rsidR="001A5C84" w:rsidRPr="00211E3B" w14:paraId="66996970" w14:textId="77777777" w:rsidTr="00256DA0">
        <w:tc>
          <w:tcPr>
            <w:tcW w:w="1015" w:type="pct"/>
          </w:tcPr>
          <w:p w14:paraId="243507A6" w14:textId="5F5F57FF" w:rsidR="001A5C84" w:rsidRPr="00211E3B" w:rsidRDefault="001A5C84" w:rsidP="00256DA0">
            <w:pPr>
              <w:autoSpaceDE w:val="0"/>
              <w:autoSpaceDN w:val="0"/>
              <w:adjustRightInd w:val="0"/>
              <w:rPr>
                <w:szCs w:val="22"/>
                <w:lang w:val="lt-LT"/>
              </w:rPr>
            </w:pPr>
            <w:r w:rsidRPr="00211E3B">
              <w:rPr>
                <w:szCs w:val="22"/>
                <w:lang w:val="lt-LT"/>
              </w:rPr>
              <w:t>Reagavusiųjų</w:t>
            </w:r>
            <w:r w:rsidRPr="00211E3B">
              <w:rPr>
                <w:szCs w:val="22"/>
                <w:vertAlign w:val="superscript"/>
                <w:lang w:val="lt-LT"/>
              </w:rPr>
              <w:t>1</w:t>
            </w:r>
            <w:r w:rsidRPr="00211E3B">
              <w:rPr>
                <w:szCs w:val="22"/>
                <w:lang w:val="lt-LT"/>
              </w:rPr>
              <w:t xml:space="preserve"> FGPT atsaku skaičius (</w:t>
            </w:r>
            <w:r w:rsidR="0085390D">
              <w:rPr>
                <w:szCs w:val="22"/>
                <w:lang w:val="lt-LT"/>
              </w:rPr>
              <w:t xml:space="preserve"> %</w:t>
            </w:r>
            <w:r w:rsidRPr="00211E3B">
              <w:rPr>
                <w:szCs w:val="22"/>
                <w:lang w:val="lt-LT"/>
              </w:rPr>
              <w:t>)</w:t>
            </w:r>
          </w:p>
        </w:tc>
        <w:tc>
          <w:tcPr>
            <w:tcW w:w="627" w:type="pct"/>
            <w:vAlign w:val="bottom"/>
          </w:tcPr>
          <w:p w14:paraId="21732E25" w14:textId="795B827B" w:rsidR="001A5C84" w:rsidRPr="00211E3B" w:rsidRDefault="001A5C84" w:rsidP="00256DA0">
            <w:pPr>
              <w:autoSpaceDE w:val="0"/>
              <w:autoSpaceDN w:val="0"/>
              <w:adjustRightInd w:val="0"/>
              <w:jc w:val="center"/>
              <w:rPr>
                <w:szCs w:val="22"/>
                <w:lang w:val="lt-LT"/>
              </w:rPr>
            </w:pPr>
            <w:r w:rsidRPr="00211E3B">
              <w:rPr>
                <w:szCs w:val="22"/>
                <w:lang w:val="lt-LT"/>
              </w:rPr>
              <w:t>116 (56,9)</w:t>
            </w:r>
          </w:p>
        </w:tc>
        <w:tc>
          <w:tcPr>
            <w:tcW w:w="705" w:type="pct"/>
            <w:vAlign w:val="bottom"/>
          </w:tcPr>
          <w:p w14:paraId="5ABDF5D1" w14:textId="72EC7ECD" w:rsidR="001A5C84" w:rsidRPr="00211E3B" w:rsidRDefault="001A5C84" w:rsidP="00256DA0">
            <w:pPr>
              <w:autoSpaceDE w:val="0"/>
              <w:autoSpaceDN w:val="0"/>
              <w:adjustRightInd w:val="0"/>
              <w:jc w:val="center"/>
              <w:rPr>
                <w:szCs w:val="22"/>
                <w:lang w:val="lt-LT"/>
              </w:rPr>
            </w:pPr>
            <w:r w:rsidRPr="00211E3B">
              <w:rPr>
                <w:szCs w:val="22"/>
                <w:lang w:val="lt-LT"/>
              </w:rPr>
              <w:t>218 (70,6)</w:t>
            </w:r>
          </w:p>
        </w:tc>
        <w:tc>
          <w:tcPr>
            <w:tcW w:w="626" w:type="pct"/>
            <w:vAlign w:val="bottom"/>
          </w:tcPr>
          <w:p w14:paraId="448C2B7E" w14:textId="49AF56FA" w:rsidR="001A5C84" w:rsidRPr="00211E3B" w:rsidRDefault="001A5C84" w:rsidP="00256DA0">
            <w:pPr>
              <w:autoSpaceDE w:val="0"/>
              <w:autoSpaceDN w:val="0"/>
              <w:adjustRightInd w:val="0"/>
              <w:jc w:val="center"/>
              <w:rPr>
                <w:szCs w:val="22"/>
                <w:lang w:val="lt-LT"/>
              </w:rPr>
            </w:pPr>
            <w:r w:rsidRPr="00211E3B">
              <w:rPr>
                <w:szCs w:val="22"/>
                <w:lang w:val="lt-LT"/>
              </w:rPr>
              <w:t>140 (63,9)</w:t>
            </w:r>
          </w:p>
        </w:tc>
        <w:tc>
          <w:tcPr>
            <w:tcW w:w="705" w:type="pct"/>
            <w:vAlign w:val="bottom"/>
          </w:tcPr>
          <w:p w14:paraId="506D4F13" w14:textId="6C44B1C1" w:rsidR="001A5C84" w:rsidRPr="00211E3B" w:rsidRDefault="001A5C84" w:rsidP="00256DA0">
            <w:pPr>
              <w:autoSpaceDE w:val="0"/>
              <w:autoSpaceDN w:val="0"/>
              <w:adjustRightInd w:val="0"/>
              <w:jc w:val="center"/>
              <w:rPr>
                <w:szCs w:val="22"/>
                <w:lang w:val="lt-LT"/>
              </w:rPr>
            </w:pPr>
            <w:r w:rsidRPr="00211E3B">
              <w:rPr>
                <w:szCs w:val="22"/>
                <w:lang w:val="lt-LT"/>
              </w:rPr>
              <w:t>229 (69,6)</w:t>
            </w:r>
          </w:p>
        </w:tc>
        <w:tc>
          <w:tcPr>
            <w:tcW w:w="662" w:type="pct"/>
            <w:vAlign w:val="bottom"/>
          </w:tcPr>
          <w:p w14:paraId="0C7F5EA0" w14:textId="75AD9B92" w:rsidR="001A5C84" w:rsidRPr="00211E3B" w:rsidRDefault="001A5C84" w:rsidP="00256DA0">
            <w:pPr>
              <w:autoSpaceDE w:val="0"/>
              <w:autoSpaceDN w:val="0"/>
              <w:adjustRightInd w:val="0"/>
              <w:jc w:val="center"/>
              <w:rPr>
                <w:szCs w:val="22"/>
                <w:lang w:val="lt-LT"/>
              </w:rPr>
            </w:pPr>
            <w:r w:rsidRPr="00211E3B">
              <w:rPr>
                <w:szCs w:val="22"/>
                <w:lang w:val="lt-LT"/>
              </w:rPr>
              <w:t>256 (60,5)</w:t>
            </w:r>
          </w:p>
        </w:tc>
        <w:tc>
          <w:tcPr>
            <w:tcW w:w="660" w:type="pct"/>
            <w:vAlign w:val="bottom"/>
          </w:tcPr>
          <w:p w14:paraId="0D5DE7FC" w14:textId="5B135E9D" w:rsidR="001A5C84" w:rsidRPr="00211E3B" w:rsidRDefault="001A5C84" w:rsidP="00256DA0">
            <w:pPr>
              <w:autoSpaceDE w:val="0"/>
              <w:autoSpaceDN w:val="0"/>
              <w:adjustRightInd w:val="0"/>
              <w:jc w:val="center"/>
              <w:rPr>
                <w:szCs w:val="22"/>
                <w:lang w:val="lt-LT"/>
              </w:rPr>
            </w:pPr>
            <w:r w:rsidRPr="00211E3B">
              <w:rPr>
                <w:szCs w:val="22"/>
                <w:lang w:val="lt-LT"/>
              </w:rPr>
              <w:t>447 (70,1)</w:t>
            </w:r>
          </w:p>
        </w:tc>
      </w:tr>
      <w:tr w:rsidR="001A5C84" w:rsidRPr="00211E3B" w14:paraId="0755E4C4" w14:textId="77777777" w:rsidTr="00256DA0">
        <w:tc>
          <w:tcPr>
            <w:tcW w:w="5000" w:type="pct"/>
            <w:gridSpan w:val="7"/>
          </w:tcPr>
          <w:p w14:paraId="266EE50D" w14:textId="1E4CA7F0" w:rsidR="001A5C84" w:rsidRPr="00211E3B" w:rsidRDefault="001A5C84" w:rsidP="00256DA0">
            <w:pPr>
              <w:autoSpaceDE w:val="0"/>
              <w:autoSpaceDN w:val="0"/>
              <w:adjustRightInd w:val="0"/>
              <w:rPr>
                <w:szCs w:val="22"/>
                <w:lang w:val="lt-LT"/>
              </w:rPr>
            </w:pPr>
            <w:r w:rsidRPr="00211E3B">
              <w:rPr>
                <w:szCs w:val="22"/>
                <w:lang w:val="lt-LT"/>
              </w:rPr>
              <w:t>Palyginimas su placebu</w:t>
            </w:r>
          </w:p>
        </w:tc>
      </w:tr>
      <w:tr w:rsidR="001A5C84" w:rsidRPr="00211E3B" w14:paraId="36A47446" w14:textId="77777777" w:rsidTr="00256DA0">
        <w:tc>
          <w:tcPr>
            <w:tcW w:w="1015" w:type="pct"/>
          </w:tcPr>
          <w:p w14:paraId="0535D9CC" w14:textId="2A520B10" w:rsidR="001A5C84" w:rsidRPr="00211E3B" w:rsidRDefault="001A5C84" w:rsidP="00256DA0">
            <w:pPr>
              <w:autoSpaceDE w:val="0"/>
              <w:autoSpaceDN w:val="0"/>
              <w:adjustRightInd w:val="0"/>
              <w:rPr>
                <w:szCs w:val="22"/>
                <w:lang w:val="lt-LT"/>
              </w:rPr>
            </w:pPr>
            <w:r w:rsidRPr="00211E3B">
              <w:rPr>
                <w:szCs w:val="22"/>
                <w:lang w:val="lt-LT"/>
              </w:rPr>
              <w:t>Šansų santykis</w:t>
            </w:r>
          </w:p>
        </w:tc>
        <w:tc>
          <w:tcPr>
            <w:tcW w:w="627" w:type="pct"/>
          </w:tcPr>
          <w:p w14:paraId="7DF10920" w14:textId="77777777" w:rsidR="001A5C84" w:rsidRPr="00211E3B" w:rsidRDefault="001A5C84" w:rsidP="00256DA0">
            <w:pPr>
              <w:autoSpaceDE w:val="0"/>
              <w:autoSpaceDN w:val="0"/>
              <w:adjustRightInd w:val="0"/>
              <w:rPr>
                <w:szCs w:val="22"/>
                <w:lang w:val="lt-LT"/>
              </w:rPr>
            </w:pPr>
          </w:p>
        </w:tc>
        <w:tc>
          <w:tcPr>
            <w:tcW w:w="705" w:type="pct"/>
            <w:vAlign w:val="center"/>
          </w:tcPr>
          <w:p w14:paraId="22F7FC4D" w14:textId="5253821A" w:rsidR="001A5C84" w:rsidRPr="00211E3B" w:rsidRDefault="001A5C84" w:rsidP="00256DA0">
            <w:pPr>
              <w:autoSpaceDE w:val="0"/>
              <w:autoSpaceDN w:val="0"/>
              <w:adjustRightInd w:val="0"/>
              <w:jc w:val="center"/>
              <w:rPr>
                <w:szCs w:val="22"/>
                <w:lang w:val="lt-LT"/>
              </w:rPr>
            </w:pPr>
            <w:r w:rsidRPr="00211E3B">
              <w:rPr>
                <w:szCs w:val="22"/>
                <w:lang w:val="lt-LT"/>
              </w:rPr>
              <w:t>1,91</w:t>
            </w:r>
          </w:p>
        </w:tc>
        <w:tc>
          <w:tcPr>
            <w:tcW w:w="626" w:type="pct"/>
            <w:vAlign w:val="center"/>
          </w:tcPr>
          <w:p w14:paraId="1E96CA33" w14:textId="77777777" w:rsidR="001A5C84" w:rsidRPr="00211E3B" w:rsidRDefault="001A5C84" w:rsidP="00256DA0">
            <w:pPr>
              <w:autoSpaceDE w:val="0"/>
              <w:autoSpaceDN w:val="0"/>
              <w:adjustRightInd w:val="0"/>
              <w:jc w:val="center"/>
              <w:rPr>
                <w:szCs w:val="22"/>
                <w:lang w:val="lt-LT"/>
              </w:rPr>
            </w:pPr>
          </w:p>
        </w:tc>
        <w:tc>
          <w:tcPr>
            <w:tcW w:w="705" w:type="pct"/>
            <w:vAlign w:val="center"/>
          </w:tcPr>
          <w:p w14:paraId="19D7D129" w14:textId="35099795" w:rsidR="001A5C84" w:rsidRPr="00211E3B" w:rsidRDefault="001A5C84" w:rsidP="00256DA0">
            <w:pPr>
              <w:autoSpaceDE w:val="0"/>
              <w:autoSpaceDN w:val="0"/>
              <w:adjustRightInd w:val="0"/>
              <w:jc w:val="center"/>
              <w:rPr>
                <w:szCs w:val="22"/>
                <w:lang w:val="lt-LT"/>
              </w:rPr>
            </w:pPr>
            <w:r w:rsidRPr="00211E3B">
              <w:rPr>
                <w:szCs w:val="22"/>
                <w:lang w:val="lt-LT"/>
              </w:rPr>
              <w:t>1,29</w:t>
            </w:r>
          </w:p>
        </w:tc>
        <w:tc>
          <w:tcPr>
            <w:tcW w:w="662" w:type="pct"/>
            <w:vAlign w:val="center"/>
          </w:tcPr>
          <w:p w14:paraId="077FC214" w14:textId="77777777" w:rsidR="001A5C84" w:rsidRPr="00211E3B" w:rsidRDefault="001A5C84" w:rsidP="00256DA0">
            <w:pPr>
              <w:autoSpaceDE w:val="0"/>
              <w:autoSpaceDN w:val="0"/>
              <w:adjustRightInd w:val="0"/>
              <w:jc w:val="center"/>
              <w:rPr>
                <w:szCs w:val="22"/>
                <w:lang w:val="lt-LT"/>
              </w:rPr>
            </w:pPr>
          </w:p>
        </w:tc>
        <w:tc>
          <w:tcPr>
            <w:tcW w:w="660" w:type="pct"/>
            <w:vAlign w:val="center"/>
          </w:tcPr>
          <w:p w14:paraId="4B4524E0" w14:textId="0DB3316C" w:rsidR="001A5C84" w:rsidRPr="00211E3B" w:rsidRDefault="001A5C84" w:rsidP="00256DA0">
            <w:pPr>
              <w:autoSpaceDE w:val="0"/>
              <w:autoSpaceDN w:val="0"/>
              <w:adjustRightInd w:val="0"/>
              <w:jc w:val="center"/>
              <w:rPr>
                <w:szCs w:val="22"/>
                <w:lang w:val="lt-LT"/>
              </w:rPr>
            </w:pPr>
            <w:r w:rsidRPr="00211E3B">
              <w:rPr>
                <w:szCs w:val="22"/>
                <w:lang w:val="lt-LT"/>
              </w:rPr>
              <w:t>1,58</w:t>
            </w:r>
          </w:p>
        </w:tc>
      </w:tr>
      <w:tr w:rsidR="001A5C84" w:rsidRPr="00211E3B" w14:paraId="18456FBD" w14:textId="77777777" w:rsidTr="00256DA0">
        <w:tc>
          <w:tcPr>
            <w:tcW w:w="1015" w:type="pct"/>
          </w:tcPr>
          <w:p w14:paraId="5E0D8588" w14:textId="40448BEE" w:rsidR="001A5C84" w:rsidRPr="00211E3B" w:rsidRDefault="001A5C84" w:rsidP="00256DA0">
            <w:pPr>
              <w:autoSpaceDE w:val="0"/>
              <w:autoSpaceDN w:val="0"/>
              <w:adjustRightInd w:val="0"/>
              <w:rPr>
                <w:szCs w:val="22"/>
                <w:lang w:val="lt-LT"/>
              </w:rPr>
            </w:pPr>
            <w:r w:rsidRPr="00211E3B">
              <w:rPr>
                <w:szCs w:val="22"/>
                <w:lang w:val="lt-LT"/>
              </w:rPr>
              <w:t>95</w:t>
            </w:r>
            <w:r w:rsidR="0085390D">
              <w:rPr>
                <w:szCs w:val="22"/>
                <w:lang w:val="lt-LT"/>
              </w:rPr>
              <w:t xml:space="preserve"> %</w:t>
            </w:r>
            <w:r w:rsidRPr="00211E3B">
              <w:rPr>
                <w:szCs w:val="22"/>
                <w:lang w:val="lt-LT"/>
              </w:rPr>
              <w:t> PI</w:t>
            </w:r>
          </w:p>
        </w:tc>
        <w:tc>
          <w:tcPr>
            <w:tcW w:w="627" w:type="pct"/>
          </w:tcPr>
          <w:p w14:paraId="47C8A605" w14:textId="77777777" w:rsidR="001A5C84" w:rsidRPr="00211E3B" w:rsidRDefault="001A5C84" w:rsidP="00256DA0">
            <w:pPr>
              <w:autoSpaceDE w:val="0"/>
              <w:autoSpaceDN w:val="0"/>
              <w:adjustRightInd w:val="0"/>
              <w:rPr>
                <w:szCs w:val="22"/>
                <w:lang w:val="lt-LT"/>
              </w:rPr>
            </w:pPr>
          </w:p>
        </w:tc>
        <w:tc>
          <w:tcPr>
            <w:tcW w:w="705" w:type="pct"/>
            <w:vAlign w:val="center"/>
          </w:tcPr>
          <w:p w14:paraId="7795F211" w14:textId="1FDD20A1" w:rsidR="001A5C84" w:rsidRPr="00211E3B" w:rsidRDefault="001A5C84" w:rsidP="00256DA0">
            <w:pPr>
              <w:autoSpaceDE w:val="0"/>
              <w:autoSpaceDN w:val="0"/>
              <w:adjustRightInd w:val="0"/>
              <w:jc w:val="center"/>
              <w:rPr>
                <w:szCs w:val="22"/>
                <w:lang w:val="lt-LT"/>
              </w:rPr>
            </w:pPr>
            <w:r w:rsidRPr="00211E3B">
              <w:rPr>
                <w:szCs w:val="22"/>
                <w:lang w:val="lt-LT"/>
              </w:rPr>
              <w:t>(1,32, 2,79)</w:t>
            </w:r>
          </w:p>
        </w:tc>
        <w:tc>
          <w:tcPr>
            <w:tcW w:w="626" w:type="pct"/>
            <w:vAlign w:val="center"/>
          </w:tcPr>
          <w:p w14:paraId="4E7477BA" w14:textId="77777777" w:rsidR="001A5C84" w:rsidRPr="00211E3B" w:rsidRDefault="001A5C84" w:rsidP="00256DA0">
            <w:pPr>
              <w:autoSpaceDE w:val="0"/>
              <w:autoSpaceDN w:val="0"/>
              <w:adjustRightInd w:val="0"/>
              <w:jc w:val="center"/>
              <w:rPr>
                <w:szCs w:val="22"/>
                <w:lang w:val="lt-LT"/>
              </w:rPr>
            </w:pPr>
          </w:p>
        </w:tc>
        <w:tc>
          <w:tcPr>
            <w:tcW w:w="705" w:type="pct"/>
            <w:vAlign w:val="center"/>
          </w:tcPr>
          <w:p w14:paraId="6521F6A8" w14:textId="0E6E0D74" w:rsidR="001A5C84" w:rsidRPr="00211E3B" w:rsidRDefault="001A5C84" w:rsidP="00256DA0">
            <w:pPr>
              <w:autoSpaceDE w:val="0"/>
              <w:autoSpaceDN w:val="0"/>
              <w:adjustRightInd w:val="0"/>
              <w:jc w:val="center"/>
              <w:rPr>
                <w:szCs w:val="22"/>
                <w:lang w:val="lt-LT"/>
              </w:rPr>
            </w:pPr>
            <w:r w:rsidRPr="00211E3B">
              <w:rPr>
                <w:szCs w:val="22"/>
                <w:lang w:val="lt-LT"/>
              </w:rPr>
              <w:t>(0,89, 1,86)</w:t>
            </w:r>
          </w:p>
        </w:tc>
        <w:tc>
          <w:tcPr>
            <w:tcW w:w="662" w:type="pct"/>
            <w:vAlign w:val="center"/>
          </w:tcPr>
          <w:p w14:paraId="63006DEF" w14:textId="77777777" w:rsidR="001A5C84" w:rsidRPr="00211E3B" w:rsidRDefault="001A5C84" w:rsidP="00256DA0">
            <w:pPr>
              <w:autoSpaceDE w:val="0"/>
              <w:autoSpaceDN w:val="0"/>
              <w:adjustRightInd w:val="0"/>
              <w:jc w:val="center"/>
              <w:rPr>
                <w:szCs w:val="22"/>
                <w:lang w:val="lt-LT"/>
              </w:rPr>
            </w:pPr>
          </w:p>
        </w:tc>
        <w:tc>
          <w:tcPr>
            <w:tcW w:w="660" w:type="pct"/>
            <w:vAlign w:val="center"/>
          </w:tcPr>
          <w:p w14:paraId="2286610A" w14:textId="0CAC4831" w:rsidR="001A5C84" w:rsidRPr="00211E3B" w:rsidRDefault="001A5C84" w:rsidP="00256DA0">
            <w:pPr>
              <w:autoSpaceDE w:val="0"/>
              <w:autoSpaceDN w:val="0"/>
              <w:adjustRightInd w:val="0"/>
              <w:ind w:right="-125"/>
              <w:jc w:val="center"/>
              <w:rPr>
                <w:szCs w:val="22"/>
                <w:lang w:val="lt-LT"/>
              </w:rPr>
            </w:pPr>
            <w:r w:rsidRPr="00211E3B">
              <w:rPr>
                <w:szCs w:val="22"/>
                <w:lang w:val="lt-LT"/>
              </w:rPr>
              <w:t>(1,21, 2,05)</w:t>
            </w:r>
          </w:p>
        </w:tc>
      </w:tr>
      <w:tr w:rsidR="001A5C84" w:rsidRPr="00211E3B" w14:paraId="1A7FD2F0" w14:textId="77777777" w:rsidTr="00256DA0">
        <w:tc>
          <w:tcPr>
            <w:tcW w:w="1015" w:type="pct"/>
          </w:tcPr>
          <w:p w14:paraId="3ADC547E" w14:textId="76AB21F3" w:rsidR="001A5C84" w:rsidRPr="00211E3B" w:rsidRDefault="001A5C84" w:rsidP="00256DA0">
            <w:pPr>
              <w:autoSpaceDE w:val="0"/>
              <w:autoSpaceDN w:val="0"/>
              <w:adjustRightInd w:val="0"/>
              <w:rPr>
                <w:szCs w:val="22"/>
                <w:lang w:val="lt-LT"/>
              </w:rPr>
            </w:pPr>
            <w:r w:rsidRPr="00211E3B">
              <w:rPr>
                <w:szCs w:val="22"/>
                <w:lang w:val="lt-LT"/>
              </w:rPr>
              <w:t>p r</w:t>
            </w:r>
            <w:r w:rsidR="00736365">
              <w:rPr>
                <w:szCs w:val="22"/>
                <w:lang w:val="lt-LT"/>
              </w:rPr>
              <w:t>eikšmė</w:t>
            </w:r>
            <w:r w:rsidRPr="00211E3B">
              <w:rPr>
                <w:szCs w:val="22"/>
                <w:vertAlign w:val="superscript"/>
                <w:lang w:val="lt-LT"/>
              </w:rPr>
              <w:t>2</w:t>
            </w:r>
          </w:p>
        </w:tc>
        <w:tc>
          <w:tcPr>
            <w:tcW w:w="627" w:type="pct"/>
          </w:tcPr>
          <w:p w14:paraId="31A22D68" w14:textId="77777777" w:rsidR="001A5C84" w:rsidRPr="00211E3B" w:rsidRDefault="001A5C84" w:rsidP="00256DA0">
            <w:pPr>
              <w:autoSpaceDE w:val="0"/>
              <w:autoSpaceDN w:val="0"/>
              <w:adjustRightInd w:val="0"/>
              <w:rPr>
                <w:szCs w:val="22"/>
                <w:lang w:val="lt-LT"/>
              </w:rPr>
            </w:pPr>
          </w:p>
        </w:tc>
        <w:tc>
          <w:tcPr>
            <w:tcW w:w="705" w:type="pct"/>
            <w:vAlign w:val="center"/>
          </w:tcPr>
          <w:p w14:paraId="35B4BB22" w14:textId="49456741" w:rsidR="001A5C84" w:rsidRPr="00211E3B" w:rsidRDefault="001A5C84" w:rsidP="00256DA0">
            <w:pPr>
              <w:autoSpaceDE w:val="0"/>
              <w:autoSpaceDN w:val="0"/>
              <w:adjustRightInd w:val="0"/>
              <w:jc w:val="center"/>
              <w:rPr>
                <w:szCs w:val="22"/>
                <w:lang w:val="lt-LT"/>
              </w:rPr>
            </w:pPr>
            <w:r w:rsidRPr="00211E3B">
              <w:rPr>
                <w:szCs w:val="22"/>
                <w:lang w:val="lt-LT"/>
              </w:rPr>
              <w:t>0,0007</w:t>
            </w:r>
          </w:p>
        </w:tc>
        <w:tc>
          <w:tcPr>
            <w:tcW w:w="626" w:type="pct"/>
            <w:vAlign w:val="center"/>
          </w:tcPr>
          <w:p w14:paraId="717BE4B6" w14:textId="77777777" w:rsidR="001A5C84" w:rsidRPr="00211E3B" w:rsidRDefault="001A5C84" w:rsidP="00256DA0">
            <w:pPr>
              <w:autoSpaceDE w:val="0"/>
              <w:autoSpaceDN w:val="0"/>
              <w:adjustRightInd w:val="0"/>
              <w:jc w:val="center"/>
              <w:rPr>
                <w:szCs w:val="22"/>
                <w:lang w:val="lt-LT"/>
              </w:rPr>
            </w:pPr>
          </w:p>
        </w:tc>
        <w:tc>
          <w:tcPr>
            <w:tcW w:w="705" w:type="pct"/>
            <w:vAlign w:val="center"/>
          </w:tcPr>
          <w:p w14:paraId="39020065" w14:textId="6C68153D" w:rsidR="001A5C84" w:rsidRPr="00211E3B" w:rsidRDefault="001A5C84" w:rsidP="00256DA0">
            <w:pPr>
              <w:autoSpaceDE w:val="0"/>
              <w:autoSpaceDN w:val="0"/>
              <w:adjustRightInd w:val="0"/>
              <w:jc w:val="center"/>
              <w:rPr>
                <w:szCs w:val="22"/>
                <w:lang w:val="lt-LT"/>
              </w:rPr>
            </w:pPr>
            <w:r w:rsidRPr="00211E3B">
              <w:rPr>
                <w:szCs w:val="22"/>
                <w:lang w:val="lt-LT"/>
              </w:rPr>
              <w:t>0,1833</w:t>
            </w:r>
          </w:p>
        </w:tc>
        <w:tc>
          <w:tcPr>
            <w:tcW w:w="662" w:type="pct"/>
            <w:vAlign w:val="center"/>
          </w:tcPr>
          <w:p w14:paraId="1CD5FA49" w14:textId="77777777" w:rsidR="001A5C84" w:rsidRPr="00211E3B" w:rsidRDefault="001A5C84" w:rsidP="00256DA0">
            <w:pPr>
              <w:autoSpaceDE w:val="0"/>
              <w:autoSpaceDN w:val="0"/>
              <w:adjustRightInd w:val="0"/>
              <w:jc w:val="center"/>
              <w:rPr>
                <w:szCs w:val="22"/>
                <w:lang w:val="lt-LT"/>
              </w:rPr>
            </w:pPr>
          </w:p>
        </w:tc>
        <w:tc>
          <w:tcPr>
            <w:tcW w:w="660" w:type="pct"/>
            <w:vAlign w:val="center"/>
          </w:tcPr>
          <w:p w14:paraId="57EF82F5" w14:textId="594A6E77" w:rsidR="001A5C84" w:rsidRPr="00211E3B" w:rsidRDefault="001A5C84" w:rsidP="00256DA0">
            <w:pPr>
              <w:autoSpaceDE w:val="0"/>
              <w:autoSpaceDN w:val="0"/>
              <w:adjustRightInd w:val="0"/>
              <w:jc w:val="center"/>
              <w:rPr>
                <w:szCs w:val="22"/>
                <w:lang w:val="lt-LT"/>
              </w:rPr>
            </w:pPr>
            <w:r w:rsidRPr="00211E3B">
              <w:rPr>
                <w:szCs w:val="22"/>
                <w:lang w:val="lt-LT"/>
              </w:rPr>
              <w:t>0,0007</w:t>
            </w:r>
          </w:p>
        </w:tc>
      </w:tr>
    </w:tbl>
    <w:p w14:paraId="18BAEA54" w14:textId="55C8A11D" w:rsidR="005E424F" w:rsidRPr="00211E3B" w:rsidRDefault="005E424F" w:rsidP="005E424F">
      <w:pPr>
        <w:ind w:right="-142"/>
        <w:rPr>
          <w:snapToGrid w:val="0"/>
          <w:sz w:val="20"/>
          <w:szCs w:val="22"/>
        </w:rPr>
      </w:pPr>
      <w:r w:rsidRPr="00211E3B">
        <w:rPr>
          <w:snapToGrid w:val="0"/>
          <w:sz w:val="20"/>
          <w:szCs w:val="22"/>
          <w:vertAlign w:val="superscript"/>
        </w:rPr>
        <w:t>1</w:t>
      </w:r>
      <w:r w:rsidR="00E72157" w:rsidRPr="00211E3B">
        <w:rPr>
          <w:snapToGrid w:val="0"/>
          <w:sz w:val="20"/>
          <w:szCs w:val="22"/>
          <w:vertAlign w:val="superscript"/>
        </w:rPr>
        <w:t xml:space="preserve"> </w:t>
      </w:r>
      <w:r w:rsidRPr="00211E3B">
        <w:rPr>
          <w:snapToGrid w:val="0"/>
          <w:sz w:val="20"/>
          <w:szCs w:val="22"/>
        </w:rPr>
        <w:t>Reagavusieji pacientai yra tie, kurių absoliutus numatytos FPGT sumažėjimas buvo ne didesnis kaip 5</w:t>
      </w:r>
      <w:r w:rsidR="0085390D">
        <w:rPr>
          <w:snapToGrid w:val="0"/>
          <w:sz w:val="20"/>
          <w:szCs w:val="22"/>
        </w:rPr>
        <w:t xml:space="preserve"> %</w:t>
      </w:r>
      <w:r w:rsidRPr="00211E3B">
        <w:rPr>
          <w:snapToGrid w:val="0"/>
          <w:sz w:val="20"/>
          <w:szCs w:val="22"/>
        </w:rPr>
        <w:t xml:space="preserve"> arba</w:t>
      </w:r>
      <w:r w:rsidR="001A5C84" w:rsidRPr="00211E3B">
        <w:rPr>
          <w:snapToGrid w:val="0"/>
          <w:sz w:val="20"/>
          <w:szCs w:val="22"/>
        </w:rPr>
        <w:t xml:space="preserve"> </w:t>
      </w:r>
      <w:r w:rsidRPr="00211E3B">
        <w:rPr>
          <w:snapToGrid w:val="0"/>
          <w:sz w:val="20"/>
          <w:szCs w:val="22"/>
        </w:rPr>
        <w:t>10</w:t>
      </w:r>
      <w:r w:rsidR="0085390D">
        <w:rPr>
          <w:snapToGrid w:val="0"/>
          <w:sz w:val="20"/>
          <w:szCs w:val="22"/>
        </w:rPr>
        <w:t xml:space="preserve"> %</w:t>
      </w:r>
      <w:r w:rsidRPr="00211E3B">
        <w:rPr>
          <w:snapToGrid w:val="0"/>
          <w:sz w:val="20"/>
          <w:szCs w:val="22"/>
        </w:rPr>
        <w:t>, priklausomai nuo ribos</w:t>
      </w:r>
      <w:r w:rsidR="001A5C84" w:rsidRPr="00211E3B">
        <w:rPr>
          <w:snapToGrid w:val="0"/>
          <w:sz w:val="20"/>
          <w:szCs w:val="22"/>
        </w:rPr>
        <w:t>,</w:t>
      </w:r>
      <w:r w:rsidRPr="00211E3B">
        <w:rPr>
          <w:snapToGrid w:val="0"/>
          <w:sz w:val="20"/>
          <w:szCs w:val="22"/>
        </w:rPr>
        <w:t xml:space="preserve"> FPGT </w:t>
      </w:r>
      <w:r w:rsidR="001A5C84" w:rsidRPr="00211E3B">
        <w:rPr>
          <w:snapToGrid w:val="0"/>
          <w:sz w:val="20"/>
          <w:szCs w:val="22"/>
        </w:rPr>
        <w:t>vertinant</w:t>
      </w:r>
      <w:r w:rsidRPr="00211E3B">
        <w:rPr>
          <w:snapToGrid w:val="0"/>
          <w:sz w:val="20"/>
          <w:szCs w:val="22"/>
        </w:rPr>
        <w:t xml:space="preserve"> </w:t>
      </w:r>
      <w:r w:rsidR="00D7087C" w:rsidRPr="00211E3B">
        <w:rPr>
          <w:snapToGrid w:val="0"/>
          <w:sz w:val="20"/>
          <w:szCs w:val="22"/>
        </w:rPr>
        <w:t>52 s</w:t>
      </w:r>
      <w:r w:rsidRPr="00211E3B">
        <w:rPr>
          <w:snapToGrid w:val="0"/>
          <w:sz w:val="20"/>
          <w:szCs w:val="22"/>
        </w:rPr>
        <w:t>avaitę.</w:t>
      </w:r>
    </w:p>
    <w:p w14:paraId="55BC5EDF" w14:textId="206EDBD8" w:rsidR="005E424F" w:rsidRPr="00211E3B" w:rsidRDefault="005E424F" w:rsidP="005E424F">
      <w:pPr>
        <w:ind w:right="-142"/>
        <w:rPr>
          <w:snapToGrid w:val="0"/>
          <w:sz w:val="20"/>
          <w:szCs w:val="22"/>
        </w:rPr>
      </w:pPr>
      <w:r w:rsidRPr="00211E3B">
        <w:rPr>
          <w:snapToGrid w:val="0"/>
          <w:sz w:val="20"/>
          <w:szCs w:val="22"/>
          <w:vertAlign w:val="superscript"/>
        </w:rPr>
        <w:t>2</w:t>
      </w:r>
      <w:r w:rsidR="00E72157" w:rsidRPr="00211E3B">
        <w:rPr>
          <w:snapToGrid w:val="0"/>
          <w:sz w:val="20"/>
          <w:szCs w:val="22"/>
        </w:rPr>
        <w:t xml:space="preserve"> Remiantis</w:t>
      </w:r>
      <w:r w:rsidRPr="00211E3B">
        <w:rPr>
          <w:snapToGrid w:val="0"/>
          <w:sz w:val="20"/>
          <w:szCs w:val="22"/>
        </w:rPr>
        <w:t xml:space="preserve"> logistine regresija.</w:t>
      </w:r>
    </w:p>
    <w:p w14:paraId="25FD5C62" w14:textId="77777777" w:rsidR="001A5C84" w:rsidRPr="00211E3B" w:rsidRDefault="001A5C84" w:rsidP="005E424F">
      <w:pPr>
        <w:ind w:right="-142"/>
        <w:rPr>
          <w:snapToGrid w:val="0"/>
          <w:sz w:val="22"/>
          <w:szCs w:val="24"/>
        </w:rPr>
      </w:pPr>
    </w:p>
    <w:p w14:paraId="3690805B" w14:textId="285479C9" w:rsidR="005E424F" w:rsidRPr="00211E3B" w:rsidRDefault="005E424F" w:rsidP="005E424F">
      <w:pPr>
        <w:ind w:right="-142"/>
        <w:rPr>
          <w:i/>
          <w:iCs/>
          <w:snapToGrid w:val="0"/>
          <w:sz w:val="22"/>
          <w:szCs w:val="24"/>
          <w:u w:val="single"/>
        </w:rPr>
      </w:pPr>
      <w:r w:rsidRPr="00211E3B">
        <w:rPr>
          <w:i/>
          <w:iCs/>
          <w:snapToGrid w:val="0"/>
          <w:sz w:val="22"/>
          <w:szCs w:val="24"/>
          <w:u w:val="single"/>
        </w:rPr>
        <w:t>Laikas iki progresavimo (≥</w:t>
      </w:r>
      <w:r w:rsidR="00AD23D8" w:rsidRPr="00211E3B">
        <w:rPr>
          <w:i/>
          <w:iCs/>
          <w:snapToGrid w:val="0"/>
          <w:sz w:val="22"/>
          <w:szCs w:val="24"/>
          <w:u w:val="single"/>
        </w:rPr>
        <w:t> </w:t>
      </w:r>
      <w:r w:rsidRPr="00211E3B">
        <w:rPr>
          <w:i/>
          <w:iCs/>
          <w:snapToGrid w:val="0"/>
          <w:sz w:val="22"/>
          <w:szCs w:val="24"/>
          <w:u w:val="single"/>
        </w:rPr>
        <w:t>10</w:t>
      </w:r>
      <w:r w:rsidR="0085390D">
        <w:rPr>
          <w:i/>
          <w:iCs/>
          <w:snapToGrid w:val="0"/>
          <w:sz w:val="22"/>
          <w:szCs w:val="24"/>
          <w:u w:val="single"/>
        </w:rPr>
        <w:t xml:space="preserve"> %</w:t>
      </w:r>
      <w:r w:rsidRPr="00211E3B">
        <w:rPr>
          <w:i/>
          <w:iCs/>
          <w:snapToGrid w:val="0"/>
          <w:sz w:val="22"/>
          <w:szCs w:val="24"/>
          <w:u w:val="single"/>
        </w:rPr>
        <w:t xml:space="preserve"> absoliutus numatytos FPGT sumažėjimas</w:t>
      </w:r>
      <w:r w:rsidR="0085390D">
        <w:rPr>
          <w:i/>
          <w:iCs/>
          <w:snapToGrid w:val="0"/>
          <w:sz w:val="22"/>
          <w:szCs w:val="24"/>
          <w:u w:val="single"/>
        </w:rPr>
        <w:t> %</w:t>
      </w:r>
      <w:r w:rsidRPr="00211E3B">
        <w:rPr>
          <w:i/>
          <w:iCs/>
          <w:snapToGrid w:val="0"/>
          <w:sz w:val="22"/>
          <w:szCs w:val="24"/>
          <w:u w:val="single"/>
        </w:rPr>
        <w:t xml:space="preserve"> arba mirtis)</w:t>
      </w:r>
    </w:p>
    <w:p w14:paraId="6DCAB393" w14:textId="376F5F2E" w:rsidR="005E424F" w:rsidRPr="00211E3B" w:rsidRDefault="005E424F" w:rsidP="005E424F">
      <w:pPr>
        <w:ind w:right="-142"/>
        <w:rPr>
          <w:snapToGrid w:val="0"/>
          <w:sz w:val="22"/>
          <w:szCs w:val="24"/>
        </w:rPr>
      </w:pPr>
      <w:r w:rsidRPr="00211E3B">
        <w:rPr>
          <w:snapToGrid w:val="0"/>
          <w:sz w:val="22"/>
          <w:szCs w:val="24"/>
        </w:rPr>
        <w:t xml:space="preserve">Abiejuose INPULSIS tyrimuose progresavimo </w:t>
      </w:r>
      <w:r w:rsidR="00AD23D8" w:rsidRPr="00211E3B">
        <w:rPr>
          <w:snapToGrid w:val="0"/>
          <w:sz w:val="22"/>
          <w:szCs w:val="24"/>
        </w:rPr>
        <w:t>rizika</w:t>
      </w:r>
      <w:r w:rsidRPr="00211E3B">
        <w:rPr>
          <w:snapToGrid w:val="0"/>
          <w:sz w:val="22"/>
          <w:szCs w:val="24"/>
        </w:rPr>
        <w:t xml:space="preserve"> statistiškai reikšmingai sumažėjo pacientams,</w:t>
      </w:r>
      <w:r w:rsidR="00AD23D8" w:rsidRPr="00211E3B">
        <w:rPr>
          <w:snapToGrid w:val="0"/>
          <w:sz w:val="22"/>
          <w:szCs w:val="24"/>
        </w:rPr>
        <w:t xml:space="preserve"> </w:t>
      </w:r>
      <w:r w:rsidRPr="00211E3B">
        <w:rPr>
          <w:snapToGrid w:val="0"/>
          <w:sz w:val="22"/>
          <w:szCs w:val="24"/>
        </w:rPr>
        <w:t xml:space="preserve">gydytiems nintedanibu, palyginti su </w:t>
      </w:r>
      <w:r w:rsidR="00AD23D8" w:rsidRPr="00211E3B">
        <w:rPr>
          <w:snapToGrid w:val="0"/>
          <w:sz w:val="22"/>
          <w:szCs w:val="24"/>
        </w:rPr>
        <w:t xml:space="preserve">vartojusiais </w:t>
      </w:r>
      <w:r w:rsidRPr="00211E3B">
        <w:rPr>
          <w:snapToGrid w:val="0"/>
          <w:sz w:val="22"/>
          <w:szCs w:val="24"/>
        </w:rPr>
        <w:t>placeb</w:t>
      </w:r>
      <w:r w:rsidR="00AD23D8" w:rsidRPr="00211E3B">
        <w:rPr>
          <w:snapToGrid w:val="0"/>
          <w:sz w:val="22"/>
          <w:szCs w:val="24"/>
        </w:rPr>
        <w:t>o</w:t>
      </w:r>
      <w:r w:rsidRPr="00211E3B">
        <w:rPr>
          <w:snapToGrid w:val="0"/>
          <w:sz w:val="22"/>
          <w:szCs w:val="24"/>
        </w:rPr>
        <w:t xml:space="preserve">. </w:t>
      </w:r>
      <w:r w:rsidR="00340EE0" w:rsidRPr="00211E3B">
        <w:rPr>
          <w:snapToGrid w:val="0"/>
          <w:sz w:val="22"/>
          <w:szCs w:val="24"/>
        </w:rPr>
        <w:t>Apibendrintoje</w:t>
      </w:r>
      <w:r w:rsidRPr="00211E3B">
        <w:rPr>
          <w:snapToGrid w:val="0"/>
          <w:sz w:val="22"/>
          <w:szCs w:val="24"/>
        </w:rPr>
        <w:t xml:space="preserve"> analizėje RS buvo 0,60, </w:t>
      </w:r>
      <w:r w:rsidR="00AD23D8" w:rsidRPr="00211E3B">
        <w:rPr>
          <w:snapToGrid w:val="0"/>
          <w:sz w:val="22"/>
          <w:szCs w:val="24"/>
        </w:rPr>
        <w:t>tai</w:t>
      </w:r>
      <w:r w:rsidRPr="00211E3B">
        <w:rPr>
          <w:snapToGrid w:val="0"/>
          <w:sz w:val="22"/>
          <w:szCs w:val="24"/>
        </w:rPr>
        <w:t xml:space="preserve"> rodo progresavimo </w:t>
      </w:r>
      <w:r w:rsidR="00AD23D8" w:rsidRPr="00211E3B">
        <w:rPr>
          <w:snapToGrid w:val="0"/>
          <w:sz w:val="22"/>
          <w:szCs w:val="24"/>
        </w:rPr>
        <w:t>rizikos</w:t>
      </w:r>
      <w:r w:rsidRPr="00211E3B">
        <w:rPr>
          <w:snapToGrid w:val="0"/>
          <w:sz w:val="22"/>
          <w:szCs w:val="24"/>
        </w:rPr>
        <w:t xml:space="preserve"> sumažėjimą </w:t>
      </w:r>
      <w:r w:rsidR="00AD23D8" w:rsidRPr="00211E3B">
        <w:rPr>
          <w:snapToGrid w:val="0"/>
          <w:sz w:val="22"/>
          <w:szCs w:val="24"/>
        </w:rPr>
        <w:t>40</w:t>
      </w:r>
      <w:r w:rsidR="0085390D">
        <w:rPr>
          <w:snapToGrid w:val="0"/>
          <w:sz w:val="22"/>
          <w:szCs w:val="24"/>
        </w:rPr>
        <w:t xml:space="preserve"> %</w:t>
      </w:r>
      <w:r w:rsidR="00AD23D8" w:rsidRPr="00211E3B">
        <w:rPr>
          <w:snapToGrid w:val="0"/>
          <w:sz w:val="22"/>
          <w:szCs w:val="24"/>
        </w:rPr>
        <w:t xml:space="preserve"> nintedanibu gydytiems </w:t>
      </w:r>
      <w:r w:rsidRPr="00211E3B">
        <w:rPr>
          <w:snapToGrid w:val="0"/>
          <w:sz w:val="22"/>
          <w:szCs w:val="24"/>
        </w:rPr>
        <w:t>pacientams, palyginti su vartojusiais</w:t>
      </w:r>
      <w:r w:rsidR="00AD23D8" w:rsidRPr="00211E3B">
        <w:rPr>
          <w:snapToGrid w:val="0"/>
          <w:sz w:val="22"/>
          <w:szCs w:val="24"/>
        </w:rPr>
        <w:t xml:space="preserve"> </w:t>
      </w:r>
      <w:r w:rsidRPr="00211E3B">
        <w:rPr>
          <w:snapToGrid w:val="0"/>
          <w:sz w:val="22"/>
          <w:szCs w:val="24"/>
        </w:rPr>
        <w:t>placebą.</w:t>
      </w:r>
    </w:p>
    <w:p w14:paraId="1457FAFA" w14:textId="264CC3F8" w:rsidR="005E424F" w:rsidRPr="00211E3B" w:rsidRDefault="005E424F" w:rsidP="005E424F">
      <w:pPr>
        <w:ind w:right="-142"/>
        <w:rPr>
          <w:snapToGrid w:val="0"/>
          <w:sz w:val="22"/>
          <w:szCs w:val="24"/>
        </w:rPr>
      </w:pPr>
    </w:p>
    <w:p w14:paraId="633BF164" w14:textId="2598993D" w:rsidR="005E424F" w:rsidRPr="00211E3B" w:rsidRDefault="005E424F" w:rsidP="00F054CD">
      <w:pPr>
        <w:ind w:left="1296" w:right="-142" w:hanging="1296"/>
        <w:rPr>
          <w:b/>
          <w:bCs/>
          <w:snapToGrid w:val="0"/>
          <w:sz w:val="22"/>
          <w:szCs w:val="24"/>
        </w:rPr>
      </w:pPr>
      <w:r w:rsidRPr="00211E3B">
        <w:rPr>
          <w:b/>
          <w:bCs/>
          <w:snapToGrid w:val="0"/>
          <w:sz w:val="22"/>
          <w:szCs w:val="24"/>
        </w:rPr>
        <w:t>5</w:t>
      </w:r>
      <w:r w:rsidR="00AD23D8" w:rsidRPr="00211E3B">
        <w:rPr>
          <w:b/>
          <w:bCs/>
          <w:snapToGrid w:val="0"/>
          <w:sz w:val="22"/>
          <w:szCs w:val="24"/>
        </w:rPr>
        <w:t> </w:t>
      </w:r>
      <w:r w:rsidRPr="00211E3B">
        <w:rPr>
          <w:b/>
          <w:bCs/>
          <w:snapToGrid w:val="0"/>
          <w:sz w:val="22"/>
          <w:szCs w:val="24"/>
        </w:rPr>
        <w:t>lentelė.</w:t>
      </w:r>
      <w:r w:rsidR="00F054CD" w:rsidRPr="00211E3B">
        <w:rPr>
          <w:b/>
          <w:bCs/>
          <w:snapToGrid w:val="0"/>
          <w:sz w:val="22"/>
          <w:szCs w:val="24"/>
        </w:rPr>
        <w:tab/>
      </w:r>
      <w:r w:rsidRPr="00211E3B">
        <w:rPr>
          <w:b/>
          <w:bCs/>
          <w:snapToGrid w:val="0"/>
          <w:sz w:val="22"/>
          <w:szCs w:val="24"/>
        </w:rPr>
        <w:t xml:space="preserve">Pacientų, kuriems per </w:t>
      </w:r>
      <w:r w:rsidR="00D7087C" w:rsidRPr="00211E3B">
        <w:rPr>
          <w:b/>
          <w:bCs/>
          <w:snapToGrid w:val="0"/>
          <w:sz w:val="22"/>
          <w:szCs w:val="24"/>
        </w:rPr>
        <w:t>52 s</w:t>
      </w:r>
      <w:r w:rsidRPr="00211E3B">
        <w:rPr>
          <w:b/>
          <w:bCs/>
          <w:snapToGrid w:val="0"/>
          <w:sz w:val="22"/>
          <w:szCs w:val="24"/>
        </w:rPr>
        <w:t>avaites absoliutus numatytos FPGT</w:t>
      </w:r>
      <w:r w:rsidR="003E5411" w:rsidRPr="00211E3B">
        <w:rPr>
          <w:b/>
          <w:bCs/>
          <w:snapToGrid w:val="0"/>
          <w:sz w:val="22"/>
          <w:szCs w:val="24"/>
        </w:rPr>
        <w:t xml:space="preserve"> </w:t>
      </w:r>
      <w:r w:rsidRPr="00211E3B">
        <w:rPr>
          <w:b/>
          <w:bCs/>
          <w:snapToGrid w:val="0"/>
          <w:sz w:val="22"/>
          <w:szCs w:val="24"/>
        </w:rPr>
        <w:t xml:space="preserve">sumažėjimas </w:t>
      </w:r>
      <w:r w:rsidR="003E5411" w:rsidRPr="00211E3B">
        <w:rPr>
          <w:b/>
          <w:bCs/>
          <w:snapToGrid w:val="0"/>
          <w:sz w:val="22"/>
          <w:szCs w:val="24"/>
        </w:rPr>
        <w:t>buvo ≥ 10</w:t>
      </w:r>
      <w:r w:rsidR="0085390D">
        <w:rPr>
          <w:b/>
          <w:bCs/>
          <w:snapToGrid w:val="0"/>
          <w:sz w:val="22"/>
          <w:szCs w:val="24"/>
        </w:rPr>
        <w:t xml:space="preserve"> %</w:t>
      </w:r>
      <w:r w:rsidR="003E5411" w:rsidRPr="00211E3B">
        <w:rPr>
          <w:b/>
          <w:bCs/>
          <w:snapToGrid w:val="0"/>
          <w:sz w:val="22"/>
          <w:szCs w:val="24"/>
        </w:rPr>
        <w:t xml:space="preserve"> </w:t>
      </w:r>
      <w:r w:rsidRPr="00211E3B">
        <w:rPr>
          <w:b/>
          <w:bCs/>
          <w:snapToGrid w:val="0"/>
          <w:sz w:val="22"/>
          <w:szCs w:val="24"/>
        </w:rPr>
        <w:t xml:space="preserve">ar </w:t>
      </w:r>
      <w:r w:rsidR="003E5411" w:rsidRPr="00211E3B">
        <w:rPr>
          <w:b/>
          <w:bCs/>
          <w:snapToGrid w:val="0"/>
          <w:sz w:val="22"/>
          <w:szCs w:val="24"/>
        </w:rPr>
        <w:t>kurie mirė</w:t>
      </w:r>
      <w:r w:rsidRPr="00211E3B">
        <w:rPr>
          <w:b/>
          <w:bCs/>
          <w:snapToGrid w:val="0"/>
          <w:sz w:val="22"/>
          <w:szCs w:val="24"/>
        </w:rPr>
        <w:t xml:space="preserve"> </w:t>
      </w:r>
      <w:r w:rsidR="00736365" w:rsidRPr="00736365">
        <w:rPr>
          <w:b/>
          <w:bCs/>
          <w:snapToGrid w:val="0"/>
          <w:sz w:val="22"/>
          <w:szCs w:val="24"/>
        </w:rPr>
        <w:t xml:space="preserve">ir laikas iki progresavimo </w:t>
      </w:r>
      <w:r w:rsidR="00AD23D8" w:rsidRPr="00211E3B">
        <w:rPr>
          <w:b/>
          <w:bCs/>
          <w:snapToGrid w:val="0"/>
          <w:sz w:val="22"/>
          <w:szCs w:val="24"/>
        </w:rPr>
        <w:t>tyrimų INPULSIS-1 ir INPULSIS-2 metu bei apibendrinti duomenys – gydytų pacientų grupė</w:t>
      </w:r>
    </w:p>
    <w:p w14:paraId="4EC43C0E" w14:textId="77777777" w:rsidR="00AD23D8" w:rsidRPr="00211E3B" w:rsidRDefault="00AD23D8" w:rsidP="00AD23D8">
      <w:pPr>
        <w:ind w:right="-142"/>
        <w:rPr>
          <w:snapToGrid w:val="0"/>
          <w:sz w:val="22"/>
          <w:szCs w:val="24"/>
        </w:rPr>
      </w:pPr>
    </w:p>
    <w:tbl>
      <w:tblPr>
        <w:tblStyle w:val="Lentelstinklelis"/>
        <w:tblW w:w="4994" w:type="pct"/>
        <w:tblLook w:val="04A0" w:firstRow="1" w:lastRow="0" w:firstColumn="1" w:lastColumn="0" w:noHBand="0" w:noVBand="1"/>
      </w:tblPr>
      <w:tblGrid>
        <w:gridCol w:w="1697"/>
        <w:gridCol w:w="1276"/>
        <w:gridCol w:w="1276"/>
        <w:gridCol w:w="1135"/>
        <w:gridCol w:w="1276"/>
        <w:gridCol w:w="1100"/>
        <w:gridCol w:w="1289"/>
      </w:tblGrid>
      <w:tr w:rsidR="00E72157" w:rsidRPr="00211E3B" w14:paraId="3CEF67CC" w14:textId="77777777" w:rsidTr="00E72157">
        <w:tc>
          <w:tcPr>
            <w:tcW w:w="938" w:type="pct"/>
          </w:tcPr>
          <w:p w14:paraId="514CF53B" w14:textId="77777777" w:rsidR="00E72157" w:rsidRPr="00211E3B" w:rsidRDefault="00E72157" w:rsidP="00E72157">
            <w:pPr>
              <w:autoSpaceDE w:val="0"/>
              <w:autoSpaceDN w:val="0"/>
              <w:adjustRightInd w:val="0"/>
              <w:rPr>
                <w:szCs w:val="22"/>
                <w:lang w:val="lt-LT"/>
              </w:rPr>
            </w:pPr>
          </w:p>
        </w:tc>
        <w:tc>
          <w:tcPr>
            <w:tcW w:w="1410" w:type="pct"/>
            <w:gridSpan w:val="2"/>
          </w:tcPr>
          <w:p w14:paraId="1068B87F" w14:textId="5875EBDD" w:rsidR="00E72157" w:rsidRPr="00211E3B" w:rsidRDefault="00E72157" w:rsidP="00E72157">
            <w:pPr>
              <w:autoSpaceDE w:val="0"/>
              <w:autoSpaceDN w:val="0"/>
              <w:adjustRightInd w:val="0"/>
              <w:jc w:val="center"/>
              <w:rPr>
                <w:b/>
                <w:szCs w:val="22"/>
                <w:lang w:val="lt-LT"/>
              </w:rPr>
            </w:pPr>
            <w:r w:rsidRPr="00211E3B">
              <w:rPr>
                <w:b/>
                <w:szCs w:val="22"/>
                <w:lang w:val="lt-LT"/>
              </w:rPr>
              <w:t>INPULSIS</w:t>
            </w:r>
            <w:r w:rsidRPr="00211E3B">
              <w:rPr>
                <w:b/>
                <w:szCs w:val="22"/>
                <w:lang w:val="lt-LT"/>
              </w:rPr>
              <w:noBreakHyphen/>
              <w:t>1</w:t>
            </w:r>
          </w:p>
        </w:tc>
        <w:tc>
          <w:tcPr>
            <w:tcW w:w="1332" w:type="pct"/>
            <w:gridSpan w:val="2"/>
          </w:tcPr>
          <w:p w14:paraId="1C7A8E5F" w14:textId="25B4B7C8" w:rsidR="00E72157" w:rsidRPr="00211E3B" w:rsidRDefault="00E72157" w:rsidP="00E72157">
            <w:pPr>
              <w:autoSpaceDE w:val="0"/>
              <w:autoSpaceDN w:val="0"/>
              <w:adjustRightInd w:val="0"/>
              <w:jc w:val="center"/>
              <w:rPr>
                <w:b/>
                <w:szCs w:val="22"/>
                <w:lang w:val="lt-LT"/>
              </w:rPr>
            </w:pPr>
            <w:r w:rsidRPr="00211E3B">
              <w:rPr>
                <w:b/>
                <w:szCs w:val="22"/>
                <w:lang w:val="lt-LT"/>
              </w:rPr>
              <w:t>INPULSIS</w:t>
            </w:r>
            <w:r w:rsidRPr="00211E3B">
              <w:rPr>
                <w:b/>
                <w:szCs w:val="22"/>
                <w:lang w:val="lt-LT"/>
              </w:rPr>
              <w:noBreakHyphen/>
              <w:t>2</w:t>
            </w:r>
          </w:p>
        </w:tc>
        <w:tc>
          <w:tcPr>
            <w:tcW w:w="1321" w:type="pct"/>
            <w:gridSpan w:val="2"/>
          </w:tcPr>
          <w:p w14:paraId="24B488C3" w14:textId="614F3009" w:rsidR="00E72157" w:rsidRPr="00211E3B" w:rsidRDefault="00E72157" w:rsidP="00E72157">
            <w:pPr>
              <w:autoSpaceDE w:val="0"/>
              <w:autoSpaceDN w:val="0"/>
              <w:adjustRightInd w:val="0"/>
              <w:jc w:val="center"/>
              <w:rPr>
                <w:b/>
                <w:szCs w:val="22"/>
                <w:lang w:val="lt-LT"/>
              </w:rPr>
            </w:pPr>
            <w:r w:rsidRPr="00211E3B">
              <w:rPr>
                <w:b/>
                <w:szCs w:val="22"/>
                <w:lang w:val="lt-LT"/>
              </w:rPr>
              <w:t>I INPULSIS</w:t>
            </w:r>
            <w:r w:rsidRPr="00211E3B">
              <w:rPr>
                <w:b/>
                <w:szCs w:val="22"/>
                <w:lang w:val="lt-LT"/>
              </w:rPr>
              <w:noBreakHyphen/>
              <w:t>1 ir INPULSIS</w:t>
            </w:r>
            <w:r w:rsidRPr="00211E3B">
              <w:rPr>
                <w:b/>
                <w:szCs w:val="22"/>
                <w:lang w:val="lt-LT"/>
              </w:rPr>
              <w:noBreakHyphen/>
              <w:t>2 apibendrinti duomenys</w:t>
            </w:r>
          </w:p>
        </w:tc>
      </w:tr>
      <w:tr w:rsidR="00E72157" w:rsidRPr="00211E3B" w14:paraId="0D3866C0" w14:textId="77777777" w:rsidTr="00E72157">
        <w:tc>
          <w:tcPr>
            <w:tcW w:w="938" w:type="pct"/>
          </w:tcPr>
          <w:p w14:paraId="476DD779" w14:textId="77777777" w:rsidR="00E72157" w:rsidRPr="00211E3B" w:rsidRDefault="00E72157" w:rsidP="00E72157">
            <w:pPr>
              <w:autoSpaceDE w:val="0"/>
              <w:autoSpaceDN w:val="0"/>
              <w:adjustRightInd w:val="0"/>
              <w:rPr>
                <w:szCs w:val="22"/>
                <w:lang w:val="lt-LT"/>
              </w:rPr>
            </w:pPr>
          </w:p>
        </w:tc>
        <w:tc>
          <w:tcPr>
            <w:tcW w:w="705" w:type="pct"/>
          </w:tcPr>
          <w:p w14:paraId="5BF0190B" w14:textId="39EF2942" w:rsidR="00E72157" w:rsidRPr="00211E3B" w:rsidRDefault="00E72157" w:rsidP="00E72157">
            <w:pPr>
              <w:autoSpaceDE w:val="0"/>
              <w:autoSpaceDN w:val="0"/>
              <w:adjustRightInd w:val="0"/>
              <w:jc w:val="center"/>
              <w:rPr>
                <w:szCs w:val="22"/>
                <w:lang w:val="lt-LT"/>
              </w:rPr>
            </w:pPr>
            <w:r w:rsidRPr="00211E3B">
              <w:rPr>
                <w:szCs w:val="22"/>
                <w:lang w:val="lt-LT"/>
              </w:rPr>
              <w:t>Placebas</w:t>
            </w:r>
          </w:p>
        </w:tc>
        <w:tc>
          <w:tcPr>
            <w:tcW w:w="705" w:type="pct"/>
          </w:tcPr>
          <w:p w14:paraId="24FD9DE7" w14:textId="1CC4D501" w:rsidR="00E72157" w:rsidRPr="00211E3B" w:rsidRDefault="00E72157" w:rsidP="00E72157">
            <w:pPr>
              <w:autoSpaceDE w:val="0"/>
              <w:autoSpaceDN w:val="0"/>
              <w:adjustRightInd w:val="0"/>
              <w:jc w:val="center"/>
              <w:rPr>
                <w:szCs w:val="22"/>
                <w:lang w:val="lt-LT"/>
              </w:rPr>
            </w:pPr>
            <w:r w:rsidRPr="00211E3B">
              <w:rPr>
                <w:szCs w:val="22"/>
                <w:lang w:val="lt-LT"/>
              </w:rPr>
              <w:t>Nintedanibas 150</w:t>
            </w:r>
            <w:r w:rsidR="0085390D">
              <w:rPr>
                <w:szCs w:val="22"/>
                <w:lang w:val="lt-LT"/>
              </w:rPr>
              <w:t> mg</w:t>
            </w:r>
            <w:r w:rsidRPr="00211E3B">
              <w:rPr>
                <w:szCs w:val="22"/>
                <w:lang w:val="lt-LT"/>
              </w:rPr>
              <w:t xml:space="preserve"> du kartus per parą</w:t>
            </w:r>
          </w:p>
        </w:tc>
        <w:tc>
          <w:tcPr>
            <w:tcW w:w="627" w:type="pct"/>
          </w:tcPr>
          <w:p w14:paraId="309F77C4" w14:textId="6E211146" w:rsidR="00E72157" w:rsidRPr="00211E3B" w:rsidRDefault="00E72157" w:rsidP="00E72157">
            <w:pPr>
              <w:autoSpaceDE w:val="0"/>
              <w:autoSpaceDN w:val="0"/>
              <w:adjustRightInd w:val="0"/>
              <w:jc w:val="center"/>
              <w:rPr>
                <w:szCs w:val="22"/>
                <w:lang w:val="lt-LT"/>
              </w:rPr>
            </w:pPr>
            <w:r w:rsidRPr="00211E3B">
              <w:rPr>
                <w:szCs w:val="22"/>
                <w:lang w:val="lt-LT"/>
              </w:rPr>
              <w:t>Placebas</w:t>
            </w:r>
          </w:p>
        </w:tc>
        <w:tc>
          <w:tcPr>
            <w:tcW w:w="705" w:type="pct"/>
          </w:tcPr>
          <w:p w14:paraId="59649E81" w14:textId="77777777" w:rsidR="00736365" w:rsidRPr="00736365" w:rsidRDefault="00736365" w:rsidP="00736365">
            <w:pPr>
              <w:autoSpaceDE w:val="0"/>
              <w:autoSpaceDN w:val="0"/>
              <w:adjustRightInd w:val="0"/>
              <w:jc w:val="center"/>
              <w:rPr>
                <w:szCs w:val="22"/>
                <w:lang w:val="lt-LT"/>
              </w:rPr>
            </w:pPr>
            <w:r w:rsidRPr="00736365">
              <w:rPr>
                <w:szCs w:val="22"/>
                <w:lang w:val="lt-LT"/>
              </w:rPr>
              <w:t>Nintedanibas 150 mg du kartus per</w:t>
            </w:r>
          </w:p>
          <w:p w14:paraId="70C273AA" w14:textId="1E4265FC" w:rsidR="00E72157" w:rsidRPr="00211E3B" w:rsidRDefault="00736365" w:rsidP="00736365">
            <w:pPr>
              <w:autoSpaceDE w:val="0"/>
              <w:autoSpaceDN w:val="0"/>
              <w:adjustRightInd w:val="0"/>
              <w:jc w:val="center"/>
              <w:rPr>
                <w:szCs w:val="22"/>
                <w:lang w:val="lt-LT"/>
              </w:rPr>
            </w:pPr>
            <w:r w:rsidRPr="00736365">
              <w:rPr>
                <w:szCs w:val="22"/>
                <w:lang w:val="lt-LT"/>
              </w:rPr>
              <w:t>parą</w:t>
            </w:r>
          </w:p>
        </w:tc>
        <w:tc>
          <w:tcPr>
            <w:tcW w:w="608" w:type="pct"/>
          </w:tcPr>
          <w:p w14:paraId="6EDC3C50" w14:textId="09027EFE" w:rsidR="00E72157" w:rsidRPr="00211E3B" w:rsidRDefault="00736365" w:rsidP="00E72157">
            <w:pPr>
              <w:autoSpaceDE w:val="0"/>
              <w:autoSpaceDN w:val="0"/>
              <w:adjustRightInd w:val="0"/>
              <w:jc w:val="center"/>
              <w:rPr>
                <w:szCs w:val="22"/>
                <w:lang w:val="lt-LT"/>
              </w:rPr>
            </w:pPr>
            <w:r>
              <w:rPr>
                <w:szCs w:val="22"/>
                <w:lang w:val="lt-LT"/>
              </w:rPr>
              <w:t>Placebas</w:t>
            </w:r>
          </w:p>
        </w:tc>
        <w:tc>
          <w:tcPr>
            <w:tcW w:w="713" w:type="pct"/>
          </w:tcPr>
          <w:p w14:paraId="1202B723" w14:textId="3FCE83AE" w:rsidR="00E72157" w:rsidRPr="00211E3B" w:rsidRDefault="00736365" w:rsidP="00E72157">
            <w:pPr>
              <w:autoSpaceDE w:val="0"/>
              <w:autoSpaceDN w:val="0"/>
              <w:adjustRightInd w:val="0"/>
              <w:jc w:val="center"/>
              <w:rPr>
                <w:szCs w:val="22"/>
                <w:lang w:val="lt-LT"/>
              </w:rPr>
            </w:pPr>
            <w:r>
              <w:t xml:space="preserve"> </w:t>
            </w:r>
            <w:r w:rsidRPr="00736365">
              <w:rPr>
                <w:szCs w:val="22"/>
                <w:lang w:val="lt-LT"/>
              </w:rPr>
              <w:t>Nintedanibas 150 mg du kartus per parą</w:t>
            </w:r>
          </w:p>
        </w:tc>
      </w:tr>
      <w:tr w:rsidR="00E72157" w:rsidRPr="00211E3B" w14:paraId="107C95A1" w14:textId="77777777" w:rsidTr="00E72157">
        <w:tc>
          <w:tcPr>
            <w:tcW w:w="938" w:type="pct"/>
          </w:tcPr>
          <w:p w14:paraId="47CA8D98" w14:textId="3160FA3A" w:rsidR="00E72157" w:rsidRPr="00211E3B" w:rsidRDefault="00E72157" w:rsidP="00256DA0">
            <w:pPr>
              <w:autoSpaceDE w:val="0"/>
              <w:autoSpaceDN w:val="0"/>
              <w:adjustRightInd w:val="0"/>
              <w:rPr>
                <w:szCs w:val="22"/>
                <w:lang w:val="lt-LT"/>
              </w:rPr>
            </w:pPr>
            <w:r w:rsidRPr="00211E3B">
              <w:rPr>
                <w:szCs w:val="22"/>
                <w:lang w:val="lt-LT"/>
              </w:rPr>
              <w:t>Pacientų, kuriems yra rizika, skaičius</w:t>
            </w:r>
          </w:p>
        </w:tc>
        <w:tc>
          <w:tcPr>
            <w:tcW w:w="705" w:type="pct"/>
          </w:tcPr>
          <w:p w14:paraId="40A6E2C0" w14:textId="77777777" w:rsidR="00E72157" w:rsidRPr="00211E3B" w:rsidRDefault="00E72157" w:rsidP="00256DA0">
            <w:pPr>
              <w:autoSpaceDE w:val="0"/>
              <w:autoSpaceDN w:val="0"/>
              <w:adjustRightInd w:val="0"/>
              <w:jc w:val="center"/>
              <w:rPr>
                <w:szCs w:val="22"/>
                <w:lang w:val="lt-LT"/>
              </w:rPr>
            </w:pPr>
            <w:r w:rsidRPr="00211E3B">
              <w:rPr>
                <w:szCs w:val="22"/>
                <w:lang w:val="lt-LT"/>
              </w:rPr>
              <w:t>204</w:t>
            </w:r>
          </w:p>
        </w:tc>
        <w:tc>
          <w:tcPr>
            <w:tcW w:w="705" w:type="pct"/>
          </w:tcPr>
          <w:p w14:paraId="5D55B41E" w14:textId="77777777" w:rsidR="00E72157" w:rsidRPr="00211E3B" w:rsidRDefault="00E72157" w:rsidP="00256DA0">
            <w:pPr>
              <w:autoSpaceDE w:val="0"/>
              <w:autoSpaceDN w:val="0"/>
              <w:adjustRightInd w:val="0"/>
              <w:jc w:val="center"/>
              <w:rPr>
                <w:szCs w:val="22"/>
                <w:lang w:val="lt-LT"/>
              </w:rPr>
            </w:pPr>
            <w:r w:rsidRPr="00211E3B">
              <w:rPr>
                <w:szCs w:val="22"/>
                <w:lang w:val="lt-LT"/>
              </w:rPr>
              <w:t>309</w:t>
            </w:r>
          </w:p>
        </w:tc>
        <w:tc>
          <w:tcPr>
            <w:tcW w:w="627" w:type="pct"/>
          </w:tcPr>
          <w:p w14:paraId="3BEBD0F8" w14:textId="77777777" w:rsidR="00E72157" w:rsidRPr="00211E3B" w:rsidRDefault="00E72157" w:rsidP="00256DA0">
            <w:pPr>
              <w:autoSpaceDE w:val="0"/>
              <w:autoSpaceDN w:val="0"/>
              <w:adjustRightInd w:val="0"/>
              <w:jc w:val="center"/>
              <w:rPr>
                <w:szCs w:val="22"/>
                <w:lang w:val="lt-LT"/>
              </w:rPr>
            </w:pPr>
            <w:r w:rsidRPr="00211E3B">
              <w:rPr>
                <w:szCs w:val="22"/>
                <w:lang w:val="lt-LT"/>
              </w:rPr>
              <w:t>219</w:t>
            </w:r>
          </w:p>
        </w:tc>
        <w:tc>
          <w:tcPr>
            <w:tcW w:w="705" w:type="pct"/>
          </w:tcPr>
          <w:p w14:paraId="60BC8D6A" w14:textId="77777777" w:rsidR="00E72157" w:rsidRPr="00211E3B" w:rsidRDefault="00E72157" w:rsidP="00256DA0">
            <w:pPr>
              <w:autoSpaceDE w:val="0"/>
              <w:autoSpaceDN w:val="0"/>
              <w:adjustRightInd w:val="0"/>
              <w:jc w:val="center"/>
              <w:rPr>
                <w:szCs w:val="22"/>
                <w:lang w:val="lt-LT"/>
              </w:rPr>
            </w:pPr>
            <w:r w:rsidRPr="00211E3B">
              <w:rPr>
                <w:szCs w:val="22"/>
                <w:lang w:val="lt-LT"/>
              </w:rPr>
              <w:t>329</w:t>
            </w:r>
          </w:p>
        </w:tc>
        <w:tc>
          <w:tcPr>
            <w:tcW w:w="608" w:type="pct"/>
          </w:tcPr>
          <w:p w14:paraId="3C89F4BF" w14:textId="77777777" w:rsidR="00E72157" w:rsidRPr="00211E3B" w:rsidRDefault="00E72157" w:rsidP="00256DA0">
            <w:pPr>
              <w:autoSpaceDE w:val="0"/>
              <w:autoSpaceDN w:val="0"/>
              <w:adjustRightInd w:val="0"/>
              <w:jc w:val="center"/>
              <w:rPr>
                <w:szCs w:val="22"/>
                <w:lang w:val="lt-LT"/>
              </w:rPr>
            </w:pPr>
            <w:r w:rsidRPr="00211E3B">
              <w:rPr>
                <w:szCs w:val="22"/>
                <w:lang w:val="lt-LT"/>
              </w:rPr>
              <w:t>423</w:t>
            </w:r>
          </w:p>
        </w:tc>
        <w:tc>
          <w:tcPr>
            <w:tcW w:w="713" w:type="pct"/>
          </w:tcPr>
          <w:p w14:paraId="137F2A0B" w14:textId="77777777" w:rsidR="00E72157" w:rsidRPr="00211E3B" w:rsidRDefault="00E72157" w:rsidP="00256DA0">
            <w:pPr>
              <w:autoSpaceDE w:val="0"/>
              <w:autoSpaceDN w:val="0"/>
              <w:adjustRightInd w:val="0"/>
              <w:jc w:val="center"/>
              <w:rPr>
                <w:szCs w:val="22"/>
                <w:lang w:val="lt-LT"/>
              </w:rPr>
            </w:pPr>
            <w:r w:rsidRPr="00211E3B">
              <w:rPr>
                <w:szCs w:val="22"/>
                <w:lang w:val="lt-LT"/>
              </w:rPr>
              <w:t>638</w:t>
            </w:r>
          </w:p>
        </w:tc>
      </w:tr>
      <w:tr w:rsidR="00E72157" w:rsidRPr="00211E3B" w14:paraId="1A1673C9" w14:textId="77777777" w:rsidTr="00E72157">
        <w:tc>
          <w:tcPr>
            <w:tcW w:w="938" w:type="pct"/>
          </w:tcPr>
          <w:p w14:paraId="16850CB8" w14:textId="1F72DFF2" w:rsidR="00E72157" w:rsidRPr="00211E3B" w:rsidRDefault="00E72157" w:rsidP="00256DA0">
            <w:pPr>
              <w:autoSpaceDE w:val="0"/>
              <w:autoSpaceDN w:val="0"/>
              <w:adjustRightInd w:val="0"/>
              <w:rPr>
                <w:szCs w:val="22"/>
                <w:lang w:val="lt-LT"/>
              </w:rPr>
            </w:pPr>
            <w:r w:rsidRPr="00211E3B">
              <w:rPr>
                <w:szCs w:val="22"/>
                <w:lang w:val="lt-LT"/>
              </w:rPr>
              <w:t>Pacientų, kuriems nustatyta reiškinių, skaičius, N (</w:t>
            </w:r>
            <w:r w:rsidR="0085390D">
              <w:rPr>
                <w:szCs w:val="22"/>
                <w:lang w:val="lt-LT"/>
              </w:rPr>
              <w:t xml:space="preserve"> %</w:t>
            </w:r>
            <w:r w:rsidRPr="00211E3B">
              <w:rPr>
                <w:szCs w:val="22"/>
                <w:lang w:val="lt-LT"/>
              </w:rPr>
              <w:t>)</w:t>
            </w:r>
          </w:p>
        </w:tc>
        <w:tc>
          <w:tcPr>
            <w:tcW w:w="705" w:type="pct"/>
            <w:vAlign w:val="center"/>
          </w:tcPr>
          <w:p w14:paraId="0945B069" w14:textId="77777777" w:rsidR="00E72157" w:rsidRPr="00211E3B" w:rsidRDefault="00E72157" w:rsidP="00256DA0">
            <w:pPr>
              <w:autoSpaceDE w:val="0"/>
              <w:autoSpaceDN w:val="0"/>
              <w:adjustRightInd w:val="0"/>
              <w:jc w:val="center"/>
              <w:rPr>
                <w:szCs w:val="22"/>
                <w:lang w:val="lt-LT"/>
              </w:rPr>
            </w:pPr>
            <w:r w:rsidRPr="00211E3B">
              <w:rPr>
                <w:szCs w:val="22"/>
                <w:lang w:val="lt-LT"/>
              </w:rPr>
              <w:t>83</w:t>
            </w:r>
          </w:p>
          <w:p w14:paraId="518D5D26" w14:textId="0C606084" w:rsidR="00E72157" w:rsidRPr="00211E3B" w:rsidRDefault="00E72157" w:rsidP="00256DA0">
            <w:pPr>
              <w:autoSpaceDE w:val="0"/>
              <w:autoSpaceDN w:val="0"/>
              <w:adjustRightInd w:val="0"/>
              <w:jc w:val="center"/>
              <w:rPr>
                <w:szCs w:val="22"/>
                <w:lang w:val="lt-LT"/>
              </w:rPr>
            </w:pPr>
            <w:r w:rsidRPr="00211E3B">
              <w:rPr>
                <w:szCs w:val="22"/>
                <w:lang w:val="lt-LT"/>
              </w:rPr>
              <w:t>(40,7)</w:t>
            </w:r>
          </w:p>
        </w:tc>
        <w:tc>
          <w:tcPr>
            <w:tcW w:w="705" w:type="pct"/>
            <w:vAlign w:val="center"/>
          </w:tcPr>
          <w:p w14:paraId="373B4CB4" w14:textId="77777777" w:rsidR="00E72157" w:rsidRPr="00211E3B" w:rsidRDefault="00E72157" w:rsidP="00256DA0">
            <w:pPr>
              <w:autoSpaceDE w:val="0"/>
              <w:autoSpaceDN w:val="0"/>
              <w:adjustRightInd w:val="0"/>
              <w:jc w:val="center"/>
              <w:rPr>
                <w:szCs w:val="22"/>
                <w:lang w:val="lt-LT"/>
              </w:rPr>
            </w:pPr>
            <w:r w:rsidRPr="00211E3B">
              <w:rPr>
                <w:szCs w:val="22"/>
                <w:lang w:val="lt-LT"/>
              </w:rPr>
              <w:t>75</w:t>
            </w:r>
          </w:p>
          <w:p w14:paraId="78FA5D52" w14:textId="45CE871C" w:rsidR="00E72157" w:rsidRPr="00211E3B" w:rsidRDefault="00E72157" w:rsidP="00256DA0">
            <w:pPr>
              <w:autoSpaceDE w:val="0"/>
              <w:autoSpaceDN w:val="0"/>
              <w:adjustRightInd w:val="0"/>
              <w:jc w:val="center"/>
              <w:rPr>
                <w:szCs w:val="22"/>
                <w:lang w:val="lt-LT"/>
              </w:rPr>
            </w:pPr>
            <w:r w:rsidRPr="00211E3B">
              <w:rPr>
                <w:szCs w:val="22"/>
                <w:lang w:val="lt-LT"/>
              </w:rPr>
              <w:t>(24,3)</w:t>
            </w:r>
          </w:p>
        </w:tc>
        <w:tc>
          <w:tcPr>
            <w:tcW w:w="627" w:type="pct"/>
            <w:vAlign w:val="center"/>
          </w:tcPr>
          <w:p w14:paraId="37DAFB04" w14:textId="77777777" w:rsidR="00E72157" w:rsidRPr="00211E3B" w:rsidRDefault="00E72157" w:rsidP="00256DA0">
            <w:pPr>
              <w:autoSpaceDE w:val="0"/>
              <w:autoSpaceDN w:val="0"/>
              <w:adjustRightInd w:val="0"/>
              <w:jc w:val="center"/>
              <w:rPr>
                <w:szCs w:val="22"/>
                <w:lang w:val="lt-LT"/>
              </w:rPr>
            </w:pPr>
            <w:r w:rsidRPr="00211E3B">
              <w:rPr>
                <w:szCs w:val="22"/>
                <w:lang w:val="lt-LT"/>
              </w:rPr>
              <w:t>92</w:t>
            </w:r>
          </w:p>
          <w:p w14:paraId="66DC9567" w14:textId="78109452" w:rsidR="00E72157" w:rsidRPr="00211E3B" w:rsidRDefault="00E72157" w:rsidP="00256DA0">
            <w:pPr>
              <w:autoSpaceDE w:val="0"/>
              <w:autoSpaceDN w:val="0"/>
              <w:adjustRightInd w:val="0"/>
              <w:jc w:val="center"/>
              <w:rPr>
                <w:szCs w:val="22"/>
                <w:lang w:val="lt-LT"/>
              </w:rPr>
            </w:pPr>
            <w:r w:rsidRPr="00211E3B">
              <w:rPr>
                <w:szCs w:val="22"/>
                <w:lang w:val="lt-LT"/>
              </w:rPr>
              <w:t>(42,0)</w:t>
            </w:r>
          </w:p>
        </w:tc>
        <w:tc>
          <w:tcPr>
            <w:tcW w:w="705" w:type="pct"/>
            <w:vAlign w:val="center"/>
          </w:tcPr>
          <w:p w14:paraId="375C7F2A" w14:textId="77777777" w:rsidR="00E72157" w:rsidRPr="00211E3B" w:rsidRDefault="00E72157" w:rsidP="00256DA0">
            <w:pPr>
              <w:autoSpaceDE w:val="0"/>
              <w:autoSpaceDN w:val="0"/>
              <w:adjustRightInd w:val="0"/>
              <w:jc w:val="center"/>
              <w:rPr>
                <w:szCs w:val="22"/>
                <w:lang w:val="lt-LT"/>
              </w:rPr>
            </w:pPr>
            <w:r w:rsidRPr="00211E3B">
              <w:rPr>
                <w:szCs w:val="22"/>
                <w:lang w:val="lt-LT"/>
              </w:rPr>
              <w:t>98</w:t>
            </w:r>
          </w:p>
          <w:p w14:paraId="72873390" w14:textId="22E53692" w:rsidR="00E72157" w:rsidRPr="00211E3B" w:rsidRDefault="00E72157" w:rsidP="00256DA0">
            <w:pPr>
              <w:autoSpaceDE w:val="0"/>
              <w:autoSpaceDN w:val="0"/>
              <w:adjustRightInd w:val="0"/>
              <w:jc w:val="center"/>
              <w:rPr>
                <w:szCs w:val="22"/>
                <w:lang w:val="lt-LT"/>
              </w:rPr>
            </w:pPr>
            <w:r w:rsidRPr="00211E3B">
              <w:rPr>
                <w:szCs w:val="22"/>
                <w:lang w:val="lt-LT"/>
              </w:rPr>
              <w:t>(29,8)</w:t>
            </w:r>
          </w:p>
        </w:tc>
        <w:tc>
          <w:tcPr>
            <w:tcW w:w="608" w:type="pct"/>
            <w:vAlign w:val="center"/>
          </w:tcPr>
          <w:p w14:paraId="47D21C30" w14:textId="77777777" w:rsidR="00E72157" w:rsidRPr="00211E3B" w:rsidRDefault="00E72157" w:rsidP="00256DA0">
            <w:pPr>
              <w:autoSpaceDE w:val="0"/>
              <w:autoSpaceDN w:val="0"/>
              <w:adjustRightInd w:val="0"/>
              <w:jc w:val="center"/>
              <w:rPr>
                <w:szCs w:val="22"/>
                <w:lang w:val="lt-LT"/>
              </w:rPr>
            </w:pPr>
            <w:r w:rsidRPr="00211E3B">
              <w:rPr>
                <w:szCs w:val="22"/>
                <w:lang w:val="lt-LT"/>
              </w:rPr>
              <w:t>175</w:t>
            </w:r>
          </w:p>
          <w:p w14:paraId="62904776" w14:textId="04E4BC71" w:rsidR="00E72157" w:rsidRPr="00211E3B" w:rsidRDefault="00E72157" w:rsidP="00256DA0">
            <w:pPr>
              <w:autoSpaceDE w:val="0"/>
              <w:autoSpaceDN w:val="0"/>
              <w:adjustRightInd w:val="0"/>
              <w:jc w:val="center"/>
              <w:rPr>
                <w:szCs w:val="22"/>
                <w:lang w:val="lt-LT"/>
              </w:rPr>
            </w:pPr>
            <w:r w:rsidRPr="00211E3B">
              <w:rPr>
                <w:szCs w:val="22"/>
                <w:lang w:val="lt-LT"/>
              </w:rPr>
              <w:t>(41,4)</w:t>
            </w:r>
          </w:p>
        </w:tc>
        <w:tc>
          <w:tcPr>
            <w:tcW w:w="713" w:type="pct"/>
            <w:vAlign w:val="center"/>
          </w:tcPr>
          <w:p w14:paraId="54125488" w14:textId="77777777" w:rsidR="00E72157" w:rsidRPr="00211E3B" w:rsidRDefault="00E72157" w:rsidP="00256DA0">
            <w:pPr>
              <w:autoSpaceDE w:val="0"/>
              <w:autoSpaceDN w:val="0"/>
              <w:adjustRightInd w:val="0"/>
              <w:jc w:val="center"/>
              <w:rPr>
                <w:szCs w:val="22"/>
                <w:lang w:val="lt-LT"/>
              </w:rPr>
            </w:pPr>
            <w:r w:rsidRPr="00211E3B">
              <w:rPr>
                <w:szCs w:val="22"/>
                <w:lang w:val="lt-LT"/>
              </w:rPr>
              <w:t>173</w:t>
            </w:r>
          </w:p>
          <w:p w14:paraId="5E41B700" w14:textId="57DB459E" w:rsidR="00E72157" w:rsidRPr="00211E3B" w:rsidRDefault="00E72157" w:rsidP="00256DA0">
            <w:pPr>
              <w:autoSpaceDE w:val="0"/>
              <w:autoSpaceDN w:val="0"/>
              <w:adjustRightInd w:val="0"/>
              <w:jc w:val="center"/>
              <w:rPr>
                <w:szCs w:val="22"/>
                <w:lang w:val="lt-LT"/>
              </w:rPr>
            </w:pPr>
            <w:r w:rsidRPr="00211E3B">
              <w:rPr>
                <w:szCs w:val="22"/>
                <w:lang w:val="lt-LT"/>
              </w:rPr>
              <w:t>(27,1)</w:t>
            </w:r>
          </w:p>
        </w:tc>
      </w:tr>
      <w:tr w:rsidR="00E72157" w:rsidRPr="00211E3B" w14:paraId="3501B987" w14:textId="77777777" w:rsidTr="00256DA0">
        <w:tc>
          <w:tcPr>
            <w:tcW w:w="5000" w:type="pct"/>
            <w:gridSpan w:val="7"/>
          </w:tcPr>
          <w:p w14:paraId="6A64B85D" w14:textId="6465D92B" w:rsidR="00E72157" w:rsidRPr="00211E3B" w:rsidRDefault="00E72157" w:rsidP="00256DA0">
            <w:pPr>
              <w:autoSpaceDE w:val="0"/>
              <w:autoSpaceDN w:val="0"/>
              <w:adjustRightInd w:val="0"/>
              <w:rPr>
                <w:szCs w:val="22"/>
                <w:lang w:val="lt-LT"/>
              </w:rPr>
            </w:pPr>
            <w:r w:rsidRPr="00211E3B">
              <w:rPr>
                <w:szCs w:val="22"/>
                <w:lang w:val="lt-LT"/>
              </w:rPr>
              <w:t>Palyginimas su placebu</w:t>
            </w:r>
            <w:r w:rsidRPr="00211E3B">
              <w:rPr>
                <w:szCs w:val="22"/>
                <w:vertAlign w:val="superscript"/>
                <w:lang w:val="lt-LT"/>
              </w:rPr>
              <w:t>1</w:t>
            </w:r>
          </w:p>
        </w:tc>
      </w:tr>
      <w:tr w:rsidR="00E72157" w:rsidRPr="00211E3B" w14:paraId="176B63F8" w14:textId="77777777" w:rsidTr="00E72157">
        <w:tc>
          <w:tcPr>
            <w:tcW w:w="938" w:type="pct"/>
          </w:tcPr>
          <w:p w14:paraId="1E373F8B" w14:textId="709E86E5" w:rsidR="00E72157" w:rsidRPr="00211E3B" w:rsidRDefault="00E72157" w:rsidP="00256DA0">
            <w:pPr>
              <w:autoSpaceDE w:val="0"/>
              <w:autoSpaceDN w:val="0"/>
              <w:adjustRightInd w:val="0"/>
              <w:rPr>
                <w:szCs w:val="22"/>
                <w:lang w:val="lt-LT"/>
              </w:rPr>
            </w:pPr>
            <w:r w:rsidRPr="00211E3B">
              <w:rPr>
                <w:szCs w:val="22"/>
                <w:lang w:val="lt-LT"/>
              </w:rPr>
              <w:t>p r</w:t>
            </w:r>
            <w:r w:rsidR="00736365">
              <w:rPr>
                <w:szCs w:val="22"/>
                <w:lang w:val="lt-LT"/>
              </w:rPr>
              <w:t>eikšmė</w:t>
            </w:r>
            <w:r w:rsidRPr="00211E3B">
              <w:rPr>
                <w:szCs w:val="22"/>
                <w:vertAlign w:val="superscript"/>
                <w:lang w:val="lt-LT"/>
              </w:rPr>
              <w:t>2</w:t>
            </w:r>
          </w:p>
        </w:tc>
        <w:tc>
          <w:tcPr>
            <w:tcW w:w="705" w:type="pct"/>
            <w:vAlign w:val="center"/>
          </w:tcPr>
          <w:p w14:paraId="488D869F" w14:textId="77777777" w:rsidR="00E72157" w:rsidRPr="00211E3B" w:rsidRDefault="00E72157" w:rsidP="00256DA0">
            <w:pPr>
              <w:autoSpaceDE w:val="0"/>
              <w:autoSpaceDN w:val="0"/>
              <w:adjustRightInd w:val="0"/>
              <w:jc w:val="center"/>
              <w:rPr>
                <w:szCs w:val="22"/>
                <w:lang w:val="lt-LT"/>
              </w:rPr>
            </w:pPr>
          </w:p>
        </w:tc>
        <w:tc>
          <w:tcPr>
            <w:tcW w:w="705" w:type="pct"/>
            <w:vAlign w:val="center"/>
          </w:tcPr>
          <w:p w14:paraId="78725468" w14:textId="3A73D9DC" w:rsidR="00E72157" w:rsidRPr="00211E3B" w:rsidRDefault="00E72157" w:rsidP="00256DA0">
            <w:pPr>
              <w:autoSpaceDE w:val="0"/>
              <w:autoSpaceDN w:val="0"/>
              <w:adjustRightInd w:val="0"/>
              <w:jc w:val="center"/>
              <w:rPr>
                <w:szCs w:val="22"/>
                <w:lang w:val="lt-LT"/>
              </w:rPr>
            </w:pPr>
            <w:r w:rsidRPr="00211E3B">
              <w:rPr>
                <w:szCs w:val="22"/>
                <w:lang w:val="lt-LT"/>
              </w:rPr>
              <w:t>0,0001</w:t>
            </w:r>
          </w:p>
        </w:tc>
        <w:tc>
          <w:tcPr>
            <w:tcW w:w="627" w:type="pct"/>
            <w:vAlign w:val="center"/>
          </w:tcPr>
          <w:p w14:paraId="551D0108" w14:textId="77777777" w:rsidR="00E72157" w:rsidRPr="00211E3B" w:rsidRDefault="00E72157" w:rsidP="00256DA0">
            <w:pPr>
              <w:autoSpaceDE w:val="0"/>
              <w:autoSpaceDN w:val="0"/>
              <w:adjustRightInd w:val="0"/>
              <w:jc w:val="center"/>
              <w:rPr>
                <w:szCs w:val="22"/>
                <w:lang w:val="lt-LT"/>
              </w:rPr>
            </w:pPr>
          </w:p>
        </w:tc>
        <w:tc>
          <w:tcPr>
            <w:tcW w:w="705" w:type="pct"/>
            <w:vAlign w:val="center"/>
          </w:tcPr>
          <w:p w14:paraId="54BD756F" w14:textId="1ADFB9F0" w:rsidR="00E72157" w:rsidRPr="00211E3B" w:rsidRDefault="00E72157" w:rsidP="00256DA0">
            <w:pPr>
              <w:autoSpaceDE w:val="0"/>
              <w:autoSpaceDN w:val="0"/>
              <w:adjustRightInd w:val="0"/>
              <w:jc w:val="center"/>
              <w:rPr>
                <w:szCs w:val="22"/>
                <w:lang w:val="lt-LT"/>
              </w:rPr>
            </w:pPr>
            <w:r w:rsidRPr="00211E3B">
              <w:rPr>
                <w:szCs w:val="22"/>
                <w:lang w:val="lt-LT"/>
              </w:rPr>
              <w:t>0,0054</w:t>
            </w:r>
          </w:p>
        </w:tc>
        <w:tc>
          <w:tcPr>
            <w:tcW w:w="608" w:type="pct"/>
            <w:vAlign w:val="center"/>
          </w:tcPr>
          <w:p w14:paraId="034F01E3" w14:textId="77777777" w:rsidR="00E72157" w:rsidRPr="00211E3B" w:rsidRDefault="00E72157" w:rsidP="00256DA0">
            <w:pPr>
              <w:autoSpaceDE w:val="0"/>
              <w:autoSpaceDN w:val="0"/>
              <w:adjustRightInd w:val="0"/>
              <w:jc w:val="center"/>
              <w:rPr>
                <w:szCs w:val="22"/>
                <w:lang w:val="lt-LT"/>
              </w:rPr>
            </w:pPr>
          </w:p>
        </w:tc>
        <w:tc>
          <w:tcPr>
            <w:tcW w:w="713" w:type="pct"/>
            <w:vAlign w:val="center"/>
          </w:tcPr>
          <w:p w14:paraId="09081DC9" w14:textId="0247632F" w:rsidR="00E72157" w:rsidRPr="00211E3B" w:rsidRDefault="00E72157" w:rsidP="00256DA0">
            <w:pPr>
              <w:autoSpaceDE w:val="0"/>
              <w:autoSpaceDN w:val="0"/>
              <w:adjustRightInd w:val="0"/>
              <w:jc w:val="center"/>
              <w:rPr>
                <w:szCs w:val="22"/>
                <w:lang w:val="lt-LT"/>
              </w:rPr>
            </w:pPr>
            <w:r w:rsidRPr="00211E3B">
              <w:rPr>
                <w:szCs w:val="22"/>
                <w:lang w:val="lt-LT"/>
              </w:rPr>
              <w:t>&lt;0,0001</w:t>
            </w:r>
          </w:p>
        </w:tc>
      </w:tr>
      <w:tr w:rsidR="00E72157" w:rsidRPr="00211E3B" w14:paraId="12A92B74" w14:textId="77777777" w:rsidTr="00E72157">
        <w:tc>
          <w:tcPr>
            <w:tcW w:w="938" w:type="pct"/>
          </w:tcPr>
          <w:p w14:paraId="0DE6D131" w14:textId="6BE2F199" w:rsidR="00E72157" w:rsidRPr="00211E3B" w:rsidRDefault="00E72157" w:rsidP="00256DA0">
            <w:pPr>
              <w:autoSpaceDE w:val="0"/>
              <w:autoSpaceDN w:val="0"/>
              <w:adjustRightInd w:val="0"/>
              <w:rPr>
                <w:szCs w:val="22"/>
                <w:lang w:val="lt-LT"/>
              </w:rPr>
            </w:pPr>
            <w:r w:rsidRPr="00211E3B">
              <w:rPr>
                <w:szCs w:val="22"/>
                <w:lang w:val="lt-LT"/>
              </w:rPr>
              <w:t>Rizikos santykis</w:t>
            </w:r>
            <w:r w:rsidRPr="00211E3B">
              <w:rPr>
                <w:szCs w:val="22"/>
                <w:vertAlign w:val="superscript"/>
                <w:lang w:val="lt-LT"/>
              </w:rPr>
              <w:t>3</w:t>
            </w:r>
          </w:p>
        </w:tc>
        <w:tc>
          <w:tcPr>
            <w:tcW w:w="705" w:type="pct"/>
            <w:vAlign w:val="center"/>
          </w:tcPr>
          <w:p w14:paraId="6AF4008E" w14:textId="77777777" w:rsidR="00E72157" w:rsidRPr="00211E3B" w:rsidRDefault="00E72157" w:rsidP="00256DA0">
            <w:pPr>
              <w:autoSpaceDE w:val="0"/>
              <w:autoSpaceDN w:val="0"/>
              <w:adjustRightInd w:val="0"/>
              <w:jc w:val="center"/>
              <w:rPr>
                <w:szCs w:val="22"/>
                <w:lang w:val="lt-LT"/>
              </w:rPr>
            </w:pPr>
          </w:p>
        </w:tc>
        <w:tc>
          <w:tcPr>
            <w:tcW w:w="705" w:type="pct"/>
            <w:vAlign w:val="center"/>
          </w:tcPr>
          <w:p w14:paraId="2DC62F2D" w14:textId="3897AB90" w:rsidR="00E72157" w:rsidRPr="00211E3B" w:rsidRDefault="00E72157" w:rsidP="00256DA0">
            <w:pPr>
              <w:autoSpaceDE w:val="0"/>
              <w:autoSpaceDN w:val="0"/>
              <w:adjustRightInd w:val="0"/>
              <w:jc w:val="center"/>
              <w:rPr>
                <w:szCs w:val="22"/>
                <w:lang w:val="lt-LT"/>
              </w:rPr>
            </w:pPr>
            <w:r w:rsidRPr="00211E3B">
              <w:rPr>
                <w:szCs w:val="22"/>
                <w:lang w:val="lt-LT"/>
              </w:rPr>
              <w:t>0,53</w:t>
            </w:r>
          </w:p>
        </w:tc>
        <w:tc>
          <w:tcPr>
            <w:tcW w:w="627" w:type="pct"/>
            <w:vAlign w:val="center"/>
          </w:tcPr>
          <w:p w14:paraId="270C9CA7" w14:textId="77777777" w:rsidR="00E72157" w:rsidRPr="00211E3B" w:rsidRDefault="00E72157" w:rsidP="00256DA0">
            <w:pPr>
              <w:autoSpaceDE w:val="0"/>
              <w:autoSpaceDN w:val="0"/>
              <w:adjustRightInd w:val="0"/>
              <w:jc w:val="center"/>
              <w:rPr>
                <w:szCs w:val="22"/>
                <w:lang w:val="lt-LT"/>
              </w:rPr>
            </w:pPr>
          </w:p>
        </w:tc>
        <w:tc>
          <w:tcPr>
            <w:tcW w:w="705" w:type="pct"/>
            <w:vAlign w:val="center"/>
          </w:tcPr>
          <w:p w14:paraId="29E27B33" w14:textId="11A6B689" w:rsidR="00E72157" w:rsidRPr="00211E3B" w:rsidRDefault="00E72157" w:rsidP="00256DA0">
            <w:pPr>
              <w:autoSpaceDE w:val="0"/>
              <w:autoSpaceDN w:val="0"/>
              <w:adjustRightInd w:val="0"/>
              <w:jc w:val="center"/>
              <w:rPr>
                <w:szCs w:val="22"/>
                <w:lang w:val="lt-LT"/>
              </w:rPr>
            </w:pPr>
            <w:r w:rsidRPr="00211E3B">
              <w:rPr>
                <w:szCs w:val="22"/>
                <w:lang w:val="lt-LT"/>
              </w:rPr>
              <w:t>0,67</w:t>
            </w:r>
          </w:p>
        </w:tc>
        <w:tc>
          <w:tcPr>
            <w:tcW w:w="608" w:type="pct"/>
            <w:vAlign w:val="center"/>
          </w:tcPr>
          <w:p w14:paraId="709D26C5" w14:textId="77777777" w:rsidR="00E72157" w:rsidRPr="00211E3B" w:rsidRDefault="00E72157" w:rsidP="00256DA0">
            <w:pPr>
              <w:autoSpaceDE w:val="0"/>
              <w:autoSpaceDN w:val="0"/>
              <w:adjustRightInd w:val="0"/>
              <w:jc w:val="center"/>
              <w:rPr>
                <w:szCs w:val="22"/>
                <w:lang w:val="lt-LT"/>
              </w:rPr>
            </w:pPr>
          </w:p>
        </w:tc>
        <w:tc>
          <w:tcPr>
            <w:tcW w:w="713" w:type="pct"/>
            <w:vAlign w:val="center"/>
          </w:tcPr>
          <w:p w14:paraId="57E54C33" w14:textId="2177FD2E" w:rsidR="00E72157" w:rsidRPr="00211E3B" w:rsidRDefault="00E72157" w:rsidP="00256DA0">
            <w:pPr>
              <w:autoSpaceDE w:val="0"/>
              <w:autoSpaceDN w:val="0"/>
              <w:adjustRightInd w:val="0"/>
              <w:jc w:val="center"/>
              <w:rPr>
                <w:szCs w:val="22"/>
                <w:lang w:val="lt-LT"/>
              </w:rPr>
            </w:pPr>
            <w:r w:rsidRPr="00211E3B">
              <w:rPr>
                <w:szCs w:val="22"/>
                <w:lang w:val="lt-LT"/>
              </w:rPr>
              <w:t>0,60</w:t>
            </w:r>
          </w:p>
        </w:tc>
      </w:tr>
      <w:tr w:rsidR="00E72157" w:rsidRPr="00211E3B" w14:paraId="6074965A" w14:textId="77777777" w:rsidTr="00E72157">
        <w:tc>
          <w:tcPr>
            <w:tcW w:w="938" w:type="pct"/>
          </w:tcPr>
          <w:p w14:paraId="7EF4BC55" w14:textId="246E9CF4" w:rsidR="00E72157" w:rsidRPr="00211E3B" w:rsidRDefault="00E72157" w:rsidP="00256DA0">
            <w:pPr>
              <w:autoSpaceDE w:val="0"/>
              <w:autoSpaceDN w:val="0"/>
              <w:adjustRightInd w:val="0"/>
              <w:rPr>
                <w:szCs w:val="22"/>
                <w:lang w:val="lt-LT"/>
              </w:rPr>
            </w:pPr>
            <w:r w:rsidRPr="00211E3B">
              <w:rPr>
                <w:szCs w:val="22"/>
                <w:lang w:val="lt-LT"/>
              </w:rPr>
              <w:t>95</w:t>
            </w:r>
            <w:r w:rsidR="0085390D">
              <w:rPr>
                <w:szCs w:val="22"/>
                <w:lang w:val="lt-LT"/>
              </w:rPr>
              <w:t xml:space="preserve"> %</w:t>
            </w:r>
            <w:r w:rsidRPr="00211E3B">
              <w:rPr>
                <w:szCs w:val="22"/>
                <w:lang w:val="lt-LT"/>
              </w:rPr>
              <w:t> PI</w:t>
            </w:r>
          </w:p>
        </w:tc>
        <w:tc>
          <w:tcPr>
            <w:tcW w:w="705" w:type="pct"/>
            <w:vAlign w:val="center"/>
          </w:tcPr>
          <w:p w14:paraId="0DE9F5C1" w14:textId="77777777" w:rsidR="00E72157" w:rsidRPr="00211E3B" w:rsidRDefault="00E72157" w:rsidP="00256DA0">
            <w:pPr>
              <w:autoSpaceDE w:val="0"/>
              <w:autoSpaceDN w:val="0"/>
              <w:adjustRightInd w:val="0"/>
              <w:jc w:val="center"/>
              <w:rPr>
                <w:szCs w:val="22"/>
                <w:lang w:val="lt-LT"/>
              </w:rPr>
            </w:pPr>
          </w:p>
        </w:tc>
        <w:tc>
          <w:tcPr>
            <w:tcW w:w="705" w:type="pct"/>
            <w:vAlign w:val="center"/>
          </w:tcPr>
          <w:p w14:paraId="63859DBD" w14:textId="13192952" w:rsidR="00E72157" w:rsidRPr="00211E3B" w:rsidRDefault="00E72157" w:rsidP="00256DA0">
            <w:pPr>
              <w:autoSpaceDE w:val="0"/>
              <w:autoSpaceDN w:val="0"/>
              <w:adjustRightInd w:val="0"/>
              <w:jc w:val="center"/>
              <w:rPr>
                <w:szCs w:val="22"/>
                <w:lang w:val="lt-LT"/>
              </w:rPr>
            </w:pPr>
            <w:r w:rsidRPr="00211E3B">
              <w:rPr>
                <w:szCs w:val="22"/>
                <w:lang w:val="lt-LT"/>
              </w:rPr>
              <w:t>(0,39, 0,72)</w:t>
            </w:r>
          </w:p>
        </w:tc>
        <w:tc>
          <w:tcPr>
            <w:tcW w:w="627" w:type="pct"/>
            <w:vAlign w:val="center"/>
          </w:tcPr>
          <w:p w14:paraId="18015772" w14:textId="77777777" w:rsidR="00E72157" w:rsidRPr="00211E3B" w:rsidRDefault="00E72157" w:rsidP="00256DA0">
            <w:pPr>
              <w:autoSpaceDE w:val="0"/>
              <w:autoSpaceDN w:val="0"/>
              <w:adjustRightInd w:val="0"/>
              <w:jc w:val="center"/>
              <w:rPr>
                <w:szCs w:val="22"/>
                <w:lang w:val="lt-LT"/>
              </w:rPr>
            </w:pPr>
          </w:p>
        </w:tc>
        <w:tc>
          <w:tcPr>
            <w:tcW w:w="705" w:type="pct"/>
            <w:vAlign w:val="center"/>
          </w:tcPr>
          <w:p w14:paraId="06846697" w14:textId="506518CA" w:rsidR="00E72157" w:rsidRPr="00211E3B" w:rsidRDefault="00E72157" w:rsidP="00256DA0">
            <w:pPr>
              <w:autoSpaceDE w:val="0"/>
              <w:autoSpaceDN w:val="0"/>
              <w:adjustRightInd w:val="0"/>
              <w:jc w:val="center"/>
              <w:rPr>
                <w:szCs w:val="22"/>
                <w:lang w:val="lt-LT"/>
              </w:rPr>
            </w:pPr>
            <w:r w:rsidRPr="00211E3B">
              <w:rPr>
                <w:szCs w:val="22"/>
                <w:lang w:val="lt-LT"/>
              </w:rPr>
              <w:t>(0,51, 0,89)</w:t>
            </w:r>
          </w:p>
        </w:tc>
        <w:tc>
          <w:tcPr>
            <w:tcW w:w="608" w:type="pct"/>
            <w:vAlign w:val="center"/>
          </w:tcPr>
          <w:p w14:paraId="20606ED9" w14:textId="77777777" w:rsidR="00E72157" w:rsidRPr="00211E3B" w:rsidRDefault="00E72157" w:rsidP="00256DA0">
            <w:pPr>
              <w:autoSpaceDE w:val="0"/>
              <w:autoSpaceDN w:val="0"/>
              <w:adjustRightInd w:val="0"/>
              <w:jc w:val="center"/>
              <w:rPr>
                <w:szCs w:val="22"/>
                <w:lang w:val="lt-LT"/>
              </w:rPr>
            </w:pPr>
          </w:p>
        </w:tc>
        <w:tc>
          <w:tcPr>
            <w:tcW w:w="713" w:type="pct"/>
            <w:vAlign w:val="center"/>
          </w:tcPr>
          <w:p w14:paraId="2E8932F4" w14:textId="44C98724" w:rsidR="00E72157" w:rsidRPr="00211E3B" w:rsidRDefault="00E72157" w:rsidP="00256DA0">
            <w:pPr>
              <w:autoSpaceDE w:val="0"/>
              <w:autoSpaceDN w:val="0"/>
              <w:adjustRightInd w:val="0"/>
              <w:jc w:val="center"/>
              <w:rPr>
                <w:szCs w:val="22"/>
                <w:lang w:val="lt-LT"/>
              </w:rPr>
            </w:pPr>
            <w:r w:rsidRPr="00211E3B">
              <w:rPr>
                <w:szCs w:val="22"/>
                <w:lang w:val="lt-LT"/>
              </w:rPr>
              <w:t>(0,49, 0,74)</w:t>
            </w:r>
          </w:p>
        </w:tc>
      </w:tr>
    </w:tbl>
    <w:p w14:paraId="15E9CDCE" w14:textId="262654AF" w:rsidR="005E424F" w:rsidRPr="00211E3B" w:rsidRDefault="005E424F" w:rsidP="005E424F">
      <w:pPr>
        <w:ind w:right="-142"/>
        <w:rPr>
          <w:snapToGrid w:val="0"/>
          <w:sz w:val="20"/>
          <w:szCs w:val="22"/>
        </w:rPr>
      </w:pPr>
      <w:r w:rsidRPr="00211E3B">
        <w:rPr>
          <w:snapToGrid w:val="0"/>
          <w:sz w:val="20"/>
          <w:szCs w:val="22"/>
          <w:vertAlign w:val="superscript"/>
        </w:rPr>
        <w:t>1</w:t>
      </w:r>
      <w:r w:rsidRPr="00211E3B">
        <w:rPr>
          <w:snapToGrid w:val="0"/>
          <w:sz w:val="20"/>
          <w:szCs w:val="22"/>
        </w:rPr>
        <w:t xml:space="preserve"> Remiantis duomenimis, surinktais iki 372</w:t>
      </w:r>
      <w:r w:rsidR="00E72157" w:rsidRPr="00211E3B">
        <w:rPr>
          <w:snapToGrid w:val="0"/>
          <w:sz w:val="20"/>
          <w:szCs w:val="22"/>
        </w:rPr>
        <w:t> </w:t>
      </w:r>
      <w:r w:rsidRPr="00211E3B">
        <w:rPr>
          <w:snapToGrid w:val="0"/>
          <w:sz w:val="20"/>
          <w:szCs w:val="22"/>
        </w:rPr>
        <w:t>dienos (</w:t>
      </w:r>
      <w:r w:rsidR="00D7087C" w:rsidRPr="00211E3B">
        <w:rPr>
          <w:snapToGrid w:val="0"/>
          <w:sz w:val="20"/>
          <w:szCs w:val="22"/>
        </w:rPr>
        <w:t>52 s</w:t>
      </w:r>
      <w:r w:rsidRPr="00211E3B">
        <w:rPr>
          <w:snapToGrid w:val="0"/>
          <w:sz w:val="20"/>
          <w:szCs w:val="22"/>
        </w:rPr>
        <w:t>avaitės + 7</w:t>
      </w:r>
      <w:r w:rsidR="00E72157" w:rsidRPr="00211E3B">
        <w:rPr>
          <w:snapToGrid w:val="0"/>
          <w:sz w:val="20"/>
          <w:szCs w:val="22"/>
        </w:rPr>
        <w:t> </w:t>
      </w:r>
      <w:r w:rsidRPr="00211E3B">
        <w:rPr>
          <w:snapToGrid w:val="0"/>
          <w:sz w:val="20"/>
          <w:szCs w:val="22"/>
        </w:rPr>
        <w:t>dienų riba).</w:t>
      </w:r>
    </w:p>
    <w:p w14:paraId="45890D8F" w14:textId="77777777" w:rsidR="005E424F" w:rsidRPr="00211E3B" w:rsidRDefault="005E424F" w:rsidP="005E424F">
      <w:pPr>
        <w:ind w:right="-142"/>
        <w:rPr>
          <w:snapToGrid w:val="0"/>
          <w:sz w:val="20"/>
          <w:szCs w:val="22"/>
        </w:rPr>
      </w:pPr>
      <w:r w:rsidRPr="00211E3B">
        <w:rPr>
          <w:snapToGrid w:val="0"/>
          <w:sz w:val="20"/>
          <w:szCs w:val="22"/>
          <w:vertAlign w:val="superscript"/>
        </w:rPr>
        <w:t>2</w:t>
      </w:r>
      <w:r w:rsidRPr="00211E3B">
        <w:rPr>
          <w:snapToGrid w:val="0"/>
          <w:sz w:val="20"/>
          <w:szCs w:val="22"/>
        </w:rPr>
        <w:t xml:space="preserve"> Remiantis logaritminiu ranginiu testu.</w:t>
      </w:r>
    </w:p>
    <w:p w14:paraId="35DA09DB" w14:textId="77777777" w:rsidR="005E424F" w:rsidRPr="00211E3B" w:rsidRDefault="005E424F" w:rsidP="005E424F">
      <w:pPr>
        <w:ind w:right="-142"/>
        <w:rPr>
          <w:snapToGrid w:val="0"/>
          <w:sz w:val="22"/>
          <w:szCs w:val="24"/>
        </w:rPr>
      </w:pPr>
      <w:r w:rsidRPr="00211E3B">
        <w:rPr>
          <w:snapToGrid w:val="0"/>
          <w:sz w:val="20"/>
          <w:szCs w:val="22"/>
          <w:vertAlign w:val="superscript"/>
        </w:rPr>
        <w:t>3</w:t>
      </w:r>
      <w:r w:rsidRPr="00211E3B">
        <w:rPr>
          <w:snapToGrid w:val="0"/>
          <w:sz w:val="20"/>
          <w:szCs w:val="22"/>
        </w:rPr>
        <w:t xml:space="preserve"> Remiantis Cox regresijos modeliu.</w:t>
      </w:r>
    </w:p>
    <w:p w14:paraId="3F420E35" w14:textId="77777777" w:rsidR="00E72157" w:rsidRPr="00211E3B" w:rsidRDefault="00E72157" w:rsidP="005E424F">
      <w:pPr>
        <w:ind w:right="-142"/>
        <w:rPr>
          <w:snapToGrid w:val="0"/>
          <w:sz w:val="22"/>
          <w:szCs w:val="24"/>
        </w:rPr>
      </w:pPr>
    </w:p>
    <w:p w14:paraId="08B8E769" w14:textId="30ACD5A6" w:rsidR="005E424F" w:rsidRPr="00211E3B" w:rsidRDefault="005E424F" w:rsidP="005E424F">
      <w:pPr>
        <w:ind w:right="-142"/>
        <w:rPr>
          <w:i/>
          <w:iCs/>
          <w:snapToGrid w:val="0"/>
          <w:sz w:val="22"/>
          <w:szCs w:val="24"/>
          <w:u w:val="single"/>
        </w:rPr>
      </w:pPr>
      <w:r w:rsidRPr="00211E3B">
        <w:rPr>
          <w:i/>
          <w:iCs/>
          <w:snapToGrid w:val="0"/>
          <w:sz w:val="22"/>
          <w:szCs w:val="24"/>
          <w:u w:val="single"/>
        </w:rPr>
        <w:t xml:space="preserve">SGRQ bendro </w:t>
      </w:r>
      <w:r w:rsidR="00806314" w:rsidRPr="00211E3B">
        <w:rPr>
          <w:i/>
          <w:iCs/>
          <w:snapToGrid w:val="0"/>
          <w:sz w:val="22"/>
          <w:szCs w:val="24"/>
          <w:u w:val="single"/>
        </w:rPr>
        <w:t>įvertinimo</w:t>
      </w:r>
      <w:r w:rsidRPr="00211E3B">
        <w:rPr>
          <w:i/>
          <w:iCs/>
          <w:snapToGrid w:val="0"/>
          <w:sz w:val="22"/>
          <w:szCs w:val="24"/>
          <w:u w:val="single"/>
        </w:rPr>
        <w:t xml:space="preserve"> pokytis nuo pradinio </w:t>
      </w:r>
      <w:r w:rsidR="00806314" w:rsidRPr="00211E3B">
        <w:rPr>
          <w:i/>
          <w:iCs/>
          <w:snapToGrid w:val="0"/>
          <w:sz w:val="22"/>
          <w:szCs w:val="24"/>
          <w:u w:val="single"/>
        </w:rPr>
        <w:t xml:space="preserve">rodmens </w:t>
      </w:r>
      <w:r w:rsidR="00D7087C" w:rsidRPr="00211E3B">
        <w:rPr>
          <w:i/>
          <w:iCs/>
          <w:snapToGrid w:val="0"/>
          <w:sz w:val="22"/>
          <w:szCs w:val="24"/>
          <w:u w:val="single"/>
        </w:rPr>
        <w:t>52 s</w:t>
      </w:r>
      <w:r w:rsidRPr="00211E3B">
        <w:rPr>
          <w:i/>
          <w:iCs/>
          <w:snapToGrid w:val="0"/>
          <w:sz w:val="22"/>
          <w:szCs w:val="24"/>
          <w:u w:val="single"/>
        </w:rPr>
        <w:t>avaitę</w:t>
      </w:r>
    </w:p>
    <w:p w14:paraId="44794FAC" w14:textId="791E2680" w:rsidR="005E424F" w:rsidRPr="00211E3B" w:rsidRDefault="00340EE0" w:rsidP="005E424F">
      <w:pPr>
        <w:ind w:right="-142"/>
        <w:rPr>
          <w:snapToGrid w:val="0"/>
          <w:sz w:val="22"/>
          <w:szCs w:val="24"/>
        </w:rPr>
      </w:pPr>
      <w:r w:rsidRPr="00211E3B">
        <w:rPr>
          <w:snapToGrid w:val="0"/>
          <w:sz w:val="22"/>
          <w:szCs w:val="24"/>
        </w:rPr>
        <w:t>Apibendrinta</w:t>
      </w:r>
      <w:r w:rsidR="005E424F" w:rsidRPr="00211E3B">
        <w:rPr>
          <w:snapToGrid w:val="0"/>
          <w:sz w:val="22"/>
          <w:szCs w:val="24"/>
        </w:rPr>
        <w:t xml:space="preserve"> INPULSIS tyrimų </w:t>
      </w:r>
      <w:r w:rsidRPr="00211E3B">
        <w:rPr>
          <w:snapToGrid w:val="0"/>
          <w:sz w:val="22"/>
          <w:szCs w:val="24"/>
        </w:rPr>
        <w:t>duomenų analizė parodė, kad</w:t>
      </w:r>
      <w:r w:rsidR="005E424F" w:rsidRPr="00211E3B">
        <w:rPr>
          <w:snapToGrid w:val="0"/>
          <w:sz w:val="22"/>
          <w:szCs w:val="24"/>
        </w:rPr>
        <w:t xml:space="preserve"> pradini</w:t>
      </w:r>
      <w:r w:rsidRPr="00211E3B">
        <w:rPr>
          <w:snapToGrid w:val="0"/>
          <w:sz w:val="22"/>
          <w:szCs w:val="24"/>
        </w:rPr>
        <w:t>s</w:t>
      </w:r>
      <w:r w:rsidR="005E424F" w:rsidRPr="00211E3B">
        <w:rPr>
          <w:snapToGrid w:val="0"/>
          <w:sz w:val="22"/>
          <w:szCs w:val="24"/>
        </w:rPr>
        <w:t xml:space="preserve"> SGRQ </w:t>
      </w:r>
      <w:r w:rsidRPr="00211E3B">
        <w:rPr>
          <w:snapToGrid w:val="0"/>
          <w:sz w:val="22"/>
          <w:szCs w:val="24"/>
        </w:rPr>
        <w:t>įvertinimas buvo 39,51</w:t>
      </w:r>
      <w:r w:rsidR="005E424F" w:rsidRPr="00211E3B">
        <w:rPr>
          <w:snapToGrid w:val="0"/>
          <w:sz w:val="22"/>
          <w:szCs w:val="24"/>
        </w:rPr>
        <w:t xml:space="preserve"> nintedanibo grupėje</w:t>
      </w:r>
      <w:r w:rsidRPr="00211E3B">
        <w:rPr>
          <w:snapToGrid w:val="0"/>
          <w:sz w:val="22"/>
          <w:szCs w:val="24"/>
        </w:rPr>
        <w:t xml:space="preserve"> ir 39,58 – </w:t>
      </w:r>
      <w:r w:rsidR="005E424F" w:rsidRPr="00211E3B">
        <w:rPr>
          <w:snapToGrid w:val="0"/>
          <w:sz w:val="22"/>
          <w:szCs w:val="24"/>
        </w:rPr>
        <w:t>placebo grupėje. Apskaičiuotas vidutinis SGRQ bendro</w:t>
      </w:r>
      <w:r w:rsidR="00197137" w:rsidRPr="00211E3B">
        <w:rPr>
          <w:snapToGrid w:val="0"/>
          <w:sz w:val="22"/>
          <w:szCs w:val="24"/>
        </w:rPr>
        <w:t>jo</w:t>
      </w:r>
      <w:r w:rsidR="005E424F" w:rsidRPr="00211E3B">
        <w:rPr>
          <w:snapToGrid w:val="0"/>
          <w:sz w:val="22"/>
          <w:szCs w:val="24"/>
        </w:rPr>
        <w:t xml:space="preserve"> </w:t>
      </w:r>
      <w:r w:rsidR="00197137" w:rsidRPr="00211E3B">
        <w:rPr>
          <w:snapToGrid w:val="0"/>
          <w:sz w:val="22"/>
          <w:szCs w:val="24"/>
        </w:rPr>
        <w:t>įvertinimo</w:t>
      </w:r>
      <w:r w:rsidR="005E424F" w:rsidRPr="00211E3B">
        <w:rPr>
          <w:snapToGrid w:val="0"/>
          <w:sz w:val="22"/>
          <w:szCs w:val="24"/>
        </w:rPr>
        <w:t xml:space="preserve"> pokytis nuo pradinio </w:t>
      </w:r>
      <w:r w:rsidR="00197137" w:rsidRPr="00211E3B">
        <w:rPr>
          <w:snapToGrid w:val="0"/>
          <w:sz w:val="22"/>
          <w:szCs w:val="24"/>
        </w:rPr>
        <w:t xml:space="preserve">rodmens </w:t>
      </w:r>
      <w:r w:rsidR="00D7087C" w:rsidRPr="00211E3B">
        <w:rPr>
          <w:snapToGrid w:val="0"/>
          <w:sz w:val="22"/>
          <w:szCs w:val="24"/>
        </w:rPr>
        <w:t>52 s</w:t>
      </w:r>
      <w:r w:rsidR="005E424F" w:rsidRPr="00211E3B">
        <w:rPr>
          <w:snapToGrid w:val="0"/>
          <w:sz w:val="22"/>
          <w:szCs w:val="24"/>
        </w:rPr>
        <w:t>avaitę</w:t>
      </w:r>
      <w:r w:rsidR="00197137" w:rsidRPr="00211E3B">
        <w:rPr>
          <w:snapToGrid w:val="0"/>
          <w:sz w:val="22"/>
          <w:szCs w:val="24"/>
        </w:rPr>
        <w:t xml:space="preserve"> </w:t>
      </w:r>
      <w:r w:rsidR="005E424F" w:rsidRPr="00211E3B">
        <w:rPr>
          <w:snapToGrid w:val="0"/>
          <w:sz w:val="22"/>
          <w:szCs w:val="24"/>
        </w:rPr>
        <w:t>buvo mažesnis nintedanibu gydyt</w:t>
      </w:r>
      <w:r w:rsidR="00197137" w:rsidRPr="00211E3B">
        <w:rPr>
          <w:snapToGrid w:val="0"/>
          <w:sz w:val="22"/>
          <w:szCs w:val="24"/>
        </w:rPr>
        <w:t>ų pacientų</w:t>
      </w:r>
      <w:r w:rsidR="005E424F" w:rsidRPr="00211E3B">
        <w:rPr>
          <w:snapToGrid w:val="0"/>
          <w:sz w:val="22"/>
          <w:szCs w:val="24"/>
        </w:rPr>
        <w:t xml:space="preserve"> grupėje (3,53)</w:t>
      </w:r>
      <w:r w:rsidR="00197137" w:rsidRPr="00211E3B">
        <w:rPr>
          <w:snapToGrid w:val="0"/>
          <w:sz w:val="22"/>
          <w:szCs w:val="24"/>
        </w:rPr>
        <w:t>, palyginti su</w:t>
      </w:r>
      <w:r w:rsidR="005E424F" w:rsidRPr="00211E3B">
        <w:rPr>
          <w:snapToGrid w:val="0"/>
          <w:sz w:val="22"/>
          <w:szCs w:val="24"/>
        </w:rPr>
        <w:t xml:space="preserve"> placeb</w:t>
      </w:r>
      <w:r w:rsidR="00197137" w:rsidRPr="00211E3B">
        <w:rPr>
          <w:snapToGrid w:val="0"/>
          <w:sz w:val="22"/>
          <w:szCs w:val="24"/>
        </w:rPr>
        <w:t>o</w:t>
      </w:r>
      <w:r w:rsidR="005E424F" w:rsidRPr="00211E3B">
        <w:rPr>
          <w:snapToGrid w:val="0"/>
          <w:sz w:val="22"/>
          <w:szCs w:val="24"/>
        </w:rPr>
        <w:t xml:space="preserve"> </w:t>
      </w:r>
      <w:r w:rsidR="00197137" w:rsidRPr="00211E3B">
        <w:rPr>
          <w:snapToGrid w:val="0"/>
          <w:sz w:val="22"/>
          <w:szCs w:val="24"/>
        </w:rPr>
        <w:t>vartojusių</w:t>
      </w:r>
      <w:r w:rsidR="005E424F" w:rsidRPr="00211E3B">
        <w:rPr>
          <w:snapToGrid w:val="0"/>
          <w:sz w:val="22"/>
          <w:szCs w:val="24"/>
        </w:rPr>
        <w:t xml:space="preserve"> grup</w:t>
      </w:r>
      <w:r w:rsidR="00197137" w:rsidRPr="00211E3B">
        <w:rPr>
          <w:snapToGrid w:val="0"/>
          <w:sz w:val="22"/>
          <w:szCs w:val="24"/>
        </w:rPr>
        <w:t>e</w:t>
      </w:r>
      <w:r w:rsidR="005E424F" w:rsidRPr="00211E3B">
        <w:rPr>
          <w:snapToGrid w:val="0"/>
          <w:sz w:val="22"/>
          <w:szCs w:val="24"/>
        </w:rPr>
        <w:t xml:space="preserve"> (4,96), skirtumas</w:t>
      </w:r>
      <w:r w:rsidR="00197137" w:rsidRPr="00211E3B">
        <w:rPr>
          <w:snapToGrid w:val="0"/>
          <w:sz w:val="22"/>
          <w:szCs w:val="24"/>
        </w:rPr>
        <w:t xml:space="preserve"> </w:t>
      </w:r>
      <w:r w:rsidR="005E424F" w:rsidRPr="00211E3B">
        <w:rPr>
          <w:snapToGrid w:val="0"/>
          <w:sz w:val="22"/>
          <w:szCs w:val="24"/>
        </w:rPr>
        <w:t>tarp grupių</w:t>
      </w:r>
      <w:r w:rsidR="00197137" w:rsidRPr="00211E3B">
        <w:rPr>
          <w:snapToGrid w:val="0"/>
          <w:sz w:val="22"/>
          <w:szCs w:val="24"/>
        </w:rPr>
        <w:t xml:space="preserve"> buvo</w:t>
      </w:r>
      <w:r w:rsidR="005E424F" w:rsidRPr="00211E3B">
        <w:rPr>
          <w:snapToGrid w:val="0"/>
          <w:sz w:val="22"/>
          <w:szCs w:val="24"/>
        </w:rPr>
        <w:t xml:space="preserve"> -1,43 (95</w:t>
      </w:r>
      <w:r w:rsidR="0085390D">
        <w:rPr>
          <w:snapToGrid w:val="0"/>
          <w:sz w:val="22"/>
          <w:szCs w:val="24"/>
        </w:rPr>
        <w:t xml:space="preserve"> %</w:t>
      </w:r>
      <w:r w:rsidR="005E424F" w:rsidRPr="00211E3B">
        <w:rPr>
          <w:snapToGrid w:val="0"/>
          <w:sz w:val="22"/>
          <w:szCs w:val="24"/>
        </w:rPr>
        <w:t xml:space="preserve"> PI: -3,09, 0,23; p</w:t>
      </w:r>
      <w:r w:rsidR="00197137" w:rsidRPr="00211E3B">
        <w:rPr>
          <w:snapToGrid w:val="0"/>
          <w:sz w:val="22"/>
          <w:szCs w:val="24"/>
        </w:rPr>
        <w:t> </w:t>
      </w:r>
      <w:r w:rsidR="005E424F" w:rsidRPr="00211E3B">
        <w:rPr>
          <w:snapToGrid w:val="0"/>
          <w:sz w:val="22"/>
          <w:szCs w:val="24"/>
        </w:rPr>
        <w:t>=</w:t>
      </w:r>
      <w:r w:rsidR="00197137" w:rsidRPr="00211E3B">
        <w:rPr>
          <w:snapToGrid w:val="0"/>
          <w:sz w:val="22"/>
          <w:szCs w:val="24"/>
        </w:rPr>
        <w:t> </w:t>
      </w:r>
      <w:r w:rsidR="005E424F" w:rsidRPr="00211E3B">
        <w:rPr>
          <w:snapToGrid w:val="0"/>
          <w:sz w:val="22"/>
          <w:szCs w:val="24"/>
        </w:rPr>
        <w:t>0,0923). Apskritai, nintedanibo poveikis su sveikata</w:t>
      </w:r>
      <w:r w:rsidR="00197137" w:rsidRPr="00211E3B">
        <w:rPr>
          <w:snapToGrid w:val="0"/>
          <w:sz w:val="22"/>
          <w:szCs w:val="24"/>
        </w:rPr>
        <w:t xml:space="preserve"> </w:t>
      </w:r>
      <w:r w:rsidR="005E424F" w:rsidRPr="00211E3B">
        <w:rPr>
          <w:snapToGrid w:val="0"/>
          <w:sz w:val="22"/>
          <w:szCs w:val="24"/>
        </w:rPr>
        <w:t>susijusiai gyvenimo kokybei</w:t>
      </w:r>
      <w:r w:rsidR="00197137" w:rsidRPr="00211E3B">
        <w:rPr>
          <w:snapToGrid w:val="0"/>
          <w:sz w:val="22"/>
          <w:szCs w:val="24"/>
        </w:rPr>
        <w:t xml:space="preserve"> remiantis</w:t>
      </w:r>
      <w:r w:rsidR="005E424F" w:rsidRPr="00211E3B">
        <w:rPr>
          <w:snapToGrid w:val="0"/>
          <w:sz w:val="22"/>
          <w:szCs w:val="24"/>
        </w:rPr>
        <w:t xml:space="preserve"> bendru</w:t>
      </w:r>
      <w:r w:rsidR="00197137" w:rsidRPr="00211E3B">
        <w:rPr>
          <w:snapToGrid w:val="0"/>
          <w:sz w:val="22"/>
          <w:szCs w:val="24"/>
        </w:rPr>
        <w:t>oju</w:t>
      </w:r>
      <w:r w:rsidR="005E424F" w:rsidRPr="00211E3B">
        <w:rPr>
          <w:snapToGrid w:val="0"/>
          <w:sz w:val="22"/>
          <w:szCs w:val="24"/>
        </w:rPr>
        <w:t xml:space="preserve"> SGRQ </w:t>
      </w:r>
      <w:r w:rsidR="00197137" w:rsidRPr="00211E3B">
        <w:rPr>
          <w:snapToGrid w:val="0"/>
          <w:sz w:val="22"/>
          <w:szCs w:val="24"/>
        </w:rPr>
        <w:t>įvertinimu</w:t>
      </w:r>
      <w:r w:rsidR="005E424F" w:rsidRPr="00211E3B">
        <w:rPr>
          <w:snapToGrid w:val="0"/>
          <w:sz w:val="22"/>
          <w:szCs w:val="24"/>
        </w:rPr>
        <w:t xml:space="preserve"> yra nedidelis ir rodo mažesnį blogėjimą,</w:t>
      </w:r>
      <w:r w:rsidR="00197137" w:rsidRPr="00211E3B">
        <w:rPr>
          <w:snapToGrid w:val="0"/>
          <w:sz w:val="22"/>
          <w:szCs w:val="24"/>
        </w:rPr>
        <w:t xml:space="preserve"> </w:t>
      </w:r>
      <w:r w:rsidR="005E424F" w:rsidRPr="00211E3B">
        <w:rPr>
          <w:snapToGrid w:val="0"/>
          <w:sz w:val="22"/>
          <w:szCs w:val="24"/>
        </w:rPr>
        <w:t xml:space="preserve">palyginti su </w:t>
      </w:r>
      <w:r w:rsidR="00197137" w:rsidRPr="00211E3B">
        <w:rPr>
          <w:snapToGrid w:val="0"/>
          <w:sz w:val="22"/>
          <w:szCs w:val="24"/>
        </w:rPr>
        <w:t xml:space="preserve">nustatytu </w:t>
      </w:r>
      <w:r w:rsidR="005E424F" w:rsidRPr="00211E3B">
        <w:rPr>
          <w:snapToGrid w:val="0"/>
          <w:sz w:val="22"/>
          <w:szCs w:val="24"/>
        </w:rPr>
        <w:t>placeb</w:t>
      </w:r>
      <w:r w:rsidR="00197137" w:rsidRPr="00211E3B">
        <w:rPr>
          <w:snapToGrid w:val="0"/>
          <w:sz w:val="22"/>
          <w:szCs w:val="24"/>
        </w:rPr>
        <w:t>o grupėje</w:t>
      </w:r>
      <w:r w:rsidR="005E424F" w:rsidRPr="00211E3B">
        <w:rPr>
          <w:snapToGrid w:val="0"/>
          <w:sz w:val="22"/>
          <w:szCs w:val="24"/>
        </w:rPr>
        <w:t>.</w:t>
      </w:r>
    </w:p>
    <w:p w14:paraId="474402F6" w14:textId="77777777" w:rsidR="00197137" w:rsidRPr="00211E3B" w:rsidRDefault="00197137" w:rsidP="005E424F">
      <w:pPr>
        <w:ind w:right="-142"/>
        <w:rPr>
          <w:snapToGrid w:val="0"/>
          <w:sz w:val="22"/>
          <w:szCs w:val="24"/>
        </w:rPr>
      </w:pPr>
    </w:p>
    <w:p w14:paraId="7CF250FF" w14:textId="0CA9F37C" w:rsidR="005E424F" w:rsidRPr="00211E3B" w:rsidRDefault="005E424F" w:rsidP="005E424F">
      <w:pPr>
        <w:ind w:right="-142"/>
        <w:rPr>
          <w:i/>
          <w:iCs/>
          <w:snapToGrid w:val="0"/>
          <w:sz w:val="22"/>
          <w:szCs w:val="24"/>
          <w:u w:val="single"/>
        </w:rPr>
      </w:pPr>
      <w:r w:rsidRPr="00211E3B">
        <w:rPr>
          <w:i/>
          <w:iCs/>
          <w:snapToGrid w:val="0"/>
          <w:sz w:val="22"/>
          <w:szCs w:val="24"/>
          <w:u w:val="single"/>
        </w:rPr>
        <w:t>Laikotarpis iki pirmo ūm</w:t>
      </w:r>
      <w:r w:rsidR="00736365">
        <w:rPr>
          <w:i/>
          <w:iCs/>
          <w:snapToGrid w:val="0"/>
          <w:sz w:val="22"/>
          <w:szCs w:val="24"/>
          <w:u w:val="single"/>
        </w:rPr>
        <w:t>inio</w:t>
      </w:r>
      <w:r w:rsidRPr="00211E3B">
        <w:rPr>
          <w:i/>
          <w:iCs/>
          <w:snapToGrid w:val="0"/>
          <w:sz w:val="22"/>
          <w:szCs w:val="24"/>
          <w:u w:val="single"/>
        </w:rPr>
        <w:t xml:space="preserve"> IPF pasunkėjimo</w:t>
      </w:r>
    </w:p>
    <w:p w14:paraId="2833E16A" w14:textId="1C481269" w:rsidR="00806314" w:rsidRPr="00211E3B" w:rsidRDefault="00197137" w:rsidP="00806314">
      <w:pPr>
        <w:ind w:right="-142"/>
        <w:rPr>
          <w:snapToGrid w:val="0"/>
          <w:sz w:val="22"/>
          <w:szCs w:val="24"/>
        </w:rPr>
      </w:pPr>
      <w:r w:rsidRPr="00211E3B">
        <w:rPr>
          <w:snapToGrid w:val="0"/>
          <w:sz w:val="22"/>
          <w:szCs w:val="24"/>
        </w:rPr>
        <w:t xml:space="preserve">Apibendrinta </w:t>
      </w:r>
      <w:r w:rsidR="005E424F" w:rsidRPr="00211E3B">
        <w:rPr>
          <w:snapToGrid w:val="0"/>
          <w:sz w:val="22"/>
          <w:szCs w:val="24"/>
        </w:rPr>
        <w:t xml:space="preserve">INPULSIS tyrimų analizė </w:t>
      </w:r>
      <w:r w:rsidRPr="00211E3B">
        <w:rPr>
          <w:snapToGrid w:val="0"/>
          <w:sz w:val="22"/>
          <w:szCs w:val="24"/>
        </w:rPr>
        <w:t>parodė skaitine reikšme</w:t>
      </w:r>
      <w:r w:rsidR="005E424F" w:rsidRPr="00211E3B">
        <w:rPr>
          <w:snapToGrid w:val="0"/>
          <w:sz w:val="22"/>
          <w:szCs w:val="24"/>
        </w:rPr>
        <w:t xml:space="preserve"> mažesnę pirmo ūmaus pasunkėjimo riziką</w:t>
      </w:r>
      <w:r w:rsidRPr="00211E3B">
        <w:rPr>
          <w:snapToGrid w:val="0"/>
          <w:sz w:val="22"/>
          <w:szCs w:val="24"/>
        </w:rPr>
        <w:t xml:space="preserve"> nintedanibą vartojusiems </w:t>
      </w:r>
      <w:r w:rsidR="005E424F" w:rsidRPr="00211E3B">
        <w:rPr>
          <w:snapToGrid w:val="0"/>
          <w:sz w:val="22"/>
          <w:szCs w:val="24"/>
        </w:rPr>
        <w:t xml:space="preserve">pacientams, palyginti su </w:t>
      </w:r>
      <w:r w:rsidRPr="00211E3B">
        <w:rPr>
          <w:snapToGrid w:val="0"/>
          <w:sz w:val="22"/>
          <w:szCs w:val="24"/>
        </w:rPr>
        <w:t xml:space="preserve">placebą vartojusiais </w:t>
      </w:r>
      <w:r w:rsidR="005E424F" w:rsidRPr="00211E3B">
        <w:rPr>
          <w:snapToGrid w:val="0"/>
          <w:sz w:val="22"/>
          <w:szCs w:val="24"/>
        </w:rPr>
        <w:t>pacientais.</w:t>
      </w:r>
      <w:r w:rsidR="00806314" w:rsidRPr="00211E3B">
        <w:rPr>
          <w:snapToGrid w:val="0"/>
          <w:sz w:val="22"/>
          <w:szCs w:val="24"/>
        </w:rPr>
        <w:t xml:space="preserve"> Abiejų tyrimų atskiri ir apibendrinti rezultatai pateikiami 6 lentelėje.</w:t>
      </w:r>
    </w:p>
    <w:p w14:paraId="432FDDE2" w14:textId="695B6138" w:rsidR="005E424F" w:rsidRPr="00211E3B" w:rsidRDefault="005E424F" w:rsidP="00806314">
      <w:pPr>
        <w:ind w:right="-142"/>
        <w:rPr>
          <w:snapToGrid w:val="0"/>
          <w:sz w:val="22"/>
          <w:szCs w:val="24"/>
        </w:rPr>
      </w:pPr>
    </w:p>
    <w:p w14:paraId="4DD562F4" w14:textId="6EEE8BEC" w:rsidR="005E424F" w:rsidRPr="00211E3B" w:rsidRDefault="005E424F" w:rsidP="00F054CD">
      <w:pPr>
        <w:ind w:left="1296" w:right="-142" w:hanging="1296"/>
        <w:rPr>
          <w:b/>
          <w:bCs/>
          <w:snapToGrid w:val="0"/>
          <w:sz w:val="22"/>
          <w:szCs w:val="24"/>
        </w:rPr>
      </w:pPr>
      <w:r w:rsidRPr="00211E3B">
        <w:rPr>
          <w:b/>
          <w:bCs/>
          <w:snapToGrid w:val="0"/>
          <w:sz w:val="22"/>
          <w:szCs w:val="24"/>
        </w:rPr>
        <w:t>6</w:t>
      </w:r>
      <w:r w:rsidR="00806314" w:rsidRPr="00211E3B">
        <w:rPr>
          <w:b/>
          <w:bCs/>
          <w:snapToGrid w:val="0"/>
          <w:sz w:val="22"/>
          <w:szCs w:val="24"/>
        </w:rPr>
        <w:t> </w:t>
      </w:r>
      <w:r w:rsidRPr="00211E3B">
        <w:rPr>
          <w:b/>
          <w:bCs/>
          <w:snapToGrid w:val="0"/>
          <w:sz w:val="22"/>
          <w:szCs w:val="24"/>
        </w:rPr>
        <w:t>lentelė.</w:t>
      </w:r>
      <w:r w:rsidR="00F054CD" w:rsidRPr="00211E3B">
        <w:rPr>
          <w:b/>
          <w:bCs/>
          <w:snapToGrid w:val="0"/>
          <w:sz w:val="22"/>
          <w:szCs w:val="24"/>
        </w:rPr>
        <w:tab/>
      </w:r>
      <w:r w:rsidRPr="00211E3B">
        <w:rPr>
          <w:b/>
          <w:bCs/>
          <w:snapToGrid w:val="0"/>
          <w:sz w:val="22"/>
          <w:szCs w:val="24"/>
        </w:rPr>
        <w:t xml:space="preserve">Pacientų, kuriems per </w:t>
      </w:r>
      <w:r w:rsidR="00D7087C" w:rsidRPr="00211E3B">
        <w:rPr>
          <w:b/>
          <w:bCs/>
          <w:snapToGrid w:val="0"/>
          <w:sz w:val="22"/>
          <w:szCs w:val="24"/>
        </w:rPr>
        <w:t>52 s</w:t>
      </w:r>
      <w:r w:rsidRPr="00211E3B">
        <w:rPr>
          <w:b/>
          <w:bCs/>
          <w:snapToGrid w:val="0"/>
          <w:sz w:val="22"/>
          <w:szCs w:val="24"/>
        </w:rPr>
        <w:t>avaites pasireiškė ūm</w:t>
      </w:r>
      <w:r w:rsidR="00736365">
        <w:rPr>
          <w:b/>
          <w:bCs/>
          <w:snapToGrid w:val="0"/>
          <w:sz w:val="22"/>
          <w:szCs w:val="24"/>
        </w:rPr>
        <w:t>inis</w:t>
      </w:r>
      <w:r w:rsidRPr="00211E3B">
        <w:rPr>
          <w:b/>
          <w:bCs/>
          <w:snapToGrid w:val="0"/>
          <w:sz w:val="22"/>
          <w:szCs w:val="24"/>
        </w:rPr>
        <w:t xml:space="preserve"> IPF pasunkėjimas, skaičiaus</w:t>
      </w:r>
      <w:r w:rsidR="00F92A98" w:rsidRPr="00211E3B">
        <w:rPr>
          <w:b/>
          <w:bCs/>
          <w:snapToGrid w:val="0"/>
          <w:sz w:val="22"/>
          <w:szCs w:val="24"/>
        </w:rPr>
        <w:t xml:space="preserve"> </w:t>
      </w:r>
      <w:r w:rsidRPr="00211E3B">
        <w:rPr>
          <w:b/>
          <w:bCs/>
          <w:snapToGrid w:val="0"/>
          <w:sz w:val="22"/>
          <w:szCs w:val="24"/>
        </w:rPr>
        <w:t>ir laikotarpio iki pirmo pasunkėjimo analizė, pagrįsta tyrėjo registruotais</w:t>
      </w:r>
      <w:r w:rsidR="00F92A98" w:rsidRPr="00211E3B">
        <w:rPr>
          <w:b/>
          <w:bCs/>
          <w:snapToGrid w:val="0"/>
          <w:sz w:val="22"/>
          <w:szCs w:val="24"/>
        </w:rPr>
        <w:t xml:space="preserve"> reiškiniais</w:t>
      </w:r>
      <w:r w:rsidRPr="00211E3B">
        <w:rPr>
          <w:b/>
          <w:bCs/>
          <w:snapToGrid w:val="0"/>
          <w:sz w:val="22"/>
          <w:szCs w:val="24"/>
        </w:rPr>
        <w:t xml:space="preserve"> </w:t>
      </w:r>
      <w:r w:rsidR="00806314" w:rsidRPr="00211E3B">
        <w:rPr>
          <w:b/>
          <w:bCs/>
          <w:snapToGrid w:val="0"/>
          <w:sz w:val="22"/>
          <w:szCs w:val="24"/>
        </w:rPr>
        <w:t>tyrimų INPULSIS-1 ir INPULSIS-2 metu bei apibendrinti duomenys – gydytų pacientų grupė</w:t>
      </w:r>
    </w:p>
    <w:p w14:paraId="2A16982F" w14:textId="77777777" w:rsidR="00F054CD" w:rsidRPr="00211E3B" w:rsidRDefault="00F054CD" w:rsidP="00806314">
      <w:pPr>
        <w:ind w:right="-142"/>
        <w:rPr>
          <w:snapToGrid w:val="0"/>
          <w:sz w:val="22"/>
          <w:szCs w:val="24"/>
        </w:rPr>
      </w:pPr>
    </w:p>
    <w:tbl>
      <w:tblPr>
        <w:tblStyle w:val="Lentelstinklelis"/>
        <w:tblW w:w="4994" w:type="pct"/>
        <w:tblLook w:val="04A0" w:firstRow="1" w:lastRow="0" w:firstColumn="1" w:lastColumn="0" w:noHBand="0" w:noVBand="1"/>
      </w:tblPr>
      <w:tblGrid>
        <w:gridCol w:w="1813"/>
        <w:gridCol w:w="1107"/>
        <w:gridCol w:w="1272"/>
        <w:gridCol w:w="1107"/>
        <w:gridCol w:w="1272"/>
        <w:gridCol w:w="1206"/>
        <w:gridCol w:w="1272"/>
      </w:tblGrid>
      <w:tr w:rsidR="00806314" w:rsidRPr="00211E3B" w14:paraId="26AE248F" w14:textId="77777777" w:rsidTr="00806314">
        <w:trPr>
          <w:tblHeader/>
        </w:trPr>
        <w:tc>
          <w:tcPr>
            <w:tcW w:w="1006" w:type="pct"/>
          </w:tcPr>
          <w:p w14:paraId="0FCAC971" w14:textId="77777777" w:rsidR="00F054CD" w:rsidRPr="00211E3B" w:rsidRDefault="00F054CD" w:rsidP="00806314">
            <w:pPr>
              <w:autoSpaceDE w:val="0"/>
              <w:autoSpaceDN w:val="0"/>
              <w:adjustRightInd w:val="0"/>
              <w:rPr>
                <w:szCs w:val="22"/>
                <w:lang w:val="lt-LT"/>
              </w:rPr>
            </w:pPr>
          </w:p>
        </w:tc>
        <w:tc>
          <w:tcPr>
            <w:tcW w:w="1311" w:type="pct"/>
            <w:gridSpan w:val="2"/>
          </w:tcPr>
          <w:p w14:paraId="719EB1A4" w14:textId="2C9C410C" w:rsidR="00806314" w:rsidRPr="00211E3B" w:rsidRDefault="00806314" w:rsidP="00806314">
            <w:pPr>
              <w:autoSpaceDE w:val="0"/>
              <w:autoSpaceDN w:val="0"/>
              <w:adjustRightInd w:val="0"/>
              <w:jc w:val="center"/>
              <w:rPr>
                <w:b/>
                <w:szCs w:val="22"/>
                <w:lang w:val="lt-LT"/>
              </w:rPr>
            </w:pPr>
            <w:r w:rsidRPr="00211E3B">
              <w:rPr>
                <w:b/>
                <w:szCs w:val="22"/>
                <w:lang w:val="lt-LT"/>
              </w:rPr>
              <w:t>INPULSIS</w:t>
            </w:r>
            <w:r w:rsidRPr="00211E3B">
              <w:rPr>
                <w:b/>
                <w:szCs w:val="22"/>
                <w:lang w:val="lt-LT"/>
              </w:rPr>
              <w:noBreakHyphen/>
              <w:t>1</w:t>
            </w:r>
          </w:p>
        </w:tc>
        <w:tc>
          <w:tcPr>
            <w:tcW w:w="1311" w:type="pct"/>
            <w:gridSpan w:val="2"/>
          </w:tcPr>
          <w:p w14:paraId="7011C641" w14:textId="7A8F1189" w:rsidR="00806314" w:rsidRPr="00211E3B" w:rsidRDefault="00806314" w:rsidP="00806314">
            <w:pPr>
              <w:autoSpaceDE w:val="0"/>
              <w:autoSpaceDN w:val="0"/>
              <w:adjustRightInd w:val="0"/>
              <w:jc w:val="center"/>
              <w:rPr>
                <w:b/>
                <w:szCs w:val="22"/>
                <w:lang w:val="lt-LT"/>
              </w:rPr>
            </w:pPr>
            <w:r w:rsidRPr="00211E3B">
              <w:rPr>
                <w:b/>
                <w:szCs w:val="22"/>
                <w:lang w:val="lt-LT"/>
              </w:rPr>
              <w:t>INPULSIS</w:t>
            </w:r>
            <w:r w:rsidRPr="00211E3B">
              <w:rPr>
                <w:b/>
                <w:szCs w:val="22"/>
                <w:lang w:val="lt-LT"/>
              </w:rPr>
              <w:noBreakHyphen/>
              <w:t>2</w:t>
            </w:r>
          </w:p>
        </w:tc>
        <w:tc>
          <w:tcPr>
            <w:tcW w:w="1373" w:type="pct"/>
            <w:gridSpan w:val="2"/>
          </w:tcPr>
          <w:p w14:paraId="74EF982E" w14:textId="7A4B6628" w:rsidR="00806314" w:rsidRPr="00211E3B" w:rsidRDefault="00806314" w:rsidP="00806314">
            <w:pPr>
              <w:autoSpaceDE w:val="0"/>
              <w:autoSpaceDN w:val="0"/>
              <w:adjustRightInd w:val="0"/>
              <w:jc w:val="center"/>
              <w:rPr>
                <w:b/>
                <w:szCs w:val="22"/>
                <w:lang w:val="lt-LT"/>
              </w:rPr>
            </w:pPr>
            <w:r w:rsidRPr="00211E3B">
              <w:rPr>
                <w:b/>
                <w:szCs w:val="22"/>
                <w:lang w:val="lt-LT"/>
              </w:rPr>
              <w:t>I INPULSIS</w:t>
            </w:r>
            <w:r w:rsidRPr="00211E3B">
              <w:rPr>
                <w:b/>
                <w:szCs w:val="22"/>
                <w:lang w:val="lt-LT"/>
              </w:rPr>
              <w:noBreakHyphen/>
              <w:t>1 ir INPULSIS</w:t>
            </w:r>
            <w:r w:rsidRPr="00211E3B">
              <w:rPr>
                <w:b/>
                <w:szCs w:val="22"/>
                <w:lang w:val="lt-LT"/>
              </w:rPr>
              <w:noBreakHyphen/>
              <w:t>2 apibendrinti duomenys</w:t>
            </w:r>
          </w:p>
        </w:tc>
      </w:tr>
      <w:tr w:rsidR="00806314" w:rsidRPr="00211E3B" w14:paraId="0042C61F" w14:textId="77777777" w:rsidTr="00806314">
        <w:trPr>
          <w:tblHeader/>
        </w:trPr>
        <w:tc>
          <w:tcPr>
            <w:tcW w:w="1006" w:type="pct"/>
          </w:tcPr>
          <w:p w14:paraId="01BD4191" w14:textId="77777777" w:rsidR="00806314" w:rsidRPr="00211E3B" w:rsidRDefault="00806314" w:rsidP="00806314">
            <w:pPr>
              <w:autoSpaceDE w:val="0"/>
              <w:autoSpaceDN w:val="0"/>
              <w:adjustRightInd w:val="0"/>
              <w:rPr>
                <w:szCs w:val="22"/>
                <w:lang w:val="lt-LT"/>
              </w:rPr>
            </w:pPr>
          </w:p>
        </w:tc>
        <w:tc>
          <w:tcPr>
            <w:tcW w:w="616" w:type="pct"/>
          </w:tcPr>
          <w:p w14:paraId="54891351" w14:textId="08D1E1AD" w:rsidR="00806314" w:rsidRPr="00211E3B" w:rsidRDefault="00806314" w:rsidP="00806314">
            <w:pPr>
              <w:autoSpaceDE w:val="0"/>
              <w:autoSpaceDN w:val="0"/>
              <w:adjustRightInd w:val="0"/>
              <w:jc w:val="center"/>
              <w:rPr>
                <w:szCs w:val="22"/>
                <w:lang w:val="lt-LT"/>
              </w:rPr>
            </w:pPr>
            <w:r w:rsidRPr="00211E3B">
              <w:rPr>
                <w:szCs w:val="22"/>
                <w:lang w:val="lt-LT"/>
              </w:rPr>
              <w:t>Placebas</w:t>
            </w:r>
          </w:p>
        </w:tc>
        <w:tc>
          <w:tcPr>
            <w:tcW w:w="694" w:type="pct"/>
          </w:tcPr>
          <w:p w14:paraId="29B6FABF" w14:textId="6A20AEDD" w:rsidR="00806314" w:rsidRPr="00211E3B" w:rsidRDefault="00806314" w:rsidP="00806314">
            <w:pPr>
              <w:autoSpaceDE w:val="0"/>
              <w:autoSpaceDN w:val="0"/>
              <w:adjustRightInd w:val="0"/>
              <w:jc w:val="center"/>
              <w:rPr>
                <w:szCs w:val="22"/>
                <w:lang w:val="lt-LT"/>
              </w:rPr>
            </w:pPr>
            <w:r w:rsidRPr="00211E3B">
              <w:rPr>
                <w:szCs w:val="22"/>
                <w:lang w:val="lt-LT"/>
              </w:rPr>
              <w:t>Nintedanibas 150</w:t>
            </w:r>
            <w:r w:rsidR="0085390D">
              <w:rPr>
                <w:szCs w:val="22"/>
                <w:lang w:val="lt-LT"/>
              </w:rPr>
              <w:t> mg</w:t>
            </w:r>
            <w:r w:rsidRPr="00211E3B">
              <w:rPr>
                <w:szCs w:val="22"/>
                <w:lang w:val="lt-LT"/>
              </w:rPr>
              <w:t xml:space="preserve"> du kartus per parą</w:t>
            </w:r>
          </w:p>
        </w:tc>
        <w:tc>
          <w:tcPr>
            <w:tcW w:w="616" w:type="pct"/>
          </w:tcPr>
          <w:p w14:paraId="6BBE4694" w14:textId="206972B9" w:rsidR="00806314" w:rsidRPr="00211E3B" w:rsidRDefault="00806314" w:rsidP="00806314">
            <w:pPr>
              <w:autoSpaceDE w:val="0"/>
              <w:autoSpaceDN w:val="0"/>
              <w:adjustRightInd w:val="0"/>
              <w:jc w:val="center"/>
              <w:rPr>
                <w:szCs w:val="22"/>
                <w:lang w:val="lt-LT"/>
              </w:rPr>
            </w:pPr>
            <w:r w:rsidRPr="00211E3B">
              <w:rPr>
                <w:szCs w:val="22"/>
                <w:lang w:val="lt-LT"/>
              </w:rPr>
              <w:t>Placebas</w:t>
            </w:r>
          </w:p>
        </w:tc>
        <w:tc>
          <w:tcPr>
            <w:tcW w:w="694" w:type="pct"/>
          </w:tcPr>
          <w:p w14:paraId="635B8402" w14:textId="77777777" w:rsidR="00736365" w:rsidRPr="00736365" w:rsidRDefault="00736365" w:rsidP="00736365">
            <w:pPr>
              <w:autoSpaceDE w:val="0"/>
              <w:autoSpaceDN w:val="0"/>
              <w:adjustRightInd w:val="0"/>
              <w:jc w:val="center"/>
              <w:rPr>
                <w:szCs w:val="22"/>
                <w:lang w:val="lt-LT"/>
              </w:rPr>
            </w:pPr>
            <w:r w:rsidRPr="00736365">
              <w:rPr>
                <w:szCs w:val="22"/>
                <w:lang w:val="lt-LT"/>
              </w:rPr>
              <w:t>Nintedanibas 150 mg du kartus per</w:t>
            </w:r>
          </w:p>
          <w:p w14:paraId="7DA689C2" w14:textId="507ADF8F" w:rsidR="00806314" w:rsidRPr="00211E3B" w:rsidRDefault="00736365" w:rsidP="00736365">
            <w:pPr>
              <w:autoSpaceDE w:val="0"/>
              <w:autoSpaceDN w:val="0"/>
              <w:adjustRightInd w:val="0"/>
              <w:jc w:val="center"/>
              <w:rPr>
                <w:szCs w:val="22"/>
                <w:lang w:val="lt-LT"/>
              </w:rPr>
            </w:pPr>
            <w:r w:rsidRPr="00736365">
              <w:rPr>
                <w:szCs w:val="22"/>
                <w:lang w:val="lt-LT"/>
              </w:rPr>
              <w:t>parą</w:t>
            </w:r>
          </w:p>
        </w:tc>
        <w:tc>
          <w:tcPr>
            <w:tcW w:w="671" w:type="pct"/>
          </w:tcPr>
          <w:p w14:paraId="78FFCA30" w14:textId="0EFAD72B" w:rsidR="00806314" w:rsidRPr="00211E3B" w:rsidRDefault="00736365" w:rsidP="00806314">
            <w:pPr>
              <w:autoSpaceDE w:val="0"/>
              <w:autoSpaceDN w:val="0"/>
              <w:adjustRightInd w:val="0"/>
              <w:jc w:val="center"/>
              <w:rPr>
                <w:szCs w:val="22"/>
                <w:lang w:val="lt-LT"/>
              </w:rPr>
            </w:pPr>
            <w:r>
              <w:rPr>
                <w:szCs w:val="22"/>
                <w:lang w:val="lt-LT"/>
              </w:rPr>
              <w:t>Placebas</w:t>
            </w:r>
          </w:p>
        </w:tc>
        <w:tc>
          <w:tcPr>
            <w:tcW w:w="702" w:type="pct"/>
          </w:tcPr>
          <w:p w14:paraId="07FC973D" w14:textId="481D50F5" w:rsidR="00806314" w:rsidRPr="00211E3B" w:rsidRDefault="00736365" w:rsidP="00806314">
            <w:pPr>
              <w:autoSpaceDE w:val="0"/>
              <w:autoSpaceDN w:val="0"/>
              <w:adjustRightInd w:val="0"/>
              <w:jc w:val="center"/>
              <w:rPr>
                <w:szCs w:val="22"/>
                <w:lang w:val="lt-LT"/>
              </w:rPr>
            </w:pPr>
            <w:r w:rsidRPr="00736365">
              <w:rPr>
                <w:szCs w:val="22"/>
                <w:lang w:val="lt-LT"/>
              </w:rPr>
              <w:t>Nintedanibas 150 mg du kartus per parą</w:t>
            </w:r>
          </w:p>
        </w:tc>
      </w:tr>
      <w:tr w:rsidR="00806314" w:rsidRPr="00211E3B" w14:paraId="416D3669" w14:textId="77777777" w:rsidTr="00806314">
        <w:tc>
          <w:tcPr>
            <w:tcW w:w="1006" w:type="pct"/>
          </w:tcPr>
          <w:p w14:paraId="1CB74744" w14:textId="49E13DF7" w:rsidR="00806314" w:rsidRPr="00211E3B" w:rsidRDefault="00806314" w:rsidP="00806314">
            <w:pPr>
              <w:autoSpaceDE w:val="0"/>
              <w:autoSpaceDN w:val="0"/>
              <w:adjustRightInd w:val="0"/>
              <w:rPr>
                <w:szCs w:val="22"/>
                <w:lang w:val="lt-LT"/>
              </w:rPr>
            </w:pPr>
            <w:r w:rsidRPr="00211E3B">
              <w:rPr>
                <w:szCs w:val="22"/>
                <w:lang w:val="lt-LT"/>
              </w:rPr>
              <w:t>Pacientų, kuriems yra rizika, skaičius</w:t>
            </w:r>
          </w:p>
        </w:tc>
        <w:tc>
          <w:tcPr>
            <w:tcW w:w="616" w:type="pct"/>
            <w:vAlign w:val="center"/>
          </w:tcPr>
          <w:p w14:paraId="3E35B16E" w14:textId="77777777" w:rsidR="00806314" w:rsidRPr="00211E3B" w:rsidRDefault="00806314" w:rsidP="00806314">
            <w:pPr>
              <w:autoSpaceDE w:val="0"/>
              <w:autoSpaceDN w:val="0"/>
              <w:adjustRightInd w:val="0"/>
              <w:jc w:val="center"/>
              <w:rPr>
                <w:szCs w:val="22"/>
                <w:lang w:val="lt-LT"/>
              </w:rPr>
            </w:pPr>
            <w:r w:rsidRPr="00211E3B">
              <w:rPr>
                <w:szCs w:val="22"/>
                <w:lang w:val="lt-LT"/>
              </w:rPr>
              <w:t>204</w:t>
            </w:r>
          </w:p>
        </w:tc>
        <w:tc>
          <w:tcPr>
            <w:tcW w:w="694" w:type="pct"/>
            <w:vAlign w:val="center"/>
          </w:tcPr>
          <w:p w14:paraId="2CE493E4" w14:textId="77777777" w:rsidR="00806314" w:rsidRPr="00211E3B" w:rsidRDefault="00806314" w:rsidP="00806314">
            <w:pPr>
              <w:autoSpaceDE w:val="0"/>
              <w:autoSpaceDN w:val="0"/>
              <w:adjustRightInd w:val="0"/>
              <w:jc w:val="center"/>
              <w:rPr>
                <w:szCs w:val="22"/>
                <w:lang w:val="lt-LT"/>
              </w:rPr>
            </w:pPr>
            <w:r w:rsidRPr="00211E3B">
              <w:rPr>
                <w:szCs w:val="22"/>
                <w:lang w:val="lt-LT"/>
              </w:rPr>
              <w:t>309</w:t>
            </w:r>
          </w:p>
        </w:tc>
        <w:tc>
          <w:tcPr>
            <w:tcW w:w="616" w:type="pct"/>
            <w:vAlign w:val="center"/>
          </w:tcPr>
          <w:p w14:paraId="580A5DE1" w14:textId="77777777" w:rsidR="00806314" w:rsidRPr="00211E3B" w:rsidRDefault="00806314" w:rsidP="00806314">
            <w:pPr>
              <w:autoSpaceDE w:val="0"/>
              <w:autoSpaceDN w:val="0"/>
              <w:adjustRightInd w:val="0"/>
              <w:jc w:val="center"/>
              <w:rPr>
                <w:szCs w:val="22"/>
                <w:lang w:val="lt-LT"/>
              </w:rPr>
            </w:pPr>
            <w:r w:rsidRPr="00211E3B">
              <w:rPr>
                <w:szCs w:val="22"/>
                <w:lang w:val="lt-LT"/>
              </w:rPr>
              <w:t>219</w:t>
            </w:r>
          </w:p>
        </w:tc>
        <w:tc>
          <w:tcPr>
            <w:tcW w:w="694" w:type="pct"/>
            <w:vAlign w:val="center"/>
          </w:tcPr>
          <w:p w14:paraId="20C06897" w14:textId="77777777" w:rsidR="00806314" w:rsidRPr="00211E3B" w:rsidRDefault="00806314" w:rsidP="00806314">
            <w:pPr>
              <w:autoSpaceDE w:val="0"/>
              <w:autoSpaceDN w:val="0"/>
              <w:adjustRightInd w:val="0"/>
              <w:jc w:val="center"/>
              <w:rPr>
                <w:szCs w:val="22"/>
                <w:lang w:val="lt-LT"/>
              </w:rPr>
            </w:pPr>
            <w:r w:rsidRPr="00211E3B">
              <w:rPr>
                <w:szCs w:val="22"/>
                <w:lang w:val="lt-LT"/>
              </w:rPr>
              <w:t>329</w:t>
            </w:r>
          </w:p>
        </w:tc>
        <w:tc>
          <w:tcPr>
            <w:tcW w:w="671" w:type="pct"/>
            <w:vAlign w:val="center"/>
          </w:tcPr>
          <w:p w14:paraId="10793942" w14:textId="77777777" w:rsidR="00806314" w:rsidRPr="00211E3B" w:rsidRDefault="00806314" w:rsidP="00806314">
            <w:pPr>
              <w:autoSpaceDE w:val="0"/>
              <w:autoSpaceDN w:val="0"/>
              <w:adjustRightInd w:val="0"/>
              <w:jc w:val="center"/>
              <w:rPr>
                <w:szCs w:val="22"/>
                <w:lang w:val="lt-LT"/>
              </w:rPr>
            </w:pPr>
            <w:r w:rsidRPr="00211E3B">
              <w:rPr>
                <w:szCs w:val="22"/>
                <w:lang w:val="lt-LT"/>
              </w:rPr>
              <w:t>423</w:t>
            </w:r>
          </w:p>
        </w:tc>
        <w:tc>
          <w:tcPr>
            <w:tcW w:w="702" w:type="pct"/>
            <w:vAlign w:val="center"/>
          </w:tcPr>
          <w:p w14:paraId="159648A2" w14:textId="77777777" w:rsidR="00806314" w:rsidRPr="00211E3B" w:rsidRDefault="00806314" w:rsidP="00806314">
            <w:pPr>
              <w:autoSpaceDE w:val="0"/>
              <w:autoSpaceDN w:val="0"/>
              <w:adjustRightInd w:val="0"/>
              <w:jc w:val="center"/>
              <w:rPr>
                <w:szCs w:val="22"/>
                <w:lang w:val="lt-LT"/>
              </w:rPr>
            </w:pPr>
            <w:r w:rsidRPr="00211E3B">
              <w:rPr>
                <w:szCs w:val="22"/>
                <w:lang w:val="lt-LT"/>
              </w:rPr>
              <w:t>638</w:t>
            </w:r>
          </w:p>
        </w:tc>
      </w:tr>
      <w:tr w:rsidR="00806314" w:rsidRPr="00211E3B" w14:paraId="4518CD12" w14:textId="77777777" w:rsidTr="00806314">
        <w:tc>
          <w:tcPr>
            <w:tcW w:w="1006" w:type="pct"/>
          </w:tcPr>
          <w:p w14:paraId="15CD1F88" w14:textId="6FFF0760" w:rsidR="00806314" w:rsidRPr="00211E3B" w:rsidRDefault="00806314" w:rsidP="00806314">
            <w:pPr>
              <w:autoSpaceDE w:val="0"/>
              <w:autoSpaceDN w:val="0"/>
              <w:adjustRightInd w:val="0"/>
              <w:rPr>
                <w:szCs w:val="22"/>
                <w:lang w:val="lt-LT"/>
              </w:rPr>
            </w:pPr>
            <w:r w:rsidRPr="00211E3B">
              <w:rPr>
                <w:szCs w:val="22"/>
                <w:lang w:val="lt-LT"/>
              </w:rPr>
              <w:t>Pacientų, kuriems nustatyta reiškinių, skaičius, N (</w:t>
            </w:r>
            <w:r w:rsidR="0085390D">
              <w:rPr>
                <w:szCs w:val="22"/>
                <w:lang w:val="lt-LT"/>
              </w:rPr>
              <w:t xml:space="preserve"> %</w:t>
            </w:r>
            <w:r w:rsidRPr="00211E3B">
              <w:rPr>
                <w:szCs w:val="22"/>
                <w:lang w:val="lt-LT"/>
              </w:rPr>
              <w:t>)</w:t>
            </w:r>
          </w:p>
        </w:tc>
        <w:tc>
          <w:tcPr>
            <w:tcW w:w="616" w:type="pct"/>
            <w:vAlign w:val="bottom"/>
          </w:tcPr>
          <w:p w14:paraId="793F5F86" w14:textId="7D2C3866" w:rsidR="00806314" w:rsidRPr="00211E3B" w:rsidRDefault="00806314" w:rsidP="00806314">
            <w:pPr>
              <w:autoSpaceDE w:val="0"/>
              <w:autoSpaceDN w:val="0"/>
              <w:adjustRightInd w:val="0"/>
              <w:jc w:val="center"/>
              <w:rPr>
                <w:szCs w:val="22"/>
                <w:lang w:val="lt-LT"/>
              </w:rPr>
            </w:pPr>
            <w:r w:rsidRPr="00211E3B">
              <w:rPr>
                <w:szCs w:val="22"/>
                <w:lang w:val="lt-LT"/>
              </w:rPr>
              <w:t>11 (5,4)</w:t>
            </w:r>
          </w:p>
        </w:tc>
        <w:tc>
          <w:tcPr>
            <w:tcW w:w="694" w:type="pct"/>
            <w:vAlign w:val="bottom"/>
          </w:tcPr>
          <w:p w14:paraId="0F407D96" w14:textId="5C34D372" w:rsidR="00806314" w:rsidRPr="00211E3B" w:rsidRDefault="00806314" w:rsidP="00806314">
            <w:pPr>
              <w:autoSpaceDE w:val="0"/>
              <w:autoSpaceDN w:val="0"/>
              <w:adjustRightInd w:val="0"/>
              <w:jc w:val="center"/>
              <w:rPr>
                <w:szCs w:val="22"/>
                <w:lang w:val="lt-LT"/>
              </w:rPr>
            </w:pPr>
            <w:r w:rsidRPr="00211E3B">
              <w:rPr>
                <w:szCs w:val="22"/>
                <w:lang w:val="lt-LT"/>
              </w:rPr>
              <w:t>19 (6,1)</w:t>
            </w:r>
          </w:p>
        </w:tc>
        <w:tc>
          <w:tcPr>
            <w:tcW w:w="616" w:type="pct"/>
            <w:vAlign w:val="bottom"/>
          </w:tcPr>
          <w:p w14:paraId="381E982B" w14:textId="380D34A8" w:rsidR="00806314" w:rsidRPr="00211E3B" w:rsidRDefault="00806314" w:rsidP="00806314">
            <w:pPr>
              <w:autoSpaceDE w:val="0"/>
              <w:autoSpaceDN w:val="0"/>
              <w:adjustRightInd w:val="0"/>
              <w:jc w:val="center"/>
              <w:rPr>
                <w:szCs w:val="22"/>
                <w:lang w:val="lt-LT"/>
              </w:rPr>
            </w:pPr>
            <w:r w:rsidRPr="00211E3B">
              <w:rPr>
                <w:szCs w:val="22"/>
                <w:lang w:val="lt-LT"/>
              </w:rPr>
              <w:t>21 (9,6)</w:t>
            </w:r>
          </w:p>
        </w:tc>
        <w:tc>
          <w:tcPr>
            <w:tcW w:w="694" w:type="pct"/>
            <w:vAlign w:val="bottom"/>
          </w:tcPr>
          <w:p w14:paraId="08C077B3" w14:textId="2B4AF72F" w:rsidR="00806314" w:rsidRPr="00211E3B" w:rsidRDefault="00806314" w:rsidP="00806314">
            <w:pPr>
              <w:autoSpaceDE w:val="0"/>
              <w:autoSpaceDN w:val="0"/>
              <w:adjustRightInd w:val="0"/>
              <w:jc w:val="center"/>
              <w:rPr>
                <w:szCs w:val="22"/>
                <w:lang w:val="lt-LT"/>
              </w:rPr>
            </w:pPr>
            <w:r w:rsidRPr="00211E3B">
              <w:rPr>
                <w:szCs w:val="22"/>
                <w:lang w:val="lt-LT"/>
              </w:rPr>
              <w:t>12 (3,6)</w:t>
            </w:r>
          </w:p>
        </w:tc>
        <w:tc>
          <w:tcPr>
            <w:tcW w:w="671" w:type="pct"/>
            <w:vAlign w:val="bottom"/>
          </w:tcPr>
          <w:p w14:paraId="5ABCCBD8" w14:textId="031435B8" w:rsidR="00806314" w:rsidRPr="00211E3B" w:rsidRDefault="00806314" w:rsidP="00806314">
            <w:pPr>
              <w:autoSpaceDE w:val="0"/>
              <w:autoSpaceDN w:val="0"/>
              <w:adjustRightInd w:val="0"/>
              <w:jc w:val="center"/>
              <w:rPr>
                <w:szCs w:val="22"/>
                <w:lang w:val="lt-LT"/>
              </w:rPr>
            </w:pPr>
            <w:r w:rsidRPr="00211E3B">
              <w:rPr>
                <w:szCs w:val="22"/>
                <w:lang w:val="lt-LT"/>
              </w:rPr>
              <w:t>32 (7,6)</w:t>
            </w:r>
          </w:p>
        </w:tc>
        <w:tc>
          <w:tcPr>
            <w:tcW w:w="702" w:type="pct"/>
            <w:vAlign w:val="bottom"/>
          </w:tcPr>
          <w:p w14:paraId="17E4F1B1" w14:textId="55E911C5" w:rsidR="00806314" w:rsidRPr="00211E3B" w:rsidRDefault="00806314" w:rsidP="00806314">
            <w:pPr>
              <w:autoSpaceDE w:val="0"/>
              <w:autoSpaceDN w:val="0"/>
              <w:adjustRightInd w:val="0"/>
              <w:jc w:val="center"/>
              <w:rPr>
                <w:szCs w:val="22"/>
                <w:lang w:val="lt-LT"/>
              </w:rPr>
            </w:pPr>
            <w:r w:rsidRPr="00211E3B">
              <w:rPr>
                <w:szCs w:val="22"/>
                <w:lang w:val="lt-LT"/>
              </w:rPr>
              <w:t>31 (4,9)</w:t>
            </w:r>
          </w:p>
        </w:tc>
      </w:tr>
      <w:tr w:rsidR="00806314" w:rsidRPr="00211E3B" w14:paraId="419D48F0" w14:textId="77777777" w:rsidTr="00256DA0">
        <w:tc>
          <w:tcPr>
            <w:tcW w:w="5000" w:type="pct"/>
            <w:gridSpan w:val="7"/>
          </w:tcPr>
          <w:p w14:paraId="63800719" w14:textId="3EC1431B" w:rsidR="00806314" w:rsidRPr="00211E3B" w:rsidRDefault="00806314" w:rsidP="00806314">
            <w:pPr>
              <w:autoSpaceDE w:val="0"/>
              <w:autoSpaceDN w:val="0"/>
              <w:adjustRightInd w:val="0"/>
              <w:rPr>
                <w:szCs w:val="22"/>
                <w:lang w:val="lt-LT"/>
              </w:rPr>
            </w:pPr>
            <w:r w:rsidRPr="00211E3B">
              <w:rPr>
                <w:szCs w:val="22"/>
                <w:lang w:val="lt-LT"/>
              </w:rPr>
              <w:t>Palyginimas su placebu</w:t>
            </w:r>
            <w:r w:rsidRPr="00211E3B">
              <w:rPr>
                <w:szCs w:val="22"/>
                <w:vertAlign w:val="superscript"/>
                <w:lang w:val="lt-LT"/>
              </w:rPr>
              <w:t>1</w:t>
            </w:r>
          </w:p>
        </w:tc>
      </w:tr>
      <w:tr w:rsidR="00806314" w:rsidRPr="00211E3B" w14:paraId="5FC93C40" w14:textId="77777777" w:rsidTr="00806314">
        <w:tc>
          <w:tcPr>
            <w:tcW w:w="1006" w:type="pct"/>
          </w:tcPr>
          <w:p w14:paraId="4A03E685" w14:textId="27B793A8" w:rsidR="00806314" w:rsidRPr="00211E3B" w:rsidRDefault="00806314" w:rsidP="00806314">
            <w:pPr>
              <w:autoSpaceDE w:val="0"/>
              <w:autoSpaceDN w:val="0"/>
              <w:adjustRightInd w:val="0"/>
              <w:rPr>
                <w:szCs w:val="22"/>
                <w:lang w:val="lt-LT"/>
              </w:rPr>
            </w:pPr>
            <w:r w:rsidRPr="00211E3B">
              <w:rPr>
                <w:szCs w:val="22"/>
                <w:lang w:val="lt-LT"/>
              </w:rPr>
              <w:t>p r</w:t>
            </w:r>
            <w:r w:rsidR="00736365">
              <w:rPr>
                <w:szCs w:val="22"/>
                <w:lang w:val="lt-LT"/>
              </w:rPr>
              <w:t>eikšmė</w:t>
            </w:r>
            <w:r w:rsidRPr="00211E3B">
              <w:rPr>
                <w:szCs w:val="22"/>
                <w:vertAlign w:val="superscript"/>
                <w:lang w:val="lt-LT"/>
              </w:rPr>
              <w:t>2</w:t>
            </w:r>
          </w:p>
        </w:tc>
        <w:tc>
          <w:tcPr>
            <w:tcW w:w="616" w:type="pct"/>
          </w:tcPr>
          <w:p w14:paraId="12AF5329" w14:textId="77777777" w:rsidR="00806314" w:rsidRPr="00211E3B" w:rsidRDefault="00806314" w:rsidP="00806314">
            <w:pPr>
              <w:autoSpaceDE w:val="0"/>
              <w:autoSpaceDN w:val="0"/>
              <w:adjustRightInd w:val="0"/>
              <w:rPr>
                <w:szCs w:val="22"/>
                <w:lang w:val="lt-LT"/>
              </w:rPr>
            </w:pPr>
          </w:p>
        </w:tc>
        <w:tc>
          <w:tcPr>
            <w:tcW w:w="694" w:type="pct"/>
          </w:tcPr>
          <w:p w14:paraId="6B161360" w14:textId="7A7388F0" w:rsidR="00806314" w:rsidRPr="00211E3B" w:rsidRDefault="00806314" w:rsidP="00806314">
            <w:pPr>
              <w:autoSpaceDE w:val="0"/>
              <w:autoSpaceDN w:val="0"/>
              <w:adjustRightInd w:val="0"/>
              <w:rPr>
                <w:szCs w:val="22"/>
                <w:lang w:val="lt-LT"/>
              </w:rPr>
            </w:pPr>
            <w:r w:rsidRPr="00211E3B">
              <w:rPr>
                <w:szCs w:val="22"/>
                <w:lang w:val="lt-LT"/>
              </w:rPr>
              <w:t>0,6728</w:t>
            </w:r>
          </w:p>
        </w:tc>
        <w:tc>
          <w:tcPr>
            <w:tcW w:w="616" w:type="pct"/>
          </w:tcPr>
          <w:p w14:paraId="48F22EA7" w14:textId="77777777" w:rsidR="00806314" w:rsidRPr="00211E3B" w:rsidRDefault="00806314" w:rsidP="00806314">
            <w:pPr>
              <w:autoSpaceDE w:val="0"/>
              <w:autoSpaceDN w:val="0"/>
              <w:adjustRightInd w:val="0"/>
              <w:rPr>
                <w:szCs w:val="22"/>
                <w:lang w:val="lt-LT"/>
              </w:rPr>
            </w:pPr>
          </w:p>
        </w:tc>
        <w:tc>
          <w:tcPr>
            <w:tcW w:w="694" w:type="pct"/>
          </w:tcPr>
          <w:p w14:paraId="0DF4A259" w14:textId="287C735A" w:rsidR="00806314" w:rsidRPr="00211E3B" w:rsidRDefault="00806314" w:rsidP="00806314">
            <w:pPr>
              <w:autoSpaceDE w:val="0"/>
              <w:autoSpaceDN w:val="0"/>
              <w:adjustRightInd w:val="0"/>
              <w:rPr>
                <w:szCs w:val="22"/>
                <w:lang w:val="lt-LT"/>
              </w:rPr>
            </w:pPr>
            <w:r w:rsidRPr="00211E3B">
              <w:rPr>
                <w:szCs w:val="22"/>
                <w:lang w:val="lt-LT"/>
              </w:rPr>
              <w:t>0,0050</w:t>
            </w:r>
          </w:p>
        </w:tc>
        <w:tc>
          <w:tcPr>
            <w:tcW w:w="671" w:type="pct"/>
          </w:tcPr>
          <w:p w14:paraId="7D04F676" w14:textId="77777777" w:rsidR="00806314" w:rsidRPr="00211E3B" w:rsidRDefault="00806314" w:rsidP="00806314">
            <w:pPr>
              <w:autoSpaceDE w:val="0"/>
              <w:autoSpaceDN w:val="0"/>
              <w:adjustRightInd w:val="0"/>
              <w:rPr>
                <w:szCs w:val="22"/>
                <w:lang w:val="lt-LT"/>
              </w:rPr>
            </w:pPr>
          </w:p>
        </w:tc>
        <w:tc>
          <w:tcPr>
            <w:tcW w:w="702" w:type="pct"/>
          </w:tcPr>
          <w:p w14:paraId="42700DAB" w14:textId="4F59B8E3" w:rsidR="00806314" w:rsidRPr="00211E3B" w:rsidRDefault="00806314" w:rsidP="00806314">
            <w:pPr>
              <w:autoSpaceDE w:val="0"/>
              <w:autoSpaceDN w:val="0"/>
              <w:adjustRightInd w:val="0"/>
              <w:rPr>
                <w:szCs w:val="22"/>
                <w:lang w:val="lt-LT"/>
              </w:rPr>
            </w:pPr>
            <w:r w:rsidRPr="00211E3B">
              <w:rPr>
                <w:szCs w:val="22"/>
                <w:lang w:val="lt-LT"/>
              </w:rPr>
              <w:t>0,0823</w:t>
            </w:r>
          </w:p>
        </w:tc>
      </w:tr>
      <w:tr w:rsidR="00806314" w:rsidRPr="00211E3B" w14:paraId="3D1B8FF0" w14:textId="77777777" w:rsidTr="00806314">
        <w:tc>
          <w:tcPr>
            <w:tcW w:w="1006" w:type="pct"/>
          </w:tcPr>
          <w:p w14:paraId="46194901" w14:textId="7250526D" w:rsidR="00806314" w:rsidRPr="00211E3B" w:rsidRDefault="00806314" w:rsidP="00806314">
            <w:pPr>
              <w:autoSpaceDE w:val="0"/>
              <w:autoSpaceDN w:val="0"/>
              <w:adjustRightInd w:val="0"/>
              <w:rPr>
                <w:szCs w:val="22"/>
                <w:lang w:val="lt-LT"/>
              </w:rPr>
            </w:pPr>
            <w:r w:rsidRPr="00211E3B">
              <w:rPr>
                <w:szCs w:val="22"/>
                <w:lang w:val="lt-LT"/>
              </w:rPr>
              <w:t>Rizikos santykis</w:t>
            </w:r>
            <w:r w:rsidRPr="00211E3B">
              <w:rPr>
                <w:szCs w:val="22"/>
                <w:vertAlign w:val="superscript"/>
                <w:lang w:val="lt-LT"/>
              </w:rPr>
              <w:t>3</w:t>
            </w:r>
          </w:p>
        </w:tc>
        <w:tc>
          <w:tcPr>
            <w:tcW w:w="616" w:type="pct"/>
          </w:tcPr>
          <w:p w14:paraId="53127877" w14:textId="77777777" w:rsidR="00806314" w:rsidRPr="00211E3B" w:rsidRDefault="00806314" w:rsidP="00806314">
            <w:pPr>
              <w:autoSpaceDE w:val="0"/>
              <w:autoSpaceDN w:val="0"/>
              <w:adjustRightInd w:val="0"/>
              <w:rPr>
                <w:szCs w:val="22"/>
                <w:lang w:val="lt-LT"/>
              </w:rPr>
            </w:pPr>
          </w:p>
        </w:tc>
        <w:tc>
          <w:tcPr>
            <w:tcW w:w="694" w:type="pct"/>
          </w:tcPr>
          <w:p w14:paraId="06A4438D" w14:textId="4395F1E9" w:rsidR="00806314" w:rsidRPr="00211E3B" w:rsidRDefault="00806314" w:rsidP="00806314">
            <w:pPr>
              <w:autoSpaceDE w:val="0"/>
              <w:autoSpaceDN w:val="0"/>
              <w:adjustRightInd w:val="0"/>
              <w:rPr>
                <w:szCs w:val="22"/>
                <w:lang w:val="lt-LT"/>
              </w:rPr>
            </w:pPr>
            <w:r w:rsidRPr="00211E3B">
              <w:rPr>
                <w:szCs w:val="22"/>
                <w:lang w:val="lt-LT"/>
              </w:rPr>
              <w:t>1,15</w:t>
            </w:r>
          </w:p>
        </w:tc>
        <w:tc>
          <w:tcPr>
            <w:tcW w:w="616" w:type="pct"/>
          </w:tcPr>
          <w:p w14:paraId="66C0354A" w14:textId="77777777" w:rsidR="00806314" w:rsidRPr="00211E3B" w:rsidRDefault="00806314" w:rsidP="00806314">
            <w:pPr>
              <w:autoSpaceDE w:val="0"/>
              <w:autoSpaceDN w:val="0"/>
              <w:adjustRightInd w:val="0"/>
              <w:rPr>
                <w:szCs w:val="22"/>
                <w:lang w:val="lt-LT"/>
              </w:rPr>
            </w:pPr>
          </w:p>
        </w:tc>
        <w:tc>
          <w:tcPr>
            <w:tcW w:w="694" w:type="pct"/>
          </w:tcPr>
          <w:p w14:paraId="76C93324" w14:textId="26D3E13A" w:rsidR="00806314" w:rsidRPr="00211E3B" w:rsidRDefault="00806314" w:rsidP="00806314">
            <w:pPr>
              <w:autoSpaceDE w:val="0"/>
              <w:autoSpaceDN w:val="0"/>
              <w:adjustRightInd w:val="0"/>
              <w:rPr>
                <w:szCs w:val="22"/>
                <w:lang w:val="lt-LT"/>
              </w:rPr>
            </w:pPr>
            <w:r w:rsidRPr="00211E3B">
              <w:rPr>
                <w:szCs w:val="22"/>
                <w:lang w:val="lt-LT"/>
              </w:rPr>
              <w:t>0,38</w:t>
            </w:r>
          </w:p>
        </w:tc>
        <w:tc>
          <w:tcPr>
            <w:tcW w:w="671" w:type="pct"/>
          </w:tcPr>
          <w:p w14:paraId="1FBBF56D" w14:textId="77777777" w:rsidR="00806314" w:rsidRPr="00211E3B" w:rsidRDefault="00806314" w:rsidP="00806314">
            <w:pPr>
              <w:autoSpaceDE w:val="0"/>
              <w:autoSpaceDN w:val="0"/>
              <w:adjustRightInd w:val="0"/>
              <w:rPr>
                <w:szCs w:val="22"/>
                <w:lang w:val="lt-LT"/>
              </w:rPr>
            </w:pPr>
          </w:p>
        </w:tc>
        <w:tc>
          <w:tcPr>
            <w:tcW w:w="702" w:type="pct"/>
          </w:tcPr>
          <w:p w14:paraId="08C30821" w14:textId="6AD28004" w:rsidR="00806314" w:rsidRPr="00211E3B" w:rsidRDefault="00806314" w:rsidP="00806314">
            <w:pPr>
              <w:autoSpaceDE w:val="0"/>
              <w:autoSpaceDN w:val="0"/>
              <w:adjustRightInd w:val="0"/>
              <w:rPr>
                <w:szCs w:val="22"/>
                <w:lang w:val="lt-LT"/>
              </w:rPr>
            </w:pPr>
            <w:r w:rsidRPr="00211E3B">
              <w:rPr>
                <w:szCs w:val="22"/>
                <w:lang w:val="lt-LT"/>
              </w:rPr>
              <w:t>0,64</w:t>
            </w:r>
          </w:p>
        </w:tc>
      </w:tr>
      <w:tr w:rsidR="00806314" w:rsidRPr="00211E3B" w14:paraId="5713C397" w14:textId="77777777" w:rsidTr="00806314">
        <w:tc>
          <w:tcPr>
            <w:tcW w:w="1006" w:type="pct"/>
          </w:tcPr>
          <w:p w14:paraId="656DBBA2" w14:textId="73D775B3" w:rsidR="00806314" w:rsidRPr="00211E3B" w:rsidRDefault="00806314" w:rsidP="00806314">
            <w:pPr>
              <w:autoSpaceDE w:val="0"/>
              <w:autoSpaceDN w:val="0"/>
              <w:adjustRightInd w:val="0"/>
              <w:rPr>
                <w:szCs w:val="22"/>
                <w:lang w:val="lt-LT"/>
              </w:rPr>
            </w:pPr>
            <w:r w:rsidRPr="00211E3B">
              <w:rPr>
                <w:szCs w:val="22"/>
                <w:lang w:val="lt-LT"/>
              </w:rPr>
              <w:t>95</w:t>
            </w:r>
            <w:r w:rsidR="0085390D">
              <w:rPr>
                <w:szCs w:val="22"/>
                <w:lang w:val="lt-LT"/>
              </w:rPr>
              <w:t xml:space="preserve"> %</w:t>
            </w:r>
            <w:r w:rsidRPr="00211E3B">
              <w:rPr>
                <w:szCs w:val="22"/>
                <w:lang w:val="lt-LT"/>
              </w:rPr>
              <w:t> PI</w:t>
            </w:r>
          </w:p>
        </w:tc>
        <w:tc>
          <w:tcPr>
            <w:tcW w:w="616" w:type="pct"/>
          </w:tcPr>
          <w:p w14:paraId="3DC420B3" w14:textId="77777777" w:rsidR="00806314" w:rsidRPr="00211E3B" w:rsidRDefault="00806314" w:rsidP="00806314">
            <w:pPr>
              <w:autoSpaceDE w:val="0"/>
              <w:autoSpaceDN w:val="0"/>
              <w:adjustRightInd w:val="0"/>
              <w:rPr>
                <w:szCs w:val="22"/>
                <w:lang w:val="lt-LT"/>
              </w:rPr>
            </w:pPr>
          </w:p>
        </w:tc>
        <w:tc>
          <w:tcPr>
            <w:tcW w:w="694" w:type="pct"/>
          </w:tcPr>
          <w:p w14:paraId="28274D9E" w14:textId="04708C5E" w:rsidR="00806314" w:rsidRPr="00211E3B" w:rsidRDefault="00806314" w:rsidP="00806314">
            <w:pPr>
              <w:autoSpaceDE w:val="0"/>
              <w:autoSpaceDN w:val="0"/>
              <w:adjustRightInd w:val="0"/>
              <w:rPr>
                <w:szCs w:val="22"/>
                <w:lang w:val="lt-LT"/>
              </w:rPr>
            </w:pPr>
            <w:r w:rsidRPr="00211E3B">
              <w:rPr>
                <w:szCs w:val="22"/>
                <w:lang w:val="lt-LT"/>
              </w:rPr>
              <w:t>(0,54, 2,42)</w:t>
            </w:r>
          </w:p>
        </w:tc>
        <w:tc>
          <w:tcPr>
            <w:tcW w:w="616" w:type="pct"/>
          </w:tcPr>
          <w:p w14:paraId="06D97108" w14:textId="77777777" w:rsidR="00806314" w:rsidRPr="00211E3B" w:rsidRDefault="00806314" w:rsidP="00806314">
            <w:pPr>
              <w:autoSpaceDE w:val="0"/>
              <w:autoSpaceDN w:val="0"/>
              <w:adjustRightInd w:val="0"/>
              <w:rPr>
                <w:szCs w:val="22"/>
                <w:lang w:val="lt-LT"/>
              </w:rPr>
            </w:pPr>
          </w:p>
        </w:tc>
        <w:tc>
          <w:tcPr>
            <w:tcW w:w="694" w:type="pct"/>
          </w:tcPr>
          <w:p w14:paraId="5ED1F015" w14:textId="12899AE6" w:rsidR="00806314" w:rsidRPr="00211E3B" w:rsidRDefault="00806314" w:rsidP="00806314">
            <w:pPr>
              <w:autoSpaceDE w:val="0"/>
              <w:autoSpaceDN w:val="0"/>
              <w:adjustRightInd w:val="0"/>
              <w:rPr>
                <w:szCs w:val="22"/>
                <w:lang w:val="lt-LT"/>
              </w:rPr>
            </w:pPr>
            <w:r w:rsidRPr="00211E3B">
              <w:rPr>
                <w:szCs w:val="22"/>
                <w:lang w:val="lt-LT"/>
              </w:rPr>
              <w:t>(0,19, 0,77)</w:t>
            </w:r>
          </w:p>
        </w:tc>
        <w:tc>
          <w:tcPr>
            <w:tcW w:w="671" w:type="pct"/>
          </w:tcPr>
          <w:p w14:paraId="36F44DF7" w14:textId="77777777" w:rsidR="00806314" w:rsidRPr="00211E3B" w:rsidRDefault="00806314" w:rsidP="00806314">
            <w:pPr>
              <w:autoSpaceDE w:val="0"/>
              <w:autoSpaceDN w:val="0"/>
              <w:adjustRightInd w:val="0"/>
              <w:rPr>
                <w:szCs w:val="22"/>
                <w:lang w:val="lt-LT"/>
              </w:rPr>
            </w:pPr>
          </w:p>
        </w:tc>
        <w:tc>
          <w:tcPr>
            <w:tcW w:w="702" w:type="pct"/>
          </w:tcPr>
          <w:p w14:paraId="555FCBA1" w14:textId="0A6EAFA8" w:rsidR="00806314" w:rsidRPr="00211E3B" w:rsidRDefault="00806314" w:rsidP="00806314">
            <w:pPr>
              <w:autoSpaceDE w:val="0"/>
              <w:autoSpaceDN w:val="0"/>
              <w:adjustRightInd w:val="0"/>
              <w:rPr>
                <w:szCs w:val="22"/>
                <w:lang w:val="lt-LT"/>
              </w:rPr>
            </w:pPr>
            <w:r w:rsidRPr="00211E3B">
              <w:rPr>
                <w:szCs w:val="22"/>
                <w:lang w:val="lt-LT"/>
              </w:rPr>
              <w:t>(0,39, 1,05)</w:t>
            </w:r>
          </w:p>
        </w:tc>
      </w:tr>
    </w:tbl>
    <w:p w14:paraId="58F42679" w14:textId="38A6295A" w:rsidR="00806314" w:rsidRPr="00211E3B" w:rsidRDefault="00806314" w:rsidP="00806314">
      <w:pPr>
        <w:ind w:right="-142"/>
        <w:rPr>
          <w:snapToGrid w:val="0"/>
          <w:sz w:val="20"/>
          <w:szCs w:val="22"/>
        </w:rPr>
      </w:pPr>
      <w:r w:rsidRPr="00211E3B">
        <w:rPr>
          <w:snapToGrid w:val="0"/>
          <w:sz w:val="20"/>
          <w:szCs w:val="22"/>
          <w:vertAlign w:val="superscript"/>
        </w:rPr>
        <w:t>1</w:t>
      </w:r>
      <w:r w:rsidRPr="00211E3B">
        <w:rPr>
          <w:snapToGrid w:val="0"/>
          <w:sz w:val="20"/>
          <w:szCs w:val="22"/>
        </w:rPr>
        <w:t xml:space="preserve"> Remiantis duomenimis, surinktais iki 372 dienos (</w:t>
      </w:r>
      <w:r w:rsidR="00D7087C" w:rsidRPr="00211E3B">
        <w:rPr>
          <w:snapToGrid w:val="0"/>
          <w:sz w:val="20"/>
          <w:szCs w:val="22"/>
        </w:rPr>
        <w:t>52 s</w:t>
      </w:r>
      <w:r w:rsidRPr="00211E3B">
        <w:rPr>
          <w:snapToGrid w:val="0"/>
          <w:sz w:val="20"/>
          <w:szCs w:val="22"/>
        </w:rPr>
        <w:t>avaitės + 7 dienų riba).</w:t>
      </w:r>
    </w:p>
    <w:p w14:paraId="2974DB42" w14:textId="77777777" w:rsidR="00806314" w:rsidRPr="00211E3B" w:rsidRDefault="00806314" w:rsidP="00806314">
      <w:pPr>
        <w:ind w:right="-142"/>
        <w:rPr>
          <w:snapToGrid w:val="0"/>
          <w:sz w:val="20"/>
          <w:szCs w:val="22"/>
        </w:rPr>
      </w:pPr>
      <w:r w:rsidRPr="00211E3B">
        <w:rPr>
          <w:snapToGrid w:val="0"/>
          <w:sz w:val="20"/>
          <w:szCs w:val="22"/>
          <w:vertAlign w:val="superscript"/>
        </w:rPr>
        <w:t>2</w:t>
      </w:r>
      <w:r w:rsidRPr="00211E3B">
        <w:rPr>
          <w:snapToGrid w:val="0"/>
          <w:sz w:val="20"/>
          <w:szCs w:val="22"/>
        </w:rPr>
        <w:t xml:space="preserve"> Remiantis logaritminiu ranginiu testu.</w:t>
      </w:r>
    </w:p>
    <w:p w14:paraId="46B58BD5" w14:textId="77777777" w:rsidR="00806314" w:rsidRPr="00211E3B" w:rsidRDefault="00806314" w:rsidP="00806314">
      <w:pPr>
        <w:ind w:right="-142"/>
        <w:rPr>
          <w:snapToGrid w:val="0"/>
          <w:sz w:val="20"/>
          <w:szCs w:val="22"/>
        </w:rPr>
      </w:pPr>
      <w:r w:rsidRPr="00211E3B">
        <w:rPr>
          <w:snapToGrid w:val="0"/>
          <w:sz w:val="20"/>
          <w:szCs w:val="22"/>
          <w:vertAlign w:val="superscript"/>
        </w:rPr>
        <w:t>3</w:t>
      </w:r>
      <w:r w:rsidRPr="00211E3B">
        <w:rPr>
          <w:snapToGrid w:val="0"/>
          <w:sz w:val="20"/>
          <w:szCs w:val="22"/>
        </w:rPr>
        <w:t xml:space="preserve"> Remiantis Cox regresijos modeliu.</w:t>
      </w:r>
    </w:p>
    <w:p w14:paraId="687467FE" w14:textId="77777777" w:rsidR="00197137" w:rsidRPr="00211E3B" w:rsidRDefault="00197137" w:rsidP="00806314">
      <w:pPr>
        <w:ind w:right="-142"/>
        <w:rPr>
          <w:snapToGrid w:val="0"/>
          <w:sz w:val="22"/>
          <w:szCs w:val="24"/>
        </w:rPr>
      </w:pPr>
    </w:p>
    <w:p w14:paraId="663F0AB1" w14:textId="328DBBC9" w:rsidR="005E424F" w:rsidRPr="00211E3B" w:rsidRDefault="005E424F" w:rsidP="005E424F">
      <w:pPr>
        <w:ind w:right="-142"/>
        <w:rPr>
          <w:snapToGrid w:val="0"/>
          <w:sz w:val="22"/>
          <w:szCs w:val="24"/>
        </w:rPr>
      </w:pPr>
      <w:r w:rsidRPr="00211E3B">
        <w:rPr>
          <w:snapToGrid w:val="0"/>
          <w:sz w:val="22"/>
          <w:szCs w:val="24"/>
        </w:rPr>
        <w:t xml:space="preserve">Atlikus iš anksto apibrėžtą jautrumo analizę, pacientų, kuriems per </w:t>
      </w:r>
      <w:r w:rsidR="00D7087C" w:rsidRPr="00211E3B">
        <w:rPr>
          <w:snapToGrid w:val="0"/>
          <w:sz w:val="22"/>
          <w:szCs w:val="24"/>
        </w:rPr>
        <w:t>52 s</w:t>
      </w:r>
      <w:r w:rsidRPr="00211E3B">
        <w:rPr>
          <w:snapToGrid w:val="0"/>
          <w:sz w:val="22"/>
          <w:szCs w:val="24"/>
        </w:rPr>
        <w:t>avaites pasireiškė bent 1</w:t>
      </w:r>
      <w:r w:rsidR="00937DE1" w:rsidRPr="00211E3B">
        <w:rPr>
          <w:snapToGrid w:val="0"/>
          <w:sz w:val="22"/>
          <w:szCs w:val="24"/>
        </w:rPr>
        <w:t xml:space="preserve"> patvirtintas</w:t>
      </w:r>
      <w:r w:rsidRPr="00211E3B">
        <w:rPr>
          <w:snapToGrid w:val="0"/>
          <w:sz w:val="22"/>
          <w:szCs w:val="24"/>
        </w:rPr>
        <w:t xml:space="preserve"> pasunkėjimas, dalis buvo mažesnė nintedanibu gydyt</w:t>
      </w:r>
      <w:r w:rsidR="00937DE1" w:rsidRPr="00211E3B">
        <w:rPr>
          <w:snapToGrid w:val="0"/>
          <w:sz w:val="22"/>
          <w:szCs w:val="24"/>
        </w:rPr>
        <w:t>ų pacientų</w:t>
      </w:r>
      <w:r w:rsidRPr="00211E3B">
        <w:rPr>
          <w:snapToGrid w:val="0"/>
          <w:sz w:val="22"/>
          <w:szCs w:val="24"/>
        </w:rPr>
        <w:t xml:space="preserve"> grupėje (1,9</w:t>
      </w:r>
      <w:r w:rsidR="0085390D">
        <w:rPr>
          <w:snapToGrid w:val="0"/>
          <w:sz w:val="22"/>
          <w:szCs w:val="24"/>
        </w:rPr>
        <w:t xml:space="preserve"> %</w:t>
      </w:r>
      <w:r w:rsidRPr="00211E3B">
        <w:rPr>
          <w:snapToGrid w:val="0"/>
          <w:sz w:val="22"/>
          <w:szCs w:val="24"/>
        </w:rPr>
        <w:t xml:space="preserve"> pacientų)</w:t>
      </w:r>
      <w:r w:rsidR="00937DE1" w:rsidRPr="00211E3B">
        <w:rPr>
          <w:snapToGrid w:val="0"/>
          <w:sz w:val="22"/>
          <w:szCs w:val="24"/>
        </w:rPr>
        <w:t xml:space="preserve">, palyginti su </w:t>
      </w:r>
      <w:r w:rsidRPr="00211E3B">
        <w:rPr>
          <w:snapToGrid w:val="0"/>
          <w:sz w:val="22"/>
          <w:szCs w:val="24"/>
        </w:rPr>
        <w:t>placeb</w:t>
      </w:r>
      <w:r w:rsidR="00937DE1" w:rsidRPr="00211E3B">
        <w:rPr>
          <w:snapToGrid w:val="0"/>
          <w:sz w:val="22"/>
          <w:szCs w:val="24"/>
        </w:rPr>
        <w:t>o</w:t>
      </w:r>
      <w:r w:rsidRPr="00211E3B">
        <w:rPr>
          <w:snapToGrid w:val="0"/>
          <w:sz w:val="22"/>
          <w:szCs w:val="24"/>
        </w:rPr>
        <w:t xml:space="preserve"> </w:t>
      </w:r>
      <w:r w:rsidR="00937DE1" w:rsidRPr="00211E3B">
        <w:rPr>
          <w:snapToGrid w:val="0"/>
          <w:sz w:val="22"/>
          <w:szCs w:val="24"/>
        </w:rPr>
        <w:t>vartojusiais pacientais</w:t>
      </w:r>
      <w:r w:rsidRPr="00211E3B">
        <w:rPr>
          <w:snapToGrid w:val="0"/>
          <w:sz w:val="22"/>
          <w:szCs w:val="24"/>
        </w:rPr>
        <w:t xml:space="preserve"> (5,7</w:t>
      </w:r>
      <w:r w:rsidR="0085390D">
        <w:rPr>
          <w:snapToGrid w:val="0"/>
          <w:sz w:val="22"/>
          <w:szCs w:val="24"/>
        </w:rPr>
        <w:t xml:space="preserve"> %</w:t>
      </w:r>
      <w:r w:rsidRPr="00211E3B">
        <w:rPr>
          <w:snapToGrid w:val="0"/>
          <w:sz w:val="22"/>
          <w:szCs w:val="24"/>
        </w:rPr>
        <w:t xml:space="preserve"> pacientų). </w:t>
      </w:r>
      <w:r w:rsidR="00937DE1" w:rsidRPr="00211E3B">
        <w:rPr>
          <w:snapToGrid w:val="0"/>
          <w:sz w:val="22"/>
          <w:szCs w:val="24"/>
        </w:rPr>
        <w:t>Patvirtintų</w:t>
      </w:r>
      <w:r w:rsidRPr="00211E3B">
        <w:rPr>
          <w:snapToGrid w:val="0"/>
          <w:sz w:val="22"/>
          <w:szCs w:val="24"/>
        </w:rPr>
        <w:t xml:space="preserve"> pasunkėjimo </w:t>
      </w:r>
      <w:r w:rsidR="00937DE1" w:rsidRPr="00211E3B">
        <w:rPr>
          <w:snapToGrid w:val="0"/>
          <w:sz w:val="22"/>
          <w:szCs w:val="24"/>
        </w:rPr>
        <w:t>reiškinių laiko iki reiškinio atsiradimo analizė</w:t>
      </w:r>
      <w:r w:rsidRPr="00211E3B">
        <w:rPr>
          <w:snapToGrid w:val="0"/>
          <w:sz w:val="22"/>
          <w:szCs w:val="24"/>
        </w:rPr>
        <w:t xml:space="preserve"> naudojant</w:t>
      </w:r>
      <w:r w:rsidR="00937DE1" w:rsidRPr="00211E3B">
        <w:rPr>
          <w:snapToGrid w:val="0"/>
          <w:sz w:val="22"/>
          <w:szCs w:val="24"/>
        </w:rPr>
        <w:t xml:space="preserve"> apibendrintus</w:t>
      </w:r>
      <w:r w:rsidRPr="00211E3B">
        <w:rPr>
          <w:snapToGrid w:val="0"/>
          <w:sz w:val="22"/>
          <w:szCs w:val="24"/>
        </w:rPr>
        <w:t xml:space="preserve"> duomenis</w:t>
      </w:r>
      <w:r w:rsidR="00937DE1" w:rsidRPr="00211E3B">
        <w:rPr>
          <w:snapToGrid w:val="0"/>
          <w:sz w:val="22"/>
          <w:szCs w:val="24"/>
        </w:rPr>
        <w:t xml:space="preserve"> parodė, kad</w:t>
      </w:r>
      <w:r w:rsidRPr="00211E3B">
        <w:rPr>
          <w:snapToGrid w:val="0"/>
          <w:sz w:val="22"/>
          <w:szCs w:val="24"/>
        </w:rPr>
        <w:t xml:space="preserve"> rizikos santykis (RS) </w:t>
      </w:r>
      <w:r w:rsidR="00937DE1" w:rsidRPr="00211E3B">
        <w:rPr>
          <w:snapToGrid w:val="0"/>
          <w:sz w:val="22"/>
          <w:szCs w:val="24"/>
        </w:rPr>
        <w:t>yra</w:t>
      </w:r>
      <w:r w:rsidRPr="00211E3B">
        <w:rPr>
          <w:snapToGrid w:val="0"/>
          <w:sz w:val="22"/>
          <w:szCs w:val="24"/>
        </w:rPr>
        <w:t xml:space="preserve"> 0,32</w:t>
      </w:r>
      <w:r w:rsidR="00937DE1" w:rsidRPr="00211E3B">
        <w:rPr>
          <w:snapToGrid w:val="0"/>
          <w:sz w:val="22"/>
          <w:szCs w:val="24"/>
        </w:rPr>
        <w:t xml:space="preserve"> </w:t>
      </w:r>
      <w:r w:rsidRPr="00211E3B">
        <w:rPr>
          <w:snapToGrid w:val="0"/>
          <w:sz w:val="22"/>
          <w:szCs w:val="24"/>
        </w:rPr>
        <w:t>(95</w:t>
      </w:r>
      <w:r w:rsidR="0085390D">
        <w:rPr>
          <w:snapToGrid w:val="0"/>
          <w:sz w:val="22"/>
          <w:szCs w:val="24"/>
        </w:rPr>
        <w:t xml:space="preserve"> %</w:t>
      </w:r>
      <w:r w:rsidRPr="00211E3B">
        <w:rPr>
          <w:snapToGrid w:val="0"/>
          <w:sz w:val="22"/>
          <w:szCs w:val="24"/>
        </w:rPr>
        <w:t xml:space="preserve"> PI 0,16, 0,65; p</w:t>
      </w:r>
      <w:r w:rsidR="00937DE1" w:rsidRPr="00211E3B">
        <w:rPr>
          <w:snapToGrid w:val="0"/>
          <w:sz w:val="22"/>
          <w:szCs w:val="24"/>
        </w:rPr>
        <w:t> </w:t>
      </w:r>
      <w:r w:rsidRPr="00211E3B">
        <w:rPr>
          <w:snapToGrid w:val="0"/>
          <w:sz w:val="22"/>
          <w:szCs w:val="24"/>
        </w:rPr>
        <w:t>=</w:t>
      </w:r>
      <w:r w:rsidR="00937DE1" w:rsidRPr="00211E3B">
        <w:rPr>
          <w:snapToGrid w:val="0"/>
          <w:sz w:val="22"/>
          <w:szCs w:val="24"/>
        </w:rPr>
        <w:t> </w:t>
      </w:r>
      <w:r w:rsidRPr="00211E3B">
        <w:rPr>
          <w:snapToGrid w:val="0"/>
          <w:sz w:val="22"/>
          <w:szCs w:val="24"/>
        </w:rPr>
        <w:t>0,0010).</w:t>
      </w:r>
    </w:p>
    <w:p w14:paraId="457F46A8" w14:textId="77777777" w:rsidR="00937DE1" w:rsidRPr="00211E3B" w:rsidRDefault="00937DE1" w:rsidP="005E424F">
      <w:pPr>
        <w:ind w:right="-142"/>
        <w:rPr>
          <w:snapToGrid w:val="0"/>
          <w:sz w:val="22"/>
          <w:szCs w:val="24"/>
        </w:rPr>
      </w:pPr>
    </w:p>
    <w:p w14:paraId="1B8A1FBD" w14:textId="03789F2D" w:rsidR="005E424F" w:rsidRPr="00211E3B" w:rsidRDefault="005E424F" w:rsidP="005E424F">
      <w:pPr>
        <w:ind w:right="-142"/>
        <w:rPr>
          <w:i/>
          <w:iCs/>
          <w:snapToGrid w:val="0"/>
          <w:sz w:val="22"/>
          <w:szCs w:val="24"/>
          <w:u w:val="single"/>
        </w:rPr>
      </w:pPr>
      <w:r w:rsidRPr="00211E3B">
        <w:rPr>
          <w:i/>
          <w:iCs/>
          <w:snapToGrid w:val="0"/>
          <w:sz w:val="22"/>
          <w:szCs w:val="24"/>
          <w:u w:val="single"/>
        </w:rPr>
        <w:t>Išgyvenamumo analizė</w:t>
      </w:r>
    </w:p>
    <w:p w14:paraId="33C2FAC6" w14:textId="35F4D125" w:rsidR="005E424F" w:rsidRPr="00211E3B" w:rsidRDefault="005E424F" w:rsidP="005E424F">
      <w:pPr>
        <w:ind w:right="-142"/>
        <w:rPr>
          <w:snapToGrid w:val="0"/>
          <w:sz w:val="22"/>
          <w:szCs w:val="24"/>
        </w:rPr>
      </w:pPr>
      <w:r w:rsidRPr="00211E3B">
        <w:rPr>
          <w:snapToGrid w:val="0"/>
          <w:sz w:val="22"/>
          <w:szCs w:val="24"/>
        </w:rPr>
        <w:t xml:space="preserve">Iš anksto numatyta </w:t>
      </w:r>
      <w:r w:rsidR="00271E2E" w:rsidRPr="00211E3B">
        <w:rPr>
          <w:snapToGrid w:val="0"/>
          <w:sz w:val="22"/>
          <w:szCs w:val="24"/>
        </w:rPr>
        <w:t>apibendrinta</w:t>
      </w:r>
      <w:r w:rsidRPr="00211E3B">
        <w:rPr>
          <w:snapToGrid w:val="0"/>
          <w:sz w:val="22"/>
          <w:szCs w:val="24"/>
        </w:rPr>
        <w:t xml:space="preserve"> INPULSIS tyrimų išgyvenamumo duomenų analizė parodė, kad bendras</w:t>
      </w:r>
      <w:r w:rsidR="00271E2E" w:rsidRPr="00211E3B">
        <w:rPr>
          <w:snapToGrid w:val="0"/>
          <w:sz w:val="22"/>
          <w:szCs w:val="24"/>
        </w:rPr>
        <w:t xml:space="preserve"> </w:t>
      </w:r>
      <w:r w:rsidRPr="00211E3B">
        <w:rPr>
          <w:snapToGrid w:val="0"/>
          <w:sz w:val="22"/>
          <w:szCs w:val="24"/>
        </w:rPr>
        <w:t xml:space="preserve">mirtingumas </w:t>
      </w:r>
      <w:r w:rsidR="00D7087C" w:rsidRPr="00211E3B">
        <w:rPr>
          <w:snapToGrid w:val="0"/>
          <w:sz w:val="22"/>
          <w:szCs w:val="24"/>
        </w:rPr>
        <w:t>52 s</w:t>
      </w:r>
      <w:r w:rsidRPr="00211E3B">
        <w:rPr>
          <w:snapToGrid w:val="0"/>
          <w:sz w:val="22"/>
          <w:szCs w:val="24"/>
        </w:rPr>
        <w:t>avai</w:t>
      </w:r>
      <w:r w:rsidR="00271E2E" w:rsidRPr="00211E3B">
        <w:rPr>
          <w:snapToGrid w:val="0"/>
          <w:sz w:val="22"/>
          <w:szCs w:val="24"/>
        </w:rPr>
        <w:t xml:space="preserve">čių laikotarpiu </w:t>
      </w:r>
      <w:r w:rsidRPr="00211E3B">
        <w:rPr>
          <w:snapToGrid w:val="0"/>
          <w:sz w:val="22"/>
          <w:szCs w:val="24"/>
        </w:rPr>
        <w:t>buvo mažesnis nintedanibu gydyt</w:t>
      </w:r>
      <w:r w:rsidR="00271E2E" w:rsidRPr="00211E3B">
        <w:rPr>
          <w:snapToGrid w:val="0"/>
          <w:sz w:val="22"/>
          <w:szCs w:val="24"/>
        </w:rPr>
        <w:t>ų pacientų</w:t>
      </w:r>
      <w:r w:rsidRPr="00211E3B">
        <w:rPr>
          <w:snapToGrid w:val="0"/>
          <w:sz w:val="22"/>
          <w:szCs w:val="24"/>
        </w:rPr>
        <w:t xml:space="preserve"> grupėje (5,5</w:t>
      </w:r>
      <w:r w:rsidR="0085390D">
        <w:rPr>
          <w:snapToGrid w:val="0"/>
          <w:sz w:val="22"/>
          <w:szCs w:val="24"/>
        </w:rPr>
        <w:t xml:space="preserve"> %</w:t>
      </w:r>
      <w:r w:rsidRPr="00211E3B">
        <w:rPr>
          <w:snapToGrid w:val="0"/>
          <w:sz w:val="22"/>
          <w:szCs w:val="24"/>
        </w:rPr>
        <w:t>), palyginti su</w:t>
      </w:r>
      <w:r w:rsidR="00271E2E" w:rsidRPr="00211E3B">
        <w:rPr>
          <w:snapToGrid w:val="0"/>
          <w:sz w:val="22"/>
          <w:szCs w:val="24"/>
        </w:rPr>
        <w:t xml:space="preserve"> placebo vartojusiais pacientais</w:t>
      </w:r>
      <w:r w:rsidRPr="00211E3B">
        <w:rPr>
          <w:snapToGrid w:val="0"/>
          <w:sz w:val="22"/>
          <w:szCs w:val="24"/>
        </w:rPr>
        <w:t xml:space="preserve"> (7,8</w:t>
      </w:r>
      <w:r w:rsidR="0085390D">
        <w:rPr>
          <w:snapToGrid w:val="0"/>
          <w:sz w:val="22"/>
          <w:szCs w:val="24"/>
        </w:rPr>
        <w:t xml:space="preserve"> %</w:t>
      </w:r>
      <w:r w:rsidRPr="00211E3B">
        <w:rPr>
          <w:snapToGrid w:val="0"/>
          <w:sz w:val="22"/>
          <w:szCs w:val="24"/>
        </w:rPr>
        <w:t>). Laikotarpio iki mirties analize nustatytas RS buvo 0,7 (95</w:t>
      </w:r>
      <w:r w:rsidR="0085390D">
        <w:rPr>
          <w:snapToGrid w:val="0"/>
          <w:sz w:val="22"/>
          <w:szCs w:val="24"/>
        </w:rPr>
        <w:t xml:space="preserve"> %</w:t>
      </w:r>
      <w:r w:rsidRPr="00211E3B">
        <w:rPr>
          <w:snapToGrid w:val="0"/>
          <w:sz w:val="22"/>
          <w:szCs w:val="24"/>
        </w:rPr>
        <w:t xml:space="preserve"> PI 0,43,</w:t>
      </w:r>
      <w:r w:rsidR="00271E2E" w:rsidRPr="00211E3B">
        <w:rPr>
          <w:snapToGrid w:val="0"/>
          <w:sz w:val="22"/>
          <w:szCs w:val="24"/>
        </w:rPr>
        <w:t xml:space="preserve"> </w:t>
      </w:r>
      <w:r w:rsidRPr="00211E3B">
        <w:rPr>
          <w:snapToGrid w:val="0"/>
          <w:sz w:val="22"/>
          <w:szCs w:val="24"/>
        </w:rPr>
        <w:t>1,12; p=0,1399). Visų išgyvenamumo vertinamųjų baigčių (pvz., mirtingum</w:t>
      </w:r>
      <w:r w:rsidR="00271E2E" w:rsidRPr="00211E3B">
        <w:rPr>
          <w:snapToGrid w:val="0"/>
          <w:sz w:val="22"/>
          <w:szCs w:val="24"/>
        </w:rPr>
        <w:t>o</w:t>
      </w:r>
      <w:r w:rsidRPr="00211E3B">
        <w:rPr>
          <w:snapToGrid w:val="0"/>
          <w:sz w:val="22"/>
          <w:szCs w:val="24"/>
        </w:rPr>
        <w:t xml:space="preserve"> vartojant</w:t>
      </w:r>
      <w:r w:rsidR="00271E2E" w:rsidRPr="00211E3B">
        <w:rPr>
          <w:snapToGrid w:val="0"/>
          <w:sz w:val="22"/>
          <w:szCs w:val="24"/>
        </w:rPr>
        <w:t xml:space="preserve"> </w:t>
      </w:r>
      <w:r w:rsidRPr="00211E3B">
        <w:rPr>
          <w:snapToGrid w:val="0"/>
          <w:sz w:val="22"/>
          <w:szCs w:val="24"/>
        </w:rPr>
        <w:t>vaistinį preparatą ir mirtingum</w:t>
      </w:r>
      <w:r w:rsidR="00271E2E" w:rsidRPr="00211E3B">
        <w:rPr>
          <w:snapToGrid w:val="0"/>
          <w:sz w:val="22"/>
          <w:szCs w:val="24"/>
        </w:rPr>
        <w:t>o</w:t>
      </w:r>
      <w:r w:rsidRPr="00211E3B">
        <w:rPr>
          <w:snapToGrid w:val="0"/>
          <w:sz w:val="22"/>
          <w:szCs w:val="24"/>
        </w:rPr>
        <w:t xml:space="preserve"> dėl kvėpavimo sistemos</w:t>
      </w:r>
      <w:r w:rsidR="00271E2E" w:rsidRPr="00211E3B">
        <w:rPr>
          <w:snapToGrid w:val="0"/>
          <w:sz w:val="22"/>
          <w:szCs w:val="24"/>
        </w:rPr>
        <w:t xml:space="preserve"> sutrikimo</w:t>
      </w:r>
      <w:r w:rsidRPr="00211E3B">
        <w:rPr>
          <w:snapToGrid w:val="0"/>
          <w:sz w:val="22"/>
          <w:szCs w:val="24"/>
        </w:rPr>
        <w:t xml:space="preserve">) </w:t>
      </w:r>
      <w:r w:rsidR="00271E2E" w:rsidRPr="00211E3B">
        <w:rPr>
          <w:snapToGrid w:val="0"/>
          <w:sz w:val="22"/>
          <w:szCs w:val="24"/>
        </w:rPr>
        <w:t xml:space="preserve">rezultatai </w:t>
      </w:r>
      <w:r w:rsidRPr="00211E3B">
        <w:rPr>
          <w:snapToGrid w:val="0"/>
          <w:sz w:val="22"/>
          <w:szCs w:val="24"/>
        </w:rPr>
        <w:t xml:space="preserve">parodė </w:t>
      </w:r>
      <w:r w:rsidR="00271E2E" w:rsidRPr="00211E3B">
        <w:rPr>
          <w:snapToGrid w:val="0"/>
          <w:sz w:val="22"/>
          <w:szCs w:val="24"/>
        </w:rPr>
        <w:t>stabilų</w:t>
      </w:r>
      <w:r w:rsidRPr="00211E3B">
        <w:rPr>
          <w:snapToGrid w:val="0"/>
          <w:sz w:val="22"/>
          <w:szCs w:val="24"/>
        </w:rPr>
        <w:t xml:space="preserve"> skirtumą</w:t>
      </w:r>
      <w:r w:rsidR="00271E2E" w:rsidRPr="00211E3B">
        <w:rPr>
          <w:snapToGrid w:val="0"/>
          <w:sz w:val="22"/>
          <w:szCs w:val="24"/>
        </w:rPr>
        <w:t xml:space="preserve"> skaitine rei</w:t>
      </w:r>
      <w:r w:rsidR="00B36BCE">
        <w:rPr>
          <w:snapToGrid w:val="0"/>
          <w:sz w:val="22"/>
          <w:szCs w:val="24"/>
        </w:rPr>
        <w:t>kš</w:t>
      </w:r>
      <w:r w:rsidR="00271E2E" w:rsidRPr="00211E3B">
        <w:rPr>
          <w:snapToGrid w:val="0"/>
          <w:sz w:val="22"/>
          <w:szCs w:val="24"/>
        </w:rPr>
        <w:t xml:space="preserve">me </w:t>
      </w:r>
      <w:r w:rsidRPr="00211E3B">
        <w:rPr>
          <w:snapToGrid w:val="0"/>
          <w:sz w:val="22"/>
          <w:szCs w:val="24"/>
        </w:rPr>
        <w:t>nintedanibo naudai.</w:t>
      </w:r>
    </w:p>
    <w:p w14:paraId="5A1B46FC" w14:textId="614AFDB6" w:rsidR="005E424F" w:rsidRPr="00211E3B" w:rsidRDefault="005E424F" w:rsidP="005E424F">
      <w:pPr>
        <w:ind w:right="-142"/>
        <w:rPr>
          <w:snapToGrid w:val="0"/>
          <w:sz w:val="22"/>
          <w:szCs w:val="24"/>
        </w:rPr>
      </w:pPr>
    </w:p>
    <w:p w14:paraId="7FE287A3" w14:textId="79C09795" w:rsidR="00271E2E" w:rsidRPr="00211E3B" w:rsidRDefault="005E424F" w:rsidP="00271E2E">
      <w:pPr>
        <w:ind w:left="1296" w:right="-142" w:hanging="1296"/>
        <w:rPr>
          <w:b/>
          <w:bCs/>
          <w:snapToGrid w:val="0"/>
          <w:sz w:val="22"/>
          <w:szCs w:val="24"/>
        </w:rPr>
      </w:pPr>
      <w:r w:rsidRPr="00211E3B">
        <w:rPr>
          <w:b/>
          <w:bCs/>
          <w:snapToGrid w:val="0"/>
          <w:sz w:val="22"/>
          <w:szCs w:val="24"/>
        </w:rPr>
        <w:t>7</w:t>
      </w:r>
      <w:r w:rsidR="00271E2E" w:rsidRPr="00211E3B">
        <w:rPr>
          <w:b/>
          <w:bCs/>
          <w:snapToGrid w:val="0"/>
          <w:sz w:val="22"/>
          <w:szCs w:val="24"/>
        </w:rPr>
        <w:t> </w:t>
      </w:r>
      <w:r w:rsidRPr="00211E3B">
        <w:rPr>
          <w:b/>
          <w:bCs/>
          <w:snapToGrid w:val="0"/>
          <w:sz w:val="22"/>
          <w:szCs w:val="24"/>
        </w:rPr>
        <w:t>lentelė.</w:t>
      </w:r>
      <w:r w:rsidR="00271E2E" w:rsidRPr="00211E3B">
        <w:rPr>
          <w:b/>
          <w:bCs/>
          <w:snapToGrid w:val="0"/>
          <w:sz w:val="22"/>
          <w:szCs w:val="24"/>
        </w:rPr>
        <w:tab/>
      </w:r>
      <w:r w:rsidRPr="00211E3B">
        <w:rPr>
          <w:b/>
          <w:bCs/>
          <w:snapToGrid w:val="0"/>
          <w:sz w:val="22"/>
          <w:szCs w:val="24"/>
        </w:rPr>
        <w:t xml:space="preserve">Mirtingumas dėl visų priežasčių per </w:t>
      </w:r>
      <w:r w:rsidR="00D7087C" w:rsidRPr="00211E3B">
        <w:rPr>
          <w:b/>
          <w:bCs/>
          <w:snapToGrid w:val="0"/>
          <w:sz w:val="22"/>
          <w:szCs w:val="24"/>
        </w:rPr>
        <w:t>52 s</w:t>
      </w:r>
      <w:r w:rsidRPr="00211E3B">
        <w:rPr>
          <w:b/>
          <w:bCs/>
          <w:snapToGrid w:val="0"/>
          <w:sz w:val="22"/>
          <w:szCs w:val="24"/>
        </w:rPr>
        <w:t xml:space="preserve">avaites </w:t>
      </w:r>
      <w:r w:rsidR="00271E2E" w:rsidRPr="00211E3B">
        <w:rPr>
          <w:b/>
          <w:bCs/>
          <w:snapToGrid w:val="0"/>
          <w:sz w:val="22"/>
          <w:szCs w:val="24"/>
        </w:rPr>
        <w:t>tyrimų INPULSIS-1 ir INPULSIS-2 metu bei apibendrinti duomenys – gydytų pacientų grupė</w:t>
      </w:r>
    </w:p>
    <w:p w14:paraId="4F67C95A" w14:textId="77777777" w:rsidR="00D924F0" w:rsidRPr="00211E3B" w:rsidRDefault="00D924F0" w:rsidP="00D924F0">
      <w:pPr>
        <w:keepNext/>
        <w:autoSpaceDE w:val="0"/>
        <w:autoSpaceDN w:val="0"/>
        <w:adjustRightInd w:val="0"/>
        <w:ind w:left="1134" w:hanging="1134"/>
        <w:rPr>
          <w:szCs w:val="22"/>
        </w:rPr>
      </w:pPr>
    </w:p>
    <w:tbl>
      <w:tblPr>
        <w:tblStyle w:val="Lentelstinklelis"/>
        <w:tblW w:w="4994" w:type="pct"/>
        <w:tblLook w:val="04A0" w:firstRow="1" w:lastRow="0" w:firstColumn="1" w:lastColumn="0" w:noHBand="0" w:noVBand="1"/>
      </w:tblPr>
      <w:tblGrid>
        <w:gridCol w:w="1842"/>
        <w:gridCol w:w="1135"/>
        <w:gridCol w:w="1276"/>
        <w:gridCol w:w="1135"/>
        <w:gridCol w:w="1276"/>
        <w:gridCol w:w="1100"/>
        <w:gridCol w:w="1285"/>
      </w:tblGrid>
      <w:tr w:rsidR="00D924F0" w:rsidRPr="00211E3B" w14:paraId="541C4CB1" w14:textId="77777777" w:rsidTr="00D924F0">
        <w:trPr>
          <w:tblHeader/>
        </w:trPr>
        <w:tc>
          <w:tcPr>
            <w:tcW w:w="1018" w:type="pct"/>
          </w:tcPr>
          <w:p w14:paraId="5BA45371" w14:textId="77777777" w:rsidR="00D924F0" w:rsidRPr="00211E3B" w:rsidRDefault="00D924F0" w:rsidP="00D924F0">
            <w:pPr>
              <w:autoSpaceDE w:val="0"/>
              <w:autoSpaceDN w:val="0"/>
              <w:adjustRightInd w:val="0"/>
              <w:rPr>
                <w:szCs w:val="22"/>
                <w:lang w:val="lt-LT"/>
              </w:rPr>
            </w:pPr>
          </w:p>
        </w:tc>
        <w:tc>
          <w:tcPr>
            <w:tcW w:w="1332" w:type="pct"/>
            <w:gridSpan w:val="2"/>
          </w:tcPr>
          <w:p w14:paraId="4A21F669" w14:textId="3D07B3AC" w:rsidR="00D924F0" w:rsidRPr="00211E3B" w:rsidRDefault="00D924F0" w:rsidP="00D924F0">
            <w:pPr>
              <w:autoSpaceDE w:val="0"/>
              <w:autoSpaceDN w:val="0"/>
              <w:adjustRightInd w:val="0"/>
              <w:jc w:val="center"/>
              <w:rPr>
                <w:b/>
                <w:szCs w:val="22"/>
                <w:lang w:val="lt-LT"/>
              </w:rPr>
            </w:pPr>
            <w:r w:rsidRPr="00211E3B">
              <w:rPr>
                <w:b/>
                <w:szCs w:val="22"/>
                <w:lang w:val="lt-LT"/>
              </w:rPr>
              <w:t>INPULSIS</w:t>
            </w:r>
            <w:r w:rsidRPr="00211E3B">
              <w:rPr>
                <w:b/>
                <w:szCs w:val="22"/>
                <w:lang w:val="lt-LT"/>
              </w:rPr>
              <w:noBreakHyphen/>
              <w:t>1</w:t>
            </w:r>
          </w:p>
        </w:tc>
        <w:tc>
          <w:tcPr>
            <w:tcW w:w="1332" w:type="pct"/>
            <w:gridSpan w:val="2"/>
          </w:tcPr>
          <w:p w14:paraId="13F6E440" w14:textId="5AAC717B" w:rsidR="00D924F0" w:rsidRPr="00211E3B" w:rsidRDefault="00D924F0" w:rsidP="00D924F0">
            <w:pPr>
              <w:autoSpaceDE w:val="0"/>
              <w:autoSpaceDN w:val="0"/>
              <w:adjustRightInd w:val="0"/>
              <w:jc w:val="center"/>
              <w:rPr>
                <w:b/>
                <w:szCs w:val="22"/>
                <w:lang w:val="lt-LT"/>
              </w:rPr>
            </w:pPr>
            <w:r w:rsidRPr="00211E3B">
              <w:rPr>
                <w:b/>
                <w:szCs w:val="22"/>
                <w:lang w:val="lt-LT"/>
              </w:rPr>
              <w:t>INPULSIS</w:t>
            </w:r>
            <w:r w:rsidRPr="00211E3B">
              <w:rPr>
                <w:b/>
                <w:szCs w:val="22"/>
                <w:lang w:val="lt-LT"/>
              </w:rPr>
              <w:noBreakHyphen/>
              <w:t>2</w:t>
            </w:r>
          </w:p>
        </w:tc>
        <w:tc>
          <w:tcPr>
            <w:tcW w:w="1319" w:type="pct"/>
            <w:gridSpan w:val="2"/>
          </w:tcPr>
          <w:p w14:paraId="019F3762" w14:textId="6930D0A9" w:rsidR="00D924F0" w:rsidRPr="00211E3B" w:rsidRDefault="00D924F0" w:rsidP="00D924F0">
            <w:pPr>
              <w:autoSpaceDE w:val="0"/>
              <w:autoSpaceDN w:val="0"/>
              <w:adjustRightInd w:val="0"/>
              <w:jc w:val="center"/>
              <w:rPr>
                <w:b/>
                <w:szCs w:val="22"/>
                <w:lang w:val="lt-LT"/>
              </w:rPr>
            </w:pPr>
            <w:r w:rsidRPr="00211E3B">
              <w:rPr>
                <w:b/>
                <w:szCs w:val="22"/>
                <w:lang w:val="lt-LT"/>
              </w:rPr>
              <w:t>I INPULSIS</w:t>
            </w:r>
            <w:r w:rsidRPr="00211E3B">
              <w:rPr>
                <w:b/>
                <w:szCs w:val="22"/>
                <w:lang w:val="lt-LT"/>
              </w:rPr>
              <w:noBreakHyphen/>
              <w:t>1 ir INPULSIS</w:t>
            </w:r>
            <w:r w:rsidRPr="00211E3B">
              <w:rPr>
                <w:b/>
                <w:szCs w:val="22"/>
                <w:lang w:val="lt-LT"/>
              </w:rPr>
              <w:noBreakHyphen/>
              <w:t>2 apibendrinti duomenys</w:t>
            </w:r>
          </w:p>
        </w:tc>
      </w:tr>
      <w:tr w:rsidR="00D924F0" w:rsidRPr="00211E3B" w14:paraId="66111CC7" w14:textId="77777777" w:rsidTr="00D924F0">
        <w:trPr>
          <w:tblHeader/>
        </w:trPr>
        <w:tc>
          <w:tcPr>
            <w:tcW w:w="1018" w:type="pct"/>
          </w:tcPr>
          <w:p w14:paraId="5CB714F1" w14:textId="77777777" w:rsidR="00D924F0" w:rsidRPr="00211E3B" w:rsidRDefault="00D924F0" w:rsidP="00D924F0">
            <w:pPr>
              <w:autoSpaceDE w:val="0"/>
              <w:autoSpaceDN w:val="0"/>
              <w:adjustRightInd w:val="0"/>
              <w:rPr>
                <w:szCs w:val="22"/>
                <w:lang w:val="lt-LT"/>
              </w:rPr>
            </w:pPr>
          </w:p>
        </w:tc>
        <w:tc>
          <w:tcPr>
            <w:tcW w:w="627" w:type="pct"/>
          </w:tcPr>
          <w:p w14:paraId="76AB4367" w14:textId="77AD089D" w:rsidR="00D924F0" w:rsidRPr="00211E3B" w:rsidRDefault="00D924F0" w:rsidP="00D924F0">
            <w:pPr>
              <w:autoSpaceDE w:val="0"/>
              <w:autoSpaceDN w:val="0"/>
              <w:adjustRightInd w:val="0"/>
              <w:jc w:val="center"/>
              <w:rPr>
                <w:szCs w:val="22"/>
                <w:lang w:val="lt-LT"/>
              </w:rPr>
            </w:pPr>
            <w:r w:rsidRPr="00211E3B">
              <w:rPr>
                <w:szCs w:val="22"/>
                <w:lang w:val="lt-LT"/>
              </w:rPr>
              <w:t>Placebas</w:t>
            </w:r>
          </w:p>
        </w:tc>
        <w:tc>
          <w:tcPr>
            <w:tcW w:w="705" w:type="pct"/>
          </w:tcPr>
          <w:p w14:paraId="2345CF2A" w14:textId="2F491E85" w:rsidR="00D924F0" w:rsidRPr="00211E3B" w:rsidRDefault="00D924F0" w:rsidP="00D924F0">
            <w:pPr>
              <w:autoSpaceDE w:val="0"/>
              <w:autoSpaceDN w:val="0"/>
              <w:adjustRightInd w:val="0"/>
              <w:jc w:val="center"/>
              <w:rPr>
                <w:szCs w:val="22"/>
                <w:lang w:val="lt-LT"/>
              </w:rPr>
            </w:pPr>
            <w:r w:rsidRPr="00211E3B">
              <w:rPr>
                <w:szCs w:val="22"/>
                <w:lang w:val="lt-LT"/>
              </w:rPr>
              <w:t>Nintedanibas 150</w:t>
            </w:r>
            <w:r w:rsidR="0085390D">
              <w:rPr>
                <w:szCs w:val="22"/>
                <w:lang w:val="lt-LT"/>
              </w:rPr>
              <w:t> mg</w:t>
            </w:r>
            <w:r w:rsidRPr="00211E3B">
              <w:rPr>
                <w:szCs w:val="22"/>
                <w:lang w:val="lt-LT"/>
              </w:rPr>
              <w:t xml:space="preserve"> du kartus per parą</w:t>
            </w:r>
          </w:p>
        </w:tc>
        <w:tc>
          <w:tcPr>
            <w:tcW w:w="627" w:type="pct"/>
          </w:tcPr>
          <w:p w14:paraId="482944C4" w14:textId="148B52D4" w:rsidR="00D924F0" w:rsidRPr="00211E3B" w:rsidRDefault="00D924F0" w:rsidP="00D924F0">
            <w:pPr>
              <w:autoSpaceDE w:val="0"/>
              <w:autoSpaceDN w:val="0"/>
              <w:adjustRightInd w:val="0"/>
              <w:jc w:val="center"/>
              <w:rPr>
                <w:szCs w:val="22"/>
                <w:lang w:val="lt-LT"/>
              </w:rPr>
            </w:pPr>
            <w:r w:rsidRPr="00211E3B">
              <w:rPr>
                <w:szCs w:val="22"/>
                <w:lang w:val="lt-LT"/>
              </w:rPr>
              <w:t>Placebas</w:t>
            </w:r>
          </w:p>
        </w:tc>
        <w:tc>
          <w:tcPr>
            <w:tcW w:w="705" w:type="pct"/>
          </w:tcPr>
          <w:p w14:paraId="723FEA1E" w14:textId="48A866E7" w:rsidR="00D924F0" w:rsidRPr="00211E3B" w:rsidRDefault="00B675DD" w:rsidP="00D924F0">
            <w:pPr>
              <w:autoSpaceDE w:val="0"/>
              <w:autoSpaceDN w:val="0"/>
              <w:adjustRightInd w:val="0"/>
              <w:jc w:val="center"/>
              <w:rPr>
                <w:szCs w:val="22"/>
                <w:lang w:val="lt-LT"/>
              </w:rPr>
            </w:pPr>
            <w:r w:rsidRPr="00B675DD">
              <w:rPr>
                <w:szCs w:val="22"/>
                <w:lang w:val="lt-LT"/>
              </w:rPr>
              <w:t>Nintedanibas 150 mg du kartus per parą</w:t>
            </w:r>
          </w:p>
        </w:tc>
        <w:tc>
          <w:tcPr>
            <w:tcW w:w="608" w:type="pct"/>
          </w:tcPr>
          <w:p w14:paraId="190575B7" w14:textId="2761761A" w:rsidR="00D924F0" w:rsidRPr="00211E3B" w:rsidRDefault="00B675DD" w:rsidP="00D924F0">
            <w:pPr>
              <w:autoSpaceDE w:val="0"/>
              <w:autoSpaceDN w:val="0"/>
              <w:adjustRightInd w:val="0"/>
              <w:jc w:val="center"/>
              <w:rPr>
                <w:szCs w:val="22"/>
                <w:lang w:val="lt-LT"/>
              </w:rPr>
            </w:pPr>
            <w:r>
              <w:rPr>
                <w:szCs w:val="22"/>
                <w:lang w:val="lt-LT"/>
              </w:rPr>
              <w:t>Placebas</w:t>
            </w:r>
          </w:p>
        </w:tc>
        <w:tc>
          <w:tcPr>
            <w:tcW w:w="711" w:type="pct"/>
          </w:tcPr>
          <w:p w14:paraId="0181A7DB" w14:textId="60FC7D83" w:rsidR="00D924F0" w:rsidRPr="00211E3B" w:rsidRDefault="00B675DD" w:rsidP="00D924F0">
            <w:pPr>
              <w:autoSpaceDE w:val="0"/>
              <w:autoSpaceDN w:val="0"/>
              <w:adjustRightInd w:val="0"/>
              <w:jc w:val="center"/>
              <w:rPr>
                <w:szCs w:val="22"/>
                <w:lang w:val="lt-LT"/>
              </w:rPr>
            </w:pPr>
            <w:r w:rsidRPr="00B675DD">
              <w:rPr>
                <w:szCs w:val="22"/>
                <w:lang w:val="lt-LT"/>
              </w:rPr>
              <w:t>Nintedanibas 150 mg du kartus per parą</w:t>
            </w:r>
          </w:p>
        </w:tc>
      </w:tr>
      <w:tr w:rsidR="00D924F0" w:rsidRPr="00211E3B" w14:paraId="753971C4" w14:textId="77777777" w:rsidTr="00D924F0">
        <w:tc>
          <w:tcPr>
            <w:tcW w:w="1018" w:type="pct"/>
          </w:tcPr>
          <w:p w14:paraId="3989DC2E" w14:textId="2AA3C39A" w:rsidR="00D924F0" w:rsidRPr="00211E3B" w:rsidRDefault="00D924F0" w:rsidP="00D924F0">
            <w:pPr>
              <w:autoSpaceDE w:val="0"/>
              <w:autoSpaceDN w:val="0"/>
              <w:adjustRightInd w:val="0"/>
              <w:rPr>
                <w:szCs w:val="22"/>
                <w:lang w:val="lt-LT"/>
              </w:rPr>
            </w:pPr>
            <w:r w:rsidRPr="00211E3B">
              <w:rPr>
                <w:szCs w:val="22"/>
                <w:lang w:val="lt-LT"/>
              </w:rPr>
              <w:t>Pacientų, kuriems yra rizika, skaičius</w:t>
            </w:r>
          </w:p>
        </w:tc>
        <w:tc>
          <w:tcPr>
            <w:tcW w:w="627" w:type="pct"/>
            <w:vAlign w:val="center"/>
          </w:tcPr>
          <w:p w14:paraId="78D0A680" w14:textId="77777777" w:rsidR="00D924F0" w:rsidRPr="00211E3B" w:rsidRDefault="00D924F0" w:rsidP="00D924F0">
            <w:pPr>
              <w:autoSpaceDE w:val="0"/>
              <w:autoSpaceDN w:val="0"/>
              <w:adjustRightInd w:val="0"/>
              <w:jc w:val="center"/>
              <w:rPr>
                <w:szCs w:val="22"/>
                <w:lang w:val="lt-LT"/>
              </w:rPr>
            </w:pPr>
            <w:r w:rsidRPr="00211E3B">
              <w:rPr>
                <w:szCs w:val="22"/>
                <w:lang w:val="lt-LT"/>
              </w:rPr>
              <w:t>204</w:t>
            </w:r>
          </w:p>
        </w:tc>
        <w:tc>
          <w:tcPr>
            <w:tcW w:w="705" w:type="pct"/>
            <w:vAlign w:val="center"/>
          </w:tcPr>
          <w:p w14:paraId="77907BE0" w14:textId="77777777" w:rsidR="00D924F0" w:rsidRPr="00211E3B" w:rsidRDefault="00D924F0" w:rsidP="00D924F0">
            <w:pPr>
              <w:autoSpaceDE w:val="0"/>
              <w:autoSpaceDN w:val="0"/>
              <w:adjustRightInd w:val="0"/>
              <w:jc w:val="center"/>
              <w:rPr>
                <w:szCs w:val="22"/>
                <w:lang w:val="lt-LT"/>
              </w:rPr>
            </w:pPr>
            <w:r w:rsidRPr="00211E3B">
              <w:rPr>
                <w:szCs w:val="22"/>
                <w:lang w:val="lt-LT"/>
              </w:rPr>
              <w:t>309</w:t>
            </w:r>
          </w:p>
        </w:tc>
        <w:tc>
          <w:tcPr>
            <w:tcW w:w="627" w:type="pct"/>
            <w:vAlign w:val="center"/>
          </w:tcPr>
          <w:p w14:paraId="7CED387B" w14:textId="77777777" w:rsidR="00D924F0" w:rsidRPr="00211E3B" w:rsidRDefault="00D924F0" w:rsidP="00D924F0">
            <w:pPr>
              <w:autoSpaceDE w:val="0"/>
              <w:autoSpaceDN w:val="0"/>
              <w:adjustRightInd w:val="0"/>
              <w:jc w:val="center"/>
              <w:rPr>
                <w:szCs w:val="22"/>
                <w:lang w:val="lt-LT"/>
              </w:rPr>
            </w:pPr>
            <w:r w:rsidRPr="00211E3B">
              <w:rPr>
                <w:szCs w:val="22"/>
                <w:lang w:val="lt-LT"/>
              </w:rPr>
              <w:t>219</w:t>
            </w:r>
          </w:p>
        </w:tc>
        <w:tc>
          <w:tcPr>
            <w:tcW w:w="705" w:type="pct"/>
            <w:vAlign w:val="center"/>
          </w:tcPr>
          <w:p w14:paraId="339CCD7B" w14:textId="77777777" w:rsidR="00D924F0" w:rsidRPr="00211E3B" w:rsidRDefault="00D924F0" w:rsidP="00D924F0">
            <w:pPr>
              <w:autoSpaceDE w:val="0"/>
              <w:autoSpaceDN w:val="0"/>
              <w:adjustRightInd w:val="0"/>
              <w:jc w:val="center"/>
              <w:rPr>
                <w:szCs w:val="22"/>
                <w:lang w:val="lt-LT"/>
              </w:rPr>
            </w:pPr>
            <w:r w:rsidRPr="00211E3B">
              <w:rPr>
                <w:szCs w:val="22"/>
                <w:lang w:val="lt-LT"/>
              </w:rPr>
              <w:t>329</w:t>
            </w:r>
          </w:p>
        </w:tc>
        <w:tc>
          <w:tcPr>
            <w:tcW w:w="608" w:type="pct"/>
            <w:vAlign w:val="center"/>
          </w:tcPr>
          <w:p w14:paraId="2183B8D5" w14:textId="77777777" w:rsidR="00D924F0" w:rsidRPr="00211E3B" w:rsidRDefault="00D924F0" w:rsidP="00D924F0">
            <w:pPr>
              <w:autoSpaceDE w:val="0"/>
              <w:autoSpaceDN w:val="0"/>
              <w:adjustRightInd w:val="0"/>
              <w:jc w:val="center"/>
              <w:rPr>
                <w:szCs w:val="22"/>
                <w:lang w:val="lt-LT"/>
              </w:rPr>
            </w:pPr>
            <w:r w:rsidRPr="00211E3B">
              <w:rPr>
                <w:szCs w:val="22"/>
                <w:lang w:val="lt-LT"/>
              </w:rPr>
              <w:t>423</w:t>
            </w:r>
          </w:p>
        </w:tc>
        <w:tc>
          <w:tcPr>
            <w:tcW w:w="711" w:type="pct"/>
            <w:vAlign w:val="center"/>
          </w:tcPr>
          <w:p w14:paraId="5556925A" w14:textId="77777777" w:rsidR="00D924F0" w:rsidRPr="00211E3B" w:rsidRDefault="00D924F0" w:rsidP="00D924F0">
            <w:pPr>
              <w:autoSpaceDE w:val="0"/>
              <w:autoSpaceDN w:val="0"/>
              <w:adjustRightInd w:val="0"/>
              <w:jc w:val="center"/>
              <w:rPr>
                <w:szCs w:val="22"/>
                <w:lang w:val="lt-LT"/>
              </w:rPr>
            </w:pPr>
            <w:r w:rsidRPr="00211E3B">
              <w:rPr>
                <w:szCs w:val="22"/>
                <w:lang w:val="lt-LT"/>
              </w:rPr>
              <w:t>638</w:t>
            </w:r>
          </w:p>
        </w:tc>
      </w:tr>
      <w:tr w:rsidR="00D924F0" w:rsidRPr="00211E3B" w14:paraId="0F357614" w14:textId="77777777" w:rsidTr="00D924F0">
        <w:tc>
          <w:tcPr>
            <w:tcW w:w="1018" w:type="pct"/>
          </w:tcPr>
          <w:p w14:paraId="37CE5BB2" w14:textId="0D28D4BB" w:rsidR="00D924F0" w:rsidRPr="00211E3B" w:rsidRDefault="00D924F0" w:rsidP="00D924F0">
            <w:pPr>
              <w:autoSpaceDE w:val="0"/>
              <w:autoSpaceDN w:val="0"/>
              <w:adjustRightInd w:val="0"/>
              <w:rPr>
                <w:szCs w:val="22"/>
                <w:lang w:val="lt-LT"/>
              </w:rPr>
            </w:pPr>
            <w:r w:rsidRPr="00211E3B">
              <w:rPr>
                <w:szCs w:val="22"/>
                <w:lang w:val="lt-LT"/>
              </w:rPr>
              <w:t>Pacientų, kuriems nustatyta reiškinių, skaičius, N (</w:t>
            </w:r>
            <w:r w:rsidR="0085390D">
              <w:rPr>
                <w:szCs w:val="22"/>
                <w:lang w:val="lt-LT"/>
              </w:rPr>
              <w:t xml:space="preserve"> %</w:t>
            </w:r>
            <w:r w:rsidRPr="00211E3B">
              <w:rPr>
                <w:szCs w:val="22"/>
                <w:lang w:val="lt-LT"/>
              </w:rPr>
              <w:t>)</w:t>
            </w:r>
          </w:p>
        </w:tc>
        <w:tc>
          <w:tcPr>
            <w:tcW w:w="627" w:type="pct"/>
            <w:vAlign w:val="bottom"/>
          </w:tcPr>
          <w:p w14:paraId="02A0A04C" w14:textId="3EB2308E" w:rsidR="00D924F0" w:rsidRPr="00211E3B" w:rsidRDefault="00D924F0" w:rsidP="00D924F0">
            <w:pPr>
              <w:autoSpaceDE w:val="0"/>
              <w:autoSpaceDN w:val="0"/>
              <w:adjustRightInd w:val="0"/>
              <w:jc w:val="center"/>
              <w:rPr>
                <w:szCs w:val="22"/>
                <w:lang w:val="lt-LT"/>
              </w:rPr>
            </w:pPr>
            <w:r w:rsidRPr="00211E3B">
              <w:rPr>
                <w:szCs w:val="22"/>
                <w:lang w:val="lt-LT"/>
              </w:rPr>
              <w:t>13 (6</w:t>
            </w:r>
            <w:r w:rsidR="006C0E1E">
              <w:rPr>
                <w:szCs w:val="22"/>
                <w:lang w:val="lt-LT"/>
              </w:rPr>
              <w:t>,</w:t>
            </w:r>
            <w:r w:rsidRPr="00211E3B">
              <w:rPr>
                <w:szCs w:val="22"/>
                <w:lang w:val="lt-LT"/>
              </w:rPr>
              <w:t>4)</w:t>
            </w:r>
          </w:p>
        </w:tc>
        <w:tc>
          <w:tcPr>
            <w:tcW w:w="705" w:type="pct"/>
            <w:vAlign w:val="bottom"/>
          </w:tcPr>
          <w:p w14:paraId="673234E9" w14:textId="54FD83B6" w:rsidR="00D924F0" w:rsidRPr="00211E3B" w:rsidRDefault="00D924F0" w:rsidP="00D924F0">
            <w:pPr>
              <w:autoSpaceDE w:val="0"/>
              <w:autoSpaceDN w:val="0"/>
              <w:adjustRightInd w:val="0"/>
              <w:jc w:val="center"/>
              <w:rPr>
                <w:szCs w:val="22"/>
                <w:lang w:val="lt-LT"/>
              </w:rPr>
            </w:pPr>
            <w:r w:rsidRPr="00211E3B">
              <w:rPr>
                <w:szCs w:val="22"/>
                <w:lang w:val="lt-LT"/>
              </w:rPr>
              <w:t>13 (4</w:t>
            </w:r>
            <w:r w:rsidR="006C0E1E">
              <w:rPr>
                <w:szCs w:val="22"/>
                <w:lang w:val="lt-LT"/>
              </w:rPr>
              <w:t>,</w:t>
            </w:r>
            <w:r w:rsidRPr="00211E3B">
              <w:rPr>
                <w:szCs w:val="22"/>
                <w:lang w:val="lt-LT"/>
              </w:rPr>
              <w:t>2)</w:t>
            </w:r>
          </w:p>
        </w:tc>
        <w:tc>
          <w:tcPr>
            <w:tcW w:w="627" w:type="pct"/>
            <w:vAlign w:val="bottom"/>
          </w:tcPr>
          <w:p w14:paraId="0C24BC6C" w14:textId="1CB2CBF0" w:rsidR="00D924F0" w:rsidRPr="00211E3B" w:rsidRDefault="00D924F0" w:rsidP="00D924F0">
            <w:pPr>
              <w:autoSpaceDE w:val="0"/>
              <w:autoSpaceDN w:val="0"/>
              <w:adjustRightInd w:val="0"/>
              <w:jc w:val="center"/>
              <w:rPr>
                <w:szCs w:val="22"/>
                <w:lang w:val="lt-LT"/>
              </w:rPr>
            </w:pPr>
            <w:r w:rsidRPr="00211E3B">
              <w:rPr>
                <w:szCs w:val="22"/>
                <w:lang w:val="lt-LT"/>
              </w:rPr>
              <w:t>20 (9</w:t>
            </w:r>
            <w:r w:rsidR="006C0E1E">
              <w:rPr>
                <w:szCs w:val="22"/>
                <w:lang w:val="lt-LT"/>
              </w:rPr>
              <w:t>,</w:t>
            </w:r>
            <w:r w:rsidRPr="00211E3B">
              <w:rPr>
                <w:szCs w:val="22"/>
                <w:lang w:val="lt-LT"/>
              </w:rPr>
              <w:t>1)</w:t>
            </w:r>
          </w:p>
        </w:tc>
        <w:tc>
          <w:tcPr>
            <w:tcW w:w="705" w:type="pct"/>
            <w:vAlign w:val="bottom"/>
          </w:tcPr>
          <w:p w14:paraId="785D2351" w14:textId="12468278" w:rsidR="00D924F0" w:rsidRPr="00211E3B" w:rsidRDefault="00D924F0" w:rsidP="00D924F0">
            <w:pPr>
              <w:autoSpaceDE w:val="0"/>
              <w:autoSpaceDN w:val="0"/>
              <w:adjustRightInd w:val="0"/>
              <w:jc w:val="center"/>
              <w:rPr>
                <w:szCs w:val="22"/>
                <w:lang w:val="lt-LT"/>
              </w:rPr>
            </w:pPr>
            <w:r w:rsidRPr="00211E3B">
              <w:rPr>
                <w:szCs w:val="22"/>
                <w:lang w:val="lt-LT"/>
              </w:rPr>
              <w:t>22 (6</w:t>
            </w:r>
            <w:r w:rsidR="006C0E1E">
              <w:rPr>
                <w:szCs w:val="22"/>
                <w:lang w:val="lt-LT"/>
              </w:rPr>
              <w:t>,</w:t>
            </w:r>
            <w:r w:rsidRPr="00211E3B">
              <w:rPr>
                <w:szCs w:val="22"/>
                <w:lang w:val="lt-LT"/>
              </w:rPr>
              <w:t>7)</w:t>
            </w:r>
          </w:p>
        </w:tc>
        <w:tc>
          <w:tcPr>
            <w:tcW w:w="608" w:type="pct"/>
            <w:vAlign w:val="bottom"/>
          </w:tcPr>
          <w:p w14:paraId="2820E173" w14:textId="3607E5A0" w:rsidR="00D924F0" w:rsidRPr="00211E3B" w:rsidRDefault="00D924F0" w:rsidP="00D924F0">
            <w:pPr>
              <w:autoSpaceDE w:val="0"/>
              <w:autoSpaceDN w:val="0"/>
              <w:adjustRightInd w:val="0"/>
              <w:jc w:val="center"/>
              <w:rPr>
                <w:szCs w:val="22"/>
                <w:lang w:val="lt-LT"/>
              </w:rPr>
            </w:pPr>
            <w:r w:rsidRPr="00211E3B">
              <w:rPr>
                <w:szCs w:val="22"/>
                <w:lang w:val="lt-LT"/>
              </w:rPr>
              <w:t>33 (7</w:t>
            </w:r>
            <w:r w:rsidR="006C0E1E">
              <w:rPr>
                <w:szCs w:val="22"/>
                <w:lang w:val="lt-LT"/>
              </w:rPr>
              <w:t>,</w:t>
            </w:r>
            <w:r w:rsidRPr="00211E3B">
              <w:rPr>
                <w:szCs w:val="22"/>
                <w:lang w:val="lt-LT"/>
              </w:rPr>
              <w:t>8)</w:t>
            </w:r>
          </w:p>
        </w:tc>
        <w:tc>
          <w:tcPr>
            <w:tcW w:w="711" w:type="pct"/>
            <w:vAlign w:val="bottom"/>
          </w:tcPr>
          <w:p w14:paraId="1075B88B" w14:textId="6800EF28" w:rsidR="00D924F0" w:rsidRPr="00211E3B" w:rsidRDefault="00D924F0" w:rsidP="00D924F0">
            <w:pPr>
              <w:autoSpaceDE w:val="0"/>
              <w:autoSpaceDN w:val="0"/>
              <w:adjustRightInd w:val="0"/>
              <w:jc w:val="center"/>
              <w:rPr>
                <w:szCs w:val="22"/>
                <w:lang w:val="lt-LT"/>
              </w:rPr>
            </w:pPr>
            <w:r w:rsidRPr="00211E3B">
              <w:rPr>
                <w:szCs w:val="22"/>
                <w:lang w:val="lt-LT"/>
              </w:rPr>
              <w:t>35 (5</w:t>
            </w:r>
            <w:r w:rsidR="006C0E1E">
              <w:rPr>
                <w:szCs w:val="22"/>
                <w:lang w:val="lt-LT"/>
              </w:rPr>
              <w:t>,</w:t>
            </w:r>
            <w:r w:rsidRPr="00211E3B">
              <w:rPr>
                <w:szCs w:val="22"/>
                <w:lang w:val="lt-LT"/>
              </w:rPr>
              <w:t>5)</w:t>
            </w:r>
          </w:p>
        </w:tc>
      </w:tr>
      <w:tr w:rsidR="00D924F0" w:rsidRPr="00211E3B" w14:paraId="3982C220" w14:textId="77777777" w:rsidTr="00256DA0">
        <w:tc>
          <w:tcPr>
            <w:tcW w:w="5000" w:type="pct"/>
            <w:gridSpan w:val="7"/>
          </w:tcPr>
          <w:p w14:paraId="10FF9EFB" w14:textId="37A9C184" w:rsidR="00D924F0" w:rsidRPr="00211E3B" w:rsidRDefault="00D924F0" w:rsidP="00D924F0">
            <w:pPr>
              <w:autoSpaceDE w:val="0"/>
              <w:autoSpaceDN w:val="0"/>
              <w:adjustRightInd w:val="0"/>
              <w:rPr>
                <w:szCs w:val="22"/>
                <w:lang w:val="lt-LT"/>
              </w:rPr>
            </w:pPr>
            <w:r w:rsidRPr="00211E3B">
              <w:rPr>
                <w:szCs w:val="22"/>
                <w:lang w:val="lt-LT"/>
              </w:rPr>
              <w:t>Palyginimas su placebu</w:t>
            </w:r>
            <w:r w:rsidRPr="00211E3B">
              <w:rPr>
                <w:szCs w:val="22"/>
                <w:vertAlign w:val="superscript"/>
                <w:lang w:val="lt-LT"/>
              </w:rPr>
              <w:t>1</w:t>
            </w:r>
          </w:p>
        </w:tc>
      </w:tr>
      <w:tr w:rsidR="00D924F0" w:rsidRPr="00211E3B" w14:paraId="71484B04" w14:textId="77777777" w:rsidTr="00D924F0">
        <w:tc>
          <w:tcPr>
            <w:tcW w:w="1018" w:type="pct"/>
          </w:tcPr>
          <w:p w14:paraId="685E0F47" w14:textId="51680206" w:rsidR="00D924F0" w:rsidRPr="00211E3B" w:rsidRDefault="00D924F0" w:rsidP="00D924F0">
            <w:pPr>
              <w:autoSpaceDE w:val="0"/>
              <w:autoSpaceDN w:val="0"/>
              <w:adjustRightInd w:val="0"/>
              <w:rPr>
                <w:szCs w:val="22"/>
                <w:lang w:val="lt-LT"/>
              </w:rPr>
            </w:pPr>
            <w:r w:rsidRPr="00211E3B">
              <w:rPr>
                <w:szCs w:val="22"/>
                <w:lang w:val="lt-LT"/>
              </w:rPr>
              <w:t>p r</w:t>
            </w:r>
            <w:r w:rsidR="00B675DD">
              <w:rPr>
                <w:szCs w:val="22"/>
                <w:lang w:val="lt-LT"/>
              </w:rPr>
              <w:t>eikšmė</w:t>
            </w:r>
            <w:r w:rsidRPr="00211E3B">
              <w:rPr>
                <w:szCs w:val="22"/>
                <w:vertAlign w:val="superscript"/>
                <w:lang w:val="lt-LT"/>
              </w:rPr>
              <w:t>2</w:t>
            </w:r>
          </w:p>
        </w:tc>
        <w:tc>
          <w:tcPr>
            <w:tcW w:w="627" w:type="pct"/>
            <w:vAlign w:val="center"/>
          </w:tcPr>
          <w:p w14:paraId="7B7D05D5" w14:textId="77777777" w:rsidR="00D924F0" w:rsidRPr="00211E3B" w:rsidRDefault="00D924F0" w:rsidP="00D924F0">
            <w:pPr>
              <w:autoSpaceDE w:val="0"/>
              <w:autoSpaceDN w:val="0"/>
              <w:adjustRightInd w:val="0"/>
              <w:jc w:val="center"/>
              <w:rPr>
                <w:szCs w:val="22"/>
                <w:lang w:val="lt-LT"/>
              </w:rPr>
            </w:pPr>
          </w:p>
        </w:tc>
        <w:tc>
          <w:tcPr>
            <w:tcW w:w="705" w:type="pct"/>
            <w:vAlign w:val="center"/>
          </w:tcPr>
          <w:p w14:paraId="0655C3EE" w14:textId="06E3CF0A" w:rsidR="00D924F0" w:rsidRPr="00211E3B" w:rsidRDefault="00D924F0" w:rsidP="00D924F0">
            <w:pPr>
              <w:autoSpaceDE w:val="0"/>
              <w:autoSpaceDN w:val="0"/>
              <w:adjustRightInd w:val="0"/>
              <w:jc w:val="center"/>
              <w:rPr>
                <w:szCs w:val="22"/>
                <w:lang w:val="lt-LT"/>
              </w:rPr>
            </w:pPr>
            <w:r w:rsidRPr="00211E3B">
              <w:rPr>
                <w:szCs w:val="22"/>
                <w:lang w:val="lt-LT"/>
              </w:rPr>
              <w:t>0</w:t>
            </w:r>
            <w:r w:rsidR="006C0E1E">
              <w:rPr>
                <w:szCs w:val="22"/>
                <w:lang w:val="lt-LT"/>
              </w:rPr>
              <w:t>,</w:t>
            </w:r>
            <w:r w:rsidRPr="00211E3B">
              <w:rPr>
                <w:szCs w:val="22"/>
                <w:lang w:val="lt-LT"/>
              </w:rPr>
              <w:t>2880</w:t>
            </w:r>
          </w:p>
        </w:tc>
        <w:tc>
          <w:tcPr>
            <w:tcW w:w="627" w:type="pct"/>
            <w:vAlign w:val="center"/>
          </w:tcPr>
          <w:p w14:paraId="234A2534" w14:textId="77777777" w:rsidR="00D924F0" w:rsidRPr="00211E3B" w:rsidRDefault="00D924F0" w:rsidP="00D924F0">
            <w:pPr>
              <w:autoSpaceDE w:val="0"/>
              <w:autoSpaceDN w:val="0"/>
              <w:adjustRightInd w:val="0"/>
              <w:jc w:val="center"/>
              <w:rPr>
                <w:szCs w:val="22"/>
                <w:lang w:val="lt-LT"/>
              </w:rPr>
            </w:pPr>
          </w:p>
        </w:tc>
        <w:tc>
          <w:tcPr>
            <w:tcW w:w="705" w:type="pct"/>
            <w:vAlign w:val="center"/>
          </w:tcPr>
          <w:p w14:paraId="6E820804" w14:textId="6C8A6F9F" w:rsidR="00D924F0" w:rsidRPr="00211E3B" w:rsidRDefault="00D924F0" w:rsidP="00D924F0">
            <w:pPr>
              <w:autoSpaceDE w:val="0"/>
              <w:autoSpaceDN w:val="0"/>
              <w:adjustRightInd w:val="0"/>
              <w:jc w:val="center"/>
              <w:rPr>
                <w:szCs w:val="22"/>
                <w:lang w:val="lt-LT"/>
              </w:rPr>
            </w:pPr>
            <w:r w:rsidRPr="00211E3B">
              <w:rPr>
                <w:szCs w:val="22"/>
                <w:lang w:val="lt-LT"/>
              </w:rPr>
              <w:t>0</w:t>
            </w:r>
            <w:r w:rsidR="006C0E1E">
              <w:rPr>
                <w:szCs w:val="22"/>
                <w:lang w:val="lt-LT"/>
              </w:rPr>
              <w:t>,</w:t>
            </w:r>
            <w:r w:rsidRPr="00211E3B">
              <w:rPr>
                <w:szCs w:val="22"/>
                <w:lang w:val="lt-LT"/>
              </w:rPr>
              <w:t>2995</w:t>
            </w:r>
          </w:p>
        </w:tc>
        <w:tc>
          <w:tcPr>
            <w:tcW w:w="608" w:type="pct"/>
            <w:vAlign w:val="center"/>
          </w:tcPr>
          <w:p w14:paraId="0D7A7047" w14:textId="77777777" w:rsidR="00D924F0" w:rsidRPr="00211E3B" w:rsidRDefault="00D924F0" w:rsidP="00D924F0">
            <w:pPr>
              <w:autoSpaceDE w:val="0"/>
              <w:autoSpaceDN w:val="0"/>
              <w:adjustRightInd w:val="0"/>
              <w:jc w:val="center"/>
              <w:rPr>
                <w:szCs w:val="22"/>
                <w:lang w:val="lt-LT"/>
              </w:rPr>
            </w:pPr>
          </w:p>
        </w:tc>
        <w:tc>
          <w:tcPr>
            <w:tcW w:w="711" w:type="pct"/>
            <w:vAlign w:val="center"/>
          </w:tcPr>
          <w:p w14:paraId="2D31F9C8" w14:textId="15E9216C" w:rsidR="00D924F0" w:rsidRPr="00211E3B" w:rsidRDefault="00D924F0" w:rsidP="00D924F0">
            <w:pPr>
              <w:autoSpaceDE w:val="0"/>
              <w:autoSpaceDN w:val="0"/>
              <w:adjustRightInd w:val="0"/>
              <w:jc w:val="center"/>
              <w:rPr>
                <w:szCs w:val="22"/>
                <w:lang w:val="lt-LT"/>
              </w:rPr>
            </w:pPr>
            <w:r w:rsidRPr="00211E3B">
              <w:rPr>
                <w:szCs w:val="22"/>
                <w:lang w:val="lt-LT"/>
              </w:rPr>
              <w:t>0</w:t>
            </w:r>
            <w:r w:rsidR="006C0E1E">
              <w:rPr>
                <w:szCs w:val="22"/>
                <w:lang w:val="lt-LT"/>
              </w:rPr>
              <w:t>,</w:t>
            </w:r>
            <w:r w:rsidRPr="00211E3B">
              <w:rPr>
                <w:szCs w:val="22"/>
                <w:lang w:val="lt-LT"/>
              </w:rPr>
              <w:t>1399</w:t>
            </w:r>
          </w:p>
        </w:tc>
      </w:tr>
      <w:tr w:rsidR="00D924F0" w:rsidRPr="00211E3B" w14:paraId="662533E8" w14:textId="77777777" w:rsidTr="00D924F0">
        <w:tc>
          <w:tcPr>
            <w:tcW w:w="1018" w:type="pct"/>
          </w:tcPr>
          <w:p w14:paraId="7D72BEBA" w14:textId="02EFCBF7" w:rsidR="00D924F0" w:rsidRPr="00211E3B" w:rsidRDefault="00D924F0" w:rsidP="00D924F0">
            <w:pPr>
              <w:autoSpaceDE w:val="0"/>
              <w:autoSpaceDN w:val="0"/>
              <w:adjustRightInd w:val="0"/>
              <w:rPr>
                <w:szCs w:val="22"/>
                <w:lang w:val="lt-LT"/>
              </w:rPr>
            </w:pPr>
            <w:r w:rsidRPr="00211E3B">
              <w:rPr>
                <w:szCs w:val="22"/>
                <w:lang w:val="lt-LT"/>
              </w:rPr>
              <w:t>Rizikos santykis</w:t>
            </w:r>
            <w:r w:rsidRPr="00211E3B">
              <w:rPr>
                <w:szCs w:val="22"/>
                <w:vertAlign w:val="superscript"/>
                <w:lang w:val="lt-LT"/>
              </w:rPr>
              <w:t>3</w:t>
            </w:r>
          </w:p>
        </w:tc>
        <w:tc>
          <w:tcPr>
            <w:tcW w:w="627" w:type="pct"/>
            <w:vAlign w:val="center"/>
          </w:tcPr>
          <w:p w14:paraId="360BE387" w14:textId="77777777" w:rsidR="00D924F0" w:rsidRPr="00211E3B" w:rsidRDefault="00D924F0" w:rsidP="00D924F0">
            <w:pPr>
              <w:autoSpaceDE w:val="0"/>
              <w:autoSpaceDN w:val="0"/>
              <w:adjustRightInd w:val="0"/>
              <w:jc w:val="center"/>
              <w:rPr>
                <w:szCs w:val="22"/>
                <w:lang w:val="lt-LT"/>
              </w:rPr>
            </w:pPr>
          </w:p>
        </w:tc>
        <w:tc>
          <w:tcPr>
            <w:tcW w:w="705" w:type="pct"/>
            <w:vAlign w:val="center"/>
          </w:tcPr>
          <w:p w14:paraId="0124728F" w14:textId="2BB3ED0D" w:rsidR="00D924F0" w:rsidRPr="00211E3B" w:rsidRDefault="00D924F0" w:rsidP="00D924F0">
            <w:pPr>
              <w:autoSpaceDE w:val="0"/>
              <w:autoSpaceDN w:val="0"/>
              <w:adjustRightInd w:val="0"/>
              <w:jc w:val="center"/>
              <w:rPr>
                <w:szCs w:val="22"/>
                <w:lang w:val="lt-LT"/>
              </w:rPr>
            </w:pPr>
            <w:r w:rsidRPr="00211E3B">
              <w:rPr>
                <w:szCs w:val="22"/>
                <w:lang w:val="lt-LT"/>
              </w:rPr>
              <w:t>0</w:t>
            </w:r>
            <w:r w:rsidR="006C0E1E">
              <w:rPr>
                <w:szCs w:val="22"/>
                <w:lang w:val="lt-LT"/>
              </w:rPr>
              <w:t>,</w:t>
            </w:r>
            <w:r w:rsidRPr="00211E3B">
              <w:rPr>
                <w:szCs w:val="22"/>
                <w:lang w:val="lt-LT"/>
              </w:rPr>
              <w:t>63</w:t>
            </w:r>
          </w:p>
        </w:tc>
        <w:tc>
          <w:tcPr>
            <w:tcW w:w="627" w:type="pct"/>
            <w:vAlign w:val="center"/>
          </w:tcPr>
          <w:p w14:paraId="6E4B9A7C" w14:textId="77777777" w:rsidR="00D924F0" w:rsidRPr="00211E3B" w:rsidRDefault="00D924F0" w:rsidP="00D924F0">
            <w:pPr>
              <w:autoSpaceDE w:val="0"/>
              <w:autoSpaceDN w:val="0"/>
              <w:adjustRightInd w:val="0"/>
              <w:jc w:val="center"/>
              <w:rPr>
                <w:szCs w:val="22"/>
                <w:lang w:val="lt-LT"/>
              </w:rPr>
            </w:pPr>
          </w:p>
        </w:tc>
        <w:tc>
          <w:tcPr>
            <w:tcW w:w="705" w:type="pct"/>
            <w:vAlign w:val="center"/>
          </w:tcPr>
          <w:p w14:paraId="65726C46" w14:textId="3099C3C5" w:rsidR="00D924F0" w:rsidRPr="00211E3B" w:rsidRDefault="00D924F0" w:rsidP="00D924F0">
            <w:pPr>
              <w:autoSpaceDE w:val="0"/>
              <w:autoSpaceDN w:val="0"/>
              <w:adjustRightInd w:val="0"/>
              <w:jc w:val="center"/>
              <w:rPr>
                <w:szCs w:val="22"/>
                <w:lang w:val="lt-LT"/>
              </w:rPr>
            </w:pPr>
            <w:r w:rsidRPr="00211E3B">
              <w:rPr>
                <w:szCs w:val="22"/>
                <w:lang w:val="lt-LT"/>
              </w:rPr>
              <w:t>0</w:t>
            </w:r>
            <w:r w:rsidR="006C0E1E">
              <w:rPr>
                <w:szCs w:val="22"/>
                <w:lang w:val="lt-LT"/>
              </w:rPr>
              <w:t>,</w:t>
            </w:r>
            <w:r w:rsidRPr="00211E3B">
              <w:rPr>
                <w:szCs w:val="22"/>
                <w:lang w:val="lt-LT"/>
              </w:rPr>
              <w:t>74</w:t>
            </w:r>
          </w:p>
        </w:tc>
        <w:tc>
          <w:tcPr>
            <w:tcW w:w="608" w:type="pct"/>
            <w:vAlign w:val="center"/>
          </w:tcPr>
          <w:p w14:paraId="71B0AE17" w14:textId="77777777" w:rsidR="00D924F0" w:rsidRPr="00211E3B" w:rsidRDefault="00D924F0" w:rsidP="00D924F0">
            <w:pPr>
              <w:autoSpaceDE w:val="0"/>
              <w:autoSpaceDN w:val="0"/>
              <w:adjustRightInd w:val="0"/>
              <w:jc w:val="center"/>
              <w:rPr>
                <w:szCs w:val="22"/>
                <w:lang w:val="lt-LT"/>
              </w:rPr>
            </w:pPr>
          </w:p>
        </w:tc>
        <w:tc>
          <w:tcPr>
            <w:tcW w:w="711" w:type="pct"/>
            <w:vAlign w:val="center"/>
          </w:tcPr>
          <w:p w14:paraId="2213A171" w14:textId="15F83150" w:rsidR="00D924F0" w:rsidRPr="00211E3B" w:rsidRDefault="00D924F0" w:rsidP="00D924F0">
            <w:pPr>
              <w:autoSpaceDE w:val="0"/>
              <w:autoSpaceDN w:val="0"/>
              <w:adjustRightInd w:val="0"/>
              <w:jc w:val="center"/>
              <w:rPr>
                <w:szCs w:val="22"/>
                <w:lang w:val="lt-LT"/>
              </w:rPr>
            </w:pPr>
            <w:r w:rsidRPr="00211E3B">
              <w:rPr>
                <w:szCs w:val="22"/>
                <w:lang w:val="lt-LT"/>
              </w:rPr>
              <w:t>0</w:t>
            </w:r>
            <w:r w:rsidR="006C0E1E">
              <w:rPr>
                <w:szCs w:val="22"/>
                <w:lang w:val="lt-LT"/>
              </w:rPr>
              <w:t>,</w:t>
            </w:r>
            <w:r w:rsidRPr="00211E3B">
              <w:rPr>
                <w:szCs w:val="22"/>
                <w:lang w:val="lt-LT"/>
              </w:rPr>
              <w:t>70</w:t>
            </w:r>
          </w:p>
        </w:tc>
      </w:tr>
      <w:tr w:rsidR="00D924F0" w:rsidRPr="00211E3B" w14:paraId="2FA0A956" w14:textId="77777777" w:rsidTr="00D924F0">
        <w:tc>
          <w:tcPr>
            <w:tcW w:w="1018" w:type="pct"/>
          </w:tcPr>
          <w:p w14:paraId="3C452C8A" w14:textId="28D0C3C0" w:rsidR="00D924F0" w:rsidRPr="00211E3B" w:rsidRDefault="00D924F0" w:rsidP="00D924F0">
            <w:pPr>
              <w:autoSpaceDE w:val="0"/>
              <w:autoSpaceDN w:val="0"/>
              <w:adjustRightInd w:val="0"/>
              <w:rPr>
                <w:szCs w:val="22"/>
                <w:lang w:val="lt-LT"/>
              </w:rPr>
            </w:pPr>
            <w:r w:rsidRPr="00211E3B">
              <w:rPr>
                <w:szCs w:val="22"/>
                <w:lang w:val="lt-LT"/>
              </w:rPr>
              <w:t>95</w:t>
            </w:r>
            <w:r w:rsidR="0085390D">
              <w:rPr>
                <w:szCs w:val="22"/>
                <w:lang w:val="lt-LT"/>
              </w:rPr>
              <w:t xml:space="preserve"> %</w:t>
            </w:r>
            <w:r w:rsidRPr="00211E3B">
              <w:rPr>
                <w:szCs w:val="22"/>
                <w:lang w:val="lt-LT"/>
              </w:rPr>
              <w:t> PI</w:t>
            </w:r>
          </w:p>
        </w:tc>
        <w:tc>
          <w:tcPr>
            <w:tcW w:w="627" w:type="pct"/>
            <w:vAlign w:val="center"/>
          </w:tcPr>
          <w:p w14:paraId="44CA7B21" w14:textId="77777777" w:rsidR="00D924F0" w:rsidRPr="00211E3B" w:rsidRDefault="00D924F0" w:rsidP="00D924F0">
            <w:pPr>
              <w:autoSpaceDE w:val="0"/>
              <w:autoSpaceDN w:val="0"/>
              <w:adjustRightInd w:val="0"/>
              <w:jc w:val="center"/>
              <w:rPr>
                <w:szCs w:val="22"/>
                <w:lang w:val="lt-LT"/>
              </w:rPr>
            </w:pPr>
          </w:p>
        </w:tc>
        <w:tc>
          <w:tcPr>
            <w:tcW w:w="705" w:type="pct"/>
            <w:vAlign w:val="center"/>
          </w:tcPr>
          <w:p w14:paraId="26E28864" w14:textId="2AC5EBF7" w:rsidR="00D924F0" w:rsidRPr="00211E3B" w:rsidRDefault="00D924F0" w:rsidP="00D924F0">
            <w:pPr>
              <w:autoSpaceDE w:val="0"/>
              <w:autoSpaceDN w:val="0"/>
              <w:adjustRightInd w:val="0"/>
              <w:jc w:val="center"/>
              <w:rPr>
                <w:szCs w:val="22"/>
                <w:lang w:val="lt-LT"/>
              </w:rPr>
            </w:pPr>
            <w:r w:rsidRPr="00211E3B">
              <w:rPr>
                <w:szCs w:val="22"/>
                <w:lang w:val="lt-LT"/>
              </w:rPr>
              <w:t>(0</w:t>
            </w:r>
            <w:r w:rsidR="006C0E1E">
              <w:rPr>
                <w:szCs w:val="22"/>
                <w:lang w:val="lt-LT"/>
              </w:rPr>
              <w:t>,</w:t>
            </w:r>
            <w:r w:rsidRPr="00211E3B">
              <w:rPr>
                <w:szCs w:val="22"/>
                <w:lang w:val="lt-LT"/>
              </w:rPr>
              <w:t>29, 1</w:t>
            </w:r>
            <w:r w:rsidR="006C0E1E">
              <w:rPr>
                <w:szCs w:val="22"/>
                <w:lang w:val="lt-LT"/>
              </w:rPr>
              <w:t>,</w:t>
            </w:r>
            <w:r w:rsidRPr="00211E3B">
              <w:rPr>
                <w:szCs w:val="22"/>
                <w:lang w:val="lt-LT"/>
              </w:rPr>
              <w:t>36)</w:t>
            </w:r>
          </w:p>
        </w:tc>
        <w:tc>
          <w:tcPr>
            <w:tcW w:w="627" w:type="pct"/>
            <w:vAlign w:val="center"/>
          </w:tcPr>
          <w:p w14:paraId="5B973147" w14:textId="77777777" w:rsidR="00D924F0" w:rsidRPr="00211E3B" w:rsidRDefault="00D924F0" w:rsidP="00D924F0">
            <w:pPr>
              <w:autoSpaceDE w:val="0"/>
              <w:autoSpaceDN w:val="0"/>
              <w:adjustRightInd w:val="0"/>
              <w:jc w:val="center"/>
              <w:rPr>
                <w:szCs w:val="22"/>
                <w:lang w:val="lt-LT"/>
              </w:rPr>
            </w:pPr>
          </w:p>
        </w:tc>
        <w:tc>
          <w:tcPr>
            <w:tcW w:w="705" w:type="pct"/>
            <w:vAlign w:val="center"/>
          </w:tcPr>
          <w:p w14:paraId="524A5F89" w14:textId="6C263C61" w:rsidR="00D924F0" w:rsidRPr="00211E3B" w:rsidRDefault="00D924F0" w:rsidP="00D924F0">
            <w:pPr>
              <w:autoSpaceDE w:val="0"/>
              <w:autoSpaceDN w:val="0"/>
              <w:adjustRightInd w:val="0"/>
              <w:jc w:val="center"/>
              <w:rPr>
                <w:szCs w:val="22"/>
                <w:lang w:val="lt-LT"/>
              </w:rPr>
            </w:pPr>
            <w:r w:rsidRPr="00211E3B">
              <w:rPr>
                <w:szCs w:val="22"/>
                <w:lang w:val="lt-LT"/>
              </w:rPr>
              <w:t>(0</w:t>
            </w:r>
            <w:r w:rsidR="006C0E1E">
              <w:rPr>
                <w:szCs w:val="22"/>
                <w:lang w:val="lt-LT"/>
              </w:rPr>
              <w:t>,</w:t>
            </w:r>
            <w:r w:rsidRPr="00211E3B">
              <w:rPr>
                <w:szCs w:val="22"/>
                <w:lang w:val="lt-LT"/>
              </w:rPr>
              <w:t>40, 1</w:t>
            </w:r>
            <w:r w:rsidR="006C0E1E">
              <w:rPr>
                <w:szCs w:val="22"/>
                <w:lang w:val="lt-LT"/>
              </w:rPr>
              <w:t>,</w:t>
            </w:r>
            <w:r w:rsidRPr="00211E3B">
              <w:rPr>
                <w:szCs w:val="22"/>
                <w:lang w:val="lt-LT"/>
              </w:rPr>
              <w:t>35)</w:t>
            </w:r>
          </w:p>
        </w:tc>
        <w:tc>
          <w:tcPr>
            <w:tcW w:w="608" w:type="pct"/>
            <w:vAlign w:val="center"/>
          </w:tcPr>
          <w:p w14:paraId="0A3FF672" w14:textId="77777777" w:rsidR="00D924F0" w:rsidRPr="00211E3B" w:rsidRDefault="00D924F0" w:rsidP="00D924F0">
            <w:pPr>
              <w:autoSpaceDE w:val="0"/>
              <w:autoSpaceDN w:val="0"/>
              <w:adjustRightInd w:val="0"/>
              <w:jc w:val="center"/>
              <w:rPr>
                <w:szCs w:val="22"/>
                <w:lang w:val="lt-LT"/>
              </w:rPr>
            </w:pPr>
          </w:p>
        </w:tc>
        <w:tc>
          <w:tcPr>
            <w:tcW w:w="711" w:type="pct"/>
            <w:vAlign w:val="center"/>
          </w:tcPr>
          <w:p w14:paraId="52DE2790" w14:textId="73161E2C" w:rsidR="00D924F0" w:rsidRPr="00211E3B" w:rsidRDefault="00D924F0" w:rsidP="00D924F0">
            <w:pPr>
              <w:autoSpaceDE w:val="0"/>
              <w:autoSpaceDN w:val="0"/>
              <w:adjustRightInd w:val="0"/>
              <w:jc w:val="center"/>
              <w:rPr>
                <w:szCs w:val="22"/>
                <w:lang w:val="lt-LT"/>
              </w:rPr>
            </w:pPr>
            <w:r w:rsidRPr="00211E3B">
              <w:rPr>
                <w:szCs w:val="22"/>
                <w:lang w:val="lt-LT"/>
              </w:rPr>
              <w:t>(0</w:t>
            </w:r>
            <w:r w:rsidR="006C0E1E">
              <w:rPr>
                <w:szCs w:val="22"/>
                <w:lang w:val="lt-LT"/>
              </w:rPr>
              <w:t>,</w:t>
            </w:r>
            <w:r w:rsidRPr="00211E3B">
              <w:rPr>
                <w:szCs w:val="22"/>
                <w:lang w:val="lt-LT"/>
              </w:rPr>
              <w:t>43, 1</w:t>
            </w:r>
            <w:r w:rsidR="006C0E1E">
              <w:rPr>
                <w:szCs w:val="22"/>
                <w:lang w:val="lt-LT"/>
              </w:rPr>
              <w:t>,</w:t>
            </w:r>
            <w:r w:rsidRPr="00211E3B">
              <w:rPr>
                <w:szCs w:val="22"/>
                <w:lang w:val="lt-LT"/>
              </w:rPr>
              <w:t>12)</w:t>
            </w:r>
          </w:p>
        </w:tc>
      </w:tr>
    </w:tbl>
    <w:p w14:paraId="6E15C94A" w14:textId="24E7EF56" w:rsidR="00D924F0" w:rsidRPr="00211E3B" w:rsidRDefault="00D924F0" w:rsidP="00D924F0">
      <w:pPr>
        <w:ind w:right="-142"/>
        <w:rPr>
          <w:snapToGrid w:val="0"/>
          <w:sz w:val="20"/>
          <w:szCs w:val="22"/>
        </w:rPr>
      </w:pPr>
      <w:r w:rsidRPr="00211E3B">
        <w:rPr>
          <w:snapToGrid w:val="0"/>
          <w:sz w:val="20"/>
          <w:szCs w:val="22"/>
          <w:vertAlign w:val="superscript"/>
        </w:rPr>
        <w:t>1</w:t>
      </w:r>
      <w:r w:rsidRPr="00211E3B">
        <w:rPr>
          <w:snapToGrid w:val="0"/>
          <w:sz w:val="20"/>
          <w:szCs w:val="22"/>
        </w:rPr>
        <w:t xml:space="preserve"> Remiantis duomenimis, surinktais iki 372 dienos (</w:t>
      </w:r>
      <w:r w:rsidR="00D7087C" w:rsidRPr="00211E3B">
        <w:rPr>
          <w:snapToGrid w:val="0"/>
          <w:sz w:val="20"/>
          <w:szCs w:val="22"/>
        </w:rPr>
        <w:t>52 s</w:t>
      </w:r>
      <w:r w:rsidRPr="00211E3B">
        <w:rPr>
          <w:snapToGrid w:val="0"/>
          <w:sz w:val="20"/>
          <w:szCs w:val="22"/>
        </w:rPr>
        <w:t>avaitės + 7 dienų riba).</w:t>
      </w:r>
    </w:p>
    <w:p w14:paraId="54D8095A" w14:textId="77777777" w:rsidR="00D924F0" w:rsidRPr="00211E3B" w:rsidRDefault="00D924F0" w:rsidP="00D924F0">
      <w:pPr>
        <w:ind w:right="-142"/>
        <w:rPr>
          <w:snapToGrid w:val="0"/>
          <w:sz w:val="20"/>
          <w:szCs w:val="22"/>
        </w:rPr>
      </w:pPr>
      <w:r w:rsidRPr="00211E3B">
        <w:rPr>
          <w:snapToGrid w:val="0"/>
          <w:sz w:val="20"/>
          <w:szCs w:val="22"/>
          <w:vertAlign w:val="superscript"/>
        </w:rPr>
        <w:t>2</w:t>
      </w:r>
      <w:r w:rsidRPr="00211E3B">
        <w:rPr>
          <w:snapToGrid w:val="0"/>
          <w:sz w:val="20"/>
          <w:szCs w:val="22"/>
        </w:rPr>
        <w:t xml:space="preserve"> Remiantis logaritminiu ranginiu testu.</w:t>
      </w:r>
    </w:p>
    <w:p w14:paraId="7EEBAA11" w14:textId="77777777" w:rsidR="00D924F0" w:rsidRPr="00211E3B" w:rsidRDefault="00D924F0" w:rsidP="00D924F0">
      <w:pPr>
        <w:ind w:right="-142"/>
        <w:rPr>
          <w:snapToGrid w:val="0"/>
          <w:sz w:val="20"/>
          <w:szCs w:val="22"/>
        </w:rPr>
      </w:pPr>
      <w:r w:rsidRPr="00211E3B">
        <w:rPr>
          <w:snapToGrid w:val="0"/>
          <w:sz w:val="20"/>
          <w:szCs w:val="22"/>
          <w:vertAlign w:val="superscript"/>
        </w:rPr>
        <w:t>3</w:t>
      </w:r>
      <w:r w:rsidRPr="00211E3B">
        <w:rPr>
          <w:snapToGrid w:val="0"/>
          <w:sz w:val="20"/>
          <w:szCs w:val="22"/>
        </w:rPr>
        <w:t xml:space="preserve"> Remiantis Cox regresijos modeliu.</w:t>
      </w:r>
    </w:p>
    <w:p w14:paraId="31E84F5A" w14:textId="77777777" w:rsidR="00D924F0" w:rsidRPr="00211E3B" w:rsidRDefault="00D924F0" w:rsidP="00D924F0">
      <w:pPr>
        <w:ind w:right="-142"/>
        <w:rPr>
          <w:snapToGrid w:val="0"/>
          <w:sz w:val="22"/>
          <w:szCs w:val="24"/>
        </w:rPr>
      </w:pPr>
    </w:p>
    <w:p w14:paraId="7B80055D" w14:textId="3E83C650" w:rsidR="005E424F" w:rsidRPr="00211E3B" w:rsidRDefault="005E424F" w:rsidP="005E424F">
      <w:pPr>
        <w:ind w:right="-142"/>
        <w:rPr>
          <w:i/>
          <w:iCs/>
          <w:snapToGrid w:val="0"/>
          <w:sz w:val="22"/>
          <w:szCs w:val="24"/>
          <w:u w:val="single"/>
        </w:rPr>
      </w:pPr>
      <w:r w:rsidRPr="00211E3B">
        <w:rPr>
          <w:i/>
          <w:iCs/>
          <w:snapToGrid w:val="0"/>
          <w:sz w:val="22"/>
          <w:szCs w:val="24"/>
          <w:u w:val="single"/>
        </w:rPr>
        <w:t xml:space="preserve">Ilgalaikis </w:t>
      </w:r>
      <w:r w:rsidR="00D924F0" w:rsidRPr="00211E3B">
        <w:rPr>
          <w:i/>
          <w:iCs/>
          <w:snapToGrid w:val="0"/>
          <w:sz w:val="22"/>
          <w:szCs w:val="24"/>
          <w:u w:val="single"/>
        </w:rPr>
        <w:t>IPF sergančių p</w:t>
      </w:r>
      <w:r w:rsidRPr="00211E3B">
        <w:rPr>
          <w:i/>
          <w:iCs/>
          <w:snapToGrid w:val="0"/>
          <w:sz w:val="22"/>
          <w:szCs w:val="24"/>
          <w:u w:val="single"/>
        </w:rPr>
        <w:t xml:space="preserve">acientų gydymas </w:t>
      </w:r>
      <w:r w:rsidR="00D924F0" w:rsidRPr="00211E3B">
        <w:rPr>
          <w:i/>
          <w:iCs/>
          <w:snapToGrid w:val="0"/>
          <w:sz w:val="22"/>
          <w:szCs w:val="24"/>
          <w:u w:val="single"/>
        </w:rPr>
        <w:t>nintedanibu</w:t>
      </w:r>
      <w:r w:rsidRPr="00211E3B">
        <w:rPr>
          <w:i/>
          <w:iCs/>
          <w:snapToGrid w:val="0"/>
          <w:sz w:val="22"/>
          <w:szCs w:val="24"/>
          <w:u w:val="single"/>
        </w:rPr>
        <w:t xml:space="preserve"> (INPULSIS-ON)</w:t>
      </w:r>
    </w:p>
    <w:p w14:paraId="2D1F0487" w14:textId="077940FE" w:rsidR="005E424F" w:rsidRPr="00211E3B" w:rsidRDefault="005E424F" w:rsidP="005E424F">
      <w:pPr>
        <w:ind w:right="-142"/>
        <w:rPr>
          <w:snapToGrid w:val="0"/>
          <w:sz w:val="22"/>
          <w:szCs w:val="24"/>
        </w:rPr>
      </w:pPr>
      <w:r w:rsidRPr="00211E3B">
        <w:rPr>
          <w:snapToGrid w:val="0"/>
          <w:sz w:val="22"/>
          <w:szCs w:val="24"/>
        </w:rPr>
        <w:t xml:space="preserve">Atvirajame tęstiniame </w:t>
      </w:r>
      <w:r w:rsidR="00373AFE" w:rsidRPr="00211E3B">
        <w:rPr>
          <w:snapToGrid w:val="0"/>
          <w:sz w:val="22"/>
          <w:szCs w:val="24"/>
        </w:rPr>
        <w:t xml:space="preserve">nintedanibo </w:t>
      </w:r>
      <w:r w:rsidRPr="00211E3B">
        <w:rPr>
          <w:snapToGrid w:val="0"/>
          <w:sz w:val="22"/>
          <w:szCs w:val="24"/>
        </w:rPr>
        <w:t>tyrime dalyvavo 734</w:t>
      </w:r>
      <w:r w:rsidR="00373AFE" w:rsidRPr="00211E3B">
        <w:rPr>
          <w:snapToGrid w:val="0"/>
          <w:sz w:val="22"/>
          <w:szCs w:val="24"/>
        </w:rPr>
        <w:t> </w:t>
      </w:r>
      <w:r w:rsidRPr="00211E3B">
        <w:rPr>
          <w:snapToGrid w:val="0"/>
          <w:sz w:val="22"/>
          <w:szCs w:val="24"/>
        </w:rPr>
        <w:t xml:space="preserve">pacientai, sergantys IPF. Pacientai, baigę </w:t>
      </w:r>
      <w:r w:rsidR="00D7087C" w:rsidRPr="00211E3B">
        <w:rPr>
          <w:snapToGrid w:val="0"/>
          <w:sz w:val="22"/>
          <w:szCs w:val="24"/>
        </w:rPr>
        <w:t>52 s</w:t>
      </w:r>
      <w:r w:rsidRPr="00211E3B">
        <w:rPr>
          <w:snapToGrid w:val="0"/>
          <w:sz w:val="22"/>
          <w:szCs w:val="24"/>
        </w:rPr>
        <w:t>avaičių</w:t>
      </w:r>
      <w:r w:rsidR="00373AFE" w:rsidRPr="00211E3B">
        <w:rPr>
          <w:snapToGrid w:val="0"/>
          <w:sz w:val="22"/>
          <w:szCs w:val="24"/>
        </w:rPr>
        <w:t xml:space="preserve"> </w:t>
      </w:r>
      <w:r w:rsidRPr="00211E3B">
        <w:rPr>
          <w:snapToGrid w:val="0"/>
          <w:sz w:val="22"/>
          <w:szCs w:val="24"/>
        </w:rPr>
        <w:t xml:space="preserve">gydymo </w:t>
      </w:r>
      <w:r w:rsidR="00373AFE" w:rsidRPr="00211E3B">
        <w:rPr>
          <w:snapToGrid w:val="0"/>
          <w:sz w:val="22"/>
          <w:szCs w:val="24"/>
        </w:rPr>
        <w:t>laikotarpį</w:t>
      </w:r>
      <w:r w:rsidRPr="00211E3B">
        <w:rPr>
          <w:snapToGrid w:val="0"/>
          <w:sz w:val="22"/>
          <w:szCs w:val="24"/>
        </w:rPr>
        <w:t xml:space="preserve"> tyrime INPULSIS, </w:t>
      </w:r>
      <w:r w:rsidR="00373AFE" w:rsidRPr="00211E3B">
        <w:rPr>
          <w:snapToGrid w:val="0"/>
          <w:sz w:val="22"/>
          <w:szCs w:val="24"/>
        </w:rPr>
        <w:t xml:space="preserve">vartojo nekoduoto </w:t>
      </w:r>
      <w:r w:rsidR="00373AFE" w:rsidRPr="00830A3C">
        <w:rPr>
          <w:snapToGrid w:val="0"/>
          <w:sz w:val="22"/>
          <w:szCs w:val="24"/>
        </w:rPr>
        <w:t>nintedanibo</w:t>
      </w:r>
      <w:r w:rsidRPr="00830A3C">
        <w:rPr>
          <w:snapToGrid w:val="0"/>
          <w:sz w:val="22"/>
          <w:szCs w:val="24"/>
        </w:rPr>
        <w:t xml:space="preserve"> </w:t>
      </w:r>
      <w:r w:rsidRPr="00211E3B">
        <w:rPr>
          <w:snapToGrid w:val="0"/>
          <w:sz w:val="22"/>
          <w:szCs w:val="24"/>
        </w:rPr>
        <w:t>tęstiniame tyrime INPULSIS-ON.</w:t>
      </w:r>
      <w:r w:rsidR="00373AFE" w:rsidRPr="00211E3B">
        <w:rPr>
          <w:snapToGrid w:val="0"/>
          <w:sz w:val="22"/>
          <w:szCs w:val="24"/>
        </w:rPr>
        <w:t xml:space="preserve"> </w:t>
      </w:r>
      <w:r w:rsidRPr="00211E3B">
        <w:rPr>
          <w:snapToGrid w:val="0"/>
          <w:sz w:val="22"/>
          <w:szCs w:val="24"/>
        </w:rPr>
        <w:t xml:space="preserve">Pacientų, gydytų </w:t>
      </w:r>
      <w:r w:rsidR="00373AFE" w:rsidRPr="00211E3B">
        <w:rPr>
          <w:snapToGrid w:val="0"/>
          <w:sz w:val="22"/>
          <w:szCs w:val="24"/>
        </w:rPr>
        <w:t xml:space="preserve">nintedanibu </w:t>
      </w:r>
      <w:r w:rsidRPr="00211E3B">
        <w:rPr>
          <w:snapToGrid w:val="0"/>
          <w:sz w:val="22"/>
          <w:szCs w:val="24"/>
        </w:rPr>
        <w:t xml:space="preserve">abiejuose </w:t>
      </w:r>
      <w:r w:rsidR="00373AFE" w:rsidRPr="00211E3B">
        <w:rPr>
          <w:snapToGrid w:val="0"/>
          <w:sz w:val="22"/>
          <w:szCs w:val="24"/>
        </w:rPr>
        <w:t>(</w:t>
      </w:r>
      <w:r w:rsidRPr="00211E3B">
        <w:rPr>
          <w:snapToGrid w:val="0"/>
          <w:sz w:val="22"/>
          <w:szCs w:val="24"/>
        </w:rPr>
        <w:t>INPULSIS ir INPULSIS-ON</w:t>
      </w:r>
      <w:r w:rsidR="00373AFE" w:rsidRPr="00211E3B">
        <w:rPr>
          <w:snapToGrid w:val="0"/>
          <w:sz w:val="22"/>
          <w:szCs w:val="24"/>
        </w:rPr>
        <w:t>)</w:t>
      </w:r>
      <w:r w:rsidRPr="00211E3B">
        <w:rPr>
          <w:snapToGrid w:val="0"/>
          <w:sz w:val="22"/>
          <w:szCs w:val="24"/>
        </w:rPr>
        <w:t xml:space="preserve"> tyrimuose, ekspozicijos trukmės</w:t>
      </w:r>
      <w:r w:rsidR="00373AFE" w:rsidRPr="00211E3B">
        <w:rPr>
          <w:snapToGrid w:val="0"/>
          <w:sz w:val="22"/>
          <w:szCs w:val="24"/>
        </w:rPr>
        <w:t xml:space="preserve"> </w:t>
      </w:r>
      <w:r w:rsidRPr="00211E3B">
        <w:rPr>
          <w:snapToGrid w:val="0"/>
          <w:sz w:val="22"/>
          <w:szCs w:val="24"/>
        </w:rPr>
        <w:t>mediana buvo 44,7</w:t>
      </w:r>
      <w:r w:rsidR="00373AFE" w:rsidRPr="00211E3B">
        <w:rPr>
          <w:snapToGrid w:val="0"/>
          <w:sz w:val="22"/>
          <w:szCs w:val="24"/>
        </w:rPr>
        <w:t> </w:t>
      </w:r>
      <w:r w:rsidRPr="00211E3B">
        <w:rPr>
          <w:snapToGrid w:val="0"/>
          <w:sz w:val="22"/>
          <w:szCs w:val="24"/>
        </w:rPr>
        <w:t>mėnesio (ribos: 11,9-68,3). Žvalgomosios veiksmingumo vertinamosios baigtys</w:t>
      </w:r>
      <w:r w:rsidR="00373AFE" w:rsidRPr="00211E3B">
        <w:rPr>
          <w:snapToGrid w:val="0"/>
          <w:sz w:val="22"/>
          <w:szCs w:val="24"/>
        </w:rPr>
        <w:t xml:space="preserve"> </w:t>
      </w:r>
      <w:r w:rsidRPr="00211E3B">
        <w:rPr>
          <w:snapToGrid w:val="0"/>
          <w:sz w:val="22"/>
          <w:szCs w:val="24"/>
        </w:rPr>
        <w:t>apėmė metinį FGPT sumažėjimo per 192</w:t>
      </w:r>
      <w:r w:rsidR="00373AFE" w:rsidRPr="00211E3B">
        <w:rPr>
          <w:snapToGrid w:val="0"/>
          <w:sz w:val="22"/>
          <w:szCs w:val="24"/>
        </w:rPr>
        <w:t> </w:t>
      </w:r>
      <w:r w:rsidRPr="00211E3B">
        <w:rPr>
          <w:snapToGrid w:val="0"/>
          <w:sz w:val="22"/>
          <w:szCs w:val="24"/>
        </w:rPr>
        <w:t>savaites rodmenį, kuris visiems gydytiems pacientams</w:t>
      </w:r>
      <w:r w:rsidR="00373AFE" w:rsidRPr="00211E3B">
        <w:rPr>
          <w:snapToGrid w:val="0"/>
          <w:sz w:val="22"/>
          <w:szCs w:val="24"/>
        </w:rPr>
        <w:t xml:space="preserve"> buvo </w:t>
      </w:r>
      <w:r w:rsidRPr="00211E3B">
        <w:rPr>
          <w:snapToGrid w:val="0"/>
          <w:sz w:val="22"/>
          <w:szCs w:val="24"/>
        </w:rPr>
        <w:t>-135,1 (5,8)</w:t>
      </w:r>
      <w:r w:rsidR="0085390D">
        <w:rPr>
          <w:snapToGrid w:val="0"/>
          <w:sz w:val="22"/>
          <w:szCs w:val="24"/>
        </w:rPr>
        <w:t> ml</w:t>
      </w:r>
      <w:r w:rsidRPr="00211E3B">
        <w:rPr>
          <w:snapToGrid w:val="0"/>
          <w:sz w:val="22"/>
          <w:szCs w:val="24"/>
        </w:rPr>
        <w:t xml:space="preserve"> per metus ir atitiko pacientų, gydytų </w:t>
      </w:r>
      <w:r w:rsidR="00373AFE" w:rsidRPr="00211E3B">
        <w:rPr>
          <w:snapToGrid w:val="0"/>
          <w:sz w:val="22"/>
          <w:szCs w:val="24"/>
        </w:rPr>
        <w:t xml:space="preserve">nintedanibu </w:t>
      </w:r>
      <w:r w:rsidRPr="00211E3B">
        <w:rPr>
          <w:snapToGrid w:val="0"/>
          <w:sz w:val="22"/>
          <w:szCs w:val="24"/>
        </w:rPr>
        <w:t>INPULSIS III</w:t>
      </w:r>
      <w:r w:rsidR="00373AFE" w:rsidRPr="00211E3B">
        <w:rPr>
          <w:snapToGrid w:val="0"/>
          <w:sz w:val="22"/>
          <w:szCs w:val="24"/>
        </w:rPr>
        <w:t> </w:t>
      </w:r>
      <w:r w:rsidRPr="00211E3B">
        <w:rPr>
          <w:snapToGrid w:val="0"/>
          <w:sz w:val="22"/>
          <w:szCs w:val="24"/>
        </w:rPr>
        <w:t>fazės tyrimuose, metinį</w:t>
      </w:r>
      <w:r w:rsidR="00373AFE" w:rsidRPr="00211E3B">
        <w:rPr>
          <w:snapToGrid w:val="0"/>
          <w:sz w:val="22"/>
          <w:szCs w:val="24"/>
        </w:rPr>
        <w:t xml:space="preserve"> </w:t>
      </w:r>
      <w:r w:rsidRPr="00211E3B">
        <w:rPr>
          <w:snapToGrid w:val="0"/>
          <w:sz w:val="22"/>
          <w:szCs w:val="24"/>
        </w:rPr>
        <w:t>FGPT sumažėjimo rodmenį (-113,6</w:t>
      </w:r>
      <w:r w:rsidR="0085390D">
        <w:rPr>
          <w:snapToGrid w:val="0"/>
          <w:sz w:val="22"/>
          <w:szCs w:val="24"/>
        </w:rPr>
        <w:t> ml</w:t>
      </w:r>
      <w:r w:rsidRPr="00211E3B">
        <w:rPr>
          <w:snapToGrid w:val="0"/>
          <w:sz w:val="22"/>
          <w:szCs w:val="24"/>
        </w:rPr>
        <w:t xml:space="preserve"> per metus). </w:t>
      </w:r>
      <w:r w:rsidR="00373AFE" w:rsidRPr="00211E3B">
        <w:rPr>
          <w:snapToGrid w:val="0"/>
          <w:sz w:val="22"/>
          <w:szCs w:val="24"/>
        </w:rPr>
        <w:t xml:space="preserve">Nintedanibo </w:t>
      </w:r>
      <w:r w:rsidRPr="00211E3B">
        <w:rPr>
          <w:snapToGrid w:val="0"/>
          <w:sz w:val="22"/>
          <w:szCs w:val="24"/>
        </w:rPr>
        <w:t>nepageidaujam</w:t>
      </w:r>
      <w:r w:rsidR="00373AFE" w:rsidRPr="00211E3B">
        <w:rPr>
          <w:snapToGrid w:val="0"/>
          <w:sz w:val="22"/>
          <w:szCs w:val="24"/>
        </w:rPr>
        <w:t>ų</w:t>
      </w:r>
      <w:r w:rsidRPr="00211E3B">
        <w:rPr>
          <w:snapToGrid w:val="0"/>
          <w:sz w:val="22"/>
          <w:szCs w:val="24"/>
        </w:rPr>
        <w:t xml:space="preserve"> </w:t>
      </w:r>
      <w:r w:rsidR="00373AFE" w:rsidRPr="00211E3B">
        <w:rPr>
          <w:snapToGrid w:val="0"/>
          <w:sz w:val="22"/>
          <w:szCs w:val="24"/>
        </w:rPr>
        <w:t>reiškinių</w:t>
      </w:r>
      <w:r w:rsidRPr="00211E3B">
        <w:rPr>
          <w:snapToGrid w:val="0"/>
          <w:sz w:val="22"/>
          <w:szCs w:val="24"/>
        </w:rPr>
        <w:t xml:space="preserve"> duomenys tyrime</w:t>
      </w:r>
      <w:r w:rsidR="00373AFE" w:rsidRPr="00211E3B">
        <w:rPr>
          <w:snapToGrid w:val="0"/>
          <w:sz w:val="22"/>
          <w:szCs w:val="24"/>
        </w:rPr>
        <w:t xml:space="preserve"> </w:t>
      </w:r>
      <w:r w:rsidRPr="00211E3B">
        <w:rPr>
          <w:snapToGrid w:val="0"/>
          <w:sz w:val="22"/>
          <w:szCs w:val="24"/>
        </w:rPr>
        <w:t>INPULSIS-ON atitiko INPULSIS III fazės tyrim</w:t>
      </w:r>
      <w:r w:rsidR="00373AFE" w:rsidRPr="00211E3B">
        <w:rPr>
          <w:snapToGrid w:val="0"/>
          <w:sz w:val="22"/>
          <w:szCs w:val="24"/>
        </w:rPr>
        <w:t>ų duomenis</w:t>
      </w:r>
      <w:r w:rsidRPr="00211E3B">
        <w:rPr>
          <w:snapToGrid w:val="0"/>
          <w:sz w:val="22"/>
          <w:szCs w:val="24"/>
        </w:rPr>
        <w:t>.</w:t>
      </w:r>
    </w:p>
    <w:p w14:paraId="6C1D5D9B" w14:textId="77777777" w:rsidR="00373AFE" w:rsidRPr="00211E3B" w:rsidRDefault="00373AFE" w:rsidP="005E424F">
      <w:pPr>
        <w:ind w:right="-142"/>
        <w:rPr>
          <w:snapToGrid w:val="0"/>
          <w:sz w:val="22"/>
          <w:szCs w:val="24"/>
        </w:rPr>
      </w:pPr>
    </w:p>
    <w:p w14:paraId="19FD68F7" w14:textId="77777777" w:rsidR="005E424F" w:rsidRPr="00211E3B" w:rsidRDefault="005E424F" w:rsidP="005E424F">
      <w:pPr>
        <w:ind w:right="-142"/>
        <w:rPr>
          <w:i/>
          <w:iCs/>
          <w:snapToGrid w:val="0"/>
          <w:sz w:val="22"/>
          <w:szCs w:val="24"/>
          <w:u w:val="single"/>
        </w:rPr>
      </w:pPr>
      <w:r w:rsidRPr="00211E3B">
        <w:rPr>
          <w:i/>
          <w:iCs/>
          <w:snapToGrid w:val="0"/>
          <w:sz w:val="22"/>
          <w:szCs w:val="24"/>
          <w:u w:val="single"/>
        </w:rPr>
        <w:t>IPF sergantys pacientai, kuriems yra pažengęs plaučių funkcijos sutrikimas (INSTAGE)</w:t>
      </w:r>
    </w:p>
    <w:p w14:paraId="3D793918" w14:textId="69EA2F27" w:rsidR="005E424F" w:rsidRPr="00211E3B" w:rsidRDefault="005E424F" w:rsidP="005E424F">
      <w:pPr>
        <w:ind w:right="-142"/>
        <w:rPr>
          <w:snapToGrid w:val="0"/>
          <w:sz w:val="22"/>
          <w:szCs w:val="24"/>
        </w:rPr>
      </w:pPr>
      <w:r w:rsidRPr="00211E3B">
        <w:rPr>
          <w:snapToGrid w:val="0"/>
          <w:sz w:val="22"/>
          <w:szCs w:val="24"/>
        </w:rPr>
        <w:t xml:space="preserve">INSTAGE buvo daugiacentris, tarptautinis, perspektyvinis, atsitiktinių imčių, dvigubai </w:t>
      </w:r>
      <w:r w:rsidR="000967B2" w:rsidRPr="00211E3B">
        <w:rPr>
          <w:snapToGrid w:val="0"/>
          <w:sz w:val="22"/>
          <w:szCs w:val="24"/>
        </w:rPr>
        <w:t>koduotas</w:t>
      </w:r>
      <w:r w:rsidRPr="00211E3B">
        <w:rPr>
          <w:snapToGrid w:val="0"/>
          <w:sz w:val="22"/>
          <w:szCs w:val="24"/>
        </w:rPr>
        <w:t>,</w:t>
      </w:r>
      <w:r w:rsidR="000967B2" w:rsidRPr="00211E3B">
        <w:rPr>
          <w:snapToGrid w:val="0"/>
          <w:sz w:val="22"/>
          <w:szCs w:val="24"/>
        </w:rPr>
        <w:t xml:space="preserve"> </w:t>
      </w:r>
      <w:r w:rsidRPr="00211E3B">
        <w:rPr>
          <w:snapToGrid w:val="0"/>
          <w:sz w:val="22"/>
          <w:szCs w:val="24"/>
        </w:rPr>
        <w:t>lygiagrečių grupių 24</w:t>
      </w:r>
      <w:r w:rsidR="000967B2" w:rsidRPr="00211E3B">
        <w:rPr>
          <w:snapToGrid w:val="0"/>
          <w:sz w:val="22"/>
          <w:szCs w:val="24"/>
        </w:rPr>
        <w:t> s</w:t>
      </w:r>
      <w:r w:rsidRPr="00211E3B">
        <w:rPr>
          <w:snapToGrid w:val="0"/>
          <w:sz w:val="22"/>
          <w:szCs w:val="24"/>
        </w:rPr>
        <w:t>avai</w:t>
      </w:r>
      <w:r w:rsidR="000967B2" w:rsidRPr="00211E3B">
        <w:rPr>
          <w:snapToGrid w:val="0"/>
          <w:sz w:val="22"/>
          <w:szCs w:val="24"/>
        </w:rPr>
        <w:t>čių</w:t>
      </w:r>
      <w:r w:rsidRPr="00211E3B">
        <w:rPr>
          <w:snapToGrid w:val="0"/>
          <w:sz w:val="22"/>
          <w:szCs w:val="24"/>
        </w:rPr>
        <w:t xml:space="preserve"> truk</w:t>
      </w:r>
      <w:r w:rsidR="000967B2" w:rsidRPr="00211E3B">
        <w:rPr>
          <w:snapToGrid w:val="0"/>
          <w:sz w:val="22"/>
          <w:szCs w:val="24"/>
        </w:rPr>
        <w:t>mė</w:t>
      </w:r>
      <w:r w:rsidRPr="00211E3B">
        <w:rPr>
          <w:snapToGrid w:val="0"/>
          <w:sz w:val="22"/>
          <w:szCs w:val="24"/>
        </w:rPr>
        <w:t>s klinikinis tyrimas, kuriame dalyvavusiems IPF sergantiems</w:t>
      </w:r>
      <w:r w:rsidR="000967B2" w:rsidRPr="00211E3B">
        <w:rPr>
          <w:snapToGrid w:val="0"/>
          <w:sz w:val="22"/>
          <w:szCs w:val="24"/>
        </w:rPr>
        <w:t xml:space="preserve"> </w:t>
      </w:r>
      <w:r w:rsidRPr="00211E3B">
        <w:rPr>
          <w:snapToGrid w:val="0"/>
          <w:sz w:val="22"/>
          <w:szCs w:val="24"/>
        </w:rPr>
        <w:t>pacientams buvo pažengęs plaučių funkcijos sutrikimas (DLCO ≤ 35</w:t>
      </w:r>
      <w:r w:rsidR="0085390D">
        <w:rPr>
          <w:snapToGrid w:val="0"/>
          <w:sz w:val="22"/>
          <w:szCs w:val="24"/>
        </w:rPr>
        <w:t> %</w:t>
      </w:r>
      <w:r w:rsidRPr="00211E3B">
        <w:rPr>
          <w:snapToGrid w:val="0"/>
          <w:sz w:val="22"/>
          <w:szCs w:val="24"/>
        </w:rPr>
        <w:t xml:space="preserve"> </w:t>
      </w:r>
      <w:r w:rsidR="000967B2" w:rsidRPr="00211E3B">
        <w:rPr>
          <w:snapToGrid w:val="0"/>
          <w:sz w:val="22"/>
          <w:szCs w:val="24"/>
        </w:rPr>
        <w:t>numatyto rodmens</w:t>
      </w:r>
      <w:r w:rsidRPr="00211E3B">
        <w:rPr>
          <w:snapToGrid w:val="0"/>
          <w:sz w:val="22"/>
          <w:szCs w:val="24"/>
        </w:rPr>
        <w:t>). 136</w:t>
      </w:r>
      <w:r w:rsidR="000967B2" w:rsidRPr="00211E3B">
        <w:rPr>
          <w:snapToGrid w:val="0"/>
          <w:sz w:val="22"/>
          <w:szCs w:val="24"/>
        </w:rPr>
        <w:t> </w:t>
      </w:r>
      <w:r w:rsidRPr="00211E3B">
        <w:rPr>
          <w:snapToGrid w:val="0"/>
          <w:sz w:val="22"/>
          <w:szCs w:val="24"/>
        </w:rPr>
        <w:t>pacientams</w:t>
      </w:r>
      <w:r w:rsidR="000967B2" w:rsidRPr="00211E3B">
        <w:rPr>
          <w:snapToGrid w:val="0"/>
          <w:sz w:val="22"/>
          <w:szCs w:val="24"/>
        </w:rPr>
        <w:t xml:space="preserve"> </w:t>
      </w:r>
      <w:r w:rsidRPr="00211E3B">
        <w:rPr>
          <w:snapToGrid w:val="0"/>
          <w:sz w:val="22"/>
          <w:szCs w:val="24"/>
        </w:rPr>
        <w:t>buvo taikoma monoterapija</w:t>
      </w:r>
      <w:r w:rsidR="000967B2" w:rsidRPr="00211E3B">
        <w:rPr>
          <w:snapToGrid w:val="0"/>
          <w:sz w:val="22"/>
          <w:szCs w:val="24"/>
        </w:rPr>
        <w:t xml:space="preserve"> nintedanibu</w:t>
      </w:r>
      <w:r w:rsidRPr="00211E3B">
        <w:rPr>
          <w:snapToGrid w:val="0"/>
          <w:sz w:val="22"/>
          <w:szCs w:val="24"/>
        </w:rPr>
        <w:t xml:space="preserve">. </w:t>
      </w:r>
      <w:r w:rsidR="000967B2" w:rsidRPr="00211E3B">
        <w:rPr>
          <w:snapToGrid w:val="0"/>
          <w:sz w:val="22"/>
          <w:szCs w:val="24"/>
        </w:rPr>
        <w:t>Pagrindinės vertinamosios baigties analizės rezultatai parodė</w:t>
      </w:r>
      <w:r w:rsidR="000967B2" w:rsidRPr="00211E3B">
        <w:rPr>
          <w:i/>
          <w:iCs/>
          <w:snapToGrid w:val="0"/>
          <w:sz w:val="22"/>
          <w:szCs w:val="24"/>
        </w:rPr>
        <w:t xml:space="preserve"> Saint George</w:t>
      </w:r>
      <w:r w:rsidR="000967B2" w:rsidRPr="00211E3B">
        <w:rPr>
          <w:snapToGrid w:val="0"/>
          <w:sz w:val="22"/>
          <w:szCs w:val="24"/>
        </w:rPr>
        <w:t xml:space="preserve"> kvėpavimo klausimyno (angl. </w:t>
      </w:r>
      <w:r w:rsidR="000967B2" w:rsidRPr="00211E3B">
        <w:rPr>
          <w:i/>
          <w:iCs/>
          <w:snapToGrid w:val="0"/>
          <w:sz w:val="22"/>
          <w:szCs w:val="24"/>
        </w:rPr>
        <w:t>Saint George's Respiratory Questionnaire</w:t>
      </w:r>
      <w:r w:rsidR="000967B2" w:rsidRPr="00211E3B">
        <w:rPr>
          <w:snapToGrid w:val="0"/>
          <w:sz w:val="22"/>
          <w:szCs w:val="24"/>
        </w:rPr>
        <w:t>, SGRQ) bendrojo įvertinimo</w:t>
      </w:r>
      <w:r w:rsidR="00AD2DAD">
        <w:rPr>
          <w:snapToGrid w:val="0"/>
          <w:sz w:val="22"/>
          <w:szCs w:val="24"/>
        </w:rPr>
        <w:t xml:space="preserve"> </w:t>
      </w:r>
      <w:r w:rsidR="000967B2" w:rsidRPr="00211E3B">
        <w:rPr>
          <w:snapToGrid w:val="0"/>
          <w:sz w:val="22"/>
          <w:szCs w:val="24"/>
        </w:rPr>
        <w:t>sumažėjimą 12 savaitę</w:t>
      </w:r>
      <w:r w:rsidRPr="00211E3B">
        <w:rPr>
          <w:snapToGrid w:val="0"/>
          <w:sz w:val="22"/>
          <w:szCs w:val="24"/>
        </w:rPr>
        <w:t xml:space="preserve"> -0,77</w:t>
      </w:r>
      <w:r w:rsidR="000967B2" w:rsidRPr="00211E3B">
        <w:rPr>
          <w:snapToGrid w:val="0"/>
          <w:sz w:val="22"/>
          <w:szCs w:val="24"/>
        </w:rPr>
        <w:t> </w:t>
      </w:r>
      <w:r w:rsidRPr="00211E3B">
        <w:rPr>
          <w:snapToGrid w:val="0"/>
          <w:sz w:val="22"/>
          <w:szCs w:val="24"/>
        </w:rPr>
        <w:t>vienet</w:t>
      </w:r>
      <w:r w:rsidR="000967B2" w:rsidRPr="00211E3B">
        <w:rPr>
          <w:snapToGrid w:val="0"/>
          <w:sz w:val="22"/>
          <w:szCs w:val="24"/>
        </w:rPr>
        <w:t xml:space="preserve">o, remiantis vidutiniu koreguotu pokyčiu nuo pradinio rodmens. </w:t>
      </w:r>
      <w:r w:rsidRPr="00211E3B">
        <w:rPr>
          <w:i/>
          <w:iCs/>
          <w:snapToGrid w:val="0"/>
          <w:sz w:val="22"/>
          <w:szCs w:val="24"/>
        </w:rPr>
        <w:t>Po</w:t>
      </w:r>
      <w:r w:rsidR="000967B2" w:rsidRPr="00211E3B">
        <w:rPr>
          <w:i/>
          <w:iCs/>
          <w:snapToGrid w:val="0"/>
          <w:sz w:val="22"/>
          <w:szCs w:val="24"/>
        </w:rPr>
        <w:t>st-hoc</w:t>
      </w:r>
      <w:r w:rsidR="000967B2" w:rsidRPr="00211E3B">
        <w:rPr>
          <w:snapToGrid w:val="0"/>
          <w:sz w:val="22"/>
          <w:szCs w:val="24"/>
        </w:rPr>
        <w:t xml:space="preserve"> palyginimas </w:t>
      </w:r>
      <w:r w:rsidRPr="00211E3B">
        <w:rPr>
          <w:snapToGrid w:val="0"/>
          <w:sz w:val="22"/>
          <w:szCs w:val="24"/>
        </w:rPr>
        <w:t>parodė, kad šių</w:t>
      </w:r>
      <w:r w:rsidR="000967B2" w:rsidRPr="00211E3B">
        <w:rPr>
          <w:snapToGrid w:val="0"/>
          <w:sz w:val="22"/>
          <w:szCs w:val="24"/>
        </w:rPr>
        <w:t xml:space="preserve"> </w:t>
      </w:r>
      <w:r w:rsidRPr="00211E3B">
        <w:rPr>
          <w:snapToGrid w:val="0"/>
          <w:sz w:val="22"/>
          <w:szCs w:val="24"/>
        </w:rPr>
        <w:t xml:space="preserve">pacientų FGPT sumažėjimas atitiko mažiau pažengusia liga </w:t>
      </w:r>
      <w:r w:rsidRPr="00830A3C">
        <w:rPr>
          <w:snapToGrid w:val="0"/>
          <w:sz w:val="22"/>
          <w:szCs w:val="24"/>
        </w:rPr>
        <w:t xml:space="preserve">sergančių pacientų, </w:t>
      </w:r>
      <w:r w:rsidR="00830A3C">
        <w:rPr>
          <w:snapToGrid w:val="0"/>
          <w:sz w:val="22"/>
          <w:szCs w:val="24"/>
        </w:rPr>
        <w:t xml:space="preserve">gydytų </w:t>
      </w:r>
      <w:r w:rsidR="000967B2" w:rsidRPr="00830A3C">
        <w:rPr>
          <w:snapToGrid w:val="0"/>
          <w:sz w:val="22"/>
          <w:szCs w:val="24"/>
        </w:rPr>
        <w:t>nintedanibu</w:t>
      </w:r>
      <w:r w:rsidR="000967B2" w:rsidRPr="00211E3B">
        <w:rPr>
          <w:snapToGrid w:val="0"/>
          <w:sz w:val="22"/>
          <w:szCs w:val="24"/>
        </w:rPr>
        <w:t xml:space="preserve"> </w:t>
      </w:r>
      <w:r w:rsidRPr="00211E3B">
        <w:rPr>
          <w:snapToGrid w:val="0"/>
          <w:sz w:val="22"/>
          <w:szCs w:val="24"/>
        </w:rPr>
        <w:t>III</w:t>
      </w:r>
      <w:r w:rsidR="000967B2" w:rsidRPr="00211E3B">
        <w:rPr>
          <w:snapToGrid w:val="0"/>
          <w:sz w:val="22"/>
          <w:szCs w:val="24"/>
        </w:rPr>
        <w:t> </w:t>
      </w:r>
      <w:r w:rsidRPr="00211E3B">
        <w:rPr>
          <w:snapToGrid w:val="0"/>
          <w:sz w:val="22"/>
          <w:szCs w:val="24"/>
        </w:rPr>
        <w:t>fazės</w:t>
      </w:r>
      <w:r w:rsidR="000967B2" w:rsidRPr="00211E3B">
        <w:rPr>
          <w:snapToGrid w:val="0"/>
          <w:sz w:val="22"/>
          <w:szCs w:val="24"/>
        </w:rPr>
        <w:t xml:space="preserve"> </w:t>
      </w:r>
      <w:r w:rsidRPr="00211E3B">
        <w:rPr>
          <w:snapToGrid w:val="0"/>
          <w:sz w:val="22"/>
          <w:szCs w:val="24"/>
        </w:rPr>
        <w:t>tyrimų INPULSIS metu, FGPT sumažėjimą.</w:t>
      </w:r>
      <w:r w:rsidR="000967B2" w:rsidRPr="00211E3B">
        <w:rPr>
          <w:snapToGrid w:val="0"/>
          <w:sz w:val="22"/>
          <w:szCs w:val="24"/>
        </w:rPr>
        <w:t xml:space="preserve"> Nintedanibo </w:t>
      </w:r>
      <w:r w:rsidRPr="00211E3B">
        <w:rPr>
          <w:snapToGrid w:val="0"/>
          <w:sz w:val="22"/>
          <w:szCs w:val="24"/>
        </w:rPr>
        <w:t>saugumo ir toleravimo duomenys IPF sergantiems pacientams, kuriems yra pažengęs plaučių</w:t>
      </w:r>
      <w:r w:rsidR="000967B2" w:rsidRPr="00211E3B">
        <w:rPr>
          <w:snapToGrid w:val="0"/>
          <w:sz w:val="22"/>
          <w:szCs w:val="24"/>
        </w:rPr>
        <w:t xml:space="preserve"> </w:t>
      </w:r>
      <w:r w:rsidRPr="00211E3B">
        <w:rPr>
          <w:snapToGrid w:val="0"/>
          <w:sz w:val="22"/>
          <w:szCs w:val="24"/>
        </w:rPr>
        <w:t xml:space="preserve">funkcijos sutrikimas, atitiko duomenis, </w:t>
      </w:r>
      <w:r w:rsidR="000967B2" w:rsidRPr="00211E3B">
        <w:rPr>
          <w:snapToGrid w:val="0"/>
          <w:sz w:val="22"/>
          <w:szCs w:val="24"/>
        </w:rPr>
        <w:t>gautus</w:t>
      </w:r>
      <w:r w:rsidRPr="00211E3B">
        <w:rPr>
          <w:snapToGrid w:val="0"/>
          <w:sz w:val="22"/>
          <w:szCs w:val="24"/>
        </w:rPr>
        <w:t xml:space="preserve"> III</w:t>
      </w:r>
      <w:r w:rsidR="000967B2" w:rsidRPr="00211E3B">
        <w:rPr>
          <w:snapToGrid w:val="0"/>
          <w:sz w:val="22"/>
          <w:szCs w:val="24"/>
        </w:rPr>
        <w:t> </w:t>
      </w:r>
      <w:r w:rsidRPr="00211E3B">
        <w:rPr>
          <w:snapToGrid w:val="0"/>
          <w:sz w:val="22"/>
          <w:szCs w:val="24"/>
        </w:rPr>
        <w:t>fazės tyrimų INPULSIS metu.</w:t>
      </w:r>
    </w:p>
    <w:p w14:paraId="27D99C47" w14:textId="77777777" w:rsidR="000967B2" w:rsidRPr="00211E3B" w:rsidRDefault="000967B2" w:rsidP="005E424F">
      <w:pPr>
        <w:ind w:right="-142"/>
        <w:rPr>
          <w:snapToGrid w:val="0"/>
          <w:sz w:val="22"/>
          <w:szCs w:val="24"/>
        </w:rPr>
      </w:pPr>
    </w:p>
    <w:p w14:paraId="2D3E941F" w14:textId="7FF5093C" w:rsidR="005E424F" w:rsidRPr="00211E3B" w:rsidRDefault="005E424F" w:rsidP="005E424F">
      <w:pPr>
        <w:ind w:right="-142"/>
        <w:rPr>
          <w:i/>
          <w:iCs/>
          <w:snapToGrid w:val="0"/>
          <w:sz w:val="22"/>
          <w:szCs w:val="24"/>
          <w:u w:val="single"/>
        </w:rPr>
      </w:pPr>
      <w:r w:rsidRPr="00211E3B">
        <w:rPr>
          <w:i/>
          <w:iCs/>
          <w:snapToGrid w:val="0"/>
          <w:sz w:val="22"/>
          <w:szCs w:val="24"/>
          <w:u w:val="single"/>
        </w:rPr>
        <w:t xml:space="preserve">Papildomi </w:t>
      </w:r>
      <w:r w:rsidR="00B66002" w:rsidRPr="00211E3B">
        <w:rPr>
          <w:i/>
          <w:iCs/>
          <w:snapToGrid w:val="0"/>
          <w:sz w:val="22"/>
          <w:szCs w:val="24"/>
          <w:u w:val="single"/>
        </w:rPr>
        <w:t xml:space="preserve">duomenys, gauti </w:t>
      </w:r>
      <w:r w:rsidRPr="00211E3B">
        <w:rPr>
          <w:i/>
          <w:iCs/>
          <w:snapToGrid w:val="0"/>
          <w:sz w:val="22"/>
          <w:szCs w:val="24"/>
          <w:u w:val="single"/>
        </w:rPr>
        <w:t>IV</w:t>
      </w:r>
      <w:r w:rsidR="00B66002" w:rsidRPr="00211E3B">
        <w:rPr>
          <w:i/>
          <w:iCs/>
          <w:snapToGrid w:val="0"/>
          <w:sz w:val="22"/>
          <w:szCs w:val="24"/>
          <w:u w:val="single"/>
        </w:rPr>
        <w:t> </w:t>
      </w:r>
      <w:r w:rsidRPr="00211E3B">
        <w:rPr>
          <w:i/>
          <w:iCs/>
          <w:snapToGrid w:val="0"/>
          <w:sz w:val="22"/>
          <w:szCs w:val="24"/>
          <w:u w:val="single"/>
        </w:rPr>
        <w:t>fazės tyrim</w:t>
      </w:r>
      <w:r w:rsidR="00B66002" w:rsidRPr="00211E3B">
        <w:rPr>
          <w:i/>
          <w:iCs/>
          <w:snapToGrid w:val="0"/>
          <w:sz w:val="22"/>
          <w:szCs w:val="24"/>
          <w:u w:val="single"/>
        </w:rPr>
        <w:t>e</w:t>
      </w:r>
      <w:r w:rsidRPr="00211E3B">
        <w:rPr>
          <w:i/>
          <w:iCs/>
          <w:snapToGrid w:val="0"/>
          <w:sz w:val="22"/>
          <w:szCs w:val="24"/>
          <w:u w:val="single"/>
        </w:rPr>
        <w:t xml:space="preserve"> INJOURNEY vartojant </w:t>
      </w:r>
      <w:r w:rsidR="00B66002" w:rsidRPr="00211E3B">
        <w:rPr>
          <w:i/>
          <w:iCs/>
          <w:snapToGrid w:val="0"/>
          <w:sz w:val="22"/>
          <w:szCs w:val="24"/>
          <w:u w:val="single"/>
        </w:rPr>
        <w:t xml:space="preserve">nintedanibo </w:t>
      </w:r>
      <w:r w:rsidRPr="00211E3B">
        <w:rPr>
          <w:i/>
          <w:iCs/>
          <w:snapToGrid w:val="0"/>
          <w:sz w:val="22"/>
          <w:szCs w:val="24"/>
          <w:u w:val="single"/>
        </w:rPr>
        <w:t>150</w:t>
      </w:r>
      <w:r w:rsidR="0085390D">
        <w:rPr>
          <w:i/>
          <w:iCs/>
          <w:snapToGrid w:val="0"/>
          <w:sz w:val="22"/>
          <w:szCs w:val="24"/>
          <w:u w:val="single"/>
        </w:rPr>
        <w:t> mg</w:t>
      </w:r>
      <w:r w:rsidRPr="00211E3B">
        <w:rPr>
          <w:i/>
          <w:iCs/>
          <w:snapToGrid w:val="0"/>
          <w:sz w:val="22"/>
          <w:szCs w:val="24"/>
          <w:u w:val="single"/>
        </w:rPr>
        <w:t xml:space="preserve"> du kartus per parą kartu su</w:t>
      </w:r>
      <w:r w:rsidR="00B66002" w:rsidRPr="00211E3B">
        <w:rPr>
          <w:i/>
          <w:iCs/>
          <w:snapToGrid w:val="0"/>
          <w:sz w:val="22"/>
          <w:szCs w:val="24"/>
          <w:u w:val="single"/>
        </w:rPr>
        <w:t xml:space="preserve"> </w:t>
      </w:r>
      <w:r w:rsidRPr="00211E3B">
        <w:rPr>
          <w:i/>
          <w:iCs/>
          <w:snapToGrid w:val="0"/>
          <w:sz w:val="22"/>
          <w:szCs w:val="24"/>
          <w:u w:val="single"/>
        </w:rPr>
        <w:t>papildomu gydymu pirfenidonu</w:t>
      </w:r>
    </w:p>
    <w:p w14:paraId="4B6ED498" w14:textId="35D76956" w:rsidR="005E424F" w:rsidRPr="00211E3B" w:rsidRDefault="005E424F" w:rsidP="005E424F">
      <w:pPr>
        <w:ind w:right="-142"/>
        <w:rPr>
          <w:snapToGrid w:val="0"/>
          <w:sz w:val="22"/>
          <w:szCs w:val="24"/>
        </w:rPr>
      </w:pPr>
      <w:r w:rsidRPr="00211E3B">
        <w:rPr>
          <w:snapToGrid w:val="0"/>
          <w:sz w:val="22"/>
          <w:szCs w:val="24"/>
        </w:rPr>
        <w:t xml:space="preserve">Gydymas nintedanibu kartu su pirfenidonu tirtas </w:t>
      </w:r>
      <w:r w:rsidR="00400F6C" w:rsidRPr="00211E3B">
        <w:rPr>
          <w:snapToGrid w:val="0"/>
          <w:sz w:val="22"/>
          <w:szCs w:val="24"/>
        </w:rPr>
        <w:t xml:space="preserve">atliekant žvalgomąjį atvirą atsitiktinių imčių tyrimą, kuriame dalyvavo 105 atsitiktinėms imtims priskirti pacientai ir buvo lyginamas gydymas </w:t>
      </w:r>
      <w:r w:rsidRPr="00211E3B">
        <w:rPr>
          <w:snapToGrid w:val="0"/>
          <w:sz w:val="22"/>
          <w:szCs w:val="24"/>
        </w:rPr>
        <w:t>nintedanib</w:t>
      </w:r>
      <w:r w:rsidR="00400F6C" w:rsidRPr="00211E3B">
        <w:rPr>
          <w:snapToGrid w:val="0"/>
          <w:sz w:val="22"/>
          <w:szCs w:val="24"/>
        </w:rPr>
        <w:t>u</w:t>
      </w:r>
      <w:r w:rsidRPr="00211E3B">
        <w:rPr>
          <w:snapToGrid w:val="0"/>
          <w:sz w:val="22"/>
          <w:szCs w:val="24"/>
        </w:rPr>
        <w:t xml:space="preserve"> 150</w:t>
      </w:r>
      <w:r w:rsidR="0085390D">
        <w:rPr>
          <w:snapToGrid w:val="0"/>
          <w:sz w:val="22"/>
          <w:szCs w:val="24"/>
        </w:rPr>
        <w:t> mg</w:t>
      </w:r>
      <w:r w:rsidRPr="00211E3B">
        <w:rPr>
          <w:snapToGrid w:val="0"/>
          <w:sz w:val="22"/>
          <w:szCs w:val="24"/>
        </w:rPr>
        <w:t xml:space="preserve"> du kartus per parą kartu su papildomu pirfenidonu (</w:t>
      </w:r>
      <w:r w:rsidR="00400F6C" w:rsidRPr="00211E3B">
        <w:rPr>
          <w:snapToGrid w:val="0"/>
          <w:sz w:val="22"/>
          <w:szCs w:val="24"/>
        </w:rPr>
        <w:t xml:space="preserve">dozė </w:t>
      </w:r>
      <w:r w:rsidRPr="00211E3B">
        <w:rPr>
          <w:snapToGrid w:val="0"/>
          <w:sz w:val="22"/>
          <w:szCs w:val="24"/>
        </w:rPr>
        <w:t>titruot</w:t>
      </w:r>
      <w:r w:rsidR="00400F6C" w:rsidRPr="00211E3B">
        <w:rPr>
          <w:snapToGrid w:val="0"/>
          <w:sz w:val="22"/>
          <w:szCs w:val="24"/>
        </w:rPr>
        <w:t>a</w:t>
      </w:r>
      <w:r w:rsidRPr="00211E3B">
        <w:rPr>
          <w:snapToGrid w:val="0"/>
          <w:sz w:val="22"/>
          <w:szCs w:val="24"/>
        </w:rPr>
        <w:t xml:space="preserve"> iki 801</w:t>
      </w:r>
      <w:r w:rsidR="0085390D">
        <w:rPr>
          <w:snapToGrid w:val="0"/>
          <w:sz w:val="22"/>
          <w:szCs w:val="24"/>
        </w:rPr>
        <w:t> mg</w:t>
      </w:r>
      <w:r w:rsidRPr="00211E3B">
        <w:rPr>
          <w:snapToGrid w:val="0"/>
          <w:sz w:val="22"/>
          <w:szCs w:val="24"/>
        </w:rPr>
        <w:t xml:space="preserve"> tris kartus</w:t>
      </w:r>
      <w:r w:rsidR="00400F6C" w:rsidRPr="00211E3B">
        <w:rPr>
          <w:snapToGrid w:val="0"/>
          <w:sz w:val="22"/>
          <w:szCs w:val="24"/>
        </w:rPr>
        <w:t xml:space="preserve"> </w:t>
      </w:r>
      <w:r w:rsidRPr="00211E3B">
        <w:rPr>
          <w:snapToGrid w:val="0"/>
          <w:sz w:val="22"/>
          <w:szCs w:val="24"/>
        </w:rPr>
        <w:t>per parą), palyginti su nintedanibo 150</w:t>
      </w:r>
      <w:r w:rsidR="0085390D">
        <w:rPr>
          <w:snapToGrid w:val="0"/>
          <w:sz w:val="22"/>
          <w:szCs w:val="24"/>
        </w:rPr>
        <w:t> mg</w:t>
      </w:r>
      <w:r w:rsidRPr="00211E3B">
        <w:rPr>
          <w:snapToGrid w:val="0"/>
          <w:sz w:val="22"/>
          <w:szCs w:val="24"/>
        </w:rPr>
        <w:t xml:space="preserve"> du kartus per parą monoterapija. </w:t>
      </w:r>
      <w:r w:rsidR="00400F6C" w:rsidRPr="00211E3B">
        <w:rPr>
          <w:snapToGrid w:val="0"/>
          <w:sz w:val="22"/>
          <w:szCs w:val="24"/>
        </w:rPr>
        <w:t>Pagrindinė</w:t>
      </w:r>
      <w:r w:rsidRPr="00211E3B">
        <w:rPr>
          <w:snapToGrid w:val="0"/>
          <w:sz w:val="22"/>
          <w:szCs w:val="24"/>
        </w:rPr>
        <w:t xml:space="preserve"> vertinamoji</w:t>
      </w:r>
      <w:r w:rsidR="00400F6C" w:rsidRPr="00211E3B">
        <w:rPr>
          <w:snapToGrid w:val="0"/>
          <w:sz w:val="22"/>
          <w:szCs w:val="24"/>
        </w:rPr>
        <w:t xml:space="preserve"> </w:t>
      </w:r>
      <w:r w:rsidRPr="00211E3B">
        <w:rPr>
          <w:snapToGrid w:val="0"/>
          <w:sz w:val="22"/>
          <w:szCs w:val="24"/>
        </w:rPr>
        <w:t xml:space="preserve">baigtis buvo pacientų, patyrusių nepageidaujamų virškinimo trakto reiškinių nuo </w:t>
      </w:r>
      <w:r w:rsidR="00400F6C" w:rsidRPr="00211E3B">
        <w:rPr>
          <w:snapToGrid w:val="0"/>
          <w:sz w:val="22"/>
          <w:szCs w:val="24"/>
        </w:rPr>
        <w:t xml:space="preserve">tyrimo pradžios </w:t>
      </w:r>
      <w:r w:rsidRPr="00211E3B">
        <w:rPr>
          <w:snapToGrid w:val="0"/>
          <w:sz w:val="22"/>
          <w:szCs w:val="24"/>
        </w:rPr>
        <w:t>iki 12</w:t>
      </w:r>
      <w:r w:rsidR="00400F6C" w:rsidRPr="00211E3B">
        <w:rPr>
          <w:snapToGrid w:val="0"/>
          <w:sz w:val="22"/>
          <w:szCs w:val="24"/>
        </w:rPr>
        <w:t> </w:t>
      </w:r>
      <w:r w:rsidRPr="00211E3B">
        <w:rPr>
          <w:snapToGrid w:val="0"/>
          <w:sz w:val="22"/>
          <w:szCs w:val="24"/>
        </w:rPr>
        <w:t xml:space="preserve">savaitės, procentinė dalis. Nepageidaujami virškinimo trakto reiškiniai </w:t>
      </w:r>
      <w:r w:rsidR="00400F6C" w:rsidRPr="00211E3B">
        <w:rPr>
          <w:snapToGrid w:val="0"/>
          <w:sz w:val="22"/>
          <w:szCs w:val="24"/>
        </w:rPr>
        <w:t>atsirado</w:t>
      </w:r>
      <w:r w:rsidRPr="00211E3B">
        <w:rPr>
          <w:snapToGrid w:val="0"/>
          <w:sz w:val="22"/>
          <w:szCs w:val="24"/>
        </w:rPr>
        <w:t xml:space="preserve"> dažnai ir</w:t>
      </w:r>
      <w:r w:rsidR="00400F6C" w:rsidRPr="00211E3B">
        <w:rPr>
          <w:snapToGrid w:val="0"/>
          <w:sz w:val="22"/>
          <w:szCs w:val="24"/>
        </w:rPr>
        <w:t xml:space="preserve"> </w:t>
      </w:r>
      <w:r w:rsidRPr="00211E3B">
        <w:rPr>
          <w:snapToGrid w:val="0"/>
          <w:sz w:val="22"/>
          <w:szCs w:val="24"/>
        </w:rPr>
        <w:t>atitiko kiekvienam komponentui nustatytus saugumo duomenis.</w:t>
      </w:r>
      <w:r w:rsidR="00400F6C" w:rsidRPr="00211E3B">
        <w:rPr>
          <w:snapToGrid w:val="0"/>
          <w:sz w:val="22"/>
          <w:szCs w:val="24"/>
        </w:rPr>
        <w:t xml:space="preserve"> Viduriavimas, pykinimas ir vėmimas buvo </w:t>
      </w:r>
      <w:r w:rsidRPr="00211E3B">
        <w:rPr>
          <w:snapToGrid w:val="0"/>
          <w:sz w:val="22"/>
          <w:szCs w:val="24"/>
        </w:rPr>
        <w:t xml:space="preserve">nepageidaujami reiškiniai, </w:t>
      </w:r>
      <w:r w:rsidR="00400F6C" w:rsidRPr="00211E3B">
        <w:rPr>
          <w:snapToGrid w:val="0"/>
          <w:sz w:val="22"/>
          <w:szCs w:val="24"/>
        </w:rPr>
        <w:t xml:space="preserve">apie </w:t>
      </w:r>
      <w:r w:rsidRPr="00211E3B">
        <w:rPr>
          <w:snapToGrid w:val="0"/>
          <w:sz w:val="22"/>
          <w:szCs w:val="24"/>
        </w:rPr>
        <w:t xml:space="preserve">kuriuos </w:t>
      </w:r>
      <w:r w:rsidR="00400F6C" w:rsidRPr="00211E3B">
        <w:rPr>
          <w:snapToGrid w:val="0"/>
          <w:sz w:val="22"/>
          <w:szCs w:val="24"/>
        </w:rPr>
        <w:t>dažniausiai pranešė</w:t>
      </w:r>
      <w:r w:rsidRPr="00211E3B">
        <w:rPr>
          <w:snapToGrid w:val="0"/>
          <w:sz w:val="22"/>
          <w:szCs w:val="24"/>
        </w:rPr>
        <w:t xml:space="preserve"> pacientai, gydyti</w:t>
      </w:r>
      <w:r w:rsidR="00400F6C" w:rsidRPr="00211E3B">
        <w:rPr>
          <w:snapToGrid w:val="0"/>
          <w:sz w:val="22"/>
          <w:szCs w:val="24"/>
        </w:rPr>
        <w:t xml:space="preserve"> </w:t>
      </w:r>
      <w:r w:rsidRPr="00211E3B">
        <w:rPr>
          <w:snapToGrid w:val="0"/>
          <w:sz w:val="22"/>
          <w:szCs w:val="24"/>
        </w:rPr>
        <w:t>pirfenidonu</w:t>
      </w:r>
      <w:r w:rsidR="00A43C5F" w:rsidRPr="00211E3B">
        <w:rPr>
          <w:snapToGrid w:val="0"/>
          <w:sz w:val="22"/>
          <w:szCs w:val="24"/>
        </w:rPr>
        <w:t xml:space="preserve"> kartu</w:t>
      </w:r>
      <w:r w:rsidRPr="00211E3B">
        <w:rPr>
          <w:snapToGrid w:val="0"/>
          <w:sz w:val="22"/>
          <w:szCs w:val="24"/>
        </w:rPr>
        <w:t xml:space="preserve"> su nintedanibu, </w:t>
      </w:r>
      <w:r w:rsidR="00A43C5F" w:rsidRPr="00211E3B">
        <w:rPr>
          <w:snapToGrid w:val="0"/>
          <w:sz w:val="22"/>
          <w:szCs w:val="24"/>
        </w:rPr>
        <w:t>palyginti</w:t>
      </w:r>
      <w:r w:rsidRPr="00211E3B">
        <w:rPr>
          <w:snapToGrid w:val="0"/>
          <w:sz w:val="22"/>
          <w:szCs w:val="24"/>
        </w:rPr>
        <w:t xml:space="preserve"> su nintedanibo monoterapij</w:t>
      </w:r>
      <w:r w:rsidR="00A43C5F" w:rsidRPr="00211E3B">
        <w:rPr>
          <w:snapToGrid w:val="0"/>
          <w:sz w:val="22"/>
          <w:szCs w:val="24"/>
        </w:rPr>
        <w:t>os grupės pacientais</w:t>
      </w:r>
      <w:r w:rsidRPr="00211E3B">
        <w:rPr>
          <w:snapToGrid w:val="0"/>
          <w:sz w:val="22"/>
          <w:szCs w:val="24"/>
        </w:rPr>
        <w:t>.</w:t>
      </w:r>
    </w:p>
    <w:p w14:paraId="01CEB2F5" w14:textId="33501373" w:rsidR="005E424F" w:rsidRPr="00211E3B" w:rsidRDefault="005E424F" w:rsidP="005E424F">
      <w:pPr>
        <w:ind w:right="-142"/>
        <w:rPr>
          <w:snapToGrid w:val="0"/>
          <w:sz w:val="22"/>
          <w:szCs w:val="24"/>
        </w:rPr>
      </w:pPr>
      <w:r w:rsidRPr="00211E3B">
        <w:rPr>
          <w:snapToGrid w:val="0"/>
          <w:sz w:val="22"/>
          <w:szCs w:val="24"/>
        </w:rPr>
        <w:t>Vidutinis (SP) absoliutusis FGPT pokytis nuo pradin</w:t>
      </w:r>
      <w:r w:rsidR="00400F6C" w:rsidRPr="00211E3B">
        <w:rPr>
          <w:snapToGrid w:val="0"/>
          <w:sz w:val="22"/>
          <w:szCs w:val="24"/>
        </w:rPr>
        <w:t>io rodmens</w:t>
      </w:r>
      <w:r w:rsidRPr="00211E3B">
        <w:rPr>
          <w:snapToGrid w:val="0"/>
          <w:sz w:val="22"/>
          <w:szCs w:val="24"/>
        </w:rPr>
        <w:t xml:space="preserve"> 12</w:t>
      </w:r>
      <w:r w:rsidR="00400F6C" w:rsidRPr="00211E3B">
        <w:rPr>
          <w:snapToGrid w:val="0"/>
          <w:sz w:val="22"/>
          <w:szCs w:val="24"/>
        </w:rPr>
        <w:t> </w:t>
      </w:r>
      <w:r w:rsidRPr="00211E3B">
        <w:rPr>
          <w:snapToGrid w:val="0"/>
          <w:sz w:val="22"/>
          <w:szCs w:val="24"/>
        </w:rPr>
        <w:t xml:space="preserve">savaitę buvo </w:t>
      </w:r>
      <w:r w:rsidR="00400F6C" w:rsidRPr="00211E3B">
        <w:rPr>
          <w:snapToGrid w:val="0"/>
          <w:sz w:val="22"/>
          <w:szCs w:val="24"/>
        </w:rPr>
        <w:t>-</w:t>
      </w:r>
      <w:r w:rsidRPr="00211E3B">
        <w:rPr>
          <w:snapToGrid w:val="0"/>
          <w:sz w:val="22"/>
          <w:szCs w:val="24"/>
        </w:rPr>
        <w:t>13,3 (17,4)</w:t>
      </w:r>
      <w:r w:rsidR="0085390D">
        <w:rPr>
          <w:snapToGrid w:val="0"/>
          <w:sz w:val="22"/>
          <w:szCs w:val="24"/>
        </w:rPr>
        <w:t> ml</w:t>
      </w:r>
      <w:r w:rsidR="00400F6C" w:rsidRPr="00211E3B">
        <w:rPr>
          <w:snapToGrid w:val="0"/>
          <w:sz w:val="22"/>
          <w:szCs w:val="24"/>
        </w:rPr>
        <w:t xml:space="preserve"> </w:t>
      </w:r>
      <w:r w:rsidRPr="00211E3B">
        <w:rPr>
          <w:snapToGrid w:val="0"/>
          <w:sz w:val="22"/>
          <w:szCs w:val="24"/>
        </w:rPr>
        <w:t>pacientams, gydytiems nintedanibu kartu su pirfenidonu (n = 48), palyginti su</w:t>
      </w:r>
      <w:r w:rsidR="00400F6C" w:rsidRPr="00211E3B">
        <w:rPr>
          <w:snapToGrid w:val="0"/>
          <w:sz w:val="22"/>
          <w:szCs w:val="24"/>
        </w:rPr>
        <w:t xml:space="preserve"> -</w:t>
      </w:r>
      <w:r w:rsidRPr="00211E3B">
        <w:rPr>
          <w:snapToGrid w:val="0"/>
          <w:sz w:val="22"/>
          <w:szCs w:val="24"/>
        </w:rPr>
        <w:t>40,9 (31,4)</w:t>
      </w:r>
      <w:r w:rsidR="0085390D">
        <w:rPr>
          <w:snapToGrid w:val="0"/>
          <w:sz w:val="22"/>
          <w:szCs w:val="24"/>
        </w:rPr>
        <w:t> ml</w:t>
      </w:r>
      <w:r w:rsidRPr="00211E3B">
        <w:rPr>
          <w:snapToGrid w:val="0"/>
          <w:sz w:val="22"/>
          <w:szCs w:val="24"/>
        </w:rPr>
        <w:t xml:space="preserve"> pacientams, gydytiems vien nintedanibu (n = 44).</w:t>
      </w:r>
    </w:p>
    <w:p w14:paraId="5E3DC38F" w14:textId="77777777" w:rsidR="00B66002" w:rsidRPr="00211E3B" w:rsidRDefault="00B66002" w:rsidP="005E424F">
      <w:pPr>
        <w:ind w:right="-142"/>
        <w:rPr>
          <w:snapToGrid w:val="0"/>
          <w:sz w:val="22"/>
          <w:szCs w:val="24"/>
        </w:rPr>
      </w:pPr>
    </w:p>
    <w:p w14:paraId="71B41753" w14:textId="2EE69062" w:rsidR="005E424F" w:rsidRPr="00211E3B" w:rsidRDefault="005E424F" w:rsidP="005E424F">
      <w:pPr>
        <w:ind w:right="-142"/>
        <w:rPr>
          <w:i/>
          <w:iCs/>
          <w:snapToGrid w:val="0"/>
          <w:sz w:val="22"/>
          <w:szCs w:val="24"/>
        </w:rPr>
      </w:pPr>
      <w:r w:rsidRPr="00211E3B">
        <w:rPr>
          <w:i/>
          <w:iCs/>
          <w:snapToGrid w:val="0"/>
          <w:sz w:val="22"/>
          <w:szCs w:val="24"/>
        </w:rPr>
        <w:t>Kitos lėtinės fibrozinės progresuojančio fenotipo intersticinės plaučių ligos (IPL)</w:t>
      </w:r>
    </w:p>
    <w:p w14:paraId="59831BE4" w14:textId="18B1B814" w:rsidR="005E424F" w:rsidRPr="00211E3B" w:rsidRDefault="006D0FAE" w:rsidP="005E424F">
      <w:pPr>
        <w:ind w:right="-142"/>
        <w:rPr>
          <w:snapToGrid w:val="0"/>
          <w:sz w:val="22"/>
          <w:szCs w:val="24"/>
        </w:rPr>
      </w:pPr>
      <w:r w:rsidRPr="00211E3B">
        <w:rPr>
          <w:snapToGrid w:val="0"/>
          <w:sz w:val="22"/>
          <w:szCs w:val="24"/>
        </w:rPr>
        <w:t xml:space="preserve">Nintedanibo </w:t>
      </w:r>
      <w:r w:rsidR="005E424F" w:rsidRPr="00211E3B">
        <w:rPr>
          <w:snapToGrid w:val="0"/>
          <w:sz w:val="22"/>
          <w:szCs w:val="24"/>
        </w:rPr>
        <w:t>klinikinis veiksmingumas pacientams, sergantiems kitomis lėtinėmis fibrozinėmis</w:t>
      </w:r>
      <w:r w:rsidRPr="00211E3B">
        <w:rPr>
          <w:snapToGrid w:val="0"/>
          <w:sz w:val="22"/>
          <w:szCs w:val="24"/>
        </w:rPr>
        <w:t xml:space="preserve"> </w:t>
      </w:r>
      <w:r w:rsidR="005E424F" w:rsidRPr="00211E3B">
        <w:rPr>
          <w:snapToGrid w:val="0"/>
          <w:sz w:val="22"/>
          <w:szCs w:val="24"/>
        </w:rPr>
        <w:t xml:space="preserve">progresuojančio fenotipo IPL, tirtas dvigubai </w:t>
      </w:r>
      <w:r w:rsidRPr="00211E3B">
        <w:rPr>
          <w:snapToGrid w:val="0"/>
          <w:sz w:val="22"/>
          <w:szCs w:val="24"/>
        </w:rPr>
        <w:t>koduoto</w:t>
      </w:r>
      <w:r w:rsidR="005E424F" w:rsidRPr="00211E3B">
        <w:rPr>
          <w:snapToGrid w:val="0"/>
          <w:sz w:val="22"/>
          <w:szCs w:val="24"/>
        </w:rPr>
        <w:t>, atsitiktinių imčių, placebu kontroliuo</w:t>
      </w:r>
      <w:r w:rsidRPr="00211E3B">
        <w:rPr>
          <w:snapToGrid w:val="0"/>
          <w:sz w:val="22"/>
          <w:szCs w:val="24"/>
        </w:rPr>
        <w:t>t</w:t>
      </w:r>
      <w:r w:rsidR="005E424F" w:rsidRPr="00211E3B">
        <w:rPr>
          <w:snapToGrid w:val="0"/>
          <w:sz w:val="22"/>
          <w:szCs w:val="24"/>
        </w:rPr>
        <w:t>o III</w:t>
      </w:r>
      <w:r w:rsidRPr="00211E3B">
        <w:rPr>
          <w:snapToGrid w:val="0"/>
          <w:sz w:val="22"/>
          <w:szCs w:val="24"/>
        </w:rPr>
        <w:t> </w:t>
      </w:r>
      <w:r w:rsidR="005E424F" w:rsidRPr="00211E3B">
        <w:rPr>
          <w:snapToGrid w:val="0"/>
          <w:sz w:val="22"/>
          <w:szCs w:val="24"/>
        </w:rPr>
        <w:t>fazės</w:t>
      </w:r>
      <w:r w:rsidRPr="00211E3B">
        <w:rPr>
          <w:snapToGrid w:val="0"/>
          <w:sz w:val="22"/>
          <w:szCs w:val="24"/>
        </w:rPr>
        <w:t xml:space="preserve"> </w:t>
      </w:r>
      <w:r w:rsidR="005E424F" w:rsidRPr="00211E3B">
        <w:rPr>
          <w:snapToGrid w:val="0"/>
          <w:sz w:val="22"/>
          <w:szCs w:val="24"/>
        </w:rPr>
        <w:t xml:space="preserve">tyrimo (INBUILD) metu. </w:t>
      </w:r>
      <w:r w:rsidRPr="00211E3B">
        <w:rPr>
          <w:snapToGrid w:val="0"/>
          <w:sz w:val="22"/>
          <w:szCs w:val="24"/>
        </w:rPr>
        <w:t>IPF sergantys p</w:t>
      </w:r>
      <w:r w:rsidR="005E424F" w:rsidRPr="00211E3B">
        <w:rPr>
          <w:snapToGrid w:val="0"/>
          <w:sz w:val="22"/>
          <w:szCs w:val="24"/>
        </w:rPr>
        <w:t xml:space="preserve">acientai į tyrimą įtraukti nebuvo. </w:t>
      </w:r>
      <w:r w:rsidRPr="00211E3B">
        <w:rPr>
          <w:snapToGrid w:val="0"/>
          <w:sz w:val="22"/>
          <w:szCs w:val="24"/>
        </w:rPr>
        <w:t>Buvo a</w:t>
      </w:r>
      <w:r w:rsidR="005E424F" w:rsidRPr="00211E3B">
        <w:rPr>
          <w:snapToGrid w:val="0"/>
          <w:sz w:val="22"/>
          <w:szCs w:val="24"/>
        </w:rPr>
        <w:t>trinkti tie lėtinės</w:t>
      </w:r>
      <w:r w:rsidRPr="00211E3B">
        <w:rPr>
          <w:snapToGrid w:val="0"/>
          <w:sz w:val="22"/>
          <w:szCs w:val="24"/>
        </w:rPr>
        <w:t xml:space="preserve"> </w:t>
      </w:r>
      <w:r w:rsidR="005E424F" w:rsidRPr="00211E3B">
        <w:rPr>
          <w:snapToGrid w:val="0"/>
          <w:sz w:val="22"/>
          <w:szCs w:val="24"/>
        </w:rPr>
        <w:t>fibrozinės IPL klinikinę diagnozę turintys pacientai, kuriems nustatyta reikšminga fibrozė (daugiau</w:t>
      </w:r>
      <w:r w:rsidRPr="00211E3B">
        <w:rPr>
          <w:snapToGrid w:val="0"/>
          <w:sz w:val="22"/>
          <w:szCs w:val="24"/>
        </w:rPr>
        <w:t xml:space="preserve"> </w:t>
      </w:r>
      <w:r w:rsidR="005E424F" w:rsidRPr="00211E3B">
        <w:rPr>
          <w:snapToGrid w:val="0"/>
          <w:sz w:val="22"/>
          <w:szCs w:val="24"/>
        </w:rPr>
        <w:t>kaip 10</w:t>
      </w:r>
      <w:r w:rsidR="0085390D">
        <w:rPr>
          <w:snapToGrid w:val="0"/>
          <w:sz w:val="22"/>
          <w:szCs w:val="24"/>
        </w:rPr>
        <w:t> %</w:t>
      </w:r>
      <w:r w:rsidR="005E424F" w:rsidRPr="00211E3B">
        <w:rPr>
          <w:snapToGrid w:val="0"/>
          <w:sz w:val="22"/>
          <w:szCs w:val="24"/>
        </w:rPr>
        <w:t xml:space="preserve"> fibrozinių požymių) atliekant DSGKT ir kuriems pasireiškė klinikinių progresavimo</w:t>
      </w:r>
      <w:r w:rsidRPr="00211E3B">
        <w:rPr>
          <w:snapToGrid w:val="0"/>
          <w:sz w:val="22"/>
          <w:szCs w:val="24"/>
        </w:rPr>
        <w:t xml:space="preserve"> </w:t>
      </w:r>
      <w:r w:rsidR="005E424F" w:rsidRPr="00211E3B">
        <w:rPr>
          <w:snapToGrid w:val="0"/>
          <w:sz w:val="22"/>
          <w:szCs w:val="24"/>
        </w:rPr>
        <w:t>požymių (apibūdintų kaip FGPT sumažėjimas ≥ 10</w:t>
      </w:r>
      <w:r w:rsidR="0085390D">
        <w:rPr>
          <w:snapToGrid w:val="0"/>
          <w:sz w:val="22"/>
          <w:szCs w:val="24"/>
        </w:rPr>
        <w:t> %</w:t>
      </w:r>
      <w:r w:rsidR="005E424F" w:rsidRPr="00211E3B">
        <w:rPr>
          <w:snapToGrid w:val="0"/>
          <w:sz w:val="22"/>
          <w:szCs w:val="24"/>
        </w:rPr>
        <w:t>, FGPT sumažėjimas nuo ≥ 5</w:t>
      </w:r>
      <w:r w:rsidR="0085390D">
        <w:rPr>
          <w:snapToGrid w:val="0"/>
          <w:sz w:val="22"/>
          <w:szCs w:val="24"/>
        </w:rPr>
        <w:t> %</w:t>
      </w:r>
      <w:r w:rsidR="005E424F" w:rsidRPr="00211E3B">
        <w:rPr>
          <w:snapToGrid w:val="0"/>
          <w:sz w:val="22"/>
          <w:szCs w:val="24"/>
        </w:rPr>
        <w:t xml:space="preserve"> iki &lt; 10</w:t>
      </w:r>
      <w:r w:rsidR="0085390D">
        <w:rPr>
          <w:snapToGrid w:val="0"/>
          <w:sz w:val="22"/>
          <w:szCs w:val="24"/>
        </w:rPr>
        <w:t> %</w:t>
      </w:r>
      <w:r w:rsidRPr="00211E3B">
        <w:rPr>
          <w:snapToGrid w:val="0"/>
          <w:sz w:val="22"/>
          <w:szCs w:val="24"/>
        </w:rPr>
        <w:t xml:space="preserve"> </w:t>
      </w:r>
      <w:r w:rsidR="005E424F" w:rsidRPr="00211E3B">
        <w:rPr>
          <w:snapToGrid w:val="0"/>
          <w:sz w:val="22"/>
          <w:szCs w:val="24"/>
        </w:rPr>
        <w:t xml:space="preserve">stiprėjant simptomams ar didėjančią patologiją rodant </w:t>
      </w:r>
      <w:r w:rsidR="005E424F" w:rsidRPr="00830A3C">
        <w:rPr>
          <w:snapToGrid w:val="0"/>
          <w:sz w:val="22"/>
          <w:szCs w:val="24"/>
        </w:rPr>
        <w:t>vaizdinamajam tyrimui</w:t>
      </w:r>
      <w:r w:rsidR="005E424F" w:rsidRPr="00211E3B">
        <w:rPr>
          <w:snapToGrid w:val="0"/>
          <w:sz w:val="22"/>
          <w:szCs w:val="24"/>
        </w:rPr>
        <w:t xml:space="preserve"> arba stiprėjantys</w:t>
      </w:r>
      <w:r w:rsidRPr="00211E3B">
        <w:rPr>
          <w:snapToGrid w:val="0"/>
          <w:sz w:val="22"/>
          <w:szCs w:val="24"/>
        </w:rPr>
        <w:t xml:space="preserve"> </w:t>
      </w:r>
      <w:r w:rsidR="005E424F" w:rsidRPr="00211E3B">
        <w:rPr>
          <w:snapToGrid w:val="0"/>
          <w:sz w:val="22"/>
          <w:szCs w:val="24"/>
        </w:rPr>
        <w:t xml:space="preserve">simptomai ir didėjanti </w:t>
      </w:r>
      <w:r w:rsidR="005E424F" w:rsidRPr="00830A3C">
        <w:rPr>
          <w:snapToGrid w:val="0"/>
          <w:sz w:val="22"/>
          <w:szCs w:val="24"/>
        </w:rPr>
        <w:t>vaizdinimo patologija</w:t>
      </w:r>
      <w:r w:rsidR="005E424F" w:rsidRPr="00211E3B">
        <w:rPr>
          <w:snapToGrid w:val="0"/>
          <w:sz w:val="22"/>
          <w:szCs w:val="24"/>
        </w:rPr>
        <w:t xml:space="preserve"> 24</w:t>
      </w:r>
      <w:r w:rsidRPr="00211E3B">
        <w:rPr>
          <w:snapToGrid w:val="0"/>
          <w:sz w:val="22"/>
          <w:szCs w:val="24"/>
        </w:rPr>
        <w:t> </w:t>
      </w:r>
      <w:r w:rsidR="005E424F" w:rsidRPr="00211E3B">
        <w:rPr>
          <w:snapToGrid w:val="0"/>
          <w:sz w:val="22"/>
          <w:szCs w:val="24"/>
        </w:rPr>
        <w:t>mėnesi</w:t>
      </w:r>
      <w:r w:rsidRPr="00211E3B">
        <w:rPr>
          <w:snapToGrid w:val="0"/>
          <w:sz w:val="22"/>
          <w:szCs w:val="24"/>
        </w:rPr>
        <w:t>ų laikotarpiu</w:t>
      </w:r>
      <w:r w:rsidR="005E424F" w:rsidRPr="00211E3B">
        <w:rPr>
          <w:snapToGrid w:val="0"/>
          <w:sz w:val="22"/>
          <w:szCs w:val="24"/>
        </w:rPr>
        <w:t xml:space="preserve"> prieš atranką). </w:t>
      </w:r>
      <w:r w:rsidRPr="00211E3B">
        <w:rPr>
          <w:snapToGrid w:val="0"/>
          <w:sz w:val="22"/>
          <w:szCs w:val="24"/>
        </w:rPr>
        <w:t xml:space="preserve">Buvo reikalaujama, kad </w:t>
      </w:r>
      <w:r w:rsidR="005E424F" w:rsidRPr="00211E3B">
        <w:rPr>
          <w:snapToGrid w:val="0"/>
          <w:sz w:val="22"/>
          <w:szCs w:val="24"/>
        </w:rPr>
        <w:t>pacientų</w:t>
      </w:r>
      <w:r w:rsidRPr="00211E3B">
        <w:rPr>
          <w:snapToGrid w:val="0"/>
          <w:sz w:val="22"/>
          <w:szCs w:val="24"/>
        </w:rPr>
        <w:t xml:space="preserve"> </w:t>
      </w:r>
      <w:r w:rsidR="005E424F" w:rsidRPr="00211E3B">
        <w:rPr>
          <w:snapToGrid w:val="0"/>
          <w:sz w:val="22"/>
          <w:szCs w:val="24"/>
        </w:rPr>
        <w:t>FGPT būtų didesnis arba lygus 45</w:t>
      </w:r>
      <w:r w:rsidR="0085390D">
        <w:rPr>
          <w:snapToGrid w:val="0"/>
          <w:sz w:val="22"/>
          <w:szCs w:val="24"/>
        </w:rPr>
        <w:t> %</w:t>
      </w:r>
      <w:r w:rsidR="005E424F" w:rsidRPr="00211E3B">
        <w:rPr>
          <w:snapToGrid w:val="0"/>
          <w:sz w:val="22"/>
          <w:szCs w:val="24"/>
        </w:rPr>
        <w:t xml:space="preserve"> </w:t>
      </w:r>
      <w:r w:rsidRPr="00211E3B">
        <w:rPr>
          <w:snapToGrid w:val="0"/>
          <w:sz w:val="22"/>
          <w:szCs w:val="24"/>
        </w:rPr>
        <w:t>numatyto</w:t>
      </w:r>
      <w:r w:rsidR="005E424F" w:rsidRPr="00211E3B">
        <w:rPr>
          <w:snapToGrid w:val="0"/>
          <w:sz w:val="22"/>
          <w:szCs w:val="24"/>
        </w:rPr>
        <w:t xml:space="preserve"> </w:t>
      </w:r>
      <w:r w:rsidRPr="00211E3B">
        <w:rPr>
          <w:snapToGrid w:val="0"/>
          <w:sz w:val="22"/>
          <w:szCs w:val="24"/>
        </w:rPr>
        <w:t>rodmens</w:t>
      </w:r>
      <w:r w:rsidR="005E424F" w:rsidRPr="00211E3B">
        <w:rPr>
          <w:snapToGrid w:val="0"/>
          <w:sz w:val="22"/>
          <w:szCs w:val="24"/>
        </w:rPr>
        <w:t>, o DLCO būtų nuo 30</w:t>
      </w:r>
      <w:r w:rsidR="0085390D">
        <w:rPr>
          <w:snapToGrid w:val="0"/>
          <w:sz w:val="22"/>
          <w:szCs w:val="24"/>
        </w:rPr>
        <w:t> %</w:t>
      </w:r>
      <w:r w:rsidR="005E424F" w:rsidRPr="00211E3B">
        <w:rPr>
          <w:snapToGrid w:val="0"/>
          <w:sz w:val="22"/>
          <w:szCs w:val="24"/>
        </w:rPr>
        <w:t xml:space="preserve"> iki mažiau kaip 80</w:t>
      </w:r>
      <w:r w:rsidR="0085390D">
        <w:rPr>
          <w:snapToGrid w:val="0"/>
          <w:sz w:val="22"/>
          <w:szCs w:val="24"/>
        </w:rPr>
        <w:t> %</w:t>
      </w:r>
      <w:r w:rsidRPr="00211E3B">
        <w:rPr>
          <w:snapToGrid w:val="0"/>
          <w:sz w:val="22"/>
          <w:szCs w:val="24"/>
        </w:rPr>
        <w:t xml:space="preserve"> numatyto</w:t>
      </w:r>
      <w:r w:rsidR="005E424F" w:rsidRPr="00211E3B">
        <w:rPr>
          <w:snapToGrid w:val="0"/>
          <w:sz w:val="22"/>
          <w:szCs w:val="24"/>
        </w:rPr>
        <w:t xml:space="preserve"> dydžio. Pacientų liga turėjo būti progresavusi nepaisant taikytų tinkamų ligos </w:t>
      </w:r>
      <w:r w:rsidRPr="00211E3B">
        <w:rPr>
          <w:snapToGrid w:val="0"/>
          <w:sz w:val="22"/>
          <w:szCs w:val="24"/>
        </w:rPr>
        <w:t xml:space="preserve">kontrolės </w:t>
      </w:r>
      <w:r w:rsidR="005E424F" w:rsidRPr="00211E3B">
        <w:rPr>
          <w:snapToGrid w:val="0"/>
          <w:sz w:val="22"/>
          <w:szCs w:val="24"/>
        </w:rPr>
        <w:t>priemonių, kurios taikytos, atsižvelgiant į atitinkama IPL sergančių pacientų gydymo klinikinę</w:t>
      </w:r>
      <w:r w:rsidRPr="00211E3B">
        <w:rPr>
          <w:snapToGrid w:val="0"/>
          <w:sz w:val="22"/>
          <w:szCs w:val="24"/>
        </w:rPr>
        <w:t xml:space="preserve"> </w:t>
      </w:r>
      <w:r w:rsidR="005E424F" w:rsidRPr="00211E3B">
        <w:rPr>
          <w:snapToGrid w:val="0"/>
          <w:sz w:val="22"/>
          <w:szCs w:val="24"/>
        </w:rPr>
        <w:t>praktiką.</w:t>
      </w:r>
    </w:p>
    <w:p w14:paraId="131E364D" w14:textId="77777777" w:rsidR="006D0FAE" w:rsidRPr="00211E3B" w:rsidRDefault="006D0FAE" w:rsidP="005E424F">
      <w:pPr>
        <w:ind w:right="-142"/>
        <w:rPr>
          <w:snapToGrid w:val="0"/>
          <w:sz w:val="22"/>
          <w:szCs w:val="24"/>
        </w:rPr>
      </w:pPr>
    </w:p>
    <w:p w14:paraId="4E8372C6" w14:textId="016C1F5C" w:rsidR="005E424F" w:rsidRPr="00211E3B" w:rsidRDefault="005E424F" w:rsidP="005E424F">
      <w:pPr>
        <w:ind w:right="-142"/>
        <w:rPr>
          <w:snapToGrid w:val="0"/>
          <w:sz w:val="22"/>
          <w:szCs w:val="24"/>
        </w:rPr>
      </w:pPr>
      <w:r w:rsidRPr="00211E3B">
        <w:rPr>
          <w:snapToGrid w:val="0"/>
          <w:sz w:val="22"/>
          <w:szCs w:val="24"/>
        </w:rPr>
        <w:t>Iš viso 663</w:t>
      </w:r>
      <w:r w:rsidR="00C10881" w:rsidRPr="00211E3B">
        <w:rPr>
          <w:snapToGrid w:val="0"/>
          <w:sz w:val="22"/>
          <w:szCs w:val="24"/>
        </w:rPr>
        <w:t> </w:t>
      </w:r>
      <w:r w:rsidRPr="00211E3B">
        <w:rPr>
          <w:snapToGrid w:val="0"/>
          <w:sz w:val="22"/>
          <w:szCs w:val="24"/>
        </w:rPr>
        <w:t>pacientai atsitiktinių imčių būdu santykiu 1:1 buvo suskirstyti į grupes</w:t>
      </w:r>
      <w:r w:rsidR="00C10881" w:rsidRPr="00211E3B">
        <w:rPr>
          <w:snapToGrid w:val="0"/>
          <w:sz w:val="22"/>
          <w:szCs w:val="24"/>
        </w:rPr>
        <w:t xml:space="preserve"> ir ne</w:t>
      </w:r>
      <w:r w:rsidRPr="00211E3B">
        <w:rPr>
          <w:snapToGrid w:val="0"/>
          <w:sz w:val="22"/>
          <w:szCs w:val="24"/>
        </w:rPr>
        <w:t xml:space="preserve"> trumpiau</w:t>
      </w:r>
      <w:r w:rsidR="00C10881" w:rsidRPr="00211E3B">
        <w:rPr>
          <w:snapToGrid w:val="0"/>
          <w:sz w:val="22"/>
          <w:szCs w:val="24"/>
        </w:rPr>
        <w:t xml:space="preserve"> </w:t>
      </w:r>
      <w:r w:rsidRPr="00211E3B">
        <w:rPr>
          <w:snapToGrid w:val="0"/>
          <w:sz w:val="22"/>
          <w:szCs w:val="24"/>
        </w:rPr>
        <w:t xml:space="preserve">kaip </w:t>
      </w:r>
      <w:r w:rsidR="00D7087C" w:rsidRPr="00211E3B">
        <w:rPr>
          <w:snapToGrid w:val="0"/>
          <w:sz w:val="22"/>
          <w:szCs w:val="24"/>
        </w:rPr>
        <w:t>52 s</w:t>
      </w:r>
      <w:r w:rsidRPr="00211E3B">
        <w:rPr>
          <w:snapToGrid w:val="0"/>
          <w:sz w:val="22"/>
          <w:szCs w:val="24"/>
        </w:rPr>
        <w:t xml:space="preserve">avaites vartojo </w:t>
      </w:r>
      <w:r w:rsidR="00C10881" w:rsidRPr="00211E3B">
        <w:rPr>
          <w:snapToGrid w:val="0"/>
          <w:sz w:val="22"/>
          <w:szCs w:val="24"/>
        </w:rPr>
        <w:t xml:space="preserve">nintedanibą </w:t>
      </w:r>
      <w:r w:rsidRPr="00211E3B">
        <w:rPr>
          <w:snapToGrid w:val="0"/>
          <w:sz w:val="22"/>
          <w:szCs w:val="24"/>
        </w:rPr>
        <w:t>150</w:t>
      </w:r>
      <w:r w:rsidR="0085390D">
        <w:rPr>
          <w:snapToGrid w:val="0"/>
          <w:sz w:val="22"/>
          <w:szCs w:val="24"/>
        </w:rPr>
        <w:t> mg</w:t>
      </w:r>
      <w:r w:rsidRPr="00211E3B">
        <w:rPr>
          <w:snapToGrid w:val="0"/>
          <w:sz w:val="22"/>
          <w:szCs w:val="24"/>
        </w:rPr>
        <w:t xml:space="preserve"> du kartus per parą arba vaistinį preparatą atitinkantį placebą.</w:t>
      </w:r>
      <w:r w:rsidR="00C10881" w:rsidRPr="00211E3B">
        <w:rPr>
          <w:snapToGrid w:val="0"/>
          <w:sz w:val="22"/>
          <w:szCs w:val="24"/>
        </w:rPr>
        <w:t xml:space="preserve"> Nintedanibo </w:t>
      </w:r>
      <w:r w:rsidRPr="00211E3B">
        <w:rPr>
          <w:snapToGrid w:val="0"/>
          <w:sz w:val="22"/>
          <w:szCs w:val="24"/>
        </w:rPr>
        <w:t>ekspozicijos mediana viso tyrimo metu buvo 17,4</w:t>
      </w:r>
      <w:r w:rsidR="00C10881" w:rsidRPr="00211E3B">
        <w:rPr>
          <w:snapToGrid w:val="0"/>
          <w:sz w:val="22"/>
          <w:szCs w:val="24"/>
        </w:rPr>
        <w:t> </w:t>
      </w:r>
      <w:r w:rsidRPr="00211E3B">
        <w:rPr>
          <w:snapToGrid w:val="0"/>
          <w:sz w:val="22"/>
          <w:szCs w:val="24"/>
        </w:rPr>
        <w:t xml:space="preserve">mėnesio, o vidutinė </w:t>
      </w:r>
      <w:r w:rsidR="00C10881" w:rsidRPr="00211E3B">
        <w:rPr>
          <w:snapToGrid w:val="0"/>
          <w:sz w:val="22"/>
          <w:szCs w:val="24"/>
        </w:rPr>
        <w:t xml:space="preserve">nintedanibo </w:t>
      </w:r>
      <w:r w:rsidRPr="00211E3B">
        <w:rPr>
          <w:snapToGrid w:val="0"/>
          <w:sz w:val="22"/>
          <w:szCs w:val="24"/>
        </w:rPr>
        <w:t>ekspozicija viso</w:t>
      </w:r>
      <w:r w:rsidR="00C10881" w:rsidRPr="00211E3B">
        <w:rPr>
          <w:snapToGrid w:val="0"/>
          <w:sz w:val="22"/>
          <w:szCs w:val="24"/>
        </w:rPr>
        <w:t xml:space="preserve"> </w:t>
      </w:r>
      <w:r w:rsidRPr="00211E3B">
        <w:rPr>
          <w:snapToGrid w:val="0"/>
          <w:sz w:val="22"/>
          <w:szCs w:val="24"/>
        </w:rPr>
        <w:t xml:space="preserve">tyrimo metu </w:t>
      </w:r>
      <w:r w:rsidR="00C10881" w:rsidRPr="00211E3B">
        <w:rPr>
          <w:snapToGrid w:val="0"/>
          <w:sz w:val="22"/>
          <w:szCs w:val="24"/>
        </w:rPr>
        <w:t>buvo</w:t>
      </w:r>
      <w:r w:rsidRPr="00211E3B">
        <w:rPr>
          <w:snapToGrid w:val="0"/>
          <w:sz w:val="22"/>
          <w:szCs w:val="24"/>
        </w:rPr>
        <w:t xml:space="preserve"> 15,6</w:t>
      </w:r>
      <w:r w:rsidR="00C10881" w:rsidRPr="00211E3B">
        <w:rPr>
          <w:snapToGrid w:val="0"/>
          <w:sz w:val="22"/>
          <w:szCs w:val="24"/>
        </w:rPr>
        <w:t> </w:t>
      </w:r>
      <w:r w:rsidRPr="00211E3B">
        <w:rPr>
          <w:snapToGrid w:val="0"/>
          <w:sz w:val="22"/>
          <w:szCs w:val="24"/>
        </w:rPr>
        <w:t xml:space="preserve">mėnesio. </w:t>
      </w:r>
      <w:r w:rsidR="00C10881" w:rsidRPr="00211E3B">
        <w:rPr>
          <w:snapToGrid w:val="0"/>
          <w:sz w:val="22"/>
          <w:szCs w:val="24"/>
        </w:rPr>
        <w:t xml:space="preserve">Priskyrimas atsitiktinėms imtims buvo stratifikuotas </w:t>
      </w:r>
      <w:r w:rsidRPr="00211E3B">
        <w:rPr>
          <w:snapToGrid w:val="0"/>
          <w:sz w:val="22"/>
          <w:szCs w:val="24"/>
        </w:rPr>
        <w:t>atsižvelgiant į</w:t>
      </w:r>
      <w:r w:rsidR="00C10881" w:rsidRPr="00211E3B">
        <w:rPr>
          <w:snapToGrid w:val="0"/>
          <w:sz w:val="22"/>
          <w:szCs w:val="24"/>
        </w:rPr>
        <w:t xml:space="preserve"> </w:t>
      </w:r>
      <w:r w:rsidRPr="00211E3B">
        <w:rPr>
          <w:snapToGrid w:val="0"/>
          <w:sz w:val="22"/>
          <w:szCs w:val="24"/>
        </w:rPr>
        <w:t>DSGKT nustatytą fibrozės pobūdį, įvertintą centrinės įstaigos recenzentų. Atsitiktin</w:t>
      </w:r>
      <w:r w:rsidR="00C10881" w:rsidRPr="00211E3B">
        <w:rPr>
          <w:snapToGrid w:val="0"/>
          <w:sz w:val="22"/>
          <w:szCs w:val="24"/>
        </w:rPr>
        <w:t>ėms imtims buvo priskirti</w:t>
      </w:r>
      <w:r w:rsidRPr="00211E3B">
        <w:rPr>
          <w:snapToGrid w:val="0"/>
          <w:sz w:val="22"/>
          <w:szCs w:val="24"/>
        </w:rPr>
        <w:t xml:space="preserve"> 412</w:t>
      </w:r>
      <w:r w:rsidR="00C10881" w:rsidRPr="00211E3B">
        <w:rPr>
          <w:snapToGrid w:val="0"/>
          <w:sz w:val="22"/>
          <w:szCs w:val="24"/>
        </w:rPr>
        <w:t> </w:t>
      </w:r>
      <w:r w:rsidRPr="00211E3B">
        <w:rPr>
          <w:snapToGrid w:val="0"/>
          <w:sz w:val="22"/>
          <w:szCs w:val="24"/>
        </w:rPr>
        <w:t>pacientų, kurių DSGKT rodė įprastai intersticinei pneumonijai (ĮIP) būdingą</w:t>
      </w:r>
      <w:r w:rsidR="00C10881" w:rsidRPr="00211E3B">
        <w:rPr>
          <w:snapToGrid w:val="0"/>
          <w:sz w:val="22"/>
          <w:szCs w:val="24"/>
        </w:rPr>
        <w:t xml:space="preserve"> </w:t>
      </w:r>
      <w:r w:rsidRPr="00211E3B">
        <w:rPr>
          <w:snapToGrid w:val="0"/>
          <w:sz w:val="22"/>
          <w:szCs w:val="24"/>
        </w:rPr>
        <w:t>fibrozės pobūdį, ir 251</w:t>
      </w:r>
      <w:r w:rsidR="00C10881" w:rsidRPr="00211E3B">
        <w:rPr>
          <w:snapToGrid w:val="0"/>
          <w:sz w:val="22"/>
          <w:szCs w:val="24"/>
        </w:rPr>
        <w:t> </w:t>
      </w:r>
      <w:r w:rsidRPr="00211E3B">
        <w:rPr>
          <w:snapToGrid w:val="0"/>
          <w:sz w:val="22"/>
          <w:szCs w:val="24"/>
        </w:rPr>
        <w:t>pacientas, kuri</w:t>
      </w:r>
      <w:r w:rsidR="005319C7">
        <w:rPr>
          <w:snapToGrid w:val="0"/>
          <w:sz w:val="22"/>
          <w:szCs w:val="24"/>
        </w:rPr>
        <w:t>o</w:t>
      </w:r>
      <w:r w:rsidRPr="00211E3B">
        <w:rPr>
          <w:snapToGrid w:val="0"/>
          <w:sz w:val="22"/>
          <w:szCs w:val="24"/>
        </w:rPr>
        <w:t xml:space="preserve"> DSGKT rodė kitokio pobūdžio fibrozę. Šiame tyrime</w:t>
      </w:r>
      <w:r w:rsidR="00C10881" w:rsidRPr="00211E3B">
        <w:rPr>
          <w:snapToGrid w:val="0"/>
          <w:sz w:val="22"/>
          <w:szCs w:val="24"/>
        </w:rPr>
        <w:t xml:space="preserve"> </w:t>
      </w:r>
      <w:r w:rsidRPr="00211E3B">
        <w:rPr>
          <w:snapToGrid w:val="0"/>
          <w:sz w:val="22"/>
          <w:szCs w:val="24"/>
        </w:rPr>
        <w:t xml:space="preserve">analizėms </w:t>
      </w:r>
      <w:r w:rsidR="00C10881" w:rsidRPr="00211E3B">
        <w:rPr>
          <w:snapToGrid w:val="0"/>
          <w:sz w:val="22"/>
          <w:szCs w:val="24"/>
        </w:rPr>
        <w:t xml:space="preserve">atlikti buvo </w:t>
      </w:r>
      <w:r w:rsidRPr="00211E3B">
        <w:rPr>
          <w:snapToGrid w:val="0"/>
          <w:sz w:val="22"/>
          <w:szCs w:val="24"/>
        </w:rPr>
        <w:t>sudaryti 2 pagrindinės populiacijos pogrupiai: visi pacientai (bendroji populiacija) ir</w:t>
      </w:r>
      <w:r w:rsidR="00C10881" w:rsidRPr="00211E3B">
        <w:rPr>
          <w:snapToGrid w:val="0"/>
          <w:sz w:val="22"/>
          <w:szCs w:val="24"/>
        </w:rPr>
        <w:t xml:space="preserve"> </w:t>
      </w:r>
      <w:r w:rsidRPr="00211E3B">
        <w:rPr>
          <w:snapToGrid w:val="0"/>
          <w:sz w:val="22"/>
          <w:szCs w:val="24"/>
        </w:rPr>
        <w:t>pacientai, kuriems DSGKT nustatytas ĮIP būdingas fibrozės pobūdis. Pacientai, kuriems DSGKT</w:t>
      </w:r>
      <w:r w:rsidR="00C10881" w:rsidRPr="00211E3B">
        <w:rPr>
          <w:snapToGrid w:val="0"/>
          <w:sz w:val="22"/>
          <w:szCs w:val="24"/>
        </w:rPr>
        <w:t xml:space="preserve"> </w:t>
      </w:r>
      <w:r w:rsidRPr="00211E3B">
        <w:rPr>
          <w:snapToGrid w:val="0"/>
          <w:sz w:val="22"/>
          <w:szCs w:val="24"/>
        </w:rPr>
        <w:t>nustatytos kitokio pobūdžio fibrozės, sudarė papildomą populiaciją.</w:t>
      </w:r>
    </w:p>
    <w:p w14:paraId="7821DE56" w14:textId="77777777" w:rsidR="00C10881" w:rsidRPr="00211E3B" w:rsidRDefault="00C10881" w:rsidP="005E424F">
      <w:pPr>
        <w:ind w:right="-142"/>
        <w:rPr>
          <w:snapToGrid w:val="0"/>
          <w:sz w:val="22"/>
          <w:szCs w:val="24"/>
        </w:rPr>
      </w:pPr>
    </w:p>
    <w:p w14:paraId="24530FFB" w14:textId="1E228E8D" w:rsidR="005E424F" w:rsidRPr="00211E3B" w:rsidRDefault="00EA0DC8" w:rsidP="005E424F">
      <w:pPr>
        <w:ind w:right="-142"/>
        <w:rPr>
          <w:snapToGrid w:val="0"/>
          <w:sz w:val="22"/>
          <w:szCs w:val="24"/>
        </w:rPr>
      </w:pPr>
      <w:r w:rsidRPr="00211E3B">
        <w:rPr>
          <w:snapToGrid w:val="0"/>
          <w:sz w:val="22"/>
          <w:szCs w:val="24"/>
        </w:rPr>
        <w:t>Pagrindinė</w:t>
      </w:r>
      <w:r w:rsidR="005E424F" w:rsidRPr="00211E3B">
        <w:rPr>
          <w:snapToGrid w:val="0"/>
          <w:sz w:val="22"/>
          <w:szCs w:val="24"/>
        </w:rPr>
        <w:t xml:space="preserve"> vertinamoji baigtis buvo metinis forsuotos gyvybinės plaučių talpos (FGPT) (ml)</w:t>
      </w:r>
      <w:r w:rsidRPr="00211E3B">
        <w:rPr>
          <w:snapToGrid w:val="0"/>
          <w:sz w:val="22"/>
          <w:szCs w:val="24"/>
        </w:rPr>
        <w:t xml:space="preserve"> </w:t>
      </w:r>
      <w:r w:rsidR="005E424F" w:rsidRPr="00211E3B">
        <w:rPr>
          <w:snapToGrid w:val="0"/>
          <w:sz w:val="22"/>
          <w:szCs w:val="24"/>
        </w:rPr>
        <w:t xml:space="preserve">sumažėjimo per </w:t>
      </w:r>
      <w:r w:rsidR="00D7087C" w:rsidRPr="00211E3B">
        <w:rPr>
          <w:snapToGrid w:val="0"/>
          <w:sz w:val="22"/>
          <w:szCs w:val="24"/>
        </w:rPr>
        <w:t>52 s</w:t>
      </w:r>
      <w:r w:rsidR="005E424F" w:rsidRPr="00211E3B">
        <w:rPr>
          <w:snapToGrid w:val="0"/>
          <w:sz w:val="22"/>
          <w:szCs w:val="24"/>
        </w:rPr>
        <w:t xml:space="preserve">avaites rodmuo. </w:t>
      </w:r>
      <w:r w:rsidRPr="00211E3B">
        <w:rPr>
          <w:snapToGrid w:val="0"/>
          <w:sz w:val="22"/>
          <w:szCs w:val="24"/>
        </w:rPr>
        <w:t>Svarbiausios antrinės</w:t>
      </w:r>
      <w:r w:rsidR="005E424F" w:rsidRPr="00211E3B">
        <w:rPr>
          <w:snapToGrid w:val="0"/>
          <w:sz w:val="22"/>
          <w:szCs w:val="24"/>
        </w:rPr>
        <w:t xml:space="preserve"> vertinamosios baigtys buvo absoliutus</w:t>
      </w:r>
      <w:r w:rsidRPr="00211E3B">
        <w:rPr>
          <w:snapToGrid w:val="0"/>
          <w:sz w:val="22"/>
          <w:szCs w:val="24"/>
        </w:rPr>
        <w:t xml:space="preserve"> Kingo trumpojo intersticinės plaučių ligos klausimyno (angl. </w:t>
      </w:r>
      <w:r w:rsidRPr="00211E3B">
        <w:rPr>
          <w:i/>
          <w:iCs/>
          <w:snapToGrid w:val="0"/>
          <w:sz w:val="22"/>
          <w:szCs w:val="24"/>
        </w:rPr>
        <w:t>King's Brief Interstitial Lung Disease Questionnaire</w:t>
      </w:r>
      <w:r w:rsidRPr="00211E3B">
        <w:rPr>
          <w:snapToGrid w:val="0"/>
          <w:sz w:val="22"/>
          <w:szCs w:val="24"/>
        </w:rPr>
        <w:t xml:space="preserve">, K-BILD) </w:t>
      </w:r>
      <w:r w:rsidR="005E424F" w:rsidRPr="00211E3B">
        <w:rPr>
          <w:snapToGrid w:val="0"/>
          <w:sz w:val="22"/>
          <w:szCs w:val="24"/>
        </w:rPr>
        <w:t xml:space="preserve">bendrojo </w:t>
      </w:r>
      <w:r w:rsidRPr="00211E3B">
        <w:rPr>
          <w:snapToGrid w:val="0"/>
          <w:sz w:val="22"/>
          <w:szCs w:val="24"/>
        </w:rPr>
        <w:t>įvertinimo</w:t>
      </w:r>
      <w:r w:rsidR="005E424F" w:rsidRPr="00211E3B">
        <w:rPr>
          <w:snapToGrid w:val="0"/>
          <w:sz w:val="22"/>
          <w:szCs w:val="24"/>
        </w:rPr>
        <w:t xml:space="preserve"> pokytis nuo pradinio </w:t>
      </w:r>
      <w:r w:rsidRPr="00211E3B">
        <w:rPr>
          <w:snapToGrid w:val="0"/>
          <w:sz w:val="22"/>
          <w:szCs w:val="24"/>
        </w:rPr>
        <w:t xml:space="preserve">rodmens </w:t>
      </w:r>
      <w:r w:rsidR="00D7087C" w:rsidRPr="00211E3B">
        <w:rPr>
          <w:snapToGrid w:val="0"/>
          <w:sz w:val="22"/>
          <w:szCs w:val="24"/>
        </w:rPr>
        <w:t>52 s</w:t>
      </w:r>
      <w:r w:rsidR="005E424F" w:rsidRPr="00211E3B">
        <w:rPr>
          <w:snapToGrid w:val="0"/>
          <w:sz w:val="22"/>
          <w:szCs w:val="24"/>
        </w:rPr>
        <w:t>avaitę, laikotarpis iki pirmo ūm</w:t>
      </w:r>
      <w:r w:rsidR="00B675DD">
        <w:rPr>
          <w:snapToGrid w:val="0"/>
          <w:sz w:val="22"/>
          <w:szCs w:val="24"/>
        </w:rPr>
        <w:t>inio</w:t>
      </w:r>
      <w:r w:rsidRPr="00211E3B">
        <w:rPr>
          <w:snapToGrid w:val="0"/>
          <w:sz w:val="22"/>
          <w:szCs w:val="24"/>
        </w:rPr>
        <w:t xml:space="preserve"> </w:t>
      </w:r>
      <w:r w:rsidR="005E424F" w:rsidRPr="00211E3B">
        <w:rPr>
          <w:snapToGrid w:val="0"/>
          <w:sz w:val="22"/>
          <w:szCs w:val="24"/>
        </w:rPr>
        <w:t xml:space="preserve">IPL pasunkėjimo arba mirties per </w:t>
      </w:r>
      <w:r w:rsidR="00D7087C" w:rsidRPr="00211E3B">
        <w:rPr>
          <w:snapToGrid w:val="0"/>
          <w:sz w:val="22"/>
          <w:szCs w:val="24"/>
        </w:rPr>
        <w:t>52 s</w:t>
      </w:r>
      <w:r w:rsidR="005E424F" w:rsidRPr="00211E3B">
        <w:rPr>
          <w:snapToGrid w:val="0"/>
          <w:sz w:val="22"/>
          <w:szCs w:val="24"/>
        </w:rPr>
        <w:t xml:space="preserve">avaites ir laikotarpis iki mirties per </w:t>
      </w:r>
      <w:r w:rsidR="00D7087C" w:rsidRPr="00211E3B">
        <w:rPr>
          <w:snapToGrid w:val="0"/>
          <w:sz w:val="22"/>
          <w:szCs w:val="24"/>
        </w:rPr>
        <w:t>52 s</w:t>
      </w:r>
      <w:r w:rsidR="005E424F" w:rsidRPr="00211E3B">
        <w:rPr>
          <w:snapToGrid w:val="0"/>
          <w:sz w:val="22"/>
          <w:szCs w:val="24"/>
        </w:rPr>
        <w:t>avaites.</w:t>
      </w:r>
    </w:p>
    <w:p w14:paraId="2CD60152" w14:textId="77777777" w:rsidR="00EA0DC8" w:rsidRPr="00211E3B" w:rsidRDefault="00EA0DC8" w:rsidP="005E424F">
      <w:pPr>
        <w:ind w:right="-142"/>
        <w:rPr>
          <w:snapToGrid w:val="0"/>
          <w:sz w:val="22"/>
          <w:szCs w:val="24"/>
        </w:rPr>
      </w:pPr>
    </w:p>
    <w:p w14:paraId="7DDEAD52" w14:textId="243D319D" w:rsidR="005E424F" w:rsidRPr="00211E3B" w:rsidRDefault="005E424F" w:rsidP="005E424F">
      <w:pPr>
        <w:ind w:right="-142"/>
        <w:rPr>
          <w:snapToGrid w:val="0"/>
          <w:sz w:val="22"/>
          <w:szCs w:val="24"/>
        </w:rPr>
      </w:pPr>
      <w:r w:rsidRPr="00211E3B">
        <w:rPr>
          <w:snapToGrid w:val="0"/>
          <w:sz w:val="22"/>
          <w:szCs w:val="24"/>
        </w:rPr>
        <w:t>Pacientų amžiaus vidurkis (standartinis nuokrypis [SN, min.-maks.]) buvo 65,8 (9,8, 27-87) metų, o</w:t>
      </w:r>
      <w:r w:rsidR="00C14BDA" w:rsidRPr="00211E3B">
        <w:rPr>
          <w:snapToGrid w:val="0"/>
          <w:sz w:val="22"/>
          <w:szCs w:val="24"/>
        </w:rPr>
        <w:t xml:space="preserve"> </w:t>
      </w:r>
      <w:r w:rsidRPr="00211E3B">
        <w:rPr>
          <w:snapToGrid w:val="0"/>
          <w:sz w:val="22"/>
          <w:szCs w:val="24"/>
        </w:rPr>
        <w:t xml:space="preserve">vidutinė FGPT, išreikšta procentais nuo </w:t>
      </w:r>
      <w:r w:rsidR="00C14BDA" w:rsidRPr="00211E3B">
        <w:rPr>
          <w:snapToGrid w:val="0"/>
          <w:sz w:val="22"/>
          <w:szCs w:val="24"/>
        </w:rPr>
        <w:t>numatyto</w:t>
      </w:r>
      <w:r w:rsidRPr="00211E3B">
        <w:rPr>
          <w:snapToGrid w:val="0"/>
          <w:sz w:val="22"/>
          <w:szCs w:val="24"/>
        </w:rPr>
        <w:t xml:space="preserve"> dydžio – 69</w:t>
      </w:r>
      <w:r w:rsidR="0085390D">
        <w:rPr>
          <w:snapToGrid w:val="0"/>
          <w:sz w:val="22"/>
          <w:szCs w:val="24"/>
        </w:rPr>
        <w:t> %</w:t>
      </w:r>
      <w:r w:rsidRPr="00211E3B">
        <w:rPr>
          <w:snapToGrid w:val="0"/>
          <w:sz w:val="22"/>
          <w:szCs w:val="24"/>
        </w:rPr>
        <w:t xml:space="preserve"> (15,6, 42-137). Pagrindinės klinikinės</w:t>
      </w:r>
    </w:p>
    <w:p w14:paraId="1A07D29C" w14:textId="1E8B292A" w:rsidR="005E424F" w:rsidRPr="00211E3B" w:rsidRDefault="005E424F" w:rsidP="005E424F">
      <w:pPr>
        <w:ind w:right="-142"/>
        <w:rPr>
          <w:snapToGrid w:val="0"/>
          <w:sz w:val="22"/>
          <w:szCs w:val="24"/>
        </w:rPr>
      </w:pPr>
      <w:r w:rsidRPr="00211E3B">
        <w:rPr>
          <w:snapToGrid w:val="0"/>
          <w:sz w:val="22"/>
          <w:szCs w:val="24"/>
        </w:rPr>
        <w:t xml:space="preserve">IPL diagnozės tyrime dalyvavusiose grupėse buvo </w:t>
      </w:r>
      <w:r w:rsidR="00C14BDA" w:rsidRPr="00211E3B">
        <w:rPr>
          <w:snapToGrid w:val="0"/>
          <w:sz w:val="22"/>
          <w:szCs w:val="24"/>
        </w:rPr>
        <w:t xml:space="preserve">padidėjusio jautrumo sukeltas </w:t>
      </w:r>
      <w:r w:rsidRPr="00211E3B">
        <w:rPr>
          <w:snapToGrid w:val="0"/>
          <w:sz w:val="22"/>
          <w:szCs w:val="24"/>
        </w:rPr>
        <w:t>pneumonitas (26,1</w:t>
      </w:r>
      <w:r w:rsidR="0085390D">
        <w:rPr>
          <w:snapToGrid w:val="0"/>
          <w:sz w:val="22"/>
          <w:szCs w:val="24"/>
        </w:rPr>
        <w:t> %</w:t>
      </w:r>
      <w:r w:rsidRPr="00211E3B">
        <w:rPr>
          <w:snapToGrid w:val="0"/>
          <w:sz w:val="22"/>
          <w:szCs w:val="24"/>
        </w:rPr>
        <w:t>),</w:t>
      </w:r>
      <w:r w:rsidR="00C14BDA" w:rsidRPr="00211E3B">
        <w:rPr>
          <w:snapToGrid w:val="0"/>
          <w:sz w:val="22"/>
          <w:szCs w:val="24"/>
        </w:rPr>
        <w:t xml:space="preserve"> </w:t>
      </w:r>
      <w:r w:rsidRPr="00211E3B">
        <w:rPr>
          <w:snapToGrid w:val="0"/>
          <w:sz w:val="22"/>
          <w:szCs w:val="24"/>
        </w:rPr>
        <w:t>autoimuninė IPL (25,6</w:t>
      </w:r>
      <w:r w:rsidR="0085390D">
        <w:rPr>
          <w:snapToGrid w:val="0"/>
          <w:sz w:val="22"/>
          <w:szCs w:val="24"/>
        </w:rPr>
        <w:t> %</w:t>
      </w:r>
      <w:r w:rsidRPr="00211E3B">
        <w:rPr>
          <w:snapToGrid w:val="0"/>
          <w:sz w:val="22"/>
          <w:szCs w:val="24"/>
        </w:rPr>
        <w:t>), nespecifinė idiopatinė intersticinė pneumonija (18,9</w:t>
      </w:r>
      <w:r w:rsidR="0085390D">
        <w:rPr>
          <w:snapToGrid w:val="0"/>
          <w:sz w:val="22"/>
          <w:szCs w:val="24"/>
        </w:rPr>
        <w:t> %</w:t>
      </w:r>
      <w:r w:rsidRPr="00211E3B">
        <w:rPr>
          <w:snapToGrid w:val="0"/>
          <w:sz w:val="22"/>
          <w:szCs w:val="24"/>
        </w:rPr>
        <w:t>), kitaip</w:t>
      </w:r>
      <w:r w:rsidR="00C14BDA" w:rsidRPr="00211E3B">
        <w:rPr>
          <w:snapToGrid w:val="0"/>
          <w:sz w:val="22"/>
          <w:szCs w:val="24"/>
        </w:rPr>
        <w:t xml:space="preserve"> </w:t>
      </w:r>
      <w:r w:rsidRPr="00211E3B">
        <w:rPr>
          <w:snapToGrid w:val="0"/>
          <w:sz w:val="22"/>
          <w:szCs w:val="24"/>
        </w:rPr>
        <w:t>neklasifikuojama idiopatinė intersticinė pneumonija (17,2</w:t>
      </w:r>
      <w:r w:rsidR="0085390D">
        <w:rPr>
          <w:snapToGrid w:val="0"/>
          <w:sz w:val="22"/>
          <w:szCs w:val="24"/>
        </w:rPr>
        <w:t> %</w:t>
      </w:r>
      <w:r w:rsidRPr="00211E3B">
        <w:rPr>
          <w:snapToGrid w:val="0"/>
          <w:sz w:val="22"/>
          <w:szCs w:val="24"/>
        </w:rPr>
        <w:t>) ir kitos IPL (12,2</w:t>
      </w:r>
      <w:r w:rsidR="0085390D">
        <w:rPr>
          <w:snapToGrid w:val="0"/>
          <w:sz w:val="22"/>
          <w:szCs w:val="24"/>
        </w:rPr>
        <w:t> %</w:t>
      </w:r>
      <w:r w:rsidRPr="00211E3B">
        <w:rPr>
          <w:snapToGrid w:val="0"/>
          <w:sz w:val="22"/>
          <w:szCs w:val="24"/>
        </w:rPr>
        <w:t>).</w:t>
      </w:r>
    </w:p>
    <w:p w14:paraId="29279F47" w14:textId="77777777" w:rsidR="00C14BDA" w:rsidRPr="00211E3B" w:rsidRDefault="00C14BDA" w:rsidP="005E424F">
      <w:pPr>
        <w:ind w:right="-142"/>
        <w:rPr>
          <w:snapToGrid w:val="0"/>
          <w:sz w:val="22"/>
          <w:szCs w:val="24"/>
        </w:rPr>
      </w:pPr>
    </w:p>
    <w:p w14:paraId="1952A1FA" w14:textId="3DBD5836" w:rsidR="005E424F" w:rsidRPr="00211E3B" w:rsidRDefault="005E424F" w:rsidP="005E424F">
      <w:pPr>
        <w:ind w:right="-142"/>
        <w:rPr>
          <w:snapToGrid w:val="0"/>
          <w:sz w:val="22"/>
          <w:szCs w:val="24"/>
        </w:rPr>
      </w:pPr>
      <w:r w:rsidRPr="00211E3B">
        <w:rPr>
          <w:snapToGrid w:val="0"/>
          <w:sz w:val="22"/>
          <w:szCs w:val="24"/>
        </w:rPr>
        <w:t xml:space="preserve">Tyrimas INBUILD nebuvo </w:t>
      </w:r>
      <w:r w:rsidR="00C14BDA" w:rsidRPr="00211E3B">
        <w:rPr>
          <w:snapToGrid w:val="0"/>
          <w:sz w:val="22"/>
          <w:szCs w:val="24"/>
        </w:rPr>
        <w:t>suplanuotas</w:t>
      </w:r>
      <w:r w:rsidRPr="00211E3B">
        <w:rPr>
          <w:snapToGrid w:val="0"/>
          <w:sz w:val="22"/>
          <w:szCs w:val="24"/>
        </w:rPr>
        <w:t xml:space="preserve"> arba </w:t>
      </w:r>
      <w:r w:rsidR="00C14BDA" w:rsidRPr="00211E3B">
        <w:rPr>
          <w:snapToGrid w:val="0"/>
          <w:sz w:val="22"/>
          <w:szCs w:val="24"/>
        </w:rPr>
        <w:t>pakankamos galios, kad būtų galima nustatyti palankų</w:t>
      </w:r>
      <w:r w:rsidRPr="00211E3B">
        <w:rPr>
          <w:snapToGrid w:val="0"/>
          <w:sz w:val="22"/>
          <w:szCs w:val="24"/>
        </w:rPr>
        <w:t xml:space="preserve"> nintedanibo </w:t>
      </w:r>
      <w:r w:rsidR="00C14BDA" w:rsidRPr="00211E3B">
        <w:rPr>
          <w:snapToGrid w:val="0"/>
          <w:sz w:val="22"/>
          <w:szCs w:val="24"/>
        </w:rPr>
        <w:t>poveikį</w:t>
      </w:r>
      <w:r w:rsidRPr="00211E3B">
        <w:rPr>
          <w:snapToGrid w:val="0"/>
          <w:sz w:val="22"/>
          <w:szCs w:val="24"/>
        </w:rPr>
        <w:t xml:space="preserve"> specifin</w:t>
      </w:r>
      <w:r w:rsidR="00C14BDA" w:rsidRPr="00211E3B">
        <w:rPr>
          <w:snapToGrid w:val="0"/>
          <w:sz w:val="22"/>
          <w:szCs w:val="24"/>
        </w:rPr>
        <w:t>ės</w:t>
      </w:r>
      <w:r w:rsidRPr="00211E3B">
        <w:rPr>
          <w:snapToGrid w:val="0"/>
          <w:sz w:val="22"/>
          <w:szCs w:val="24"/>
        </w:rPr>
        <w:t xml:space="preserve"> diagno</w:t>
      </w:r>
      <w:r w:rsidR="00C14BDA" w:rsidRPr="00211E3B">
        <w:rPr>
          <w:snapToGrid w:val="0"/>
          <w:sz w:val="22"/>
          <w:szCs w:val="24"/>
        </w:rPr>
        <w:t xml:space="preserve">zės </w:t>
      </w:r>
      <w:r w:rsidRPr="00211E3B">
        <w:rPr>
          <w:snapToGrid w:val="0"/>
          <w:sz w:val="22"/>
          <w:szCs w:val="24"/>
        </w:rPr>
        <w:t xml:space="preserve">pacientų pogrupiuose. </w:t>
      </w:r>
      <w:r w:rsidR="00C14BDA" w:rsidRPr="00211E3B">
        <w:rPr>
          <w:snapToGrid w:val="0"/>
          <w:sz w:val="22"/>
          <w:szCs w:val="24"/>
        </w:rPr>
        <w:t>Stabilus poveikis nustatytas pogrupiuose r</w:t>
      </w:r>
      <w:r w:rsidRPr="00211E3B">
        <w:rPr>
          <w:snapToGrid w:val="0"/>
          <w:sz w:val="22"/>
          <w:szCs w:val="24"/>
        </w:rPr>
        <w:t>emiantis IPL diagnozėmis.</w:t>
      </w:r>
      <w:r w:rsidR="00C14BDA" w:rsidRPr="00211E3B">
        <w:rPr>
          <w:snapToGrid w:val="0"/>
          <w:sz w:val="22"/>
          <w:szCs w:val="24"/>
        </w:rPr>
        <w:t xml:space="preserve"> </w:t>
      </w:r>
      <w:r w:rsidRPr="00211E3B">
        <w:rPr>
          <w:snapToGrid w:val="0"/>
          <w:sz w:val="22"/>
          <w:szCs w:val="24"/>
        </w:rPr>
        <w:t xml:space="preserve">Nintedanibo </w:t>
      </w:r>
      <w:r w:rsidR="00C14BDA" w:rsidRPr="00211E3B">
        <w:rPr>
          <w:snapToGrid w:val="0"/>
          <w:sz w:val="22"/>
          <w:szCs w:val="24"/>
        </w:rPr>
        <w:t>vartojimo</w:t>
      </w:r>
      <w:r w:rsidRPr="00211E3B">
        <w:rPr>
          <w:snapToGrid w:val="0"/>
          <w:sz w:val="22"/>
          <w:szCs w:val="24"/>
        </w:rPr>
        <w:t xml:space="preserve"> pacientams, sergantiems labai retomis progresuojančiomis IPL, nepakanka.</w:t>
      </w:r>
    </w:p>
    <w:p w14:paraId="0E502E99" w14:textId="77777777" w:rsidR="00E6726E" w:rsidRPr="00211E3B" w:rsidRDefault="00E6726E" w:rsidP="005E424F">
      <w:pPr>
        <w:ind w:right="-142"/>
        <w:rPr>
          <w:snapToGrid w:val="0"/>
          <w:sz w:val="22"/>
          <w:szCs w:val="24"/>
        </w:rPr>
      </w:pPr>
    </w:p>
    <w:p w14:paraId="121CB34A" w14:textId="344D234E" w:rsidR="005E424F" w:rsidRPr="00211E3B" w:rsidRDefault="005E424F" w:rsidP="005E424F">
      <w:pPr>
        <w:ind w:right="-142"/>
        <w:rPr>
          <w:i/>
          <w:iCs/>
          <w:snapToGrid w:val="0"/>
          <w:sz w:val="22"/>
          <w:szCs w:val="24"/>
        </w:rPr>
      </w:pPr>
      <w:r w:rsidRPr="00211E3B">
        <w:rPr>
          <w:i/>
          <w:iCs/>
          <w:snapToGrid w:val="0"/>
          <w:sz w:val="22"/>
          <w:szCs w:val="24"/>
        </w:rPr>
        <w:t>Metinis FGPT sumažėjimo rodmuo</w:t>
      </w:r>
    </w:p>
    <w:p w14:paraId="16C6009B" w14:textId="0DE9CD2D" w:rsidR="005E424F" w:rsidRPr="00211E3B" w:rsidRDefault="00A860E2" w:rsidP="005E424F">
      <w:pPr>
        <w:ind w:right="-142"/>
        <w:rPr>
          <w:snapToGrid w:val="0"/>
          <w:sz w:val="22"/>
          <w:szCs w:val="24"/>
        </w:rPr>
      </w:pPr>
      <w:r w:rsidRPr="00211E3B">
        <w:rPr>
          <w:snapToGrid w:val="0"/>
          <w:sz w:val="22"/>
          <w:szCs w:val="24"/>
        </w:rPr>
        <w:t xml:space="preserve">Nintedanibo </w:t>
      </w:r>
      <w:r w:rsidR="005E424F" w:rsidRPr="00211E3B">
        <w:rPr>
          <w:snapToGrid w:val="0"/>
          <w:sz w:val="22"/>
          <w:szCs w:val="24"/>
        </w:rPr>
        <w:t xml:space="preserve">vartojusių pacientų metinis FGPT sumažėjimo rodmuo (ml) </w:t>
      </w:r>
      <w:r w:rsidR="00D7087C" w:rsidRPr="00211E3B">
        <w:rPr>
          <w:snapToGrid w:val="0"/>
          <w:sz w:val="22"/>
          <w:szCs w:val="24"/>
        </w:rPr>
        <w:t>52 s</w:t>
      </w:r>
      <w:r w:rsidRPr="00211E3B">
        <w:rPr>
          <w:snapToGrid w:val="0"/>
          <w:sz w:val="22"/>
          <w:szCs w:val="24"/>
        </w:rPr>
        <w:t xml:space="preserve">avaičių laikotarpiu </w:t>
      </w:r>
      <w:r w:rsidR="005E424F" w:rsidRPr="00211E3B">
        <w:rPr>
          <w:snapToGrid w:val="0"/>
          <w:sz w:val="22"/>
          <w:szCs w:val="24"/>
        </w:rPr>
        <w:t>buvo reik</w:t>
      </w:r>
      <w:r w:rsidR="005E424F" w:rsidRPr="00830A3C">
        <w:rPr>
          <w:snapToGrid w:val="0"/>
          <w:sz w:val="22"/>
          <w:szCs w:val="24"/>
        </w:rPr>
        <w:t>šmingai</w:t>
      </w:r>
      <w:r w:rsidRPr="00830A3C">
        <w:rPr>
          <w:snapToGrid w:val="0"/>
          <w:sz w:val="22"/>
          <w:szCs w:val="24"/>
        </w:rPr>
        <w:t xml:space="preserve"> (</w:t>
      </w:r>
      <w:r w:rsidR="005E424F" w:rsidRPr="00830A3C">
        <w:rPr>
          <w:snapToGrid w:val="0"/>
          <w:sz w:val="22"/>
          <w:szCs w:val="24"/>
        </w:rPr>
        <w:t>107</w:t>
      </w:r>
      <w:r w:rsidR="0085390D" w:rsidRPr="00830A3C">
        <w:rPr>
          <w:snapToGrid w:val="0"/>
          <w:sz w:val="22"/>
          <w:szCs w:val="24"/>
        </w:rPr>
        <w:t> ml</w:t>
      </w:r>
      <w:r w:rsidRPr="00830A3C">
        <w:rPr>
          <w:snapToGrid w:val="0"/>
          <w:sz w:val="22"/>
          <w:szCs w:val="24"/>
        </w:rPr>
        <w:t>)</w:t>
      </w:r>
      <w:r w:rsidR="005E424F" w:rsidRPr="00830A3C">
        <w:rPr>
          <w:snapToGrid w:val="0"/>
          <w:sz w:val="22"/>
          <w:szCs w:val="24"/>
        </w:rPr>
        <w:t xml:space="preserve"> mažesnis, palyginti su placebą vartojusių pacientų </w:t>
      </w:r>
      <w:r w:rsidRPr="00830A3C">
        <w:rPr>
          <w:snapToGrid w:val="0"/>
          <w:sz w:val="22"/>
          <w:szCs w:val="24"/>
        </w:rPr>
        <w:t xml:space="preserve">rodmeniu </w:t>
      </w:r>
      <w:r w:rsidR="005E424F" w:rsidRPr="00830A3C">
        <w:rPr>
          <w:snapToGrid w:val="0"/>
          <w:sz w:val="22"/>
          <w:szCs w:val="24"/>
        </w:rPr>
        <w:t>(8 lentelė); tai atitiko 57</w:t>
      </w:r>
      <w:r w:rsidRPr="00830A3C">
        <w:rPr>
          <w:snapToGrid w:val="0"/>
          <w:sz w:val="22"/>
          <w:szCs w:val="24"/>
        </w:rPr>
        <w:t>,</w:t>
      </w:r>
      <w:r w:rsidR="00830A3C" w:rsidRPr="00830A3C">
        <w:rPr>
          <w:snapToGrid w:val="0"/>
          <w:sz w:val="22"/>
          <w:szCs w:val="24"/>
        </w:rPr>
        <w:t>0</w:t>
      </w:r>
      <w:r w:rsidR="0085390D" w:rsidRPr="00830A3C">
        <w:rPr>
          <w:snapToGrid w:val="0"/>
          <w:sz w:val="22"/>
          <w:szCs w:val="24"/>
        </w:rPr>
        <w:t> %</w:t>
      </w:r>
      <w:r w:rsidR="005E424F" w:rsidRPr="00830A3C">
        <w:rPr>
          <w:snapToGrid w:val="0"/>
          <w:sz w:val="22"/>
          <w:szCs w:val="24"/>
        </w:rPr>
        <w:t xml:space="preserve"> santykinį</w:t>
      </w:r>
      <w:r w:rsidRPr="00830A3C">
        <w:rPr>
          <w:snapToGrid w:val="0"/>
          <w:sz w:val="22"/>
          <w:szCs w:val="24"/>
        </w:rPr>
        <w:t xml:space="preserve"> </w:t>
      </w:r>
      <w:r w:rsidR="005E424F" w:rsidRPr="00830A3C">
        <w:rPr>
          <w:snapToGrid w:val="0"/>
          <w:sz w:val="22"/>
          <w:szCs w:val="24"/>
        </w:rPr>
        <w:t>gydymo poveikį.</w:t>
      </w:r>
    </w:p>
    <w:p w14:paraId="4511F2BB" w14:textId="3A937F51" w:rsidR="005E424F" w:rsidRPr="00211E3B" w:rsidRDefault="005E424F" w:rsidP="005E424F">
      <w:pPr>
        <w:ind w:right="-142"/>
        <w:rPr>
          <w:snapToGrid w:val="0"/>
          <w:sz w:val="22"/>
          <w:szCs w:val="24"/>
        </w:rPr>
      </w:pPr>
    </w:p>
    <w:p w14:paraId="5C99C128" w14:textId="6C906C43" w:rsidR="005E424F" w:rsidRPr="00211E3B" w:rsidRDefault="005E424F" w:rsidP="005E424F">
      <w:pPr>
        <w:ind w:right="-142"/>
        <w:rPr>
          <w:b/>
          <w:bCs/>
          <w:snapToGrid w:val="0"/>
          <w:sz w:val="22"/>
          <w:szCs w:val="24"/>
        </w:rPr>
      </w:pPr>
      <w:r w:rsidRPr="00211E3B">
        <w:rPr>
          <w:b/>
          <w:bCs/>
          <w:snapToGrid w:val="0"/>
          <w:sz w:val="22"/>
          <w:szCs w:val="24"/>
        </w:rPr>
        <w:t>8</w:t>
      </w:r>
      <w:r w:rsidR="00C55BEF" w:rsidRPr="00211E3B">
        <w:rPr>
          <w:b/>
          <w:bCs/>
          <w:snapToGrid w:val="0"/>
          <w:sz w:val="22"/>
          <w:szCs w:val="24"/>
        </w:rPr>
        <w:t> </w:t>
      </w:r>
      <w:r w:rsidRPr="00211E3B">
        <w:rPr>
          <w:b/>
          <w:bCs/>
          <w:snapToGrid w:val="0"/>
          <w:sz w:val="22"/>
          <w:szCs w:val="24"/>
        </w:rPr>
        <w:t>lentelė.</w:t>
      </w:r>
      <w:r w:rsidR="00C55BEF" w:rsidRPr="00211E3B">
        <w:rPr>
          <w:b/>
          <w:bCs/>
          <w:snapToGrid w:val="0"/>
          <w:sz w:val="22"/>
          <w:szCs w:val="24"/>
        </w:rPr>
        <w:tab/>
      </w:r>
      <w:r w:rsidRPr="00211E3B">
        <w:rPr>
          <w:b/>
          <w:bCs/>
          <w:snapToGrid w:val="0"/>
          <w:sz w:val="22"/>
          <w:szCs w:val="24"/>
        </w:rPr>
        <w:t>Metinis FGPT sumažėjimo rodmuo (ml)</w:t>
      </w:r>
      <w:r w:rsidR="00C55BEF" w:rsidRPr="00211E3B">
        <w:rPr>
          <w:b/>
          <w:bCs/>
          <w:snapToGrid w:val="0"/>
          <w:sz w:val="22"/>
          <w:szCs w:val="24"/>
        </w:rPr>
        <w:t xml:space="preserve"> </w:t>
      </w:r>
      <w:r w:rsidR="00D7087C" w:rsidRPr="00211E3B">
        <w:rPr>
          <w:b/>
          <w:bCs/>
          <w:snapToGrid w:val="0"/>
          <w:sz w:val="22"/>
          <w:szCs w:val="24"/>
        </w:rPr>
        <w:t>52 s</w:t>
      </w:r>
      <w:r w:rsidR="00C55BEF" w:rsidRPr="00211E3B">
        <w:rPr>
          <w:b/>
          <w:bCs/>
          <w:snapToGrid w:val="0"/>
          <w:sz w:val="22"/>
          <w:szCs w:val="24"/>
        </w:rPr>
        <w:t>avaičių laikotarpiu</w:t>
      </w:r>
    </w:p>
    <w:p w14:paraId="1E63FFAE" w14:textId="77777777" w:rsidR="00A607AB" w:rsidRPr="00211E3B" w:rsidRDefault="00A607AB" w:rsidP="00A607AB">
      <w:pPr>
        <w:keepNext/>
        <w:autoSpaceDE w:val="0"/>
        <w:autoSpaceDN w:val="0"/>
        <w:adjustRightInd w:val="0"/>
        <w:ind w:left="1134" w:hanging="1134"/>
        <w:rPr>
          <w:sz w:val="22"/>
          <w:szCs w:val="22"/>
        </w:rPr>
      </w:pPr>
    </w:p>
    <w:tbl>
      <w:tblPr>
        <w:tblStyle w:val="Lentelstinklelis"/>
        <w:tblW w:w="4994" w:type="pct"/>
        <w:tblLook w:val="04A0" w:firstRow="1" w:lastRow="0" w:firstColumn="1" w:lastColumn="0" w:noHBand="0" w:noVBand="1"/>
      </w:tblPr>
      <w:tblGrid>
        <w:gridCol w:w="3015"/>
        <w:gridCol w:w="3015"/>
        <w:gridCol w:w="3019"/>
      </w:tblGrid>
      <w:tr w:rsidR="00BE56AE" w:rsidRPr="00211E3B" w14:paraId="14C31711" w14:textId="77777777" w:rsidTr="00BE56AE">
        <w:trPr>
          <w:tblHeader/>
        </w:trPr>
        <w:tc>
          <w:tcPr>
            <w:tcW w:w="1666" w:type="pct"/>
          </w:tcPr>
          <w:p w14:paraId="7D54773F" w14:textId="77777777" w:rsidR="00BE56AE" w:rsidRPr="00211E3B" w:rsidRDefault="00BE56AE" w:rsidP="00BE56AE">
            <w:pPr>
              <w:autoSpaceDE w:val="0"/>
              <w:autoSpaceDN w:val="0"/>
              <w:adjustRightInd w:val="0"/>
              <w:rPr>
                <w:sz w:val="22"/>
                <w:szCs w:val="22"/>
                <w:lang w:val="lt-LT"/>
              </w:rPr>
            </w:pPr>
          </w:p>
        </w:tc>
        <w:tc>
          <w:tcPr>
            <w:tcW w:w="1666" w:type="pct"/>
          </w:tcPr>
          <w:p w14:paraId="2C6F9F34" w14:textId="28609D58" w:rsidR="00BE56AE" w:rsidRPr="00211E3B" w:rsidRDefault="00BE56AE" w:rsidP="00BE56AE">
            <w:pPr>
              <w:autoSpaceDE w:val="0"/>
              <w:autoSpaceDN w:val="0"/>
              <w:adjustRightInd w:val="0"/>
              <w:jc w:val="center"/>
              <w:rPr>
                <w:sz w:val="22"/>
                <w:szCs w:val="22"/>
                <w:lang w:val="lt-LT"/>
              </w:rPr>
            </w:pPr>
            <w:r w:rsidRPr="00211E3B">
              <w:rPr>
                <w:sz w:val="22"/>
                <w:szCs w:val="22"/>
                <w:lang w:val="lt-LT"/>
              </w:rPr>
              <w:t>Placebas</w:t>
            </w:r>
          </w:p>
        </w:tc>
        <w:tc>
          <w:tcPr>
            <w:tcW w:w="1668" w:type="pct"/>
          </w:tcPr>
          <w:p w14:paraId="6C6C609B" w14:textId="4E020233" w:rsidR="00BE56AE" w:rsidRPr="00211E3B" w:rsidRDefault="00BE56AE" w:rsidP="00BE56AE">
            <w:pPr>
              <w:autoSpaceDE w:val="0"/>
              <w:autoSpaceDN w:val="0"/>
              <w:adjustRightInd w:val="0"/>
              <w:jc w:val="center"/>
              <w:rPr>
                <w:sz w:val="22"/>
                <w:szCs w:val="22"/>
                <w:lang w:val="lt-LT"/>
              </w:rPr>
            </w:pPr>
            <w:r w:rsidRPr="00211E3B">
              <w:rPr>
                <w:sz w:val="22"/>
                <w:szCs w:val="22"/>
                <w:lang w:val="lt-LT"/>
              </w:rPr>
              <w:t>Nintedanibas 150</w:t>
            </w:r>
            <w:r w:rsidR="0085390D">
              <w:rPr>
                <w:sz w:val="22"/>
                <w:szCs w:val="22"/>
                <w:lang w:val="lt-LT"/>
              </w:rPr>
              <w:t> mg</w:t>
            </w:r>
            <w:r w:rsidRPr="00211E3B">
              <w:rPr>
                <w:sz w:val="22"/>
                <w:szCs w:val="22"/>
                <w:lang w:val="lt-LT"/>
              </w:rPr>
              <w:t xml:space="preserve"> du kartus per parą</w:t>
            </w:r>
          </w:p>
        </w:tc>
      </w:tr>
      <w:tr w:rsidR="00A607AB" w:rsidRPr="00211E3B" w14:paraId="3F8D45E0" w14:textId="77777777" w:rsidTr="00BE56AE">
        <w:tc>
          <w:tcPr>
            <w:tcW w:w="1666" w:type="pct"/>
          </w:tcPr>
          <w:p w14:paraId="1B58AB4A" w14:textId="2743EA30" w:rsidR="00A607AB" w:rsidRPr="00211E3B" w:rsidRDefault="00A607AB" w:rsidP="00256DA0">
            <w:pPr>
              <w:autoSpaceDE w:val="0"/>
              <w:autoSpaceDN w:val="0"/>
              <w:adjustRightInd w:val="0"/>
              <w:rPr>
                <w:sz w:val="22"/>
                <w:szCs w:val="22"/>
                <w:lang w:val="lt-LT"/>
              </w:rPr>
            </w:pPr>
            <w:r w:rsidRPr="00211E3B">
              <w:rPr>
                <w:sz w:val="22"/>
                <w:szCs w:val="22"/>
                <w:lang w:val="lt-LT"/>
              </w:rPr>
              <w:t>Analizuotų pacientų skaičius</w:t>
            </w:r>
          </w:p>
        </w:tc>
        <w:tc>
          <w:tcPr>
            <w:tcW w:w="1666" w:type="pct"/>
            <w:vAlign w:val="center"/>
          </w:tcPr>
          <w:p w14:paraId="33AFEDA1" w14:textId="77777777" w:rsidR="00A607AB" w:rsidRPr="00211E3B" w:rsidRDefault="00A607AB" w:rsidP="00256DA0">
            <w:pPr>
              <w:autoSpaceDE w:val="0"/>
              <w:autoSpaceDN w:val="0"/>
              <w:adjustRightInd w:val="0"/>
              <w:jc w:val="center"/>
              <w:rPr>
                <w:sz w:val="22"/>
                <w:szCs w:val="22"/>
                <w:lang w:val="lt-LT"/>
              </w:rPr>
            </w:pPr>
            <w:r w:rsidRPr="00211E3B">
              <w:rPr>
                <w:sz w:val="22"/>
                <w:szCs w:val="22"/>
                <w:lang w:val="lt-LT"/>
              </w:rPr>
              <w:t>331</w:t>
            </w:r>
          </w:p>
        </w:tc>
        <w:tc>
          <w:tcPr>
            <w:tcW w:w="1668" w:type="pct"/>
            <w:vAlign w:val="center"/>
          </w:tcPr>
          <w:p w14:paraId="7F3C18B8" w14:textId="77777777" w:rsidR="00A607AB" w:rsidRPr="00211E3B" w:rsidRDefault="00A607AB" w:rsidP="00256DA0">
            <w:pPr>
              <w:autoSpaceDE w:val="0"/>
              <w:autoSpaceDN w:val="0"/>
              <w:adjustRightInd w:val="0"/>
              <w:jc w:val="center"/>
              <w:rPr>
                <w:sz w:val="22"/>
                <w:szCs w:val="22"/>
                <w:lang w:val="lt-LT"/>
              </w:rPr>
            </w:pPr>
            <w:r w:rsidRPr="00211E3B">
              <w:rPr>
                <w:sz w:val="22"/>
                <w:szCs w:val="22"/>
                <w:lang w:val="lt-LT"/>
              </w:rPr>
              <w:t>332</w:t>
            </w:r>
          </w:p>
        </w:tc>
      </w:tr>
      <w:tr w:rsidR="00A607AB" w:rsidRPr="00211E3B" w14:paraId="209EFB71" w14:textId="77777777" w:rsidTr="00BE56AE">
        <w:tc>
          <w:tcPr>
            <w:tcW w:w="1666" w:type="pct"/>
          </w:tcPr>
          <w:p w14:paraId="29BE861B" w14:textId="4C2ED612" w:rsidR="00A607AB" w:rsidRPr="00211E3B" w:rsidRDefault="00A607AB" w:rsidP="00256DA0">
            <w:pPr>
              <w:autoSpaceDE w:val="0"/>
              <w:autoSpaceDN w:val="0"/>
              <w:adjustRightInd w:val="0"/>
              <w:rPr>
                <w:sz w:val="22"/>
                <w:szCs w:val="22"/>
                <w:lang w:val="lt-LT"/>
              </w:rPr>
            </w:pPr>
            <w:r w:rsidRPr="00211E3B">
              <w:rPr>
                <w:sz w:val="22"/>
                <w:szCs w:val="22"/>
                <w:lang w:val="lt-LT"/>
              </w:rPr>
              <w:t xml:space="preserve">Sumažėjimo per </w:t>
            </w:r>
            <w:r w:rsidR="00D7087C" w:rsidRPr="00211E3B">
              <w:rPr>
                <w:sz w:val="22"/>
                <w:szCs w:val="22"/>
                <w:lang w:val="lt-LT"/>
              </w:rPr>
              <w:t>52 s</w:t>
            </w:r>
            <w:r w:rsidRPr="00211E3B">
              <w:rPr>
                <w:sz w:val="22"/>
                <w:szCs w:val="22"/>
                <w:lang w:val="lt-LT"/>
              </w:rPr>
              <w:t>avaites rodmuo</w:t>
            </w:r>
            <w:r w:rsidRPr="00211E3B">
              <w:rPr>
                <w:sz w:val="22"/>
                <w:szCs w:val="22"/>
                <w:vertAlign w:val="superscript"/>
                <w:lang w:val="lt-LT"/>
              </w:rPr>
              <w:t>1</w:t>
            </w:r>
            <w:r w:rsidRPr="00211E3B">
              <w:rPr>
                <w:sz w:val="22"/>
                <w:szCs w:val="22"/>
                <w:lang w:val="lt-LT"/>
              </w:rPr>
              <w:t xml:space="preserve"> (SP)</w:t>
            </w:r>
          </w:p>
        </w:tc>
        <w:tc>
          <w:tcPr>
            <w:tcW w:w="1666" w:type="pct"/>
            <w:vAlign w:val="bottom"/>
          </w:tcPr>
          <w:p w14:paraId="0D2B8A96" w14:textId="221D963E" w:rsidR="00A607AB" w:rsidRPr="00211E3B" w:rsidRDefault="00A607AB" w:rsidP="00256DA0">
            <w:pPr>
              <w:autoSpaceDE w:val="0"/>
              <w:autoSpaceDN w:val="0"/>
              <w:adjustRightInd w:val="0"/>
              <w:jc w:val="center"/>
              <w:rPr>
                <w:sz w:val="22"/>
                <w:szCs w:val="22"/>
                <w:lang w:val="lt-LT"/>
              </w:rPr>
            </w:pPr>
            <w:r w:rsidRPr="00211E3B">
              <w:rPr>
                <w:sz w:val="22"/>
                <w:szCs w:val="22"/>
                <w:lang w:val="lt-LT"/>
              </w:rPr>
              <w:t>-187,8 (14,8)</w:t>
            </w:r>
          </w:p>
        </w:tc>
        <w:tc>
          <w:tcPr>
            <w:tcW w:w="1668" w:type="pct"/>
            <w:vAlign w:val="bottom"/>
          </w:tcPr>
          <w:p w14:paraId="5A7048A0" w14:textId="6ED64F13" w:rsidR="00A607AB" w:rsidRPr="00211E3B" w:rsidRDefault="00A607AB" w:rsidP="00256DA0">
            <w:pPr>
              <w:autoSpaceDE w:val="0"/>
              <w:autoSpaceDN w:val="0"/>
              <w:adjustRightInd w:val="0"/>
              <w:jc w:val="center"/>
              <w:rPr>
                <w:sz w:val="22"/>
                <w:szCs w:val="22"/>
                <w:lang w:val="lt-LT"/>
              </w:rPr>
            </w:pPr>
            <w:r w:rsidRPr="00211E3B">
              <w:rPr>
                <w:sz w:val="22"/>
                <w:szCs w:val="22"/>
                <w:lang w:val="lt-LT"/>
              </w:rPr>
              <w:t>-80,8 (15,1)</w:t>
            </w:r>
          </w:p>
        </w:tc>
      </w:tr>
      <w:tr w:rsidR="00A607AB" w:rsidRPr="00211E3B" w14:paraId="1F09D793" w14:textId="77777777" w:rsidTr="00256DA0">
        <w:tc>
          <w:tcPr>
            <w:tcW w:w="5000" w:type="pct"/>
            <w:gridSpan w:val="3"/>
            <w:vAlign w:val="center"/>
          </w:tcPr>
          <w:p w14:paraId="0E20E550" w14:textId="3C52D3F2" w:rsidR="00A607AB" w:rsidRPr="00211E3B" w:rsidRDefault="00A607AB" w:rsidP="00256DA0">
            <w:pPr>
              <w:autoSpaceDE w:val="0"/>
              <w:autoSpaceDN w:val="0"/>
              <w:adjustRightInd w:val="0"/>
              <w:rPr>
                <w:sz w:val="22"/>
                <w:szCs w:val="22"/>
                <w:lang w:val="lt-LT"/>
              </w:rPr>
            </w:pPr>
            <w:r w:rsidRPr="00211E3B">
              <w:rPr>
                <w:sz w:val="22"/>
                <w:szCs w:val="22"/>
                <w:lang w:val="lt-LT"/>
              </w:rPr>
              <w:t>Palyginimas su placebu</w:t>
            </w:r>
          </w:p>
        </w:tc>
      </w:tr>
      <w:tr w:rsidR="00A607AB" w:rsidRPr="00211E3B" w14:paraId="65D41249" w14:textId="77777777" w:rsidTr="00BE56AE">
        <w:tc>
          <w:tcPr>
            <w:tcW w:w="1666" w:type="pct"/>
          </w:tcPr>
          <w:p w14:paraId="579FEE01" w14:textId="59BDBB9F" w:rsidR="00A607AB" w:rsidRPr="00211E3B" w:rsidRDefault="00A607AB" w:rsidP="00256DA0">
            <w:pPr>
              <w:autoSpaceDE w:val="0"/>
              <w:autoSpaceDN w:val="0"/>
              <w:adjustRightInd w:val="0"/>
              <w:rPr>
                <w:sz w:val="22"/>
                <w:szCs w:val="22"/>
                <w:lang w:val="lt-LT"/>
              </w:rPr>
            </w:pPr>
            <w:r w:rsidRPr="00211E3B">
              <w:rPr>
                <w:sz w:val="22"/>
                <w:szCs w:val="22"/>
                <w:lang w:val="lt-LT"/>
              </w:rPr>
              <w:t>Skirtumas</w:t>
            </w:r>
            <w:r w:rsidRPr="00211E3B">
              <w:rPr>
                <w:sz w:val="22"/>
                <w:szCs w:val="22"/>
                <w:vertAlign w:val="superscript"/>
                <w:lang w:val="lt-LT"/>
              </w:rPr>
              <w:t>1</w:t>
            </w:r>
          </w:p>
        </w:tc>
        <w:tc>
          <w:tcPr>
            <w:tcW w:w="1666" w:type="pct"/>
            <w:vAlign w:val="center"/>
          </w:tcPr>
          <w:p w14:paraId="2D7A80C5" w14:textId="77777777" w:rsidR="00A607AB" w:rsidRPr="00211E3B" w:rsidRDefault="00A607AB" w:rsidP="00256DA0">
            <w:pPr>
              <w:autoSpaceDE w:val="0"/>
              <w:autoSpaceDN w:val="0"/>
              <w:adjustRightInd w:val="0"/>
              <w:jc w:val="center"/>
              <w:rPr>
                <w:sz w:val="22"/>
                <w:szCs w:val="22"/>
                <w:lang w:val="lt-LT"/>
              </w:rPr>
            </w:pPr>
          </w:p>
        </w:tc>
        <w:tc>
          <w:tcPr>
            <w:tcW w:w="1668" w:type="pct"/>
            <w:vAlign w:val="center"/>
          </w:tcPr>
          <w:p w14:paraId="4FAAC854" w14:textId="0346C139" w:rsidR="00A607AB" w:rsidRPr="00211E3B" w:rsidRDefault="00A607AB" w:rsidP="00256DA0">
            <w:pPr>
              <w:autoSpaceDE w:val="0"/>
              <w:autoSpaceDN w:val="0"/>
              <w:adjustRightInd w:val="0"/>
              <w:jc w:val="center"/>
              <w:rPr>
                <w:sz w:val="22"/>
                <w:szCs w:val="22"/>
                <w:lang w:val="lt-LT"/>
              </w:rPr>
            </w:pPr>
            <w:r w:rsidRPr="00211E3B">
              <w:rPr>
                <w:sz w:val="22"/>
                <w:szCs w:val="22"/>
                <w:lang w:val="lt-LT"/>
              </w:rPr>
              <w:t>107,0</w:t>
            </w:r>
          </w:p>
        </w:tc>
      </w:tr>
      <w:tr w:rsidR="00A607AB" w:rsidRPr="00211E3B" w14:paraId="4044A92D" w14:textId="77777777" w:rsidTr="00BE56AE">
        <w:tc>
          <w:tcPr>
            <w:tcW w:w="1666" w:type="pct"/>
            <w:vAlign w:val="center"/>
          </w:tcPr>
          <w:p w14:paraId="13CE5735" w14:textId="1EFE9E25" w:rsidR="00A607AB" w:rsidRPr="00211E3B" w:rsidRDefault="00A607AB" w:rsidP="00256DA0">
            <w:pPr>
              <w:autoSpaceDE w:val="0"/>
              <w:autoSpaceDN w:val="0"/>
              <w:adjustRightInd w:val="0"/>
              <w:ind w:left="317"/>
              <w:rPr>
                <w:sz w:val="22"/>
                <w:szCs w:val="22"/>
                <w:lang w:val="lt-LT"/>
              </w:rPr>
            </w:pPr>
            <w:r w:rsidRPr="00211E3B">
              <w:rPr>
                <w:sz w:val="22"/>
                <w:szCs w:val="22"/>
                <w:lang w:val="lt-LT"/>
              </w:rPr>
              <w:t>95</w:t>
            </w:r>
            <w:r w:rsidR="0085390D">
              <w:rPr>
                <w:sz w:val="22"/>
                <w:szCs w:val="22"/>
                <w:lang w:val="lt-LT"/>
              </w:rPr>
              <w:t xml:space="preserve"> %</w:t>
            </w:r>
            <w:r w:rsidRPr="00211E3B">
              <w:rPr>
                <w:sz w:val="22"/>
                <w:szCs w:val="22"/>
                <w:lang w:val="lt-LT"/>
              </w:rPr>
              <w:t> PI</w:t>
            </w:r>
          </w:p>
        </w:tc>
        <w:tc>
          <w:tcPr>
            <w:tcW w:w="1666" w:type="pct"/>
            <w:vAlign w:val="center"/>
          </w:tcPr>
          <w:p w14:paraId="6DF45A2D" w14:textId="77777777" w:rsidR="00A607AB" w:rsidRPr="00211E3B" w:rsidRDefault="00A607AB" w:rsidP="00256DA0">
            <w:pPr>
              <w:autoSpaceDE w:val="0"/>
              <w:autoSpaceDN w:val="0"/>
              <w:adjustRightInd w:val="0"/>
              <w:jc w:val="center"/>
              <w:rPr>
                <w:sz w:val="22"/>
                <w:szCs w:val="22"/>
                <w:lang w:val="lt-LT"/>
              </w:rPr>
            </w:pPr>
          </w:p>
        </w:tc>
        <w:tc>
          <w:tcPr>
            <w:tcW w:w="1668" w:type="pct"/>
            <w:vAlign w:val="center"/>
          </w:tcPr>
          <w:p w14:paraId="52346CF4" w14:textId="1BF27D57" w:rsidR="00A607AB" w:rsidRPr="00211E3B" w:rsidRDefault="00A607AB" w:rsidP="00256DA0">
            <w:pPr>
              <w:autoSpaceDE w:val="0"/>
              <w:autoSpaceDN w:val="0"/>
              <w:adjustRightInd w:val="0"/>
              <w:jc w:val="center"/>
              <w:rPr>
                <w:sz w:val="22"/>
                <w:szCs w:val="22"/>
                <w:lang w:val="lt-LT"/>
              </w:rPr>
            </w:pPr>
            <w:r w:rsidRPr="00211E3B">
              <w:rPr>
                <w:sz w:val="22"/>
                <w:szCs w:val="22"/>
                <w:lang w:val="lt-LT"/>
              </w:rPr>
              <w:t>(65,4, 148,5)</w:t>
            </w:r>
          </w:p>
        </w:tc>
      </w:tr>
      <w:tr w:rsidR="00A607AB" w:rsidRPr="00211E3B" w14:paraId="3AD9FF66" w14:textId="77777777" w:rsidTr="00BE56AE">
        <w:tc>
          <w:tcPr>
            <w:tcW w:w="1666" w:type="pct"/>
            <w:vAlign w:val="center"/>
          </w:tcPr>
          <w:p w14:paraId="251B09B4" w14:textId="2EC3800E" w:rsidR="00A607AB" w:rsidRPr="00211E3B" w:rsidRDefault="00A607AB" w:rsidP="00256DA0">
            <w:pPr>
              <w:autoSpaceDE w:val="0"/>
              <w:autoSpaceDN w:val="0"/>
              <w:adjustRightInd w:val="0"/>
              <w:ind w:left="317"/>
              <w:rPr>
                <w:sz w:val="22"/>
                <w:szCs w:val="22"/>
                <w:lang w:val="lt-LT"/>
              </w:rPr>
            </w:pPr>
            <w:r w:rsidRPr="00211E3B">
              <w:rPr>
                <w:sz w:val="22"/>
                <w:szCs w:val="22"/>
                <w:lang w:val="lt-LT"/>
              </w:rPr>
              <w:lastRenderedPageBreak/>
              <w:t>p r</w:t>
            </w:r>
            <w:r w:rsidR="00B675DD">
              <w:rPr>
                <w:sz w:val="22"/>
                <w:szCs w:val="22"/>
                <w:lang w:val="lt-LT"/>
              </w:rPr>
              <w:t>eikšmė</w:t>
            </w:r>
          </w:p>
        </w:tc>
        <w:tc>
          <w:tcPr>
            <w:tcW w:w="1666" w:type="pct"/>
            <w:vAlign w:val="center"/>
          </w:tcPr>
          <w:p w14:paraId="194FF684" w14:textId="77777777" w:rsidR="00A607AB" w:rsidRPr="00211E3B" w:rsidRDefault="00A607AB" w:rsidP="00256DA0">
            <w:pPr>
              <w:autoSpaceDE w:val="0"/>
              <w:autoSpaceDN w:val="0"/>
              <w:adjustRightInd w:val="0"/>
              <w:jc w:val="center"/>
              <w:rPr>
                <w:sz w:val="22"/>
                <w:szCs w:val="22"/>
                <w:lang w:val="lt-LT"/>
              </w:rPr>
            </w:pPr>
          </w:p>
        </w:tc>
        <w:tc>
          <w:tcPr>
            <w:tcW w:w="1668" w:type="pct"/>
            <w:vAlign w:val="center"/>
          </w:tcPr>
          <w:p w14:paraId="2BB0DB4E" w14:textId="631FA7CB" w:rsidR="00A607AB" w:rsidRPr="00211E3B" w:rsidRDefault="00A607AB" w:rsidP="00256DA0">
            <w:pPr>
              <w:autoSpaceDE w:val="0"/>
              <w:autoSpaceDN w:val="0"/>
              <w:adjustRightInd w:val="0"/>
              <w:jc w:val="center"/>
              <w:rPr>
                <w:sz w:val="22"/>
                <w:szCs w:val="22"/>
                <w:lang w:val="lt-LT"/>
              </w:rPr>
            </w:pPr>
            <w:r w:rsidRPr="00211E3B">
              <w:rPr>
                <w:sz w:val="22"/>
                <w:szCs w:val="22"/>
                <w:lang w:val="lt-LT"/>
              </w:rPr>
              <w:t>&lt; 0,0001</w:t>
            </w:r>
          </w:p>
        </w:tc>
      </w:tr>
    </w:tbl>
    <w:p w14:paraId="20F6E024" w14:textId="3EDE9A47" w:rsidR="005E424F" w:rsidRPr="00211E3B" w:rsidRDefault="005E424F" w:rsidP="005E424F">
      <w:pPr>
        <w:ind w:right="-142"/>
        <w:rPr>
          <w:snapToGrid w:val="0"/>
          <w:sz w:val="22"/>
          <w:szCs w:val="24"/>
        </w:rPr>
      </w:pPr>
      <w:r w:rsidRPr="00211E3B">
        <w:rPr>
          <w:snapToGrid w:val="0"/>
          <w:sz w:val="20"/>
          <w:szCs w:val="22"/>
          <w:vertAlign w:val="superscript"/>
        </w:rPr>
        <w:t>1</w:t>
      </w:r>
      <w:r w:rsidR="00072258" w:rsidRPr="00211E3B">
        <w:rPr>
          <w:snapToGrid w:val="0"/>
          <w:sz w:val="20"/>
          <w:szCs w:val="22"/>
        </w:rPr>
        <w:t xml:space="preserve"> </w:t>
      </w:r>
      <w:r w:rsidRPr="00211E3B">
        <w:rPr>
          <w:snapToGrid w:val="0"/>
          <w:sz w:val="20"/>
          <w:szCs w:val="22"/>
        </w:rPr>
        <w:t>Remiantis atsitiktinio koeficiento regresija, į analizę įtraukus fiksuotą kategorinį gydymo poveikį, DSGKT</w:t>
      </w:r>
      <w:r w:rsidR="00072258" w:rsidRPr="00211E3B">
        <w:rPr>
          <w:snapToGrid w:val="0"/>
          <w:sz w:val="20"/>
          <w:szCs w:val="22"/>
        </w:rPr>
        <w:t xml:space="preserve"> </w:t>
      </w:r>
      <w:r w:rsidRPr="00211E3B">
        <w:rPr>
          <w:snapToGrid w:val="0"/>
          <w:sz w:val="20"/>
          <w:szCs w:val="22"/>
        </w:rPr>
        <w:t>nustatytą pobūdį, fiksuotų tolydžiųjų laiko ir pradinės FGPT [ml] veiksnių poveikį, įskaitant gydymo laiko</w:t>
      </w:r>
      <w:r w:rsidR="00072258" w:rsidRPr="00211E3B">
        <w:rPr>
          <w:snapToGrid w:val="0"/>
          <w:sz w:val="20"/>
          <w:szCs w:val="22"/>
        </w:rPr>
        <w:t xml:space="preserve"> </w:t>
      </w:r>
      <w:r w:rsidRPr="00211E3B">
        <w:rPr>
          <w:snapToGrid w:val="0"/>
          <w:sz w:val="20"/>
          <w:szCs w:val="22"/>
        </w:rPr>
        <w:t>atžvilgiu bei pradinio vertinimo laiko atžvilgiu tarpusavio sąveiką.</w:t>
      </w:r>
    </w:p>
    <w:p w14:paraId="72BC885C" w14:textId="77777777" w:rsidR="00A607AB" w:rsidRPr="00211E3B" w:rsidRDefault="00A607AB" w:rsidP="005E424F">
      <w:pPr>
        <w:ind w:right="-142"/>
        <w:rPr>
          <w:snapToGrid w:val="0"/>
          <w:sz w:val="22"/>
          <w:szCs w:val="24"/>
        </w:rPr>
      </w:pPr>
    </w:p>
    <w:p w14:paraId="79C24809" w14:textId="045E0968" w:rsidR="005E424F" w:rsidRPr="00211E3B" w:rsidRDefault="00301A83" w:rsidP="005E424F">
      <w:pPr>
        <w:ind w:right="-142"/>
        <w:rPr>
          <w:snapToGrid w:val="0"/>
          <w:sz w:val="22"/>
          <w:szCs w:val="24"/>
        </w:rPr>
      </w:pPr>
      <w:r w:rsidRPr="00211E3B">
        <w:rPr>
          <w:snapToGrid w:val="0"/>
          <w:sz w:val="22"/>
          <w:szCs w:val="24"/>
        </w:rPr>
        <w:t>Panašūs rezultatai buvo nustatyti ko-pagrindinė</w:t>
      </w:r>
      <w:r w:rsidR="00777FCA" w:rsidRPr="00211E3B">
        <w:rPr>
          <w:snapToGrid w:val="0"/>
          <w:sz w:val="22"/>
          <w:szCs w:val="24"/>
        </w:rPr>
        <w:t>j</w:t>
      </w:r>
      <w:r w:rsidRPr="00211E3B">
        <w:rPr>
          <w:snapToGrid w:val="0"/>
          <w:sz w:val="22"/>
          <w:szCs w:val="24"/>
        </w:rPr>
        <w:t xml:space="preserve">e </w:t>
      </w:r>
      <w:r w:rsidR="00777FCA" w:rsidRPr="00211E3B">
        <w:rPr>
          <w:snapToGrid w:val="0"/>
          <w:sz w:val="22"/>
          <w:szCs w:val="24"/>
        </w:rPr>
        <w:t>p</w:t>
      </w:r>
      <w:r w:rsidR="005E424F" w:rsidRPr="00211E3B">
        <w:rPr>
          <w:snapToGrid w:val="0"/>
          <w:sz w:val="22"/>
          <w:szCs w:val="24"/>
        </w:rPr>
        <w:t xml:space="preserve">acientų, kuriems DSGKT </w:t>
      </w:r>
      <w:r w:rsidRPr="00211E3B">
        <w:rPr>
          <w:snapToGrid w:val="0"/>
          <w:sz w:val="22"/>
          <w:szCs w:val="24"/>
        </w:rPr>
        <w:t xml:space="preserve">buvo </w:t>
      </w:r>
      <w:r w:rsidR="005E424F" w:rsidRPr="00211E3B">
        <w:rPr>
          <w:snapToGrid w:val="0"/>
          <w:sz w:val="22"/>
          <w:szCs w:val="24"/>
        </w:rPr>
        <w:t>nustatytas ĮIP būdingas fibrozės pobūdis, populiacijo</w:t>
      </w:r>
      <w:r w:rsidR="00777FCA" w:rsidRPr="00211E3B">
        <w:rPr>
          <w:snapToGrid w:val="0"/>
          <w:sz w:val="22"/>
          <w:szCs w:val="24"/>
        </w:rPr>
        <w:t>je</w:t>
      </w:r>
      <w:r w:rsidR="005E424F" w:rsidRPr="00211E3B">
        <w:rPr>
          <w:snapToGrid w:val="0"/>
          <w:sz w:val="22"/>
          <w:szCs w:val="24"/>
        </w:rPr>
        <w:t xml:space="preserve">. Gydymo poveikis atitiko rezultatus, gautus </w:t>
      </w:r>
      <w:r w:rsidR="00777FCA" w:rsidRPr="00211E3B">
        <w:rPr>
          <w:snapToGrid w:val="0"/>
          <w:sz w:val="22"/>
          <w:szCs w:val="24"/>
        </w:rPr>
        <w:t xml:space="preserve">papildomoje </w:t>
      </w:r>
      <w:r w:rsidR="005E424F" w:rsidRPr="00211E3B">
        <w:rPr>
          <w:snapToGrid w:val="0"/>
          <w:sz w:val="22"/>
          <w:szCs w:val="24"/>
        </w:rPr>
        <w:t>pacientų, kuriems DSGKT nustatytos</w:t>
      </w:r>
      <w:r w:rsidR="00777FCA" w:rsidRPr="00211E3B">
        <w:rPr>
          <w:snapToGrid w:val="0"/>
          <w:sz w:val="22"/>
          <w:szCs w:val="24"/>
        </w:rPr>
        <w:t xml:space="preserve"> </w:t>
      </w:r>
      <w:r w:rsidR="005E424F" w:rsidRPr="00211E3B">
        <w:rPr>
          <w:snapToGrid w:val="0"/>
          <w:sz w:val="22"/>
          <w:szCs w:val="24"/>
        </w:rPr>
        <w:t>kitokio pobūdžio fibrozės, populiacijoje (sąveikos p reikšmė 0,2268) (2</w:t>
      </w:r>
      <w:r w:rsidR="00D22B19" w:rsidRPr="00211E3B">
        <w:rPr>
          <w:snapToGrid w:val="0"/>
          <w:sz w:val="22"/>
          <w:szCs w:val="24"/>
        </w:rPr>
        <w:t> </w:t>
      </w:r>
      <w:r w:rsidR="005E424F" w:rsidRPr="00211E3B">
        <w:rPr>
          <w:snapToGrid w:val="0"/>
          <w:sz w:val="22"/>
          <w:szCs w:val="24"/>
        </w:rPr>
        <w:t>pav</w:t>
      </w:r>
      <w:r w:rsidR="00777FCA" w:rsidRPr="00211E3B">
        <w:rPr>
          <w:snapToGrid w:val="0"/>
          <w:sz w:val="22"/>
          <w:szCs w:val="24"/>
        </w:rPr>
        <w:t>eikslas</w:t>
      </w:r>
      <w:r w:rsidR="005E424F" w:rsidRPr="00211E3B">
        <w:rPr>
          <w:snapToGrid w:val="0"/>
          <w:sz w:val="22"/>
          <w:szCs w:val="24"/>
        </w:rPr>
        <w:t>).</w:t>
      </w:r>
    </w:p>
    <w:p w14:paraId="064A92D8" w14:textId="77777777" w:rsidR="00072258" w:rsidRPr="00211E3B" w:rsidRDefault="00072258" w:rsidP="005E424F">
      <w:pPr>
        <w:ind w:right="-142"/>
        <w:rPr>
          <w:snapToGrid w:val="0"/>
          <w:sz w:val="22"/>
          <w:szCs w:val="24"/>
        </w:rPr>
      </w:pPr>
    </w:p>
    <w:p w14:paraId="4FAB62CF" w14:textId="4F8C230B" w:rsidR="005E424F" w:rsidRPr="00211E3B" w:rsidRDefault="005E424F" w:rsidP="009812E8">
      <w:pPr>
        <w:ind w:left="1296" w:right="-142" w:hanging="1296"/>
        <w:rPr>
          <w:b/>
          <w:bCs/>
          <w:snapToGrid w:val="0"/>
          <w:sz w:val="22"/>
          <w:szCs w:val="24"/>
        </w:rPr>
      </w:pPr>
      <w:r w:rsidRPr="00211E3B">
        <w:rPr>
          <w:b/>
          <w:bCs/>
          <w:snapToGrid w:val="0"/>
          <w:sz w:val="22"/>
          <w:szCs w:val="24"/>
        </w:rPr>
        <w:t>2</w:t>
      </w:r>
      <w:r w:rsidR="00072258" w:rsidRPr="00211E3B">
        <w:rPr>
          <w:b/>
          <w:bCs/>
          <w:snapToGrid w:val="0"/>
          <w:sz w:val="22"/>
          <w:szCs w:val="24"/>
        </w:rPr>
        <w:t> </w:t>
      </w:r>
      <w:r w:rsidRPr="00211E3B">
        <w:rPr>
          <w:b/>
          <w:bCs/>
          <w:snapToGrid w:val="0"/>
          <w:sz w:val="22"/>
          <w:szCs w:val="24"/>
        </w:rPr>
        <w:t>pav</w:t>
      </w:r>
      <w:r w:rsidR="00072258" w:rsidRPr="00211E3B">
        <w:rPr>
          <w:b/>
          <w:bCs/>
          <w:snapToGrid w:val="0"/>
          <w:sz w:val="22"/>
          <w:szCs w:val="24"/>
        </w:rPr>
        <w:t>eikslas</w:t>
      </w:r>
      <w:r w:rsidRPr="00211E3B">
        <w:rPr>
          <w:b/>
          <w:bCs/>
          <w:snapToGrid w:val="0"/>
          <w:sz w:val="22"/>
          <w:szCs w:val="24"/>
        </w:rPr>
        <w:t>.</w:t>
      </w:r>
      <w:r w:rsidR="00D22B19" w:rsidRPr="00211E3B">
        <w:rPr>
          <w:b/>
          <w:bCs/>
          <w:snapToGrid w:val="0"/>
          <w:sz w:val="22"/>
          <w:szCs w:val="24"/>
        </w:rPr>
        <w:tab/>
      </w:r>
      <w:r w:rsidRPr="00211E3B">
        <w:rPr>
          <w:b/>
          <w:bCs/>
          <w:snapToGrid w:val="0"/>
          <w:sz w:val="22"/>
          <w:szCs w:val="24"/>
        </w:rPr>
        <w:t xml:space="preserve">Metinio FGPT sumažėjimo (ml) pacientų populiacijose </w:t>
      </w:r>
      <w:r w:rsidR="00D7087C" w:rsidRPr="00211E3B">
        <w:rPr>
          <w:b/>
          <w:bCs/>
          <w:snapToGrid w:val="0"/>
          <w:sz w:val="22"/>
          <w:szCs w:val="24"/>
        </w:rPr>
        <w:t>52 s</w:t>
      </w:r>
      <w:r w:rsidRPr="00211E3B">
        <w:rPr>
          <w:b/>
          <w:bCs/>
          <w:snapToGrid w:val="0"/>
          <w:sz w:val="22"/>
          <w:szCs w:val="24"/>
        </w:rPr>
        <w:t>avai</w:t>
      </w:r>
      <w:r w:rsidR="00D22B19" w:rsidRPr="00211E3B">
        <w:rPr>
          <w:b/>
          <w:bCs/>
          <w:snapToGrid w:val="0"/>
          <w:sz w:val="22"/>
          <w:szCs w:val="24"/>
        </w:rPr>
        <w:t>čių laikotarpiu</w:t>
      </w:r>
      <w:r w:rsidRPr="00211E3B">
        <w:rPr>
          <w:b/>
          <w:bCs/>
          <w:snapToGrid w:val="0"/>
          <w:sz w:val="22"/>
          <w:szCs w:val="24"/>
        </w:rPr>
        <w:t xml:space="preserve"> rodmens</w:t>
      </w:r>
      <w:r w:rsidR="009812E8" w:rsidRPr="00211E3B">
        <w:rPr>
          <w:b/>
          <w:bCs/>
          <w:snapToGrid w:val="0"/>
          <w:sz w:val="22"/>
          <w:szCs w:val="24"/>
        </w:rPr>
        <w:t xml:space="preserve"> </w:t>
      </w:r>
      <w:r w:rsidRPr="00211E3B">
        <w:rPr>
          <w:b/>
          <w:bCs/>
          <w:snapToGrid w:val="0"/>
          <w:sz w:val="22"/>
          <w:szCs w:val="24"/>
        </w:rPr>
        <w:t>blobograma</w:t>
      </w:r>
    </w:p>
    <w:p w14:paraId="57FDD2E5" w14:textId="6835EDC2" w:rsidR="00211E3B" w:rsidRPr="00211E3B" w:rsidRDefault="00E412DC" w:rsidP="00D05F49">
      <w:pPr>
        <w:ind w:right="-142"/>
        <w:rPr>
          <w:sz w:val="20"/>
        </w:rPr>
      </w:pPr>
      <w:r>
        <w:rPr>
          <w:noProof/>
          <w:sz w:val="20"/>
          <w:highlight w:val="cyan"/>
          <w:lang w:eastAsia="lt-LT"/>
        </w:rPr>
        <w:drawing>
          <wp:inline distT="0" distB="0" distL="0" distR="0" wp14:anchorId="5AF2D340" wp14:editId="49835D71">
            <wp:extent cx="5791835" cy="4121150"/>
            <wp:effectExtent l="0" t="0" r="0" b="0"/>
            <wp:docPr id="12213303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91835" cy="4121150"/>
                    </a:xfrm>
                    <a:prstGeom prst="rect">
                      <a:avLst/>
                    </a:prstGeom>
                    <a:noFill/>
                  </pic:spPr>
                </pic:pic>
              </a:graphicData>
            </a:graphic>
          </wp:inline>
        </w:drawing>
      </w:r>
    </w:p>
    <w:p w14:paraId="1F8B017F" w14:textId="7699FA60" w:rsidR="00211E3B" w:rsidRPr="00163674" w:rsidRDefault="00211E3B" w:rsidP="00211E3B">
      <w:pPr>
        <w:ind w:right="-142"/>
        <w:rPr>
          <w:sz w:val="18"/>
          <w:szCs w:val="18"/>
        </w:rPr>
      </w:pPr>
      <w:r w:rsidRPr="00163674">
        <w:rPr>
          <w:sz w:val="18"/>
          <w:szCs w:val="18"/>
        </w:rPr>
        <w:t>2 </w:t>
      </w:r>
      <w:r w:rsidR="00D05F49" w:rsidRPr="00163674">
        <w:rPr>
          <w:sz w:val="18"/>
          <w:szCs w:val="18"/>
        </w:rPr>
        <w:t>x</w:t>
      </w:r>
      <w:r w:rsidRPr="00163674">
        <w:rPr>
          <w:sz w:val="18"/>
          <w:szCs w:val="18"/>
        </w:rPr>
        <w:t>/p = du kartus per parą</w:t>
      </w:r>
    </w:p>
    <w:p w14:paraId="60CB38D5" w14:textId="77777777" w:rsidR="00211E3B" w:rsidRPr="00211E3B" w:rsidRDefault="00211E3B" w:rsidP="005E424F">
      <w:pPr>
        <w:ind w:right="-142"/>
        <w:rPr>
          <w:snapToGrid w:val="0"/>
          <w:sz w:val="22"/>
          <w:szCs w:val="24"/>
        </w:rPr>
      </w:pPr>
    </w:p>
    <w:p w14:paraId="3944943C" w14:textId="700425FC" w:rsidR="005E424F" w:rsidRPr="00211E3B" w:rsidRDefault="005E424F" w:rsidP="005E424F">
      <w:pPr>
        <w:ind w:right="-142"/>
        <w:rPr>
          <w:snapToGrid w:val="0"/>
          <w:sz w:val="22"/>
          <w:szCs w:val="24"/>
        </w:rPr>
      </w:pPr>
      <w:r w:rsidRPr="00211E3B">
        <w:rPr>
          <w:snapToGrid w:val="0"/>
          <w:sz w:val="22"/>
          <w:szCs w:val="24"/>
        </w:rPr>
        <w:t xml:space="preserve">Visos iš anksto apibrėžtos jautrumo analizės patvirtino </w:t>
      </w:r>
      <w:r w:rsidR="009812E8" w:rsidRPr="00211E3B">
        <w:rPr>
          <w:snapToGrid w:val="0"/>
          <w:sz w:val="22"/>
          <w:szCs w:val="24"/>
        </w:rPr>
        <w:t xml:space="preserve">nintedanibo </w:t>
      </w:r>
      <w:r w:rsidRPr="00211E3B">
        <w:rPr>
          <w:snapToGrid w:val="0"/>
          <w:sz w:val="22"/>
          <w:szCs w:val="24"/>
        </w:rPr>
        <w:t>poveikio, mažinant metinį FGPT</w:t>
      </w:r>
      <w:r w:rsidR="009812E8" w:rsidRPr="00211E3B">
        <w:rPr>
          <w:snapToGrid w:val="0"/>
          <w:sz w:val="22"/>
          <w:szCs w:val="24"/>
        </w:rPr>
        <w:t xml:space="preserve"> </w:t>
      </w:r>
      <w:r w:rsidRPr="00211E3B">
        <w:rPr>
          <w:snapToGrid w:val="0"/>
          <w:sz w:val="22"/>
          <w:szCs w:val="24"/>
        </w:rPr>
        <w:t>sumažėjimo rodmenį, rezultatus ir nuoseklūs rezultatai stebėti iš anksto apibrėžtuose veiksmingumo</w:t>
      </w:r>
      <w:r w:rsidR="009812E8" w:rsidRPr="00211E3B">
        <w:rPr>
          <w:snapToGrid w:val="0"/>
          <w:sz w:val="22"/>
          <w:szCs w:val="24"/>
        </w:rPr>
        <w:t xml:space="preserve"> </w:t>
      </w:r>
      <w:r w:rsidRPr="00211E3B">
        <w:rPr>
          <w:snapToGrid w:val="0"/>
          <w:sz w:val="22"/>
          <w:szCs w:val="24"/>
        </w:rPr>
        <w:t>pogrupiuose (pagal lytį, amžiaus grupę, rasę, pradinį FGPT, išreikštą</w:t>
      </w:r>
      <w:r w:rsidR="0085390D">
        <w:rPr>
          <w:snapToGrid w:val="0"/>
          <w:sz w:val="22"/>
          <w:szCs w:val="24"/>
        </w:rPr>
        <w:t> %</w:t>
      </w:r>
      <w:r w:rsidRPr="00211E3B">
        <w:rPr>
          <w:snapToGrid w:val="0"/>
          <w:sz w:val="22"/>
          <w:szCs w:val="24"/>
        </w:rPr>
        <w:t xml:space="preserve"> nuo </w:t>
      </w:r>
      <w:r w:rsidR="009812E8" w:rsidRPr="00211E3B">
        <w:rPr>
          <w:snapToGrid w:val="0"/>
          <w:sz w:val="22"/>
          <w:szCs w:val="24"/>
        </w:rPr>
        <w:t>numatyto</w:t>
      </w:r>
      <w:r w:rsidRPr="00211E3B">
        <w:rPr>
          <w:snapToGrid w:val="0"/>
          <w:sz w:val="22"/>
          <w:szCs w:val="24"/>
        </w:rPr>
        <w:t xml:space="preserve"> dydžio ir </w:t>
      </w:r>
      <w:r w:rsidR="009812E8" w:rsidRPr="00211E3B">
        <w:rPr>
          <w:snapToGrid w:val="0"/>
          <w:sz w:val="22"/>
          <w:szCs w:val="24"/>
        </w:rPr>
        <w:t xml:space="preserve">pirminę </w:t>
      </w:r>
      <w:r w:rsidRPr="00211E3B">
        <w:rPr>
          <w:snapToGrid w:val="0"/>
          <w:sz w:val="22"/>
          <w:szCs w:val="24"/>
        </w:rPr>
        <w:t>pagrindinę klinikinę IPL diagnozę grupėse).</w:t>
      </w:r>
    </w:p>
    <w:p w14:paraId="04250102" w14:textId="4B598689" w:rsidR="009812E8" w:rsidRPr="00211E3B" w:rsidRDefault="005E424F" w:rsidP="005E424F">
      <w:pPr>
        <w:ind w:right="-142"/>
        <w:rPr>
          <w:snapToGrid w:val="0"/>
          <w:sz w:val="22"/>
          <w:szCs w:val="24"/>
        </w:rPr>
      </w:pPr>
      <w:r w:rsidRPr="00211E3B">
        <w:rPr>
          <w:snapToGrid w:val="0"/>
          <w:sz w:val="22"/>
          <w:szCs w:val="24"/>
        </w:rPr>
        <w:t>3</w:t>
      </w:r>
      <w:r w:rsidR="0092748B" w:rsidRPr="00211E3B">
        <w:rPr>
          <w:snapToGrid w:val="0"/>
          <w:sz w:val="22"/>
          <w:szCs w:val="24"/>
        </w:rPr>
        <w:t> </w:t>
      </w:r>
      <w:r w:rsidRPr="00211E3B">
        <w:rPr>
          <w:snapToGrid w:val="0"/>
          <w:sz w:val="22"/>
          <w:szCs w:val="24"/>
        </w:rPr>
        <w:t>pav</w:t>
      </w:r>
      <w:r w:rsidR="00D22B19" w:rsidRPr="00211E3B">
        <w:rPr>
          <w:snapToGrid w:val="0"/>
          <w:sz w:val="22"/>
          <w:szCs w:val="24"/>
        </w:rPr>
        <w:t>eiksle</w:t>
      </w:r>
      <w:r w:rsidRPr="00211E3B">
        <w:rPr>
          <w:snapToGrid w:val="0"/>
          <w:sz w:val="22"/>
          <w:szCs w:val="24"/>
        </w:rPr>
        <w:t xml:space="preserve"> pavaizduotas FGPT </w:t>
      </w:r>
      <w:r w:rsidR="009812E8" w:rsidRPr="00211E3B">
        <w:rPr>
          <w:snapToGrid w:val="0"/>
          <w:sz w:val="22"/>
          <w:szCs w:val="24"/>
        </w:rPr>
        <w:t>pokyčio nuo pradinio rodmens dinamika bėgant laikui gydymo grupėse.</w:t>
      </w:r>
    </w:p>
    <w:p w14:paraId="2CC9BAE8" w14:textId="7E326060" w:rsidR="005E424F" w:rsidRPr="00211E3B" w:rsidRDefault="005E424F" w:rsidP="005E424F">
      <w:pPr>
        <w:ind w:right="-142"/>
        <w:rPr>
          <w:snapToGrid w:val="0"/>
          <w:sz w:val="22"/>
          <w:szCs w:val="24"/>
        </w:rPr>
      </w:pPr>
    </w:p>
    <w:p w14:paraId="5214203C" w14:textId="210F200D" w:rsidR="005E424F" w:rsidRPr="00211E3B" w:rsidRDefault="005E424F" w:rsidP="009812E8">
      <w:pPr>
        <w:ind w:left="1296" w:right="-142" w:hanging="1296"/>
        <w:rPr>
          <w:b/>
          <w:bCs/>
          <w:snapToGrid w:val="0"/>
          <w:sz w:val="22"/>
          <w:szCs w:val="24"/>
        </w:rPr>
      </w:pPr>
      <w:r w:rsidRPr="00211E3B">
        <w:rPr>
          <w:b/>
          <w:bCs/>
          <w:snapToGrid w:val="0"/>
          <w:sz w:val="22"/>
          <w:szCs w:val="24"/>
        </w:rPr>
        <w:t>3</w:t>
      </w:r>
      <w:r w:rsidR="009812E8" w:rsidRPr="00211E3B">
        <w:rPr>
          <w:b/>
          <w:bCs/>
          <w:snapToGrid w:val="0"/>
          <w:sz w:val="22"/>
          <w:szCs w:val="24"/>
        </w:rPr>
        <w:t> </w:t>
      </w:r>
      <w:r w:rsidRPr="00211E3B">
        <w:rPr>
          <w:b/>
          <w:bCs/>
          <w:snapToGrid w:val="0"/>
          <w:sz w:val="22"/>
          <w:szCs w:val="24"/>
        </w:rPr>
        <w:t>pav</w:t>
      </w:r>
      <w:r w:rsidR="00D22B19" w:rsidRPr="00211E3B">
        <w:rPr>
          <w:b/>
          <w:bCs/>
          <w:snapToGrid w:val="0"/>
          <w:sz w:val="22"/>
          <w:szCs w:val="24"/>
        </w:rPr>
        <w:t>eikslas.</w:t>
      </w:r>
      <w:r w:rsidR="009812E8" w:rsidRPr="00211E3B">
        <w:rPr>
          <w:b/>
          <w:bCs/>
          <w:snapToGrid w:val="0"/>
          <w:sz w:val="22"/>
          <w:szCs w:val="24"/>
        </w:rPr>
        <w:tab/>
      </w:r>
      <w:r w:rsidRPr="00211E3B">
        <w:rPr>
          <w:b/>
          <w:bCs/>
          <w:snapToGrid w:val="0"/>
          <w:sz w:val="22"/>
          <w:szCs w:val="24"/>
        </w:rPr>
        <w:t xml:space="preserve">Stebėto FGPT pokyčio (ml) nuo pradinio </w:t>
      </w:r>
      <w:r w:rsidR="009812E8" w:rsidRPr="00211E3B">
        <w:rPr>
          <w:b/>
          <w:bCs/>
          <w:snapToGrid w:val="0"/>
          <w:sz w:val="22"/>
          <w:szCs w:val="24"/>
        </w:rPr>
        <w:t>rodmens</w:t>
      </w:r>
      <w:r w:rsidRPr="00211E3B">
        <w:rPr>
          <w:b/>
          <w:bCs/>
          <w:snapToGrid w:val="0"/>
          <w:sz w:val="22"/>
          <w:szCs w:val="24"/>
        </w:rPr>
        <w:t xml:space="preserve"> vidurkis (SVP) </w:t>
      </w:r>
      <w:r w:rsidR="00D7087C" w:rsidRPr="00211E3B">
        <w:rPr>
          <w:b/>
          <w:bCs/>
          <w:snapToGrid w:val="0"/>
          <w:sz w:val="22"/>
          <w:szCs w:val="24"/>
        </w:rPr>
        <w:t>52 s</w:t>
      </w:r>
      <w:r w:rsidR="009812E8" w:rsidRPr="00211E3B">
        <w:rPr>
          <w:b/>
          <w:bCs/>
          <w:snapToGrid w:val="0"/>
          <w:sz w:val="22"/>
          <w:szCs w:val="24"/>
        </w:rPr>
        <w:t>avaičių laikotarpiu</w:t>
      </w:r>
    </w:p>
    <w:p w14:paraId="7A9D228E" w14:textId="7A2DFC4F" w:rsidR="00211E3B" w:rsidRPr="00211E3B" w:rsidRDefault="00163674" w:rsidP="00211E3B">
      <w:pPr>
        <w:ind w:right="-142"/>
        <w:rPr>
          <w:sz w:val="20"/>
        </w:rPr>
      </w:pPr>
      <w:r>
        <w:rPr>
          <w:noProof/>
          <w:snapToGrid w:val="0"/>
          <w:sz w:val="22"/>
          <w:szCs w:val="24"/>
          <w:highlight w:val="cyan"/>
          <w:lang w:eastAsia="lt-LT"/>
        </w:rPr>
        <w:lastRenderedPageBreak/>
        <w:drawing>
          <wp:inline distT="0" distB="0" distL="0" distR="0" wp14:anchorId="5FEA5FAD" wp14:editId="2371C11A">
            <wp:extent cx="5755005" cy="4176395"/>
            <wp:effectExtent l="0" t="0" r="0" b="0"/>
            <wp:docPr id="17333317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5005" cy="4176395"/>
                    </a:xfrm>
                    <a:prstGeom prst="rect">
                      <a:avLst/>
                    </a:prstGeom>
                    <a:noFill/>
                  </pic:spPr>
                </pic:pic>
              </a:graphicData>
            </a:graphic>
          </wp:inline>
        </w:drawing>
      </w:r>
    </w:p>
    <w:p w14:paraId="79439619" w14:textId="52E8D915" w:rsidR="00211E3B" w:rsidRPr="00FD20CA" w:rsidRDefault="00211E3B" w:rsidP="00211E3B">
      <w:pPr>
        <w:ind w:right="-142"/>
        <w:rPr>
          <w:sz w:val="18"/>
          <w:szCs w:val="18"/>
        </w:rPr>
      </w:pPr>
      <w:r w:rsidRPr="00FD20CA">
        <w:rPr>
          <w:sz w:val="18"/>
          <w:szCs w:val="18"/>
        </w:rPr>
        <w:t>2 </w:t>
      </w:r>
      <w:r w:rsidR="00163674" w:rsidRPr="00FD20CA">
        <w:rPr>
          <w:sz w:val="18"/>
          <w:szCs w:val="18"/>
        </w:rPr>
        <w:t>x</w:t>
      </w:r>
      <w:r w:rsidRPr="00FD20CA">
        <w:rPr>
          <w:sz w:val="18"/>
          <w:szCs w:val="18"/>
        </w:rPr>
        <w:t>/p = du kartus per parą</w:t>
      </w:r>
    </w:p>
    <w:p w14:paraId="482B9EAD" w14:textId="77777777" w:rsidR="00211E3B" w:rsidRDefault="00211E3B" w:rsidP="005E424F">
      <w:pPr>
        <w:ind w:right="-142"/>
        <w:rPr>
          <w:snapToGrid w:val="0"/>
          <w:sz w:val="22"/>
          <w:szCs w:val="24"/>
        </w:rPr>
      </w:pPr>
    </w:p>
    <w:p w14:paraId="5DD0CA87" w14:textId="6E997146" w:rsidR="005E424F" w:rsidRPr="00211E3B" w:rsidRDefault="005E424F" w:rsidP="005E424F">
      <w:pPr>
        <w:ind w:right="-142"/>
        <w:rPr>
          <w:snapToGrid w:val="0"/>
          <w:sz w:val="22"/>
          <w:szCs w:val="24"/>
        </w:rPr>
      </w:pPr>
      <w:r w:rsidRPr="00211E3B">
        <w:rPr>
          <w:snapToGrid w:val="0"/>
          <w:sz w:val="22"/>
          <w:szCs w:val="24"/>
        </w:rPr>
        <w:t xml:space="preserve">Be to, palankus </w:t>
      </w:r>
      <w:r w:rsidR="00AC49EA" w:rsidRPr="00211E3B">
        <w:rPr>
          <w:snapToGrid w:val="0"/>
          <w:sz w:val="22"/>
          <w:szCs w:val="24"/>
        </w:rPr>
        <w:t xml:space="preserve">nintedanibo </w:t>
      </w:r>
      <w:r w:rsidRPr="00211E3B">
        <w:rPr>
          <w:snapToGrid w:val="0"/>
          <w:sz w:val="22"/>
          <w:szCs w:val="24"/>
        </w:rPr>
        <w:t xml:space="preserve">poveikis nustatytas vertinant koreguotąjį vidutinį absoliutų FGPT </w:t>
      </w:r>
      <w:r w:rsidR="00AC49EA" w:rsidRPr="00211E3B">
        <w:rPr>
          <w:snapToGrid w:val="0"/>
          <w:sz w:val="22"/>
          <w:szCs w:val="24"/>
        </w:rPr>
        <w:t xml:space="preserve">pokytį </w:t>
      </w:r>
      <w:r w:rsidRPr="00211E3B">
        <w:rPr>
          <w:snapToGrid w:val="0"/>
          <w:sz w:val="22"/>
          <w:szCs w:val="24"/>
        </w:rPr>
        <w:t>(</w:t>
      </w:r>
      <w:r w:rsidR="00AC49EA" w:rsidRPr="00211E3B">
        <w:rPr>
          <w:snapToGrid w:val="0"/>
          <w:sz w:val="22"/>
          <w:szCs w:val="24"/>
        </w:rPr>
        <w:t xml:space="preserve">numatyto </w:t>
      </w:r>
      <w:r w:rsidRPr="00211E3B">
        <w:rPr>
          <w:snapToGrid w:val="0"/>
          <w:sz w:val="22"/>
          <w:szCs w:val="24"/>
        </w:rPr>
        <w:t>dydžio,</w:t>
      </w:r>
      <w:r w:rsidR="0085390D">
        <w:rPr>
          <w:snapToGrid w:val="0"/>
          <w:sz w:val="22"/>
          <w:szCs w:val="24"/>
        </w:rPr>
        <w:t> %</w:t>
      </w:r>
      <w:r w:rsidRPr="00211E3B">
        <w:rPr>
          <w:snapToGrid w:val="0"/>
          <w:sz w:val="22"/>
          <w:szCs w:val="24"/>
        </w:rPr>
        <w:t xml:space="preserve"> ) nuo pradinio </w:t>
      </w:r>
      <w:r w:rsidR="00AC49EA" w:rsidRPr="00211E3B">
        <w:rPr>
          <w:snapToGrid w:val="0"/>
          <w:sz w:val="22"/>
          <w:szCs w:val="24"/>
        </w:rPr>
        <w:t>rodmens</w:t>
      </w:r>
      <w:r w:rsidRPr="00211E3B">
        <w:rPr>
          <w:snapToGrid w:val="0"/>
          <w:sz w:val="22"/>
          <w:szCs w:val="24"/>
        </w:rPr>
        <w:t xml:space="preserve"> </w:t>
      </w:r>
      <w:r w:rsidR="00D7087C" w:rsidRPr="00211E3B">
        <w:rPr>
          <w:snapToGrid w:val="0"/>
          <w:sz w:val="22"/>
          <w:szCs w:val="24"/>
        </w:rPr>
        <w:t>52 s</w:t>
      </w:r>
      <w:r w:rsidRPr="00211E3B">
        <w:rPr>
          <w:snapToGrid w:val="0"/>
          <w:sz w:val="22"/>
          <w:szCs w:val="24"/>
        </w:rPr>
        <w:t>avaitę. Koreguotasis vidutinis absoliutus</w:t>
      </w:r>
      <w:r w:rsidR="008D5EBC" w:rsidRPr="00211E3B">
        <w:rPr>
          <w:snapToGrid w:val="0"/>
          <w:sz w:val="22"/>
          <w:szCs w:val="24"/>
        </w:rPr>
        <w:t xml:space="preserve"> </w:t>
      </w:r>
      <w:r w:rsidRPr="00211E3B">
        <w:rPr>
          <w:snapToGrid w:val="0"/>
          <w:sz w:val="22"/>
          <w:szCs w:val="24"/>
        </w:rPr>
        <w:t>FGPT (</w:t>
      </w:r>
      <w:r w:rsidR="00AC49EA" w:rsidRPr="00211E3B">
        <w:rPr>
          <w:snapToGrid w:val="0"/>
          <w:sz w:val="22"/>
          <w:szCs w:val="24"/>
        </w:rPr>
        <w:t>numatyto</w:t>
      </w:r>
      <w:r w:rsidRPr="00211E3B">
        <w:rPr>
          <w:snapToGrid w:val="0"/>
          <w:sz w:val="22"/>
          <w:szCs w:val="24"/>
        </w:rPr>
        <w:t xml:space="preserve"> dydžio,</w:t>
      </w:r>
      <w:r w:rsidR="0085390D">
        <w:rPr>
          <w:snapToGrid w:val="0"/>
          <w:sz w:val="22"/>
          <w:szCs w:val="24"/>
        </w:rPr>
        <w:t> %</w:t>
      </w:r>
      <w:r w:rsidRPr="00211E3B">
        <w:rPr>
          <w:snapToGrid w:val="0"/>
          <w:sz w:val="22"/>
          <w:szCs w:val="24"/>
        </w:rPr>
        <w:t xml:space="preserve">) pokytis nuo pradinio </w:t>
      </w:r>
      <w:r w:rsidR="00AC49EA" w:rsidRPr="00211E3B">
        <w:rPr>
          <w:snapToGrid w:val="0"/>
          <w:sz w:val="22"/>
          <w:szCs w:val="24"/>
        </w:rPr>
        <w:t>rodmens</w:t>
      </w:r>
      <w:r w:rsidRPr="00211E3B">
        <w:rPr>
          <w:snapToGrid w:val="0"/>
          <w:sz w:val="22"/>
          <w:szCs w:val="24"/>
        </w:rPr>
        <w:t xml:space="preserve"> iki </w:t>
      </w:r>
      <w:r w:rsidR="00D7087C" w:rsidRPr="00211E3B">
        <w:rPr>
          <w:snapToGrid w:val="0"/>
          <w:sz w:val="22"/>
          <w:szCs w:val="24"/>
        </w:rPr>
        <w:t>52 s</w:t>
      </w:r>
      <w:r w:rsidRPr="00211E3B">
        <w:rPr>
          <w:snapToGrid w:val="0"/>
          <w:sz w:val="22"/>
          <w:szCs w:val="24"/>
        </w:rPr>
        <w:t>avaitės buvo mažesnis nintedanibu</w:t>
      </w:r>
      <w:r w:rsidR="00AC49EA" w:rsidRPr="00211E3B">
        <w:rPr>
          <w:snapToGrid w:val="0"/>
          <w:sz w:val="22"/>
          <w:szCs w:val="24"/>
        </w:rPr>
        <w:t xml:space="preserve"> </w:t>
      </w:r>
      <w:r w:rsidRPr="00211E3B">
        <w:rPr>
          <w:snapToGrid w:val="0"/>
          <w:sz w:val="22"/>
          <w:szCs w:val="24"/>
        </w:rPr>
        <w:t>gydyt</w:t>
      </w:r>
      <w:r w:rsidR="00AC49EA" w:rsidRPr="00211E3B">
        <w:rPr>
          <w:snapToGrid w:val="0"/>
          <w:sz w:val="22"/>
          <w:szCs w:val="24"/>
        </w:rPr>
        <w:t>ų pacientų</w:t>
      </w:r>
      <w:r w:rsidRPr="00211E3B">
        <w:rPr>
          <w:snapToGrid w:val="0"/>
          <w:sz w:val="22"/>
          <w:szCs w:val="24"/>
        </w:rPr>
        <w:t xml:space="preserve"> grupėje (-2,62</w:t>
      </w:r>
      <w:r w:rsidR="0085390D">
        <w:rPr>
          <w:snapToGrid w:val="0"/>
          <w:sz w:val="22"/>
          <w:szCs w:val="24"/>
        </w:rPr>
        <w:t> %</w:t>
      </w:r>
      <w:r w:rsidRPr="00211E3B">
        <w:rPr>
          <w:snapToGrid w:val="0"/>
          <w:sz w:val="22"/>
          <w:szCs w:val="24"/>
        </w:rPr>
        <w:t>)</w:t>
      </w:r>
      <w:r w:rsidR="00AC49EA" w:rsidRPr="00211E3B">
        <w:rPr>
          <w:snapToGrid w:val="0"/>
          <w:sz w:val="22"/>
          <w:szCs w:val="24"/>
        </w:rPr>
        <w:t xml:space="preserve">, palyginti su placebo vartojusiųjų grupe </w:t>
      </w:r>
      <w:r w:rsidRPr="00211E3B">
        <w:rPr>
          <w:snapToGrid w:val="0"/>
          <w:sz w:val="22"/>
          <w:szCs w:val="24"/>
        </w:rPr>
        <w:t>(-5,86</w:t>
      </w:r>
      <w:r w:rsidR="0085390D">
        <w:rPr>
          <w:snapToGrid w:val="0"/>
          <w:sz w:val="22"/>
          <w:szCs w:val="24"/>
        </w:rPr>
        <w:t> %</w:t>
      </w:r>
      <w:r w:rsidRPr="00211E3B">
        <w:rPr>
          <w:snapToGrid w:val="0"/>
          <w:sz w:val="22"/>
          <w:szCs w:val="24"/>
        </w:rPr>
        <w:t>). Koreguotasis vidutinis skirtumas</w:t>
      </w:r>
      <w:r w:rsidR="00AC49EA" w:rsidRPr="00211E3B">
        <w:rPr>
          <w:snapToGrid w:val="0"/>
          <w:sz w:val="22"/>
          <w:szCs w:val="24"/>
        </w:rPr>
        <w:t xml:space="preserve"> </w:t>
      </w:r>
      <w:r w:rsidRPr="00211E3B">
        <w:rPr>
          <w:snapToGrid w:val="0"/>
          <w:sz w:val="22"/>
          <w:szCs w:val="24"/>
        </w:rPr>
        <w:t>tarp gydymo grupių buvo 3,24 (95</w:t>
      </w:r>
      <w:r w:rsidR="0085390D">
        <w:rPr>
          <w:snapToGrid w:val="0"/>
          <w:sz w:val="22"/>
          <w:szCs w:val="24"/>
        </w:rPr>
        <w:t> %</w:t>
      </w:r>
      <w:r w:rsidRPr="00211E3B">
        <w:rPr>
          <w:snapToGrid w:val="0"/>
          <w:sz w:val="22"/>
          <w:szCs w:val="24"/>
        </w:rPr>
        <w:t xml:space="preserve"> PI: 2,09, 4,40; nominalus p</w:t>
      </w:r>
      <w:r w:rsidR="006051F9" w:rsidRPr="00211E3B">
        <w:rPr>
          <w:snapToGrid w:val="0"/>
          <w:sz w:val="22"/>
          <w:szCs w:val="24"/>
        </w:rPr>
        <w:t xml:space="preserve"> rodmuo</w:t>
      </w:r>
      <w:r w:rsidRPr="00211E3B">
        <w:rPr>
          <w:snapToGrid w:val="0"/>
          <w:sz w:val="22"/>
          <w:szCs w:val="24"/>
        </w:rPr>
        <w:t xml:space="preserve"> &lt;</w:t>
      </w:r>
      <w:r w:rsidR="008D5EBC" w:rsidRPr="00211E3B">
        <w:rPr>
          <w:snapToGrid w:val="0"/>
          <w:sz w:val="22"/>
          <w:szCs w:val="24"/>
        </w:rPr>
        <w:t> </w:t>
      </w:r>
      <w:r w:rsidRPr="00211E3B">
        <w:rPr>
          <w:snapToGrid w:val="0"/>
          <w:sz w:val="22"/>
          <w:szCs w:val="24"/>
        </w:rPr>
        <w:t>0,0001).</w:t>
      </w:r>
    </w:p>
    <w:p w14:paraId="34148DC4" w14:textId="77777777" w:rsidR="008D5EBC" w:rsidRPr="00211E3B" w:rsidRDefault="008D5EBC" w:rsidP="005E424F">
      <w:pPr>
        <w:ind w:right="-142"/>
        <w:rPr>
          <w:snapToGrid w:val="0"/>
          <w:sz w:val="22"/>
          <w:szCs w:val="24"/>
        </w:rPr>
      </w:pPr>
    </w:p>
    <w:p w14:paraId="2DF67D41" w14:textId="0F4DBB3B" w:rsidR="005E424F" w:rsidRPr="00211E3B" w:rsidRDefault="005E424F" w:rsidP="005E424F">
      <w:pPr>
        <w:ind w:right="-142"/>
        <w:rPr>
          <w:i/>
          <w:iCs/>
          <w:snapToGrid w:val="0"/>
          <w:sz w:val="22"/>
          <w:szCs w:val="24"/>
          <w:u w:val="single"/>
        </w:rPr>
      </w:pPr>
      <w:r w:rsidRPr="00211E3B">
        <w:rPr>
          <w:i/>
          <w:iCs/>
          <w:snapToGrid w:val="0"/>
          <w:sz w:val="22"/>
          <w:szCs w:val="24"/>
          <w:u w:val="single"/>
        </w:rPr>
        <w:t>Reagavusiųjų FGPT atsaku analizė</w:t>
      </w:r>
    </w:p>
    <w:p w14:paraId="5CDE8D46" w14:textId="32AEBFAC" w:rsidR="00D063F8" w:rsidRPr="00211E3B" w:rsidRDefault="005E424F" w:rsidP="00D063F8">
      <w:pPr>
        <w:ind w:right="-142"/>
        <w:rPr>
          <w:snapToGrid w:val="0"/>
          <w:sz w:val="22"/>
          <w:szCs w:val="24"/>
        </w:rPr>
      </w:pPr>
      <w:r w:rsidRPr="00211E3B">
        <w:rPr>
          <w:snapToGrid w:val="0"/>
          <w:sz w:val="22"/>
          <w:szCs w:val="24"/>
        </w:rPr>
        <w:t xml:space="preserve">FGPT atsaku reagavusiųjų, </w:t>
      </w:r>
      <w:r w:rsidR="00D063F8" w:rsidRPr="00211E3B">
        <w:rPr>
          <w:snapToGrid w:val="0"/>
          <w:sz w:val="22"/>
          <w:szCs w:val="24"/>
        </w:rPr>
        <w:t>apibrėžtų kaip pacientai, kurių absoliutus numatytos FGPT sumažėjimas procentais buvo ne didesnis kaip 5</w:t>
      </w:r>
      <w:r w:rsidR="0085390D">
        <w:rPr>
          <w:snapToGrid w:val="0"/>
          <w:sz w:val="22"/>
          <w:szCs w:val="24"/>
        </w:rPr>
        <w:t xml:space="preserve"> %</w:t>
      </w:r>
      <w:r w:rsidR="00D063F8" w:rsidRPr="00211E3B">
        <w:rPr>
          <w:snapToGrid w:val="0"/>
          <w:sz w:val="22"/>
          <w:szCs w:val="24"/>
        </w:rPr>
        <w:t>, dalis nintedanibu gydytoje grupėje buvo didesnė, palyginti su placebo vartojusiųjų grupe. Panašūs rezultatai buvo gauti analizei naudojant 10</w:t>
      </w:r>
      <w:r w:rsidR="0085390D">
        <w:rPr>
          <w:snapToGrid w:val="0"/>
          <w:sz w:val="22"/>
          <w:szCs w:val="24"/>
        </w:rPr>
        <w:t xml:space="preserve"> %</w:t>
      </w:r>
      <w:r w:rsidR="00D063F8" w:rsidRPr="00211E3B">
        <w:rPr>
          <w:snapToGrid w:val="0"/>
          <w:sz w:val="22"/>
          <w:szCs w:val="24"/>
        </w:rPr>
        <w:t xml:space="preserve"> ribą (9 lentelė).</w:t>
      </w:r>
    </w:p>
    <w:p w14:paraId="60DEA6AC" w14:textId="77777777" w:rsidR="00D063F8" w:rsidRPr="00211E3B" w:rsidRDefault="00D063F8" w:rsidP="00D063F8">
      <w:pPr>
        <w:ind w:right="-142"/>
        <w:rPr>
          <w:snapToGrid w:val="0"/>
          <w:sz w:val="22"/>
          <w:szCs w:val="24"/>
        </w:rPr>
      </w:pPr>
    </w:p>
    <w:p w14:paraId="58ACF212" w14:textId="5209FD1F" w:rsidR="00D063F8" w:rsidRPr="00211E3B" w:rsidRDefault="00D063F8" w:rsidP="00D063F8">
      <w:pPr>
        <w:ind w:left="1296" w:right="-142" w:hanging="1296"/>
        <w:rPr>
          <w:b/>
          <w:bCs/>
          <w:snapToGrid w:val="0"/>
          <w:sz w:val="22"/>
          <w:szCs w:val="24"/>
        </w:rPr>
      </w:pPr>
      <w:r w:rsidRPr="00211E3B">
        <w:rPr>
          <w:b/>
          <w:bCs/>
          <w:snapToGrid w:val="0"/>
          <w:sz w:val="22"/>
          <w:szCs w:val="24"/>
        </w:rPr>
        <w:t>9 lentelė.</w:t>
      </w:r>
      <w:r w:rsidRPr="00211E3B">
        <w:rPr>
          <w:b/>
          <w:bCs/>
          <w:snapToGrid w:val="0"/>
          <w:sz w:val="22"/>
          <w:szCs w:val="24"/>
        </w:rPr>
        <w:tab/>
        <w:t xml:space="preserve">Reagavusiųjų FGPT atsaku </w:t>
      </w:r>
      <w:r w:rsidR="00D7087C" w:rsidRPr="00211E3B">
        <w:rPr>
          <w:b/>
          <w:bCs/>
          <w:snapToGrid w:val="0"/>
          <w:sz w:val="22"/>
          <w:szCs w:val="24"/>
        </w:rPr>
        <w:t>52 s</w:t>
      </w:r>
      <w:r w:rsidRPr="00211E3B">
        <w:rPr>
          <w:b/>
          <w:bCs/>
          <w:snapToGrid w:val="0"/>
          <w:sz w:val="22"/>
          <w:szCs w:val="24"/>
        </w:rPr>
        <w:t>avaitę dalis INBUILD tyrime</w:t>
      </w:r>
    </w:p>
    <w:p w14:paraId="1D0E546F" w14:textId="77777777" w:rsidR="00A25A79" w:rsidRPr="00211E3B" w:rsidRDefault="00A25A79" w:rsidP="00A25A79">
      <w:pPr>
        <w:keepNext/>
        <w:autoSpaceDE w:val="0"/>
        <w:autoSpaceDN w:val="0"/>
        <w:adjustRightInd w:val="0"/>
        <w:ind w:left="1134" w:hanging="1134"/>
        <w:rPr>
          <w:szCs w:val="22"/>
        </w:rPr>
      </w:pPr>
    </w:p>
    <w:tbl>
      <w:tblPr>
        <w:tblStyle w:val="Lentelstinklelis"/>
        <w:tblW w:w="4994" w:type="pct"/>
        <w:tblLook w:val="04A0" w:firstRow="1" w:lastRow="0" w:firstColumn="1" w:lastColumn="0" w:noHBand="0" w:noVBand="1"/>
      </w:tblPr>
      <w:tblGrid>
        <w:gridCol w:w="4389"/>
        <w:gridCol w:w="2266"/>
        <w:gridCol w:w="2394"/>
      </w:tblGrid>
      <w:tr w:rsidR="00A25A79" w:rsidRPr="00211E3B" w14:paraId="08458E58" w14:textId="77777777" w:rsidTr="00256DA0">
        <w:trPr>
          <w:tblHeader/>
        </w:trPr>
        <w:tc>
          <w:tcPr>
            <w:tcW w:w="2425" w:type="pct"/>
          </w:tcPr>
          <w:p w14:paraId="49C9E2CB" w14:textId="77777777" w:rsidR="00A25A79" w:rsidRPr="00211E3B" w:rsidRDefault="00A25A79" w:rsidP="00256DA0">
            <w:pPr>
              <w:autoSpaceDE w:val="0"/>
              <w:autoSpaceDN w:val="0"/>
              <w:adjustRightInd w:val="0"/>
              <w:rPr>
                <w:sz w:val="22"/>
                <w:szCs w:val="22"/>
                <w:lang w:val="lt-LT"/>
              </w:rPr>
            </w:pPr>
          </w:p>
        </w:tc>
        <w:tc>
          <w:tcPr>
            <w:tcW w:w="1252" w:type="pct"/>
          </w:tcPr>
          <w:p w14:paraId="610E4FA0" w14:textId="08167773" w:rsidR="00A25A79" w:rsidRPr="00211E3B" w:rsidRDefault="00A25A79" w:rsidP="00256DA0">
            <w:pPr>
              <w:autoSpaceDE w:val="0"/>
              <w:autoSpaceDN w:val="0"/>
              <w:adjustRightInd w:val="0"/>
              <w:jc w:val="center"/>
              <w:rPr>
                <w:sz w:val="22"/>
                <w:szCs w:val="22"/>
                <w:lang w:val="lt-LT"/>
              </w:rPr>
            </w:pPr>
            <w:r w:rsidRPr="00211E3B">
              <w:rPr>
                <w:sz w:val="22"/>
                <w:szCs w:val="22"/>
                <w:lang w:val="lt-LT"/>
              </w:rPr>
              <w:t>Placebas</w:t>
            </w:r>
          </w:p>
        </w:tc>
        <w:tc>
          <w:tcPr>
            <w:tcW w:w="1323" w:type="pct"/>
          </w:tcPr>
          <w:p w14:paraId="25033CF0" w14:textId="3112F34E" w:rsidR="00A25A79" w:rsidRPr="00211E3B" w:rsidRDefault="00A25A79" w:rsidP="00256DA0">
            <w:pPr>
              <w:autoSpaceDE w:val="0"/>
              <w:autoSpaceDN w:val="0"/>
              <w:adjustRightInd w:val="0"/>
              <w:jc w:val="center"/>
              <w:rPr>
                <w:sz w:val="22"/>
                <w:szCs w:val="22"/>
                <w:lang w:val="lt-LT"/>
              </w:rPr>
            </w:pPr>
            <w:r w:rsidRPr="00211E3B">
              <w:rPr>
                <w:sz w:val="22"/>
                <w:szCs w:val="22"/>
                <w:lang w:val="lt-LT"/>
              </w:rPr>
              <w:t>Nintedanibas 150</w:t>
            </w:r>
            <w:r w:rsidR="0085390D">
              <w:rPr>
                <w:sz w:val="22"/>
                <w:szCs w:val="22"/>
                <w:lang w:val="lt-LT"/>
              </w:rPr>
              <w:t> mg</w:t>
            </w:r>
            <w:r w:rsidRPr="00211E3B">
              <w:rPr>
                <w:sz w:val="22"/>
                <w:szCs w:val="22"/>
                <w:lang w:val="lt-LT"/>
              </w:rPr>
              <w:t xml:space="preserve"> du kartus per parą</w:t>
            </w:r>
          </w:p>
        </w:tc>
      </w:tr>
      <w:tr w:rsidR="00A25A79" w:rsidRPr="00211E3B" w14:paraId="1C954DF6" w14:textId="77777777" w:rsidTr="00256DA0">
        <w:tc>
          <w:tcPr>
            <w:tcW w:w="2425" w:type="pct"/>
          </w:tcPr>
          <w:p w14:paraId="6F72808F" w14:textId="42F7FA09" w:rsidR="00A25A79" w:rsidRPr="00211E3B" w:rsidRDefault="00A25A79" w:rsidP="00A25A79">
            <w:pPr>
              <w:autoSpaceDE w:val="0"/>
              <w:autoSpaceDN w:val="0"/>
              <w:adjustRightInd w:val="0"/>
              <w:rPr>
                <w:sz w:val="22"/>
                <w:szCs w:val="22"/>
                <w:lang w:val="lt-LT"/>
              </w:rPr>
            </w:pPr>
            <w:r w:rsidRPr="00211E3B">
              <w:rPr>
                <w:sz w:val="22"/>
                <w:szCs w:val="22"/>
                <w:lang w:val="lt-LT"/>
              </w:rPr>
              <w:t>Analizuotų pacientų skaičius</w:t>
            </w:r>
          </w:p>
        </w:tc>
        <w:tc>
          <w:tcPr>
            <w:tcW w:w="1252" w:type="pct"/>
            <w:vAlign w:val="center"/>
          </w:tcPr>
          <w:p w14:paraId="16BAEFCE" w14:textId="77777777" w:rsidR="00A25A79" w:rsidRPr="00211E3B" w:rsidRDefault="00A25A79" w:rsidP="00A25A79">
            <w:pPr>
              <w:autoSpaceDE w:val="0"/>
              <w:autoSpaceDN w:val="0"/>
              <w:adjustRightInd w:val="0"/>
              <w:jc w:val="center"/>
              <w:rPr>
                <w:sz w:val="22"/>
                <w:szCs w:val="22"/>
                <w:lang w:val="lt-LT"/>
              </w:rPr>
            </w:pPr>
            <w:r w:rsidRPr="00211E3B">
              <w:rPr>
                <w:sz w:val="22"/>
                <w:szCs w:val="22"/>
                <w:lang w:val="lt-LT"/>
              </w:rPr>
              <w:t>331</w:t>
            </w:r>
          </w:p>
        </w:tc>
        <w:tc>
          <w:tcPr>
            <w:tcW w:w="1323" w:type="pct"/>
            <w:vAlign w:val="center"/>
          </w:tcPr>
          <w:p w14:paraId="1C8E5D12" w14:textId="77777777" w:rsidR="00A25A79" w:rsidRPr="00211E3B" w:rsidRDefault="00A25A79" w:rsidP="00A25A79">
            <w:pPr>
              <w:autoSpaceDE w:val="0"/>
              <w:autoSpaceDN w:val="0"/>
              <w:adjustRightInd w:val="0"/>
              <w:jc w:val="center"/>
              <w:rPr>
                <w:sz w:val="22"/>
                <w:szCs w:val="22"/>
                <w:lang w:val="lt-LT"/>
              </w:rPr>
            </w:pPr>
            <w:r w:rsidRPr="00211E3B">
              <w:rPr>
                <w:sz w:val="22"/>
                <w:szCs w:val="22"/>
                <w:lang w:val="lt-LT"/>
              </w:rPr>
              <w:t>332</w:t>
            </w:r>
          </w:p>
        </w:tc>
      </w:tr>
      <w:tr w:rsidR="00A25A79" w:rsidRPr="00211E3B" w14:paraId="7A413FDB" w14:textId="77777777" w:rsidTr="00256DA0">
        <w:tc>
          <w:tcPr>
            <w:tcW w:w="5000" w:type="pct"/>
            <w:gridSpan w:val="3"/>
          </w:tcPr>
          <w:p w14:paraId="26DCA8B7" w14:textId="00B41460" w:rsidR="00A25A79" w:rsidRPr="00211E3B" w:rsidRDefault="00A25A79" w:rsidP="00A25A79">
            <w:pPr>
              <w:autoSpaceDE w:val="0"/>
              <w:autoSpaceDN w:val="0"/>
              <w:adjustRightInd w:val="0"/>
              <w:rPr>
                <w:b/>
                <w:sz w:val="22"/>
                <w:szCs w:val="22"/>
                <w:lang w:val="lt-LT"/>
              </w:rPr>
            </w:pPr>
            <w:r w:rsidRPr="00211E3B">
              <w:rPr>
                <w:b/>
                <w:sz w:val="22"/>
                <w:szCs w:val="22"/>
                <w:lang w:val="lt-LT"/>
              </w:rPr>
              <w:t>5</w:t>
            </w:r>
            <w:r w:rsidR="0085390D">
              <w:rPr>
                <w:b/>
                <w:sz w:val="22"/>
                <w:szCs w:val="22"/>
                <w:lang w:val="lt-LT"/>
              </w:rPr>
              <w:t xml:space="preserve"> %</w:t>
            </w:r>
            <w:r w:rsidRPr="00211E3B">
              <w:rPr>
                <w:b/>
                <w:sz w:val="22"/>
                <w:szCs w:val="22"/>
                <w:lang w:val="lt-LT"/>
              </w:rPr>
              <w:t xml:space="preserve"> riba</w:t>
            </w:r>
          </w:p>
        </w:tc>
      </w:tr>
      <w:tr w:rsidR="00A25A79" w:rsidRPr="00211E3B" w14:paraId="486C4951" w14:textId="77777777" w:rsidTr="00256DA0">
        <w:tc>
          <w:tcPr>
            <w:tcW w:w="2425" w:type="pct"/>
          </w:tcPr>
          <w:p w14:paraId="343BAA6C" w14:textId="649F48E7" w:rsidR="00A25A79" w:rsidRPr="00211E3B" w:rsidRDefault="00A25A79" w:rsidP="00A25A79">
            <w:pPr>
              <w:autoSpaceDE w:val="0"/>
              <w:autoSpaceDN w:val="0"/>
              <w:adjustRightInd w:val="0"/>
              <w:rPr>
                <w:sz w:val="22"/>
                <w:szCs w:val="22"/>
                <w:lang w:val="lt-LT"/>
              </w:rPr>
            </w:pPr>
            <w:r w:rsidRPr="00211E3B">
              <w:rPr>
                <w:sz w:val="22"/>
                <w:szCs w:val="22"/>
                <w:lang w:val="lt-LT"/>
              </w:rPr>
              <w:t>Reagavusiųjų</w:t>
            </w:r>
            <w:r w:rsidRPr="00211E3B">
              <w:rPr>
                <w:sz w:val="22"/>
                <w:szCs w:val="22"/>
                <w:vertAlign w:val="superscript"/>
                <w:lang w:val="lt-LT"/>
              </w:rPr>
              <w:t>1</w:t>
            </w:r>
            <w:r w:rsidRPr="00211E3B">
              <w:rPr>
                <w:sz w:val="22"/>
                <w:szCs w:val="22"/>
                <w:lang w:val="lt-LT"/>
              </w:rPr>
              <w:t xml:space="preserve"> FGPT atsaku skaičius (</w:t>
            </w:r>
            <w:r w:rsidR="0085390D">
              <w:rPr>
                <w:sz w:val="22"/>
                <w:szCs w:val="22"/>
                <w:lang w:val="lt-LT"/>
              </w:rPr>
              <w:t xml:space="preserve"> %</w:t>
            </w:r>
            <w:r w:rsidRPr="00211E3B">
              <w:rPr>
                <w:sz w:val="22"/>
                <w:szCs w:val="22"/>
                <w:lang w:val="lt-LT"/>
              </w:rPr>
              <w:t>)</w:t>
            </w:r>
          </w:p>
        </w:tc>
        <w:tc>
          <w:tcPr>
            <w:tcW w:w="1252" w:type="pct"/>
            <w:vAlign w:val="center"/>
          </w:tcPr>
          <w:p w14:paraId="7005C06E" w14:textId="0BB5D830" w:rsidR="00A25A79" w:rsidRPr="00211E3B" w:rsidRDefault="00A25A79" w:rsidP="00A25A79">
            <w:pPr>
              <w:autoSpaceDE w:val="0"/>
              <w:autoSpaceDN w:val="0"/>
              <w:adjustRightInd w:val="0"/>
              <w:jc w:val="center"/>
              <w:rPr>
                <w:sz w:val="22"/>
                <w:szCs w:val="22"/>
                <w:lang w:val="lt-LT"/>
              </w:rPr>
            </w:pPr>
            <w:r w:rsidRPr="00211E3B">
              <w:rPr>
                <w:sz w:val="22"/>
                <w:szCs w:val="22"/>
                <w:lang w:val="lt-LT"/>
              </w:rPr>
              <w:t>104 (31,4)</w:t>
            </w:r>
          </w:p>
        </w:tc>
        <w:tc>
          <w:tcPr>
            <w:tcW w:w="1323" w:type="pct"/>
            <w:vAlign w:val="center"/>
          </w:tcPr>
          <w:p w14:paraId="27B43BF1" w14:textId="02ED073D" w:rsidR="00A25A79" w:rsidRPr="00211E3B" w:rsidRDefault="00A25A79" w:rsidP="00A25A79">
            <w:pPr>
              <w:autoSpaceDE w:val="0"/>
              <w:autoSpaceDN w:val="0"/>
              <w:adjustRightInd w:val="0"/>
              <w:jc w:val="center"/>
              <w:rPr>
                <w:sz w:val="22"/>
                <w:szCs w:val="22"/>
                <w:lang w:val="lt-LT"/>
              </w:rPr>
            </w:pPr>
            <w:r w:rsidRPr="00211E3B">
              <w:rPr>
                <w:sz w:val="22"/>
                <w:szCs w:val="22"/>
                <w:lang w:val="lt-LT"/>
              </w:rPr>
              <w:t>158 (47,6)</w:t>
            </w:r>
          </w:p>
        </w:tc>
      </w:tr>
      <w:tr w:rsidR="00A25A79" w:rsidRPr="00211E3B" w14:paraId="30C2971D" w14:textId="77777777" w:rsidTr="00256DA0">
        <w:tc>
          <w:tcPr>
            <w:tcW w:w="2425" w:type="pct"/>
          </w:tcPr>
          <w:p w14:paraId="7D458E2D" w14:textId="11DECD04" w:rsidR="00A25A79" w:rsidRPr="00211E3B" w:rsidRDefault="00A25A79" w:rsidP="00A25A79">
            <w:pPr>
              <w:autoSpaceDE w:val="0"/>
              <w:autoSpaceDN w:val="0"/>
              <w:adjustRightInd w:val="0"/>
              <w:rPr>
                <w:sz w:val="22"/>
                <w:szCs w:val="22"/>
                <w:lang w:val="lt-LT"/>
              </w:rPr>
            </w:pPr>
            <w:r w:rsidRPr="00211E3B">
              <w:rPr>
                <w:sz w:val="22"/>
                <w:szCs w:val="22"/>
                <w:lang w:val="lt-LT"/>
              </w:rPr>
              <w:t>Palyginimas su placebu</w:t>
            </w:r>
          </w:p>
        </w:tc>
        <w:tc>
          <w:tcPr>
            <w:tcW w:w="1252" w:type="pct"/>
          </w:tcPr>
          <w:p w14:paraId="706C47CF" w14:textId="77777777" w:rsidR="00A25A79" w:rsidRPr="00211E3B" w:rsidRDefault="00A25A79" w:rsidP="00A25A79">
            <w:pPr>
              <w:autoSpaceDE w:val="0"/>
              <w:autoSpaceDN w:val="0"/>
              <w:adjustRightInd w:val="0"/>
              <w:rPr>
                <w:sz w:val="22"/>
                <w:szCs w:val="22"/>
                <w:lang w:val="lt-LT"/>
              </w:rPr>
            </w:pPr>
          </w:p>
        </w:tc>
        <w:tc>
          <w:tcPr>
            <w:tcW w:w="1323" w:type="pct"/>
          </w:tcPr>
          <w:p w14:paraId="050BCCF5" w14:textId="77777777" w:rsidR="00A25A79" w:rsidRPr="00211E3B" w:rsidRDefault="00A25A79" w:rsidP="00A25A79">
            <w:pPr>
              <w:autoSpaceDE w:val="0"/>
              <w:autoSpaceDN w:val="0"/>
              <w:adjustRightInd w:val="0"/>
              <w:rPr>
                <w:sz w:val="22"/>
                <w:szCs w:val="22"/>
                <w:lang w:val="lt-LT"/>
              </w:rPr>
            </w:pPr>
          </w:p>
        </w:tc>
      </w:tr>
      <w:tr w:rsidR="00A25A79" w:rsidRPr="00211E3B" w14:paraId="079A5A09" w14:textId="77777777" w:rsidTr="00256DA0">
        <w:tc>
          <w:tcPr>
            <w:tcW w:w="2425" w:type="pct"/>
          </w:tcPr>
          <w:p w14:paraId="342C11A5" w14:textId="1643EDC9" w:rsidR="00A25A79" w:rsidRPr="00211E3B" w:rsidRDefault="00A25A79" w:rsidP="00A25A79">
            <w:pPr>
              <w:autoSpaceDE w:val="0"/>
              <w:autoSpaceDN w:val="0"/>
              <w:adjustRightInd w:val="0"/>
              <w:ind w:left="317"/>
              <w:rPr>
                <w:sz w:val="22"/>
                <w:szCs w:val="22"/>
                <w:lang w:val="lt-LT"/>
              </w:rPr>
            </w:pPr>
            <w:r w:rsidRPr="00211E3B">
              <w:rPr>
                <w:sz w:val="22"/>
                <w:szCs w:val="22"/>
                <w:lang w:val="lt-LT"/>
              </w:rPr>
              <w:t>Šansų santykis²</w:t>
            </w:r>
          </w:p>
        </w:tc>
        <w:tc>
          <w:tcPr>
            <w:tcW w:w="1252" w:type="pct"/>
          </w:tcPr>
          <w:p w14:paraId="19ADC62E" w14:textId="77777777" w:rsidR="00A25A79" w:rsidRPr="00211E3B" w:rsidRDefault="00A25A79" w:rsidP="00A25A79">
            <w:pPr>
              <w:autoSpaceDE w:val="0"/>
              <w:autoSpaceDN w:val="0"/>
              <w:adjustRightInd w:val="0"/>
              <w:rPr>
                <w:sz w:val="22"/>
                <w:szCs w:val="22"/>
                <w:lang w:val="lt-LT"/>
              </w:rPr>
            </w:pPr>
          </w:p>
        </w:tc>
        <w:tc>
          <w:tcPr>
            <w:tcW w:w="1323" w:type="pct"/>
            <w:vAlign w:val="center"/>
          </w:tcPr>
          <w:p w14:paraId="3A988104" w14:textId="348E6A04" w:rsidR="00A25A79" w:rsidRPr="00211E3B" w:rsidRDefault="00A25A79" w:rsidP="00A25A79">
            <w:pPr>
              <w:autoSpaceDE w:val="0"/>
              <w:autoSpaceDN w:val="0"/>
              <w:adjustRightInd w:val="0"/>
              <w:jc w:val="center"/>
              <w:rPr>
                <w:sz w:val="22"/>
                <w:szCs w:val="22"/>
                <w:lang w:val="lt-LT"/>
              </w:rPr>
            </w:pPr>
            <w:r w:rsidRPr="00211E3B">
              <w:rPr>
                <w:sz w:val="22"/>
                <w:szCs w:val="22"/>
                <w:lang w:val="lt-LT"/>
              </w:rPr>
              <w:t>2,01</w:t>
            </w:r>
          </w:p>
        </w:tc>
      </w:tr>
      <w:tr w:rsidR="00A25A79" w:rsidRPr="00211E3B" w14:paraId="002B66E7" w14:textId="77777777" w:rsidTr="00256DA0">
        <w:tc>
          <w:tcPr>
            <w:tcW w:w="2425" w:type="pct"/>
          </w:tcPr>
          <w:p w14:paraId="477CCE1B" w14:textId="5A75DE29" w:rsidR="00A25A79" w:rsidRPr="00211E3B" w:rsidRDefault="00A25A79" w:rsidP="00A25A79">
            <w:pPr>
              <w:autoSpaceDE w:val="0"/>
              <w:autoSpaceDN w:val="0"/>
              <w:adjustRightInd w:val="0"/>
              <w:ind w:left="317"/>
              <w:rPr>
                <w:sz w:val="22"/>
                <w:szCs w:val="22"/>
                <w:lang w:val="lt-LT"/>
              </w:rPr>
            </w:pPr>
            <w:r w:rsidRPr="00211E3B">
              <w:rPr>
                <w:sz w:val="22"/>
                <w:szCs w:val="22"/>
                <w:lang w:val="lt-LT"/>
              </w:rPr>
              <w:t>95</w:t>
            </w:r>
            <w:r w:rsidR="0085390D">
              <w:rPr>
                <w:sz w:val="22"/>
                <w:szCs w:val="22"/>
                <w:lang w:val="lt-LT"/>
              </w:rPr>
              <w:t xml:space="preserve"> %</w:t>
            </w:r>
            <w:r w:rsidRPr="00211E3B">
              <w:rPr>
                <w:sz w:val="22"/>
                <w:szCs w:val="22"/>
                <w:lang w:val="lt-LT"/>
              </w:rPr>
              <w:t xml:space="preserve"> PI</w:t>
            </w:r>
          </w:p>
        </w:tc>
        <w:tc>
          <w:tcPr>
            <w:tcW w:w="1252" w:type="pct"/>
          </w:tcPr>
          <w:p w14:paraId="19FBBC8D" w14:textId="77777777" w:rsidR="00A25A79" w:rsidRPr="00211E3B" w:rsidRDefault="00A25A79" w:rsidP="00A25A79">
            <w:pPr>
              <w:autoSpaceDE w:val="0"/>
              <w:autoSpaceDN w:val="0"/>
              <w:adjustRightInd w:val="0"/>
              <w:rPr>
                <w:sz w:val="22"/>
                <w:szCs w:val="22"/>
                <w:lang w:val="lt-LT"/>
              </w:rPr>
            </w:pPr>
          </w:p>
        </w:tc>
        <w:tc>
          <w:tcPr>
            <w:tcW w:w="1323" w:type="pct"/>
            <w:vAlign w:val="center"/>
          </w:tcPr>
          <w:p w14:paraId="697D1F6C" w14:textId="6B043678" w:rsidR="00A25A79" w:rsidRPr="00211E3B" w:rsidRDefault="00A25A79" w:rsidP="00A25A79">
            <w:pPr>
              <w:autoSpaceDE w:val="0"/>
              <w:autoSpaceDN w:val="0"/>
              <w:adjustRightInd w:val="0"/>
              <w:jc w:val="center"/>
              <w:rPr>
                <w:sz w:val="22"/>
                <w:szCs w:val="22"/>
                <w:lang w:val="lt-LT"/>
              </w:rPr>
            </w:pPr>
            <w:r w:rsidRPr="00211E3B">
              <w:rPr>
                <w:sz w:val="22"/>
                <w:szCs w:val="22"/>
                <w:lang w:val="lt-LT"/>
              </w:rPr>
              <w:t>(1,46, 2,76)</w:t>
            </w:r>
          </w:p>
        </w:tc>
      </w:tr>
      <w:tr w:rsidR="00A25A79" w:rsidRPr="00211E3B" w14:paraId="4A3E247B" w14:textId="77777777" w:rsidTr="00256DA0">
        <w:tc>
          <w:tcPr>
            <w:tcW w:w="2425" w:type="pct"/>
          </w:tcPr>
          <w:p w14:paraId="1C175847" w14:textId="31FA5D42" w:rsidR="00A25A79" w:rsidRPr="00211E3B" w:rsidRDefault="00A25A79" w:rsidP="00B675DD">
            <w:pPr>
              <w:autoSpaceDE w:val="0"/>
              <w:autoSpaceDN w:val="0"/>
              <w:adjustRightInd w:val="0"/>
              <w:ind w:left="317"/>
              <w:rPr>
                <w:sz w:val="22"/>
                <w:szCs w:val="22"/>
                <w:lang w:val="lt-LT"/>
              </w:rPr>
            </w:pPr>
            <w:r w:rsidRPr="00211E3B">
              <w:rPr>
                <w:sz w:val="22"/>
                <w:szCs w:val="22"/>
                <w:lang w:val="lt-LT"/>
              </w:rPr>
              <w:t>Nominal</w:t>
            </w:r>
            <w:r w:rsidR="00B675DD">
              <w:rPr>
                <w:sz w:val="22"/>
                <w:szCs w:val="22"/>
                <w:lang w:val="lt-LT"/>
              </w:rPr>
              <w:t>i</w:t>
            </w:r>
            <w:r w:rsidRPr="00211E3B">
              <w:rPr>
                <w:sz w:val="22"/>
                <w:szCs w:val="22"/>
                <w:lang w:val="lt-LT"/>
              </w:rPr>
              <w:t xml:space="preserve"> p </w:t>
            </w:r>
            <w:r w:rsidR="00B675DD">
              <w:rPr>
                <w:sz w:val="22"/>
                <w:szCs w:val="22"/>
                <w:lang w:val="lt-LT"/>
              </w:rPr>
              <w:t>reikšmė</w:t>
            </w:r>
          </w:p>
        </w:tc>
        <w:tc>
          <w:tcPr>
            <w:tcW w:w="1252" w:type="pct"/>
          </w:tcPr>
          <w:p w14:paraId="46A263A7" w14:textId="77777777" w:rsidR="00A25A79" w:rsidRPr="00211E3B" w:rsidRDefault="00A25A79" w:rsidP="00A25A79">
            <w:pPr>
              <w:autoSpaceDE w:val="0"/>
              <w:autoSpaceDN w:val="0"/>
              <w:adjustRightInd w:val="0"/>
              <w:rPr>
                <w:sz w:val="22"/>
                <w:szCs w:val="22"/>
                <w:lang w:val="lt-LT"/>
              </w:rPr>
            </w:pPr>
          </w:p>
        </w:tc>
        <w:tc>
          <w:tcPr>
            <w:tcW w:w="1323" w:type="pct"/>
            <w:vAlign w:val="center"/>
          </w:tcPr>
          <w:p w14:paraId="5ED5C6F2" w14:textId="79B2E619" w:rsidR="00A25A79" w:rsidRPr="00211E3B" w:rsidRDefault="00A25A79" w:rsidP="00A25A79">
            <w:pPr>
              <w:autoSpaceDE w:val="0"/>
              <w:autoSpaceDN w:val="0"/>
              <w:adjustRightInd w:val="0"/>
              <w:jc w:val="center"/>
              <w:rPr>
                <w:sz w:val="22"/>
                <w:szCs w:val="22"/>
                <w:lang w:val="lt-LT"/>
              </w:rPr>
            </w:pPr>
            <w:r w:rsidRPr="00211E3B">
              <w:rPr>
                <w:sz w:val="22"/>
                <w:szCs w:val="22"/>
                <w:lang w:val="lt-LT"/>
              </w:rPr>
              <w:t>&lt;0,0001</w:t>
            </w:r>
          </w:p>
        </w:tc>
      </w:tr>
      <w:tr w:rsidR="00A25A79" w:rsidRPr="00211E3B" w14:paraId="1FFCC455" w14:textId="77777777" w:rsidTr="00256DA0">
        <w:tc>
          <w:tcPr>
            <w:tcW w:w="5000" w:type="pct"/>
            <w:gridSpan w:val="3"/>
          </w:tcPr>
          <w:p w14:paraId="4D0A521B" w14:textId="71E3BE91" w:rsidR="00A25A79" w:rsidRPr="00211E3B" w:rsidRDefault="00A25A79" w:rsidP="00A25A79">
            <w:pPr>
              <w:autoSpaceDE w:val="0"/>
              <w:autoSpaceDN w:val="0"/>
              <w:adjustRightInd w:val="0"/>
              <w:rPr>
                <w:b/>
                <w:sz w:val="22"/>
                <w:szCs w:val="22"/>
                <w:lang w:val="lt-LT"/>
              </w:rPr>
            </w:pPr>
            <w:r w:rsidRPr="00211E3B">
              <w:rPr>
                <w:b/>
                <w:sz w:val="22"/>
                <w:szCs w:val="22"/>
                <w:lang w:val="lt-LT"/>
              </w:rPr>
              <w:t>10</w:t>
            </w:r>
            <w:r w:rsidR="0085390D">
              <w:rPr>
                <w:b/>
                <w:sz w:val="22"/>
                <w:szCs w:val="22"/>
                <w:lang w:val="lt-LT"/>
              </w:rPr>
              <w:t xml:space="preserve"> %</w:t>
            </w:r>
            <w:r w:rsidRPr="00211E3B">
              <w:rPr>
                <w:b/>
                <w:sz w:val="22"/>
                <w:szCs w:val="22"/>
                <w:lang w:val="lt-LT"/>
              </w:rPr>
              <w:t xml:space="preserve"> riba</w:t>
            </w:r>
          </w:p>
        </w:tc>
      </w:tr>
      <w:tr w:rsidR="00A25A79" w:rsidRPr="00211E3B" w14:paraId="6573B110" w14:textId="77777777" w:rsidTr="00256DA0">
        <w:tc>
          <w:tcPr>
            <w:tcW w:w="2425" w:type="pct"/>
          </w:tcPr>
          <w:p w14:paraId="3F04A148" w14:textId="6EC651C2" w:rsidR="00A25A79" w:rsidRPr="00211E3B" w:rsidRDefault="00A25A79" w:rsidP="00A25A79">
            <w:pPr>
              <w:autoSpaceDE w:val="0"/>
              <w:autoSpaceDN w:val="0"/>
              <w:adjustRightInd w:val="0"/>
              <w:rPr>
                <w:sz w:val="22"/>
                <w:szCs w:val="22"/>
                <w:lang w:val="lt-LT"/>
              </w:rPr>
            </w:pPr>
            <w:r w:rsidRPr="00211E3B">
              <w:rPr>
                <w:sz w:val="22"/>
                <w:szCs w:val="22"/>
                <w:lang w:val="lt-LT"/>
              </w:rPr>
              <w:t>Reagavusiųjų</w:t>
            </w:r>
            <w:r w:rsidRPr="00211E3B">
              <w:rPr>
                <w:sz w:val="22"/>
                <w:szCs w:val="22"/>
                <w:vertAlign w:val="superscript"/>
                <w:lang w:val="lt-LT"/>
              </w:rPr>
              <w:t>1</w:t>
            </w:r>
            <w:r w:rsidRPr="00211E3B">
              <w:rPr>
                <w:sz w:val="22"/>
                <w:szCs w:val="22"/>
                <w:lang w:val="lt-LT"/>
              </w:rPr>
              <w:t xml:space="preserve"> FGPT atsaku skaičius (</w:t>
            </w:r>
            <w:r w:rsidR="0085390D">
              <w:rPr>
                <w:sz w:val="22"/>
                <w:szCs w:val="22"/>
                <w:lang w:val="lt-LT"/>
              </w:rPr>
              <w:t xml:space="preserve"> %</w:t>
            </w:r>
            <w:r w:rsidRPr="00211E3B">
              <w:rPr>
                <w:sz w:val="22"/>
                <w:szCs w:val="22"/>
                <w:lang w:val="lt-LT"/>
              </w:rPr>
              <w:t>)</w:t>
            </w:r>
          </w:p>
        </w:tc>
        <w:tc>
          <w:tcPr>
            <w:tcW w:w="1252" w:type="pct"/>
            <w:vAlign w:val="center"/>
          </w:tcPr>
          <w:p w14:paraId="2FAC2E09" w14:textId="281957DA" w:rsidR="00A25A79" w:rsidRPr="00211E3B" w:rsidRDefault="00A25A79" w:rsidP="00A25A79">
            <w:pPr>
              <w:autoSpaceDE w:val="0"/>
              <w:autoSpaceDN w:val="0"/>
              <w:adjustRightInd w:val="0"/>
              <w:jc w:val="center"/>
              <w:rPr>
                <w:sz w:val="22"/>
                <w:szCs w:val="22"/>
                <w:lang w:val="lt-LT"/>
              </w:rPr>
            </w:pPr>
            <w:r w:rsidRPr="00211E3B">
              <w:rPr>
                <w:sz w:val="22"/>
                <w:szCs w:val="22"/>
                <w:lang w:val="lt-LT"/>
              </w:rPr>
              <w:t>169 (51,1)</w:t>
            </w:r>
          </w:p>
        </w:tc>
        <w:tc>
          <w:tcPr>
            <w:tcW w:w="1323" w:type="pct"/>
            <w:vAlign w:val="center"/>
          </w:tcPr>
          <w:p w14:paraId="7B6ED1CD" w14:textId="534E0F48" w:rsidR="00A25A79" w:rsidRPr="00211E3B" w:rsidRDefault="00A25A79" w:rsidP="00A25A79">
            <w:pPr>
              <w:autoSpaceDE w:val="0"/>
              <w:autoSpaceDN w:val="0"/>
              <w:adjustRightInd w:val="0"/>
              <w:jc w:val="center"/>
              <w:rPr>
                <w:sz w:val="22"/>
                <w:szCs w:val="22"/>
                <w:lang w:val="lt-LT"/>
              </w:rPr>
            </w:pPr>
            <w:r w:rsidRPr="00211E3B">
              <w:rPr>
                <w:sz w:val="22"/>
                <w:szCs w:val="22"/>
                <w:lang w:val="lt-LT"/>
              </w:rPr>
              <w:t>197 (59,3)</w:t>
            </w:r>
          </w:p>
        </w:tc>
      </w:tr>
      <w:tr w:rsidR="00A25A79" w:rsidRPr="00211E3B" w14:paraId="32535C3A" w14:textId="77777777" w:rsidTr="00256DA0">
        <w:tc>
          <w:tcPr>
            <w:tcW w:w="2425" w:type="pct"/>
          </w:tcPr>
          <w:p w14:paraId="225C9BF0" w14:textId="11E63F3A" w:rsidR="00A25A79" w:rsidRPr="00211E3B" w:rsidRDefault="00A25A79" w:rsidP="00A25A79">
            <w:pPr>
              <w:autoSpaceDE w:val="0"/>
              <w:autoSpaceDN w:val="0"/>
              <w:adjustRightInd w:val="0"/>
              <w:rPr>
                <w:sz w:val="22"/>
                <w:szCs w:val="22"/>
                <w:lang w:val="lt-LT"/>
              </w:rPr>
            </w:pPr>
            <w:r w:rsidRPr="00211E3B">
              <w:rPr>
                <w:sz w:val="22"/>
                <w:szCs w:val="22"/>
                <w:lang w:val="lt-LT"/>
              </w:rPr>
              <w:t>Palyginimas su placebu</w:t>
            </w:r>
          </w:p>
        </w:tc>
        <w:tc>
          <w:tcPr>
            <w:tcW w:w="1252" w:type="pct"/>
          </w:tcPr>
          <w:p w14:paraId="55D719F5" w14:textId="77777777" w:rsidR="00A25A79" w:rsidRPr="00211E3B" w:rsidRDefault="00A25A79" w:rsidP="00A25A79">
            <w:pPr>
              <w:autoSpaceDE w:val="0"/>
              <w:autoSpaceDN w:val="0"/>
              <w:adjustRightInd w:val="0"/>
              <w:rPr>
                <w:sz w:val="22"/>
                <w:szCs w:val="22"/>
                <w:lang w:val="lt-LT"/>
              </w:rPr>
            </w:pPr>
          </w:p>
        </w:tc>
        <w:tc>
          <w:tcPr>
            <w:tcW w:w="1323" w:type="pct"/>
          </w:tcPr>
          <w:p w14:paraId="380BA8B1" w14:textId="77777777" w:rsidR="00A25A79" w:rsidRPr="00211E3B" w:rsidRDefault="00A25A79" w:rsidP="00A25A79">
            <w:pPr>
              <w:autoSpaceDE w:val="0"/>
              <w:autoSpaceDN w:val="0"/>
              <w:adjustRightInd w:val="0"/>
              <w:rPr>
                <w:sz w:val="22"/>
                <w:szCs w:val="22"/>
                <w:lang w:val="lt-LT"/>
              </w:rPr>
            </w:pPr>
          </w:p>
        </w:tc>
      </w:tr>
      <w:tr w:rsidR="00A25A79" w:rsidRPr="00211E3B" w14:paraId="1DED0C6C" w14:textId="77777777" w:rsidTr="00256DA0">
        <w:tc>
          <w:tcPr>
            <w:tcW w:w="2425" w:type="pct"/>
          </w:tcPr>
          <w:p w14:paraId="4305F350" w14:textId="2C8A9AB1" w:rsidR="00A25A79" w:rsidRPr="00211E3B" w:rsidRDefault="00A25A79" w:rsidP="00A25A79">
            <w:pPr>
              <w:autoSpaceDE w:val="0"/>
              <w:autoSpaceDN w:val="0"/>
              <w:adjustRightInd w:val="0"/>
              <w:ind w:left="317"/>
              <w:rPr>
                <w:sz w:val="22"/>
                <w:szCs w:val="22"/>
                <w:lang w:val="lt-LT"/>
              </w:rPr>
            </w:pPr>
            <w:r w:rsidRPr="00211E3B">
              <w:rPr>
                <w:sz w:val="22"/>
                <w:szCs w:val="22"/>
                <w:lang w:val="lt-LT"/>
              </w:rPr>
              <w:t>Šansų santykis²</w:t>
            </w:r>
          </w:p>
        </w:tc>
        <w:tc>
          <w:tcPr>
            <w:tcW w:w="1252" w:type="pct"/>
          </w:tcPr>
          <w:p w14:paraId="56542086" w14:textId="77777777" w:rsidR="00A25A79" w:rsidRPr="00211E3B" w:rsidRDefault="00A25A79" w:rsidP="00A25A79">
            <w:pPr>
              <w:autoSpaceDE w:val="0"/>
              <w:autoSpaceDN w:val="0"/>
              <w:adjustRightInd w:val="0"/>
              <w:rPr>
                <w:sz w:val="22"/>
                <w:szCs w:val="22"/>
                <w:lang w:val="lt-LT"/>
              </w:rPr>
            </w:pPr>
          </w:p>
        </w:tc>
        <w:tc>
          <w:tcPr>
            <w:tcW w:w="1323" w:type="pct"/>
            <w:vAlign w:val="center"/>
          </w:tcPr>
          <w:p w14:paraId="7470940F" w14:textId="305ABAAC" w:rsidR="00A25A79" w:rsidRPr="00211E3B" w:rsidRDefault="00A25A79" w:rsidP="00A25A79">
            <w:pPr>
              <w:autoSpaceDE w:val="0"/>
              <w:autoSpaceDN w:val="0"/>
              <w:adjustRightInd w:val="0"/>
              <w:jc w:val="center"/>
              <w:rPr>
                <w:sz w:val="22"/>
                <w:szCs w:val="22"/>
                <w:lang w:val="lt-LT"/>
              </w:rPr>
            </w:pPr>
            <w:r w:rsidRPr="00211E3B">
              <w:rPr>
                <w:sz w:val="22"/>
                <w:szCs w:val="22"/>
                <w:lang w:val="lt-LT"/>
              </w:rPr>
              <w:t>1,42</w:t>
            </w:r>
          </w:p>
        </w:tc>
      </w:tr>
      <w:tr w:rsidR="00A25A79" w:rsidRPr="00211E3B" w14:paraId="632EE935" w14:textId="77777777" w:rsidTr="00256DA0">
        <w:tc>
          <w:tcPr>
            <w:tcW w:w="2425" w:type="pct"/>
          </w:tcPr>
          <w:p w14:paraId="2A024036" w14:textId="0AE02510" w:rsidR="00A25A79" w:rsidRPr="00211E3B" w:rsidRDefault="00A25A79" w:rsidP="00A25A79">
            <w:pPr>
              <w:autoSpaceDE w:val="0"/>
              <w:autoSpaceDN w:val="0"/>
              <w:adjustRightInd w:val="0"/>
              <w:ind w:left="317"/>
              <w:rPr>
                <w:sz w:val="22"/>
                <w:szCs w:val="22"/>
                <w:lang w:val="lt-LT"/>
              </w:rPr>
            </w:pPr>
            <w:r w:rsidRPr="00211E3B">
              <w:rPr>
                <w:sz w:val="22"/>
                <w:szCs w:val="22"/>
                <w:lang w:val="lt-LT"/>
              </w:rPr>
              <w:t>95</w:t>
            </w:r>
            <w:r w:rsidR="0085390D">
              <w:rPr>
                <w:sz w:val="22"/>
                <w:szCs w:val="22"/>
                <w:lang w:val="lt-LT"/>
              </w:rPr>
              <w:t xml:space="preserve"> %</w:t>
            </w:r>
            <w:r w:rsidRPr="00211E3B">
              <w:rPr>
                <w:sz w:val="22"/>
                <w:szCs w:val="22"/>
                <w:lang w:val="lt-LT"/>
              </w:rPr>
              <w:t xml:space="preserve"> PI</w:t>
            </w:r>
          </w:p>
        </w:tc>
        <w:tc>
          <w:tcPr>
            <w:tcW w:w="1252" w:type="pct"/>
          </w:tcPr>
          <w:p w14:paraId="33661B34" w14:textId="77777777" w:rsidR="00A25A79" w:rsidRPr="00211E3B" w:rsidRDefault="00A25A79" w:rsidP="00A25A79">
            <w:pPr>
              <w:autoSpaceDE w:val="0"/>
              <w:autoSpaceDN w:val="0"/>
              <w:adjustRightInd w:val="0"/>
              <w:rPr>
                <w:sz w:val="22"/>
                <w:szCs w:val="22"/>
                <w:lang w:val="lt-LT"/>
              </w:rPr>
            </w:pPr>
          </w:p>
        </w:tc>
        <w:tc>
          <w:tcPr>
            <w:tcW w:w="1323" w:type="pct"/>
            <w:vAlign w:val="center"/>
          </w:tcPr>
          <w:p w14:paraId="6F2E6D95" w14:textId="52C308A8" w:rsidR="00A25A79" w:rsidRPr="00211E3B" w:rsidRDefault="00A25A79" w:rsidP="00A25A79">
            <w:pPr>
              <w:autoSpaceDE w:val="0"/>
              <w:autoSpaceDN w:val="0"/>
              <w:adjustRightInd w:val="0"/>
              <w:jc w:val="center"/>
              <w:rPr>
                <w:sz w:val="22"/>
                <w:szCs w:val="22"/>
                <w:lang w:val="lt-LT"/>
              </w:rPr>
            </w:pPr>
            <w:r w:rsidRPr="00211E3B">
              <w:rPr>
                <w:sz w:val="22"/>
                <w:szCs w:val="22"/>
                <w:lang w:val="lt-LT"/>
              </w:rPr>
              <w:t>(1,04, 1,94)</w:t>
            </w:r>
          </w:p>
        </w:tc>
      </w:tr>
      <w:tr w:rsidR="00A25A79" w:rsidRPr="00211E3B" w14:paraId="5BB2FECC" w14:textId="77777777" w:rsidTr="00256DA0">
        <w:tc>
          <w:tcPr>
            <w:tcW w:w="2425" w:type="pct"/>
          </w:tcPr>
          <w:p w14:paraId="19B58EAB" w14:textId="46BC3400" w:rsidR="00A25A79" w:rsidRPr="00211E3B" w:rsidRDefault="00A25A79" w:rsidP="00B675DD">
            <w:pPr>
              <w:autoSpaceDE w:val="0"/>
              <w:autoSpaceDN w:val="0"/>
              <w:adjustRightInd w:val="0"/>
              <w:ind w:left="317"/>
              <w:rPr>
                <w:sz w:val="22"/>
                <w:szCs w:val="22"/>
                <w:lang w:val="lt-LT"/>
              </w:rPr>
            </w:pPr>
            <w:r w:rsidRPr="00211E3B">
              <w:rPr>
                <w:sz w:val="22"/>
                <w:szCs w:val="22"/>
                <w:lang w:val="lt-LT"/>
              </w:rPr>
              <w:t>Nominal</w:t>
            </w:r>
            <w:r w:rsidR="00B675DD">
              <w:rPr>
                <w:sz w:val="22"/>
                <w:szCs w:val="22"/>
                <w:lang w:val="lt-LT"/>
              </w:rPr>
              <w:t>i</w:t>
            </w:r>
            <w:r w:rsidRPr="00211E3B">
              <w:rPr>
                <w:sz w:val="22"/>
                <w:szCs w:val="22"/>
                <w:lang w:val="lt-LT"/>
              </w:rPr>
              <w:t xml:space="preserve"> p </w:t>
            </w:r>
            <w:r w:rsidR="00B675DD">
              <w:rPr>
                <w:sz w:val="22"/>
                <w:szCs w:val="22"/>
                <w:lang w:val="lt-LT"/>
              </w:rPr>
              <w:t>reikšmė</w:t>
            </w:r>
          </w:p>
        </w:tc>
        <w:tc>
          <w:tcPr>
            <w:tcW w:w="1252" w:type="pct"/>
          </w:tcPr>
          <w:p w14:paraId="652EE5A0" w14:textId="77777777" w:rsidR="00A25A79" w:rsidRPr="00211E3B" w:rsidRDefault="00A25A79" w:rsidP="00A25A79">
            <w:pPr>
              <w:autoSpaceDE w:val="0"/>
              <w:autoSpaceDN w:val="0"/>
              <w:adjustRightInd w:val="0"/>
              <w:rPr>
                <w:sz w:val="22"/>
                <w:szCs w:val="22"/>
                <w:lang w:val="lt-LT"/>
              </w:rPr>
            </w:pPr>
          </w:p>
        </w:tc>
        <w:tc>
          <w:tcPr>
            <w:tcW w:w="1323" w:type="pct"/>
            <w:vAlign w:val="center"/>
          </w:tcPr>
          <w:p w14:paraId="532C0B1B" w14:textId="103E8C68" w:rsidR="00A25A79" w:rsidRPr="00211E3B" w:rsidRDefault="00A25A79" w:rsidP="00A25A79">
            <w:pPr>
              <w:autoSpaceDE w:val="0"/>
              <w:autoSpaceDN w:val="0"/>
              <w:adjustRightInd w:val="0"/>
              <w:jc w:val="center"/>
              <w:rPr>
                <w:sz w:val="22"/>
                <w:szCs w:val="22"/>
                <w:lang w:val="lt-LT"/>
              </w:rPr>
            </w:pPr>
            <w:r w:rsidRPr="00211E3B">
              <w:rPr>
                <w:sz w:val="22"/>
                <w:szCs w:val="22"/>
                <w:lang w:val="lt-LT"/>
              </w:rPr>
              <w:t>0,0268</w:t>
            </w:r>
          </w:p>
        </w:tc>
      </w:tr>
    </w:tbl>
    <w:p w14:paraId="400CE310" w14:textId="01E428EA" w:rsidR="005E424F" w:rsidRPr="00211E3B" w:rsidRDefault="005E424F" w:rsidP="005E424F">
      <w:pPr>
        <w:ind w:right="-142"/>
        <w:rPr>
          <w:snapToGrid w:val="0"/>
          <w:sz w:val="20"/>
          <w:szCs w:val="22"/>
        </w:rPr>
      </w:pPr>
      <w:r w:rsidRPr="00211E3B">
        <w:rPr>
          <w:snapToGrid w:val="0"/>
          <w:sz w:val="20"/>
          <w:szCs w:val="22"/>
          <w:vertAlign w:val="superscript"/>
        </w:rPr>
        <w:lastRenderedPageBreak/>
        <w:t>1</w:t>
      </w:r>
      <w:r w:rsidR="00A25A79" w:rsidRPr="00211E3B">
        <w:rPr>
          <w:snapToGrid w:val="0"/>
          <w:sz w:val="20"/>
          <w:szCs w:val="22"/>
        </w:rPr>
        <w:t xml:space="preserve"> </w:t>
      </w:r>
      <w:r w:rsidRPr="00211E3B">
        <w:rPr>
          <w:snapToGrid w:val="0"/>
          <w:sz w:val="20"/>
          <w:szCs w:val="22"/>
        </w:rPr>
        <w:t>Reagavusieji pacientai yra tie, kurių santykinis FGPT (</w:t>
      </w:r>
      <w:r w:rsidR="00A25A79" w:rsidRPr="00211E3B">
        <w:rPr>
          <w:snapToGrid w:val="0"/>
          <w:sz w:val="20"/>
          <w:szCs w:val="22"/>
        </w:rPr>
        <w:t>numatyto</w:t>
      </w:r>
      <w:r w:rsidRPr="00211E3B">
        <w:rPr>
          <w:snapToGrid w:val="0"/>
          <w:sz w:val="20"/>
          <w:szCs w:val="22"/>
        </w:rPr>
        <w:t xml:space="preserve"> dydžio,</w:t>
      </w:r>
      <w:r w:rsidR="0085390D">
        <w:rPr>
          <w:snapToGrid w:val="0"/>
          <w:sz w:val="20"/>
          <w:szCs w:val="22"/>
        </w:rPr>
        <w:t> %</w:t>
      </w:r>
      <w:r w:rsidRPr="00211E3B">
        <w:rPr>
          <w:snapToGrid w:val="0"/>
          <w:sz w:val="20"/>
          <w:szCs w:val="22"/>
        </w:rPr>
        <w:t>) sumažėjimas buvo ne didesnis kaip</w:t>
      </w:r>
      <w:r w:rsidR="00A25A79" w:rsidRPr="00211E3B">
        <w:rPr>
          <w:snapToGrid w:val="0"/>
          <w:sz w:val="20"/>
          <w:szCs w:val="22"/>
        </w:rPr>
        <w:t xml:space="preserve"> </w:t>
      </w:r>
      <w:r w:rsidRPr="00211E3B">
        <w:rPr>
          <w:snapToGrid w:val="0"/>
          <w:sz w:val="20"/>
          <w:szCs w:val="22"/>
        </w:rPr>
        <w:t>5</w:t>
      </w:r>
      <w:r w:rsidR="0085390D">
        <w:rPr>
          <w:snapToGrid w:val="0"/>
          <w:sz w:val="20"/>
          <w:szCs w:val="22"/>
        </w:rPr>
        <w:t> %</w:t>
      </w:r>
      <w:r w:rsidRPr="00211E3B">
        <w:rPr>
          <w:snapToGrid w:val="0"/>
          <w:sz w:val="20"/>
          <w:szCs w:val="22"/>
        </w:rPr>
        <w:t xml:space="preserve"> arba 10</w:t>
      </w:r>
      <w:r w:rsidR="0085390D">
        <w:rPr>
          <w:snapToGrid w:val="0"/>
          <w:sz w:val="20"/>
          <w:szCs w:val="22"/>
        </w:rPr>
        <w:t> %</w:t>
      </w:r>
      <w:r w:rsidRPr="00211E3B">
        <w:rPr>
          <w:snapToGrid w:val="0"/>
          <w:sz w:val="20"/>
          <w:szCs w:val="22"/>
        </w:rPr>
        <w:t xml:space="preserve">, priklausomai nuo ribos, ir kuriems atliktas FGPT vertinimas </w:t>
      </w:r>
      <w:r w:rsidR="00D7087C" w:rsidRPr="00211E3B">
        <w:rPr>
          <w:snapToGrid w:val="0"/>
          <w:sz w:val="20"/>
          <w:szCs w:val="22"/>
        </w:rPr>
        <w:t>52 s</w:t>
      </w:r>
      <w:r w:rsidRPr="00211E3B">
        <w:rPr>
          <w:snapToGrid w:val="0"/>
          <w:sz w:val="20"/>
          <w:szCs w:val="22"/>
        </w:rPr>
        <w:t>avaitę (pacientai, kurių</w:t>
      </w:r>
      <w:r w:rsidR="00A25A79" w:rsidRPr="00211E3B">
        <w:rPr>
          <w:snapToGrid w:val="0"/>
          <w:sz w:val="20"/>
          <w:szCs w:val="22"/>
        </w:rPr>
        <w:t xml:space="preserve"> </w:t>
      </w:r>
      <w:r w:rsidRPr="00211E3B">
        <w:rPr>
          <w:snapToGrid w:val="0"/>
          <w:sz w:val="20"/>
          <w:szCs w:val="22"/>
        </w:rPr>
        <w:t xml:space="preserve">duomenų </w:t>
      </w:r>
      <w:r w:rsidR="00D7087C" w:rsidRPr="00211E3B">
        <w:rPr>
          <w:snapToGrid w:val="0"/>
          <w:sz w:val="20"/>
          <w:szCs w:val="22"/>
        </w:rPr>
        <w:t>52 s</w:t>
      </w:r>
      <w:r w:rsidRPr="00211E3B">
        <w:rPr>
          <w:snapToGrid w:val="0"/>
          <w:sz w:val="20"/>
          <w:szCs w:val="22"/>
        </w:rPr>
        <w:t>avaitę nebuvo, laikyti nereagavusiais).</w:t>
      </w:r>
    </w:p>
    <w:p w14:paraId="5E76EE10" w14:textId="5640399C" w:rsidR="005E424F" w:rsidRPr="00211E3B" w:rsidRDefault="005E424F" w:rsidP="005E424F">
      <w:pPr>
        <w:ind w:right="-142"/>
        <w:rPr>
          <w:snapToGrid w:val="0"/>
          <w:sz w:val="22"/>
          <w:szCs w:val="24"/>
        </w:rPr>
      </w:pPr>
      <w:r w:rsidRPr="00211E3B">
        <w:rPr>
          <w:snapToGrid w:val="0"/>
          <w:sz w:val="20"/>
          <w:szCs w:val="22"/>
          <w:vertAlign w:val="superscript"/>
        </w:rPr>
        <w:t>2</w:t>
      </w:r>
      <w:r w:rsidR="00A25A79" w:rsidRPr="00211E3B">
        <w:rPr>
          <w:snapToGrid w:val="0"/>
          <w:sz w:val="20"/>
          <w:szCs w:val="22"/>
        </w:rPr>
        <w:t xml:space="preserve"> </w:t>
      </w:r>
      <w:r w:rsidRPr="00211E3B">
        <w:rPr>
          <w:snapToGrid w:val="0"/>
          <w:sz w:val="20"/>
          <w:szCs w:val="22"/>
        </w:rPr>
        <w:t>Remiantis logistiniu regresijos modeliu, kai tolydžioji kovariatė yra pradinė numatyta FGPT (</w:t>
      </w:r>
      <w:r w:rsidR="00A25A79" w:rsidRPr="00211E3B">
        <w:rPr>
          <w:snapToGrid w:val="0"/>
          <w:sz w:val="20"/>
          <w:szCs w:val="22"/>
        </w:rPr>
        <w:t>numatyto</w:t>
      </w:r>
      <w:r w:rsidRPr="00211E3B">
        <w:rPr>
          <w:snapToGrid w:val="0"/>
          <w:sz w:val="20"/>
          <w:szCs w:val="22"/>
        </w:rPr>
        <w:t xml:space="preserve"> dydžio,</w:t>
      </w:r>
      <w:r w:rsidR="0085390D">
        <w:rPr>
          <w:snapToGrid w:val="0"/>
          <w:sz w:val="20"/>
          <w:szCs w:val="22"/>
        </w:rPr>
        <w:t> %</w:t>
      </w:r>
      <w:r w:rsidRPr="00211E3B">
        <w:rPr>
          <w:snapToGrid w:val="0"/>
          <w:sz w:val="20"/>
          <w:szCs w:val="22"/>
        </w:rPr>
        <w:t>), o dvinarė kovariatė – DSGKT nustatytas pobūdis</w:t>
      </w:r>
      <w:r w:rsidR="00E132BF" w:rsidRPr="00211E3B">
        <w:rPr>
          <w:snapToGrid w:val="0"/>
          <w:sz w:val="20"/>
          <w:szCs w:val="22"/>
        </w:rPr>
        <w:t>.</w:t>
      </w:r>
    </w:p>
    <w:p w14:paraId="0AC4D9FA" w14:textId="77777777" w:rsidR="00A25A79" w:rsidRPr="00211E3B" w:rsidRDefault="00A25A79" w:rsidP="005E424F">
      <w:pPr>
        <w:ind w:right="-142"/>
        <w:rPr>
          <w:snapToGrid w:val="0"/>
          <w:sz w:val="22"/>
          <w:szCs w:val="24"/>
        </w:rPr>
      </w:pPr>
    </w:p>
    <w:p w14:paraId="1397BA00" w14:textId="3D23AD0E" w:rsidR="005E424F" w:rsidRPr="00211E3B" w:rsidRDefault="005E424F" w:rsidP="005E424F">
      <w:pPr>
        <w:ind w:right="-142"/>
        <w:rPr>
          <w:i/>
          <w:iCs/>
          <w:snapToGrid w:val="0"/>
          <w:sz w:val="22"/>
          <w:szCs w:val="24"/>
          <w:u w:val="single"/>
        </w:rPr>
      </w:pPr>
      <w:r w:rsidRPr="00211E3B">
        <w:rPr>
          <w:i/>
          <w:iCs/>
          <w:snapToGrid w:val="0"/>
          <w:sz w:val="22"/>
          <w:szCs w:val="24"/>
          <w:u w:val="single"/>
        </w:rPr>
        <w:t>Laikotarpis iki pirmo ūm</w:t>
      </w:r>
      <w:r w:rsidR="00B675DD">
        <w:rPr>
          <w:i/>
          <w:iCs/>
          <w:snapToGrid w:val="0"/>
          <w:sz w:val="22"/>
          <w:szCs w:val="24"/>
          <w:u w:val="single"/>
        </w:rPr>
        <w:t>inio</w:t>
      </w:r>
      <w:r w:rsidRPr="00211E3B">
        <w:rPr>
          <w:i/>
          <w:iCs/>
          <w:snapToGrid w:val="0"/>
          <w:sz w:val="22"/>
          <w:szCs w:val="24"/>
          <w:u w:val="single"/>
        </w:rPr>
        <w:t xml:space="preserve"> IPL pasunkėjimo arba mirties</w:t>
      </w:r>
    </w:p>
    <w:p w14:paraId="3EC751D7" w14:textId="1CB2CFC0" w:rsidR="005E424F" w:rsidRPr="00211E3B" w:rsidRDefault="005E424F" w:rsidP="005E424F">
      <w:pPr>
        <w:ind w:right="-142"/>
        <w:rPr>
          <w:snapToGrid w:val="0"/>
          <w:sz w:val="22"/>
          <w:szCs w:val="24"/>
        </w:rPr>
      </w:pPr>
      <w:r w:rsidRPr="00211E3B">
        <w:rPr>
          <w:snapToGrid w:val="0"/>
          <w:sz w:val="22"/>
          <w:szCs w:val="24"/>
        </w:rPr>
        <w:t>Viso tyrimo metu pacientų, kurie patyrė bent vieną pirmo ūm</w:t>
      </w:r>
      <w:r w:rsidR="00B675DD">
        <w:rPr>
          <w:snapToGrid w:val="0"/>
          <w:sz w:val="22"/>
          <w:szCs w:val="24"/>
        </w:rPr>
        <w:t>inio</w:t>
      </w:r>
      <w:r w:rsidRPr="00211E3B">
        <w:rPr>
          <w:snapToGrid w:val="0"/>
          <w:sz w:val="22"/>
          <w:szCs w:val="24"/>
        </w:rPr>
        <w:t xml:space="preserve"> IPL pasunkėjimo reiškinį arba mirė,</w:t>
      </w:r>
    </w:p>
    <w:p w14:paraId="5A169897" w14:textId="12D8AE2D" w:rsidR="005E424F" w:rsidRPr="00211E3B" w:rsidRDefault="005E424F" w:rsidP="005E424F">
      <w:pPr>
        <w:ind w:right="-142"/>
        <w:rPr>
          <w:snapToGrid w:val="0"/>
          <w:sz w:val="22"/>
          <w:szCs w:val="24"/>
        </w:rPr>
      </w:pPr>
      <w:r w:rsidRPr="00211E3B">
        <w:rPr>
          <w:snapToGrid w:val="0"/>
          <w:sz w:val="22"/>
          <w:szCs w:val="24"/>
        </w:rPr>
        <w:t xml:space="preserve">dalis </w:t>
      </w:r>
      <w:r w:rsidR="00E132BF" w:rsidRPr="00211E3B">
        <w:rPr>
          <w:snapToGrid w:val="0"/>
          <w:sz w:val="22"/>
          <w:szCs w:val="24"/>
        </w:rPr>
        <w:t>nintedanib</w:t>
      </w:r>
      <w:r w:rsidR="009A63B9" w:rsidRPr="00211E3B">
        <w:rPr>
          <w:snapToGrid w:val="0"/>
          <w:sz w:val="22"/>
          <w:szCs w:val="24"/>
        </w:rPr>
        <w:t>o</w:t>
      </w:r>
      <w:r w:rsidR="00E132BF" w:rsidRPr="00211E3B">
        <w:rPr>
          <w:snapToGrid w:val="0"/>
          <w:sz w:val="22"/>
          <w:szCs w:val="24"/>
        </w:rPr>
        <w:t xml:space="preserve"> </w:t>
      </w:r>
      <w:r w:rsidR="009A63B9" w:rsidRPr="00211E3B">
        <w:rPr>
          <w:snapToGrid w:val="0"/>
          <w:sz w:val="22"/>
          <w:szCs w:val="24"/>
        </w:rPr>
        <w:t xml:space="preserve">vartojusiųjų </w:t>
      </w:r>
      <w:r w:rsidRPr="00211E3B">
        <w:rPr>
          <w:snapToGrid w:val="0"/>
          <w:sz w:val="22"/>
          <w:szCs w:val="24"/>
        </w:rPr>
        <w:t>grupėje buvo 13,9</w:t>
      </w:r>
      <w:r w:rsidR="0085390D">
        <w:rPr>
          <w:snapToGrid w:val="0"/>
          <w:sz w:val="22"/>
          <w:szCs w:val="24"/>
        </w:rPr>
        <w:t> %</w:t>
      </w:r>
      <w:r w:rsidRPr="00211E3B">
        <w:rPr>
          <w:snapToGrid w:val="0"/>
          <w:sz w:val="22"/>
          <w:szCs w:val="24"/>
        </w:rPr>
        <w:t xml:space="preserve">, o placebo </w:t>
      </w:r>
      <w:r w:rsidR="009A63B9" w:rsidRPr="00211E3B">
        <w:rPr>
          <w:snapToGrid w:val="0"/>
          <w:sz w:val="22"/>
          <w:szCs w:val="24"/>
        </w:rPr>
        <w:t xml:space="preserve">vartojusiųjų </w:t>
      </w:r>
      <w:r w:rsidRPr="00211E3B">
        <w:rPr>
          <w:snapToGrid w:val="0"/>
          <w:sz w:val="22"/>
          <w:szCs w:val="24"/>
        </w:rPr>
        <w:t>grupėje – 19,6</w:t>
      </w:r>
      <w:r w:rsidR="0085390D">
        <w:rPr>
          <w:snapToGrid w:val="0"/>
          <w:sz w:val="22"/>
          <w:szCs w:val="24"/>
        </w:rPr>
        <w:t> %</w:t>
      </w:r>
      <w:r w:rsidRPr="00211E3B">
        <w:rPr>
          <w:snapToGrid w:val="0"/>
          <w:sz w:val="22"/>
          <w:szCs w:val="24"/>
        </w:rPr>
        <w:t>. RS buvo 0,67 (95</w:t>
      </w:r>
      <w:r w:rsidR="0085390D">
        <w:rPr>
          <w:snapToGrid w:val="0"/>
          <w:sz w:val="22"/>
          <w:szCs w:val="24"/>
        </w:rPr>
        <w:t> %</w:t>
      </w:r>
      <w:r w:rsidRPr="00211E3B">
        <w:rPr>
          <w:snapToGrid w:val="0"/>
          <w:sz w:val="22"/>
          <w:szCs w:val="24"/>
        </w:rPr>
        <w:t xml:space="preserve"> PI: 0,46, 0,98;</w:t>
      </w:r>
      <w:r w:rsidR="009A63B9" w:rsidRPr="00211E3B">
        <w:rPr>
          <w:snapToGrid w:val="0"/>
          <w:sz w:val="22"/>
          <w:szCs w:val="24"/>
        </w:rPr>
        <w:t xml:space="preserve"> </w:t>
      </w:r>
      <w:r w:rsidR="006051F9" w:rsidRPr="00211E3B">
        <w:rPr>
          <w:snapToGrid w:val="0"/>
          <w:sz w:val="22"/>
          <w:szCs w:val="24"/>
        </w:rPr>
        <w:t>nominalus p rodmuo</w:t>
      </w:r>
      <w:r w:rsidRPr="00211E3B">
        <w:rPr>
          <w:snapToGrid w:val="0"/>
          <w:sz w:val="22"/>
          <w:szCs w:val="24"/>
        </w:rPr>
        <w:t xml:space="preserve"> = 0,0387), rodantis 33</w:t>
      </w:r>
      <w:r w:rsidR="0085390D">
        <w:rPr>
          <w:snapToGrid w:val="0"/>
          <w:sz w:val="22"/>
          <w:szCs w:val="24"/>
        </w:rPr>
        <w:t> %</w:t>
      </w:r>
      <w:r w:rsidRPr="00211E3B">
        <w:rPr>
          <w:snapToGrid w:val="0"/>
          <w:sz w:val="22"/>
          <w:szCs w:val="24"/>
        </w:rPr>
        <w:t xml:space="preserve"> mažesnę pirmo ūm</w:t>
      </w:r>
      <w:r w:rsidR="00B675DD">
        <w:rPr>
          <w:snapToGrid w:val="0"/>
          <w:sz w:val="22"/>
          <w:szCs w:val="24"/>
        </w:rPr>
        <w:t>inio</w:t>
      </w:r>
      <w:r w:rsidRPr="00211E3B">
        <w:rPr>
          <w:snapToGrid w:val="0"/>
          <w:sz w:val="22"/>
          <w:szCs w:val="24"/>
        </w:rPr>
        <w:t xml:space="preserve"> IPL pasunkėjimo arba mirties riziką</w:t>
      </w:r>
      <w:r w:rsidR="009A63B9" w:rsidRPr="00211E3B">
        <w:rPr>
          <w:snapToGrid w:val="0"/>
          <w:sz w:val="22"/>
          <w:szCs w:val="24"/>
        </w:rPr>
        <w:t xml:space="preserve"> </w:t>
      </w:r>
      <w:r w:rsidRPr="00211E3B">
        <w:rPr>
          <w:snapToGrid w:val="0"/>
          <w:sz w:val="22"/>
          <w:szCs w:val="24"/>
        </w:rPr>
        <w:t xml:space="preserve">pacientams, vartojusiems </w:t>
      </w:r>
      <w:r w:rsidR="00E132BF" w:rsidRPr="00211E3B">
        <w:rPr>
          <w:snapToGrid w:val="0"/>
          <w:sz w:val="22"/>
          <w:szCs w:val="24"/>
        </w:rPr>
        <w:t>nintedanib</w:t>
      </w:r>
      <w:r w:rsidR="009A63B9" w:rsidRPr="00211E3B">
        <w:rPr>
          <w:snapToGrid w:val="0"/>
          <w:sz w:val="22"/>
          <w:szCs w:val="24"/>
        </w:rPr>
        <w:t>ą</w:t>
      </w:r>
      <w:r w:rsidRPr="00211E3B">
        <w:rPr>
          <w:snapToGrid w:val="0"/>
          <w:sz w:val="22"/>
          <w:szCs w:val="24"/>
        </w:rPr>
        <w:t>, palyginti su placebu (4</w:t>
      </w:r>
      <w:r w:rsidR="009A63B9" w:rsidRPr="00211E3B">
        <w:rPr>
          <w:snapToGrid w:val="0"/>
          <w:sz w:val="22"/>
          <w:szCs w:val="24"/>
        </w:rPr>
        <w:t> </w:t>
      </w:r>
      <w:r w:rsidRPr="00211E3B">
        <w:rPr>
          <w:snapToGrid w:val="0"/>
          <w:sz w:val="22"/>
          <w:szCs w:val="24"/>
        </w:rPr>
        <w:t>pav</w:t>
      </w:r>
      <w:r w:rsidR="009A63B9" w:rsidRPr="00211E3B">
        <w:rPr>
          <w:snapToGrid w:val="0"/>
          <w:sz w:val="22"/>
          <w:szCs w:val="24"/>
        </w:rPr>
        <w:t>eikslas</w:t>
      </w:r>
      <w:r w:rsidRPr="00211E3B">
        <w:rPr>
          <w:snapToGrid w:val="0"/>
          <w:sz w:val="22"/>
          <w:szCs w:val="24"/>
        </w:rPr>
        <w:t>).</w:t>
      </w:r>
    </w:p>
    <w:p w14:paraId="2FE8ACED" w14:textId="2DEBA47B" w:rsidR="005E424F" w:rsidRPr="00211E3B" w:rsidRDefault="005E424F" w:rsidP="005E424F">
      <w:pPr>
        <w:ind w:right="-142"/>
        <w:rPr>
          <w:snapToGrid w:val="0"/>
          <w:sz w:val="22"/>
          <w:szCs w:val="24"/>
        </w:rPr>
      </w:pPr>
    </w:p>
    <w:p w14:paraId="61166B0D" w14:textId="1D9EBB62" w:rsidR="005E424F" w:rsidRDefault="005E424F" w:rsidP="002D2540">
      <w:pPr>
        <w:ind w:left="1296" w:right="-142" w:hanging="1296"/>
        <w:rPr>
          <w:b/>
          <w:bCs/>
          <w:snapToGrid w:val="0"/>
          <w:sz w:val="22"/>
          <w:szCs w:val="24"/>
        </w:rPr>
      </w:pPr>
      <w:r w:rsidRPr="00211E3B">
        <w:rPr>
          <w:b/>
          <w:bCs/>
          <w:snapToGrid w:val="0"/>
          <w:sz w:val="22"/>
          <w:szCs w:val="24"/>
        </w:rPr>
        <w:t>4</w:t>
      </w:r>
      <w:r w:rsidR="002D2540" w:rsidRPr="00211E3B">
        <w:rPr>
          <w:b/>
          <w:bCs/>
          <w:snapToGrid w:val="0"/>
          <w:sz w:val="22"/>
          <w:szCs w:val="24"/>
        </w:rPr>
        <w:t> </w:t>
      </w:r>
      <w:r w:rsidRPr="00211E3B">
        <w:rPr>
          <w:b/>
          <w:bCs/>
          <w:snapToGrid w:val="0"/>
          <w:sz w:val="22"/>
          <w:szCs w:val="24"/>
        </w:rPr>
        <w:t>pav</w:t>
      </w:r>
      <w:r w:rsidR="00E132BF" w:rsidRPr="00211E3B">
        <w:rPr>
          <w:b/>
          <w:bCs/>
          <w:snapToGrid w:val="0"/>
          <w:sz w:val="22"/>
          <w:szCs w:val="24"/>
        </w:rPr>
        <w:t>eikslas</w:t>
      </w:r>
      <w:r w:rsidRPr="00211E3B">
        <w:rPr>
          <w:b/>
          <w:bCs/>
          <w:snapToGrid w:val="0"/>
          <w:sz w:val="22"/>
          <w:szCs w:val="24"/>
        </w:rPr>
        <w:t>.</w:t>
      </w:r>
      <w:r w:rsidR="002D2540" w:rsidRPr="00211E3B">
        <w:rPr>
          <w:b/>
          <w:bCs/>
          <w:snapToGrid w:val="0"/>
          <w:sz w:val="22"/>
          <w:szCs w:val="24"/>
        </w:rPr>
        <w:tab/>
      </w:r>
      <w:r w:rsidRPr="00211E3B">
        <w:rPr>
          <w:b/>
          <w:bCs/>
          <w:snapToGrid w:val="0"/>
          <w:sz w:val="22"/>
          <w:szCs w:val="24"/>
        </w:rPr>
        <w:t>Laikotarpio iki pirmo ūm</w:t>
      </w:r>
      <w:r w:rsidR="00B675DD">
        <w:rPr>
          <w:b/>
          <w:bCs/>
          <w:snapToGrid w:val="0"/>
          <w:sz w:val="22"/>
          <w:szCs w:val="24"/>
        </w:rPr>
        <w:t>inio</w:t>
      </w:r>
      <w:r w:rsidRPr="00211E3B">
        <w:rPr>
          <w:b/>
          <w:bCs/>
          <w:snapToGrid w:val="0"/>
          <w:sz w:val="22"/>
          <w:szCs w:val="24"/>
        </w:rPr>
        <w:t xml:space="preserve"> IPL pasunkėjimo arba mirties viso tyrimo metu</w:t>
      </w:r>
      <w:r w:rsidR="002D2540" w:rsidRPr="00211E3B">
        <w:rPr>
          <w:b/>
          <w:bCs/>
          <w:snapToGrid w:val="0"/>
          <w:sz w:val="22"/>
          <w:szCs w:val="24"/>
        </w:rPr>
        <w:t xml:space="preserve"> </w:t>
      </w:r>
      <w:r w:rsidRPr="00211E3B">
        <w:rPr>
          <w:b/>
          <w:bCs/>
          <w:snapToGrid w:val="0"/>
          <w:sz w:val="22"/>
          <w:szCs w:val="24"/>
        </w:rPr>
        <w:t>Kaplan-Meier</w:t>
      </w:r>
      <w:r w:rsidR="002D2540" w:rsidRPr="00211E3B">
        <w:rPr>
          <w:b/>
          <w:bCs/>
          <w:snapToGrid w:val="0"/>
          <w:sz w:val="22"/>
          <w:szCs w:val="24"/>
        </w:rPr>
        <w:t xml:space="preserve"> krei</w:t>
      </w:r>
      <w:r w:rsidRPr="00211E3B">
        <w:rPr>
          <w:b/>
          <w:bCs/>
          <w:snapToGrid w:val="0"/>
          <w:sz w:val="22"/>
          <w:szCs w:val="24"/>
        </w:rPr>
        <w:t>vė</w:t>
      </w:r>
    </w:p>
    <w:p w14:paraId="56219AC5" w14:textId="239B1AA0" w:rsidR="009F550F" w:rsidRPr="00211E3B" w:rsidRDefault="009F550F" w:rsidP="002D2540">
      <w:pPr>
        <w:ind w:left="1296" w:right="-142" w:hanging="1296"/>
        <w:rPr>
          <w:b/>
          <w:bCs/>
          <w:snapToGrid w:val="0"/>
          <w:sz w:val="22"/>
          <w:szCs w:val="24"/>
        </w:rPr>
      </w:pPr>
      <w:r>
        <w:rPr>
          <w:b/>
          <w:bCs/>
          <w:noProof/>
          <w:snapToGrid w:val="0"/>
          <w:sz w:val="22"/>
          <w:szCs w:val="24"/>
          <w:lang w:eastAsia="lt-LT"/>
        </w:rPr>
        <w:drawing>
          <wp:inline distT="0" distB="0" distL="0" distR="0" wp14:anchorId="1AF37A55" wp14:editId="07BE1E3F">
            <wp:extent cx="5742940" cy="4316095"/>
            <wp:effectExtent l="0" t="0" r="0" b="8255"/>
            <wp:docPr id="16905414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42940" cy="4316095"/>
                    </a:xfrm>
                    <a:prstGeom prst="rect">
                      <a:avLst/>
                    </a:prstGeom>
                    <a:noFill/>
                  </pic:spPr>
                </pic:pic>
              </a:graphicData>
            </a:graphic>
          </wp:inline>
        </w:drawing>
      </w:r>
    </w:p>
    <w:p w14:paraId="3DCB0689" w14:textId="1056FA15" w:rsidR="00211E3B" w:rsidRPr="009F550F" w:rsidRDefault="00E35F45" w:rsidP="00211E3B">
      <w:pPr>
        <w:ind w:right="-142"/>
        <w:rPr>
          <w:sz w:val="18"/>
          <w:szCs w:val="18"/>
        </w:rPr>
      </w:pPr>
      <w:r w:rsidRPr="00211E3B">
        <w:rPr>
          <w:snapToGrid w:val="0"/>
          <w:sz w:val="22"/>
          <w:szCs w:val="24"/>
        </w:rPr>
        <w:t xml:space="preserve"> </w:t>
      </w:r>
      <w:r w:rsidR="00211E3B" w:rsidRPr="009F550F">
        <w:rPr>
          <w:sz w:val="18"/>
          <w:szCs w:val="18"/>
        </w:rPr>
        <w:t>2 </w:t>
      </w:r>
      <w:r w:rsidR="00DF0D10" w:rsidRPr="009F550F">
        <w:rPr>
          <w:sz w:val="18"/>
          <w:szCs w:val="18"/>
        </w:rPr>
        <w:t>x</w:t>
      </w:r>
      <w:r w:rsidR="00211E3B" w:rsidRPr="009F550F">
        <w:rPr>
          <w:sz w:val="18"/>
          <w:szCs w:val="18"/>
        </w:rPr>
        <w:t>/p = du kartus per parą</w:t>
      </w:r>
    </w:p>
    <w:p w14:paraId="5C138554" w14:textId="77777777" w:rsidR="00211E3B" w:rsidRPr="00211E3B" w:rsidRDefault="00211E3B" w:rsidP="005E424F">
      <w:pPr>
        <w:ind w:right="-142"/>
        <w:rPr>
          <w:snapToGrid w:val="0"/>
          <w:sz w:val="22"/>
          <w:szCs w:val="24"/>
        </w:rPr>
      </w:pPr>
    </w:p>
    <w:p w14:paraId="3E13089B" w14:textId="242431BD" w:rsidR="005E424F" w:rsidRPr="00211E3B" w:rsidRDefault="005E424F" w:rsidP="005E424F">
      <w:pPr>
        <w:ind w:right="-142"/>
        <w:rPr>
          <w:i/>
          <w:iCs/>
          <w:snapToGrid w:val="0"/>
          <w:sz w:val="22"/>
          <w:szCs w:val="24"/>
          <w:u w:val="single"/>
        </w:rPr>
      </w:pPr>
      <w:r w:rsidRPr="00211E3B">
        <w:rPr>
          <w:i/>
          <w:iCs/>
          <w:snapToGrid w:val="0"/>
          <w:sz w:val="22"/>
          <w:szCs w:val="24"/>
          <w:u w:val="single"/>
        </w:rPr>
        <w:t>Išgyvenamumo analizė</w:t>
      </w:r>
    </w:p>
    <w:p w14:paraId="5E74C0ED" w14:textId="0AD62032" w:rsidR="005E424F" w:rsidRPr="00211E3B" w:rsidRDefault="005E424F" w:rsidP="005E424F">
      <w:pPr>
        <w:ind w:right="-142"/>
        <w:rPr>
          <w:snapToGrid w:val="0"/>
          <w:sz w:val="22"/>
          <w:szCs w:val="24"/>
        </w:rPr>
      </w:pPr>
      <w:r w:rsidRPr="00211E3B">
        <w:rPr>
          <w:snapToGrid w:val="0"/>
          <w:sz w:val="22"/>
          <w:szCs w:val="24"/>
        </w:rPr>
        <w:t>Mirties rizika</w:t>
      </w:r>
      <w:r w:rsidR="006D66C3" w:rsidRPr="00211E3B">
        <w:rPr>
          <w:snapToGrid w:val="0"/>
          <w:sz w:val="22"/>
          <w:szCs w:val="24"/>
        </w:rPr>
        <w:t xml:space="preserve"> nintedanibo vartojusiųjų</w:t>
      </w:r>
      <w:r w:rsidRPr="00211E3B">
        <w:rPr>
          <w:snapToGrid w:val="0"/>
          <w:sz w:val="22"/>
          <w:szCs w:val="24"/>
        </w:rPr>
        <w:t xml:space="preserve"> grupėje, palyginti su placebo grupe, buvo mažesnė. RS buvo 0,78 (95</w:t>
      </w:r>
      <w:r w:rsidR="0085390D">
        <w:rPr>
          <w:snapToGrid w:val="0"/>
          <w:sz w:val="22"/>
          <w:szCs w:val="24"/>
        </w:rPr>
        <w:t> %</w:t>
      </w:r>
      <w:r w:rsidRPr="00211E3B">
        <w:rPr>
          <w:snapToGrid w:val="0"/>
          <w:sz w:val="22"/>
          <w:szCs w:val="24"/>
        </w:rPr>
        <w:t xml:space="preserve"> PI: 0,50,</w:t>
      </w:r>
      <w:r w:rsidR="006D66C3" w:rsidRPr="00211E3B">
        <w:rPr>
          <w:snapToGrid w:val="0"/>
          <w:sz w:val="22"/>
          <w:szCs w:val="24"/>
        </w:rPr>
        <w:t xml:space="preserve"> </w:t>
      </w:r>
      <w:r w:rsidRPr="00211E3B">
        <w:rPr>
          <w:snapToGrid w:val="0"/>
          <w:sz w:val="22"/>
          <w:szCs w:val="24"/>
        </w:rPr>
        <w:t xml:space="preserve">1,21; </w:t>
      </w:r>
      <w:r w:rsidR="006051F9" w:rsidRPr="00211E3B">
        <w:rPr>
          <w:snapToGrid w:val="0"/>
          <w:sz w:val="22"/>
          <w:szCs w:val="24"/>
        </w:rPr>
        <w:t>nominalus p rodmuo</w:t>
      </w:r>
      <w:r w:rsidRPr="00211E3B">
        <w:rPr>
          <w:snapToGrid w:val="0"/>
          <w:sz w:val="22"/>
          <w:szCs w:val="24"/>
        </w:rPr>
        <w:t xml:space="preserve"> = 0,2594), </w:t>
      </w:r>
      <w:r w:rsidR="006D66C3" w:rsidRPr="00211E3B">
        <w:rPr>
          <w:snapToGrid w:val="0"/>
          <w:sz w:val="22"/>
          <w:szCs w:val="24"/>
        </w:rPr>
        <w:t>tai rodo</w:t>
      </w:r>
      <w:r w:rsidRPr="00211E3B">
        <w:rPr>
          <w:snapToGrid w:val="0"/>
          <w:sz w:val="22"/>
          <w:szCs w:val="24"/>
        </w:rPr>
        <w:t xml:space="preserve"> 22</w:t>
      </w:r>
      <w:r w:rsidR="0085390D">
        <w:rPr>
          <w:snapToGrid w:val="0"/>
          <w:sz w:val="22"/>
          <w:szCs w:val="24"/>
        </w:rPr>
        <w:t> %</w:t>
      </w:r>
      <w:r w:rsidRPr="00211E3B">
        <w:rPr>
          <w:snapToGrid w:val="0"/>
          <w:sz w:val="22"/>
          <w:szCs w:val="24"/>
        </w:rPr>
        <w:t xml:space="preserve"> mažesnę mirties riziką pacientams, vartojusiems </w:t>
      </w:r>
      <w:r w:rsidR="00E132BF" w:rsidRPr="00211E3B">
        <w:rPr>
          <w:snapToGrid w:val="0"/>
          <w:sz w:val="22"/>
          <w:szCs w:val="24"/>
        </w:rPr>
        <w:t>nintedanib</w:t>
      </w:r>
      <w:r w:rsidR="006D66C3" w:rsidRPr="00211E3B">
        <w:rPr>
          <w:snapToGrid w:val="0"/>
          <w:sz w:val="22"/>
          <w:szCs w:val="24"/>
        </w:rPr>
        <w:t>o</w:t>
      </w:r>
      <w:r w:rsidRPr="00211E3B">
        <w:rPr>
          <w:snapToGrid w:val="0"/>
          <w:sz w:val="22"/>
          <w:szCs w:val="24"/>
        </w:rPr>
        <w:t>,</w:t>
      </w:r>
      <w:r w:rsidR="006D66C3" w:rsidRPr="00211E3B">
        <w:rPr>
          <w:snapToGrid w:val="0"/>
          <w:sz w:val="22"/>
          <w:szCs w:val="24"/>
        </w:rPr>
        <w:t xml:space="preserve"> </w:t>
      </w:r>
      <w:r w:rsidRPr="00211E3B">
        <w:rPr>
          <w:snapToGrid w:val="0"/>
          <w:sz w:val="22"/>
          <w:szCs w:val="24"/>
        </w:rPr>
        <w:t>palyginti su placeb</w:t>
      </w:r>
      <w:r w:rsidR="006D66C3" w:rsidRPr="00211E3B">
        <w:rPr>
          <w:snapToGrid w:val="0"/>
          <w:sz w:val="22"/>
          <w:szCs w:val="24"/>
        </w:rPr>
        <w:t>o vartojusiais pacientais</w:t>
      </w:r>
      <w:r w:rsidRPr="00211E3B">
        <w:rPr>
          <w:snapToGrid w:val="0"/>
          <w:sz w:val="22"/>
          <w:szCs w:val="24"/>
        </w:rPr>
        <w:t>.</w:t>
      </w:r>
    </w:p>
    <w:p w14:paraId="38E76CA0" w14:textId="77777777" w:rsidR="006D66C3" w:rsidRPr="00211E3B" w:rsidRDefault="006D66C3" w:rsidP="005E424F">
      <w:pPr>
        <w:ind w:right="-142"/>
        <w:rPr>
          <w:snapToGrid w:val="0"/>
          <w:sz w:val="22"/>
          <w:szCs w:val="24"/>
        </w:rPr>
      </w:pPr>
    </w:p>
    <w:p w14:paraId="401A37F0" w14:textId="24E92969" w:rsidR="005E424F" w:rsidRPr="00211E3B" w:rsidRDefault="005E424F" w:rsidP="005E424F">
      <w:pPr>
        <w:ind w:right="-142"/>
        <w:rPr>
          <w:i/>
          <w:iCs/>
          <w:snapToGrid w:val="0"/>
          <w:sz w:val="22"/>
          <w:szCs w:val="24"/>
          <w:u w:val="single"/>
        </w:rPr>
      </w:pPr>
      <w:r w:rsidRPr="00211E3B">
        <w:rPr>
          <w:i/>
          <w:iCs/>
          <w:snapToGrid w:val="0"/>
          <w:sz w:val="22"/>
          <w:szCs w:val="24"/>
          <w:u w:val="single"/>
        </w:rPr>
        <w:t>Laikas iki progresavimo (≥ 10</w:t>
      </w:r>
      <w:r w:rsidR="0085390D">
        <w:rPr>
          <w:i/>
          <w:iCs/>
          <w:snapToGrid w:val="0"/>
          <w:sz w:val="22"/>
          <w:szCs w:val="24"/>
          <w:u w:val="single"/>
        </w:rPr>
        <w:t> %</w:t>
      </w:r>
      <w:r w:rsidRPr="00211E3B">
        <w:rPr>
          <w:i/>
          <w:iCs/>
          <w:snapToGrid w:val="0"/>
          <w:sz w:val="22"/>
          <w:szCs w:val="24"/>
          <w:u w:val="single"/>
        </w:rPr>
        <w:t xml:space="preserve"> absoliutus FGPT (</w:t>
      </w:r>
      <w:r w:rsidR="00624EB3" w:rsidRPr="00211E3B">
        <w:rPr>
          <w:i/>
          <w:iCs/>
          <w:snapToGrid w:val="0"/>
          <w:sz w:val="22"/>
          <w:szCs w:val="24"/>
          <w:u w:val="single"/>
        </w:rPr>
        <w:t>numatyto</w:t>
      </w:r>
      <w:r w:rsidRPr="00211E3B">
        <w:rPr>
          <w:i/>
          <w:iCs/>
          <w:snapToGrid w:val="0"/>
          <w:sz w:val="22"/>
          <w:szCs w:val="24"/>
          <w:u w:val="single"/>
        </w:rPr>
        <w:t xml:space="preserve"> dydžio,</w:t>
      </w:r>
      <w:r w:rsidR="0085390D">
        <w:rPr>
          <w:i/>
          <w:iCs/>
          <w:snapToGrid w:val="0"/>
          <w:sz w:val="22"/>
          <w:szCs w:val="24"/>
          <w:u w:val="single"/>
        </w:rPr>
        <w:t> %</w:t>
      </w:r>
      <w:r w:rsidRPr="00211E3B">
        <w:rPr>
          <w:i/>
          <w:iCs/>
          <w:snapToGrid w:val="0"/>
          <w:sz w:val="22"/>
          <w:szCs w:val="24"/>
          <w:u w:val="single"/>
        </w:rPr>
        <w:t>) sumažėjimas) arba mirties</w:t>
      </w:r>
    </w:p>
    <w:p w14:paraId="4F457C99" w14:textId="2D1861CD" w:rsidR="005E424F" w:rsidRPr="00211E3B" w:rsidRDefault="005E424F" w:rsidP="005E424F">
      <w:pPr>
        <w:ind w:right="-142"/>
        <w:rPr>
          <w:snapToGrid w:val="0"/>
          <w:sz w:val="22"/>
          <w:szCs w:val="24"/>
        </w:rPr>
      </w:pPr>
      <w:r w:rsidRPr="00211E3B">
        <w:rPr>
          <w:snapToGrid w:val="0"/>
          <w:sz w:val="22"/>
          <w:szCs w:val="24"/>
        </w:rPr>
        <w:t>INBUILD tyrimo metu progresavimo (≥ 10</w:t>
      </w:r>
      <w:r w:rsidR="0085390D">
        <w:rPr>
          <w:snapToGrid w:val="0"/>
          <w:sz w:val="22"/>
          <w:szCs w:val="24"/>
        </w:rPr>
        <w:t> %</w:t>
      </w:r>
      <w:r w:rsidRPr="00211E3B">
        <w:rPr>
          <w:snapToGrid w:val="0"/>
          <w:sz w:val="22"/>
          <w:szCs w:val="24"/>
        </w:rPr>
        <w:t xml:space="preserve"> absoliutus FGPT (</w:t>
      </w:r>
      <w:r w:rsidR="00624EB3" w:rsidRPr="00211E3B">
        <w:rPr>
          <w:snapToGrid w:val="0"/>
          <w:sz w:val="22"/>
          <w:szCs w:val="24"/>
        </w:rPr>
        <w:t>numatytojo</w:t>
      </w:r>
      <w:r w:rsidRPr="00211E3B">
        <w:rPr>
          <w:snapToGrid w:val="0"/>
          <w:sz w:val="22"/>
          <w:szCs w:val="24"/>
        </w:rPr>
        <w:t xml:space="preserve"> dydžio,</w:t>
      </w:r>
      <w:r w:rsidR="0085390D">
        <w:rPr>
          <w:snapToGrid w:val="0"/>
          <w:sz w:val="22"/>
          <w:szCs w:val="24"/>
        </w:rPr>
        <w:t> %</w:t>
      </w:r>
      <w:r w:rsidRPr="00211E3B">
        <w:rPr>
          <w:snapToGrid w:val="0"/>
          <w:sz w:val="22"/>
          <w:szCs w:val="24"/>
        </w:rPr>
        <w:t>) sumažėjimas)</w:t>
      </w:r>
      <w:r w:rsidR="00624EB3" w:rsidRPr="00211E3B">
        <w:rPr>
          <w:snapToGrid w:val="0"/>
          <w:sz w:val="22"/>
          <w:szCs w:val="24"/>
        </w:rPr>
        <w:t xml:space="preserve"> </w:t>
      </w:r>
      <w:r w:rsidRPr="00211E3B">
        <w:rPr>
          <w:snapToGrid w:val="0"/>
          <w:sz w:val="22"/>
          <w:szCs w:val="24"/>
        </w:rPr>
        <w:t xml:space="preserve">arba mirties rizika buvo mažesnė </w:t>
      </w:r>
      <w:r w:rsidR="00E132BF" w:rsidRPr="00211E3B">
        <w:rPr>
          <w:snapToGrid w:val="0"/>
          <w:sz w:val="22"/>
          <w:szCs w:val="24"/>
        </w:rPr>
        <w:t xml:space="preserve">nintedanibu </w:t>
      </w:r>
      <w:r w:rsidRPr="00211E3B">
        <w:rPr>
          <w:snapToGrid w:val="0"/>
          <w:sz w:val="22"/>
          <w:szCs w:val="24"/>
        </w:rPr>
        <w:t xml:space="preserve">gydomiems pacientams. Pacientų, patyrusių reiškinį, dalis </w:t>
      </w:r>
      <w:r w:rsidR="00E132BF" w:rsidRPr="00211E3B">
        <w:rPr>
          <w:snapToGrid w:val="0"/>
          <w:sz w:val="22"/>
          <w:szCs w:val="24"/>
        </w:rPr>
        <w:t>nintedanib</w:t>
      </w:r>
      <w:r w:rsidR="00624EB3" w:rsidRPr="00211E3B">
        <w:rPr>
          <w:snapToGrid w:val="0"/>
          <w:sz w:val="22"/>
          <w:szCs w:val="24"/>
        </w:rPr>
        <w:t xml:space="preserve">o vartojusiųjų </w:t>
      </w:r>
      <w:r w:rsidRPr="00211E3B">
        <w:rPr>
          <w:snapToGrid w:val="0"/>
          <w:sz w:val="22"/>
          <w:szCs w:val="24"/>
        </w:rPr>
        <w:t>grupėje buvo 40,4</w:t>
      </w:r>
      <w:r w:rsidR="0085390D">
        <w:rPr>
          <w:snapToGrid w:val="0"/>
          <w:sz w:val="22"/>
          <w:szCs w:val="24"/>
        </w:rPr>
        <w:t> %</w:t>
      </w:r>
      <w:r w:rsidRPr="00211E3B">
        <w:rPr>
          <w:snapToGrid w:val="0"/>
          <w:sz w:val="22"/>
          <w:szCs w:val="24"/>
        </w:rPr>
        <w:t>, o placebo grupėje – 54,7</w:t>
      </w:r>
      <w:r w:rsidR="0085390D">
        <w:rPr>
          <w:snapToGrid w:val="0"/>
          <w:sz w:val="22"/>
          <w:szCs w:val="24"/>
        </w:rPr>
        <w:t> %</w:t>
      </w:r>
      <w:r w:rsidRPr="00211E3B">
        <w:rPr>
          <w:snapToGrid w:val="0"/>
          <w:sz w:val="22"/>
          <w:szCs w:val="24"/>
        </w:rPr>
        <w:t>. RS buvo 0,66 (95</w:t>
      </w:r>
      <w:r w:rsidR="0085390D">
        <w:rPr>
          <w:snapToGrid w:val="0"/>
          <w:sz w:val="22"/>
          <w:szCs w:val="24"/>
        </w:rPr>
        <w:t> %</w:t>
      </w:r>
      <w:r w:rsidRPr="00211E3B">
        <w:rPr>
          <w:snapToGrid w:val="0"/>
          <w:sz w:val="22"/>
          <w:szCs w:val="24"/>
        </w:rPr>
        <w:t xml:space="preserve"> PI: 0,53, 0,83; p = 0,0003),</w:t>
      </w:r>
      <w:r w:rsidR="00624EB3" w:rsidRPr="00211E3B">
        <w:rPr>
          <w:snapToGrid w:val="0"/>
          <w:sz w:val="22"/>
          <w:szCs w:val="24"/>
        </w:rPr>
        <w:t xml:space="preserve"> tai rodo</w:t>
      </w:r>
      <w:r w:rsidRPr="00211E3B">
        <w:rPr>
          <w:snapToGrid w:val="0"/>
          <w:sz w:val="22"/>
          <w:szCs w:val="24"/>
        </w:rPr>
        <w:t xml:space="preserve"> 34</w:t>
      </w:r>
      <w:r w:rsidR="0085390D">
        <w:rPr>
          <w:snapToGrid w:val="0"/>
          <w:sz w:val="22"/>
          <w:szCs w:val="24"/>
        </w:rPr>
        <w:t> %</w:t>
      </w:r>
      <w:r w:rsidRPr="00211E3B">
        <w:rPr>
          <w:snapToGrid w:val="0"/>
          <w:sz w:val="22"/>
          <w:szCs w:val="24"/>
        </w:rPr>
        <w:t xml:space="preserve"> mažesnę progresavimo (≥ 10</w:t>
      </w:r>
      <w:r w:rsidR="0085390D">
        <w:rPr>
          <w:snapToGrid w:val="0"/>
          <w:sz w:val="22"/>
          <w:szCs w:val="24"/>
        </w:rPr>
        <w:t> %</w:t>
      </w:r>
      <w:r w:rsidRPr="00211E3B">
        <w:rPr>
          <w:snapToGrid w:val="0"/>
          <w:sz w:val="22"/>
          <w:szCs w:val="24"/>
        </w:rPr>
        <w:t xml:space="preserve"> absoliutaus numatytos</w:t>
      </w:r>
      <w:r w:rsidR="00624EB3" w:rsidRPr="00211E3B">
        <w:rPr>
          <w:snapToGrid w:val="0"/>
          <w:sz w:val="22"/>
          <w:szCs w:val="24"/>
        </w:rPr>
        <w:t xml:space="preserve"> </w:t>
      </w:r>
      <w:r w:rsidRPr="00211E3B">
        <w:rPr>
          <w:snapToGrid w:val="0"/>
          <w:sz w:val="22"/>
          <w:szCs w:val="24"/>
        </w:rPr>
        <w:t>FGPT (</w:t>
      </w:r>
      <w:r w:rsidR="006051F9" w:rsidRPr="00211E3B">
        <w:rPr>
          <w:snapToGrid w:val="0"/>
          <w:sz w:val="22"/>
          <w:szCs w:val="24"/>
        </w:rPr>
        <w:t>numatyto</w:t>
      </w:r>
      <w:r w:rsidRPr="00211E3B">
        <w:rPr>
          <w:snapToGrid w:val="0"/>
          <w:sz w:val="22"/>
          <w:szCs w:val="24"/>
        </w:rPr>
        <w:t xml:space="preserve"> dydžio,</w:t>
      </w:r>
      <w:r w:rsidR="0085390D">
        <w:rPr>
          <w:snapToGrid w:val="0"/>
          <w:sz w:val="22"/>
          <w:szCs w:val="24"/>
        </w:rPr>
        <w:t> %</w:t>
      </w:r>
      <w:r w:rsidRPr="00211E3B">
        <w:rPr>
          <w:snapToGrid w:val="0"/>
          <w:sz w:val="22"/>
          <w:szCs w:val="24"/>
        </w:rPr>
        <w:t>)</w:t>
      </w:r>
      <w:r w:rsidR="00624EB3" w:rsidRPr="00211E3B">
        <w:rPr>
          <w:snapToGrid w:val="0"/>
          <w:sz w:val="22"/>
          <w:szCs w:val="24"/>
        </w:rPr>
        <w:t xml:space="preserve"> </w:t>
      </w:r>
      <w:r w:rsidRPr="00211E3B">
        <w:rPr>
          <w:snapToGrid w:val="0"/>
          <w:sz w:val="22"/>
          <w:szCs w:val="24"/>
        </w:rPr>
        <w:t xml:space="preserve">sumažėjimo) arba mirties riziką pacientams, vartojusiems </w:t>
      </w:r>
      <w:r w:rsidR="00E132BF" w:rsidRPr="00211E3B">
        <w:rPr>
          <w:snapToGrid w:val="0"/>
          <w:sz w:val="22"/>
          <w:szCs w:val="24"/>
        </w:rPr>
        <w:t>nintedanib</w:t>
      </w:r>
      <w:r w:rsidR="00624EB3" w:rsidRPr="00211E3B">
        <w:rPr>
          <w:snapToGrid w:val="0"/>
          <w:sz w:val="22"/>
          <w:szCs w:val="24"/>
        </w:rPr>
        <w:t>o</w:t>
      </w:r>
      <w:r w:rsidRPr="00211E3B">
        <w:rPr>
          <w:snapToGrid w:val="0"/>
          <w:sz w:val="22"/>
          <w:szCs w:val="24"/>
        </w:rPr>
        <w:t>, palyginti su placeb</w:t>
      </w:r>
      <w:r w:rsidR="00624EB3" w:rsidRPr="00211E3B">
        <w:rPr>
          <w:snapToGrid w:val="0"/>
          <w:sz w:val="22"/>
          <w:szCs w:val="24"/>
        </w:rPr>
        <w:t>o vartojusiais pacientais</w:t>
      </w:r>
      <w:r w:rsidRPr="00211E3B">
        <w:rPr>
          <w:snapToGrid w:val="0"/>
          <w:sz w:val="22"/>
          <w:szCs w:val="24"/>
        </w:rPr>
        <w:t>.</w:t>
      </w:r>
    </w:p>
    <w:p w14:paraId="38768CD2" w14:textId="77777777" w:rsidR="00624EB3" w:rsidRPr="00211E3B" w:rsidRDefault="00624EB3" w:rsidP="005E424F">
      <w:pPr>
        <w:ind w:right="-142"/>
        <w:rPr>
          <w:snapToGrid w:val="0"/>
          <w:sz w:val="22"/>
          <w:szCs w:val="24"/>
        </w:rPr>
      </w:pPr>
    </w:p>
    <w:p w14:paraId="37C9D42C" w14:textId="02D4CAD9" w:rsidR="005E424F" w:rsidRPr="00211E3B" w:rsidRDefault="005E424F" w:rsidP="005E424F">
      <w:pPr>
        <w:ind w:right="-142"/>
        <w:rPr>
          <w:i/>
          <w:iCs/>
          <w:snapToGrid w:val="0"/>
          <w:sz w:val="22"/>
          <w:szCs w:val="24"/>
          <w:u w:val="single"/>
        </w:rPr>
      </w:pPr>
      <w:r w:rsidRPr="00211E3B">
        <w:rPr>
          <w:i/>
          <w:iCs/>
          <w:snapToGrid w:val="0"/>
          <w:sz w:val="22"/>
          <w:szCs w:val="24"/>
          <w:u w:val="single"/>
        </w:rPr>
        <w:t>Gyvenimo kokybė</w:t>
      </w:r>
    </w:p>
    <w:p w14:paraId="29CD78EA" w14:textId="37AD897F" w:rsidR="00C56015" w:rsidRPr="00211E3B" w:rsidRDefault="005E424F" w:rsidP="005E424F">
      <w:pPr>
        <w:ind w:right="-142"/>
        <w:rPr>
          <w:snapToGrid w:val="0"/>
          <w:sz w:val="22"/>
          <w:szCs w:val="24"/>
        </w:rPr>
      </w:pPr>
      <w:r w:rsidRPr="00211E3B">
        <w:rPr>
          <w:snapToGrid w:val="0"/>
          <w:sz w:val="22"/>
          <w:szCs w:val="24"/>
        </w:rPr>
        <w:lastRenderedPageBreak/>
        <w:t xml:space="preserve">Koreguotasis vidutinis K-BILD bendrojo </w:t>
      </w:r>
      <w:r w:rsidR="00D5361F" w:rsidRPr="00211E3B">
        <w:rPr>
          <w:snapToGrid w:val="0"/>
          <w:sz w:val="22"/>
          <w:szCs w:val="24"/>
        </w:rPr>
        <w:t>įvertinimo</w:t>
      </w:r>
      <w:r w:rsidRPr="00211E3B">
        <w:rPr>
          <w:snapToGrid w:val="0"/>
          <w:sz w:val="22"/>
          <w:szCs w:val="24"/>
        </w:rPr>
        <w:t xml:space="preserve"> pokytis nuo pradinio </w:t>
      </w:r>
      <w:r w:rsidR="00D5361F" w:rsidRPr="00211E3B">
        <w:rPr>
          <w:snapToGrid w:val="0"/>
          <w:sz w:val="22"/>
          <w:szCs w:val="24"/>
        </w:rPr>
        <w:t xml:space="preserve">rodmens </w:t>
      </w:r>
      <w:r w:rsidR="00D7087C" w:rsidRPr="00211E3B">
        <w:rPr>
          <w:snapToGrid w:val="0"/>
          <w:sz w:val="22"/>
          <w:szCs w:val="24"/>
        </w:rPr>
        <w:t>52 s</w:t>
      </w:r>
      <w:r w:rsidRPr="00211E3B">
        <w:rPr>
          <w:snapToGrid w:val="0"/>
          <w:sz w:val="22"/>
          <w:szCs w:val="24"/>
        </w:rPr>
        <w:t xml:space="preserve">avaitę </w:t>
      </w:r>
      <w:r w:rsidR="00D5361F" w:rsidRPr="00211E3B">
        <w:rPr>
          <w:snapToGrid w:val="0"/>
          <w:sz w:val="22"/>
          <w:szCs w:val="24"/>
        </w:rPr>
        <w:t xml:space="preserve">buvo -0,79 vieneto </w:t>
      </w:r>
      <w:r w:rsidRPr="00211E3B">
        <w:rPr>
          <w:snapToGrid w:val="0"/>
          <w:sz w:val="22"/>
          <w:szCs w:val="24"/>
        </w:rPr>
        <w:t xml:space="preserve">placebo </w:t>
      </w:r>
      <w:r w:rsidR="00D5361F" w:rsidRPr="00211E3B">
        <w:rPr>
          <w:snapToGrid w:val="0"/>
          <w:sz w:val="22"/>
          <w:szCs w:val="24"/>
        </w:rPr>
        <w:t xml:space="preserve">vartojusiųjų </w:t>
      </w:r>
      <w:r w:rsidRPr="00211E3B">
        <w:rPr>
          <w:snapToGrid w:val="0"/>
          <w:sz w:val="22"/>
          <w:szCs w:val="24"/>
        </w:rPr>
        <w:t>grupėje</w:t>
      </w:r>
      <w:r w:rsidR="00D5361F" w:rsidRPr="00211E3B">
        <w:rPr>
          <w:snapToGrid w:val="0"/>
          <w:sz w:val="22"/>
          <w:szCs w:val="24"/>
        </w:rPr>
        <w:t xml:space="preserve"> ir 0,55 nintedanibo vartojusiųjų grupėje</w:t>
      </w:r>
      <w:r w:rsidRPr="00211E3B">
        <w:rPr>
          <w:snapToGrid w:val="0"/>
          <w:sz w:val="22"/>
          <w:szCs w:val="24"/>
        </w:rPr>
        <w:t>. Skirtumas tarp gydymo grupių buvo 1,34</w:t>
      </w:r>
      <w:r w:rsidR="00D5361F" w:rsidRPr="00211E3B">
        <w:rPr>
          <w:snapToGrid w:val="0"/>
          <w:sz w:val="22"/>
          <w:szCs w:val="24"/>
        </w:rPr>
        <w:t xml:space="preserve"> </w:t>
      </w:r>
      <w:r w:rsidRPr="00211E3B">
        <w:rPr>
          <w:snapToGrid w:val="0"/>
          <w:sz w:val="22"/>
          <w:szCs w:val="24"/>
        </w:rPr>
        <w:t>(95</w:t>
      </w:r>
      <w:r w:rsidR="0085390D">
        <w:rPr>
          <w:snapToGrid w:val="0"/>
          <w:sz w:val="22"/>
          <w:szCs w:val="24"/>
        </w:rPr>
        <w:t> %</w:t>
      </w:r>
      <w:r w:rsidRPr="00211E3B">
        <w:rPr>
          <w:snapToGrid w:val="0"/>
          <w:sz w:val="22"/>
          <w:szCs w:val="24"/>
        </w:rPr>
        <w:t xml:space="preserve"> PI: -0,31, 2,98; </w:t>
      </w:r>
      <w:r w:rsidR="006051F9" w:rsidRPr="00211E3B">
        <w:rPr>
          <w:snapToGrid w:val="0"/>
          <w:sz w:val="22"/>
          <w:szCs w:val="24"/>
        </w:rPr>
        <w:t>nominalus p rodmuo</w:t>
      </w:r>
      <w:r w:rsidRPr="00211E3B">
        <w:rPr>
          <w:snapToGrid w:val="0"/>
          <w:sz w:val="22"/>
          <w:szCs w:val="24"/>
        </w:rPr>
        <w:t xml:space="preserve"> = 0,1115).</w:t>
      </w:r>
    </w:p>
    <w:p w14:paraId="21990EE6" w14:textId="77777777" w:rsidR="00C56015" w:rsidRPr="00211E3B" w:rsidRDefault="00C56015" w:rsidP="005E424F">
      <w:pPr>
        <w:ind w:right="-142"/>
        <w:rPr>
          <w:snapToGrid w:val="0"/>
          <w:sz w:val="22"/>
          <w:szCs w:val="24"/>
        </w:rPr>
      </w:pPr>
    </w:p>
    <w:p w14:paraId="163C0033" w14:textId="69BEF3AE" w:rsidR="005E424F" w:rsidRPr="00211E3B" w:rsidRDefault="005E424F" w:rsidP="005E424F">
      <w:pPr>
        <w:ind w:right="-142"/>
        <w:rPr>
          <w:snapToGrid w:val="0"/>
          <w:sz w:val="22"/>
          <w:szCs w:val="24"/>
        </w:rPr>
      </w:pPr>
      <w:r w:rsidRPr="00211E3B">
        <w:rPr>
          <w:snapToGrid w:val="0"/>
          <w:sz w:val="22"/>
          <w:szCs w:val="24"/>
        </w:rPr>
        <w:t xml:space="preserve">Koreguotasis vidutinis absoliutus </w:t>
      </w:r>
      <w:r w:rsidR="00C56015" w:rsidRPr="00211E3B">
        <w:rPr>
          <w:snapToGrid w:val="0"/>
          <w:sz w:val="22"/>
          <w:szCs w:val="24"/>
        </w:rPr>
        <w:t>gyvenimo su plaučių fibroze klausimyno (angl.</w:t>
      </w:r>
      <w:r w:rsidR="00C56015" w:rsidRPr="00211E3B">
        <w:rPr>
          <w:i/>
          <w:iCs/>
          <w:snapToGrid w:val="0"/>
          <w:sz w:val="22"/>
          <w:szCs w:val="24"/>
        </w:rPr>
        <w:t xml:space="preserve"> Living With Pulmonary Fibrosis</w:t>
      </w:r>
      <w:r w:rsidR="00C56015" w:rsidRPr="00211E3B">
        <w:rPr>
          <w:snapToGrid w:val="0"/>
          <w:sz w:val="22"/>
          <w:szCs w:val="24"/>
        </w:rPr>
        <w:t xml:space="preserve">, L-PF) simptomų </w:t>
      </w:r>
      <w:r w:rsidRPr="00211E3B">
        <w:rPr>
          <w:snapToGrid w:val="0"/>
          <w:sz w:val="22"/>
          <w:szCs w:val="24"/>
        </w:rPr>
        <w:t xml:space="preserve">dusulio srities </w:t>
      </w:r>
      <w:r w:rsidR="00C56015" w:rsidRPr="00211E3B">
        <w:rPr>
          <w:snapToGrid w:val="0"/>
          <w:sz w:val="22"/>
          <w:szCs w:val="24"/>
        </w:rPr>
        <w:t xml:space="preserve">įvertinimo </w:t>
      </w:r>
      <w:r w:rsidRPr="00211E3B">
        <w:rPr>
          <w:snapToGrid w:val="0"/>
          <w:sz w:val="22"/>
          <w:szCs w:val="24"/>
        </w:rPr>
        <w:t xml:space="preserve">pokytis nuo pradinio </w:t>
      </w:r>
      <w:r w:rsidR="00C56015" w:rsidRPr="00211E3B">
        <w:rPr>
          <w:snapToGrid w:val="0"/>
          <w:sz w:val="22"/>
          <w:szCs w:val="24"/>
        </w:rPr>
        <w:t xml:space="preserve">rodmens </w:t>
      </w:r>
      <w:r w:rsidR="00D7087C" w:rsidRPr="00211E3B">
        <w:rPr>
          <w:snapToGrid w:val="0"/>
          <w:sz w:val="22"/>
          <w:szCs w:val="24"/>
        </w:rPr>
        <w:t>52 s</w:t>
      </w:r>
      <w:r w:rsidRPr="00211E3B">
        <w:rPr>
          <w:snapToGrid w:val="0"/>
          <w:sz w:val="22"/>
          <w:szCs w:val="24"/>
        </w:rPr>
        <w:t xml:space="preserve">avaitę </w:t>
      </w:r>
      <w:r w:rsidR="00C56015" w:rsidRPr="00211E3B">
        <w:rPr>
          <w:snapToGrid w:val="0"/>
          <w:sz w:val="22"/>
          <w:szCs w:val="24"/>
        </w:rPr>
        <w:t xml:space="preserve">nintedanibo vartojusiųjų </w:t>
      </w:r>
      <w:r w:rsidRPr="00211E3B">
        <w:rPr>
          <w:snapToGrid w:val="0"/>
          <w:sz w:val="22"/>
          <w:szCs w:val="24"/>
        </w:rPr>
        <w:t xml:space="preserve">grupėje buvo 4,28, </w:t>
      </w:r>
      <w:r w:rsidR="00C56015" w:rsidRPr="00211E3B">
        <w:rPr>
          <w:snapToGrid w:val="0"/>
          <w:sz w:val="22"/>
          <w:szCs w:val="24"/>
        </w:rPr>
        <w:t xml:space="preserve">palyginti su </w:t>
      </w:r>
      <w:r w:rsidRPr="00211E3B">
        <w:rPr>
          <w:snapToGrid w:val="0"/>
          <w:sz w:val="22"/>
          <w:szCs w:val="24"/>
        </w:rPr>
        <w:t>7,81</w:t>
      </w:r>
      <w:r w:rsidR="00C56015" w:rsidRPr="00211E3B">
        <w:rPr>
          <w:snapToGrid w:val="0"/>
          <w:sz w:val="22"/>
          <w:szCs w:val="24"/>
        </w:rPr>
        <w:t xml:space="preserve"> placebo grupėje</w:t>
      </w:r>
      <w:r w:rsidRPr="00211E3B">
        <w:rPr>
          <w:snapToGrid w:val="0"/>
          <w:sz w:val="22"/>
          <w:szCs w:val="24"/>
        </w:rPr>
        <w:t>. Koreguotasis vidutinis skirtumas tarp grupių rodė</w:t>
      </w:r>
      <w:r w:rsidR="00C56015" w:rsidRPr="00211E3B">
        <w:rPr>
          <w:snapToGrid w:val="0"/>
          <w:sz w:val="22"/>
          <w:szCs w:val="24"/>
        </w:rPr>
        <w:t xml:space="preserve"> nintedanibo </w:t>
      </w:r>
      <w:r w:rsidRPr="00211E3B">
        <w:rPr>
          <w:snapToGrid w:val="0"/>
          <w:sz w:val="22"/>
          <w:szCs w:val="24"/>
        </w:rPr>
        <w:t>pranašumą ir buvo -3,53 (95</w:t>
      </w:r>
      <w:r w:rsidR="0085390D">
        <w:rPr>
          <w:snapToGrid w:val="0"/>
          <w:sz w:val="22"/>
          <w:szCs w:val="24"/>
        </w:rPr>
        <w:t> %</w:t>
      </w:r>
      <w:r w:rsidRPr="00211E3B">
        <w:rPr>
          <w:snapToGrid w:val="0"/>
          <w:sz w:val="22"/>
          <w:szCs w:val="24"/>
        </w:rPr>
        <w:t xml:space="preserve"> PI: -6,14, -0,92; </w:t>
      </w:r>
      <w:r w:rsidR="006051F9" w:rsidRPr="00211E3B">
        <w:rPr>
          <w:snapToGrid w:val="0"/>
          <w:sz w:val="22"/>
          <w:szCs w:val="24"/>
        </w:rPr>
        <w:t>nominalus p rodmuo</w:t>
      </w:r>
      <w:r w:rsidRPr="00211E3B">
        <w:rPr>
          <w:snapToGrid w:val="0"/>
          <w:sz w:val="22"/>
          <w:szCs w:val="24"/>
        </w:rPr>
        <w:t xml:space="preserve"> = 0,0081). </w:t>
      </w:r>
      <w:r w:rsidR="00C56015" w:rsidRPr="00211E3B">
        <w:rPr>
          <w:snapToGrid w:val="0"/>
          <w:sz w:val="22"/>
          <w:szCs w:val="24"/>
        </w:rPr>
        <w:t xml:space="preserve">Koreguotasis vidutinis absoliutus L-PF simptomų kosulio srities įvertinimo pokytis nuo pradinio rodmens </w:t>
      </w:r>
      <w:r w:rsidR="00D7087C" w:rsidRPr="00211E3B">
        <w:rPr>
          <w:snapToGrid w:val="0"/>
          <w:sz w:val="22"/>
          <w:szCs w:val="24"/>
        </w:rPr>
        <w:t>52 s</w:t>
      </w:r>
      <w:r w:rsidR="00C56015" w:rsidRPr="00211E3B">
        <w:rPr>
          <w:snapToGrid w:val="0"/>
          <w:sz w:val="22"/>
          <w:szCs w:val="24"/>
        </w:rPr>
        <w:t>avaitę nintedanibo vartojusiųjų grupėje buvo -</w:t>
      </w:r>
      <w:r w:rsidRPr="00211E3B">
        <w:rPr>
          <w:snapToGrid w:val="0"/>
          <w:sz w:val="22"/>
          <w:szCs w:val="24"/>
        </w:rPr>
        <w:t xml:space="preserve">1,84, </w:t>
      </w:r>
      <w:r w:rsidR="00C56015" w:rsidRPr="00211E3B">
        <w:rPr>
          <w:snapToGrid w:val="0"/>
          <w:sz w:val="22"/>
          <w:szCs w:val="24"/>
        </w:rPr>
        <w:t>palyginti su</w:t>
      </w:r>
      <w:r w:rsidRPr="00211E3B">
        <w:rPr>
          <w:snapToGrid w:val="0"/>
          <w:sz w:val="22"/>
          <w:szCs w:val="24"/>
        </w:rPr>
        <w:t xml:space="preserve"> 4,25</w:t>
      </w:r>
      <w:r w:rsidR="00C56015" w:rsidRPr="00211E3B">
        <w:rPr>
          <w:snapToGrid w:val="0"/>
          <w:sz w:val="22"/>
          <w:szCs w:val="24"/>
        </w:rPr>
        <w:t xml:space="preserve"> placebo grupėje</w:t>
      </w:r>
      <w:r w:rsidRPr="00211E3B">
        <w:rPr>
          <w:snapToGrid w:val="0"/>
          <w:sz w:val="22"/>
          <w:szCs w:val="24"/>
        </w:rPr>
        <w:t xml:space="preserve">. Koreguotasis vidutinis skirtumas tarp grupių rodė </w:t>
      </w:r>
      <w:r w:rsidR="00C56015" w:rsidRPr="00211E3B">
        <w:rPr>
          <w:snapToGrid w:val="0"/>
          <w:sz w:val="22"/>
          <w:szCs w:val="24"/>
        </w:rPr>
        <w:t xml:space="preserve">nintedanibo </w:t>
      </w:r>
      <w:r w:rsidRPr="00211E3B">
        <w:rPr>
          <w:snapToGrid w:val="0"/>
          <w:sz w:val="22"/>
          <w:szCs w:val="24"/>
        </w:rPr>
        <w:t>pranašumą ir buvo -6,09 (95</w:t>
      </w:r>
      <w:r w:rsidR="0085390D">
        <w:rPr>
          <w:snapToGrid w:val="0"/>
          <w:sz w:val="22"/>
          <w:szCs w:val="24"/>
        </w:rPr>
        <w:t> %</w:t>
      </w:r>
      <w:r w:rsidRPr="00211E3B">
        <w:rPr>
          <w:snapToGrid w:val="0"/>
          <w:sz w:val="22"/>
          <w:szCs w:val="24"/>
        </w:rPr>
        <w:t xml:space="preserve"> PI: -9,65, -2,53; </w:t>
      </w:r>
      <w:r w:rsidR="006051F9" w:rsidRPr="00211E3B">
        <w:rPr>
          <w:snapToGrid w:val="0"/>
          <w:sz w:val="22"/>
          <w:szCs w:val="24"/>
        </w:rPr>
        <w:t>nominalus p rodmuo</w:t>
      </w:r>
      <w:r w:rsidRPr="00211E3B">
        <w:rPr>
          <w:snapToGrid w:val="0"/>
          <w:sz w:val="22"/>
          <w:szCs w:val="24"/>
        </w:rPr>
        <w:t xml:space="preserve"> = 0,0008).</w:t>
      </w:r>
    </w:p>
    <w:p w14:paraId="16E05323" w14:textId="51A6B0AD" w:rsidR="005E424F" w:rsidRPr="00211E3B" w:rsidRDefault="005E424F" w:rsidP="005E424F">
      <w:pPr>
        <w:ind w:right="-142"/>
        <w:rPr>
          <w:snapToGrid w:val="0"/>
          <w:sz w:val="22"/>
          <w:szCs w:val="24"/>
        </w:rPr>
      </w:pPr>
    </w:p>
    <w:p w14:paraId="36E21871" w14:textId="77777777" w:rsidR="005E424F" w:rsidRPr="00211E3B" w:rsidRDefault="005E424F" w:rsidP="005E424F">
      <w:pPr>
        <w:ind w:right="-142"/>
        <w:rPr>
          <w:i/>
          <w:iCs/>
          <w:snapToGrid w:val="0"/>
          <w:sz w:val="22"/>
          <w:szCs w:val="24"/>
        </w:rPr>
      </w:pPr>
      <w:r w:rsidRPr="00211E3B">
        <w:rPr>
          <w:i/>
          <w:iCs/>
          <w:snapToGrid w:val="0"/>
          <w:sz w:val="22"/>
          <w:szCs w:val="24"/>
        </w:rPr>
        <w:t>Su sistemine skleroze susijusi intersticinė plaučių liga (SS-IPL)</w:t>
      </w:r>
    </w:p>
    <w:p w14:paraId="43B3135A" w14:textId="61A9115C" w:rsidR="005E424F" w:rsidRPr="00211E3B" w:rsidRDefault="00B41968" w:rsidP="005E424F">
      <w:pPr>
        <w:ind w:right="-142"/>
        <w:rPr>
          <w:snapToGrid w:val="0"/>
          <w:sz w:val="22"/>
          <w:szCs w:val="24"/>
        </w:rPr>
      </w:pPr>
      <w:r w:rsidRPr="00211E3B">
        <w:rPr>
          <w:snapToGrid w:val="0"/>
          <w:sz w:val="22"/>
          <w:szCs w:val="24"/>
        </w:rPr>
        <w:t xml:space="preserve">Nintedanibo </w:t>
      </w:r>
      <w:r w:rsidR="005E424F" w:rsidRPr="00211E3B">
        <w:rPr>
          <w:snapToGrid w:val="0"/>
          <w:sz w:val="22"/>
          <w:szCs w:val="24"/>
        </w:rPr>
        <w:t xml:space="preserve">klinikinis veiksmingumas gydant SS-IPL sergančius pacientus buvo tirtas dvigubai </w:t>
      </w:r>
      <w:r w:rsidRPr="00211E3B">
        <w:rPr>
          <w:snapToGrid w:val="0"/>
          <w:sz w:val="22"/>
          <w:szCs w:val="24"/>
        </w:rPr>
        <w:t>koduoto</w:t>
      </w:r>
      <w:r w:rsidR="005E424F" w:rsidRPr="00211E3B">
        <w:rPr>
          <w:snapToGrid w:val="0"/>
          <w:sz w:val="22"/>
          <w:szCs w:val="24"/>
        </w:rPr>
        <w:t>,</w:t>
      </w:r>
      <w:r w:rsidRPr="00211E3B">
        <w:rPr>
          <w:snapToGrid w:val="0"/>
          <w:sz w:val="22"/>
          <w:szCs w:val="24"/>
        </w:rPr>
        <w:t xml:space="preserve"> </w:t>
      </w:r>
      <w:r w:rsidR="005E424F" w:rsidRPr="00211E3B">
        <w:rPr>
          <w:snapToGrid w:val="0"/>
          <w:sz w:val="22"/>
          <w:szCs w:val="24"/>
        </w:rPr>
        <w:t>atsitiktinių imčių, placebu kontroliuo</w:t>
      </w:r>
      <w:r w:rsidRPr="00211E3B">
        <w:rPr>
          <w:snapToGrid w:val="0"/>
          <w:sz w:val="22"/>
          <w:szCs w:val="24"/>
        </w:rPr>
        <w:t>t</w:t>
      </w:r>
      <w:r w:rsidR="005E424F" w:rsidRPr="00211E3B">
        <w:rPr>
          <w:snapToGrid w:val="0"/>
          <w:sz w:val="22"/>
          <w:szCs w:val="24"/>
        </w:rPr>
        <w:t>o III</w:t>
      </w:r>
      <w:r w:rsidRPr="00211E3B">
        <w:rPr>
          <w:snapToGrid w:val="0"/>
          <w:sz w:val="22"/>
          <w:szCs w:val="24"/>
        </w:rPr>
        <w:t> </w:t>
      </w:r>
      <w:r w:rsidR="005E424F" w:rsidRPr="00211E3B">
        <w:rPr>
          <w:snapToGrid w:val="0"/>
          <w:sz w:val="22"/>
          <w:szCs w:val="24"/>
        </w:rPr>
        <w:t>fazės tyrimo (SENSCIS) metu. Pacientams SS-IPL</w:t>
      </w:r>
      <w:r w:rsidR="005B10AE" w:rsidRPr="00211E3B">
        <w:rPr>
          <w:snapToGrid w:val="0"/>
          <w:sz w:val="22"/>
          <w:szCs w:val="24"/>
        </w:rPr>
        <w:t xml:space="preserve"> </w:t>
      </w:r>
      <w:r w:rsidR="005E424F" w:rsidRPr="00211E3B">
        <w:rPr>
          <w:snapToGrid w:val="0"/>
          <w:sz w:val="22"/>
          <w:szCs w:val="24"/>
        </w:rPr>
        <w:t>diagnozė buvo patvirtinta remiantis 2013 m. Amerikos reumatologijos kolegijos ir Europos Lygos</w:t>
      </w:r>
      <w:r w:rsidR="005B10AE" w:rsidRPr="00211E3B">
        <w:rPr>
          <w:snapToGrid w:val="0"/>
          <w:sz w:val="22"/>
          <w:szCs w:val="24"/>
        </w:rPr>
        <w:t xml:space="preserve"> </w:t>
      </w:r>
      <w:r w:rsidR="005E424F" w:rsidRPr="00211E3B">
        <w:rPr>
          <w:snapToGrid w:val="0"/>
          <w:sz w:val="22"/>
          <w:szCs w:val="24"/>
        </w:rPr>
        <w:t xml:space="preserve">prieš reumatą SS klasifikacijos kriterijais ir ankstesnių </w:t>
      </w:r>
      <w:r w:rsidR="003D45C5" w:rsidRPr="00211E3B">
        <w:rPr>
          <w:snapToGrid w:val="0"/>
          <w:sz w:val="22"/>
          <w:szCs w:val="24"/>
        </w:rPr>
        <w:t>12 m</w:t>
      </w:r>
      <w:r w:rsidR="005E424F" w:rsidRPr="00211E3B">
        <w:rPr>
          <w:snapToGrid w:val="0"/>
          <w:sz w:val="22"/>
          <w:szCs w:val="24"/>
        </w:rPr>
        <w:t>ėnesių laikotarpiu atliktu krūtinės ląstos</w:t>
      </w:r>
      <w:r w:rsidR="005B10AE" w:rsidRPr="00211E3B">
        <w:rPr>
          <w:snapToGrid w:val="0"/>
          <w:sz w:val="22"/>
          <w:szCs w:val="24"/>
        </w:rPr>
        <w:t xml:space="preserve"> </w:t>
      </w:r>
      <w:r w:rsidR="005E424F" w:rsidRPr="00211E3B">
        <w:rPr>
          <w:snapToGrid w:val="0"/>
          <w:sz w:val="22"/>
          <w:szCs w:val="24"/>
        </w:rPr>
        <w:t>didelės skiriamosios gebos kompiuterinės tomografijos (DSGKT) tyrimu. Iš viso 580</w:t>
      </w:r>
      <w:r w:rsidR="005B10AE" w:rsidRPr="00211E3B">
        <w:rPr>
          <w:snapToGrid w:val="0"/>
          <w:sz w:val="22"/>
          <w:szCs w:val="24"/>
        </w:rPr>
        <w:t> </w:t>
      </w:r>
      <w:r w:rsidR="005E424F" w:rsidRPr="00211E3B">
        <w:rPr>
          <w:snapToGrid w:val="0"/>
          <w:sz w:val="22"/>
          <w:szCs w:val="24"/>
        </w:rPr>
        <w:t xml:space="preserve">pacientų santykiu 1:1 buvo </w:t>
      </w:r>
      <w:r w:rsidR="00633603" w:rsidRPr="00211E3B">
        <w:rPr>
          <w:snapToGrid w:val="0"/>
          <w:sz w:val="22"/>
          <w:szCs w:val="24"/>
        </w:rPr>
        <w:t xml:space="preserve">priskirti atsitiktinėms imtims ir ne trumpiau 56 savaites </w:t>
      </w:r>
      <w:r w:rsidR="005E424F" w:rsidRPr="00211E3B">
        <w:rPr>
          <w:snapToGrid w:val="0"/>
          <w:sz w:val="22"/>
          <w:szCs w:val="24"/>
        </w:rPr>
        <w:t xml:space="preserve">vartojo </w:t>
      </w:r>
      <w:r w:rsidR="00633603" w:rsidRPr="00211E3B">
        <w:rPr>
          <w:snapToGrid w:val="0"/>
          <w:sz w:val="22"/>
          <w:szCs w:val="24"/>
        </w:rPr>
        <w:t xml:space="preserve">nintedanibo </w:t>
      </w:r>
      <w:r w:rsidR="005E424F" w:rsidRPr="00211E3B">
        <w:rPr>
          <w:snapToGrid w:val="0"/>
          <w:sz w:val="22"/>
          <w:szCs w:val="24"/>
        </w:rPr>
        <w:t>150</w:t>
      </w:r>
      <w:r w:rsidR="0085390D">
        <w:rPr>
          <w:snapToGrid w:val="0"/>
          <w:sz w:val="22"/>
          <w:szCs w:val="24"/>
        </w:rPr>
        <w:t> mg</w:t>
      </w:r>
      <w:r w:rsidR="005E424F" w:rsidRPr="00211E3B">
        <w:rPr>
          <w:snapToGrid w:val="0"/>
          <w:sz w:val="22"/>
          <w:szCs w:val="24"/>
        </w:rPr>
        <w:t xml:space="preserve"> du kartus per parą arba vaistinį preparatą atitinkantį placebą; iš jų buvo gydyti</w:t>
      </w:r>
      <w:r w:rsidR="00633603" w:rsidRPr="00211E3B">
        <w:rPr>
          <w:snapToGrid w:val="0"/>
          <w:sz w:val="22"/>
          <w:szCs w:val="24"/>
        </w:rPr>
        <w:t xml:space="preserve"> </w:t>
      </w:r>
      <w:r w:rsidR="005E424F" w:rsidRPr="00211E3B">
        <w:rPr>
          <w:snapToGrid w:val="0"/>
          <w:sz w:val="22"/>
          <w:szCs w:val="24"/>
        </w:rPr>
        <w:t>576</w:t>
      </w:r>
      <w:r w:rsidR="00633603" w:rsidRPr="00211E3B">
        <w:rPr>
          <w:snapToGrid w:val="0"/>
          <w:sz w:val="22"/>
          <w:szCs w:val="24"/>
        </w:rPr>
        <w:t> </w:t>
      </w:r>
      <w:r w:rsidR="005E424F" w:rsidRPr="00211E3B">
        <w:rPr>
          <w:snapToGrid w:val="0"/>
          <w:sz w:val="22"/>
          <w:szCs w:val="24"/>
        </w:rPr>
        <w:t xml:space="preserve">pacientai. </w:t>
      </w:r>
      <w:r w:rsidR="00DA4064" w:rsidRPr="00211E3B">
        <w:rPr>
          <w:snapToGrid w:val="0"/>
          <w:sz w:val="22"/>
          <w:szCs w:val="24"/>
        </w:rPr>
        <w:t>Priskyrimas atsitiktinėms imtims buvo stratifikuojamas</w:t>
      </w:r>
      <w:r w:rsidR="005E424F" w:rsidRPr="00211E3B">
        <w:rPr>
          <w:snapToGrid w:val="0"/>
          <w:sz w:val="22"/>
          <w:szCs w:val="24"/>
        </w:rPr>
        <w:t xml:space="preserve"> pagal antitopoizomerazės antikūno (ATA)</w:t>
      </w:r>
      <w:r w:rsidR="00DA4064" w:rsidRPr="00211E3B">
        <w:rPr>
          <w:snapToGrid w:val="0"/>
          <w:sz w:val="22"/>
          <w:szCs w:val="24"/>
        </w:rPr>
        <w:t xml:space="preserve"> </w:t>
      </w:r>
      <w:r w:rsidR="005E424F" w:rsidRPr="00211E3B">
        <w:rPr>
          <w:snapToGrid w:val="0"/>
          <w:sz w:val="22"/>
          <w:szCs w:val="24"/>
        </w:rPr>
        <w:t>buvimą. Atskiri pacientai koduotą tiriamąjį vaistinį preparatą vartojo iki 100 savaičių (</w:t>
      </w:r>
      <w:r w:rsidR="00DA4064" w:rsidRPr="00211E3B">
        <w:rPr>
          <w:snapToGrid w:val="0"/>
          <w:sz w:val="22"/>
          <w:szCs w:val="24"/>
        </w:rPr>
        <w:t xml:space="preserve">nintedanibo </w:t>
      </w:r>
      <w:r w:rsidR="005E424F" w:rsidRPr="00211E3B">
        <w:rPr>
          <w:snapToGrid w:val="0"/>
          <w:sz w:val="22"/>
          <w:szCs w:val="24"/>
        </w:rPr>
        <w:t>ekspozicijos mediana buvo 15,4</w:t>
      </w:r>
      <w:r w:rsidR="00DA4064" w:rsidRPr="00211E3B">
        <w:rPr>
          <w:snapToGrid w:val="0"/>
          <w:sz w:val="22"/>
          <w:szCs w:val="24"/>
        </w:rPr>
        <w:t> </w:t>
      </w:r>
      <w:r w:rsidR="005E424F" w:rsidRPr="00211E3B">
        <w:rPr>
          <w:snapToGrid w:val="0"/>
          <w:sz w:val="22"/>
          <w:szCs w:val="24"/>
        </w:rPr>
        <w:t xml:space="preserve">mėnesio; vidutinė </w:t>
      </w:r>
      <w:r w:rsidR="00DA4064" w:rsidRPr="00211E3B">
        <w:rPr>
          <w:snapToGrid w:val="0"/>
          <w:sz w:val="22"/>
          <w:szCs w:val="24"/>
        </w:rPr>
        <w:t xml:space="preserve">nintedanibo </w:t>
      </w:r>
      <w:r w:rsidR="005E424F" w:rsidRPr="00211E3B">
        <w:rPr>
          <w:snapToGrid w:val="0"/>
          <w:sz w:val="22"/>
          <w:szCs w:val="24"/>
        </w:rPr>
        <w:t>ekspozicija – 14,5</w:t>
      </w:r>
      <w:r w:rsidR="00DA4064" w:rsidRPr="00211E3B">
        <w:rPr>
          <w:snapToGrid w:val="0"/>
          <w:sz w:val="22"/>
          <w:szCs w:val="24"/>
        </w:rPr>
        <w:t> </w:t>
      </w:r>
      <w:r w:rsidR="005E424F" w:rsidRPr="00211E3B">
        <w:rPr>
          <w:snapToGrid w:val="0"/>
          <w:sz w:val="22"/>
          <w:szCs w:val="24"/>
        </w:rPr>
        <w:t>mėnesio).</w:t>
      </w:r>
    </w:p>
    <w:p w14:paraId="3BF94164" w14:textId="77777777" w:rsidR="009C1E24" w:rsidRPr="00211E3B" w:rsidRDefault="009C1E24" w:rsidP="005E424F">
      <w:pPr>
        <w:ind w:right="-142"/>
        <w:rPr>
          <w:snapToGrid w:val="0"/>
          <w:sz w:val="22"/>
          <w:szCs w:val="24"/>
        </w:rPr>
      </w:pPr>
    </w:p>
    <w:p w14:paraId="5B010BC3" w14:textId="6DA97F8D" w:rsidR="005E424F" w:rsidRPr="00211E3B" w:rsidRDefault="00CB373C" w:rsidP="005E424F">
      <w:pPr>
        <w:ind w:right="-142"/>
        <w:rPr>
          <w:snapToGrid w:val="0"/>
          <w:sz w:val="22"/>
          <w:szCs w:val="24"/>
        </w:rPr>
      </w:pPr>
      <w:r w:rsidRPr="00211E3B">
        <w:rPr>
          <w:snapToGrid w:val="0"/>
          <w:sz w:val="22"/>
          <w:szCs w:val="24"/>
        </w:rPr>
        <w:t>Pagrindinė v</w:t>
      </w:r>
      <w:r w:rsidR="005E424F" w:rsidRPr="00211E3B">
        <w:rPr>
          <w:snapToGrid w:val="0"/>
          <w:sz w:val="22"/>
          <w:szCs w:val="24"/>
        </w:rPr>
        <w:t xml:space="preserve">ertinamoji baigtis buvo metinis FGPT sumažėjimo per </w:t>
      </w:r>
      <w:r w:rsidR="00D7087C" w:rsidRPr="00211E3B">
        <w:rPr>
          <w:snapToGrid w:val="0"/>
          <w:sz w:val="22"/>
          <w:szCs w:val="24"/>
        </w:rPr>
        <w:t>52 s</w:t>
      </w:r>
      <w:r w:rsidR="005E424F" w:rsidRPr="00211E3B">
        <w:rPr>
          <w:snapToGrid w:val="0"/>
          <w:sz w:val="22"/>
          <w:szCs w:val="24"/>
        </w:rPr>
        <w:t xml:space="preserve">avaites rodmuo. </w:t>
      </w:r>
      <w:r w:rsidR="002C0807" w:rsidRPr="00211E3B">
        <w:rPr>
          <w:snapToGrid w:val="0"/>
          <w:sz w:val="22"/>
          <w:szCs w:val="24"/>
        </w:rPr>
        <w:t>Svarbiausios antrinės</w:t>
      </w:r>
      <w:r w:rsidR="005E424F" w:rsidRPr="00211E3B">
        <w:rPr>
          <w:snapToGrid w:val="0"/>
          <w:sz w:val="22"/>
          <w:szCs w:val="24"/>
        </w:rPr>
        <w:t xml:space="preserve"> vertinamosios baigtys buvo absoliutus modifikuoto Rodnano odos pažeidimo skalės (angl.</w:t>
      </w:r>
      <w:r w:rsidR="009C1E24" w:rsidRPr="00211E3B">
        <w:rPr>
          <w:snapToGrid w:val="0"/>
          <w:sz w:val="22"/>
          <w:szCs w:val="24"/>
        </w:rPr>
        <w:t xml:space="preserve"> </w:t>
      </w:r>
      <w:r w:rsidR="005E424F" w:rsidRPr="00211E3B">
        <w:rPr>
          <w:i/>
          <w:iCs/>
          <w:snapToGrid w:val="0"/>
          <w:sz w:val="22"/>
          <w:szCs w:val="24"/>
        </w:rPr>
        <w:t>modified Rodnan Skin Score</w:t>
      </w:r>
      <w:r w:rsidR="005E424F" w:rsidRPr="00211E3B">
        <w:rPr>
          <w:snapToGrid w:val="0"/>
          <w:sz w:val="22"/>
          <w:szCs w:val="24"/>
        </w:rPr>
        <w:t xml:space="preserve">, mRSS) </w:t>
      </w:r>
      <w:r w:rsidR="009C1E24" w:rsidRPr="00211E3B">
        <w:rPr>
          <w:snapToGrid w:val="0"/>
          <w:sz w:val="22"/>
          <w:szCs w:val="24"/>
        </w:rPr>
        <w:t>įvertinimo</w:t>
      </w:r>
      <w:r w:rsidR="005E424F" w:rsidRPr="00211E3B">
        <w:rPr>
          <w:snapToGrid w:val="0"/>
          <w:sz w:val="22"/>
          <w:szCs w:val="24"/>
        </w:rPr>
        <w:t xml:space="preserve"> pokytis nuo pradinio </w:t>
      </w:r>
      <w:r w:rsidR="009C1E24" w:rsidRPr="00211E3B">
        <w:rPr>
          <w:snapToGrid w:val="0"/>
          <w:sz w:val="22"/>
          <w:szCs w:val="24"/>
        </w:rPr>
        <w:t xml:space="preserve">rodmens </w:t>
      </w:r>
      <w:r w:rsidR="00D7087C" w:rsidRPr="00211E3B">
        <w:rPr>
          <w:snapToGrid w:val="0"/>
          <w:sz w:val="22"/>
          <w:szCs w:val="24"/>
        </w:rPr>
        <w:t>52 s</w:t>
      </w:r>
      <w:r w:rsidR="005E424F" w:rsidRPr="00211E3B">
        <w:rPr>
          <w:snapToGrid w:val="0"/>
          <w:sz w:val="22"/>
          <w:szCs w:val="24"/>
        </w:rPr>
        <w:t xml:space="preserve">avaitę ir absoliutus </w:t>
      </w:r>
      <w:r w:rsidR="005E424F" w:rsidRPr="00211E3B">
        <w:rPr>
          <w:i/>
          <w:iCs/>
          <w:snapToGrid w:val="0"/>
          <w:sz w:val="22"/>
          <w:szCs w:val="24"/>
        </w:rPr>
        <w:t>Saint George</w:t>
      </w:r>
      <w:r w:rsidR="009C1E24" w:rsidRPr="00211E3B">
        <w:rPr>
          <w:snapToGrid w:val="0"/>
          <w:sz w:val="22"/>
          <w:szCs w:val="24"/>
        </w:rPr>
        <w:t xml:space="preserve"> </w:t>
      </w:r>
      <w:r w:rsidR="005E424F" w:rsidRPr="00211E3B">
        <w:rPr>
          <w:snapToGrid w:val="0"/>
          <w:sz w:val="22"/>
          <w:szCs w:val="24"/>
        </w:rPr>
        <w:t xml:space="preserve">kvėpavimo klausimyno (angl. </w:t>
      </w:r>
      <w:r w:rsidR="005E424F" w:rsidRPr="00211E3B">
        <w:rPr>
          <w:i/>
          <w:iCs/>
          <w:snapToGrid w:val="0"/>
          <w:sz w:val="22"/>
          <w:szCs w:val="24"/>
        </w:rPr>
        <w:t>Saint George’s Respiratory Questionnaire</w:t>
      </w:r>
      <w:r w:rsidR="005E424F" w:rsidRPr="00211E3B">
        <w:rPr>
          <w:snapToGrid w:val="0"/>
          <w:sz w:val="22"/>
          <w:szCs w:val="24"/>
        </w:rPr>
        <w:t>, SGRQ) bendro</w:t>
      </w:r>
      <w:r w:rsidR="009C1E24" w:rsidRPr="00211E3B">
        <w:rPr>
          <w:snapToGrid w:val="0"/>
          <w:sz w:val="22"/>
          <w:szCs w:val="24"/>
        </w:rPr>
        <w:t>jo įvertinimo</w:t>
      </w:r>
      <w:r w:rsidR="005E424F" w:rsidRPr="00211E3B">
        <w:rPr>
          <w:snapToGrid w:val="0"/>
          <w:sz w:val="22"/>
          <w:szCs w:val="24"/>
        </w:rPr>
        <w:t xml:space="preserve"> </w:t>
      </w:r>
      <w:r w:rsidR="009C1E24" w:rsidRPr="00211E3B">
        <w:rPr>
          <w:snapToGrid w:val="0"/>
          <w:sz w:val="22"/>
          <w:szCs w:val="24"/>
        </w:rPr>
        <w:t xml:space="preserve">pokytis </w:t>
      </w:r>
      <w:r w:rsidR="00D7087C" w:rsidRPr="00211E3B">
        <w:rPr>
          <w:snapToGrid w:val="0"/>
          <w:sz w:val="22"/>
          <w:szCs w:val="24"/>
        </w:rPr>
        <w:t>52 s</w:t>
      </w:r>
      <w:r w:rsidR="005E424F" w:rsidRPr="00211E3B">
        <w:rPr>
          <w:snapToGrid w:val="0"/>
          <w:sz w:val="22"/>
          <w:szCs w:val="24"/>
        </w:rPr>
        <w:t>avaitę, palyginti su pradiniu</w:t>
      </w:r>
      <w:r w:rsidR="009C1E24" w:rsidRPr="00211E3B">
        <w:rPr>
          <w:snapToGrid w:val="0"/>
          <w:sz w:val="22"/>
          <w:szCs w:val="24"/>
        </w:rPr>
        <w:t xml:space="preserve"> rodmeniu</w:t>
      </w:r>
      <w:r w:rsidR="005E424F" w:rsidRPr="00211E3B">
        <w:rPr>
          <w:snapToGrid w:val="0"/>
          <w:sz w:val="22"/>
          <w:szCs w:val="24"/>
        </w:rPr>
        <w:t>.</w:t>
      </w:r>
    </w:p>
    <w:p w14:paraId="29E305A4" w14:textId="77777777" w:rsidR="009C1E24" w:rsidRPr="00211E3B" w:rsidRDefault="009C1E24" w:rsidP="005E424F">
      <w:pPr>
        <w:ind w:right="-142"/>
        <w:rPr>
          <w:snapToGrid w:val="0"/>
          <w:sz w:val="22"/>
          <w:szCs w:val="24"/>
        </w:rPr>
      </w:pPr>
    </w:p>
    <w:p w14:paraId="65AA0B5A" w14:textId="71496090" w:rsidR="005E424F" w:rsidRPr="00211E3B" w:rsidRDefault="009C1E24" w:rsidP="005E424F">
      <w:pPr>
        <w:ind w:right="-142"/>
        <w:rPr>
          <w:snapToGrid w:val="0"/>
          <w:sz w:val="22"/>
          <w:szCs w:val="24"/>
        </w:rPr>
      </w:pPr>
      <w:r w:rsidRPr="00211E3B">
        <w:rPr>
          <w:snapToGrid w:val="0"/>
          <w:sz w:val="22"/>
          <w:szCs w:val="24"/>
        </w:rPr>
        <w:t xml:space="preserve">Bendrojoje populiacijoje </w:t>
      </w:r>
      <w:r w:rsidR="005E424F" w:rsidRPr="00211E3B">
        <w:rPr>
          <w:snapToGrid w:val="0"/>
          <w:sz w:val="22"/>
          <w:szCs w:val="24"/>
        </w:rPr>
        <w:t>75,2</w:t>
      </w:r>
      <w:r w:rsidR="0085390D">
        <w:rPr>
          <w:snapToGrid w:val="0"/>
          <w:sz w:val="22"/>
          <w:szCs w:val="24"/>
        </w:rPr>
        <w:t> %</w:t>
      </w:r>
      <w:r w:rsidR="005E424F" w:rsidRPr="00211E3B">
        <w:rPr>
          <w:snapToGrid w:val="0"/>
          <w:sz w:val="22"/>
          <w:szCs w:val="24"/>
        </w:rPr>
        <w:t xml:space="preserve"> vis</w:t>
      </w:r>
      <w:r w:rsidR="00216FC0">
        <w:rPr>
          <w:snapToGrid w:val="0"/>
          <w:sz w:val="22"/>
          <w:szCs w:val="24"/>
        </w:rPr>
        <w:t>ų</w:t>
      </w:r>
      <w:r w:rsidR="005E424F" w:rsidRPr="00211E3B">
        <w:rPr>
          <w:snapToGrid w:val="0"/>
          <w:sz w:val="22"/>
          <w:szCs w:val="24"/>
        </w:rPr>
        <w:t xml:space="preserve"> pacientų sudarė moterys. Vidutinis (standartinis nuokrypis [SN,</w:t>
      </w:r>
      <w:r w:rsidRPr="00211E3B">
        <w:rPr>
          <w:snapToGrid w:val="0"/>
          <w:sz w:val="22"/>
          <w:szCs w:val="24"/>
        </w:rPr>
        <w:t xml:space="preserve"> </w:t>
      </w:r>
      <w:r w:rsidR="005E424F" w:rsidRPr="00211E3B">
        <w:rPr>
          <w:snapToGrid w:val="0"/>
          <w:sz w:val="22"/>
          <w:szCs w:val="24"/>
        </w:rPr>
        <w:t>min.-maks.]) amžius buvo 54 (12,2, 20-79) metai. Iš viso 51,9</w:t>
      </w:r>
      <w:r w:rsidR="0085390D">
        <w:rPr>
          <w:snapToGrid w:val="0"/>
          <w:sz w:val="22"/>
          <w:szCs w:val="24"/>
        </w:rPr>
        <w:t> %</w:t>
      </w:r>
      <w:r w:rsidR="005E424F" w:rsidRPr="00211E3B">
        <w:rPr>
          <w:snapToGrid w:val="0"/>
          <w:sz w:val="22"/>
          <w:szCs w:val="24"/>
        </w:rPr>
        <w:t xml:space="preserve"> pacientų sirgo difuzine odos</w:t>
      </w:r>
      <w:r w:rsidRPr="00211E3B">
        <w:rPr>
          <w:snapToGrid w:val="0"/>
          <w:sz w:val="22"/>
          <w:szCs w:val="24"/>
        </w:rPr>
        <w:t xml:space="preserve"> </w:t>
      </w:r>
      <w:r w:rsidR="005E424F" w:rsidRPr="00211E3B">
        <w:rPr>
          <w:snapToGrid w:val="0"/>
          <w:sz w:val="22"/>
          <w:szCs w:val="24"/>
        </w:rPr>
        <w:t>sistemine skleroze (SS) ir 48,1</w:t>
      </w:r>
      <w:r w:rsidR="0085390D">
        <w:rPr>
          <w:snapToGrid w:val="0"/>
          <w:sz w:val="22"/>
          <w:szCs w:val="24"/>
        </w:rPr>
        <w:t> %</w:t>
      </w:r>
      <w:r w:rsidR="005E424F" w:rsidRPr="00211E3B">
        <w:rPr>
          <w:snapToGrid w:val="0"/>
          <w:sz w:val="22"/>
          <w:szCs w:val="24"/>
        </w:rPr>
        <w:t xml:space="preserve"> pacientų sirgo ribota SS. Vidutinis (SN) laikas nuo pirmojo ne Reino</w:t>
      </w:r>
      <w:r w:rsidRPr="00211E3B">
        <w:t xml:space="preserve"> </w:t>
      </w:r>
      <w:r w:rsidRPr="00211E3B">
        <w:rPr>
          <w:snapToGrid w:val="0"/>
          <w:sz w:val="22"/>
          <w:szCs w:val="24"/>
        </w:rPr>
        <w:t xml:space="preserve">(Raynaud) </w:t>
      </w:r>
      <w:r w:rsidR="005E424F" w:rsidRPr="00211E3B">
        <w:rPr>
          <w:snapToGrid w:val="0"/>
          <w:sz w:val="22"/>
          <w:szCs w:val="24"/>
        </w:rPr>
        <w:t>simptomo atsiradimo buvo 3,49 (1,7) metų. 49</w:t>
      </w:r>
      <w:r w:rsidR="0085390D">
        <w:rPr>
          <w:snapToGrid w:val="0"/>
          <w:sz w:val="22"/>
          <w:szCs w:val="24"/>
        </w:rPr>
        <w:t> %</w:t>
      </w:r>
      <w:r w:rsidR="005E424F" w:rsidRPr="00211E3B">
        <w:rPr>
          <w:snapToGrid w:val="0"/>
          <w:sz w:val="22"/>
          <w:szCs w:val="24"/>
        </w:rPr>
        <w:t xml:space="preserve"> pacientų pradinio vertinimo metu buvo gydomi</w:t>
      </w:r>
    </w:p>
    <w:p w14:paraId="691E0C67" w14:textId="6FE62606" w:rsidR="005E424F" w:rsidRPr="00211E3B" w:rsidRDefault="009C1E24" w:rsidP="005E424F">
      <w:pPr>
        <w:ind w:right="-142"/>
        <w:rPr>
          <w:snapToGrid w:val="0"/>
          <w:sz w:val="22"/>
          <w:szCs w:val="24"/>
        </w:rPr>
      </w:pPr>
      <w:r w:rsidRPr="00211E3B">
        <w:rPr>
          <w:snapToGrid w:val="0"/>
          <w:sz w:val="22"/>
          <w:szCs w:val="24"/>
        </w:rPr>
        <w:t>stabilia</w:t>
      </w:r>
      <w:r w:rsidR="005E424F" w:rsidRPr="00211E3B">
        <w:rPr>
          <w:snapToGrid w:val="0"/>
          <w:sz w:val="22"/>
          <w:szCs w:val="24"/>
        </w:rPr>
        <w:t xml:space="preserve"> mikofenolato doze (46,5</w:t>
      </w:r>
      <w:r w:rsidR="0085390D">
        <w:rPr>
          <w:snapToGrid w:val="0"/>
          <w:sz w:val="22"/>
          <w:szCs w:val="24"/>
        </w:rPr>
        <w:t> %</w:t>
      </w:r>
      <w:r w:rsidR="005E424F" w:rsidRPr="00211E3B">
        <w:rPr>
          <w:snapToGrid w:val="0"/>
          <w:sz w:val="22"/>
          <w:szCs w:val="24"/>
        </w:rPr>
        <w:t xml:space="preserve"> vartojo mikofenolato mofetilį; 1,9</w:t>
      </w:r>
      <w:r w:rsidR="0085390D">
        <w:rPr>
          <w:snapToGrid w:val="0"/>
          <w:sz w:val="22"/>
          <w:szCs w:val="24"/>
        </w:rPr>
        <w:t> %</w:t>
      </w:r>
      <w:r w:rsidR="005E424F" w:rsidRPr="00211E3B">
        <w:rPr>
          <w:snapToGrid w:val="0"/>
          <w:sz w:val="22"/>
          <w:szCs w:val="24"/>
        </w:rPr>
        <w:t xml:space="preserve"> – mikofenolato natrio</w:t>
      </w:r>
      <w:r w:rsidRPr="00211E3B">
        <w:rPr>
          <w:snapToGrid w:val="0"/>
          <w:sz w:val="22"/>
          <w:szCs w:val="24"/>
        </w:rPr>
        <w:t xml:space="preserve"> </w:t>
      </w:r>
      <w:r w:rsidR="005E424F" w:rsidRPr="00211E3B">
        <w:rPr>
          <w:snapToGrid w:val="0"/>
          <w:sz w:val="22"/>
          <w:szCs w:val="24"/>
        </w:rPr>
        <w:t>druską; 0,5</w:t>
      </w:r>
      <w:r w:rsidR="0085390D">
        <w:rPr>
          <w:snapToGrid w:val="0"/>
          <w:sz w:val="22"/>
          <w:szCs w:val="24"/>
        </w:rPr>
        <w:t> %</w:t>
      </w:r>
      <w:r w:rsidR="005E424F" w:rsidRPr="00211E3B">
        <w:rPr>
          <w:snapToGrid w:val="0"/>
          <w:sz w:val="22"/>
          <w:szCs w:val="24"/>
        </w:rPr>
        <w:t xml:space="preserve"> – mikofenolio rūgštį). Mikofenolatu gydytų ir negydytų pacientų saugumo duomenys</w:t>
      </w:r>
      <w:r w:rsidRPr="00211E3B">
        <w:rPr>
          <w:snapToGrid w:val="0"/>
          <w:sz w:val="22"/>
          <w:szCs w:val="24"/>
        </w:rPr>
        <w:t xml:space="preserve"> </w:t>
      </w:r>
      <w:r w:rsidR="005E424F" w:rsidRPr="00211E3B">
        <w:rPr>
          <w:snapToGrid w:val="0"/>
          <w:sz w:val="22"/>
          <w:szCs w:val="24"/>
        </w:rPr>
        <w:t>pradinio vertinimo metu buvo panašūs.</w:t>
      </w:r>
    </w:p>
    <w:p w14:paraId="44FCFB46" w14:textId="77777777" w:rsidR="009C1E24" w:rsidRPr="00211E3B" w:rsidRDefault="009C1E24" w:rsidP="005E424F">
      <w:pPr>
        <w:ind w:right="-142"/>
        <w:rPr>
          <w:snapToGrid w:val="0"/>
          <w:sz w:val="22"/>
          <w:szCs w:val="24"/>
        </w:rPr>
      </w:pPr>
    </w:p>
    <w:p w14:paraId="40CEBAD6" w14:textId="7EF62BD8" w:rsidR="005E424F" w:rsidRPr="00211E3B" w:rsidRDefault="005E424F" w:rsidP="005E424F">
      <w:pPr>
        <w:ind w:right="-142"/>
        <w:rPr>
          <w:i/>
          <w:iCs/>
          <w:snapToGrid w:val="0"/>
          <w:sz w:val="22"/>
          <w:szCs w:val="24"/>
          <w:u w:val="single"/>
        </w:rPr>
      </w:pPr>
      <w:r w:rsidRPr="00211E3B">
        <w:rPr>
          <w:i/>
          <w:iCs/>
          <w:snapToGrid w:val="0"/>
          <w:sz w:val="22"/>
          <w:szCs w:val="24"/>
          <w:u w:val="single"/>
        </w:rPr>
        <w:t>Metinis FGPT sumažėjimo rodmuo</w:t>
      </w:r>
    </w:p>
    <w:p w14:paraId="1BB911DB" w14:textId="02ABB918" w:rsidR="005E424F" w:rsidRPr="00211E3B" w:rsidRDefault="005E424F" w:rsidP="005E424F">
      <w:pPr>
        <w:ind w:right="-142"/>
        <w:rPr>
          <w:snapToGrid w:val="0"/>
          <w:sz w:val="22"/>
          <w:szCs w:val="24"/>
        </w:rPr>
      </w:pPr>
      <w:r w:rsidRPr="00211E3B">
        <w:rPr>
          <w:snapToGrid w:val="0"/>
          <w:sz w:val="22"/>
          <w:szCs w:val="24"/>
        </w:rPr>
        <w:t xml:space="preserve">10 lentelė. Metinis FGPT sumažėjimo per </w:t>
      </w:r>
      <w:r w:rsidR="00D7087C" w:rsidRPr="00211E3B">
        <w:rPr>
          <w:snapToGrid w:val="0"/>
          <w:sz w:val="22"/>
          <w:szCs w:val="24"/>
        </w:rPr>
        <w:t>52 s</w:t>
      </w:r>
      <w:r w:rsidRPr="00211E3B">
        <w:rPr>
          <w:snapToGrid w:val="0"/>
          <w:sz w:val="22"/>
          <w:szCs w:val="24"/>
        </w:rPr>
        <w:t>avaites rodmuo (ml)</w:t>
      </w:r>
    </w:p>
    <w:p w14:paraId="2498DA3B" w14:textId="1C5EE42F" w:rsidR="0061704D" w:rsidRPr="00211E3B" w:rsidRDefault="0061704D" w:rsidP="0061704D">
      <w:pPr>
        <w:ind w:right="-142"/>
        <w:rPr>
          <w:snapToGrid w:val="0"/>
          <w:sz w:val="22"/>
          <w:szCs w:val="24"/>
        </w:rPr>
      </w:pPr>
      <w:r w:rsidRPr="00211E3B">
        <w:rPr>
          <w:snapToGrid w:val="0"/>
          <w:sz w:val="22"/>
          <w:szCs w:val="24"/>
        </w:rPr>
        <w:t xml:space="preserve">Nintedanibo vartojusių pacientų metinis FGPT sumažėjimo rodmuo (ml) </w:t>
      </w:r>
      <w:r w:rsidR="00D7087C" w:rsidRPr="00211E3B">
        <w:rPr>
          <w:snapToGrid w:val="0"/>
          <w:sz w:val="22"/>
          <w:szCs w:val="24"/>
        </w:rPr>
        <w:t>52 s</w:t>
      </w:r>
      <w:r w:rsidRPr="00211E3B">
        <w:rPr>
          <w:snapToGrid w:val="0"/>
          <w:sz w:val="22"/>
          <w:szCs w:val="24"/>
        </w:rPr>
        <w:t>avaičių laikotarpiu buvo reikšmingai (41</w:t>
      </w:r>
      <w:r w:rsidR="0085390D">
        <w:rPr>
          <w:snapToGrid w:val="0"/>
          <w:sz w:val="22"/>
          <w:szCs w:val="24"/>
        </w:rPr>
        <w:t> ml</w:t>
      </w:r>
      <w:r w:rsidRPr="00211E3B">
        <w:rPr>
          <w:snapToGrid w:val="0"/>
          <w:sz w:val="22"/>
          <w:szCs w:val="24"/>
        </w:rPr>
        <w:t>) mažesnis, palyginti su placebą vartojusių pacientų rodmeniu (10 lentelė); tai atitiko 43,8</w:t>
      </w:r>
      <w:r w:rsidR="0085390D">
        <w:rPr>
          <w:snapToGrid w:val="0"/>
          <w:sz w:val="22"/>
          <w:szCs w:val="24"/>
        </w:rPr>
        <w:t> %</w:t>
      </w:r>
      <w:r w:rsidRPr="00211E3B">
        <w:rPr>
          <w:snapToGrid w:val="0"/>
          <w:sz w:val="22"/>
          <w:szCs w:val="24"/>
        </w:rPr>
        <w:t xml:space="preserve"> santykinį gydymo poveikį.</w:t>
      </w:r>
    </w:p>
    <w:p w14:paraId="16F8DBDC" w14:textId="77777777" w:rsidR="0061704D" w:rsidRPr="00211E3B" w:rsidRDefault="0061704D" w:rsidP="0061704D">
      <w:pPr>
        <w:ind w:right="-142"/>
        <w:rPr>
          <w:snapToGrid w:val="0"/>
          <w:sz w:val="22"/>
          <w:szCs w:val="24"/>
        </w:rPr>
      </w:pPr>
    </w:p>
    <w:p w14:paraId="641732E7" w14:textId="57878D19" w:rsidR="0061704D" w:rsidRPr="00211E3B" w:rsidRDefault="0061704D" w:rsidP="0061704D">
      <w:pPr>
        <w:ind w:right="-142"/>
        <w:rPr>
          <w:b/>
          <w:bCs/>
          <w:snapToGrid w:val="0"/>
          <w:sz w:val="22"/>
          <w:szCs w:val="24"/>
        </w:rPr>
      </w:pPr>
      <w:r w:rsidRPr="00211E3B">
        <w:rPr>
          <w:b/>
          <w:bCs/>
          <w:snapToGrid w:val="0"/>
          <w:sz w:val="22"/>
          <w:szCs w:val="24"/>
        </w:rPr>
        <w:t>10 lentelė.</w:t>
      </w:r>
      <w:r w:rsidRPr="00211E3B">
        <w:rPr>
          <w:b/>
          <w:bCs/>
          <w:snapToGrid w:val="0"/>
          <w:sz w:val="22"/>
          <w:szCs w:val="24"/>
        </w:rPr>
        <w:tab/>
        <w:t xml:space="preserve">Metinis FGPT sumažėjimo rodmuo (ml) </w:t>
      </w:r>
      <w:r w:rsidR="00D7087C" w:rsidRPr="00211E3B">
        <w:rPr>
          <w:b/>
          <w:bCs/>
          <w:snapToGrid w:val="0"/>
          <w:sz w:val="22"/>
          <w:szCs w:val="24"/>
        </w:rPr>
        <w:t>52 s</w:t>
      </w:r>
      <w:r w:rsidRPr="00211E3B">
        <w:rPr>
          <w:b/>
          <w:bCs/>
          <w:snapToGrid w:val="0"/>
          <w:sz w:val="22"/>
          <w:szCs w:val="24"/>
        </w:rPr>
        <w:t>avaičių laikotarpiu</w:t>
      </w:r>
    </w:p>
    <w:p w14:paraId="6908B9A8" w14:textId="77777777" w:rsidR="0061704D" w:rsidRPr="00211E3B" w:rsidRDefault="0061704D" w:rsidP="0061704D">
      <w:pPr>
        <w:keepNext/>
        <w:autoSpaceDE w:val="0"/>
        <w:autoSpaceDN w:val="0"/>
        <w:adjustRightInd w:val="0"/>
        <w:ind w:left="1134" w:hanging="1134"/>
        <w:rPr>
          <w:sz w:val="22"/>
          <w:szCs w:val="22"/>
        </w:rPr>
      </w:pPr>
    </w:p>
    <w:tbl>
      <w:tblPr>
        <w:tblStyle w:val="Lentelstinklelis"/>
        <w:tblW w:w="4994" w:type="pct"/>
        <w:tblLook w:val="04A0" w:firstRow="1" w:lastRow="0" w:firstColumn="1" w:lastColumn="0" w:noHBand="0" w:noVBand="1"/>
      </w:tblPr>
      <w:tblGrid>
        <w:gridCol w:w="3015"/>
        <w:gridCol w:w="3015"/>
        <w:gridCol w:w="3019"/>
      </w:tblGrid>
      <w:tr w:rsidR="00987B5E" w:rsidRPr="00211E3B" w14:paraId="5C6D8CC2" w14:textId="77777777" w:rsidTr="00987B5E">
        <w:trPr>
          <w:tblHeader/>
        </w:trPr>
        <w:tc>
          <w:tcPr>
            <w:tcW w:w="1666" w:type="pct"/>
          </w:tcPr>
          <w:p w14:paraId="0EC757E6" w14:textId="77777777" w:rsidR="00987B5E" w:rsidRPr="00211E3B" w:rsidRDefault="00987B5E" w:rsidP="00987B5E">
            <w:pPr>
              <w:autoSpaceDE w:val="0"/>
              <w:autoSpaceDN w:val="0"/>
              <w:adjustRightInd w:val="0"/>
              <w:rPr>
                <w:sz w:val="22"/>
                <w:szCs w:val="22"/>
                <w:lang w:val="lt-LT"/>
              </w:rPr>
            </w:pPr>
          </w:p>
        </w:tc>
        <w:tc>
          <w:tcPr>
            <w:tcW w:w="1666" w:type="pct"/>
          </w:tcPr>
          <w:p w14:paraId="1083BB52" w14:textId="29611F00" w:rsidR="00987B5E" w:rsidRPr="00211E3B" w:rsidRDefault="00987B5E" w:rsidP="00987B5E">
            <w:pPr>
              <w:autoSpaceDE w:val="0"/>
              <w:autoSpaceDN w:val="0"/>
              <w:adjustRightInd w:val="0"/>
              <w:jc w:val="center"/>
              <w:rPr>
                <w:sz w:val="22"/>
                <w:szCs w:val="22"/>
                <w:lang w:val="lt-LT"/>
              </w:rPr>
            </w:pPr>
            <w:r w:rsidRPr="00211E3B">
              <w:rPr>
                <w:sz w:val="22"/>
                <w:szCs w:val="22"/>
                <w:lang w:val="lt-LT"/>
              </w:rPr>
              <w:t>Placebas</w:t>
            </w:r>
          </w:p>
        </w:tc>
        <w:tc>
          <w:tcPr>
            <w:tcW w:w="1668" w:type="pct"/>
          </w:tcPr>
          <w:p w14:paraId="6521CACA" w14:textId="1AED3637" w:rsidR="00987B5E" w:rsidRPr="00211E3B" w:rsidRDefault="00987B5E" w:rsidP="00987B5E">
            <w:pPr>
              <w:autoSpaceDE w:val="0"/>
              <w:autoSpaceDN w:val="0"/>
              <w:adjustRightInd w:val="0"/>
              <w:jc w:val="center"/>
              <w:rPr>
                <w:sz w:val="22"/>
                <w:szCs w:val="22"/>
                <w:lang w:val="lt-LT"/>
              </w:rPr>
            </w:pPr>
            <w:r w:rsidRPr="00211E3B">
              <w:rPr>
                <w:sz w:val="22"/>
                <w:szCs w:val="22"/>
                <w:lang w:val="lt-LT"/>
              </w:rPr>
              <w:t>Nintedanibas 150</w:t>
            </w:r>
            <w:r w:rsidR="0085390D">
              <w:rPr>
                <w:sz w:val="22"/>
                <w:szCs w:val="22"/>
                <w:lang w:val="lt-LT"/>
              </w:rPr>
              <w:t> mg</w:t>
            </w:r>
            <w:r w:rsidRPr="00211E3B">
              <w:rPr>
                <w:sz w:val="22"/>
                <w:szCs w:val="22"/>
                <w:lang w:val="lt-LT"/>
              </w:rPr>
              <w:t xml:space="preserve"> du kartus per parą</w:t>
            </w:r>
          </w:p>
        </w:tc>
      </w:tr>
      <w:tr w:rsidR="00987B5E" w:rsidRPr="00211E3B" w14:paraId="3D1D2BEE" w14:textId="77777777" w:rsidTr="00987B5E">
        <w:tc>
          <w:tcPr>
            <w:tcW w:w="1666" w:type="pct"/>
          </w:tcPr>
          <w:p w14:paraId="71BDE576" w14:textId="77777777" w:rsidR="00987B5E" w:rsidRPr="00211E3B" w:rsidRDefault="00987B5E" w:rsidP="00987B5E">
            <w:pPr>
              <w:autoSpaceDE w:val="0"/>
              <w:autoSpaceDN w:val="0"/>
              <w:adjustRightInd w:val="0"/>
              <w:rPr>
                <w:sz w:val="22"/>
                <w:szCs w:val="22"/>
                <w:lang w:val="lt-LT"/>
              </w:rPr>
            </w:pPr>
            <w:r w:rsidRPr="00211E3B">
              <w:rPr>
                <w:sz w:val="22"/>
                <w:szCs w:val="22"/>
                <w:lang w:val="lt-LT"/>
              </w:rPr>
              <w:t>Analizuotų pacientų skaičius</w:t>
            </w:r>
          </w:p>
        </w:tc>
        <w:tc>
          <w:tcPr>
            <w:tcW w:w="1666" w:type="pct"/>
            <w:vAlign w:val="center"/>
          </w:tcPr>
          <w:p w14:paraId="1D18CACB" w14:textId="4520E81C" w:rsidR="00987B5E" w:rsidRPr="00211E3B" w:rsidRDefault="00987B5E" w:rsidP="00987B5E">
            <w:pPr>
              <w:autoSpaceDE w:val="0"/>
              <w:autoSpaceDN w:val="0"/>
              <w:adjustRightInd w:val="0"/>
              <w:jc w:val="center"/>
              <w:rPr>
                <w:sz w:val="22"/>
                <w:szCs w:val="22"/>
                <w:lang w:val="lt-LT"/>
              </w:rPr>
            </w:pPr>
            <w:r w:rsidRPr="00211E3B">
              <w:rPr>
                <w:sz w:val="22"/>
                <w:szCs w:val="22"/>
                <w:lang w:val="lt-LT"/>
              </w:rPr>
              <w:t>288</w:t>
            </w:r>
          </w:p>
        </w:tc>
        <w:tc>
          <w:tcPr>
            <w:tcW w:w="1668" w:type="pct"/>
            <w:vAlign w:val="center"/>
          </w:tcPr>
          <w:p w14:paraId="5B288903" w14:textId="21EE2B39" w:rsidR="00987B5E" w:rsidRPr="00211E3B" w:rsidRDefault="00987B5E" w:rsidP="00987B5E">
            <w:pPr>
              <w:autoSpaceDE w:val="0"/>
              <w:autoSpaceDN w:val="0"/>
              <w:adjustRightInd w:val="0"/>
              <w:jc w:val="center"/>
              <w:rPr>
                <w:sz w:val="22"/>
                <w:szCs w:val="22"/>
                <w:lang w:val="lt-LT"/>
              </w:rPr>
            </w:pPr>
            <w:r w:rsidRPr="00211E3B">
              <w:rPr>
                <w:sz w:val="22"/>
                <w:szCs w:val="22"/>
                <w:lang w:val="lt-LT"/>
              </w:rPr>
              <w:t>287</w:t>
            </w:r>
          </w:p>
        </w:tc>
      </w:tr>
      <w:tr w:rsidR="00987B5E" w:rsidRPr="00211E3B" w14:paraId="380AA10B" w14:textId="77777777" w:rsidTr="00987B5E">
        <w:tc>
          <w:tcPr>
            <w:tcW w:w="1666" w:type="pct"/>
          </w:tcPr>
          <w:p w14:paraId="232B1C42" w14:textId="68D1FF6F" w:rsidR="00987B5E" w:rsidRPr="00211E3B" w:rsidRDefault="00987B5E" w:rsidP="00987B5E">
            <w:pPr>
              <w:autoSpaceDE w:val="0"/>
              <w:autoSpaceDN w:val="0"/>
              <w:adjustRightInd w:val="0"/>
              <w:rPr>
                <w:sz w:val="22"/>
                <w:szCs w:val="22"/>
                <w:lang w:val="lt-LT"/>
              </w:rPr>
            </w:pPr>
            <w:r w:rsidRPr="00211E3B">
              <w:rPr>
                <w:sz w:val="22"/>
                <w:szCs w:val="22"/>
                <w:lang w:val="lt-LT"/>
              </w:rPr>
              <w:t xml:space="preserve">Sumažėjimo per </w:t>
            </w:r>
            <w:r w:rsidR="00D7087C" w:rsidRPr="00211E3B">
              <w:rPr>
                <w:sz w:val="22"/>
                <w:szCs w:val="22"/>
                <w:lang w:val="lt-LT"/>
              </w:rPr>
              <w:t>52 s</w:t>
            </w:r>
            <w:r w:rsidRPr="00211E3B">
              <w:rPr>
                <w:sz w:val="22"/>
                <w:szCs w:val="22"/>
                <w:lang w:val="lt-LT"/>
              </w:rPr>
              <w:t>avaites rodmuo</w:t>
            </w:r>
            <w:r w:rsidRPr="00211E3B">
              <w:rPr>
                <w:sz w:val="22"/>
                <w:szCs w:val="22"/>
                <w:vertAlign w:val="superscript"/>
                <w:lang w:val="lt-LT"/>
              </w:rPr>
              <w:t>1</w:t>
            </w:r>
            <w:r w:rsidRPr="00211E3B">
              <w:rPr>
                <w:sz w:val="22"/>
                <w:szCs w:val="22"/>
                <w:lang w:val="lt-LT"/>
              </w:rPr>
              <w:t xml:space="preserve"> (SP)</w:t>
            </w:r>
          </w:p>
        </w:tc>
        <w:tc>
          <w:tcPr>
            <w:tcW w:w="1666" w:type="pct"/>
            <w:vAlign w:val="bottom"/>
          </w:tcPr>
          <w:p w14:paraId="47E7DECD" w14:textId="66E6CF96" w:rsidR="00987B5E" w:rsidRPr="00211E3B" w:rsidRDefault="00987B5E" w:rsidP="00987B5E">
            <w:pPr>
              <w:autoSpaceDE w:val="0"/>
              <w:autoSpaceDN w:val="0"/>
              <w:adjustRightInd w:val="0"/>
              <w:jc w:val="center"/>
              <w:rPr>
                <w:sz w:val="22"/>
                <w:szCs w:val="22"/>
                <w:lang w:val="lt-LT"/>
              </w:rPr>
            </w:pPr>
            <w:r w:rsidRPr="00211E3B">
              <w:rPr>
                <w:sz w:val="22"/>
                <w:szCs w:val="22"/>
                <w:lang w:val="lt-LT"/>
              </w:rPr>
              <w:t>-93,3 (13,5)</w:t>
            </w:r>
          </w:p>
        </w:tc>
        <w:tc>
          <w:tcPr>
            <w:tcW w:w="1668" w:type="pct"/>
            <w:vAlign w:val="bottom"/>
          </w:tcPr>
          <w:p w14:paraId="255B3B9C" w14:textId="66D4C2A3" w:rsidR="00987B5E" w:rsidRPr="00211E3B" w:rsidRDefault="00987B5E" w:rsidP="00987B5E">
            <w:pPr>
              <w:autoSpaceDE w:val="0"/>
              <w:autoSpaceDN w:val="0"/>
              <w:adjustRightInd w:val="0"/>
              <w:jc w:val="center"/>
              <w:rPr>
                <w:sz w:val="22"/>
                <w:szCs w:val="22"/>
                <w:lang w:val="lt-LT"/>
              </w:rPr>
            </w:pPr>
            <w:r w:rsidRPr="00211E3B">
              <w:rPr>
                <w:sz w:val="22"/>
                <w:szCs w:val="22"/>
                <w:lang w:val="lt-LT"/>
              </w:rPr>
              <w:t>-52,4 (13,8)</w:t>
            </w:r>
          </w:p>
        </w:tc>
      </w:tr>
      <w:tr w:rsidR="0061704D" w:rsidRPr="00211E3B" w14:paraId="10019E16" w14:textId="77777777" w:rsidTr="00256DA0">
        <w:tc>
          <w:tcPr>
            <w:tcW w:w="5000" w:type="pct"/>
            <w:gridSpan w:val="3"/>
            <w:vAlign w:val="center"/>
          </w:tcPr>
          <w:p w14:paraId="0AD106E1" w14:textId="77777777" w:rsidR="0061704D" w:rsidRPr="00211E3B" w:rsidRDefault="0061704D" w:rsidP="00256DA0">
            <w:pPr>
              <w:autoSpaceDE w:val="0"/>
              <w:autoSpaceDN w:val="0"/>
              <w:adjustRightInd w:val="0"/>
              <w:rPr>
                <w:sz w:val="22"/>
                <w:szCs w:val="22"/>
                <w:lang w:val="lt-LT"/>
              </w:rPr>
            </w:pPr>
            <w:r w:rsidRPr="00211E3B">
              <w:rPr>
                <w:sz w:val="22"/>
                <w:szCs w:val="22"/>
                <w:lang w:val="lt-LT"/>
              </w:rPr>
              <w:t>Palyginimas su placebu</w:t>
            </w:r>
          </w:p>
        </w:tc>
      </w:tr>
      <w:tr w:rsidR="00987B5E" w:rsidRPr="00211E3B" w14:paraId="6F7E34A8" w14:textId="77777777" w:rsidTr="00987B5E">
        <w:tc>
          <w:tcPr>
            <w:tcW w:w="1666" w:type="pct"/>
          </w:tcPr>
          <w:p w14:paraId="291A7C3F" w14:textId="77777777" w:rsidR="00987B5E" w:rsidRPr="00211E3B" w:rsidRDefault="00987B5E" w:rsidP="00987B5E">
            <w:pPr>
              <w:autoSpaceDE w:val="0"/>
              <w:autoSpaceDN w:val="0"/>
              <w:adjustRightInd w:val="0"/>
              <w:rPr>
                <w:sz w:val="22"/>
                <w:szCs w:val="22"/>
                <w:lang w:val="lt-LT"/>
              </w:rPr>
            </w:pPr>
            <w:r w:rsidRPr="00211E3B">
              <w:rPr>
                <w:sz w:val="22"/>
                <w:szCs w:val="22"/>
                <w:lang w:val="lt-LT"/>
              </w:rPr>
              <w:t>Skirtumas</w:t>
            </w:r>
            <w:r w:rsidRPr="00211E3B">
              <w:rPr>
                <w:sz w:val="22"/>
                <w:szCs w:val="22"/>
                <w:vertAlign w:val="superscript"/>
                <w:lang w:val="lt-LT"/>
              </w:rPr>
              <w:t>1</w:t>
            </w:r>
          </w:p>
        </w:tc>
        <w:tc>
          <w:tcPr>
            <w:tcW w:w="1666" w:type="pct"/>
            <w:vAlign w:val="center"/>
          </w:tcPr>
          <w:p w14:paraId="781D56F3" w14:textId="77777777" w:rsidR="00987B5E" w:rsidRPr="00211E3B" w:rsidRDefault="00987B5E" w:rsidP="00987B5E">
            <w:pPr>
              <w:autoSpaceDE w:val="0"/>
              <w:autoSpaceDN w:val="0"/>
              <w:adjustRightInd w:val="0"/>
              <w:jc w:val="center"/>
              <w:rPr>
                <w:sz w:val="22"/>
                <w:szCs w:val="22"/>
                <w:lang w:val="lt-LT"/>
              </w:rPr>
            </w:pPr>
          </w:p>
        </w:tc>
        <w:tc>
          <w:tcPr>
            <w:tcW w:w="1668" w:type="pct"/>
            <w:vAlign w:val="center"/>
          </w:tcPr>
          <w:p w14:paraId="189D8EDB" w14:textId="10FC4A25" w:rsidR="00987B5E" w:rsidRPr="00211E3B" w:rsidRDefault="00987B5E" w:rsidP="00987B5E">
            <w:pPr>
              <w:autoSpaceDE w:val="0"/>
              <w:autoSpaceDN w:val="0"/>
              <w:adjustRightInd w:val="0"/>
              <w:jc w:val="center"/>
              <w:rPr>
                <w:sz w:val="22"/>
                <w:szCs w:val="22"/>
                <w:lang w:val="lt-LT"/>
              </w:rPr>
            </w:pPr>
            <w:r w:rsidRPr="00211E3B">
              <w:rPr>
                <w:sz w:val="22"/>
                <w:szCs w:val="22"/>
                <w:lang w:val="lt-LT"/>
              </w:rPr>
              <w:t>41,0</w:t>
            </w:r>
          </w:p>
        </w:tc>
      </w:tr>
      <w:tr w:rsidR="00987B5E" w:rsidRPr="00211E3B" w14:paraId="7BA8B83D" w14:textId="77777777" w:rsidTr="00987B5E">
        <w:tc>
          <w:tcPr>
            <w:tcW w:w="1666" w:type="pct"/>
            <w:vAlign w:val="center"/>
          </w:tcPr>
          <w:p w14:paraId="57B70DB6" w14:textId="3AAC357D" w:rsidR="00987B5E" w:rsidRPr="00211E3B" w:rsidRDefault="00987B5E" w:rsidP="00987B5E">
            <w:pPr>
              <w:autoSpaceDE w:val="0"/>
              <w:autoSpaceDN w:val="0"/>
              <w:adjustRightInd w:val="0"/>
              <w:ind w:left="317"/>
              <w:rPr>
                <w:sz w:val="22"/>
                <w:szCs w:val="22"/>
                <w:lang w:val="lt-LT"/>
              </w:rPr>
            </w:pPr>
            <w:r w:rsidRPr="00211E3B">
              <w:rPr>
                <w:sz w:val="22"/>
                <w:szCs w:val="22"/>
                <w:lang w:val="lt-LT"/>
              </w:rPr>
              <w:t>95</w:t>
            </w:r>
            <w:r w:rsidR="0085390D">
              <w:rPr>
                <w:sz w:val="22"/>
                <w:szCs w:val="22"/>
                <w:lang w:val="lt-LT"/>
              </w:rPr>
              <w:t xml:space="preserve"> %</w:t>
            </w:r>
            <w:r w:rsidRPr="00211E3B">
              <w:rPr>
                <w:sz w:val="22"/>
                <w:szCs w:val="22"/>
                <w:lang w:val="lt-LT"/>
              </w:rPr>
              <w:t> PI</w:t>
            </w:r>
          </w:p>
        </w:tc>
        <w:tc>
          <w:tcPr>
            <w:tcW w:w="1666" w:type="pct"/>
            <w:vAlign w:val="center"/>
          </w:tcPr>
          <w:p w14:paraId="2495E28D" w14:textId="77777777" w:rsidR="00987B5E" w:rsidRPr="00211E3B" w:rsidRDefault="00987B5E" w:rsidP="00987B5E">
            <w:pPr>
              <w:autoSpaceDE w:val="0"/>
              <w:autoSpaceDN w:val="0"/>
              <w:adjustRightInd w:val="0"/>
              <w:jc w:val="center"/>
              <w:rPr>
                <w:sz w:val="22"/>
                <w:szCs w:val="22"/>
                <w:lang w:val="lt-LT"/>
              </w:rPr>
            </w:pPr>
          </w:p>
        </w:tc>
        <w:tc>
          <w:tcPr>
            <w:tcW w:w="1668" w:type="pct"/>
            <w:vAlign w:val="center"/>
          </w:tcPr>
          <w:p w14:paraId="2520F020" w14:textId="2E71D08B" w:rsidR="00987B5E" w:rsidRPr="00211E3B" w:rsidRDefault="00987B5E" w:rsidP="00987B5E">
            <w:pPr>
              <w:autoSpaceDE w:val="0"/>
              <w:autoSpaceDN w:val="0"/>
              <w:adjustRightInd w:val="0"/>
              <w:jc w:val="center"/>
              <w:rPr>
                <w:sz w:val="22"/>
                <w:szCs w:val="22"/>
                <w:lang w:val="lt-LT"/>
              </w:rPr>
            </w:pPr>
            <w:r w:rsidRPr="00211E3B">
              <w:rPr>
                <w:sz w:val="22"/>
                <w:szCs w:val="22"/>
                <w:lang w:val="lt-LT"/>
              </w:rPr>
              <w:t>(2,9, 79,0)</w:t>
            </w:r>
          </w:p>
        </w:tc>
      </w:tr>
      <w:tr w:rsidR="00987B5E" w:rsidRPr="00211E3B" w14:paraId="7C655BF0" w14:textId="77777777" w:rsidTr="00987B5E">
        <w:tc>
          <w:tcPr>
            <w:tcW w:w="1666" w:type="pct"/>
            <w:vAlign w:val="center"/>
          </w:tcPr>
          <w:p w14:paraId="12B0FA58" w14:textId="6D875991" w:rsidR="00987B5E" w:rsidRPr="00211E3B" w:rsidRDefault="00987B5E" w:rsidP="00B675DD">
            <w:pPr>
              <w:autoSpaceDE w:val="0"/>
              <w:autoSpaceDN w:val="0"/>
              <w:adjustRightInd w:val="0"/>
              <w:ind w:left="317"/>
              <w:rPr>
                <w:sz w:val="22"/>
                <w:szCs w:val="22"/>
                <w:lang w:val="lt-LT"/>
              </w:rPr>
            </w:pPr>
            <w:r w:rsidRPr="00211E3B">
              <w:rPr>
                <w:sz w:val="22"/>
                <w:szCs w:val="22"/>
                <w:lang w:val="lt-LT"/>
              </w:rPr>
              <w:t>p </w:t>
            </w:r>
            <w:r w:rsidR="00B675DD">
              <w:rPr>
                <w:sz w:val="22"/>
                <w:szCs w:val="22"/>
                <w:lang w:val="lt-LT"/>
              </w:rPr>
              <w:t>reikšmė</w:t>
            </w:r>
          </w:p>
        </w:tc>
        <w:tc>
          <w:tcPr>
            <w:tcW w:w="1666" w:type="pct"/>
            <w:vAlign w:val="center"/>
          </w:tcPr>
          <w:p w14:paraId="2A80B0F3" w14:textId="77777777" w:rsidR="00987B5E" w:rsidRPr="00211E3B" w:rsidRDefault="00987B5E" w:rsidP="00987B5E">
            <w:pPr>
              <w:autoSpaceDE w:val="0"/>
              <w:autoSpaceDN w:val="0"/>
              <w:adjustRightInd w:val="0"/>
              <w:jc w:val="center"/>
              <w:rPr>
                <w:sz w:val="22"/>
                <w:szCs w:val="22"/>
                <w:lang w:val="lt-LT"/>
              </w:rPr>
            </w:pPr>
          </w:p>
        </w:tc>
        <w:tc>
          <w:tcPr>
            <w:tcW w:w="1668" w:type="pct"/>
            <w:vAlign w:val="center"/>
          </w:tcPr>
          <w:p w14:paraId="26112FD9" w14:textId="047A8DF0" w:rsidR="00987B5E" w:rsidRPr="00211E3B" w:rsidRDefault="00987B5E" w:rsidP="00987B5E">
            <w:pPr>
              <w:autoSpaceDE w:val="0"/>
              <w:autoSpaceDN w:val="0"/>
              <w:adjustRightInd w:val="0"/>
              <w:jc w:val="center"/>
              <w:rPr>
                <w:sz w:val="22"/>
                <w:szCs w:val="22"/>
                <w:lang w:val="lt-LT"/>
              </w:rPr>
            </w:pPr>
            <w:r w:rsidRPr="00211E3B">
              <w:rPr>
                <w:sz w:val="22"/>
                <w:szCs w:val="22"/>
                <w:lang w:val="lt-LT"/>
              </w:rPr>
              <w:t>&lt; 0,05</w:t>
            </w:r>
          </w:p>
        </w:tc>
      </w:tr>
    </w:tbl>
    <w:p w14:paraId="61ACA5B4" w14:textId="380DA52D" w:rsidR="005E424F" w:rsidRPr="00211E3B" w:rsidRDefault="0061704D" w:rsidP="005E424F">
      <w:pPr>
        <w:ind w:right="-142"/>
        <w:rPr>
          <w:snapToGrid w:val="0"/>
          <w:sz w:val="22"/>
          <w:szCs w:val="24"/>
        </w:rPr>
      </w:pPr>
      <w:r w:rsidRPr="00211E3B">
        <w:rPr>
          <w:snapToGrid w:val="0"/>
          <w:sz w:val="20"/>
          <w:szCs w:val="22"/>
          <w:vertAlign w:val="superscript"/>
        </w:rPr>
        <w:lastRenderedPageBreak/>
        <w:t>1</w:t>
      </w:r>
      <w:r w:rsidRPr="00211E3B">
        <w:rPr>
          <w:snapToGrid w:val="0"/>
          <w:sz w:val="20"/>
          <w:szCs w:val="22"/>
        </w:rPr>
        <w:t xml:space="preserve"> </w:t>
      </w:r>
      <w:r w:rsidR="005E424F" w:rsidRPr="00211E3B">
        <w:rPr>
          <w:snapToGrid w:val="0"/>
          <w:sz w:val="20"/>
          <w:szCs w:val="22"/>
        </w:rPr>
        <w:t>Remiantis atsitiktinio koeficiento regresija, į analizę įtraukus fiksuotų kategorinių gydymo, ATA buvimo ir</w:t>
      </w:r>
      <w:r w:rsidR="00E8431B" w:rsidRPr="00211E3B">
        <w:rPr>
          <w:snapToGrid w:val="0"/>
          <w:sz w:val="20"/>
          <w:szCs w:val="22"/>
        </w:rPr>
        <w:t xml:space="preserve"> </w:t>
      </w:r>
      <w:r w:rsidR="005E424F" w:rsidRPr="00211E3B">
        <w:rPr>
          <w:snapToGrid w:val="0"/>
          <w:sz w:val="20"/>
          <w:szCs w:val="22"/>
        </w:rPr>
        <w:t>lyties veiksnių poveikį, fiksuotų tolydžiųjų laiko, pradinės FGPT [ml], amžiaus ir ūgio veiksnių poveikį,</w:t>
      </w:r>
      <w:r w:rsidR="00E8431B" w:rsidRPr="00211E3B">
        <w:rPr>
          <w:snapToGrid w:val="0"/>
          <w:sz w:val="20"/>
          <w:szCs w:val="22"/>
        </w:rPr>
        <w:t xml:space="preserve"> </w:t>
      </w:r>
      <w:r w:rsidR="005E424F" w:rsidRPr="00211E3B">
        <w:rPr>
          <w:snapToGrid w:val="0"/>
          <w:sz w:val="20"/>
          <w:szCs w:val="22"/>
        </w:rPr>
        <w:t>įskaitant gydymo laiko atžvilgiu bei pradinio vertinimo laiko atžvilgiu tarpusavio sąveikas. Įvertintas atsitiktinis</w:t>
      </w:r>
      <w:r w:rsidR="00E8431B" w:rsidRPr="00211E3B">
        <w:rPr>
          <w:snapToGrid w:val="0"/>
          <w:sz w:val="20"/>
          <w:szCs w:val="22"/>
        </w:rPr>
        <w:t xml:space="preserve"> </w:t>
      </w:r>
      <w:r w:rsidR="005E424F" w:rsidRPr="00211E3B">
        <w:rPr>
          <w:snapToGrid w:val="0"/>
          <w:sz w:val="20"/>
          <w:szCs w:val="22"/>
        </w:rPr>
        <w:t>poveikis atsižvelgiant į pacientui specifinius konstantos ir laiko duomenis. Paklaidos pacientų imtyje</w:t>
      </w:r>
      <w:r w:rsidR="00E8431B" w:rsidRPr="00211E3B">
        <w:rPr>
          <w:snapToGrid w:val="0"/>
          <w:sz w:val="20"/>
          <w:szCs w:val="22"/>
        </w:rPr>
        <w:t xml:space="preserve"> </w:t>
      </w:r>
      <w:r w:rsidR="005E424F" w:rsidRPr="00211E3B">
        <w:rPr>
          <w:snapToGrid w:val="0"/>
          <w:sz w:val="20"/>
          <w:szCs w:val="22"/>
        </w:rPr>
        <w:t>modeliuotos taikant nestruktūrinę dispersijų-kovariacijų matricą. Kintamumas tarp individų modeliuotas taikant</w:t>
      </w:r>
      <w:r w:rsidR="00E8431B" w:rsidRPr="00211E3B">
        <w:rPr>
          <w:snapToGrid w:val="0"/>
          <w:sz w:val="20"/>
          <w:szCs w:val="22"/>
        </w:rPr>
        <w:t xml:space="preserve"> </w:t>
      </w:r>
      <w:r w:rsidR="005E424F" w:rsidRPr="00211E3B">
        <w:rPr>
          <w:snapToGrid w:val="0"/>
          <w:sz w:val="20"/>
          <w:szCs w:val="22"/>
        </w:rPr>
        <w:t>dispersinių komponenčių dispersijų-kovariacijų matricą.</w:t>
      </w:r>
    </w:p>
    <w:p w14:paraId="37BE46A9" w14:textId="77777777" w:rsidR="00E8431B" w:rsidRPr="00211E3B" w:rsidRDefault="00E8431B" w:rsidP="005E424F">
      <w:pPr>
        <w:ind w:right="-142"/>
        <w:rPr>
          <w:snapToGrid w:val="0"/>
          <w:sz w:val="22"/>
          <w:szCs w:val="24"/>
        </w:rPr>
      </w:pPr>
    </w:p>
    <w:p w14:paraId="1AC89F02" w14:textId="76D8F974" w:rsidR="005E424F" w:rsidRPr="00211E3B" w:rsidRDefault="005E424F" w:rsidP="005E424F">
      <w:pPr>
        <w:ind w:right="-142"/>
        <w:rPr>
          <w:snapToGrid w:val="0"/>
          <w:sz w:val="22"/>
          <w:szCs w:val="24"/>
        </w:rPr>
      </w:pPr>
      <w:r w:rsidRPr="00211E3B">
        <w:rPr>
          <w:snapToGrid w:val="0"/>
          <w:sz w:val="22"/>
          <w:szCs w:val="24"/>
        </w:rPr>
        <w:t xml:space="preserve">Visos iš anksto apibrėžtos jautrumo analizės patvirtino panašų </w:t>
      </w:r>
      <w:r w:rsidR="00BD5976" w:rsidRPr="00211E3B">
        <w:rPr>
          <w:snapToGrid w:val="0"/>
          <w:sz w:val="22"/>
          <w:szCs w:val="24"/>
        </w:rPr>
        <w:t xml:space="preserve">nintedanibo </w:t>
      </w:r>
      <w:r w:rsidRPr="00211E3B">
        <w:rPr>
          <w:snapToGrid w:val="0"/>
          <w:sz w:val="22"/>
          <w:szCs w:val="24"/>
        </w:rPr>
        <w:t>poveikį mažinant metinį FGPT</w:t>
      </w:r>
      <w:r w:rsidR="00BD5976" w:rsidRPr="00211E3B">
        <w:rPr>
          <w:snapToGrid w:val="0"/>
          <w:sz w:val="22"/>
          <w:szCs w:val="24"/>
        </w:rPr>
        <w:t xml:space="preserve"> </w:t>
      </w:r>
      <w:r w:rsidRPr="00211E3B">
        <w:rPr>
          <w:snapToGrid w:val="0"/>
          <w:sz w:val="22"/>
          <w:szCs w:val="24"/>
        </w:rPr>
        <w:t>sumažėjimo rodmenį, o iš anksto apibrėžtuose pogrupiuose (pvz., pagal amžių, lytį ir mikofenolato</w:t>
      </w:r>
      <w:r w:rsidR="00BD5976" w:rsidRPr="00211E3B">
        <w:rPr>
          <w:snapToGrid w:val="0"/>
          <w:sz w:val="22"/>
          <w:szCs w:val="24"/>
        </w:rPr>
        <w:t xml:space="preserve"> </w:t>
      </w:r>
      <w:r w:rsidRPr="00211E3B">
        <w:rPr>
          <w:snapToGrid w:val="0"/>
          <w:sz w:val="22"/>
          <w:szCs w:val="24"/>
        </w:rPr>
        <w:t>vartojimą) nenustatyta jokio heterogeniškumo.</w:t>
      </w:r>
    </w:p>
    <w:p w14:paraId="3EC4BFB7" w14:textId="77777777" w:rsidR="00A67AA1" w:rsidRPr="00211E3B" w:rsidRDefault="00A67AA1" w:rsidP="005E424F">
      <w:pPr>
        <w:ind w:right="-142"/>
        <w:rPr>
          <w:snapToGrid w:val="0"/>
          <w:sz w:val="22"/>
          <w:szCs w:val="24"/>
        </w:rPr>
      </w:pPr>
    </w:p>
    <w:p w14:paraId="05F91F3C" w14:textId="59440188" w:rsidR="005E424F" w:rsidRPr="00211E3B" w:rsidRDefault="005E424F" w:rsidP="005E424F">
      <w:pPr>
        <w:ind w:right="-142"/>
        <w:rPr>
          <w:snapToGrid w:val="0"/>
          <w:sz w:val="22"/>
          <w:szCs w:val="24"/>
        </w:rPr>
      </w:pPr>
      <w:r w:rsidRPr="00211E3B">
        <w:rPr>
          <w:snapToGrid w:val="0"/>
          <w:sz w:val="22"/>
          <w:szCs w:val="24"/>
        </w:rPr>
        <w:t>Be to, panašus poveikis buvo pastebėtas kitoms plaučių funkcijos vertinamosioms baigtims, pvz.,</w:t>
      </w:r>
      <w:r w:rsidR="006E2BE3" w:rsidRPr="00211E3B">
        <w:rPr>
          <w:snapToGrid w:val="0"/>
          <w:sz w:val="22"/>
          <w:szCs w:val="24"/>
        </w:rPr>
        <w:t xml:space="preserve"> </w:t>
      </w:r>
      <w:r w:rsidRPr="00211E3B">
        <w:rPr>
          <w:snapToGrid w:val="0"/>
          <w:sz w:val="22"/>
          <w:szCs w:val="24"/>
        </w:rPr>
        <w:t xml:space="preserve">absoliučiam FGPT pokyčiui (ml) nuo pradinio lygmens </w:t>
      </w:r>
      <w:r w:rsidR="00D7087C" w:rsidRPr="00211E3B">
        <w:rPr>
          <w:snapToGrid w:val="0"/>
          <w:sz w:val="22"/>
          <w:szCs w:val="24"/>
        </w:rPr>
        <w:t>52 s</w:t>
      </w:r>
      <w:r w:rsidRPr="00211E3B">
        <w:rPr>
          <w:snapToGrid w:val="0"/>
          <w:sz w:val="22"/>
          <w:szCs w:val="24"/>
        </w:rPr>
        <w:t>avaitę (5</w:t>
      </w:r>
      <w:r w:rsidR="006E2BE3" w:rsidRPr="00211E3B">
        <w:rPr>
          <w:snapToGrid w:val="0"/>
          <w:sz w:val="22"/>
          <w:szCs w:val="24"/>
        </w:rPr>
        <w:t> </w:t>
      </w:r>
      <w:r w:rsidRPr="00211E3B">
        <w:rPr>
          <w:snapToGrid w:val="0"/>
          <w:sz w:val="22"/>
          <w:szCs w:val="24"/>
        </w:rPr>
        <w:t>pav</w:t>
      </w:r>
      <w:r w:rsidR="006E2BE3" w:rsidRPr="00211E3B">
        <w:rPr>
          <w:snapToGrid w:val="0"/>
          <w:sz w:val="22"/>
          <w:szCs w:val="24"/>
        </w:rPr>
        <w:t>eikslas</w:t>
      </w:r>
      <w:r w:rsidRPr="00211E3B">
        <w:rPr>
          <w:snapToGrid w:val="0"/>
          <w:sz w:val="22"/>
          <w:szCs w:val="24"/>
        </w:rPr>
        <w:t xml:space="preserve"> ir 11</w:t>
      </w:r>
      <w:r w:rsidR="006E2BE3" w:rsidRPr="00211E3B">
        <w:rPr>
          <w:snapToGrid w:val="0"/>
          <w:sz w:val="22"/>
          <w:szCs w:val="24"/>
        </w:rPr>
        <w:t> </w:t>
      </w:r>
      <w:r w:rsidRPr="00211E3B">
        <w:rPr>
          <w:snapToGrid w:val="0"/>
          <w:sz w:val="22"/>
          <w:szCs w:val="24"/>
        </w:rPr>
        <w:t>lentelė) ir</w:t>
      </w:r>
      <w:r w:rsidR="006E2BE3" w:rsidRPr="00211E3B">
        <w:rPr>
          <w:snapToGrid w:val="0"/>
          <w:sz w:val="22"/>
          <w:szCs w:val="24"/>
        </w:rPr>
        <w:t xml:space="preserve"> numatyto </w:t>
      </w:r>
      <w:r w:rsidRPr="00211E3B">
        <w:rPr>
          <w:snapToGrid w:val="0"/>
          <w:sz w:val="22"/>
          <w:szCs w:val="24"/>
        </w:rPr>
        <w:t xml:space="preserve">FGPT sumažėjimo </w:t>
      </w:r>
      <w:r w:rsidR="006E2BE3" w:rsidRPr="00211E3B">
        <w:rPr>
          <w:snapToGrid w:val="0"/>
          <w:sz w:val="22"/>
          <w:szCs w:val="24"/>
        </w:rPr>
        <w:t>rodmeniui procentais (</w:t>
      </w:r>
      <w:r w:rsidR="0085390D">
        <w:rPr>
          <w:snapToGrid w:val="0"/>
          <w:sz w:val="22"/>
          <w:szCs w:val="24"/>
        </w:rPr>
        <w:t xml:space="preserve"> %</w:t>
      </w:r>
      <w:r w:rsidR="006E2BE3" w:rsidRPr="00211E3B">
        <w:rPr>
          <w:snapToGrid w:val="0"/>
          <w:sz w:val="22"/>
          <w:szCs w:val="24"/>
        </w:rPr>
        <w:t xml:space="preserve">) </w:t>
      </w:r>
      <w:r w:rsidRPr="00211E3B">
        <w:rPr>
          <w:snapToGrid w:val="0"/>
          <w:sz w:val="22"/>
          <w:szCs w:val="24"/>
        </w:rPr>
        <w:t xml:space="preserve">per </w:t>
      </w:r>
      <w:r w:rsidR="00D7087C" w:rsidRPr="00211E3B">
        <w:rPr>
          <w:snapToGrid w:val="0"/>
          <w:sz w:val="22"/>
          <w:szCs w:val="24"/>
        </w:rPr>
        <w:t>52 s</w:t>
      </w:r>
      <w:r w:rsidRPr="00211E3B">
        <w:rPr>
          <w:snapToGrid w:val="0"/>
          <w:sz w:val="22"/>
          <w:szCs w:val="24"/>
        </w:rPr>
        <w:t>avaites (12</w:t>
      </w:r>
      <w:r w:rsidR="006E2BE3" w:rsidRPr="00211E3B">
        <w:rPr>
          <w:snapToGrid w:val="0"/>
          <w:sz w:val="22"/>
          <w:szCs w:val="24"/>
        </w:rPr>
        <w:t> </w:t>
      </w:r>
      <w:r w:rsidRPr="00211E3B">
        <w:rPr>
          <w:snapToGrid w:val="0"/>
          <w:sz w:val="22"/>
          <w:szCs w:val="24"/>
        </w:rPr>
        <w:t>lentelė), pateikiant</w:t>
      </w:r>
      <w:r w:rsidR="006E2BE3" w:rsidRPr="00211E3B">
        <w:rPr>
          <w:snapToGrid w:val="0"/>
          <w:sz w:val="22"/>
          <w:szCs w:val="24"/>
        </w:rPr>
        <w:t xml:space="preserve"> </w:t>
      </w:r>
      <w:r w:rsidRPr="00211E3B">
        <w:rPr>
          <w:snapToGrid w:val="0"/>
          <w:sz w:val="22"/>
          <w:szCs w:val="24"/>
        </w:rPr>
        <w:t xml:space="preserve">papildomų įrodymų apie SS-IPL progresavimą lėtinantį </w:t>
      </w:r>
      <w:r w:rsidR="006E2BE3" w:rsidRPr="00211E3B">
        <w:rPr>
          <w:snapToGrid w:val="0"/>
          <w:sz w:val="22"/>
          <w:szCs w:val="24"/>
        </w:rPr>
        <w:t xml:space="preserve">nintedanibo </w:t>
      </w:r>
      <w:r w:rsidRPr="00211E3B">
        <w:rPr>
          <w:snapToGrid w:val="0"/>
          <w:sz w:val="22"/>
          <w:szCs w:val="24"/>
        </w:rPr>
        <w:t xml:space="preserve">poveikį. Be to, mažiau </w:t>
      </w:r>
      <w:r w:rsidR="006E2BE3" w:rsidRPr="00211E3B">
        <w:rPr>
          <w:snapToGrid w:val="0"/>
          <w:sz w:val="22"/>
          <w:szCs w:val="24"/>
        </w:rPr>
        <w:t xml:space="preserve">nintedanibo </w:t>
      </w:r>
      <w:r w:rsidRPr="00211E3B">
        <w:rPr>
          <w:snapToGrid w:val="0"/>
          <w:sz w:val="22"/>
          <w:szCs w:val="24"/>
        </w:rPr>
        <w:t>grupės</w:t>
      </w:r>
      <w:r w:rsidR="006E2BE3" w:rsidRPr="00211E3B">
        <w:rPr>
          <w:snapToGrid w:val="0"/>
          <w:sz w:val="22"/>
          <w:szCs w:val="24"/>
        </w:rPr>
        <w:t xml:space="preserve"> </w:t>
      </w:r>
      <w:r w:rsidRPr="00211E3B">
        <w:rPr>
          <w:snapToGrid w:val="0"/>
          <w:sz w:val="22"/>
          <w:szCs w:val="24"/>
        </w:rPr>
        <w:t xml:space="preserve">pacientų nustatytas absoliutus </w:t>
      </w:r>
      <w:r w:rsidR="006E2BE3" w:rsidRPr="00211E3B">
        <w:rPr>
          <w:snapToGrid w:val="0"/>
          <w:sz w:val="22"/>
          <w:szCs w:val="24"/>
        </w:rPr>
        <w:t>numatyto</w:t>
      </w:r>
      <w:r w:rsidRPr="00211E3B">
        <w:rPr>
          <w:snapToGrid w:val="0"/>
          <w:sz w:val="22"/>
          <w:szCs w:val="24"/>
        </w:rPr>
        <w:t xml:space="preserve"> FGPT sumažėjimas</w:t>
      </w:r>
      <w:r w:rsidR="006E2BE3" w:rsidRPr="00211E3B">
        <w:rPr>
          <w:snapToGrid w:val="0"/>
          <w:sz w:val="22"/>
          <w:szCs w:val="24"/>
        </w:rPr>
        <w:t xml:space="preserve"> &gt; 5</w:t>
      </w:r>
      <w:r w:rsidR="0085390D">
        <w:rPr>
          <w:snapToGrid w:val="0"/>
          <w:sz w:val="22"/>
          <w:szCs w:val="24"/>
        </w:rPr>
        <w:t> %</w:t>
      </w:r>
      <w:r w:rsidRPr="00211E3B">
        <w:rPr>
          <w:snapToGrid w:val="0"/>
          <w:sz w:val="22"/>
          <w:szCs w:val="24"/>
        </w:rPr>
        <w:t xml:space="preserve"> (20,6</w:t>
      </w:r>
      <w:r w:rsidR="0085390D">
        <w:rPr>
          <w:snapToGrid w:val="0"/>
          <w:sz w:val="22"/>
          <w:szCs w:val="24"/>
        </w:rPr>
        <w:t> %</w:t>
      </w:r>
      <w:r w:rsidRPr="00211E3B">
        <w:rPr>
          <w:snapToGrid w:val="0"/>
          <w:sz w:val="22"/>
          <w:szCs w:val="24"/>
        </w:rPr>
        <w:t xml:space="preserve"> </w:t>
      </w:r>
      <w:r w:rsidR="006E2BE3" w:rsidRPr="00211E3B">
        <w:rPr>
          <w:snapToGrid w:val="0"/>
          <w:sz w:val="22"/>
          <w:szCs w:val="24"/>
        </w:rPr>
        <w:t xml:space="preserve">nintedanibo vartojusiųjų </w:t>
      </w:r>
      <w:r w:rsidRPr="00211E3B">
        <w:rPr>
          <w:snapToGrid w:val="0"/>
          <w:sz w:val="22"/>
          <w:szCs w:val="24"/>
        </w:rPr>
        <w:t>grupėje,</w:t>
      </w:r>
      <w:r w:rsidR="006E2BE3" w:rsidRPr="00211E3B">
        <w:rPr>
          <w:snapToGrid w:val="0"/>
          <w:sz w:val="22"/>
          <w:szCs w:val="24"/>
        </w:rPr>
        <w:t xml:space="preserve"> </w:t>
      </w:r>
      <w:r w:rsidRPr="00211E3B">
        <w:rPr>
          <w:snapToGrid w:val="0"/>
          <w:sz w:val="22"/>
          <w:szCs w:val="24"/>
        </w:rPr>
        <w:t>palyginti su 28,5</w:t>
      </w:r>
      <w:r w:rsidR="0085390D">
        <w:rPr>
          <w:snapToGrid w:val="0"/>
          <w:sz w:val="22"/>
          <w:szCs w:val="24"/>
        </w:rPr>
        <w:t> %</w:t>
      </w:r>
      <w:r w:rsidRPr="00211E3B">
        <w:rPr>
          <w:snapToGrid w:val="0"/>
          <w:sz w:val="22"/>
          <w:szCs w:val="24"/>
        </w:rPr>
        <w:t xml:space="preserve"> placebo </w:t>
      </w:r>
      <w:r w:rsidR="006E2BE3" w:rsidRPr="00211E3B">
        <w:rPr>
          <w:snapToGrid w:val="0"/>
          <w:sz w:val="22"/>
          <w:szCs w:val="24"/>
        </w:rPr>
        <w:t xml:space="preserve">vartojusiųjų </w:t>
      </w:r>
      <w:r w:rsidRPr="00211E3B">
        <w:rPr>
          <w:snapToGrid w:val="0"/>
          <w:sz w:val="22"/>
          <w:szCs w:val="24"/>
        </w:rPr>
        <w:t>grupėje,</w:t>
      </w:r>
      <w:r w:rsidR="006E2BE3" w:rsidRPr="00211E3B">
        <w:rPr>
          <w:snapToGrid w:val="0"/>
          <w:sz w:val="22"/>
          <w:szCs w:val="24"/>
        </w:rPr>
        <w:t xml:space="preserve"> šansų santykis</w:t>
      </w:r>
      <w:r w:rsidRPr="00211E3B">
        <w:rPr>
          <w:snapToGrid w:val="0"/>
          <w:sz w:val="22"/>
          <w:szCs w:val="24"/>
        </w:rPr>
        <w:t xml:space="preserve"> = 0,65, p = 0,0287). Santykinis FGPT</w:t>
      </w:r>
      <w:r w:rsidR="006E2BE3" w:rsidRPr="00211E3B">
        <w:rPr>
          <w:snapToGrid w:val="0"/>
          <w:sz w:val="22"/>
          <w:szCs w:val="24"/>
        </w:rPr>
        <w:t xml:space="preserve"> </w:t>
      </w:r>
      <w:r w:rsidRPr="00211E3B">
        <w:rPr>
          <w:snapToGrid w:val="0"/>
          <w:sz w:val="22"/>
          <w:szCs w:val="24"/>
        </w:rPr>
        <w:t>sumažėjimas</w:t>
      </w:r>
      <w:r w:rsidR="0085390D">
        <w:rPr>
          <w:snapToGrid w:val="0"/>
          <w:sz w:val="22"/>
          <w:szCs w:val="24"/>
        </w:rPr>
        <w:t> ml</w:t>
      </w:r>
      <w:r w:rsidRPr="00211E3B">
        <w:rPr>
          <w:snapToGrid w:val="0"/>
          <w:sz w:val="22"/>
          <w:szCs w:val="24"/>
        </w:rPr>
        <w:t xml:space="preserve"> &gt; 10</w:t>
      </w:r>
      <w:r w:rsidR="0085390D">
        <w:rPr>
          <w:snapToGrid w:val="0"/>
          <w:sz w:val="22"/>
          <w:szCs w:val="24"/>
        </w:rPr>
        <w:t> %</w:t>
      </w:r>
      <w:r w:rsidRPr="00211E3B">
        <w:rPr>
          <w:snapToGrid w:val="0"/>
          <w:sz w:val="22"/>
          <w:szCs w:val="24"/>
        </w:rPr>
        <w:t xml:space="preserve"> buvo panašus abiejose grupėse (16,7</w:t>
      </w:r>
      <w:r w:rsidR="0085390D">
        <w:rPr>
          <w:snapToGrid w:val="0"/>
          <w:sz w:val="22"/>
          <w:szCs w:val="24"/>
        </w:rPr>
        <w:t> %</w:t>
      </w:r>
      <w:r w:rsidRPr="00211E3B">
        <w:rPr>
          <w:snapToGrid w:val="0"/>
          <w:sz w:val="22"/>
          <w:szCs w:val="24"/>
        </w:rPr>
        <w:t xml:space="preserve"> </w:t>
      </w:r>
      <w:r w:rsidR="00171B86" w:rsidRPr="00211E3B">
        <w:rPr>
          <w:snapToGrid w:val="0"/>
          <w:sz w:val="22"/>
          <w:szCs w:val="24"/>
        </w:rPr>
        <w:t>vartojusiųjų g</w:t>
      </w:r>
      <w:r w:rsidRPr="00211E3B">
        <w:rPr>
          <w:snapToGrid w:val="0"/>
          <w:sz w:val="22"/>
          <w:szCs w:val="24"/>
        </w:rPr>
        <w:t>rupėje, palyginti su 18,1</w:t>
      </w:r>
      <w:r w:rsidR="0085390D">
        <w:rPr>
          <w:snapToGrid w:val="0"/>
          <w:sz w:val="22"/>
          <w:szCs w:val="24"/>
        </w:rPr>
        <w:t> %</w:t>
      </w:r>
      <w:r w:rsidR="00171B86" w:rsidRPr="00211E3B">
        <w:rPr>
          <w:snapToGrid w:val="0"/>
          <w:sz w:val="22"/>
          <w:szCs w:val="24"/>
        </w:rPr>
        <w:t xml:space="preserve"> </w:t>
      </w:r>
      <w:r w:rsidRPr="00211E3B">
        <w:rPr>
          <w:snapToGrid w:val="0"/>
          <w:sz w:val="22"/>
          <w:szCs w:val="24"/>
        </w:rPr>
        <w:t xml:space="preserve">placebo </w:t>
      </w:r>
      <w:r w:rsidR="00171B86" w:rsidRPr="00211E3B">
        <w:rPr>
          <w:snapToGrid w:val="0"/>
          <w:sz w:val="22"/>
          <w:szCs w:val="24"/>
        </w:rPr>
        <w:t xml:space="preserve">vartojusiųjų </w:t>
      </w:r>
      <w:r w:rsidRPr="00211E3B">
        <w:rPr>
          <w:snapToGrid w:val="0"/>
          <w:sz w:val="22"/>
          <w:szCs w:val="24"/>
        </w:rPr>
        <w:t xml:space="preserve">grupėje, </w:t>
      </w:r>
      <w:r w:rsidR="006E2BE3" w:rsidRPr="00211E3B">
        <w:rPr>
          <w:snapToGrid w:val="0"/>
          <w:sz w:val="22"/>
          <w:szCs w:val="24"/>
        </w:rPr>
        <w:t>šansų santykis</w:t>
      </w:r>
      <w:r w:rsidRPr="00211E3B">
        <w:rPr>
          <w:snapToGrid w:val="0"/>
          <w:sz w:val="22"/>
          <w:szCs w:val="24"/>
        </w:rPr>
        <w:t xml:space="preserve"> = 0,91, p = 0,6842). Atliekant šias analizes, FGPT vertės, kurių trūko</w:t>
      </w:r>
      <w:r w:rsidR="00171B86" w:rsidRPr="00211E3B">
        <w:rPr>
          <w:snapToGrid w:val="0"/>
          <w:sz w:val="22"/>
          <w:szCs w:val="24"/>
        </w:rPr>
        <w:t xml:space="preserve"> </w:t>
      </w:r>
      <w:r w:rsidR="00D7087C" w:rsidRPr="00211E3B">
        <w:rPr>
          <w:snapToGrid w:val="0"/>
          <w:sz w:val="22"/>
          <w:szCs w:val="24"/>
        </w:rPr>
        <w:t>52 s</w:t>
      </w:r>
      <w:r w:rsidRPr="00211E3B">
        <w:rPr>
          <w:snapToGrid w:val="0"/>
          <w:sz w:val="22"/>
          <w:szCs w:val="24"/>
        </w:rPr>
        <w:t>avaitę, buvo priskirtos prie blogiausių paciento verčių, nustatytų gydymo metu.</w:t>
      </w:r>
    </w:p>
    <w:p w14:paraId="4380EBFA" w14:textId="77777777" w:rsidR="006E2BE3" w:rsidRPr="00211E3B" w:rsidRDefault="006E2BE3" w:rsidP="005E424F">
      <w:pPr>
        <w:ind w:right="-142"/>
        <w:rPr>
          <w:snapToGrid w:val="0"/>
          <w:sz w:val="22"/>
          <w:szCs w:val="24"/>
        </w:rPr>
      </w:pPr>
    </w:p>
    <w:p w14:paraId="2D80320E" w14:textId="3F8CB6C5" w:rsidR="005E424F" w:rsidRPr="00211E3B" w:rsidRDefault="005E424F" w:rsidP="005E424F">
      <w:pPr>
        <w:ind w:right="-142"/>
        <w:rPr>
          <w:snapToGrid w:val="0"/>
          <w:sz w:val="22"/>
          <w:szCs w:val="24"/>
        </w:rPr>
      </w:pPr>
      <w:r w:rsidRPr="00211E3B">
        <w:rPr>
          <w:snapToGrid w:val="0"/>
          <w:sz w:val="22"/>
          <w:szCs w:val="24"/>
        </w:rPr>
        <w:t>Žvalgomoji iki 100</w:t>
      </w:r>
      <w:r w:rsidR="00E806DD" w:rsidRPr="00211E3B">
        <w:rPr>
          <w:snapToGrid w:val="0"/>
          <w:sz w:val="22"/>
          <w:szCs w:val="24"/>
        </w:rPr>
        <w:t> </w:t>
      </w:r>
      <w:r w:rsidRPr="00211E3B">
        <w:rPr>
          <w:snapToGrid w:val="0"/>
          <w:sz w:val="22"/>
          <w:szCs w:val="24"/>
        </w:rPr>
        <w:t>savaičių trukmės (ilgiausio gydymo laikotarpio SENSCIS tyrime) duomenų</w:t>
      </w:r>
      <w:r w:rsidR="00E806DD" w:rsidRPr="00211E3B">
        <w:rPr>
          <w:snapToGrid w:val="0"/>
          <w:sz w:val="22"/>
          <w:szCs w:val="24"/>
        </w:rPr>
        <w:t xml:space="preserve"> </w:t>
      </w:r>
      <w:r w:rsidRPr="00211E3B">
        <w:rPr>
          <w:snapToGrid w:val="0"/>
          <w:sz w:val="22"/>
          <w:szCs w:val="24"/>
        </w:rPr>
        <w:t>analizė leid</w:t>
      </w:r>
      <w:r w:rsidR="00E806DD" w:rsidRPr="00211E3B">
        <w:rPr>
          <w:snapToGrid w:val="0"/>
          <w:sz w:val="22"/>
          <w:szCs w:val="24"/>
        </w:rPr>
        <w:t>žia</w:t>
      </w:r>
      <w:r w:rsidRPr="00211E3B">
        <w:rPr>
          <w:snapToGrid w:val="0"/>
          <w:sz w:val="22"/>
          <w:szCs w:val="24"/>
        </w:rPr>
        <w:t xml:space="preserve"> daryti prielaidą, kad SS-IPL progresavimą lėtinantis vartojamo </w:t>
      </w:r>
      <w:r w:rsidR="00E806DD" w:rsidRPr="00211E3B">
        <w:rPr>
          <w:snapToGrid w:val="0"/>
          <w:sz w:val="22"/>
          <w:szCs w:val="24"/>
        </w:rPr>
        <w:t xml:space="preserve">nintedanibo </w:t>
      </w:r>
      <w:r w:rsidRPr="00211E3B">
        <w:rPr>
          <w:snapToGrid w:val="0"/>
          <w:sz w:val="22"/>
          <w:szCs w:val="24"/>
        </w:rPr>
        <w:t>poveikis išliko</w:t>
      </w:r>
      <w:r w:rsidR="00E806DD" w:rsidRPr="00211E3B">
        <w:rPr>
          <w:snapToGrid w:val="0"/>
          <w:sz w:val="22"/>
          <w:szCs w:val="24"/>
        </w:rPr>
        <w:t xml:space="preserve"> </w:t>
      </w:r>
      <w:r w:rsidRPr="00211E3B">
        <w:rPr>
          <w:snapToGrid w:val="0"/>
          <w:sz w:val="22"/>
          <w:szCs w:val="24"/>
        </w:rPr>
        <w:t xml:space="preserve">ilgiau kaip </w:t>
      </w:r>
      <w:r w:rsidR="00D7087C" w:rsidRPr="00211E3B">
        <w:rPr>
          <w:snapToGrid w:val="0"/>
          <w:sz w:val="22"/>
          <w:szCs w:val="24"/>
        </w:rPr>
        <w:t>52 s</w:t>
      </w:r>
      <w:r w:rsidRPr="00211E3B">
        <w:rPr>
          <w:snapToGrid w:val="0"/>
          <w:sz w:val="22"/>
          <w:szCs w:val="24"/>
        </w:rPr>
        <w:t>avaites.</w:t>
      </w:r>
    </w:p>
    <w:p w14:paraId="51FC1A01" w14:textId="77777777" w:rsidR="006051F9" w:rsidRPr="00211E3B" w:rsidRDefault="006051F9" w:rsidP="005E424F">
      <w:pPr>
        <w:ind w:right="-142"/>
        <w:rPr>
          <w:snapToGrid w:val="0"/>
          <w:sz w:val="22"/>
          <w:szCs w:val="24"/>
        </w:rPr>
      </w:pPr>
    </w:p>
    <w:p w14:paraId="2A0D1090" w14:textId="2017F419" w:rsidR="005E424F" w:rsidRDefault="005E424F" w:rsidP="005E424F">
      <w:pPr>
        <w:ind w:right="-142"/>
        <w:rPr>
          <w:b/>
          <w:bCs/>
          <w:snapToGrid w:val="0"/>
          <w:sz w:val="22"/>
          <w:szCs w:val="24"/>
        </w:rPr>
      </w:pPr>
      <w:r w:rsidRPr="00211E3B">
        <w:rPr>
          <w:b/>
          <w:bCs/>
          <w:snapToGrid w:val="0"/>
          <w:sz w:val="22"/>
          <w:szCs w:val="24"/>
        </w:rPr>
        <w:t>5</w:t>
      </w:r>
      <w:r w:rsidR="00BB0D8A" w:rsidRPr="00211E3B">
        <w:rPr>
          <w:b/>
          <w:bCs/>
          <w:snapToGrid w:val="0"/>
          <w:sz w:val="22"/>
          <w:szCs w:val="24"/>
        </w:rPr>
        <w:t> </w:t>
      </w:r>
      <w:r w:rsidRPr="00211E3B">
        <w:rPr>
          <w:b/>
          <w:bCs/>
          <w:snapToGrid w:val="0"/>
          <w:sz w:val="22"/>
          <w:szCs w:val="24"/>
        </w:rPr>
        <w:t>pav</w:t>
      </w:r>
      <w:r w:rsidR="00224DD9" w:rsidRPr="00211E3B">
        <w:rPr>
          <w:b/>
          <w:bCs/>
          <w:snapToGrid w:val="0"/>
          <w:sz w:val="22"/>
          <w:szCs w:val="24"/>
        </w:rPr>
        <w:t>eikslas</w:t>
      </w:r>
      <w:r w:rsidRPr="00211E3B">
        <w:rPr>
          <w:b/>
          <w:bCs/>
          <w:snapToGrid w:val="0"/>
          <w:sz w:val="22"/>
          <w:szCs w:val="24"/>
        </w:rPr>
        <w:t>.</w:t>
      </w:r>
      <w:r w:rsidR="00224DD9" w:rsidRPr="00211E3B">
        <w:rPr>
          <w:b/>
          <w:bCs/>
          <w:snapToGrid w:val="0"/>
          <w:sz w:val="22"/>
          <w:szCs w:val="24"/>
        </w:rPr>
        <w:tab/>
      </w:r>
      <w:r w:rsidRPr="00211E3B">
        <w:rPr>
          <w:b/>
          <w:bCs/>
          <w:snapToGrid w:val="0"/>
          <w:sz w:val="22"/>
          <w:szCs w:val="24"/>
        </w:rPr>
        <w:t>FGPT pokyčio nuo pradinio lygmens (ml) vidurkis (SVP)</w:t>
      </w:r>
      <w:r w:rsidR="00224DD9" w:rsidRPr="00211E3B">
        <w:rPr>
          <w:b/>
          <w:bCs/>
          <w:snapToGrid w:val="0"/>
          <w:sz w:val="22"/>
          <w:szCs w:val="24"/>
        </w:rPr>
        <w:t xml:space="preserve"> </w:t>
      </w:r>
      <w:r w:rsidR="00D7087C" w:rsidRPr="00211E3B">
        <w:rPr>
          <w:b/>
          <w:bCs/>
          <w:snapToGrid w:val="0"/>
          <w:sz w:val="22"/>
          <w:szCs w:val="24"/>
        </w:rPr>
        <w:t>52 s</w:t>
      </w:r>
      <w:r w:rsidR="00224DD9" w:rsidRPr="00211E3B">
        <w:rPr>
          <w:b/>
          <w:bCs/>
          <w:snapToGrid w:val="0"/>
          <w:sz w:val="22"/>
          <w:szCs w:val="24"/>
        </w:rPr>
        <w:t>avaičių laikotarpiu</w:t>
      </w:r>
    </w:p>
    <w:p w14:paraId="3A8452C4" w14:textId="75EC5DA1" w:rsidR="006E76AB" w:rsidRDefault="006E76AB" w:rsidP="005E424F">
      <w:pPr>
        <w:ind w:right="-142"/>
        <w:rPr>
          <w:b/>
          <w:bCs/>
          <w:snapToGrid w:val="0"/>
          <w:sz w:val="22"/>
          <w:szCs w:val="24"/>
        </w:rPr>
      </w:pPr>
      <w:r>
        <w:rPr>
          <w:b/>
          <w:bCs/>
          <w:noProof/>
          <w:snapToGrid w:val="0"/>
          <w:sz w:val="22"/>
          <w:szCs w:val="24"/>
          <w:lang w:eastAsia="lt-LT"/>
        </w:rPr>
        <w:drawing>
          <wp:inline distT="0" distB="0" distL="0" distR="0" wp14:anchorId="70D03AC5" wp14:editId="162DCBB3">
            <wp:extent cx="5730875" cy="4425950"/>
            <wp:effectExtent l="0" t="0" r="3175" b="0"/>
            <wp:docPr id="17095537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0875" cy="4425950"/>
                    </a:xfrm>
                    <a:prstGeom prst="rect">
                      <a:avLst/>
                    </a:prstGeom>
                    <a:noFill/>
                  </pic:spPr>
                </pic:pic>
              </a:graphicData>
            </a:graphic>
          </wp:inline>
        </w:drawing>
      </w:r>
    </w:p>
    <w:p w14:paraId="6EBEF25C" w14:textId="77777777" w:rsidR="00211E3B" w:rsidRPr="006E76AB" w:rsidRDefault="00211E3B" w:rsidP="00211E3B">
      <w:pPr>
        <w:ind w:right="-142"/>
        <w:rPr>
          <w:sz w:val="18"/>
          <w:szCs w:val="18"/>
        </w:rPr>
      </w:pPr>
      <w:r w:rsidRPr="006E76AB">
        <w:rPr>
          <w:sz w:val="18"/>
          <w:szCs w:val="18"/>
        </w:rPr>
        <w:t>2 k/p = du kartus per parą</w:t>
      </w:r>
    </w:p>
    <w:p w14:paraId="6BD995F7" w14:textId="77777777" w:rsidR="00BB0D8A" w:rsidRPr="00211E3B" w:rsidRDefault="00BB0D8A" w:rsidP="005E424F">
      <w:pPr>
        <w:ind w:right="-142"/>
        <w:rPr>
          <w:snapToGrid w:val="0"/>
          <w:sz w:val="22"/>
          <w:szCs w:val="24"/>
        </w:rPr>
      </w:pPr>
    </w:p>
    <w:p w14:paraId="5241371C" w14:textId="6511C89A" w:rsidR="005E424F" w:rsidRPr="00211E3B" w:rsidRDefault="005E424F" w:rsidP="005E424F">
      <w:pPr>
        <w:ind w:right="-142"/>
        <w:rPr>
          <w:b/>
          <w:bCs/>
          <w:snapToGrid w:val="0"/>
          <w:sz w:val="22"/>
          <w:szCs w:val="24"/>
        </w:rPr>
      </w:pPr>
      <w:r w:rsidRPr="00211E3B">
        <w:rPr>
          <w:b/>
          <w:bCs/>
          <w:snapToGrid w:val="0"/>
          <w:sz w:val="22"/>
          <w:szCs w:val="24"/>
        </w:rPr>
        <w:t>11</w:t>
      </w:r>
      <w:r w:rsidR="00BB0D8A" w:rsidRPr="00211E3B">
        <w:rPr>
          <w:b/>
          <w:bCs/>
          <w:snapToGrid w:val="0"/>
          <w:sz w:val="22"/>
          <w:szCs w:val="24"/>
        </w:rPr>
        <w:t> </w:t>
      </w:r>
      <w:r w:rsidRPr="00211E3B">
        <w:rPr>
          <w:b/>
          <w:bCs/>
          <w:snapToGrid w:val="0"/>
          <w:sz w:val="22"/>
          <w:szCs w:val="24"/>
        </w:rPr>
        <w:t>lentelė.</w:t>
      </w:r>
      <w:r w:rsidR="00BB0D8A" w:rsidRPr="00211E3B">
        <w:rPr>
          <w:b/>
          <w:bCs/>
          <w:snapToGrid w:val="0"/>
          <w:sz w:val="22"/>
          <w:szCs w:val="24"/>
        </w:rPr>
        <w:tab/>
      </w:r>
      <w:r w:rsidRPr="00211E3B">
        <w:rPr>
          <w:b/>
          <w:bCs/>
          <w:snapToGrid w:val="0"/>
          <w:sz w:val="22"/>
          <w:szCs w:val="24"/>
        </w:rPr>
        <w:t xml:space="preserve">Absoliutus FGPT pokytis nuo pradinio </w:t>
      </w:r>
      <w:r w:rsidR="00BB0D8A" w:rsidRPr="00211E3B">
        <w:rPr>
          <w:b/>
          <w:bCs/>
          <w:snapToGrid w:val="0"/>
          <w:sz w:val="22"/>
          <w:szCs w:val="24"/>
        </w:rPr>
        <w:t>rodmens</w:t>
      </w:r>
      <w:r w:rsidRPr="00211E3B">
        <w:rPr>
          <w:b/>
          <w:bCs/>
          <w:snapToGrid w:val="0"/>
          <w:sz w:val="22"/>
          <w:szCs w:val="24"/>
        </w:rPr>
        <w:t xml:space="preserve"> (ml) </w:t>
      </w:r>
      <w:r w:rsidR="00D7087C" w:rsidRPr="00211E3B">
        <w:rPr>
          <w:b/>
          <w:bCs/>
          <w:snapToGrid w:val="0"/>
          <w:sz w:val="22"/>
          <w:szCs w:val="24"/>
        </w:rPr>
        <w:t>52 s</w:t>
      </w:r>
      <w:r w:rsidRPr="00211E3B">
        <w:rPr>
          <w:b/>
          <w:bCs/>
          <w:snapToGrid w:val="0"/>
          <w:sz w:val="22"/>
          <w:szCs w:val="24"/>
        </w:rPr>
        <w:t>avaitę</w:t>
      </w:r>
    </w:p>
    <w:p w14:paraId="4E1FE2FE" w14:textId="77777777" w:rsidR="009002BE" w:rsidRPr="009002BE" w:rsidRDefault="009002BE" w:rsidP="009002BE">
      <w:pPr>
        <w:keepNext/>
        <w:tabs>
          <w:tab w:val="left" w:pos="567"/>
        </w:tabs>
        <w:autoSpaceDE w:val="0"/>
        <w:autoSpaceDN w:val="0"/>
        <w:adjustRightInd w:val="0"/>
        <w:ind w:left="1134" w:hanging="1134"/>
        <w:rPr>
          <w:sz w:val="22"/>
          <w:szCs w:val="22"/>
        </w:rPr>
      </w:pPr>
    </w:p>
    <w:tbl>
      <w:tblPr>
        <w:tblStyle w:val="Lentelstinklelis"/>
        <w:tblW w:w="4994" w:type="pct"/>
        <w:tblLook w:val="04A0" w:firstRow="1" w:lastRow="0" w:firstColumn="1" w:lastColumn="0" w:noHBand="0" w:noVBand="1"/>
      </w:tblPr>
      <w:tblGrid>
        <w:gridCol w:w="3015"/>
        <w:gridCol w:w="3015"/>
        <w:gridCol w:w="3019"/>
      </w:tblGrid>
      <w:tr w:rsidR="009002BE" w:rsidRPr="009002BE" w14:paraId="4E791111" w14:textId="77777777" w:rsidTr="009002BE">
        <w:trPr>
          <w:tblHeader/>
        </w:trPr>
        <w:tc>
          <w:tcPr>
            <w:tcW w:w="1666" w:type="pct"/>
          </w:tcPr>
          <w:p w14:paraId="385412E0" w14:textId="77777777" w:rsidR="009002BE" w:rsidRPr="009002BE" w:rsidRDefault="009002BE" w:rsidP="009002BE">
            <w:pPr>
              <w:tabs>
                <w:tab w:val="left" w:pos="567"/>
              </w:tabs>
              <w:autoSpaceDE w:val="0"/>
              <w:autoSpaceDN w:val="0"/>
              <w:adjustRightInd w:val="0"/>
              <w:rPr>
                <w:sz w:val="22"/>
                <w:szCs w:val="22"/>
                <w:lang w:val="lt-LT"/>
              </w:rPr>
            </w:pPr>
          </w:p>
        </w:tc>
        <w:tc>
          <w:tcPr>
            <w:tcW w:w="1666" w:type="pct"/>
          </w:tcPr>
          <w:p w14:paraId="0C64E4BC" w14:textId="17881073" w:rsidR="009002BE" w:rsidRPr="009002BE" w:rsidRDefault="009002BE" w:rsidP="009002BE">
            <w:pPr>
              <w:tabs>
                <w:tab w:val="left" w:pos="567"/>
              </w:tabs>
              <w:autoSpaceDE w:val="0"/>
              <w:autoSpaceDN w:val="0"/>
              <w:adjustRightInd w:val="0"/>
              <w:jc w:val="center"/>
              <w:rPr>
                <w:sz w:val="22"/>
                <w:szCs w:val="22"/>
                <w:lang w:val="lt-LT"/>
              </w:rPr>
            </w:pPr>
            <w:r w:rsidRPr="00211E3B">
              <w:rPr>
                <w:sz w:val="22"/>
                <w:szCs w:val="22"/>
                <w:lang w:val="lt-LT"/>
              </w:rPr>
              <w:t>Placebas</w:t>
            </w:r>
          </w:p>
        </w:tc>
        <w:tc>
          <w:tcPr>
            <w:tcW w:w="1668" w:type="pct"/>
          </w:tcPr>
          <w:p w14:paraId="5CA8B01C" w14:textId="1C25EFEA" w:rsidR="009002BE" w:rsidRPr="009002BE" w:rsidRDefault="009002BE" w:rsidP="009002BE">
            <w:pPr>
              <w:tabs>
                <w:tab w:val="left" w:pos="567"/>
              </w:tabs>
              <w:autoSpaceDE w:val="0"/>
              <w:autoSpaceDN w:val="0"/>
              <w:adjustRightInd w:val="0"/>
              <w:jc w:val="center"/>
              <w:rPr>
                <w:sz w:val="22"/>
                <w:szCs w:val="22"/>
                <w:lang w:val="lt-LT"/>
              </w:rPr>
            </w:pPr>
            <w:r w:rsidRPr="00211E3B">
              <w:rPr>
                <w:sz w:val="22"/>
                <w:szCs w:val="22"/>
                <w:lang w:val="lt-LT"/>
              </w:rPr>
              <w:t>Nintedanibas 150</w:t>
            </w:r>
            <w:r w:rsidR="0085390D">
              <w:rPr>
                <w:sz w:val="22"/>
                <w:szCs w:val="22"/>
                <w:lang w:val="lt-LT"/>
              </w:rPr>
              <w:t> mg</w:t>
            </w:r>
            <w:r w:rsidRPr="00211E3B">
              <w:rPr>
                <w:sz w:val="22"/>
                <w:szCs w:val="22"/>
                <w:lang w:val="lt-LT"/>
              </w:rPr>
              <w:t xml:space="preserve"> du kartus per parą</w:t>
            </w:r>
          </w:p>
        </w:tc>
      </w:tr>
      <w:tr w:rsidR="009002BE" w:rsidRPr="009002BE" w14:paraId="6EEBA8D5" w14:textId="77777777" w:rsidTr="009002BE">
        <w:tc>
          <w:tcPr>
            <w:tcW w:w="1666" w:type="pct"/>
          </w:tcPr>
          <w:p w14:paraId="15908C6D" w14:textId="6FD0858C" w:rsidR="009002BE" w:rsidRPr="009002BE" w:rsidRDefault="009002BE" w:rsidP="009002BE">
            <w:pPr>
              <w:tabs>
                <w:tab w:val="left" w:pos="567"/>
              </w:tabs>
              <w:autoSpaceDE w:val="0"/>
              <w:autoSpaceDN w:val="0"/>
              <w:adjustRightInd w:val="0"/>
              <w:rPr>
                <w:sz w:val="22"/>
                <w:szCs w:val="22"/>
                <w:lang w:val="lt-LT"/>
              </w:rPr>
            </w:pPr>
            <w:r w:rsidRPr="00211E3B">
              <w:rPr>
                <w:sz w:val="22"/>
                <w:szCs w:val="22"/>
                <w:lang w:val="lt-LT"/>
              </w:rPr>
              <w:t>Analizuotų pacientų skaičius</w:t>
            </w:r>
          </w:p>
        </w:tc>
        <w:tc>
          <w:tcPr>
            <w:tcW w:w="1666" w:type="pct"/>
            <w:vAlign w:val="center"/>
          </w:tcPr>
          <w:p w14:paraId="6567DD81" w14:textId="77777777" w:rsidR="009002BE" w:rsidRPr="009002BE" w:rsidRDefault="009002BE" w:rsidP="009002BE">
            <w:pPr>
              <w:tabs>
                <w:tab w:val="left" w:pos="567"/>
              </w:tabs>
              <w:autoSpaceDE w:val="0"/>
              <w:autoSpaceDN w:val="0"/>
              <w:adjustRightInd w:val="0"/>
              <w:jc w:val="center"/>
              <w:rPr>
                <w:sz w:val="22"/>
                <w:szCs w:val="22"/>
                <w:lang w:val="lt-LT"/>
              </w:rPr>
            </w:pPr>
            <w:r w:rsidRPr="009002BE">
              <w:rPr>
                <w:sz w:val="22"/>
                <w:szCs w:val="22"/>
                <w:lang w:val="lt-LT"/>
              </w:rPr>
              <w:t>288</w:t>
            </w:r>
          </w:p>
        </w:tc>
        <w:tc>
          <w:tcPr>
            <w:tcW w:w="1668" w:type="pct"/>
            <w:vAlign w:val="center"/>
          </w:tcPr>
          <w:p w14:paraId="5CA988A2" w14:textId="77777777" w:rsidR="009002BE" w:rsidRPr="009002BE" w:rsidRDefault="009002BE" w:rsidP="009002BE">
            <w:pPr>
              <w:tabs>
                <w:tab w:val="left" w:pos="567"/>
              </w:tabs>
              <w:autoSpaceDE w:val="0"/>
              <w:autoSpaceDN w:val="0"/>
              <w:adjustRightInd w:val="0"/>
              <w:jc w:val="center"/>
              <w:rPr>
                <w:sz w:val="22"/>
                <w:szCs w:val="22"/>
                <w:lang w:val="lt-LT"/>
              </w:rPr>
            </w:pPr>
            <w:r w:rsidRPr="009002BE">
              <w:rPr>
                <w:sz w:val="22"/>
                <w:szCs w:val="22"/>
                <w:lang w:val="lt-LT"/>
              </w:rPr>
              <w:t>288</w:t>
            </w:r>
          </w:p>
        </w:tc>
      </w:tr>
      <w:tr w:rsidR="009002BE" w:rsidRPr="009002BE" w14:paraId="030D7165" w14:textId="77777777" w:rsidTr="009002BE">
        <w:tc>
          <w:tcPr>
            <w:tcW w:w="1666" w:type="pct"/>
          </w:tcPr>
          <w:p w14:paraId="61B8E87D" w14:textId="24B4C4E4" w:rsidR="009002BE" w:rsidRPr="009002BE" w:rsidRDefault="007E7208" w:rsidP="009002BE">
            <w:pPr>
              <w:tabs>
                <w:tab w:val="left" w:pos="567"/>
              </w:tabs>
              <w:autoSpaceDE w:val="0"/>
              <w:autoSpaceDN w:val="0"/>
              <w:adjustRightInd w:val="0"/>
              <w:rPr>
                <w:sz w:val="22"/>
                <w:szCs w:val="22"/>
                <w:lang w:val="lt-LT"/>
              </w:rPr>
            </w:pPr>
            <w:r w:rsidRPr="00211E3B">
              <w:rPr>
                <w:sz w:val="22"/>
                <w:szCs w:val="22"/>
                <w:lang w:val="lt-LT"/>
              </w:rPr>
              <w:t>Pradinis vidurkis (SN)</w:t>
            </w:r>
          </w:p>
        </w:tc>
        <w:tc>
          <w:tcPr>
            <w:tcW w:w="1666" w:type="pct"/>
            <w:vAlign w:val="center"/>
          </w:tcPr>
          <w:p w14:paraId="0DBC0005" w14:textId="1453E037" w:rsidR="009002BE" w:rsidRPr="009002BE" w:rsidRDefault="009002BE" w:rsidP="009002BE">
            <w:pPr>
              <w:tabs>
                <w:tab w:val="left" w:pos="567"/>
              </w:tabs>
              <w:autoSpaceDE w:val="0"/>
              <w:autoSpaceDN w:val="0"/>
              <w:adjustRightInd w:val="0"/>
              <w:jc w:val="center"/>
              <w:rPr>
                <w:sz w:val="22"/>
                <w:szCs w:val="22"/>
                <w:lang w:val="lt-LT"/>
              </w:rPr>
            </w:pPr>
            <w:r w:rsidRPr="009002BE">
              <w:rPr>
                <w:sz w:val="22"/>
                <w:szCs w:val="22"/>
                <w:lang w:val="lt-LT"/>
              </w:rPr>
              <w:t>2</w:t>
            </w:r>
            <w:r w:rsidR="001E5140">
              <w:rPr>
                <w:sz w:val="22"/>
                <w:szCs w:val="22"/>
                <w:lang w:val="lt-LT"/>
              </w:rPr>
              <w:t xml:space="preserve"> </w:t>
            </w:r>
            <w:r w:rsidRPr="009002BE">
              <w:rPr>
                <w:sz w:val="22"/>
                <w:szCs w:val="22"/>
                <w:lang w:val="lt-LT"/>
              </w:rPr>
              <w:t>541</w:t>
            </w:r>
            <w:r w:rsidRPr="00211E3B">
              <w:rPr>
                <w:sz w:val="22"/>
                <w:szCs w:val="22"/>
                <w:lang w:val="lt-LT"/>
              </w:rPr>
              <w:t>,</w:t>
            </w:r>
            <w:r w:rsidRPr="009002BE">
              <w:rPr>
                <w:sz w:val="22"/>
                <w:szCs w:val="22"/>
                <w:lang w:val="lt-LT"/>
              </w:rPr>
              <w:t>0 (815</w:t>
            </w:r>
            <w:r w:rsidRPr="00211E3B">
              <w:rPr>
                <w:sz w:val="22"/>
                <w:szCs w:val="22"/>
                <w:lang w:val="lt-LT"/>
              </w:rPr>
              <w:t>,</w:t>
            </w:r>
            <w:r w:rsidRPr="009002BE">
              <w:rPr>
                <w:sz w:val="22"/>
                <w:szCs w:val="22"/>
                <w:lang w:val="lt-LT"/>
              </w:rPr>
              <w:t>5)</w:t>
            </w:r>
          </w:p>
        </w:tc>
        <w:tc>
          <w:tcPr>
            <w:tcW w:w="1668" w:type="pct"/>
            <w:vAlign w:val="center"/>
          </w:tcPr>
          <w:p w14:paraId="005975EB" w14:textId="70CD5FD7" w:rsidR="009002BE" w:rsidRPr="009002BE" w:rsidRDefault="009002BE" w:rsidP="009002BE">
            <w:pPr>
              <w:tabs>
                <w:tab w:val="left" w:pos="567"/>
              </w:tabs>
              <w:autoSpaceDE w:val="0"/>
              <w:autoSpaceDN w:val="0"/>
              <w:adjustRightInd w:val="0"/>
              <w:jc w:val="center"/>
              <w:rPr>
                <w:sz w:val="22"/>
                <w:szCs w:val="22"/>
                <w:lang w:val="lt-LT"/>
              </w:rPr>
            </w:pPr>
            <w:r w:rsidRPr="009002BE">
              <w:rPr>
                <w:sz w:val="22"/>
                <w:szCs w:val="22"/>
                <w:lang w:val="lt-LT"/>
              </w:rPr>
              <w:t>2</w:t>
            </w:r>
            <w:r w:rsidR="001E5140">
              <w:rPr>
                <w:sz w:val="22"/>
                <w:szCs w:val="22"/>
                <w:lang w:val="lt-LT"/>
              </w:rPr>
              <w:t xml:space="preserve"> </w:t>
            </w:r>
            <w:r w:rsidRPr="009002BE">
              <w:rPr>
                <w:sz w:val="22"/>
                <w:szCs w:val="22"/>
                <w:lang w:val="lt-LT"/>
              </w:rPr>
              <w:t>458</w:t>
            </w:r>
            <w:r w:rsidRPr="00211E3B">
              <w:rPr>
                <w:sz w:val="22"/>
                <w:szCs w:val="22"/>
                <w:lang w:val="lt-LT"/>
              </w:rPr>
              <w:t>,</w:t>
            </w:r>
            <w:r w:rsidRPr="009002BE">
              <w:rPr>
                <w:sz w:val="22"/>
                <w:szCs w:val="22"/>
                <w:lang w:val="lt-LT"/>
              </w:rPr>
              <w:t>5 (735</w:t>
            </w:r>
            <w:r w:rsidRPr="00211E3B">
              <w:rPr>
                <w:sz w:val="22"/>
                <w:szCs w:val="22"/>
                <w:lang w:val="lt-LT"/>
              </w:rPr>
              <w:t>,</w:t>
            </w:r>
            <w:r w:rsidRPr="009002BE">
              <w:rPr>
                <w:sz w:val="22"/>
                <w:szCs w:val="22"/>
                <w:lang w:val="lt-LT"/>
              </w:rPr>
              <w:t>9)</w:t>
            </w:r>
          </w:p>
        </w:tc>
      </w:tr>
      <w:tr w:rsidR="009002BE" w:rsidRPr="009002BE" w14:paraId="525EFCAF" w14:textId="77777777" w:rsidTr="009002BE">
        <w:tc>
          <w:tcPr>
            <w:tcW w:w="1666" w:type="pct"/>
          </w:tcPr>
          <w:p w14:paraId="35C3EBF0" w14:textId="03A49EED" w:rsidR="009002BE" w:rsidRPr="009002BE" w:rsidRDefault="007E7208" w:rsidP="007E7208">
            <w:pPr>
              <w:tabs>
                <w:tab w:val="left" w:pos="567"/>
              </w:tabs>
              <w:autoSpaceDE w:val="0"/>
              <w:autoSpaceDN w:val="0"/>
              <w:adjustRightInd w:val="0"/>
              <w:rPr>
                <w:sz w:val="22"/>
                <w:szCs w:val="22"/>
                <w:lang w:val="lt-LT"/>
              </w:rPr>
            </w:pPr>
            <w:r w:rsidRPr="00211E3B">
              <w:rPr>
                <w:sz w:val="22"/>
                <w:szCs w:val="22"/>
                <w:lang w:val="lt-LT"/>
              </w:rPr>
              <w:t>Vidurkio</w:t>
            </w:r>
            <w:r w:rsidRPr="00211E3B">
              <w:rPr>
                <w:sz w:val="22"/>
                <w:szCs w:val="22"/>
                <w:vertAlign w:val="superscript"/>
                <w:lang w:val="lt-LT"/>
              </w:rPr>
              <w:t>1</w:t>
            </w:r>
            <w:r w:rsidRPr="00211E3B">
              <w:rPr>
                <w:sz w:val="22"/>
                <w:szCs w:val="22"/>
                <w:lang w:val="lt-LT"/>
              </w:rPr>
              <w:t xml:space="preserve"> (SP) pokytis nuo pradinio rodmens </w:t>
            </w:r>
            <w:r w:rsidR="00D7087C" w:rsidRPr="00211E3B">
              <w:rPr>
                <w:sz w:val="22"/>
                <w:szCs w:val="22"/>
                <w:lang w:val="lt-LT"/>
              </w:rPr>
              <w:t>52 s</w:t>
            </w:r>
            <w:r w:rsidRPr="00211E3B">
              <w:rPr>
                <w:sz w:val="22"/>
                <w:szCs w:val="22"/>
                <w:lang w:val="lt-LT"/>
              </w:rPr>
              <w:t>avaitę</w:t>
            </w:r>
          </w:p>
        </w:tc>
        <w:tc>
          <w:tcPr>
            <w:tcW w:w="1666" w:type="pct"/>
            <w:vAlign w:val="bottom"/>
          </w:tcPr>
          <w:p w14:paraId="383F198A" w14:textId="60E06E9E" w:rsidR="009002BE" w:rsidRPr="009002BE" w:rsidRDefault="009002BE" w:rsidP="009002BE">
            <w:pPr>
              <w:tabs>
                <w:tab w:val="left" w:pos="567"/>
              </w:tabs>
              <w:autoSpaceDE w:val="0"/>
              <w:autoSpaceDN w:val="0"/>
              <w:adjustRightInd w:val="0"/>
              <w:jc w:val="center"/>
              <w:rPr>
                <w:sz w:val="22"/>
                <w:szCs w:val="22"/>
                <w:lang w:val="lt-LT"/>
              </w:rPr>
            </w:pPr>
            <w:r w:rsidRPr="009002BE">
              <w:rPr>
                <w:sz w:val="22"/>
                <w:szCs w:val="22"/>
                <w:lang w:val="lt-LT"/>
              </w:rPr>
              <w:t>-101</w:t>
            </w:r>
            <w:r w:rsidRPr="00211E3B">
              <w:rPr>
                <w:sz w:val="22"/>
                <w:szCs w:val="22"/>
                <w:lang w:val="lt-LT"/>
              </w:rPr>
              <w:t>,</w:t>
            </w:r>
            <w:r w:rsidRPr="009002BE">
              <w:rPr>
                <w:sz w:val="22"/>
                <w:szCs w:val="22"/>
                <w:lang w:val="lt-LT"/>
              </w:rPr>
              <w:t>0 (13</w:t>
            </w:r>
            <w:r w:rsidRPr="00211E3B">
              <w:rPr>
                <w:sz w:val="22"/>
                <w:szCs w:val="22"/>
                <w:lang w:val="lt-LT"/>
              </w:rPr>
              <w:t>,</w:t>
            </w:r>
            <w:r w:rsidRPr="009002BE">
              <w:rPr>
                <w:sz w:val="22"/>
                <w:szCs w:val="22"/>
                <w:lang w:val="lt-LT"/>
              </w:rPr>
              <w:t>6)</w:t>
            </w:r>
          </w:p>
        </w:tc>
        <w:tc>
          <w:tcPr>
            <w:tcW w:w="1668" w:type="pct"/>
            <w:vAlign w:val="bottom"/>
          </w:tcPr>
          <w:p w14:paraId="67C381FF" w14:textId="1F792947" w:rsidR="009002BE" w:rsidRPr="009002BE" w:rsidRDefault="009002BE" w:rsidP="009002BE">
            <w:pPr>
              <w:tabs>
                <w:tab w:val="left" w:pos="567"/>
              </w:tabs>
              <w:autoSpaceDE w:val="0"/>
              <w:autoSpaceDN w:val="0"/>
              <w:adjustRightInd w:val="0"/>
              <w:jc w:val="center"/>
              <w:rPr>
                <w:sz w:val="22"/>
                <w:szCs w:val="22"/>
                <w:lang w:val="lt-LT"/>
              </w:rPr>
            </w:pPr>
            <w:r w:rsidRPr="009002BE">
              <w:rPr>
                <w:sz w:val="22"/>
                <w:szCs w:val="22"/>
                <w:lang w:val="lt-LT"/>
              </w:rPr>
              <w:t>-54</w:t>
            </w:r>
            <w:r w:rsidRPr="00211E3B">
              <w:rPr>
                <w:sz w:val="22"/>
                <w:szCs w:val="22"/>
                <w:lang w:val="lt-LT"/>
              </w:rPr>
              <w:t>,</w:t>
            </w:r>
            <w:r w:rsidRPr="009002BE">
              <w:rPr>
                <w:sz w:val="22"/>
                <w:szCs w:val="22"/>
                <w:lang w:val="lt-LT"/>
              </w:rPr>
              <w:t>6 (13</w:t>
            </w:r>
            <w:r w:rsidRPr="00211E3B">
              <w:rPr>
                <w:sz w:val="22"/>
                <w:szCs w:val="22"/>
                <w:lang w:val="lt-LT"/>
              </w:rPr>
              <w:t>,</w:t>
            </w:r>
            <w:r w:rsidRPr="009002BE">
              <w:rPr>
                <w:sz w:val="22"/>
                <w:szCs w:val="22"/>
                <w:lang w:val="lt-LT"/>
              </w:rPr>
              <w:t>9)</w:t>
            </w:r>
          </w:p>
        </w:tc>
      </w:tr>
      <w:tr w:rsidR="009002BE" w:rsidRPr="009002BE" w14:paraId="198C0B78" w14:textId="77777777" w:rsidTr="00256DA0">
        <w:tc>
          <w:tcPr>
            <w:tcW w:w="5000" w:type="pct"/>
            <w:gridSpan w:val="3"/>
            <w:vAlign w:val="center"/>
          </w:tcPr>
          <w:p w14:paraId="2110B8BE" w14:textId="3A5BC4BF" w:rsidR="009002BE" w:rsidRPr="009002BE" w:rsidRDefault="009002BE" w:rsidP="009002BE">
            <w:pPr>
              <w:tabs>
                <w:tab w:val="left" w:pos="567"/>
              </w:tabs>
              <w:autoSpaceDE w:val="0"/>
              <w:autoSpaceDN w:val="0"/>
              <w:adjustRightInd w:val="0"/>
              <w:rPr>
                <w:sz w:val="22"/>
                <w:szCs w:val="22"/>
                <w:lang w:val="lt-LT"/>
              </w:rPr>
            </w:pPr>
            <w:r w:rsidRPr="00211E3B">
              <w:rPr>
                <w:sz w:val="22"/>
                <w:szCs w:val="22"/>
                <w:lang w:val="lt-LT"/>
              </w:rPr>
              <w:t>Palyginimas su placebu</w:t>
            </w:r>
          </w:p>
        </w:tc>
      </w:tr>
      <w:tr w:rsidR="009002BE" w:rsidRPr="009002BE" w14:paraId="09E1B885" w14:textId="77777777" w:rsidTr="009002BE">
        <w:tc>
          <w:tcPr>
            <w:tcW w:w="1666" w:type="pct"/>
          </w:tcPr>
          <w:p w14:paraId="2CA0C825" w14:textId="03A1BF59" w:rsidR="009002BE" w:rsidRPr="009002BE" w:rsidRDefault="007E7208" w:rsidP="009002BE">
            <w:pPr>
              <w:tabs>
                <w:tab w:val="left" w:pos="567"/>
              </w:tabs>
              <w:autoSpaceDE w:val="0"/>
              <w:autoSpaceDN w:val="0"/>
              <w:adjustRightInd w:val="0"/>
              <w:rPr>
                <w:sz w:val="22"/>
                <w:szCs w:val="22"/>
                <w:lang w:val="lt-LT"/>
              </w:rPr>
            </w:pPr>
            <w:r w:rsidRPr="00211E3B">
              <w:rPr>
                <w:sz w:val="22"/>
                <w:szCs w:val="22"/>
                <w:lang w:val="lt-LT"/>
              </w:rPr>
              <w:t>Vidurkis</w:t>
            </w:r>
            <w:r w:rsidR="009002BE" w:rsidRPr="009002BE">
              <w:rPr>
                <w:sz w:val="22"/>
                <w:szCs w:val="22"/>
                <w:vertAlign w:val="superscript"/>
                <w:lang w:val="lt-LT"/>
              </w:rPr>
              <w:t>1</w:t>
            </w:r>
          </w:p>
        </w:tc>
        <w:tc>
          <w:tcPr>
            <w:tcW w:w="1666" w:type="pct"/>
            <w:vAlign w:val="center"/>
          </w:tcPr>
          <w:p w14:paraId="2F2B0D35" w14:textId="77777777" w:rsidR="009002BE" w:rsidRPr="009002BE" w:rsidRDefault="009002BE" w:rsidP="009002BE">
            <w:pPr>
              <w:tabs>
                <w:tab w:val="left" w:pos="567"/>
              </w:tabs>
              <w:autoSpaceDE w:val="0"/>
              <w:autoSpaceDN w:val="0"/>
              <w:adjustRightInd w:val="0"/>
              <w:jc w:val="center"/>
              <w:rPr>
                <w:sz w:val="22"/>
                <w:szCs w:val="22"/>
                <w:lang w:val="lt-LT"/>
              </w:rPr>
            </w:pPr>
          </w:p>
        </w:tc>
        <w:tc>
          <w:tcPr>
            <w:tcW w:w="1668" w:type="pct"/>
            <w:vAlign w:val="center"/>
          </w:tcPr>
          <w:p w14:paraId="21A674F6" w14:textId="2D294EFA" w:rsidR="009002BE" w:rsidRPr="009002BE" w:rsidRDefault="009002BE" w:rsidP="009002BE">
            <w:pPr>
              <w:tabs>
                <w:tab w:val="left" w:pos="567"/>
              </w:tabs>
              <w:autoSpaceDE w:val="0"/>
              <w:autoSpaceDN w:val="0"/>
              <w:adjustRightInd w:val="0"/>
              <w:jc w:val="center"/>
              <w:rPr>
                <w:sz w:val="22"/>
                <w:szCs w:val="22"/>
                <w:lang w:val="lt-LT"/>
              </w:rPr>
            </w:pPr>
            <w:r w:rsidRPr="009002BE">
              <w:rPr>
                <w:sz w:val="22"/>
                <w:szCs w:val="22"/>
                <w:lang w:val="lt-LT"/>
              </w:rPr>
              <w:t>46</w:t>
            </w:r>
            <w:r w:rsidRPr="00211E3B">
              <w:rPr>
                <w:sz w:val="22"/>
                <w:szCs w:val="22"/>
                <w:lang w:val="lt-LT"/>
              </w:rPr>
              <w:t>,</w:t>
            </w:r>
            <w:r w:rsidRPr="009002BE">
              <w:rPr>
                <w:sz w:val="22"/>
                <w:szCs w:val="22"/>
                <w:lang w:val="lt-LT"/>
              </w:rPr>
              <w:t>4</w:t>
            </w:r>
          </w:p>
        </w:tc>
      </w:tr>
      <w:tr w:rsidR="009002BE" w:rsidRPr="009002BE" w14:paraId="0D251433" w14:textId="77777777" w:rsidTr="009002BE">
        <w:tc>
          <w:tcPr>
            <w:tcW w:w="1666" w:type="pct"/>
          </w:tcPr>
          <w:p w14:paraId="33706DCE" w14:textId="3382F2B2" w:rsidR="009002BE" w:rsidRPr="009002BE" w:rsidRDefault="009002BE" w:rsidP="009002BE">
            <w:pPr>
              <w:tabs>
                <w:tab w:val="left" w:pos="567"/>
              </w:tabs>
              <w:autoSpaceDE w:val="0"/>
              <w:autoSpaceDN w:val="0"/>
              <w:adjustRightInd w:val="0"/>
              <w:ind w:left="317"/>
              <w:rPr>
                <w:sz w:val="22"/>
                <w:szCs w:val="22"/>
                <w:lang w:val="lt-LT"/>
              </w:rPr>
            </w:pPr>
            <w:r w:rsidRPr="009002BE">
              <w:rPr>
                <w:sz w:val="22"/>
                <w:szCs w:val="22"/>
                <w:lang w:val="lt-LT"/>
              </w:rPr>
              <w:t>95</w:t>
            </w:r>
            <w:r w:rsidR="0085390D">
              <w:rPr>
                <w:sz w:val="22"/>
                <w:szCs w:val="22"/>
                <w:lang w:val="lt-LT"/>
              </w:rPr>
              <w:t xml:space="preserve"> %</w:t>
            </w:r>
            <w:r w:rsidRPr="009002BE">
              <w:rPr>
                <w:sz w:val="22"/>
                <w:szCs w:val="22"/>
                <w:lang w:val="lt-LT"/>
              </w:rPr>
              <w:t> </w:t>
            </w:r>
            <w:r w:rsidR="007E7208" w:rsidRPr="00211E3B">
              <w:rPr>
                <w:sz w:val="22"/>
                <w:szCs w:val="22"/>
                <w:lang w:val="lt-LT"/>
              </w:rPr>
              <w:t>P</w:t>
            </w:r>
            <w:r w:rsidRPr="009002BE">
              <w:rPr>
                <w:sz w:val="22"/>
                <w:szCs w:val="22"/>
                <w:lang w:val="lt-LT"/>
              </w:rPr>
              <w:t>I</w:t>
            </w:r>
          </w:p>
        </w:tc>
        <w:tc>
          <w:tcPr>
            <w:tcW w:w="1666" w:type="pct"/>
            <w:vAlign w:val="center"/>
          </w:tcPr>
          <w:p w14:paraId="7B31471B" w14:textId="77777777" w:rsidR="009002BE" w:rsidRPr="009002BE" w:rsidRDefault="009002BE" w:rsidP="009002BE">
            <w:pPr>
              <w:tabs>
                <w:tab w:val="left" w:pos="567"/>
              </w:tabs>
              <w:autoSpaceDE w:val="0"/>
              <w:autoSpaceDN w:val="0"/>
              <w:adjustRightInd w:val="0"/>
              <w:jc w:val="center"/>
              <w:rPr>
                <w:sz w:val="22"/>
                <w:szCs w:val="22"/>
                <w:lang w:val="lt-LT"/>
              </w:rPr>
            </w:pPr>
          </w:p>
        </w:tc>
        <w:tc>
          <w:tcPr>
            <w:tcW w:w="1668" w:type="pct"/>
            <w:vAlign w:val="center"/>
          </w:tcPr>
          <w:p w14:paraId="2C81DDC2" w14:textId="51BDBD90" w:rsidR="009002BE" w:rsidRPr="009002BE" w:rsidRDefault="009002BE" w:rsidP="009002BE">
            <w:pPr>
              <w:tabs>
                <w:tab w:val="left" w:pos="567"/>
              </w:tabs>
              <w:autoSpaceDE w:val="0"/>
              <w:autoSpaceDN w:val="0"/>
              <w:adjustRightInd w:val="0"/>
              <w:jc w:val="center"/>
              <w:rPr>
                <w:sz w:val="22"/>
                <w:szCs w:val="22"/>
                <w:lang w:val="lt-LT"/>
              </w:rPr>
            </w:pPr>
            <w:r w:rsidRPr="009002BE">
              <w:rPr>
                <w:sz w:val="22"/>
                <w:szCs w:val="22"/>
                <w:lang w:val="lt-LT"/>
              </w:rPr>
              <w:t>(8</w:t>
            </w:r>
            <w:r w:rsidRPr="00211E3B">
              <w:rPr>
                <w:sz w:val="22"/>
                <w:szCs w:val="22"/>
                <w:lang w:val="lt-LT"/>
              </w:rPr>
              <w:t>,</w:t>
            </w:r>
            <w:r w:rsidRPr="009002BE">
              <w:rPr>
                <w:sz w:val="22"/>
                <w:szCs w:val="22"/>
                <w:lang w:val="lt-LT"/>
              </w:rPr>
              <w:t>1, 84</w:t>
            </w:r>
            <w:r w:rsidRPr="00211E3B">
              <w:rPr>
                <w:sz w:val="22"/>
                <w:szCs w:val="22"/>
                <w:lang w:val="lt-LT"/>
              </w:rPr>
              <w:t>,</w:t>
            </w:r>
            <w:r w:rsidRPr="009002BE">
              <w:rPr>
                <w:sz w:val="22"/>
                <w:szCs w:val="22"/>
                <w:lang w:val="lt-LT"/>
              </w:rPr>
              <w:t>7)</w:t>
            </w:r>
          </w:p>
        </w:tc>
      </w:tr>
      <w:tr w:rsidR="009002BE" w:rsidRPr="009002BE" w14:paraId="4D1493BB" w14:textId="77777777" w:rsidTr="009002BE">
        <w:tc>
          <w:tcPr>
            <w:tcW w:w="1666" w:type="pct"/>
          </w:tcPr>
          <w:p w14:paraId="6284AF42" w14:textId="7C840E00" w:rsidR="009002BE" w:rsidRPr="009002BE" w:rsidRDefault="007E7208" w:rsidP="00B675DD">
            <w:pPr>
              <w:tabs>
                <w:tab w:val="left" w:pos="567"/>
              </w:tabs>
              <w:autoSpaceDE w:val="0"/>
              <w:autoSpaceDN w:val="0"/>
              <w:adjustRightInd w:val="0"/>
              <w:ind w:left="317"/>
              <w:rPr>
                <w:sz w:val="22"/>
                <w:szCs w:val="22"/>
                <w:lang w:val="lt-LT"/>
              </w:rPr>
            </w:pPr>
            <w:r w:rsidRPr="00211E3B">
              <w:rPr>
                <w:sz w:val="22"/>
                <w:szCs w:val="22"/>
                <w:lang w:val="lt-LT"/>
              </w:rPr>
              <w:t>p </w:t>
            </w:r>
            <w:r w:rsidR="00B675DD">
              <w:rPr>
                <w:sz w:val="22"/>
                <w:szCs w:val="22"/>
                <w:lang w:val="lt-LT"/>
              </w:rPr>
              <w:t>reikšmė</w:t>
            </w:r>
          </w:p>
        </w:tc>
        <w:tc>
          <w:tcPr>
            <w:tcW w:w="1666" w:type="pct"/>
            <w:vAlign w:val="center"/>
          </w:tcPr>
          <w:p w14:paraId="174462CD" w14:textId="77777777" w:rsidR="009002BE" w:rsidRPr="009002BE" w:rsidRDefault="009002BE" w:rsidP="009002BE">
            <w:pPr>
              <w:tabs>
                <w:tab w:val="left" w:pos="567"/>
              </w:tabs>
              <w:autoSpaceDE w:val="0"/>
              <w:autoSpaceDN w:val="0"/>
              <w:adjustRightInd w:val="0"/>
              <w:jc w:val="center"/>
              <w:rPr>
                <w:sz w:val="22"/>
                <w:szCs w:val="22"/>
                <w:lang w:val="lt-LT"/>
              </w:rPr>
            </w:pPr>
          </w:p>
        </w:tc>
        <w:tc>
          <w:tcPr>
            <w:tcW w:w="1668" w:type="pct"/>
            <w:vAlign w:val="center"/>
          </w:tcPr>
          <w:p w14:paraId="358F148F" w14:textId="5D950058" w:rsidR="009002BE" w:rsidRPr="009002BE" w:rsidRDefault="009002BE" w:rsidP="009002BE">
            <w:pPr>
              <w:tabs>
                <w:tab w:val="left" w:pos="567"/>
              </w:tabs>
              <w:autoSpaceDE w:val="0"/>
              <w:autoSpaceDN w:val="0"/>
              <w:adjustRightInd w:val="0"/>
              <w:jc w:val="center"/>
              <w:rPr>
                <w:sz w:val="22"/>
                <w:szCs w:val="22"/>
                <w:lang w:val="lt-LT"/>
              </w:rPr>
            </w:pPr>
            <w:r w:rsidRPr="009002BE">
              <w:rPr>
                <w:sz w:val="22"/>
                <w:szCs w:val="22"/>
                <w:lang w:val="lt-LT"/>
              </w:rPr>
              <w:t>&lt;</w:t>
            </w:r>
            <w:r w:rsidR="00254E8E" w:rsidRPr="00211E3B">
              <w:rPr>
                <w:sz w:val="22"/>
                <w:szCs w:val="22"/>
                <w:lang w:val="lt-LT"/>
              </w:rPr>
              <w:t> </w:t>
            </w:r>
            <w:r w:rsidRPr="009002BE">
              <w:rPr>
                <w:sz w:val="22"/>
                <w:szCs w:val="22"/>
                <w:lang w:val="lt-LT"/>
              </w:rPr>
              <w:t>0</w:t>
            </w:r>
            <w:r w:rsidRPr="00211E3B">
              <w:rPr>
                <w:sz w:val="22"/>
                <w:szCs w:val="22"/>
                <w:lang w:val="lt-LT"/>
              </w:rPr>
              <w:t>,</w:t>
            </w:r>
            <w:r w:rsidRPr="009002BE">
              <w:rPr>
                <w:sz w:val="22"/>
                <w:szCs w:val="22"/>
                <w:lang w:val="lt-LT"/>
              </w:rPr>
              <w:t>05</w:t>
            </w:r>
          </w:p>
        </w:tc>
      </w:tr>
    </w:tbl>
    <w:p w14:paraId="4C936C45" w14:textId="6B075E73" w:rsidR="005E424F" w:rsidRPr="00211E3B" w:rsidRDefault="005E424F" w:rsidP="005E424F">
      <w:pPr>
        <w:ind w:right="-142"/>
        <w:rPr>
          <w:snapToGrid w:val="0"/>
          <w:sz w:val="22"/>
          <w:szCs w:val="24"/>
        </w:rPr>
      </w:pPr>
      <w:r w:rsidRPr="00211E3B">
        <w:rPr>
          <w:snapToGrid w:val="0"/>
          <w:sz w:val="22"/>
          <w:szCs w:val="24"/>
          <w:vertAlign w:val="superscript"/>
        </w:rPr>
        <w:t>1</w:t>
      </w:r>
      <w:r w:rsidR="007E7208" w:rsidRPr="00211E3B">
        <w:rPr>
          <w:snapToGrid w:val="0"/>
          <w:sz w:val="20"/>
          <w:szCs w:val="22"/>
        </w:rPr>
        <w:t xml:space="preserve"> </w:t>
      </w:r>
      <w:r w:rsidRPr="00211E3B">
        <w:rPr>
          <w:snapToGrid w:val="0"/>
          <w:sz w:val="20"/>
          <w:szCs w:val="22"/>
        </w:rPr>
        <w:t xml:space="preserve">Remiantis mišriu kartotinių matavimų modeliu (angl. </w:t>
      </w:r>
      <w:r w:rsidRPr="00211E3B">
        <w:rPr>
          <w:i/>
          <w:iCs/>
          <w:snapToGrid w:val="0"/>
          <w:sz w:val="20"/>
          <w:szCs w:val="22"/>
        </w:rPr>
        <w:t>Mixed Model for Repeated Measures</w:t>
      </w:r>
      <w:r w:rsidRPr="00211E3B">
        <w:rPr>
          <w:snapToGrid w:val="0"/>
          <w:sz w:val="20"/>
          <w:szCs w:val="22"/>
        </w:rPr>
        <w:t>, MMRM), įtraukus</w:t>
      </w:r>
      <w:r w:rsidR="007E7208" w:rsidRPr="00211E3B">
        <w:rPr>
          <w:snapToGrid w:val="0"/>
          <w:sz w:val="20"/>
          <w:szCs w:val="22"/>
        </w:rPr>
        <w:t xml:space="preserve"> </w:t>
      </w:r>
      <w:r w:rsidRPr="00211E3B">
        <w:rPr>
          <w:snapToGrid w:val="0"/>
          <w:sz w:val="20"/>
          <w:szCs w:val="22"/>
        </w:rPr>
        <w:t>fiksuotų kategorinių ATA buvimo, apsilankymo, gydymo ir apsilankymų tarpusavio sąveikos, pradinio</w:t>
      </w:r>
      <w:r w:rsidR="007E7208" w:rsidRPr="00211E3B">
        <w:rPr>
          <w:snapToGrid w:val="0"/>
          <w:sz w:val="20"/>
          <w:szCs w:val="22"/>
        </w:rPr>
        <w:t xml:space="preserve"> </w:t>
      </w:r>
      <w:r w:rsidRPr="00211E3B">
        <w:rPr>
          <w:snapToGrid w:val="0"/>
          <w:sz w:val="20"/>
          <w:szCs w:val="22"/>
        </w:rPr>
        <w:t>vertinimo ir apsilankymų tarpusavio sąveikos, amžiaus, lyties ir ūgio veiksnių poveikį. Apsilankymas buvo</w:t>
      </w:r>
      <w:r w:rsidR="007E7208" w:rsidRPr="00211E3B">
        <w:rPr>
          <w:snapToGrid w:val="0"/>
          <w:sz w:val="20"/>
          <w:szCs w:val="22"/>
        </w:rPr>
        <w:t xml:space="preserve"> </w:t>
      </w:r>
      <w:r w:rsidRPr="00211E3B">
        <w:rPr>
          <w:snapToGrid w:val="0"/>
          <w:sz w:val="20"/>
          <w:szCs w:val="22"/>
        </w:rPr>
        <w:t>kartotinio matavimo parametras. Paklaidos pacientų imtyje modeliuotos taikant nestruktūrinę dispersijų</w:t>
      </w:r>
      <w:r w:rsidR="007E7208" w:rsidRPr="00211E3B">
        <w:rPr>
          <w:snapToGrid w:val="0"/>
          <w:sz w:val="20"/>
          <w:szCs w:val="22"/>
        </w:rPr>
        <w:noBreakHyphen/>
      </w:r>
      <w:r w:rsidRPr="00211E3B">
        <w:rPr>
          <w:snapToGrid w:val="0"/>
          <w:sz w:val="20"/>
          <w:szCs w:val="22"/>
        </w:rPr>
        <w:t>kovariacijų matricą. Koreguotasis vidurkis buvo pagrįstas visų pagal šį analizės modelį vertintų pacientų</w:t>
      </w:r>
      <w:r w:rsidR="007E7208" w:rsidRPr="00211E3B">
        <w:rPr>
          <w:snapToGrid w:val="0"/>
          <w:sz w:val="20"/>
          <w:szCs w:val="22"/>
        </w:rPr>
        <w:t xml:space="preserve"> </w:t>
      </w:r>
      <w:r w:rsidRPr="00211E3B">
        <w:rPr>
          <w:snapToGrid w:val="0"/>
          <w:sz w:val="20"/>
          <w:szCs w:val="22"/>
        </w:rPr>
        <w:t xml:space="preserve">duomenimis (ne tik tų pacientų, kurių pradiniai ir matavimo </w:t>
      </w:r>
      <w:r w:rsidR="00D7087C" w:rsidRPr="00211E3B">
        <w:rPr>
          <w:snapToGrid w:val="0"/>
          <w:sz w:val="20"/>
          <w:szCs w:val="22"/>
        </w:rPr>
        <w:t>52 s</w:t>
      </w:r>
      <w:r w:rsidRPr="00211E3B">
        <w:rPr>
          <w:snapToGrid w:val="0"/>
          <w:sz w:val="20"/>
          <w:szCs w:val="22"/>
        </w:rPr>
        <w:t>avaitę duomenys nustatyti).</w:t>
      </w:r>
    </w:p>
    <w:p w14:paraId="46EA8CF7" w14:textId="77777777" w:rsidR="007E7208" w:rsidRPr="00211E3B" w:rsidRDefault="007E7208" w:rsidP="005E424F">
      <w:pPr>
        <w:ind w:right="-142"/>
        <w:rPr>
          <w:snapToGrid w:val="0"/>
          <w:sz w:val="22"/>
          <w:szCs w:val="24"/>
        </w:rPr>
      </w:pPr>
    </w:p>
    <w:p w14:paraId="4EAD8435" w14:textId="03DF6AC5" w:rsidR="005E424F" w:rsidRPr="00211E3B" w:rsidRDefault="005E424F" w:rsidP="005E424F">
      <w:pPr>
        <w:ind w:right="-142"/>
        <w:rPr>
          <w:b/>
          <w:bCs/>
          <w:snapToGrid w:val="0"/>
          <w:sz w:val="22"/>
          <w:szCs w:val="24"/>
        </w:rPr>
      </w:pPr>
      <w:r w:rsidRPr="00211E3B">
        <w:rPr>
          <w:b/>
          <w:bCs/>
          <w:snapToGrid w:val="0"/>
          <w:sz w:val="22"/>
          <w:szCs w:val="24"/>
        </w:rPr>
        <w:t>12</w:t>
      </w:r>
      <w:r w:rsidR="007E7208" w:rsidRPr="00211E3B">
        <w:rPr>
          <w:b/>
          <w:bCs/>
          <w:snapToGrid w:val="0"/>
          <w:sz w:val="22"/>
          <w:szCs w:val="24"/>
        </w:rPr>
        <w:t> </w:t>
      </w:r>
      <w:r w:rsidRPr="00211E3B">
        <w:rPr>
          <w:b/>
          <w:bCs/>
          <w:snapToGrid w:val="0"/>
          <w:sz w:val="22"/>
          <w:szCs w:val="24"/>
        </w:rPr>
        <w:t>lentelė.</w:t>
      </w:r>
      <w:r w:rsidR="007E7208" w:rsidRPr="00211E3B">
        <w:rPr>
          <w:b/>
          <w:bCs/>
          <w:snapToGrid w:val="0"/>
          <w:sz w:val="22"/>
          <w:szCs w:val="24"/>
        </w:rPr>
        <w:tab/>
      </w:r>
      <w:r w:rsidRPr="00211E3B">
        <w:rPr>
          <w:b/>
          <w:bCs/>
          <w:snapToGrid w:val="0"/>
          <w:sz w:val="22"/>
          <w:szCs w:val="24"/>
        </w:rPr>
        <w:t xml:space="preserve">Metinis FGPT sumažėjimo per </w:t>
      </w:r>
      <w:r w:rsidR="00D7087C" w:rsidRPr="00211E3B">
        <w:rPr>
          <w:b/>
          <w:bCs/>
          <w:snapToGrid w:val="0"/>
          <w:sz w:val="22"/>
          <w:szCs w:val="24"/>
        </w:rPr>
        <w:t>52 s</w:t>
      </w:r>
      <w:r w:rsidRPr="00211E3B">
        <w:rPr>
          <w:b/>
          <w:bCs/>
          <w:snapToGrid w:val="0"/>
          <w:sz w:val="22"/>
          <w:szCs w:val="24"/>
        </w:rPr>
        <w:t>avaites rodmuo (</w:t>
      </w:r>
      <w:r w:rsidR="0085390D">
        <w:rPr>
          <w:b/>
          <w:bCs/>
          <w:snapToGrid w:val="0"/>
          <w:sz w:val="22"/>
          <w:szCs w:val="24"/>
        </w:rPr>
        <w:t xml:space="preserve"> %</w:t>
      </w:r>
      <w:r w:rsidRPr="00211E3B">
        <w:rPr>
          <w:b/>
          <w:bCs/>
          <w:snapToGrid w:val="0"/>
          <w:sz w:val="22"/>
          <w:szCs w:val="24"/>
        </w:rPr>
        <w:t xml:space="preserve"> nuo numatytos)</w:t>
      </w:r>
    </w:p>
    <w:p w14:paraId="7DF1494C" w14:textId="77777777" w:rsidR="009002BE" w:rsidRPr="009002BE" w:rsidRDefault="009002BE" w:rsidP="009002BE">
      <w:pPr>
        <w:keepNext/>
        <w:tabs>
          <w:tab w:val="left" w:pos="567"/>
        </w:tabs>
        <w:autoSpaceDE w:val="0"/>
        <w:autoSpaceDN w:val="0"/>
        <w:adjustRightInd w:val="0"/>
        <w:ind w:left="1134" w:hanging="1134"/>
        <w:rPr>
          <w:sz w:val="22"/>
          <w:szCs w:val="22"/>
        </w:rPr>
      </w:pPr>
    </w:p>
    <w:tbl>
      <w:tblPr>
        <w:tblStyle w:val="Lentelstinklelis"/>
        <w:tblW w:w="4994" w:type="pct"/>
        <w:tblLook w:val="04A0" w:firstRow="1" w:lastRow="0" w:firstColumn="1" w:lastColumn="0" w:noHBand="0" w:noVBand="1"/>
      </w:tblPr>
      <w:tblGrid>
        <w:gridCol w:w="3015"/>
        <w:gridCol w:w="3015"/>
        <w:gridCol w:w="3019"/>
      </w:tblGrid>
      <w:tr w:rsidR="009002BE" w:rsidRPr="009002BE" w14:paraId="2E25881D" w14:textId="77777777" w:rsidTr="009002BE">
        <w:trPr>
          <w:tblHeader/>
        </w:trPr>
        <w:tc>
          <w:tcPr>
            <w:tcW w:w="1666" w:type="pct"/>
          </w:tcPr>
          <w:p w14:paraId="2C95D123" w14:textId="77777777" w:rsidR="009002BE" w:rsidRPr="009002BE" w:rsidRDefault="009002BE" w:rsidP="009002BE">
            <w:pPr>
              <w:tabs>
                <w:tab w:val="left" w:pos="567"/>
              </w:tabs>
              <w:autoSpaceDE w:val="0"/>
              <w:autoSpaceDN w:val="0"/>
              <w:adjustRightInd w:val="0"/>
              <w:rPr>
                <w:sz w:val="22"/>
                <w:szCs w:val="22"/>
                <w:lang w:val="lt-LT"/>
              </w:rPr>
            </w:pPr>
          </w:p>
        </w:tc>
        <w:tc>
          <w:tcPr>
            <w:tcW w:w="1666" w:type="pct"/>
          </w:tcPr>
          <w:p w14:paraId="0A84EE2E" w14:textId="25DFCC9E" w:rsidR="009002BE" w:rsidRPr="009002BE" w:rsidRDefault="009002BE" w:rsidP="009002BE">
            <w:pPr>
              <w:tabs>
                <w:tab w:val="left" w:pos="567"/>
              </w:tabs>
              <w:autoSpaceDE w:val="0"/>
              <w:autoSpaceDN w:val="0"/>
              <w:adjustRightInd w:val="0"/>
              <w:jc w:val="center"/>
              <w:rPr>
                <w:sz w:val="22"/>
                <w:szCs w:val="22"/>
                <w:lang w:val="lt-LT"/>
              </w:rPr>
            </w:pPr>
            <w:r w:rsidRPr="00211E3B">
              <w:rPr>
                <w:sz w:val="22"/>
                <w:szCs w:val="22"/>
                <w:lang w:val="lt-LT"/>
              </w:rPr>
              <w:t>Placebas</w:t>
            </w:r>
          </w:p>
        </w:tc>
        <w:tc>
          <w:tcPr>
            <w:tcW w:w="1668" w:type="pct"/>
          </w:tcPr>
          <w:p w14:paraId="5280B17A" w14:textId="02D8132A" w:rsidR="009002BE" w:rsidRPr="009002BE" w:rsidRDefault="009002BE" w:rsidP="009002BE">
            <w:pPr>
              <w:tabs>
                <w:tab w:val="left" w:pos="567"/>
              </w:tabs>
              <w:autoSpaceDE w:val="0"/>
              <w:autoSpaceDN w:val="0"/>
              <w:adjustRightInd w:val="0"/>
              <w:jc w:val="center"/>
              <w:rPr>
                <w:sz w:val="22"/>
                <w:szCs w:val="22"/>
                <w:lang w:val="lt-LT"/>
              </w:rPr>
            </w:pPr>
            <w:r w:rsidRPr="00211E3B">
              <w:rPr>
                <w:sz w:val="22"/>
                <w:szCs w:val="22"/>
                <w:lang w:val="lt-LT"/>
              </w:rPr>
              <w:t>Nintedanibas 150</w:t>
            </w:r>
            <w:r w:rsidR="0085390D">
              <w:rPr>
                <w:sz w:val="22"/>
                <w:szCs w:val="22"/>
                <w:lang w:val="lt-LT"/>
              </w:rPr>
              <w:t> mg</w:t>
            </w:r>
            <w:r w:rsidRPr="00211E3B">
              <w:rPr>
                <w:sz w:val="22"/>
                <w:szCs w:val="22"/>
                <w:lang w:val="lt-LT"/>
              </w:rPr>
              <w:t xml:space="preserve"> du kartus per parą</w:t>
            </w:r>
          </w:p>
        </w:tc>
      </w:tr>
      <w:tr w:rsidR="009002BE" w:rsidRPr="009002BE" w14:paraId="4D7B73C9" w14:textId="77777777" w:rsidTr="009002BE">
        <w:tc>
          <w:tcPr>
            <w:tcW w:w="1666" w:type="pct"/>
          </w:tcPr>
          <w:p w14:paraId="70E37E80" w14:textId="1F1F0603" w:rsidR="009002BE" w:rsidRPr="009002BE" w:rsidRDefault="009002BE" w:rsidP="009002BE">
            <w:pPr>
              <w:tabs>
                <w:tab w:val="left" w:pos="567"/>
              </w:tabs>
              <w:autoSpaceDE w:val="0"/>
              <w:autoSpaceDN w:val="0"/>
              <w:adjustRightInd w:val="0"/>
              <w:rPr>
                <w:sz w:val="22"/>
                <w:szCs w:val="22"/>
                <w:lang w:val="lt-LT"/>
              </w:rPr>
            </w:pPr>
            <w:r w:rsidRPr="00211E3B">
              <w:rPr>
                <w:sz w:val="22"/>
                <w:szCs w:val="22"/>
                <w:lang w:val="lt-LT"/>
              </w:rPr>
              <w:t>Analizuotų pacientų skaičius</w:t>
            </w:r>
          </w:p>
        </w:tc>
        <w:tc>
          <w:tcPr>
            <w:tcW w:w="1666" w:type="pct"/>
            <w:vAlign w:val="center"/>
          </w:tcPr>
          <w:p w14:paraId="6278D6A8" w14:textId="77777777" w:rsidR="009002BE" w:rsidRPr="009002BE" w:rsidRDefault="009002BE" w:rsidP="009002BE">
            <w:pPr>
              <w:tabs>
                <w:tab w:val="left" w:pos="567"/>
              </w:tabs>
              <w:autoSpaceDE w:val="0"/>
              <w:autoSpaceDN w:val="0"/>
              <w:adjustRightInd w:val="0"/>
              <w:jc w:val="center"/>
              <w:rPr>
                <w:sz w:val="22"/>
                <w:szCs w:val="22"/>
                <w:lang w:val="lt-LT"/>
              </w:rPr>
            </w:pPr>
            <w:r w:rsidRPr="009002BE">
              <w:rPr>
                <w:sz w:val="22"/>
                <w:szCs w:val="22"/>
                <w:lang w:val="lt-LT"/>
              </w:rPr>
              <w:t>288</w:t>
            </w:r>
          </w:p>
        </w:tc>
        <w:tc>
          <w:tcPr>
            <w:tcW w:w="1668" w:type="pct"/>
            <w:vAlign w:val="center"/>
          </w:tcPr>
          <w:p w14:paraId="50CFC312" w14:textId="77777777" w:rsidR="009002BE" w:rsidRPr="009002BE" w:rsidRDefault="009002BE" w:rsidP="009002BE">
            <w:pPr>
              <w:tabs>
                <w:tab w:val="left" w:pos="567"/>
              </w:tabs>
              <w:autoSpaceDE w:val="0"/>
              <w:autoSpaceDN w:val="0"/>
              <w:adjustRightInd w:val="0"/>
              <w:jc w:val="center"/>
              <w:rPr>
                <w:sz w:val="22"/>
                <w:szCs w:val="22"/>
                <w:lang w:val="lt-LT"/>
              </w:rPr>
            </w:pPr>
            <w:r w:rsidRPr="009002BE">
              <w:rPr>
                <w:sz w:val="22"/>
                <w:szCs w:val="22"/>
                <w:lang w:val="lt-LT"/>
              </w:rPr>
              <w:t>287</w:t>
            </w:r>
          </w:p>
        </w:tc>
      </w:tr>
      <w:tr w:rsidR="009002BE" w:rsidRPr="009002BE" w14:paraId="6744B5B2" w14:textId="77777777" w:rsidTr="009002BE">
        <w:tc>
          <w:tcPr>
            <w:tcW w:w="1666" w:type="pct"/>
          </w:tcPr>
          <w:p w14:paraId="1415D597" w14:textId="15A2855E" w:rsidR="009002BE" w:rsidRPr="009002BE" w:rsidRDefault="009002BE" w:rsidP="009002BE">
            <w:pPr>
              <w:tabs>
                <w:tab w:val="left" w:pos="567"/>
              </w:tabs>
              <w:autoSpaceDE w:val="0"/>
              <w:autoSpaceDN w:val="0"/>
              <w:adjustRightInd w:val="0"/>
              <w:rPr>
                <w:sz w:val="22"/>
                <w:szCs w:val="22"/>
                <w:lang w:val="lt-LT"/>
              </w:rPr>
            </w:pPr>
            <w:r w:rsidRPr="00211E3B">
              <w:rPr>
                <w:sz w:val="22"/>
                <w:szCs w:val="22"/>
                <w:lang w:val="lt-LT"/>
              </w:rPr>
              <w:t xml:space="preserve">Sumažėjimo per </w:t>
            </w:r>
            <w:r w:rsidR="00D7087C" w:rsidRPr="00211E3B">
              <w:rPr>
                <w:sz w:val="22"/>
                <w:szCs w:val="22"/>
                <w:lang w:val="lt-LT"/>
              </w:rPr>
              <w:t>52 s</w:t>
            </w:r>
            <w:r w:rsidRPr="00211E3B">
              <w:rPr>
                <w:sz w:val="22"/>
                <w:szCs w:val="22"/>
                <w:lang w:val="lt-LT"/>
              </w:rPr>
              <w:t>avaites rodmuo</w:t>
            </w:r>
            <w:r w:rsidRPr="00211E3B">
              <w:rPr>
                <w:sz w:val="22"/>
                <w:szCs w:val="22"/>
                <w:vertAlign w:val="superscript"/>
                <w:lang w:val="lt-LT"/>
              </w:rPr>
              <w:t>1</w:t>
            </w:r>
            <w:r w:rsidRPr="00211E3B">
              <w:rPr>
                <w:sz w:val="22"/>
                <w:szCs w:val="22"/>
                <w:lang w:val="lt-LT"/>
              </w:rPr>
              <w:t xml:space="preserve"> (SP)</w:t>
            </w:r>
          </w:p>
        </w:tc>
        <w:tc>
          <w:tcPr>
            <w:tcW w:w="1666" w:type="pct"/>
            <w:vAlign w:val="bottom"/>
          </w:tcPr>
          <w:p w14:paraId="24AFC717" w14:textId="4B06D8C8" w:rsidR="009002BE" w:rsidRPr="009002BE" w:rsidRDefault="009002BE" w:rsidP="009002BE">
            <w:pPr>
              <w:tabs>
                <w:tab w:val="left" w:pos="567"/>
              </w:tabs>
              <w:autoSpaceDE w:val="0"/>
              <w:autoSpaceDN w:val="0"/>
              <w:adjustRightInd w:val="0"/>
              <w:jc w:val="center"/>
              <w:rPr>
                <w:sz w:val="22"/>
                <w:szCs w:val="22"/>
                <w:lang w:val="lt-LT"/>
              </w:rPr>
            </w:pPr>
            <w:r w:rsidRPr="009002BE">
              <w:rPr>
                <w:sz w:val="22"/>
                <w:szCs w:val="22"/>
                <w:lang w:val="lt-LT"/>
              </w:rPr>
              <w:t>-2</w:t>
            </w:r>
            <w:r w:rsidRPr="00211E3B">
              <w:rPr>
                <w:sz w:val="22"/>
                <w:szCs w:val="22"/>
                <w:lang w:val="lt-LT"/>
              </w:rPr>
              <w:t>,</w:t>
            </w:r>
            <w:r w:rsidRPr="009002BE">
              <w:rPr>
                <w:sz w:val="22"/>
                <w:szCs w:val="22"/>
                <w:lang w:val="lt-LT"/>
              </w:rPr>
              <w:t>6 (0</w:t>
            </w:r>
            <w:r w:rsidRPr="00211E3B">
              <w:rPr>
                <w:sz w:val="22"/>
                <w:szCs w:val="22"/>
                <w:lang w:val="lt-LT"/>
              </w:rPr>
              <w:t>,</w:t>
            </w:r>
            <w:r w:rsidRPr="009002BE">
              <w:rPr>
                <w:sz w:val="22"/>
                <w:szCs w:val="22"/>
                <w:lang w:val="lt-LT"/>
              </w:rPr>
              <w:t>4)</w:t>
            </w:r>
          </w:p>
        </w:tc>
        <w:tc>
          <w:tcPr>
            <w:tcW w:w="1668" w:type="pct"/>
            <w:vAlign w:val="bottom"/>
          </w:tcPr>
          <w:p w14:paraId="067590E8" w14:textId="033FFBA0" w:rsidR="009002BE" w:rsidRPr="009002BE" w:rsidRDefault="009002BE" w:rsidP="009002BE">
            <w:pPr>
              <w:tabs>
                <w:tab w:val="left" w:pos="567"/>
              </w:tabs>
              <w:autoSpaceDE w:val="0"/>
              <w:autoSpaceDN w:val="0"/>
              <w:adjustRightInd w:val="0"/>
              <w:jc w:val="center"/>
              <w:rPr>
                <w:sz w:val="22"/>
                <w:szCs w:val="22"/>
                <w:lang w:val="lt-LT"/>
              </w:rPr>
            </w:pPr>
            <w:r w:rsidRPr="009002BE">
              <w:rPr>
                <w:sz w:val="22"/>
                <w:szCs w:val="22"/>
                <w:lang w:val="lt-LT"/>
              </w:rPr>
              <w:t>-1</w:t>
            </w:r>
            <w:r w:rsidRPr="00211E3B">
              <w:rPr>
                <w:sz w:val="22"/>
                <w:szCs w:val="22"/>
                <w:lang w:val="lt-LT"/>
              </w:rPr>
              <w:t>,</w:t>
            </w:r>
            <w:r w:rsidRPr="009002BE">
              <w:rPr>
                <w:sz w:val="22"/>
                <w:szCs w:val="22"/>
                <w:lang w:val="lt-LT"/>
              </w:rPr>
              <w:t>4 (0</w:t>
            </w:r>
            <w:r w:rsidRPr="00211E3B">
              <w:rPr>
                <w:sz w:val="22"/>
                <w:szCs w:val="22"/>
                <w:lang w:val="lt-LT"/>
              </w:rPr>
              <w:t>,</w:t>
            </w:r>
            <w:r w:rsidRPr="009002BE">
              <w:rPr>
                <w:sz w:val="22"/>
                <w:szCs w:val="22"/>
                <w:lang w:val="lt-LT"/>
              </w:rPr>
              <w:t>4)</w:t>
            </w:r>
          </w:p>
        </w:tc>
      </w:tr>
      <w:tr w:rsidR="009002BE" w:rsidRPr="009002BE" w14:paraId="35C3EE8C" w14:textId="77777777" w:rsidTr="00256DA0">
        <w:tc>
          <w:tcPr>
            <w:tcW w:w="5000" w:type="pct"/>
            <w:gridSpan w:val="3"/>
          </w:tcPr>
          <w:p w14:paraId="51FB6E51" w14:textId="602980BA" w:rsidR="009002BE" w:rsidRPr="009002BE" w:rsidRDefault="007E7208" w:rsidP="009002BE">
            <w:pPr>
              <w:tabs>
                <w:tab w:val="left" w:pos="567"/>
              </w:tabs>
              <w:autoSpaceDE w:val="0"/>
              <w:autoSpaceDN w:val="0"/>
              <w:adjustRightInd w:val="0"/>
              <w:rPr>
                <w:sz w:val="22"/>
                <w:szCs w:val="22"/>
                <w:lang w:val="lt-LT"/>
              </w:rPr>
            </w:pPr>
            <w:r w:rsidRPr="00211E3B">
              <w:rPr>
                <w:sz w:val="22"/>
                <w:szCs w:val="22"/>
                <w:lang w:val="lt-LT"/>
              </w:rPr>
              <w:t>Palyginimas su placebu</w:t>
            </w:r>
          </w:p>
        </w:tc>
      </w:tr>
      <w:tr w:rsidR="009002BE" w:rsidRPr="009002BE" w14:paraId="251944F8" w14:textId="77777777" w:rsidTr="009002BE">
        <w:tc>
          <w:tcPr>
            <w:tcW w:w="1666" w:type="pct"/>
          </w:tcPr>
          <w:p w14:paraId="38A33186" w14:textId="13F7EDA9" w:rsidR="009002BE" w:rsidRPr="009002BE" w:rsidRDefault="009002BE" w:rsidP="009002BE">
            <w:pPr>
              <w:tabs>
                <w:tab w:val="left" w:pos="567"/>
              </w:tabs>
              <w:autoSpaceDE w:val="0"/>
              <w:autoSpaceDN w:val="0"/>
              <w:adjustRightInd w:val="0"/>
              <w:rPr>
                <w:sz w:val="22"/>
                <w:szCs w:val="22"/>
                <w:lang w:val="lt-LT"/>
              </w:rPr>
            </w:pPr>
            <w:r w:rsidRPr="00211E3B">
              <w:rPr>
                <w:sz w:val="22"/>
                <w:szCs w:val="22"/>
                <w:lang w:val="lt-LT"/>
              </w:rPr>
              <w:t>Skirtumas</w:t>
            </w:r>
            <w:r w:rsidRPr="00211E3B">
              <w:rPr>
                <w:sz w:val="22"/>
                <w:szCs w:val="22"/>
                <w:vertAlign w:val="superscript"/>
                <w:lang w:val="lt-LT"/>
              </w:rPr>
              <w:t>1</w:t>
            </w:r>
          </w:p>
        </w:tc>
        <w:tc>
          <w:tcPr>
            <w:tcW w:w="1666" w:type="pct"/>
            <w:vAlign w:val="center"/>
          </w:tcPr>
          <w:p w14:paraId="67AFB227" w14:textId="77777777" w:rsidR="009002BE" w:rsidRPr="009002BE" w:rsidRDefault="009002BE" w:rsidP="009002BE">
            <w:pPr>
              <w:tabs>
                <w:tab w:val="left" w:pos="567"/>
              </w:tabs>
              <w:autoSpaceDE w:val="0"/>
              <w:autoSpaceDN w:val="0"/>
              <w:adjustRightInd w:val="0"/>
              <w:jc w:val="center"/>
              <w:rPr>
                <w:sz w:val="22"/>
                <w:szCs w:val="22"/>
                <w:lang w:val="lt-LT"/>
              </w:rPr>
            </w:pPr>
          </w:p>
        </w:tc>
        <w:tc>
          <w:tcPr>
            <w:tcW w:w="1668" w:type="pct"/>
            <w:vAlign w:val="center"/>
          </w:tcPr>
          <w:p w14:paraId="5A525F27" w14:textId="77B2C87C" w:rsidR="009002BE" w:rsidRPr="009002BE" w:rsidRDefault="009002BE" w:rsidP="009002BE">
            <w:pPr>
              <w:tabs>
                <w:tab w:val="left" w:pos="567"/>
              </w:tabs>
              <w:autoSpaceDE w:val="0"/>
              <w:autoSpaceDN w:val="0"/>
              <w:adjustRightInd w:val="0"/>
              <w:jc w:val="center"/>
              <w:rPr>
                <w:sz w:val="22"/>
                <w:szCs w:val="22"/>
                <w:lang w:val="lt-LT"/>
              </w:rPr>
            </w:pPr>
            <w:r w:rsidRPr="009002BE">
              <w:rPr>
                <w:sz w:val="22"/>
                <w:szCs w:val="22"/>
                <w:lang w:val="lt-LT"/>
              </w:rPr>
              <w:t>1</w:t>
            </w:r>
            <w:r w:rsidRPr="00211E3B">
              <w:rPr>
                <w:sz w:val="22"/>
                <w:szCs w:val="22"/>
                <w:lang w:val="lt-LT"/>
              </w:rPr>
              <w:t>,</w:t>
            </w:r>
            <w:r w:rsidRPr="009002BE">
              <w:rPr>
                <w:sz w:val="22"/>
                <w:szCs w:val="22"/>
                <w:lang w:val="lt-LT"/>
              </w:rPr>
              <w:t>15</w:t>
            </w:r>
          </w:p>
        </w:tc>
      </w:tr>
      <w:tr w:rsidR="009002BE" w:rsidRPr="009002BE" w14:paraId="634F94ED" w14:textId="77777777" w:rsidTr="00256DA0">
        <w:tc>
          <w:tcPr>
            <w:tcW w:w="1666" w:type="pct"/>
            <w:vAlign w:val="center"/>
          </w:tcPr>
          <w:p w14:paraId="5577A3DA" w14:textId="50C0B892" w:rsidR="009002BE" w:rsidRPr="009002BE" w:rsidRDefault="009002BE" w:rsidP="009002BE">
            <w:pPr>
              <w:tabs>
                <w:tab w:val="left" w:pos="567"/>
              </w:tabs>
              <w:autoSpaceDE w:val="0"/>
              <w:autoSpaceDN w:val="0"/>
              <w:adjustRightInd w:val="0"/>
              <w:ind w:left="317"/>
              <w:rPr>
                <w:sz w:val="22"/>
                <w:szCs w:val="22"/>
                <w:lang w:val="lt-LT"/>
              </w:rPr>
            </w:pPr>
            <w:r w:rsidRPr="00211E3B">
              <w:rPr>
                <w:sz w:val="22"/>
                <w:szCs w:val="22"/>
                <w:lang w:val="lt-LT"/>
              </w:rPr>
              <w:t>95</w:t>
            </w:r>
            <w:r w:rsidR="0085390D">
              <w:rPr>
                <w:sz w:val="22"/>
                <w:szCs w:val="22"/>
                <w:lang w:val="lt-LT"/>
              </w:rPr>
              <w:t xml:space="preserve"> %</w:t>
            </w:r>
            <w:r w:rsidRPr="00211E3B">
              <w:rPr>
                <w:sz w:val="22"/>
                <w:szCs w:val="22"/>
                <w:lang w:val="lt-LT"/>
              </w:rPr>
              <w:t> PI</w:t>
            </w:r>
          </w:p>
        </w:tc>
        <w:tc>
          <w:tcPr>
            <w:tcW w:w="1666" w:type="pct"/>
            <w:vAlign w:val="center"/>
          </w:tcPr>
          <w:p w14:paraId="69D5C027" w14:textId="77777777" w:rsidR="009002BE" w:rsidRPr="009002BE" w:rsidRDefault="009002BE" w:rsidP="009002BE">
            <w:pPr>
              <w:tabs>
                <w:tab w:val="left" w:pos="567"/>
              </w:tabs>
              <w:autoSpaceDE w:val="0"/>
              <w:autoSpaceDN w:val="0"/>
              <w:adjustRightInd w:val="0"/>
              <w:jc w:val="center"/>
              <w:rPr>
                <w:sz w:val="22"/>
                <w:szCs w:val="22"/>
                <w:lang w:val="lt-LT"/>
              </w:rPr>
            </w:pPr>
          </w:p>
        </w:tc>
        <w:tc>
          <w:tcPr>
            <w:tcW w:w="1668" w:type="pct"/>
            <w:vAlign w:val="center"/>
          </w:tcPr>
          <w:p w14:paraId="48398FD4" w14:textId="7B2FDE27" w:rsidR="009002BE" w:rsidRPr="009002BE" w:rsidRDefault="009002BE" w:rsidP="009002BE">
            <w:pPr>
              <w:tabs>
                <w:tab w:val="left" w:pos="567"/>
              </w:tabs>
              <w:autoSpaceDE w:val="0"/>
              <w:autoSpaceDN w:val="0"/>
              <w:adjustRightInd w:val="0"/>
              <w:jc w:val="center"/>
              <w:rPr>
                <w:sz w:val="22"/>
                <w:szCs w:val="22"/>
                <w:lang w:val="lt-LT"/>
              </w:rPr>
            </w:pPr>
            <w:r w:rsidRPr="009002BE">
              <w:rPr>
                <w:sz w:val="22"/>
                <w:szCs w:val="22"/>
                <w:lang w:val="lt-LT"/>
              </w:rPr>
              <w:t>(0</w:t>
            </w:r>
            <w:r w:rsidRPr="00211E3B">
              <w:rPr>
                <w:sz w:val="22"/>
                <w:szCs w:val="22"/>
                <w:lang w:val="lt-LT"/>
              </w:rPr>
              <w:t>,</w:t>
            </w:r>
            <w:r w:rsidRPr="009002BE">
              <w:rPr>
                <w:sz w:val="22"/>
                <w:szCs w:val="22"/>
                <w:lang w:val="lt-LT"/>
              </w:rPr>
              <w:t>09, 2</w:t>
            </w:r>
            <w:r w:rsidRPr="00211E3B">
              <w:rPr>
                <w:sz w:val="22"/>
                <w:szCs w:val="22"/>
                <w:lang w:val="lt-LT"/>
              </w:rPr>
              <w:t>,</w:t>
            </w:r>
            <w:r w:rsidRPr="009002BE">
              <w:rPr>
                <w:sz w:val="22"/>
                <w:szCs w:val="22"/>
                <w:lang w:val="lt-LT"/>
              </w:rPr>
              <w:t>21)</w:t>
            </w:r>
          </w:p>
        </w:tc>
      </w:tr>
      <w:tr w:rsidR="009002BE" w:rsidRPr="009002BE" w14:paraId="78A1BD5C" w14:textId="77777777" w:rsidTr="00256DA0">
        <w:tc>
          <w:tcPr>
            <w:tcW w:w="1666" w:type="pct"/>
            <w:vAlign w:val="center"/>
          </w:tcPr>
          <w:p w14:paraId="7F112AED" w14:textId="711A1FCA" w:rsidR="009002BE" w:rsidRPr="009002BE" w:rsidRDefault="009002BE" w:rsidP="00B675DD">
            <w:pPr>
              <w:tabs>
                <w:tab w:val="left" w:pos="567"/>
              </w:tabs>
              <w:autoSpaceDE w:val="0"/>
              <w:autoSpaceDN w:val="0"/>
              <w:adjustRightInd w:val="0"/>
              <w:ind w:left="317"/>
              <w:rPr>
                <w:sz w:val="22"/>
                <w:szCs w:val="22"/>
                <w:lang w:val="lt-LT"/>
              </w:rPr>
            </w:pPr>
            <w:r w:rsidRPr="00211E3B">
              <w:rPr>
                <w:sz w:val="22"/>
                <w:szCs w:val="22"/>
                <w:lang w:val="lt-LT"/>
              </w:rPr>
              <w:t>p </w:t>
            </w:r>
            <w:r w:rsidR="00B675DD">
              <w:rPr>
                <w:sz w:val="22"/>
                <w:szCs w:val="22"/>
                <w:lang w:val="lt-LT"/>
              </w:rPr>
              <w:t>reikšmė</w:t>
            </w:r>
          </w:p>
        </w:tc>
        <w:tc>
          <w:tcPr>
            <w:tcW w:w="1666" w:type="pct"/>
            <w:vAlign w:val="center"/>
          </w:tcPr>
          <w:p w14:paraId="50A8B657" w14:textId="77777777" w:rsidR="009002BE" w:rsidRPr="009002BE" w:rsidRDefault="009002BE" w:rsidP="009002BE">
            <w:pPr>
              <w:tabs>
                <w:tab w:val="left" w:pos="567"/>
              </w:tabs>
              <w:autoSpaceDE w:val="0"/>
              <w:autoSpaceDN w:val="0"/>
              <w:adjustRightInd w:val="0"/>
              <w:jc w:val="center"/>
              <w:rPr>
                <w:sz w:val="22"/>
                <w:szCs w:val="22"/>
                <w:lang w:val="lt-LT"/>
              </w:rPr>
            </w:pPr>
          </w:p>
        </w:tc>
        <w:tc>
          <w:tcPr>
            <w:tcW w:w="1668" w:type="pct"/>
            <w:vAlign w:val="center"/>
          </w:tcPr>
          <w:p w14:paraId="73680557" w14:textId="6CD84731" w:rsidR="009002BE" w:rsidRPr="009002BE" w:rsidRDefault="009002BE" w:rsidP="009002BE">
            <w:pPr>
              <w:tabs>
                <w:tab w:val="left" w:pos="567"/>
              </w:tabs>
              <w:autoSpaceDE w:val="0"/>
              <w:autoSpaceDN w:val="0"/>
              <w:adjustRightInd w:val="0"/>
              <w:jc w:val="center"/>
              <w:rPr>
                <w:sz w:val="22"/>
                <w:szCs w:val="22"/>
                <w:lang w:val="lt-LT"/>
              </w:rPr>
            </w:pPr>
            <w:r w:rsidRPr="009002BE">
              <w:rPr>
                <w:sz w:val="22"/>
                <w:szCs w:val="22"/>
                <w:lang w:val="lt-LT"/>
              </w:rPr>
              <w:t>&lt;0</w:t>
            </w:r>
            <w:r w:rsidRPr="00211E3B">
              <w:rPr>
                <w:sz w:val="22"/>
                <w:szCs w:val="22"/>
                <w:lang w:val="lt-LT"/>
              </w:rPr>
              <w:t>,</w:t>
            </w:r>
            <w:r w:rsidRPr="009002BE">
              <w:rPr>
                <w:sz w:val="22"/>
                <w:szCs w:val="22"/>
                <w:lang w:val="lt-LT"/>
              </w:rPr>
              <w:t>05</w:t>
            </w:r>
          </w:p>
        </w:tc>
      </w:tr>
    </w:tbl>
    <w:p w14:paraId="687BB4A9" w14:textId="0D72969A" w:rsidR="005E424F" w:rsidRPr="00211E3B" w:rsidRDefault="005E424F" w:rsidP="005E424F">
      <w:pPr>
        <w:ind w:right="-142"/>
        <w:rPr>
          <w:snapToGrid w:val="0"/>
          <w:sz w:val="20"/>
          <w:szCs w:val="22"/>
        </w:rPr>
      </w:pPr>
      <w:r w:rsidRPr="00211E3B">
        <w:rPr>
          <w:snapToGrid w:val="0"/>
          <w:sz w:val="20"/>
          <w:szCs w:val="22"/>
          <w:vertAlign w:val="superscript"/>
        </w:rPr>
        <w:t>1</w:t>
      </w:r>
      <w:r w:rsidR="00254E8E" w:rsidRPr="00211E3B">
        <w:rPr>
          <w:snapToGrid w:val="0"/>
          <w:sz w:val="20"/>
          <w:szCs w:val="22"/>
        </w:rPr>
        <w:t xml:space="preserve"> </w:t>
      </w:r>
      <w:r w:rsidRPr="00211E3B">
        <w:rPr>
          <w:snapToGrid w:val="0"/>
          <w:sz w:val="20"/>
          <w:szCs w:val="22"/>
        </w:rPr>
        <w:t>Remiantis atsitiktinio koeficiento regresija, į analizę įtraukus fiksuotų kategorinių gydymo ir ATA buvimo</w:t>
      </w:r>
    </w:p>
    <w:p w14:paraId="2A3488D5" w14:textId="172BA0EB" w:rsidR="005E424F" w:rsidRPr="00211E3B" w:rsidRDefault="005E424F" w:rsidP="005E424F">
      <w:pPr>
        <w:ind w:right="-142"/>
        <w:rPr>
          <w:snapToGrid w:val="0"/>
          <w:sz w:val="22"/>
          <w:szCs w:val="24"/>
        </w:rPr>
      </w:pPr>
      <w:r w:rsidRPr="00211E3B">
        <w:rPr>
          <w:snapToGrid w:val="0"/>
          <w:sz w:val="20"/>
          <w:szCs w:val="22"/>
        </w:rPr>
        <w:t>veiksnių poveikį, fiksuotų tolydžiųjų laiko ir pradinės FGPT [</w:t>
      </w:r>
      <w:r w:rsidR="0085390D">
        <w:rPr>
          <w:snapToGrid w:val="0"/>
          <w:sz w:val="20"/>
          <w:szCs w:val="22"/>
        </w:rPr>
        <w:t xml:space="preserve"> %</w:t>
      </w:r>
      <w:r w:rsidRPr="00211E3B">
        <w:rPr>
          <w:snapToGrid w:val="0"/>
          <w:sz w:val="20"/>
          <w:szCs w:val="22"/>
        </w:rPr>
        <w:t xml:space="preserve"> nuo numat.] veiksnių poveikį, įskaitant gydymo</w:t>
      </w:r>
      <w:r w:rsidR="00254E8E" w:rsidRPr="00211E3B">
        <w:rPr>
          <w:snapToGrid w:val="0"/>
          <w:sz w:val="20"/>
          <w:szCs w:val="22"/>
        </w:rPr>
        <w:t xml:space="preserve"> </w:t>
      </w:r>
      <w:r w:rsidRPr="00211E3B">
        <w:rPr>
          <w:snapToGrid w:val="0"/>
          <w:sz w:val="20"/>
          <w:szCs w:val="22"/>
        </w:rPr>
        <w:t>laiko atžvilgiu bei pradinio vertinimo laiko atžvilgiu tarpusavio sąveiką. Įvertintas atsitiktinis poveikis</w:t>
      </w:r>
      <w:r w:rsidR="00254E8E" w:rsidRPr="00211E3B">
        <w:rPr>
          <w:snapToGrid w:val="0"/>
          <w:sz w:val="20"/>
          <w:szCs w:val="22"/>
        </w:rPr>
        <w:t xml:space="preserve"> </w:t>
      </w:r>
      <w:r w:rsidRPr="00211E3B">
        <w:rPr>
          <w:snapToGrid w:val="0"/>
          <w:sz w:val="20"/>
          <w:szCs w:val="22"/>
        </w:rPr>
        <w:t>atsižvelgiant į pacientui specifinius konstantos ir laiko duomenis. Paklaidos pacientų imtyje modeliuotos taikant</w:t>
      </w:r>
      <w:r w:rsidR="00254E8E" w:rsidRPr="00211E3B">
        <w:rPr>
          <w:snapToGrid w:val="0"/>
          <w:sz w:val="20"/>
          <w:szCs w:val="22"/>
        </w:rPr>
        <w:t xml:space="preserve"> </w:t>
      </w:r>
      <w:r w:rsidRPr="00211E3B">
        <w:rPr>
          <w:snapToGrid w:val="0"/>
          <w:sz w:val="20"/>
          <w:szCs w:val="22"/>
        </w:rPr>
        <w:t>nestruktūrinę dispersijų-kovariacijų matricą. Kintamumas tarp individų modeliuotas taikant dispersinių</w:t>
      </w:r>
      <w:r w:rsidR="00254E8E" w:rsidRPr="00211E3B">
        <w:rPr>
          <w:snapToGrid w:val="0"/>
          <w:sz w:val="20"/>
          <w:szCs w:val="22"/>
        </w:rPr>
        <w:t xml:space="preserve"> </w:t>
      </w:r>
      <w:r w:rsidRPr="00211E3B">
        <w:rPr>
          <w:snapToGrid w:val="0"/>
          <w:sz w:val="20"/>
          <w:szCs w:val="22"/>
        </w:rPr>
        <w:t>komponenčių dispersijų-kovariacijų matricą.</w:t>
      </w:r>
    </w:p>
    <w:p w14:paraId="243B2E79" w14:textId="77777777" w:rsidR="00254E8E" w:rsidRPr="00211E3B" w:rsidRDefault="00254E8E" w:rsidP="005E424F">
      <w:pPr>
        <w:ind w:right="-142"/>
        <w:rPr>
          <w:snapToGrid w:val="0"/>
          <w:sz w:val="22"/>
          <w:szCs w:val="24"/>
        </w:rPr>
      </w:pPr>
    </w:p>
    <w:p w14:paraId="3C722A25" w14:textId="24BA38AF" w:rsidR="005E424F" w:rsidRPr="00211E3B" w:rsidRDefault="005E424F" w:rsidP="005E424F">
      <w:pPr>
        <w:ind w:right="-142"/>
        <w:rPr>
          <w:i/>
          <w:iCs/>
          <w:snapToGrid w:val="0"/>
          <w:sz w:val="22"/>
          <w:szCs w:val="24"/>
          <w:u w:val="single"/>
        </w:rPr>
      </w:pPr>
      <w:r w:rsidRPr="00211E3B">
        <w:rPr>
          <w:i/>
          <w:iCs/>
          <w:snapToGrid w:val="0"/>
          <w:sz w:val="22"/>
          <w:szCs w:val="24"/>
          <w:u w:val="single"/>
        </w:rPr>
        <w:t xml:space="preserve">Modifikuotos Rodnano odos pažeidimo skalės (mRSS) </w:t>
      </w:r>
      <w:r w:rsidR="00D7087C" w:rsidRPr="00211E3B">
        <w:rPr>
          <w:i/>
          <w:iCs/>
          <w:snapToGrid w:val="0"/>
          <w:sz w:val="22"/>
          <w:szCs w:val="24"/>
          <w:u w:val="single"/>
        </w:rPr>
        <w:t>įvertinimo</w:t>
      </w:r>
      <w:r w:rsidRPr="00211E3B">
        <w:rPr>
          <w:i/>
          <w:iCs/>
          <w:snapToGrid w:val="0"/>
          <w:sz w:val="22"/>
          <w:szCs w:val="24"/>
          <w:u w:val="single"/>
        </w:rPr>
        <w:t xml:space="preserve"> pokytis nuo pradinio </w:t>
      </w:r>
      <w:r w:rsidR="00D7087C" w:rsidRPr="00211E3B">
        <w:rPr>
          <w:i/>
          <w:iCs/>
          <w:snapToGrid w:val="0"/>
          <w:sz w:val="22"/>
          <w:szCs w:val="24"/>
          <w:u w:val="single"/>
        </w:rPr>
        <w:t>rodmens</w:t>
      </w:r>
      <w:r w:rsidRPr="00211E3B">
        <w:rPr>
          <w:i/>
          <w:iCs/>
          <w:snapToGrid w:val="0"/>
          <w:sz w:val="22"/>
          <w:szCs w:val="24"/>
          <w:u w:val="single"/>
        </w:rPr>
        <w:t xml:space="preserve"> </w:t>
      </w:r>
      <w:r w:rsidR="00D7087C" w:rsidRPr="00211E3B">
        <w:rPr>
          <w:i/>
          <w:iCs/>
          <w:snapToGrid w:val="0"/>
          <w:sz w:val="22"/>
          <w:szCs w:val="24"/>
          <w:u w:val="single"/>
        </w:rPr>
        <w:t>52 s</w:t>
      </w:r>
      <w:r w:rsidRPr="00211E3B">
        <w:rPr>
          <w:i/>
          <w:iCs/>
          <w:snapToGrid w:val="0"/>
          <w:sz w:val="22"/>
          <w:szCs w:val="24"/>
          <w:u w:val="single"/>
        </w:rPr>
        <w:t>avaitę</w:t>
      </w:r>
    </w:p>
    <w:p w14:paraId="15AB0563" w14:textId="2FC03B56" w:rsidR="005E424F" w:rsidRPr="00211E3B" w:rsidRDefault="005E424F" w:rsidP="005E424F">
      <w:pPr>
        <w:ind w:right="-142"/>
        <w:rPr>
          <w:snapToGrid w:val="0"/>
          <w:sz w:val="22"/>
          <w:szCs w:val="24"/>
        </w:rPr>
      </w:pPr>
      <w:r w:rsidRPr="00211E3B">
        <w:rPr>
          <w:snapToGrid w:val="0"/>
          <w:sz w:val="22"/>
          <w:szCs w:val="24"/>
        </w:rPr>
        <w:t xml:space="preserve">Koreguotasis vidutinis absoliutus mRSS </w:t>
      </w:r>
      <w:r w:rsidR="00D7087C" w:rsidRPr="00211E3B">
        <w:rPr>
          <w:snapToGrid w:val="0"/>
          <w:sz w:val="22"/>
          <w:szCs w:val="24"/>
        </w:rPr>
        <w:t>įvertinimo</w:t>
      </w:r>
      <w:r w:rsidRPr="00211E3B">
        <w:rPr>
          <w:snapToGrid w:val="0"/>
          <w:sz w:val="22"/>
          <w:szCs w:val="24"/>
        </w:rPr>
        <w:t xml:space="preserve"> pokytis nuo pradinio</w:t>
      </w:r>
      <w:r w:rsidR="00D7087C" w:rsidRPr="00211E3B">
        <w:rPr>
          <w:snapToGrid w:val="0"/>
          <w:sz w:val="22"/>
          <w:szCs w:val="24"/>
        </w:rPr>
        <w:t xml:space="preserve"> rodmens</w:t>
      </w:r>
      <w:r w:rsidRPr="00211E3B">
        <w:rPr>
          <w:snapToGrid w:val="0"/>
          <w:sz w:val="22"/>
          <w:szCs w:val="24"/>
        </w:rPr>
        <w:t xml:space="preserve"> </w:t>
      </w:r>
      <w:r w:rsidR="00D7087C" w:rsidRPr="00211E3B">
        <w:rPr>
          <w:snapToGrid w:val="0"/>
          <w:sz w:val="22"/>
          <w:szCs w:val="24"/>
        </w:rPr>
        <w:t>52 s</w:t>
      </w:r>
      <w:r w:rsidRPr="00211E3B">
        <w:rPr>
          <w:snapToGrid w:val="0"/>
          <w:sz w:val="22"/>
          <w:szCs w:val="24"/>
        </w:rPr>
        <w:t xml:space="preserve">avaitę </w:t>
      </w:r>
      <w:r w:rsidR="00D7087C" w:rsidRPr="00211E3B">
        <w:rPr>
          <w:snapToGrid w:val="0"/>
          <w:sz w:val="22"/>
          <w:szCs w:val="24"/>
        </w:rPr>
        <w:t xml:space="preserve">nintedanibo </w:t>
      </w:r>
      <w:r w:rsidRPr="00211E3B">
        <w:rPr>
          <w:snapToGrid w:val="0"/>
          <w:sz w:val="22"/>
          <w:szCs w:val="24"/>
        </w:rPr>
        <w:t>grupėje (-2,17</w:t>
      </w:r>
      <w:r w:rsidR="00D7087C" w:rsidRPr="00211E3B">
        <w:rPr>
          <w:snapToGrid w:val="0"/>
          <w:sz w:val="22"/>
          <w:szCs w:val="24"/>
        </w:rPr>
        <w:t xml:space="preserve"> </w:t>
      </w:r>
      <w:r w:rsidRPr="00211E3B">
        <w:rPr>
          <w:snapToGrid w:val="0"/>
          <w:sz w:val="22"/>
          <w:szCs w:val="24"/>
        </w:rPr>
        <w:t>(95</w:t>
      </w:r>
      <w:r w:rsidR="0085390D">
        <w:rPr>
          <w:snapToGrid w:val="0"/>
          <w:sz w:val="22"/>
          <w:szCs w:val="24"/>
        </w:rPr>
        <w:t> %</w:t>
      </w:r>
      <w:r w:rsidRPr="00211E3B">
        <w:rPr>
          <w:snapToGrid w:val="0"/>
          <w:sz w:val="22"/>
          <w:szCs w:val="24"/>
        </w:rPr>
        <w:t xml:space="preserve"> PI -2,69, -1,65)) ir placebo grupėje (-1,96 (95</w:t>
      </w:r>
      <w:r w:rsidR="0085390D">
        <w:rPr>
          <w:snapToGrid w:val="0"/>
          <w:sz w:val="22"/>
          <w:szCs w:val="24"/>
        </w:rPr>
        <w:t> %</w:t>
      </w:r>
      <w:r w:rsidRPr="00211E3B">
        <w:rPr>
          <w:snapToGrid w:val="0"/>
          <w:sz w:val="22"/>
          <w:szCs w:val="24"/>
        </w:rPr>
        <w:t xml:space="preserve"> PI -2,48, -1,45)) buvo panašus. Koreguotasis</w:t>
      </w:r>
      <w:r w:rsidR="00D7087C" w:rsidRPr="00211E3B">
        <w:rPr>
          <w:snapToGrid w:val="0"/>
          <w:sz w:val="22"/>
          <w:szCs w:val="24"/>
        </w:rPr>
        <w:t xml:space="preserve"> </w:t>
      </w:r>
      <w:r w:rsidRPr="00211E3B">
        <w:rPr>
          <w:snapToGrid w:val="0"/>
          <w:sz w:val="22"/>
          <w:szCs w:val="24"/>
        </w:rPr>
        <w:t>vidurkių skirtumas tarp gydymo grupių buvo -0,21 (95</w:t>
      </w:r>
      <w:r w:rsidR="0085390D">
        <w:rPr>
          <w:snapToGrid w:val="0"/>
          <w:sz w:val="22"/>
          <w:szCs w:val="24"/>
        </w:rPr>
        <w:t> %</w:t>
      </w:r>
      <w:r w:rsidRPr="00211E3B">
        <w:rPr>
          <w:snapToGrid w:val="0"/>
          <w:sz w:val="22"/>
          <w:szCs w:val="24"/>
        </w:rPr>
        <w:t xml:space="preserve"> PI -0,94, 0,53; p = 0,5785).</w:t>
      </w:r>
    </w:p>
    <w:p w14:paraId="0AC68743" w14:textId="77777777" w:rsidR="00D7087C" w:rsidRPr="00211E3B" w:rsidRDefault="00D7087C" w:rsidP="005E424F">
      <w:pPr>
        <w:ind w:right="-142"/>
        <w:rPr>
          <w:snapToGrid w:val="0"/>
          <w:sz w:val="22"/>
          <w:szCs w:val="24"/>
        </w:rPr>
      </w:pPr>
    </w:p>
    <w:p w14:paraId="5CFA5A4A" w14:textId="7B34B0B6" w:rsidR="005E424F" w:rsidRPr="00211E3B" w:rsidRDefault="005E424F" w:rsidP="005E424F">
      <w:pPr>
        <w:ind w:right="-142"/>
        <w:rPr>
          <w:i/>
          <w:iCs/>
          <w:snapToGrid w:val="0"/>
          <w:sz w:val="22"/>
          <w:szCs w:val="24"/>
          <w:u w:val="single"/>
        </w:rPr>
      </w:pPr>
      <w:r w:rsidRPr="00211E3B">
        <w:rPr>
          <w:i/>
          <w:iCs/>
          <w:snapToGrid w:val="0"/>
          <w:sz w:val="22"/>
          <w:szCs w:val="24"/>
          <w:u w:val="single"/>
        </w:rPr>
        <w:t>St. George kvėpavimo klausimyno (SGRQ) bendro</w:t>
      </w:r>
      <w:r w:rsidR="00D7087C" w:rsidRPr="00211E3B">
        <w:rPr>
          <w:i/>
          <w:iCs/>
          <w:snapToGrid w:val="0"/>
          <w:sz w:val="22"/>
          <w:szCs w:val="24"/>
          <w:u w:val="single"/>
        </w:rPr>
        <w:t>jo įvertinimo</w:t>
      </w:r>
      <w:r w:rsidRPr="00211E3B">
        <w:rPr>
          <w:i/>
          <w:iCs/>
          <w:snapToGrid w:val="0"/>
          <w:sz w:val="22"/>
          <w:szCs w:val="24"/>
          <w:u w:val="single"/>
        </w:rPr>
        <w:t xml:space="preserve"> pokytis nuo pradinio </w:t>
      </w:r>
      <w:r w:rsidR="00D7087C" w:rsidRPr="00211E3B">
        <w:rPr>
          <w:i/>
          <w:iCs/>
          <w:snapToGrid w:val="0"/>
          <w:sz w:val="22"/>
          <w:szCs w:val="24"/>
          <w:u w:val="single"/>
        </w:rPr>
        <w:t>rodmens</w:t>
      </w:r>
      <w:r w:rsidRPr="00211E3B">
        <w:rPr>
          <w:i/>
          <w:iCs/>
          <w:snapToGrid w:val="0"/>
          <w:sz w:val="22"/>
          <w:szCs w:val="24"/>
          <w:u w:val="single"/>
        </w:rPr>
        <w:t xml:space="preserve"> </w:t>
      </w:r>
      <w:r w:rsidR="00D7087C" w:rsidRPr="00211E3B">
        <w:rPr>
          <w:i/>
          <w:iCs/>
          <w:snapToGrid w:val="0"/>
          <w:sz w:val="22"/>
          <w:szCs w:val="24"/>
          <w:u w:val="single"/>
        </w:rPr>
        <w:t>52 s</w:t>
      </w:r>
      <w:r w:rsidRPr="00211E3B">
        <w:rPr>
          <w:i/>
          <w:iCs/>
          <w:snapToGrid w:val="0"/>
          <w:sz w:val="22"/>
          <w:szCs w:val="24"/>
          <w:u w:val="single"/>
        </w:rPr>
        <w:t>avaitę</w:t>
      </w:r>
    </w:p>
    <w:p w14:paraId="0E43A768" w14:textId="4595BDA9" w:rsidR="005E424F" w:rsidRPr="00211E3B" w:rsidRDefault="005E424F" w:rsidP="005E424F">
      <w:pPr>
        <w:ind w:right="-142"/>
        <w:rPr>
          <w:snapToGrid w:val="0"/>
          <w:sz w:val="22"/>
          <w:szCs w:val="24"/>
        </w:rPr>
      </w:pPr>
      <w:r w:rsidRPr="00211E3B">
        <w:rPr>
          <w:snapToGrid w:val="0"/>
          <w:sz w:val="22"/>
          <w:szCs w:val="24"/>
        </w:rPr>
        <w:t>Koreguotasis vidutinis absoliutus SGRQ bendro</w:t>
      </w:r>
      <w:r w:rsidR="00D7087C" w:rsidRPr="00211E3B">
        <w:rPr>
          <w:snapToGrid w:val="0"/>
          <w:sz w:val="22"/>
          <w:szCs w:val="24"/>
        </w:rPr>
        <w:t>jo įvertinimo</w:t>
      </w:r>
      <w:r w:rsidRPr="00211E3B">
        <w:rPr>
          <w:snapToGrid w:val="0"/>
          <w:sz w:val="22"/>
          <w:szCs w:val="24"/>
        </w:rPr>
        <w:t xml:space="preserve"> pokytis nuo pradinio </w:t>
      </w:r>
      <w:r w:rsidR="00D7087C" w:rsidRPr="00211E3B">
        <w:rPr>
          <w:snapToGrid w:val="0"/>
          <w:sz w:val="22"/>
          <w:szCs w:val="24"/>
        </w:rPr>
        <w:t>rodmens 52 s</w:t>
      </w:r>
      <w:r w:rsidRPr="00211E3B">
        <w:rPr>
          <w:snapToGrid w:val="0"/>
          <w:sz w:val="22"/>
          <w:szCs w:val="24"/>
        </w:rPr>
        <w:t xml:space="preserve">avaitę </w:t>
      </w:r>
      <w:r w:rsidR="00D7087C" w:rsidRPr="00211E3B">
        <w:rPr>
          <w:snapToGrid w:val="0"/>
          <w:sz w:val="22"/>
          <w:szCs w:val="24"/>
        </w:rPr>
        <w:t xml:space="preserve">nintedanibo </w:t>
      </w:r>
      <w:r w:rsidRPr="00211E3B">
        <w:rPr>
          <w:snapToGrid w:val="0"/>
          <w:sz w:val="22"/>
          <w:szCs w:val="24"/>
        </w:rPr>
        <w:t>grupėje</w:t>
      </w:r>
      <w:r w:rsidR="00D7087C" w:rsidRPr="00211E3B">
        <w:rPr>
          <w:snapToGrid w:val="0"/>
          <w:sz w:val="22"/>
          <w:szCs w:val="24"/>
        </w:rPr>
        <w:t xml:space="preserve"> </w:t>
      </w:r>
      <w:r w:rsidRPr="00211E3B">
        <w:rPr>
          <w:snapToGrid w:val="0"/>
          <w:sz w:val="22"/>
          <w:szCs w:val="24"/>
        </w:rPr>
        <w:t>(0,81 (95</w:t>
      </w:r>
      <w:r w:rsidR="0085390D">
        <w:rPr>
          <w:snapToGrid w:val="0"/>
          <w:sz w:val="22"/>
          <w:szCs w:val="24"/>
        </w:rPr>
        <w:t> %</w:t>
      </w:r>
      <w:r w:rsidRPr="00211E3B">
        <w:rPr>
          <w:snapToGrid w:val="0"/>
          <w:sz w:val="22"/>
          <w:szCs w:val="24"/>
        </w:rPr>
        <w:t xml:space="preserve"> PI -0,92, 2,55)) ir placebo grupėje (-0,88 (95</w:t>
      </w:r>
      <w:r w:rsidR="0085390D">
        <w:rPr>
          <w:snapToGrid w:val="0"/>
          <w:sz w:val="22"/>
          <w:szCs w:val="24"/>
        </w:rPr>
        <w:t> %</w:t>
      </w:r>
      <w:r w:rsidRPr="00211E3B">
        <w:rPr>
          <w:snapToGrid w:val="0"/>
          <w:sz w:val="22"/>
          <w:szCs w:val="24"/>
        </w:rPr>
        <w:t xml:space="preserve"> PI -2,58, 0,82)) buvo panašus.</w:t>
      </w:r>
      <w:r w:rsidR="00D7087C" w:rsidRPr="00211E3B">
        <w:rPr>
          <w:snapToGrid w:val="0"/>
          <w:sz w:val="22"/>
          <w:szCs w:val="24"/>
        </w:rPr>
        <w:t xml:space="preserve"> </w:t>
      </w:r>
      <w:r w:rsidRPr="00211E3B">
        <w:rPr>
          <w:snapToGrid w:val="0"/>
          <w:sz w:val="22"/>
          <w:szCs w:val="24"/>
        </w:rPr>
        <w:t>Koreguotasis vidurkių skirtumas tarp gydymo grupių buvo 1,69 (95</w:t>
      </w:r>
      <w:r w:rsidR="0085390D">
        <w:rPr>
          <w:snapToGrid w:val="0"/>
          <w:sz w:val="22"/>
          <w:szCs w:val="24"/>
        </w:rPr>
        <w:t> %</w:t>
      </w:r>
      <w:r w:rsidRPr="00211E3B">
        <w:rPr>
          <w:snapToGrid w:val="0"/>
          <w:sz w:val="22"/>
          <w:szCs w:val="24"/>
        </w:rPr>
        <w:t xml:space="preserve"> PI -0,73, 4,12; p = 0,1711).</w:t>
      </w:r>
    </w:p>
    <w:p w14:paraId="186BF5AA" w14:textId="77777777" w:rsidR="00D7087C" w:rsidRPr="00211E3B" w:rsidRDefault="00D7087C" w:rsidP="005E424F">
      <w:pPr>
        <w:ind w:right="-142"/>
        <w:rPr>
          <w:snapToGrid w:val="0"/>
          <w:sz w:val="22"/>
          <w:szCs w:val="24"/>
        </w:rPr>
      </w:pPr>
    </w:p>
    <w:p w14:paraId="5479ED5D" w14:textId="74C3D915" w:rsidR="005E424F" w:rsidRPr="00211E3B" w:rsidRDefault="005E424F" w:rsidP="005E424F">
      <w:pPr>
        <w:ind w:right="-142"/>
        <w:rPr>
          <w:i/>
          <w:iCs/>
          <w:snapToGrid w:val="0"/>
          <w:sz w:val="22"/>
          <w:szCs w:val="24"/>
          <w:u w:val="single"/>
        </w:rPr>
      </w:pPr>
      <w:r w:rsidRPr="00211E3B">
        <w:rPr>
          <w:i/>
          <w:iCs/>
          <w:snapToGrid w:val="0"/>
          <w:sz w:val="22"/>
          <w:szCs w:val="24"/>
          <w:u w:val="single"/>
        </w:rPr>
        <w:t>Išgyvenamumo analizė</w:t>
      </w:r>
    </w:p>
    <w:p w14:paraId="7E5BBE3B" w14:textId="19FF1544" w:rsidR="005E424F" w:rsidRPr="00211E3B" w:rsidRDefault="002D00BE" w:rsidP="005E424F">
      <w:pPr>
        <w:ind w:right="-142"/>
        <w:rPr>
          <w:snapToGrid w:val="0"/>
          <w:sz w:val="22"/>
          <w:szCs w:val="24"/>
        </w:rPr>
      </w:pPr>
      <w:r w:rsidRPr="00211E3B">
        <w:rPr>
          <w:snapToGrid w:val="0"/>
          <w:sz w:val="22"/>
          <w:szCs w:val="24"/>
        </w:rPr>
        <w:t>Mirtingumas</w:t>
      </w:r>
      <w:r w:rsidR="005E424F" w:rsidRPr="00211E3B">
        <w:rPr>
          <w:snapToGrid w:val="0"/>
          <w:sz w:val="22"/>
          <w:szCs w:val="24"/>
        </w:rPr>
        <w:t xml:space="preserve"> </w:t>
      </w:r>
      <w:r w:rsidRPr="00211E3B">
        <w:rPr>
          <w:snapToGrid w:val="0"/>
          <w:sz w:val="22"/>
          <w:szCs w:val="24"/>
        </w:rPr>
        <w:t xml:space="preserve">nintedanibo </w:t>
      </w:r>
      <w:r w:rsidR="005E424F" w:rsidRPr="00211E3B">
        <w:rPr>
          <w:snapToGrid w:val="0"/>
          <w:sz w:val="22"/>
          <w:szCs w:val="24"/>
        </w:rPr>
        <w:t>grupėje (N = 10; 3,5</w:t>
      </w:r>
      <w:r w:rsidR="0085390D">
        <w:rPr>
          <w:snapToGrid w:val="0"/>
          <w:sz w:val="22"/>
          <w:szCs w:val="24"/>
        </w:rPr>
        <w:t> %</w:t>
      </w:r>
      <w:r w:rsidR="005E424F" w:rsidRPr="00211E3B">
        <w:rPr>
          <w:snapToGrid w:val="0"/>
          <w:sz w:val="22"/>
          <w:szCs w:val="24"/>
        </w:rPr>
        <w:t>) ir placebo grupėje (N = 9; 3,1</w:t>
      </w:r>
      <w:r w:rsidR="0085390D">
        <w:rPr>
          <w:snapToGrid w:val="0"/>
          <w:sz w:val="22"/>
          <w:szCs w:val="24"/>
        </w:rPr>
        <w:t> %</w:t>
      </w:r>
      <w:r w:rsidR="005E424F" w:rsidRPr="00211E3B">
        <w:rPr>
          <w:snapToGrid w:val="0"/>
          <w:sz w:val="22"/>
          <w:szCs w:val="24"/>
        </w:rPr>
        <w:t xml:space="preserve">) </w:t>
      </w:r>
      <w:r w:rsidRPr="00211E3B">
        <w:rPr>
          <w:snapToGrid w:val="0"/>
          <w:sz w:val="22"/>
          <w:szCs w:val="24"/>
        </w:rPr>
        <w:t xml:space="preserve">viso tyrimo metu </w:t>
      </w:r>
      <w:r w:rsidR="005E424F" w:rsidRPr="00211E3B">
        <w:rPr>
          <w:snapToGrid w:val="0"/>
          <w:sz w:val="22"/>
          <w:szCs w:val="24"/>
        </w:rPr>
        <w:t>buvo</w:t>
      </w:r>
      <w:r w:rsidRPr="00211E3B">
        <w:rPr>
          <w:snapToGrid w:val="0"/>
          <w:sz w:val="22"/>
          <w:szCs w:val="24"/>
        </w:rPr>
        <w:t xml:space="preserve"> </w:t>
      </w:r>
      <w:r w:rsidR="005E424F" w:rsidRPr="00211E3B">
        <w:rPr>
          <w:snapToGrid w:val="0"/>
          <w:sz w:val="22"/>
          <w:szCs w:val="24"/>
        </w:rPr>
        <w:t>panašus. Laikotarpio iki mirties per visą tyrimą analize nustatytas RS buvo 1,16 (95</w:t>
      </w:r>
      <w:r w:rsidR="0085390D">
        <w:rPr>
          <w:snapToGrid w:val="0"/>
          <w:sz w:val="22"/>
          <w:szCs w:val="24"/>
        </w:rPr>
        <w:t> %</w:t>
      </w:r>
      <w:r w:rsidR="005E424F" w:rsidRPr="00211E3B">
        <w:rPr>
          <w:snapToGrid w:val="0"/>
          <w:sz w:val="22"/>
          <w:szCs w:val="24"/>
        </w:rPr>
        <w:t xml:space="preserve"> PI 0,47, 2,84;</w:t>
      </w:r>
      <w:r w:rsidRPr="00211E3B">
        <w:rPr>
          <w:snapToGrid w:val="0"/>
          <w:sz w:val="22"/>
          <w:szCs w:val="24"/>
        </w:rPr>
        <w:t xml:space="preserve"> </w:t>
      </w:r>
      <w:r w:rsidR="005E424F" w:rsidRPr="00211E3B">
        <w:rPr>
          <w:snapToGrid w:val="0"/>
          <w:sz w:val="22"/>
          <w:szCs w:val="24"/>
        </w:rPr>
        <w:t>p = 0,7535).</w:t>
      </w:r>
    </w:p>
    <w:p w14:paraId="2C34078C" w14:textId="77777777" w:rsidR="002D00BE" w:rsidRPr="00211E3B" w:rsidRDefault="002D00BE" w:rsidP="005E424F">
      <w:pPr>
        <w:ind w:right="-142"/>
        <w:rPr>
          <w:snapToGrid w:val="0"/>
          <w:sz w:val="22"/>
          <w:szCs w:val="24"/>
        </w:rPr>
      </w:pPr>
    </w:p>
    <w:p w14:paraId="209DE0A3" w14:textId="2FE62C08" w:rsidR="005E424F" w:rsidRPr="00211E3B" w:rsidRDefault="005E424F" w:rsidP="005E424F">
      <w:pPr>
        <w:ind w:right="-142"/>
        <w:rPr>
          <w:snapToGrid w:val="0"/>
          <w:sz w:val="22"/>
          <w:szCs w:val="24"/>
          <w:u w:val="single"/>
        </w:rPr>
      </w:pPr>
      <w:r w:rsidRPr="00211E3B">
        <w:rPr>
          <w:snapToGrid w:val="0"/>
          <w:sz w:val="22"/>
          <w:szCs w:val="24"/>
          <w:u w:val="single"/>
        </w:rPr>
        <w:t>QT intervalas</w:t>
      </w:r>
    </w:p>
    <w:p w14:paraId="11F5D9CA" w14:textId="3BE571D3" w:rsidR="005E424F" w:rsidRPr="00211E3B" w:rsidRDefault="005E424F" w:rsidP="002D00BE">
      <w:pPr>
        <w:ind w:right="-142"/>
        <w:rPr>
          <w:snapToGrid w:val="0"/>
          <w:sz w:val="22"/>
          <w:szCs w:val="24"/>
        </w:rPr>
      </w:pPr>
      <w:r w:rsidRPr="00211E3B">
        <w:rPr>
          <w:snapToGrid w:val="0"/>
          <w:sz w:val="22"/>
          <w:szCs w:val="24"/>
        </w:rPr>
        <w:lastRenderedPageBreak/>
        <w:t>Tyrime, kuriame dalyvavo inkstų ląstelių vėžiu sergantys pacientai, buvo atlikti QT/QTc matavimai,</w:t>
      </w:r>
      <w:r w:rsidR="002D00BE" w:rsidRPr="00211E3B">
        <w:rPr>
          <w:snapToGrid w:val="0"/>
          <w:sz w:val="22"/>
          <w:szCs w:val="24"/>
        </w:rPr>
        <w:t xml:space="preserve"> </w:t>
      </w:r>
      <w:r w:rsidRPr="00211E3B">
        <w:rPr>
          <w:snapToGrid w:val="0"/>
          <w:sz w:val="22"/>
          <w:szCs w:val="24"/>
        </w:rPr>
        <w:t xml:space="preserve">kurie parodė, kad </w:t>
      </w:r>
      <w:r w:rsidR="002D00BE" w:rsidRPr="00211E3B">
        <w:rPr>
          <w:snapToGrid w:val="0"/>
          <w:sz w:val="22"/>
          <w:szCs w:val="24"/>
        </w:rPr>
        <w:t>vienkartinė per burną pavartota 200</w:t>
      </w:r>
      <w:r w:rsidR="0085390D">
        <w:rPr>
          <w:snapToGrid w:val="0"/>
          <w:sz w:val="22"/>
          <w:szCs w:val="24"/>
        </w:rPr>
        <w:t> mg</w:t>
      </w:r>
      <w:r w:rsidR="002D00BE" w:rsidRPr="00211E3B">
        <w:rPr>
          <w:snapToGrid w:val="0"/>
          <w:sz w:val="22"/>
          <w:szCs w:val="24"/>
        </w:rPr>
        <w:t xml:space="preserve"> nintedanibo dozė ir 15 dienų 2 kartus per parą per burną vartojamos kartotinės 200</w:t>
      </w:r>
      <w:r w:rsidR="0085390D">
        <w:rPr>
          <w:snapToGrid w:val="0"/>
          <w:sz w:val="22"/>
          <w:szCs w:val="24"/>
        </w:rPr>
        <w:t> mg</w:t>
      </w:r>
      <w:r w:rsidR="002D00BE" w:rsidRPr="00211E3B">
        <w:rPr>
          <w:snapToGrid w:val="0"/>
          <w:sz w:val="22"/>
          <w:szCs w:val="24"/>
        </w:rPr>
        <w:t xml:space="preserve"> nintedanibo dozės QTcF intervalo nepailgino</w:t>
      </w:r>
      <w:r w:rsidRPr="00211E3B">
        <w:rPr>
          <w:snapToGrid w:val="0"/>
          <w:sz w:val="22"/>
          <w:szCs w:val="24"/>
        </w:rPr>
        <w:t>.</w:t>
      </w:r>
    </w:p>
    <w:p w14:paraId="523ECF96" w14:textId="77777777" w:rsidR="002D00BE" w:rsidRPr="00211E3B" w:rsidRDefault="002D00BE" w:rsidP="005E424F">
      <w:pPr>
        <w:ind w:right="-142"/>
        <w:rPr>
          <w:snapToGrid w:val="0"/>
          <w:sz w:val="22"/>
          <w:szCs w:val="24"/>
        </w:rPr>
      </w:pPr>
    </w:p>
    <w:p w14:paraId="1FB0CCBD" w14:textId="63125B20" w:rsidR="005E424F" w:rsidRPr="00211E3B" w:rsidRDefault="005E424F" w:rsidP="005E424F">
      <w:pPr>
        <w:ind w:right="-142"/>
        <w:rPr>
          <w:snapToGrid w:val="0"/>
          <w:sz w:val="22"/>
          <w:szCs w:val="24"/>
          <w:u w:val="single"/>
        </w:rPr>
      </w:pPr>
      <w:r w:rsidRPr="00211E3B">
        <w:rPr>
          <w:snapToGrid w:val="0"/>
          <w:sz w:val="22"/>
          <w:szCs w:val="24"/>
          <w:u w:val="single"/>
        </w:rPr>
        <w:t>Vaikų populiacija</w:t>
      </w:r>
    </w:p>
    <w:p w14:paraId="3D1A16D7" w14:textId="18E19952" w:rsidR="00CA02A2" w:rsidRPr="00211E3B" w:rsidRDefault="005E424F" w:rsidP="005E424F">
      <w:pPr>
        <w:ind w:right="-142"/>
        <w:rPr>
          <w:i/>
          <w:iCs/>
          <w:snapToGrid w:val="0"/>
          <w:sz w:val="22"/>
          <w:szCs w:val="24"/>
        </w:rPr>
      </w:pPr>
      <w:r w:rsidRPr="00211E3B">
        <w:rPr>
          <w:i/>
          <w:iCs/>
          <w:snapToGrid w:val="0"/>
          <w:sz w:val="22"/>
          <w:szCs w:val="24"/>
        </w:rPr>
        <w:t>Fibrozinėmis intersticinėmis plaučių ligomis (IPL) sergant</w:t>
      </w:r>
      <w:r w:rsidR="00CA02A2" w:rsidRPr="00211E3B">
        <w:rPr>
          <w:i/>
          <w:iCs/>
          <w:snapToGrid w:val="0"/>
          <w:sz w:val="22"/>
          <w:szCs w:val="24"/>
        </w:rPr>
        <w:t>y</w:t>
      </w:r>
      <w:r w:rsidRPr="00211E3B">
        <w:rPr>
          <w:i/>
          <w:iCs/>
          <w:snapToGrid w:val="0"/>
          <w:sz w:val="22"/>
          <w:szCs w:val="24"/>
        </w:rPr>
        <w:t>s vaika</w:t>
      </w:r>
      <w:r w:rsidR="00CA02A2" w:rsidRPr="00211E3B">
        <w:rPr>
          <w:i/>
          <w:iCs/>
          <w:snapToGrid w:val="0"/>
          <w:sz w:val="22"/>
          <w:szCs w:val="24"/>
        </w:rPr>
        <w:t>i</w:t>
      </w:r>
      <w:r w:rsidRPr="00211E3B">
        <w:rPr>
          <w:i/>
          <w:iCs/>
          <w:snapToGrid w:val="0"/>
          <w:sz w:val="22"/>
          <w:szCs w:val="24"/>
        </w:rPr>
        <w:t xml:space="preserve"> ir paauglia</w:t>
      </w:r>
      <w:r w:rsidR="00CA02A2" w:rsidRPr="00211E3B">
        <w:rPr>
          <w:i/>
          <w:iCs/>
          <w:snapToGrid w:val="0"/>
          <w:sz w:val="22"/>
          <w:szCs w:val="24"/>
        </w:rPr>
        <w:t>i</w:t>
      </w:r>
    </w:p>
    <w:p w14:paraId="089344C7" w14:textId="01022036" w:rsidR="005E424F" w:rsidRPr="00211E3B" w:rsidRDefault="00D639E0" w:rsidP="005E424F">
      <w:pPr>
        <w:ind w:right="-142"/>
        <w:rPr>
          <w:snapToGrid w:val="0"/>
          <w:sz w:val="22"/>
          <w:szCs w:val="24"/>
        </w:rPr>
      </w:pPr>
      <w:r w:rsidRPr="00211E3B">
        <w:rPr>
          <w:snapToGrid w:val="0"/>
          <w:sz w:val="22"/>
          <w:szCs w:val="24"/>
        </w:rPr>
        <w:t>N</w:t>
      </w:r>
      <w:r w:rsidR="00CA02A2" w:rsidRPr="00211E3B">
        <w:rPr>
          <w:snapToGrid w:val="0"/>
          <w:sz w:val="22"/>
          <w:szCs w:val="24"/>
        </w:rPr>
        <w:t xml:space="preserve">intedanibo </w:t>
      </w:r>
      <w:r w:rsidR="005E424F" w:rsidRPr="00211E3B">
        <w:rPr>
          <w:snapToGrid w:val="0"/>
          <w:sz w:val="22"/>
          <w:szCs w:val="24"/>
        </w:rPr>
        <w:t>saugumas ir veiksmingumas 6-17</w:t>
      </w:r>
      <w:r w:rsidR="00CA02A2" w:rsidRPr="00211E3B">
        <w:rPr>
          <w:snapToGrid w:val="0"/>
          <w:sz w:val="22"/>
          <w:szCs w:val="24"/>
        </w:rPr>
        <w:t> </w:t>
      </w:r>
      <w:r w:rsidR="005E424F" w:rsidRPr="00211E3B">
        <w:rPr>
          <w:snapToGrid w:val="0"/>
          <w:sz w:val="22"/>
          <w:szCs w:val="24"/>
        </w:rPr>
        <w:t>metų vaikams bei paaugliams, sergantiems kliniškai</w:t>
      </w:r>
      <w:r w:rsidRPr="00211E3B">
        <w:rPr>
          <w:snapToGrid w:val="0"/>
          <w:sz w:val="22"/>
          <w:szCs w:val="24"/>
        </w:rPr>
        <w:t xml:space="preserve"> </w:t>
      </w:r>
      <w:r w:rsidR="005E424F" w:rsidRPr="00211E3B">
        <w:rPr>
          <w:snapToGrid w:val="0"/>
          <w:sz w:val="22"/>
          <w:szCs w:val="24"/>
        </w:rPr>
        <w:t>reikšmingomis fibrozinėmis intersticinėmis plaučių ligomis (IPL)</w:t>
      </w:r>
      <w:r w:rsidRPr="00211E3B">
        <w:rPr>
          <w:snapToGrid w:val="0"/>
          <w:sz w:val="22"/>
          <w:szCs w:val="24"/>
        </w:rPr>
        <w:t>,</w:t>
      </w:r>
      <w:r w:rsidR="005E424F" w:rsidRPr="00211E3B">
        <w:rPr>
          <w:snapToGrid w:val="0"/>
          <w:sz w:val="22"/>
          <w:szCs w:val="24"/>
        </w:rPr>
        <w:t xml:space="preserve"> vertinti žvalgomuoju, atsitiktinių</w:t>
      </w:r>
      <w:r w:rsidRPr="00211E3B">
        <w:rPr>
          <w:snapToGrid w:val="0"/>
          <w:sz w:val="22"/>
          <w:szCs w:val="24"/>
        </w:rPr>
        <w:t xml:space="preserve"> </w:t>
      </w:r>
      <w:r w:rsidR="005E424F" w:rsidRPr="00211E3B">
        <w:rPr>
          <w:snapToGrid w:val="0"/>
          <w:sz w:val="22"/>
          <w:szCs w:val="24"/>
        </w:rPr>
        <w:t>imčių, placebu kontroliuojamu III</w:t>
      </w:r>
      <w:r w:rsidRPr="00211E3B">
        <w:rPr>
          <w:snapToGrid w:val="0"/>
          <w:sz w:val="22"/>
          <w:szCs w:val="24"/>
        </w:rPr>
        <w:t> </w:t>
      </w:r>
      <w:r w:rsidR="005E424F" w:rsidRPr="00211E3B">
        <w:rPr>
          <w:snapToGrid w:val="0"/>
          <w:sz w:val="22"/>
          <w:szCs w:val="24"/>
        </w:rPr>
        <w:t>fazės tyrimu (InPedILD 1199.337) (žr. 4.2</w:t>
      </w:r>
      <w:r w:rsidR="00CA02A2" w:rsidRPr="00211E3B">
        <w:rPr>
          <w:snapToGrid w:val="0"/>
          <w:sz w:val="22"/>
          <w:szCs w:val="24"/>
        </w:rPr>
        <w:t> </w:t>
      </w:r>
      <w:r w:rsidR="005E424F" w:rsidRPr="00211E3B">
        <w:rPr>
          <w:snapToGrid w:val="0"/>
          <w:sz w:val="22"/>
          <w:szCs w:val="24"/>
        </w:rPr>
        <w:t>skyrių).</w:t>
      </w:r>
    </w:p>
    <w:p w14:paraId="0241891D" w14:textId="77777777" w:rsidR="00CA02A2" w:rsidRPr="00211E3B" w:rsidRDefault="00CA02A2" w:rsidP="005E424F">
      <w:pPr>
        <w:ind w:right="-142"/>
        <w:rPr>
          <w:snapToGrid w:val="0"/>
          <w:sz w:val="22"/>
          <w:szCs w:val="24"/>
        </w:rPr>
      </w:pPr>
    </w:p>
    <w:p w14:paraId="41435DD6" w14:textId="416C2BB5" w:rsidR="005E424F" w:rsidRPr="00211E3B" w:rsidRDefault="005E424F" w:rsidP="005E424F">
      <w:pPr>
        <w:ind w:right="-142"/>
        <w:rPr>
          <w:snapToGrid w:val="0"/>
          <w:sz w:val="22"/>
          <w:szCs w:val="24"/>
        </w:rPr>
      </w:pPr>
      <w:r w:rsidRPr="00211E3B">
        <w:rPr>
          <w:snapToGrid w:val="0"/>
          <w:sz w:val="22"/>
          <w:szCs w:val="24"/>
        </w:rPr>
        <w:t xml:space="preserve">Tyrime InPedILD dalyvavo vaikai ir paaugliai </w:t>
      </w:r>
      <w:r w:rsidR="003D45C5" w:rsidRPr="00211E3B">
        <w:rPr>
          <w:snapToGrid w:val="0"/>
          <w:sz w:val="22"/>
          <w:szCs w:val="24"/>
        </w:rPr>
        <w:t>(</w:t>
      </w:r>
      <w:r w:rsidRPr="00211E3B">
        <w:rPr>
          <w:snapToGrid w:val="0"/>
          <w:sz w:val="22"/>
          <w:szCs w:val="24"/>
        </w:rPr>
        <w:t>nuo 6 iki 17</w:t>
      </w:r>
      <w:r w:rsidR="003D45C5" w:rsidRPr="00211E3B">
        <w:rPr>
          <w:snapToGrid w:val="0"/>
          <w:sz w:val="22"/>
          <w:szCs w:val="24"/>
        </w:rPr>
        <w:t> </w:t>
      </w:r>
      <w:r w:rsidRPr="00211E3B">
        <w:rPr>
          <w:snapToGrid w:val="0"/>
          <w:sz w:val="22"/>
          <w:szCs w:val="24"/>
        </w:rPr>
        <w:t>metų</w:t>
      </w:r>
      <w:r w:rsidR="003D45C5" w:rsidRPr="00211E3B">
        <w:rPr>
          <w:snapToGrid w:val="0"/>
          <w:sz w:val="22"/>
          <w:szCs w:val="24"/>
        </w:rPr>
        <w:t>)</w:t>
      </w:r>
      <w:r w:rsidRPr="00211E3B">
        <w:rPr>
          <w:snapToGrid w:val="0"/>
          <w:sz w:val="22"/>
          <w:szCs w:val="24"/>
        </w:rPr>
        <w:t xml:space="preserve">, </w:t>
      </w:r>
      <w:r w:rsidR="003D45C5" w:rsidRPr="00211E3B">
        <w:rPr>
          <w:snapToGrid w:val="0"/>
          <w:sz w:val="22"/>
          <w:szCs w:val="24"/>
        </w:rPr>
        <w:t>kurie sirgo</w:t>
      </w:r>
      <w:r w:rsidRPr="00211E3B">
        <w:rPr>
          <w:snapToGrid w:val="0"/>
          <w:sz w:val="22"/>
          <w:szCs w:val="24"/>
        </w:rPr>
        <w:t xml:space="preserve"> kliniškai reikšminga</w:t>
      </w:r>
      <w:r w:rsidR="003D45C5" w:rsidRPr="00211E3B">
        <w:rPr>
          <w:snapToGrid w:val="0"/>
          <w:sz w:val="22"/>
          <w:szCs w:val="24"/>
        </w:rPr>
        <w:t xml:space="preserve"> </w:t>
      </w:r>
      <w:r w:rsidRPr="00211E3B">
        <w:rPr>
          <w:snapToGrid w:val="0"/>
          <w:sz w:val="22"/>
          <w:szCs w:val="24"/>
        </w:rPr>
        <w:t>fibrozine IPL</w:t>
      </w:r>
      <w:r w:rsidR="003D45C5" w:rsidRPr="00211E3B">
        <w:rPr>
          <w:snapToGrid w:val="0"/>
          <w:sz w:val="22"/>
          <w:szCs w:val="24"/>
        </w:rPr>
        <w:t xml:space="preserve"> ir</w:t>
      </w:r>
      <w:r w:rsidRPr="00211E3B">
        <w:rPr>
          <w:snapToGrid w:val="0"/>
          <w:sz w:val="22"/>
          <w:szCs w:val="24"/>
        </w:rPr>
        <w:t xml:space="preserve"> kurių FGPT siekė bent 25</w:t>
      </w:r>
      <w:r w:rsidR="0085390D">
        <w:rPr>
          <w:snapToGrid w:val="0"/>
          <w:sz w:val="22"/>
          <w:szCs w:val="24"/>
        </w:rPr>
        <w:t> %</w:t>
      </w:r>
      <w:r w:rsidRPr="00211E3B">
        <w:rPr>
          <w:snapToGrid w:val="0"/>
          <w:sz w:val="22"/>
          <w:szCs w:val="24"/>
        </w:rPr>
        <w:t xml:space="preserve"> numatyto</w:t>
      </w:r>
      <w:r w:rsidR="003D45C5" w:rsidRPr="00211E3B">
        <w:rPr>
          <w:snapToGrid w:val="0"/>
          <w:sz w:val="22"/>
          <w:szCs w:val="24"/>
        </w:rPr>
        <w:t xml:space="preserve"> rodmens</w:t>
      </w:r>
      <w:r w:rsidRPr="00211E3B">
        <w:rPr>
          <w:snapToGrid w:val="0"/>
          <w:sz w:val="22"/>
          <w:szCs w:val="24"/>
        </w:rPr>
        <w:t xml:space="preserve">. Pacientai </w:t>
      </w:r>
      <w:r w:rsidR="003D45C5" w:rsidRPr="00211E3B">
        <w:rPr>
          <w:snapToGrid w:val="0"/>
          <w:sz w:val="22"/>
          <w:szCs w:val="24"/>
        </w:rPr>
        <w:t xml:space="preserve">buvo </w:t>
      </w:r>
      <w:r w:rsidRPr="00211E3B">
        <w:rPr>
          <w:snapToGrid w:val="0"/>
          <w:sz w:val="22"/>
          <w:szCs w:val="24"/>
        </w:rPr>
        <w:t>klasifikuoti kaip sergantys</w:t>
      </w:r>
      <w:r w:rsidR="003D45C5" w:rsidRPr="00211E3B">
        <w:rPr>
          <w:snapToGrid w:val="0"/>
          <w:sz w:val="22"/>
          <w:szCs w:val="24"/>
        </w:rPr>
        <w:t xml:space="preserve"> </w:t>
      </w:r>
      <w:r w:rsidRPr="00211E3B">
        <w:rPr>
          <w:snapToGrid w:val="0"/>
          <w:sz w:val="22"/>
          <w:szCs w:val="24"/>
        </w:rPr>
        <w:t>fibrozine IPL, remiantis fibrozės įrodymais dviem DSGKT skenavimais (kai vienas DSGKT</w:t>
      </w:r>
      <w:r w:rsidR="003D45C5" w:rsidRPr="00211E3B">
        <w:rPr>
          <w:snapToGrid w:val="0"/>
          <w:sz w:val="22"/>
          <w:szCs w:val="24"/>
        </w:rPr>
        <w:t xml:space="preserve"> </w:t>
      </w:r>
      <w:r w:rsidRPr="00211E3B">
        <w:rPr>
          <w:snapToGrid w:val="0"/>
          <w:sz w:val="22"/>
          <w:szCs w:val="24"/>
        </w:rPr>
        <w:t xml:space="preserve">skenavimas atliktas per paskutinius </w:t>
      </w:r>
      <w:r w:rsidR="003D45C5" w:rsidRPr="00211E3B">
        <w:rPr>
          <w:snapToGrid w:val="0"/>
          <w:sz w:val="22"/>
          <w:szCs w:val="24"/>
        </w:rPr>
        <w:t>12 m</w:t>
      </w:r>
      <w:r w:rsidRPr="00211E3B">
        <w:rPr>
          <w:snapToGrid w:val="0"/>
          <w:sz w:val="22"/>
          <w:szCs w:val="24"/>
        </w:rPr>
        <w:t>ėnesių) arba fibrozės įrodymais plaučių biopsijo</w:t>
      </w:r>
      <w:r w:rsidR="003D45C5" w:rsidRPr="00211E3B">
        <w:rPr>
          <w:snapToGrid w:val="0"/>
          <w:sz w:val="22"/>
          <w:szCs w:val="24"/>
        </w:rPr>
        <w:t>s medžiagoje</w:t>
      </w:r>
      <w:r w:rsidRPr="00211E3B">
        <w:rPr>
          <w:snapToGrid w:val="0"/>
          <w:sz w:val="22"/>
          <w:szCs w:val="24"/>
        </w:rPr>
        <w:t xml:space="preserve"> ir vienu</w:t>
      </w:r>
      <w:r w:rsidR="003D45C5" w:rsidRPr="00211E3B">
        <w:rPr>
          <w:snapToGrid w:val="0"/>
          <w:sz w:val="22"/>
          <w:szCs w:val="24"/>
        </w:rPr>
        <w:t xml:space="preserve"> </w:t>
      </w:r>
      <w:r w:rsidRPr="00211E3B">
        <w:rPr>
          <w:snapToGrid w:val="0"/>
          <w:sz w:val="22"/>
          <w:szCs w:val="24"/>
        </w:rPr>
        <w:t xml:space="preserve">DSGKT skenavimu, atliktu per paskutinius </w:t>
      </w:r>
      <w:r w:rsidR="003D45C5" w:rsidRPr="00211E3B">
        <w:rPr>
          <w:snapToGrid w:val="0"/>
          <w:sz w:val="22"/>
          <w:szCs w:val="24"/>
        </w:rPr>
        <w:t>12 m</w:t>
      </w:r>
      <w:r w:rsidRPr="00211E3B">
        <w:rPr>
          <w:snapToGrid w:val="0"/>
          <w:sz w:val="22"/>
          <w:szCs w:val="24"/>
        </w:rPr>
        <w:t>ėnesių.</w:t>
      </w:r>
    </w:p>
    <w:p w14:paraId="3EF3D544" w14:textId="77777777" w:rsidR="003D45C5" w:rsidRPr="00211E3B" w:rsidRDefault="003D45C5" w:rsidP="005E424F">
      <w:pPr>
        <w:ind w:right="-142"/>
        <w:rPr>
          <w:snapToGrid w:val="0"/>
          <w:sz w:val="22"/>
          <w:szCs w:val="24"/>
        </w:rPr>
      </w:pPr>
    </w:p>
    <w:p w14:paraId="708CD446" w14:textId="3FDDB650" w:rsidR="005E424F" w:rsidRPr="00211E3B" w:rsidRDefault="005E424F" w:rsidP="005E424F">
      <w:pPr>
        <w:ind w:right="-142"/>
        <w:rPr>
          <w:snapToGrid w:val="0"/>
          <w:sz w:val="22"/>
          <w:szCs w:val="24"/>
        </w:rPr>
      </w:pPr>
      <w:r w:rsidRPr="00211E3B">
        <w:rPr>
          <w:snapToGrid w:val="0"/>
          <w:sz w:val="22"/>
          <w:szCs w:val="24"/>
        </w:rPr>
        <w:t xml:space="preserve">Kliniškai reikšminga liga apibrėžta kaip </w:t>
      </w:r>
      <w:r w:rsidR="00F1671B" w:rsidRPr="00211E3B">
        <w:rPr>
          <w:snapToGrid w:val="0"/>
          <w:sz w:val="22"/>
          <w:szCs w:val="24"/>
        </w:rPr>
        <w:t>Fan skalės įvertinimas</w:t>
      </w:r>
      <w:r w:rsidRPr="00211E3B">
        <w:rPr>
          <w:snapToGrid w:val="0"/>
          <w:sz w:val="22"/>
          <w:szCs w:val="24"/>
        </w:rPr>
        <w:t xml:space="preserve"> ≥</w:t>
      </w:r>
      <w:r w:rsidR="00F1671B" w:rsidRPr="00211E3B">
        <w:rPr>
          <w:snapToGrid w:val="0"/>
          <w:sz w:val="22"/>
          <w:szCs w:val="24"/>
        </w:rPr>
        <w:t> </w:t>
      </w:r>
      <w:r w:rsidRPr="00211E3B">
        <w:rPr>
          <w:snapToGrid w:val="0"/>
          <w:sz w:val="22"/>
          <w:szCs w:val="24"/>
        </w:rPr>
        <w:t>3 arba dokumentuotas klinikinio</w:t>
      </w:r>
      <w:r w:rsidR="00F1671B" w:rsidRPr="00211E3B">
        <w:rPr>
          <w:snapToGrid w:val="0"/>
          <w:sz w:val="22"/>
          <w:szCs w:val="24"/>
        </w:rPr>
        <w:t xml:space="preserve"> p</w:t>
      </w:r>
      <w:r w:rsidRPr="00211E3B">
        <w:rPr>
          <w:snapToGrid w:val="0"/>
          <w:sz w:val="22"/>
          <w:szCs w:val="24"/>
        </w:rPr>
        <w:t>rogresavimo įrodymas bet kur</w:t>
      </w:r>
      <w:r w:rsidR="00F1671B" w:rsidRPr="00211E3B">
        <w:rPr>
          <w:snapToGrid w:val="0"/>
          <w:sz w:val="22"/>
          <w:szCs w:val="24"/>
        </w:rPr>
        <w:t>iuo</w:t>
      </w:r>
      <w:r w:rsidRPr="00211E3B">
        <w:rPr>
          <w:snapToGrid w:val="0"/>
          <w:sz w:val="22"/>
          <w:szCs w:val="24"/>
        </w:rPr>
        <w:t xml:space="preserve"> laikotarp</w:t>
      </w:r>
      <w:r w:rsidR="00F1671B" w:rsidRPr="00211E3B">
        <w:rPr>
          <w:snapToGrid w:val="0"/>
          <w:sz w:val="22"/>
          <w:szCs w:val="24"/>
        </w:rPr>
        <w:t>iu</w:t>
      </w:r>
      <w:r w:rsidRPr="00211E3B">
        <w:rPr>
          <w:snapToGrid w:val="0"/>
          <w:sz w:val="22"/>
          <w:szCs w:val="24"/>
        </w:rPr>
        <w:t>. Klinikinio progresavimo įrodymas buvo pagrįstas</w:t>
      </w:r>
      <w:r w:rsidR="00B75432" w:rsidRPr="00211E3B">
        <w:rPr>
          <w:snapToGrid w:val="0"/>
          <w:sz w:val="22"/>
          <w:szCs w:val="24"/>
        </w:rPr>
        <w:t xml:space="preserve"> </w:t>
      </w:r>
      <w:r w:rsidRPr="00211E3B">
        <w:rPr>
          <w:snapToGrid w:val="0"/>
          <w:sz w:val="22"/>
          <w:szCs w:val="24"/>
        </w:rPr>
        <w:t>santykiniu FGPT sumažėjimu ≥</w:t>
      </w:r>
      <w:r w:rsidR="00B75432" w:rsidRPr="00211E3B">
        <w:rPr>
          <w:snapToGrid w:val="0"/>
          <w:sz w:val="22"/>
          <w:szCs w:val="24"/>
        </w:rPr>
        <w:t> </w:t>
      </w:r>
      <w:r w:rsidRPr="00211E3B">
        <w:rPr>
          <w:snapToGrid w:val="0"/>
          <w:sz w:val="22"/>
          <w:szCs w:val="24"/>
        </w:rPr>
        <w:t>10</w:t>
      </w:r>
      <w:r w:rsidR="0085390D">
        <w:rPr>
          <w:snapToGrid w:val="0"/>
          <w:sz w:val="22"/>
          <w:szCs w:val="24"/>
        </w:rPr>
        <w:t> %</w:t>
      </w:r>
      <w:r w:rsidRPr="00211E3B">
        <w:rPr>
          <w:snapToGrid w:val="0"/>
          <w:sz w:val="22"/>
          <w:szCs w:val="24"/>
        </w:rPr>
        <w:t xml:space="preserve"> numatyto</w:t>
      </w:r>
      <w:r w:rsidR="00B75432" w:rsidRPr="00211E3B">
        <w:rPr>
          <w:snapToGrid w:val="0"/>
          <w:sz w:val="22"/>
          <w:szCs w:val="24"/>
        </w:rPr>
        <w:t xml:space="preserve"> rodmens</w:t>
      </w:r>
      <w:r w:rsidRPr="00211E3B">
        <w:rPr>
          <w:snapToGrid w:val="0"/>
          <w:sz w:val="22"/>
          <w:szCs w:val="24"/>
        </w:rPr>
        <w:t>, FGPT sumažėjimu 5–10</w:t>
      </w:r>
      <w:r w:rsidR="0085390D">
        <w:rPr>
          <w:snapToGrid w:val="0"/>
          <w:sz w:val="22"/>
          <w:szCs w:val="24"/>
        </w:rPr>
        <w:t> %</w:t>
      </w:r>
      <w:r w:rsidRPr="00211E3B">
        <w:rPr>
          <w:snapToGrid w:val="0"/>
          <w:sz w:val="22"/>
          <w:szCs w:val="24"/>
        </w:rPr>
        <w:t xml:space="preserve"> </w:t>
      </w:r>
      <w:r w:rsidR="00B75432" w:rsidRPr="00211E3B">
        <w:rPr>
          <w:snapToGrid w:val="0"/>
          <w:sz w:val="22"/>
          <w:szCs w:val="24"/>
        </w:rPr>
        <w:t>numatyto rodmens</w:t>
      </w:r>
      <w:r w:rsidRPr="00211E3B">
        <w:rPr>
          <w:snapToGrid w:val="0"/>
          <w:sz w:val="22"/>
          <w:szCs w:val="24"/>
        </w:rPr>
        <w:t xml:space="preserve"> su simptomų sustiprėjimu, pablogėjusia fibrozės eiga DSGKT </w:t>
      </w:r>
      <w:r w:rsidR="00B75432" w:rsidRPr="00211E3B">
        <w:rPr>
          <w:snapToGrid w:val="0"/>
          <w:sz w:val="22"/>
          <w:szCs w:val="24"/>
        </w:rPr>
        <w:t xml:space="preserve">duomenimis </w:t>
      </w:r>
      <w:r w:rsidRPr="00211E3B">
        <w:rPr>
          <w:snapToGrid w:val="0"/>
          <w:sz w:val="22"/>
          <w:szCs w:val="24"/>
        </w:rPr>
        <w:t>arba pagal kitus klinikinio</w:t>
      </w:r>
      <w:r w:rsidR="00B75432" w:rsidRPr="00211E3B">
        <w:rPr>
          <w:snapToGrid w:val="0"/>
          <w:sz w:val="22"/>
          <w:szCs w:val="24"/>
        </w:rPr>
        <w:t xml:space="preserve"> </w:t>
      </w:r>
      <w:r w:rsidRPr="00211E3B">
        <w:rPr>
          <w:snapToGrid w:val="0"/>
          <w:sz w:val="22"/>
          <w:szCs w:val="24"/>
        </w:rPr>
        <w:t xml:space="preserve">pablogėjimo </w:t>
      </w:r>
      <w:r w:rsidR="00B75432" w:rsidRPr="00211E3B">
        <w:rPr>
          <w:snapToGrid w:val="0"/>
          <w:sz w:val="22"/>
          <w:szCs w:val="24"/>
        </w:rPr>
        <w:t>parametrus</w:t>
      </w:r>
      <w:r w:rsidRPr="00211E3B">
        <w:rPr>
          <w:snapToGrid w:val="0"/>
          <w:sz w:val="22"/>
          <w:szCs w:val="24"/>
        </w:rPr>
        <w:t>, susijusius su progresuojančia plaučių fibroze (pvz., padidėjusiu deguonies</w:t>
      </w:r>
      <w:r w:rsidR="00B75432" w:rsidRPr="00211E3B">
        <w:rPr>
          <w:snapToGrid w:val="0"/>
          <w:sz w:val="22"/>
          <w:szCs w:val="24"/>
        </w:rPr>
        <w:t xml:space="preserve"> </w:t>
      </w:r>
      <w:r w:rsidRPr="00211E3B">
        <w:rPr>
          <w:snapToGrid w:val="0"/>
          <w:sz w:val="22"/>
          <w:szCs w:val="24"/>
        </w:rPr>
        <w:t>poreikiu, sumažėjusia difuzijos geba), nors to nereikalauta įtraukiant pacientus, kurių Fan</w:t>
      </w:r>
      <w:r w:rsidR="00B75432" w:rsidRPr="00211E3B">
        <w:rPr>
          <w:snapToGrid w:val="0"/>
          <w:sz w:val="22"/>
          <w:szCs w:val="24"/>
        </w:rPr>
        <w:t>skalės įvertinimas buvo</w:t>
      </w:r>
      <w:r w:rsidRPr="00211E3B">
        <w:rPr>
          <w:snapToGrid w:val="0"/>
          <w:sz w:val="22"/>
          <w:szCs w:val="24"/>
        </w:rPr>
        <w:t xml:space="preserve"> ≥</w:t>
      </w:r>
      <w:r w:rsidR="00B75432" w:rsidRPr="00211E3B">
        <w:rPr>
          <w:snapToGrid w:val="0"/>
          <w:sz w:val="22"/>
          <w:szCs w:val="24"/>
        </w:rPr>
        <w:t> </w:t>
      </w:r>
      <w:r w:rsidRPr="00211E3B">
        <w:rPr>
          <w:snapToGrid w:val="0"/>
          <w:sz w:val="22"/>
          <w:szCs w:val="24"/>
        </w:rPr>
        <w:t>3.</w:t>
      </w:r>
    </w:p>
    <w:p w14:paraId="72AD52A0" w14:textId="4C5CD5F6" w:rsidR="005E424F" w:rsidRPr="00211E3B" w:rsidRDefault="005E424F" w:rsidP="005E424F">
      <w:pPr>
        <w:ind w:right="-142"/>
        <w:rPr>
          <w:snapToGrid w:val="0"/>
          <w:sz w:val="22"/>
          <w:szCs w:val="24"/>
        </w:rPr>
      </w:pPr>
      <w:r w:rsidRPr="00211E3B">
        <w:rPr>
          <w:snapToGrid w:val="0"/>
          <w:sz w:val="22"/>
          <w:szCs w:val="24"/>
        </w:rPr>
        <w:t xml:space="preserve">Pacientai </w:t>
      </w:r>
      <w:r w:rsidR="00050E42" w:rsidRPr="00211E3B">
        <w:rPr>
          <w:snapToGrid w:val="0"/>
          <w:sz w:val="22"/>
          <w:szCs w:val="24"/>
        </w:rPr>
        <w:t>buvo priskirti atsitiktinėms imtims</w:t>
      </w:r>
      <w:r w:rsidRPr="00211E3B">
        <w:rPr>
          <w:snapToGrid w:val="0"/>
          <w:sz w:val="22"/>
          <w:szCs w:val="24"/>
        </w:rPr>
        <w:t xml:space="preserve"> santykiu 2:1 </w:t>
      </w:r>
      <w:r w:rsidR="00050E42" w:rsidRPr="00211E3B">
        <w:rPr>
          <w:snapToGrid w:val="0"/>
          <w:sz w:val="22"/>
          <w:szCs w:val="24"/>
        </w:rPr>
        <w:t>ir</w:t>
      </w:r>
      <w:r w:rsidRPr="00211E3B">
        <w:rPr>
          <w:snapToGrid w:val="0"/>
          <w:sz w:val="22"/>
          <w:szCs w:val="24"/>
        </w:rPr>
        <w:t xml:space="preserve"> 24</w:t>
      </w:r>
      <w:r w:rsidR="00050E42" w:rsidRPr="00211E3B">
        <w:rPr>
          <w:snapToGrid w:val="0"/>
          <w:sz w:val="22"/>
          <w:szCs w:val="24"/>
        </w:rPr>
        <w:t> </w:t>
      </w:r>
      <w:r w:rsidRPr="00211E3B">
        <w:rPr>
          <w:snapToGrid w:val="0"/>
          <w:sz w:val="22"/>
          <w:szCs w:val="24"/>
        </w:rPr>
        <w:t>savaites du kartus per parą</w:t>
      </w:r>
      <w:r w:rsidR="00050E42" w:rsidRPr="00211E3B">
        <w:rPr>
          <w:snapToGrid w:val="0"/>
          <w:sz w:val="22"/>
          <w:szCs w:val="24"/>
        </w:rPr>
        <w:t xml:space="preserve"> vartojo arba nintedanibą </w:t>
      </w:r>
      <w:r w:rsidRPr="00211E3B">
        <w:rPr>
          <w:snapToGrid w:val="0"/>
          <w:sz w:val="22"/>
          <w:szCs w:val="24"/>
        </w:rPr>
        <w:t>(dozes pritaikant pagal svorį, įskaitant 25</w:t>
      </w:r>
      <w:r w:rsidR="0085390D">
        <w:rPr>
          <w:snapToGrid w:val="0"/>
          <w:sz w:val="22"/>
          <w:szCs w:val="24"/>
        </w:rPr>
        <w:t> mg</w:t>
      </w:r>
      <w:r w:rsidRPr="00211E3B">
        <w:rPr>
          <w:snapToGrid w:val="0"/>
          <w:sz w:val="22"/>
          <w:szCs w:val="24"/>
        </w:rPr>
        <w:t xml:space="preserve"> kapsulės vartojimą) arba atitinkam</w:t>
      </w:r>
      <w:r w:rsidR="00050E42" w:rsidRPr="00211E3B">
        <w:rPr>
          <w:snapToGrid w:val="0"/>
          <w:sz w:val="22"/>
          <w:szCs w:val="24"/>
        </w:rPr>
        <w:t>ą</w:t>
      </w:r>
      <w:r w:rsidRPr="00211E3B">
        <w:rPr>
          <w:snapToGrid w:val="0"/>
          <w:sz w:val="22"/>
          <w:szCs w:val="24"/>
        </w:rPr>
        <w:t xml:space="preserve"> placebą, </w:t>
      </w:r>
      <w:r w:rsidR="00050E42" w:rsidRPr="00211E3B">
        <w:rPr>
          <w:snapToGrid w:val="0"/>
          <w:sz w:val="22"/>
          <w:szCs w:val="24"/>
        </w:rPr>
        <w:t xml:space="preserve">o </w:t>
      </w:r>
      <w:r w:rsidR="00050E42" w:rsidRPr="00211E3B">
        <w:rPr>
          <w:iCs/>
          <w:snapToGrid w:val="0"/>
          <w:sz w:val="22"/>
          <w:szCs w:val="22"/>
          <w:lang w:eastAsia="lt-LT"/>
        </w:rPr>
        <w:t>po to buvo taikomas nekoduotas įvairios trukmės gydymas nintedanibu</w:t>
      </w:r>
      <w:r w:rsidRPr="00211E3B">
        <w:rPr>
          <w:snapToGrid w:val="0"/>
          <w:sz w:val="22"/>
          <w:szCs w:val="24"/>
        </w:rPr>
        <w:t xml:space="preserve">. </w:t>
      </w:r>
      <w:r w:rsidR="00050E42" w:rsidRPr="00211E3B">
        <w:rPr>
          <w:snapToGrid w:val="0"/>
          <w:sz w:val="22"/>
          <w:szCs w:val="24"/>
        </w:rPr>
        <w:t>Buvo leidžiama</w:t>
      </w:r>
      <w:r w:rsidRPr="00211E3B">
        <w:rPr>
          <w:snapToGrid w:val="0"/>
          <w:sz w:val="22"/>
          <w:szCs w:val="24"/>
        </w:rPr>
        <w:t xml:space="preserve"> taikyti standartinį</w:t>
      </w:r>
      <w:r w:rsidR="00050E42" w:rsidRPr="00211E3B">
        <w:rPr>
          <w:snapToGrid w:val="0"/>
          <w:sz w:val="22"/>
          <w:szCs w:val="24"/>
        </w:rPr>
        <w:t xml:space="preserve"> </w:t>
      </w:r>
      <w:r w:rsidRPr="00211E3B">
        <w:rPr>
          <w:snapToGrid w:val="0"/>
          <w:sz w:val="22"/>
          <w:szCs w:val="24"/>
        </w:rPr>
        <w:t>gydymą gydančiojo gydytojo nuožiūra pagal klinikines indikacijas.</w:t>
      </w:r>
    </w:p>
    <w:p w14:paraId="44FA0D21" w14:textId="77777777" w:rsidR="00050E42" w:rsidRPr="00211E3B" w:rsidRDefault="00050E42" w:rsidP="005E424F">
      <w:pPr>
        <w:ind w:right="-142"/>
        <w:rPr>
          <w:snapToGrid w:val="0"/>
          <w:sz w:val="22"/>
          <w:szCs w:val="24"/>
        </w:rPr>
      </w:pPr>
    </w:p>
    <w:p w14:paraId="1C9EADD7" w14:textId="339184CA" w:rsidR="005E424F" w:rsidRPr="00211E3B" w:rsidRDefault="005E424F" w:rsidP="005E424F">
      <w:pPr>
        <w:ind w:right="-142"/>
        <w:rPr>
          <w:snapToGrid w:val="0"/>
          <w:sz w:val="22"/>
          <w:szCs w:val="24"/>
        </w:rPr>
      </w:pPr>
      <w:r w:rsidRPr="00211E3B">
        <w:rPr>
          <w:snapToGrid w:val="0"/>
          <w:sz w:val="22"/>
          <w:szCs w:val="24"/>
        </w:rPr>
        <w:t>Iš viso atsitiktin</w:t>
      </w:r>
      <w:r w:rsidR="00146FEE" w:rsidRPr="00211E3B">
        <w:rPr>
          <w:snapToGrid w:val="0"/>
          <w:sz w:val="22"/>
          <w:szCs w:val="24"/>
        </w:rPr>
        <w:t xml:space="preserve">ėms imtims buvo priskirti </w:t>
      </w:r>
      <w:r w:rsidRPr="00211E3B">
        <w:rPr>
          <w:snapToGrid w:val="0"/>
          <w:sz w:val="22"/>
          <w:szCs w:val="24"/>
        </w:rPr>
        <w:t>39</w:t>
      </w:r>
      <w:r w:rsidR="00146FEE" w:rsidRPr="00211E3B">
        <w:rPr>
          <w:snapToGrid w:val="0"/>
          <w:sz w:val="22"/>
          <w:szCs w:val="24"/>
        </w:rPr>
        <w:t> </w:t>
      </w:r>
      <w:r w:rsidRPr="00211E3B">
        <w:rPr>
          <w:snapToGrid w:val="0"/>
          <w:sz w:val="22"/>
          <w:szCs w:val="24"/>
        </w:rPr>
        <w:t>pacientai (61,5</w:t>
      </w:r>
      <w:r w:rsidR="0085390D">
        <w:rPr>
          <w:snapToGrid w:val="0"/>
          <w:sz w:val="22"/>
          <w:szCs w:val="24"/>
        </w:rPr>
        <w:t> %</w:t>
      </w:r>
      <w:r w:rsidRPr="00211E3B">
        <w:rPr>
          <w:snapToGrid w:val="0"/>
          <w:sz w:val="22"/>
          <w:szCs w:val="24"/>
        </w:rPr>
        <w:t xml:space="preserve"> moteriškos lyties) (6</w:t>
      </w:r>
      <w:r w:rsidR="00146FEE" w:rsidRPr="00211E3B">
        <w:rPr>
          <w:snapToGrid w:val="0"/>
          <w:sz w:val="22"/>
          <w:szCs w:val="24"/>
        </w:rPr>
        <w:noBreakHyphen/>
      </w:r>
      <w:r w:rsidRPr="00211E3B">
        <w:rPr>
          <w:snapToGrid w:val="0"/>
          <w:sz w:val="22"/>
          <w:szCs w:val="24"/>
        </w:rPr>
        <w:t>11</w:t>
      </w:r>
      <w:r w:rsidR="00146FEE" w:rsidRPr="00211E3B">
        <w:rPr>
          <w:snapToGrid w:val="0"/>
          <w:sz w:val="22"/>
          <w:szCs w:val="24"/>
        </w:rPr>
        <w:t> </w:t>
      </w:r>
      <w:r w:rsidRPr="00211E3B">
        <w:rPr>
          <w:snapToGrid w:val="0"/>
          <w:sz w:val="22"/>
          <w:szCs w:val="24"/>
        </w:rPr>
        <w:t>metų:</w:t>
      </w:r>
      <w:r w:rsidR="00146FEE" w:rsidRPr="00211E3B">
        <w:rPr>
          <w:snapToGrid w:val="0"/>
          <w:sz w:val="22"/>
          <w:szCs w:val="24"/>
        </w:rPr>
        <w:t xml:space="preserve"> </w:t>
      </w:r>
      <w:r w:rsidRPr="00211E3B">
        <w:rPr>
          <w:snapToGrid w:val="0"/>
          <w:sz w:val="22"/>
          <w:szCs w:val="24"/>
        </w:rPr>
        <w:t>12</w:t>
      </w:r>
      <w:r w:rsidR="00146FEE" w:rsidRPr="00211E3B">
        <w:rPr>
          <w:snapToGrid w:val="0"/>
          <w:sz w:val="22"/>
          <w:szCs w:val="24"/>
        </w:rPr>
        <w:t> </w:t>
      </w:r>
      <w:r w:rsidRPr="00211E3B">
        <w:rPr>
          <w:snapToGrid w:val="0"/>
          <w:sz w:val="22"/>
          <w:szCs w:val="24"/>
        </w:rPr>
        <w:t>pacientų, 12</w:t>
      </w:r>
      <w:r w:rsidR="00146FEE" w:rsidRPr="00211E3B">
        <w:rPr>
          <w:snapToGrid w:val="0"/>
          <w:sz w:val="22"/>
          <w:szCs w:val="24"/>
        </w:rPr>
        <w:noBreakHyphen/>
      </w:r>
      <w:r w:rsidRPr="00211E3B">
        <w:rPr>
          <w:snapToGrid w:val="0"/>
          <w:sz w:val="22"/>
          <w:szCs w:val="24"/>
        </w:rPr>
        <w:t>17</w:t>
      </w:r>
      <w:r w:rsidR="00146FEE" w:rsidRPr="00211E3B">
        <w:rPr>
          <w:snapToGrid w:val="0"/>
          <w:sz w:val="22"/>
          <w:szCs w:val="24"/>
        </w:rPr>
        <w:t> </w:t>
      </w:r>
      <w:r w:rsidRPr="00211E3B">
        <w:rPr>
          <w:snapToGrid w:val="0"/>
          <w:sz w:val="22"/>
          <w:szCs w:val="24"/>
        </w:rPr>
        <w:t>metų: 27</w:t>
      </w:r>
      <w:r w:rsidR="00146FEE" w:rsidRPr="00211E3B">
        <w:rPr>
          <w:snapToGrid w:val="0"/>
          <w:sz w:val="22"/>
          <w:szCs w:val="24"/>
        </w:rPr>
        <w:t> </w:t>
      </w:r>
      <w:r w:rsidRPr="00211E3B">
        <w:rPr>
          <w:snapToGrid w:val="0"/>
          <w:sz w:val="22"/>
          <w:szCs w:val="24"/>
        </w:rPr>
        <w:t>pacientai). Vidutinis [standartinis nuokrypis (SN)] amžius buvo</w:t>
      </w:r>
      <w:r w:rsidR="00146FEE" w:rsidRPr="00211E3B">
        <w:rPr>
          <w:snapToGrid w:val="0"/>
          <w:sz w:val="22"/>
          <w:szCs w:val="24"/>
        </w:rPr>
        <w:t xml:space="preserve"> </w:t>
      </w:r>
      <w:r w:rsidRPr="00211E3B">
        <w:rPr>
          <w:snapToGrid w:val="0"/>
          <w:sz w:val="22"/>
          <w:szCs w:val="24"/>
        </w:rPr>
        <w:t>12,6 (3,3) metų.</w:t>
      </w:r>
      <w:r w:rsidR="00146FEE" w:rsidRPr="00211E3B">
        <w:rPr>
          <w:snapToGrid w:val="0"/>
          <w:sz w:val="22"/>
          <w:szCs w:val="24"/>
        </w:rPr>
        <w:t xml:space="preserve"> </w:t>
      </w:r>
      <w:r w:rsidRPr="00211E3B">
        <w:rPr>
          <w:snapToGrid w:val="0"/>
          <w:sz w:val="22"/>
          <w:szCs w:val="24"/>
        </w:rPr>
        <w:t xml:space="preserve">Vidutinis (SN) </w:t>
      </w:r>
      <w:r w:rsidR="00146FEE" w:rsidRPr="00211E3B">
        <w:rPr>
          <w:snapToGrid w:val="0"/>
          <w:sz w:val="22"/>
          <w:szCs w:val="24"/>
        </w:rPr>
        <w:t xml:space="preserve">kūno </w:t>
      </w:r>
      <w:r w:rsidRPr="00211E3B">
        <w:rPr>
          <w:snapToGrid w:val="0"/>
          <w:sz w:val="22"/>
          <w:szCs w:val="24"/>
        </w:rPr>
        <w:t>svoris buvo 42,2</w:t>
      </w:r>
      <w:r w:rsidR="00146FEE" w:rsidRPr="00211E3B">
        <w:rPr>
          <w:snapToGrid w:val="0"/>
          <w:sz w:val="22"/>
          <w:szCs w:val="24"/>
        </w:rPr>
        <w:t> kg</w:t>
      </w:r>
      <w:r w:rsidRPr="00211E3B">
        <w:rPr>
          <w:snapToGrid w:val="0"/>
          <w:sz w:val="22"/>
          <w:szCs w:val="24"/>
        </w:rPr>
        <w:t xml:space="preserve"> (17,8</w:t>
      </w:r>
      <w:r w:rsidR="00146FEE" w:rsidRPr="00211E3B">
        <w:rPr>
          <w:snapToGrid w:val="0"/>
          <w:sz w:val="22"/>
          <w:szCs w:val="24"/>
        </w:rPr>
        <w:t> kg</w:t>
      </w:r>
      <w:r w:rsidRPr="00211E3B">
        <w:rPr>
          <w:snapToGrid w:val="0"/>
          <w:sz w:val="22"/>
          <w:szCs w:val="24"/>
        </w:rPr>
        <w:t>); 6-11</w:t>
      </w:r>
      <w:r w:rsidR="00D171A9" w:rsidRPr="00211E3B">
        <w:rPr>
          <w:snapToGrid w:val="0"/>
          <w:sz w:val="22"/>
          <w:szCs w:val="24"/>
        </w:rPr>
        <w:t> </w:t>
      </w:r>
      <w:r w:rsidRPr="00211E3B">
        <w:rPr>
          <w:snapToGrid w:val="0"/>
          <w:sz w:val="22"/>
          <w:szCs w:val="24"/>
        </w:rPr>
        <w:t>metų: 26,6</w:t>
      </w:r>
      <w:r w:rsidR="00146FEE" w:rsidRPr="00211E3B">
        <w:rPr>
          <w:snapToGrid w:val="0"/>
          <w:sz w:val="22"/>
          <w:szCs w:val="24"/>
        </w:rPr>
        <w:t> kg</w:t>
      </w:r>
      <w:r w:rsidRPr="00211E3B">
        <w:rPr>
          <w:snapToGrid w:val="0"/>
          <w:sz w:val="22"/>
          <w:szCs w:val="24"/>
        </w:rPr>
        <w:t xml:space="preserve"> (10,4</w:t>
      </w:r>
      <w:r w:rsidR="00146FEE" w:rsidRPr="00211E3B">
        <w:rPr>
          <w:snapToGrid w:val="0"/>
          <w:sz w:val="22"/>
          <w:szCs w:val="24"/>
        </w:rPr>
        <w:t> kg</w:t>
      </w:r>
      <w:r w:rsidRPr="00211E3B">
        <w:rPr>
          <w:snapToGrid w:val="0"/>
          <w:sz w:val="22"/>
          <w:szCs w:val="24"/>
        </w:rPr>
        <w:t>), 12-17</w:t>
      </w:r>
      <w:r w:rsidR="00D171A9" w:rsidRPr="00211E3B">
        <w:rPr>
          <w:snapToGrid w:val="0"/>
          <w:sz w:val="22"/>
          <w:szCs w:val="24"/>
        </w:rPr>
        <w:t> </w:t>
      </w:r>
      <w:r w:rsidRPr="00211E3B">
        <w:rPr>
          <w:snapToGrid w:val="0"/>
          <w:sz w:val="22"/>
          <w:szCs w:val="24"/>
        </w:rPr>
        <w:t>metų: 49,1</w:t>
      </w:r>
      <w:r w:rsidR="00146FEE" w:rsidRPr="00211E3B">
        <w:rPr>
          <w:snapToGrid w:val="0"/>
          <w:sz w:val="22"/>
          <w:szCs w:val="24"/>
        </w:rPr>
        <w:t> kg</w:t>
      </w:r>
      <w:r w:rsidR="00D171A9" w:rsidRPr="00211E3B">
        <w:rPr>
          <w:snapToGrid w:val="0"/>
          <w:sz w:val="22"/>
          <w:szCs w:val="24"/>
        </w:rPr>
        <w:t xml:space="preserve"> </w:t>
      </w:r>
      <w:r w:rsidRPr="00211E3B">
        <w:rPr>
          <w:snapToGrid w:val="0"/>
          <w:sz w:val="22"/>
          <w:szCs w:val="24"/>
        </w:rPr>
        <w:t>(16</w:t>
      </w:r>
      <w:r w:rsidR="00146FEE" w:rsidRPr="00211E3B">
        <w:rPr>
          <w:snapToGrid w:val="0"/>
          <w:sz w:val="22"/>
          <w:szCs w:val="24"/>
        </w:rPr>
        <w:t> kg</w:t>
      </w:r>
      <w:r w:rsidRPr="00211E3B">
        <w:rPr>
          <w:snapToGrid w:val="0"/>
          <w:sz w:val="22"/>
          <w:szCs w:val="24"/>
        </w:rPr>
        <w:t>).</w:t>
      </w:r>
      <w:r w:rsidR="00D171A9" w:rsidRPr="00211E3B">
        <w:rPr>
          <w:snapToGrid w:val="0"/>
          <w:sz w:val="22"/>
          <w:szCs w:val="24"/>
        </w:rPr>
        <w:t xml:space="preserve"> </w:t>
      </w:r>
      <w:r w:rsidRPr="00211E3B">
        <w:rPr>
          <w:snapToGrid w:val="0"/>
          <w:sz w:val="22"/>
          <w:szCs w:val="24"/>
        </w:rPr>
        <w:t xml:space="preserve">1199-0337 tyrime dalyvavo įvairiomis ligomis sergantys pacientai. Dažniausios </w:t>
      </w:r>
      <w:r w:rsidR="00D171A9" w:rsidRPr="00211E3B">
        <w:rPr>
          <w:snapToGrid w:val="0"/>
          <w:sz w:val="22"/>
          <w:szCs w:val="24"/>
        </w:rPr>
        <w:t xml:space="preserve">atskiros </w:t>
      </w:r>
      <w:r w:rsidRPr="00211E3B">
        <w:rPr>
          <w:snapToGrid w:val="0"/>
          <w:sz w:val="22"/>
          <w:szCs w:val="24"/>
        </w:rPr>
        <w:t>IPL diagnozės buvo surfaktanto baltymų stoka (nintedanibas: 26,9</w:t>
      </w:r>
      <w:r w:rsidR="0085390D">
        <w:rPr>
          <w:snapToGrid w:val="0"/>
          <w:sz w:val="22"/>
          <w:szCs w:val="24"/>
        </w:rPr>
        <w:t> %</w:t>
      </w:r>
      <w:r w:rsidRPr="00211E3B">
        <w:rPr>
          <w:snapToGrid w:val="0"/>
          <w:sz w:val="22"/>
          <w:szCs w:val="24"/>
        </w:rPr>
        <w:t>, placebas: 38,5</w:t>
      </w:r>
      <w:r w:rsidR="0085390D">
        <w:rPr>
          <w:snapToGrid w:val="0"/>
          <w:sz w:val="22"/>
          <w:szCs w:val="24"/>
        </w:rPr>
        <w:t> %</w:t>
      </w:r>
      <w:r w:rsidRPr="00211E3B">
        <w:rPr>
          <w:snapToGrid w:val="0"/>
          <w:sz w:val="22"/>
          <w:szCs w:val="24"/>
        </w:rPr>
        <w:t>), sisteminė</w:t>
      </w:r>
      <w:r w:rsidR="00D171A9" w:rsidRPr="00211E3B">
        <w:rPr>
          <w:snapToGrid w:val="0"/>
          <w:sz w:val="22"/>
          <w:szCs w:val="24"/>
        </w:rPr>
        <w:t xml:space="preserve"> </w:t>
      </w:r>
      <w:r w:rsidRPr="00211E3B">
        <w:rPr>
          <w:snapToGrid w:val="0"/>
          <w:sz w:val="22"/>
          <w:szCs w:val="24"/>
        </w:rPr>
        <w:t>sklerozė (nintedanibas: 15,4</w:t>
      </w:r>
      <w:r w:rsidR="0085390D">
        <w:rPr>
          <w:snapToGrid w:val="0"/>
          <w:sz w:val="22"/>
          <w:szCs w:val="24"/>
        </w:rPr>
        <w:t> %</w:t>
      </w:r>
      <w:r w:rsidRPr="00211E3B">
        <w:rPr>
          <w:snapToGrid w:val="0"/>
          <w:sz w:val="22"/>
          <w:szCs w:val="24"/>
        </w:rPr>
        <w:t>, placebas: 23,1</w:t>
      </w:r>
      <w:r w:rsidR="0085390D">
        <w:rPr>
          <w:snapToGrid w:val="0"/>
          <w:sz w:val="22"/>
          <w:szCs w:val="24"/>
        </w:rPr>
        <w:t xml:space="preserve"> %</w:t>
      </w:r>
      <w:r w:rsidRPr="00211E3B">
        <w:rPr>
          <w:snapToGrid w:val="0"/>
          <w:sz w:val="22"/>
          <w:szCs w:val="24"/>
        </w:rPr>
        <w:t>) ir toksinis / jonizuojančiosios spinduliuotės /</w:t>
      </w:r>
      <w:r w:rsidR="00D171A9" w:rsidRPr="00211E3B">
        <w:rPr>
          <w:snapToGrid w:val="0"/>
          <w:sz w:val="22"/>
          <w:szCs w:val="24"/>
        </w:rPr>
        <w:t xml:space="preserve"> </w:t>
      </w:r>
      <w:r w:rsidRPr="00211E3B">
        <w:rPr>
          <w:snapToGrid w:val="0"/>
          <w:sz w:val="22"/>
          <w:szCs w:val="24"/>
        </w:rPr>
        <w:t>vaistinių preparatų sukeltas pneumonitas (nintedanibas: 11,5</w:t>
      </w:r>
      <w:r w:rsidR="0085390D">
        <w:rPr>
          <w:snapToGrid w:val="0"/>
          <w:sz w:val="22"/>
          <w:szCs w:val="24"/>
        </w:rPr>
        <w:t> %</w:t>
      </w:r>
      <w:r w:rsidRPr="00211E3B">
        <w:rPr>
          <w:snapToGrid w:val="0"/>
          <w:sz w:val="22"/>
          <w:szCs w:val="24"/>
        </w:rPr>
        <w:t>, placebas 7,7</w:t>
      </w:r>
      <w:r w:rsidR="0085390D">
        <w:rPr>
          <w:snapToGrid w:val="0"/>
          <w:sz w:val="22"/>
          <w:szCs w:val="24"/>
        </w:rPr>
        <w:t> %</w:t>
      </w:r>
      <w:r w:rsidRPr="00211E3B">
        <w:rPr>
          <w:snapToGrid w:val="0"/>
          <w:sz w:val="22"/>
          <w:szCs w:val="24"/>
        </w:rPr>
        <w:t>). Lėtinis padidėjusio</w:t>
      </w:r>
      <w:r w:rsidR="00D171A9" w:rsidRPr="00211E3B">
        <w:rPr>
          <w:snapToGrid w:val="0"/>
          <w:sz w:val="22"/>
          <w:szCs w:val="24"/>
        </w:rPr>
        <w:t xml:space="preserve"> </w:t>
      </w:r>
      <w:r w:rsidRPr="00211E3B">
        <w:rPr>
          <w:snapToGrid w:val="0"/>
          <w:sz w:val="22"/>
          <w:szCs w:val="24"/>
        </w:rPr>
        <w:t>jautrumo sukeltas pneumonitas registruotas 2</w:t>
      </w:r>
      <w:r w:rsidR="00D171A9" w:rsidRPr="00211E3B">
        <w:rPr>
          <w:snapToGrid w:val="0"/>
          <w:sz w:val="22"/>
          <w:szCs w:val="24"/>
        </w:rPr>
        <w:t> </w:t>
      </w:r>
      <w:r w:rsidRPr="00211E3B">
        <w:rPr>
          <w:snapToGrid w:val="0"/>
          <w:sz w:val="22"/>
          <w:szCs w:val="24"/>
        </w:rPr>
        <w:t>pacientams (nintedanibas: 7,7</w:t>
      </w:r>
      <w:r w:rsidR="0085390D">
        <w:rPr>
          <w:snapToGrid w:val="0"/>
          <w:sz w:val="22"/>
          <w:szCs w:val="24"/>
        </w:rPr>
        <w:t> %</w:t>
      </w:r>
      <w:r w:rsidRPr="00211E3B">
        <w:rPr>
          <w:snapToGrid w:val="0"/>
          <w:sz w:val="22"/>
          <w:szCs w:val="24"/>
        </w:rPr>
        <w:t>). Kitos IPL</w:t>
      </w:r>
      <w:r w:rsidR="00D171A9" w:rsidRPr="00211E3B">
        <w:rPr>
          <w:snapToGrid w:val="0"/>
          <w:sz w:val="22"/>
          <w:szCs w:val="24"/>
        </w:rPr>
        <w:t xml:space="preserve"> </w:t>
      </w:r>
      <w:r w:rsidRPr="00211E3B">
        <w:rPr>
          <w:snapToGrid w:val="0"/>
          <w:sz w:val="22"/>
          <w:szCs w:val="24"/>
        </w:rPr>
        <w:t>diagnozės, registruotos po 1</w:t>
      </w:r>
      <w:r w:rsidR="00D171A9" w:rsidRPr="00211E3B">
        <w:rPr>
          <w:snapToGrid w:val="0"/>
          <w:sz w:val="22"/>
          <w:szCs w:val="24"/>
        </w:rPr>
        <w:t> </w:t>
      </w:r>
      <w:r w:rsidRPr="00211E3B">
        <w:rPr>
          <w:snapToGrid w:val="0"/>
          <w:sz w:val="22"/>
          <w:szCs w:val="24"/>
        </w:rPr>
        <w:t>atvejį atskiriems pacientams, buvo po KKLT išsivysčiusi fibrozė,</w:t>
      </w:r>
      <w:r w:rsidR="00D171A9" w:rsidRPr="00211E3B">
        <w:rPr>
          <w:snapToGrid w:val="0"/>
          <w:sz w:val="22"/>
          <w:szCs w:val="24"/>
        </w:rPr>
        <w:t xml:space="preserve"> </w:t>
      </w:r>
      <w:r w:rsidRPr="00211E3B">
        <w:rPr>
          <w:snapToGrid w:val="0"/>
          <w:sz w:val="22"/>
          <w:szCs w:val="24"/>
        </w:rPr>
        <w:t>jaunatvinis RA, jaunatvinis idiopatinis artritas, dermatomiozitas (DM), deskvamacinis intersticinis</w:t>
      </w:r>
      <w:r w:rsidR="00D171A9" w:rsidRPr="00211E3B">
        <w:rPr>
          <w:snapToGrid w:val="0"/>
          <w:sz w:val="22"/>
          <w:szCs w:val="24"/>
        </w:rPr>
        <w:t xml:space="preserve"> </w:t>
      </w:r>
      <w:r w:rsidRPr="00211E3B">
        <w:rPr>
          <w:snapToGrid w:val="0"/>
          <w:sz w:val="22"/>
          <w:szCs w:val="24"/>
        </w:rPr>
        <w:t>pneumonitas, H1N1 tipo gripas, neaiški (lėtinė difuzinė plaučių (pulmoninė) liga), COPA sindromas,</w:t>
      </w:r>
      <w:r w:rsidR="00D171A9" w:rsidRPr="00211E3B">
        <w:rPr>
          <w:snapToGrid w:val="0"/>
          <w:sz w:val="22"/>
          <w:szCs w:val="24"/>
        </w:rPr>
        <w:t xml:space="preserve"> </w:t>
      </w:r>
      <w:r w:rsidRPr="00211E3B">
        <w:rPr>
          <w:snapToGrid w:val="0"/>
          <w:sz w:val="22"/>
          <w:szCs w:val="24"/>
        </w:rPr>
        <w:t>COPA geno mutacija, nediferencijuota jungiamojo audinio liga, poinfekcinis obliteracinis</w:t>
      </w:r>
      <w:r w:rsidR="00D171A9" w:rsidRPr="00211E3B">
        <w:rPr>
          <w:snapToGrid w:val="0"/>
          <w:sz w:val="22"/>
          <w:szCs w:val="24"/>
        </w:rPr>
        <w:t xml:space="preserve"> </w:t>
      </w:r>
      <w:r w:rsidRPr="00211E3B">
        <w:rPr>
          <w:snapToGrid w:val="0"/>
          <w:sz w:val="22"/>
          <w:szCs w:val="24"/>
        </w:rPr>
        <w:t>bronchiolitas, nepatikslinta IPL, idiopatinė ir su STING susijusi vaskulopatija.</w:t>
      </w:r>
    </w:p>
    <w:p w14:paraId="20D4DDF1" w14:textId="77777777" w:rsidR="00D171A9" w:rsidRPr="00211E3B" w:rsidRDefault="00D171A9" w:rsidP="005E424F">
      <w:pPr>
        <w:ind w:right="-142"/>
        <w:rPr>
          <w:snapToGrid w:val="0"/>
          <w:sz w:val="22"/>
          <w:szCs w:val="24"/>
        </w:rPr>
      </w:pPr>
    </w:p>
    <w:p w14:paraId="2D7674ED" w14:textId="12428A16" w:rsidR="005E424F" w:rsidRPr="00211E3B" w:rsidRDefault="00E17924" w:rsidP="005E424F">
      <w:pPr>
        <w:ind w:right="-142"/>
        <w:rPr>
          <w:snapToGrid w:val="0"/>
          <w:sz w:val="22"/>
          <w:szCs w:val="24"/>
        </w:rPr>
      </w:pPr>
      <w:r w:rsidRPr="00211E3B">
        <w:rPr>
          <w:snapToGrid w:val="0"/>
          <w:sz w:val="22"/>
          <w:szCs w:val="24"/>
        </w:rPr>
        <w:t>Buvo pranešta</w:t>
      </w:r>
      <w:r w:rsidR="005E424F" w:rsidRPr="00211E3B">
        <w:rPr>
          <w:snapToGrid w:val="0"/>
          <w:sz w:val="22"/>
          <w:szCs w:val="24"/>
        </w:rPr>
        <w:t>, kad visiems pacientams dvigubai koduotu laikotarpiu kartu taikyta</w:t>
      </w:r>
      <w:r w:rsidR="00B675DD">
        <w:rPr>
          <w:snapToGrid w:val="0"/>
          <w:sz w:val="22"/>
          <w:szCs w:val="24"/>
        </w:rPr>
        <w:t>s</w:t>
      </w:r>
      <w:r w:rsidR="005E424F" w:rsidRPr="00211E3B">
        <w:rPr>
          <w:snapToGrid w:val="0"/>
          <w:sz w:val="22"/>
          <w:szCs w:val="24"/>
        </w:rPr>
        <w:t xml:space="preserve"> bent 1 </w:t>
      </w:r>
      <w:r w:rsidRPr="00211E3B">
        <w:rPr>
          <w:snapToGrid w:val="0"/>
          <w:sz w:val="22"/>
          <w:szCs w:val="24"/>
        </w:rPr>
        <w:t>papildoma</w:t>
      </w:r>
      <w:r w:rsidR="00B675DD">
        <w:rPr>
          <w:snapToGrid w:val="0"/>
          <w:sz w:val="22"/>
          <w:szCs w:val="24"/>
        </w:rPr>
        <w:t>s</w:t>
      </w:r>
      <w:r w:rsidRPr="00211E3B">
        <w:rPr>
          <w:snapToGrid w:val="0"/>
          <w:sz w:val="22"/>
          <w:szCs w:val="24"/>
        </w:rPr>
        <w:t xml:space="preserve"> </w:t>
      </w:r>
      <w:r w:rsidR="00B675DD">
        <w:rPr>
          <w:snapToGrid w:val="0"/>
          <w:sz w:val="22"/>
          <w:szCs w:val="24"/>
        </w:rPr>
        <w:t>gydymas</w:t>
      </w:r>
      <w:r w:rsidR="005E424F" w:rsidRPr="00211E3B">
        <w:rPr>
          <w:snapToGrid w:val="0"/>
          <w:sz w:val="22"/>
          <w:szCs w:val="24"/>
        </w:rPr>
        <w:t>. Buvo leista kartu taikyti gydymą (pradinio vertinimo metu, gydymo metu ir po tyrimo</w:t>
      </w:r>
      <w:r w:rsidRPr="00211E3B">
        <w:rPr>
          <w:snapToGrid w:val="0"/>
          <w:sz w:val="22"/>
          <w:szCs w:val="24"/>
        </w:rPr>
        <w:t xml:space="preserve"> </w:t>
      </w:r>
      <w:r w:rsidR="005E424F" w:rsidRPr="00211E3B">
        <w:rPr>
          <w:snapToGrid w:val="0"/>
          <w:sz w:val="22"/>
          <w:szCs w:val="24"/>
        </w:rPr>
        <w:t xml:space="preserve">nutraukus vaistinio preparato vartojimą) </w:t>
      </w:r>
      <w:r w:rsidRPr="00211E3B">
        <w:rPr>
          <w:snapToGrid w:val="0"/>
          <w:sz w:val="22"/>
          <w:szCs w:val="24"/>
        </w:rPr>
        <w:t>pagrindinei</w:t>
      </w:r>
      <w:r w:rsidR="005E424F" w:rsidRPr="00211E3B">
        <w:rPr>
          <w:snapToGrid w:val="0"/>
          <w:sz w:val="22"/>
          <w:szCs w:val="24"/>
        </w:rPr>
        <w:t xml:space="preserve"> ligai gydyti, įskaitant kortikosteroidus bei</w:t>
      </w:r>
      <w:r w:rsidRPr="00211E3B">
        <w:rPr>
          <w:snapToGrid w:val="0"/>
          <w:sz w:val="22"/>
          <w:szCs w:val="24"/>
        </w:rPr>
        <w:t xml:space="preserve"> </w:t>
      </w:r>
      <w:r w:rsidR="005E424F" w:rsidRPr="00211E3B">
        <w:rPr>
          <w:snapToGrid w:val="0"/>
          <w:sz w:val="22"/>
          <w:szCs w:val="24"/>
        </w:rPr>
        <w:t>imunomoduliatorius.</w:t>
      </w:r>
    </w:p>
    <w:p w14:paraId="79AD36E8" w14:textId="77777777" w:rsidR="00E17924" w:rsidRPr="00211E3B" w:rsidRDefault="00E17924" w:rsidP="005E424F">
      <w:pPr>
        <w:ind w:right="-142"/>
        <w:rPr>
          <w:snapToGrid w:val="0"/>
          <w:sz w:val="22"/>
          <w:szCs w:val="24"/>
        </w:rPr>
      </w:pPr>
    </w:p>
    <w:p w14:paraId="34707FC4" w14:textId="02B68E36" w:rsidR="005E424F" w:rsidRPr="00211E3B" w:rsidRDefault="00E17924" w:rsidP="005E424F">
      <w:pPr>
        <w:ind w:right="-142"/>
        <w:rPr>
          <w:snapToGrid w:val="0"/>
          <w:sz w:val="22"/>
          <w:szCs w:val="24"/>
        </w:rPr>
      </w:pPr>
      <w:r w:rsidRPr="00211E3B">
        <w:rPr>
          <w:snapToGrid w:val="0"/>
          <w:sz w:val="22"/>
          <w:szCs w:val="24"/>
        </w:rPr>
        <w:t>Pagrindinių</w:t>
      </w:r>
      <w:r w:rsidR="005E424F" w:rsidRPr="00211E3B">
        <w:rPr>
          <w:snapToGrid w:val="0"/>
          <w:sz w:val="22"/>
          <w:szCs w:val="24"/>
        </w:rPr>
        <w:t xml:space="preserve"> vertinamųjų baigčių rezultatai:</w:t>
      </w:r>
    </w:p>
    <w:p w14:paraId="3B0E2F68" w14:textId="493AAFE3" w:rsidR="005E424F" w:rsidRPr="00211E3B" w:rsidRDefault="005E424F" w:rsidP="00E17924">
      <w:pPr>
        <w:pStyle w:val="Sraopastraipa"/>
        <w:numPr>
          <w:ilvl w:val="0"/>
          <w:numId w:val="9"/>
        </w:numPr>
        <w:ind w:left="567" w:right="-142" w:hanging="567"/>
        <w:rPr>
          <w:snapToGrid w:val="0"/>
          <w:sz w:val="22"/>
          <w:szCs w:val="24"/>
        </w:rPr>
      </w:pPr>
      <w:r w:rsidRPr="00211E3B">
        <w:rPr>
          <w:snapToGrid w:val="0"/>
          <w:sz w:val="22"/>
          <w:szCs w:val="24"/>
        </w:rPr>
        <w:t>Nintedanibo ekspozicija, apibūdinta kaip AUC</w:t>
      </w:r>
      <w:r w:rsidRPr="00211E3B">
        <w:rPr>
          <w:snapToGrid w:val="0"/>
          <w:sz w:val="22"/>
          <w:szCs w:val="24"/>
          <w:vertAlign w:val="subscript"/>
        </w:rPr>
        <w:t>τ,ss</w:t>
      </w:r>
      <w:r w:rsidRPr="00211E3B">
        <w:rPr>
          <w:snapToGrid w:val="0"/>
          <w:sz w:val="22"/>
          <w:szCs w:val="24"/>
        </w:rPr>
        <w:t>, remiantis mėginių ėmimu esant</w:t>
      </w:r>
      <w:r w:rsidR="00E17924" w:rsidRPr="00211E3B">
        <w:rPr>
          <w:snapToGrid w:val="0"/>
          <w:sz w:val="22"/>
          <w:szCs w:val="24"/>
        </w:rPr>
        <w:t xml:space="preserve"> </w:t>
      </w:r>
      <w:r w:rsidRPr="00211E3B">
        <w:rPr>
          <w:snapToGrid w:val="0"/>
          <w:sz w:val="22"/>
          <w:szCs w:val="24"/>
        </w:rPr>
        <w:t>pusiausv</w:t>
      </w:r>
      <w:r w:rsidR="00C653B7">
        <w:rPr>
          <w:snapToGrid w:val="0"/>
          <w:sz w:val="22"/>
          <w:szCs w:val="24"/>
        </w:rPr>
        <w:t>y</w:t>
      </w:r>
      <w:r w:rsidRPr="00211E3B">
        <w:rPr>
          <w:snapToGrid w:val="0"/>
          <w:sz w:val="22"/>
          <w:szCs w:val="24"/>
        </w:rPr>
        <w:t>r</w:t>
      </w:r>
      <w:r w:rsidR="00E17924" w:rsidRPr="00211E3B">
        <w:rPr>
          <w:snapToGrid w:val="0"/>
          <w:sz w:val="22"/>
          <w:szCs w:val="24"/>
        </w:rPr>
        <w:t>inei apykaitai</w:t>
      </w:r>
      <w:r w:rsidRPr="00211E3B">
        <w:rPr>
          <w:snapToGrid w:val="0"/>
          <w:sz w:val="22"/>
          <w:szCs w:val="24"/>
        </w:rPr>
        <w:t>, didžiąja apimtimi vaikams ir paaugliams buvo panaši į AUC</w:t>
      </w:r>
      <w:r w:rsidRPr="00211E3B">
        <w:rPr>
          <w:snapToGrid w:val="0"/>
          <w:sz w:val="22"/>
          <w:szCs w:val="24"/>
          <w:vertAlign w:val="subscript"/>
        </w:rPr>
        <w:t>τ,ss</w:t>
      </w:r>
      <w:r w:rsidRPr="00211E3B">
        <w:rPr>
          <w:snapToGrid w:val="0"/>
          <w:sz w:val="22"/>
          <w:szCs w:val="24"/>
        </w:rPr>
        <w:t>,</w:t>
      </w:r>
      <w:r w:rsidR="00E17924" w:rsidRPr="00211E3B">
        <w:rPr>
          <w:snapToGrid w:val="0"/>
          <w:sz w:val="22"/>
          <w:szCs w:val="24"/>
        </w:rPr>
        <w:t xml:space="preserve"> </w:t>
      </w:r>
      <w:r w:rsidRPr="00211E3B">
        <w:rPr>
          <w:snapToGrid w:val="0"/>
          <w:sz w:val="22"/>
          <w:szCs w:val="24"/>
        </w:rPr>
        <w:t>nustatytą suaugusiesiems (žr. 5.2</w:t>
      </w:r>
      <w:r w:rsidR="00E17924" w:rsidRPr="00211E3B">
        <w:rPr>
          <w:snapToGrid w:val="0"/>
          <w:sz w:val="22"/>
          <w:szCs w:val="24"/>
        </w:rPr>
        <w:t> </w:t>
      </w:r>
      <w:r w:rsidRPr="00211E3B">
        <w:rPr>
          <w:snapToGrid w:val="0"/>
          <w:sz w:val="22"/>
          <w:szCs w:val="24"/>
        </w:rPr>
        <w:t>skyrių).</w:t>
      </w:r>
    </w:p>
    <w:p w14:paraId="04B8F435" w14:textId="763F528C" w:rsidR="005E424F" w:rsidRPr="00211E3B" w:rsidRDefault="005E424F" w:rsidP="00E17924">
      <w:pPr>
        <w:pStyle w:val="Sraopastraipa"/>
        <w:numPr>
          <w:ilvl w:val="0"/>
          <w:numId w:val="9"/>
        </w:numPr>
        <w:ind w:left="567" w:right="-142" w:hanging="567"/>
        <w:rPr>
          <w:snapToGrid w:val="0"/>
          <w:sz w:val="22"/>
          <w:szCs w:val="24"/>
        </w:rPr>
      </w:pPr>
      <w:r w:rsidRPr="00211E3B">
        <w:rPr>
          <w:snapToGrid w:val="0"/>
          <w:sz w:val="22"/>
          <w:szCs w:val="24"/>
        </w:rPr>
        <w:t>Pacientų, per 24</w:t>
      </w:r>
      <w:r w:rsidR="00E17924" w:rsidRPr="00211E3B">
        <w:rPr>
          <w:snapToGrid w:val="0"/>
          <w:sz w:val="22"/>
          <w:szCs w:val="24"/>
        </w:rPr>
        <w:t> </w:t>
      </w:r>
      <w:r w:rsidRPr="00211E3B">
        <w:rPr>
          <w:snapToGrid w:val="0"/>
          <w:sz w:val="22"/>
          <w:szCs w:val="24"/>
        </w:rPr>
        <w:t xml:space="preserve">savaites patyrusių gydymo metu </w:t>
      </w:r>
      <w:r w:rsidR="00E17924" w:rsidRPr="00211E3B">
        <w:rPr>
          <w:snapToGrid w:val="0"/>
          <w:sz w:val="22"/>
          <w:szCs w:val="24"/>
        </w:rPr>
        <w:t>atsiradus</w:t>
      </w:r>
      <w:r w:rsidR="00BE11E8">
        <w:rPr>
          <w:snapToGrid w:val="0"/>
          <w:sz w:val="22"/>
          <w:szCs w:val="24"/>
        </w:rPr>
        <w:t>ių</w:t>
      </w:r>
      <w:r w:rsidRPr="00211E3B">
        <w:rPr>
          <w:snapToGrid w:val="0"/>
          <w:sz w:val="22"/>
          <w:szCs w:val="24"/>
        </w:rPr>
        <w:t xml:space="preserve"> nepageidaujamų reiškinių,</w:t>
      </w:r>
      <w:r w:rsidR="00E17924" w:rsidRPr="00211E3B">
        <w:rPr>
          <w:snapToGrid w:val="0"/>
          <w:sz w:val="22"/>
          <w:szCs w:val="24"/>
        </w:rPr>
        <w:t xml:space="preserve"> </w:t>
      </w:r>
      <w:r w:rsidRPr="00211E3B">
        <w:rPr>
          <w:snapToGrid w:val="0"/>
          <w:sz w:val="22"/>
          <w:szCs w:val="24"/>
        </w:rPr>
        <w:t>procentinė dalis buvo 84,6</w:t>
      </w:r>
      <w:r w:rsidR="0085390D">
        <w:rPr>
          <w:snapToGrid w:val="0"/>
          <w:sz w:val="22"/>
          <w:szCs w:val="24"/>
        </w:rPr>
        <w:t> %</w:t>
      </w:r>
      <w:r w:rsidRPr="00211E3B">
        <w:rPr>
          <w:snapToGrid w:val="0"/>
          <w:sz w:val="22"/>
          <w:szCs w:val="24"/>
        </w:rPr>
        <w:t xml:space="preserve"> nintedanibo grupėje (6-11</w:t>
      </w:r>
      <w:r w:rsidR="00E17924" w:rsidRPr="00211E3B">
        <w:rPr>
          <w:snapToGrid w:val="0"/>
          <w:sz w:val="22"/>
          <w:szCs w:val="24"/>
        </w:rPr>
        <w:t> </w:t>
      </w:r>
      <w:r w:rsidRPr="00211E3B">
        <w:rPr>
          <w:snapToGrid w:val="0"/>
          <w:sz w:val="22"/>
          <w:szCs w:val="24"/>
        </w:rPr>
        <w:t>metų: 75</w:t>
      </w:r>
      <w:r w:rsidR="0085390D">
        <w:rPr>
          <w:snapToGrid w:val="0"/>
          <w:sz w:val="22"/>
          <w:szCs w:val="24"/>
        </w:rPr>
        <w:t> %</w:t>
      </w:r>
      <w:r w:rsidRPr="00211E3B">
        <w:rPr>
          <w:snapToGrid w:val="0"/>
          <w:sz w:val="22"/>
          <w:szCs w:val="24"/>
        </w:rPr>
        <w:t>, 12-17</w:t>
      </w:r>
      <w:r w:rsidR="00E17924" w:rsidRPr="00211E3B">
        <w:rPr>
          <w:snapToGrid w:val="0"/>
          <w:sz w:val="22"/>
          <w:szCs w:val="24"/>
        </w:rPr>
        <w:t> </w:t>
      </w:r>
      <w:r w:rsidRPr="00211E3B">
        <w:rPr>
          <w:snapToGrid w:val="0"/>
          <w:sz w:val="22"/>
          <w:szCs w:val="24"/>
        </w:rPr>
        <w:t>metų: 88,9</w:t>
      </w:r>
      <w:r w:rsidR="0085390D">
        <w:rPr>
          <w:snapToGrid w:val="0"/>
          <w:sz w:val="22"/>
          <w:szCs w:val="24"/>
        </w:rPr>
        <w:t> %</w:t>
      </w:r>
      <w:r w:rsidRPr="00211E3B">
        <w:rPr>
          <w:snapToGrid w:val="0"/>
          <w:sz w:val="22"/>
          <w:szCs w:val="24"/>
        </w:rPr>
        <w:t>) ir</w:t>
      </w:r>
      <w:r w:rsidR="00E17924" w:rsidRPr="00211E3B">
        <w:rPr>
          <w:snapToGrid w:val="0"/>
          <w:sz w:val="22"/>
          <w:szCs w:val="24"/>
        </w:rPr>
        <w:t xml:space="preserve"> </w:t>
      </w:r>
      <w:r w:rsidRPr="00211E3B">
        <w:rPr>
          <w:snapToGrid w:val="0"/>
          <w:sz w:val="22"/>
          <w:szCs w:val="24"/>
        </w:rPr>
        <w:t>84,6</w:t>
      </w:r>
      <w:r w:rsidR="0085390D">
        <w:rPr>
          <w:snapToGrid w:val="0"/>
          <w:sz w:val="22"/>
          <w:szCs w:val="24"/>
        </w:rPr>
        <w:t> %</w:t>
      </w:r>
      <w:r w:rsidRPr="00211E3B">
        <w:rPr>
          <w:snapToGrid w:val="0"/>
          <w:sz w:val="22"/>
          <w:szCs w:val="24"/>
        </w:rPr>
        <w:t xml:space="preserve"> placebo grupėje (6-11</w:t>
      </w:r>
      <w:r w:rsidR="00E17924" w:rsidRPr="00211E3B">
        <w:rPr>
          <w:snapToGrid w:val="0"/>
          <w:sz w:val="22"/>
          <w:szCs w:val="24"/>
        </w:rPr>
        <w:t> </w:t>
      </w:r>
      <w:r w:rsidRPr="00211E3B">
        <w:rPr>
          <w:snapToGrid w:val="0"/>
          <w:sz w:val="22"/>
          <w:szCs w:val="24"/>
        </w:rPr>
        <w:t>metų: 100</w:t>
      </w:r>
      <w:r w:rsidR="0085390D">
        <w:rPr>
          <w:snapToGrid w:val="0"/>
          <w:sz w:val="22"/>
          <w:szCs w:val="24"/>
        </w:rPr>
        <w:t> %</w:t>
      </w:r>
      <w:r w:rsidRPr="00211E3B">
        <w:rPr>
          <w:snapToGrid w:val="0"/>
          <w:sz w:val="22"/>
          <w:szCs w:val="24"/>
        </w:rPr>
        <w:t>, 12-17</w:t>
      </w:r>
      <w:r w:rsidR="00E17924" w:rsidRPr="00211E3B">
        <w:rPr>
          <w:snapToGrid w:val="0"/>
          <w:sz w:val="22"/>
          <w:szCs w:val="24"/>
        </w:rPr>
        <w:t> </w:t>
      </w:r>
      <w:r w:rsidRPr="00211E3B">
        <w:rPr>
          <w:snapToGrid w:val="0"/>
          <w:sz w:val="22"/>
          <w:szCs w:val="24"/>
        </w:rPr>
        <w:t>metų: 77,8</w:t>
      </w:r>
      <w:r w:rsidR="0085390D">
        <w:rPr>
          <w:snapToGrid w:val="0"/>
          <w:sz w:val="22"/>
          <w:szCs w:val="24"/>
        </w:rPr>
        <w:t> %</w:t>
      </w:r>
      <w:r w:rsidRPr="00211E3B">
        <w:rPr>
          <w:snapToGrid w:val="0"/>
          <w:sz w:val="22"/>
          <w:szCs w:val="24"/>
        </w:rPr>
        <w:t>).</w:t>
      </w:r>
    </w:p>
    <w:p w14:paraId="6213E595" w14:textId="77777777" w:rsidR="00E17924" w:rsidRPr="00211E3B" w:rsidRDefault="00E17924" w:rsidP="005E424F">
      <w:pPr>
        <w:ind w:right="-142"/>
        <w:rPr>
          <w:snapToGrid w:val="0"/>
          <w:sz w:val="22"/>
          <w:szCs w:val="24"/>
        </w:rPr>
      </w:pPr>
    </w:p>
    <w:p w14:paraId="467D4F53" w14:textId="398ECBFB" w:rsidR="005E424F" w:rsidRPr="00211E3B" w:rsidRDefault="00E17924" w:rsidP="005E424F">
      <w:pPr>
        <w:ind w:right="-142"/>
        <w:rPr>
          <w:snapToGrid w:val="0"/>
          <w:sz w:val="22"/>
          <w:szCs w:val="24"/>
        </w:rPr>
      </w:pPr>
      <w:r w:rsidRPr="00211E3B">
        <w:rPr>
          <w:snapToGrid w:val="0"/>
          <w:sz w:val="22"/>
          <w:szCs w:val="24"/>
        </w:rPr>
        <w:t>Pagrindinės veiksmingumo</w:t>
      </w:r>
      <w:r w:rsidR="005E424F" w:rsidRPr="00211E3B">
        <w:rPr>
          <w:snapToGrid w:val="0"/>
          <w:sz w:val="22"/>
          <w:szCs w:val="24"/>
        </w:rPr>
        <w:t xml:space="preserve"> vertinamosios baigties </w:t>
      </w:r>
      <w:r w:rsidRPr="00211E3B">
        <w:rPr>
          <w:snapToGrid w:val="0"/>
          <w:sz w:val="22"/>
          <w:szCs w:val="24"/>
        </w:rPr>
        <w:t xml:space="preserve">tyrime </w:t>
      </w:r>
      <w:r w:rsidR="005E424F" w:rsidRPr="00211E3B">
        <w:rPr>
          <w:snapToGrid w:val="0"/>
          <w:sz w:val="22"/>
          <w:szCs w:val="24"/>
        </w:rPr>
        <w:t>nebuvo.</w:t>
      </w:r>
    </w:p>
    <w:p w14:paraId="7F9E1D13" w14:textId="62CD2FFA" w:rsidR="005E424F" w:rsidRPr="00211E3B" w:rsidRDefault="00FC0F9F" w:rsidP="005E424F">
      <w:pPr>
        <w:ind w:right="-142"/>
        <w:rPr>
          <w:snapToGrid w:val="0"/>
          <w:sz w:val="22"/>
          <w:szCs w:val="24"/>
        </w:rPr>
      </w:pPr>
      <w:r w:rsidRPr="00211E3B">
        <w:rPr>
          <w:snapToGrid w:val="0"/>
          <w:sz w:val="22"/>
          <w:szCs w:val="24"/>
        </w:rPr>
        <w:lastRenderedPageBreak/>
        <w:t>Antrinė</w:t>
      </w:r>
      <w:r w:rsidR="005E424F" w:rsidRPr="00211E3B">
        <w:rPr>
          <w:snapToGrid w:val="0"/>
          <w:sz w:val="22"/>
          <w:szCs w:val="24"/>
        </w:rPr>
        <w:t xml:space="preserve"> plaučių funkcijos vertinamoji baigtis buvo </w:t>
      </w:r>
      <w:r w:rsidRPr="00211E3B">
        <w:rPr>
          <w:snapToGrid w:val="0"/>
          <w:sz w:val="22"/>
          <w:szCs w:val="24"/>
        </w:rPr>
        <w:t>numatytos</w:t>
      </w:r>
      <w:r w:rsidR="005E424F" w:rsidRPr="00211E3B">
        <w:rPr>
          <w:snapToGrid w:val="0"/>
          <w:sz w:val="22"/>
          <w:szCs w:val="24"/>
        </w:rPr>
        <w:t xml:space="preserve"> forsuotos gyvybinės plaučių talpos</w:t>
      </w:r>
      <w:r w:rsidRPr="00211E3B">
        <w:rPr>
          <w:snapToGrid w:val="0"/>
          <w:sz w:val="22"/>
          <w:szCs w:val="24"/>
        </w:rPr>
        <w:t xml:space="preserve"> </w:t>
      </w:r>
      <w:r w:rsidR="005E424F" w:rsidRPr="00211E3B">
        <w:rPr>
          <w:snapToGrid w:val="0"/>
          <w:sz w:val="22"/>
          <w:szCs w:val="24"/>
        </w:rPr>
        <w:t>(FGPT)</w:t>
      </w:r>
      <w:r w:rsidR="0085390D">
        <w:rPr>
          <w:snapToGrid w:val="0"/>
          <w:sz w:val="22"/>
          <w:szCs w:val="24"/>
        </w:rPr>
        <w:t> %</w:t>
      </w:r>
      <w:r w:rsidR="005E424F" w:rsidRPr="00211E3B">
        <w:rPr>
          <w:snapToGrid w:val="0"/>
          <w:sz w:val="22"/>
          <w:szCs w:val="24"/>
        </w:rPr>
        <w:t xml:space="preserve"> pasikeitimas nuo pradinio vertinimo 24 ir 52</w:t>
      </w:r>
      <w:r w:rsidRPr="00211E3B">
        <w:rPr>
          <w:snapToGrid w:val="0"/>
          <w:sz w:val="22"/>
          <w:szCs w:val="24"/>
        </w:rPr>
        <w:t> </w:t>
      </w:r>
      <w:r w:rsidR="005E424F" w:rsidRPr="00211E3B">
        <w:rPr>
          <w:snapToGrid w:val="0"/>
          <w:sz w:val="22"/>
          <w:szCs w:val="24"/>
        </w:rPr>
        <w:t>savaites. Koreguotasis vidutinis</w:t>
      </w:r>
    </w:p>
    <w:p w14:paraId="57D2B505" w14:textId="6C259855" w:rsidR="005E424F" w:rsidRPr="00211E3B" w:rsidRDefault="00FC0F9F" w:rsidP="005E424F">
      <w:pPr>
        <w:ind w:right="-142"/>
        <w:rPr>
          <w:snapToGrid w:val="0"/>
          <w:sz w:val="22"/>
          <w:szCs w:val="24"/>
        </w:rPr>
      </w:pPr>
      <w:r w:rsidRPr="00211E3B">
        <w:rPr>
          <w:snapToGrid w:val="0"/>
          <w:sz w:val="22"/>
          <w:szCs w:val="24"/>
        </w:rPr>
        <w:t>numatytos</w:t>
      </w:r>
      <w:r w:rsidR="005E424F" w:rsidRPr="00211E3B">
        <w:rPr>
          <w:snapToGrid w:val="0"/>
          <w:sz w:val="22"/>
          <w:szCs w:val="24"/>
        </w:rPr>
        <w:t xml:space="preserve"> FGPT</w:t>
      </w:r>
      <w:r w:rsidR="0085390D">
        <w:rPr>
          <w:snapToGrid w:val="0"/>
          <w:sz w:val="22"/>
          <w:szCs w:val="24"/>
        </w:rPr>
        <w:t> %</w:t>
      </w:r>
      <w:r w:rsidR="005E424F" w:rsidRPr="00211E3B">
        <w:rPr>
          <w:snapToGrid w:val="0"/>
          <w:sz w:val="22"/>
          <w:szCs w:val="24"/>
        </w:rPr>
        <w:t xml:space="preserve"> pokytis nuo pradinio vertinimo 24</w:t>
      </w:r>
      <w:r w:rsidRPr="00211E3B">
        <w:rPr>
          <w:snapToGrid w:val="0"/>
          <w:sz w:val="22"/>
          <w:szCs w:val="24"/>
        </w:rPr>
        <w:t> </w:t>
      </w:r>
      <w:r w:rsidR="005E424F" w:rsidRPr="00211E3B">
        <w:rPr>
          <w:snapToGrid w:val="0"/>
          <w:sz w:val="22"/>
          <w:szCs w:val="24"/>
        </w:rPr>
        <w:t>savaitę buvo 0,31 (95</w:t>
      </w:r>
      <w:r w:rsidR="0085390D">
        <w:rPr>
          <w:snapToGrid w:val="0"/>
          <w:sz w:val="22"/>
          <w:szCs w:val="24"/>
        </w:rPr>
        <w:t> %</w:t>
      </w:r>
      <w:r w:rsidR="005E424F" w:rsidRPr="00211E3B">
        <w:rPr>
          <w:snapToGrid w:val="0"/>
          <w:sz w:val="22"/>
          <w:szCs w:val="24"/>
        </w:rPr>
        <w:t xml:space="preserve"> PI: -2,36; 2,98)</w:t>
      </w:r>
      <w:r w:rsidRPr="00211E3B">
        <w:rPr>
          <w:snapToGrid w:val="0"/>
          <w:sz w:val="22"/>
          <w:szCs w:val="24"/>
        </w:rPr>
        <w:t xml:space="preserve"> </w:t>
      </w:r>
      <w:r w:rsidR="005E424F" w:rsidRPr="00211E3B">
        <w:rPr>
          <w:snapToGrid w:val="0"/>
          <w:sz w:val="22"/>
          <w:szCs w:val="24"/>
        </w:rPr>
        <w:t xml:space="preserve">nintedanibo </w:t>
      </w:r>
      <w:r w:rsidRPr="00211E3B">
        <w:rPr>
          <w:snapToGrid w:val="0"/>
          <w:sz w:val="22"/>
          <w:szCs w:val="24"/>
        </w:rPr>
        <w:t xml:space="preserve">vartojusiųjų </w:t>
      </w:r>
      <w:r w:rsidR="005E424F" w:rsidRPr="00211E3B">
        <w:rPr>
          <w:snapToGrid w:val="0"/>
          <w:sz w:val="22"/>
          <w:szCs w:val="24"/>
        </w:rPr>
        <w:t>grupėje ir -0,89 (95</w:t>
      </w:r>
      <w:r w:rsidR="0085390D">
        <w:rPr>
          <w:snapToGrid w:val="0"/>
          <w:sz w:val="22"/>
          <w:szCs w:val="24"/>
        </w:rPr>
        <w:t> %</w:t>
      </w:r>
      <w:r w:rsidR="005E424F" w:rsidRPr="00211E3B">
        <w:rPr>
          <w:snapToGrid w:val="0"/>
          <w:sz w:val="22"/>
          <w:szCs w:val="24"/>
        </w:rPr>
        <w:t xml:space="preserve"> PI: -4,61; 2,82) placebo </w:t>
      </w:r>
      <w:r w:rsidRPr="00211E3B">
        <w:rPr>
          <w:snapToGrid w:val="0"/>
          <w:sz w:val="22"/>
          <w:szCs w:val="24"/>
        </w:rPr>
        <w:t xml:space="preserve">vartojusiųjų </w:t>
      </w:r>
      <w:r w:rsidR="005E424F" w:rsidRPr="00211E3B">
        <w:rPr>
          <w:snapToGrid w:val="0"/>
          <w:sz w:val="22"/>
          <w:szCs w:val="24"/>
        </w:rPr>
        <w:t>grupėje, kai koreguotasis vidutinis</w:t>
      </w:r>
      <w:r w:rsidRPr="00211E3B">
        <w:rPr>
          <w:snapToGrid w:val="0"/>
          <w:sz w:val="22"/>
          <w:szCs w:val="24"/>
        </w:rPr>
        <w:t xml:space="preserve"> numatytos</w:t>
      </w:r>
      <w:r w:rsidR="005E424F" w:rsidRPr="00211E3B">
        <w:rPr>
          <w:snapToGrid w:val="0"/>
          <w:sz w:val="22"/>
          <w:szCs w:val="24"/>
        </w:rPr>
        <w:t xml:space="preserve"> FGPT</w:t>
      </w:r>
      <w:r w:rsidR="0085390D">
        <w:rPr>
          <w:snapToGrid w:val="0"/>
          <w:sz w:val="22"/>
          <w:szCs w:val="24"/>
        </w:rPr>
        <w:t> %</w:t>
      </w:r>
      <w:r w:rsidR="005E424F" w:rsidRPr="00211E3B">
        <w:rPr>
          <w:snapToGrid w:val="0"/>
          <w:sz w:val="22"/>
          <w:szCs w:val="24"/>
        </w:rPr>
        <w:t xml:space="preserve"> (95</w:t>
      </w:r>
      <w:r w:rsidR="0085390D">
        <w:rPr>
          <w:snapToGrid w:val="0"/>
          <w:sz w:val="22"/>
          <w:szCs w:val="24"/>
        </w:rPr>
        <w:t> %</w:t>
      </w:r>
      <w:r w:rsidR="005E424F" w:rsidRPr="00211E3B">
        <w:rPr>
          <w:snapToGrid w:val="0"/>
          <w:sz w:val="22"/>
          <w:szCs w:val="24"/>
        </w:rPr>
        <w:t xml:space="preserve"> PI) skirtumas buvo 1,21 (95</w:t>
      </w:r>
      <w:r w:rsidR="0085390D">
        <w:rPr>
          <w:snapToGrid w:val="0"/>
          <w:sz w:val="22"/>
          <w:szCs w:val="24"/>
        </w:rPr>
        <w:t> %</w:t>
      </w:r>
      <w:r w:rsidR="005E424F" w:rsidRPr="00211E3B">
        <w:rPr>
          <w:snapToGrid w:val="0"/>
          <w:sz w:val="22"/>
          <w:szCs w:val="24"/>
        </w:rPr>
        <w:t xml:space="preserve"> PI: -3,40; 5,81) ir </w:t>
      </w:r>
      <w:r w:rsidRPr="00211E3B">
        <w:rPr>
          <w:snapToGrid w:val="0"/>
          <w:sz w:val="22"/>
          <w:szCs w:val="24"/>
        </w:rPr>
        <w:t>buvo palankus</w:t>
      </w:r>
      <w:r w:rsidR="005E424F" w:rsidRPr="00211E3B">
        <w:rPr>
          <w:snapToGrid w:val="0"/>
          <w:sz w:val="22"/>
          <w:szCs w:val="24"/>
        </w:rPr>
        <w:t xml:space="preserve"> nintedanib</w:t>
      </w:r>
      <w:r w:rsidRPr="00211E3B">
        <w:rPr>
          <w:snapToGrid w:val="0"/>
          <w:sz w:val="22"/>
          <w:szCs w:val="24"/>
        </w:rPr>
        <w:t>ui</w:t>
      </w:r>
      <w:r w:rsidR="005E424F" w:rsidRPr="00211E3B">
        <w:rPr>
          <w:snapToGrid w:val="0"/>
          <w:sz w:val="22"/>
          <w:szCs w:val="24"/>
        </w:rPr>
        <w:t>. 52</w:t>
      </w:r>
      <w:r w:rsidRPr="00211E3B">
        <w:rPr>
          <w:snapToGrid w:val="0"/>
          <w:sz w:val="22"/>
          <w:szCs w:val="24"/>
        </w:rPr>
        <w:t> </w:t>
      </w:r>
      <w:r w:rsidR="005E424F" w:rsidRPr="00211E3B">
        <w:rPr>
          <w:snapToGrid w:val="0"/>
          <w:sz w:val="22"/>
          <w:szCs w:val="24"/>
        </w:rPr>
        <w:t>savaitę koreguotasis FGPT</w:t>
      </w:r>
      <w:r w:rsidR="0085390D">
        <w:rPr>
          <w:snapToGrid w:val="0"/>
          <w:sz w:val="22"/>
          <w:szCs w:val="24"/>
        </w:rPr>
        <w:t> %</w:t>
      </w:r>
      <w:r w:rsidR="005E424F" w:rsidRPr="00211E3B">
        <w:rPr>
          <w:snapToGrid w:val="0"/>
          <w:sz w:val="22"/>
          <w:szCs w:val="24"/>
        </w:rPr>
        <w:t xml:space="preserve"> pokyčio nuo pradinio </w:t>
      </w:r>
      <w:r w:rsidRPr="00211E3B">
        <w:rPr>
          <w:snapToGrid w:val="0"/>
          <w:sz w:val="22"/>
          <w:szCs w:val="24"/>
        </w:rPr>
        <w:t>rodmens</w:t>
      </w:r>
      <w:r w:rsidR="005E424F" w:rsidRPr="00211E3B">
        <w:rPr>
          <w:snapToGrid w:val="0"/>
          <w:sz w:val="22"/>
          <w:szCs w:val="24"/>
        </w:rPr>
        <w:t xml:space="preserve"> vidurkis gydymo</w:t>
      </w:r>
      <w:r w:rsidRPr="00211E3B">
        <w:rPr>
          <w:snapToGrid w:val="0"/>
          <w:sz w:val="22"/>
          <w:szCs w:val="24"/>
        </w:rPr>
        <w:t xml:space="preserve"> </w:t>
      </w:r>
      <w:r w:rsidR="005E424F" w:rsidRPr="00211E3B">
        <w:rPr>
          <w:snapToGrid w:val="0"/>
          <w:sz w:val="22"/>
          <w:szCs w:val="24"/>
        </w:rPr>
        <w:t>grupėse buvo 1,77 (95</w:t>
      </w:r>
      <w:r w:rsidR="0085390D">
        <w:rPr>
          <w:snapToGrid w:val="0"/>
          <w:sz w:val="22"/>
          <w:szCs w:val="24"/>
        </w:rPr>
        <w:t> %</w:t>
      </w:r>
      <w:r w:rsidR="005E424F" w:rsidRPr="00211E3B">
        <w:rPr>
          <w:snapToGrid w:val="0"/>
          <w:sz w:val="22"/>
          <w:szCs w:val="24"/>
        </w:rPr>
        <w:t xml:space="preserve"> PI: -4,70; 8,25).</w:t>
      </w:r>
    </w:p>
    <w:p w14:paraId="20F24777" w14:textId="77777777" w:rsidR="00FC0F9F" w:rsidRPr="00211E3B" w:rsidRDefault="00FC0F9F" w:rsidP="005E424F">
      <w:pPr>
        <w:ind w:right="-142"/>
        <w:rPr>
          <w:snapToGrid w:val="0"/>
          <w:sz w:val="22"/>
          <w:szCs w:val="24"/>
        </w:rPr>
      </w:pPr>
    </w:p>
    <w:p w14:paraId="0281B4D8" w14:textId="5500BD4F" w:rsidR="005E424F" w:rsidRPr="00211E3B" w:rsidRDefault="005E424F" w:rsidP="005E424F">
      <w:pPr>
        <w:ind w:right="-142"/>
        <w:rPr>
          <w:snapToGrid w:val="0"/>
          <w:sz w:val="22"/>
          <w:szCs w:val="24"/>
        </w:rPr>
      </w:pPr>
      <w:r w:rsidRPr="00211E3B">
        <w:rPr>
          <w:snapToGrid w:val="0"/>
          <w:sz w:val="22"/>
          <w:szCs w:val="24"/>
        </w:rPr>
        <w:t xml:space="preserve">Vertinant </w:t>
      </w:r>
      <w:r w:rsidR="00FC0F9F" w:rsidRPr="00211E3B">
        <w:rPr>
          <w:snapToGrid w:val="0"/>
          <w:sz w:val="22"/>
          <w:szCs w:val="24"/>
        </w:rPr>
        <w:t>numatytos</w:t>
      </w:r>
      <w:r w:rsidRPr="00211E3B">
        <w:rPr>
          <w:snapToGrid w:val="0"/>
          <w:sz w:val="22"/>
          <w:szCs w:val="24"/>
        </w:rPr>
        <w:t xml:space="preserve"> FGPT</w:t>
      </w:r>
      <w:r w:rsidR="0085390D">
        <w:rPr>
          <w:snapToGrid w:val="0"/>
          <w:sz w:val="22"/>
          <w:szCs w:val="24"/>
        </w:rPr>
        <w:t> %</w:t>
      </w:r>
      <w:r w:rsidRPr="00211E3B">
        <w:rPr>
          <w:snapToGrid w:val="0"/>
          <w:sz w:val="22"/>
          <w:szCs w:val="24"/>
        </w:rPr>
        <w:t xml:space="preserve"> vertinamąją baigtį ir daugelį kitų žvalgomųjų veiksmingumo</w:t>
      </w:r>
      <w:r w:rsidR="00FC0F9F" w:rsidRPr="00211E3B">
        <w:rPr>
          <w:snapToGrid w:val="0"/>
          <w:sz w:val="22"/>
          <w:szCs w:val="24"/>
        </w:rPr>
        <w:t xml:space="preserve"> </w:t>
      </w:r>
      <w:r w:rsidRPr="00211E3B">
        <w:rPr>
          <w:snapToGrid w:val="0"/>
          <w:sz w:val="22"/>
          <w:szCs w:val="24"/>
        </w:rPr>
        <w:t xml:space="preserve">vertinamųjų baigčių, </w:t>
      </w:r>
      <w:r w:rsidR="00FC0F9F" w:rsidRPr="00211E3B">
        <w:rPr>
          <w:snapToGrid w:val="0"/>
          <w:sz w:val="22"/>
          <w:szCs w:val="24"/>
        </w:rPr>
        <w:t xml:space="preserve">pediatriniams </w:t>
      </w:r>
      <w:r w:rsidRPr="00211E3B">
        <w:rPr>
          <w:snapToGrid w:val="0"/>
          <w:sz w:val="22"/>
          <w:szCs w:val="24"/>
        </w:rPr>
        <w:t>pacientams nustatytas didelis atsako į gydymą nintedanibu kintamumas.</w:t>
      </w:r>
    </w:p>
    <w:p w14:paraId="175A9ADD" w14:textId="77777777" w:rsidR="00FC0F9F" w:rsidRPr="00211E3B" w:rsidRDefault="00FC0F9F" w:rsidP="005E424F">
      <w:pPr>
        <w:ind w:right="-142"/>
        <w:rPr>
          <w:snapToGrid w:val="0"/>
          <w:sz w:val="22"/>
          <w:szCs w:val="24"/>
        </w:rPr>
      </w:pPr>
    </w:p>
    <w:p w14:paraId="45038647" w14:textId="0D9D0DB8" w:rsidR="005E424F" w:rsidRPr="00211E3B" w:rsidRDefault="00FC0F9F" w:rsidP="005E424F">
      <w:pPr>
        <w:ind w:right="-142"/>
        <w:rPr>
          <w:snapToGrid w:val="0"/>
          <w:sz w:val="22"/>
          <w:szCs w:val="24"/>
        </w:rPr>
      </w:pPr>
      <w:r w:rsidRPr="00211E3B">
        <w:rPr>
          <w:snapToGrid w:val="0"/>
          <w:sz w:val="22"/>
          <w:szCs w:val="24"/>
        </w:rPr>
        <w:t>Antrinės</w:t>
      </w:r>
      <w:r w:rsidR="005E424F" w:rsidRPr="00211E3B">
        <w:rPr>
          <w:snapToGrid w:val="0"/>
          <w:sz w:val="22"/>
          <w:szCs w:val="24"/>
        </w:rPr>
        <w:t xml:space="preserve"> saugumo vertinamosios baigtys:</w:t>
      </w:r>
    </w:p>
    <w:p w14:paraId="044305E7" w14:textId="2DE70343" w:rsidR="005E424F" w:rsidRPr="00211E3B" w:rsidRDefault="005E424F" w:rsidP="00256DA0">
      <w:pPr>
        <w:pStyle w:val="Sraopastraipa"/>
        <w:numPr>
          <w:ilvl w:val="0"/>
          <w:numId w:val="11"/>
        </w:numPr>
        <w:ind w:left="567" w:right="-142" w:hanging="567"/>
        <w:rPr>
          <w:snapToGrid w:val="0"/>
          <w:sz w:val="22"/>
          <w:szCs w:val="24"/>
        </w:rPr>
      </w:pPr>
      <w:r w:rsidRPr="00211E3B">
        <w:rPr>
          <w:snapToGrid w:val="0"/>
          <w:sz w:val="22"/>
          <w:szCs w:val="24"/>
        </w:rPr>
        <w:t>Pacientų, kuriems nustatyta gydymo metu išsivysčiusių patologinių radinių epifizių augimo</w:t>
      </w:r>
      <w:r w:rsidR="00437B19" w:rsidRPr="00211E3B">
        <w:rPr>
          <w:snapToGrid w:val="0"/>
          <w:sz w:val="22"/>
          <w:szCs w:val="24"/>
        </w:rPr>
        <w:t xml:space="preserve"> </w:t>
      </w:r>
      <w:r w:rsidRPr="00211E3B">
        <w:rPr>
          <w:snapToGrid w:val="0"/>
          <w:sz w:val="22"/>
          <w:szCs w:val="24"/>
        </w:rPr>
        <w:t>plokštelėse, procentinė dalis, kuri 24</w:t>
      </w:r>
      <w:r w:rsidR="00437B19" w:rsidRPr="00211E3B">
        <w:rPr>
          <w:snapToGrid w:val="0"/>
          <w:sz w:val="22"/>
          <w:szCs w:val="24"/>
        </w:rPr>
        <w:t> </w:t>
      </w:r>
      <w:r w:rsidRPr="00211E3B">
        <w:rPr>
          <w:snapToGrid w:val="0"/>
          <w:sz w:val="22"/>
          <w:szCs w:val="24"/>
        </w:rPr>
        <w:t>savaitę gydymo grupėse buvo panaši (po 7,7</w:t>
      </w:r>
      <w:r w:rsidR="0085390D">
        <w:rPr>
          <w:snapToGrid w:val="0"/>
          <w:sz w:val="22"/>
          <w:szCs w:val="24"/>
        </w:rPr>
        <w:t> %</w:t>
      </w:r>
      <w:r w:rsidR="00437B19" w:rsidRPr="00211E3B">
        <w:rPr>
          <w:snapToGrid w:val="0"/>
          <w:sz w:val="22"/>
          <w:szCs w:val="24"/>
        </w:rPr>
        <w:t xml:space="preserve"> </w:t>
      </w:r>
      <w:r w:rsidRPr="00211E3B">
        <w:rPr>
          <w:snapToGrid w:val="0"/>
          <w:sz w:val="22"/>
          <w:szCs w:val="24"/>
        </w:rPr>
        <w:t>abiejose gydymo grupėse). Iki 52</w:t>
      </w:r>
      <w:r w:rsidR="00437B19" w:rsidRPr="00211E3B">
        <w:rPr>
          <w:snapToGrid w:val="0"/>
          <w:sz w:val="22"/>
          <w:szCs w:val="24"/>
        </w:rPr>
        <w:t> </w:t>
      </w:r>
      <w:r w:rsidRPr="00211E3B">
        <w:rPr>
          <w:snapToGrid w:val="0"/>
          <w:sz w:val="22"/>
          <w:szCs w:val="24"/>
        </w:rPr>
        <w:t>savaitės pacientų, kuriems nustatyta patologinių</w:t>
      </w:r>
      <w:r w:rsidR="00437B19" w:rsidRPr="00211E3B">
        <w:rPr>
          <w:snapToGrid w:val="0"/>
          <w:sz w:val="22"/>
          <w:szCs w:val="24"/>
        </w:rPr>
        <w:t xml:space="preserve"> </w:t>
      </w:r>
      <w:r w:rsidRPr="00211E3B">
        <w:rPr>
          <w:snapToGrid w:val="0"/>
          <w:sz w:val="22"/>
          <w:szCs w:val="24"/>
        </w:rPr>
        <w:t>radinių, procentinė dalis vartojant nintedanibą / nintedanibą buvo 11,5</w:t>
      </w:r>
      <w:r w:rsidR="0085390D">
        <w:rPr>
          <w:snapToGrid w:val="0"/>
          <w:sz w:val="22"/>
          <w:szCs w:val="24"/>
        </w:rPr>
        <w:t> %</w:t>
      </w:r>
      <w:r w:rsidRPr="00211E3B">
        <w:rPr>
          <w:snapToGrid w:val="0"/>
          <w:sz w:val="22"/>
          <w:szCs w:val="24"/>
        </w:rPr>
        <w:t>, o placebą /</w:t>
      </w:r>
      <w:r w:rsidR="00437B19" w:rsidRPr="00211E3B">
        <w:rPr>
          <w:snapToGrid w:val="0"/>
          <w:sz w:val="22"/>
          <w:szCs w:val="24"/>
        </w:rPr>
        <w:t xml:space="preserve"> </w:t>
      </w:r>
      <w:r w:rsidRPr="00211E3B">
        <w:rPr>
          <w:snapToGrid w:val="0"/>
          <w:sz w:val="22"/>
          <w:szCs w:val="24"/>
        </w:rPr>
        <w:t>nintedanibą ‒ 15,4</w:t>
      </w:r>
      <w:r w:rsidR="0085390D">
        <w:rPr>
          <w:snapToGrid w:val="0"/>
          <w:sz w:val="22"/>
          <w:szCs w:val="24"/>
        </w:rPr>
        <w:t> %</w:t>
      </w:r>
      <w:r w:rsidRPr="00211E3B">
        <w:rPr>
          <w:snapToGrid w:val="0"/>
          <w:sz w:val="22"/>
          <w:szCs w:val="24"/>
        </w:rPr>
        <w:t>.</w:t>
      </w:r>
    </w:p>
    <w:p w14:paraId="0830FCEE" w14:textId="334F47B6" w:rsidR="00A91B07" w:rsidRPr="00211E3B" w:rsidRDefault="005E424F" w:rsidP="00256DA0">
      <w:pPr>
        <w:pStyle w:val="Sraopastraipa"/>
        <w:numPr>
          <w:ilvl w:val="0"/>
          <w:numId w:val="11"/>
        </w:numPr>
        <w:ind w:left="567" w:right="-142" w:hanging="567"/>
        <w:rPr>
          <w:snapToGrid w:val="0"/>
          <w:sz w:val="22"/>
          <w:szCs w:val="24"/>
        </w:rPr>
      </w:pPr>
      <w:r w:rsidRPr="00211E3B">
        <w:rPr>
          <w:snapToGrid w:val="0"/>
          <w:sz w:val="22"/>
          <w:szCs w:val="24"/>
        </w:rPr>
        <w:t>Pacientų, kuriems iki 24</w:t>
      </w:r>
      <w:r w:rsidR="004B7789" w:rsidRPr="00211E3B">
        <w:rPr>
          <w:snapToGrid w:val="0"/>
          <w:sz w:val="22"/>
          <w:szCs w:val="24"/>
        </w:rPr>
        <w:t> </w:t>
      </w:r>
      <w:r w:rsidRPr="00211E3B">
        <w:rPr>
          <w:snapToGrid w:val="0"/>
          <w:sz w:val="22"/>
          <w:szCs w:val="24"/>
        </w:rPr>
        <w:t>savaitės dantų apžiūros arba vaizdinimo metu nustatyta</w:t>
      </w:r>
      <w:r w:rsidR="004B7789" w:rsidRPr="00211E3B">
        <w:rPr>
          <w:snapToGrid w:val="0"/>
          <w:sz w:val="22"/>
          <w:szCs w:val="24"/>
        </w:rPr>
        <w:t xml:space="preserve"> </w:t>
      </w:r>
      <w:r w:rsidRPr="00211E3B">
        <w:rPr>
          <w:snapToGrid w:val="0"/>
          <w:sz w:val="22"/>
          <w:szCs w:val="24"/>
        </w:rPr>
        <w:t>gydymo metu išsivysčiusių patologinių radinių, procentinė dalis buvo 46,2</w:t>
      </w:r>
      <w:r w:rsidR="0085390D">
        <w:rPr>
          <w:snapToGrid w:val="0"/>
          <w:sz w:val="22"/>
          <w:szCs w:val="24"/>
        </w:rPr>
        <w:t> %</w:t>
      </w:r>
      <w:r w:rsidRPr="00211E3B">
        <w:rPr>
          <w:snapToGrid w:val="0"/>
          <w:sz w:val="22"/>
          <w:szCs w:val="24"/>
        </w:rPr>
        <w:t xml:space="preserve"> nintedanibo</w:t>
      </w:r>
      <w:r w:rsidR="004B7789" w:rsidRPr="00211E3B">
        <w:rPr>
          <w:snapToGrid w:val="0"/>
          <w:sz w:val="22"/>
          <w:szCs w:val="24"/>
        </w:rPr>
        <w:t xml:space="preserve"> vartojusiųjų </w:t>
      </w:r>
      <w:r w:rsidRPr="00211E3B">
        <w:rPr>
          <w:snapToGrid w:val="0"/>
          <w:sz w:val="22"/>
          <w:szCs w:val="24"/>
        </w:rPr>
        <w:t>grupėje ir 38,5</w:t>
      </w:r>
      <w:r w:rsidR="0085390D">
        <w:rPr>
          <w:snapToGrid w:val="0"/>
          <w:sz w:val="22"/>
          <w:szCs w:val="24"/>
        </w:rPr>
        <w:t> %</w:t>
      </w:r>
      <w:r w:rsidRPr="00211E3B">
        <w:rPr>
          <w:snapToGrid w:val="0"/>
          <w:sz w:val="22"/>
          <w:szCs w:val="24"/>
        </w:rPr>
        <w:t xml:space="preserve"> placebo </w:t>
      </w:r>
      <w:r w:rsidR="004B7789" w:rsidRPr="00211E3B">
        <w:rPr>
          <w:snapToGrid w:val="0"/>
          <w:sz w:val="22"/>
          <w:szCs w:val="24"/>
        </w:rPr>
        <w:t xml:space="preserve">vartojusiųjų </w:t>
      </w:r>
      <w:r w:rsidRPr="00211E3B">
        <w:rPr>
          <w:snapToGrid w:val="0"/>
          <w:sz w:val="22"/>
          <w:szCs w:val="24"/>
        </w:rPr>
        <w:t>grupėje. Iki 52</w:t>
      </w:r>
      <w:r w:rsidR="004B7789" w:rsidRPr="00211E3B">
        <w:rPr>
          <w:snapToGrid w:val="0"/>
          <w:sz w:val="22"/>
          <w:szCs w:val="24"/>
        </w:rPr>
        <w:t> </w:t>
      </w:r>
      <w:r w:rsidRPr="00211E3B">
        <w:rPr>
          <w:snapToGrid w:val="0"/>
          <w:sz w:val="22"/>
          <w:szCs w:val="24"/>
        </w:rPr>
        <w:t xml:space="preserve"> savaitės pacientų, kuriems nustatyta</w:t>
      </w:r>
      <w:r w:rsidR="004B7789" w:rsidRPr="00211E3B">
        <w:rPr>
          <w:snapToGrid w:val="0"/>
          <w:sz w:val="22"/>
          <w:szCs w:val="24"/>
        </w:rPr>
        <w:t xml:space="preserve"> </w:t>
      </w:r>
      <w:r w:rsidRPr="00211E3B">
        <w:rPr>
          <w:snapToGrid w:val="0"/>
          <w:sz w:val="22"/>
          <w:szCs w:val="24"/>
        </w:rPr>
        <w:t>patologinių radinių, procentinė dalis vartojant nintedanibą / nintedanibą buvo 50</w:t>
      </w:r>
      <w:r w:rsidR="0085390D">
        <w:rPr>
          <w:snapToGrid w:val="0"/>
          <w:sz w:val="22"/>
          <w:szCs w:val="24"/>
        </w:rPr>
        <w:t> %</w:t>
      </w:r>
      <w:r w:rsidRPr="00211E3B">
        <w:rPr>
          <w:snapToGrid w:val="0"/>
          <w:sz w:val="22"/>
          <w:szCs w:val="24"/>
        </w:rPr>
        <w:t>, o</w:t>
      </w:r>
      <w:r w:rsidR="004B7789" w:rsidRPr="00211E3B">
        <w:rPr>
          <w:snapToGrid w:val="0"/>
          <w:sz w:val="22"/>
          <w:szCs w:val="24"/>
        </w:rPr>
        <w:t xml:space="preserve"> </w:t>
      </w:r>
      <w:r w:rsidRPr="00211E3B">
        <w:rPr>
          <w:snapToGrid w:val="0"/>
          <w:sz w:val="22"/>
          <w:szCs w:val="24"/>
        </w:rPr>
        <w:t>placebą / nintedanibą ‒ 46,2</w:t>
      </w:r>
      <w:r w:rsidR="0085390D">
        <w:rPr>
          <w:snapToGrid w:val="0"/>
          <w:sz w:val="22"/>
          <w:szCs w:val="24"/>
        </w:rPr>
        <w:t> %</w:t>
      </w:r>
      <w:r w:rsidRPr="00211E3B">
        <w:rPr>
          <w:snapToGrid w:val="0"/>
          <w:sz w:val="22"/>
          <w:szCs w:val="24"/>
        </w:rPr>
        <w:t>.</w:t>
      </w:r>
    </w:p>
    <w:p w14:paraId="2B72B112" w14:textId="77777777" w:rsidR="001220CD" w:rsidRPr="00211E3B" w:rsidRDefault="001220CD" w:rsidP="005E424F">
      <w:pPr>
        <w:ind w:right="-142"/>
        <w:rPr>
          <w:snapToGrid w:val="0"/>
          <w:sz w:val="22"/>
          <w:szCs w:val="24"/>
        </w:rPr>
      </w:pPr>
    </w:p>
    <w:p w14:paraId="394C9591" w14:textId="780DC479" w:rsidR="00227F5B" w:rsidRPr="00211E3B" w:rsidRDefault="00227F5B" w:rsidP="003D1A33">
      <w:pPr>
        <w:ind w:right="-142"/>
        <w:rPr>
          <w:snapToGrid w:val="0"/>
          <w:sz w:val="22"/>
          <w:szCs w:val="24"/>
        </w:rPr>
      </w:pPr>
      <w:r w:rsidRPr="00211E3B">
        <w:rPr>
          <w:snapToGrid w:val="0"/>
          <w:sz w:val="22"/>
          <w:szCs w:val="24"/>
        </w:rPr>
        <w:t xml:space="preserve">Europos vaistų agentūra </w:t>
      </w:r>
      <w:r w:rsidR="00B675DD">
        <w:rPr>
          <w:snapToGrid w:val="0"/>
          <w:sz w:val="22"/>
          <w:szCs w:val="24"/>
        </w:rPr>
        <w:t>atleido nuo</w:t>
      </w:r>
      <w:r w:rsidR="00B675DD" w:rsidRPr="00211E3B">
        <w:rPr>
          <w:snapToGrid w:val="0"/>
          <w:sz w:val="22"/>
          <w:szCs w:val="24"/>
        </w:rPr>
        <w:t xml:space="preserve"> </w:t>
      </w:r>
      <w:r w:rsidRPr="00211E3B">
        <w:rPr>
          <w:snapToGrid w:val="0"/>
          <w:sz w:val="22"/>
          <w:szCs w:val="24"/>
        </w:rPr>
        <w:t>įpareigojim</w:t>
      </w:r>
      <w:r w:rsidR="00B675DD">
        <w:rPr>
          <w:snapToGrid w:val="0"/>
          <w:sz w:val="22"/>
          <w:szCs w:val="24"/>
        </w:rPr>
        <w:t>o</w:t>
      </w:r>
      <w:r w:rsidRPr="00211E3B">
        <w:rPr>
          <w:snapToGrid w:val="0"/>
          <w:sz w:val="22"/>
          <w:szCs w:val="24"/>
        </w:rPr>
        <w:t xml:space="preserve"> pateikti </w:t>
      </w:r>
      <w:r w:rsidR="00791C2E" w:rsidRPr="00211E3B">
        <w:rPr>
          <w:snapToGrid w:val="0"/>
          <w:sz w:val="22"/>
          <w:szCs w:val="24"/>
        </w:rPr>
        <w:t>referencinio vaistinio preparato, kurio sudėtyje yra nintedanibo,</w:t>
      </w:r>
      <w:r w:rsidRPr="00211E3B">
        <w:rPr>
          <w:snapToGrid w:val="0"/>
          <w:sz w:val="22"/>
          <w:szCs w:val="24"/>
        </w:rPr>
        <w:t xml:space="preserve"> tyrimų </w:t>
      </w:r>
      <w:r w:rsidR="003D1A33" w:rsidRPr="00211E3B">
        <w:rPr>
          <w:snapToGrid w:val="0"/>
          <w:sz w:val="22"/>
          <w:szCs w:val="24"/>
        </w:rPr>
        <w:t>su visais vaikų, sergančių IPF, populiacijos pogrupiais duomenis (vartojimo vaikams informacija pateikiama 4.2 skyriuje). Europos vaistų agentūra atleido nuo įpareigojimo pateikti referencinio vaistinio preparato, kurio sudėtyje yra nintedanibo</w:t>
      </w:r>
      <w:r w:rsidR="003D1A33" w:rsidRPr="00830A3C">
        <w:rPr>
          <w:snapToGrid w:val="0"/>
          <w:sz w:val="22"/>
          <w:szCs w:val="24"/>
        </w:rPr>
        <w:t>, tyrimų su jaunesnių kaip 6 metų vaikų, sergančių fibrozinėmis IPL, populiacij</w:t>
      </w:r>
      <w:r w:rsidR="00830A3C">
        <w:rPr>
          <w:snapToGrid w:val="0"/>
          <w:sz w:val="22"/>
          <w:szCs w:val="24"/>
        </w:rPr>
        <w:t>a,</w:t>
      </w:r>
      <w:r w:rsidR="003D1A33" w:rsidRPr="00830A3C">
        <w:rPr>
          <w:snapToGrid w:val="0"/>
          <w:sz w:val="22"/>
          <w:szCs w:val="24"/>
        </w:rPr>
        <w:t xml:space="preserve"> duomenis</w:t>
      </w:r>
      <w:r w:rsidR="003D1A33" w:rsidRPr="00211E3B">
        <w:rPr>
          <w:snapToGrid w:val="0"/>
          <w:sz w:val="22"/>
          <w:szCs w:val="24"/>
        </w:rPr>
        <w:t xml:space="preserve"> (vartojimo vaikams informacija pateikiama 4.2 skyriuje).</w:t>
      </w:r>
    </w:p>
    <w:p w14:paraId="60206EEB" w14:textId="77777777" w:rsidR="005D554B" w:rsidRPr="00211E3B" w:rsidRDefault="005D554B" w:rsidP="005D554B">
      <w:pPr>
        <w:rPr>
          <w:snapToGrid w:val="0"/>
          <w:sz w:val="22"/>
          <w:szCs w:val="24"/>
        </w:rPr>
      </w:pPr>
    </w:p>
    <w:p w14:paraId="574C27F4" w14:textId="77777777" w:rsidR="005D554B" w:rsidRPr="00211E3B" w:rsidRDefault="005D554B" w:rsidP="005D554B">
      <w:pPr>
        <w:keepNext/>
        <w:tabs>
          <w:tab w:val="left" w:pos="567"/>
        </w:tabs>
        <w:spacing w:line="260" w:lineRule="exact"/>
        <w:jc w:val="both"/>
        <w:outlineLvl w:val="3"/>
        <w:rPr>
          <w:b/>
          <w:bCs/>
          <w:snapToGrid w:val="0"/>
          <w:sz w:val="22"/>
          <w:szCs w:val="28"/>
          <w:lang w:eastAsia="x-none"/>
        </w:rPr>
      </w:pPr>
      <w:r w:rsidRPr="00211E3B">
        <w:rPr>
          <w:b/>
          <w:bCs/>
          <w:snapToGrid w:val="0"/>
          <w:sz w:val="22"/>
          <w:szCs w:val="28"/>
          <w:lang w:eastAsia="x-none"/>
        </w:rPr>
        <w:t>5.2</w:t>
      </w:r>
      <w:r w:rsidRPr="00211E3B">
        <w:rPr>
          <w:b/>
          <w:bCs/>
          <w:snapToGrid w:val="0"/>
          <w:sz w:val="22"/>
          <w:szCs w:val="28"/>
          <w:lang w:eastAsia="x-none"/>
        </w:rPr>
        <w:tab/>
        <w:t>Farmakokinetinės savybės</w:t>
      </w:r>
    </w:p>
    <w:p w14:paraId="1FA59BC7" w14:textId="77777777" w:rsidR="005D554B" w:rsidRPr="00211E3B" w:rsidRDefault="005D554B" w:rsidP="005D554B">
      <w:pPr>
        <w:rPr>
          <w:snapToGrid w:val="0"/>
          <w:sz w:val="22"/>
          <w:szCs w:val="24"/>
        </w:rPr>
      </w:pPr>
    </w:p>
    <w:p w14:paraId="2BF10346" w14:textId="77777777" w:rsidR="00AC48E9" w:rsidRPr="00211E3B" w:rsidRDefault="00AC48E9" w:rsidP="00AC48E9">
      <w:pPr>
        <w:tabs>
          <w:tab w:val="left" w:pos="567"/>
        </w:tabs>
        <w:contextualSpacing/>
        <w:outlineLvl w:val="0"/>
        <w:rPr>
          <w:snapToGrid w:val="0"/>
          <w:sz w:val="22"/>
          <w:u w:val="single"/>
        </w:rPr>
      </w:pPr>
      <w:r w:rsidRPr="00211E3B">
        <w:rPr>
          <w:snapToGrid w:val="0"/>
          <w:sz w:val="22"/>
          <w:u w:val="single"/>
        </w:rPr>
        <w:t>Absorbcija</w:t>
      </w:r>
    </w:p>
    <w:p w14:paraId="42F58B6A" w14:textId="0278F7EB" w:rsidR="00AC48E9" w:rsidRPr="00211E3B" w:rsidRDefault="00AC48E9" w:rsidP="00AC48E9">
      <w:pPr>
        <w:tabs>
          <w:tab w:val="left" w:pos="567"/>
        </w:tabs>
        <w:contextualSpacing/>
        <w:outlineLvl w:val="0"/>
        <w:rPr>
          <w:snapToGrid w:val="0"/>
          <w:sz w:val="22"/>
        </w:rPr>
      </w:pPr>
      <w:r w:rsidRPr="00211E3B">
        <w:rPr>
          <w:snapToGrid w:val="0"/>
          <w:sz w:val="22"/>
        </w:rPr>
        <w:t>Per burną pavartojus nintedanibo minkštąją želatinos kapsulę pavalgius, didžiausia koncentracija kraujo plazmoje susidaro maždaug po 2</w:t>
      </w:r>
      <w:r w:rsidRPr="00211E3B">
        <w:rPr>
          <w:snapToGrid w:val="0"/>
          <w:sz w:val="22"/>
        </w:rPr>
        <w:noBreakHyphen/>
        <w:t>4 val. (svyravimo ribos: 0,5</w:t>
      </w:r>
      <w:r w:rsidRPr="00211E3B">
        <w:rPr>
          <w:snapToGrid w:val="0"/>
          <w:sz w:val="22"/>
        </w:rPr>
        <w:noBreakHyphen/>
        <w:t>8 val.). Sveikų savanorių</w:t>
      </w:r>
      <w:r w:rsidR="005A14AD" w:rsidRPr="00211E3B">
        <w:rPr>
          <w:snapToGrid w:val="0"/>
          <w:sz w:val="22"/>
        </w:rPr>
        <w:t xml:space="preserve"> </w:t>
      </w:r>
      <w:r w:rsidRPr="00211E3B">
        <w:rPr>
          <w:snapToGrid w:val="0"/>
          <w:sz w:val="22"/>
        </w:rPr>
        <w:t>organizme 100</w:t>
      </w:r>
      <w:r w:rsidR="0085390D">
        <w:rPr>
          <w:snapToGrid w:val="0"/>
          <w:sz w:val="22"/>
        </w:rPr>
        <w:t> mg</w:t>
      </w:r>
      <w:r w:rsidRPr="00211E3B">
        <w:rPr>
          <w:snapToGrid w:val="0"/>
          <w:sz w:val="22"/>
        </w:rPr>
        <w:t xml:space="preserve"> dozės absoliutus biologinis prieinamumas buvo 4,69</w:t>
      </w:r>
      <w:r w:rsidR="0085390D">
        <w:rPr>
          <w:snapToGrid w:val="0"/>
          <w:sz w:val="22"/>
        </w:rPr>
        <w:t> %</w:t>
      </w:r>
      <w:r w:rsidRPr="00211E3B">
        <w:rPr>
          <w:snapToGrid w:val="0"/>
          <w:sz w:val="22"/>
        </w:rPr>
        <w:t xml:space="preserve"> (90</w:t>
      </w:r>
      <w:r w:rsidR="0085390D">
        <w:rPr>
          <w:snapToGrid w:val="0"/>
          <w:sz w:val="22"/>
        </w:rPr>
        <w:t> %</w:t>
      </w:r>
      <w:r w:rsidRPr="00211E3B">
        <w:rPr>
          <w:snapToGrid w:val="0"/>
          <w:sz w:val="22"/>
        </w:rPr>
        <w:t xml:space="preserve"> PI: 3,615-6,078). Absorbcija ir biologinis prieinamumas sumažėja dėl pernašos poveikio ir žymaus metabolizmo pirmo prasiskverbimo per kepenis metu. Nintedanibo ekspozicija didėjo proporcingai dozei, kai vartotos dozės buvo 50-450</w:t>
      </w:r>
      <w:r w:rsidR="0085390D">
        <w:rPr>
          <w:snapToGrid w:val="0"/>
          <w:sz w:val="22"/>
        </w:rPr>
        <w:t> mg</w:t>
      </w:r>
      <w:r w:rsidRPr="00211E3B">
        <w:rPr>
          <w:snapToGrid w:val="0"/>
          <w:sz w:val="22"/>
        </w:rPr>
        <w:t xml:space="preserve"> vieną kartą per parą ir 150-300</w:t>
      </w:r>
      <w:r w:rsidR="0085390D">
        <w:rPr>
          <w:snapToGrid w:val="0"/>
          <w:sz w:val="22"/>
        </w:rPr>
        <w:t> mg</w:t>
      </w:r>
      <w:r w:rsidRPr="00211E3B">
        <w:rPr>
          <w:snapToGrid w:val="0"/>
          <w:sz w:val="22"/>
        </w:rPr>
        <w:t xml:space="preserve"> du kartus per parą. Pusiausvyrinė koncentracija kraujo plazmoje atsirado ne vėliau kaip per vieną savaitę nuo dozavimo pradžios.</w:t>
      </w:r>
    </w:p>
    <w:p w14:paraId="30CFDE50" w14:textId="77777777" w:rsidR="001920A9" w:rsidRPr="00211E3B" w:rsidRDefault="001920A9" w:rsidP="00AC48E9">
      <w:pPr>
        <w:tabs>
          <w:tab w:val="left" w:pos="567"/>
        </w:tabs>
        <w:contextualSpacing/>
        <w:outlineLvl w:val="0"/>
        <w:rPr>
          <w:snapToGrid w:val="0"/>
          <w:sz w:val="22"/>
        </w:rPr>
      </w:pPr>
    </w:p>
    <w:p w14:paraId="79CACA0F" w14:textId="306791BF" w:rsidR="00AC48E9" w:rsidRPr="00211E3B" w:rsidRDefault="00AC48E9" w:rsidP="001920A9">
      <w:pPr>
        <w:tabs>
          <w:tab w:val="left" w:pos="567"/>
        </w:tabs>
        <w:contextualSpacing/>
        <w:outlineLvl w:val="0"/>
        <w:rPr>
          <w:snapToGrid w:val="0"/>
          <w:sz w:val="22"/>
        </w:rPr>
      </w:pPr>
      <w:r w:rsidRPr="00211E3B">
        <w:rPr>
          <w:snapToGrid w:val="0"/>
          <w:sz w:val="22"/>
        </w:rPr>
        <w:t>Po valgio pavartoto nintedanibo ekspozicija padidėjo maždaug 20</w:t>
      </w:r>
      <w:r w:rsidR="0085390D">
        <w:rPr>
          <w:snapToGrid w:val="0"/>
          <w:sz w:val="22"/>
        </w:rPr>
        <w:t> %</w:t>
      </w:r>
      <w:r w:rsidRPr="00211E3B">
        <w:rPr>
          <w:snapToGrid w:val="0"/>
          <w:sz w:val="22"/>
        </w:rPr>
        <w:t>, palyginti su ekspozicija po</w:t>
      </w:r>
      <w:r w:rsidR="001920A9" w:rsidRPr="00211E3B">
        <w:rPr>
          <w:snapToGrid w:val="0"/>
          <w:sz w:val="22"/>
        </w:rPr>
        <w:t xml:space="preserve"> </w:t>
      </w:r>
      <w:r w:rsidRPr="00211E3B">
        <w:rPr>
          <w:snapToGrid w:val="0"/>
          <w:sz w:val="22"/>
        </w:rPr>
        <w:t>pavartojimo nevalgius (PI: 95,3-152,5</w:t>
      </w:r>
      <w:r w:rsidR="0085390D">
        <w:rPr>
          <w:snapToGrid w:val="0"/>
          <w:sz w:val="22"/>
        </w:rPr>
        <w:t> %</w:t>
      </w:r>
      <w:r w:rsidRPr="00211E3B">
        <w:rPr>
          <w:snapToGrid w:val="0"/>
          <w:sz w:val="22"/>
        </w:rPr>
        <w:t>)</w:t>
      </w:r>
      <w:r w:rsidR="001920A9" w:rsidRPr="00211E3B">
        <w:rPr>
          <w:snapToGrid w:val="0"/>
          <w:sz w:val="22"/>
        </w:rPr>
        <w:t xml:space="preserve"> ir</w:t>
      </w:r>
      <w:r w:rsidRPr="00211E3B">
        <w:rPr>
          <w:snapToGrid w:val="0"/>
          <w:sz w:val="22"/>
        </w:rPr>
        <w:t xml:space="preserve"> absorbcija buvo uždelsta (</w:t>
      </w:r>
      <w:r w:rsidR="001920A9" w:rsidRPr="00211E3B">
        <w:rPr>
          <w:snapToGrid w:val="0"/>
          <w:sz w:val="22"/>
        </w:rPr>
        <w:t>t</w:t>
      </w:r>
      <w:r w:rsidR="001920A9" w:rsidRPr="00211E3B">
        <w:rPr>
          <w:snapToGrid w:val="0"/>
          <w:sz w:val="22"/>
          <w:vertAlign w:val="subscript"/>
        </w:rPr>
        <w:t>max</w:t>
      </w:r>
      <w:r w:rsidR="001920A9" w:rsidRPr="00211E3B">
        <w:rPr>
          <w:snapToGrid w:val="0"/>
          <w:sz w:val="22"/>
        </w:rPr>
        <w:t xml:space="preserve"> mediana </w:t>
      </w:r>
      <w:r w:rsidRPr="00211E3B">
        <w:rPr>
          <w:snapToGrid w:val="0"/>
          <w:sz w:val="22"/>
        </w:rPr>
        <w:t xml:space="preserve">po pavartojimo nevalgius </w:t>
      </w:r>
      <w:r w:rsidR="001920A9" w:rsidRPr="00211E3B">
        <w:rPr>
          <w:snapToGrid w:val="0"/>
          <w:sz w:val="22"/>
        </w:rPr>
        <w:t xml:space="preserve">‒ </w:t>
      </w:r>
      <w:r w:rsidRPr="00211E3B">
        <w:rPr>
          <w:snapToGrid w:val="0"/>
          <w:sz w:val="22"/>
        </w:rPr>
        <w:t>2</w:t>
      </w:r>
      <w:r w:rsidR="001920A9" w:rsidRPr="00211E3B">
        <w:rPr>
          <w:snapToGrid w:val="0"/>
          <w:sz w:val="22"/>
        </w:rPr>
        <w:t> </w:t>
      </w:r>
      <w:r w:rsidRPr="00211E3B">
        <w:rPr>
          <w:snapToGrid w:val="0"/>
          <w:sz w:val="22"/>
        </w:rPr>
        <w:t>val., po pavartojimo pavalgius ‒ 3,98</w:t>
      </w:r>
      <w:r w:rsidR="001920A9" w:rsidRPr="00211E3B">
        <w:rPr>
          <w:snapToGrid w:val="0"/>
          <w:sz w:val="22"/>
        </w:rPr>
        <w:t> </w:t>
      </w:r>
      <w:r w:rsidRPr="00211E3B">
        <w:rPr>
          <w:snapToGrid w:val="0"/>
          <w:sz w:val="22"/>
        </w:rPr>
        <w:t>val.).</w:t>
      </w:r>
    </w:p>
    <w:p w14:paraId="31906719" w14:textId="77777777" w:rsidR="00AC48E9" w:rsidRPr="00211E3B" w:rsidRDefault="00AC48E9" w:rsidP="00AC48E9">
      <w:pPr>
        <w:tabs>
          <w:tab w:val="left" w:pos="567"/>
        </w:tabs>
        <w:contextualSpacing/>
        <w:outlineLvl w:val="0"/>
        <w:rPr>
          <w:snapToGrid w:val="0"/>
          <w:sz w:val="22"/>
        </w:rPr>
      </w:pPr>
    </w:p>
    <w:p w14:paraId="1785C110" w14:textId="673F84E3" w:rsidR="00350563" w:rsidRPr="00211E3B" w:rsidRDefault="00350563" w:rsidP="00AC48E9">
      <w:pPr>
        <w:tabs>
          <w:tab w:val="left" w:pos="567"/>
        </w:tabs>
        <w:contextualSpacing/>
        <w:outlineLvl w:val="0"/>
        <w:rPr>
          <w:snapToGrid w:val="0"/>
          <w:sz w:val="22"/>
        </w:rPr>
      </w:pPr>
      <w:r w:rsidRPr="00211E3B">
        <w:rPr>
          <w:snapToGrid w:val="0"/>
          <w:sz w:val="22"/>
        </w:rPr>
        <w:t xml:space="preserve">Tyrimo </w:t>
      </w:r>
      <w:r w:rsidRPr="00211E3B">
        <w:rPr>
          <w:i/>
          <w:iCs/>
          <w:snapToGrid w:val="0"/>
          <w:sz w:val="22"/>
        </w:rPr>
        <w:t xml:space="preserve">in vitro </w:t>
      </w:r>
      <w:r w:rsidRPr="00211E3B">
        <w:rPr>
          <w:snapToGrid w:val="0"/>
          <w:sz w:val="22"/>
        </w:rPr>
        <w:t>metu nustatyta, kad sumaišius nintedanibo kapsules su mažu kiekiu obuolių tyrės ar šokoladinio pudingo, laikotarpiu iki 15 minučių poveikio farmacinei kokybei nebuvo. Pastebėta, kad ilgiau laikant kapsules minkštame maiste, jos išsipučia ir deformuojasi, nes į želatininį</w:t>
      </w:r>
      <w:r w:rsidR="00195670" w:rsidRPr="00211E3B">
        <w:rPr>
          <w:snapToGrid w:val="0"/>
          <w:sz w:val="22"/>
        </w:rPr>
        <w:t xml:space="preserve"> </w:t>
      </w:r>
      <w:r w:rsidRPr="00211E3B">
        <w:rPr>
          <w:snapToGrid w:val="0"/>
          <w:sz w:val="22"/>
        </w:rPr>
        <w:t>kapsulės apvalką patenka vandens. Dėl to, kapsules vartojant su minkštu maistu, nėra tikėtina</w:t>
      </w:r>
      <w:r w:rsidR="000D58B9" w:rsidRPr="000D58B9">
        <w:rPr>
          <w:snapToGrid w:val="0"/>
          <w:sz w:val="22"/>
        </w:rPr>
        <w:t>, kad klinikinis poveikis pakinta</w:t>
      </w:r>
      <w:r w:rsidR="000D58B9">
        <w:rPr>
          <w:snapToGrid w:val="0"/>
          <w:sz w:val="22"/>
        </w:rPr>
        <w:t>, jeigu jos suvartojamos iškart</w:t>
      </w:r>
      <w:r w:rsidRPr="00211E3B">
        <w:rPr>
          <w:snapToGrid w:val="0"/>
          <w:sz w:val="22"/>
        </w:rPr>
        <w:t>.</w:t>
      </w:r>
    </w:p>
    <w:p w14:paraId="647ADEAA" w14:textId="77777777" w:rsidR="00350563" w:rsidRPr="00211E3B" w:rsidRDefault="00350563" w:rsidP="00AC48E9">
      <w:pPr>
        <w:tabs>
          <w:tab w:val="left" w:pos="567"/>
        </w:tabs>
        <w:contextualSpacing/>
        <w:outlineLvl w:val="0"/>
        <w:rPr>
          <w:snapToGrid w:val="0"/>
          <w:sz w:val="22"/>
        </w:rPr>
      </w:pPr>
    </w:p>
    <w:p w14:paraId="5C17D166" w14:textId="01E2EDD6" w:rsidR="00AC48E9" w:rsidRPr="00211E3B" w:rsidRDefault="00AC48E9" w:rsidP="00AC48E9">
      <w:pPr>
        <w:tabs>
          <w:tab w:val="left" w:pos="567"/>
        </w:tabs>
        <w:contextualSpacing/>
        <w:outlineLvl w:val="0"/>
        <w:rPr>
          <w:snapToGrid w:val="0"/>
          <w:sz w:val="22"/>
          <w:u w:val="single"/>
        </w:rPr>
      </w:pPr>
      <w:r w:rsidRPr="00211E3B">
        <w:rPr>
          <w:snapToGrid w:val="0"/>
          <w:sz w:val="22"/>
          <w:u w:val="single"/>
        </w:rPr>
        <w:t>Pasiskirstymas</w:t>
      </w:r>
    </w:p>
    <w:p w14:paraId="4DA5FBA0" w14:textId="0AD9EE55" w:rsidR="00AC48E9" w:rsidRPr="00211E3B" w:rsidRDefault="00AC48E9" w:rsidP="00AC48E9">
      <w:pPr>
        <w:tabs>
          <w:tab w:val="left" w:pos="567"/>
        </w:tabs>
        <w:contextualSpacing/>
        <w:outlineLvl w:val="0"/>
        <w:rPr>
          <w:snapToGrid w:val="0"/>
          <w:sz w:val="22"/>
        </w:rPr>
      </w:pPr>
      <w:r w:rsidRPr="00211E3B">
        <w:rPr>
          <w:snapToGrid w:val="0"/>
          <w:sz w:val="22"/>
        </w:rPr>
        <w:t xml:space="preserve">Nintedanibo pasiskirstymo kinetika yra </w:t>
      </w:r>
      <w:r w:rsidR="00646943" w:rsidRPr="00211E3B">
        <w:rPr>
          <w:snapToGrid w:val="0"/>
          <w:sz w:val="22"/>
        </w:rPr>
        <w:t xml:space="preserve">bent jau </w:t>
      </w:r>
      <w:r w:rsidRPr="00211E3B">
        <w:rPr>
          <w:snapToGrid w:val="0"/>
          <w:sz w:val="22"/>
        </w:rPr>
        <w:t>dvifazė. Po infuzijos</w:t>
      </w:r>
      <w:r w:rsidR="000D58B9">
        <w:rPr>
          <w:snapToGrid w:val="0"/>
          <w:sz w:val="22"/>
        </w:rPr>
        <w:t xml:space="preserve"> į veną</w:t>
      </w:r>
      <w:r w:rsidRPr="00211E3B">
        <w:rPr>
          <w:snapToGrid w:val="0"/>
          <w:sz w:val="22"/>
        </w:rPr>
        <w:t xml:space="preserve"> buvo nustatytas</w:t>
      </w:r>
      <w:r w:rsidR="00646943" w:rsidRPr="00211E3B">
        <w:rPr>
          <w:snapToGrid w:val="0"/>
          <w:sz w:val="22"/>
        </w:rPr>
        <w:t xml:space="preserve"> </w:t>
      </w:r>
      <w:r w:rsidRPr="00211E3B">
        <w:rPr>
          <w:snapToGrid w:val="0"/>
          <w:sz w:val="22"/>
        </w:rPr>
        <w:t>didelis pasiskirstymo tūris (V</w:t>
      </w:r>
      <w:r w:rsidRPr="00211E3B">
        <w:rPr>
          <w:snapToGrid w:val="0"/>
          <w:sz w:val="22"/>
          <w:vertAlign w:val="subscript"/>
        </w:rPr>
        <w:t>ss</w:t>
      </w:r>
      <w:r w:rsidRPr="00211E3B">
        <w:rPr>
          <w:snapToGrid w:val="0"/>
          <w:sz w:val="22"/>
        </w:rPr>
        <w:t>: 1 050 l, genotipinis variacijos koeficientas, gVK ‒ 45</w:t>
      </w:r>
      <w:r w:rsidR="0085390D">
        <w:rPr>
          <w:snapToGrid w:val="0"/>
          <w:sz w:val="22"/>
        </w:rPr>
        <w:t> %</w:t>
      </w:r>
      <w:r w:rsidRPr="00211E3B">
        <w:rPr>
          <w:snapToGrid w:val="0"/>
          <w:sz w:val="22"/>
        </w:rPr>
        <w:t>).</w:t>
      </w:r>
    </w:p>
    <w:p w14:paraId="0BD0013A" w14:textId="77777777" w:rsidR="00646943" w:rsidRPr="00211E3B" w:rsidRDefault="00646943" w:rsidP="00AC48E9">
      <w:pPr>
        <w:tabs>
          <w:tab w:val="left" w:pos="567"/>
        </w:tabs>
        <w:contextualSpacing/>
        <w:outlineLvl w:val="0"/>
        <w:rPr>
          <w:snapToGrid w:val="0"/>
          <w:sz w:val="22"/>
        </w:rPr>
      </w:pPr>
    </w:p>
    <w:p w14:paraId="7598C8AB" w14:textId="69D3A702" w:rsidR="00AC48E9" w:rsidRPr="00211E3B" w:rsidRDefault="00AC48E9" w:rsidP="00AC48E9">
      <w:pPr>
        <w:tabs>
          <w:tab w:val="left" w:pos="567"/>
        </w:tabs>
        <w:contextualSpacing/>
        <w:outlineLvl w:val="0"/>
        <w:rPr>
          <w:snapToGrid w:val="0"/>
          <w:sz w:val="22"/>
        </w:rPr>
      </w:pPr>
      <w:r w:rsidRPr="00211E3B">
        <w:rPr>
          <w:i/>
          <w:iCs/>
          <w:snapToGrid w:val="0"/>
          <w:sz w:val="22"/>
        </w:rPr>
        <w:t>In vitro</w:t>
      </w:r>
      <w:r w:rsidRPr="00211E3B">
        <w:rPr>
          <w:snapToGrid w:val="0"/>
          <w:sz w:val="22"/>
        </w:rPr>
        <w:t xml:space="preserve"> </w:t>
      </w:r>
      <w:r w:rsidR="00646943" w:rsidRPr="00211E3B">
        <w:rPr>
          <w:snapToGrid w:val="0"/>
          <w:sz w:val="22"/>
        </w:rPr>
        <w:t>didelė dalis</w:t>
      </w:r>
      <w:r w:rsidRPr="00211E3B">
        <w:rPr>
          <w:snapToGrid w:val="0"/>
          <w:sz w:val="22"/>
        </w:rPr>
        <w:t xml:space="preserve"> nintedanibo prisijungė prie kraujo plazmos baltymų, prisijungusios frakcijos buvo</w:t>
      </w:r>
      <w:r w:rsidR="00646943" w:rsidRPr="00211E3B">
        <w:rPr>
          <w:snapToGrid w:val="0"/>
          <w:sz w:val="22"/>
        </w:rPr>
        <w:t xml:space="preserve"> </w:t>
      </w:r>
      <w:r w:rsidRPr="00211E3B">
        <w:rPr>
          <w:snapToGrid w:val="0"/>
          <w:sz w:val="22"/>
        </w:rPr>
        <w:t>97,8</w:t>
      </w:r>
      <w:r w:rsidR="0085390D">
        <w:rPr>
          <w:snapToGrid w:val="0"/>
          <w:sz w:val="22"/>
        </w:rPr>
        <w:t> %</w:t>
      </w:r>
      <w:r w:rsidRPr="00211E3B">
        <w:rPr>
          <w:snapToGrid w:val="0"/>
          <w:sz w:val="22"/>
        </w:rPr>
        <w:t>. Svarbiausias baltymas, prie kurio prisijungia</w:t>
      </w:r>
      <w:r w:rsidR="00646943" w:rsidRPr="00211E3B">
        <w:rPr>
          <w:snapToGrid w:val="0"/>
          <w:sz w:val="22"/>
        </w:rPr>
        <w:t>ma</w:t>
      </w:r>
      <w:r w:rsidRPr="00211E3B">
        <w:rPr>
          <w:snapToGrid w:val="0"/>
          <w:sz w:val="22"/>
        </w:rPr>
        <w:t xml:space="preserve">, yra </w:t>
      </w:r>
      <w:r w:rsidR="00646943" w:rsidRPr="00211E3B">
        <w:rPr>
          <w:snapToGrid w:val="0"/>
          <w:sz w:val="22"/>
        </w:rPr>
        <w:t xml:space="preserve">kraujo </w:t>
      </w:r>
      <w:r w:rsidRPr="00211E3B">
        <w:rPr>
          <w:snapToGrid w:val="0"/>
          <w:sz w:val="22"/>
        </w:rPr>
        <w:t xml:space="preserve">serumo albuminas. Nintedanibas </w:t>
      </w:r>
      <w:r w:rsidR="00646943" w:rsidRPr="00211E3B">
        <w:rPr>
          <w:snapToGrid w:val="0"/>
          <w:sz w:val="22"/>
        </w:rPr>
        <w:t xml:space="preserve">daugiausia </w:t>
      </w:r>
      <w:r w:rsidRPr="00211E3B">
        <w:rPr>
          <w:snapToGrid w:val="0"/>
          <w:sz w:val="22"/>
        </w:rPr>
        <w:t>pasiskirsto kraujo plazmoje, pasiskirstymo kraujyje ir kraujo plazmoje santykis yra 0,869.</w:t>
      </w:r>
    </w:p>
    <w:p w14:paraId="0A51763F" w14:textId="77777777" w:rsidR="00646943" w:rsidRPr="00211E3B" w:rsidRDefault="00646943" w:rsidP="00AC48E9">
      <w:pPr>
        <w:tabs>
          <w:tab w:val="left" w:pos="567"/>
        </w:tabs>
        <w:contextualSpacing/>
        <w:outlineLvl w:val="0"/>
        <w:rPr>
          <w:snapToGrid w:val="0"/>
          <w:sz w:val="22"/>
        </w:rPr>
      </w:pPr>
    </w:p>
    <w:p w14:paraId="01574987" w14:textId="2F69D65D" w:rsidR="00AC48E9" w:rsidRPr="00211E3B" w:rsidRDefault="00AC48E9" w:rsidP="00AC48E9">
      <w:pPr>
        <w:tabs>
          <w:tab w:val="left" w:pos="567"/>
        </w:tabs>
        <w:contextualSpacing/>
        <w:outlineLvl w:val="0"/>
        <w:rPr>
          <w:snapToGrid w:val="0"/>
          <w:sz w:val="22"/>
          <w:u w:val="single"/>
        </w:rPr>
      </w:pPr>
      <w:r w:rsidRPr="00211E3B">
        <w:rPr>
          <w:snapToGrid w:val="0"/>
          <w:sz w:val="22"/>
          <w:u w:val="single"/>
        </w:rPr>
        <w:t>Biotransformacija</w:t>
      </w:r>
    </w:p>
    <w:p w14:paraId="6F7A34CA" w14:textId="13CB2C88" w:rsidR="00AC48E9" w:rsidRPr="00211E3B" w:rsidRDefault="00F35E6B" w:rsidP="00AC48E9">
      <w:pPr>
        <w:tabs>
          <w:tab w:val="left" w:pos="567"/>
        </w:tabs>
        <w:contextualSpacing/>
        <w:outlineLvl w:val="0"/>
        <w:rPr>
          <w:snapToGrid w:val="0"/>
          <w:sz w:val="22"/>
        </w:rPr>
      </w:pPr>
      <w:r w:rsidRPr="00211E3B">
        <w:rPr>
          <w:snapToGrid w:val="0"/>
          <w:sz w:val="22"/>
        </w:rPr>
        <w:t>Dominuojanti</w:t>
      </w:r>
      <w:r w:rsidR="00AC48E9" w:rsidRPr="00211E3B">
        <w:rPr>
          <w:snapToGrid w:val="0"/>
          <w:sz w:val="22"/>
        </w:rPr>
        <w:t xml:space="preserve"> nintedanibo metabolizmo reakcija yra </w:t>
      </w:r>
      <w:r w:rsidRPr="00211E3B">
        <w:rPr>
          <w:snapToGrid w:val="0"/>
          <w:sz w:val="22"/>
        </w:rPr>
        <w:t>dalyvaujant esterazėms</w:t>
      </w:r>
      <w:r w:rsidR="00AC48E9" w:rsidRPr="00211E3B">
        <w:rPr>
          <w:snapToGrid w:val="0"/>
          <w:sz w:val="22"/>
        </w:rPr>
        <w:t xml:space="preserve"> </w:t>
      </w:r>
      <w:r w:rsidRPr="00211E3B">
        <w:rPr>
          <w:snapToGrid w:val="0"/>
          <w:sz w:val="22"/>
        </w:rPr>
        <w:t>vykstantis</w:t>
      </w:r>
      <w:r w:rsidR="00AC48E9" w:rsidRPr="00211E3B">
        <w:rPr>
          <w:snapToGrid w:val="0"/>
          <w:sz w:val="22"/>
        </w:rPr>
        <w:t xml:space="preserve"> hidrolizinis skaldymas,</w:t>
      </w:r>
      <w:r w:rsidRPr="00211E3B">
        <w:rPr>
          <w:snapToGrid w:val="0"/>
          <w:sz w:val="22"/>
        </w:rPr>
        <w:t xml:space="preserve"> susidarant</w:t>
      </w:r>
      <w:r w:rsidR="00AC48E9" w:rsidRPr="00211E3B">
        <w:rPr>
          <w:snapToGrid w:val="0"/>
          <w:sz w:val="22"/>
        </w:rPr>
        <w:t xml:space="preserve"> laisvos rūgšties liekan</w:t>
      </w:r>
      <w:r w:rsidRPr="00211E3B">
        <w:rPr>
          <w:snapToGrid w:val="0"/>
          <w:sz w:val="22"/>
        </w:rPr>
        <w:t>ai</w:t>
      </w:r>
      <w:r w:rsidR="00AC48E9" w:rsidRPr="00211E3B">
        <w:rPr>
          <w:snapToGrid w:val="0"/>
          <w:sz w:val="22"/>
        </w:rPr>
        <w:t xml:space="preserve"> BIBF 1202. </w:t>
      </w:r>
      <w:r w:rsidRPr="00211E3B">
        <w:rPr>
          <w:snapToGrid w:val="0"/>
          <w:sz w:val="22"/>
        </w:rPr>
        <w:t xml:space="preserve">Po to vyksta </w:t>
      </w:r>
      <w:r w:rsidR="00AC48E9" w:rsidRPr="00211E3B">
        <w:rPr>
          <w:snapToGrid w:val="0"/>
          <w:sz w:val="22"/>
        </w:rPr>
        <w:t>BIBF 1202 gliukuroninim</w:t>
      </w:r>
      <w:r w:rsidRPr="00211E3B">
        <w:rPr>
          <w:snapToGrid w:val="0"/>
          <w:sz w:val="22"/>
        </w:rPr>
        <w:t xml:space="preserve">as dalyvaujant </w:t>
      </w:r>
      <w:r w:rsidR="00236FB9" w:rsidRPr="00211E3B">
        <w:rPr>
          <w:snapToGrid w:val="0"/>
          <w:sz w:val="22"/>
        </w:rPr>
        <w:t>uridino 5'-difosfo-gliukuronoziltransferazės (</w:t>
      </w:r>
      <w:r w:rsidR="00AC48E9" w:rsidRPr="00211E3B">
        <w:rPr>
          <w:snapToGrid w:val="0"/>
          <w:sz w:val="22"/>
        </w:rPr>
        <w:t>UGT</w:t>
      </w:r>
      <w:r w:rsidR="00236FB9" w:rsidRPr="00211E3B">
        <w:rPr>
          <w:snapToGrid w:val="0"/>
          <w:sz w:val="22"/>
        </w:rPr>
        <w:t>)</w:t>
      </w:r>
      <w:r w:rsidRPr="00211E3B">
        <w:rPr>
          <w:snapToGrid w:val="0"/>
          <w:sz w:val="22"/>
        </w:rPr>
        <w:t xml:space="preserve"> </w:t>
      </w:r>
      <w:r w:rsidR="00AC48E9" w:rsidRPr="00211E3B">
        <w:rPr>
          <w:snapToGrid w:val="0"/>
          <w:sz w:val="22"/>
        </w:rPr>
        <w:t>ferment</w:t>
      </w:r>
      <w:r w:rsidRPr="00211E3B">
        <w:rPr>
          <w:snapToGrid w:val="0"/>
          <w:sz w:val="22"/>
        </w:rPr>
        <w:t>ams</w:t>
      </w:r>
      <w:r w:rsidR="00AC48E9" w:rsidRPr="00211E3B">
        <w:rPr>
          <w:snapToGrid w:val="0"/>
          <w:sz w:val="22"/>
        </w:rPr>
        <w:t xml:space="preserve">, t. y. UGT 1A1, UGT 1A7, UGT 1A8 ir UGT 1A10, </w:t>
      </w:r>
      <w:r w:rsidRPr="00211E3B">
        <w:rPr>
          <w:snapToGrid w:val="0"/>
          <w:sz w:val="22"/>
        </w:rPr>
        <w:t>ir susidarant</w:t>
      </w:r>
      <w:r w:rsidR="00AC48E9" w:rsidRPr="00211E3B">
        <w:rPr>
          <w:snapToGrid w:val="0"/>
          <w:sz w:val="22"/>
        </w:rPr>
        <w:t xml:space="preserve"> BIBF 1202</w:t>
      </w:r>
      <w:r w:rsidRPr="00211E3B">
        <w:rPr>
          <w:snapToGrid w:val="0"/>
          <w:sz w:val="22"/>
        </w:rPr>
        <w:t xml:space="preserve"> </w:t>
      </w:r>
      <w:r w:rsidR="00AC48E9" w:rsidRPr="00211E3B">
        <w:rPr>
          <w:snapToGrid w:val="0"/>
          <w:sz w:val="22"/>
        </w:rPr>
        <w:t>gliukuronidu</w:t>
      </w:r>
      <w:r w:rsidRPr="00211E3B">
        <w:rPr>
          <w:snapToGrid w:val="0"/>
          <w:sz w:val="22"/>
        </w:rPr>
        <w:t>i</w:t>
      </w:r>
      <w:r w:rsidR="00AC48E9" w:rsidRPr="00211E3B">
        <w:rPr>
          <w:snapToGrid w:val="0"/>
          <w:sz w:val="22"/>
        </w:rPr>
        <w:t>.</w:t>
      </w:r>
    </w:p>
    <w:p w14:paraId="45CBCB10" w14:textId="77777777" w:rsidR="00F35E6B" w:rsidRPr="00211E3B" w:rsidRDefault="00F35E6B" w:rsidP="00AC48E9">
      <w:pPr>
        <w:tabs>
          <w:tab w:val="left" w:pos="567"/>
        </w:tabs>
        <w:contextualSpacing/>
        <w:outlineLvl w:val="0"/>
        <w:rPr>
          <w:snapToGrid w:val="0"/>
          <w:sz w:val="22"/>
        </w:rPr>
      </w:pPr>
    </w:p>
    <w:p w14:paraId="3639F91C" w14:textId="15C699DA" w:rsidR="00AC48E9" w:rsidRPr="00211E3B" w:rsidRDefault="00AC48E9" w:rsidP="00236FB9">
      <w:pPr>
        <w:tabs>
          <w:tab w:val="left" w:pos="567"/>
        </w:tabs>
        <w:contextualSpacing/>
        <w:outlineLvl w:val="0"/>
        <w:rPr>
          <w:snapToGrid w:val="0"/>
          <w:sz w:val="22"/>
        </w:rPr>
      </w:pPr>
      <w:r w:rsidRPr="00211E3B">
        <w:rPr>
          <w:snapToGrid w:val="0"/>
          <w:sz w:val="22"/>
        </w:rPr>
        <w:t>Tik maža nintedanibo dalis biotransformuojama veikiant CYP fermentams</w:t>
      </w:r>
      <w:r w:rsidR="00B86EBF" w:rsidRPr="00211E3B">
        <w:rPr>
          <w:snapToGrid w:val="0"/>
          <w:sz w:val="22"/>
        </w:rPr>
        <w:t xml:space="preserve"> (dominuojantis</w:t>
      </w:r>
      <w:r w:rsidRPr="00211E3B">
        <w:rPr>
          <w:snapToGrid w:val="0"/>
          <w:sz w:val="22"/>
        </w:rPr>
        <w:t xml:space="preserve"> metabolizme</w:t>
      </w:r>
      <w:r w:rsidR="00B86EBF" w:rsidRPr="00211E3B">
        <w:rPr>
          <w:snapToGrid w:val="0"/>
          <w:sz w:val="22"/>
        </w:rPr>
        <w:t xml:space="preserve"> </w:t>
      </w:r>
      <w:r w:rsidRPr="00211E3B">
        <w:rPr>
          <w:snapToGrid w:val="0"/>
          <w:sz w:val="22"/>
        </w:rPr>
        <w:t>dalyvaujantis fermentas yra CYP 3A4</w:t>
      </w:r>
      <w:r w:rsidR="00B86EBF" w:rsidRPr="00211E3B">
        <w:rPr>
          <w:snapToGrid w:val="0"/>
          <w:sz w:val="22"/>
        </w:rPr>
        <w:t>)</w:t>
      </w:r>
      <w:r w:rsidRPr="00211E3B">
        <w:rPr>
          <w:snapToGrid w:val="0"/>
          <w:sz w:val="22"/>
        </w:rPr>
        <w:t>. ADME tyrimo metu žmonių kraujo plazmoje pagrindinio nuo</w:t>
      </w:r>
      <w:r w:rsidR="00B86EBF" w:rsidRPr="00211E3B">
        <w:rPr>
          <w:snapToGrid w:val="0"/>
          <w:sz w:val="22"/>
        </w:rPr>
        <w:t xml:space="preserve"> </w:t>
      </w:r>
      <w:r w:rsidRPr="00211E3B">
        <w:rPr>
          <w:snapToGrid w:val="0"/>
          <w:sz w:val="22"/>
        </w:rPr>
        <w:t xml:space="preserve">CYP priklausomo metabolito neaptikta. </w:t>
      </w:r>
      <w:r w:rsidRPr="00211E3B">
        <w:rPr>
          <w:i/>
          <w:iCs/>
          <w:snapToGrid w:val="0"/>
          <w:sz w:val="22"/>
        </w:rPr>
        <w:t>In vitro</w:t>
      </w:r>
      <w:r w:rsidRPr="00211E3B">
        <w:rPr>
          <w:snapToGrid w:val="0"/>
          <w:sz w:val="22"/>
        </w:rPr>
        <w:t xml:space="preserve"> nuo CYP priklausomas metabolizmas sudarė apie 5</w:t>
      </w:r>
      <w:r w:rsidR="0085390D">
        <w:rPr>
          <w:snapToGrid w:val="0"/>
          <w:sz w:val="22"/>
        </w:rPr>
        <w:t> %</w:t>
      </w:r>
      <w:r w:rsidRPr="00211E3B">
        <w:rPr>
          <w:snapToGrid w:val="0"/>
          <w:sz w:val="22"/>
        </w:rPr>
        <w:t>,</w:t>
      </w:r>
      <w:r w:rsidR="00B86EBF" w:rsidRPr="00211E3B">
        <w:rPr>
          <w:snapToGrid w:val="0"/>
          <w:sz w:val="22"/>
        </w:rPr>
        <w:t xml:space="preserve"> </w:t>
      </w:r>
      <w:r w:rsidRPr="00211E3B">
        <w:rPr>
          <w:snapToGrid w:val="0"/>
          <w:sz w:val="22"/>
        </w:rPr>
        <w:t>palyginti su maždaug 25</w:t>
      </w:r>
      <w:r w:rsidR="0085390D">
        <w:rPr>
          <w:snapToGrid w:val="0"/>
          <w:sz w:val="22"/>
        </w:rPr>
        <w:t> %</w:t>
      </w:r>
      <w:r w:rsidRPr="00211E3B">
        <w:rPr>
          <w:snapToGrid w:val="0"/>
          <w:sz w:val="22"/>
        </w:rPr>
        <w:t xml:space="preserve"> esterio ska</w:t>
      </w:r>
      <w:r w:rsidR="00B86EBF" w:rsidRPr="00211E3B">
        <w:rPr>
          <w:snapToGrid w:val="0"/>
          <w:sz w:val="22"/>
        </w:rPr>
        <w:t>i</w:t>
      </w:r>
      <w:r w:rsidRPr="00211E3B">
        <w:rPr>
          <w:snapToGrid w:val="0"/>
          <w:sz w:val="22"/>
        </w:rPr>
        <w:t>dymu.</w:t>
      </w:r>
      <w:r w:rsidR="00236FB9" w:rsidRPr="00211E3B">
        <w:t xml:space="preserve"> </w:t>
      </w:r>
      <w:r w:rsidR="00236FB9" w:rsidRPr="00211E3B">
        <w:rPr>
          <w:snapToGrid w:val="0"/>
          <w:sz w:val="22"/>
        </w:rPr>
        <w:t>Ikiklinikinių tyrimų metu nustatyta, kad nintedanibas, BIBF 1202 ir BIBF 1202 gliukuronidas CYP fermentų neslopina ir neindukuoja. Nintedanibo ir CYP substratų, CYP inhibitorių ar CYP induktorių tarpusavio sąveika nėra tikėtina</w:t>
      </w:r>
      <w:r w:rsidRPr="00211E3B">
        <w:rPr>
          <w:snapToGrid w:val="0"/>
          <w:sz w:val="22"/>
        </w:rPr>
        <w:t>.</w:t>
      </w:r>
    </w:p>
    <w:p w14:paraId="691667E8" w14:textId="77777777" w:rsidR="009F6BE1" w:rsidRPr="00211E3B" w:rsidRDefault="009F6BE1" w:rsidP="00AC48E9">
      <w:pPr>
        <w:tabs>
          <w:tab w:val="left" w:pos="567"/>
        </w:tabs>
        <w:contextualSpacing/>
        <w:outlineLvl w:val="0"/>
        <w:rPr>
          <w:snapToGrid w:val="0"/>
          <w:sz w:val="22"/>
        </w:rPr>
      </w:pPr>
    </w:p>
    <w:p w14:paraId="41A2C1C1" w14:textId="62CA8405" w:rsidR="00AC48E9" w:rsidRPr="00211E3B" w:rsidRDefault="00AC48E9" w:rsidP="00AC48E9">
      <w:pPr>
        <w:tabs>
          <w:tab w:val="left" w:pos="567"/>
        </w:tabs>
        <w:contextualSpacing/>
        <w:outlineLvl w:val="0"/>
        <w:rPr>
          <w:snapToGrid w:val="0"/>
          <w:sz w:val="22"/>
          <w:u w:val="single"/>
        </w:rPr>
      </w:pPr>
      <w:r w:rsidRPr="00211E3B">
        <w:rPr>
          <w:snapToGrid w:val="0"/>
          <w:sz w:val="22"/>
          <w:u w:val="single"/>
        </w:rPr>
        <w:t>Eliminacija</w:t>
      </w:r>
    </w:p>
    <w:p w14:paraId="41119362" w14:textId="1BAD442E" w:rsidR="00AC48E9" w:rsidRPr="00211E3B" w:rsidRDefault="00AC48E9" w:rsidP="00AC48E9">
      <w:pPr>
        <w:tabs>
          <w:tab w:val="left" w:pos="567"/>
        </w:tabs>
        <w:contextualSpacing/>
        <w:outlineLvl w:val="0"/>
        <w:rPr>
          <w:snapToGrid w:val="0"/>
          <w:sz w:val="22"/>
        </w:rPr>
      </w:pPr>
      <w:r w:rsidRPr="00211E3B">
        <w:rPr>
          <w:snapToGrid w:val="0"/>
          <w:sz w:val="22"/>
        </w:rPr>
        <w:t>Bendras klirensas kraujo plazmoje po infuzijos į veną buvo didelis (Kl: 1</w:t>
      </w:r>
      <w:r w:rsidR="00CF13B3" w:rsidRPr="00211E3B">
        <w:rPr>
          <w:snapToGrid w:val="0"/>
          <w:sz w:val="22"/>
        </w:rPr>
        <w:t> </w:t>
      </w:r>
      <w:r w:rsidRPr="00211E3B">
        <w:rPr>
          <w:snapToGrid w:val="0"/>
          <w:sz w:val="22"/>
        </w:rPr>
        <w:t>390</w:t>
      </w:r>
      <w:r w:rsidR="0085390D">
        <w:rPr>
          <w:snapToGrid w:val="0"/>
          <w:sz w:val="22"/>
        </w:rPr>
        <w:t> ml</w:t>
      </w:r>
      <w:r w:rsidRPr="00211E3B">
        <w:rPr>
          <w:snapToGrid w:val="0"/>
          <w:sz w:val="22"/>
        </w:rPr>
        <w:t>/min</w:t>
      </w:r>
      <w:r w:rsidR="00CF13B3" w:rsidRPr="00211E3B">
        <w:rPr>
          <w:snapToGrid w:val="0"/>
          <w:sz w:val="22"/>
        </w:rPr>
        <w:t>.</w:t>
      </w:r>
      <w:r w:rsidRPr="00211E3B">
        <w:rPr>
          <w:snapToGrid w:val="0"/>
          <w:sz w:val="22"/>
        </w:rPr>
        <w:t>, gVK ‒ 28,8</w:t>
      </w:r>
      <w:r w:rsidR="0085390D">
        <w:rPr>
          <w:snapToGrid w:val="0"/>
          <w:sz w:val="22"/>
        </w:rPr>
        <w:t> %</w:t>
      </w:r>
      <w:r w:rsidRPr="00211E3B">
        <w:rPr>
          <w:snapToGrid w:val="0"/>
          <w:sz w:val="22"/>
        </w:rPr>
        <w:t>).</w:t>
      </w:r>
      <w:r w:rsidR="00CF13B3" w:rsidRPr="00211E3B">
        <w:rPr>
          <w:snapToGrid w:val="0"/>
          <w:sz w:val="22"/>
        </w:rPr>
        <w:t xml:space="preserve"> </w:t>
      </w:r>
      <w:r w:rsidRPr="00211E3B">
        <w:rPr>
          <w:snapToGrid w:val="0"/>
          <w:sz w:val="22"/>
        </w:rPr>
        <w:t>Per 48</w:t>
      </w:r>
      <w:r w:rsidR="00CF13B3" w:rsidRPr="00211E3B">
        <w:rPr>
          <w:snapToGrid w:val="0"/>
          <w:sz w:val="22"/>
        </w:rPr>
        <w:t> </w:t>
      </w:r>
      <w:r w:rsidRPr="00211E3B">
        <w:rPr>
          <w:snapToGrid w:val="0"/>
          <w:sz w:val="22"/>
        </w:rPr>
        <w:t>valandas su šlapimu nepakitusios veikliosios medžiagos pavidalu išsiskyrė maždaug 0,05</w:t>
      </w:r>
      <w:r w:rsidR="0085390D">
        <w:rPr>
          <w:snapToGrid w:val="0"/>
          <w:sz w:val="22"/>
        </w:rPr>
        <w:t> %</w:t>
      </w:r>
      <w:r w:rsidRPr="00211E3B">
        <w:rPr>
          <w:snapToGrid w:val="0"/>
          <w:sz w:val="22"/>
        </w:rPr>
        <w:t xml:space="preserve"> per</w:t>
      </w:r>
      <w:r w:rsidR="00CF13B3" w:rsidRPr="00211E3B">
        <w:rPr>
          <w:snapToGrid w:val="0"/>
          <w:sz w:val="22"/>
        </w:rPr>
        <w:t xml:space="preserve"> </w:t>
      </w:r>
      <w:r w:rsidRPr="00211E3B">
        <w:rPr>
          <w:snapToGrid w:val="0"/>
          <w:sz w:val="22"/>
        </w:rPr>
        <w:t>burną pavartotos dozės (gVK: 31,5</w:t>
      </w:r>
      <w:r w:rsidR="0085390D">
        <w:rPr>
          <w:snapToGrid w:val="0"/>
          <w:sz w:val="22"/>
        </w:rPr>
        <w:t> %</w:t>
      </w:r>
      <w:r w:rsidRPr="00211E3B">
        <w:rPr>
          <w:snapToGrid w:val="0"/>
          <w:sz w:val="22"/>
        </w:rPr>
        <w:t>) ir maždaug 1,4</w:t>
      </w:r>
      <w:r w:rsidR="0085390D">
        <w:rPr>
          <w:snapToGrid w:val="0"/>
          <w:sz w:val="22"/>
        </w:rPr>
        <w:t> %</w:t>
      </w:r>
      <w:r w:rsidRPr="00211E3B">
        <w:rPr>
          <w:snapToGrid w:val="0"/>
          <w:sz w:val="22"/>
        </w:rPr>
        <w:t xml:space="preserve"> į veną suleistos dozės (gVK: 24,2</w:t>
      </w:r>
      <w:r w:rsidR="0085390D">
        <w:rPr>
          <w:snapToGrid w:val="0"/>
          <w:sz w:val="22"/>
        </w:rPr>
        <w:t> %</w:t>
      </w:r>
      <w:r w:rsidRPr="00211E3B">
        <w:rPr>
          <w:snapToGrid w:val="0"/>
          <w:sz w:val="22"/>
        </w:rPr>
        <w:t>); inkstų</w:t>
      </w:r>
      <w:r w:rsidR="00CF13B3" w:rsidRPr="00211E3B">
        <w:rPr>
          <w:snapToGrid w:val="0"/>
          <w:sz w:val="22"/>
        </w:rPr>
        <w:t xml:space="preserve"> </w:t>
      </w:r>
      <w:r w:rsidRPr="00211E3B">
        <w:rPr>
          <w:snapToGrid w:val="0"/>
          <w:sz w:val="22"/>
        </w:rPr>
        <w:t>klirensas buvo 20</w:t>
      </w:r>
      <w:r w:rsidR="0085390D">
        <w:rPr>
          <w:snapToGrid w:val="0"/>
          <w:sz w:val="22"/>
        </w:rPr>
        <w:t> ml</w:t>
      </w:r>
      <w:r w:rsidRPr="00211E3B">
        <w:rPr>
          <w:snapToGrid w:val="0"/>
          <w:sz w:val="22"/>
        </w:rPr>
        <w:t>/min</w:t>
      </w:r>
      <w:r w:rsidR="00CF13B3" w:rsidRPr="00211E3B">
        <w:rPr>
          <w:snapToGrid w:val="0"/>
          <w:sz w:val="22"/>
        </w:rPr>
        <w:t>.</w:t>
      </w:r>
      <w:r w:rsidRPr="00211E3B">
        <w:rPr>
          <w:snapToGrid w:val="0"/>
          <w:sz w:val="22"/>
        </w:rPr>
        <w:t xml:space="preserve"> (gVK: 32,6</w:t>
      </w:r>
      <w:r w:rsidR="0085390D">
        <w:rPr>
          <w:snapToGrid w:val="0"/>
          <w:sz w:val="22"/>
        </w:rPr>
        <w:t> %</w:t>
      </w:r>
      <w:r w:rsidRPr="00211E3B">
        <w:rPr>
          <w:snapToGrid w:val="0"/>
          <w:sz w:val="22"/>
        </w:rPr>
        <w:t xml:space="preserve"> ). Per burną pavartojus [14</w:t>
      </w:r>
      <w:r w:rsidRPr="00211E3B">
        <w:rPr>
          <w:snapToGrid w:val="0"/>
          <w:sz w:val="22"/>
          <w:vertAlign w:val="superscript"/>
        </w:rPr>
        <w:t>C</w:t>
      </w:r>
      <w:r w:rsidRPr="00211E3B">
        <w:rPr>
          <w:snapToGrid w:val="0"/>
          <w:sz w:val="22"/>
        </w:rPr>
        <w:t>] nintedanibo, su vaistiniu</w:t>
      </w:r>
      <w:r w:rsidR="00CF13B3" w:rsidRPr="00211E3B">
        <w:rPr>
          <w:snapToGrid w:val="0"/>
          <w:sz w:val="22"/>
        </w:rPr>
        <w:t xml:space="preserve"> </w:t>
      </w:r>
      <w:r w:rsidRPr="00211E3B">
        <w:rPr>
          <w:snapToGrid w:val="0"/>
          <w:sz w:val="22"/>
        </w:rPr>
        <w:t>preparatu susijusio radioaktyvumo pagrindinis eliminacijos būdas buvo išsiskyrimas su išmatomis /</w:t>
      </w:r>
      <w:r w:rsidR="00CF13B3" w:rsidRPr="00211E3B">
        <w:rPr>
          <w:snapToGrid w:val="0"/>
          <w:sz w:val="22"/>
        </w:rPr>
        <w:t xml:space="preserve"> </w:t>
      </w:r>
      <w:r w:rsidRPr="00211E3B">
        <w:rPr>
          <w:snapToGrid w:val="0"/>
          <w:sz w:val="22"/>
        </w:rPr>
        <w:t>tulžimi (93,4</w:t>
      </w:r>
      <w:r w:rsidR="0085390D">
        <w:rPr>
          <w:snapToGrid w:val="0"/>
          <w:sz w:val="22"/>
        </w:rPr>
        <w:t> %</w:t>
      </w:r>
      <w:r w:rsidRPr="00211E3B">
        <w:rPr>
          <w:snapToGrid w:val="0"/>
          <w:sz w:val="22"/>
        </w:rPr>
        <w:t xml:space="preserve"> dozės, gVK ‒ 2,61</w:t>
      </w:r>
      <w:r w:rsidR="0085390D">
        <w:rPr>
          <w:snapToGrid w:val="0"/>
          <w:sz w:val="22"/>
        </w:rPr>
        <w:t> %</w:t>
      </w:r>
      <w:r w:rsidRPr="00211E3B">
        <w:rPr>
          <w:snapToGrid w:val="0"/>
          <w:sz w:val="22"/>
        </w:rPr>
        <w:t>).</w:t>
      </w:r>
      <w:r w:rsidR="005A14AD" w:rsidRPr="00211E3B">
        <w:rPr>
          <w:snapToGrid w:val="0"/>
          <w:sz w:val="22"/>
        </w:rPr>
        <w:t xml:space="preserve"> </w:t>
      </w:r>
      <w:r w:rsidR="00CF13B3" w:rsidRPr="00211E3B">
        <w:rPr>
          <w:snapToGrid w:val="0"/>
          <w:sz w:val="22"/>
        </w:rPr>
        <w:t xml:space="preserve">Ekskrecija </w:t>
      </w:r>
      <w:r w:rsidRPr="00211E3B">
        <w:rPr>
          <w:snapToGrid w:val="0"/>
          <w:sz w:val="22"/>
        </w:rPr>
        <w:t>pro inkstus</w:t>
      </w:r>
      <w:r w:rsidR="00CF13B3" w:rsidRPr="00211E3B">
        <w:rPr>
          <w:snapToGrid w:val="0"/>
          <w:sz w:val="22"/>
        </w:rPr>
        <w:t xml:space="preserve"> sudarė nedidelę bendrojo klirenso dalį</w:t>
      </w:r>
      <w:r w:rsidRPr="00211E3B">
        <w:rPr>
          <w:snapToGrid w:val="0"/>
          <w:sz w:val="22"/>
        </w:rPr>
        <w:t xml:space="preserve"> (0,649</w:t>
      </w:r>
      <w:r w:rsidR="0085390D">
        <w:rPr>
          <w:snapToGrid w:val="0"/>
          <w:sz w:val="22"/>
        </w:rPr>
        <w:t> %</w:t>
      </w:r>
      <w:r w:rsidRPr="00211E3B">
        <w:rPr>
          <w:snapToGrid w:val="0"/>
          <w:sz w:val="22"/>
        </w:rPr>
        <w:t xml:space="preserve"> dozės, gVK ‒ 26,3</w:t>
      </w:r>
      <w:r w:rsidR="0085390D">
        <w:rPr>
          <w:snapToGrid w:val="0"/>
          <w:sz w:val="22"/>
        </w:rPr>
        <w:t> %</w:t>
      </w:r>
      <w:r w:rsidRPr="00211E3B">
        <w:rPr>
          <w:snapToGrid w:val="0"/>
          <w:sz w:val="22"/>
        </w:rPr>
        <w:t>).</w:t>
      </w:r>
      <w:r w:rsidR="005A14AD" w:rsidRPr="00211E3B">
        <w:rPr>
          <w:snapToGrid w:val="0"/>
          <w:sz w:val="22"/>
        </w:rPr>
        <w:t xml:space="preserve"> B</w:t>
      </w:r>
      <w:r w:rsidRPr="00211E3B">
        <w:rPr>
          <w:snapToGrid w:val="0"/>
          <w:sz w:val="22"/>
        </w:rPr>
        <w:t xml:space="preserve">endras išsiskyrimas buvo vertinamas </w:t>
      </w:r>
      <w:r w:rsidR="00CF13B3" w:rsidRPr="00211E3B">
        <w:rPr>
          <w:snapToGrid w:val="0"/>
          <w:sz w:val="22"/>
        </w:rPr>
        <w:t>kaip visiškas</w:t>
      </w:r>
      <w:r w:rsidRPr="00211E3B">
        <w:rPr>
          <w:snapToGrid w:val="0"/>
          <w:sz w:val="22"/>
        </w:rPr>
        <w:t xml:space="preserve"> (virš 90</w:t>
      </w:r>
      <w:r w:rsidR="0085390D">
        <w:rPr>
          <w:snapToGrid w:val="0"/>
          <w:sz w:val="22"/>
        </w:rPr>
        <w:t> %</w:t>
      </w:r>
      <w:r w:rsidRPr="00211E3B">
        <w:rPr>
          <w:snapToGrid w:val="0"/>
          <w:sz w:val="22"/>
        </w:rPr>
        <w:t>) 4</w:t>
      </w:r>
      <w:r w:rsidR="00CF13B3" w:rsidRPr="00211E3B">
        <w:rPr>
          <w:snapToGrid w:val="0"/>
          <w:sz w:val="22"/>
        </w:rPr>
        <w:t> dienų laikotarpiu</w:t>
      </w:r>
      <w:r w:rsidRPr="00211E3B">
        <w:rPr>
          <w:snapToGrid w:val="0"/>
          <w:sz w:val="22"/>
        </w:rPr>
        <w:t xml:space="preserve"> po pavartojimo. Nintedanibo</w:t>
      </w:r>
      <w:r w:rsidR="00CF13B3" w:rsidRPr="00211E3B">
        <w:rPr>
          <w:snapToGrid w:val="0"/>
          <w:sz w:val="22"/>
        </w:rPr>
        <w:t xml:space="preserve"> g</w:t>
      </w:r>
      <w:r w:rsidRPr="00211E3B">
        <w:rPr>
          <w:snapToGrid w:val="0"/>
          <w:sz w:val="22"/>
        </w:rPr>
        <w:t>alutinės pusinės eliminacijos laikas buvo tarp 10 ir 15</w:t>
      </w:r>
      <w:r w:rsidR="00CF13B3" w:rsidRPr="00211E3B">
        <w:rPr>
          <w:snapToGrid w:val="0"/>
          <w:sz w:val="22"/>
        </w:rPr>
        <w:t> </w:t>
      </w:r>
      <w:r w:rsidRPr="00211E3B">
        <w:rPr>
          <w:snapToGrid w:val="0"/>
          <w:sz w:val="22"/>
        </w:rPr>
        <w:t>val. (gVK: maždaug 50</w:t>
      </w:r>
      <w:r w:rsidR="0085390D">
        <w:rPr>
          <w:snapToGrid w:val="0"/>
          <w:sz w:val="22"/>
        </w:rPr>
        <w:t> %</w:t>
      </w:r>
      <w:r w:rsidRPr="00211E3B">
        <w:rPr>
          <w:snapToGrid w:val="0"/>
          <w:sz w:val="22"/>
        </w:rPr>
        <w:t>).</w:t>
      </w:r>
    </w:p>
    <w:p w14:paraId="7C16A11A" w14:textId="77777777" w:rsidR="00CF13B3" w:rsidRPr="00211E3B" w:rsidRDefault="00CF13B3" w:rsidP="00AC48E9">
      <w:pPr>
        <w:tabs>
          <w:tab w:val="left" w:pos="567"/>
        </w:tabs>
        <w:contextualSpacing/>
        <w:outlineLvl w:val="0"/>
        <w:rPr>
          <w:snapToGrid w:val="0"/>
          <w:sz w:val="22"/>
        </w:rPr>
      </w:pPr>
    </w:p>
    <w:p w14:paraId="5A4FDC22" w14:textId="1EB0B4D9" w:rsidR="00AC48E9" w:rsidRPr="00211E3B" w:rsidRDefault="00AC48E9" w:rsidP="00AC48E9">
      <w:pPr>
        <w:tabs>
          <w:tab w:val="left" w:pos="567"/>
        </w:tabs>
        <w:contextualSpacing/>
        <w:outlineLvl w:val="0"/>
        <w:rPr>
          <w:snapToGrid w:val="0"/>
          <w:sz w:val="22"/>
          <w:u w:val="single"/>
        </w:rPr>
      </w:pPr>
      <w:r w:rsidRPr="00211E3B">
        <w:rPr>
          <w:snapToGrid w:val="0"/>
          <w:sz w:val="22"/>
          <w:u w:val="single"/>
        </w:rPr>
        <w:t>Tiesinis / netiesinis pobūdis</w:t>
      </w:r>
    </w:p>
    <w:p w14:paraId="3E991875" w14:textId="681E5085" w:rsidR="00AC48E9" w:rsidRPr="00211E3B" w:rsidRDefault="00AC48E9" w:rsidP="00AC48E9">
      <w:pPr>
        <w:tabs>
          <w:tab w:val="left" w:pos="567"/>
        </w:tabs>
        <w:contextualSpacing/>
        <w:outlineLvl w:val="0"/>
        <w:rPr>
          <w:snapToGrid w:val="0"/>
          <w:sz w:val="22"/>
        </w:rPr>
      </w:pPr>
      <w:r w:rsidRPr="00211E3B">
        <w:rPr>
          <w:snapToGrid w:val="0"/>
          <w:sz w:val="22"/>
        </w:rPr>
        <w:t xml:space="preserve">Nintedanibo farmakokinetika </w:t>
      </w:r>
      <w:r w:rsidR="00987DC2" w:rsidRPr="00211E3B">
        <w:rPr>
          <w:snapToGrid w:val="0"/>
          <w:sz w:val="22"/>
        </w:rPr>
        <w:t xml:space="preserve">(FK) </w:t>
      </w:r>
      <w:r w:rsidRPr="00211E3B">
        <w:rPr>
          <w:snapToGrid w:val="0"/>
          <w:sz w:val="22"/>
        </w:rPr>
        <w:t>gali būti laikoma tiesine atsižvelgiant į laiką (t. y. vienkartinės dozės</w:t>
      </w:r>
      <w:r w:rsidR="00CF13B3" w:rsidRPr="00211E3B">
        <w:rPr>
          <w:snapToGrid w:val="0"/>
          <w:sz w:val="22"/>
        </w:rPr>
        <w:t xml:space="preserve"> </w:t>
      </w:r>
      <w:r w:rsidRPr="00211E3B">
        <w:rPr>
          <w:snapToGrid w:val="0"/>
          <w:sz w:val="22"/>
        </w:rPr>
        <w:t>duomenys gali būti ekstrapoliuoti į daugkartinių dozių duomenis). Kaupimasis po daugkartinių</w:t>
      </w:r>
      <w:r w:rsidR="00CF13B3" w:rsidRPr="00211E3B">
        <w:rPr>
          <w:snapToGrid w:val="0"/>
          <w:sz w:val="22"/>
        </w:rPr>
        <w:t xml:space="preserve"> </w:t>
      </w:r>
      <w:r w:rsidRPr="00211E3B">
        <w:rPr>
          <w:snapToGrid w:val="0"/>
          <w:sz w:val="22"/>
        </w:rPr>
        <w:t>pavartojimų buvo toks: C</w:t>
      </w:r>
      <w:r w:rsidRPr="00211E3B">
        <w:rPr>
          <w:snapToGrid w:val="0"/>
          <w:sz w:val="22"/>
          <w:vertAlign w:val="subscript"/>
        </w:rPr>
        <w:t xml:space="preserve">max </w:t>
      </w:r>
      <w:r w:rsidRPr="00211E3B">
        <w:rPr>
          <w:snapToGrid w:val="0"/>
          <w:sz w:val="22"/>
        </w:rPr>
        <w:t>padidėjo 1,04</w:t>
      </w:r>
      <w:r w:rsidR="00CF13B3" w:rsidRPr="00211E3B">
        <w:rPr>
          <w:snapToGrid w:val="0"/>
          <w:sz w:val="22"/>
        </w:rPr>
        <w:t> </w:t>
      </w:r>
      <w:r w:rsidRPr="00211E3B">
        <w:rPr>
          <w:snapToGrid w:val="0"/>
          <w:sz w:val="22"/>
        </w:rPr>
        <w:t>karto, AUCτ – 1,38</w:t>
      </w:r>
      <w:r w:rsidR="00CF13B3" w:rsidRPr="00211E3B">
        <w:rPr>
          <w:snapToGrid w:val="0"/>
          <w:sz w:val="22"/>
        </w:rPr>
        <w:t> </w:t>
      </w:r>
      <w:r w:rsidRPr="00211E3B">
        <w:rPr>
          <w:snapToGrid w:val="0"/>
          <w:sz w:val="22"/>
        </w:rPr>
        <w:t>karto. Nintedanibo mažiausia</w:t>
      </w:r>
      <w:r w:rsidR="00CF13B3" w:rsidRPr="00211E3B">
        <w:rPr>
          <w:snapToGrid w:val="0"/>
          <w:sz w:val="22"/>
        </w:rPr>
        <w:t xml:space="preserve"> </w:t>
      </w:r>
      <w:r w:rsidRPr="00211E3B">
        <w:rPr>
          <w:snapToGrid w:val="0"/>
          <w:sz w:val="22"/>
        </w:rPr>
        <w:t>koncentracija išliko pastovi ilgiau nei vienerius metus.</w:t>
      </w:r>
    </w:p>
    <w:p w14:paraId="2319F8F6" w14:textId="77777777" w:rsidR="00577665" w:rsidRPr="00211E3B" w:rsidRDefault="00577665" w:rsidP="00AC48E9">
      <w:pPr>
        <w:tabs>
          <w:tab w:val="left" w:pos="567"/>
        </w:tabs>
        <w:contextualSpacing/>
        <w:outlineLvl w:val="0"/>
        <w:rPr>
          <w:snapToGrid w:val="0"/>
          <w:sz w:val="22"/>
        </w:rPr>
      </w:pPr>
    </w:p>
    <w:p w14:paraId="277DB5F9" w14:textId="77777777" w:rsidR="00AC48E9" w:rsidRPr="00211E3B" w:rsidRDefault="00AC48E9" w:rsidP="00AC48E9">
      <w:pPr>
        <w:tabs>
          <w:tab w:val="left" w:pos="567"/>
        </w:tabs>
        <w:contextualSpacing/>
        <w:outlineLvl w:val="0"/>
        <w:rPr>
          <w:i/>
          <w:iCs/>
          <w:snapToGrid w:val="0"/>
          <w:sz w:val="22"/>
        </w:rPr>
      </w:pPr>
      <w:r w:rsidRPr="00211E3B">
        <w:rPr>
          <w:i/>
          <w:iCs/>
          <w:snapToGrid w:val="0"/>
          <w:sz w:val="22"/>
        </w:rPr>
        <w:t>Pernaša</w:t>
      </w:r>
    </w:p>
    <w:p w14:paraId="114B572D" w14:textId="2B072855" w:rsidR="00AC48E9" w:rsidRPr="00211E3B" w:rsidRDefault="00AC48E9" w:rsidP="00AC48E9">
      <w:pPr>
        <w:tabs>
          <w:tab w:val="left" w:pos="567"/>
        </w:tabs>
        <w:contextualSpacing/>
        <w:outlineLvl w:val="0"/>
        <w:rPr>
          <w:snapToGrid w:val="0"/>
          <w:sz w:val="22"/>
        </w:rPr>
      </w:pPr>
      <w:r w:rsidRPr="00211E3B">
        <w:rPr>
          <w:snapToGrid w:val="0"/>
          <w:sz w:val="22"/>
        </w:rPr>
        <w:t>Nintedanibas yra P-gp substratas. Apie galimą nintedanibo sąveiką su šiuo nešikliu žr. 4.5</w:t>
      </w:r>
      <w:r w:rsidR="000C5668" w:rsidRPr="00211E3B">
        <w:rPr>
          <w:snapToGrid w:val="0"/>
          <w:sz w:val="22"/>
        </w:rPr>
        <w:t> </w:t>
      </w:r>
      <w:r w:rsidRPr="00211E3B">
        <w:rPr>
          <w:snapToGrid w:val="0"/>
          <w:sz w:val="22"/>
        </w:rPr>
        <w:t>skyriuje.</w:t>
      </w:r>
      <w:r w:rsidR="000C5668" w:rsidRPr="00211E3B">
        <w:rPr>
          <w:snapToGrid w:val="0"/>
          <w:sz w:val="22"/>
        </w:rPr>
        <w:t xml:space="preserve"> </w:t>
      </w:r>
      <w:r w:rsidRPr="00211E3B">
        <w:rPr>
          <w:snapToGrid w:val="0"/>
          <w:sz w:val="22"/>
        </w:rPr>
        <w:t xml:space="preserve">Buvo </w:t>
      </w:r>
      <w:r w:rsidR="000C5668" w:rsidRPr="00211E3B">
        <w:rPr>
          <w:snapToGrid w:val="0"/>
          <w:sz w:val="22"/>
        </w:rPr>
        <w:t>nustayta</w:t>
      </w:r>
      <w:r w:rsidRPr="00211E3B">
        <w:rPr>
          <w:snapToGrid w:val="0"/>
          <w:sz w:val="22"/>
        </w:rPr>
        <w:t xml:space="preserve">, kad </w:t>
      </w:r>
      <w:r w:rsidRPr="00211E3B">
        <w:rPr>
          <w:i/>
          <w:iCs/>
          <w:snapToGrid w:val="0"/>
          <w:sz w:val="22"/>
        </w:rPr>
        <w:t>in vitro</w:t>
      </w:r>
      <w:r w:rsidRPr="00211E3B">
        <w:rPr>
          <w:snapToGrid w:val="0"/>
          <w:sz w:val="22"/>
        </w:rPr>
        <w:t xml:space="preserve"> nintedanibas nėra OATP-1B1, OATP-1B3, OATP-2B1, OCT-2 ar MRP-2</w:t>
      </w:r>
      <w:r w:rsidR="000C5668" w:rsidRPr="00211E3B">
        <w:rPr>
          <w:snapToGrid w:val="0"/>
          <w:sz w:val="22"/>
        </w:rPr>
        <w:t xml:space="preserve"> </w:t>
      </w:r>
      <w:r w:rsidRPr="00211E3B">
        <w:rPr>
          <w:snapToGrid w:val="0"/>
          <w:sz w:val="22"/>
        </w:rPr>
        <w:t xml:space="preserve">substratas ar inhibitorius. Nintedanibas taip pat nėra BCRP substratas. </w:t>
      </w:r>
      <w:r w:rsidRPr="00211E3B">
        <w:rPr>
          <w:i/>
          <w:iCs/>
          <w:snapToGrid w:val="0"/>
          <w:sz w:val="22"/>
        </w:rPr>
        <w:t>In vitro</w:t>
      </w:r>
      <w:r w:rsidRPr="00211E3B">
        <w:rPr>
          <w:snapToGrid w:val="0"/>
          <w:sz w:val="22"/>
        </w:rPr>
        <w:t xml:space="preserve"> buvo nustatyta tik</w:t>
      </w:r>
      <w:r w:rsidR="000C5668" w:rsidRPr="00211E3B">
        <w:rPr>
          <w:snapToGrid w:val="0"/>
          <w:sz w:val="22"/>
        </w:rPr>
        <w:t xml:space="preserve"> </w:t>
      </w:r>
      <w:r w:rsidRPr="00211E3B">
        <w:rPr>
          <w:snapToGrid w:val="0"/>
          <w:sz w:val="22"/>
        </w:rPr>
        <w:t>silpna</w:t>
      </w:r>
      <w:r w:rsidR="000C5668" w:rsidRPr="00211E3B">
        <w:rPr>
          <w:snapToGrid w:val="0"/>
          <w:sz w:val="22"/>
        </w:rPr>
        <w:t>s</w:t>
      </w:r>
      <w:r w:rsidRPr="00211E3B">
        <w:rPr>
          <w:snapToGrid w:val="0"/>
          <w:sz w:val="22"/>
        </w:rPr>
        <w:t xml:space="preserve"> OCT-1, BCRP ir P-gp</w:t>
      </w:r>
      <w:r w:rsidR="000C5668" w:rsidRPr="00211E3B">
        <w:rPr>
          <w:snapToGrid w:val="0"/>
          <w:sz w:val="22"/>
        </w:rPr>
        <w:t xml:space="preserve"> slopinamasis potencialas</w:t>
      </w:r>
      <w:r w:rsidRPr="00211E3B">
        <w:rPr>
          <w:snapToGrid w:val="0"/>
          <w:sz w:val="22"/>
        </w:rPr>
        <w:t>, kuri</w:t>
      </w:r>
      <w:r w:rsidR="000C5668" w:rsidRPr="00211E3B">
        <w:rPr>
          <w:snapToGrid w:val="0"/>
          <w:sz w:val="22"/>
        </w:rPr>
        <w:t>s yra</w:t>
      </w:r>
      <w:r w:rsidRPr="00211E3B">
        <w:rPr>
          <w:snapToGrid w:val="0"/>
          <w:sz w:val="22"/>
        </w:rPr>
        <w:t xml:space="preserve"> laikoma</w:t>
      </w:r>
      <w:r w:rsidR="000C5668" w:rsidRPr="00211E3B">
        <w:rPr>
          <w:snapToGrid w:val="0"/>
          <w:sz w:val="22"/>
        </w:rPr>
        <w:t>s</w:t>
      </w:r>
      <w:r w:rsidRPr="00211E3B">
        <w:rPr>
          <w:snapToGrid w:val="0"/>
          <w:sz w:val="22"/>
        </w:rPr>
        <w:t xml:space="preserve"> kliniškai nereikšming</w:t>
      </w:r>
      <w:r w:rsidR="000C5668" w:rsidRPr="00211E3B">
        <w:rPr>
          <w:snapToGrid w:val="0"/>
          <w:sz w:val="22"/>
        </w:rPr>
        <w:t>u</w:t>
      </w:r>
      <w:r w:rsidRPr="00211E3B">
        <w:rPr>
          <w:snapToGrid w:val="0"/>
          <w:sz w:val="22"/>
        </w:rPr>
        <w:t xml:space="preserve">. Tai </w:t>
      </w:r>
      <w:r w:rsidR="000C5668" w:rsidRPr="00211E3B">
        <w:rPr>
          <w:snapToGrid w:val="0"/>
          <w:sz w:val="22"/>
        </w:rPr>
        <w:t xml:space="preserve">taikytina ir </w:t>
      </w:r>
      <w:r w:rsidRPr="00211E3B">
        <w:rPr>
          <w:snapToGrid w:val="0"/>
          <w:sz w:val="22"/>
        </w:rPr>
        <w:t>nintedanib</w:t>
      </w:r>
      <w:r w:rsidR="000C5668" w:rsidRPr="00211E3B">
        <w:rPr>
          <w:snapToGrid w:val="0"/>
          <w:sz w:val="22"/>
        </w:rPr>
        <w:t>ui kaip</w:t>
      </w:r>
      <w:r w:rsidRPr="00211E3B">
        <w:rPr>
          <w:snapToGrid w:val="0"/>
          <w:sz w:val="22"/>
        </w:rPr>
        <w:t xml:space="preserve"> OCT-1 substratu</w:t>
      </w:r>
      <w:r w:rsidR="000C5668" w:rsidRPr="00211E3B">
        <w:rPr>
          <w:snapToGrid w:val="0"/>
          <w:sz w:val="22"/>
        </w:rPr>
        <w:t>i</w:t>
      </w:r>
      <w:r w:rsidRPr="00211E3B">
        <w:rPr>
          <w:snapToGrid w:val="0"/>
          <w:sz w:val="22"/>
        </w:rPr>
        <w:t>.</w:t>
      </w:r>
    </w:p>
    <w:p w14:paraId="441AEA44" w14:textId="77777777" w:rsidR="0090482C" w:rsidRPr="00211E3B" w:rsidRDefault="0090482C" w:rsidP="00AC48E9">
      <w:pPr>
        <w:tabs>
          <w:tab w:val="left" w:pos="567"/>
        </w:tabs>
        <w:contextualSpacing/>
        <w:outlineLvl w:val="0"/>
        <w:rPr>
          <w:snapToGrid w:val="0"/>
          <w:sz w:val="22"/>
        </w:rPr>
      </w:pPr>
    </w:p>
    <w:p w14:paraId="3702029C" w14:textId="77777777" w:rsidR="00AC48E9" w:rsidRPr="00211E3B" w:rsidRDefault="00AC48E9" w:rsidP="00AC48E9">
      <w:pPr>
        <w:tabs>
          <w:tab w:val="left" w:pos="567"/>
        </w:tabs>
        <w:contextualSpacing/>
        <w:outlineLvl w:val="0"/>
        <w:rPr>
          <w:snapToGrid w:val="0"/>
          <w:sz w:val="22"/>
          <w:u w:val="single"/>
        </w:rPr>
      </w:pPr>
      <w:r w:rsidRPr="00211E3B">
        <w:rPr>
          <w:snapToGrid w:val="0"/>
          <w:sz w:val="22"/>
          <w:u w:val="single"/>
        </w:rPr>
        <w:t>Populiacijos farmakokinetikos analizė ypatingose populiacijose</w:t>
      </w:r>
    </w:p>
    <w:p w14:paraId="615A921C" w14:textId="0E1B8BC7" w:rsidR="00AC48E9" w:rsidRPr="00211E3B" w:rsidRDefault="003E6511" w:rsidP="00AC48E9">
      <w:pPr>
        <w:tabs>
          <w:tab w:val="left" w:pos="567"/>
        </w:tabs>
        <w:contextualSpacing/>
        <w:outlineLvl w:val="0"/>
        <w:rPr>
          <w:snapToGrid w:val="0"/>
          <w:sz w:val="22"/>
        </w:rPr>
      </w:pPr>
      <w:r w:rsidRPr="00211E3B">
        <w:rPr>
          <w:snapToGrid w:val="0"/>
          <w:sz w:val="22"/>
        </w:rPr>
        <w:t>Nintedanibo FK savybės sveikų savanorių, IPF sergančių pacientų, kitomis lėtinėmis fibrozinėmis progresuojančio fenotipo IPL sergančių pacientų, SS-IPL sergančių pacientų ir vėžiu sergančių pacientų organizme buvo panašios. Remiantis pacientų, sergančių IPF ar nesmulkialąsteliniu plaučių vėžiu (NSPV) (N=1 191) populiacijos FK (popFK) analize ir aprašomaisiais tyrimais, lytis (koregavus pagal kūno svorį), lengvas ar vidutinio sunkumo inkstų funkcijos sutrikimas (vertinamas pagal kreatinino klirensą), alkoholio vartojimas ir P-gp genotipas įtakos nintedanibo ekspozicijai nedarė.</w:t>
      </w:r>
      <w:r w:rsidRPr="00211E3B">
        <w:rPr>
          <w:snapToGrid w:val="0"/>
          <w:sz w:val="22"/>
        </w:rPr>
        <w:cr/>
        <w:t xml:space="preserve">PopFK analizės parodė nedidelį </w:t>
      </w:r>
      <w:r w:rsidR="00117C95" w:rsidRPr="00211E3B">
        <w:rPr>
          <w:snapToGrid w:val="0"/>
          <w:sz w:val="22"/>
        </w:rPr>
        <w:t xml:space="preserve">poveikį </w:t>
      </w:r>
      <w:r w:rsidRPr="00211E3B">
        <w:rPr>
          <w:snapToGrid w:val="0"/>
          <w:sz w:val="22"/>
        </w:rPr>
        <w:t xml:space="preserve">nintedanibo ekspozicijai priklausomai nuo amžiaus, kūno svorio ir rasės (žr. toliau). Remiantis tuo, kad ekspozicija atskirų asmenų organizme </w:t>
      </w:r>
      <w:r w:rsidR="00117C95" w:rsidRPr="00211E3B">
        <w:rPr>
          <w:snapToGrid w:val="0"/>
          <w:sz w:val="22"/>
        </w:rPr>
        <w:t xml:space="preserve">buvo </w:t>
      </w:r>
      <w:r w:rsidRPr="00211E3B">
        <w:rPr>
          <w:snapToGrid w:val="0"/>
          <w:sz w:val="22"/>
        </w:rPr>
        <w:t xml:space="preserve">labai </w:t>
      </w:r>
      <w:r w:rsidR="00117C95" w:rsidRPr="00211E3B">
        <w:rPr>
          <w:snapToGrid w:val="0"/>
          <w:sz w:val="22"/>
        </w:rPr>
        <w:t>skirtinga</w:t>
      </w:r>
      <w:r w:rsidRPr="00211E3B">
        <w:rPr>
          <w:snapToGrid w:val="0"/>
          <w:sz w:val="22"/>
        </w:rPr>
        <w:t>, manoma, kad šis nedidelis poveikis nėra kliniškai reikšmingas (žr. 4.4 skyrių).</w:t>
      </w:r>
    </w:p>
    <w:p w14:paraId="008607B1" w14:textId="77777777" w:rsidR="0090482C" w:rsidRPr="00211E3B" w:rsidRDefault="0090482C" w:rsidP="00AC48E9">
      <w:pPr>
        <w:tabs>
          <w:tab w:val="left" w:pos="567"/>
        </w:tabs>
        <w:contextualSpacing/>
        <w:outlineLvl w:val="0"/>
        <w:rPr>
          <w:snapToGrid w:val="0"/>
          <w:sz w:val="22"/>
        </w:rPr>
      </w:pPr>
    </w:p>
    <w:p w14:paraId="615A0B90" w14:textId="6517E935" w:rsidR="00AC48E9" w:rsidRPr="00211E3B" w:rsidRDefault="00AC48E9" w:rsidP="00AC48E9">
      <w:pPr>
        <w:tabs>
          <w:tab w:val="left" w:pos="567"/>
        </w:tabs>
        <w:contextualSpacing/>
        <w:outlineLvl w:val="0"/>
        <w:rPr>
          <w:i/>
          <w:iCs/>
          <w:snapToGrid w:val="0"/>
          <w:sz w:val="22"/>
        </w:rPr>
      </w:pPr>
      <w:r w:rsidRPr="00211E3B">
        <w:rPr>
          <w:i/>
          <w:iCs/>
          <w:snapToGrid w:val="0"/>
          <w:sz w:val="22"/>
        </w:rPr>
        <w:t>Amžius</w:t>
      </w:r>
    </w:p>
    <w:p w14:paraId="122F17BD" w14:textId="1CB94B56" w:rsidR="00AC48E9" w:rsidRPr="00211E3B" w:rsidRDefault="00AC48E9" w:rsidP="00AC48E9">
      <w:pPr>
        <w:tabs>
          <w:tab w:val="left" w:pos="567"/>
        </w:tabs>
        <w:contextualSpacing/>
        <w:outlineLvl w:val="0"/>
        <w:rPr>
          <w:snapToGrid w:val="0"/>
          <w:sz w:val="22"/>
        </w:rPr>
      </w:pPr>
      <w:r w:rsidRPr="00211E3B">
        <w:rPr>
          <w:snapToGrid w:val="0"/>
          <w:sz w:val="22"/>
        </w:rPr>
        <w:t xml:space="preserve">Nintedanibo ekspozicija </w:t>
      </w:r>
      <w:r w:rsidR="00574A33" w:rsidRPr="00211E3B">
        <w:rPr>
          <w:snapToGrid w:val="0"/>
          <w:sz w:val="22"/>
        </w:rPr>
        <w:t>senstant</w:t>
      </w:r>
      <w:r w:rsidRPr="00211E3B">
        <w:rPr>
          <w:snapToGrid w:val="0"/>
          <w:sz w:val="22"/>
        </w:rPr>
        <w:t xml:space="preserve"> didėja tiesiniu </w:t>
      </w:r>
      <w:r w:rsidR="00574A33" w:rsidRPr="00211E3B">
        <w:rPr>
          <w:snapToGrid w:val="0"/>
          <w:sz w:val="22"/>
        </w:rPr>
        <w:t>pobūdžiu</w:t>
      </w:r>
      <w:r w:rsidRPr="00211E3B">
        <w:rPr>
          <w:snapToGrid w:val="0"/>
          <w:sz w:val="22"/>
        </w:rPr>
        <w:t>. Palyginti su pacientais, kurių amžiaus</w:t>
      </w:r>
      <w:r w:rsidR="00574A33" w:rsidRPr="00211E3B">
        <w:rPr>
          <w:snapToGrid w:val="0"/>
          <w:sz w:val="22"/>
        </w:rPr>
        <w:t xml:space="preserve"> mediana buvo</w:t>
      </w:r>
      <w:r w:rsidRPr="00211E3B">
        <w:rPr>
          <w:snapToGrid w:val="0"/>
          <w:sz w:val="22"/>
        </w:rPr>
        <w:t xml:space="preserve"> 62</w:t>
      </w:r>
      <w:r w:rsidR="00574A33" w:rsidRPr="00211E3B">
        <w:rPr>
          <w:snapToGrid w:val="0"/>
          <w:sz w:val="22"/>
        </w:rPr>
        <w:t> </w:t>
      </w:r>
      <w:r w:rsidRPr="00211E3B">
        <w:rPr>
          <w:snapToGrid w:val="0"/>
          <w:sz w:val="22"/>
        </w:rPr>
        <w:t>metai, 45</w:t>
      </w:r>
      <w:r w:rsidR="00574A33" w:rsidRPr="00211E3B">
        <w:rPr>
          <w:snapToGrid w:val="0"/>
          <w:sz w:val="22"/>
        </w:rPr>
        <w:t> </w:t>
      </w:r>
      <w:r w:rsidRPr="00211E3B">
        <w:rPr>
          <w:snapToGrid w:val="0"/>
          <w:sz w:val="22"/>
        </w:rPr>
        <w:t>metų pacientų organizme AUC</w:t>
      </w:r>
      <w:r w:rsidRPr="00211E3B">
        <w:rPr>
          <w:snapToGrid w:val="0"/>
          <w:sz w:val="22"/>
          <w:vertAlign w:val="subscript"/>
        </w:rPr>
        <w:t>τ,ss</w:t>
      </w:r>
      <w:r w:rsidRPr="00211E3B">
        <w:rPr>
          <w:snapToGrid w:val="0"/>
          <w:sz w:val="22"/>
        </w:rPr>
        <w:t xml:space="preserve"> </w:t>
      </w:r>
      <w:r w:rsidR="00574A33" w:rsidRPr="00211E3B">
        <w:rPr>
          <w:snapToGrid w:val="0"/>
          <w:sz w:val="22"/>
        </w:rPr>
        <w:t xml:space="preserve">buvo </w:t>
      </w:r>
      <w:r w:rsidRPr="00211E3B">
        <w:rPr>
          <w:snapToGrid w:val="0"/>
          <w:sz w:val="22"/>
        </w:rPr>
        <w:t>mažesnis 16</w:t>
      </w:r>
      <w:r w:rsidR="0085390D">
        <w:rPr>
          <w:snapToGrid w:val="0"/>
          <w:sz w:val="22"/>
        </w:rPr>
        <w:t> %</w:t>
      </w:r>
      <w:r w:rsidRPr="00211E3B">
        <w:rPr>
          <w:snapToGrid w:val="0"/>
          <w:sz w:val="22"/>
        </w:rPr>
        <w:t>, o 76</w:t>
      </w:r>
      <w:r w:rsidR="00574A33" w:rsidRPr="00211E3B">
        <w:rPr>
          <w:snapToGrid w:val="0"/>
          <w:sz w:val="22"/>
        </w:rPr>
        <w:t> </w:t>
      </w:r>
      <w:r w:rsidRPr="00211E3B">
        <w:rPr>
          <w:snapToGrid w:val="0"/>
          <w:sz w:val="22"/>
        </w:rPr>
        <w:t>metų</w:t>
      </w:r>
      <w:r w:rsidR="00574A33" w:rsidRPr="00211E3B">
        <w:rPr>
          <w:snapToGrid w:val="0"/>
          <w:sz w:val="22"/>
        </w:rPr>
        <w:t xml:space="preserve"> </w:t>
      </w:r>
      <w:r w:rsidRPr="00211E3B">
        <w:rPr>
          <w:snapToGrid w:val="0"/>
          <w:sz w:val="22"/>
        </w:rPr>
        <w:t xml:space="preserve">pacientų organizme </w:t>
      </w:r>
      <w:r w:rsidR="00574A33" w:rsidRPr="00211E3B">
        <w:rPr>
          <w:snapToGrid w:val="0"/>
          <w:sz w:val="22"/>
        </w:rPr>
        <w:t>buvo didesnis</w:t>
      </w:r>
      <w:r w:rsidRPr="00211E3B">
        <w:rPr>
          <w:snapToGrid w:val="0"/>
          <w:sz w:val="22"/>
        </w:rPr>
        <w:t xml:space="preserve"> 13</w:t>
      </w:r>
      <w:r w:rsidR="0085390D">
        <w:rPr>
          <w:snapToGrid w:val="0"/>
          <w:sz w:val="22"/>
        </w:rPr>
        <w:t> %</w:t>
      </w:r>
      <w:r w:rsidRPr="00211E3B">
        <w:rPr>
          <w:snapToGrid w:val="0"/>
          <w:sz w:val="22"/>
        </w:rPr>
        <w:t>. Analizė apėmė 29</w:t>
      </w:r>
      <w:r w:rsidR="00574A33" w:rsidRPr="00211E3B">
        <w:rPr>
          <w:snapToGrid w:val="0"/>
          <w:sz w:val="22"/>
        </w:rPr>
        <w:noBreakHyphen/>
      </w:r>
      <w:r w:rsidRPr="00211E3B">
        <w:rPr>
          <w:snapToGrid w:val="0"/>
          <w:sz w:val="22"/>
        </w:rPr>
        <w:t>85</w:t>
      </w:r>
      <w:r w:rsidR="00574A33" w:rsidRPr="00211E3B">
        <w:rPr>
          <w:snapToGrid w:val="0"/>
          <w:sz w:val="22"/>
        </w:rPr>
        <w:t> </w:t>
      </w:r>
      <w:r w:rsidRPr="00211E3B">
        <w:rPr>
          <w:snapToGrid w:val="0"/>
          <w:sz w:val="22"/>
        </w:rPr>
        <w:t>metų pacientus,</w:t>
      </w:r>
      <w:r w:rsidR="00574A33" w:rsidRPr="00211E3B">
        <w:rPr>
          <w:snapToGrid w:val="0"/>
          <w:sz w:val="22"/>
        </w:rPr>
        <w:t xml:space="preserve"> </w:t>
      </w:r>
      <w:r w:rsidRPr="00211E3B">
        <w:rPr>
          <w:snapToGrid w:val="0"/>
          <w:sz w:val="22"/>
        </w:rPr>
        <w:t>maždaug 5</w:t>
      </w:r>
      <w:r w:rsidR="0085390D">
        <w:rPr>
          <w:snapToGrid w:val="0"/>
          <w:sz w:val="22"/>
        </w:rPr>
        <w:t> %</w:t>
      </w:r>
      <w:r w:rsidRPr="00211E3B">
        <w:rPr>
          <w:snapToGrid w:val="0"/>
          <w:sz w:val="22"/>
        </w:rPr>
        <w:t xml:space="preserve"> populiacijos buvo </w:t>
      </w:r>
      <w:r w:rsidR="00574A33" w:rsidRPr="00211E3B">
        <w:rPr>
          <w:snapToGrid w:val="0"/>
          <w:sz w:val="22"/>
        </w:rPr>
        <w:t>vyresni</w:t>
      </w:r>
      <w:r w:rsidRPr="00211E3B">
        <w:rPr>
          <w:snapToGrid w:val="0"/>
          <w:sz w:val="22"/>
        </w:rPr>
        <w:t xml:space="preserve"> nei 75</w:t>
      </w:r>
      <w:r w:rsidR="00574A33" w:rsidRPr="00211E3B">
        <w:rPr>
          <w:snapToGrid w:val="0"/>
          <w:sz w:val="22"/>
        </w:rPr>
        <w:t> </w:t>
      </w:r>
      <w:r w:rsidRPr="00211E3B">
        <w:rPr>
          <w:snapToGrid w:val="0"/>
          <w:sz w:val="22"/>
        </w:rPr>
        <w:t>metų.</w:t>
      </w:r>
      <w:r w:rsidR="003963FE" w:rsidRPr="00211E3B">
        <w:t xml:space="preserve"> </w:t>
      </w:r>
      <w:r w:rsidR="003963FE" w:rsidRPr="00211E3B">
        <w:rPr>
          <w:snapToGrid w:val="0"/>
          <w:sz w:val="22"/>
        </w:rPr>
        <w:t>Pagal PopFK modelį buvo pastebėtas nintedanibo ekspozicijos padidėjimas maždaug 20</w:t>
      </w:r>
      <w:r w:rsidR="003963FE" w:rsidRPr="00211E3B">
        <w:rPr>
          <w:snapToGrid w:val="0"/>
          <w:sz w:val="22"/>
        </w:rPr>
        <w:noBreakHyphen/>
        <w:t>25</w:t>
      </w:r>
      <w:r w:rsidR="0085390D">
        <w:rPr>
          <w:snapToGrid w:val="0"/>
          <w:sz w:val="22"/>
        </w:rPr>
        <w:t xml:space="preserve"> %</w:t>
      </w:r>
      <w:r w:rsidR="003963FE" w:rsidRPr="00211E3B">
        <w:rPr>
          <w:snapToGrid w:val="0"/>
          <w:sz w:val="22"/>
        </w:rPr>
        <w:t xml:space="preserve"> ≥ 75 metų pacientams, palyginti su jaunesniais nei 65 metų pacientais</w:t>
      </w:r>
      <w:r w:rsidR="006D4BBF">
        <w:rPr>
          <w:snapToGrid w:val="0"/>
          <w:sz w:val="22"/>
        </w:rPr>
        <w:t>.</w:t>
      </w:r>
    </w:p>
    <w:p w14:paraId="4617D129" w14:textId="77777777" w:rsidR="00E7080B" w:rsidRPr="00211E3B" w:rsidRDefault="00E7080B" w:rsidP="00E7080B">
      <w:pPr>
        <w:tabs>
          <w:tab w:val="left" w:pos="567"/>
        </w:tabs>
        <w:contextualSpacing/>
        <w:outlineLvl w:val="0"/>
        <w:rPr>
          <w:snapToGrid w:val="0"/>
          <w:sz w:val="22"/>
        </w:rPr>
      </w:pPr>
    </w:p>
    <w:p w14:paraId="5C8DB15C" w14:textId="5A5D3DC7" w:rsidR="00E7080B" w:rsidRPr="00211E3B" w:rsidRDefault="00E7080B" w:rsidP="00E7080B">
      <w:pPr>
        <w:tabs>
          <w:tab w:val="left" w:pos="567"/>
        </w:tabs>
        <w:contextualSpacing/>
        <w:outlineLvl w:val="0"/>
        <w:rPr>
          <w:i/>
          <w:iCs/>
          <w:snapToGrid w:val="0"/>
          <w:sz w:val="22"/>
        </w:rPr>
      </w:pPr>
      <w:r w:rsidRPr="00211E3B">
        <w:rPr>
          <w:i/>
          <w:iCs/>
          <w:snapToGrid w:val="0"/>
          <w:sz w:val="22"/>
        </w:rPr>
        <w:t>Vaikų populiacija</w:t>
      </w:r>
    </w:p>
    <w:p w14:paraId="30E1B69E" w14:textId="31CB518A" w:rsidR="00574A33" w:rsidRPr="00211E3B" w:rsidRDefault="00E7080B" w:rsidP="00E7080B">
      <w:pPr>
        <w:tabs>
          <w:tab w:val="left" w:pos="567"/>
        </w:tabs>
        <w:contextualSpacing/>
        <w:outlineLvl w:val="0"/>
        <w:rPr>
          <w:snapToGrid w:val="0"/>
          <w:sz w:val="22"/>
        </w:rPr>
      </w:pPr>
      <w:r w:rsidRPr="00211E3B">
        <w:rPr>
          <w:snapToGrid w:val="0"/>
          <w:sz w:val="22"/>
        </w:rPr>
        <w:lastRenderedPageBreak/>
        <w:t>Remiantis tyrimo InPedILD (1199.337) farmakokinetikos duomenų analize, nintedanibą vartojant per burną pagal dozavimo algoritmą atsižvelgiant į kūno svorį, organizme susidaranti ekspozicija atitiko suaugusiems pacientams nustatytas ekspozicijos ribas. 10 pacientų, kurių amžius buvo 6-11 metų, ir 23 pacientų, kurių amžius buvo 12-17 metų, organizme stebėtos geometrinio AUC</w:t>
      </w:r>
      <w:r w:rsidRPr="00211E3B">
        <w:rPr>
          <w:snapToGrid w:val="0"/>
          <w:sz w:val="22"/>
          <w:vertAlign w:val="subscript"/>
        </w:rPr>
        <w:t>τ,ss</w:t>
      </w:r>
      <w:r w:rsidRPr="00211E3B">
        <w:rPr>
          <w:snapToGrid w:val="0"/>
          <w:sz w:val="22"/>
        </w:rPr>
        <w:t xml:space="preserve"> vidurkio (geometrinis variacijos koeficientas) ekspozicijos atitinkamai buvo 175 ng/ml per valandą (85,1</w:t>
      </w:r>
      <w:r w:rsidR="0085390D">
        <w:rPr>
          <w:snapToGrid w:val="0"/>
          <w:sz w:val="22"/>
        </w:rPr>
        <w:t> %</w:t>
      </w:r>
      <w:r w:rsidRPr="00211E3B">
        <w:rPr>
          <w:snapToGrid w:val="0"/>
          <w:sz w:val="22"/>
        </w:rPr>
        <w:t>) ir 167</w:t>
      </w:r>
      <w:r w:rsidR="00A91ADA" w:rsidRPr="00211E3B">
        <w:rPr>
          <w:snapToGrid w:val="0"/>
          <w:sz w:val="22"/>
        </w:rPr>
        <w:t> </w:t>
      </w:r>
      <w:r w:rsidRPr="00211E3B">
        <w:rPr>
          <w:snapToGrid w:val="0"/>
          <w:sz w:val="22"/>
        </w:rPr>
        <w:t>ng/ml per valandą (83,6</w:t>
      </w:r>
      <w:r w:rsidR="0085390D">
        <w:rPr>
          <w:snapToGrid w:val="0"/>
          <w:sz w:val="22"/>
        </w:rPr>
        <w:t> %</w:t>
      </w:r>
      <w:r w:rsidRPr="00211E3B">
        <w:rPr>
          <w:snapToGrid w:val="0"/>
          <w:sz w:val="22"/>
        </w:rPr>
        <w:t>).</w:t>
      </w:r>
    </w:p>
    <w:p w14:paraId="555288F7" w14:textId="77777777" w:rsidR="00E7080B" w:rsidRPr="00211E3B" w:rsidRDefault="00E7080B" w:rsidP="00E7080B">
      <w:pPr>
        <w:tabs>
          <w:tab w:val="left" w:pos="567"/>
        </w:tabs>
        <w:contextualSpacing/>
        <w:outlineLvl w:val="0"/>
        <w:rPr>
          <w:snapToGrid w:val="0"/>
          <w:sz w:val="22"/>
        </w:rPr>
      </w:pPr>
    </w:p>
    <w:p w14:paraId="31E560E7" w14:textId="3F3FEB35" w:rsidR="00AC48E9" w:rsidRPr="00211E3B" w:rsidRDefault="00AC48E9" w:rsidP="00AC48E9">
      <w:pPr>
        <w:tabs>
          <w:tab w:val="left" w:pos="567"/>
        </w:tabs>
        <w:contextualSpacing/>
        <w:outlineLvl w:val="0"/>
        <w:rPr>
          <w:i/>
          <w:iCs/>
          <w:snapToGrid w:val="0"/>
          <w:sz w:val="22"/>
        </w:rPr>
      </w:pPr>
      <w:r w:rsidRPr="00211E3B">
        <w:rPr>
          <w:i/>
          <w:iCs/>
          <w:snapToGrid w:val="0"/>
          <w:sz w:val="22"/>
        </w:rPr>
        <w:t>Kūno svoris</w:t>
      </w:r>
    </w:p>
    <w:p w14:paraId="47C33FDB" w14:textId="6E03ECE3" w:rsidR="00AC48E9" w:rsidRPr="00211E3B" w:rsidRDefault="00AC48E9" w:rsidP="00AC48E9">
      <w:pPr>
        <w:tabs>
          <w:tab w:val="left" w:pos="567"/>
        </w:tabs>
        <w:contextualSpacing/>
        <w:outlineLvl w:val="0"/>
        <w:rPr>
          <w:snapToGrid w:val="0"/>
          <w:sz w:val="22"/>
        </w:rPr>
      </w:pPr>
      <w:r w:rsidRPr="00211E3B">
        <w:rPr>
          <w:snapToGrid w:val="0"/>
          <w:sz w:val="22"/>
        </w:rPr>
        <w:t>Nustatytas atvirkštinis ryšys tarp kūno svorio ir nintedanibo ekspozicijos. Palyginti su pacientais, kurių</w:t>
      </w:r>
      <w:r w:rsidR="00663A56" w:rsidRPr="00211E3B">
        <w:rPr>
          <w:snapToGrid w:val="0"/>
          <w:sz w:val="22"/>
        </w:rPr>
        <w:t xml:space="preserve"> </w:t>
      </w:r>
      <w:r w:rsidRPr="00211E3B">
        <w:rPr>
          <w:snapToGrid w:val="0"/>
          <w:sz w:val="22"/>
        </w:rPr>
        <w:t>kūno svori</w:t>
      </w:r>
      <w:r w:rsidR="00663A56" w:rsidRPr="00211E3B">
        <w:rPr>
          <w:snapToGrid w:val="0"/>
          <w:sz w:val="22"/>
        </w:rPr>
        <w:t>o mediana buvo</w:t>
      </w:r>
      <w:r w:rsidRPr="00211E3B">
        <w:rPr>
          <w:snapToGrid w:val="0"/>
          <w:sz w:val="22"/>
        </w:rPr>
        <w:t xml:space="preserve"> 71,5</w:t>
      </w:r>
      <w:r w:rsidR="00146FEE" w:rsidRPr="00211E3B">
        <w:rPr>
          <w:snapToGrid w:val="0"/>
          <w:sz w:val="22"/>
        </w:rPr>
        <w:t> kg</w:t>
      </w:r>
      <w:r w:rsidRPr="00211E3B">
        <w:rPr>
          <w:snapToGrid w:val="0"/>
          <w:sz w:val="22"/>
        </w:rPr>
        <w:t>, 50</w:t>
      </w:r>
      <w:r w:rsidR="00146FEE" w:rsidRPr="00211E3B">
        <w:rPr>
          <w:snapToGrid w:val="0"/>
          <w:sz w:val="22"/>
        </w:rPr>
        <w:t> kg</w:t>
      </w:r>
      <w:r w:rsidRPr="00211E3B">
        <w:rPr>
          <w:snapToGrid w:val="0"/>
          <w:sz w:val="22"/>
        </w:rPr>
        <w:t xml:space="preserve"> sveriančių pacientų organizme AUC</w:t>
      </w:r>
      <w:r w:rsidRPr="00211E3B">
        <w:rPr>
          <w:snapToGrid w:val="0"/>
          <w:sz w:val="22"/>
          <w:vertAlign w:val="subscript"/>
        </w:rPr>
        <w:t>τ,ss</w:t>
      </w:r>
      <w:r w:rsidRPr="00211E3B">
        <w:rPr>
          <w:snapToGrid w:val="0"/>
          <w:sz w:val="22"/>
        </w:rPr>
        <w:t xml:space="preserve"> </w:t>
      </w:r>
      <w:r w:rsidR="00663A56" w:rsidRPr="00211E3B">
        <w:rPr>
          <w:snapToGrid w:val="0"/>
          <w:sz w:val="22"/>
        </w:rPr>
        <w:t xml:space="preserve">buvo </w:t>
      </w:r>
      <w:r w:rsidRPr="00211E3B">
        <w:rPr>
          <w:snapToGrid w:val="0"/>
          <w:sz w:val="22"/>
        </w:rPr>
        <w:t>didesnis 25</w:t>
      </w:r>
      <w:r w:rsidR="0085390D">
        <w:rPr>
          <w:snapToGrid w:val="0"/>
          <w:sz w:val="22"/>
        </w:rPr>
        <w:t> %</w:t>
      </w:r>
      <w:r w:rsidRPr="00211E3B">
        <w:rPr>
          <w:snapToGrid w:val="0"/>
          <w:sz w:val="22"/>
        </w:rPr>
        <w:t xml:space="preserve"> (5</w:t>
      </w:r>
      <w:r w:rsidR="00663A56" w:rsidRPr="00211E3B">
        <w:rPr>
          <w:snapToGrid w:val="0"/>
          <w:sz w:val="22"/>
        </w:rPr>
        <w:t> </w:t>
      </w:r>
      <w:r w:rsidRPr="00211E3B">
        <w:rPr>
          <w:snapToGrid w:val="0"/>
          <w:sz w:val="22"/>
        </w:rPr>
        <w:t>procentilė), o</w:t>
      </w:r>
      <w:r w:rsidR="00663A56" w:rsidRPr="00211E3B">
        <w:rPr>
          <w:snapToGrid w:val="0"/>
          <w:sz w:val="22"/>
        </w:rPr>
        <w:t xml:space="preserve"> </w:t>
      </w:r>
      <w:r w:rsidRPr="00211E3B">
        <w:rPr>
          <w:snapToGrid w:val="0"/>
          <w:sz w:val="22"/>
        </w:rPr>
        <w:t>100</w:t>
      </w:r>
      <w:r w:rsidR="00146FEE" w:rsidRPr="00211E3B">
        <w:rPr>
          <w:snapToGrid w:val="0"/>
          <w:sz w:val="22"/>
        </w:rPr>
        <w:t> kg</w:t>
      </w:r>
      <w:r w:rsidRPr="00211E3B">
        <w:rPr>
          <w:snapToGrid w:val="0"/>
          <w:sz w:val="22"/>
        </w:rPr>
        <w:t xml:space="preserve"> sveriančių pacientų organizme </w:t>
      </w:r>
      <w:r w:rsidR="00663A56" w:rsidRPr="00211E3B">
        <w:rPr>
          <w:snapToGrid w:val="0"/>
          <w:sz w:val="22"/>
        </w:rPr>
        <w:t>buvo</w:t>
      </w:r>
      <w:r w:rsidRPr="00211E3B">
        <w:rPr>
          <w:snapToGrid w:val="0"/>
          <w:sz w:val="22"/>
        </w:rPr>
        <w:t xml:space="preserve"> </w:t>
      </w:r>
      <w:r w:rsidR="00663A56" w:rsidRPr="00211E3B">
        <w:rPr>
          <w:snapToGrid w:val="0"/>
          <w:sz w:val="22"/>
        </w:rPr>
        <w:t xml:space="preserve">mažesnis </w:t>
      </w:r>
      <w:r w:rsidRPr="00211E3B">
        <w:rPr>
          <w:snapToGrid w:val="0"/>
          <w:sz w:val="22"/>
        </w:rPr>
        <w:t>19</w:t>
      </w:r>
      <w:r w:rsidR="0085390D">
        <w:rPr>
          <w:snapToGrid w:val="0"/>
          <w:sz w:val="22"/>
        </w:rPr>
        <w:t> %</w:t>
      </w:r>
      <w:r w:rsidRPr="00211E3B">
        <w:rPr>
          <w:snapToGrid w:val="0"/>
          <w:sz w:val="22"/>
        </w:rPr>
        <w:t xml:space="preserve"> (95</w:t>
      </w:r>
      <w:r w:rsidR="00663A56" w:rsidRPr="00211E3B">
        <w:rPr>
          <w:snapToGrid w:val="0"/>
          <w:sz w:val="22"/>
        </w:rPr>
        <w:t> </w:t>
      </w:r>
      <w:r w:rsidRPr="00211E3B">
        <w:rPr>
          <w:snapToGrid w:val="0"/>
          <w:sz w:val="22"/>
        </w:rPr>
        <w:t>procentilė).</w:t>
      </w:r>
    </w:p>
    <w:p w14:paraId="227B6794" w14:textId="77777777" w:rsidR="00C51535" w:rsidRPr="00211E3B" w:rsidRDefault="00C51535" w:rsidP="00AC48E9">
      <w:pPr>
        <w:tabs>
          <w:tab w:val="left" w:pos="567"/>
        </w:tabs>
        <w:contextualSpacing/>
        <w:outlineLvl w:val="0"/>
        <w:rPr>
          <w:snapToGrid w:val="0"/>
          <w:sz w:val="22"/>
        </w:rPr>
      </w:pPr>
    </w:p>
    <w:p w14:paraId="28758868" w14:textId="417E39C7" w:rsidR="00AC48E9" w:rsidRPr="00211E3B" w:rsidRDefault="00AC48E9" w:rsidP="00AC48E9">
      <w:pPr>
        <w:tabs>
          <w:tab w:val="left" w:pos="567"/>
        </w:tabs>
        <w:contextualSpacing/>
        <w:outlineLvl w:val="0"/>
        <w:rPr>
          <w:i/>
          <w:iCs/>
          <w:snapToGrid w:val="0"/>
          <w:sz w:val="22"/>
        </w:rPr>
      </w:pPr>
      <w:r w:rsidRPr="00211E3B">
        <w:rPr>
          <w:i/>
          <w:iCs/>
          <w:snapToGrid w:val="0"/>
          <w:sz w:val="22"/>
        </w:rPr>
        <w:t>Rasė</w:t>
      </w:r>
    </w:p>
    <w:p w14:paraId="0BE1F815" w14:textId="747F7CC3" w:rsidR="00AC48E9" w:rsidRPr="00211E3B" w:rsidRDefault="00AC48E9" w:rsidP="00AC48E9">
      <w:pPr>
        <w:tabs>
          <w:tab w:val="left" w:pos="567"/>
        </w:tabs>
        <w:contextualSpacing/>
        <w:outlineLvl w:val="0"/>
        <w:rPr>
          <w:snapToGrid w:val="0"/>
          <w:sz w:val="22"/>
        </w:rPr>
      </w:pPr>
      <w:r w:rsidRPr="00211E3B">
        <w:rPr>
          <w:snapToGrid w:val="0"/>
          <w:sz w:val="22"/>
        </w:rPr>
        <w:t>Palyginti su europidais, pacientų kinų, taivaniečių ir indų organizme populiacijos nintedanibo</w:t>
      </w:r>
      <w:r w:rsidR="006A10F6" w:rsidRPr="00211E3B">
        <w:rPr>
          <w:snapToGrid w:val="0"/>
          <w:sz w:val="22"/>
        </w:rPr>
        <w:t xml:space="preserve"> </w:t>
      </w:r>
      <w:r w:rsidRPr="00211E3B">
        <w:rPr>
          <w:snapToGrid w:val="0"/>
          <w:sz w:val="22"/>
        </w:rPr>
        <w:t>ekspozicijos vidurkis buvo 33-50</w:t>
      </w:r>
      <w:r w:rsidR="0085390D">
        <w:rPr>
          <w:snapToGrid w:val="0"/>
          <w:sz w:val="22"/>
        </w:rPr>
        <w:t> %</w:t>
      </w:r>
      <w:r w:rsidRPr="00211E3B">
        <w:rPr>
          <w:snapToGrid w:val="0"/>
          <w:sz w:val="22"/>
        </w:rPr>
        <w:t xml:space="preserve"> didesnis, pacientų japonų organizme – 16</w:t>
      </w:r>
      <w:r w:rsidR="0085390D">
        <w:rPr>
          <w:snapToGrid w:val="0"/>
          <w:sz w:val="22"/>
        </w:rPr>
        <w:t> %</w:t>
      </w:r>
      <w:r w:rsidRPr="00211E3B">
        <w:rPr>
          <w:snapToGrid w:val="0"/>
          <w:sz w:val="22"/>
        </w:rPr>
        <w:t xml:space="preserve"> didesnis, o korėjiečių</w:t>
      </w:r>
      <w:r w:rsidR="006A10F6" w:rsidRPr="00211E3B">
        <w:rPr>
          <w:snapToGrid w:val="0"/>
          <w:sz w:val="22"/>
        </w:rPr>
        <w:t xml:space="preserve"> </w:t>
      </w:r>
      <w:r w:rsidRPr="00211E3B">
        <w:rPr>
          <w:snapToGrid w:val="0"/>
          <w:sz w:val="22"/>
        </w:rPr>
        <w:t>organizme ‒ 16</w:t>
      </w:r>
      <w:r w:rsidR="006A10F6" w:rsidRPr="00211E3B">
        <w:rPr>
          <w:snapToGrid w:val="0"/>
          <w:sz w:val="22"/>
        </w:rPr>
        <w:noBreakHyphen/>
      </w:r>
      <w:r w:rsidRPr="00211E3B">
        <w:rPr>
          <w:snapToGrid w:val="0"/>
          <w:sz w:val="22"/>
        </w:rPr>
        <w:t>22</w:t>
      </w:r>
      <w:r w:rsidR="0085390D">
        <w:rPr>
          <w:snapToGrid w:val="0"/>
          <w:sz w:val="22"/>
        </w:rPr>
        <w:t> %</w:t>
      </w:r>
      <w:r w:rsidRPr="00211E3B">
        <w:rPr>
          <w:snapToGrid w:val="0"/>
          <w:sz w:val="22"/>
        </w:rPr>
        <w:t xml:space="preserve"> mažesnis (</w:t>
      </w:r>
      <w:r w:rsidR="006A10F6" w:rsidRPr="00211E3B">
        <w:rPr>
          <w:snapToGrid w:val="0"/>
          <w:sz w:val="22"/>
        </w:rPr>
        <w:t>koreguojant pagal kūno svorį</w:t>
      </w:r>
      <w:r w:rsidRPr="00211E3B">
        <w:rPr>
          <w:snapToGrid w:val="0"/>
          <w:sz w:val="22"/>
        </w:rPr>
        <w:t>). Juodaodžių</w:t>
      </w:r>
      <w:r w:rsidR="006A10F6" w:rsidRPr="00211E3B">
        <w:rPr>
          <w:snapToGrid w:val="0"/>
          <w:sz w:val="22"/>
        </w:rPr>
        <w:t xml:space="preserve"> </w:t>
      </w:r>
      <w:r w:rsidRPr="00211E3B">
        <w:rPr>
          <w:snapToGrid w:val="0"/>
          <w:sz w:val="22"/>
        </w:rPr>
        <w:t xml:space="preserve">asmenų duomenys buvo labai riboti, </w:t>
      </w:r>
      <w:r w:rsidR="006A10F6" w:rsidRPr="00211E3B">
        <w:rPr>
          <w:snapToGrid w:val="0"/>
          <w:sz w:val="22"/>
        </w:rPr>
        <w:t>tačiau atitiko europidams nustatytas ribas</w:t>
      </w:r>
      <w:r w:rsidRPr="00211E3B">
        <w:rPr>
          <w:snapToGrid w:val="0"/>
          <w:sz w:val="22"/>
        </w:rPr>
        <w:t>.</w:t>
      </w:r>
    </w:p>
    <w:p w14:paraId="5E279068" w14:textId="77777777" w:rsidR="00C51535" w:rsidRPr="00211E3B" w:rsidRDefault="00C51535" w:rsidP="00AC48E9">
      <w:pPr>
        <w:tabs>
          <w:tab w:val="left" w:pos="567"/>
        </w:tabs>
        <w:contextualSpacing/>
        <w:outlineLvl w:val="0"/>
        <w:rPr>
          <w:snapToGrid w:val="0"/>
          <w:sz w:val="22"/>
        </w:rPr>
      </w:pPr>
    </w:p>
    <w:p w14:paraId="2A5B91B5" w14:textId="79173F3D" w:rsidR="00AC48E9" w:rsidRPr="00211E3B" w:rsidRDefault="00AC48E9" w:rsidP="00AC48E9">
      <w:pPr>
        <w:tabs>
          <w:tab w:val="left" w:pos="567"/>
        </w:tabs>
        <w:contextualSpacing/>
        <w:outlineLvl w:val="0"/>
        <w:rPr>
          <w:i/>
          <w:iCs/>
          <w:snapToGrid w:val="0"/>
          <w:sz w:val="22"/>
        </w:rPr>
      </w:pPr>
      <w:r w:rsidRPr="00211E3B">
        <w:rPr>
          <w:i/>
          <w:iCs/>
          <w:snapToGrid w:val="0"/>
          <w:sz w:val="22"/>
        </w:rPr>
        <w:t>Sutrikusi kepenų funkcija</w:t>
      </w:r>
    </w:p>
    <w:p w14:paraId="0A6E8310" w14:textId="33D70E68" w:rsidR="00AC48E9" w:rsidRPr="00211E3B" w:rsidRDefault="00D22FDC" w:rsidP="00AC48E9">
      <w:pPr>
        <w:tabs>
          <w:tab w:val="left" w:pos="567"/>
        </w:tabs>
        <w:contextualSpacing/>
        <w:outlineLvl w:val="0"/>
        <w:rPr>
          <w:snapToGrid w:val="0"/>
          <w:sz w:val="22"/>
        </w:rPr>
      </w:pPr>
      <w:r w:rsidRPr="00211E3B">
        <w:rPr>
          <w:snapToGrid w:val="0"/>
          <w:sz w:val="22"/>
        </w:rPr>
        <w:t>Tam skirt</w:t>
      </w:r>
      <w:r w:rsidR="0045728B" w:rsidRPr="00211E3B">
        <w:rPr>
          <w:snapToGrid w:val="0"/>
          <w:sz w:val="22"/>
        </w:rPr>
        <w:t>o</w:t>
      </w:r>
      <w:r w:rsidRPr="00211E3B">
        <w:rPr>
          <w:snapToGrid w:val="0"/>
          <w:sz w:val="22"/>
        </w:rPr>
        <w:t xml:space="preserve"> 1 </w:t>
      </w:r>
      <w:r w:rsidR="00AC48E9" w:rsidRPr="00211E3B">
        <w:rPr>
          <w:snapToGrid w:val="0"/>
          <w:sz w:val="22"/>
        </w:rPr>
        <w:t>fazės vienkartinės dozės tyrim</w:t>
      </w:r>
      <w:r w:rsidR="0045728B" w:rsidRPr="00211E3B">
        <w:rPr>
          <w:snapToGrid w:val="0"/>
          <w:sz w:val="22"/>
        </w:rPr>
        <w:t>o metu</w:t>
      </w:r>
      <w:r w:rsidR="00AC48E9" w:rsidRPr="00211E3B">
        <w:rPr>
          <w:snapToGrid w:val="0"/>
          <w:sz w:val="22"/>
        </w:rPr>
        <w:t xml:space="preserve"> savanoriams, kuriems buvo lengvas kepenų funkcijos sutrikimas</w:t>
      </w:r>
      <w:r w:rsidR="005F08FC" w:rsidRPr="00211E3B">
        <w:rPr>
          <w:snapToGrid w:val="0"/>
          <w:sz w:val="22"/>
        </w:rPr>
        <w:t xml:space="preserve"> </w:t>
      </w:r>
      <w:r w:rsidR="00AC48E9" w:rsidRPr="00211E3B">
        <w:rPr>
          <w:snapToGrid w:val="0"/>
          <w:sz w:val="22"/>
        </w:rPr>
        <w:t>(</w:t>
      </w:r>
      <w:r w:rsidR="00AC48E9" w:rsidRPr="00211E3B">
        <w:rPr>
          <w:i/>
          <w:iCs/>
          <w:snapToGrid w:val="0"/>
          <w:sz w:val="22"/>
        </w:rPr>
        <w:t>Child Pugh</w:t>
      </w:r>
      <w:r w:rsidR="00AC48E9" w:rsidRPr="00211E3B">
        <w:rPr>
          <w:snapToGrid w:val="0"/>
          <w:sz w:val="22"/>
        </w:rPr>
        <w:t xml:space="preserve"> A), nintedanibo ekspozicija </w:t>
      </w:r>
      <w:r w:rsidRPr="00211E3B">
        <w:rPr>
          <w:snapToGrid w:val="0"/>
          <w:sz w:val="22"/>
        </w:rPr>
        <w:t>remiantis</w:t>
      </w:r>
      <w:r w:rsidR="00AC48E9" w:rsidRPr="00211E3B">
        <w:rPr>
          <w:snapToGrid w:val="0"/>
          <w:sz w:val="22"/>
        </w:rPr>
        <w:t xml:space="preserve"> C</w:t>
      </w:r>
      <w:r w:rsidR="00AC48E9" w:rsidRPr="00211E3B">
        <w:rPr>
          <w:snapToGrid w:val="0"/>
          <w:sz w:val="22"/>
          <w:vertAlign w:val="subscript"/>
        </w:rPr>
        <w:t>max</w:t>
      </w:r>
      <w:r w:rsidR="00AC48E9" w:rsidRPr="00211E3B">
        <w:rPr>
          <w:snapToGrid w:val="0"/>
          <w:sz w:val="22"/>
        </w:rPr>
        <w:t xml:space="preserve"> ir AUC buvo 2,2</w:t>
      </w:r>
      <w:r w:rsidRPr="00211E3B">
        <w:rPr>
          <w:snapToGrid w:val="0"/>
          <w:sz w:val="22"/>
        </w:rPr>
        <w:t> </w:t>
      </w:r>
      <w:r w:rsidR="00AC48E9" w:rsidRPr="00211E3B">
        <w:rPr>
          <w:snapToGrid w:val="0"/>
          <w:sz w:val="22"/>
        </w:rPr>
        <w:t xml:space="preserve">karto didesnė </w:t>
      </w:r>
      <w:r w:rsidRPr="00211E3B">
        <w:rPr>
          <w:snapToGrid w:val="0"/>
          <w:sz w:val="22"/>
        </w:rPr>
        <w:t>nei nustatyta</w:t>
      </w:r>
      <w:r w:rsidR="00AC48E9" w:rsidRPr="00211E3B">
        <w:rPr>
          <w:snapToGrid w:val="0"/>
          <w:sz w:val="22"/>
        </w:rPr>
        <w:t xml:space="preserve"> </w:t>
      </w:r>
      <w:r w:rsidRPr="00211E3B">
        <w:rPr>
          <w:snapToGrid w:val="0"/>
          <w:sz w:val="22"/>
        </w:rPr>
        <w:t>sveikiems</w:t>
      </w:r>
      <w:r w:rsidR="00AC48E9" w:rsidRPr="00211E3B">
        <w:rPr>
          <w:snapToGrid w:val="0"/>
          <w:sz w:val="22"/>
        </w:rPr>
        <w:t xml:space="preserve"> asmenimis (90</w:t>
      </w:r>
      <w:r w:rsidR="0085390D">
        <w:rPr>
          <w:snapToGrid w:val="0"/>
          <w:sz w:val="22"/>
        </w:rPr>
        <w:t> %</w:t>
      </w:r>
      <w:r w:rsidR="00AC48E9" w:rsidRPr="00211E3B">
        <w:rPr>
          <w:snapToGrid w:val="0"/>
          <w:sz w:val="22"/>
        </w:rPr>
        <w:t xml:space="preserve"> PI atitinkamai C</w:t>
      </w:r>
      <w:r w:rsidR="00AC48E9" w:rsidRPr="00211E3B">
        <w:rPr>
          <w:snapToGrid w:val="0"/>
          <w:sz w:val="22"/>
          <w:vertAlign w:val="subscript"/>
        </w:rPr>
        <w:t>max</w:t>
      </w:r>
      <w:r w:rsidR="00AC48E9" w:rsidRPr="00211E3B">
        <w:rPr>
          <w:snapToGrid w:val="0"/>
          <w:sz w:val="22"/>
        </w:rPr>
        <w:t xml:space="preserve"> 1,3–3,7 ir AUC 1,2–3,8). Savanoriams, kuriems buvo</w:t>
      </w:r>
      <w:r w:rsidR="005F08FC" w:rsidRPr="00211E3B">
        <w:rPr>
          <w:snapToGrid w:val="0"/>
          <w:sz w:val="22"/>
        </w:rPr>
        <w:t xml:space="preserve"> </w:t>
      </w:r>
      <w:r w:rsidR="00AC48E9" w:rsidRPr="00211E3B">
        <w:rPr>
          <w:snapToGrid w:val="0"/>
          <w:sz w:val="22"/>
        </w:rPr>
        <w:t>vidutinio sunkumo kepenų funkcijos sutrikimas (</w:t>
      </w:r>
      <w:r w:rsidR="00AC48E9" w:rsidRPr="00211E3B">
        <w:rPr>
          <w:i/>
          <w:iCs/>
          <w:snapToGrid w:val="0"/>
          <w:sz w:val="22"/>
        </w:rPr>
        <w:t>Child Pugh</w:t>
      </w:r>
      <w:r w:rsidR="00AC48E9" w:rsidRPr="00211E3B">
        <w:rPr>
          <w:snapToGrid w:val="0"/>
          <w:sz w:val="22"/>
        </w:rPr>
        <w:t xml:space="preserve"> B), ekspozicija</w:t>
      </w:r>
      <w:r w:rsidR="0045728B" w:rsidRPr="00211E3B">
        <w:rPr>
          <w:snapToGrid w:val="0"/>
          <w:sz w:val="22"/>
        </w:rPr>
        <w:t>,</w:t>
      </w:r>
      <w:r w:rsidR="00AC48E9" w:rsidRPr="00211E3B">
        <w:rPr>
          <w:snapToGrid w:val="0"/>
          <w:sz w:val="22"/>
        </w:rPr>
        <w:t xml:space="preserve"> lyginant su </w:t>
      </w:r>
      <w:r w:rsidR="0045728B" w:rsidRPr="00211E3B">
        <w:rPr>
          <w:snapToGrid w:val="0"/>
          <w:sz w:val="22"/>
        </w:rPr>
        <w:t xml:space="preserve">nustatyta </w:t>
      </w:r>
      <w:r w:rsidR="00AC48E9" w:rsidRPr="00211E3B">
        <w:rPr>
          <w:snapToGrid w:val="0"/>
          <w:sz w:val="22"/>
        </w:rPr>
        <w:t>sveik</w:t>
      </w:r>
      <w:r w:rsidR="0045728B" w:rsidRPr="00211E3B">
        <w:rPr>
          <w:snapToGrid w:val="0"/>
          <w:sz w:val="22"/>
        </w:rPr>
        <w:t>iems</w:t>
      </w:r>
      <w:r w:rsidR="005F08FC" w:rsidRPr="00211E3B">
        <w:rPr>
          <w:snapToGrid w:val="0"/>
          <w:sz w:val="22"/>
        </w:rPr>
        <w:t xml:space="preserve"> </w:t>
      </w:r>
      <w:r w:rsidR="00AC48E9" w:rsidRPr="00211E3B">
        <w:rPr>
          <w:snapToGrid w:val="0"/>
          <w:sz w:val="22"/>
        </w:rPr>
        <w:t>savanoria</w:t>
      </w:r>
      <w:r w:rsidR="0045728B" w:rsidRPr="00211E3B">
        <w:rPr>
          <w:snapToGrid w:val="0"/>
          <w:sz w:val="22"/>
        </w:rPr>
        <w:t>m</w:t>
      </w:r>
      <w:r w:rsidR="00AC48E9" w:rsidRPr="00211E3B">
        <w:rPr>
          <w:snapToGrid w:val="0"/>
          <w:sz w:val="22"/>
        </w:rPr>
        <w:t>s</w:t>
      </w:r>
      <w:r w:rsidR="0045728B" w:rsidRPr="00211E3B">
        <w:rPr>
          <w:snapToGrid w:val="0"/>
          <w:sz w:val="22"/>
        </w:rPr>
        <w:t>,</w:t>
      </w:r>
      <w:r w:rsidR="00AC48E9" w:rsidRPr="00211E3B">
        <w:rPr>
          <w:snapToGrid w:val="0"/>
          <w:sz w:val="22"/>
        </w:rPr>
        <w:t xml:space="preserve"> </w:t>
      </w:r>
      <w:r w:rsidR="0045728B" w:rsidRPr="00211E3B">
        <w:rPr>
          <w:snapToGrid w:val="0"/>
          <w:sz w:val="22"/>
        </w:rPr>
        <w:t>remiantis</w:t>
      </w:r>
      <w:r w:rsidR="00AC48E9" w:rsidRPr="00211E3B">
        <w:rPr>
          <w:snapToGrid w:val="0"/>
          <w:sz w:val="22"/>
        </w:rPr>
        <w:t xml:space="preserve"> C</w:t>
      </w:r>
      <w:r w:rsidR="00AC48E9" w:rsidRPr="00211E3B">
        <w:rPr>
          <w:snapToGrid w:val="0"/>
          <w:sz w:val="22"/>
          <w:vertAlign w:val="subscript"/>
        </w:rPr>
        <w:t>max</w:t>
      </w:r>
      <w:r w:rsidR="00AC48E9" w:rsidRPr="00211E3B">
        <w:rPr>
          <w:snapToGrid w:val="0"/>
          <w:sz w:val="22"/>
        </w:rPr>
        <w:t xml:space="preserve"> buvo 7,6</w:t>
      </w:r>
      <w:r w:rsidR="0045728B" w:rsidRPr="00211E3B">
        <w:rPr>
          <w:snapToGrid w:val="0"/>
          <w:sz w:val="22"/>
        </w:rPr>
        <w:t> </w:t>
      </w:r>
      <w:r w:rsidR="00AC48E9" w:rsidRPr="00211E3B">
        <w:rPr>
          <w:snapToGrid w:val="0"/>
          <w:sz w:val="22"/>
        </w:rPr>
        <w:t>karto didesnė (90</w:t>
      </w:r>
      <w:r w:rsidR="0085390D">
        <w:rPr>
          <w:snapToGrid w:val="0"/>
          <w:sz w:val="22"/>
        </w:rPr>
        <w:t> %</w:t>
      </w:r>
      <w:r w:rsidR="00AC48E9" w:rsidRPr="00211E3B">
        <w:rPr>
          <w:snapToGrid w:val="0"/>
          <w:sz w:val="22"/>
        </w:rPr>
        <w:t xml:space="preserve"> PI 4,4–13,2), o </w:t>
      </w:r>
      <w:r w:rsidR="0045728B" w:rsidRPr="00211E3B">
        <w:rPr>
          <w:snapToGrid w:val="0"/>
          <w:sz w:val="22"/>
        </w:rPr>
        <w:t>remiantis</w:t>
      </w:r>
      <w:r w:rsidR="00AC48E9" w:rsidRPr="00211E3B">
        <w:rPr>
          <w:snapToGrid w:val="0"/>
          <w:sz w:val="22"/>
        </w:rPr>
        <w:t xml:space="preserve"> AUC – 8,7</w:t>
      </w:r>
      <w:r w:rsidR="0045728B" w:rsidRPr="00211E3B">
        <w:rPr>
          <w:snapToGrid w:val="0"/>
          <w:sz w:val="22"/>
        </w:rPr>
        <w:t> </w:t>
      </w:r>
      <w:r w:rsidR="00AC48E9" w:rsidRPr="00211E3B">
        <w:rPr>
          <w:snapToGrid w:val="0"/>
          <w:sz w:val="22"/>
        </w:rPr>
        <w:t>karto</w:t>
      </w:r>
      <w:r w:rsidR="005F08FC" w:rsidRPr="00211E3B">
        <w:rPr>
          <w:snapToGrid w:val="0"/>
          <w:sz w:val="22"/>
        </w:rPr>
        <w:t xml:space="preserve"> </w:t>
      </w:r>
      <w:r w:rsidR="00AC48E9" w:rsidRPr="00211E3B">
        <w:rPr>
          <w:snapToGrid w:val="0"/>
          <w:sz w:val="22"/>
        </w:rPr>
        <w:t>didesnė (90</w:t>
      </w:r>
      <w:r w:rsidR="0085390D">
        <w:rPr>
          <w:snapToGrid w:val="0"/>
          <w:sz w:val="22"/>
        </w:rPr>
        <w:t> %</w:t>
      </w:r>
      <w:r w:rsidR="00AC48E9" w:rsidRPr="00211E3B">
        <w:rPr>
          <w:snapToGrid w:val="0"/>
          <w:sz w:val="22"/>
        </w:rPr>
        <w:t xml:space="preserve"> PI 5,7–13,1). </w:t>
      </w:r>
      <w:r w:rsidRPr="00211E3B">
        <w:rPr>
          <w:snapToGrid w:val="0"/>
          <w:sz w:val="22"/>
        </w:rPr>
        <w:t>Tyrimų su asmenimis</w:t>
      </w:r>
      <w:r w:rsidR="00AC48E9" w:rsidRPr="00211E3B">
        <w:rPr>
          <w:snapToGrid w:val="0"/>
          <w:sz w:val="22"/>
        </w:rPr>
        <w:t>, kuriems buvo sunkus kepenų funkcijos sutrikimas (</w:t>
      </w:r>
      <w:r w:rsidR="00AC48E9" w:rsidRPr="00211E3B">
        <w:rPr>
          <w:i/>
          <w:iCs/>
          <w:snapToGrid w:val="0"/>
          <w:sz w:val="22"/>
        </w:rPr>
        <w:t>Child</w:t>
      </w:r>
      <w:r w:rsidR="005F08FC" w:rsidRPr="00211E3B">
        <w:rPr>
          <w:i/>
          <w:iCs/>
          <w:snapToGrid w:val="0"/>
          <w:sz w:val="22"/>
        </w:rPr>
        <w:t xml:space="preserve"> </w:t>
      </w:r>
      <w:r w:rsidR="00AC48E9" w:rsidRPr="00211E3B">
        <w:rPr>
          <w:i/>
          <w:iCs/>
          <w:snapToGrid w:val="0"/>
          <w:sz w:val="22"/>
        </w:rPr>
        <w:t>Pugh</w:t>
      </w:r>
      <w:r w:rsidR="00AC48E9" w:rsidRPr="00211E3B">
        <w:rPr>
          <w:snapToGrid w:val="0"/>
          <w:sz w:val="22"/>
        </w:rPr>
        <w:t xml:space="preserve"> C), </w:t>
      </w:r>
      <w:r w:rsidRPr="00211E3B">
        <w:rPr>
          <w:snapToGrid w:val="0"/>
          <w:sz w:val="22"/>
        </w:rPr>
        <w:t>neatlikta</w:t>
      </w:r>
      <w:r w:rsidR="00AC48E9" w:rsidRPr="00211E3B">
        <w:rPr>
          <w:snapToGrid w:val="0"/>
          <w:sz w:val="22"/>
        </w:rPr>
        <w:t>.</w:t>
      </w:r>
    </w:p>
    <w:p w14:paraId="2EDBD64A" w14:textId="77777777" w:rsidR="00C51535" w:rsidRPr="00211E3B" w:rsidRDefault="00C51535" w:rsidP="00AC48E9">
      <w:pPr>
        <w:tabs>
          <w:tab w:val="left" w:pos="567"/>
        </w:tabs>
        <w:contextualSpacing/>
        <w:outlineLvl w:val="0"/>
        <w:rPr>
          <w:snapToGrid w:val="0"/>
          <w:sz w:val="22"/>
        </w:rPr>
      </w:pPr>
    </w:p>
    <w:p w14:paraId="0846E6FE" w14:textId="6598DBA3" w:rsidR="00AA1D5A" w:rsidRPr="00211E3B" w:rsidRDefault="000D58B9" w:rsidP="00AA1D5A">
      <w:pPr>
        <w:tabs>
          <w:tab w:val="left" w:pos="567"/>
        </w:tabs>
        <w:contextualSpacing/>
        <w:outlineLvl w:val="0"/>
        <w:rPr>
          <w:i/>
          <w:iCs/>
          <w:snapToGrid w:val="0"/>
          <w:sz w:val="22"/>
        </w:rPr>
      </w:pPr>
      <w:r>
        <w:rPr>
          <w:i/>
          <w:iCs/>
          <w:snapToGrid w:val="0"/>
          <w:sz w:val="22"/>
        </w:rPr>
        <w:t>Kartu</w:t>
      </w:r>
      <w:r w:rsidR="00AA1D5A" w:rsidRPr="00211E3B">
        <w:rPr>
          <w:i/>
          <w:iCs/>
          <w:snapToGrid w:val="0"/>
          <w:sz w:val="22"/>
        </w:rPr>
        <w:t xml:space="preserve"> vartojamas pirfenidonas</w:t>
      </w:r>
    </w:p>
    <w:p w14:paraId="29B41828" w14:textId="39B91D76" w:rsidR="001B62AC" w:rsidRPr="00211E3B" w:rsidRDefault="001B62AC" w:rsidP="00AA1D5A">
      <w:pPr>
        <w:tabs>
          <w:tab w:val="left" w:pos="567"/>
        </w:tabs>
        <w:contextualSpacing/>
        <w:outlineLvl w:val="0"/>
        <w:rPr>
          <w:snapToGrid w:val="0"/>
          <w:sz w:val="22"/>
        </w:rPr>
      </w:pPr>
      <w:r w:rsidRPr="00211E3B">
        <w:rPr>
          <w:snapToGrid w:val="0"/>
          <w:sz w:val="22"/>
        </w:rPr>
        <w:t>Tam skirto farmakokinetikos tyrimo metu</w:t>
      </w:r>
      <w:r w:rsidR="00AA1D5A" w:rsidRPr="00211E3B">
        <w:rPr>
          <w:snapToGrid w:val="0"/>
          <w:sz w:val="22"/>
        </w:rPr>
        <w:t xml:space="preserve"> </w:t>
      </w:r>
      <w:r w:rsidRPr="00211E3B">
        <w:rPr>
          <w:snapToGrid w:val="0"/>
          <w:sz w:val="22"/>
        </w:rPr>
        <w:t>buvo vertinamas</w:t>
      </w:r>
      <w:r w:rsidR="00AA1D5A" w:rsidRPr="00211E3B">
        <w:rPr>
          <w:snapToGrid w:val="0"/>
          <w:sz w:val="22"/>
        </w:rPr>
        <w:t xml:space="preserve"> nintedanibo vartojimas kartu su pirfenidonu </w:t>
      </w:r>
      <w:r w:rsidRPr="00211E3B">
        <w:rPr>
          <w:snapToGrid w:val="0"/>
          <w:sz w:val="22"/>
        </w:rPr>
        <w:t xml:space="preserve">IPF sergantiems </w:t>
      </w:r>
      <w:r w:rsidR="00AA1D5A" w:rsidRPr="00211E3B">
        <w:rPr>
          <w:snapToGrid w:val="0"/>
          <w:sz w:val="22"/>
        </w:rPr>
        <w:t>pacientams. 1</w:t>
      </w:r>
      <w:r w:rsidRPr="00211E3B">
        <w:rPr>
          <w:snapToGrid w:val="0"/>
          <w:sz w:val="22"/>
        </w:rPr>
        <w:t> grupės pacientai vartojo</w:t>
      </w:r>
      <w:r w:rsidR="00AA1D5A" w:rsidRPr="00211E3B">
        <w:rPr>
          <w:snapToGrid w:val="0"/>
          <w:sz w:val="22"/>
        </w:rPr>
        <w:t xml:space="preserve"> vieną 150</w:t>
      </w:r>
      <w:r w:rsidR="0085390D">
        <w:rPr>
          <w:snapToGrid w:val="0"/>
          <w:sz w:val="22"/>
        </w:rPr>
        <w:t> mg</w:t>
      </w:r>
      <w:r w:rsidR="00AA1D5A" w:rsidRPr="00211E3B">
        <w:rPr>
          <w:snapToGrid w:val="0"/>
          <w:sz w:val="22"/>
        </w:rPr>
        <w:t xml:space="preserve"> nintedanibo dozę prieš pirfenidono </w:t>
      </w:r>
      <w:r w:rsidRPr="00211E3B">
        <w:rPr>
          <w:snapToGrid w:val="0"/>
          <w:sz w:val="22"/>
        </w:rPr>
        <w:t>dozės laipsnišk</w:t>
      </w:r>
      <w:r w:rsidR="00F23058">
        <w:rPr>
          <w:snapToGrid w:val="0"/>
          <w:sz w:val="22"/>
        </w:rPr>
        <w:t>ą</w:t>
      </w:r>
      <w:r w:rsidRPr="00211E3B">
        <w:rPr>
          <w:snapToGrid w:val="0"/>
          <w:sz w:val="22"/>
        </w:rPr>
        <w:t xml:space="preserve"> didinimą</w:t>
      </w:r>
      <w:r w:rsidR="00AA1D5A" w:rsidRPr="00211E3B">
        <w:rPr>
          <w:snapToGrid w:val="0"/>
          <w:sz w:val="22"/>
        </w:rPr>
        <w:t xml:space="preserve"> iki 801</w:t>
      </w:r>
      <w:r w:rsidR="0085390D">
        <w:rPr>
          <w:snapToGrid w:val="0"/>
          <w:sz w:val="22"/>
        </w:rPr>
        <w:t> mg</w:t>
      </w:r>
      <w:r w:rsidR="00AA1D5A" w:rsidRPr="00211E3B">
        <w:rPr>
          <w:snapToGrid w:val="0"/>
          <w:sz w:val="22"/>
        </w:rPr>
        <w:t xml:space="preserve"> tris kartus per parą, esant pusiausv</w:t>
      </w:r>
      <w:r w:rsidRPr="00211E3B">
        <w:rPr>
          <w:snapToGrid w:val="0"/>
          <w:sz w:val="22"/>
        </w:rPr>
        <w:t>yrinei apykaitai</w:t>
      </w:r>
      <w:r w:rsidR="00AA1D5A" w:rsidRPr="00211E3B">
        <w:rPr>
          <w:snapToGrid w:val="0"/>
          <w:sz w:val="22"/>
        </w:rPr>
        <w:t xml:space="preserve"> ir po jo (gydyta</w:t>
      </w:r>
      <w:r w:rsidRPr="00211E3B">
        <w:rPr>
          <w:snapToGrid w:val="0"/>
          <w:sz w:val="22"/>
        </w:rPr>
        <w:t xml:space="preserve"> </w:t>
      </w:r>
      <w:r w:rsidR="00AA1D5A" w:rsidRPr="00211E3B">
        <w:rPr>
          <w:snapToGrid w:val="0"/>
          <w:sz w:val="22"/>
        </w:rPr>
        <w:t xml:space="preserve">N = 20 pacientų). </w:t>
      </w:r>
      <w:r w:rsidRPr="00211E3B">
        <w:rPr>
          <w:snapToGrid w:val="0"/>
          <w:sz w:val="22"/>
        </w:rPr>
        <w:t xml:space="preserve">2 grupės pacientams skirtas </w:t>
      </w:r>
      <w:r w:rsidR="00AA1D5A" w:rsidRPr="00211E3B">
        <w:rPr>
          <w:snapToGrid w:val="0"/>
          <w:sz w:val="22"/>
        </w:rPr>
        <w:t>gydym</w:t>
      </w:r>
      <w:r w:rsidRPr="00211E3B">
        <w:rPr>
          <w:snapToGrid w:val="0"/>
          <w:sz w:val="22"/>
        </w:rPr>
        <w:t>as</w:t>
      </w:r>
      <w:r w:rsidR="00AA1D5A" w:rsidRPr="00211E3B">
        <w:rPr>
          <w:snapToGrid w:val="0"/>
          <w:sz w:val="22"/>
        </w:rPr>
        <w:t xml:space="preserve"> </w:t>
      </w:r>
      <w:r w:rsidRPr="00211E3B">
        <w:rPr>
          <w:snapToGrid w:val="0"/>
          <w:sz w:val="22"/>
        </w:rPr>
        <w:t xml:space="preserve">tris kartus per parą vartojama </w:t>
      </w:r>
      <w:r w:rsidR="00AA1D5A" w:rsidRPr="00211E3B">
        <w:rPr>
          <w:snapToGrid w:val="0"/>
          <w:sz w:val="22"/>
        </w:rPr>
        <w:t>801</w:t>
      </w:r>
      <w:r w:rsidR="0085390D">
        <w:rPr>
          <w:snapToGrid w:val="0"/>
          <w:sz w:val="22"/>
        </w:rPr>
        <w:t> mg</w:t>
      </w:r>
      <w:r w:rsidR="00AA1D5A" w:rsidRPr="00211E3B">
        <w:rPr>
          <w:snapToGrid w:val="0"/>
          <w:sz w:val="22"/>
        </w:rPr>
        <w:t xml:space="preserve"> pirfenidono</w:t>
      </w:r>
      <w:r w:rsidRPr="00211E3B">
        <w:rPr>
          <w:snapToGrid w:val="0"/>
          <w:sz w:val="22"/>
        </w:rPr>
        <w:t xml:space="preserve"> doze (nusistovint pusiausvyrinei apykaitai)</w:t>
      </w:r>
      <w:r w:rsidR="00AA1D5A" w:rsidRPr="00211E3B">
        <w:rPr>
          <w:snapToGrid w:val="0"/>
          <w:sz w:val="22"/>
        </w:rPr>
        <w:t xml:space="preserve">, ir FK </w:t>
      </w:r>
      <w:r w:rsidRPr="00211E3B">
        <w:rPr>
          <w:snapToGrid w:val="0"/>
          <w:sz w:val="22"/>
        </w:rPr>
        <w:t>parametrai nustatyti</w:t>
      </w:r>
      <w:r w:rsidR="00AA1D5A" w:rsidRPr="00211E3B">
        <w:rPr>
          <w:snapToGrid w:val="0"/>
          <w:sz w:val="22"/>
        </w:rPr>
        <w:t xml:space="preserve"> prieš ne trumpesnį kaip 7</w:t>
      </w:r>
      <w:r w:rsidRPr="00211E3B">
        <w:rPr>
          <w:snapToGrid w:val="0"/>
          <w:sz w:val="22"/>
        </w:rPr>
        <w:t xml:space="preserve"> dienų vartojimą </w:t>
      </w:r>
      <w:r w:rsidR="00AA1D5A" w:rsidRPr="00211E3B">
        <w:rPr>
          <w:snapToGrid w:val="0"/>
          <w:sz w:val="22"/>
        </w:rPr>
        <w:t>kartu su</w:t>
      </w:r>
      <w:r w:rsidRPr="00211E3B">
        <w:rPr>
          <w:snapToGrid w:val="0"/>
          <w:sz w:val="22"/>
        </w:rPr>
        <w:t xml:space="preserve"> nintedanibu (</w:t>
      </w:r>
      <w:r w:rsidR="00AA1D5A" w:rsidRPr="00211E3B">
        <w:rPr>
          <w:snapToGrid w:val="0"/>
          <w:sz w:val="22"/>
        </w:rPr>
        <w:t>150</w:t>
      </w:r>
      <w:r w:rsidR="0085390D">
        <w:rPr>
          <w:snapToGrid w:val="0"/>
          <w:sz w:val="22"/>
        </w:rPr>
        <w:t> mg</w:t>
      </w:r>
      <w:r w:rsidR="00AA1D5A" w:rsidRPr="00211E3B">
        <w:rPr>
          <w:snapToGrid w:val="0"/>
          <w:sz w:val="22"/>
        </w:rPr>
        <w:t xml:space="preserve"> du kartus per parą</w:t>
      </w:r>
      <w:r w:rsidRPr="00211E3B">
        <w:rPr>
          <w:snapToGrid w:val="0"/>
          <w:sz w:val="22"/>
        </w:rPr>
        <w:t>)</w:t>
      </w:r>
      <w:r w:rsidR="00AA1D5A" w:rsidRPr="00211E3B">
        <w:rPr>
          <w:snapToGrid w:val="0"/>
          <w:sz w:val="22"/>
        </w:rPr>
        <w:t xml:space="preserve"> ir po jo (N = 17 gydytų pacientų). 1</w:t>
      </w:r>
      <w:r w:rsidRPr="00211E3B">
        <w:rPr>
          <w:snapToGrid w:val="0"/>
          <w:sz w:val="22"/>
        </w:rPr>
        <w:t> </w:t>
      </w:r>
      <w:r w:rsidR="00AA1D5A" w:rsidRPr="00211E3B">
        <w:rPr>
          <w:snapToGrid w:val="0"/>
          <w:sz w:val="22"/>
        </w:rPr>
        <w:t xml:space="preserve"> grupėje nintedanibo</w:t>
      </w:r>
      <w:r w:rsidRPr="00211E3B">
        <w:rPr>
          <w:snapToGrid w:val="0"/>
          <w:sz w:val="22"/>
        </w:rPr>
        <w:t xml:space="preserve"> </w:t>
      </w:r>
      <w:r w:rsidR="00AA1D5A" w:rsidRPr="00211E3B">
        <w:rPr>
          <w:snapToGrid w:val="0"/>
          <w:sz w:val="22"/>
        </w:rPr>
        <w:t>koreguotieji geometrini</w:t>
      </w:r>
      <w:r w:rsidRPr="00211E3B">
        <w:rPr>
          <w:snapToGrid w:val="0"/>
          <w:sz w:val="22"/>
        </w:rPr>
        <w:t>ai</w:t>
      </w:r>
      <w:r w:rsidR="00AA1D5A" w:rsidRPr="00211E3B">
        <w:rPr>
          <w:snapToGrid w:val="0"/>
          <w:sz w:val="22"/>
        </w:rPr>
        <w:t xml:space="preserve"> C</w:t>
      </w:r>
      <w:r w:rsidR="00AA1D5A" w:rsidRPr="00211E3B">
        <w:rPr>
          <w:snapToGrid w:val="0"/>
          <w:sz w:val="22"/>
          <w:vertAlign w:val="subscript"/>
        </w:rPr>
        <w:t>max</w:t>
      </w:r>
      <w:r w:rsidR="00AA1D5A" w:rsidRPr="00211E3B">
        <w:rPr>
          <w:snapToGrid w:val="0"/>
          <w:sz w:val="22"/>
        </w:rPr>
        <w:t xml:space="preserve"> ir AUC</w:t>
      </w:r>
      <w:r w:rsidR="00AA1D5A" w:rsidRPr="00211E3B">
        <w:rPr>
          <w:snapToGrid w:val="0"/>
          <w:sz w:val="22"/>
          <w:vertAlign w:val="subscript"/>
        </w:rPr>
        <w:t>0-tz</w:t>
      </w:r>
      <w:r w:rsidR="00AA1D5A" w:rsidRPr="00211E3B">
        <w:rPr>
          <w:snapToGrid w:val="0"/>
          <w:sz w:val="22"/>
        </w:rPr>
        <w:t xml:space="preserve"> </w:t>
      </w:r>
      <w:r w:rsidRPr="00211E3B">
        <w:rPr>
          <w:snapToGrid w:val="0"/>
          <w:sz w:val="22"/>
        </w:rPr>
        <w:t>rodmenų</w:t>
      </w:r>
      <w:r w:rsidR="00AA1D5A" w:rsidRPr="00211E3B">
        <w:rPr>
          <w:snapToGrid w:val="0"/>
          <w:sz w:val="22"/>
        </w:rPr>
        <w:t xml:space="preserve"> vidurkiai (90</w:t>
      </w:r>
      <w:r w:rsidR="0085390D">
        <w:rPr>
          <w:snapToGrid w:val="0"/>
          <w:sz w:val="22"/>
        </w:rPr>
        <w:t> %</w:t>
      </w:r>
      <w:r w:rsidR="00AA1D5A" w:rsidRPr="00211E3B">
        <w:rPr>
          <w:snapToGrid w:val="0"/>
          <w:sz w:val="22"/>
        </w:rPr>
        <w:t xml:space="preserve"> pasikliautinasis intervalas (PI)) buvo</w:t>
      </w:r>
      <w:r w:rsidRPr="00211E3B">
        <w:rPr>
          <w:snapToGrid w:val="0"/>
          <w:sz w:val="22"/>
        </w:rPr>
        <w:t xml:space="preserve"> </w:t>
      </w:r>
      <w:r w:rsidR="00AA1D5A" w:rsidRPr="00211E3B">
        <w:rPr>
          <w:snapToGrid w:val="0"/>
          <w:sz w:val="22"/>
        </w:rPr>
        <w:t>atitinkamai 93</w:t>
      </w:r>
      <w:r w:rsidR="0085390D">
        <w:rPr>
          <w:snapToGrid w:val="0"/>
          <w:sz w:val="22"/>
        </w:rPr>
        <w:t> %</w:t>
      </w:r>
      <w:r w:rsidR="00AA1D5A" w:rsidRPr="00211E3B">
        <w:rPr>
          <w:snapToGrid w:val="0"/>
          <w:sz w:val="22"/>
        </w:rPr>
        <w:t xml:space="preserve"> (57</w:t>
      </w:r>
      <w:r w:rsidRPr="00211E3B">
        <w:rPr>
          <w:snapToGrid w:val="0"/>
          <w:sz w:val="22"/>
        </w:rPr>
        <w:noBreakHyphen/>
      </w:r>
      <w:r w:rsidR="00AA1D5A" w:rsidRPr="00211E3B">
        <w:rPr>
          <w:snapToGrid w:val="0"/>
          <w:sz w:val="22"/>
        </w:rPr>
        <w:t>151</w:t>
      </w:r>
      <w:r w:rsidR="0085390D">
        <w:rPr>
          <w:snapToGrid w:val="0"/>
          <w:sz w:val="22"/>
        </w:rPr>
        <w:t> %</w:t>
      </w:r>
      <w:r w:rsidR="00AA1D5A" w:rsidRPr="00211E3B">
        <w:rPr>
          <w:snapToGrid w:val="0"/>
          <w:sz w:val="22"/>
        </w:rPr>
        <w:t>) ir 96</w:t>
      </w:r>
      <w:r w:rsidR="0085390D">
        <w:rPr>
          <w:snapToGrid w:val="0"/>
          <w:sz w:val="22"/>
        </w:rPr>
        <w:t> %</w:t>
      </w:r>
      <w:r w:rsidR="00AA1D5A" w:rsidRPr="00211E3B">
        <w:rPr>
          <w:snapToGrid w:val="0"/>
          <w:sz w:val="22"/>
        </w:rPr>
        <w:t xml:space="preserve"> (70</w:t>
      </w:r>
      <w:r w:rsidRPr="00211E3B">
        <w:rPr>
          <w:snapToGrid w:val="0"/>
          <w:sz w:val="22"/>
        </w:rPr>
        <w:noBreakHyphen/>
      </w:r>
      <w:r w:rsidR="00AA1D5A" w:rsidRPr="00211E3B">
        <w:rPr>
          <w:snapToGrid w:val="0"/>
          <w:sz w:val="22"/>
        </w:rPr>
        <w:t>131</w:t>
      </w:r>
      <w:r w:rsidR="0085390D">
        <w:rPr>
          <w:snapToGrid w:val="0"/>
          <w:sz w:val="22"/>
        </w:rPr>
        <w:t> %</w:t>
      </w:r>
      <w:r w:rsidR="00AA1D5A" w:rsidRPr="00211E3B">
        <w:rPr>
          <w:snapToGrid w:val="0"/>
          <w:sz w:val="22"/>
        </w:rPr>
        <w:t>) (n = 12 palyginimui</w:t>
      </w:r>
      <w:r w:rsidRPr="00211E3B">
        <w:rPr>
          <w:snapToGrid w:val="0"/>
          <w:sz w:val="22"/>
        </w:rPr>
        <w:t xml:space="preserve"> to paties asmens organizme</w:t>
      </w:r>
      <w:r w:rsidR="00AA1D5A" w:rsidRPr="00211E3B">
        <w:rPr>
          <w:snapToGrid w:val="0"/>
          <w:sz w:val="22"/>
        </w:rPr>
        <w:t>).</w:t>
      </w:r>
      <w:r w:rsidRPr="00211E3B">
        <w:rPr>
          <w:snapToGrid w:val="0"/>
          <w:sz w:val="22"/>
        </w:rPr>
        <w:t xml:space="preserve"> </w:t>
      </w:r>
      <w:r w:rsidR="00AA1D5A" w:rsidRPr="00211E3B">
        <w:rPr>
          <w:snapToGrid w:val="0"/>
          <w:sz w:val="22"/>
        </w:rPr>
        <w:t>2</w:t>
      </w:r>
      <w:r w:rsidRPr="00211E3B">
        <w:rPr>
          <w:snapToGrid w:val="0"/>
          <w:sz w:val="22"/>
        </w:rPr>
        <w:t> </w:t>
      </w:r>
      <w:r w:rsidR="00AA1D5A" w:rsidRPr="00211E3B">
        <w:rPr>
          <w:snapToGrid w:val="0"/>
          <w:sz w:val="22"/>
        </w:rPr>
        <w:t>grupėje prifenidono koreguotieji geometrini</w:t>
      </w:r>
      <w:r w:rsidRPr="00211E3B">
        <w:rPr>
          <w:snapToGrid w:val="0"/>
          <w:sz w:val="22"/>
        </w:rPr>
        <w:t>ai</w:t>
      </w:r>
      <w:r w:rsidR="00AA1D5A" w:rsidRPr="00211E3B">
        <w:rPr>
          <w:snapToGrid w:val="0"/>
          <w:sz w:val="22"/>
        </w:rPr>
        <w:t xml:space="preserve"> C</w:t>
      </w:r>
      <w:r w:rsidR="00AA1D5A" w:rsidRPr="00211E3B">
        <w:rPr>
          <w:snapToGrid w:val="0"/>
          <w:sz w:val="22"/>
          <w:vertAlign w:val="subscript"/>
        </w:rPr>
        <w:t>max,ss</w:t>
      </w:r>
      <w:r w:rsidR="00AA1D5A" w:rsidRPr="00211E3B">
        <w:rPr>
          <w:snapToGrid w:val="0"/>
          <w:sz w:val="22"/>
        </w:rPr>
        <w:t xml:space="preserve"> ir AUC</w:t>
      </w:r>
      <w:r w:rsidR="00AA1D5A" w:rsidRPr="00211E3B">
        <w:rPr>
          <w:snapToGrid w:val="0"/>
          <w:sz w:val="22"/>
          <w:vertAlign w:val="subscript"/>
        </w:rPr>
        <w:t xml:space="preserve">τ,ss </w:t>
      </w:r>
      <w:r w:rsidRPr="00211E3B">
        <w:rPr>
          <w:snapToGrid w:val="0"/>
          <w:sz w:val="22"/>
        </w:rPr>
        <w:t>rodmenų</w:t>
      </w:r>
      <w:r w:rsidR="00AA1D5A" w:rsidRPr="00211E3B">
        <w:rPr>
          <w:snapToGrid w:val="0"/>
          <w:sz w:val="22"/>
        </w:rPr>
        <w:t xml:space="preserve"> vidurkiai (90</w:t>
      </w:r>
      <w:r w:rsidR="0085390D">
        <w:rPr>
          <w:snapToGrid w:val="0"/>
          <w:sz w:val="22"/>
        </w:rPr>
        <w:t> %</w:t>
      </w:r>
      <w:r w:rsidR="00AA1D5A" w:rsidRPr="00211E3B">
        <w:rPr>
          <w:snapToGrid w:val="0"/>
          <w:sz w:val="22"/>
        </w:rPr>
        <w:t xml:space="preserve"> PI)</w:t>
      </w:r>
      <w:r w:rsidRPr="00211E3B">
        <w:rPr>
          <w:snapToGrid w:val="0"/>
          <w:sz w:val="22"/>
        </w:rPr>
        <w:t xml:space="preserve"> </w:t>
      </w:r>
      <w:r w:rsidR="00AA1D5A" w:rsidRPr="00211E3B">
        <w:rPr>
          <w:snapToGrid w:val="0"/>
          <w:sz w:val="22"/>
        </w:rPr>
        <w:t>buvo atitinkamai 97</w:t>
      </w:r>
      <w:r w:rsidR="0085390D">
        <w:rPr>
          <w:snapToGrid w:val="0"/>
          <w:sz w:val="22"/>
        </w:rPr>
        <w:t> %</w:t>
      </w:r>
      <w:r w:rsidR="00AA1D5A" w:rsidRPr="00211E3B">
        <w:rPr>
          <w:snapToGrid w:val="0"/>
          <w:sz w:val="22"/>
        </w:rPr>
        <w:t xml:space="preserve"> (86</w:t>
      </w:r>
      <w:r w:rsidRPr="00211E3B">
        <w:rPr>
          <w:snapToGrid w:val="0"/>
          <w:sz w:val="22"/>
        </w:rPr>
        <w:noBreakHyphen/>
      </w:r>
      <w:r w:rsidR="00AA1D5A" w:rsidRPr="00211E3B">
        <w:rPr>
          <w:snapToGrid w:val="0"/>
          <w:sz w:val="22"/>
        </w:rPr>
        <w:t>110</w:t>
      </w:r>
      <w:r w:rsidR="0085390D">
        <w:rPr>
          <w:snapToGrid w:val="0"/>
          <w:sz w:val="22"/>
        </w:rPr>
        <w:t> %</w:t>
      </w:r>
      <w:r w:rsidR="00AA1D5A" w:rsidRPr="00211E3B">
        <w:rPr>
          <w:snapToGrid w:val="0"/>
          <w:sz w:val="22"/>
        </w:rPr>
        <w:t>) ir 95</w:t>
      </w:r>
      <w:r w:rsidR="0085390D">
        <w:rPr>
          <w:snapToGrid w:val="0"/>
          <w:sz w:val="22"/>
        </w:rPr>
        <w:t> %</w:t>
      </w:r>
      <w:r w:rsidR="00AA1D5A" w:rsidRPr="00211E3B">
        <w:rPr>
          <w:snapToGrid w:val="0"/>
          <w:sz w:val="22"/>
        </w:rPr>
        <w:t xml:space="preserve"> (86</w:t>
      </w:r>
      <w:r w:rsidRPr="00211E3B">
        <w:rPr>
          <w:snapToGrid w:val="0"/>
          <w:sz w:val="22"/>
        </w:rPr>
        <w:noBreakHyphen/>
      </w:r>
      <w:r w:rsidR="00AA1D5A" w:rsidRPr="00211E3B">
        <w:rPr>
          <w:snapToGrid w:val="0"/>
          <w:sz w:val="22"/>
        </w:rPr>
        <w:t>106</w:t>
      </w:r>
      <w:r w:rsidR="0085390D">
        <w:rPr>
          <w:snapToGrid w:val="0"/>
          <w:sz w:val="22"/>
        </w:rPr>
        <w:t> %</w:t>
      </w:r>
      <w:r w:rsidR="00AA1D5A" w:rsidRPr="00211E3B">
        <w:rPr>
          <w:snapToGrid w:val="0"/>
          <w:sz w:val="22"/>
        </w:rPr>
        <w:t xml:space="preserve">) (n = 12 </w:t>
      </w:r>
      <w:r w:rsidRPr="00211E3B">
        <w:rPr>
          <w:snapToGrid w:val="0"/>
          <w:sz w:val="22"/>
        </w:rPr>
        <w:t>palyginimui to paties asmens organizme</w:t>
      </w:r>
      <w:r w:rsidR="00AA1D5A" w:rsidRPr="00211E3B">
        <w:rPr>
          <w:snapToGrid w:val="0"/>
          <w:sz w:val="22"/>
        </w:rPr>
        <w:t>).</w:t>
      </w:r>
    </w:p>
    <w:p w14:paraId="647B606C" w14:textId="3C137277" w:rsidR="00AA1D5A" w:rsidRPr="00211E3B" w:rsidRDefault="00AA1D5A" w:rsidP="00AA1D5A">
      <w:pPr>
        <w:tabs>
          <w:tab w:val="left" w:pos="567"/>
        </w:tabs>
        <w:contextualSpacing/>
        <w:outlineLvl w:val="0"/>
        <w:rPr>
          <w:snapToGrid w:val="0"/>
          <w:sz w:val="22"/>
        </w:rPr>
      </w:pPr>
      <w:r w:rsidRPr="00211E3B">
        <w:rPr>
          <w:snapToGrid w:val="0"/>
          <w:sz w:val="22"/>
        </w:rPr>
        <w:t xml:space="preserve">Remiantis gautais rezultatais, </w:t>
      </w:r>
      <w:r w:rsidR="001B62AC" w:rsidRPr="00211E3B">
        <w:rPr>
          <w:snapToGrid w:val="0"/>
          <w:sz w:val="22"/>
        </w:rPr>
        <w:t xml:space="preserve">duomenų apie </w:t>
      </w:r>
      <w:r w:rsidRPr="00211E3B">
        <w:rPr>
          <w:snapToGrid w:val="0"/>
          <w:sz w:val="22"/>
        </w:rPr>
        <w:t>reikšming</w:t>
      </w:r>
      <w:r w:rsidR="001B62AC" w:rsidRPr="00211E3B">
        <w:rPr>
          <w:snapToGrid w:val="0"/>
          <w:sz w:val="22"/>
        </w:rPr>
        <w:t>ą</w:t>
      </w:r>
      <w:r w:rsidRPr="00211E3B">
        <w:rPr>
          <w:snapToGrid w:val="0"/>
          <w:sz w:val="22"/>
        </w:rPr>
        <w:t xml:space="preserve"> </w:t>
      </w:r>
      <w:r w:rsidR="001B62AC" w:rsidRPr="00211E3B">
        <w:rPr>
          <w:snapToGrid w:val="0"/>
          <w:sz w:val="22"/>
        </w:rPr>
        <w:t xml:space="preserve">vaistinių preparatų </w:t>
      </w:r>
      <w:r w:rsidRPr="00211E3B">
        <w:rPr>
          <w:snapToGrid w:val="0"/>
          <w:sz w:val="22"/>
        </w:rPr>
        <w:t>farmakokinetin</w:t>
      </w:r>
      <w:r w:rsidR="001B62AC" w:rsidRPr="00211E3B">
        <w:rPr>
          <w:snapToGrid w:val="0"/>
          <w:sz w:val="22"/>
        </w:rPr>
        <w:t xml:space="preserve">ę </w:t>
      </w:r>
      <w:r w:rsidRPr="00211E3B">
        <w:rPr>
          <w:snapToGrid w:val="0"/>
          <w:sz w:val="22"/>
        </w:rPr>
        <w:t>sąveik</w:t>
      </w:r>
      <w:r w:rsidR="001B62AC" w:rsidRPr="00211E3B">
        <w:rPr>
          <w:snapToGrid w:val="0"/>
          <w:sz w:val="22"/>
        </w:rPr>
        <w:t xml:space="preserve">ą kartu </w:t>
      </w:r>
      <w:r w:rsidRPr="00211E3B">
        <w:rPr>
          <w:snapToGrid w:val="0"/>
          <w:sz w:val="22"/>
        </w:rPr>
        <w:t xml:space="preserve">vartojant </w:t>
      </w:r>
      <w:r w:rsidR="001B62AC" w:rsidRPr="00211E3B">
        <w:rPr>
          <w:snapToGrid w:val="0"/>
          <w:sz w:val="22"/>
        </w:rPr>
        <w:t>nintedanibo ir pirfenidono</w:t>
      </w:r>
      <w:r w:rsidRPr="00211E3B">
        <w:rPr>
          <w:snapToGrid w:val="0"/>
          <w:sz w:val="22"/>
        </w:rPr>
        <w:t xml:space="preserve"> nėra (žr. 4.4</w:t>
      </w:r>
      <w:r w:rsidR="001B62AC" w:rsidRPr="00211E3B">
        <w:rPr>
          <w:snapToGrid w:val="0"/>
          <w:sz w:val="22"/>
        </w:rPr>
        <w:t> </w:t>
      </w:r>
      <w:r w:rsidRPr="00211E3B">
        <w:rPr>
          <w:snapToGrid w:val="0"/>
          <w:sz w:val="22"/>
        </w:rPr>
        <w:t>skyrių).</w:t>
      </w:r>
    </w:p>
    <w:p w14:paraId="412602ED" w14:textId="7AA20AEF" w:rsidR="00AA1D5A" w:rsidRPr="00211E3B" w:rsidRDefault="00AA1D5A" w:rsidP="00AA1D5A">
      <w:pPr>
        <w:tabs>
          <w:tab w:val="left" w:pos="567"/>
        </w:tabs>
        <w:contextualSpacing/>
        <w:outlineLvl w:val="0"/>
        <w:rPr>
          <w:snapToGrid w:val="0"/>
          <w:sz w:val="22"/>
        </w:rPr>
      </w:pPr>
    </w:p>
    <w:p w14:paraId="24387FB8" w14:textId="342EF53A" w:rsidR="00AA1D5A" w:rsidRPr="00211E3B" w:rsidRDefault="000D58B9" w:rsidP="00AA1D5A">
      <w:pPr>
        <w:tabs>
          <w:tab w:val="left" w:pos="567"/>
        </w:tabs>
        <w:contextualSpacing/>
        <w:outlineLvl w:val="0"/>
        <w:rPr>
          <w:i/>
          <w:iCs/>
          <w:snapToGrid w:val="0"/>
          <w:sz w:val="22"/>
        </w:rPr>
      </w:pPr>
      <w:r>
        <w:rPr>
          <w:i/>
          <w:iCs/>
          <w:snapToGrid w:val="0"/>
          <w:sz w:val="22"/>
        </w:rPr>
        <w:t>Kartu</w:t>
      </w:r>
      <w:r w:rsidR="001B62AC" w:rsidRPr="00211E3B">
        <w:rPr>
          <w:i/>
          <w:iCs/>
          <w:snapToGrid w:val="0"/>
          <w:sz w:val="22"/>
        </w:rPr>
        <w:t xml:space="preserve"> vartojamas</w:t>
      </w:r>
      <w:r w:rsidR="00AA1D5A" w:rsidRPr="00211E3B">
        <w:rPr>
          <w:i/>
          <w:iCs/>
          <w:snapToGrid w:val="0"/>
          <w:sz w:val="22"/>
        </w:rPr>
        <w:t xml:space="preserve"> bozentan</w:t>
      </w:r>
      <w:r w:rsidR="001B62AC" w:rsidRPr="00211E3B">
        <w:rPr>
          <w:i/>
          <w:iCs/>
          <w:snapToGrid w:val="0"/>
          <w:sz w:val="22"/>
        </w:rPr>
        <w:t>as</w:t>
      </w:r>
    </w:p>
    <w:p w14:paraId="76B70605" w14:textId="28B2F477" w:rsidR="00AA1D5A" w:rsidRPr="00211E3B" w:rsidRDefault="001B62AC" w:rsidP="00AA1D5A">
      <w:pPr>
        <w:tabs>
          <w:tab w:val="left" w:pos="567"/>
        </w:tabs>
        <w:contextualSpacing/>
        <w:outlineLvl w:val="0"/>
        <w:rPr>
          <w:snapToGrid w:val="0"/>
          <w:sz w:val="22"/>
        </w:rPr>
      </w:pPr>
      <w:r w:rsidRPr="00211E3B">
        <w:rPr>
          <w:snapToGrid w:val="0"/>
          <w:sz w:val="22"/>
        </w:rPr>
        <w:t xml:space="preserve">Tam skirto farmakokinetikos tyrimo metu </w:t>
      </w:r>
      <w:r w:rsidR="00E635AB" w:rsidRPr="00211E3B">
        <w:rPr>
          <w:snapToGrid w:val="0"/>
          <w:sz w:val="22"/>
        </w:rPr>
        <w:t xml:space="preserve">buvo vertinamas nintedanibo </w:t>
      </w:r>
      <w:r w:rsidR="00AA1D5A" w:rsidRPr="00211E3B">
        <w:rPr>
          <w:snapToGrid w:val="0"/>
          <w:sz w:val="22"/>
        </w:rPr>
        <w:t>vartojimas kartu su bozentanu sveikiems savanoriams.</w:t>
      </w:r>
      <w:r w:rsidR="00E635AB" w:rsidRPr="00211E3B">
        <w:rPr>
          <w:snapToGrid w:val="0"/>
          <w:sz w:val="22"/>
        </w:rPr>
        <w:t xml:space="preserve"> </w:t>
      </w:r>
      <w:r w:rsidR="00AA1D5A" w:rsidRPr="00211E3B">
        <w:rPr>
          <w:snapToGrid w:val="0"/>
          <w:sz w:val="22"/>
        </w:rPr>
        <w:t xml:space="preserve">Tiriamieji </w:t>
      </w:r>
      <w:r w:rsidR="00E635AB" w:rsidRPr="00211E3B">
        <w:rPr>
          <w:snapToGrid w:val="0"/>
          <w:sz w:val="22"/>
        </w:rPr>
        <w:t>vartojo</w:t>
      </w:r>
      <w:r w:rsidR="00AA1D5A" w:rsidRPr="00211E3B">
        <w:rPr>
          <w:snapToGrid w:val="0"/>
          <w:sz w:val="22"/>
        </w:rPr>
        <w:t xml:space="preserve"> vieną 150</w:t>
      </w:r>
      <w:r w:rsidR="0085390D">
        <w:rPr>
          <w:snapToGrid w:val="0"/>
          <w:sz w:val="22"/>
        </w:rPr>
        <w:t> mg</w:t>
      </w:r>
      <w:r w:rsidR="00AA1D5A" w:rsidRPr="00211E3B">
        <w:rPr>
          <w:snapToGrid w:val="0"/>
          <w:sz w:val="22"/>
        </w:rPr>
        <w:t xml:space="preserve"> </w:t>
      </w:r>
      <w:r w:rsidR="00E635AB" w:rsidRPr="00211E3B">
        <w:rPr>
          <w:snapToGrid w:val="0"/>
          <w:sz w:val="22"/>
        </w:rPr>
        <w:t xml:space="preserve">nintedanibo </w:t>
      </w:r>
      <w:r w:rsidR="00AA1D5A" w:rsidRPr="00211E3B">
        <w:rPr>
          <w:snapToGrid w:val="0"/>
          <w:sz w:val="22"/>
        </w:rPr>
        <w:t xml:space="preserve">dozę prieš bozentano </w:t>
      </w:r>
      <w:r w:rsidR="00E635AB" w:rsidRPr="00211E3B">
        <w:rPr>
          <w:snapToGrid w:val="0"/>
          <w:sz w:val="22"/>
        </w:rPr>
        <w:t xml:space="preserve">du kartus per parą vartojamų </w:t>
      </w:r>
      <w:r w:rsidR="00AA1D5A" w:rsidRPr="00211E3B">
        <w:rPr>
          <w:snapToGrid w:val="0"/>
          <w:sz w:val="22"/>
        </w:rPr>
        <w:t>125</w:t>
      </w:r>
      <w:r w:rsidR="0085390D">
        <w:rPr>
          <w:snapToGrid w:val="0"/>
          <w:sz w:val="22"/>
        </w:rPr>
        <w:t> mg</w:t>
      </w:r>
      <w:r w:rsidR="00AA1D5A" w:rsidRPr="00211E3B">
        <w:rPr>
          <w:snapToGrid w:val="0"/>
          <w:sz w:val="22"/>
        </w:rPr>
        <w:t xml:space="preserve"> kartotinių dozių</w:t>
      </w:r>
      <w:r w:rsidR="00E635AB" w:rsidRPr="00211E3B">
        <w:rPr>
          <w:snapToGrid w:val="0"/>
          <w:sz w:val="22"/>
        </w:rPr>
        <w:t xml:space="preserve"> skyrimą ir po jo (</w:t>
      </w:r>
      <w:r w:rsidR="00AA1D5A" w:rsidRPr="00211E3B">
        <w:rPr>
          <w:snapToGrid w:val="0"/>
          <w:sz w:val="22"/>
        </w:rPr>
        <w:t>nusistovėjus pusiausvyrin</w:t>
      </w:r>
      <w:r w:rsidR="00E635AB" w:rsidRPr="00211E3B">
        <w:rPr>
          <w:snapToGrid w:val="0"/>
          <w:sz w:val="22"/>
        </w:rPr>
        <w:t>ei</w:t>
      </w:r>
      <w:r w:rsidR="00AA1D5A" w:rsidRPr="00211E3B">
        <w:rPr>
          <w:snapToGrid w:val="0"/>
          <w:sz w:val="22"/>
        </w:rPr>
        <w:t xml:space="preserve"> </w:t>
      </w:r>
      <w:r w:rsidR="00E635AB" w:rsidRPr="00211E3B">
        <w:rPr>
          <w:snapToGrid w:val="0"/>
          <w:sz w:val="22"/>
        </w:rPr>
        <w:t>apykaitai)</w:t>
      </w:r>
      <w:r w:rsidR="00AA1D5A" w:rsidRPr="00211E3B">
        <w:rPr>
          <w:snapToGrid w:val="0"/>
          <w:sz w:val="22"/>
        </w:rPr>
        <w:t>. Nintedanibo</w:t>
      </w:r>
      <w:r w:rsidR="00E635AB" w:rsidRPr="00211E3B">
        <w:rPr>
          <w:snapToGrid w:val="0"/>
          <w:sz w:val="22"/>
        </w:rPr>
        <w:t xml:space="preserve"> </w:t>
      </w:r>
      <w:r w:rsidR="00AA1D5A" w:rsidRPr="00211E3B">
        <w:rPr>
          <w:snapToGrid w:val="0"/>
          <w:sz w:val="22"/>
        </w:rPr>
        <w:t>koreguotieji geometrini</w:t>
      </w:r>
      <w:r w:rsidR="00E635AB" w:rsidRPr="00211E3B">
        <w:rPr>
          <w:snapToGrid w:val="0"/>
          <w:sz w:val="22"/>
        </w:rPr>
        <w:t>ai</w:t>
      </w:r>
      <w:r w:rsidR="00AA1D5A" w:rsidRPr="00211E3B">
        <w:rPr>
          <w:snapToGrid w:val="0"/>
          <w:sz w:val="22"/>
        </w:rPr>
        <w:t xml:space="preserve"> C</w:t>
      </w:r>
      <w:r w:rsidR="00AA1D5A" w:rsidRPr="00211E3B">
        <w:rPr>
          <w:snapToGrid w:val="0"/>
          <w:sz w:val="22"/>
          <w:vertAlign w:val="subscript"/>
        </w:rPr>
        <w:t>max</w:t>
      </w:r>
      <w:r w:rsidR="00AA1D5A" w:rsidRPr="00211E3B">
        <w:rPr>
          <w:snapToGrid w:val="0"/>
          <w:sz w:val="22"/>
        </w:rPr>
        <w:t xml:space="preserve"> ir AUC</w:t>
      </w:r>
      <w:r w:rsidR="00AA1D5A" w:rsidRPr="00211E3B">
        <w:rPr>
          <w:snapToGrid w:val="0"/>
          <w:sz w:val="22"/>
          <w:vertAlign w:val="subscript"/>
        </w:rPr>
        <w:t>0-tz</w:t>
      </w:r>
      <w:r w:rsidR="00AA1D5A" w:rsidRPr="00211E3B">
        <w:rPr>
          <w:snapToGrid w:val="0"/>
          <w:sz w:val="22"/>
        </w:rPr>
        <w:t xml:space="preserve"> </w:t>
      </w:r>
      <w:r w:rsidR="00E635AB" w:rsidRPr="00211E3B">
        <w:rPr>
          <w:snapToGrid w:val="0"/>
          <w:sz w:val="22"/>
        </w:rPr>
        <w:t>rodmenų</w:t>
      </w:r>
      <w:r w:rsidR="00AA1D5A" w:rsidRPr="00211E3B">
        <w:rPr>
          <w:snapToGrid w:val="0"/>
          <w:sz w:val="22"/>
        </w:rPr>
        <w:t xml:space="preserve"> vidurkiai (90</w:t>
      </w:r>
      <w:r w:rsidR="0085390D">
        <w:rPr>
          <w:snapToGrid w:val="0"/>
          <w:sz w:val="22"/>
        </w:rPr>
        <w:t> %</w:t>
      </w:r>
      <w:r w:rsidR="00AA1D5A" w:rsidRPr="00211E3B">
        <w:rPr>
          <w:snapToGrid w:val="0"/>
          <w:sz w:val="22"/>
        </w:rPr>
        <w:t xml:space="preserve"> pasikliautinasis intervalas (PI)) buvo</w:t>
      </w:r>
      <w:r w:rsidR="00E635AB" w:rsidRPr="00211E3B">
        <w:rPr>
          <w:snapToGrid w:val="0"/>
          <w:sz w:val="22"/>
        </w:rPr>
        <w:t xml:space="preserve"> </w:t>
      </w:r>
      <w:r w:rsidR="00AA1D5A" w:rsidRPr="00211E3B">
        <w:rPr>
          <w:snapToGrid w:val="0"/>
          <w:sz w:val="22"/>
        </w:rPr>
        <w:t>atitinkamai 103</w:t>
      </w:r>
      <w:r w:rsidR="0085390D">
        <w:rPr>
          <w:snapToGrid w:val="0"/>
          <w:sz w:val="22"/>
        </w:rPr>
        <w:t> %</w:t>
      </w:r>
      <w:r w:rsidR="00AA1D5A" w:rsidRPr="00211E3B">
        <w:rPr>
          <w:snapToGrid w:val="0"/>
          <w:sz w:val="22"/>
        </w:rPr>
        <w:t xml:space="preserve"> (86</w:t>
      </w:r>
      <w:r w:rsidR="00E635AB" w:rsidRPr="00211E3B">
        <w:rPr>
          <w:snapToGrid w:val="0"/>
          <w:sz w:val="22"/>
        </w:rPr>
        <w:noBreakHyphen/>
        <w:t>1</w:t>
      </w:r>
      <w:r w:rsidR="00AA1D5A" w:rsidRPr="00211E3B">
        <w:rPr>
          <w:snapToGrid w:val="0"/>
          <w:sz w:val="22"/>
        </w:rPr>
        <w:t>24</w:t>
      </w:r>
      <w:r w:rsidR="0085390D">
        <w:rPr>
          <w:snapToGrid w:val="0"/>
          <w:sz w:val="22"/>
        </w:rPr>
        <w:t> %</w:t>
      </w:r>
      <w:r w:rsidR="00AA1D5A" w:rsidRPr="00211E3B">
        <w:rPr>
          <w:snapToGrid w:val="0"/>
          <w:sz w:val="22"/>
        </w:rPr>
        <w:t>) ir 99</w:t>
      </w:r>
      <w:r w:rsidR="0085390D">
        <w:rPr>
          <w:snapToGrid w:val="0"/>
          <w:sz w:val="22"/>
        </w:rPr>
        <w:t> %</w:t>
      </w:r>
      <w:r w:rsidR="00AA1D5A" w:rsidRPr="00211E3B">
        <w:rPr>
          <w:snapToGrid w:val="0"/>
          <w:sz w:val="22"/>
        </w:rPr>
        <w:t xml:space="preserve"> (91</w:t>
      </w:r>
      <w:r w:rsidR="00E635AB" w:rsidRPr="00211E3B">
        <w:rPr>
          <w:snapToGrid w:val="0"/>
          <w:sz w:val="22"/>
        </w:rPr>
        <w:noBreakHyphen/>
      </w:r>
      <w:r w:rsidR="00AA1D5A" w:rsidRPr="00211E3B">
        <w:rPr>
          <w:snapToGrid w:val="0"/>
          <w:sz w:val="22"/>
        </w:rPr>
        <w:t>107</w:t>
      </w:r>
      <w:r w:rsidR="0085390D">
        <w:rPr>
          <w:snapToGrid w:val="0"/>
          <w:sz w:val="22"/>
        </w:rPr>
        <w:t> %</w:t>
      </w:r>
      <w:r w:rsidR="00AA1D5A" w:rsidRPr="00211E3B">
        <w:rPr>
          <w:snapToGrid w:val="0"/>
          <w:sz w:val="22"/>
        </w:rPr>
        <w:t xml:space="preserve">) (n = 13); tai rodo, kad </w:t>
      </w:r>
      <w:r w:rsidR="00E635AB" w:rsidRPr="00211E3B">
        <w:rPr>
          <w:snapToGrid w:val="0"/>
          <w:sz w:val="22"/>
        </w:rPr>
        <w:t xml:space="preserve">kartu su bozentanu vartojamo </w:t>
      </w:r>
      <w:r w:rsidR="00AA1D5A" w:rsidRPr="00211E3B">
        <w:rPr>
          <w:snapToGrid w:val="0"/>
          <w:sz w:val="22"/>
        </w:rPr>
        <w:t>nintedanib</w:t>
      </w:r>
      <w:r w:rsidR="00E635AB" w:rsidRPr="00211E3B">
        <w:rPr>
          <w:snapToGrid w:val="0"/>
          <w:sz w:val="22"/>
        </w:rPr>
        <w:t>o</w:t>
      </w:r>
      <w:r w:rsidR="00AA1D5A" w:rsidRPr="00211E3B">
        <w:rPr>
          <w:snapToGrid w:val="0"/>
          <w:sz w:val="22"/>
        </w:rPr>
        <w:t xml:space="preserve"> farmakokinetika nepakito. </w:t>
      </w:r>
    </w:p>
    <w:p w14:paraId="45FC269A" w14:textId="77777777" w:rsidR="00AA1D5A" w:rsidRPr="00211E3B" w:rsidRDefault="00AA1D5A" w:rsidP="00AA1D5A">
      <w:pPr>
        <w:tabs>
          <w:tab w:val="left" w:pos="567"/>
        </w:tabs>
        <w:contextualSpacing/>
        <w:outlineLvl w:val="0"/>
        <w:rPr>
          <w:i/>
          <w:iCs/>
          <w:snapToGrid w:val="0"/>
          <w:sz w:val="22"/>
        </w:rPr>
      </w:pPr>
    </w:p>
    <w:p w14:paraId="72154C73" w14:textId="088272F6" w:rsidR="00AC48E9" w:rsidRPr="00211E3B" w:rsidRDefault="000D58B9" w:rsidP="00AA1D5A">
      <w:pPr>
        <w:tabs>
          <w:tab w:val="left" w:pos="567"/>
        </w:tabs>
        <w:contextualSpacing/>
        <w:outlineLvl w:val="0"/>
        <w:rPr>
          <w:i/>
          <w:iCs/>
          <w:snapToGrid w:val="0"/>
          <w:sz w:val="22"/>
        </w:rPr>
      </w:pPr>
      <w:r>
        <w:rPr>
          <w:i/>
          <w:iCs/>
          <w:snapToGrid w:val="0"/>
          <w:sz w:val="22"/>
        </w:rPr>
        <w:t>Kartu</w:t>
      </w:r>
      <w:r w:rsidR="00C51535" w:rsidRPr="00211E3B">
        <w:rPr>
          <w:i/>
          <w:iCs/>
          <w:snapToGrid w:val="0"/>
          <w:sz w:val="22"/>
        </w:rPr>
        <w:t xml:space="preserve"> vartojami</w:t>
      </w:r>
      <w:r w:rsidR="00AC48E9" w:rsidRPr="00211E3B">
        <w:rPr>
          <w:i/>
          <w:iCs/>
          <w:snapToGrid w:val="0"/>
          <w:sz w:val="22"/>
        </w:rPr>
        <w:t xml:space="preserve"> geriam</w:t>
      </w:r>
      <w:r w:rsidR="00C51535" w:rsidRPr="00211E3B">
        <w:rPr>
          <w:i/>
          <w:iCs/>
          <w:snapToGrid w:val="0"/>
          <w:sz w:val="22"/>
        </w:rPr>
        <w:t>ieji</w:t>
      </w:r>
      <w:r w:rsidR="00AC48E9" w:rsidRPr="00211E3B">
        <w:rPr>
          <w:i/>
          <w:iCs/>
          <w:snapToGrid w:val="0"/>
          <w:sz w:val="22"/>
        </w:rPr>
        <w:t xml:space="preserve"> hormoniniai kontraceptikai</w:t>
      </w:r>
    </w:p>
    <w:p w14:paraId="0F528FCE" w14:textId="3DB4B288" w:rsidR="005D554B" w:rsidRPr="00211E3B" w:rsidRDefault="0045728B" w:rsidP="00AC48E9">
      <w:pPr>
        <w:tabs>
          <w:tab w:val="left" w:pos="567"/>
        </w:tabs>
        <w:contextualSpacing/>
        <w:outlineLvl w:val="0"/>
        <w:rPr>
          <w:snapToGrid w:val="0"/>
          <w:sz w:val="22"/>
        </w:rPr>
      </w:pPr>
      <w:r w:rsidRPr="00211E3B">
        <w:rPr>
          <w:snapToGrid w:val="0"/>
          <w:sz w:val="22"/>
        </w:rPr>
        <w:t>Tam skirt</w:t>
      </w:r>
      <w:r w:rsidR="00580308" w:rsidRPr="00211E3B">
        <w:rPr>
          <w:snapToGrid w:val="0"/>
          <w:sz w:val="22"/>
        </w:rPr>
        <w:t>o</w:t>
      </w:r>
      <w:r w:rsidRPr="00211E3B">
        <w:rPr>
          <w:snapToGrid w:val="0"/>
          <w:sz w:val="22"/>
        </w:rPr>
        <w:t xml:space="preserve"> </w:t>
      </w:r>
      <w:r w:rsidR="00AC48E9" w:rsidRPr="00211E3B">
        <w:rPr>
          <w:snapToGrid w:val="0"/>
          <w:sz w:val="22"/>
        </w:rPr>
        <w:t xml:space="preserve">farmakokinetikos tyrimo metu </w:t>
      </w:r>
      <w:r w:rsidRPr="00211E3B">
        <w:rPr>
          <w:snapToGrid w:val="0"/>
          <w:sz w:val="22"/>
        </w:rPr>
        <w:t>su sklerodermija susijusia intersticine plaučių liga (SS-IPL) sergančioms pacientėms</w:t>
      </w:r>
      <w:r w:rsidR="00957502" w:rsidRPr="00211E3B">
        <w:rPr>
          <w:snapToGrid w:val="0"/>
          <w:sz w:val="22"/>
        </w:rPr>
        <w:t xml:space="preserve"> vienkartinė 30 µg etinilestradiolio ir 150 µg levonorgestrelio derinio dozė</w:t>
      </w:r>
      <w:r w:rsidRPr="00211E3B">
        <w:rPr>
          <w:snapToGrid w:val="0"/>
          <w:sz w:val="22"/>
        </w:rPr>
        <w:t xml:space="preserve"> buvo </w:t>
      </w:r>
      <w:r w:rsidR="00580308" w:rsidRPr="00211E3B">
        <w:rPr>
          <w:snapToGrid w:val="0"/>
          <w:sz w:val="22"/>
        </w:rPr>
        <w:t xml:space="preserve">skiriama </w:t>
      </w:r>
      <w:r w:rsidR="00AC48E9" w:rsidRPr="00211E3B">
        <w:rPr>
          <w:snapToGrid w:val="0"/>
          <w:sz w:val="22"/>
        </w:rPr>
        <w:t xml:space="preserve">prieš </w:t>
      </w:r>
      <w:r w:rsidR="00957502" w:rsidRPr="00211E3B">
        <w:rPr>
          <w:snapToGrid w:val="0"/>
          <w:sz w:val="22"/>
        </w:rPr>
        <w:t>150</w:t>
      </w:r>
      <w:r w:rsidR="0085390D">
        <w:rPr>
          <w:snapToGrid w:val="0"/>
          <w:sz w:val="22"/>
        </w:rPr>
        <w:t> mg</w:t>
      </w:r>
      <w:r w:rsidR="00957502" w:rsidRPr="00211E3B">
        <w:rPr>
          <w:snapToGrid w:val="0"/>
          <w:sz w:val="22"/>
        </w:rPr>
        <w:t xml:space="preserve"> nintedanibo dozės vartojimą du kartus per parą </w:t>
      </w:r>
      <w:r w:rsidR="00AC48E9" w:rsidRPr="00211E3B">
        <w:rPr>
          <w:snapToGrid w:val="0"/>
          <w:sz w:val="22"/>
        </w:rPr>
        <w:t>bent 10</w:t>
      </w:r>
      <w:r w:rsidR="00957502" w:rsidRPr="00211E3B">
        <w:rPr>
          <w:snapToGrid w:val="0"/>
          <w:sz w:val="22"/>
        </w:rPr>
        <w:t> </w:t>
      </w:r>
      <w:r w:rsidR="00AC48E9" w:rsidRPr="00211E3B">
        <w:rPr>
          <w:snapToGrid w:val="0"/>
          <w:sz w:val="22"/>
        </w:rPr>
        <w:t xml:space="preserve">dienų </w:t>
      </w:r>
      <w:r w:rsidR="00957502" w:rsidRPr="00211E3B">
        <w:rPr>
          <w:snapToGrid w:val="0"/>
          <w:sz w:val="22"/>
        </w:rPr>
        <w:t>ir po jo</w:t>
      </w:r>
      <w:r w:rsidR="00AC48E9" w:rsidRPr="00211E3B">
        <w:rPr>
          <w:snapToGrid w:val="0"/>
          <w:sz w:val="22"/>
        </w:rPr>
        <w:t xml:space="preserve">. </w:t>
      </w:r>
      <w:r w:rsidR="00957502" w:rsidRPr="00211E3B">
        <w:rPr>
          <w:snapToGrid w:val="0"/>
          <w:sz w:val="22"/>
        </w:rPr>
        <w:t>K</w:t>
      </w:r>
      <w:r w:rsidR="00AC48E9" w:rsidRPr="00211E3B">
        <w:rPr>
          <w:snapToGrid w:val="0"/>
          <w:sz w:val="22"/>
        </w:rPr>
        <w:t>oreguot</w:t>
      </w:r>
      <w:r w:rsidR="00957502" w:rsidRPr="00211E3B">
        <w:rPr>
          <w:snapToGrid w:val="0"/>
          <w:sz w:val="22"/>
        </w:rPr>
        <w:t>as</w:t>
      </w:r>
      <w:r w:rsidR="00AC48E9" w:rsidRPr="00211E3B">
        <w:rPr>
          <w:snapToGrid w:val="0"/>
          <w:sz w:val="22"/>
        </w:rPr>
        <w:t xml:space="preserve"> geometrini</w:t>
      </w:r>
      <w:r w:rsidR="00957502" w:rsidRPr="00211E3B">
        <w:rPr>
          <w:snapToGrid w:val="0"/>
          <w:sz w:val="22"/>
        </w:rPr>
        <w:t>o</w:t>
      </w:r>
      <w:r w:rsidR="005F08FC" w:rsidRPr="00211E3B">
        <w:rPr>
          <w:snapToGrid w:val="0"/>
          <w:sz w:val="22"/>
        </w:rPr>
        <w:t xml:space="preserve"> </w:t>
      </w:r>
      <w:r w:rsidR="00AC48E9" w:rsidRPr="00211E3B">
        <w:rPr>
          <w:snapToGrid w:val="0"/>
          <w:sz w:val="22"/>
        </w:rPr>
        <w:t>vidurki</w:t>
      </w:r>
      <w:r w:rsidR="00957502" w:rsidRPr="00211E3B">
        <w:rPr>
          <w:snapToGrid w:val="0"/>
          <w:sz w:val="22"/>
        </w:rPr>
        <w:t xml:space="preserve">o santykis </w:t>
      </w:r>
      <w:r w:rsidR="00AC48E9" w:rsidRPr="00211E3B">
        <w:rPr>
          <w:snapToGrid w:val="0"/>
          <w:sz w:val="22"/>
        </w:rPr>
        <w:t>(90</w:t>
      </w:r>
      <w:r w:rsidR="0085390D">
        <w:rPr>
          <w:snapToGrid w:val="0"/>
          <w:sz w:val="22"/>
        </w:rPr>
        <w:t> %</w:t>
      </w:r>
      <w:r w:rsidR="00AC48E9" w:rsidRPr="00211E3B">
        <w:rPr>
          <w:snapToGrid w:val="0"/>
          <w:sz w:val="22"/>
        </w:rPr>
        <w:t xml:space="preserve"> pasikliautinasis intervalas (PI)) buvo </w:t>
      </w:r>
      <w:r w:rsidR="00957502" w:rsidRPr="00211E3B">
        <w:rPr>
          <w:snapToGrid w:val="0"/>
          <w:sz w:val="22"/>
        </w:rPr>
        <w:t xml:space="preserve">atitinkamai </w:t>
      </w:r>
      <w:r w:rsidR="00AC48E9" w:rsidRPr="00211E3B">
        <w:rPr>
          <w:snapToGrid w:val="0"/>
          <w:sz w:val="22"/>
        </w:rPr>
        <w:t>117</w:t>
      </w:r>
      <w:r w:rsidR="0085390D">
        <w:rPr>
          <w:snapToGrid w:val="0"/>
          <w:sz w:val="22"/>
        </w:rPr>
        <w:t> %</w:t>
      </w:r>
      <w:r w:rsidR="00AC48E9" w:rsidRPr="00211E3B">
        <w:rPr>
          <w:snapToGrid w:val="0"/>
          <w:sz w:val="22"/>
        </w:rPr>
        <w:t xml:space="preserve"> (108</w:t>
      </w:r>
      <w:r w:rsidR="00957502" w:rsidRPr="00211E3B">
        <w:rPr>
          <w:snapToGrid w:val="0"/>
          <w:sz w:val="22"/>
        </w:rPr>
        <w:noBreakHyphen/>
      </w:r>
      <w:r w:rsidR="00AC48E9" w:rsidRPr="00211E3B">
        <w:rPr>
          <w:snapToGrid w:val="0"/>
          <w:sz w:val="22"/>
        </w:rPr>
        <w:t>127</w:t>
      </w:r>
      <w:r w:rsidR="0085390D">
        <w:rPr>
          <w:snapToGrid w:val="0"/>
          <w:sz w:val="22"/>
        </w:rPr>
        <w:t> %</w:t>
      </w:r>
      <w:r w:rsidR="00AC48E9" w:rsidRPr="00211E3B">
        <w:rPr>
          <w:snapToGrid w:val="0"/>
          <w:sz w:val="22"/>
        </w:rPr>
        <w:t>; C</w:t>
      </w:r>
      <w:r w:rsidR="00AC48E9" w:rsidRPr="00211E3B">
        <w:rPr>
          <w:snapToGrid w:val="0"/>
          <w:sz w:val="22"/>
          <w:vertAlign w:val="subscript"/>
        </w:rPr>
        <w:t>max</w:t>
      </w:r>
      <w:r w:rsidR="00AC48E9" w:rsidRPr="00211E3B">
        <w:rPr>
          <w:snapToGrid w:val="0"/>
          <w:sz w:val="22"/>
        </w:rPr>
        <w:t>) ir 101</w:t>
      </w:r>
      <w:r w:rsidR="0085390D">
        <w:rPr>
          <w:snapToGrid w:val="0"/>
          <w:sz w:val="22"/>
        </w:rPr>
        <w:t> %</w:t>
      </w:r>
      <w:r w:rsidR="005F08FC" w:rsidRPr="00211E3B">
        <w:rPr>
          <w:snapToGrid w:val="0"/>
          <w:sz w:val="22"/>
        </w:rPr>
        <w:t xml:space="preserve"> </w:t>
      </w:r>
      <w:r w:rsidR="00AC48E9" w:rsidRPr="00211E3B">
        <w:rPr>
          <w:snapToGrid w:val="0"/>
          <w:sz w:val="22"/>
        </w:rPr>
        <w:t>(93</w:t>
      </w:r>
      <w:r w:rsidR="00957502" w:rsidRPr="00211E3B">
        <w:rPr>
          <w:snapToGrid w:val="0"/>
          <w:sz w:val="22"/>
        </w:rPr>
        <w:noBreakHyphen/>
      </w:r>
      <w:r w:rsidR="00AC48E9" w:rsidRPr="00211E3B">
        <w:rPr>
          <w:snapToGrid w:val="0"/>
          <w:sz w:val="22"/>
        </w:rPr>
        <w:t>111</w:t>
      </w:r>
      <w:r w:rsidR="0085390D">
        <w:rPr>
          <w:snapToGrid w:val="0"/>
          <w:sz w:val="22"/>
        </w:rPr>
        <w:t> %</w:t>
      </w:r>
      <w:r w:rsidR="00AC48E9" w:rsidRPr="00211E3B">
        <w:rPr>
          <w:snapToGrid w:val="0"/>
          <w:sz w:val="22"/>
        </w:rPr>
        <w:t>; AUC</w:t>
      </w:r>
      <w:r w:rsidR="00AC48E9" w:rsidRPr="00211E3B">
        <w:rPr>
          <w:snapToGrid w:val="0"/>
          <w:sz w:val="22"/>
          <w:vertAlign w:val="subscript"/>
        </w:rPr>
        <w:t>0-tz</w:t>
      </w:r>
      <w:r w:rsidR="00AC48E9" w:rsidRPr="00211E3B">
        <w:rPr>
          <w:snapToGrid w:val="0"/>
          <w:sz w:val="22"/>
        </w:rPr>
        <w:t>)</w:t>
      </w:r>
      <w:r w:rsidR="00957502" w:rsidRPr="00211E3B">
        <w:rPr>
          <w:snapToGrid w:val="0"/>
          <w:sz w:val="22"/>
        </w:rPr>
        <w:t xml:space="preserve"> etinilestradioliui bei </w:t>
      </w:r>
      <w:r w:rsidR="00AC48E9" w:rsidRPr="00211E3B">
        <w:rPr>
          <w:snapToGrid w:val="0"/>
          <w:sz w:val="22"/>
        </w:rPr>
        <w:t>101</w:t>
      </w:r>
      <w:r w:rsidR="0085390D">
        <w:rPr>
          <w:snapToGrid w:val="0"/>
          <w:sz w:val="22"/>
        </w:rPr>
        <w:t> %</w:t>
      </w:r>
      <w:r w:rsidR="00AC48E9" w:rsidRPr="00211E3B">
        <w:rPr>
          <w:snapToGrid w:val="0"/>
          <w:sz w:val="22"/>
        </w:rPr>
        <w:t xml:space="preserve"> (90</w:t>
      </w:r>
      <w:r w:rsidR="00957502" w:rsidRPr="00211E3B">
        <w:rPr>
          <w:snapToGrid w:val="0"/>
          <w:sz w:val="22"/>
        </w:rPr>
        <w:noBreakHyphen/>
      </w:r>
      <w:r w:rsidR="00AC48E9" w:rsidRPr="00211E3B">
        <w:rPr>
          <w:snapToGrid w:val="0"/>
          <w:sz w:val="22"/>
        </w:rPr>
        <w:t>113</w:t>
      </w:r>
      <w:r w:rsidR="0085390D">
        <w:rPr>
          <w:snapToGrid w:val="0"/>
          <w:sz w:val="22"/>
        </w:rPr>
        <w:t> %</w:t>
      </w:r>
      <w:r w:rsidR="00AC48E9" w:rsidRPr="00211E3B">
        <w:rPr>
          <w:snapToGrid w:val="0"/>
          <w:sz w:val="22"/>
        </w:rPr>
        <w:t>; C</w:t>
      </w:r>
      <w:r w:rsidR="00AC48E9" w:rsidRPr="00211E3B">
        <w:rPr>
          <w:snapToGrid w:val="0"/>
          <w:sz w:val="22"/>
          <w:vertAlign w:val="subscript"/>
        </w:rPr>
        <w:t>max</w:t>
      </w:r>
      <w:r w:rsidR="00AC48E9" w:rsidRPr="00211E3B">
        <w:rPr>
          <w:snapToGrid w:val="0"/>
          <w:sz w:val="22"/>
        </w:rPr>
        <w:t xml:space="preserve">) </w:t>
      </w:r>
      <w:r w:rsidR="00AC48E9" w:rsidRPr="00211E3B">
        <w:rPr>
          <w:snapToGrid w:val="0"/>
          <w:sz w:val="22"/>
        </w:rPr>
        <w:lastRenderedPageBreak/>
        <w:t>ir 96</w:t>
      </w:r>
      <w:r w:rsidR="0085390D">
        <w:rPr>
          <w:snapToGrid w:val="0"/>
          <w:sz w:val="22"/>
        </w:rPr>
        <w:t> %</w:t>
      </w:r>
      <w:r w:rsidR="005F08FC" w:rsidRPr="00211E3B">
        <w:rPr>
          <w:snapToGrid w:val="0"/>
          <w:sz w:val="22"/>
        </w:rPr>
        <w:t xml:space="preserve"> </w:t>
      </w:r>
      <w:r w:rsidR="00AC48E9" w:rsidRPr="00211E3B">
        <w:rPr>
          <w:snapToGrid w:val="0"/>
          <w:sz w:val="22"/>
        </w:rPr>
        <w:t>(91</w:t>
      </w:r>
      <w:r w:rsidR="00957502" w:rsidRPr="00211E3B">
        <w:rPr>
          <w:snapToGrid w:val="0"/>
          <w:sz w:val="22"/>
        </w:rPr>
        <w:noBreakHyphen/>
      </w:r>
      <w:r w:rsidR="00AC48E9" w:rsidRPr="00211E3B">
        <w:rPr>
          <w:snapToGrid w:val="0"/>
          <w:sz w:val="22"/>
        </w:rPr>
        <w:t>102</w:t>
      </w:r>
      <w:r w:rsidR="0085390D">
        <w:rPr>
          <w:snapToGrid w:val="0"/>
          <w:sz w:val="22"/>
        </w:rPr>
        <w:t> %</w:t>
      </w:r>
      <w:r w:rsidR="00AC48E9" w:rsidRPr="00211E3B">
        <w:rPr>
          <w:snapToGrid w:val="0"/>
          <w:sz w:val="22"/>
        </w:rPr>
        <w:t>; AUC</w:t>
      </w:r>
      <w:r w:rsidR="00AC48E9" w:rsidRPr="00211E3B">
        <w:rPr>
          <w:snapToGrid w:val="0"/>
          <w:sz w:val="22"/>
          <w:vertAlign w:val="subscript"/>
        </w:rPr>
        <w:t>0-tz</w:t>
      </w:r>
      <w:r w:rsidR="00AC48E9" w:rsidRPr="00211E3B">
        <w:rPr>
          <w:snapToGrid w:val="0"/>
          <w:sz w:val="22"/>
        </w:rPr>
        <w:t xml:space="preserve">) </w:t>
      </w:r>
      <w:r w:rsidR="00957502" w:rsidRPr="00211E3B">
        <w:rPr>
          <w:snapToGrid w:val="0"/>
          <w:sz w:val="22"/>
        </w:rPr>
        <w:t xml:space="preserve">levonorgestreliui </w:t>
      </w:r>
      <w:r w:rsidR="00AC48E9" w:rsidRPr="00211E3B">
        <w:rPr>
          <w:snapToGrid w:val="0"/>
          <w:sz w:val="22"/>
        </w:rPr>
        <w:t>(n = 15)</w:t>
      </w:r>
      <w:r w:rsidR="005946B3">
        <w:rPr>
          <w:snapToGrid w:val="0"/>
          <w:sz w:val="22"/>
        </w:rPr>
        <w:t>;</w:t>
      </w:r>
      <w:r w:rsidR="00AC48E9" w:rsidRPr="00211E3B">
        <w:rPr>
          <w:snapToGrid w:val="0"/>
          <w:sz w:val="22"/>
        </w:rPr>
        <w:t xml:space="preserve"> ir tai rodo, kad kartu vartojamas nintedanibas reikšming</w:t>
      </w:r>
      <w:r w:rsidR="00957502" w:rsidRPr="00211E3B">
        <w:rPr>
          <w:snapToGrid w:val="0"/>
          <w:sz w:val="22"/>
        </w:rPr>
        <w:t>o</w:t>
      </w:r>
      <w:r w:rsidR="00AC48E9" w:rsidRPr="00211E3B">
        <w:rPr>
          <w:snapToGrid w:val="0"/>
          <w:sz w:val="22"/>
        </w:rPr>
        <w:t xml:space="preserve"> </w:t>
      </w:r>
      <w:r w:rsidR="00957502" w:rsidRPr="00211E3B">
        <w:rPr>
          <w:snapToGrid w:val="0"/>
          <w:sz w:val="22"/>
        </w:rPr>
        <w:t>poveikio</w:t>
      </w:r>
      <w:r w:rsidR="005F08FC" w:rsidRPr="00211E3B">
        <w:rPr>
          <w:snapToGrid w:val="0"/>
          <w:sz w:val="22"/>
        </w:rPr>
        <w:t xml:space="preserve"> </w:t>
      </w:r>
      <w:r w:rsidR="00AC48E9" w:rsidRPr="00211E3B">
        <w:rPr>
          <w:snapToGrid w:val="0"/>
          <w:sz w:val="22"/>
        </w:rPr>
        <w:t>etinilestradiolio ir levonorgestrelio ekspozicij</w:t>
      </w:r>
      <w:r w:rsidR="00957502" w:rsidRPr="00211E3B">
        <w:rPr>
          <w:snapToGrid w:val="0"/>
          <w:sz w:val="22"/>
        </w:rPr>
        <w:t>ai kraujo</w:t>
      </w:r>
      <w:r w:rsidR="00AC48E9" w:rsidRPr="00211E3B">
        <w:rPr>
          <w:snapToGrid w:val="0"/>
          <w:sz w:val="22"/>
        </w:rPr>
        <w:t xml:space="preserve"> plazmoje</w:t>
      </w:r>
      <w:r w:rsidR="00957502" w:rsidRPr="00211E3B">
        <w:rPr>
          <w:snapToGrid w:val="0"/>
          <w:sz w:val="22"/>
        </w:rPr>
        <w:t xml:space="preserve"> nedaro</w:t>
      </w:r>
      <w:r w:rsidR="00AC48E9" w:rsidRPr="00211E3B">
        <w:rPr>
          <w:snapToGrid w:val="0"/>
          <w:sz w:val="22"/>
        </w:rPr>
        <w:t>.</w:t>
      </w:r>
    </w:p>
    <w:p w14:paraId="2ED08415" w14:textId="77777777" w:rsidR="00E67BFA" w:rsidRPr="00211E3B" w:rsidRDefault="00E67BFA" w:rsidP="00AC48E9">
      <w:pPr>
        <w:tabs>
          <w:tab w:val="left" w:pos="567"/>
        </w:tabs>
        <w:contextualSpacing/>
        <w:outlineLvl w:val="0"/>
        <w:rPr>
          <w:snapToGrid w:val="0"/>
          <w:sz w:val="22"/>
        </w:rPr>
      </w:pPr>
    </w:p>
    <w:p w14:paraId="61D28C03" w14:textId="77777777" w:rsidR="00E67BFA" w:rsidRPr="00211E3B" w:rsidRDefault="00E67BFA" w:rsidP="00E67BFA">
      <w:pPr>
        <w:tabs>
          <w:tab w:val="left" w:pos="567"/>
        </w:tabs>
        <w:contextualSpacing/>
        <w:outlineLvl w:val="0"/>
        <w:rPr>
          <w:i/>
          <w:iCs/>
          <w:snapToGrid w:val="0"/>
          <w:color w:val="000000"/>
          <w:sz w:val="22"/>
        </w:rPr>
      </w:pPr>
      <w:r w:rsidRPr="00211E3B">
        <w:rPr>
          <w:i/>
          <w:iCs/>
          <w:snapToGrid w:val="0"/>
          <w:color w:val="000000"/>
          <w:sz w:val="22"/>
        </w:rPr>
        <w:t>Ekspozicijos ir atsako santykis</w:t>
      </w:r>
    </w:p>
    <w:p w14:paraId="7D088A60" w14:textId="076D35A1" w:rsidR="00E67BFA" w:rsidRPr="00211E3B" w:rsidRDefault="00E67BFA" w:rsidP="00E67BFA">
      <w:pPr>
        <w:tabs>
          <w:tab w:val="left" w:pos="567"/>
        </w:tabs>
        <w:contextualSpacing/>
        <w:outlineLvl w:val="0"/>
        <w:rPr>
          <w:snapToGrid w:val="0"/>
          <w:color w:val="000000"/>
          <w:sz w:val="22"/>
        </w:rPr>
      </w:pPr>
      <w:r w:rsidRPr="00211E3B">
        <w:rPr>
          <w:snapToGrid w:val="0"/>
          <w:color w:val="000000"/>
          <w:sz w:val="22"/>
        </w:rPr>
        <w:t>Pacientų, sergančių IPF ir kitomis lėtinėmis fibrozinėmis progresuojančio fenotipo IPL, ekspozicijos ir atsako santykio analizė parodė silpną nintedanibo ekspozicijos kraujo plazmoje sąsają su ALT ir (arba) AST aktyvumo padidėjimu. Faktinė paskirta dozė gali būti geresnis prognostinis bet kokio stiprumo viduriavimo pasireiškimo rizikos veiksnys, net jeigu ir negalima paneigti tikimybės, kad rizika priklauso nuo ekspozicijos kraujo plazmoje (žr. 4.4 skyrių).</w:t>
      </w:r>
    </w:p>
    <w:p w14:paraId="6D638DC7" w14:textId="77777777" w:rsidR="005D554B" w:rsidRPr="00211E3B" w:rsidRDefault="005D554B" w:rsidP="005D554B">
      <w:pPr>
        <w:keepNext/>
        <w:tabs>
          <w:tab w:val="left" w:pos="567"/>
        </w:tabs>
        <w:spacing w:line="260" w:lineRule="exact"/>
        <w:jc w:val="both"/>
        <w:outlineLvl w:val="3"/>
        <w:rPr>
          <w:snapToGrid w:val="0"/>
          <w:sz w:val="22"/>
          <w:szCs w:val="22"/>
        </w:rPr>
      </w:pPr>
    </w:p>
    <w:p w14:paraId="1F42F11F" w14:textId="77777777" w:rsidR="005D554B" w:rsidRPr="00211E3B" w:rsidRDefault="005D554B" w:rsidP="005D554B">
      <w:pPr>
        <w:keepNext/>
        <w:tabs>
          <w:tab w:val="left" w:pos="567"/>
        </w:tabs>
        <w:spacing w:line="260" w:lineRule="exact"/>
        <w:jc w:val="both"/>
        <w:outlineLvl w:val="3"/>
        <w:rPr>
          <w:b/>
          <w:bCs/>
          <w:snapToGrid w:val="0"/>
          <w:sz w:val="22"/>
          <w:szCs w:val="28"/>
          <w:lang w:eastAsia="x-none"/>
        </w:rPr>
      </w:pPr>
      <w:r w:rsidRPr="00211E3B">
        <w:rPr>
          <w:b/>
          <w:bCs/>
          <w:snapToGrid w:val="0"/>
          <w:sz w:val="22"/>
          <w:szCs w:val="28"/>
          <w:lang w:eastAsia="x-none"/>
        </w:rPr>
        <w:t>5.3</w:t>
      </w:r>
      <w:r w:rsidRPr="00211E3B">
        <w:rPr>
          <w:b/>
          <w:bCs/>
          <w:snapToGrid w:val="0"/>
          <w:sz w:val="22"/>
          <w:szCs w:val="28"/>
          <w:lang w:eastAsia="x-none"/>
        </w:rPr>
        <w:tab/>
        <w:t>Ikiklinikinių saugumo tyrimų duomenys</w:t>
      </w:r>
    </w:p>
    <w:p w14:paraId="66290667" w14:textId="77777777" w:rsidR="005D554B" w:rsidRPr="00211E3B" w:rsidRDefault="005D554B" w:rsidP="005D554B">
      <w:pPr>
        <w:rPr>
          <w:snapToGrid w:val="0"/>
          <w:sz w:val="22"/>
          <w:szCs w:val="24"/>
        </w:rPr>
      </w:pPr>
    </w:p>
    <w:p w14:paraId="2600EE80" w14:textId="0C435885" w:rsidR="0017784C" w:rsidRPr="00211E3B" w:rsidRDefault="0017784C" w:rsidP="0017784C">
      <w:pPr>
        <w:tabs>
          <w:tab w:val="left" w:pos="567"/>
        </w:tabs>
        <w:rPr>
          <w:snapToGrid w:val="0"/>
          <w:sz w:val="22"/>
          <w:szCs w:val="24"/>
          <w:u w:val="single"/>
        </w:rPr>
      </w:pPr>
      <w:r w:rsidRPr="00211E3B">
        <w:rPr>
          <w:snapToGrid w:val="0"/>
          <w:sz w:val="22"/>
          <w:szCs w:val="24"/>
          <w:u w:val="single"/>
        </w:rPr>
        <w:t>Bendrasis toksinis poveikis</w:t>
      </w:r>
    </w:p>
    <w:p w14:paraId="15140927" w14:textId="25519475" w:rsidR="0017784C" w:rsidRPr="00211E3B" w:rsidRDefault="0017784C" w:rsidP="00843B6C">
      <w:pPr>
        <w:tabs>
          <w:tab w:val="left" w:pos="567"/>
        </w:tabs>
        <w:rPr>
          <w:snapToGrid w:val="0"/>
          <w:sz w:val="22"/>
          <w:szCs w:val="24"/>
        </w:rPr>
      </w:pPr>
      <w:r w:rsidRPr="00211E3B">
        <w:rPr>
          <w:snapToGrid w:val="0"/>
          <w:sz w:val="22"/>
          <w:szCs w:val="24"/>
        </w:rPr>
        <w:t>Vienkartinės dozės toksinio poveikio tyrimų su žiurkėmis ir pelėmis metu nintedanibo ūminio toksinio poveikio pasireiškimo potencialas</w:t>
      </w:r>
      <w:r w:rsidR="00580308" w:rsidRPr="00211E3B">
        <w:rPr>
          <w:snapToGrid w:val="0"/>
          <w:sz w:val="22"/>
          <w:szCs w:val="24"/>
        </w:rPr>
        <w:t xml:space="preserve"> buvo mažas</w:t>
      </w:r>
      <w:r w:rsidRPr="00211E3B">
        <w:rPr>
          <w:snapToGrid w:val="0"/>
          <w:sz w:val="22"/>
          <w:szCs w:val="24"/>
        </w:rPr>
        <w:t xml:space="preserve">. Kartotinių dozių toksinio poveikio tyrimų su </w:t>
      </w:r>
      <w:r w:rsidR="00843B6C" w:rsidRPr="00211E3B">
        <w:rPr>
          <w:snapToGrid w:val="0"/>
          <w:sz w:val="22"/>
          <w:szCs w:val="24"/>
        </w:rPr>
        <w:t>žiurkių jaunikliais, metu negrįžtamų emalio ir dentino pokyčių nustatyta nuolat greitai augančiuose kandžiuose, bet nenustatyta kapliuose arba krūminiuose dantyse. Be to, kaulų augimo fazės metu nustatytas epifizių augimo plokštelių sutankėjimas, kuris regresavo nutraukus vartojimą</w:t>
      </w:r>
      <w:r w:rsidRPr="00211E3B">
        <w:rPr>
          <w:snapToGrid w:val="0"/>
          <w:sz w:val="22"/>
          <w:szCs w:val="24"/>
        </w:rPr>
        <w:t>. Yra žinoma, kad tokius pokyčius sukelia ir kiti KEAFR-2 inhibitoriai ir tai yra grupei būdingas poveikis.</w:t>
      </w:r>
    </w:p>
    <w:p w14:paraId="42B89146" w14:textId="77777777" w:rsidR="0017784C" w:rsidRPr="00211E3B" w:rsidRDefault="0017784C" w:rsidP="0017784C">
      <w:pPr>
        <w:tabs>
          <w:tab w:val="left" w:pos="567"/>
        </w:tabs>
        <w:rPr>
          <w:snapToGrid w:val="0"/>
          <w:sz w:val="22"/>
          <w:szCs w:val="24"/>
        </w:rPr>
      </w:pPr>
    </w:p>
    <w:p w14:paraId="43D50E38" w14:textId="3C88A03A" w:rsidR="0017784C" w:rsidRPr="00211E3B" w:rsidRDefault="0017784C" w:rsidP="0017784C">
      <w:pPr>
        <w:tabs>
          <w:tab w:val="left" w:pos="567"/>
        </w:tabs>
        <w:rPr>
          <w:snapToGrid w:val="0"/>
          <w:sz w:val="22"/>
          <w:szCs w:val="24"/>
        </w:rPr>
      </w:pPr>
      <w:r w:rsidRPr="00211E3B">
        <w:rPr>
          <w:snapToGrid w:val="0"/>
          <w:sz w:val="22"/>
          <w:szCs w:val="24"/>
        </w:rPr>
        <w:t>Toksinio poveikio tyrimų su ne</w:t>
      </w:r>
      <w:r w:rsidR="00095016" w:rsidRPr="00211E3B">
        <w:rPr>
          <w:snapToGrid w:val="0"/>
          <w:sz w:val="22"/>
          <w:szCs w:val="24"/>
        </w:rPr>
        <w:t xml:space="preserve"> </w:t>
      </w:r>
      <w:r w:rsidRPr="00211E3B">
        <w:rPr>
          <w:snapToGrid w:val="0"/>
          <w:sz w:val="22"/>
          <w:szCs w:val="24"/>
        </w:rPr>
        <w:t>graužikais metu pasireiškė viduriavimas ir vėmimas kartu su suvartojamo ėdalo kiekio ir kūno svorio sumažėjimu.</w:t>
      </w:r>
    </w:p>
    <w:p w14:paraId="3DAA13B4" w14:textId="77777777" w:rsidR="0017784C" w:rsidRPr="00211E3B" w:rsidRDefault="0017784C" w:rsidP="0017784C">
      <w:pPr>
        <w:tabs>
          <w:tab w:val="left" w:pos="567"/>
        </w:tabs>
        <w:rPr>
          <w:snapToGrid w:val="0"/>
          <w:sz w:val="22"/>
          <w:szCs w:val="24"/>
        </w:rPr>
      </w:pPr>
    </w:p>
    <w:p w14:paraId="52198C02" w14:textId="6254CA9C" w:rsidR="0017784C" w:rsidRPr="00211E3B" w:rsidRDefault="0017784C" w:rsidP="0017784C">
      <w:pPr>
        <w:tabs>
          <w:tab w:val="left" w:pos="567"/>
        </w:tabs>
        <w:rPr>
          <w:snapToGrid w:val="0"/>
          <w:sz w:val="22"/>
          <w:szCs w:val="24"/>
        </w:rPr>
      </w:pPr>
      <w:r w:rsidRPr="00211E3B">
        <w:rPr>
          <w:snapToGrid w:val="0"/>
          <w:sz w:val="22"/>
          <w:szCs w:val="24"/>
        </w:rPr>
        <w:t xml:space="preserve">Žiurkėms, šunims ir </w:t>
      </w:r>
      <w:r w:rsidRPr="00211E3B">
        <w:rPr>
          <w:i/>
          <w:iCs/>
          <w:snapToGrid w:val="0"/>
          <w:sz w:val="22"/>
          <w:szCs w:val="24"/>
        </w:rPr>
        <w:t>Cynomolgus</w:t>
      </w:r>
      <w:r w:rsidRPr="00211E3B">
        <w:rPr>
          <w:snapToGrid w:val="0"/>
          <w:sz w:val="22"/>
          <w:szCs w:val="24"/>
        </w:rPr>
        <w:t xml:space="preserve"> beždžionėms kepenų fermentų </w:t>
      </w:r>
      <w:r w:rsidR="00E42506" w:rsidRPr="00211E3B">
        <w:rPr>
          <w:snapToGrid w:val="0"/>
          <w:sz w:val="22"/>
          <w:szCs w:val="24"/>
        </w:rPr>
        <w:t>aktyvumo</w:t>
      </w:r>
      <w:r w:rsidRPr="00211E3B">
        <w:rPr>
          <w:snapToGrid w:val="0"/>
          <w:sz w:val="22"/>
          <w:szCs w:val="24"/>
        </w:rPr>
        <w:t xml:space="preserve"> padidėjimo </w:t>
      </w:r>
      <w:r w:rsidR="00E42506" w:rsidRPr="00211E3B">
        <w:rPr>
          <w:snapToGrid w:val="0"/>
          <w:sz w:val="22"/>
          <w:szCs w:val="24"/>
        </w:rPr>
        <w:t>nenustatyta</w:t>
      </w:r>
      <w:r w:rsidRPr="00211E3B">
        <w:rPr>
          <w:snapToGrid w:val="0"/>
          <w:sz w:val="22"/>
          <w:szCs w:val="24"/>
        </w:rPr>
        <w:t xml:space="preserve">. </w:t>
      </w:r>
      <w:r w:rsidR="00E42506" w:rsidRPr="00211E3B">
        <w:rPr>
          <w:snapToGrid w:val="0"/>
          <w:sz w:val="22"/>
          <w:szCs w:val="24"/>
        </w:rPr>
        <w:t>N</w:t>
      </w:r>
      <w:r w:rsidRPr="00211E3B">
        <w:rPr>
          <w:snapToGrid w:val="0"/>
          <w:sz w:val="22"/>
          <w:szCs w:val="24"/>
        </w:rPr>
        <w:t>edidelis</w:t>
      </w:r>
      <w:r w:rsidR="00E42506" w:rsidRPr="00211E3B">
        <w:rPr>
          <w:snapToGrid w:val="0"/>
          <w:sz w:val="22"/>
          <w:szCs w:val="24"/>
        </w:rPr>
        <w:t xml:space="preserve"> </w:t>
      </w:r>
      <w:r w:rsidRPr="00211E3B">
        <w:rPr>
          <w:snapToGrid w:val="0"/>
          <w:sz w:val="22"/>
          <w:szCs w:val="24"/>
        </w:rPr>
        <w:t xml:space="preserve">kepenų fermentų </w:t>
      </w:r>
      <w:r w:rsidR="00E42506" w:rsidRPr="00211E3B">
        <w:rPr>
          <w:snapToGrid w:val="0"/>
          <w:sz w:val="22"/>
          <w:szCs w:val="24"/>
        </w:rPr>
        <w:t>aktyvumo</w:t>
      </w:r>
      <w:r w:rsidRPr="00211E3B">
        <w:rPr>
          <w:snapToGrid w:val="0"/>
          <w:sz w:val="22"/>
          <w:szCs w:val="24"/>
        </w:rPr>
        <w:t xml:space="preserve"> padidėjimas, </w:t>
      </w:r>
      <w:r w:rsidR="00E42506" w:rsidRPr="00211E3B">
        <w:rPr>
          <w:snapToGrid w:val="0"/>
          <w:sz w:val="22"/>
          <w:szCs w:val="24"/>
        </w:rPr>
        <w:t xml:space="preserve">nesusijęs su </w:t>
      </w:r>
      <w:r w:rsidRPr="00211E3B">
        <w:rPr>
          <w:snapToGrid w:val="0"/>
          <w:sz w:val="22"/>
          <w:szCs w:val="24"/>
        </w:rPr>
        <w:t>sunk</w:t>
      </w:r>
      <w:r w:rsidR="00E42506" w:rsidRPr="00211E3B">
        <w:rPr>
          <w:snapToGrid w:val="0"/>
          <w:sz w:val="22"/>
          <w:szCs w:val="24"/>
        </w:rPr>
        <w:t>iu</w:t>
      </w:r>
      <w:r w:rsidRPr="00211E3B">
        <w:rPr>
          <w:snapToGrid w:val="0"/>
          <w:sz w:val="22"/>
          <w:szCs w:val="24"/>
        </w:rPr>
        <w:t xml:space="preserve"> nepageidaujam</w:t>
      </w:r>
      <w:r w:rsidR="00E42506" w:rsidRPr="00211E3B">
        <w:rPr>
          <w:snapToGrid w:val="0"/>
          <w:sz w:val="22"/>
          <w:szCs w:val="24"/>
        </w:rPr>
        <w:t>u</w:t>
      </w:r>
      <w:r w:rsidRPr="00211E3B">
        <w:rPr>
          <w:snapToGrid w:val="0"/>
          <w:sz w:val="22"/>
          <w:szCs w:val="24"/>
        </w:rPr>
        <w:t xml:space="preserve"> poveiki</w:t>
      </w:r>
      <w:r w:rsidR="00E42506" w:rsidRPr="00211E3B">
        <w:rPr>
          <w:snapToGrid w:val="0"/>
          <w:sz w:val="22"/>
          <w:szCs w:val="24"/>
        </w:rPr>
        <w:t>u</w:t>
      </w:r>
      <w:r w:rsidRPr="00211E3B">
        <w:rPr>
          <w:snapToGrid w:val="0"/>
          <w:sz w:val="22"/>
          <w:szCs w:val="24"/>
        </w:rPr>
        <w:t>, pvz., viduriavim</w:t>
      </w:r>
      <w:r w:rsidR="00E42506" w:rsidRPr="00211E3B">
        <w:rPr>
          <w:snapToGrid w:val="0"/>
          <w:sz w:val="22"/>
          <w:szCs w:val="24"/>
        </w:rPr>
        <w:t>u</w:t>
      </w:r>
      <w:r w:rsidRPr="00211E3B">
        <w:rPr>
          <w:snapToGrid w:val="0"/>
          <w:sz w:val="22"/>
          <w:szCs w:val="24"/>
        </w:rPr>
        <w:t xml:space="preserve">, </w:t>
      </w:r>
      <w:r w:rsidR="00E42506" w:rsidRPr="00211E3B">
        <w:rPr>
          <w:snapToGrid w:val="0"/>
          <w:sz w:val="22"/>
          <w:szCs w:val="24"/>
        </w:rPr>
        <w:t xml:space="preserve">buvo pastebėtas tik </w:t>
      </w:r>
      <w:r w:rsidR="00E42506" w:rsidRPr="0081504F">
        <w:rPr>
          <w:i/>
          <w:snapToGrid w:val="0"/>
          <w:sz w:val="22"/>
          <w:szCs w:val="24"/>
        </w:rPr>
        <w:t>Rezus</w:t>
      </w:r>
      <w:r w:rsidR="00E42506" w:rsidRPr="00211E3B">
        <w:rPr>
          <w:snapToGrid w:val="0"/>
          <w:sz w:val="22"/>
          <w:szCs w:val="24"/>
        </w:rPr>
        <w:t xml:space="preserve"> beždžionėms</w:t>
      </w:r>
      <w:r w:rsidRPr="00211E3B">
        <w:rPr>
          <w:snapToGrid w:val="0"/>
          <w:sz w:val="22"/>
          <w:szCs w:val="24"/>
        </w:rPr>
        <w:t>.</w:t>
      </w:r>
    </w:p>
    <w:p w14:paraId="40C2C219" w14:textId="77777777" w:rsidR="0017784C" w:rsidRPr="00211E3B" w:rsidRDefault="0017784C" w:rsidP="0017784C">
      <w:pPr>
        <w:tabs>
          <w:tab w:val="left" w:pos="567"/>
        </w:tabs>
        <w:rPr>
          <w:snapToGrid w:val="0"/>
          <w:sz w:val="22"/>
          <w:szCs w:val="24"/>
        </w:rPr>
      </w:pPr>
    </w:p>
    <w:p w14:paraId="6C57AB39" w14:textId="0EA7B00D" w:rsidR="0017784C" w:rsidRPr="00211E3B" w:rsidRDefault="0017784C" w:rsidP="0017784C">
      <w:pPr>
        <w:tabs>
          <w:tab w:val="left" w:pos="567"/>
        </w:tabs>
        <w:rPr>
          <w:snapToGrid w:val="0"/>
          <w:sz w:val="22"/>
          <w:szCs w:val="24"/>
          <w:u w:val="single"/>
        </w:rPr>
      </w:pPr>
      <w:r w:rsidRPr="00211E3B">
        <w:rPr>
          <w:snapToGrid w:val="0"/>
          <w:sz w:val="22"/>
          <w:szCs w:val="24"/>
          <w:u w:val="single"/>
        </w:rPr>
        <w:t>Toksinis poveikis reprodukcijai</w:t>
      </w:r>
    </w:p>
    <w:p w14:paraId="0A9D0D88" w14:textId="111AF635" w:rsidR="0017784C" w:rsidRPr="00211E3B" w:rsidRDefault="0017784C" w:rsidP="0017784C">
      <w:pPr>
        <w:tabs>
          <w:tab w:val="left" w:pos="567"/>
        </w:tabs>
        <w:rPr>
          <w:snapToGrid w:val="0"/>
          <w:sz w:val="22"/>
          <w:szCs w:val="24"/>
        </w:rPr>
      </w:pPr>
      <w:r w:rsidRPr="00211E3B">
        <w:rPr>
          <w:snapToGrid w:val="0"/>
          <w:sz w:val="22"/>
          <w:szCs w:val="24"/>
        </w:rPr>
        <w:t>Žiurkėms embrion</w:t>
      </w:r>
      <w:r w:rsidR="00027D96" w:rsidRPr="00211E3B">
        <w:rPr>
          <w:snapToGrid w:val="0"/>
          <w:sz w:val="22"/>
          <w:szCs w:val="24"/>
        </w:rPr>
        <w:t>o</w:t>
      </w:r>
      <w:r w:rsidRPr="00211E3B">
        <w:rPr>
          <w:snapToGrid w:val="0"/>
          <w:sz w:val="22"/>
          <w:szCs w:val="24"/>
        </w:rPr>
        <w:t xml:space="preserve"> ir vaisi</w:t>
      </w:r>
      <w:r w:rsidR="00027D96" w:rsidRPr="00211E3B">
        <w:rPr>
          <w:snapToGrid w:val="0"/>
          <w:sz w:val="22"/>
          <w:szCs w:val="24"/>
        </w:rPr>
        <w:t>aus</w:t>
      </w:r>
      <w:r w:rsidRPr="00211E3B">
        <w:rPr>
          <w:snapToGrid w:val="0"/>
          <w:sz w:val="22"/>
          <w:szCs w:val="24"/>
        </w:rPr>
        <w:t xml:space="preserve"> žuvimas </w:t>
      </w:r>
      <w:r w:rsidR="00A11B4B" w:rsidRPr="00211E3B">
        <w:rPr>
          <w:snapToGrid w:val="0"/>
          <w:sz w:val="22"/>
          <w:szCs w:val="24"/>
        </w:rPr>
        <w:t>bei</w:t>
      </w:r>
      <w:r w:rsidRPr="00211E3B">
        <w:rPr>
          <w:snapToGrid w:val="0"/>
          <w:sz w:val="22"/>
          <w:szCs w:val="24"/>
        </w:rPr>
        <w:t xml:space="preserve"> teratogeninis poveikis </w:t>
      </w:r>
      <w:r w:rsidR="00A11B4B" w:rsidRPr="00211E3B">
        <w:rPr>
          <w:snapToGrid w:val="0"/>
          <w:sz w:val="22"/>
          <w:szCs w:val="24"/>
        </w:rPr>
        <w:t xml:space="preserve">buvo nustatyti </w:t>
      </w:r>
      <w:r w:rsidRPr="00211E3B">
        <w:rPr>
          <w:snapToGrid w:val="0"/>
          <w:sz w:val="22"/>
          <w:szCs w:val="24"/>
        </w:rPr>
        <w:t>esant mažesnei ekspozicijai</w:t>
      </w:r>
      <w:r w:rsidR="00E42506" w:rsidRPr="00211E3B">
        <w:rPr>
          <w:snapToGrid w:val="0"/>
          <w:sz w:val="22"/>
          <w:szCs w:val="24"/>
        </w:rPr>
        <w:t xml:space="preserve"> </w:t>
      </w:r>
      <w:r w:rsidR="00A11B4B" w:rsidRPr="00211E3B">
        <w:rPr>
          <w:snapToGrid w:val="0"/>
          <w:sz w:val="22"/>
          <w:szCs w:val="24"/>
        </w:rPr>
        <w:t xml:space="preserve">nei būna </w:t>
      </w:r>
      <w:r w:rsidRPr="00211E3B">
        <w:rPr>
          <w:snapToGrid w:val="0"/>
          <w:sz w:val="22"/>
          <w:szCs w:val="24"/>
        </w:rPr>
        <w:t xml:space="preserve">vartojant didžiausią rekomenduojamą dozę žmogui (DRDŽ), t. y. </w:t>
      </w:r>
      <w:r w:rsidR="006F44E6" w:rsidRPr="00211E3B">
        <w:rPr>
          <w:snapToGrid w:val="0"/>
          <w:sz w:val="22"/>
          <w:szCs w:val="24"/>
        </w:rPr>
        <w:t>150</w:t>
      </w:r>
      <w:r w:rsidR="0085390D">
        <w:rPr>
          <w:snapToGrid w:val="0"/>
          <w:sz w:val="22"/>
          <w:szCs w:val="24"/>
        </w:rPr>
        <w:t> mg</w:t>
      </w:r>
      <w:r w:rsidRPr="00211E3B">
        <w:rPr>
          <w:snapToGrid w:val="0"/>
          <w:sz w:val="22"/>
          <w:szCs w:val="24"/>
        </w:rPr>
        <w:t xml:space="preserve"> du kartus</w:t>
      </w:r>
      <w:r w:rsidR="00E42506" w:rsidRPr="00211E3B">
        <w:rPr>
          <w:snapToGrid w:val="0"/>
          <w:sz w:val="22"/>
          <w:szCs w:val="24"/>
        </w:rPr>
        <w:t xml:space="preserve"> </w:t>
      </w:r>
      <w:r w:rsidRPr="00211E3B">
        <w:rPr>
          <w:snapToGrid w:val="0"/>
          <w:sz w:val="22"/>
          <w:szCs w:val="24"/>
        </w:rPr>
        <w:t xml:space="preserve">per parą. </w:t>
      </w:r>
      <w:r w:rsidR="00A11B4B" w:rsidRPr="00211E3B">
        <w:rPr>
          <w:snapToGrid w:val="0"/>
          <w:sz w:val="22"/>
          <w:szCs w:val="24"/>
        </w:rPr>
        <w:t>P</w:t>
      </w:r>
      <w:r w:rsidRPr="00211E3B">
        <w:rPr>
          <w:snapToGrid w:val="0"/>
          <w:sz w:val="22"/>
          <w:szCs w:val="24"/>
        </w:rPr>
        <w:t xml:space="preserve">oveikis ašinio skeleto </w:t>
      </w:r>
      <w:r w:rsidR="00A11B4B" w:rsidRPr="00211E3B">
        <w:rPr>
          <w:snapToGrid w:val="0"/>
          <w:sz w:val="22"/>
          <w:szCs w:val="24"/>
        </w:rPr>
        <w:t xml:space="preserve">vystymuisi </w:t>
      </w:r>
      <w:r w:rsidRPr="00211E3B">
        <w:rPr>
          <w:snapToGrid w:val="0"/>
          <w:sz w:val="22"/>
          <w:szCs w:val="24"/>
        </w:rPr>
        <w:t>ir didžiųjų arterijų vystymuisi buvo pastebėtas</w:t>
      </w:r>
      <w:r w:rsidR="00E42506" w:rsidRPr="00211E3B">
        <w:rPr>
          <w:snapToGrid w:val="0"/>
          <w:sz w:val="22"/>
          <w:szCs w:val="24"/>
        </w:rPr>
        <w:t xml:space="preserve"> </w:t>
      </w:r>
      <w:r w:rsidRPr="00211E3B">
        <w:rPr>
          <w:snapToGrid w:val="0"/>
          <w:sz w:val="22"/>
          <w:szCs w:val="24"/>
        </w:rPr>
        <w:t>esant</w:t>
      </w:r>
      <w:r w:rsidR="00A11B4B" w:rsidRPr="00211E3B">
        <w:rPr>
          <w:snapToGrid w:val="0"/>
          <w:sz w:val="22"/>
          <w:szCs w:val="24"/>
        </w:rPr>
        <w:t xml:space="preserve"> mažesnei nei terapinė </w:t>
      </w:r>
      <w:r w:rsidRPr="00211E3B">
        <w:rPr>
          <w:snapToGrid w:val="0"/>
          <w:sz w:val="22"/>
          <w:szCs w:val="24"/>
        </w:rPr>
        <w:t>ekspozicijai.</w:t>
      </w:r>
    </w:p>
    <w:p w14:paraId="44F9399B" w14:textId="3607024D" w:rsidR="00E42506" w:rsidRPr="00211E3B" w:rsidRDefault="00E42506" w:rsidP="0017784C">
      <w:pPr>
        <w:tabs>
          <w:tab w:val="left" w:pos="567"/>
        </w:tabs>
        <w:rPr>
          <w:snapToGrid w:val="0"/>
          <w:sz w:val="22"/>
          <w:szCs w:val="24"/>
        </w:rPr>
      </w:pPr>
    </w:p>
    <w:p w14:paraId="461CC2B8" w14:textId="63985CC8" w:rsidR="0017784C" w:rsidRPr="00211E3B" w:rsidRDefault="0017784C" w:rsidP="0017784C">
      <w:pPr>
        <w:tabs>
          <w:tab w:val="left" w:pos="567"/>
        </w:tabs>
        <w:rPr>
          <w:snapToGrid w:val="0"/>
          <w:sz w:val="22"/>
          <w:szCs w:val="24"/>
        </w:rPr>
      </w:pPr>
      <w:r w:rsidRPr="00211E3B">
        <w:rPr>
          <w:snapToGrid w:val="0"/>
          <w:sz w:val="22"/>
          <w:szCs w:val="24"/>
        </w:rPr>
        <w:t xml:space="preserve">Esant maždaug </w:t>
      </w:r>
      <w:r w:rsidR="006F44E6" w:rsidRPr="00211E3B">
        <w:rPr>
          <w:snapToGrid w:val="0"/>
          <w:sz w:val="22"/>
          <w:szCs w:val="24"/>
        </w:rPr>
        <w:t>3</w:t>
      </w:r>
      <w:r w:rsidR="001E7865" w:rsidRPr="00211E3B">
        <w:rPr>
          <w:snapToGrid w:val="0"/>
          <w:sz w:val="22"/>
          <w:szCs w:val="24"/>
        </w:rPr>
        <w:t> </w:t>
      </w:r>
      <w:r w:rsidRPr="00211E3B">
        <w:rPr>
          <w:snapToGrid w:val="0"/>
          <w:sz w:val="22"/>
          <w:szCs w:val="24"/>
        </w:rPr>
        <w:t xml:space="preserve">kartus didesnei ekspozicijai </w:t>
      </w:r>
      <w:r w:rsidR="00027D96" w:rsidRPr="00211E3B">
        <w:rPr>
          <w:snapToGrid w:val="0"/>
          <w:sz w:val="22"/>
          <w:szCs w:val="24"/>
        </w:rPr>
        <w:t>nei būna</w:t>
      </w:r>
      <w:r w:rsidRPr="00211E3B">
        <w:rPr>
          <w:snapToGrid w:val="0"/>
          <w:sz w:val="22"/>
          <w:szCs w:val="24"/>
        </w:rPr>
        <w:t xml:space="preserve"> vartojant DRDŽ, triušiams pasireiškė</w:t>
      </w:r>
      <w:r w:rsidR="00E42506" w:rsidRPr="00211E3B">
        <w:rPr>
          <w:snapToGrid w:val="0"/>
          <w:sz w:val="22"/>
          <w:szCs w:val="24"/>
        </w:rPr>
        <w:t xml:space="preserve"> </w:t>
      </w:r>
      <w:r w:rsidRPr="00211E3B">
        <w:rPr>
          <w:snapToGrid w:val="0"/>
          <w:sz w:val="22"/>
          <w:szCs w:val="24"/>
        </w:rPr>
        <w:t>embrion</w:t>
      </w:r>
      <w:r w:rsidR="00027D96" w:rsidRPr="00211E3B">
        <w:rPr>
          <w:snapToGrid w:val="0"/>
          <w:sz w:val="22"/>
          <w:szCs w:val="24"/>
        </w:rPr>
        <w:t>o</w:t>
      </w:r>
      <w:r w:rsidRPr="00211E3B">
        <w:rPr>
          <w:snapToGrid w:val="0"/>
          <w:sz w:val="22"/>
          <w:szCs w:val="24"/>
        </w:rPr>
        <w:t xml:space="preserve"> ir vaisi</w:t>
      </w:r>
      <w:r w:rsidR="00027D96" w:rsidRPr="00211E3B">
        <w:rPr>
          <w:snapToGrid w:val="0"/>
          <w:sz w:val="22"/>
          <w:szCs w:val="24"/>
        </w:rPr>
        <w:t>aus</w:t>
      </w:r>
      <w:r w:rsidRPr="00211E3B">
        <w:rPr>
          <w:snapToGrid w:val="0"/>
          <w:sz w:val="22"/>
          <w:szCs w:val="24"/>
        </w:rPr>
        <w:t xml:space="preserve"> žuvimas </w:t>
      </w:r>
      <w:r w:rsidR="00027D96" w:rsidRPr="00211E3B">
        <w:rPr>
          <w:snapToGrid w:val="0"/>
          <w:sz w:val="22"/>
          <w:szCs w:val="24"/>
        </w:rPr>
        <w:t>bei</w:t>
      </w:r>
      <w:r w:rsidRPr="00211E3B">
        <w:rPr>
          <w:snapToGrid w:val="0"/>
          <w:sz w:val="22"/>
          <w:szCs w:val="24"/>
        </w:rPr>
        <w:t xml:space="preserve"> teratogeninis poveikis</w:t>
      </w:r>
      <w:r w:rsidR="00007878" w:rsidRPr="00211E3B">
        <w:rPr>
          <w:snapToGrid w:val="0"/>
          <w:sz w:val="22"/>
          <w:szCs w:val="24"/>
        </w:rPr>
        <w:t>, tačiau nežymus poveikis embrionų ir vaisių ašinio skeleto ir širdies vystymuisi buvo pastebėtas jau esant mažesnei nei vartojant DRDŽ, t. y. 150</w:t>
      </w:r>
      <w:r w:rsidR="0085390D">
        <w:rPr>
          <w:snapToGrid w:val="0"/>
          <w:sz w:val="22"/>
          <w:szCs w:val="24"/>
        </w:rPr>
        <w:t> mg</w:t>
      </w:r>
      <w:r w:rsidR="00007878" w:rsidRPr="00211E3B">
        <w:rPr>
          <w:snapToGrid w:val="0"/>
          <w:sz w:val="22"/>
          <w:szCs w:val="24"/>
        </w:rPr>
        <w:t xml:space="preserve"> du kartus per parą, būnančiai ekspozicijai.</w:t>
      </w:r>
    </w:p>
    <w:p w14:paraId="5462DB75" w14:textId="7230AFBF" w:rsidR="00BD0307" w:rsidRPr="00211E3B" w:rsidRDefault="00BD0307" w:rsidP="0017784C">
      <w:pPr>
        <w:tabs>
          <w:tab w:val="left" w:pos="567"/>
        </w:tabs>
        <w:rPr>
          <w:snapToGrid w:val="0"/>
          <w:sz w:val="22"/>
          <w:szCs w:val="24"/>
        </w:rPr>
      </w:pPr>
    </w:p>
    <w:p w14:paraId="029A4BEB" w14:textId="2D1401F2" w:rsidR="007105DA" w:rsidRPr="00211E3B" w:rsidRDefault="007105DA" w:rsidP="007105DA">
      <w:pPr>
        <w:tabs>
          <w:tab w:val="left" w:pos="567"/>
        </w:tabs>
        <w:rPr>
          <w:snapToGrid w:val="0"/>
          <w:sz w:val="22"/>
          <w:szCs w:val="24"/>
        </w:rPr>
      </w:pPr>
      <w:r w:rsidRPr="00211E3B">
        <w:rPr>
          <w:snapToGrid w:val="0"/>
          <w:sz w:val="22"/>
          <w:szCs w:val="24"/>
        </w:rPr>
        <w:t>Su žiurkėmis atlikto prenatalinio ir postnatalinio vystymosi tyrimo metu poveikis prenataliniam ir postnataliniam vystymuisi pasireiškė tada, kai ekspozicija buvo mažesnė už atsirandančią vartojant DRDŽ.</w:t>
      </w:r>
    </w:p>
    <w:p w14:paraId="7FE9B19E" w14:textId="77777777" w:rsidR="007105DA" w:rsidRPr="00211E3B" w:rsidRDefault="007105DA" w:rsidP="007105DA">
      <w:pPr>
        <w:tabs>
          <w:tab w:val="left" w:pos="567"/>
        </w:tabs>
        <w:rPr>
          <w:snapToGrid w:val="0"/>
          <w:sz w:val="22"/>
          <w:szCs w:val="24"/>
        </w:rPr>
      </w:pPr>
    </w:p>
    <w:p w14:paraId="7FAF81B3" w14:textId="745F1D08" w:rsidR="007105DA" w:rsidRPr="00211E3B" w:rsidRDefault="007105DA" w:rsidP="007105DA">
      <w:pPr>
        <w:tabs>
          <w:tab w:val="left" w:pos="567"/>
        </w:tabs>
        <w:rPr>
          <w:snapToGrid w:val="0"/>
          <w:sz w:val="22"/>
          <w:szCs w:val="24"/>
        </w:rPr>
      </w:pPr>
      <w:r w:rsidRPr="00211E3B">
        <w:rPr>
          <w:snapToGrid w:val="0"/>
          <w:sz w:val="22"/>
          <w:szCs w:val="24"/>
        </w:rPr>
        <w:t>Patinų vaisingumo ir ankstyvojo embriono vystymosi iki implantacijos tyrimų su žiurkėmis metu poveikio patinų reprodukciniams organams ir vislumui nenustatyta.</w:t>
      </w:r>
    </w:p>
    <w:p w14:paraId="752A8AB1" w14:textId="77777777" w:rsidR="007105DA" w:rsidRPr="00211E3B" w:rsidRDefault="007105DA" w:rsidP="0017784C">
      <w:pPr>
        <w:tabs>
          <w:tab w:val="left" w:pos="567"/>
        </w:tabs>
        <w:rPr>
          <w:snapToGrid w:val="0"/>
          <w:sz w:val="22"/>
          <w:szCs w:val="24"/>
        </w:rPr>
      </w:pPr>
    </w:p>
    <w:p w14:paraId="5866DC0B" w14:textId="268DEA95" w:rsidR="0017784C" w:rsidRPr="00211E3B" w:rsidRDefault="0017784C" w:rsidP="0017784C">
      <w:pPr>
        <w:tabs>
          <w:tab w:val="left" w:pos="567"/>
        </w:tabs>
        <w:rPr>
          <w:snapToGrid w:val="0"/>
          <w:sz w:val="22"/>
          <w:szCs w:val="24"/>
        </w:rPr>
      </w:pPr>
      <w:r w:rsidRPr="00211E3B">
        <w:rPr>
          <w:snapToGrid w:val="0"/>
          <w:sz w:val="22"/>
          <w:szCs w:val="24"/>
        </w:rPr>
        <w:t>Žiurkėms į pieną išsiskyrė nedidelis kiekis radioaktyviaisiais izotopais žymėto nintedanibo ir (arba) jo</w:t>
      </w:r>
      <w:r w:rsidR="00BD0307" w:rsidRPr="00211E3B">
        <w:rPr>
          <w:snapToGrid w:val="0"/>
          <w:sz w:val="22"/>
          <w:szCs w:val="24"/>
        </w:rPr>
        <w:t xml:space="preserve"> </w:t>
      </w:r>
      <w:r w:rsidRPr="00211E3B">
        <w:rPr>
          <w:snapToGrid w:val="0"/>
          <w:sz w:val="22"/>
          <w:szCs w:val="24"/>
        </w:rPr>
        <w:t>metabolitų (≤</w:t>
      </w:r>
      <w:r w:rsidR="00027D96" w:rsidRPr="00211E3B">
        <w:rPr>
          <w:snapToGrid w:val="0"/>
          <w:sz w:val="22"/>
          <w:szCs w:val="24"/>
        </w:rPr>
        <w:t> </w:t>
      </w:r>
      <w:r w:rsidRPr="00211E3B">
        <w:rPr>
          <w:snapToGrid w:val="0"/>
          <w:sz w:val="22"/>
          <w:szCs w:val="24"/>
        </w:rPr>
        <w:t>0,5</w:t>
      </w:r>
      <w:r w:rsidR="0085390D">
        <w:rPr>
          <w:snapToGrid w:val="0"/>
          <w:sz w:val="22"/>
          <w:szCs w:val="24"/>
        </w:rPr>
        <w:t> %</w:t>
      </w:r>
      <w:r w:rsidRPr="00211E3B">
        <w:rPr>
          <w:snapToGrid w:val="0"/>
          <w:sz w:val="22"/>
          <w:szCs w:val="24"/>
        </w:rPr>
        <w:t xml:space="preserve"> </w:t>
      </w:r>
      <w:r w:rsidR="00027D96" w:rsidRPr="00211E3B">
        <w:rPr>
          <w:snapToGrid w:val="0"/>
          <w:sz w:val="22"/>
          <w:szCs w:val="24"/>
        </w:rPr>
        <w:t>skirtos</w:t>
      </w:r>
      <w:r w:rsidRPr="00211E3B">
        <w:rPr>
          <w:snapToGrid w:val="0"/>
          <w:sz w:val="22"/>
          <w:szCs w:val="24"/>
        </w:rPr>
        <w:t xml:space="preserve"> dozės).</w:t>
      </w:r>
    </w:p>
    <w:p w14:paraId="2855256A" w14:textId="69BDB916" w:rsidR="00BD0307" w:rsidRPr="00211E3B" w:rsidRDefault="00BD0307" w:rsidP="0017784C">
      <w:pPr>
        <w:tabs>
          <w:tab w:val="left" w:pos="567"/>
        </w:tabs>
        <w:rPr>
          <w:snapToGrid w:val="0"/>
          <w:sz w:val="22"/>
          <w:szCs w:val="24"/>
        </w:rPr>
      </w:pPr>
    </w:p>
    <w:p w14:paraId="513AD408" w14:textId="5E2E3A28" w:rsidR="006F44E6" w:rsidRPr="00211E3B" w:rsidRDefault="00846046" w:rsidP="0017784C">
      <w:pPr>
        <w:tabs>
          <w:tab w:val="left" w:pos="567"/>
        </w:tabs>
        <w:rPr>
          <w:snapToGrid w:val="0"/>
          <w:sz w:val="22"/>
          <w:szCs w:val="24"/>
        </w:rPr>
      </w:pPr>
      <w:r w:rsidRPr="00211E3B">
        <w:rPr>
          <w:snapToGrid w:val="0"/>
          <w:sz w:val="22"/>
          <w:szCs w:val="24"/>
        </w:rPr>
        <w:t>2 metų trukmės kancerogeninio poveikio tyrimų su pelėmis ir žiurkėmis duomenys kancerogeninio nintedanibo poveikio nerodo.</w:t>
      </w:r>
    </w:p>
    <w:p w14:paraId="0826D8A0" w14:textId="77777777" w:rsidR="00846046" w:rsidRPr="00211E3B" w:rsidRDefault="00846046" w:rsidP="0017784C">
      <w:pPr>
        <w:tabs>
          <w:tab w:val="left" w:pos="567"/>
        </w:tabs>
        <w:rPr>
          <w:snapToGrid w:val="0"/>
          <w:sz w:val="22"/>
          <w:szCs w:val="24"/>
        </w:rPr>
      </w:pPr>
    </w:p>
    <w:p w14:paraId="7D146B9B" w14:textId="6EE48E7A" w:rsidR="005D554B" w:rsidRPr="00211E3B" w:rsidRDefault="0017784C" w:rsidP="0017784C">
      <w:pPr>
        <w:tabs>
          <w:tab w:val="left" w:pos="567"/>
        </w:tabs>
        <w:rPr>
          <w:snapToGrid w:val="0"/>
          <w:sz w:val="22"/>
          <w:szCs w:val="24"/>
        </w:rPr>
      </w:pPr>
      <w:r w:rsidRPr="00211E3B">
        <w:rPr>
          <w:snapToGrid w:val="0"/>
          <w:sz w:val="22"/>
          <w:szCs w:val="24"/>
        </w:rPr>
        <w:t xml:space="preserve">Genotoksiškumo tyrimai neparodė jokio </w:t>
      </w:r>
      <w:r w:rsidR="00027D96" w:rsidRPr="00211E3B">
        <w:rPr>
          <w:snapToGrid w:val="0"/>
          <w:sz w:val="22"/>
          <w:szCs w:val="24"/>
        </w:rPr>
        <w:t xml:space="preserve">galimo </w:t>
      </w:r>
      <w:r w:rsidRPr="00211E3B">
        <w:rPr>
          <w:snapToGrid w:val="0"/>
          <w:sz w:val="22"/>
          <w:szCs w:val="24"/>
        </w:rPr>
        <w:t>mutageninio nintedanibo poveikio.</w:t>
      </w:r>
    </w:p>
    <w:p w14:paraId="6F89F815" w14:textId="77777777" w:rsidR="005D554B" w:rsidRPr="00211E3B" w:rsidRDefault="005D554B" w:rsidP="005D554B">
      <w:pPr>
        <w:rPr>
          <w:snapToGrid w:val="0"/>
          <w:sz w:val="22"/>
          <w:szCs w:val="24"/>
        </w:rPr>
      </w:pPr>
    </w:p>
    <w:p w14:paraId="1AFF4301" w14:textId="77777777" w:rsidR="005D554B" w:rsidRPr="00211E3B" w:rsidRDefault="005D554B" w:rsidP="005D554B">
      <w:pPr>
        <w:rPr>
          <w:snapToGrid w:val="0"/>
          <w:sz w:val="22"/>
          <w:szCs w:val="24"/>
        </w:rPr>
      </w:pPr>
    </w:p>
    <w:p w14:paraId="4DBA3D20" w14:textId="77777777" w:rsidR="005D554B" w:rsidRPr="00211E3B" w:rsidRDefault="005D554B" w:rsidP="005D554B">
      <w:pPr>
        <w:keepNext/>
        <w:keepLines/>
        <w:tabs>
          <w:tab w:val="left" w:pos="567"/>
        </w:tabs>
        <w:outlineLvl w:val="2"/>
        <w:rPr>
          <w:b/>
          <w:bCs/>
          <w:snapToGrid w:val="0"/>
          <w:sz w:val="22"/>
          <w:szCs w:val="26"/>
          <w:lang w:eastAsia="x-none"/>
        </w:rPr>
      </w:pPr>
      <w:r w:rsidRPr="00211E3B">
        <w:rPr>
          <w:b/>
          <w:bCs/>
          <w:snapToGrid w:val="0"/>
          <w:sz w:val="22"/>
          <w:szCs w:val="26"/>
          <w:lang w:eastAsia="x-none"/>
        </w:rPr>
        <w:t>6.</w:t>
      </w:r>
      <w:r w:rsidRPr="00211E3B">
        <w:rPr>
          <w:b/>
          <w:bCs/>
          <w:snapToGrid w:val="0"/>
          <w:sz w:val="22"/>
          <w:szCs w:val="26"/>
          <w:lang w:eastAsia="x-none"/>
        </w:rPr>
        <w:tab/>
        <w:t>FARMACINĖ INFORMACIJA</w:t>
      </w:r>
    </w:p>
    <w:p w14:paraId="7CC7E491" w14:textId="77777777" w:rsidR="005D554B" w:rsidRPr="00211E3B" w:rsidRDefault="005D554B" w:rsidP="005D554B">
      <w:pPr>
        <w:rPr>
          <w:snapToGrid w:val="0"/>
          <w:sz w:val="22"/>
          <w:szCs w:val="24"/>
        </w:rPr>
      </w:pPr>
    </w:p>
    <w:p w14:paraId="1B9876C1" w14:textId="77777777" w:rsidR="005D554B" w:rsidRPr="00211E3B" w:rsidRDefault="005D554B" w:rsidP="005D554B">
      <w:pPr>
        <w:keepNext/>
        <w:tabs>
          <w:tab w:val="left" w:pos="567"/>
        </w:tabs>
        <w:spacing w:line="260" w:lineRule="exact"/>
        <w:jc w:val="both"/>
        <w:outlineLvl w:val="3"/>
        <w:rPr>
          <w:b/>
          <w:bCs/>
          <w:snapToGrid w:val="0"/>
          <w:sz w:val="22"/>
          <w:szCs w:val="28"/>
          <w:lang w:eastAsia="x-none"/>
        </w:rPr>
      </w:pPr>
      <w:r w:rsidRPr="00211E3B">
        <w:rPr>
          <w:b/>
          <w:bCs/>
          <w:snapToGrid w:val="0"/>
          <w:sz w:val="22"/>
          <w:szCs w:val="28"/>
          <w:lang w:eastAsia="x-none"/>
        </w:rPr>
        <w:lastRenderedPageBreak/>
        <w:t>6.1</w:t>
      </w:r>
      <w:r w:rsidRPr="00211E3B">
        <w:rPr>
          <w:b/>
          <w:bCs/>
          <w:snapToGrid w:val="0"/>
          <w:sz w:val="22"/>
          <w:szCs w:val="28"/>
          <w:lang w:eastAsia="x-none"/>
        </w:rPr>
        <w:tab/>
        <w:t>Pagalbinių medžiagų sąrašas</w:t>
      </w:r>
    </w:p>
    <w:p w14:paraId="43108921" w14:textId="77777777" w:rsidR="005D554B" w:rsidRPr="00211E3B" w:rsidRDefault="005D554B" w:rsidP="005D554B">
      <w:pPr>
        <w:rPr>
          <w:snapToGrid w:val="0"/>
          <w:sz w:val="22"/>
          <w:szCs w:val="24"/>
        </w:rPr>
      </w:pPr>
    </w:p>
    <w:p w14:paraId="7D68322A" w14:textId="77777777" w:rsidR="00B4060D" w:rsidRDefault="00B4060D" w:rsidP="000D4DBF">
      <w:pPr>
        <w:rPr>
          <w:snapToGrid w:val="0"/>
          <w:sz w:val="22"/>
          <w:szCs w:val="24"/>
          <w:u w:val="single"/>
        </w:rPr>
      </w:pPr>
      <w:r w:rsidRPr="00B4060D">
        <w:rPr>
          <w:snapToGrid w:val="0"/>
          <w:sz w:val="22"/>
          <w:szCs w:val="24"/>
          <w:u w:val="single"/>
        </w:rPr>
        <w:t>Agarf 100 mg minkštosios kapsulės</w:t>
      </w:r>
    </w:p>
    <w:p w14:paraId="2BC4EA15" w14:textId="60321BFA" w:rsidR="000D4DBF" w:rsidRPr="00211E3B" w:rsidRDefault="000D4DBF" w:rsidP="000D4DBF">
      <w:pPr>
        <w:rPr>
          <w:snapToGrid w:val="0"/>
          <w:sz w:val="22"/>
          <w:szCs w:val="24"/>
          <w:u w:val="single"/>
        </w:rPr>
      </w:pPr>
      <w:r w:rsidRPr="00211E3B">
        <w:rPr>
          <w:snapToGrid w:val="0"/>
          <w:sz w:val="22"/>
          <w:szCs w:val="24"/>
          <w:u w:val="single"/>
        </w:rPr>
        <w:t>Kapsulės turinys</w:t>
      </w:r>
    </w:p>
    <w:p w14:paraId="3C54FF98" w14:textId="63DEAE39" w:rsidR="000D4DBF" w:rsidRPr="00211E3B" w:rsidRDefault="002013D3" w:rsidP="000D4DBF">
      <w:pPr>
        <w:rPr>
          <w:snapToGrid w:val="0"/>
          <w:sz w:val="22"/>
          <w:szCs w:val="24"/>
        </w:rPr>
      </w:pPr>
      <w:r>
        <w:rPr>
          <w:snapToGrid w:val="0"/>
          <w:sz w:val="22"/>
          <w:szCs w:val="24"/>
        </w:rPr>
        <w:t>Vidutinės grandinės t</w:t>
      </w:r>
      <w:r w:rsidR="000D4DBF" w:rsidRPr="00211E3B">
        <w:rPr>
          <w:snapToGrid w:val="0"/>
          <w:sz w:val="22"/>
          <w:szCs w:val="24"/>
        </w:rPr>
        <w:t>rigliceridai</w:t>
      </w:r>
    </w:p>
    <w:p w14:paraId="3B5F3D7F" w14:textId="77777777" w:rsidR="000D4DBF" w:rsidRPr="00211E3B" w:rsidRDefault="000D4DBF" w:rsidP="000D4DBF">
      <w:pPr>
        <w:rPr>
          <w:snapToGrid w:val="0"/>
          <w:sz w:val="22"/>
          <w:szCs w:val="24"/>
        </w:rPr>
      </w:pPr>
      <w:r w:rsidRPr="00211E3B">
        <w:rPr>
          <w:snapToGrid w:val="0"/>
          <w:sz w:val="22"/>
          <w:szCs w:val="24"/>
        </w:rPr>
        <w:t>Kietieji riebalai</w:t>
      </w:r>
    </w:p>
    <w:p w14:paraId="137122CE" w14:textId="77777777" w:rsidR="000D4DBF" w:rsidRPr="00211E3B" w:rsidRDefault="000D4DBF" w:rsidP="000D4DBF">
      <w:pPr>
        <w:rPr>
          <w:snapToGrid w:val="0"/>
          <w:sz w:val="22"/>
          <w:szCs w:val="24"/>
        </w:rPr>
      </w:pPr>
      <w:r w:rsidRPr="00211E3B">
        <w:rPr>
          <w:snapToGrid w:val="0"/>
          <w:sz w:val="22"/>
          <w:szCs w:val="24"/>
        </w:rPr>
        <w:t>Poligliceril-3-dioleatas</w:t>
      </w:r>
    </w:p>
    <w:p w14:paraId="1E9BB16C" w14:textId="77777777" w:rsidR="000D4DBF" w:rsidRPr="00211E3B" w:rsidRDefault="000D4DBF" w:rsidP="000D4DBF">
      <w:pPr>
        <w:rPr>
          <w:snapToGrid w:val="0"/>
          <w:sz w:val="22"/>
          <w:szCs w:val="24"/>
        </w:rPr>
      </w:pPr>
    </w:p>
    <w:p w14:paraId="224FF4D4" w14:textId="77777777" w:rsidR="000D4DBF" w:rsidRPr="00211E3B" w:rsidRDefault="000D4DBF" w:rsidP="000D4DBF">
      <w:pPr>
        <w:rPr>
          <w:snapToGrid w:val="0"/>
          <w:sz w:val="22"/>
          <w:szCs w:val="24"/>
          <w:u w:val="single"/>
        </w:rPr>
      </w:pPr>
      <w:r w:rsidRPr="00211E3B">
        <w:rPr>
          <w:snapToGrid w:val="0"/>
          <w:sz w:val="22"/>
          <w:szCs w:val="24"/>
          <w:u w:val="single"/>
        </w:rPr>
        <w:t>Kapsulės korpusas</w:t>
      </w:r>
    </w:p>
    <w:p w14:paraId="70702DDF" w14:textId="5861A0BB" w:rsidR="000D4DBF" w:rsidRPr="00211E3B" w:rsidRDefault="000D4DBF" w:rsidP="000D4DBF">
      <w:pPr>
        <w:rPr>
          <w:snapToGrid w:val="0"/>
          <w:sz w:val="22"/>
          <w:szCs w:val="24"/>
        </w:rPr>
      </w:pPr>
      <w:r w:rsidRPr="00211E3B">
        <w:rPr>
          <w:snapToGrid w:val="0"/>
          <w:sz w:val="22"/>
          <w:szCs w:val="24"/>
        </w:rPr>
        <w:t>Želatina</w:t>
      </w:r>
    </w:p>
    <w:p w14:paraId="7650F84C" w14:textId="77777777" w:rsidR="000D4DBF" w:rsidRPr="00211E3B" w:rsidRDefault="000D4DBF" w:rsidP="000D4DBF">
      <w:pPr>
        <w:rPr>
          <w:snapToGrid w:val="0"/>
          <w:sz w:val="22"/>
          <w:szCs w:val="24"/>
        </w:rPr>
      </w:pPr>
      <w:r w:rsidRPr="00211E3B">
        <w:rPr>
          <w:snapToGrid w:val="0"/>
          <w:sz w:val="22"/>
          <w:szCs w:val="24"/>
        </w:rPr>
        <w:t>Glicerolis</w:t>
      </w:r>
    </w:p>
    <w:p w14:paraId="1B52760B" w14:textId="70CEABA1" w:rsidR="000D4DBF" w:rsidRPr="00211E3B" w:rsidRDefault="000D4DBF" w:rsidP="000D4DBF">
      <w:pPr>
        <w:rPr>
          <w:snapToGrid w:val="0"/>
          <w:sz w:val="22"/>
          <w:szCs w:val="24"/>
        </w:rPr>
      </w:pPr>
      <w:r w:rsidRPr="00211E3B">
        <w:rPr>
          <w:snapToGrid w:val="0"/>
          <w:sz w:val="22"/>
          <w:szCs w:val="24"/>
        </w:rPr>
        <w:t>Titano dioksidas (E171)</w:t>
      </w:r>
    </w:p>
    <w:p w14:paraId="5A0547BD" w14:textId="439B210C" w:rsidR="000D4DBF" w:rsidRPr="00211E3B" w:rsidRDefault="000D4DBF" w:rsidP="000D4DBF">
      <w:pPr>
        <w:rPr>
          <w:snapToGrid w:val="0"/>
          <w:sz w:val="22"/>
          <w:szCs w:val="24"/>
        </w:rPr>
      </w:pPr>
      <w:r w:rsidRPr="00211E3B">
        <w:rPr>
          <w:snapToGrid w:val="0"/>
          <w:sz w:val="22"/>
          <w:szCs w:val="24"/>
        </w:rPr>
        <w:t>Raudonasis geležies oksidas (E172)</w:t>
      </w:r>
    </w:p>
    <w:p w14:paraId="45875658" w14:textId="314F9005" w:rsidR="000D4DBF" w:rsidRPr="00211E3B" w:rsidRDefault="000D4DBF" w:rsidP="000D4DBF">
      <w:pPr>
        <w:rPr>
          <w:snapToGrid w:val="0"/>
          <w:sz w:val="22"/>
          <w:szCs w:val="24"/>
        </w:rPr>
      </w:pPr>
      <w:r w:rsidRPr="00211E3B">
        <w:rPr>
          <w:snapToGrid w:val="0"/>
          <w:sz w:val="22"/>
          <w:szCs w:val="24"/>
        </w:rPr>
        <w:t>Geltonasis geležies oksidas (E172)</w:t>
      </w:r>
    </w:p>
    <w:p w14:paraId="74083958" w14:textId="77777777" w:rsidR="000D4DBF" w:rsidRPr="00211E3B" w:rsidRDefault="000D4DBF" w:rsidP="000D4DBF">
      <w:pPr>
        <w:rPr>
          <w:snapToGrid w:val="0"/>
          <w:sz w:val="22"/>
          <w:szCs w:val="24"/>
        </w:rPr>
      </w:pPr>
      <w:r w:rsidRPr="00211E3B">
        <w:rPr>
          <w:snapToGrid w:val="0"/>
          <w:sz w:val="22"/>
          <w:szCs w:val="24"/>
        </w:rPr>
        <w:t>Išgrynintas vanduo</w:t>
      </w:r>
    </w:p>
    <w:p w14:paraId="227D378E" w14:textId="77777777" w:rsidR="000D4DBF" w:rsidRPr="00211E3B" w:rsidRDefault="000D4DBF" w:rsidP="000D4DBF">
      <w:pPr>
        <w:rPr>
          <w:snapToGrid w:val="0"/>
          <w:sz w:val="22"/>
          <w:szCs w:val="24"/>
        </w:rPr>
      </w:pPr>
    </w:p>
    <w:p w14:paraId="1A9CC172" w14:textId="149AC547" w:rsidR="000D4DBF" w:rsidRPr="00211E3B" w:rsidRDefault="00A65543" w:rsidP="000D4DBF">
      <w:pPr>
        <w:rPr>
          <w:snapToGrid w:val="0"/>
          <w:sz w:val="22"/>
          <w:szCs w:val="24"/>
          <w:u w:val="single"/>
        </w:rPr>
      </w:pPr>
      <w:r w:rsidRPr="00211E3B">
        <w:rPr>
          <w:snapToGrid w:val="0"/>
          <w:sz w:val="22"/>
          <w:szCs w:val="24"/>
          <w:u w:val="single"/>
        </w:rPr>
        <w:t>Spaustuvinis rašalas</w:t>
      </w:r>
    </w:p>
    <w:p w14:paraId="0F8A623C" w14:textId="77777777" w:rsidR="000D4DBF" w:rsidRPr="00211E3B" w:rsidRDefault="000D4DBF" w:rsidP="000D4DBF">
      <w:pPr>
        <w:rPr>
          <w:snapToGrid w:val="0"/>
          <w:sz w:val="22"/>
          <w:szCs w:val="24"/>
        </w:rPr>
      </w:pPr>
      <w:r w:rsidRPr="00211E3B">
        <w:rPr>
          <w:snapToGrid w:val="0"/>
          <w:sz w:val="22"/>
          <w:szCs w:val="24"/>
        </w:rPr>
        <w:t>Šelakas</w:t>
      </w:r>
    </w:p>
    <w:p w14:paraId="7A8CDAD4" w14:textId="5454CE4E" w:rsidR="00A65543" w:rsidRPr="00211E3B" w:rsidRDefault="00A65543" w:rsidP="000D4DBF">
      <w:pPr>
        <w:rPr>
          <w:snapToGrid w:val="0"/>
          <w:sz w:val="22"/>
          <w:szCs w:val="24"/>
        </w:rPr>
      </w:pPr>
      <w:r w:rsidRPr="00211E3B">
        <w:rPr>
          <w:snapToGrid w:val="0"/>
          <w:sz w:val="22"/>
          <w:szCs w:val="24"/>
        </w:rPr>
        <w:t>Karminas (E120)</w:t>
      </w:r>
    </w:p>
    <w:p w14:paraId="6C69879C" w14:textId="547B72E8" w:rsidR="005D554B" w:rsidRPr="00211E3B" w:rsidRDefault="000D4DBF" w:rsidP="000D4DBF">
      <w:pPr>
        <w:rPr>
          <w:snapToGrid w:val="0"/>
          <w:sz w:val="22"/>
          <w:szCs w:val="24"/>
        </w:rPr>
      </w:pPr>
      <w:r w:rsidRPr="00211E3B">
        <w:rPr>
          <w:snapToGrid w:val="0"/>
          <w:sz w:val="22"/>
          <w:szCs w:val="24"/>
        </w:rPr>
        <w:t>Propilenglikolis (E1520)</w:t>
      </w:r>
    </w:p>
    <w:p w14:paraId="7F93563B" w14:textId="163AF070" w:rsidR="00A65543" w:rsidRPr="00211E3B" w:rsidRDefault="00A65543" w:rsidP="000D4DBF">
      <w:pPr>
        <w:rPr>
          <w:snapToGrid w:val="0"/>
          <w:sz w:val="22"/>
          <w:szCs w:val="24"/>
        </w:rPr>
      </w:pPr>
      <w:r w:rsidRPr="00211E3B">
        <w:rPr>
          <w:snapToGrid w:val="0"/>
          <w:sz w:val="22"/>
          <w:szCs w:val="24"/>
        </w:rPr>
        <w:t>Simetikonas</w:t>
      </w:r>
    </w:p>
    <w:p w14:paraId="27845699" w14:textId="77777777" w:rsidR="005D554B" w:rsidRDefault="005D554B" w:rsidP="005D554B">
      <w:pPr>
        <w:rPr>
          <w:snapToGrid w:val="0"/>
          <w:sz w:val="22"/>
          <w:szCs w:val="24"/>
        </w:rPr>
      </w:pPr>
    </w:p>
    <w:p w14:paraId="6B2AAD44" w14:textId="6098AF63" w:rsidR="00B4060D" w:rsidRPr="00B4060D" w:rsidRDefault="00B4060D" w:rsidP="00AD2E74">
      <w:pPr>
        <w:keepNext/>
        <w:keepLines/>
        <w:tabs>
          <w:tab w:val="left" w:pos="567"/>
        </w:tabs>
        <w:rPr>
          <w:iCs/>
          <w:sz w:val="22"/>
          <w:u w:val="single"/>
        </w:rPr>
      </w:pPr>
      <w:r w:rsidRPr="00B4060D">
        <w:rPr>
          <w:iCs/>
          <w:sz w:val="22"/>
          <w:u w:val="single"/>
        </w:rPr>
        <w:t>Agarf 150 mg minkštosios kapsulės</w:t>
      </w:r>
    </w:p>
    <w:p w14:paraId="6559474E" w14:textId="77777777" w:rsidR="00B4060D" w:rsidRPr="00211E3B" w:rsidRDefault="00B4060D" w:rsidP="00B4060D">
      <w:pPr>
        <w:rPr>
          <w:snapToGrid w:val="0"/>
          <w:sz w:val="22"/>
          <w:szCs w:val="24"/>
          <w:u w:val="single"/>
        </w:rPr>
      </w:pPr>
      <w:r w:rsidRPr="00211E3B">
        <w:rPr>
          <w:snapToGrid w:val="0"/>
          <w:sz w:val="22"/>
          <w:szCs w:val="24"/>
          <w:u w:val="single"/>
        </w:rPr>
        <w:t>Kapsulės turinys</w:t>
      </w:r>
    </w:p>
    <w:p w14:paraId="2D11704D" w14:textId="77777777" w:rsidR="00B4060D" w:rsidRPr="00211E3B" w:rsidRDefault="00B4060D" w:rsidP="00B4060D">
      <w:pPr>
        <w:rPr>
          <w:snapToGrid w:val="0"/>
          <w:sz w:val="22"/>
          <w:szCs w:val="24"/>
        </w:rPr>
      </w:pPr>
      <w:r>
        <w:rPr>
          <w:snapToGrid w:val="0"/>
          <w:sz w:val="22"/>
          <w:szCs w:val="24"/>
        </w:rPr>
        <w:t>Vidutinės grandinės t</w:t>
      </w:r>
      <w:r w:rsidRPr="00211E3B">
        <w:rPr>
          <w:snapToGrid w:val="0"/>
          <w:sz w:val="22"/>
          <w:szCs w:val="24"/>
        </w:rPr>
        <w:t>rigliceridai</w:t>
      </w:r>
    </w:p>
    <w:p w14:paraId="110E0235" w14:textId="77777777" w:rsidR="00B4060D" w:rsidRPr="00211E3B" w:rsidRDefault="00B4060D" w:rsidP="00B4060D">
      <w:pPr>
        <w:rPr>
          <w:snapToGrid w:val="0"/>
          <w:sz w:val="22"/>
          <w:szCs w:val="24"/>
        </w:rPr>
      </w:pPr>
      <w:r w:rsidRPr="00211E3B">
        <w:rPr>
          <w:snapToGrid w:val="0"/>
          <w:sz w:val="22"/>
          <w:szCs w:val="24"/>
        </w:rPr>
        <w:t>Kietieji riebalai</w:t>
      </w:r>
    </w:p>
    <w:p w14:paraId="617762A0" w14:textId="77777777" w:rsidR="00B4060D" w:rsidRPr="00211E3B" w:rsidRDefault="00B4060D" w:rsidP="00B4060D">
      <w:pPr>
        <w:rPr>
          <w:snapToGrid w:val="0"/>
          <w:sz w:val="22"/>
          <w:szCs w:val="24"/>
        </w:rPr>
      </w:pPr>
      <w:r w:rsidRPr="00211E3B">
        <w:rPr>
          <w:snapToGrid w:val="0"/>
          <w:sz w:val="22"/>
          <w:szCs w:val="24"/>
        </w:rPr>
        <w:t>Poligliceril-3-dioleatas</w:t>
      </w:r>
    </w:p>
    <w:p w14:paraId="3C0F76E2" w14:textId="77777777" w:rsidR="00B4060D" w:rsidRPr="00211E3B" w:rsidRDefault="00B4060D" w:rsidP="00B4060D">
      <w:pPr>
        <w:rPr>
          <w:snapToGrid w:val="0"/>
          <w:sz w:val="22"/>
          <w:szCs w:val="24"/>
        </w:rPr>
      </w:pPr>
    </w:p>
    <w:p w14:paraId="38507F03" w14:textId="77777777" w:rsidR="00B4060D" w:rsidRPr="00211E3B" w:rsidRDefault="00B4060D" w:rsidP="00B4060D">
      <w:pPr>
        <w:rPr>
          <w:snapToGrid w:val="0"/>
          <w:sz w:val="22"/>
          <w:szCs w:val="24"/>
          <w:u w:val="single"/>
        </w:rPr>
      </w:pPr>
      <w:r w:rsidRPr="00211E3B">
        <w:rPr>
          <w:snapToGrid w:val="0"/>
          <w:sz w:val="22"/>
          <w:szCs w:val="24"/>
          <w:u w:val="single"/>
        </w:rPr>
        <w:t>Kapsulės korpusas</w:t>
      </w:r>
    </w:p>
    <w:p w14:paraId="032577CD" w14:textId="77777777" w:rsidR="00B4060D" w:rsidRPr="00211E3B" w:rsidRDefault="00B4060D" w:rsidP="00B4060D">
      <w:pPr>
        <w:rPr>
          <w:snapToGrid w:val="0"/>
          <w:sz w:val="22"/>
          <w:szCs w:val="24"/>
        </w:rPr>
      </w:pPr>
      <w:r w:rsidRPr="00211E3B">
        <w:rPr>
          <w:snapToGrid w:val="0"/>
          <w:sz w:val="22"/>
          <w:szCs w:val="24"/>
        </w:rPr>
        <w:t>Želatina</w:t>
      </w:r>
    </w:p>
    <w:p w14:paraId="4F71A18E" w14:textId="77777777" w:rsidR="00B4060D" w:rsidRPr="00211E3B" w:rsidRDefault="00B4060D" w:rsidP="00B4060D">
      <w:pPr>
        <w:rPr>
          <w:snapToGrid w:val="0"/>
          <w:sz w:val="22"/>
          <w:szCs w:val="24"/>
        </w:rPr>
      </w:pPr>
      <w:r w:rsidRPr="00211E3B">
        <w:rPr>
          <w:snapToGrid w:val="0"/>
          <w:sz w:val="22"/>
          <w:szCs w:val="24"/>
        </w:rPr>
        <w:t>Glicerolis</w:t>
      </w:r>
    </w:p>
    <w:p w14:paraId="554F9343" w14:textId="77777777" w:rsidR="00B4060D" w:rsidRPr="00211E3B" w:rsidRDefault="00B4060D" w:rsidP="00B4060D">
      <w:pPr>
        <w:rPr>
          <w:snapToGrid w:val="0"/>
          <w:sz w:val="22"/>
          <w:szCs w:val="24"/>
        </w:rPr>
      </w:pPr>
      <w:r w:rsidRPr="00211E3B">
        <w:rPr>
          <w:snapToGrid w:val="0"/>
          <w:sz w:val="22"/>
          <w:szCs w:val="24"/>
        </w:rPr>
        <w:t>Titano dioksidas (E171)</w:t>
      </w:r>
    </w:p>
    <w:p w14:paraId="68D1578A" w14:textId="77777777" w:rsidR="00B4060D" w:rsidRPr="00211E3B" w:rsidRDefault="00B4060D" w:rsidP="00B4060D">
      <w:pPr>
        <w:rPr>
          <w:snapToGrid w:val="0"/>
          <w:sz w:val="22"/>
          <w:szCs w:val="24"/>
        </w:rPr>
      </w:pPr>
      <w:r w:rsidRPr="00211E3B">
        <w:rPr>
          <w:snapToGrid w:val="0"/>
          <w:sz w:val="22"/>
          <w:szCs w:val="24"/>
        </w:rPr>
        <w:t>Raudonasis geležies oksidas (E172)</w:t>
      </w:r>
    </w:p>
    <w:p w14:paraId="4218400B" w14:textId="77777777" w:rsidR="00B4060D" w:rsidRPr="00211E3B" w:rsidRDefault="00B4060D" w:rsidP="00B4060D">
      <w:pPr>
        <w:rPr>
          <w:snapToGrid w:val="0"/>
          <w:sz w:val="22"/>
          <w:szCs w:val="24"/>
        </w:rPr>
      </w:pPr>
      <w:r w:rsidRPr="00211E3B">
        <w:rPr>
          <w:snapToGrid w:val="0"/>
          <w:sz w:val="22"/>
          <w:szCs w:val="24"/>
        </w:rPr>
        <w:t>Geltonasis geležies oksidas (E172)</w:t>
      </w:r>
    </w:p>
    <w:p w14:paraId="375DC9F4" w14:textId="77777777" w:rsidR="00B4060D" w:rsidRPr="00211E3B" w:rsidRDefault="00B4060D" w:rsidP="00B4060D">
      <w:pPr>
        <w:rPr>
          <w:snapToGrid w:val="0"/>
          <w:sz w:val="22"/>
          <w:szCs w:val="24"/>
        </w:rPr>
      </w:pPr>
      <w:r w:rsidRPr="00211E3B">
        <w:rPr>
          <w:snapToGrid w:val="0"/>
          <w:sz w:val="22"/>
          <w:szCs w:val="24"/>
        </w:rPr>
        <w:t>Išgrynintas vanduo</w:t>
      </w:r>
    </w:p>
    <w:p w14:paraId="241954F5" w14:textId="77777777" w:rsidR="00B4060D" w:rsidRPr="00211E3B" w:rsidRDefault="00B4060D" w:rsidP="00B4060D">
      <w:pPr>
        <w:rPr>
          <w:snapToGrid w:val="0"/>
          <w:sz w:val="22"/>
          <w:szCs w:val="24"/>
        </w:rPr>
      </w:pPr>
    </w:p>
    <w:p w14:paraId="7ADD0122" w14:textId="77777777" w:rsidR="00B4060D" w:rsidRPr="00211E3B" w:rsidRDefault="00B4060D" w:rsidP="00B4060D">
      <w:pPr>
        <w:rPr>
          <w:snapToGrid w:val="0"/>
          <w:sz w:val="22"/>
          <w:szCs w:val="24"/>
          <w:u w:val="single"/>
        </w:rPr>
      </w:pPr>
      <w:r w:rsidRPr="00211E3B">
        <w:rPr>
          <w:snapToGrid w:val="0"/>
          <w:sz w:val="22"/>
          <w:szCs w:val="24"/>
          <w:u w:val="single"/>
        </w:rPr>
        <w:t>Spaustuvinis rašalas</w:t>
      </w:r>
    </w:p>
    <w:p w14:paraId="0B817628" w14:textId="77777777" w:rsidR="00B4060D" w:rsidRPr="00211E3B" w:rsidRDefault="00B4060D" w:rsidP="00B4060D">
      <w:pPr>
        <w:rPr>
          <w:snapToGrid w:val="0"/>
          <w:sz w:val="22"/>
          <w:szCs w:val="24"/>
        </w:rPr>
      </w:pPr>
      <w:r w:rsidRPr="00211E3B">
        <w:rPr>
          <w:snapToGrid w:val="0"/>
          <w:sz w:val="22"/>
          <w:szCs w:val="24"/>
        </w:rPr>
        <w:t>Šelakas</w:t>
      </w:r>
    </w:p>
    <w:p w14:paraId="009E994D" w14:textId="5A78DFFD" w:rsidR="00B4060D" w:rsidRPr="00211E3B" w:rsidRDefault="00B4060D" w:rsidP="00B4060D">
      <w:pPr>
        <w:rPr>
          <w:snapToGrid w:val="0"/>
          <w:sz w:val="22"/>
          <w:szCs w:val="24"/>
        </w:rPr>
      </w:pPr>
      <w:r>
        <w:rPr>
          <w:snapToGrid w:val="0"/>
          <w:sz w:val="22"/>
          <w:szCs w:val="24"/>
        </w:rPr>
        <w:t xml:space="preserve">Juodasis </w:t>
      </w:r>
      <w:r w:rsidR="00795CF9" w:rsidRPr="00795CF9">
        <w:rPr>
          <w:snapToGrid w:val="0"/>
          <w:sz w:val="22"/>
          <w:szCs w:val="24"/>
        </w:rPr>
        <w:t>geležies oksidas (E172)</w:t>
      </w:r>
    </w:p>
    <w:p w14:paraId="5F6BDE5C" w14:textId="77777777" w:rsidR="00B4060D" w:rsidRPr="00211E3B" w:rsidRDefault="00B4060D" w:rsidP="00B4060D">
      <w:pPr>
        <w:rPr>
          <w:snapToGrid w:val="0"/>
          <w:sz w:val="22"/>
          <w:szCs w:val="24"/>
        </w:rPr>
      </w:pPr>
      <w:r w:rsidRPr="00211E3B">
        <w:rPr>
          <w:snapToGrid w:val="0"/>
          <w:sz w:val="22"/>
          <w:szCs w:val="24"/>
        </w:rPr>
        <w:t>Propilenglikolis (E1520)</w:t>
      </w:r>
    </w:p>
    <w:p w14:paraId="35AF1DA5" w14:textId="77777777" w:rsidR="00B4060D" w:rsidRDefault="00B4060D" w:rsidP="005D554B">
      <w:pPr>
        <w:rPr>
          <w:snapToGrid w:val="0"/>
          <w:sz w:val="22"/>
          <w:szCs w:val="24"/>
        </w:rPr>
      </w:pPr>
    </w:p>
    <w:p w14:paraId="30647BA3" w14:textId="77777777" w:rsidR="00B4060D" w:rsidRPr="00211E3B" w:rsidRDefault="00B4060D" w:rsidP="005D554B">
      <w:pPr>
        <w:rPr>
          <w:snapToGrid w:val="0"/>
          <w:sz w:val="22"/>
          <w:szCs w:val="24"/>
        </w:rPr>
      </w:pPr>
    </w:p>
    <w:p w14:paraId="1AFAE6DA" w14:textId="77777777" w:rsidR="005D554B" w:rsidRPr="00211E3B" w:rsidRDefault="005D554B" w:rsidP="005D554B">
      <w:pPr>
        <w:keepNext/>
        <w:tabs>
          <w:tab w:val="left" w:pos="567"/>
        </w:tabs>
        <w:spacing w:line="260" w:lineRule="exact"/>
        <w:jc w:val="both"/>
        <w:outlineLvl w:val="3"/>
        <w:rPr>
          <w:b/>
          <w:bCs/>
          <w:snapToGrid w:val="0"/>
          <w:sz w:val="22"/>
          <w:szCs w:val="28"/>
          <w:lang w:eastAsia="x-none"/>
        </w:rPr>
      </w:pPr>
      <w:r w:rsidRPr="00211E3B">
        <w:rPr>
          <w:b/>
          <w:bCs/>
          <w:snapToGrid w:val="0"/>
          <w:sz w:val="22"/>
          <w:szCs w:val="28"/>
          <w:lang w:eastAsia="x-none"/>
        </w:rPr>
        <w:t>6.2</w:t>
      </w:r>
      <w:r w:rsidRPr="00211E3B">
        <w:rPr>
          <w:b/>
          <w:bCs/>
          <w:snapToGrid w:val="0"/>
          <w:sz w:val="22"/>
          <w:szCs w:val="28"/>
          <w:lang w:eastAsia="x-none"/>
        </w:rPr>
        <w:tab/>
        <w:t>Nesuderinamumas</w:t>
      </w:r>
    </w:p>
    <w:p w14:paraId="267706AC" w14:textId="77777777" w:rsidR="005D554B" w:rsidRPr="00211E3B" w:rsidRDefault="005D554B" w:rsidP="005D554B">
      <w:pPr>
        <w:rPr>
          <w:snapToGrid w:val="0"/>
          <w:sz w:val="22"/>
          <w:szCs w:val="24"/>
        </w:rPr>
      </w:pPr>
    </w:p>
    <w:p w14:paraId="3F47C748" w14:textId="7F48E10B" w:rsidR="009F0B16" w:rsidRPr="00211E3B" w:rsidRDefault="005D554B" w:rsidP="009F0B16">
      <w:pPr>
        <w:rPr>
          <w:snapToGrid w:val="0"/>
          <w:sz w:val="22"/>
          <w:szCs w:val="24"/>
        </w:rPr>
      </w:pPr>
      <w:r w:rsidRPr="00211E3B">
        <w:rPr>
          <w:snapToGrid w:val="0"/>
          <w:sz w:val="22"/>
          <w:szCs w:val="24"/>
        </w:rPr>
        <w:t>Duomenys nebūtini</w:t>
      </w:r>
      <w:r w:rsidR="002013D3">
        <w:rPr>
          <w:snapToGrid w:val="0"/>
          <w:sz w:val="22"/>
          <w:szCs w:val="24"/>
        </w:rPr>
        <w:t>.</w:t>
      </w:r>
    </w:p>
    <w:p w14:paraId="68385AA3" w14:textId="77777777" w:rsidR="005D554B" w:rsidRPr="00211E3B" w:rsidRDefault="005D554B" w:rsidP="005D554B">
      <w:pPr>
        <w:rPr>
          <w:snapToGrid w:val="0"/>
          <w:sz w:val="22"/>
          <w:szCs w:val="24"/>
        </w:rPr>
      </w:pPr>
    </w:p>
    <w:p w14:paraId="54FA0FD5" w14:textId="77777777" w:rsidR="005D554B" w:rsidRPr="00211E3B" w:rsidRDefault="005D554B" w:rsidP="005D554B">
      <w:pPr>
        <w:keepNext/>
        <w:tabs>
          <w:tab w:val="left" w:pos="567"/>
        </w:tabs>
        <w:spacing w:line="260" w:lineRule="exact"/>
        <w:jc w:val="both"/>
        <w:outlineLvl w:val="3"/>
        <w:rPr>
          <w:b/>
          <w:bCs/>
          <w:snapToGrid w:val="0"/>
          <w:sz w:val="22"/>
          <w:szCs w:val="28"/>
          <w:lang w:eastAsia="x-none"/>
        </w:rPr>
      </w:pPr>
      <w:r w:rsidRPr="00211E3B">
        <w:rPr>
          <w:b/>
          <w:bCs/>
          <w:snapToGrid w:val="0"/>
          <w:sz w:val="22"/>
          <w:szCs w:val="28"/>
          <w:lang w:eastAsia="x-none"/>
        </w:rPr>
        <w:t>6.3</w:t>
      </w:r>
      <w:r w:rsidRPr="00211E3B">
        <w:rPr>
          <w:b/>
          <w:bCs/>
          <w:snapToGrid w:val="0"/>
          <w:sz w:val="22"/>
          <w:szCs w:val="28"/>
          <w:lang w:eastAsia="x-none"/>
        </w:rPr>
        <w:tab/>
        <w:t>Tinkamumo laikas</w:t>
      </w:r>
    </w:p>
    <w:p w14:paraId="183E3872" w14:textId="77777777" w:rsidR="005D554B" w:rsidRPr="00211E3B" w:rsidRDefault="005D554B" w:rsidP="005D554B">
      <w:pPr>
        <w:rPr>
          <w:snapToGrid w:val="0"/>
          <w:sz w:val="22"/>
          <w:szCs w:val="24"/>
        </w:rPr>
      </w:pPr>
    </w:p>
    <w:p w14:paraId="26082DA1" w14:textId="6DB91DD2" w:rsidR="005D554B" w:rsidRPr="00211E3B" w:rsidRDefault="005D554B" w:rsidP="005D554B">
      <w:pPr>
        <w:rPr>
          <w:snapToGrid w:val="0"/>
          <w:sz w:val="22"/>
          <w:szCs w:val="24"/>
        </w:rPr>
      </w:pPr>
      <w:r w:rsidRPr="00211E3B">
        <w:rPr>
          <w:snapToGrid w:val="0"/>
          <w:sz w:val="22"/>
          <w:szCs w:val="24"/>
        </w:rPr>
        <w:t>3</w:t>
      </w:r>
      <w:r w:rsidR="009F0B16" w:rsidRPr="00211E3B">
        <w:rPr>
          <w:snapToGrid w:val="0"/>
          <w:sz w:val="22"/>
          <w:szCs w:val="24"/>
        </w:rPr>
        <w:t> </w:t>
      </w:r>
      <w:r w:rsidRPr="00211E3B">
        <w:rPr>
          <w:snapToGrid w:val="0"/>
          <w:sz w:val="22"/>
          <w:szCs w:val="24"/>
        </w:rPr>
        <w:t>metai</w:t>
      </w:r>
      <w:r w:rsidR="009F0B16" w:rsidRPr="00211E3B">
        <w:rPr>
          <w:snapToGrid w:val="0"/>
          <w:sz w:val="22"/>
          <w:szCs w:val="24"/>
        </w:rPr>
        <w:t>.</w:t>
      </w:r>
    </w:p>
    <w:p w14:paraId="22CB4684" w14:textId="77777777" w:rsidR="005D554B" w:rsidRPr="00211E3B" w:rsidRDefault="005D554B" w:rsidP="005D554B">
      <w:pPr>
        <w:rPr>
          <w:snapToGrid w:val="0"/>
          <w:sz w:val="22"/>
          <w:szCs w:val="24"/>
        </w:rPr>
      </w:pPr>
    </w:p>
    <w:p w14:paraId="6B5D054D" w14:textId="77777777" w:rsidR="005D554B" w:rsidRPr="00211E3B" w:rsidRDefault="005D554B" w:rsidP="005D554B">
      <w:pPr>
        <w:keepNext/>
        <w:tabs>
          <w:tab w:val="left" w:pos="567"/>
        </w:tabs>
        <w:spacing w:line="260" w:lineRule="exact"/>
        <w:jc w:val="both"/>
        <w:outlineLvl w:val="3"/>
        <w:rPr>
          <w:b/>
          <w:bCs/>
          <w:snapToGrid w:val="0"/>
          <w:sz w:val="22"/>
          <w:szCs w:val="28"/>
          <w:lang w:eastAsia="x-none"/>
        </w:rPr>
      </w:pPr>
      <w:r w:rsidRPr="00211E3B">
        <w:rPr>
          <w:b/>
          <w:bCs/>
          <w:snapToGrid w:val="0"/>
          <w:sz w:val="22"/>
          <w:szCs w:val="28"/>
          <w:lang w:eastAsia="x-none"/>
        </w:rPr>
        <w:t>6.4</w:t>
      </w:r>
      <w:r w:rsidRPr="00211E3B">
        <w:rPr>
          <w:b/>
          <w:bCs/>
          <w:snapToGrid w:val="0"/>
          <w:sz w:val="22"/>
          <w:szCs w:val="28"/>
          <w:lang w:eastAsia="x-none"/>
        </w:rPr>
        <w:tab/>
        <w:t>Specialios laikymo sąlygos</w:t>
      </w:r>
    </w:p>
    <w:p w14:paraId="6AA14285" w14:textId="77777777" w:rsidR="005D554B" w:rsidRPr="00211E3B" w:rsidRDefault="005D554B" w:rsidP="005D554B">
      <w:pPr>
        <w:rPr>
          <w:snapToGrid w:val="0"/>
          <w:sz w:val="22"/>
          <w:szCs w:val="24"/>
        </w:rPr>
      </w:pPr>
    </w:p>
    <w:p w14:paraId="4781E9B8" w14:textId="65407C1A" w:rsidR="005D554B" w:rsidRPr="00211E3B" w:rsidRDefault="009F0B16" w:rsidP="005D554B">
      <w:pPr>
        <w:rPr>
          <w:snapToGrid w:val="0"/>
          <w:color w:val="0D0D0D"/>
          <w:sz w:val="22"/>
          <w:szCs w:val="24"/>
        </w:rPr>
      </w:pPr>
      <w:r w:rsidRPr="00211E3B">
        <w:rPr>
          <w:snapToGrid w:val="0"/>
          <w:color w:val="0D0D0D"/>
          <w:sz w:val="22"/>
          <w:szCs w:val="24"/>
        </w:rPr>
        <w:t>Šiam vaistiniam preparatui specialių laikymo sąlygų nereikia.</w:t>
      </w:r>
    </w:p>
    <w:p w14:paraId="5DF005EB" w14:textId="77777777" w:rsidR="005D554B" w:rsidRPr="00211E3B" w:rsidRDefault="005D554B" w:rsidP="005D554B">
      <w:pPr>
        <w:rPr>
          <w:snapToGrid w:val="0"/>
          <w:sz w:val="22"/>
          <w:szCs w:val="24"/>
        </w:rPr>
      </w:pPr>
    </w:p>
    <w:p w14:paraId="5C1FEC8D" w14:textId="3AEB9C08" w:rsidR="005D554B" w:rsidRPr="00211E3B" w:rsidRDefault="005D554B" w:rsidP="005D554B">
      <w:pPr>
        <w:keepNext/>
        <w:tabs>
          <w:tab w:val="left" w:pos="567"/>
        </w:tabs>
        <w:spacing w:line="260" w:lineRule="exact"/>
        <w:jc w:val="both"/>
        <w:outlineLvl w:val="3"/>
        <w:rPr>
          <w:b/>
          <w:bCs/>
          <w:snapToGrid w:val="0"/>
          <w:sz w:val="22"/>
          <w:szCs w:val="28"/>
          <w:lang w:eastAsia="x-none"/>
        </w:rPr>
      </w:pPr>
      <w:r w:rsidRPr="00211E3B">
        <w:rPr>
          <w:b/>
          <w:bCs/>
          <w:snapToGrid w:val="0"/>
          <w:sz w:val="22"/>
          <w:szCs w:val="28"/>
          <w:lang w:eastAsia="x-none"/>
        </w:rPr>
        <w:t>6.5</w:t>
      </w:r>
      <w:r w:rsidRPr="00211E3B">
        <w:rPr>
          <w:b/>
          <w:bCs/>
          <w:snapToGrid w:val="0"/>
          <w:sz w:val="22"/>
          <w:szCs w:val="28"/>
          <w:lang w:eastAsia="x-none"/>
        </w:rPr>
        <w:tab/>
        <w:t>Talpyklės pobūdis ir jos turinys</w:t>
      </w:r>
    </w:p>
    <w:p w14:paraId="4FC2B171" w14:textId="77777777" w:rsidR="005D554B" w:rsidRPr="00211E3B" w:rsidRDefault="005D554B" w:rsidP="005D554B">
      <w:pPr>
        <w:rPr>
          <w:snapToGrid w:val="0"/>
          <w:sz w:val="22"/>
          <w:szCs w:val="24"/>
        </w:rPr>
      </w:pPr>
    </w:p>
    <w:p w14:paraId="3DD89D13" w14:textId="2B62D1E6" w:rsidR="001761A2" w:rsidRPr="00211E3B" w:rsidRDefault="00224B5B" w:rsidP="001761A2">
      <w:pPr>
        <w:rPr>
          <w:snapToGrid w:val="0"/>
          <w:sz w:val="22"/>
          <w:szCs w:val="24"/>
          <w:u w:val="single"/>
        </w:rPr>
      </w:pPr>
      <w:r w:rsidRPr="00211E3B">
        <w:rPr>
          <w:snapToGrid w:val="0"/>
          <w:sz w:val="22"/>
          <w:szCs w:val="24"/>
          <w:u w:val="single"/>
        </w:rPr>
        <w:t>Agarf</w:t>
      </w:r>
      <w:r w:rsidR="001761A2" w:rsidRPr="00211E3B">
        <w:rPr>
          <w:snapToGrid w:val="0"/>
          <w:sz w:val="22"/>
          <w:szCs w:val="24"/>
          <w:u w:val="single"/>
        </w:rPr>
        <w:t xml:space="preserve"> 100</w:t>
      </w:r>
      <w:r w:rsidR="0085390D">
        <w:rPr>
          <w:snapToGrid w:val="0"/>
          <w:sz w:val="22"/>
          <w:szCs w:val="24"/>
          <w:u w:val="single"/>
        </w:rPr>
        <w:t> mg</w:t>
      </w:r>
      <w:r w:rsidR="001761A2" w:rsidRPr="00211E3B">
        <w:rPr>
          <w:snapToGrid w:val="0"/>
          <w:sz w:val="22"/>
          <w:szCs w:val="24"/>
          <w:u w:val="single"/>
        </w:rPr>
        <w:t xml:space="preserve"> minkštosios kapsulės</w:t>
      </w:r>
    </w:p>
    <w:p w14:paraId="3A0EA976" w14:textId="7DBCD66F" w:rsidR="001761A2" w:rsidRPr="00211E3B" w:rsidRDefault="001761A2" w:rsidP="001761A2">
      <w:pPr>
        <w:rPr>
          <w:snapToGrid w:val="0"/>
          <w:sz w:val="22"/>
          <w:szCs w:val="24"/>
        </w:rPr>
      </w:pPr>
      <w:r w:rsidRPr="00211E3B">
        <w:rPr>
          <w:snapToGrid w:val="0"/>
          <w:sz w:val="22"/>
          <w:szCs w:val="24"/>
        </w:rPr>
        <w:lastRenderedPageBreak/>
        <w:t>60 x 1 minkštoji kapsulė OPA/aliuminio/PVC aliuminio perforuotose dalomosiose lizdinėse plokštelėse</w:t>
      </w:r>
      <w:r w:rsidR="002013D3">
        <w:rPr>
          <w:snapToGrid w:val="0"/>
          <w:sz w:val="22"/>
          <w:szCs w:val="24"/>
        </w:rPr>
        <w:t>.</w:t>
      </w:r>
    </w:p>
    <w:p w14:paraId="5F87D940" w14:textId="77777777" w:rsidR="001761A2" w:rsidRPr="00211E3B" w:rsidRDefault="001761A2" w:rsidP="001761A2">
      <w:pPr>
        <w:rPr>
          <w:snapToGrid w:val="0"/>
          <w:sz w:val="22"/>
          <w:szCs w:val="24"/>
        </w:rPr>
      </w:pPr>
    </w:p>
    <w:p w14:paraId="2A381038" w14:textId="745DE40F" w:rsidR="001761A2" w:rsidRPr="00211E3B" w:rsidRDefault="00224B5B" w:rsidP="001761A2">
      <w:pPr>
        <w:rPr>
          <w:snapToGrid w:val="0"/>
          <w:sz w:val="22"/>
          <w:szCs w:val="24"/>
          <w:u w:val="single"/>
        </w:rPr>
      </w:pPr>
      <w:r w:rsidRPr="00211E3B">
        <w:rPr>
          <w:snapToGrid w:val="0"/>
          <w:sz w:val="22"/>
          <w:szCs w:val="24"/>
          <w:u w:val="single"/>
        </w:rPr>
        <w:t>Agarf</w:t>
      </w:r>
      <w:r w:rsidR="001761A2" w:rsidRPr="00211E3B">
        <w:rPr>
          <w:snapToGrid w:val="0"/>
          <w:sz w:val="22"/>
          <w:szCs w:val="24"/>
          <w:u w:val="single"/>
        </w:rPr>
        <w:t xml:space="preserve"> 150</w:t>
      </w:r>
      <w:r w:rsidR="0085390D">
        <w:rPr>
          <w:snapToGrid w:val="0"/>
          <w:sz w:val="22"/>
          <w:szCs w:val="24"/>
          <w:u w:val="single"/>
        </w:rPr>
        <w:t> mg</w:t>
      </w:r>
      <w:r w:rsidR="001761A2" w:rsidRPr="00211E3B">
        <w:rPr>
          <w:snapToGrid w:val="0"/>
          <w:sz w:val="22"/>
          <w:szCs w:val="24"/>
          <w:u w:val="single"/>
        </w:rPr>
        <w:t xml:space="preserve"> minkštosios kapsulės</w:t>
      </w:r>
    </w:p>
    <w:p w14:paraId="02277DCD" w14:textId="0C853A00" w:rsidR="001761A2" w:rsidRPr="00211E3B" w:rsidRDefault="001761A2" w:rsidP="001761A2">
      <w:pPr>
        <w:rPr>
          <w:snapToGrid w:val="0"/>
          <w:sz w:val="22"/>
          <w:szCs w:val="24"/>
        </w:rPr>
      </w:pPr>
      <w:r w:rsidRPr="00211E3B">
        <w:rPr>
          <w:snapToGrid w:val="0"/>
          <w:sz w:val="22"/>
          <w:szCs w:val="24"/>
        </w:rPr>
        <w:t>30 x 1 minkštoji kapsulė OPA/aliuminio/PVC aliuminio perforuotose dalomosiose lizdinėse plokštelėse</w:t>
      </w:r>
      <w:r w:rsidR="002013D3">
        <w:rPr>
          <w:snapToGrid w:val="0"/>
          <w:sz w:val="22"/>
          <w:szCs w:val="24"/>
        </w:rPr>
        <w:t>.</w:t>
      </w:r>
    </w:p>
    <w:p w14:paraId="4011C151" w14:textId="473A2C81" w:rsidR="001761A2" w:rsidRPr="00211E3B" w:rsidRDefault="001761A2" w:rsidP="001761A2">
      <w:pPr>
        <w:rPr>
          <w:snapToGrid w:val="0"/>
          <w:sz w:val="22"/>
          <w:szCs w:val="24"/>
        </w:rPr>
      </w:pPr>
      <w:r w:rsidRPr="00211E3B">
        <w:rPr>
          <w:snapToGrid w:val="0"/>
          <w:sz w:val="22"/>
          <w:szCs w:val="24"/>
        </w:rPr>
        <w:t>60 x 1 minkštoji kapsulė OPA/aliuminio/PVC aliuminio perforuotose dalomosiose lizdinėse plokštelėse</w:t>
      </w:r>
      <w:r w:rsidR="002013D3">
        <w:rPr>
          <w:snapToGrid w:val="0"/>
          <w:sz w:val="22"/>
          <w:szCs w:val="24"/>
        </w:rPr>
        <w:t>.</w:t>
      </w:r>
    </w:p>
    <w:p w14:paraId="4BAC40A0" w14:textId="77777777" w:rsidR="001761A2" w:rsidRPr="00211E3B" w:rsidRDefault="001761A2" w:rsidP="001761A2">
      <w:pPr>
        <w:rPr>
          <w:snapToGrid w:val="0"/>
          <w:sz w:val="22"/>
          <w:szCs w:val="24"/>
        </w:rPr>
      </w:pPr>
    </w:p>
    <w:p w14:paraId="7B1E1C2E" w14:textId="5C8BED49" w:rsidR="005D554B" w:rsidRPr="00211E3B" w:rsidRDefault="005D554B" w:rsidP="001761A2">
      <w:pPr>
        <w:rPr>
          <w:snapToGrid w:val="0"/>
          <w:sz w:val="22"/>
          <w:szCs w:val="24"/>
        </w:rPr>
      </w:pPr>
      <w:r w:rsidRPr="00211E3B">
        <w:rPr>
          <w:snapToGrid w:val="0"/>
          <w:sz w:val="22"/>
          <w:szCs w:val="24"/>
        </w:rPr>
        <w:t>Gali būti tiekiamos ne visų dydžių pakuotės.</w:t>
      </w:r>
    </w:p>
    <w:p w14:paraId="4D2C12A3" w14:textId="77777777" w:rsidR="005D554B" w:rsidRPr="00211E3B" w:rsidRDefault="005D554B" w:rsidP="005D554B">
      <w:pPr>
        <w:rPr>
          <w:snapToGrid w:val="0"/>
          <w:sz w:val="22"/>
          <w:szCs w:val="24"/>
        </w:rPr>
      </w:pPr>
    </w:p>
    <w:p w14:paraId="2ED3CFDB" w14:textId="01EAAE6A" w:rsidR="005D554B" w:rsidRPr="00211E3B" w:rsidRDefault="005D554B" w:rsidP="005D554B">
      <w:pPr>
        <w:keepNext/>
        <w:tabs>
          <w:tab w:val="left" w:pos="567"/>
        </w:tabs>
        <w:spacing w:line="260" w:lineRule="exact"/>
        <w:jc w:val="both"/>
        <w:outlineLvl w:val="3"/>
        <w:rPr>
          <w:b/>
          <w:bCs/>
          <w:snapToGrid w:val="0"/>
          <w:sz w:val="22"/>
          <w:szCs w:val="28"/>
          <w:lang w:eastAsia="x-none"/>
        </w:rPr>
      </w:pPr>
      <w:bookmarkStart w:id="3" w:name="OLE_LINK1"/>
      <w:r w:rsidRPr="00211E3B">
        <w:rPr>
          <w:b/>
          <w:bCs/>
          <w:snapToGrid w:val="0"/>
          <w:sz w:val="22"/>
          <w:szCs w:val="28"/>
          <w:lang w:eastAsia="x-none"/>
        </w:rPr>
        <w:t>6.6</w:t>
      </w:r>
      <w:r w:rsidRPr="00211E3B">
        <w:rPr>
          <w:b/>
          <w:bCs/>
          <w:snapToGrid w:val="0"/>
          <w:sz w:val="22"/>
          <w:szCs w:val="28"/>
          <w:lang w:eastAsia="x-none"/>
        </w:rPr>
        <w:tab/>
        <w:t>Specialūs reikalavimai atliekoms tvarkyti ir vaistiniam preparatui ruošti</w:t>
      </w:r>
    </w:p>
    <w:bookmarkEnd w:id="3"/>
    <w:p w14:paraId="0ED9D9D5" w14:textId="77777777" w:rsidR="005D554B" w:rsidRPr="00211E3B" w:rsidRDefault="005D554B" w:rsidP="005D554B">
      <w:pPr>
        <w:rPr>
          <w:snapToGrid w:val="0"/>
          <w:sz w:val="22"/>
          <w:szCs w:val="24"/>
        </w:rPr>
      </w:pPr>
    </w:p>
    <w:p w14:paraId="14764A41" w14:textId="4232AB8A" w:rsidR="001C1EBB" w:rsidRPr="00211E3B" w:rsidRDefault="001C1EBB" w:rsidP="001C1EBB">
      <w:pPr>
        <w:rPr>
          <w:snapToGrid w:val="0"/>
          <w:sz w:val="22"/>
          <w:szCs w:val="24"/>
        </w:rPr>
      </w:pPr>
      <w:r w:rsidRPr="00211E3B">
        <w:rPr>
          <w:snapToGrid w:val="0"/>
          <w:sz w:val="22"/>
          <w:szCs w:val="24"/>
        </w:rPr>
        <w:t>Prisilietus prie kapsulės turinio, rankas reikia nedelsiant nuplauti gausiu vandens kiekiu (žr. 4.2 skyrių).</w:t>
      </w:r>
    </w:p>
    <w:p w14:paraId="7CCF6E9F" w14:textId="77777777" w:rsidR="001C1EBB" w:rsidRPr="00211E3B" w:rsidRDefault="001C1EBB" w:rsidP="005D554B">
      <w:pPr>
        <w:rPr>
          <w:snapToGrid w:val="0"/>
          <w:sz w:val="22"/>
          <w:szCs w:val="24"/>
        </w:rPr>
      </w:pPr>
    </w:p>
    <w:p w14:paraId="6B5AB003" w14:textId="24D250A7" w:rsidR="005D554B" w:rsidRPr="00211E3B" w:rsidRDefault="005D554B" w:rsidP="005D554B">
      <w:pPr>
        <w:rPr>
          <w:snapToGrid w:val="0"/>
          <w:sz w:val="22"/>
          <w:szCs w:val="24"/>
        </w:rPr>
      </w:pPr>
      <w:r w:rsidRPr="00211E3B">
        <w:rPr>
          <w:snapToGrid w:val="0"/>
          <w:sz w:val="22"/>
          <w:szCs w:val="24"/>
        </w:rPr>
        <w:t>Nesuvartotą vaistinį preparatą ar atliekas reikia tvarkyti laikantis vietinių reikalavimų.</w:t>
      </w:r>
    </w:p>
    <w:p w14:paraId="111F40AE" w14:textId="77777777" w:rsidR="005D554B" w:rsidRPr="00211E3B" w:rsidRDefault="005D554B" w:rsidP="005D554B">
      <w:pPr>
        <w:rPr>
          <w:snapToGrid w:val="0"/>
          <w:sz w:val="22"/>
          <w:szCs w:val="24"/>
        </w:rPr>
      </w:pPr>
    </w:p>
    <w:p w14:paraId="770101BD" w14:textId="77777777" w:rsidR="005D554B" w:rsidRPr="00211E3B" w:rsidRDefault="005D554B" w:rsidP="005D554B">
      <w:pPr>
        <w:rPr>
          <w:snapToGrid w:val="0"/>
          <w:sz w:val="22"/>
          <w:szCs w:val="24"/>
        </w:rPr>
      </w:pPr>
    </w:p>
    <w:p w14:paraId="7CACA824" w14:textId="77777777" w:rsidR="005D554B" w:rsidRPr="00211E3B" w:rsidRDefault="005D554B" w:rsidP="005D554B">
      <w:pPr>
        <w:keepNext/>
        <w:keepLines/>
        <w:tabs>
          <w:tab w:val="left" w:pos="567"/>
        </w:tabs>
        <w:outlineLvl w:val="2"/>
        <w:rPr>
          <w:b/>
          <w:bCs/>
          <w:snapToGrid w:val="0"/>
          <w:sz w:val="22"/>
          <w:szCs w:val="26"/>
          <w:lang w:eastAsia="x-none"/>
        </w:rPr>
      </w:pPr>
      <w:r w:rsidRPr="00211E3B">
        <w:rPr>
          <w:b/>
          <w:bCs/>
          <w:snapToGrid w:val="0"/>
          <w:sz w:val="22"/>
          <w:szCs w:val="26"/>
          <w:lang w:eastAsia="x-none"/>
        </w:rPr>
        <w:t>7.</w:t>
      </w:r>
      <w:r w:rsidRPr="00211E3B">
        <w:rPr>
          <w:b/>
          <w:bCs/>
          <w:snapToGrid w:val="0"/>
          <w:sz w:val="22"/>
          <w:szCs w:val="26"/>
          <w:lang w:eastAsia="x-none"/>
        </w:rPr>
        <w:tab/>
        <w:t>REGISTRUOTOJAS</w:t>
      </w:r>
    </w:p>
    <w:p w14:paraId="06BB7048" w14:textId="77777777" w:rsidR="005D554B" w:rsidRPr="00211E3B" w:rsidRDefault="005D554B" w:rsidP="005D554B">
      <w:pPr>
        <w:rPr>
          <w:snapToGrid w:val="0"/>
          <w:sz w:val="22"/>
          <w:szCs w:val="24"/>
        </w:rPr>
      </w:pPr>
    </w:p>
    <w:p w14:paraId="7EABC876" w14:textId="77777777" w:rsidR="00BF4AB8" w:rsidRPr="00211E3B" w:rsidRDefault="00BF4AB8" w:rsidP="00BF4AB8">
      <w:pPr>
        <w:rPr>
          <w:snapToGrid w:val="0"/>
          <w:sz w:val="22"/>
          <w:szCs w:val="24"/>
        </w:rPr>
      </w:pPr>
      <w:r w:rsidRPr="00211E3B">
        <w:rPr>
          <w:snapToGrid w:val="0"/>
          <w:sz w:val="22"/>
          <w:szCs w:val="24"/>
        </w:rPr>
        <w:t>UAB Norameda</w:t>
      </w:r>
    </w:p>
    <w:p w14:paraId="1F366143" w14:textId="77777777" w:rsidR="00BF4AB8" w:rsidRPr="00211E3B" w:rsidRDefault="00BF4AB8" w:rsidP="00BF4AB8">
      <w:pPr>
        <w:rPr>
          <w:snapToGrid w:val="0"/>
          <w:sz w:val="22"/>
          <w:szCs w:val="24"/>
        </w:rPr>
      </w:pPr>
      <w:r w:rsidRPr="00211E3B">
        <w:rPr>
          <w:snapToGrid w:val="0"/>
          <w:sz w:val="22"/>
          <w:szCs w:val="24"/>
        </w:rPr>
        <w:t>Meistrų 8A,</w:t>
      </w:r>
    </w:p>
    <w:p w14:paraId="043E0DB4" w14:textId="77777777" w:rsidR="00BF4AB8" w:rsidRPr="00211E3B" w:rsidRDefault="00BF4AB8" w:rsidP="00BF4AB8">
      <w:pPr>
        <w:rPr>
          <w:snapToGrid w:val="0"/>
          <w:sz w:val="22"/>
          <w:szCs w:val="24"/>
        </w:rPr>
      </w:pPr>
      <w:r w:rsidRPr="00211E3B">
        <w:rPr>
          <w:snapToGrid w:val="0"/>
          <w:sz w:val="22"/>
          <w:szCs w:val="24"/>
        </w:rPr>
        <w:t>LT-02189 Vilnius,</w:t>
      </w:r>
    </w:p>
    <w:p w14:paraId="22AC4C4A" w14:textId="5BA05502" w:rsidR="005D554B" w:rsidRPr="00211E3B" w:rsidRDefault="00BF4AB8" w:rsidP="00BF4AB8">
      <w:pPr>
        <w:rPr>
          <w:snapToGrid w:val="0"/>
          <w:sz w:val="22"/>
          <w:szCs w:val="24"/>
        </w:rPr>
      </w:pPr>
      <w:r w:rsidRPr="00211E3B">
        <w:rPr>
          <w:snapToGrid w:val="0"/>
          <w:sz w:val="22"/>
          <w:szCs w:val="24"/>
        </w:rPr>
        <w:t>Lietuva</w:t>
      </w:r>
    </w:p>
    <w:p w14:paraId="1CB85CC8" w14:textId="77777777" w:rsidR="00BF4AB8" w:rsidRPr="00211E3B" w:rsidRDefault="00BF4AB8" w:rsidP="00BF4AB8">
      <w:pPr>
        <w:rPr>
          <w:snapToGrid w:val="0"/>
          <w:sz w:val="22"/>
          <w:szCs w:val="24"/>
        </w:rPr>
      </w:pPr>
    </w:p>
    <w:p w14:paraId="46F77D5D" w14:textId="77777777" w:rsidR="005D554B" w:rsidRPr="00211E3B" w:rsidRDefault="005D554B" w:rsidP="005D554B">
      <w:pPr>
        <w:rPr>
          <w:snapToGrid w:val="0"/>
          <w:sz w:val="22"/>
          <w:szCs w:val="24"/>
        </w:rPr>
      </w:pPr>
    </w:p>
    <w:p w14:paraId="1F912165" w14:textId="77777777" w:rsidR="005D554B" w:rsidRPr="00211E3B" w:rsidRDefault="005D554B" w:rsidP="005D554B">
      <w:pPr>
        <w:keepNext/>
        <w:keepLines/>
        <w:tabs>
          <w:tab w:val="left" w:pos="567"/>
        </w:tabs>
        <w:outlineLvl w:val="2"/>
        <w:rPr>
          <w:b/>
          <w:bCs/>
          <w:snapToGrid w:val="0"/>
          <w:sz w:val="22"/>
          <w:szCs w:val="26"/>
          <w:lang w:eastAsia="x-none"/>
        </w:rPr>
      </w:pPr>
      <w:r w:rsidRPr="00211E3B">
        <w:rPr>
          <w:b/>
          <w:bCs/>
          <w:snapToGrid w:val="0"/>
          <w:sz w:val="22"/>
          <w:szCs w:val="26"/>
          <w:lang w:eastAsia="x-none"/>
        </w:rPr>
        <w:t>8.</w:t>
      </w:r>
      <w:r w:rsidRPr="00211E3B">
        <w:rPr>
          <w:b/>
          <w:bCs/>
          <w:snapToGrid w:val="0"/>
          <w:sz w:val="22"/>
          <w:szCs w:val="26"/>
          <w:lang w:eastAsia="x-none"/>
        </w:rPr>
        <w:tab/>
        <w:t xml:space="preserve">REGISTRACIJOS </w:t>
      </w:r>
      <w:r w:rsidRPr="00211E3B">
        <w:rPr>
          <w:b/>
          <w:bCs/>
          <w:snapToGrid w:val="0"/>
          <w:sz w:val="22"/>
          <w:szCs w:val="22"/>
          <w:lang w:eastAsia="x-none"/>
        </w:rPr>
        <w:t>PAŽYMĖJIMO</w:t>
      </w:r>
      <w:r w:rsidRPr="00211E3B">
        <w:rPr>
          <w:b/>
          <w:bCs/>
          <w:snapToGrid w:val="0"/>
          <w:sz w:val="22"/>
          <w:szCs w:val="26"/>
          <w:lang w:eastAsia="x-none"/>
        </w:rPr>
        <w:t xml:space="preserve"> NUMERIS (-IAI) </w:t>
      </w:r>
    </w:p>
    <w:p w14:paraId="1DBAD38B" w14:textId="2511187A" w:rsidR="005D554B" w:rsidRDefault="005D554B" w:rsidP="005D554B">
      <w:pPr>
        <w:rPr>
          <w:snapToGrid w:val="0"/>
          <w:sz w:val="22"/>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C034BE" w14:paraId="35E73C11" w14:textId="77777777" w:rsidTr="00C034BE">
        <w:tc>
          <w:tcPr>
            <w:tcW w:w="4530" w:type="dxa"/>
          </w:tcPr>
          <w:p w14:paraId="3456B937" w14:textId="16808E99" w:rsidR="00C034BE" w:rsidRPr="00C034BE" w:rsidRDefault="00C034BE" w:rsidP="005D554B">
            <w:pPr>
              <w:rPr>
                <w:snapToGrid w:val="0"/>
                <w:sz w:val="22"/>
                <w:szCs w:val="22"/>
              </w:rPr>
            </w:pPr>
            <w:r w:rsidRPr="00B80A5A">
              <w:rPr>
                <w:snapToGrid w:val="0"/>
                <w:sz w:val="22"/>
                <w:szCs w:val="22"/>
                <w:u w:val="single"/>
              </w:rPr>
              <w:t>100 mg</w:t>
            </w:r>
            <w:r>
              <w:rPr>
                <w:snapToGrid w:val="0"/>
                <w:sz w:val="22"/>
                <w:szCs w:val="22"/>
              </w:rPr>
              <w:t>:</w:t>
            </w:r>
          </w:p>
          <w:p w14:paraId="7909C696" w14:textId="39DA157B" w:rsidR="00C034BE" w:rsidRPr="00C034BE" w:rsidRDefault="00C034BE" w:rsidP="00854A5C">
            <w:pPr>
              <w:rPr>
                <w:snapToGrid w:val="0"/>
                <w:sz w:val="22"/>
                <w:szCs w:val="22"/>
              </w:rPr>
            </w:pPr>
            <w:r w:rsidRPr="00C034BE">
              <w:rPr>
                <w:snapToGrid w:val="0"/>
                <w:sz w:val="22"/>
                <w:szCs w:val="22"/>
              </w:rPr>
              <w:t>LT/1/24/5356/001 – N60</w:t>
            </w:r>
            <w:r w:rsidR="00854A5C">
              <w:rPr>
                <w:snapToGrid w:val="0"/>
                <w:sz w:val="22"/>
                <w:szCs w:val="22"/>
              </w:rPr>
              <w:t>×</w:t>
            </w:r>
            <w:r w:rsidRPr="00C034BE">
              <w:rPr>
                <w:snapToGrid w:val="0"/>
                <w:sz w:val="22"/>
                <w:szCs w:val="22"/>
              </w:rPr>
              <w:t>1</w:t>
            </w:r>
          </w:p>
        </w:tc>
        <w:tc>
          <w:tcPr>
            <w:tcW w:w="4530" w:type="dxa"/>
          </w:tcPr>
          <w:p w14:paraId="7A13BE35" w14:textId="3058F663" w:rsidR="00C034BE" w:rsidRPr="00C034BE" w:rsidRDefault="00854A5C" w:rsidP="00C034BE">
            <w:pPr>
              <w:rPr>
                <w:snapToGrid w:val="0"/>
                <w:sz w:val="22"/>
                <w:szCs w:val="22"/>
              </w:rPr>
            </w:pPr>
            <w:r>
              <w:rPr>
                <w:snapToGrid w:val="0"/>
                <w:sz w:val="22"/>
                <w:szCs w:val="22"/>
                <w:u w:val="single"/>
              </w:rPr>
              <w:t>15</w:t>
            </w:r>
            <w:r w:rsidR="00C034BE" w:rsidRPr="00B80A5A">
              <w:rPr>
                <w:snapToGrid w:val="0"/>
                <w:sz w:val="22"/>
                <w:szCs w:val="22"/>
                <w:u w:val="single"/>
              </w:rPr>
              <w:t>0 mg</w:t>
            </w:r>
            <w:r w:rsidR="00C034BE" w:rsidRPr="00C034BE">
              <w:rPr>
                <w:snapToGrid w:val="0"/>
                <w:sz w:val="22"/>
                <w:szCs w:val="22"/>
              </w:rPr>
              <w:t>:</w:t>
            </w:r>
          </w:p>
          <w:p w14:paraId="34C4A3B6" w14:textId="301AEBAF" w:rsidR="00C034BE" w:rsidRPr="00C034BE" w:rsidRDefault="00C034BE" w:rsidP="00C034BE">
            <w:pPr>
              <w:rPr>
                <w:snapToGrid w:val="0"/>
                <w:sz w:val="22"/>
                <w:szCs w:val="22"/>
              </w:rPr>
            </w:pPr>
            <w:r w:rsidRPr="00C034BE">
              <w:rPr>
                <w:snapToGrid w:val="0"/>
                <w:sz w:val="22"/>
                <w:szCs w:val="22"/>
              </w:rPr>
              <w:t>LT/1/24/5357/001 – N30</w:t>
            </w:r>
            <w:r w:rsidR="00854A5C">
              <w:rPr>
                <w:snapToGrid w:val="0"/>
                <w:sz w:val="22"/>
                <w:szCs w:val="22"/>
              </w:rPr>
              <w:t>×</w:t>
            </w:r>
            <w:r w:rsidRPr="00C034BE">
              <w:rPr>
                <w:snapToGrid w:val="0"/>
                <w:sz w:val="22"/>
                <w:szCs w:val="22"/>
              </w:rPr>
              <w:t>1</w:t>
            </w:r>
          </w:p>
          <w:p w14:paraId="07146EB1" w14:textId="3DDC2887" w:rsidR="00C034BE" w:rsidRPr="00C034BE" w:rsidRDefault="00C034BE" w:rsidP="00854A5C">
            <w:pPr>
              <w:rPr>
                <w:snapToGrid w:val="0"/>
                <w:sz w:val="22"/>
                <w:szCs w:val="22"/>
              </w:rPr>
            </w:pPr>
            <w:r w:rsidRPr="00C034BE">
              <w:rPr>
                <w:snapToGrid w:val="0"/>
                <w:sz w:val="22"/>
                <w:szCs w:val="22"/>
              </w:rPr>
              <w:t>LT/1/24/5357/002 – N60</w:t>
            </w:r>
            <w:r w:rsidR="00854A5C">
              <w:rPr>
                <w:snapToGrid w:val="0"/>
                <w:sz w:val="22"/>
                <w:szCs w:val="22"/>
              </w:rPr>
              <w:t>×</w:t>
            </w:r>
            <w:r w:rsidRPr="00C034BE">
              <w:rPr>
                <w:snapToGrid w:val="0"/>
                <w:sz w:val="22"/>
                <w:szCs w:val="22"/>
              </w:rPr>
              <w:t>1</w:t>
            </w:r>
          </w:p>
        </w:tc>
      </w:tr>
    </w:tbl>
    <w:p w14:paraId="23D2D92D" w14:textId="77777777" w:rsidR="00C034BE" w:rsidRDefault="00C034BE" w:rsidP="005D554B">
      <w:pPr>
        <w:rPr>
          <w:snapToGrid w:val="0"/>
        </w:rPr>
      </w:pPr>
    </w:p>
    <w:p w14:paraId="235249A6" w14:textId="77777777" w:rsidR="005D554B" w:rsidRPr="00211E3B" w:rsidRDefault="005D554B" w:rsidP="005D554B">
      <w:pPr>
        <w:rPr>
          <w:snapToGrid w:val="0"/>
          <w:sz w:val="22"/>
          <w:szCs w:val="24"/>
        </w:rPr>
      </w:pPr>
    </w:p>
    <w:p w14:paraId="26E02A17" w14:textId="77777777" w:rsidR="005D554B" w:rsidRPr="00211E3B" w:rsidRDefault="005D554B" w:rsidP="005D554B">
      <w:pPr>
        <w:keepNext/>
        <w:keepLines/>
        <w:tabs>
          <w:tab w:val="left" w:pos="567"/>
        </w:tabs>
        <w:outlineLvl w:val="2"/>
        <w:rPr>
          <w:b/>
          <w:bCs/>
          <w:snapToGrid w:val="0"/>
          <w:sz w:val="22"/>
          <w:szCs w:val="26"/>
          <w:lang w:eastAsia="x-none"/>
        </w:rPr>
      </w:pPr>
      <w:r w:rsidRPr="00211E3B">
        <w:rPr>
          <w:b/>
          <w:bCs/>
          <w:snapToGrid w:val="0"/>
          <w:sz w:val="22"/>
          <w:szCs w:val="26"/>
          <w:lang w:eastAsia="x-none"/>
        </w:rPr>
        <w:t>9.</w:t>
      </w:r>
      <w:r w:rsidRPr="00211E3B">
        <w:rPr>
          <w:b/>
          <w:bCs/>
          <w:snapToGrid w:val="0"/>
          <w:sz w:val="22"/>
          <w:szCs w:val="26"/>
          <w:lang w:eastAsia="x-none"/>
        </w:rPr>
        <w:tab/>
        <w:t>REGISTRAVIMO / PERREGISTRAVIMO DATA</w:t>
      </w:r>
    </w:p>
    <w:p w14:paraId="00BB8475" w14:textId="77777777" w:rsidR="005D554B" w:rsidRPr="00211E3B" w:rsidRDefault="005D554B" w:rsidP="005D554B">
      <w:pPr>
        <w:rPr>
          <w:snapToGrid w:val="0"/>
          <w:sz w:val="22"/>
          <w:szCs w:val="24"/>
        </w:rPr>
      </w:pPr>
    </w:p>
    <w:p w14:paraId="34D536A6" w14:textId="6894C237" w:rsidR="005D554B" w:rsidRPr="00211E3B" w:rsidRDefault="005D554B" w:rsidP="005D554B">
      <w:pPr>
        <w:rPr>
          <w:snapToGrid w:val="0"/>
          <w:sz w:val="22"/>
          <w:szCs w:val="24"/>
        </w:rPr>
      </w:pPr>
      <w:r w:rsidRPr="00211E3B">
        <w:rPr>
          <w:snapToGrid w:val="0"/>
          <w:sz w:val="22"/>
          <w:szCs w:val="24"/>
        </w:rPr>
        <w:t xml:space="preserve">Registravimo data </w:t>
      </w:r>
      <w:r w:rsidR="00854A5C">
        <w:rPr>
          <w:snapToGrid w:val="0"/>
          <w:sz w:val="22"/>
          <w:szCs w:val="24"/>
        </w:rPr>
        <w:t>2024 m. vasario 23 d.</w:t>
      </w:r>
    </w:p>
    <w:p w14:paraId="3F6363B8" w14:textId="77777777" w:rsidR="005D554B" w:rsidRPr="00211E3B" w:rsidRDefault="005D554B" w:rsidP="005D554B">
      <w:pPr>
        <w:rPr>
          <w:snapToGrid w:val="0"/>
          <w:sz w:val="22"/>
        </w:rPr>
      </w:pPr>
    </w:p>
    <w:p w14:paraId="62F561BC" w14:textId="77777777" w:rsidR="005D554B" w:rsidRPr="00211E3B" w:rsidRDefault="005D554B" w:rsidP="005D554B">
      <w:pPr>
        <w:tabs>
          <w:tab w:val="left" w:pos="567"/>
        </w:tabs>
        <w:rPr>
          <w:snapToGrid w:val="0"/>
          <w:sz w:val="22"/>
        </w:rPr>
      </w:pPr>
    </w:p>
    <w:p w14:paraId="7AB3459B" w14:textId="77777777" w:rsidR="005D554B" w:rsidRPr="00211E3B" w:rsidRDefault="005D554B" w:rsidP="005D554B">
      <w:pPr>
        <w:keepNext/>
        <w:keepLines/>
        <w:tabs>
          <w:tab w:val="left" w:pos="567"/>
        </w:tabs>
        <w:outlineLvl w:val="2"/>
        <w:rPr>
          <w:b/>
          <w:bCs/>
          <w:snapToGrid w:val="0"/>
          <w:sz w:val="22"/>
          <w:szCs w:val="26"/>
          <w:lang w:eastAsia="x-none"/>
        </w:rPr>
      </w:pPr>
      <w:r w:rsidRPr="00211E3B">
        <w:rPr>
          <w:b/>
          <w:bCs/>
          <w:snapToGrid w:val="0"/>
          <w:sz w:val="22"/>
          <w:szCs w:val="26"/>
          <w:lang w:eastAsia="x-none"/>
        </w:rPr>
        <w:t>10.</w:t>
      </w:r>
      <w:r w:rsidRPr="00211E3B">
        <w:rPr>
          <w:b/>
          <w:bCs/>
          <w:snapToGrid w:val="0"/>
          <w:sz w:val="22"/>
          <w:szCs w:val="26"/>
          <w:lang w:eastAsia="x-none"/>
        </w:rPr>
        <w:tab/>
        <w:t>TEKSTO PERŽIŪROS DATA</w:t>
      </w:r>
    </w:p>
    <w:p w14:paraId="3D734322" w14:textId="77777777" w:rsidR="00B23F3C" w:rsidRDefault="00B23F3C" w:rsidP="005D554B">
      <w:pPr>
        <w:rPr>
          <w:noProof/>
          <w:snapToGrid w:val="0"/>
          <w:sz w:val="22"/>
          <w:szCs w:val="24"/>
        </w:rPr>
      </w:pPr>
    </w:p>
    <w:p w14:paraId="4A82431E" w14:textId="22D0C070" w:rsidR="005D554B" w:rsidRPr="00211E3B" w:rsidRDefault="00543241" w:rsidP="005D554B">
      <w:pPr>
        <w:rPr>
          <w:snapToGrid w:val="0"/>
          <w:sz w:val="22"/>
          <w:szCs w:val="24"/>
        </w:rPr>
      </w:pPr>
      <w:r>
        <w:rPr>
          <w:noProof/>
          <w:snapToGrid w:val="0"/>
          <w:sz w:val="22"/>
          <w:szCs w:val="24"/>
        </w:rPr>
        <w:t>2025 m. vasario 7 d.</w:t>
      </w:r>
    </w:p>
    <w:p w14:paraId="069C9316" w14:textId="77777777" w:rsidR="00854A5C" w:rsidRPr="005D554B" w:rsidRDefault="00854A5C" w:rsidP="007E24C1">
      <w:pPr>
        <w:rPr>
          <w:snapToGrid w:val="0"/>
          <w:sz w:val="22"/>
          <w:szCs w:val="24"/>
        </w:rPr>
      </w:pPr>
    </w:p>
    <w:p w14:paraId="2F01195D" w14:textId="77777777" w:rsidR="005D554B" w:rsidRPr="00211E3B" w:rsidRDefault="005D554B" w:rsidP="005D554B">
      <w:pPr>
        <w:rPr>
          <w:snapToGrid w:val="0"/>
          <w:sz w:val="22"/>
          <w:szCs w:val="24"/>
        </w:rPr>
      </w:pPr>
    </w:p>
    <w:p w14:paraId="5836C167" w14:textId="59998EA7" w:rsidR="005D554B" w:rsidRPr="00211E3B" w:rsidRDefault="005D554B" w:rsidP="005D554B">
      <w:pPr>
        <w:tabs>
          <w:tab w:val="left" w:pos="5954"/>
          <w:tab w:val="left" w:pos="6237"/>
          <w:tab w:val="left" w:pos="6663"/>
          <w:tab w:val="left" w:pos="6946"/>
        </w:tabs>
        <w:rPr>
          <w:rFonts w:eastAsia="SimSun"/>
          <w:sz w:val="22"/>
          <w:szCs w:val="22"/>
        </w:rPr>
      </w:pPr>
      <w:r w:rsidRPr="00211E3B">
        <w:rPr>
          <w:rFonts w:eastAsia="SimSun"/>
          <w:sz w:val="22"/>
          <w:szCs w:val="22"/>
        </w:rPr>
        <w:t>Išsami informacija apie šį vaistinį preparatą pateikiama Valstybinės vaistų kontrolės tarnybos prie Lietuvos Respublikos sveikatos apsaugos ministerijos tinklalapyje</w:t>
      </w:r>
      <w:r w:rsidRPr="00211E3B">
        <w:rPr>
          <w:rFonts w:eastAsia="SimSun"/>
          <w:i/>
          <w:sz w:val="22"/>
          <w:szCs w:val="22"/>
        </w:rPr>
        <w:t xml:space="preserve"> </w:t>
      </w:r>
      <w:hyperlink r:id="rId15" w:history="1">
        <w:r w:rsidRPr="00211E3B">
          <w:rPr>
            <w:rFonts w:eastAsia="SimSun"/>
            <w:color w:val="0000FF"/>
            <w:sz w:val="22"/>
            <w:szCs w:val="22"/>
            <w:u w:val="single"/>
          </w:rPr>
          <w:t>http://www.vvkt.lt</w:t>
        </w:r>
      </w:hyperlink>
    </w:p>
    <w:p w14:paraId="47A6643C" w14:textId="77777777" w:rsidR="005D554B" w:rsidRPr="00211E3B" w:rsidRDefault="005D554B" w:rsidP="005D554B">
      <w:pPr>
        <w:tabs>
          <w:tab w:val="left" w:pos="5954"/>
          <w:tab w:val="left" w:pos="6237"/>
          <w:tab w:val="left" w:pos="6663"/>
          <w:tab w:val="left" w:pos="6946"/>
        </w:tabs>
        <w:jc w:val="center"/>
        <w:rPr>
          <w:rFonts w:eastAsia="SimSun"/>
          <w:sz w:val="20"/>
        </w:rPr>
      </w:pPr>
    </w:p>
    <w:p w14:paraId="360E93A8" w14:textId="77777777" w:rsidR="001605E5" w:rsidRPr="00211E3B" w:rsidRDefault="001605E5" w:rsidP="005D554B">
      <w:pPr>
        <w:tabs>
          <w:tab w:val="left" w:pos="5954"/>
          <w:tab w:val="left" w:pos="6237"/>
          <w:tab w:val="left" w:pos="6663"/>
          <w:tab w:val="left" w:pos="6946"/>
        </w:tabs>
        <w:jc w:val="center"/>
        <w:rPr>
          <w:rFonts w:eastAsia="SimSun"/>
          <w:sz w:val="20"/>
        </w:rPr>
        <w:sectPr w:rsidR="001605E5" w:rsidRPr="00211E3B" w:rsidSect="001F3F80">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134" w:right="1418" w:bottom="1134" w:left="1418" w:header="737" w:footer="737" w:gutter="0"/>
          <w:pgNumType w:start="1" w:chapStyle="1"/>
          <w:cols w:space="1296"/>
          <w:titlePg/>
          <w:docGrid w:linePitch="360"/>
        </w:sectPr>
      </w:pPr>
    </w:p>
    <w:p w14:paraId="3B6E4D13" w14:textId="77777777" w:rsidR="005D554B" w:rsidRPr="00211E3B" w:rsidRDefault="005D554B" w:rsidP="005D554B">
      <w:pPr>
        <w:tabs>
          <w:tab w:val="left" w:pos="567"/>
        </w:tabs>
        <w:spacing w:line="260" w:lineRule="exact"/>
        <w:rPr>
          <w:snapToGrid w:val="0"/>
          <w:sz w:val="22"/>
          <w:szCs w:val="24"/>
        </w:rPr>
      </w:pPr>
    </w:p>
    <w:p w14:paraId="118FA2E7" w14:textId="77777777" w:rsidR="005D554B" w:rsidRPr="00211E3B" w:rsidRDefault="005D554B" w:rsidP="005D554B">
      <w:pPr>
        <w:tabs>
          <w:tab w:val="left" w:pos="567"/>
        </w:tabs>
        <w:spacing w:line="260" w:lineRule="exact"/>
        <w:rPr>
          <w:snapToGrid w:val="0"/>
          <w:sz w:val="22"/>
          <w:szCs w:val="24"/>
        </w:rPr>
      </w:pPr>
    </w:p>
    <w:p w14:paraId="4E6938F5" w14:textId="77777777" w:rsidR="005D554B" w:rsidRPr="00211E3B" w:rsidRDefault="005D554B" w:rsidP="005D554B">
      <w:pPr>
        <w:tabs>
          <w:tab w:val="left" w:pos="567"/>
        </w:tabs>
        <w:spacing w:line="260" w:lineRule="exact"/>
        <w:rPr>
          <w:snapToGrid w:val="0"/>
          <w:sz w:val="22"/>
          <w:szCs w:val="24"/>
        </w:rPr>
      </w:pPr>
    </w:p>
    <w:p w14:paraId="35BADBF5" w14:textId="77777777" w:rsidR="005D554B" w:rsidRPr="00211E3B" w:rsidRDefault="005D554B" w:rsidP="005D554B">
      <w:pPr>
        <w:tabs>
          <w:tab w:val="left" w:pos="567"/>
        </w:tabs>
        <w:spacing w:line="260" w:lineRule="exact"/>
        <w:rPr>
          <w:snapToGrid w:val="0"/>
          <w:sz w:val="22"/>
          <w:szCs w:val="24"/>
        </w:rPr>
      </w:pPr>
    </w:p>
    <w:p w14:paraId="5C950E62" w14:textId="77777777" w:rsidR="005D554B" w:rsidRPr="00211E3B" w:rsidRDefault="005D554B" w:rsidP="005D554B">
      <w:pPr>
        <w:tabs>
          <w:tab w:val="left" w:pos="567"/>
        </w:tabs>
        <w:spacing w:line="260" w:lineRule="exact"/>
        <w:rPr>
          <w:snapToGrid w:val="0"/>
          <w:sz w:val="22"/>
          <w:szCs w:val="24"/>
        </w:rPr>
      </w:pPr>
    </w:p>
    <w:p w14:paraId="5D55B146" w14:textId="77777777" w:rsidR="005D554B" w:rsidRPr="00211E3B" w:rsidRDefault="005D554B" w:rsidP="005D554B">
      <w:pPr>
        <w:tabs>
          <w:tab w:val="left" w:pos="567"/>
        </w:tabs>
        <w:spacing w:line="260" w:lineRule="exact"/>
        <w:rPr>
          <w:snapToGrid w:val="0"/>
          <w:sz w:val="22"/>
          <w:szCs w:val="24"/>
        </w:rPr>
      </w:pPr>
    </w:p>
    <w:p w14:paraId="3B7EA4F2" w14:textId="77777777" w:rsidR="005D554B" w:rsidRPr="00211E3B" w:rsidRDefault="005D554B" w:rsidP="005D554B">
      <w:pPr>
        <w:tabs>
          <w:tab w:val="left" w:pos="567"/>
        </w:tabs>
        <w:spacing w:line="260" w:lineRule="exact"/>
        <w:rPr>
          <w:snapToGrid w:val="0"/>
          <w:sz w:val="22"/>
          <w:szCs w:val="24"/>
        </w:rPr>
      </w:pPr>
    </w:p>
    <w:p w14:paraId="048A9B94" w14:textId="77777777" w:rsidR="005D554B" w:rsidRPr="00211E3B" w:rsidRDefault="005D554B" w:rsidP="005D554B">
      <w:pPr>
        <w:tabs>
          <w:tab w:val="left" w:pos="567"/>
        </w:tabs>
        <w:spacing w:line="260" w:lineRule="exact"/>
        <w:rPr>
          <w:snapToGrid w:val="0"/>
          <w:sz w:val="22"/>
          <w:szCs w:val="24"/>
        </w:rPr>
      </w:pPr>
    </w:p>
    <w:p w14:paraId="547F3111" w14:textId="77777777" w:rsidR="005D554B" w:rsidRPr="00211E3B" w:rsidRDefault="005D554B" w:rsidP="005D554B">
      <w:pPr>
        <w:tabs>
          <w:tab w:val="left" w:pos="567"/>
        </w:tabs>
        <w:spacing w:line="260" w:lineRule="exact"/>
        <w:rPr>
          <w:snapToGrid w:val="0"/>
          <w:sz w:val="22"/>
          <w:szCs w:val="24"/>
        </w:rPr>
      </w:pPr>
    </w:p>
    <w:p w14:paraId="2E8A2AC6" w14:textId="77777777" w:rsidR="005D554B" w:rsidRPr="00211E3B" w:rsidRDefault="005D554B" w:rsidP="005D554B">
      <w:pPr>
        <w:tabs>
          <w:tab w:val="left" w:pos="567"/>
        </w:tabs>
        <w:spacing w:line="260" w:lineRule="exact"/>
        <w:rPr>
          <w:snapToGrid w:val="0"/>
          <w:sz w:val="22"/>
          <w:szCs w:val="24"/>
        </w:rPr>
      </w:pPr>
    </w:p>
    <w:p w14:paraId="0597C05B" w14:textId="77777777" w:rsidR="005D554B" w:rsidRPr="00211E3B" w:rsidRDefault="005D554B" w:rsidP="005D554B">
      <w:pPr>
        <w:tabs>
          <w:tab w:val="left" w:pos="567"/>
        </w:tabs>
        <w:spacing w:line="260" w:lineRule="exact"/>
        <w:rPr>
          <w:snapToGrid w:val="0"/>
          <w:sz w:val="22"/>
          <w:szCs w:val="24"/>
        </w:rPr>
      </w:pPr>
    </w:p>
    <w:p w14:paraId="29BB0F0B" w14:textId="77777777" w:rsidR="005D554B" w:rsidRPr="00211E3B" w:rsidRDefault="005D554B" w:rsidP="005D554B">
      <w:pPr>
        <w:tabs>
          <w:tab w:val="left" w:pos="567"/>
        </w:tabs>
        <w:spacing w:line="260" w:lineRule="exact"/>
        <w:rPr>
          <w:snapToGrid w:val="0"/>
          <w:sz w:val="22"/>
          <w:szCs w:val="24"/>
        </w:rPr>
      </w:pPr>
    </w:p>
    <w:p w14:paraId="083CE461" w14:textId="77777777" w:rsidR="005D554B" w:rsidRPr="00211E3B" w:rsidRDefault="005D554B" w:rsidP="005D554B">
      <w:pPr>
        <w:tabs>
          <w:tab w:val="left" w:pos="567"/>
        </w:tabs>
        <w:spacing w:line="260" w:lineRule="exact"/>
        <w:rPr>
          <w:snapToGrid w:val="0"/>
          <w:sz w:val="22"/>
          <w:szCs w:val="24"/>
        </w:rPr>
      </w:pPr>
    </w:p>
    <w:p w14:paraId="2B98409B" w14:textId="77777777" w:rsidR="00C41B4B" w:rsidRDefault="00C41B4B" w:rsidP="005D554B">
      <w:pPr>
        <w:tabs>
          <w:tab w:val="left" w:pos="567"/>
        </w:tabs>
        <w:spacing w:line="260" w:lineRule="exact"/>
        <w:jc w:val="center"/>
        <w:rPr>
          <w:b/>
          <w:snapToGrid w:val="0"/>
          <w:sz w:val="22"/>
        </w:rPr>
      </w:pPr>
    </w:p>
    <w:p w14:paraId="2F415D68" w14:textId="77777777" w:rsidR="00C41B4B" w:rsidRDefault="00C41B4B" w:rsidP="005D554B">
      <w:pPr>
        <w:tabs>
          <w:tab w:val="left" w:pos="567"/>
        </w:tabs>
        <w:spacing w:line="260" w:lineRule="exact"/>
        <w:jc w:val="center"/>
        <w:rPr>
          <w:b/>
          <w:snapToGrid w:val="0"/>
          <w:sz w:val="22"/>
        </w:rPr>
      </w:pPr>
    </w:p>
    <w:p w14:paraId="6AAEEBC9" w14:textId="77777777" w:rsidR="00C41B4B" w:rsidRDefault="00C41B4B" w:rsidP="005D554B">
      <w:pPr>
        <w:tabs>
          <w:tab w:val="left" w:pos="567"/>
        </w:tabs>
        <w:spacing w:line="260" w:lineRule="exact"/>
        <w:jc w:val="center"/>
        <w:rPr>
          <w:b/>
          <w:snapToGrid w:val="0"/>
          <w:sz w:val="22"/>
        </w:rPr>
      </w:pPr>
    </w:p>
    <w:p w14:paraId="1BB0A812" w14:textId="77777777" w:rsidR="00C41B4B" w:rsidRDefault="00C41B4B" w:rsidP="005D554B">
      <w:pPr>
        <w:tabs>
          <w:tab w:val="left" w:pos="567"/>
        </w:tabs>
        <w:spacing w:line="260" w:lineRule="exact"/>
        <w:jc w:val="center"/>
        <w:rPr>
          <w:b/>
          <w:snapToGrid w:val="0"/>
          <w:sz w:val="22"/>
        </w:rPr>
      </w:pPr>
    </w:p>
    <w:p w14:paraId="3EA171CB" w14:textId="77777777" w:rsidR="00C41B4B" w:rsidRDefault="00C41B4B" w:rsidP="005D554B">
      <w:pPr>
        <w:tabs>
          <w:tab w:val="left" w:pos="567"/>
        </w:tabs>
        <w:spacing w:line="260" w:lineRule="exact"/>
        <w:jc w:val="center"/>
        <w:rPr>
          <w:b/>
          <w:snapToGrid w:val="0"/>
          <w:sz w:val="22"/>
        </w:rPr>
      </w:pPr>
    </w:p>
    <w:p w14:paraId="10652BE5" w14:textId="77777777" w:rsidR="00C41B4B" w:rsidRDefault="00C41B4B" w:rsidP="005D554B">
      <w:pPr>
        <w:tabs>
          <w:tab w:val="left" w:pos="567"/>
        </w:tabs>
        <w:spacing w:line="260" w:lineRule="exact"/>
        <w:jc w:val="center"/>
        <w:rPr>
          <w:b/>
          <w:snapToGrid w:val="0"/>
          <w:sz w:val="22"/>
        </w:rPr>
      </w:pPr>
    </w:p>
    <w:p w14:paraId="1B346678" w14:textId="77777777" w:rsidR="00C41B4B" w:rsidRDefault="00C41B4B" w:rsidP="005D554B">
      <w:pPr>
        <w:tabs>
          <w:tab w:val="left" w:pos="567"/>
        </w:tabs>
        <w:spacing w:line="260" w:lineRule="exact"/>
        <w:jc w:val="center"/>
        <w:rPr>
          <w:b/>
          <w:snapToGrid w:val="0"/>
          <w:sz w:val="22"/>
        </w:rPr>
      </w:pPr>
    </w:p>
    <w:p w14:paraId="28F1A997" w14:textId="77777777" w:rsidR="00C41B4B" w:rsidRDefault="00C41B4B" w:rsidP="005D554B">
      <w:pPr>
        <w:tabs>
          <w:tab w:val="left" w:pos="567"/>
        </w:tabs>
        <w:spacing w:line="260" w:lineRule="exact"/>
        <w:jc w:val="center"/>
        <w:rPr>
          <w:b/>
          <w:snapToGrid w:val="0"/>
          <w:sz w:val="22"/>
        </w:rPr>
      </w:pPr>
    </w:p>
    <w:p w14:paraId="618CC2A1" w14:textId="77777777" w:rsidR="00C41B4B" w:rsidRDefault="00C41B4B" w:rsidP="005D554B">
      <w:pPr>
        <w:tabs>
          <w:tab w:val="left" w:pos="567"/>
        </w:tabs>
        <w:spacing w:line="260" w:lineRule="exact"/>
        <w:jc w:val="center"/>
        <w:rPr>
          <w:b/>
          <w:snapToGrid w:val="0"/>
          <w:sz w:val="22"/>
        </w:rPr>
      </w:pPr>
    </w:p>
    <w:p w14:paraId="35BE880D" w14:textId="77777777" w:rsidR="00C41B4B" w:rsidRDefault="00C41B4B" w:rsidP="005D554B">
      <w:pPr>
        <w:tabs>
          <w:tab w:val="left" w:pos="567"/>
        </w:tabs>
        <w:spacing w:line="260" w:lineRule="exact"/>
        <w:jc w:val="center"/>
        <w:rPr>
          <w:b/>
          <w:snapToGrid w:val="0"/>
          <w:sz w:val="22"/>
        </w:rPr>
      </w:pPr>
    </w:p>
    <w:p w14:paraId="23120660" w14:textId="701376B9" w:rsidR="005D554B" w:rsidRPr="00211E3B" w:rsidRDefault="005D554B" w:rsidP="005D554B">
      <w:pPr>
        <w:tabs>
          <w:tab w:val="left" w:pos="567"/>
        </w:tabs>
        <w:spacing w:line="260" w:lineRule="exact"/>
        <w:jc w:val="center"/>
        <w:rPr>
          <w:b/>
          <w:snapToGrid w:val="0"/>
          <w:sz w:val="22"/>
        </w:rPr>
      </w:pPr>
      <w:r w:rsidRPr="00211E3B">
        <w:rPr>
          <w:b/>
          <w:snapToGrid w:val="0"/>
          <w:sz w:val="22"/>
        </w:rPr>
        <w:t>II PRIEDAS</w:t>
      </w:r>
    </w:p>
    <w:p w14:paraId="058B6001" w14:textId="77777777" w:rsidR="005D554B" w:rsidRPr="00211E3B" w:rsidRDefault="005D554B" w:rsidP="005D554B">
      <w:pPr>
        <w:tabs>
          <w:tab w:val="left" w:pos="567"/>
        </w:tabs>
        <w:spacing w:line="260" w:lineRule="exact"/>
        <w:ind w:left="1701" w:right="1416" w:hanging="567"/>
        <w:rPr>
          <w:snapToGrid w:val="0"/>
          <w:sz w:val="22"/>
        </w:rPr>
      </w:pPr>
    </w:p>
    <w:p w14:paraId="4EEEB2A5" w14:textId="77777777" w:rsidR="005D554B" w:rsidRPr="00211E3B" w:rsidRDefault="005D554B" w:rsidP="005D554B">
      <w:pPr>
        <w:tabs>
          <w:tab w:val="left" w:pos="567"/>
        </w:tabs>
        <w:spacing w:line="260" w:lineRule="exact"/>
        <w:jc w:val="center"/>
        <w:rPr>
          <w:i/>
          <w:snapToGrid w:val="0"/>
          <w:sz w:val="22"/>
        </w:rPr>
      </w:pPr>
      <w:r w:rsidRPr="00211E3B">
        <w:rPr>
          <w:b/>
          <w:snapToGrid w:val="0"/>
          <w:sz w:val="22"/>
        </w:rPr>
        <w:t>REGISTRACIJOS SĄLYGOS</w:t>
      </w:r>
    </w:p>
    <w:p w14:paraId="36484B32" w14:textId="77777777" w:rsidR="005D554B" w:rsidRPr="00211E3B" w:rsidRDefault="005D554B" w:rsidP="005D554B">
      <w:pPr>
        <w:tabs>
          <w:tab w:val="left" w:pos="567"/>
        </w:tabs>
        <w:spacing w:line="260" w:lineRule="exact"/>
        <w:rPr>
          <w:snapToGrid w:val="0"/>
          <w:sz w:val="22"/>
        </w:rPr>
      </w:pPr>
    </w:p>
    <w:p w14:paraId="0E797C2F" w14:textId="72050F1C" w:rsidR="005D554B" w:rsidRPr="00211E3B" w:rsidRDefault="005D554B" w:rsidP="005D554B">
      <w:pPr>
        <w:tabs>
          <w:tab w:val="left" w:pos="1701"/>
        </w:tabs>
        <w:spacing w:line="260" w:lineRule="exact"/>
        <w:ind w:left="1701" w:right="567" w:hanging="567"/>
        <w:rPr>
          <w:b/>
          <w:snapToGrid w:val="0"/>
          <w:sz w:val="22"/>
          <w:szCs w:val="24"/>
        </w:rPr>
      </w:pPr>
      <w:r w:rsidRPr="00211E3B">
        <w:rPr>
          <w:b/>
          <w:snapToGrid w:val="0"/>
          <w:sz w:val="22"/>
          <w:szCs w:val="24"/>
        </w:rPr>
        <w:t>A.</w:t>
      </w:r>
      <w:r w:rsidRPr="00211E3B">
        <w:rPr>
          <w:b/>
          <w:snapToGrid w:val="0"/>
          <w:sz w:val="22"/>
          <w:szCs w:val="24"/>
        </w:rPr>
        <w:tab/>
        <w:t>GAMINTOJAS (-AI), ATSAKINGAS (-I) UŽ SERIJŲ IŠLEIDIMĄ</w:t>
      </w:r>
    </w:p>
    <w:p w14:paraId="659DC155" w14:textId="77777777" w:rsidR="005D554B" w:rsidRPr="00211E3B" w:rsidRDefault="005D554B" w:rsidP="005D554B">
      <w:pPr>
        <w:tabs>
          <w:tab w:val="left" w:pos="1701"/>
        </w:tabs>
        <w:spacing w:line="260" w:lineRule="exact"/>
        <w:ind w:left="567" w:right="567" w:hanging="567"/>
        <w:rPr>
          <w:snapToGrid w:val="0"/>
          <w:sz w:val="22"/>
          <w:szCs w:val="24"/>
        </w:rPr>
      </w:pPr>
    </w:p>
    <w:p w14:paraId="700EC4CD" w14:textId="77777777" w:rsidR="005D554B" w:rsidRPr="00211E3B" w:rsidRDefault="005D554B" w:rsidP="005D554B">
      <w:pPr>
        <w:tabs>
          <w:tab w:val="left" w:pos="1701"/>
        </w:tabs>
        <w:spacing w:line="260" w:lineRule="exact"/>
        <w:ind w:left="1701" w:right="567" w:hanging="567"/>
        <w:rPr>
          <w:b/>
          <w:snapToGrid w:val="0"/>
          <w:sz w:val="22"/>
        </w:rPr>
      </w:pPr>
      <w:r w:rsidRPr="00211E3B">
        <w:rPr>
          <w:b/>
          <w:snapToGrid w:val="0"/>
          <w:sz w:val="22"/>
        </w:rPr>
        <w:t>B.</w:t>
      </w:r>
      <w:r w:rsidRPr="00211E3B">
        <w:rPr>
          <w:b/>
          <w:snapToGrid w:val="0"/>
          <w:sz w:val="22"/>
        </w:rPr>
        <w:tab/>
        <w:t>TIEKIMO IR VARTOJIMO SĄLYGOS AR APRIBOJIMAI</w:t>
      </w:r>
    </w:p>
    <w:p w14:paraId="4875C1CC" w14:textId="77777777" w:rsidR="005D554B" w:rsidRPr="00211E3B" w:rsidRDefault="005D554B" w:rsidP="005D554B">
      <w:pPr>
        <w:tabs>
          <w:tab w:val="left" w:pos="567"/>
        </w:tabs>
        <w:spacing w:line="260" w:lineRule="exact"/>
        <w:ind w:right="-1"/>
        <w:rPr>
          <w:snapToGrid w:val="0"/>
          <w:sz w:val="22"/>
        </w:rPr>
      </w:pPr>
    </w:p>
    <w:p w14:paraId="68988666" w14:textId="47218C6C" w:rsidR="005D554B" w:rsidRPr="00211E3B" w:rsidRDefault="005D554B" w:rsidP="005D554B">
      <w:pPr>
        <w:tabs>
          <w:tab w:val="left" w:pos="567"/>
        </w:tabs>
        <w:spacing w:line="260" w:lineRule="exact"/>
        <w:ind w:left="567" w:hanging="567"/>
        <w:rPr>
          <w:b/>
          <w:snapToGrid w:val="0"/>
          <w:sz w:val="22"/>
          <w:szCs w:val="24"/>
        </w:rPr>
      </w:pPr>
      <w:r w:rsidRPr="00211E3B">
        <w:rPr>
          <w:snapToGrid w:val="0"/>
          <w:sz w:val="22"/>
        </w:rPr>
        <w:br w:type="page"/>
      </w:r>
      <w:r w:rsidRPr="00211E3B">
        <w:rPr>
          <w:b/>
          <w:snapToGrid w:val="0"/>
          <w:sz w:val="22"/>
        </w:rPr>
        <w:lastRenderedPageBreak/>
        <w:t>A.</w:t>
      </w:r>
      <w:r w:rsidRPr="00211E3B">
        <w:rPr>
          <w:b/>
          <w:snapToGrid w:val="0"/>
          <w:sz w:val="22"/>
          <w:szCs w:val="24"/>
        </w:rPr>
        <w:tab/>
      </w:r>
      <w:r w:rsidRPr="00211E3B">
        <w:rPr>
          <w:b/>
          <w:snapToGrid w:val="0"/>
          <w:sz w:val="22"/>
        </w:rPr>
        <w:t>GAMINTOJAS (-AI), ATSAKINGAS (-I) UŽ SERIJŲ IŠLEIDIMĄ</w:t>
      </w:r>
    </w:p>
    <w:p w14:paraId="3E68E859" w14:textId="77777777" w:rsidR="005D554B" w:rsidRPr="00211E3B" w:rsidRDefault="005D554B" w:rsidP="005D554B">
      <w:pPr>
        <w:tabs>
          <w:tab w:val="left" w:pos="567"/>
        </w:tabs>
        <w:spacing w:line="260" w:lineRule="exact"/>
        <w:rPr>
          <w:snapToGrid w:val="0"/>
          <w:sz w:val="22"/>
          <w:szCs w:val="24"/>
        </w:rPr>
      </w:pPr>
    </w:p>
    <w:p w14:paraId="437B52B9" w14:textId="77777777" w:rsidR="005D554B" w:rsidRPr="00211E3B" w:rsidRDefault="005D554B" w:rsidP="005D554B">
      <w:pPr>
        <w:tabs>
          <w:tab w:val="left" w:pos="567"/>
        </w:tabs>
        <w:jc w:val="both"/>
        <w:rPr>
          <w:snapToGrid w:val="0"/>
          <w:sz w:val="22"/>
          <w:szCs w:val="24"/>
        </w:rPr>
      </w:pPr>
      <w:r w:rsidRPr="00211E3B">
        <w:rPr>
          <w:snapToGrid w:val="0"/>
          <w:sz w:val="22"/>
          <w:szCs w:val="24"/>
          <w:u w:val="single"/>
        </w:rPr>
        <w:t>Gamintojo (-ų), atsakingo (-ų) už serijų išleidimą, pavadinimas (-ai) ir adresas (-ai)</w:t>
      </w:r>
    </w:p>
    <w:p w14:paraId="6D216EF4" w14:textId="77777777" w:rsidR="005D554B" w:rsidRPr="00211E3B" w:rsidRDefault="005D554B" w:rsidP="005D554B">
      <w:pPr>
        <w:tabs>
          <w:tab w:val="left" w:pos="567"/>
        </w:tabs>
        <w:spacing w:line="260" w:lineRule="exact"/>
        <w:rPr>
          <w:snapToGrid w:val="0"/>
          <w:sz w:val="22"/>
          <w:szCs w:val="24"/>
        </w:rPr>
      </w:pPr>
    </w:p>
    <w:p w14:paraId="072B6B0E" w14:textId="77777777" w:rsidR="000550B2" w:rsidRPr="000550B2" w:rsidRDefault="000550B2" w:rsidP="000550B2">
      <w:pPr>
        <w:tabs>
          <w:tab w:val="left" w:pos="567"/>
        </w:tabs>
        <w:spacing w:line="260" w:lineRule="exact"/>
        <w:rPr>
          <w:snapToGrid w:val="0"/>
          <w:sz w:val="22"/>
          <w:szCs w:val="24"/>
        </w:rPr>
      </w:pPr>
      <w:r w:rsidRPr="000550B2">
        <w:rPr>
          <w:snapToGrid w:val="0"/>
          <w:sz w:val="22"/>
          <w:szCs w:val="24"/>
        </w:rPr>
        <w:t>Pharmadox Healthcare Limited</w:t>
      </w:r>
    </w:p>
    <w:p w14:paraId="27B6B022" w14:textId="77777777" w:rsidR="000550B2" w:rsidRPr="000550B2" w:rsidRDefault="000550B2" w:rsidP="000550B2">
      <w:pPr>
        <w:tabs>
          <w:tab w:val="left" w:pos="567"/>
        </w:tabs>
        <w:spacing w:line="260" w:lineRule="exact"/>
        <w:rPr>
          <w:snapToGrid w:val="0"/>
          <w:sz w:val="22"/>
          <w:szCs w:val="24"/>
        </w:rPr>
      </w:pPr>
      <w:r w:rsidRPr="000550B2">
        <w:rPr>
          <w:snapToGrid w:val="0"/>
          <w:sz w:val="22"/>
          <w:szCs w:val="24"/>
        </w:rPr>
        <w:t>KW20A Kordin Industrial Park</w:t>
      </w:r>
    </w:p>
    <w:p w14:paraId="268FDD19" w14:textId="77777777" w:rsidR="000550B2" w:rsidRPr="000550B2" w:rsidRDefault="000550B2" w:rsidP="000550B2">
      <w:pPr>
        <w:tabs>
          <w:tab w:val="left" w:pos="567"/>
        </w:tabs>
        <w:spacing w:line="260" w:lineRule="exact"/>
        <w:rPr>
          <w:snapToGrid w:val="0"/>
          <w:sz w:val="22"/>
          <w:szCs w:val="24"/>
        </w:rPr>
      </w:pPr>
      <w:r w:rsidRPr="000550B2">
        <w:rPr>
          <w:snapToGrid w:val="0"/>
          <w:sz w:val="22"/>
          <w:szCs w:val="24"/>
        </w:rPr>
        <w:t>Paola PLA 3000</w:t>
      </w:r>
    </w:p>
    <w:p w14:paraId="7821CC44" w14:textId="77777777" w:rsidR="000550B2" w:rsidRDefault="000550B2" w:rsidP="000550B2">
      <w:pPr>
        <w:tabs>
          <w:tab w:val="left" w:pos="567"/>
        </w:tabs>
        <w:spacing w:line="260" w:lineRule="exact"/>
        <w:rPr>
          <w:snapToGrid w:val="0"/>
          <w:sz w:val="22"/>
          <w:szCs w:val="24"/>
        </w:rPr>
      </w:pPr>
      <w:r w:rsidRPr="000550B2">
        <w:rPr>
          <w:snapToGrid w:val="0"/>
          <w:sz w:val="22"/>
          <w:szCs w:val="24"/>
        </w:rPr>
        <w:t>Malta</w:t>
      </w:r>
    </w:p>
    <w:p w14:paraId="5279A4D2" w14:textId="77777777" w:rsidR="00ED3E5F" w:rsidRDefault="00ED3E5F" w:rsidP="000550B2">
      <w:pPr>
        <w:tabs>
          <w:tab w:val="left" w:pos="567"/>
        </w:tabs>
        <w:spacing w:line="260" w:lineRule="exact"/>
        <w:rPr>
          <w:snapToGrid w:val="0"/>
          <w:sz w:val="22"/>
          <w:szCs w:val="24"/>
        </w:rPr>
      </w:pPr>
    </w:p>
    <w:p w14:paraId="7BA7FDBE" w14:textId="5810C6FB" w:rsidR="00ED3E5F" w:rsidRPr="000550B2" w:rsidRDefault="00ED3E5F" w:rsidP="000550B2">
      <w:pPr>
        <w:tabs>
          <w:tab w:val="left" w:pos="567"/>
        </w:tabs>
        <w:spacing w:line="260" w:lineRule="exact"/>
        <w:rPr>
          <w:snapToGrid w:val="0"/>
          <w:sz w:val="22"/>
          <w:szCs w:val="24"/>
        </w:rPr>
      </w:pPr>
      <w:r>
        <w:rPr>
          <w:snapToGrid w:val="0"/>
          <w:sz w:val="22"/>
          <w:szCs w:val="24"/>
        </w:rPr>
        <w:t>arba</w:t>
      </w:r>
    </w:p>
    <w:p w14:paraId="43A631C8" w14:textId="77777777" w:rsidR="000550B2" w:rsidRPr="000550B2" w:rsidRDefault="000550B2" w:rsidP="000550B2">
      <w:pPr>
        <w:tabs>
          <w:tab w:val="left" w:pos="567"/>
        </w:tabs>
        <w:spacing w:line="260" w:lineRule="exact"/>
        <w:rPr>
          <w:snapToGrid w:val="0"/>
          <w:sz w:val="22"/>
          <w:szCs w:val="24"/>
        </w:rPr>
      </w:pPr>
    </w:p>
    <w:p w14:paraId="59D0A0D8" w14:textId="77777777" w:rsidR="000550B2" w:rsidRPr="000550B2" w:rsidRDefault="000550B2" w:rsidP="000550B2">
      <w:pPr>
        <w:tabs>
          <w:tab w:val="left" w:pos="567"/>
        </w:tabs>
        <w:spacing w:line="260" w:lineRule="exact"/>
        <w:rPr>
          <w:snapToGrid w:val="0"/>
          <w:sz w:val="22"/>
          <w:szCs w:val="24"/>
        </w:rPr>
      </w:pPr>
      <w:r w:rsidRPr="000550B2">
        <w:rPr>
          <w:snapToGrid w:val="0"/>
          <w:sz w:val="22"/>
          <w:szCs w:val="24"/>
        </w:rPr>
        <w:t>Adalvo Limited</w:t>
      </w:r>
    </w:p>
    <w:p w14:paraId="33B75A7B" w14:textId="77777777" w:rsidR="000550B2" w:rsidRPr="000550B2" w:rsidRDefault="000550B2" w:rsidP="000550B2">
      <w:pPr>
        <w:tabs>
          <w:tab w:val="left" w:pos="567"/>
        </w:tabs>
        <w:spacing w:line="260" w:lineRule="exact"/>
        <w:rPr>
          <w:snapToGrid w:val="0"/>
          <w:sz w:val="22"/>
          <w:szCs w:val="24"/>
        </w:rPr>
      </w:pPr>
      <w:r w:rsidRPr="000550B2">
        <w:rPr>
          <w:snapToGrid w:val="0"/>
          <w:sz w:val="22"/>
          <w:szCs w:val="24"/>
        </w:rPr>
        <w:t>Malta Life Sciences Park Building 1 Level 4</w:t>
      </w:r>
    </w:p>
    <w:p w14:paraId="1C16FCA0" w14:textId="77777777" w:rsidR="000550B2" w:rsidRPr="000550B2" w:rsidRDefault="000550B2" w:rsidP="000550B2">
      <w:pPr>
        <w:tabs>
          <w:tab w:val="left" w:pos="567"/>
        </w:tabs>
        <w:spacing w:line="260" w:lineRule="exact"/>
        <w:rPr>
          <w:snapToGrid w:val="0"/>
          <w:sz w:val="22"/>
          <w:szCs w:val="24"/>
        </w:rPr>
      </w:pPr>
      <w:r w:rsidRPr="000550B2">
        <w:rPr>
          <w:snapToGrid w:val="0"/>
          <w:sz w:val="22"/>
          <w:szCs w:val="24"/>
        </w:rPr>
        <w:t>Sir Temi Zammit Buildings</w:t>
      </w:r>
    </w:p>
    <w:p w14:paraId="38E634BB" w14:textId="77777777" w:rsidR="000550B2" w:rsidRPr="000550B2" w:rsidRDefault="000550B2" w:rsidP="000550B2">
      <w:pPr>
        <w:tabs>
          <w:tab w:val="left" w:pos="567"/>
        </w:tabs>
        <w:spacing w:line="260" w:lineRule="exact"/>
        <w:rPr>
          <w:snapToGrid w:val="0"/>
          <w:sz w:val="22"/>
          <w:szCs w:val="24"/>
        </w:rPr>
      </w:pPr>
      <w:r w:rsidRPr="000550B2">
        <w:rPr>
          <w:snapToGrid w:val="0"/>
          <w:sz w:val="22"/>
          <w:szCs w:val="24"/>
        </w:rPr>
        <w:t>San Gwann Industrial Estate, SGN 3000</w:t>
      </w:r>
    </w:p>
    <w:p w14:paraId="7281C305" w14:textId="77777777" w:rsidR="000550B2" w:rsidRDefault="000550B2" w:rsidP="000550B2">
      <w:pPr>
        <w:tabs>
          <w:tab w:val="left" w:pos="567"/>
        </w:tabs>
        <w:spacing w:line="260" w:lineRule="exact"/>
        <w:rPr>
          <w:snapToGrid w:val="0"/>
          <w:sz w:val="22"/>
          <w:szCs w:val="24"/>
        </w:rPr>
      </w:pPr>
      <w:r w:rsidRPr="000550B2">
        <w:rPr>
          <w:snapToGrid w:val="0"/>
          <w:sz w:val="22"/>
          <w:szCs w:val="24"/>
        </w:rPr>
        <w:t>Malta</w:t>
      </w:r>
    </w:p>
    <w:p w14:paraId="3FECD4BC" w14:textId="77777777" w:rsidR="00ED3E5F" w:rsidRDefault="00ED3E5F" w:rsidP="000550B2">
      <w:pPr>
        <w:tabs>
          <w:tab w:val="left" w:pos="567"/>
        </w:tabs>
        <w:spacing w:line="260" w:lineRule="exact"/>
        <w:rPr>
          <w:snapToGrid w:val="0"/>
          <w:sz w:val="22"/>
          <w:szCs w:val="24"/>
        </w:rPr>
      </w:pPr>
    </w:p>
    <w:p w14:paraId="4396266F" w14:textId="2D6A98DB" w:rsidR="00ED3E5F" w:rsidRPr="000550B2" w:rsidRDefault="00ED3E5F" w:rsidP="000550B2">
      <w:pPr>
        <w:tabs>
          <w:tab w:val="left" w:pos="567"/>
        </w:tabs>
        <w:spacing w:line="260" w:lineRule="exact"/>
        <w:rPr>
          <w:snapToGrid w:val="0"/>
          <w:sz w:val="22"/>
          <w:szCs w:val="24"/>
        </w:rPr>
      </w:pPr>
      <w:r>
        <w:rPr>
          <w:snapToGrid w:val="0"/>
          <w:sz w:val="22"/>
          <w:szCs w:val="24"/>
        </w:rPr>
        <w:t>arba</w:t>
      </w:r>
    </w:p>
    <w:p w14:paraId="772395E4" w14:textId="77777777" w:rsidR="000550B2" w:rsidRPr="000550B2" w:rsidRDefault="000550B2" w:rsidP="000550B2">
      <w:pPr>
        <w:tabs>
          <w:tab w:val="left" w:pos="567"/>
        </w:tabs>
        <w:spacing w:line="260" w:lineRule="exact"/>
        <w:rPr>
          <w:snapToGrid w:val="0"/>
          <w:sz w:val="22"/>
          <w:szCs w:val="24"/>
        </w:rPr>
      </w:pPr>
    </w:p>
    <w:p w14:paraId="2B3A4E6E" w14:textId="77777777" w:rsidR="000550B2" w:rsidRPr="000550B2" w:rsidRDefault="000550B2" w:rsidP="000550B2">
      <w:pPr>
        <w:tabs>
          <w:tab w:val="left" w:pos="567"/>
        </w:tabs>
        <w:spacing w:line="260" w:lineRule="exact"/>
        <w:rPr>
          <w:snapToGrid w:val="0"/>
          <w:sz w:val="22"/>
          <w:szCs w:val="24"/>
        </w:rPr>
      </w:pPr>
      <w:r w:rsidRPr="000550B2">
        <w:rPr>
          <w:snapToGrid w:val="0"/>
          <w:sz w:val="22"/>
          <w:szCs w:val="24"/>
        </w:rPr>
        <w:t>QUALIMETRIX S.A.</w:t>
      </w:r>
    </w:p>
    <w:p w14:paraId="76DF9C83" w14:textId="77777777" w:rsidR="000550B2" w:rsidRPr="000550B2" w:rsidRDefault="000550B2" w:rsidP="000550B2">
      <w:pPr>
        <w:tabs>
          <w:tab w:val="left" w:pos="567"/>
        </w:tabs>
        <w:spacing w:line="260" w:lineRule="exact"/>
        <w:rPr>
          <w:snapToGrid w:val="0"/>
          <w:sz w:val="22"/>
          <w:szCs w:val="24"/>
        </w:rPr>
      </w:pPr>
      <w:r w:rsidRPr="000550B2">
        <w:rPr>
          <w:snapToGrid w:val="0"/>
          <w:sz w:val="22"/>
          <w:szCs w:val="24"/>
        </w:rPr>
        <w:t>579 MESOGEION AVENUE AGIA PARASKEVI,</w:t>
      </w:r>
    </w:p>
    <w:p w14:paraId="4269533D" w14:textId="3D469974" w:rsidR="005D554B" w:rsidRPr="00211E3B" w:rsidRDefault="000550B2" w:rsidP="000550B2">
      <w:pPr>
        <w:tabs>
          <w:tab w:val="left" w:pos="567"/>
        </w:tabs>
        <w:spacing w:line="260" w:lineRule="exact"/>
        <w:rPr>
          <w:snapToGrid w:val="0"/>
          <w:sz w:val="22"/>
          <w:szCs w:val="24"/>
        </w:rPr>
      </w:pPr>
      <w:r w:rsidRPr="000550B2">
        <w:rPr>
          <w:snapToGrid w:val="0"/>
          <w:sz w:val="22"/>
          <w:szCs w:val="24"/>
        </w:rPr>
        <w:t>Athens, 15343</w:t>
      </w:r>
      <w:r w:rsidR="00ED3E5F">
        <w:rPr>
          <w:snapToGrid w:val="0"/>
          <w:sz w:val="22"/>
          <w:szCs w:val="24"/>
        </w:rPr>
        <w:t xml:space="preserve"> </w:t>
      </w:r>
      <w:r w:rsidRPr="000550B2">
        <w:rPr>
          <w:snapToGrid w:val="0"/>
          <w:sz w:val="22"/>
          <w:szCs w:val="24"/>
        </w:rPr>
        <w:t>Gr</w:t>
      </w:r>
      <w:r w:rsidR="00ED3E5F">
        <w:rPr>
          <w:snapToGrid w:val="0"/>
          <w:sz w:val="22"/>
          <w:szCs w:val="24"/>
        </w:rPr>
        <w:t>aikija</w:t>
      </w:r>
    </w:p>
    <w:p w14:paraId="3BF416CE" w14:textId="77777777" w:rsidR="000550B2" w:rsidRDefault="000550B2" w:rsidP="005D554B">
      <w:pPr>
        <w:tabs>
          <w:tab w:val="left" w:pos="567"/>
        </w:tabs>
        <w:jc w:val="both"/>
        <w:rPr>
          <w:snapToGrid w:val="0"/>
          <w:sz w:val="22"/>
          <w:szCs w:val="24"/>
        </w:rPr>
      </w:pPr>
    </w:p>
    <w:p w14:paraId="5DAB2D2A" w14:textId="38D419F1" w:rsidR="005D554B" w:rsidRPr="00211E3B" w:rsidRDefault="005D554B" w:rsidP="005D554B">
      <w:pPr>
        <w:tabs>
          <w:tab w:val="left" w:pos="567"/>
        </w:tabs>
        <w:jc w:val="both"/>
        <w:rPr>
          <w:snapToGrid w:val="0"/>
          <w:sz w:val="22"/>
          <w:szCs w:val="24"/>
        </w:rPr>
      </w:pPr>
      <w:r w:rsidRPr="00211E3B">
        <w:rPr>
          <w:snapToGrid w:val="0"/>
          <w:sz w:val="22"/>
          <w:szCs w:val="24"/>
        </w:rPr>
        <w:t>Su pakuote pateikiamame lapelyje nurodomas gamintojo, atsakingo už konkrečios serijos išleidimą, pavadinimas ir adresas.</w:t>
      </w:r>
    </w:p>
    <w:p w14:paraId="0AF09494" w14:textId="77777777" w:rsidR="005D554B" w:rsidRPr="00211E3B" w:rsidRDefault="005D554B" w:rsidP="005D554B">
      <w:pPr>
        <w:tabs>
          <w:tab w:val="left" w:pos="567"/>
        </w:tabs>
        <w:spacing w:line="260" w:lineRule="exact"/>
        <w:rPr>
          <w:snapToGrid w:val="0"/>
          <w:sz w:val="22"/>
          <w:szCs w:val="24"/>
        </w:rPr>
      </w:pPr>
    </w:p>
    <w:p w14:paraId="4A80AFF5" w14:textId="77777777" w:rsidR="005D554B" w:rsidRPr="00211E3B" w:rsidRDefault="005D554B" w:rsidP="005D554B">
      <w:pPr>
        <w:tabs>
          <w:tab w:val="left" w:pos="567"/>
        </w:tabs>
        <w:spacing w:line="260" w:lineRule="exact"/>
        <w:rPr>
          <w:snapToGrid w:val="0"/>
          <w:sz w:val="22"/>
          <w:szCs w:val="24"/>
        </w:rPr>
      </w:pPr>
    </w:p>
    <w:p w14:paraId="45EB1AB4" w14:textId="77777777" w:rsidR="005D554B" w:rsidRPr="00211E3B" w:rsidRDefault="005D554B" w:rsidP="005D554B">
      <w:pPr>
        <w:tabs>
          <w:tab w:val="left" w:pos="567"/>
        </w:tabs>
        <w:ind w:left="567" w:hanging="567"/>
        <w:rPr>
          <w:snapToGrid w:val="0"/>
          <w:sz w:val="22"/>
          <w:szCs w:val="24"/>
        </w:rPr>
      </w:pPr>
      <w:r w:rsidRPr="00211E3B">
        <w:rPr>
          <w:b/>
          <w:snapToGrid w:val="0"/>
          <w:sz w:val="22"/>
          <w:szCs w:val="24"/>
        </w:rPr>
        <w:t>B.</w:t>
      </w:r>
      <w:r w:rsidRPr="00211E3B">
        <w:rPr>
          <w:b/>
          <w:snapToGrid w:val="0"/>
          <w:sz w:val="22"/>
          <w:szCs w:val="24"/>
        </w:rPr>
        <w:tab/>
        <w:t>TIEKIMO IR VARTOJIMO SĄLYGOS AR APRIBOJIMAI</w:t>
      </w:r>
    </w:p>
    <w:p w14:paraId="676C36EB" w14:textId="77777777" w:rsidR="005D554B" w:rsidRPr="00211E3B" w:rsidRDefault="005D554B" w:rsidP="005D554B">
      <w:pPr>
        <w:tabs>
          <w:tab w:val="left" w:pos="567"/>
        </w:tabs>
        <w:spacing w:line="260" w:lineRule="exact"/>
        <w:rPr>
          <w:snapToGrid w:val="0"/>
          <w:sz w:val="22"/>
          <w:szCs w:val="24"/>
        </w:rPr>
      </w:pPr>
    </w:p>
    <w:p w14:paraId="3D83B2CF" w14:textId="36FEBB65" w:rsidR="005D554B" w:rsidRPr="00211E3B" w:rsidRDefault="005D554B" w:rsidP="005D554B">
      <w:pPr>
        <w:tabs>
          <w:tab w:val="left" w:pos="567"/>
        </w:tabs>
        <w:spacing w:line="260" w:lineRule="exact"/>
        <w:rPr>
          <w:snapToGrid w:val="0"/>
          <w:sz w:val="22"/>
          <w:szCs w:val="24"/>
        </w:rPr>
      </w:pPr>
      <w:r w:rsidRPr="00211E3B">
        <w:rPr>
          <w:snapToGrid w:val="0"/>
          <w:sz w:val="22"/>
        </w:rPr>
        <w:t>Receptinis vaistinis preparatas.</w:t>
      </w:r>
    </w:p>
    <w:p w14:paraId="43A24870" w14:textId="77777777" w:rsidR="005D554B" w:rsidRPr="00211E3B" w:rsidRDefault="005D554B" w:rsidP="005D554B">
      <w:pPr>
        <w:tabs>
          <w:tab w:val="left" w:pos="567"/>
        </w:tabs>
        <w:spacing w:line="260" w:lineRule="exact"/>
        <w:rPr>
          <w:snapToGrid w:val="0"/>
          <w:sz w:val="22"/>
        </w:rPr>
      </w:pPr>
    </w:p>
    <w:p w14:paraId="32202E49" w14:textId="2107C282" w:rsidR="005D554B" w:rsidRPr="00211E3B" w:rsidRDefault="005D554B" w:rsidP="00D35FC0">
      <w:pPr>
        <w:tabs>
          <w:tab w:val="left" w:pos="4962"/>
        </w:tabs>
        <w:ind w:firstLine="4962"/>
        <w:rPr>
          <w:rFonts w:ascii="Courier New" w:eastAsia="SimSun" w:hAnsi="Courier New"/>
          <w:color w:val="000000"/>
          <w:sz w:val="22"/>
          <w:szCs w:val="22"/>
        </w:rPr>
      </w:pPr>
      <w:r w:rsidRPr="00211E3B">
        <w:rPr>
          <w:rFonts w:ascii="Courier New" w:eastAsia="SimSun" w:hAnsi="Courier New"/>
          <w:b/>
          <w:sz w:val="20"/>
          <w:szCs w:val="24"/>
        </w:rPr>
        <w:br w:type="page"/>
      </w:r>
    </w:p>
    <w:p w14:paraId="179C652A" w14:textId="77777777" w:rsidR="005D554B" w:rsidRPr="00211E3B" w:rsidRDefault="005D554B" w:rsidP="005D554B">
      <w:pPr>
        <w:tabs>
          <w:tab w:val="left" w:pos="4962"/>
        </w:tabs>
        <w:rPr>
          <w:rFonts w:ascii="Courier New" w:eastAsia="SimSun" w:hAnsi="Courier New"/>
          <w:sz w:val="22"/>
          <w:szCs w:val="22"/>
        </w:rPr>
      </w:pPr>
    </w:p>
    <w:p w14:paraId="65E1AA09" w14:textId="77777777" w:rsidR="005D554B" w:rsidRPr="00211E3B" w:rsidRDefault="005D554B" w:rsidP="005D554B">
      <w:pPr>
        <w:tabs>
          <w:tab w:val="left" w:pos="567"/>
        </w:tabs>
        <w:spacing w:line="260" w:lineRule="exact"/>
        <w:rPr>
          <w:snapToGrid w:val="0"/>
          <w:sz w:val="22"/>
        </w:rPr>
      </w:pPr>
    </w:p>
    <w:p w14:paraId="1D451ACD" w14:textId="77777777" w:rsidR="005D554B" w:rsidRPr="00211E3B" w:rsidRDefault="005D554B" w:rsidP="005D554B">
      <w:pPr>
        <w:tabs>
          <w:tab w:val="left" w:pos="567"/>
        </w:tabs>
        <w:spacing w:line="260" w:lineRule="exact"/>
        <w:rPr>
          <w:snapToGrid w:val="0"/>
          <w:sz w:val="22"/>
        </w:rPr>
      </w:pPr>
    </w:p>
    <w:p w14:paraId="7F21E3CA" w14:textId="77777777" w:rsidR="005D554B" w:rsidRPr="00211E3B" w:rsidRDefault="005D554B" w:rsidP="005D554B">
      <w:pPr>
        <w:tabs>
          <w:tab w:val="left" w:pos="567"/>
        </w:tabs>
        <w:spacing w:line="260" w:lineRule="exact"/>
        <w:rPr>
          <w:snapToGrid w:val="0"/>
          <w:sz w:val="22"/>
        </w:rPr>
      </w:pPr>
    </w:p>
    <w:p w14:paraId="522CBADC" w14:textId="77777777" w:rsidR="005D554B" w:rsidRPr="00211E3B" w:rsidRDefault="005D554B" w:rsidP="005D554B">
      <w:pPr>
        <w:tabs>
          <w:tab w:val="left" w:pos="567"/>
        </w:tabs>
        <w:spacing w:line="260" w:lineRule="exact"/>
        <w:rPr>
          <w:snapToGrid w:val="0"/>
          <w:sz w:val="22"/>
        </w:rPr>
      </w:pPr>
    </w:p>
    <w:p w14:paraId="19097B24" w14:textId="77777777" w:rsidR="005D554B" w:rsidRPr="00211E3B" w:rsidRDefault="005D554B" w:rsidP="005D554B">
      <w:pPr>
        <w:tabs>
          <w:tab w:val="left" w:pos="567"/>
        </w:tabs>
        <w:spacing w:line="260" w:lineRule="exact"/>
        <w:rPr>
          <w:snapToGrid w:val="0"/>
          <w:sz w:val="22"/>
        </w:rPr>
      </w:pPr>
    </w:p>
    <w:p w14:paraId="1BC5D92A" w14:textId="77777777" w:rsidR="005D554B" w:rsidRPr="00211E3B" w:rsidRDefault="005D554B" w:rsidP="005D554B">
      <w:pPr>
        <w:tabs>
          <w:tab w:val="left" w:pos="567"/>
        </w:tabs>
        <w:spacing w:line="260" w:lineRule="exact"/>
        <w:rPr>
          <w:snapToGrid w:val="0"/>
          <w:sz w:val="22"/>
        </w:rPr>
      </w:pPr>
    </w:p>
    <w:p w14:paraId="1028E5DF" w14:textId="77777777" w:rsidR="005D554B" w:rsidRPr="00211E3B" w:rsidRDefault="005D554B" w:rsidP="005D554B">
      <w:pPr>
        <w:tabs>
          <w:tab w:val="left" w:pos="567"/>
        </w:tabs>
        <w:spacing w:line="260" w:lineRule="exact"/>
        <w:rPr>
          <w:snapToGrid w:val="0"/>
          <w:sz w:val="22"/>
        </w:rPr>
      </w:pPr>
    </w:p>
    <w:p w14:paraId="0C0745AD" w14:textId="77777777" w:rsidR="005D554B" w:rsidRPr="00211E3B" w:rsidRDefault="005D554B" w:rsidP="005D554B">
      <w:pPr>
        <w:tabs>
          <w:tab w:val="left" w:pos="567"/>
        </w:tabs>
        <w:spacing w:line="260" w:lineRule="exact"/>
        <w:rPr>
          <w:snapToGrid w:val="0"/>
          <w:sz w:val="22"/>
        </w:rPr>
      </w:pPr>
    </w:p>
    <w:p w14:paraId="0E08B107" w14:textId="77777777" w:rsidR="005D554B" w:rsidRPr="00211E3B" w:rsidRDefault="005D554B" w:rsidP="005D554B">
      <w:pPr>
        <w:tabs>
          <w:tab w:val="left" w:pos="567"/>
        </w:tabs>
        <w:spacing w:line="260" w:lineRule="exact"/>
        <w:rPr>
          <w:snapToGrid w:val="0"/>
          <w:sz w:val="22"/>
        </w:rPr>
      </w:pPr>
    </w:p>
    <w:p w14:paraId="7E7C0F57" w14:textId="77777777" w:rsidR="005D554B" w:rsidRPr="00211E3B" w:rsidRDefault="005D554B" w:rsidP="005D554B">
      <w:pPr>
        <w:tabs>
          <w:tab w:val="left" w:pos="567"/>
        </w:tabs>
        <w:spacing w:line="260" w:lineRule="exact"/>
        <w:rPr>
          <w:snapToGrid w:val="0"/>
          <w:sz w:val="22"/>
        </w:rPr>
      </w:pPr>
    </w:p>
    <w:p w14:paraId="7865667A" w14:textId="77777777" w:rsidR="005D554B" w:rsidRPr="00211E3B" w:rsidRDefault="005D554B" w:rsidP="005D554B">
      <w:pPr>
        <w:tabs>
          <w:tab w:val="left" w:pos="567"/>
        </w:tabs>
        <w:spacing w:line="260" w:lineRule="exact"/>
        <w:rPr>
          <w:snapToGrid w:val="0"/>
          <w:sz w:val="22"/>
        </w:rPr>
      </w:pPr>
    </w:p>
    <w:p w14:paraId="6519497C" w14:textId="77777777" w:rsidR="005D554B" w:rsidRPr="00211E3B" w:rsidRDefault="005D554B" w:rsidP="005D554B">
      <w:pPr>
        <w:tabs>
          <w:tab w:val="left" w:pos="567"/>
        </w:tabs>
        <w:spacing w:line="260" w:lineRule="exact"/>
        <w:rPr>
          <w:snapToGrid w:val="0"/>
          <w:sz w:val="22"/>
        </w:rPr>
      </w:pPr>
    </w:p>
    <w:p w14:paraId="1624FAEF" w14:textId="77777777" w:rsidR="005D554B" w:rsidRPr="00211E3B" w:rsidRDefault="005D554B" w:rsidP="005D554B">
      <w:pPr>
        <w:tabs>
          <w:tab w:val="left" w:pos="567"/>
        </w:tabs>
        <w:spacing w:line="260" w:lineRule="exact"/>
        <w:rPr>
          <w:snapToGrid w:val="0"/>
          <w:sz w:val="22"/>
        </w:rPr>
      </w:pPr>
    </w:p>
    <w:p w14:paraId="23BB50FB" w14:textId="77777777" w:rsidR="005D554B" w:rsidRPr="00211E3B" w:rsidRDefault="005D554B" w:rsidP="005D554B">
      <w:pPr>
        <w:tabs>
          <w:tab w:val="left" w:pos="567"/>
        </w:tabs>
        <w:spacing w:line="260" w:lineRule="exact"/>
        <w:rPr>
          <w:snapToGrid w:val="0"/>
          <w:sz w:val="22"/>
        </w:rPr>
      </w:pPr>
    </w:p>
    <w:p w14:paraId="641E82D3" w14:textId="77777777" w:rsidR="005D554B" w:rsidRPr="00211E3B" w:rsidRDefault="005D554B" w:rsidP="005D554B">
      <w:pPr>
        <w:tabs>
          <w:tab w:val="left" w:pos="567"/>
        </w:tabs>
        <w:spacing w:line="260" w:lineRule="exact"/>
        <w:rPr>
          <w:snapToGrid w:val="0"/>
          <w:sz w:val="22"/>
        </w:rPr>
      </w:pPr>
    </w:p>
    <w:p w14:paraId="018DCA19" w14:textId="77777777" w:rsidR="005D554B" w:rsidRPr="00211E3B" w:rsidRDefault="005D554B" w:rsidP="005D554B">
      <w:pPr>
        <w:tabs>
          <w:tab w:val="left" w:pos="567"/>
        </w:tabs>
        <w:spacing w:line="260" w:lineRule="exact"/>
        <w:rPr>
          <w:snapToGrid w:val="0"/>
          <w:sz w:val="22"/>
        </w:rPr>
      </w:pPr>
    </w:p>
    <w:p w14:paraId="378ED4B5" w14:textId="77777777" w:rsidR="005D554B" w:rsidRPr="00211E3B" w:rsidRDefault="005D554B" w:rsidP="005D554B">
      <w:pPr>
        <w:tabs>
          <w:tab w:val="left" w:pos="567"/>
        </w:tabs>
        <w:spacing w:line="260" w:lineRule="exact"/>
        <w:outlineLvl w:val="0"/>
        <w:rPr>
          <w:b/>
          <w:snapToGrid w:val="0"/>
          <w:sz w:val="22"/>
        </w:rPr>
      </w:pPr>
    </w:p>
    <w:p w14:paraId="7D83035C" w14:textId="77777777" w:rsidR="005D554B" w:rsidRPr="00211E3B" w:rsidRDefault="005D554B" w:rsidP="005D554B">
      <w:pPr>
        <w:tabs>
          <w:tab w:val="left" w:pos="567"/>
        </w:tabs>
        <w:spacing w:line="260" w:lineRule="exact"/>
        <w:outlineLvl w:val="0"/>
        <w:rPr>
          <w:b/>
          <w:snapToGrid w:val="0"/>
          <w:sz w:val="22"/>
        </w:rPr>
      </w:pPr>
    </w:p>
    <w:p w14:paraId="2624E366" w14:textId="77777777" w:rsidR="005D554B" w:rsidRPr="00211E3B" w:rsidRDefault="005D554B" w:rsidP="005D554B">
      <w:pPr>
        <w:tabs>
          <w:tab w:val="left" w:pos="567"/>
        </w:tabs>
        <w:spacing w:line="260" w:lineRule="exact"/>
        <w:outlineLvl w:val="0"/>
        <w:rPr>
          <w:b/>
          <w:snapToGrid w:val="0"/>
          <w:sz w:val="22"/>
        </w:rPr>
      </w:pPr>
    </w:p>
    <w:p w14:paraId="70348702" w14:textId="77777777" w:rsidR="005D554B" w:rsidRPr="00211E3B" w:rsidRDefault="005D554B" w:rsidP="005D554B">
      <w:pPr>
        <w:tabs>
          <w:tab w:val="left" w:pos="567"/>
        </w:tabs>
        <w:spacing w:line="260" w:lineRule="exact"/>
        <w:outlineLvl w:val="0"/>
        <w:rPr>
          <w:b/>
          <w:snapToGrid w:val="0"/>
          <w:sz w:val="22"/>
        </w:rPr>
      </w:pPr>
    </w:p>
    <w:p w14:paraId="2A2C5874" w14:textId="77777777" w:rsidR="005D554B" w:rsidRPr="00211E3B" w:rsidRDefault="005D554B" w:rsidP="005D554B">
      <w:pPr>
        <w:tabs>
          <w:tab w:val="left" w:pos="567"/>
        </w:tabs>
        <w:spacing w:line="260" w:lineRule="exact"/>
        <w:outlineLvl w:val="0"/>
        <w:rPr>
          <w:b/>
          <w:snapToGrid w:val="0"/>
          <w:sz w:val="22"/>
        </w:rPr>
      </w:pPr>
    </w:p>
    <w:p w14:paraId="024A3662" w14:textId="77777777" w:rsidR="005D554B" w:rsidRPr="00211E3B" w:rsidRDefault="005D554B" w:rsidP="005D554B">
      <w:pPr>
        <w:tabs>
          <w:tab w:val="left" w:pos="567"/>
        </w:tabs>
        <w:spacing w:line="260" w:lineRule="exact"/>
        <w:outlineLvl w:val="0"/>
        <w:rPr>
          <w:b/>
          <w:snapToGrid w:val="0"/>
          <w:sz w:val="22"/>
        </w:rPr>
      </w:pPr>
    </w:p>
    <w:p w14:paraId="7414F1B7" w14:textId="77777777" w:rsidR="005D554B" w:rsidRPr="00211E3B" w:rsidRDefault="005D554B" w:rsidP="005D554B">
      <w:pPr>
        <w:keepNext/>
        <w:tabs>
          <w:tab w:val="left" w:pos="567"/>
        </w:tabs>
        <w:jc w:val="center"/>
        <w:outlineLvl w:val="1"/>
        <w:rPr>
          <w:b/>
          <w:snapToGrid w:val="0"/>
          <w:sz w:val="22"/>
          <w:szCs w:val="24"/>
          <w:lang w:eastAsia="x-none"/>
        </w:rPr>
      </w:pPr>
      <w:r w:rsidRPr="00211E3B">
        <w:rPr>
          <w:b/>
          <w:bCs/>
          <w:iCs/>
          <w:snapToGrid w:val="0"/>
          <w:sz w:val="22"/>
          <w:szCs w:val="28"/>
          <w:lang w:eastAsia="x-none"/>
        </w:rPr>
        <w:t>III PRIEDAS</w:t>
      </w:r>
    </w:p>
    <w:p w14:paraId="6289E873" w14:textId="77777777" w:rsidR="005D554B" w:rsidRPr="00211E3B" w:rsidRDefault="005D554B" w:rsidP="005D554B">
      <w:pPr>
        <w:tabs>
          <w:tab w:val="left" w:pos="567"/>
        </w:tabs>
        <w:spacing w:line="260" w:lineRule="exact"/>
        <w:rPr>
          <w:snapToGrid w:val="0"/>
          <w:sz w:val="22"/>
          <w:szCs w:val="24"/>
        </w:rPr>
      </w:pPr>
    </w:p>
    <w:p w14:paraId="5FA774FE" w14:textId="77777777" w:rsidR="005D554B" w:rsidRPr="00211E3B" w:rsidRDefault="005D554B" w:rsidP="005D554B">
      <w:pPr>
        <w:keepNext/>
        <w:tabs>
          <w:tab w:val="left" w:pos="567"/>
        </w:tabs>
        <w:jc w:val="center"/>
        <w:outlineLvl w:val="1"/>
        <w:rPr>
          <w:b/>
          <w:snapToGrid w:val="0"/>
          <w:sz w:val="22"/>
          <w:szCs w:val="24"/>
          <w:lang w:eastAsia="x-none"/>
        </w:rPr>
      </w:pPr>
      <w:r w:rsidRPr="00211E3B">
        <w:rPr>
          <w:b/>
          <w:bCs/>
          <w:iCs/>
          <w:snapToGrid w:val="0"/>
          <w:sz w:val="22"/>
          <w:szCs w:val="28"/>
          <w:lang w:eastAsia="x-none"/>
        </w:rPr>
        <w:t>ŽENKLINIMAS IR PAKUOTĖS LAPELIS</w:t>
      </w:r>
    </w:p>
    <w:p w14:paraId="36401FB9" w14:textId="77777777" w:rsidR="005D554B" w:rsidRPr="00211E3B" w:rsidRDefault="005D554B" w:rsidP="005D554B">
      <w:pPr>
        <w:tabs>
          <w:tab w:val="left" w:pos="567"/>
        </w:tabs>
        <w:spacing w:line="260" w:lineRule="exact"/>
        <w:rPr>
          <w:snapToGrid w:val="0"/>
          <w:sz w:val="22"/>
          <w:szCs w:val="24"/>
        </w:rPr>
      </w:pPr>
      <w:r w:rsidRPr="00211E3B">
        <w:rPr>
          <w:snapToGrid w:val="0"/>
          <w:sz w:val="22"/>
          <w:szCs w:val="24"/>
        </w:rPr>
        <w:br w:type="page"/>
      </w:r>
    </w:p>
    <w:p w14:paraId="550DC1D1" w14:textId="77777777" w:rsidR="005D554B" w:rsidRPr="00211E3B" w:rsidRDefault="005D554B" w:rsidP="005D554B">
      <w:pPr>
        <w:tabs>
          <w:tab w:val="left" w:pos="567"/>
        </w:tabs>
        <w:spacing w:line="260" w:lineRule="exact"/>
        <w:rPr>
          <w:snapToGrid w:val="0"/>
          <w:sz w:val="22"/>
          <w:szCs w:val="24"/>
        </w:rPr>
      </w:pPr>
    </w:p>
    <w:p w14:paraId="0BD13EF4" w14:textId="77777777" w:rsidR="005D554B" w:rsidRPr="00211E3B" w:rsidRDefault="005D554B" w:rsidP="005D554B">
      <w:pPr>
        <w:tabs>
          <w:tab w:val="left" w:pos="567"/>
        </w:tabs>
        <w:spacing w:line="260" w:lineRule="exact"/>
        <w:rPr>
          <w:snapToGrid w:val="0"/>
          <w:sz w:val="22"/>
          <w:szCs w:val="24"/>
        </w:rPr>
      </w:pPr>
    </w:p>
    <w:p w14:paraId="7568C9D0" w14:textId="77777777" w:rsidR="005D554B" w:rsidRPr="00211E3B" w:rsidRDefault="005D554B" w:rsidP="005D554B">
      <w:pPr>
        <w:tabs>
          <w:tab w:val="left" w:pos="567"/>
        </w:tabs>
        <w:spacing w:line="260" w:lineRule="exact"/>
        <w:rPr>
          <w:snapToGrid w:val="0"/>
          <w:sz w:val="22"/>
          <w:szCs w:val="24"/>
        </w:rPr>
      </w:pPr>
    </w:p>
    <w:p w14:paraId="50133316" w14:textId="77777777" w:rsidR="005D554B" w:rsidRPr="00211E3B" w:rsidRDefault="005D554B" w:rsidP="005D554B">
      <w:pPr>
        <w:tabs>
          <w:tab w:val="left" w:pos="567"/>
        </w:tabs>
        <w:spacing w:line="260" w:lineRule="exact"/>
        <w:rPr>
          <w:snapToGrid w:val="0"/>
          <w:sz w:val="22"/>
          <w:szCs w:val="24"/>
        </w:rPr>
      </w:pPr>
    </w:p>
    <w:p w14:paraId="0B9BBD05" w14:textId="77777777" w:rsidR="005D554B" w:rsidRPr="00211E3B" w:rsidRDefault="005D554B" w:rsidP="005D554B">
      <w:pPr>
        <w:tabs>
          <w:tab w:val="left" w:pos="567"/>
        </w:tabs>
        <w:spacing w:line="260" w:lineRule="exact"/>
        <w:rPr>
          <w:snapToGrid w:val="0"/>
          <w:sz w:val="22"/>
          <w:szCs w:val="24"/>
        </w:rPr>
      </w:pPr>
    </w:p>
    <w:p w14:paraId="70AF1D1D" w14:textId="77777777" w:rsidR="005D554B" w:rsidRPr="00211E3B" w:rsidRDefault="005D554B" w:rsidP="005D554B">
      <w:pPr>
        <w:tabs>
          <w:tab w:val="left" w:pos="567"/>
        </w:tabs>
        <w:spacing w:line="260" w:lineRule="exact"/>
        <w:rPr>
          <w:snapToGrid w:val="0"/>
          <w:sz w:val="22"/>
          <w:szCs w:val="24"/>
        </w:rPr>
      </w:pPr>
    </w:p>
    <w:p w14:paraId="08FCD980" w14:textId="77777777" w:rsidR="005D554B" w:rsidRPr="00211E3B" w:rsidRDefault="005D554B" w:rsidP="005D554B">
      <w:pPr>
        <w:tabs>
          <w:tab w:val="left" w:pos="567"/>
        </w:tabs>
        <w:spacing w:line="260" w:lineRule="exact"/>
        <w:rPr>
          <w:snapToGrid w:val="0"/>
          <w:sz w:val="22"/>
          <w:szCs w:val="24"/>
        </w:rPr>
      </w:pPr>
    </w:p>
    <w:p w14:paraId="6730AFA1" w14:textId="77777777" w:rsidR="005D554B" w:rsidRPr="00211E3B" w:rsidRDefault="005D554B" w:rsidP="005D554B">
      <w:pPr>
        <w:tabs>
          <w:tab w:val="left" w:pos="567"/>
        </w:tabs>
        <w:spacing w:line="260" w:lineRule="exact"/>
        <w:rPr>
          <w:snapToGrid w:val="0"/>
          <w:sz w:val="22"/>
          <w:szCs w:val="24"/>
        </w:rPr>
      </w:pPr>
    </w:p>
    <w:p w14:paraId="51CEB32A" w14:textId="77777777" w:rsidR="005D554B" w:rsidRPr="00211E3B" w:rsidRDefault="005D554B" w:rsidP="005D554B">
      <w:pPr>
        <w:tabs>
          <w:tab w:val="left" w:pos="567"/>
        </w:tabs>
        <w:spacing w:line="260" w:lineRule="exact"/>
        <w:rPr>
          <w:snapToGrid w:val="0"/>
          <w:sz w:val="22"/>
          <w:szCs w:val="24"/>
        </w:rPr>
      </w:pPr>
    </w:p>
    <w:p w14:paraId="01BC3FE2" w14:textId="77777777" w:rsidR="005D554B" w:rsidRPr="00211E3B" w:rsidRDefault="005D554B" w:rsidP="005D554B">
      <w:pPr>
        <w:tabs>
          <w:tab w:val="left" w:pos="567"/>
        </w:tabs>
        <w:spacing w:line="260" w:lineRule="exact"/>
        <w:rPr>
          <w:snapToGrid w:val="0"/>
          <w:sz w:val="22"/>
          <w:szCs w:val="24"/>
        </w:rPr>
      </w:pPr>
    </w:p>
    <w:p w14:paraId="2DEB6A9D" w14:textId="77777777" w:rsidR="005D554B" w:rsidRPr="00211E3B" w:rsidRDefault="005D554B" w:rsidP="005D554B">
      <w:pPr>
        <w:tabs>
          <w:tab w:val="left" w:pos="567"/>
        </w:tabs>
        <w:spacing w:line="260" w:lineRule="exact"/>
        <w:rPr>
          <w:snapToGrid w:val="0"/>
          <w:sz w:val="22"/>
          <w:szCs w:val="24"/>
        </w:rPr>
      </w:pPr>
    </w:p>
    <w:p w14:paraId="3B65D4A4" w14:textId="77777777" w:rsidR="005D554B" w:rsidRPr="00211E3B" w:rsidRDefault="005D554B" w:rsidP="005D554B">
      <w:pPr>
        <w:tabs>
          <w:tab w:val="left" w:pos="567"/>
        </w:tabs>
        <w:spacing w:line="260" w:lineRule="exact"/>
        <w:rPr>
          <w:snapToGrid w:val="0"/>
          <w:sz w:val="22"/>
          <w:szCs w:val="24"/>
        </w:rPr>
      </w:pPr>
    </w:p>
    <w:p w14:paraId="4C9B6C9F" w14:textId="77777777" w:rsidR="005D554B" w:rsidRPr="00211E3B" w:rsidRDefault="005D554B" w:rsidP="005D554B">
      <w:pPr>
        <w:tabs>
          <w:tab w:val="left" w:pos="567"/>
        </w:tabs>
        <w:spacing w:line="260" w:lineRule="exact"/>
        <w:rPr>
          <w:snapToGrid w:val="0"/>
          <w:sz w:val="22"/>
          <w:szCs w:val="24"/>
        </w:rPr>
      </w:pPr>
    </w:p>
    <w:p w14:paraId="01A2EFD3" w14:textId="77777777" w:rsidR="005D554B" w:rsidRPr="00211E3B" w:rsidRDefault="005D554B" w:rsidP="005D554B">
      <w:pPr>
        <w:tabs>
          <w:tab w:val="left" w:pos="567"/>
        </w:tabs>
        <w:spacing w:line="260" w:lineRule="exact"/>
        <w:rPr>
          <w:snapToGrid w:val="0"/>
          <w:sz w:val="22"/>
          <w:szCs w:val="24"/>
        </w:rPr>
      </w:pPr>
    </w:p>
    <w:p w14:paraId="62D71FE2" w14:textId="77777777" w:rsidR="005D554B" w:rsidRPr="00211E3B" w:rsidRDefault="005D554B" w:rsidP="005D554B">
      <w:pPr>
        <w:tabs>
          <w:tab w:val="left" w:pos="567"/>
        </w:tabs>
        <w:spacing w:line="260" w:lineRule="exact"/>
        <w:rPr>
          <w:snapToGrid w:val="0"/>
          <w:sz w:val="22"/>
          <w:szCs w:val="24"/>
        </w:rPr>
      </w:pPr>
    </w:p>
    <w:p w14:paraId="71EEFDB6" w14:textId="77777777" w:rsidR="005D554B" w:rsidRPr="00211E3B" w:rsidRDefault="005D554B" w:rsidP="005D554B">
      <w:pPr>
        <w:tabs>
          <w:tab w:val="left" w:pos="567"/>
        </w:tabs>
        <w:spacing w:line="260" w:lineRule="exact"/>
        <w:rPr>
          <w:snapToGrid w:val="0"/>
          <w:sz w:val="22"/>
          <w:szCs w:val="24"/>
        </w:rPr>
      </w:pPr>
    </w:p>
    <w:p w14:paraId="788827E6" w14:textId="77777777" w:rsidR="005D554B" w:rsidRPr="00211E3B" w:rsidRDefault="005D554B" w:rsidP="005D554B">
      <w:pPr>
        <w:tabs>
          <w:tab w:val="left" w:pos="567"/>
        </w:tabs>
        <w:spacing w:line="260" w:lineRule="exact"/>
        <w:rPr>
          <w:snapToGrid w:val="0"/>
          <w:sz w:val="22"/>
          <w:szCs w:val="24"/>
        </w:rPr>
      </w:pPr>
    </w:p>
    <w:p w14:paraId="1A6F9B44" w14:textId="77777777" w:rsidR="005D554B" w:rsidRPr="00211E3B" w:rsidRDefault="005D554B" w:rsidP="005D554B">
      <w:pPr>
        <w:tabs>
          <w:tab w:val="left" w:pos="567"/>
        </w:tabs>
        <w:spacing w:line="260" w:lineRule="exact"/>
        <w:rPr>
          <w:snapToGrid w:val="0"/>
          <w:sz w:val="22"/>
          <w:szCs w:val="24"/>
        </w:rPr>
      </w:pPr>
    </w:p>
    <w:p w14:paraId="46A44B28" w14:textId="77777777" w:rsidR="005D554B" w:rsidRPr="00211E3B" w:rsidRDefault="005D554B" w:rsidP="005D554B">
      <w:pPr>
        <w:tabs>
          <w:tab w:val="left" w:pos="567"/>
        </w:tabs>
        <w:spacing w:line="260" w:lineRule="exact"/>
        <w:rPr>
          <w:snapToGrid w:val="0"/>
          <w:sz w:val="22"/>
          <w:szCs w:val="24"/>
        </w:rPr>
      </w:pPr>
    </w:p>
    <w:p w14:paraId="27E41400" w14:textId="77777777" w:rsidR="005D554B" w:rsidRPr="00211E3B" w:rsidRDefault="005D554B" w:rsidP="005D554B">
      <w:pPr>
        <w:tabs>
          <w:tab w:val="left" w:pos="567"/>
        </w:tabs>
        <w:spacing w:line="260" w:lineRule="exact"/>
        <w:rPr>
          <w:snapToGrid w:val="0"/>
          <w:sz w:val="22"/>
          <w:szCs w:val="24"/>
        </w:rPr>
      </w:pPr>
    </w:p>
    <w:p w14:paraId="73E00F00" w14:textId="77777777" w:rsidR="005D554B" w:rsidRPr="00211E3B" w:rsidRDefault="005D554B" w:rsidP="005D554B">
      <w:pPr>
        <w:tabs>
          <w:tab w:val="left" w:pos="567"/>
        </w:tabs>
        <w:spacing w:line="260" w:lineRule="exact"/>
        <w:rPr>
          <w:snapToGrid w:val="0"/>
          <w:sz w:val="22"/>
          <w:szCs w:val="24"/>
        </w:rPr>
      </w:pPr>
    </w:p>
    <w:p w14:paraId="75AC6C62" w14:textId="77777777" w:rsidR="005D554B" w:rsidRPr="00211E3B" w:rsidRDefault="005D554B" w:rsidP="005D554B">
      <w:pPr>
        <w:tabs>
          <w:tab w:val="left" w:pos="567"/>
        </w:tabs>
        <w:spacing w:line="260" w:lineRule="exact"/>
        <w:rPr>
          <w:snapToGrid w:val="0"/>
          <w:sz w:val="22"/>
          <w:szCs w:val="24"/>
        </w:rPr>
      </w:pPr>
    </w:p>
    <w:p w14:paraId="72C6CF54" w14:textId="77777777" w:rsidR="005D554B" w:rsidRPr="00211E3B" w:rsidRDefault="005D554B" w:rsidP="005D554B">
      <w:pPr>
        <w:keepNext/>
        <w:tabs>
          <w:tab w:val="left" w:pos="567"/>
        </w:tabs>
        <w:jc w:val="center"/>
        <w:outlineLvl w:val="1"/>
        <w:rPr>
          <w:b/>
          <w:snapToGrid w:val="0"/>
          <w:sz w:val="22"/>
          <w:szCs w:val="24"/>
          <w:lang w:eastAsia="x-none"/>
        </w:rPr>
      </w:pPr>
      <w:r w:rsidRPr="00211E3B">
        <w:rPr>
          <w:b/>
          <w:bCs/>
          <w:iCs/>
          <w:snapToGrid w:val="0"/>
          <w:sz w:val="22"/>
          <w:szCs w:val="28"/>
          <w:lang w:eastAsia="x-none"/>
        </w:rPr>
        <w:t>A. ŽENKLINIMAS</w:t>
      </w:r>
    </w:p>
    <w:p w14:paraId="500CC0BA" w14:textId="77777777" w:rsidR="005D554B" w:rsidRPr="00211E3B" w:rsidRDefault="005D554B" w:rsidP="005D554B">
      <w:pPr>
        <w:tabs>
          <w:tab w:val="left" w:pos="567"/>
        </w:tabs>
        <w:spacing w:line="260" w:lineRule="exact"/>
        <w:rPr>
          <w:snapToGrid w:val="0"/>
          <w:sz w:val="22"/>
          <w:szCs w:val="24"/>
        </w:rPr>
      </w:pPr>
      <w:r w:rsidRPr="00211E3B">
        <w:rPr>
          <w:snapToGrid w:val="0"/>
          <w:sz w:val="22"/>
          <w:szCs w:val="24"/>
        </w:rPr>
        <w:br w:type="page"/>
      </w:r>
    </w:p>
    <w:p w14:paraId="144A791D" w14:textId="6BFC410D" w:rsidR="005D554B" w:rsidRPr="00211E3B" w:rsidRDefault="005D554B" w:rsidP="005D554B">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sidRPr="00211E3B">
        <w:rPr>
          <w:b/>
          <w:snapToGrid w:val="0"/>
          <w:sz w:val="22"/>
          <w:szCs w:val="24"/>
        </w:rPr>
        <w:lastRenderedPageBreak/>
        <w:t>INFORMACIJA ANT IŠORINĖS PAKUOTĖS</w:t>
      </w:r>
    </w:p>
    <w:p w14:paraId="08150356" w14:textId="77777777" w:rsidR="005D554B" w:rsidRPr="00211E3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4"/>
        </w:rPr>
      </w:pPr>
    </w:p>
    <w:p w14:paraId="292DBDC1" w14:textId="1B2FAC9F" w:rsidR="005D554B" w:rsidRPr="00211E3B" w:rsidRDefault="00D35FC0" w:rsidP="005D554B">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sidRPr="00211E3B">
        <w:rPr>
          <w:b/>
          <w:snapToGrid w:val="0"/>
          <w:sz w:val="22"/>
          <w:szCs w:val="24"/>
        </w:rPr>
        <w:t>IŠORINĖ DĖŽUTĖ</w:t>
      </w:r>
    </w:p>
    <w:p w14:paraId="5AD561D7" w14:textId="77777777" w:rsidR="005D554B" w:rsidRPr="00211E3B" w:rsidRDefault="005D554B" w:rsidP="005D554B">
      <w:pPr>
        <w:tabs>
          <w:tab w:val="left" w:pos="567"/>
        </w:tabs>
        <w:spacing w:line="260" w:lineRule="exact"/>
        <w:rPr>
          <w:snapToGrid w:val="0"/>
          <w:sz w:val="22"/>
          <w:szCs w:val="24"/>
        </w:rPr>
      </w:pPr>
    </w:p>
    <w:p w14:paraId="47174EF2" w14:textId="77777777" w:rsidR="005D554B" w:rsidRPr="00211E3B" w:rsidRDefault="005D554B" w:rsidP="005D554B">
      <w:pPr>
        <w:tabs>
          <w:tab w:val="left" w:pos="567"/>
        </w:tabs>
        <w:spacing w:line="260" w:lineRule="exact"/>
        <w:rPr>
          <w:snapToGrid w:val="0"/>
          <w:sz w:val="22"/>
          <w:szCs w:val="24"/>
        </w:rPr>
      </w:pPr>
    </w:p>
    <w:p w14:paraId="643C6B96" w14:textId="77777777" w:rsidR="005D554B" w:rsidRPr="00211E3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211E3B">
        <w:rPr>
          <w:b/>
          <w:snapToGrid w:val="0"/>
          <w:sz w:val="22"/>
          <w:szCs w:val="24"/>
        </w:rPr>
        <w:t>1.</w:t>
      </w:r>
      <w:r w:rsidRPr="00211E3B">
        <w:rPr>
          <w:b/>
          <w:snapToGrid w:val="0"/>
          <w:sz w:val="22"/>
          <w:szCs w:val="24"/>
        </w:rPr>
        <w:tab/>
      </w:r>
      <w:r w:rsidRPr="00211E3B">
        <w:rPr>
          <w:b/>
          <w:caps/>
          <w:snapToGrid w:val="0"/>
          <w:sz w:val="22"/>
          <w:szCs w:val="24"/>
        </w:rPr>
        <w:t>VAISTINIO</w:t>
      </w:r>
      <w:r w:rsidRPr="00211E3B">
        <w:rPr>
          <w:b/>
          <w:snapToGrid w:val="0"/>
          <w:sz w:val="22"/>
          <w:szCs w:val="24"/>
        </w:rPr>
        <w:t xml:space="preserve"> PREPARATO PAVADINIMAS</w:t>
      </w:r>
    </w:p>
    <w:p w14:paraId="7CF832E1" w14:textId="77777777" w:rsidR="005D554B" w:rsidRPr="00211E3B" w:rsidRDefault="005D554B" w:rsidP="005D554B">
      <w:pPr>
        <w:tabs>
          <w:tab w:val="left" w:pos="567"/>
        </w:tabs>
        <w:spacing w:line="260" w:lineRule="exact"/>
        <w:rPr>
          <w:snapToGrid w:val="0"/>
          <w:sz w:val="22"/>
          <w:szCs w:val="24"/>
        </w:rPr>
      </w:pPr>
    </w:p>
    <w:p w14:paraId="67F6A1DB" w14:textId="0BB3893A" w:rsidR="00D35FC0" w:rsidRPr="00211E3B" w:rsidRDefault="00224B5B" w:rsidP="00D35FC0">
      <w:pPr>
        <w:rPr>
          <w:sz w:val="22"/>
          <w:szCs w:val="22"/>
        </w:rPr>
      </w:pPr>
      <w:r w:rsidRPr="00211E3B">
        <w:rPr>
          <w:sz w:val="22"/>
          <w:szCs w:val="22"/>
        </w:rPr>
        <w:t>Agarf</w:t>
      </w:r>
      <w:r w:rsidR="00D35FC0" w:rsidRPr="00211E3B">
        <w:rPr>
          <w:sz w:val="22"/>
          <w:szCs w:val="22"/>
        </w:rPr>
        <w:t xml:space="preserve"> 100</w:t>
      </w:r>
      <w:r w:rsidR="0085390D">
        <w:rPr>
          <w:sz w:val="22"/>
          <w:szCs w:val="22"/>
        </w:rPr>
        <w:t> mg</w:t>
      </w:r>
      <w:r w:rsidR="00D35FC0" w:rsidRPr="00211E3B">
        <w:rPr>
          <w:sz w:val="22"/>
          <w:szCs w:val="22"/>
        </w:rPr>
        <w:t xml:space="preserve"> minkštosios kapsulės</w:t>
      </w:r>
    </w:p>
    <w:p w14:paraId="453045E8" w14:textId="34127A6F" w:rsidR="00D35FC0" w:rsidRPr="006D4267" w:rsidRDefault="00D35FC0" w:rsidP="005D554B">
      <w:pPr>
        <w:tabs>
          <w:tab w:val="left" w:pos="567"/>
        </w:tabs>
        <w:spacing w:line="260" w:lineRule="exact"/>
        <w:rPr>
          <w:i/>
          <w:iCs/>
          <w:snapToGrid w:val="0"/>
          <w:sz w:val="22"/>
          <w:szCs w:val="24"/>
        </w:rPr>
      </w:pPr>
      <w:r w:rsidRPr="006D4267">
        <w:rPr>
          <w:i/>
          <w:iCs/>
          <w:snapToGrid w:val="0"/>
          <w:sz w:val="22"/>
          <w:szCs w:val="24"/>
        </w:rPr>
        <w:t>nintedani</w:t>
      </w:r>
      <w:r w:rsidR="00347341" w:rsidRPr="006D4267">
        <w:rPr>
          <w:i/>
          <w:iCs/>
          <w:snapToGrid w:val="0"/>
          <w:sz w:val="22"/>
          <w:szCs w:val="24"/>
        </w:rPr>
        <w:t>bum</w:t>
      </w:r>
    </w:p>
    <w:p w14:paraId="39B6F95A" w14:textId="77777777" w:rsidR="00D35FC0" w:rsidRPr="00211E3B" w:rsidRDefault="00D35FC0" w:rsidP="005D554B">
      <w:pPr>
        <w:tabs>
          <w:tab w:val="left" w:pos="567"/>
        </w:tabs>
        <w:spacing w:line="260" w:lineRule="exact"/>
        <w:rPr>
          <w:snapToGrid w:val="0"/>
          <w:sz w:val="22"/>
          <w:szCs w:val="24"/>
        </w:rPr>
      </w:pPr>
    </w:p>
    <w:p w14:paraId="4C7EFACD" w14:textId="77777777" w:rsidR="00D35FC0" w:rsidRPr="00211E3B" w:rsidRDefault="00D35FC0" w:rsidP="005D554B">
      <w:pPr>
        <w:tabs>
          <w:tab w:val="left" w:pos="567"/>
        </w:tabs>
        <w:spacing w:line="260" w:lineRule="exact"/>
        <w:rPr>
          <w:snapToGrid w:val="0"/>
          <w:sz w:val="22"/>
          <w:szCs w:val="24"/>
        </w:rPr>
      </w:pPr>
    </w:p>
    <w:p w14:paraId="1B365543" w14:textId="77777777" w:rsidR="005D554B" w:rsidRPr="00211E3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4"/>
        </w:rPr>
      </w:pPr>
      <w:r w:rsidRPr="00211E3B">
        <w:rPr>
          <w:b/>
          <w:snapToGrid w:val="0"/>
          <w:sz w:val="22"/>
          <w:szCs w:val="24"/>
        </w:rPr>
        <w:t>2.</w:t>
      </w:r>
      <w:r w:rsidRPr="00211E3B">
        <w:rPr>
          <w:b/>
          <w:snapToGrid w:val="0"/>
          <w:sz w:val="22"/>
          <w:szCs w:val="24"/>
        </w:rPr>
        <w:tab/>
        <w:t>VEIKLIOJI (-IOS) MEDŽIAGA (-OS) IR JOS (-Ų) KIEKIS (-IAI)</w:t>
      </w:r>
    </w:p>
    <w:p w14:paraId="0E719A9F" w14:textId="77777777" w:rsidR="005D554B" w:rsidRPr="00211E3B" w:rsidRDefault="005D554B" w:rsidP="005D554B">
      <w:pPr>
        <w:tabs>
          <w:tab w:val="left" w:pos="567"/>
        </w:tabs>
        <w:spacing w:line="260" w:lineRule="exact"/>
        <w:rPr>
          <w:snapToGrid w:val="0"/>
          <w:sz w:val="22"/>
          <w:szCs w:val="24"/>
        </w:rPr>
      </w:pPr>
    </w:p>
    <w:p w14:paraId="2C764228" w14:textId="103144AD" w:rsidR="00D35FC0" w:rsidRPr="00211E3B" w:rsidRDefault="00D35FC0" w:rsidP="00D35FC0">
      <w:pPr>
        <w:tabs>
          <w:tab w:val="left" w:pos="567"/>
        </w:tabs>
        <w:rPr>
          <w:sz w:val="22"/>
        </w:rPr>
      </w:pPr>
      <w:r w:rsidRPr="00211E3B">
        <w:rPr>
          <w:sz w:val="22"/>
        </w:rPr>
        <w:t>Kiekvienoje kapsulėje yra 100</w:t>
      </w:r>
      <w:r w:rsidR="0085390D">
        <w:rPr>
          <w:sz w:val="22"/>
        </w:rPr>
        <w:t> mg</w:t>
      </w:r>
      <w:r w:rsidRPr="00211E3B">
        <w:rPr>
          <w:sz w:val="22"/>
        </w:rPr>
        <w:t xml:space="preserve"> nintedanibo (esilato forma)</w:t>
      </w:r>
    </w:p>
    <w:p w14:paraId="30B4796A" w14:textId="77777777" w:rsidR="00D35FC0" w:rsidRPr="00211E3B" w:rsidRDefault="00D35FC0" w:rsidP="00D35FC0">
      <w:pPr>
        <w:tabs>
          <w:tab w:val="left" w:pos="567"/>
        </w:tabs>
        <w:rPr>
          <w:sz w:val="22"/>
        </w:rPr>
      </w:pPr>
    </w:p>
    <w:p w14:paraId="374590D7" w14:textId="77777777" w:rsidR="005D554B" w:rsidRPr="00211E3B" w:rsidRDefault="005D554B" w:rsidP="005D554B">
      <w:pPr>
        <w:tabs>
          <w:tab w:val="left" w:pos="567"/>
        </w:tabs>
        <w:spacing w:line="260" w:lineRule="exact"/>
        <w:rPr>
          <w:snapToGrid w:val="0"/>
          <w:sz w:val="22"/>
          <w:szCs w:val="24"/>
        </w:rPr>
      </w:pPr>
    </w:p>
    <w:p w14:paraId="02D26219" w14:textId="77777777" w:rsidR="005D554B" w:rsidRPr="00211E3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211E3B">
        <w:rPr>
          <w:b/>
          <w:snapToGrid w:val="0"/>
          <w:sz w:val="22"/>
          <w:szCs w:val="24"/>
        </w:rPr>
        <w:t>3.</w:t>
      </w:r>
      <w:r w:rsidRPr="00211E3B">
        <w:rPr>
          <w:b/>
          <w:snapToGrid w:val="0"/>
          <w:sz w:val="22"/>
          <w:szCs w:val="24"/>
        </w:rPr>
        <w:tab/>
        <w:t>PAGALBINIŲ MEDŽIAGŲ SĄRAŠAS</w:t>
      </w:r>
    </w:p>
    <w:p w14:paraId="5C0A1253" w14:textId="77777777" w:rsidR="005D554B" w:rsidRPr="00211E3B" w:rsidRDefault="005D554B" w:rsidP="005D554B">
      <w:pPr>
        <w:tabs>
          <w:tab w:val="left" w:pos="567"/>
        </w:tabs>
        <w:spacing w:line="260" w:lineRule="exact"/>
        <w:rPr>
          <w:snapToGrid w:val="0"/>
          <w:sz w:val="22"/>
          <w:szCs w:val="24"/>
        </w:rPr>
      </w:pPr>
    </w:p>
    <w:p w14:paraId="4EF3B010" w14:textId="77777777" w:rsidR="00D35FC0" w:rsidRPr="00211E3B" w:rsidRDefault="00D35FC0" w:rsidP="005D554B">
      <w:pPr>
        <w:tabs>
          <w:tab w:val="left" w:pos="567"/>
        </w:tabs>
        <w:spacing w:line="260" w:lineRule="exact"/>
        <w:rPr>
          <w:snapToGrid w:val="0"/>
          <w:sz w:val="22"/>
          <w:szCs w:val="24"/>
        </w:rPr>
      </w:pPr>
    </w:p>
    <w:p w14:paraId="59DCECBC" w14:textId="77777777" w:rsidR="005D554B" w:rsidRPr="00211E3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211E3B">
        <w:rPr>
          <w:b/>
          <w:snapToGrid w:val="0"/>
          <w:sz w:val="22"/>
          <w:szCs w:val="24"/>
        </w:rPr>
        <w:t>4.</w:t>
      </w:r>
      <w:r w:rsidRPr="00211E3B">
        <w:rPr>
          <w:b/>
          <w:snapToGrid w:val="0"/>
          <w:sz w:val="22"/>
          <w:szCs w:val="24"/>
        </w:rPr>
        <w:tab/>
        <w:t>FARMACINĖ FORMA IR KIEKIS PAKUOTĖJE</w:t>
      </w:r>
    </w:p>
    <w:p w14:paraId="0B72CA4E" w14:textId="77777777" w:rsidR="005D554B" w:rsidRPr="00211E3B" w:rsidRDefault="005D554B" w:rsidP="005D554B">
      <w:pPr>
        <w:tabs>
          <w:tab w:val="left" w:pos="567"/>
        </w:tabs>
        <w:spacing w:line="260" w:lineRule="exact"/>
        <w:rPr>
          <w:snapToGrid w:val="0"/>
          <w:sz w:val="22"/>
          <w:szCs w:val="24"/>
        </w:rPr>
      </w:pPr>
    </w:p>
    <w:p w14:paraId="466EED5D" w14:textId="77777777" w:rsidR="007C7E79" w:rsidRPr="007C7E79" w:rsidRDefault="007C7E79" w:rsidP="007C7E79">
      <w:pPr>
        <w:tabs>
          <w:tab w:val="left" w:pos="567"/>
        </w:tabs>
        <w:spacing w:line="260" w:lineRule="exact"/>
        <w:rPr>
          <w:i/>
          <w:iCs/>
          <w:snapToGrid w:val="0"/>
          <w:sz w:val="22"/>
          <w:szCs w:val="24"/>
          <w:highlight w:val="lightGray"/>
        </w:rPr>
      </w:pPr>
      <w:r w:rsidRPr="007C7E79">
        <w:rPr>
          <w:i/>
          <w:iCs/>
          <w:snapToGrid w:val="0"/>
          <w:sz w:val="22"/>
          <w:szCs w:val="24"/>
          <w:highlight w:val="lightGray"/>
        </w:rPr>
        <w:t>Minkštoji kapsulė</w:t>
      </w:r>
    </w:p>
    <w:p w14:paraId="74DAADDE" w14:textId="77777777" w:rsidR="007C7E79" w:rsidRDefault="007C7E79" w:rsidP="007C7E79">
      <w:pPr>
        <w:tabs>
          <w:tab w:val="left" w:pos="567"/>
        </w:tabs>
        <w:spacing w:line="260" w:lineRule="exact"/>
        <w:rPr>
          <w:snapToGrid w:val="0"/>
          <w:sz w:val="22"/>
          <w:szCs w:val="24"/>
        </w:rPr>
      </w:pPr>
    </w:p>
    <w:p w14:paraId="4575309C" w14:textId="6847CCD7" w:rsidR="007C7E79" w:rsidRDefault="00330003" w:rsidP="007C7E79">
      <w:pPr>
        <w:tabs>
          <w:tab w:val="left" w:pos="567"/>
        </w:tabs>
        <w:spacing w:line="260" w:lineRule="exact"/>
        <w:rPr>
          <w:snapToGrid w:val="0"/>
          <w:sz w:val="22"/>
          <w:szCs w:val="24"/>
        </w:rPr>
      </w:pPr>
      <w:r>
        <w:rPr>
          <w:snapToGrid w:val="0"/>
          <w:sz w:val="22"/>
          <w:szCs w:val="24"/>
        </w:rPr>
        <w:t>6</w:t>
      </w:r>
      <w:r w:rsidR="007C7E79" w:rsidRPr="00211E3B">
        <w:rPr>
          <w:snapToGrid w:val="0"/>
          <w:sz w:val="22"/>
          <w:szCs w:val="24"/>
        </w:rPr>
        <w:t>0 x 1 </w:t>
      </w:r>
      <w:r w:rsidR="007C7E79" w:rsidRPr="007C7E79">
        <w:rPr>
          <w:snapToGrid w:val="0"/>
          <w:sz w:val="22"/>
          <w:szCs w:val="24"/>
          <w:highlight w:val="lightGray"/>
        </w:rPr>
        <w:t>minkštoji</w:t>
      </w:r>
      <w:r w:rsidR="007C7E79">
        <w:rPr>
          <w:snapToGrid w:val="0"/>
          <w:sz w:val="22"/>
          <w:szCs w:val="24"/>
        </w:rPr>
        <w:t xml:space="preserve"> </w:t>
      </w:r>
      <w:r w:rsidR="007C7E79" w:rsidRPr="00211E3B">
        <w:rPr>
          <w:snapToGrid w:val="0"/>
          <w:sz w:val="22"/>
          <w:szCs w:val="24"/>
        </w:rPr>
        <w:t>kapsulė</w:t>
      </w:r>
    </w:p>
    <w:p w14:paraId="0E5113DF" w14:textId="77777777" w:rsidR="00330003" w:rsidRPr="00211E3B" w:rsidRDefault="00330003" w:rsidP="007C7E79">
      <w:pPr>
        <w:tabs>
          <w:tab w:val="left" w:pos="567"/>
        </w:tabs>
        <w:spacing w:line="260" w:lineRule="exact"/>
        <w:rPr>
          <w:snapToGrid w:val="0"/>
          <w:sz w:val="22"/>
          <w:szCs w:val="24"/>
        </w:rPr>
      </w:pPr>
    </w:p>
    <w:p w14:paraId="2D823CF1" w14:textId="77777777" w:rsidR="00D35FC0" w:rsidRPr="00211E3B" w:rsidRDefault="00D35FC0" w:rsidP="005D554B">
      <w:pPr>
        <w:tabs>
          <w:tab w:val="left" w:pos="567"/>
        </w:tabs>
        <w:spacing w:line="260" w:lineRule="exact"/>
        <w:rPr>
          <w:snapToGrid w:val="0"/>
          <w:sz w:val="22"/>
          <w:szCs w:val="24"/>
        </w:rPr>
      </w:pPr>
    </w:p>
    <w:p w14:paraId="075AE771" w14:textId="77777777" w:rsidR="005D554B" w:rsidRPr="00211E3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211E3B">
        <w:rPr>
          <w:b/>
          <w:snapToGrid w:val="0"/>
          <w:sz w:val="22"/>
          <w:szCs w:val="24"/>
        </w:rPr>
        <w:t>5.</w:t>
      </w:r>
      <w:r w:rsidRPr="00211E3B">
        <w:rPr>
          <w:b/>
          <w:snapToGrid w:val="0"/>
          <w:sz w:val="22"/>
          <w:szCs w:val="24"/>
        </w:rPr>
        <w:tab/>
        <w:t>VARTOJIMO METODAS IR BŪDAS (-AI)</w:t>
      </w:r>
    </w:p>
    <w:p w14:paraId="456D8463" w14:textId="77777777" w:rsidR="005D554B" w:rsidRPr="00211E3B" w:rsidRDefault="005D554B" w:rsidP="005D554B">
      <w:pPr>
        <w:tabs>
          <w:tab w:val="left" w:pos="567"/>
        </w:tabs>
        <w:spacing w:line="260" w:lineRule="exact"/>
        <w:rPr>
          <w:snapToGrid w:val="0"/>
          <w:sz w:val="22"/>
          <w:szCs w:val="24"/>
        </w:rPr>
      </w:pPr>
    </w:p>
    <w:p w14:paraId="07AC34BC" w14:textId="77777777" w:rsidR="00D35FC0" w:rsidRPr="006D7B3F" w:rsidRDefault="00D35FC0" w:rsidP="00D35FC0">
      <w:pPr>
        <w:tabs>
          <w:tab w:val="left" w:pos="567"/>
        </w:tabs>
        <w:spacing w:line="260" w:lineRule="exact"/>
        <w:rPr>
          <w:i/>
          <w:iCs/>
          <w:snapToGrid w:val="0"/>
          <w:sz w:val="22"/>
          <w:szCs w:val="24"/>
        </w:rPr>
      </w:pPr>
      <w:r w:rsidRPr="006D7B3F">
        <w:rPr>
          <w:i/>
          <w:iCs/>
          <w:snapToGrid w:val="0"/>
          <w:sz w:val="22"/>
          <w:szCs w:val="24"/>
          <w:highlight w:val="lightGray"/>
        </w:rPr>
        <w:t>Vartoti per burną.</w:t>
      </w:r>
    </w:p>
    <w:p w14:paraId="157C957F" w14:textId="77777777" w:rsidR="005D554B" w:rsidRPr="00211E3B" w:rsidRDefault="005D554B" w:rsidP="005D554B">
      <w:pPr>
        <w:tabs>
          <w:tab w:val="left" w:pos="567"/>
        </w:tabs>
        <w:spacing w:line="260" w:lineRule="exact"/>
        <w:rPr>
          <w:snapToGrid w:val="0"/>
          <w:sz w:val="22"/>
          <w:szCs w:val="24"/>
        </w:rPr>
      </w:pPr>
      <w:r w:rsidRPr="00211E3B">
        <w:rPr>
          <w:snapToGrid w:val="0"/>
          <w:sz w:val="22"/>
          <w:szCs w:val="24"/>
        </w:rPr>
        <w:t>Prieš vartojimą perskaitykite pakuotės lapelį.</w:t>
      </w:r>
    </w:p>
    <w:p w14:paraId="677FE035" w14:textId="77777777" w:rsidR="005D554B" w:rsidRPr="00211E3B" w:rsidRDefault="005D554B" w:rsidP="005D554B">
      <w:pPr>
        <w:tabs>
          <w:tab w:val="left" w:pos="567"/>
        </w:tabs>
        <w:spacing w:line="260" w:lineRule="exact"/>
        <w:rPr>
          <w:snapToGrid w:val="0"/>
          <w:sz w:val="22"/>
          <w:szCs w:val="24"/>
        </w:rPr>
      </w:pPr>
    </w:p>
    <w:p w14:paraId="2FC93E80" w14:textId="77777777" w:rsidR="005D554B" w:rsidRPr="00211E3B" w:rsidRDefault="005D554B" w:rsidP="005D554B">
      <w:pPr>
        <w:tabs>
          <w:tab w:val="left" w:pos="567"/>
        </w:tabs>
        <w:spacing w:line="260" w:lineRule="exact"/>
        <w:rPr>
          <w:snapToGrid w:val="0"/>
          <w:sz w:val="22"/>
          <w:szCs w:val="24"/>
        </w:rPr>
      </w:pPr>
    </w:p>
    <w:p w14:paraId="566F87E5" w14:textId="77777777" w:rsidR="005D554B" w:rsidRPr="00211E3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211E3B">
        <w:rPr>
          <w:b/>
          <w:snapToGrid w:val="0"/>
          <w:sz w:val="22"/>
          <w:szCs w:val="24"/>
        </w:rPr>
        <w:t>6.</w:t>
      </w:r>
      <w:r w:rsidRPr="00211E3B">
        <w:rPr>
          <w:b/>
          <w:snapToGrid w:val="0"/>
          <w:sz w:val="22"/>
          <w:szCs w:val="24"/>
        </w:rPr>
        <w:tab/>
        <w:t>SPECIALUS ĮSPĖJIMAS, KAD VAISTINĮ PREPARATĄ BŪTINA LAIKYTI VAIKAMS NEPASTEBIMOJE IR  NEPASIEKIAMOJE VIETOJE</w:t>
      </w:r>
    </w:p>
    <w:p w14:paraId="0FBD3C67" w14:textId="77777777" w:rsidR="005D554B" w:rsidRPr="00211E3B" w:rsidRDefault="005D554B" w:rsidP="005D554B">
      <w:pPr>
        <w:tabs>
          <w:tab w:val="left" w:pos="567"/>
        </w:tabs>
        <w:spacing w:line="260" w:lineRule="exact"/>
        <w:rPr>
          <w:snapToGrid w:val="0"/>
          <w:sz w:val="22"/>
          <w:szCs w:val="24"/>
        </w:rPr>
      </w:pPr>
    </w:p>
    <w:p w14:paraId="69C2F795" w14:textId="77777777" w:rsidR="005D554B" w:rsidRPr="00211E3B" w:rsidRDefault="005D554B" w:rsidP="005D554B">
      <w:pPr>
        <w:tabs>
          <w:tab w:val="left" w:pos="567"/>
        </w:tabs>
        <w:spacing w:line="260" w:lineRule="exact"/>
        <w:rPr>
          <w:snapToGrid w:val="0"/>
          <w:sz w:val="22"/>
          <w:szCs w:val="24"/>
        </w:rPr>
      </w:pPr>
      <w:r w:rsidRPr="00211E3B">
        <w:rPr>
          <w:snapToGrid w:val="0"/>
          <w:sz w:val="22"/>
          <w:szCs w:val="24"/>
        </w:rPr>
        <w:t>Laikyti vaikams nepastebimoje ir nepasiekiamoje vietoje.</w:t>
      </w:r>
    </w:p>
    <w:p w14:paraId="77A109DC" w14:textId="77777777" w:rsidR="005D554B" w:rsidRPr="00211E3B" w:rsidRDefault="005D554B" w:rsidP="005D554B">
      <w:pPr>
        <w:tabs>
          <w:tab w:val="left" w:pos="567"/>
        </w:tabs>
        <w:spacing w:line="260" w:lineRule="exact"/>
        <w:rPr>
          <w:snapToGrid w:val="0"/>
          <w:sz w:val="22"/>
          <w:szCs w:val="24"/>
        </w:rPr>
      </w:pPr>
    </w:p>
    <w:p w14:paraId="78042AFD" w14:textId="77777777" w:rsidR="005D554B" w:rsidRPr="00211E3B" w:rsidRDefault="005D554B" w:rsidP="005D554B">
      <w:pPr>
        <w:tabs>
          <w:tab w:val="left" w:pos="567"/>
        </w:tabs>
        <w:spacing w:line="260" w:lineRule="exact"/>
        <w:rPr>
          <w:snapToGrid w:val="0"/>
          <w:sz w:val="22"/>
          <w:szCs w:val="24"/>
        </w:rPr>
      </w:pPr>
    </w:p>
    <w:p w14:paraId="52F225AB" w14:textId="77777777" w:rsidR="005D554B" w:rsidRPr="00211E3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211E3B">
        <w:rPr>
          <w:b/>
          <w:snapToGrid w:val="0"/>
          <w:sz w:val="22"/>
          <w:szCs w:val="24"/>
        </w:rPr>
        <w:t>7.</w:t>
      </w:r>
      <w:r w:rsidRPr="00211E3B">
        <w:rPr>
          <w:b/>
          <w:snapToGrid w:val="0"/>
          <w:sz w:val="22"/>
          <w:szCs w:val="24"/>
        </w:rPr>
        <w:tab/>
        <w:t>KITAS (-I) SPECIALUS (-ŪS) ĮSPĖJIMAS (-AI) (JEI REIKIA)</w:t>
      </w:r>
    </w:p>
    <w:p w14:paraId="2E9BF168" w14:textId="77777777" w:rsidR="005D554B" w:rsidRPr="00211E3B" w:rsidRDefault="005D554B" w:rsidP="005D554B">
      <w:pPr>
        <w:tabs>
          <w:tab w:val="left" w:pos="567"/>
        </w:tabs>
        <w:spacing w:line="260" w:lineRule="exact"/>
        <w:rPr>
          <w:snapToGrid w:val="0"/>
          <w:sz w:val="22"/>
          <w:szCs w:val="24"/>
        </w:rPr>
      </w:pPr>
    </w:p>
    <w:p w14:paraId="2F88E5EB" w14:textId="77777777" w:rsidR="005D554B" w:rsidRPr="00211E3B" w:rsidRDefault="005D554B" w:rsidP="005D554B">
      <w:pPr>
        <w:tabs>
          <w:tab w:val="left" w:pos="567"/>
        </w:tabs>
        <w:spacing w:line="260" w:lineRule="exact"/>
        <w:rPr>
          <w:snapToGrid w:val="0"/>
          <w:sz w:val="22"/>
          <w:szCs w:val="24"/>
        </w:rPr>
      </w:pPr>
    </w:p>
    <w:p w14:paraId="31E9389F" w14:textId="77777777" w:rsidR="005D554B" w:rsidRPr="00211E3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211E3B">
        <w:rPr>
          <w:b/>
          <w:snapToGrid w:val="0"/>
          <w:sz w:val="22"/>
          <w:szCs w:val="24"/>
        </w:rPr>
        <w:t>8.</w:t>
      </w:r>
      <w:r w:rsidRPr="00211E3B">
        <w:rPr>
          <w:b/>
          <w:snapToGrid w:val="0"/>
          <w:sz w:val="22"/>
          <w:szCs w:val="24"/>
        </w:rPr>
        <w:tab/>
        <w:t>TINKAMUMO LAIKAS</w:t>
      </w:r>
    </w:p>
    <w:p w14:paraId="5B2DF3D7" w14:textId="77777777" w:rsidR="005D554B" w:rsidRPr="00211E3B" w:rsidRDefault="005D554B" w:rsidP="005D554B">
      <w:pPr>
        <w:tabs>
          <w:tab w:val="left" w:pos="567"/>
        </w:tabs>
        <w:spacing w:line="260" w:lineRule="exact"/>
        <w:rPr>
          <w:snapToGrid w:val="0"/>
          <w:sz w:val="22"/>
          <w:szCs w:val="24"/>
        </w:rPr>
      </w:pPr>
    </w:p>
    <w:p w14:paraId="7FCF9CB2" w14:textId="53B81920" w:rsidR="005D554B" w:rsidRPr="00211E3B" w:rsidRDefault="005D554B" w:rsidP="005D554B">
      <w:pPr>
        <w:tabs>
          <w:tab w:val="left" w:pos="567"/>
        </w:tabs>
        <w:spacing w:line="260" w:lineRule="exact"/>
        <w:rPr>
          <w:snapToGrid w:val="0"/>
          <w:sz w:val="22"/>
        </w:rPr>
      </w:pPr>
      <w:r w:rsidRPr="00211E3B">
        <w:rPr>
          <w:snapToGrid w:val="0"/>
          <w:sz w:val="22"/>
        </w:rPr>
        <w:t>EXP</w:t>
      </w:r>
      <w:r w:rsidR="007E24C1">
        <w:rPr>
          <w:snapToGrid w:val="0"/>
          <w:sz w:val="22"/>
        </w:rPr>
        <w:t xml:space="preserve"> {mm/MMMM}</w:t>
      </w:r>
    </w:p>
    <w:p w14:paraId="5ABB678D" w14:textId="77777777" w:rsidR="005D554B" w:rsidRPr="00211E3B" w:rsidRDefault="005D554B" w:rsidP="005D554B">
      <w:pPr>
        <w:tabs>
          <w:tab w:val="left" w:pos="567"/>
        </w:tabs>
        <w:spacing w:line="260" w:lineRule="exact"/>
        <w:rPr>
          <w:snapToGrid w:val="0"/>
          <w:sz w:val="22"/>
          <w:szCs w:val="24"/>
        </w:rPr>
      </w:pPr>
    </w:p>
    <w:p w14:paraId="6280750C" w14:textId="77777777" w:rsidR="005D554B" w:rsidRPr="00211E3B" w:rsidRDefault="005D554B" w:rsidP="005D554B">
      <w:pPr>
        <w:tabs>
          <w:tab w:val="left" w:pos="567"/>
        </w:tabs>
        <w:spacing w:line="260" w:lineRule="exact"/>
        <w:rPr>
          <w:snapToGrid w:val="0"/>
          <w:sz w:val="22"/>
          <w:szCs w:val="24"/>
        </w:rPr>
      </w:pPr>
    </w:p>
    <w:p w14:paraId="75172B9E" w14:textId="77777777" w:rsidR="005D554B" w:rsidRPr="00211E3B" w:rsidRDefault="005D554B" w:rsidP="005D554B">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211E3B">
        <w:rPr>
          <w:b/>
          <w:snapToGrid w:val="0"/>
          <w:sz w:val="22"/>
          <w:szCs w:val="24"/>
        </w:rPr>
        <w:t>9.</w:t>
      </w:r>
      <w:r w:rsidRPr="00211E3B">
        <w:rPr>
          <w:b/>
          <w:snapToGrid w:val="0"/>
          <w:sz w:val="22"/>
          <w:szCs w:val="24"/>
        </w:rPr>
        <w:tab/>
        <w:t>SPECIALIOS LAIKYMO SĄLYGOS</w:t>
      </w:r>
    </w:p>
    <w:p w14:paraId="14F13992" w14:textId="77777777" w:rsidR="005D554B" w:rsidRPr="00211E3B" w:rsidRDefault="005D554B" w:rsidP="005D554B">
      <w:pPr>
        <w:tabs>
          <w:tab w:val="left" w:pos="567"/>
        </w:tabs>
        <w:spacing w:line="260" w:lineRule="exact"/>
        <w:rPr>
          <w:snapToGrid w:val="0"/>
          <w:sz w:val="22"/>
          <w:szCs w:val="24"/>
        </w:rPr>
      </w:pPr>
    </w:p>
    <w:p w14:paraId="053A628B" w14:textId="77777777" w:rsidR="005D554B" w:rsidRPr="00211E3B" w:rsidRDefault="005D554B" w:rsidP="005D554B">
      <w:pPr>
        <w:tabs>
          <w:tab w:val="left" w:pos="567"/>
        </w:tabs>
        <w:spacing w:line="260" w:lineRule="exact"/>
        <w:rPr>
          <w:snapToGrid w:val="0"/>
          <w:sz w:val="22"/>
          <w:szCs w:val="24"/>
        </w:rPr>
      </w:pPr>
    </w:p>
    <w:p w14:paraId="2BE3336F" w14:textId="77777777" w:rsidR="005D554B" w:rsidRPr="00211E3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211E3B">
        <w:rPr>
          <w:b/>
          <w:snapToGrid w:val="0"/>
          <w:sz w:val="22"/>
          <w:szCs w:val="24"/>
        </w:rPr>
        <w:t>10.</w:t>
      </w:r>
      <w:r w:rsidRPr="00211E3B">
        <w:rPr>
          <w:b/>
          <w:snapToGrid w:val="0"/>
          <w:sz w:val="22"/>
          <w:szCs w:val="24"/>
        </w:rPr>
        <w:tab/>
        <w:t>SPECIALIOS ATSARGUMO PRIEMONĖS DĖL NESUVARTOTO VAISTINIO PREPARATO AR JO ATLIEKŲ TVARKYMO (JEI REIKIA)</w:t>
      </w:r>
    </w:p>
    <w:p w14:paraId="4638E0FF" w14:textId="77777777" w:rsidR="005D554B" w:rsidRPr="00211E3B" w:rsidRDefault="005D554B" w:rsidP="005D554B">
      <w:pPr>
        <w:tabs>
          <w:tab w:val="left" w:pos="567"/>
        </w:tabs>
        <w:spacing w:line="260" w:lineRule="exact"/>
        <w:rPr>
          <w:snapToGrid w:val="0"/>
          <w:sz w:val="22"/>
          <w:szCs w:val="24"/>
        </w:rPr>
      </w:pPr>
    </w:p>
    <w:p w14:paraId="0F1C6EE8" w14:textId="77777777" w:rsidR="005D554B" w:rsidRPr="00211E3B" w:rsidRDefault="005D554B" w:rsidP="005D554B">
      <w:pPr>
        <w:tabs>
          <w:tab w:val="left" w:pos="567"/>
        </w:tabs>
        <w:spacing w:line="260" w:lineRule="exact"/>
        <w:rPr>
          <w:snapToGrid w:val="0"/>
          <w:sz w:val="22"/>
          <w:szCs w:val="24"/>
        </w:rPr>
      </w:pPr>
    </w:p>
    <w:p w14:paraId="50D76CB5" w14:textId="77777777" w:rsidR="005D554B" w:rsidRPr="00211E3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211E3B">
        <w:rPr>
          <w:b/>
          <w:snapToGrid w:val="0"/>
          <w:sz w:val="22"/>
          <w:szCs w:val="24"/>
        </w:rPr>
        <w:lastRenderedPageBreak/>
        <w:t>11.</w:t>
      </w:r>
      <w:r w:rsidRPr="00211E3B">
        <w:rPr>
          <w:b/>
          <w:snapToGrid w:val="0"/>
          <w:sz w:val="22"/>
          <w:szCs w:val="24"/>
        </w:rPr>
        <w:tab/>
      </w:r>
      <w:r w:rsidRPr="00211E3B">
        <w:rPr>
          <w:b/>
          <w:caps/>
          <w:snapToGrid w:val="0"/>
          <w:sz w:val="22"/>
          <w:szCs w:val="24"/>
        </w:rPr>
        <w:t xml:space="preserve"> REGISTRUOTOJO PAVADINIMAS IR ADRESAS</w:t>
      </w:r>
    </w:p>
    <w:p w14:paraId="73723EF5" w14:textId="77777777" w:rsidR="005D554B" w:rsidRPr="00211E3B" w:rsidRDefault="005D554B" w:rsidP="005D554B">
      <w:pPr>
        <w:tabs>
          <w:tab w:val="left" w:pos="567"/>
        </w:tabs>
        <w:spacing w:line="260" w:lineRule="exact"/>
        <w:rPr>
          <w:snapToGrid w:val="0"/>
          <w:sz w:val="22"/>
          <w:szCs w:val="24"/>
        </w:rPr>
      </w:pPr>
    </w:p>
    <w:p w14:paraId="01B76A6C" w14:textId="0525C1D2" w:rsidR="005D554B" w:rsidRDefault="008A5422" w:rsidP="005D554B">
      <w:pPr>
        <w:tabs>
          <w:tab w:val="left" w:pos="567"/>
        </w:tabs>
        <w:spacing w:line="260" w:lineRule="exact"/>
        <w:rPr>
          <w:snapToGrid w:val="0"/>
          <w:sz w:val="22"/>
          <w:szCs w:val="24"/>
        </w:rPr>
      </w:pPr>
      <w:r w:rsidRPr="008A5422">
        <w:rPr>
          <w:snapToGrid w:val="0"/>
          <w:sz w:val="22"/>
          <w:szCs w:val="24"/>
        </w:rPr>
        <w:t>UAB Norameda, Meistrų g. 8A, LT-02189 Vilnius, Lietuva</w:t>
      </w:r>
    </w:p>
    <w:p w14:paraId="707D2719" w14:textId="77777777" w:rsidR="008A5422" w:rsidRPr="00211E3B" w:rsidRDefault="008A5422" w:rsidP="005D554B">
      <w:pPr>
        <w:tabs>
          <w:tab w:val="left" w:pos="567"/>
        </w:tabs>
        <w:spacing w:line="260" w:lineRule="exact"/>
        <w:rPr>
          <w:snapToGrid w:val="0"/>
          <w:sz w:val="22"/>
          <w:szCs w:val="24"/>
        </w:rPr>
      </w:pPr>
    </w:p>
    <w:p w14:paraId="747A5CEA" w14:textId="77777777" w:rsidR="005D554B" w:rsidRPr="00211E3B" w:rsidRDefault="005D554B" w:rsidP="005D554B">
      <w:pPr>
        <w:tabs>
          <w:tab w:val="left" w:pos="567"/>
        </w:tabs>
        <w:spacing w:line="260" w:lineRule="exact"/>
        <w:rPr>
          <w:snapToGrid w:val="0"/>
          <w:sz w:val="22"/>
          <w:szCs w:val="24"/>
        </w:rPr>
      </w:pPr>
    </w:p>
    <w:p w14:paraId="154B793F" w14:textId="77777777" w:rsidR="005D554B" w:rsidRPr="00211E3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211E3B">
        <w:rPr>
          <w:b/>
          <w:snapToGrid w:val="0"/>
          <w:sz w:val="22"/>
          <w:szCs w:val="24"/>
        </w:rPr>
        <w:t>12.</w:t>
      </w:r>
      <w:r w:rsidRPr="00211E3B">
        <w:rPr>
          <w:b/>
          <w:snapToGrid w:val="0"/>
          <w:sz w:val="22"/>
          <w:szCs w:val="24"/>
        </w:rPr>
        <w:tab/>
        <w:t xml:space="preserve">REGISTRACIJOS PAŽYMĖJIMO NUMERIS (-IAI) </w:t>
      </w:r>
    </w:p>
    <w:p w14:paraId="0B77103A" w14:textId="77777777" w:rsidR="005D554B" w:rsidRPr="00211E3B" w:rsidRDefault="005D554B" w:rsidP="005D554B">
      <w:pPr>
        <w:tabs>
          <w:tab w:val="left" w:pos="567"/>
        </w:tabs>
        <w:spacing w:line="260" w:lineRule="exact"/>
        <w:rPr>
          <w:snapToGrid w:val="0"/>
          <w:sz w:val="22"/>
          <w:szCs w:val="24"/>
        </w:rPr>
      </w:pPr>
    </w:p>
    <w:p w14:paraId="16D44E42" w14:textId="026E058A" w:rsidR="00B80A5A" w:rsidRDefault="00B80A5A" w:rsidP="00B80A5A">
      <w:pPr>
        <w:tabs>
          <w:tab w:val="left" w:pos="567"/>
        </w:tabs>
        <w:spacing w:line="260" w:lineRule="exact"/>
        <w:rPr>
          <w:snapToGrid w:val="0"/>
          <w:sz w:val="22"/>
        </w:rPr>
      </w:pPr>
      <w:r w:rsidRPr="00B80A5A">
        <w:rPr>
          <w:snapToGrid w:val="0"/>
          <w:sz w:val="22"/>
        </w:rPr>
        <w:t>LT/1/24/5356/001</w:t>
      </w:r>
      <w:r w:rsidRPr="00B80A5A">
        <w:rPr>
          <w:snapToGrid w:val="0"/>
          <w:sz w:val="22"/>
        </w:rPr>
        <w:tab/>
      </w:r>
    </w:p>
    <w:p w14:paraId="4C9A29C1" w14:textId="7C7F7E25" w:rsidR="005D554B" w:rsidRDefault="005D554B" w:rsidP="005D554B">
      <w:pPr>
        <w:tabs>
          <w:tab w:val="left" w:pos="567"/>
        </w:tabs>
        <w:spacing w:line="260" w:lineRule="exact"/>
        <w:rPr>
          <w:snapToGrid w:val="0"/>
          <w:sz w:val="22"/>
          <w:szCs w:val="24"/>
        </w:rPr>
      </w:pPr>
    </w:p>
    <w:p w14:paraId="42174A13" w14:textId="77777777" w:rsidR="00B80A5A" w:rsidRPr="00211E3B" w:rsidRDefault="00B80A5A" w:rsidP="005D554B">
      <w:pPr>
        <w:tabs>
          <w:tab w:val="left" w:pos="567"/>
        </w:tabs>
        <w:spacing w:line="260" w:lineRule="exact"/>
        <w:rPr>
          <w:snapToGrid w:val="0"/>
          <w:sz w:val="22"/>
          <w:szCs w:val="24"/>
        </w:rPr>
      </w:pPr>
    </w:p>
    <w:p w14:paraId="5140AB8D" w14:textId="77777777" w:rsidR="005D554B" w:rsidRPr="00211E3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211E3B">
        <w:rPr>
          <w:b/>
          <w:snapToGrid w:val="0"/>
          <w:sz w:val="22"/>
          <w:szCs w:val="24"/>
        </w:rPr>
        <w:t>13.</w:t>
      </w:r>
      <w:r w:rsidRPr="00211E3B">
        <w:rPr>
          <w:b/>
          <w:snapToGrid w:val="0"/>
          <w:sz w:val="22"/>
          <w:szCs w:val="24"/>
        </w:rPr>
        <w:tab/>
        <w:t xml:space="preserve">SERIJOS NUMERIS </w:t>
      </w:r>
    </w:p>
    <w:p w14:paraId="39022347" w14:textId="77777777" w:rsidR="005D554B" w:rsidRPr="00211E3B" w:rsidRDefault="005D554B" w:rsidP="005D554B">
      <w:pPr>
        <w:tabs>
          <w:tab w:val="left" w:pos="567"/>
        </w:tabs>
        <w:spacing w:line="260" w:lineRule="exact"/>
        <w:rPr>
          <w:snapToGrid w:val="0"/>
          <w:sz w:val="22"/>
        </w:rPr>
      </w:pPr>
    </w:p>
    <w:p w14:paraId="637DB3FC" w14:textId="2E573DDE" w:rsidR="005D554B" w:rsidRPr="00211E3B" w:rsidRDefault="005D554B" w:rsidP="005D554B">
      <w:pPr>
        <w:tabs>
          <w:tab w:val="left" w:pos="567"/>
        </w:tabs>
        <w:spacing w:line="260" w:lineRule="exact"/>
        <w:rPr>
          <w:snapToGrid w:val="0"/>
          <w:sz w:val="22"/>
        </w:rPr>
      </w:pPr>
      <w:r w:rsidRPr="00211E3B">
        <w:rPr>
          <w:snapToGrid w:val="0"/>
          <w:sz w:val="22"/>
        </w:rPr>
        <w:t>Lot</w:t>
      </w:r>
    </w:p>
    <w:p w14:paraId="686EC6DA" w14:textId="77777777" w:rsidR="005D554B" w:rsidRPr="00211E3B" w:rsidRDefault="005D554B" w:rsidP="005D554B">
      <w:pPr>
        <w:tabs>
          <w:tab w:val="left" w:pos="567"/>
        </w:tabs>
        <w:spacing w:line="260" w:lineRule="exact"/>
        <w:rPr>
          <w:snapToGrid w:val="0"/>
          <w:sz w:val="22"/>
          <w:szCs w:val="24"/>
        </w:rPr>
      </w:pPr>
    </w:p>
    <w:p w14:paraId="7CCF8025" w14:textId="77777777" w:rsidR="005D554B" w:rsidRPr="00211E3B" w:rsidRDefault="005D554B" w:rsidP="005D554B">
      <w:pPr>
        <w:tabs>
          <w:tab w:val="left" w:pos="567"/>
        </w:tabs>
        <w:spacing w:line="260" w:lineRule="exact"/>
        <w:rPr>
          <w:snapToGrid w:val="0"/>
          <w:sz w:val="22"/>
          <w:szCs w:val="24"/>
        </w:rPr>
      </w:pPr>
    </w:p>
    <w:p w14:paraId="3F73FB4F" w14:textId="77777777" w:rsidR="005D554B" w:rsidRPr="00211E3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211E3B">
        <w:rPr>
          <w:b/>
          <w:snapToGrid w:val="0"/>
          <w:sz w:val="22"/>
          <w:szCs w:val="24"/>
        </w:rPr>
        <w:t>14.</w:t>
      </w:r>
      <w:r w:rsidRPr="00211E3B">
        <w:rPr>
          <w:b/>
          <w:snapToGrid w:val="0"/>
          <w:sz w:val="22"/>
          <w:szCs w:val="24"/>
        </w:rPr>
        <w:tab/>
        <w:t>PARDAVIMO (IŠDAVIMO) TVARKA</w:t>
      </w:r>
    </w:p>
    <w:p w14:paraId="5F7CE6E1" w14:textId="77777777" w:rsidR="005D554B" w:rsidRDefault="005D554B" w:rsidP="005D554B">
      <w:pPr>
        <w:tabs>
          <w:tab w:val="left" w:pos="567"/>
        </w:tabs>
        <w:spacing w:line="260" w:lineRule="exact"/>
        <w:rPr>
          <w:snapToGrid w:val="0"/>
          <w:sz w:val="22"/>
          <w:szCs w:val="24"/>
        </w:rPr>
      </w:pPr>
    </w:p>
    <w:p w14:paraId="72AEEC1B" w14:textId="02D9322C" w:rsidR="00745AA8" w:rsidRDefault="00745AA8" w:rsidP="005D554B">
      <w:pPr>
        <w:tabs>
          <w:tab w:val="left" w:pos="567"/>
        </w:tabs>
        <w:spacing w:line="260" w:lineRule="exact"/>
        <w:rPr>
          <w:snapToGrid w:val="0"/>
          <w:sz w:val="22"/>
          <w:szCs w:val="24"/>
        </w:rPr>
      </w:pPr>
      <w:r w:rsidRPr="00745AA8">
        <w:rPr>
          <w:snapToGrid w:val="0"/>
          <w:sz w:val="22"/>
          <w:szCs w:val="24"/>
        </w:rPr>
        <w:t>Receptinis vaistas.</w:t>
      </w:r>
    </w:p>
    <w:p w14:paraId="329E0294" w14:textId="77777777" w:rsidR="00745AA8" w:rsidRPr="00211E3B" w:rsidRDefault="00745AA8" w:rsidP="005D554B">
      <w:pPr>
        <w:tabs>
          <w:tab w:val="left" w:pos="567"/>
        </w:tabs>
        <w:spacing w:line="260" w:lineRule="exact"/>
        <w:rPr>
          <w:snapToGrid w:val="0"/>
          <w:sz w:val="22"/>
          <w:szCs w:val="24"/>
        </w:rPr>
      </w:pPr>
    </w:p>
    <w:p w14:paraId="0309C687" w14:textId="77777777" w:rsidR="005D554B" w:rsidRPr="00211E3B" w:rsidRDefault="005D554B" w:rsidP="005D554B">
      <w:pPr>
        <w:tabs>
          <w:tab w:val="left" w:pos="567"/>
        </w:tabs>
        <w:spacing w:line="260" w:lineRule="exact"/>
        <w:rPr>
          <w:snapToGrid w:val="0"/>
          <w:sz w:val="22"/>
          <w:szCs w:val="24"/>
        </w:rPr>
      </w:pPr>
    </w:p>
    <w:p w14:paraId="2911DC98" w14:textId="77777777" w:rsidR="005D554B" w:rsidRPr="00211E3B" w:rsidRDefault="005D554B" w:rsidP="005D554B">
      <w:pPr>
        <w:pBdr>
          <w:top w:val="single" w:sz="4" w:space="2" w:color="auto"/>
          <w:left w:val="single" w:sz="4" w:space="4" w:color="auto"/>
          <w:bottom w:val="single" w:sz="4" w:space="1" w:color="auto"/>
          <w:right w:val="single" w:sz="4" w:space="4" w:color="auto"/>
        </w:pBdr>
        <w:tabs>
          <w:tab w:val="left" w:pos="567"/>
        </w:tabs>
        <w:outlineLvl w:val="0"/>
        <w:rPr>
          <w:snapToGrid w:val="0"/>
          <w:sz w:val="22"/>
          <w:szCs w:val="24"/>
        </w:rPr>
      </w:pPr>
      <w:r w:rsidRPr="00211E3B">
        <w:rPr>
          <w:b/>
          <w:snapToGrid w:val="0"/>
          <w:sz w:val="22"/>
          <w:szCs w:val="24"/>
        </w:rPr>
        <w:t>15.</w:t>
      </w:r>
      <w:r w:rsidRPr="00211E3B">
        <w:rPr>
          <w:b/>
          <w:snapToGrid w:val="0"/>
          <w:sz w:val="22"/>
          <w:szCs w:val="24"/>
        </w:rPr>
        <w:tab/>
        <w:t>VARTOJIMO INSTRUKCIJA</w:t>
      </w:r>
    </w:p>
    <w:p w14:paraId="2D488BDD" w14:textId="77777777" w:rsidR="005D554B" w:rsidRPr="00211E3B" w:rsidRDefault="005D554B" w:rsidP="005D554B">
      <w:pPr>
        <w:tabs>
          <w:tab w:val="left" w:pos="567"/>
        </w:tabs>
        <w:spacing w:line="260" w:lineRule="exact"/>
        <w:rPr>
          <w:snapToGrid w:val="0"/>
          <w:sz w:val="22"/>
          <w:szCs w:val="24"/>
        </w:rPr>
      </w:pPr>
    </w:p>
    <w:p w14:paraId="532A6331" w14:textId="77777777" w:rsidR="005D554B" w:rsidRPr="00211E3B" w:rsidRDefault="005D554B" w:rsidP="005D554B">
      <w:pPr>
        <w:tabs>
          <w:tab w:val="left" w:pos="567"/>
        </w:tabs>
        <w:spacing w:line="260" w:lineRule="exact"/>
        <w:rPr>
          <w:snapToGrid w:val="0"/>
          <w:sz w:val="22"/>
          <w:szCs w:val="24"/>
        </w:rPr>
      </w:pPr>
    </w:p>
    <w:p w14:paraId="1C2C3AB3" w14:textId="77777777" w:rsidR="005D554B" w:rsidRPr="00211E3B" w:rsidRDefault="005D554B" w:rsidP="005D554B">
      <w:pPr>
        <w:pBdr>
          <w:top w:val="single" w:sz="4" w:space="1" w:color="auto"/>
          <w:left w:val="single" w:sz="4" w:space="4" w:color="auto"/>
          <w:bottom w:val="single" w:sz="4" w:space="0" w:color="auto"/>
          <w:right w:val="single" w:sz="4" w:space="4" w:color="auto"/>
        </w:pBdr>
        <w:tabs>
          <w:tab w:val="left" w:pos="567"/>
        </w:tabs>
        <w:rPr>
          <w:snapToGrid w:val="0"/>
          <w:color w:val="008000"/>
          <w:sz w:val="22"/>
          <w:szCs w:val="24"/>
        </w:rPr>
      </w:pPr>
      <w:r w:rsidRPr="00211E3B">
        <w:rPr>
          <w:b/>
          <w:snapToGrid w:val="0"/>
          <w:sz w:val="22"/>
          <w:szCs w:val="24"/>
        </w:rPr>
        <w:t>16.</w:t>
      </w:r>
      <w:r w:rsidRPr="00211E3B">
        <w:rPr>
          <w:b/>
          <w:snapToGrid w:val="0"/>
          <w:sz w:val="22"/>
          <w:szCs w:val="24"/>
        </w:rPr>
        <w:tab/>
        <w:t>INFORMACIJA BRAILIO RAŠTU</w:t>
      </w:r>
    </w:p>
    <w:p w14:paraId="67D4AE15" w14:textId="77777777" w:rsidR="005D554B" w:rsidRPr="00211E3B" w:rsidRDefault="005D554B" w:rsidP="005D554B">
      <w:pPr>
        <w:tabs>
          <w:tab w:val="left" w:pos="567"/>
        </w:tabs>
        <w:spacing w:line="260" w:lineRule="exact"/>
        <w:rPr>
          <w:snapToGrid w:val="0"/>
          <w:sz w:val="22"/>
          <w:szCs w:val="24"/>
        </w:rPr>
      </w:pPr>
    </w:p>
    <w:p w14:paraId="2CCDA7AC" w14:textId="3E8AA63C" w:rsidR="005D554B" w:rsidRDefault="008D2BF5" w:rsidP="005D554B">
      <w:pPr>
        <w:tabs>
          <w:tab w:val="left" w:pos="567"/>
        </w:tabs>
        <w:spacing w:line="260" w:lineRule="exact"/>
        <w:rPr>
          <w:sz w:val="22"/>
          <w:szCs w:val="22"/>
        </w:rPr>
      </w:pPr>
      <w:r>
        <w:rPr>
          <w:sz w:val="22"/>
          <w:szCs w:val="22"/>
        </w:rPr>
        <w:t>a</w:t>
      </w:r>
      <w:r w:rsidR="00224B5B" w:rsidRPr="00211E3B">
        <w:rPr>
          <w:sz w:val="22"/>
          <w:szCs w:val="22"/>
        </w:rPr>
        <w:t>garf</w:t>
      </w:r>
      <w:r w:rsidR="00D35FC0" w:rsidRPr="00211E3B">
        <w:rPr>
          <w:sz w:val="22"/>
          <w:szCs w:val="22"/>
        </w:rPr>
        <w:t xml:space="preserve"> 100</w:t>
      </w:r>
      <w:r w:rsidR="0085390D">
        <w:rPr>
          <w:sz w:val="22"/>
          <w:szCs w:val="22"/>
        </w:rPr>
        <w:t> mg</w:t>
      </w:r>
    </w:p>
    <w:p w14:paraId="561E1B7F" w14:textId="77777777" w:rsidR="009A5D55" w:rsidRPr="00211E3B" w:rsidRDefault="009A5D55" w:rsidP="005D554B">
      <w:pPr>
        <w:tabs>
          <w:tab w:val="left" w:pos="567"/>
        </w:tabs>
        <w:spacing w:line="260" w:lineRule="exact"/>
        <w:rPr>
          <w:snapToGrid w:val="0"/>
          <w:sz w:val="22"/>
          <w:szCs w:val="24"/>
        </w:rPr>
      </w:pPr>
    </w:p>
    <w:p w14:paraId="68A63884" w14:textId="77777777" w:rsidR="005D554B" w:rsidRPr="00211E3B" w:rsidRDefault="005D554B" w:rsidP="005D554B">
      <w:pPr>
        <w:tabs>
          <w:tab w:val="left" w:pos="567"/>
        </w:tabs>
        <w:spacing w:line="260" w:lineRule="exact"/>
        <w:rPr>
          <w:sz w:val="22"/>
          <w:szCs w:val="22"/>
          <w:shd w:val="clear" w:color="auto" w:fill="CCCCCC"/>
        </w:rPr>
      </w:pPr>
    </w:p>
    <w:p w14:paraId="4BD30149" w14:textId="77777777" w:rsidR="005D554B" w:rsidRPr="00211E3B" w:rsidRDefault="005D554B" w:rsidP="005D554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napToGrid w:val="0"/>
          <w:sz w:val="22"/>
          <w:szCs w:val="24"/>
        </w:rPr>
      </w:pPr>
      <w:r w:rsidRPr="00211E3B">
        <w:rPr>
          <w:b/>
          <w:snapToGrid w:val="0"/>
          <w:sz w:val="22"/>
        </w:rPr>
        <w:t>17.</w:t>
      </w:r>
      <w:r w:rsidRPr="00211E3B">
        <w:rPr>
          <w:b/>
          <w:snapToGrid w:val="0"/>
          <w:sz w:val="22"/>
        </w:rPr>
        <w:tab/>
        <w:t>UNIKALUS IDENTIFIKATORIUS – 2D BRŪKŠNINIS KODAS</w:t>
      </w:r>
    </w:p>
    <w:p w14:paraId="78E5257B" w14:textId="77777777" w:rsidR="005D554B" w:rsidRPr="00211E3B" w:rsidRDefault="005D554B" w:rsidP="005D554B">
      <w:pPr>
        <w:tabs>
          <w:tab w:val="left" w:pos="567"/>
        </w:tabs>
        <w:spacing w:line="260" w:lineRule="exact"/>
        <w:rPr>
          <w:snapToGrid w:val="0"/>
          <w:sz w:val="22"/>
        </w:rPr>
      </w:pPr>
    </w:p>
    <w:p w14:paraId="09DBE955" w14:textId="36C89FCF" w:rsidR="005D554B" w:rsidRPr="00211E3B" w:rsidRDefault="005D554B" w:rsidP="005D554B">
      <w:pPr>
        <w:tabs>
          <w:tab w:val="left" w:pos="567"/>
        </w:tabs>
        <w:spacing w:line="260" w:lineRule="exact"/>
        <w:rPr>
          <w:snapToGrid w:val="0"/>
          <w:sz w:val="22"/>
          <w:szCs w:val="22"/>
          <w:shd w:val="clear" w:color="auto" w:fill="CCCCCC"/>
        </w:rPr>
      </w:pPr>
      <w:r w:rsidRPr="00211E3B">
        <w:rPr>
          <w:snapToGrid w:val="0"/>
          <w:sz w:val="22"/>
          <w:highlight w:val="lightGray"/>
        </w:rPr>
        <w:t>2D brūkšninis kodas su nurodytu unikaliu identifikatoriumi.</w:t>
      </w:r>
    </w:p>
    <w:p w14:paraId="549308EA" w14:textId="77777777" w:rsidR="005D554B" w:rsidRPr="00211E3B" w:rsidRDefault="005D554B" w:rsidP="005D554B">
      <w:pPr>
        <w:tabs>
          <w:tab w:val="left" w:pos="567"/>
        </w:tabs>
        <w:spacing w:line="260" w:lineRule="exact"/>
        <w:rPr>
          <w:snapToGrid w:val="0"/>
          <w:sz w:val="22"/>
          <w:szCs w:val="22"/>
          <w:shd w:val="clear" w:color="auto" w:fill="CCCCCC"/>
        </w:rPr>
      </w:pPr>
    </w:p>
    <w:p w14:paraId="2040BCB8" w14:textId="77777777" w:rsidR="005D554B" w:rsidRPr="00211E3B" w:rsidRDefault="005D554B" w:rsidP="005D554B">
      <w:pPr>
        <w:tabs>
          <w:tab w:val="left" w:pos="567"/>
        </w:tabs>
        <w:spacing w:line="260" w:lineRule="exact"/>
        <w:rPr>
          <w:snapToGrid w:val="0"/>
          <w:sz w:val="22"/>
        </w:rPr>
      </w:pPr>
    </w:p>
    <w:p w14:paraId="6E94B3BC" w14:textId="77777777" w:rsidR="005D554B" w:rsidRPr="00211E3B" w:rsidRDefault="005D554B" w:rsidP="005D554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napToGrid w:val="0"/>
          <w:sz w:val="22"/>
        </w:rPr>
      </w:pPr>
      <w:r w:rsidRPr="00211E3B">
        <w:rPr>
          <w:b/>
          <w:snapToGrid w:val="0"/>
          <w:sz w:val="22"/>
        </w:rPr>
        <w:t>18.</w:t>
      </w:r>
      <w:r w:rsidRPr="00211E3B">
        <w:rPr>
          <w:b/>
          <w:snapToGrid w:val="0"/>
          <w:sz w:val="22"/>
        </w:rPr>
        <w:tab/>
        <w:t>UNIKALUS IDENTIFIKATORIUS – ŽMONĖMS SUPRANTAMI DUOMENYS</w:t>
      </w:r>
    </w:p>
    <w:p w14:paraId="59C02BC8" w14:textId="77777777" w:rsidR="005D554B" w:rsidRPr="00211E3B" w:rsidRDefault="005D554B" w:rsidP="005D554B">
      <w:pPr>
        <w:tabs>
          <w:tab w:val="left" w:pos="567"/>
        </w:tabs>
        <w:spacing w:line="260" w:lineRule="exact"/>
        <w:rPr>
          <w:snapToGrid w:val="0"/>
          <w:sz w:val="22"/>
        </w:rPr>
      </w:pPr>
    </w:p>
    <w:p w14:paraId="0AB6FF8F" w14:textId="77777777" w:rsidR="00D35FC0" w:rsidRPr="00211E3B" w:rsidRDefault="005D554B" w:rsidP="005D554B">
      <w:pPr>
        <w:tabs>
          <w:tab w:val="left" w:pos="567"/>
        </w:tabs>
        <w:spacing w:line="260" w:lineRule="exact"/>
        <w:rPr>
          <w:snapToGrid w:val="0"/>
          <w:sz w:val="22"/>
        </w:rPr>
      </w:pPr>
      <w:r w:rsidRPr="00211E3B">
        <w:rPr>
          <w:snapToGrid w:val="0"/>
          <w:sz w:val="22"/>
        </w:rPr>
        <w:t>PC</w:t>
      </w:r>
    </w:p>
    <w:p w14:paraId="4E48C506" w14:textId="77777777" w:rsidR="00D35FC0" w:rsidRPr="00211E3B" w:rsidRDefault="005D554B" w:rsidP="005D554B">
      <w:pPr>
        <w:tabs>
          <w:tab w:val="left" w:pos="567"/>
        </w:tabs>
        <w:spacing w:line="260" w:lineRule="exact"/>
        <w:rPr>
          <w:snapToGrid w:val="0"/>
          <w:sz w:val="22"/>
        </w:rPr>
      </w:pPr>
      <w:r w:rsidRPr="00211E3B">
        <w:rPr>
          <w:snapToGrid w:val="0"/>
          <w:sz w:val="22"/>
        </w:rPr>
        <w:t>SN</w:t>
      </w:r>
    </w:p>
    <w:p w14:paraId="28111C9B" w14:textId="77777777" w:rsidR="00D35FC0" w:rsidRPr="00211E3B" w:rsidRDefault="005D554B" w:rsidP="005D554B">
      <w:pPr>
        <w:tabs>
          <w:tab w:val="left" w:pos="567"/>
        </w:tabs>
        <w:spacing w:line="260" w:lineRule="exact"/>
        <w:rPr>
          <w:snapToGrid w:val="0"/>
          <w:sz w:val="22"/>
        </w:rPr>
      </w:pPr>
      <w:r w:rsidRPr="00211E3B">
        <w:rPr>
          <w:snapToGrid w:val="0"/>
          <w:sz w:val="22"/>
        </w:rPr>
        <w:t>NN</w:t>
      </w:r>
    </w:p>
    <w:p w14:paraId="19383B16" w14:textId="77777777" w:rsidR="00C710D9" w:rsidRPr="00211E3B" w:rsidRDefault="00C710D9" w:rsidP="00C710D9">
      <w:pPr>
        <w:tabs>
          <w:tab w:val="left" w:pos="567"/>
        </w:tabs>
        <w:spacing w:line="260" w:lineRule="exact"/>
        <w:rPr>
          <w:snapToGrid w:val="0"/>
          <w:sz w:val="22"/>
          <w:szCs w:val="24"/>
        </w:rPr>
      </w:pPr>
      <w:r w:rsidRPr="00211E3B">
        <w:rPr>
          <w:snapToGrid w:val="0"/>
          <w:sz w:val="22"/>
          <w:szCs w:val="24"/>
        </w:rPr>
        <w:br w:type="page"/>
      </w:r>
    </w:p>
    <w:p w14:paraId="1D3F85A0" w14:textId="77777777" w:rsidR="00C710D9" w:rsidRPr="00211E3B" w:rsidRDefault="00C710D9" w:rsidP="00C710D9">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sidRPr="00211E3B">
        <w:rPr>
          <w:b/>
          <w:snapToGrid w:val="0"/>
          <w:sz w:val="22"/>
          <w:szCs w:val="24"/>
        </w:rPr>
        <w:lastRenderedPageBreak/>
        <w:t>INFORMACIJA ANT IŠORINĖS PAKUOTĖS</w:t>
      </w:r>
    </w:p>
    <w:p w14:paraId="28F5FB4E" w14:textId="77777777" w:rsidR="00C710D9" w:rsidRPr="00211E3B" w:rsidRDefault="00C710D9" w:rsidP="00C710D9">
      <w:pPr>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4"/>
        </w:rPr>
      </w:pPr>
    </w:p>
    <w:p w14:paraId="7FB6B14E" w14:textId="77777777" w:rsidR="00C710D9" w:rsidRPr="00211E3B" w:rsidRDefault="00C710D9" w:rsidP="00C710D9">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sidRPr="00211E3B">
        <w:rPr>
          <w:b/>
          <w:snapToGrid w:val="0"/>
          <w:sz w:val="22"/>
          <w:szCs w:val="24"/>
        </w:rPr>
        <w:t>IŠORINĖ DĖŽUTĖ</w:t>
      </w:r>
    </w:p>
    <w:p w14:paraId="1EBCF29A" w14:textId="77777777" w:rsidR="00C710D9" w:rsidRPr="00211E3B" w:rsidRDefault="00C710D9" w:rsidP="00C710D9">
      <w:pPr>
        <w:tabs>
          <w:tab w:val="left" w:pos="567"/>
        </w:tabs>
        <w:spacing w:line="260" w:lineRule="exact"/>
        <w:rPr>
          <w:snapToGrid w:val="0"/>
          <w:sz w:val="22"/>
          <w:szCs w:val="24"/>
        </w:rPr>
      </w:pPr>
    </w:p>
    <w:p w14:paraId="51B3BBC3" w14:textId="77777777" w:rsidR="00C710D9" w:rsidRPr="00211E3B" w:rsidRDefault="00C710D9" w:rsidP="00C710D9">
      <w:pPr>
        <w:tabs>
          <w:tab w:val="left" w:pos="567"/>
        </w:tabs>
        <w:spacing w:line="260" w:lineRule="exact"/>
        <w:rPr>
          <w:snapToGrid w:val="0"/>
          <w:sz w:val="22"/>
          <w:szCs w:val="24"/>
        </w:rPr>
      </w:pPr>
    </w:p>
    <w:p w14:paraId="7736FC0E" w14:textId="77777777" w:rsidR="00C710D9" w:rsidRPr="00211E3B" w:rsidRDefault="00C710D9" w:rsidP="00C710D9">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211E3B">
        <w:rPr>
          <w:b/>
          <w:snapToGrid w:val="0"/>
          <w:sz w:val="22"/>
          <w:szCs w:val="24"/>
        </w:rPr>
        <w:t>1.</w:t>
      </w:r>
      <w:r w:rsidRPr="00211E3B">
        <w:rPr>
          <w:b/>
          <w:snapToGrid w:val="0"/>
          <w:sz w:val="22"/>
          <w:szCs w:val="24"/>
        </w:rPr>
        <w:tab/>
      </w:r>
      <w:r w:rsidRPr="00211E3B">
        <w:rPr>
          <w:b/>
          <w:caps/>
          <w:snapToGrid w:val="0"/>
          <w:sz w:val="22"/>
          <w:szCs w:val="24"/>
        </w:rPr>
        <w:t>VAISTINIO</w:t>
      </w:r>
      <w:r w:rsidRPr="00211E3B">
        <w:rPr>
          <w:b/>
          <w:snapToGrid w:val="0"/>
          <w:sz w:val="22"/>
          <w:szCs w:val="24"/>
        </w:rPr>
        <w:t xml:space="preserve"> PREPARATO PAVADINIMAS</w:t>
      </w:r>
    </w:p>
    <w:p w14:paraId="1370AB96" w14:textId="77777777" w:rsidR="00C710D9" w:rsidRPr="00211E3B" w:rsidRDefault="00C710D9" w:rsidP="00C710D9">
      <w:pPr>
        <w:tabs>
          <w:tab w:val="left" w:pos="567"/>
        </w:tabs>
        <w:spacing w:line="260" w:lineRule="exact"/>
        <w:rPr>
          <w:snapToGrid w:val="0"/>
          <w:sz w:val="22"/>
          <w:szCs w:val="24"/>
        </w:rPr>
      </w:pPr>
    </w:p>
    <w:p w14:paraId="64734EC4" w14:textId="7E199BBD" w:rsidR="00C710D9" w:rsidRPr="00211E3B" w:rsidRDefault="00224B5B" w:rsidP="00C710D9">
      <w:pPr>
        <w:rPr>
          <w:sz w:val="22"/>
          <w:szCs w:val="22"/>
        </w:rPr>
      </w:pPr>
      <w:r w:rsidRPr="00211E3B">
        <w:rPr>
          <w:sz w:val="22"/>
          <w:szCs w:val="22"/>
        </w:rPr>
        <w:t>Agarf</w:t>
      </w:r>
      <w:r w:rsidR="00C710D9" w:rsidRPr="00211E3B">
        <w:rPr>
          <w:sz w:val="22"/>
          <w:szCs w:val="22"/>
        </w:rPr>
        <w:t xml:space="preserve"> 150</w:t>
      </w:r>
      <w:r w:rsidR="0085390D">
        <w:rPr>
          <w:sz w:val="22"/>
          <w:szCs w:val="22"/>
        </w:rPr>
        <w:t> mg</w:t>
      </w:r>
      <w:r w:rsidR="00C710D9" w:rsidRPr="00211E3B">
        <w:rPr>
          <w:sz w:val="22"/>
          <w:szCs w:val="22"/>
        </w:rPr>
        <w:t xml:space="preserve"> minkštosios kapsulės</w:t>
      </w:r>
    </w:p>
    <w:p w14:paraId="36A194AA" w14:textId="51ADC041" w:rsidR="00C710D9" w:rsidRPr="00F333E6" w:rsidRDefault="00C710D9" w:rsidP="00C710D9">
      <w:pPr>
        <w:tabs>
          <w:tab w:val="left" w:pos="567"/>
        </w:tabs>
        <w:spacing w:line="260" w:lineRule="exact"/>
        <w:rPr>
          <w:i/>
          <w:iCs/>
          <w:snapToGrid w:val="0"/>
          <w:sz w:val="22"/>
          <w:szCs w:val="24"/>
        </w:rPr>
      </w:pPr>
      <w:r w:rsidRPr="00F333E6">
        <w:rPr>
          <w:i/>
          <w:iCs/>
          <w:snapToGrid w:val="0"/>
          <w:sz w:val="22"/>
          <w:szCs w:val="24"/>
        </w:rPr>
        <w:t>nintedanib</w:t>
      </w:r>
      <w:r w:rsidR="00F333E6">
        <w:rPr>
          <w:i/>
          <w:iCs/>
          <w:snapToGrid w:val="0"/>
          <w:sz w:val="22"/>
          <w:szCs w:val="24"/>
        </w:rPr>
        <w:t>um</w:t>
      </w:r>
    </w:p>
    <w:p w14:paraId="6FD100F7" w14:textId="77777777" w:rsidR="00C710D9" w:rsidRPr="00211E3B" w:rsidRDefault="00C710D9" w:rsidP="00C710D9">
      <w:pPr>
        <w:tabs>
          <w:tab w:val="left" w:pos="567"/>
        </w:tabs>
        <w:spacing w:line="260" w:lineRule="exact"/>
        <w:rPr>
          <w:snapToGrid w:val="0"/>
          <w:sz w:val="22"/>
          <w:szCs w:val="24"/>
        </w:rPr>
      </w:pPr>
    </w:p>
    <w:p w14:paraId="401F0150" w14:textId="77777777" w:rsidR="00C710D9" w:rsidRPr="00211E3B" w:rsidRDefault="00C710D9" w:rsidP="00C710D9">
      <w:pPr>
        <w:tabs>
          <w:tab w:val="left" w:pos="567"/>
        </w:tabs>
        <w:spacing w:line="260" w:lineRule="exact"/>
        <w:rPr>
          <w:snapToGrid w:val="0"/>
          <w:sz w:val="22"/>
          <w:szCs w:val="24"/>
        </w:rPr>
      </w:pPr>
    </w:p>
    <w:p w14:paraId="00821E07" w14:textId="77777777" w:rsidR="00C710D9" w:rsidRPr="00211E3B" w:rsidRDefault="00C710D9" w:rsidP="00C710D9">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4"/>
        </w:rPr>
      </w:pPr>
      <w:r w:rsidRPr="00211E3B">
        <w:rPr>
          <w:b/>
          <w:snapToGrid w:val="0"/>
          <w:sz w:val="22"/>
          <w:szCs w:val="24"/>
        </w:rPr>
        <w:t>2.</w:t>
      </w:r>
      <w:r w:rsidRPr="00211E3B">
        <w:rPr>
          <w:b/>
          <w:snapToGrid w:val="0"/>
          <w:sz w:val="22"/>
          <w:szCs w:val="24"/>
        </w:rPr>
        <w:tab/>
        <w:t>VEIKLIOJI (-IOS) MEDŽIAGA (-OS) IR JOS (-Ų) KIEKIS (-IAI)</w:t>
      </w:r>
    </w:p>
    <w:p w14:paraId="1AC69C5B" w14:textId="77777777" w:rsidR="00C710D9" w:rsidRPr="00211E3B" w:rsidRDefault="00C710D9" w:rsidP="00C710D9">
      <w:pPr>
        <w:tabs>
          <w:tab w:val="left" w:pos="567"/>
        </w:tabs>
        <w:spacing w:line="260" w:lineRule="exact"/>
        <w:rPr>
          <w:snapToGrid w:val="0"/>
          <w:sz w:val="22"/>
          <w:szCs w:val="24"/>
        </w:rPr>
      </w:pPr>
    </w:p>
    <w:p w14:paraId="5069102C" w14:textId="29F4CC50" w:rsidR="00C710D9" w:rsidRPr="00211E3B" w:rsidRDefault="00C710D9" w:rsidP="00C710D9">
      <w:pPr>
        <w:tabs>
          <w:tab w:val="left" w:pos="567"/>
        </w:tabs>
        <w:rPr>
          <w:sz w:val="22"/>
        </w:rPr>
      </w:pPr>
      <w:r w:rsidRPr="00211E3B">
        <w:rPr>
          <w:sz w:val="22"/>
        </w:rPr>
        <w:t>Kiekvienoje kapsulėje yra 150</w:t>
      </w:r>
      <w:r w:rsidR="0085390D">
        <w:rPr>
          <w:sz w:val="22"/>
        </w:rPr>
        <w:t> mg</w:t>
      </w:r>
      <w:r w:rsidRPr="00211E3B">
        <w:rPr>
          <w:sz w:val="22"/>
        </w:rPr>
        <w:t xml:space="preserve"> nintedanibo (esilato forma)</w:t>
      </w:r>
    </w:p>
    <w:p w14:paraId="699E4767" w14:textId="77777777" w:rsidR="00C710D9" w:rsidRPr="00211E3B" w:rsidRDefault="00C710D9" w:rsidP="00C710D9">
      <w:pPr>
        <w:tabs>
          <w:tab w:val="left" w:pos="567"/>
        </w:tabs>
        <w:rPr>
          <w:sz w:val="22"/>
        </w:rPr>
      </w:pPr>
    </w:p>
    <w:p w14:paraId="782633A6" w14:textId="77777777" w:rsidR="00C710D9" w:rsidRPr="00211E3B" w:rsidRDefault="00C710D9" w:rsidP="00C710D9">
      <w:pPr>
        <w:tabs>
          <w:tab w:val="left" w:pos="567"/>
        </w:tabs>
        <w:spacing w:line="260" w:lineRule="exact"/>
        <w:rPr>
          <w:snapToGrid w:val="0"/>
          <w:sz w:val="22"/>
          <w:szCs w:val="24"/>
        </w:rPr>
      </w:pPr>
    </w:p>
    <w:p w14:paraId="6C986375" w14:textId="77777777" w:rsidR="00C710D9" w:rsidRPr="00211E3B" w:rsidRDefault="00C710D9" w:rsidP="00C710D9">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211E3B">
        <w:rPr>
          <w:b/>
          <w:snapToGrid w:val="0"/>
          <w:sz w:val="22"/>
          <w:szCs w:val="24"/>
        </w:rPr>
        <w:t>3.</w:t>
      </w:r>
      <w:r w:rsidRPr="00211E3B">
        <w:rPr>
          <w:b/>
          <w:snapToGrid w:val="0"/>
          <w:sz w:val="22"/>
          <w:szCs w:val="24"/>
        </w:rPr>
        <w:tab/>
        <w:t>PAGALBINIŲ MEDŽIAGŲ SĄRAŠAS</w:t>
      </w:r>
    </w:p>
    <w:p w14:paraId="2D2C7EF5" w14:textId="77777777" w:rsidR="00C710D9" w:rsidRPr="00211E3B" w:rsidRDefault="00C710D9" w:rsidP="00C710D9">
      <w:pPr>
        <w:tabs>
          <w:tab w:val="left" w:pos="567"/>
        </w:tabs>
        <w:spacing w:line="260" w:lineRule="exact"/>
        <w:rPr>
          <w:snapToGrid w:val="0"/>
          <w:sz w:val="22"/>
          <w:szCs w:val="24"/>
        </w:rPr>
      </w:pPr>
    </w:p>
    <w:p w14:paraId="2A5B2FF4" w14:textId="77777777" w:rsidR="00C710D9" w:rsidRPr="00211E3B" w:rsidRDefault="00C710D9" w:rsidP="00C710D9">
      <w:pPr>
        <w:tabs>
          <w:tab w:val="left" w:pos="567"/>
        </w:tabs>
        <w:spacing w:line="260" w:lineRule="exact"/>
        <w:rPr>
          <w:snapToGrid w:val="0"/>
          <w:sz w:val="22"/>
          <w:szCs w:val="24"/>
        </w:rPr>
      </w:pPr>
    </w:p>
    <w:p w14:paraId="074B6A01" w14:textId="77777777" w:rsidR="00C710D9" w:rsidRPr="00211E3B" w:rsidRDefault="00C710D9" w:rsidP="00C710D9">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211E3B">
        <w:rPr>
          <w:b/>
          <w:snapToGrid w:val="0"/>
          <w:sz w:val="22"/>
          <w:szCs w:val="24"/>
        </w:rPr>
        <w:t>4.</w:t>
      </w:r>
      <w:r w:rsidRPr="00211E3B">
        <w:rPr>
          <w:b/>
          <w:snapToGrid w:val="0"/>
          <w:sz w:val="22"/>
          <w:szCs w:val="24"/>
        </w:rPr>
        <w:tab/>
        <w:t>FARMACINĖ FORMA IR KIEKIS PAKUOTĖJE</w:t>
      </w:r>
    </w:p>
    <w:p w14:paraId="732E4AFA" w14:textId="77777777" w:rsidR="00C710D9" w:rsidRPr="00211E3B" w:rsidRDefault="00C710D9" w:rsidP="00C710D9">
      <w:pPr>
        <w:tabs>
          <w:tab w:val="left" w:pos="567"/>
        </w:tabs>
        <w:spacing w:line="260" w:lineRule="exact"/>
        <w:rPr>
          <w:snapToGrid w:val="0"/>
          <w:sz w:val="22"/>
          <w:szCs w:val="24"/>
        </w:rPr>
      </w:pPr>
    </w:p>
    <w:p w14:paraId="17AFCC04" w14:textId="77777777" w:rsidR="006D7B3F" w:rsidRPr="007C7E79" w:rsidRDefault="006D7B3F" w:rsidP="006D7B3F">
      <w:pPr>
        <w:tabs>
          <w:tab w:val="left" w:pos="567"/>
        </w:tabs>
        <w:spacing w:line="260" w:lineRule="exact"/>
        <w:rPr>
          <w:i/>
          <w:iCs/>
          <w:snapToGrid w:val="0"/>
          <w:sz w:val="22"/>
          <w:szCs w:val="24"/>
          <w:highlight w:val="lightGray"/>
        </w:rPr>
      </w:pPr>
      <w:r w:rsidRPr="007C7E79">
        <w:rPr>
          <w:i/>
          <w:iCs/>
          <w:snapToGrid w:val="0"/>
          <w:sz w:val="22"/>
          <w:szCs w:val="24"/>
          <w:highlight w:val="lightGray"/>
        </w:rPr>
        <w:t>Minkštoji kapsulė</w:t>
      </w:r>
    </w:p>
    <w:p w14:paraId="4E3284CD" w14:textId="77777777" w:rsidR="006D7B3F" w:rsidRDefault="006D7B3F" w:rsidP="006D7B3F">
      <w:pPr>
        <w:tabs>
          <w:tab w:val="left" w:pos="567"/>
        </w:tabs>
        <w:spacing w:line="260" w:lineRule="exact"/>
        <w:rPr>
          <w:snapToGrid w:val="0"/>
          <w:sz w:val="22"/>
          <w:szCs w:val="24"/>
        </w:rPr>
      </w:pPr>
    </w:p>
    <w:p w14:paraId="031D9407" w14:textId="77777777" w:rsidR="006D7B3F" w:rsidRPr="00211E3B" w:rsidRDefault="006D7B3F" w:rsidP="006D7B3F">
      <w:pPr>
        <w:tabs>
          <w:tab w:val="left" w:pos="567"/>
        </w:tabs>
        <w:spacing w:line="260" w:lineRule="exact"/>
        <w:rPr>
          <w:snapToGrid w:val="0"/>
          <w:sz w:val="22"/>
          <w:szCs w:val="24"/>
        </w:rPr>
      </w:pPr>
      <w:r w:rsidRPr="00211E3B">
        <w:rPr>
          <w:snapToGrid w:val="0"/>
          <w:sz w:val="22"/>
          <w:szCs w:val="24"/>
        </w:rPr>
        <w:t>30 x 1 </w:t>
      </w:r>
      <w:r w:rsidRPr="007C7E79">
        <w:rPr>
          <w:snapToGrid w:val="0"/>
          <w:sz w:val="22"/>
          <w:szCs w:val="24"/>
          <w:highlight w:val="lightGray"/>
        </w:rPr>
        <w:t>minkštoji</w:t>
      </w:r>
      <w:r>
        <w:rPr>
          <w:snapToGrid w:val="0"/>
          <w:sz w:val="22"/>
          <w:szCs w:val="24"/>
        </w:rPr>
        <w:t xml:space="preserve"> </w:t>
      </w:r>
      <w:r w:rsidRPr="00211E3B">
        <w:rPr>
          <w:snapToGrid w:val="0"/>
          <w:sz w:val="22"/>
          <w:szCs w:val="24"/>
        </w:rPr>
        <w:t>kapsulė</w:t>
      </w:r>
    </w:p>
    <w:p w14:paraId="20C48512" w14:textId="77777777" w:rsidR="006D7B3F" w:rsidRPr="00211E3B" w:rsidRDefault="006D7B3F" w:rsidP="006D7B3F">
      <w:pPr>
        <w:tabs>
          <w:tab w:val="left" w:pos="567"/>
        </w:tabs>
        <w:spacing w:line="260" w:lineRule="exact"/>
        <w:rPr>
          <w:snapToGrid w:val="0"/>
          <w:sz w:val="22"/>
          <w:szCs w:val="24"/>
        </w:rPr>
      </w:pPr>
      <w:r w:rsidRPr="00211E3B">
        <w:rPr>
          <w:snapToGrid w:val="0"/>
          <w:sz w:val="22"/>
          <w:szCs w:val="24"/>
          <w:highlight w:val="lightGray"/>
        </w:rPr>
        <w:t>60 x 1 </w:t>
      </w:r>
      <w:r w:rsidRPr="007C7E79">
        <w:rPr>
          <w:snapToGrid w:val="0"/>
          <w:sz w:val="22"/>
          <w:szCs w:val="24"/>
          <w:highlight w:val="lightGray"/>
        </w:rPr>
        <w:t xml:space="preserve">minkštoji </w:t>
      </w:r>
      <w:r w:rsidRPr="00211E3B">
        <w:rPr>
          <w:snapToGrid w:val="0"/>
          <w:sz w:val="22"/>
          <w:szCs w:val="24"/>
          <w:highlight w:val="lightGray"/>
        </w:rPr>
        <w:t>kapsulė</w:t>
      </w:r>
    </w:p>
    <w:p w14:paraId="2E31C3AE" w14:textId="77777777" w:rsidR="006D7B3F" w:rsidRPr="00211E3B" w:rsidRDefault="006D7B3F" w:rsidP="006D7B3F">
      <w:pPr>
        <w:tabs>
          <w:tab w:val="left" w:pos="567"/>
        </w:tabs>
        <w:spacing w:line="260" w:lineRule="exact"/>
        <w:rPr>
          <w:snapToGrid w:val="0"/>
          <w:sz w:val="22"/>
          <w:szCs w:val="24"/>
        </w:rPr>
      </w:pPr>
    </w:p>
    <w:p w14:paraId="3EE592D5" w14:textId="77777777" w:rsidR="006D7B3F" w:rsidRPr="00211E3B" w:rsidRDefault="006D7B3F" w:rsidP="006D7B3F">
      <w:pPr>
        <w:tabs>
          <w:tab w:val="left" w:pos="567"/>
        </w:tabs>
        <w:spacing w:line="260" w:lineRule="exact"/>
        <w:rPr>
          <w:snapToGrid w:val="0"/>
          <w:sz w:val="22"/>
          <w:szCs w:val="24"/>
        </w:rPr>
      </w:pPr>
    </w:p>
    <w:p w14:paraId="083EDD62" w14:textId="77777777" w:rsidR="006D7B3F" w:rsidRPr="00211E3B" w:rsidRDefault="006D7B3F" w:rsidP="006D7B3F">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211E3B">
        <w:rPr>
          <w:b/>
          <w:snapToGrid w:val="0"/>
          <w:sz w:val="22"/>
          <w:szCs w:val="24"/>
        </w:rPr>
        <w:t>5.</w:t>
      </w:r>
      <w:r w:rsidRPr="00211E3B">
        <w:rPr>
          <w:b/>
          <w:snapToGrid w:val="0"/>
          <w:sz w:val="22"/>
          <w:szCs w:val="24"/>
        </w:rPr>
        <w:tab/>
        <w:t>VARTOJIMO METODAS IR BŪDAS (-AI)</w:t>
      </w:r>
    </w:p>
    <w:p w14:paraId="6EBFB092" w14:textId="77777777" w:rsidR="006D7B3F" w:rsidRPr="00211E3B" w:rsidRDefault="006D7B3F" w:rsidP="006D7B3F">
      <w:pPr>
        <w:tabs>
          <w:tab w:val="left" w:pos="567"/>
        </w:tabs>
        <w:spacing w:line="260" w:lineRule="exact"/>
        <w:rPr>
          <w:snapToGrid w:val="0"/>
          <w:sz w:val="22"/>
          <w:szCs w:val="24"/>
        </w:rPr>
      </w:pPr>
    </w:p>
    <w:p w14:paraId="4AE5C52D" w14:textId="77777777" w:rsidR="006D7B3F" w:rsidRPr="006D7B3F" w:rsidRDefault="006D7B3F" w:rsidP="006D7B3F">
      <w:pPr>
        <w:tabs>
          <w:tab w:val="left" w:pos="567"/>
        </w:tabs>
        <w:spacing w:line="260" w:lineRule="exact"/>
        <w:rPr>
          <w:i/>
          <w:iCs/>
          <w:snapToGrid w:val="0"/>
          <w:sz w:val="22"/>
          <w:szCs w:val="24"/>
        </w:rPr>
      </w:pPr>
      <w:r w:rsidRPr="006D7B3F">
        <w:rPr>
          <w:i/>
          <w:iCs/>
          <w:snapToGrid w:val="0"/>
          <w:sz w:val="22"/>
          <w:szCs w:val="24"/>
          <w:highlight w:val="lightGray"/>
        </w:rPr>
        <w:t>Vartoti per burną.</w:t>
      </w:r>
    </w:p>
    <w:p w14:paraId="6BCA3E2A" w14:textId="77777777" w:rsidR="006D7B3F" w:rsidRPr="00211E3B" w:rsidRDefault="006D7B3F" w:rsidP="006D7B3F">
      <w:pPr>
        <w:tabs>
          <w:tab w:val="left" w:pos="567"/>
        </w:tabs>
        <w:spacing w:line="260" w:lineRule="exact"/>
        <w:rPr>
          <w:snapToGrid w:val="0"/>
          <w:sz w:val="22"/>
          <w:szCs w:val="24"/>
        </w:rPr>
      </w:pPr>
      <w:r w:rsidRPr="00211E3B">
        <w:rPr>
          <w:snapToGrid w:val="0"/>
          <w:sz w:val="22"/>
          <w:szCs w:val="24"/>
        </w:rPr>
        <w:t>Prieš vartojimą perskaitykite pakuotės lapelį.</w:t>
      </w:r>
    </w:p>
    <w:p w14:paraId="48BFC3E6" w14:textId="77777777" w:rsidR="006D7B3F" w:rsidRPr="00211E3B" w:rsidRDefault="006D7B3F" w:rsidP="006D7B3F">
      <w:pPr>
        <w:tabs>
          <w:tab w:val="left" w:pos="567"/>
        </w:tabs>
        <w:spacing w:line="260" w:lineRule="exact"/>
        <w:rPr>
          <w:snapToGrid w:val="0"/>
          <w:sz w:val="22"/>
          <w:szCs w:val="24"/>
        </w:rPr>
      </w:pPr>
    </w:p>
    <w:p w14:paraId="6088B4C7" w14:textId="77777777" w:rsidR="00C710D9" w:rsidRPr="00211E3B" w:rsidRDefault="00C710D9" w:rsidP="00C710D9">
      <w:pPr>
        <w:tabs>
          <w:tab w:val="left" w:pos="567"/>
        </w:tabs>
        <w:spacing w:line="260" w:lineRule="exact"/>
        <w:rPr>
          <w:snapToGrid w:val="0"/>
          <w:sz w:val="22"/>
          <w:szCs w:val="24"/>
        </w:rPr>
      </w:pPr>
    </w:p>
    <w:p w14:paraId="778C1F44" w14:textId="77777777" w:rsidR="00C710D9" w:rsidRPr="00211E3B" w:rsidRDefault="00C710D9" w:rsidP="00C710D9">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211E3B">
        <w:rPr>
          <w:b/>
          <w:snapToGrid w:val="0"/>
          <w:sz w:val="22"/>
          <w:szCs w:val="24"/>
        </w:rPr>
        <w:t>6.</w:t>
      </w:r>
      <w:r w:rsidRPr="00211E3B">
        <w:rPr>
          <w:b/>
          <w:snapToGrid w:val="0"/>
          <w:sz w:val="22"/>
          <w:szCs w:val="24"/>
        </w:rPr>
        <w:tab/>
        <w:t>SPECIALUS ĮSPĖJIMAS, KAD VAISTINĮ PREPARATĄ BŪTINA LAIKYTI VAIKAMS NEPASTEBIMOJE IR  NEPASIEKIAMOJE VIETOJE</w:t>
      </w:r>
    </w:p>
    <w:p w14:paraId="55985FE6" w14:textId="77777777" w:rsidR="00C710D9" w:rsidRPr="00211E3B" w:rsidRDefault="00C710D9" w:rsidP="00C710D9">
      <w:pPr>
        <w:tabs>
          <w:tab w:val="left" w:pos="567"/>
        </w:tabs>
        <w:spacing w:line="260" w:lineRule="exact"/>
        <w:rPr>
          <w:snapToGrid w:val="0"/>
          <w:sz w:val="22"/>
          <w:szCs w:val="24"/>
        </w:rPr>
      </w:pPr>
    </w:p>
    <w:p w14:paraId="51A3DF7B" w14:textId="77777777" w:rsidR="00C710D9" w:rsidRPr="00211E3B" w:rsidRDefault="00C710D9" w:rsidP="00C710D9">
      <w:pPr>
        <w:tabs>
          <w:tab w:val="left" w:pos="567"/>
        </w:tabs>
        <w:spacing w:line="260" w:lineRule="exact"/>
        <w:rPr>
          <w:snapToGrid w:val="0"/>
          <w:sz w:val="22"/>
          <w:szCs w:val="24"/>
        </w:rPr>
      </w:pPr>
      <w:r w:rsidRPr="00211E3B">
        <w:rPr>
          <w:snapToGrid w:val="0"/>
          <w:sz w:val="22"/>
          <w:szCs w:val="24"/>
        </w:rPr>
        <w:t>Laikyti vaikams nepastebimoje ir nepasiekiamoje vietoje.</w:t>
      </w:r>
    </w:p>
    <w:p w14:paraId="16C1653A" w14:textId="77777777" w:rsidR="00C710D9" w:rsidRPr="00211E3B" w:rsidRDefault="00C710D9" w:rsidP="00C710D9">
      <w:pPr>
        <w:tabs>
          <w:tab w:val="left" w:pos="567"/>
        </w:tabs>
        <w:spacing w:line="260" w:lineRule="exact"/>
        <w:rPr>
          <w:snapToGrid w:val="0"/>
          <w:sz w:val="22"/>
          <w:szCs w:val="24"/>
        </w:rPr>
      </w:pPr>
    </w:p>
    <w:p w14:paraId="145518FF" w14:textId="77777777" w:rsidR="00C710D9" w:rsidRPr="00211E3B" w:rsidRDefault="00C710D9" w:rsidP="00C710D9">
      <w:pPr>
        <w:tabs>
          <w:tab w:val="left" w:pos="567"/>
        </w:tabs>
        <w:spacing w:line="260" w:lineRule="exact"/>
        <w:rPr>
          <w:snapToGrid w:val="0"/>
          <w:sz w:val="22"/>
          <w:szCs w:val="24"/>
        </w:rPr>
      </w:pPr>
    </w:p>
    <w:p w14:paraId="1FACA796" w14:textId="77777777" w:rsidR="00C710D9" w:rsidRPr="00211E3B" w:rsidRDefault="00C710D9" w:rsidP="00C710D9">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211E3B">
        <w:rPr>
          <w:b/>
          <w:snapToGrid w:val="0"/>
          <w:sz w:val="22"/>
          <w:szCs w:val="24"/>
        </w:rPr>
        <w:t>7.</w:t>
      </w:r>
      <w:r w:rsidRPr="00211E3B">
        <w:rPr>
          <w:b/>
          <w:snapToGrid w:val="0"/>
          <w:sz w:val="22"/>
          <w:szCs w:val="24"/>
        </w:rPr>
        <w:tab/>
        <w:t>KITAS (-I) SPECIALUS (-ŪS) ĮSPĖJIMAS (-AI) (JEI REIKIA)</w:t>
      </w:r>
    </w:p>
    <w:p w14:paraId="3DA5DAC4" w14:textId="77777777" w:rsidR="00C710D9" w:rsidRPr="00211E3B" w:rsidRDefault="00C710D9" w:rsidP="00C710D9">
      <w:pPr>
        <w:tabs>
          <w:tab w:val="left" w:pos="567"/>
        </w:tabs>
        <w:spacing w:line="260" w:lineRule="exact"/>
        <w:rPr>
          <w:snapToGrid w:val="0"/>
          <w:sz w:val="22"/>
          <w:szCs w:val="24"/>
        </w:rPr>
      </w:pPr>
    </w:p>
    <w:p w14:paraId="1EC670AA" w14:textId="77777777" w:rsidR="00C710D9" w:rsidRPr="00211E3B" w:rsidRDefault="00C710D9" w:rsidP="00C710D9">
      <w:pPr>
        <w:tabs>
          <w:tab w:val="left" w:pos="567"/>
        </w:tabs>
        <w:spacing w:line="260" w:lineRule="exact"/>
        <w:rPr>
          <w:snapToGrid w:val="0"/>
          <w:sz w:val="22"/>
          <w:szCs w:val="24"/>
        </w:rPr>
      </w:pPr>
    </w:p>
    <w:p w14:paraId="3DDCECF8" w14:textId="77777777" w:rsidR="00C710D9" w:rsidRPr="00211E3B" w:rsidRDefault="00C710D9" w:rsidP="00C710D9">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211E3B">
        <w:rPr>
          <w:b/>
          <w:snapToGrid w:val="0"/>
          <w:sz w:val="22"/>
          <w:szCs w:val="24"/>
        </w:rPr>
        <w:t>8.</w:t>
      </w:r>
      <w:r w:rsidRPr="00211E3B">
        <w:rPr>
          <w:b/>
          <w:snapToGrid w:val="0"/>
          <w:sz w:val="22"/>
          <w:szCs w:val="24"/>
        </w:rPr>
        <w:tab/>
        <w:t>TINKAMUMO LAIKAS</w:t>
      </w:r>
    </w:p>
    <w:p w14:paraId="5F7BBD4F" w14:textId="77777777" w:rsidR="00C710D9" w:rsidRPr="00211E3B" w:rsidRDefault="00C710D9" w:rsidP="00C710D9">
      <w:pPr>
        <w:tabs>
          <w:tab w:val="left" w:pos="567"/>
        </w:tabs>
        <w:spacing w:line="260" w:lineRule="exact"/>
        <w:rPr>
          <w:snapToGrid w:val="0"/>
          <w:sz w:val="22"/>
          <w:szCs w:val="24"/>
        </w:rPr>
      </w:pPr>
    </w:p>
    <w:p w14:paraId="291A6A06" w14:textId="4CEC76DC" w:rsidR="00C710D9" w:rsidRPr="00211E3B" w:rsidRDefault="00C710D9" w:rsidP="00C710D9">
      <w:pPr>
        <w:tabs>
          <w:tab w:val="left" w:pos="567"/>
        </w:tabs>
        <w:spacing w:line="260" w:lineRule="exact"/>
        <w:rPr>
          <w:snapToGrid w:val="0"/>
          <w:sz w:val="22"/>
        </w:rPr>
      </w:pPr>
      <w:r w:rsidRPr="00211E3B">
        <w:rPr>
          <w:snapToGrid w:val="0"/>
          <w:sz w:val="22"/>
        </w:rPr>
        <w:t>EXP</w:t>
      </w:r>
      <w:r w:rsidR="007E24C1">
        <w:rPr>
          <w:snapToGrid w:val="0"/>
          <w:sz w:val="22"/>
        </w:rPr>
        <w:t xml:space="preserve"> {mm/MMMM}</w:t>
      </w:r>
    </w:p>
    <w:p w14:paraId="7562385A" w14:textId="77777777" w:rsidR="00C710D9" w:rsidRPr="00211E3B" w:rsidRDefault="00C710D9" w:rsidP="00C710D9">
      <w:pPr>
        <w:tabs>
          <w:tab w:val="left" w:pos="567"/>
        </w:tabs>
        <w:spacing w:line="260" w:lineRule="exact"/>
        <w:rPr>
          <w:snapToGrid w:val="0"/>
          <w:sz w:val="22"/>
          <w:szCs w:val="24"/>
        </w:rPr>
      </w:pPr>
    </w:p>
    <w:p w14:paraId="5418BC2C" w14:textId="77777777" w:rsidR="00C710D9" w:rsidRPr="00211E3B" w:rsidRDefault="00C710D9" w:rsidP="00C710D9">
      <w:pPr>
        <w:tabs>
          <w:tab w:val="left" w:pos="567"/>
        </w:tabs>
        <w:spacing w:line="260" w:lineRule="exact"/>
        <w:rPr>
          <w:snapToGrid w:val="0"/>
          <w:sz w:val="22"/>
          <w:szCs w:val="24"/>
        </w:rPr>
      </w:pPr>
    </w:p>
    <w:p w14:paraId="53F7B7FA" w14:textId="77777777" w:rsidR="00C710D9" w:rsidRPr="00211E3B" w:rsidRDefault="00C710D9" w:rsidP="00C710D9">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211E3B">
        <w:rPr>
          <w:b/>
          <w:snapToGrid w:val="0"/>
          <w:sz w:val="22"/>
          <w:szCs w:val="24"/>
        </w:rPr>
        <w:t>9.</w:t>
      </w:r>
      <w:r w:rsidRPr="00211E3B">
        <w:rPr>
          <w:b/>
          <w:snapToGrid w:val="0"/>
          <w:sz w:val="22"/>
          <w:szCs w:val="24"/>
        </w:rPr>
        <w:tab/>
        <w:t>SPECIALIOS LAIKYMO SĄLYGOS</w:t>
      </w:r>
    </w:p>
    <w:p w14:paraId="6159E369" w14:textId="77777777" w:rsidR="00C710D9" w:rsidRPr="00211E3B" w:rsidRDefault="00C710D9" w:rsidP="00C710D9">
      <w:pPr>
        <w:tabs>
          <w:tab w:val="left" w:pos="567"/>
        </w:tabs>
        <w:spacing w:line="260" w:lineRule="exact"/>
        <w:rPr>
          <w:snapToGrid w:val="0"/>
          <w:sz w:val="22"/>
          <w:szCs w:val="24"/>
        </w:rPr>
      </w:pPr>
    </w:p>
    <w:p w14:paraId="50761B12" w14:textId="77777777" w:rsidR="00C710D9" w:rsidRPr="00211E3B" w:rsidRDefault="00C710D9" w:rsidP="00C710D9">
      <w:pPr>
        <w:tabs>
          <w:tab w:val="left" w:pos="567"/>
        </w:tabs>
        <w:spacing w:line="260" w:lineRule="exact"/>
        <w:rPr>
          <w:snapToGrid w:val="0"/>
          <w:sz w:val="22"/>
          <w:szCs w:val="24"/>
        </w:rPr>
      </w:pPr>
    </w:p>
    <w:p w14:paraId="5DF958E7" w14:textId="77777777" w:rsidR="00C710D9" w:rsidRPr="00211E3B" w:rsidRDefault="00C710D9" w:rsidP="00C710D9">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211E3B">
        <w:rPr>
          <w:b/>
          <w:snapToGrid w:val="0"/>
          <w:sz w:val="22"/>
          <w:szCs w:val="24"/>
        </w:rPr>
        <w:t>10.</w:t>
      </w:r>
      <w:r w:rsidRPr="00211E3B">
        <w:rPr>
          <w:b/>
          <w:snapToGrid w:val="0"/>
          <w:sz w:val="22"/>
          <w:szCs w:val="24"/>
        </w:rPr>
        <w:tab/>
        <w:t>SPECIALIOS ATSARGUMO PRIEMONĖS DĖL NESUVARTOTO VAISTINIO PREPARATO AR JO ATLIEKŲ TVARKYMO (JEI REIKIA)</w:t>
      </w:r>
    </w:p>
    <w:p w14:paraId="41D48E2E" w14:textId="77777777" w:rsidR="00C710D9" w:rsidRPr="00211E3B" w:rsidRDefault="00C710D9" w:rsidP="00C710D9">
      <w:pPr>
        <w:tabs>
          <w:tab w:val="left" w:pos="567"/>
        </w:tabs>
        <w:spacing w:line="260" w:lineRule="exact"/>
        <w:rPr>
          <w:snapToGrid w:val="0"/>
          <w:sz w:val="22"/>
          <w:szCs w:val="24"/>
        </w:rPr>
      </w:pPr>
    </w:p>
    <w:p w14:paraId="125F42A5" w14:textId="77777777" w:rsidR="00C710D9" w:rsidRPr="00211E3B" w:rsidRDefault="00C710D9" w:rsidP="00C710D9">
      <w:pPr>
        <w:tabs>
          <w:tab w:val="left" w:pos="567"/>
        </w:tabs>
        <w:spacing w:line="260" w:lineRule="exact"/>
        <w:rPr>
          <w:snapToGrid w:val="0"/>
          <w:sz w:val="22"/>
          <w:szCs w:val="24"/>
        </w:rPr>
      </w:pPr>
    </w:p>
    <w:p w14:paraId="6B8C75CD" w14:textId="77777777" w:rsidR="00C710D9" w:rsidRPr="00211E3B" w:rsidRDefault="00C710D9" w:rsidP="00C710D9">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211E3B">
        <w:rPr>
          <w:b/>
          <w:snapToGrid w:val="0"/>
          <w:sz w:val="22"/>
          <w:szCs w:val="24"/>
        </w:rPr>
        <w:t>11.</w:t>
      </w:r>
      <w:r w:rsidRPr="00211E3B">
        <w:rPr>
          <w:b/>
          <w:snapToGrid w:val="0"/>
          <w:sz w:val="22"/>
          <w:szCs w:val="24"/>
        </w:rPr>
        <w:tab/>
      </w:r>
      <w:r w:rsidRPr="00211E3B">
        <w:rPr>
          <w:b/>
          <w:caps/>
          <w:snapToGrid w:val="0"/>
          <w:sz w:val="22"/>
          <w:szCs w:val="24"/>
        </w:rPr>
        <w:t xml:space="preserve"> REGISTRUOTOJO PAVADINIMAS IR ADRESAS</w:t>
      </w:r>
    </w:p>
    <w:p w14:paraId="06902CB7" w14:textId="77777777" w:rsidR="00C710D9" w:rsidRPr="00211E3B" w:rsidRDefault="00C710D9" w:rsidP="00C710D9">
      <w:pPr>
        <w:tabs>
          <w:tab w:val="left" w:pos="567"/>
        </w:tabs>
        <w:spacing w:line="260" w:lineRule="exact"/>
        <w:rPr>
          <w:snapToGrid w:val="0"/>
          <w:sz w:val="22"/>
          <w:szCs w:val="24"/>
        </w:rPr>
      </w:pPr>
    </w:p>
    <w:p w14:paraId="1BF8DE17" w14:textId="3F00080C" w:rsidR="00C710D9" w:rsidRDefault="008B5543" w:rsidP="00C710D9">
      <w:pPr>
        <w:tabs>
          <w:tab w:val="left" w:pos="567"/>
        </w:tabs>
        <w:spacing w:line="260" w:lineRule="exact"/>
        <w:rPr>
          <w:snapToGrid w:val="0"/>
          <w:sz w:val="22"/>
          <w:szCs w:val="24"/>
        </w:rPr>
      </w:pPr>
      <w:r w:rsidRPr="008B5543">
        <w:rPr>
          <w:snapToGrid w:val="0"/>
          <w:sz w:val="22"/>
          <w:szCs w:val="24"/>
        </w:rPr>
        <w:t>UAB Norameda, Meistrų g. 8A, LT-02189 Vilnius, Lietuva</w:t>
      </w:r>
    </w:p>
    <w:p w14:paraId="126BDB85" w14:textId="77777777" w:rsidR="008B5543" w:rsidRPr="00211E3B" w:rsidRDefault="008B5543" w:rsidP="00C710D9">
      <w:pPr>
        <w:tabs>
          <w:tab w:val="left" w:pos="567"/>
        </w:tabs>
        <w:spacing w:line="260" w:lineRule="exact"/>
        <w:rPr>
          <w:snapToGrid w:val="0"/>
          <w:sz w:val="22"/>
          <w:szCs w:val="24"/>
        </w:rPr>
      </w:pPr>
    </w:p>
    <w:p w14:paraId="356CE53C" w14:textId="77777777" w:rsidR="00C710D9" w:rsidRPr="00211E3B" w:rsidRDefault="00C710D9" w:rsidP="00C710D9">
      <w:pPr>
        <w:tabs>
          <w:tab w:val="left" w:pos="567"/>
        </w:tabs>
        <w:spacing w:line="260" w:lineRule="exact"/>
        <w:rPr>
          <w:snapToGrid w:val="0"/>
          <w:sz w:val="22"/>
          <w:szCs w:val="24"/>
        </w:rPr>
      </w:pPr>
    </w:p>
    <w:p w14:paraId="2DA2F036" w14:textId="77777777" w:rsidR="00C710D9" w:rsidRPr="00211E3B" w:rsidRDefault="00C710D9" w:rsidP="00C710D9">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211E3B">
        <w:rPr>
          <w:b/>
          <w:snapToGrid w:val="0"/>
          <w:sz w:val="22"/>
          <w:szCs w:val="24"/>
        </w:rPr>
        <w:t>12.</w:t>
      </w:r>
      <w:r w:rsidRPr="00211E3B">
        <w:rPr>
          <w:b/>
          <w:snapToGrid w:val="0"/>
          <w:sz w:val="22"/>
          <w:szCs w:val="24"/>
        </w:rPr>
        <w:tab/>
        <w:t xml:space="preserve">REGISTRACIJOS PAŽYMĖJIMO NUMERIS (-IAI) </w:t>
      </w:r>
    </w:p>
    <w:p w14:paraId="5EE6110C" w14:textId="77777777" w:rsidR="00C710D9" w:rsidRPr="00211E3B" w:rsidRDefault="00C710D9" w:rsidP="00C710D9">
      <w:pPr>
        <w:tabs>
          <w:tab w:val="left" w:pos="567"/>
        </w:tabs>
        <w:spacing w:line="260" w:lineRule="exact"/>
        <w:rPr>
          <w:snapToGrid w:val="0"/>
          <w:sz w:val="22"/>
          <w:szCs w:val="24"/>
        </w:rPr>
      </w:pPr>
    </w:p>
    <w:p w14:paraId="6461AB27" w14:textId="0FEA77C7" w:rsidR="00854A5C" w:rsidRPr="00854A5C" w:rsidRDefault="00854A5C" w:rsidP="00854A5C">
      <w:pPr>
        <w:tabs>
          <w:tab w:val="left" w:pos="567"/>
        </w:tabs>
        <w:spacing w:line="260" w:lineRule="exact"/>
        <w:rPr>
          <w:snapToGrid w:val="0"/>
          <w:sz w:val="22"/>
          <w:szCs w:val="24"/>
          <w:highlight w:val="lightGray"/>
        </w:rPr>
      </w:pPr>
      <w:r w:rsidRPr="00854A5C">
        <w:rPr>
          <w:snapToGrid w:val="0"/>
          <w:sz w:val="22"/>
        </w:rPr>
        <w:t xml:space="preserve">LT/1/24/5357/001 </w:t>
      </w:r>
      <w:r w:rsidRPr="00854A5C">
        <w:rPr>
          <w:snapToGrid w:val="0"/>
          <w:sz w:val="22"/>
          <w:szCs w:val="24"/>
          <w:highlight w:val="lightGray"/>
        </w:rPr>
        <w:t>– N30×1</w:t>
      </w:r>
    </w:p>
    <w:p w14:paraId="28469CAF" w14:textId="2BEE0FFF" w:rsidR="00C710D9" w:rsidRPr="00854A5C" w:rsidRDefault="00854A5C" w:rsidP="00854A5C">
      <w:pPr>
        <w:tabs>
          <w:tab w:val="left" w:pos="567"/>
        </w:tabs>
        <w:spacing w:line="260" w:lineRule="exact"/>
        <w:rPr>
          <w:snapToGrid w:val="0"/>
          <w:sz w:val="22"/>
          <w:szCs w:val="24"/>
          <w:highlight w:val="lightGray"/>
        </w:rPr>
      </w:pPr>
      <w:r w:rsidRPr="00854A5C">
        <w:rPr>
          <w:snapToGrid w:val="0"/>
          <w:sz w:val="22"/>
          <w:szCs w:val="24"/>
          <w:highlight w:val="lightGray"/>
        </w:rPr>
        <w:t>LT/1/24/5357/002 – N60×1</w:t>
      </w:r>
    </w:p>
    <w:p w14:paraId="6851A729" w14:textId="77777777" w:rsidR="00854A5C" w:rsidRPr="00211E3B" w:rsidRDefault="00854A5C" w:rsidP="00854A5C">
      <w:pPr>
        <w:tabs>
          <w:tab w:val="left" w:pos="567"/>
        </w:tabs>
        <w:spacing w:line="260" w:lineRule="exact"/>
        <w:rPr>
          <w:snapToGrid w:val="0"/>
          <w:sz w:val="22"/>
          <w:szCs w:val="24"/>
        </w:rPr>
      </w:pPr>
    </w:p>
    <w:p w14:paraId="37F5AE7B" w14:textId="77777777" w:rsidR="00C710D9" w:rsidRPr="00211E3B" w:rsidRDefault="00C710D9" w:rsidP="00C710D9">
      <w:pPr>
        <w:tabs>
          <w:tab w:val="left" w:pos="567"/>
        </w:tabs>
        <w:spacing w:line="260" w:lineRule="exact"/>
        <w:rPr>
          <w:snapToGrid w:val="0"/>
          <w:sz w:val="22"/>
          <w:szCs w:val="24"/>
        </w:rPr>
      </w:pPr>
    </w:p>
    <w:p w14:paraId="67337468" w14:textId="77777777" w:rsidR="00C710D9" w:rsidRPr="00211E3B" w:rsidRDefault="00C710D9" w:rsidP="00C710D9">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211E3B">
        <w:rPr>
          <w:b/>
          <w:snapToGrid w:val="0"/>
          <w:sz w:val="22"/>
          <w:szCs w:val="24"/>
        </w:rPr>
        <w:t>13.</w:t>
      </w:r>
      <w:r w:rsidRPr="00211E3B">
        <w:rPr>
          <w:b/>
          <w:snapToGrid w:val="0"/>
          <w:sz w:val="22"/>
          <w:szCs w:val="24"/>
        </w:rPr>
        <w:tab/>
        <w:t xml:space="preserve">SERIJOS NUMERIS </w:t>
      </w:r>
    </w:p>
    <w:p w14:paraId="3C059DD0" w14:textId="77777777" w:rsidR="00C710D9" w:rsidRPr="00211E3B" w:rsidRDefault="00C710D9" w:rsidP="00C710D9">
      <w:pPr>
        <w:tabs>
          <w:tab w:val="left" w:pos="567"/>
        </w:tabs>
        <w:spacing w:line="260" w:lineRule="exact"/>
        <w:rPr>
          <w:snapToGrid w:val="0"/>
          <w:sz w:val="22"/>
        </w:rPr>
      </w:pPr>
    </w:p>
    <w:p w14:paraId="3E83FAD8" w14:textId="268DA209" w:rsidR="00C710D9" w:rsidRPr="00211E3B" w:rsidRDefault="00C710D9" w:rsidP="00C710D9">
      <w:pPr>
        <w:tabs>
          <w:tab w:val="left" w:pos="567"/>
        </w:tabs>
        <w:spacing w:line="260" w:lineRule="exact"/>
        <w:rPr>
          <w:snapToGrid w:val="0"/>
          <w:sz w:val="22"/>
        </w:rPr>
      </w:pPr>
      <w:r w:rsidRPr="00211E3B">
        <w:rPr>
          <w:snapToGrid w:val="0"/>
          <w:sz w:val="22"/>
        </w:rPr>
        <w:t>Lot</w:t>
      </w:r>
    </w:p>
    <w:p w14:paraId="683B18D7" w14:textId="77777777" w:rsidR="00C710D9" w:rsidRPr="00211E3B" w:rsidRDefault="00C710D9" w:rsidP="00C710D9">
      <w:pPr>
        <w:tabs>
          <w:tab w:val="left" w:pos="567"/>
        </w:tabs>
        <w:spacing w:line="260" w:lineRule="exact"/>
        <w:rPr>
          <w:snapToGrid w:val="0"/>
          <w:sz w:val="22"/>
          <w:szCs w:val="24"/>
        </w:rPr>
      </w:pPr>
    </w:p>
    <w:p w14:paraId="3E34F148" w14:textId="77777777" w:rsidR="00C710D9" w:rsidRPr="00211E3B" w:rsidRDefault="00C710D9" w:rsidP="00C710D9">
      <w:pPr>
        <w:tabs>
          <w:tab w:val="left" w:pos="567"/>
        </w:tabs>
        <w:spacing w:line="260" w:lineRule="exact"/>
        <w:rPr>
          <w:snapToGrid w:val="0"/>
          <w:sz w:val="22"/>
          <w:szCs w:val="24"/>
        </w:rPr>
      </w:pPr>
    </w:p>
    <w:p w14:paraId="101936B1" w14:textId="77777777" w:rsidR="00C710D9" w:rsidRPr="00211E3B" w:rsidRDefault="00C710D9" w:rsidP="00C710D9">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211E3B">
        <w:rPr>
          <w:b/>
          <w:snapToGrid w:val="0"/>
          <w:sz w:val="22"/>
          <w:szCs w:val="24"/>
        </w:rPr>
        <w:t>14.</w:t>
      </w:r>
      <w:r w:rsidRPr="00211E3B">
        <w:rPr>
          <w:b/>
          <w:snapToGrid w:val="0"/>
          <w:sz w:val="22"/>
          <w:szCs w:val="24"/>
        </w:rPr>
        <w:tab/>
        <w:t>PARDAVIMO (IŠDAVIMO) TVARKA</w:t>
      </w:r>
    </w:p>
    <w:p w14:paraId="3253EE7B" w14:textId="77777777" w:rsidR="00C710D9" w:rsidRPr="00211E3B" w:rsidRDefault="00C710D9" w:rsidP="00C710D9">
      <w:pPr>
        <w:tabs>
          <w:tab w:val="left" w:pos="567"/>
        </w:tabs>
        <w:spacing w:line="260" w:lineRule="exact"/>
        <w:rPr>
          <w:snapToGrid w:val="0"/>
          <w:sz w:val="22"/>
          <w:szCs w:val="24"/>
        </w:rPr>
      </w:pPr>
    </w:p>
    <w:p w14:paraId="58F0B7C7" w14:textId="7A7411CA" w:rsidR="00C710D9" w:rsidRDefault="008B5543" w:rsidP="00C710D9">
      <w:pPr>
        <w:tabs>
          <w:tab w:val="left" w:pos="567"/>
        </w:tabs>
        <w:spacing w:line="260" w:lineRule="exact"/>
        <w:rPr>
          <w:snapToGrid w:val="0"/>
          <w:sz w:val="22"/>
          <w:szCs w:val="24"/>
        </w:rPr>
      </w:pPr>
      <w:r>
        <w:rPr>
          <w:snapToGrid w:val="0"/>
          <w:sz w:val="22"/>
          <w:szCs w:val="24"/>
        </w:rPr>
        <w:t>Receptinis vaistas</w:t>
      </w:r>
    </w:p>
    <w:p w14:paraId="6BFE33CF" w14:textId="77777777" w:rsidR="008B5543" w:rsidRDefault="008B5543" w:rsidP="00C710D9">
      <w:pPr>
        <w:tabs>
          <w:tab w:val="left" w:pos="567"/>
        </w:tabs>
        <w:spacing w:line="260" w:lineRule="exact"/>
        <w:rPr>
          <w:snapToGrid w:val="0"/>
          <w:sz w:val="22"/>
          <w:szCs w:val="24"/>
        </w:rPr>
      </w:pPr>
    </w:p>
    <w:p w14:paraId="03719B7C" w14:textId="77777777" w:rsidR="008B5543" w:rsidRPr="00211E3B" w:rsidRDefault="008B5543" w:rsidP="00C710D9">
      <w:pPr>
        <w:tabs>
          <w:tab w:val="left" w:pos="567"/>
        </w:tabs>
        <w:spacing w:line="260" w:lineRule="exact"/>
        <w:rPr>
          <w:snapToGrid w:val="0"/>
          <w:sz w:val="22"/>
          <w:szCs w:val="24"/>
        </w:rPr>
      </w:pPr>
    </w:p>
    <w:p w14:paraId="25C737FE" w14:textId="77777777" w:rsidR="00C710D9" w:rsidRPr="00211E3B" w:rsidRDefault="00C710D9" w:rsidP="00C710D9">
      <w:pPr>
        <w:pBdr>
          <w:top w:val="single" w:sz="4" w:space="2" w:color="auto"/>
          <w:left w:val="single" w:sz="4" w:space="4" w:color="auto"/>
          <w:bottom w:val="single" w:sz="4" w:space="1" w:color="auto"/>
          <w:right w:val="single" w:sz="4" w:space="4" w:color="auto"/>
        </w:pBdr>
        <w:tabs>
          <w:tab w:val="left" w:pos="567"/>
        </w:tabs>
        <w:outlineLvl w:val="0"/>
        <w:rPr>
          <w:snapToGrid w:val="0"/>
          <w:sz w:val="22"/>
          <w:szCs w:val="24"/>
        </w:rPr>
      </w:pPr>
      <w:r w:rsidRPr="00211E3B">
        <w:rPr>
          <w:b/>
          <w:snapToGrid w:val="0"/>
          <w:sz w:val="22"/>
          <w:szCs w:val="24"/>
        </w:rPr>
        <w:t>15.</w:t>
      </w:r>
      <w:r w:rsidRPr="00211E3B">
        <w:rPr>
          <w:b/>
          <w:snapToGrid w:val="0"/>
          <w:sz w:val="22"/>
          <w:szCs w:val="24"/>
        </w:rPr>
        <w:tab/>
        <w:t>VARTOJIMO INSTRUKCIJA</w:t>
      </w:r>
    </w:p>
    <w:p w14:paraId="66BBD7EC" w14:textId="77777777" w:rsidR="00C710D9" w:rsidRPr="00211E3B" w:rsidRDefault="00C710D9" w:rsidP="00C710D9">
      <w:pPr>
        <w:tabs>
          <w:tab w:val="left" w:pos="567"/>
        </w:tabs>
        <w:spacing w:line="260" w:lineRule="exact"/>
        <w:rPr>
          <w:snapToGrid w:val="0"/>
          <w:sz w:val="22"/>
          <w:szCs w:val="24"/>
        </w:rPr>
      </w:pPr>
    </w:p>
    <w:p w14:paraId="4F5771F8" w14:textId="77777777" w:rsidR="00C710D9" w:rsidRPr="00211E3B" w:rsidRDefault="00C710D9" w:rsidP="00C710D9">
      <w:pPr>
        <w:tabs>
          <w:tab w:val="left" w:pos="567"/>
        </w:tabs>
        <w:spacing w:line="260" w:lineRule="exact"/>
        <w:rPr>
          <w:snapToGrid w:val="0"/>
          <w:sz w:val="22"/>
          <w:szCs w:val="24"/>
        </w:rPr>
      </w:pPr>
    </w:p>
    <w:p w14:paraId="68BC0CE2" w14:textId="77777777" w:rsidR="00C710D9" w:rsidRPr="00211E3B" w:rsidRDefault="00C710D9" w:rsidP="00C710D9">
      <w:pPr>
        <w:pBdr>
          <w:top w:val="single" w:sz="4" w:space="1" w:color="auto"/>
          <w:left w:val="single" w:sz="4" w:space="4" w:color="auto"/>
          <w:bottom w:val="single" w:sz="4" w:space="0" w:color="auto"/>
          <w:right w:val="single" w:sz="4" w:space="4" w:color="auto"/>
        </w:pBdr>
        <w:tabs>
          <w:tab w:val="left" w:pos="567"/>
        </w:tabs>
        <w:rPr>
          <w:snapToGrid w:val="0"/>
          <w:color w:val="008000"/>
          <w:sz w:val="22"/>
          <w:szCs w:val="24"/>
        </w:rPr>
      </w:pPr>
      <w:r w:rsidRPr="00211E3B">
        <w:rPr>
          <w:b/>
          <w:snapToGrid w:val="0"/>
          <w:sz w:val="22"/>
          <w:szCs w:val="24"/>
        </w:rPr>
        <w:t>16.</w:t>
      </w:r>
      <w:r w:rsidRPr="00211E3B">
        <w:rPr>
          <w:b/>
          <w:snapToGrid w:val="0"/>
          <w:sz w:val="22"/>
          <w:szCs w:val="24"/>
        </w:rPr>
        <w:tab/>
        <w:t>INFORMACIJA BRAILIO RAŠTU</w:t>
      </w:r>
    </w:p>
    <w:p w14:paraId="1147397C" w14:textId="77777777" w:rsidR="00C710D9" w:rsidRPr="00211E3B" w:rsidRDefault="00C710D9" w:rsidP="00C710D9">
      <w:pPr>
        <w:tabs>
          <w:tab w:val="left" w:pos="567"/>
        </w:tabs>
        <w:spacing w:line="260" w:lineRule="exact"/>
        <w:rPr>
          <w:snapToGrid w:val="0"/>
          <w:sz w:val="22"/>
          <w:szCs w:val="24"/>
        </w:rPr>
      </w:pPr>
    </w:p>
    <w:p w14:paraId="7474F56D" w14:textId="3991F6C8" w:rsidR="00C710D9" w:rsidRDefault="0035487A" w:rsidP="00C710D9">
      <w:pPr>
        <w:tabs>
          <w:tab w:val="left" w:pos="567"/>
        </w:tabs>
        <w:spacing w:line="260" w:lineRule="exact"/>
        <w:rPr>
          <w:sz w:val="22"/>
          <w:szCs w:val="22"/>
        </w:rPr>
      </w:pPr>
      <w:r>
        <w:rPr>
          <w:sz w:val="22"/>
          <w:szCs w:val="22"/>
        </w:rPr>
        <w:t>a</w:t>
      </w:r>
      <w:r w:rsidR="00224B5B" w:rsidRPr="00211E3B">
        <w:rPr>
          <w:sz w:val="22"/>
          <w:szCs w:val="22"/>
        </w:rPr>
        <w:t>garf</w:t>
      </w:r>
      <w:r w:rsidR="00C710D9" w:rsidRPr="00211E3B">
        <w:rPr>
          <w:sz w:val="22"/>
          <w:szCs w:val="22"/>
        </w:rPr>
        <w:t xml:space="preserve"> 150</w:t>
      </w:r>
      <w:r w:rsidR="0085390D">
        <w:rPr>
          <w:sz w:val="22"/>
          <w:szCs w:val="22"/>
        </w:rPr>
        <w:t> mg</w:t>
      </w:r>
    </w:p>
    <w:p w14:paraId="55B9024F" w14:textId="77777777" w:rsidR="0035487A" w:rsidRPr="00211E3B" w:rsidRDefault="0035487A" w:rsidP="00C710D9">
      <w:pPr>
        <w:tabs>
          <w:tab w:val="left" w:pos="567"/>
        </w:tabs>
        <w:spacing w:line="260" w:lineRule="exact"/>
        <w:rPr>
          <w:snapToGrid w:val="0"/>
          <w:sz w:val="22"/>
          <w:szCs w:val="24"/>
        </w:rPr>
      </w:pPr>
    </w:p>
    <w:p w14:paraId="45F85D52" w14:textId="77777777" w:rsidR="00C710D9" w:rsidRPr="00211E3B" w:rsidRDefault="00C710D9" w:rsidP="00C710D9">
      <w:pPr>
        <w:tabs>
          <w:tab w:val="left" w:pos="567"/>
        </w:tabs>
        <w:spacing w:line="260" w:lineRule="exact"/>
        <w:rPr>
          <w:sz w:val="22"/>
          <w:szCs w:val="22"/>
          <w:shd w:val="clear" w:color="auto" w:fill="CCCCCC"/>
        </w:rPr>
      </w:pPr>
    </w:p>
    <w:p w14:paraId="6420DD0B" w14:textId="77777777" w:rsidR="00C710D9" w:rsidRPr="00211E3B" w:rsidRDefault="00C710D9" w:rsidP="00C710D9">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napToGrid w:val="0"/>
          <w:sz w:val="22"/>
          <w:szCs w:val="24"/>
        </w:rPr>
      </w:pPr>
      <w:r w:rsidRPr="00211E3B">
        <w:rPr>
          <w:b/>
          <w:snapToGrid w:val="0"/>
          <w:sz w:val="22"/>
        </w:rPr>
        <w:t>17.</w:t>
      </w:r>
      <w:r w:rsidRPr="00211E3B">
        <w:rPr>
          <w:b/>
          <w:snapToGrid w:val="0"/>
          <w:sz w:val="22"/>
        </w:rPr>
        <w:tab/>
        <w:t>UNIKALUS IDENTIFIKATORIUS – 2D BRŪKŠNINIS KODAS</w:t>
      </w:r>
    </w:p>
    <w:p w14:paraId="5BCCC90F" w14:textId="77777777" w:rsidR="00C710D9" w:rsidRPr="00211E3B" w:rsidRDefault="00C710D9" w:rsidP="00C710D9">
      <w:pPr>
        <w:tabs>
          <w:tab w:val="left" w:pos="567"/>
        </w:tabs>
        <w:spacing w:line="260" w:lineRule="exact"/>
        <w:rPr>
          <w:snapToGrid w:val="0"/>
          <w:sz w:val="22"/>
        </w:rPr>
      </w:pPr>
    </w:p>
    <w:p w14:paraId="5A4A2B06" w14:textId="77777777" w:rsidR="00C710D9" w:rsidRPr="00211E3B" w:rsidRDefault="00C710D9" w:rsidP="00C710D9">
      <w:pPr>
        <w:tabs>
          <w:tab w:val="left" w:pos="567"/>
        </w:tabs>
        <w:spacing w:line="260" w:lineRule="exact"/>
        <w:rPr>
          <w:snapToGrid w:val="0"/>
          <w:sz w:val="22"/>
          <w:szCs w:val="22"/>
          <w:shd w:val="clear" w:color="auto" w:fill="CCCCCC"/>
        </w:rPr>
      </w:pPr>
      <w:r w:rsidRPr="00211E3B">
        <w:rPr>
          <w:snapToGrid w:val="0"/>
          <w:sz w:val="22"/>
          <w:highlight w:val="lightGray"/>
        </w:rPr>
        <w:t>2D brūkšninis kodas su nurodytu unikaliu identifikatoriumi.</w:t>
      </w:r>
    </w:p>
    <w:p w14:paraId="6A617891" w14:textId="77777777" w:rsidR="00C710D9" w:rsidRPr="00211E3B" w:rsidRDefault="00C710D9" w:rsidP="00C710D9">
      <w:pPr>
        <w:tabs>
          <w:tab w:val="left" w:pos="567"/>
        </w:tabs>
        <w:spacing w:line="260" w:lineRule="exact"/>
        <w:rPr>
          <w:snapToGrid w:val="0"/>
          <w:sz w:val="22"/>
          <w:szCs w:val="22"/>
          <w:shd w:val="clear" w:color="auto" w:fill="CCCCCC"/>
        </w:rPr>
      </w:pPr>
    </w:p>
    <w:p w14:paraId="385B4864" w14:textId="77777777" w:rsidR="00C710D9" w:rsidRPr="00211E3B" w:rsidRDefault="00C710D9" w:rsidP="00C710D9">
      <w:pPr>
        <w:tabs>
          <w:tab w:val="left" w:pos="567"/>
        </w:tabs>
        <w:spacing w:line="260" w:lineRule="exact"/>
        <w:rPr>
          <w:snapToGrid w:val="0"/>
          <w:sz w:val="22"/>
        </w:rPr>
      </w:pPr>
    </w:p>
    <w:p w14:paraId="20F4E585" w14:textId="77777777" w:rsidR="00C710D9" w:rsidRPr="00211E3B" w:rsidRDefault="00C710D9" w:rsidP="00C710D9">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napToGrid w:val="0"/>
          <w:sz w:val="22"/>
        </w:rPr>
      </w:pPr>
      <w:r w:rsidRPr="00211E3B">
        <w:rPr>
          <w:b/>
          <w:snapToGrid w:val="0"/>
          <w:sz w:val="22"/>
        </w:rPr>
        <w:t>18.</w:t>
      </w:r>
      <w:r w:rsidRPr="00211E3B">
        <w:rPr>
          <w:b/>
          <w:snapToGrid w:val="0"/>
          <w:sz w:val="22"/>
        </w:rPr>
        <w:tab/>
        <w:t>UNIKALUS IDENTIFIKATORIUS – ŽMONĖMS SUPRANTAMI DUOMENYS</w:t>
      </w:r>
    </w:p>
    <w:p w14:paraId="6E15D3D7" w14:textId="77777777" w:rsidR="00C710D9" w:rsidRPr="00211E3B" w:rsidRDefault="00C710D9" w:rsidP="00C710D9">
      <w:pPr>
        <w:tabs>
          <w:tab w:val="left" w:pos="567"/>
        </w:tabs>
        <w:spacing w:line="260" w:lineRule="exact"/>
        <w:rPr>
          <w:snapToGrid w:val="0"/>
          <w:sz w:val="22"/>
        </w:rPr>
      </w:pPr>
    </w:p>
    <w:p w14:paraId="566CC59B" w14:textId="77777777" w:rsidR="00C710D9" w:rsidRPr="00211E3B" w:rsidRDefault="00C710D9" w:rsidP="00C710D9">
      <w:pPr>
        <w:tabs>
          <w:tab w:val="left" w:pos="567"/>
        </w:tabs>
        <w:spacing w:line="260" w:lineRule="exact"/>
        <w:rPr>
          <w:snapToGrid w:val="0"/>
          <w:sz w:val="22"/>
        </w:rPr>
      </w:pPr>
      <w:r w:rsidRPr="00211E3B">
        <w:rPr>
          <w:snapToGrid w:val="0"/>
          <w:sz w:val="22"/>
        </w:rPr>
        <w:t>PC</w:t>
      </w:r>
    </w:p>
    <w:p w14:paraId="25E5B7BB" w14:textId="77777777" w:rsidR="00C710D9" w:rsidRPr="00211E3B" w:rsidRDefault="00C710D9" w:rsidP="00C710D9">
      <w:pPr>
        <w:tabs>
          <w:tab w:val="left" w:pos="567"/>
        </w:tabs>
        <w:spacing w:line="260" w:lineRule="exact"/>
        <w:rPr>
          <w:snapToGrid w:val="0"/>
          <w:sz w:val="22"/>
        </w:rPr>
      </w:pPr>
      <w:r w:rsidRPr="00211E3B">
        <w:rPr>
          <w:snapToGrid w:val="0"/>
          <w:sz w:val="22"/>
        </w:rPr>
        <w:t>SN</w:t>
      </w:r>
    </w:p>
    <w:p w14:paraId="78C65467" w14:textId="77777777" w:rsidR="00C710D9" w:rsidRPr="00211E3B" w:rsidRDefault="00C710D9" w:rsidP="00C710D9">
      <w:pPr>
        <w:tabs>
          <w:tab w:val="left" w:pos="567"/>
        </w:tabs>
        <w:spacing w:line="260" w:lineRule="exact"/>
        <w:rPr>
          <w:snapToGrid w:val="0"/>
          <w:sz w:val="22"/>
        </w:rPr>
      </w:pPr>
      <w:r w:rsidRPr="00211E3B">
        <w:rPr>
          <w:snapToGrid w:val="0"/>
          <w:sz w:val="22"/>
        </w:rPr>
        <w:t>NN</w:t>
      </w:r>
    </w:p>
    <w:p w14:paraId="6BA0DA98" w14:textId="77777777" w:rsidR="00C710D9" w:rsidRPr="00211E3B" w:rsidRDefault="00C710D9" w:rsidP="00C710D9">
      <w:pPr>
        <w:tabs>
          <w:tab w:val="left" w:pos="567"/>
        </w:tabs>
        <w:spacing w:line="260" w:lineRule="exact"/>
        <w:rPr>
          <w:snapToGrid w:val="0"/>
          <w:sz w:val="22"/>
          <w:szCs w:val="24"/>
        </w:rPr>
      </w:pPr>
    </w:p>
    <w:p w14:paraId="134A53FB" w14:textId="77777777" w:rsidR="005D554B" w:rsidRPr="00211E3B" w:rsidRDefault="005D554B" w:rsidP="005D554B">
      <w:pPr>
        <w:tabs>
          <w:tab w:val="left" w:pos="567"/>
        </w:tabs>
        <w:spacing w:line="260" w:lineRule="exact"/>
        <w:rPr>
          <w:snapToGrid w:val="0"/>
          <w:sz w:val="22"/>
          <w:szCs w:val="24"/>
        </w:rPr>
      </w:pPr>
    </w:p>
    <w:p w14:paraId="2584727E" w14:textId="77777777" w:rsidR="005D554B" w:rsidRPr="00211E3B" w:rsidRDefault="005D554B" w:rsidP="005D554B">
      <w:pPr>
        <w:tabs>
          <w:tab w:val="left" w:pos="567"/>
        </w:tabs>
        <w:spacing w:line="260" w:lineRule="exact"/>
        <w:rPr>
          <w:snapToGrid w:val="0"/>
          <w:sz w:val="22"/>
          <w:szCs w:val="24"/>
        </w:rPr>
      </w:pPr>
      <w:r w:rsidRPr="00211E3B">
        <w:rPr>
          <w:snapToGrid w:val="0"/>
          <w:sz w:val="22"/>
          <w:szCs w:val="24"/>
        </w:rPr>
        <w:br w:type="page"/>
      </w:r>
    </w:p>
    <w:p w14:paraId="652908FD" w14:textId="77777777" w:rsidR="005D554B" w:rsidRPr="00211E3B" w:rsidRDefault="005D554B" w:rsidP="00C710D9">
      <w:pPr>
        <w:pBdr>
          <w:top w:val="single" w:sz="4" w:space="1" w:color="auto"/>
          <w:left w:val="single" w:sz="4" w:space="4" w:color="auto"/>
          <w:bottom w:val="single" w:sz="4" w:space="1" w:color="auto"/>
          <w:right w:val="single" w:sz="4" w:space="4" w:color="auto"/>
        </w:pBdr>
        <w:spacing w:line="260" w:lineRule="exact"/>
        <w:rPr>
          <w:b/>
          <w:snapToGrid w:val="0"/>
          <w:sz w:val="22"/>
          <w:szCs w:val="24"/>
        </w:rPr>
      </w:pPr>
      <w:r w:rsidRPr="00211E3B">
        <w:rPr>
          <w:b/>
          <w:snapToGrid w:val="0"/>
          <w:sz w:val="22"/>
          <w:szCs w:val="24"/>
        </w:rPr>
        <w:lastRenderedPageBreak/>
        <w:t>MINIMALI INFORMACIJA ANT LIZDINIŲ PLOKŠTELIŲ ARBA DVISLUOKSNIŲ JUOSTELIŲ</w:t>
      </w:r>
    </w:p>
    <w:p w14:paraId="724ABB1B" w14:textId="77777777" w:rsidR="005D554B" w:rsidRPr="00211E3B" w:rsidRDefault="005D554B" w:rsidP="005D554B">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napToGrid w:val="0"/>
          <w:sz w:val="22"/>
          <w:szCs w:val="24"/>
        </w:rPr>
      </w:pPr>
    </w:p>
    <w:p w14:paraId="37F8FBE9" w14:textId="42E57791" w:rsidR="005D554B" w:rsidRPr="00211E3B" w:rsidRDefault="00C710D9" w:rsidP="005D554B">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napToGrid w:val="0"/>
          <w:sz w:val="22"/>
        </w:rPr>
      </w:pPr>
      <w:r w:rsidRPr="00211E3B">
        <w:rPr>
          <w:b/>
          <w:snapToGrid w:val="0"/>
          <w:sz w:val="22"/>
        </w:rPr>
        <w:t>PERFORUOTA DALOMOJI LIZDINĖ PLOKŠTELĖ</w:t>
      </w:r>
    </w:p>
    <w:p w14:paraId="65E4F248" w14:textId="77777777" w:rsidR="005D554B" w:rsidRPr="00211E3B" w:rsidRDefault="005D554B" w:rsidP="005D554B">
      <w:pPr>
        <w:tabs>
          <w:tab w:val="left" w:pos="567"/>
        </w:tabs>
        <w:spacing w:line="260" w:lineRule="exact"/>
        <w:rPr>
          <w:snapToGrid w:val="0"/>
          <w:sz w:val="22"/>
        </w:rPr>
      </w:pPr>
    </w:p>
    <w:p w14:paraId="1B2FAFCA" w14:textId="77777777" w:rsidR="005D554B" w:rsidRPr="00211E3B" w:rsidRDefault="005D554B" w:rsidP="005D554B">
      <w:pPr>
        <w:tabs>
          <w:tab w:val="left" w:pos="567"/>
        </w:tabs>
        <w:spacing w:line="260" w:lineRule="exact"/>
        <w:rPr>
          <w:snapToGrid w:val="0"/>
          <w:sz w:val="22"/>
          <w:szCs w:val="24"/>
        </w:rPr>
      </w:pPr>
    </w:p>
    <w:p w14:paraId="0F77A6FC" w14:textId="77777777" w:rsidR="005D554B" w:rsidRPr="00211E3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211E3B">
        <w:rPr>
          <w:b/>
          <w:snapToGrid w:val="0"/>
          <w:sz w:val="22"/>
          <w:szCs w:val="24"/>
        </w:rPr>
        <w:t>1.</w:t>
      </w:r>
      <w:r w:rsidRPr="00211E3B">
        <w:rPr>
          <w:b/>
          <w:snapToGrid w:val="0"/>
          <w:sz w:val="22"/>
          <w:szCs w:val="24"/>
        </w:rPr>
        <w:tab/>
      </w:r>
      <w:r w:rsidRPr="00211E3B">
        <w:rPr>
          <w:b/>
          <w:caps/>
          <w:snapToGrid w:val="0"/>
          <w:sz w:val="22"/>
          <w:szCs w:val="24"/>
        </w:rPr>
        <w:t>VAISTINIO</w:t>
      </w:r>
      <w:r w:rsidRPr="00211E3B">
        <w:rPr>
          <w:b/>
          <w:snapToGrid w:val="0"/>
          <w:sz w:val="22"/>
          <w:szCs w:val="24"/>
        </w:rPr>
        <w:t xml:space="preserve"> PREPARATO PAVADINIMAS</w:t>
      </w:r>
    </w:p>
    <w:p w14:paraId="7C4DD9C6" w14:textId="77777777" w:rsidR="005D554B" w:rsidRPr="00211E3B" w:rsidRDefault="005D554B" w:rsidP="005D554B">
      <w:pPr>
        <w:tabs>
          <w:tab w:val="left" w:pos="567"/>
        </w:tabs>
        <w:spacing w:line="260" w:lineRule="exact"/>
        <w:rPr>
          <w:snapToGrid w:val="0"/>
          <w:sz w:val="22"/>
          <w:szCs w:val="24"/>
        </w:rPr>
      </w:pPr>
    </w:p>
    <w:p w14:paraId="38D42AFA" w14:textId="5A1D6922" w:rsidR="00C710D9" w:rsidRPr="00211E3B" w:rsidRDefault="00224B5B" w:rsidP="00C710D9">
      <w:pPr>
        <w:rPr>
          <w:sz w:val="22"/>
          <w:szCs w:val="22"/>
        </w:rPr>
      </w:pPr>
      <w:r w:rsidRPr="00211E3B">
        <w:rPr>
          <w:sz w:val="22"/>
          <w:szCs w:val="22"/>
        </w:rPr>
        <w:t>Agarf</w:t>
      </w:r>
      <w:r w:rsidR="00C710D9" w:rsidRPr="00211E3B">
        <w:rPr>
          <w:sz w:val="22"/>
          <w:szCs w:val="22"/>
        </w:rPr>
        <w:t xml:space="preserve"> 100</w:t>
      </w:r>
      <w:r w:rsidR="0085390D">
        <w:rPr>
          <w:sz w:val="22"/>
          <w:szCs w:val="22"/>
        </w:rPr>
        <w:t> mg</w:t>
      </w:r>
      <w:r w:rsidR="00C710D9" w:rsidRPr="00211E3B">
        <w:rPr>
          <w:sz w:val="22"/>
          <w:szCs w:val="22"/>
        </w:rPr>
        <w:t xml:space="preserve"> </w:t>
      </w:r>
      <w:r w:rsidR="00C710D9" w:rsidRPr="003744B7">
        <w:rPr>
          <w:i/>
          <w:iCs/>
          <w:snapToGrid w:val="0"/>
          <w:sz w:val="22"/>
          <w:highlight w:val="lightGray"/>
        </w:rPr>
        <w:t>minkštosios</w:t>
      </w:r>
      <w:r w:rsidR="00C710D9" w:rsidRPr="00211E3B">
        <w:rPr>
          <w:sz w:val="22"/>
          <w:szCs w:val="22"/>
        </w:rPr>
        <w:t xml:space="preserve"> kapsulės</w:t>
      </w:r>
    </w:p>
    <w:p w14:paraId="3E8178CF" w14:textId="1E7D2B9A" w:rsidR="00C710D9" w:rsidRPr="005A047E" w:rsidRDefault="00C710D9" w:rsidP="00C710D9">
      <w:pPr>
        <w:tabs>
          <w:tab w:val="left" w:pos="567"/>
        </w:tabs>
        <w:spacing w:line="260" w:lineRule="exact"/>
        <w:rPr>
          <w:i/>
          <w:iCs/>
          <w:snapToGrid w:val="0"/>
          <w:sz w:val="22"/>
          <w:szCs w:val="24"/>
        </w:rPr>
      </w:pPr>
      <w:r w:rsidRPr="005A047E">
        <w:rPr>
          <w:i/>
          <w:iCs/>
          <w:snapToGrid w:val="0"/>
          <w:sz w:val="22"/>
          <w:highlight w:val="lightGray"/>
        </w:rPr>
        <w:t>nintedanib</w:t>
      </w:r>
      <w:r w:rsidR="005A047E" w:rsidRPr="00E66365">
        <w:rPr>
          <w:i/>
          <w:iCs/>
          <w:snapToGrid w:val="0"/>
          <w:sz w:val="22"/>
        </w:rPr>
        <w:t>um</w:t>
      </w:r>
    </w:p>
    <w:p w14:paraId="43266CC1" w14:textId="77777777" w:rsidR="005D554B" w:rsidRPr="00211E3B" w:rsidRDefault="005D554B" w:rsidP="005D554B">
      <w:pPr>
        <w:tabs>
          <w:tab w:val="left" w:pos="567"/>
        </w:tabs>
        <w:spacing w:line="260" w:lineRule="exact"/>
        <w:rPr>
          <w:snapToGrid w:val="0"/>
          <w:sz w:val="22"/>
          <w:szCs w:val="24"/>
        </w:rPr>
      </w:pPr>
    </w:p>
    <w:p w14:paraId="342705B3" w14:textId="77777777" w:rsidR="005D554B" w:rsidRPr="00211E3B" w:rsidRDefault="005D554B" w:rsidP="005D554B">
      <w:pPr>
        <w:tabs>
          <w:tab w:val="left" w:pos="567"/>
        </w:tabs>
        <w:spacing w:line="260" w:lineRule="exact"/>
        <w:rPr>
          <w:snapToGrid w:val="0"/>
          <w:sz w:val="22"/>
          <w:szCs w:val="24"/>
        </w:rPr>
      </w:pPr>
    </w:p>
    <w:p w14:paraId="581278D8" w14:textId="77777777" w:rsidR="005D554B" w:rsidRPr="00211E3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211E3B">
        <w:rPr>
          <w:b/>
          <w:snapToGrid w:val="0"/>
          <w:sz w:val="22"/>
          <w:szCs w:val="24"/>
        </w:rPr>
        <w:t>2.</w:t>
      </w:r>
      <w:r w:rsidRPr="00211E3B">
        <w:rPr>
          <w:b/>
          <w:snapToGrid w:val="0"/>
          <w:sz w:val="22"/>
          <w:szCs w:val="24"/>
        </w:rPr>
        <w:tab/>
      </w:r>
      <w:r w:rsidRPr="00211E3B">
        <w:rPr>
          <w:b/>
          <w:caps/>
          <w:snapToGrid w:val="0"/>
          <w:sz w:val="22"/>
          <w:szCs w:val="24"/>
        </w:rPr>
        <w:t>REGISTRUOTOJO pavadinimas</w:t>
      </w:r>
    </w:p>
    <w:p w14:paraId="57B2E7FC" w14:textId="77777777" w:rsidR="005D554B" w:rsidRPr="00211E3B" w:rsidRDefault="005D554B" w:rsidP="005D554B">
      <w:pPr>
        <w:tabs>
          <w:tab w:val="left" w:pos="567"/>
        </w:tabs>
        <w:spacing w:line="260" w:lineRule="exact"/>
        <w:rPr>
          <w:snapToGrid w:val="0"/>
          <w:sz w:val="22"/>
          <w:szCs w:val="24"/>
        </w:rPr>
      </w:pPr>
    </w:p>
    <w:p w14:paraId="057A8F82" w14:textId="49CB81F8" w:rsidR="005D554B" w:rsidRPr="00211E3B" w:rsidRDefault="005A047E" w:rsidP="005D554B">
      <w:pPr>
        <w:tabs>
          <w:tab w:val="left" w:pos="567"/>
        </w:tabs>
        <w:spacing w:line="260" w:lineRule="exact"/>
        <w:rPr>
          <w:snapToGrid w:val="0"/>
          <w:sz w:val="22"/>
          <w:szCs w:val="24"/>
        </w:rPr>
      </w:pPr>
      <w:r>
        <w:rPr>
          <w:snapToGrid w:val="0"/>
          <w:sz w:val="22"/>
          <w:szCs w:val="24"/>
        </w:rPr>
        <w:t xml:space="preserve">UAB </w:t>
      </w:r>
      <w:r w:rsidR="00BF4AB8" w:rsidRPr="00211E3B">
        <w:rPr>
          <w:snapToGrid w:val="0"/>
          <w:sz w:val="22"/>
          <w:szCs w:val="24"/>
        </w:rPr>
        <w:t>Norameda</w:t>
      </w:r>
    </w:p>
    <w:p w14:paraId="49E0235A" w14:textId="77777777" w:rsidR="005D554B" w:rsidRPr="00211E3B" w:rsidRDefault="005D554B" w:rsidP="005D554B">
      <w:pPr>
        <w:tabs>
          <w:tab w:val="left" w:pos="567"/>
        </w:tabs>
        <w:spacing w:line="260" w:lineRule="exact"/>
        <w:rPr>
          <w:snapToGrid w:val="0"/>
          <w:sz w:val="22"/>
          <w:szCs w:val="24"/>
        </w:rPr>
      </w:pPr>
    </w:p>
    <w:p w14:paraId="36B90538" w14:textId="77777777" w:rsidR="005D554B" w:rsidRPr="00211E3B" w:rsidRDefault="005D554B" w:rsidP="005D554B">
      <w:pPr>
        <w:tabs>
          <w:tab w:val="left" w:pos="567"/>
        </w:tabs>
        <w:spacing w:line="260" w:lineRule="exact"/>
        <w:rPr>
          <w:snapToGrid w:val="0"/>
          <w:sz w:val="22"/>
          <w:szCs w:val="24"/>
        </w:rPr>
      </w:pPr>
    </w:p>
    <w:p w14:paraId="730A00CB" w14:textId="77777777" w:rsidR="005D554B" w:rsidRPr="00211E3B" w:rsidRDefault="005D554B" w:rsidP="005D554B">
      <w:pPr>
        <w:pBdr>
          <w:top w:val="single" w:sz="4" w:space="1" w:color="auto"/>
          <w:left w:val="single" w:sz="4" w:space="4" w:color="auto"/>
          <w:bottom w:val="single" w:sz="4" w:space="2" w:color="auto"/>
          <w:right w:val="single" w:sz="4" w:space="4" w:color="auto"/>
        </w:pBdr>
        <w:tabs>
          <w:tab w:val="left" w:pos="567"/>
        </w:tabs>
        <w:outlineLvl w:val="0"/>
        <w:rPr>
          <w:b/>
          <w:snapToGrid w:val="0"/>
          <w:sz w:val="22"/>
          <w:szCs w:val="24"/>
        </w:rPr>
      </w:pPr>
      <w:r w:rsidRPr="00211E3B">
        <w:rPr>
          <w:b/>
          <w:snapToGrid w:val="0"/>
          <w:sz w:val="22"/>
          <w:szCs w:val="24"/>
        </w:rPr>
        <w:t>3.</w:t>
      </w:r>
      <w:r w:rsidRPr="00211E3B">
        <w:rPr>
          <w:b/>
          <w:snapToGrid w:val="0"/>
          <w:sz w:val="22"/>
          <w:szCs w:val="24"/>
        </w:rPr>
        <w:tab/>
        <w:t>TINKAMUMO LAIKAS</w:t>
      </w:r>
    </w:p>
    <w:p w14:paraId="61CD6893" w14:textId="77777777" w:rsidR="005D554B" w:rsidRPr="00211E3B" w:rsidRDefault="005D554B" w:rsidP="005D554B">
      <w:pPr>
        <w:tabs>
          <w:tab w:val="left" w:pos="567"/>
        </w:tabs>
        <w:spacing w:line="260" w:lineRule="exact"/>
        <w:rPr>
          <w:snapToGrid w:val="0"/>
          <w:sz w:val="22"/>
          <w:szCs w:val="24"/>
        </w:rPr>
      </w:pPr>
    </w:p>
    <w:p w14:paraId="2031C0EC" w14:textId="273A4BE2" w:rsidR="005D554B" w:rsidRPr="00211E3B" w:rsidRDefault="005D554B" w:rsidP="005D554B">
      <w:pPr>
        <w:tabs>
          <w:tab w:val="left" w:pos="567"/>
        </w:tabs>
        <w:spacing w:line="260" w:lineRule="exact"/>
        <w:rPr>
          <w:snapToGrid w:val="0"/>
          <w:sz w:val="22"/>
        </w:rPr>
      </w:pPr>
      <w:r w:rsidRPr="00211E3B">
        <w:rPr>
          <w:snapToGrid w:val="0"/>
          <w:sz w:val="22"/>
        </w:rPr>
        <w:t>EXP</w:t>
      </w:r>
      <w:r w:rsidR="00E66365">
        <w:rPr>
          <w:snapToGrid w:val="0"/>
          <w:sz w:val="22"/>
        </w:rPr>
        <w:t xml:space="preserve"> {mm/MMMM}</w:t>
      </w:r>
    </w:p>
    <w:p w14:paraId="2FC2D854" w14:textId="77777777" w:rsidR="005D554B" w:rsidRPr="00211E3B" w:rsidRDefault="005D554B" w:rsidP="005D554B">
      <w:pPr>
        <w:tabs>
          <w:tab w:val="left" w:pos="567"/>
        </w:tabs>
        <w:spacing w:line="260" w:lineRule="exact"/>
        <w:rPr>
          <w:snapToGrid w:val="0"/>
          <w:sz w:val="22"/>
        </w:rPr>
      </w:pPr>
    </w:p>
    <w:p w14:paraId="60F1EA00" w14:textId="77777777" w:rsidR="005D554B" w:rsidRPr="00211E3B" w:rsidRDefault="005D554B" w:rsidP="005D554B">
      <w:pPr>
        <w:tabs>
          <w:tab w:val="left" w:pos="567"/>
        </w:tabs>
        <w:spacing w:line="260" w:lineRule="exact"/>
        <w:rPr>
          <w:snapToGrid w:val="0"/>
          <w:sz w:val="22"/>
        </w:rPr>
      </w:pPr>
    </w:p>
    <w:p w14:paraId="3BAAF9E3" w14:textId="77777777" w:rsidR="005D554B" w:rsidRPr="00211E3B" w:rsidRDefault="005D554B" w:rsidP="005D554B">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211E3B">
        <w:rPr>
          <w:b/>
          <w:snapToGrid w:val="0"/>
          <w:sz w:val="22"/>
          <w:szCs w:val="24"/>
        </w:rPr>
        <w:t>4.</w:t>
      </w:r>
      <w:r w:rsidRPr="00211E3B">
        <w:rPr>
          <w:b/>
          <w:snapToGrid w:val="0"/>
          <w:sz w:val="22"/>
          <w:szCs w:val="24"/>
        </w:rPr>
        <w:tab/>
        <w:t>SERIJOS NUMERIS</w:t>
      </w:r>
    </w:p>
    <w:p w14:paraId="294144EB" w14:textId="77777777" w:rsidR="005D554B" w:rsidRPr="00211E3B" w:rsidRDefault="005D554B" w:rsidP="005D554B">
      <w:pPr>
        <w:tabs>
          <w:tab w:val="left" w:pos="567"/>
        </w:tabs>
        <w:spacing w:line="260" w:lineRule="exact"/>
        <w:rPr>
          <w:snapToGrid w:val="0"/>
          <w:sz w:val="22"/>
        </w:rPr>
      </w:pPr>
    </w:p>
    <w:p w14:paraId="47FDC1D7" w14:textId="2FD5E876" w:rsidR="005D554B" w:rsidRPr="00211E3B" w:rsidRDefault="005D554B" w:rsidP="005D554B">
      <w:pPr>
        <w:tabs>
          <w:tab w:val="left" w:pos="567"/>
        </w:tabs>
        <w:outlineLvl w:val="0"/>
        <w:rPr>
          <w:b/>
          <w:snapToGrid w:val="0"/>
          <w:sz w:val="22"/>
        </w:rPr>
      </w:pPr>
      <w:r w:rsidRPr="00211E3B">
        <w:rPr>
          <w:snapToGrid w:val="0"/>
          <w:sz w:val="22"/>
        </w:rPr>
        <w:t>Lot</w:t>
      </w:r>
    </w:p>
    <w:p w14:paraId="6D02201B" w14:textId="77777777" w:rsidR="005D554B" w:rsidRPr="00211E3B" w:rsidRDefault="005D554B" w:rsidP="005D554B">
      <w:pPr>
        <w:tabs>
          <w:tab w:val="left" w:pos="567"/>
        </w:tabs>
        <w:spacing w:line="260" w:lineRule="exact"/>
        <w:rPr>
          <w:snapToGrid w:val="0"/>
          <w:sz w:val="22"/>
          <w:szCs w:val="24"/>
        </w:rPr>
      </w:pPr>
    </w:p>
    <w:p w14:paraId="0596A532" w14:textId="77777777" w:rsidR="005D554B" w:rsidRPr="00211E3B" w:rsidRDefault="005D554B" w:rsidP="005D554B">
      <w:pPr>
        <w:tabs>
          <w:tab w:val="left" w:pos="567"/>
        </w:tabs>
        <w:spacing w:line="260" w:lineRule="exact"/>
        <w:rPr>
          <w:snapToGrid w:val="0"/>
          <w:sz w:val="22"/>
          <w:szCs w:val="24"/>
        </w:rPr>
      </w:pPr>
    </w:p>
    <w:p w14:paraId="7F4C2C87" w14:textId="77777777" w:rsidR="005D554B" w:rsidRPr="00211E3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211E3B">
        <w:rPr>
          <w:b/>
          <w:snapToGrid w:val="0"/>
          <w:sz w:val="22"/>
          <w:szCs w:val="24"/>
        </w:rPr>
        <w:t>5.</w:t>
      </w:r>
      <w:r w:rsidRPr="00211E3B">
        <w:rPr>
          <w:b/>
          <w:snapToGrid w:val="0"/>
          <w:sz w:val="22"/>
          <w:szCs w:val="24"/>
        </w:rPr>
        <w:tab/>
        <w:t>KITA</w:t>
      </w:r>
    </w:p>
    <w:p w14:paraId="28552E2E" w14:textId="77777777" w:rsidR="005D554B" w:rsidRPr="00211E3B" w:rsidRDefault="005D554B" w:rsidP="005D554B">
      <w:pPr>
        <w:tabs>
          <w:tab w:val="left" w:pos="567"/>
        </w:tabs>
        <w:spacing w:line="260" w:lineRule="exact"/>
        <w:rPr>
          <w:snapToGrid w:val="0"/>
          <w:sz w:val="22"/>
          <w:szCs w:val="24"/>
        </w:rPr>
      </w:pPr>
    </w:p>
    <w:p w14:paraId="5C75A52F" w14:textId="77777777" w:rsidR="00C710D9" w:rsidRPr="00211E3B" w:rsidRDefault="00C710D9" w:rsidP="00C710D9">
      <w:pPr>
        <w:tabs>
          <w:tab w:val="left" w:pos="567"/>
        </w:tabs>
        <w:spacing w:line="260" w:lineRule="exact"/>
        <w:rPr>
          <w:snapToGrid w:val="0"/>
          <w:sz w:val="22"/>
          <w:szCs w:val="24"/>
        </w:rPr>
      </w:pPr>
      <w:r w:rsidRPr="00211E3B">
        <w:rPr>
          <w:snapToGrid w:val="0"/>
          <w:sz w:val="22"/>
          <w:szCs w:val="24"/>
        </w:rPr>
        <w:br w:type="page"/>
      </w:r>
    </w:p>
    <w:p w14:paraId="284EEE57" w14:textId="77777777" w:rsidR="00C710D9" w:rsidRPr="00211E3B" w:rsidRDefault="00C710D9" w:rsidP="00C710D9">
      <w:pPr>
        <w:pBdr>
          <w:top w:val="single" w:sz="4" w:space="1" w:color="auto"/>
          <w:left w:val="single" w:sz="4" w:space="4" w:color="auto"/>
          <w:bottom w:val="single" w:sz="4" w:space="1" w:color="auto"/>
          <w:right w:val="single" w:sz="4" w:space="4" w:color="auto"/>
        </w:pBdr>
        <w:spacing w:line="260" w:lineRule="exact"/>
        <w:rPr>
          <w:b/>
          <w:snapToGrid w:val="0"/>
          <w:sz w:val="22"/>
          <w:szCs w:val="24"/>
        </w:rPr>
      </w:pPr>
      <w:r w:rsidRPr="00211E3B">
        <w:rPr>
          <w:b/>
          <w:snapToGrid w:val="0"/>
          <w:sz w:val="22"/>
          <w:szCs w:val="24"/>
        </w:rPr>
        <w:lastRenderedPageBreak/>
        <w:t>MINIMALI INFORMACIJA ANT LIZDINIŲ PLOKŠTELIŲ ARBA DVISLUOKSNIŲ JUOSTELIŲ</w:t>
      </w:r>
    </w:p>
    <w:p w14:paraId="771A5984" w14:textId="77777777" w:rsidR="00C710D9" w:rsidRPr="00211E3B" w:rsidRDefault="00C710D9" w:rsidP="00C710D9">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napToGrid w:val="0"/>
          <w:sz w:val="22"/>
          <w:szCs w:val="24"/>
        </w:rPr>
      </w:pPr>
    </w:p>
    <w:p w14:paraId="48E91BF5" w14:textId="77777777" w:rsidR="00C710D9" w:rsidRPr="00211E3B" w:rsidRDefault="00C710D9" w:rsidP="00C710D9">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napToGrid w:val="0"/>
          <w:sz w:val="22"/>
        </w:rPr>
      </w:pPr>
      <w:r w:rsidRPr="00211E3B">
        <w:rPr>
          <w:b/>
          <w:snapToGrid w:val="0"/>
          <w:sz w:val="22"/>
        </w:rPr>
        <w:t>PERFORUOTA DALOMOJI LIZDINĖ PLOKŠTELĖ</w:t>
      </w:r>
    </w:p>
    <w:p w14:paraId="31E25B59" w14:textId="77777777" w:rsidR="00C710D9" w:rsidRPr="00211E3B" w:rsidRDefault="00C710D9" w:rsidP="00C710D9">
      <w:pPr>
        <w:tabs>
          <w:tab w:val="left" w:pos="567"/>
        </w:tabs>
        <w:spacing w:line="260" w:lineRule="exact"/>
        <w:rPr>
          <w:snapToGrid w:val="0"/>
          <w:sz w:val="22"/>
        </w:rPr>
      </w:pPr>
    </w:p>
    <w:p w14:paraId="53D73AE6" w14:textId="77777777" w:rsidR="00C710D9" w:rsidRPr="00211E3B" w:rsidRDefault="00C710D9" w:rsidP="00C710D9">
      <w:pPr>
        <w:tabs>
          <w:tab w:val="left" w:pos="567"/>
        </w:tabs>
        <w:spacing w:line="260" w:lineRule="exact"/>
        <w:rPr>
          <w:snapToGrid w:val="0"/>
          <w:sz w:val="22"/>
          <w:szCs w:val="24"/>
        </w:rPr>
      </w:pPr>
    </w:p>
    <w:p w14:paraId="02FB7408" w14:textId="77777777" w:rsidR="00C710D9" w:rsidRPr="00211E3B" w:rsidRDefault="00C710D9" w:rsidP="00C710D9">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211E3B">
        <w:rPr>
          <w:b/>
          <w:snapToGrid w:val="0"/>
          <w:sz w:val="22"/>
          <w:szCs w:val="24"/>
        </w:rPr>
        <w:t>1.</w:t>
      </w:r>
      <w:r w:rsidRPr="00211E3B">
        <w:rPr>
          <w:b/>
          <w:snapToGrid w:val="0"/>
          <w:sz w:val="22"/>
          <w:szCs w:val="24"/>
        </w:rPr>
        <w:tab/>
      </w:r>
      <w:r w:rsidRPr="00211E3B">
        <w:rPr>
          <w:b/>
          <w:caps/>
          <w:snapToGrid w:val="0"/>
          <w:sz w:val="22"/>
          <w:szCs w:val="24"/>
        </w:rPr>
        <w:t>VAISTINIO</w:t>
      </w:r>
      <w:r w:rsidRPr="00211E3B">
        <w:rPr>
          <w:b/>
          <w:snapToGrid w:val="0"/>
          <w:sz w:val="22"/>
          <w:szCs w:val="24"/>
        </w:rPr>
        <w:t xml:space="preserve"> PREPARATO PAVADINIMAS</w:t>
      </w:r>
    </w:p>
    <w:p w14:paraId="039F0EA8" w14:textId="77777777" w:rsidR="00C710D9" w:rsidRPr="00211E3B" w:rsidRDefault="00C710D9" w:rsidP="00C710D9">
      <w:pPr>
        <w:tabs>
          <w:tab w:val="left" w:pos="567"/>
        </w:tabs>
        <w:spacing w:line="260" w:lineRule="exact"/>
        <w:rPr>
          <w:snapToGrid w:val="0"/>
          <w:sz w:val="22"/>
          <w:szCs w:val="24"/>
        </w:rPr>
      </w:pPr>
    </w:p>
    <w:p w14:paraId="028C9BFA" w14:textId="6B99E805" w:rsidR="003744B7" w:rsidRPr="00211E3B" w:rsidRDefault="00224B5B" w:rsidP="003744B7">
      <w:pPr>
        <w:rPr>
          <w:sz w:val="22"/>
          <w:szCs w:val="22"/>
        </w:rPr>
      </w:pPr>
      <w:r w:rsidRPr="00211E3B">
        <w:rPr>
          <w:sz w:val="22"/>
          <w:szCs w:val="22"/>
        </w:rPr>
        <w:t>Agarf</w:t>
      </w:r>
      <w:r w:rsidR="00C710D9" w:rsidRPr="00211E3B">
        <w:rPr>
          <w:sz w:val="22"/>
          <w:szCs w:val="22"/>
        </w:rPr>
        <w:t xml:space="preserve"> 150</w:t>
      </w:r>
      <w:r w:rsidR="0085390D">
        <w:rPr>
          <w:sz w:val="22"/>
          <w:szCs w:val="22"/>
        </w:rPr>
        <w:t> mg</w:t>
      </w:r>
      <w:r w:rsidR="00C710D9" w:rsidRPr="00211E3B">
        <w:rPr>
          <w:sz w:val="22"/>
          <w:szCs w:val="22"/>
        </w:rPr>
        <w:t xml:space="preserve"> </w:t>
      </w:r>
      <w:r w:rsidR="003744B7" w:rsidRPr="003744B7">
        <w:rPr>
          <w:i/>
          <w:iCs/>
          <w:snapToGrid w:val="0"/>
          <w:sz w:val="22"/>
          <w:highlight w:val="lightGray"/>
        </w:rPr>
        <w:t>minkštosios</w:t>
      </w:r>
      <w:r w:rsidR="003744B7" w:rsidRPr="00211E3B">
        <w:rPr>
          <w:sz w:val="22"/>
          <w:szCs w:val="22"/>
        </w:rPr>
        <w:t xml:space="preserve"> kapsulės</w:t>
      </w:r>
    </w:p>
    <w:p w14:paraId="67486776" w14:textId="7B2CD8C7" w:rsidR="003744B7" w:rsidRPr="005A047E" w:rsidRDefault="003744B7" w:rsidP="003744B7">
      <w:pPr>
        <w:tabs>
          <w:tab w:val="left" w:pos="567"/>
        </w:tabs>
        <w:spacing w:line="260" w:lineRule="exact"/>
        <w:rPr>
          <w:i/>
          <w:iCs/>
          <w:snapToGrid w:val="0"/>
          <w:sz w:val="22"/>
          <w:szCs w:val="24"/>
        </w:rPr>
      </w:pPr>
      <w:r w:rsidRPr="005A047E">
        <w:rPr>
          <w:i/>
          <w:iCs/>
          <w:snapToGrid w:val="0"/>
          <w:sz w:val="22"/>
          <w:highlight w:val="lightGray"/>
        </w:rPr>
        <w:t>nintedanib</w:t>
      </w:r>
      <w:r w:rsidR="005A047E" w:rsidRPr="005A047E">
        <w:rPr>
          <w:i/>
          <w:iCs/>
          <w:snapToGrid w:val="0"/>
          <w:sz w:val="22"/>
        </w:rPr>
        <w:t>um</w:t>
      </w:r>
    </w:p>
    <w:p w14:paraId="6A1159F1" w14:textId="5FB60910" w:rsidR="00C710D9" w:rsidRPr="005A047E" w:rsidRDefault="00C710D9" w:rsidP="003744B7">
      <w:pPr>
        <w:rPr>
          <w:i/>
          <w:iCs/>
          <w:snapToGrid w:val="0"/>
          <w:sz w:val="22"/>
          <w:szCs w:val="24"/>
        </w:rPr>
      </w:pPr>
    </w:p>
    <w:p w14:paraId="757EE21F" w14:textId="77777777" w:rsidR="003744B7" w:rsidRPr="00211E3B" w:rsidRDefault="003744B7" w:rsidP="003744B7">
      <w:pPr>
        <w:rPr>
          <w:snapToGrid w:val="0"/>
          <w:sz w:val="22"/>
          <w:szCs w:val="24"/>
        </w:rPr>
      </w:pPr>
    </w:p>
    <w:p w14:paraId="36B46F9B" w14:textId="77777777" w:rsidR="00C710D9" w:rsidRPr="00211E3B" w:rsidRDefault="00C710D9" w:rsidP="00C710D9">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211E3B">
        <w:rPr>
          <w:b/>
          <w:snapToGrid w:val="0"/>
          <w:sz w:val="22"/>
          <w:szCs w:val="24"/>
        </w:rPr>
        <w:t>2.</w:t>
      </w:r>
      <w:r w:rsidRPr="00211E3B">
        <w:rPr>
          <w:b/>
          <w:snapToGrid w:val="0"/>
          <w:sz w:val="22"/>
          <w:szCs w:val="24"/>
        </w:rPr>
        <w:tab/>
      </w:r>
      <w:r w:rsidRPr="00211E3B">
        <w:rPr>
          <w:b/>
          <w:caps/>
          <w:snapToGrid w:val="0"/>
          <w:sz w:val="22"/>
          <w:szCs w:val="24"/>
        </w:rPr>
        <w:t>REGISTRUOTOJO pavadinimas</w:t>
      </w:r>
    </w:p>
    <w:p w14:paraId="432A6D38" w14:textId="77777777" w:rsidR="00C710D9" w:rsidRPr="00211E3B" w:rsidRDefault="00C710D9" w:rsidP="00C710D9">
      <w:pPr>
        <w:tabs>
          <w:tab w:val="left" w:pos="567"/>
        </w:tabs>
        <w:spacing w:line="260" w:lineRule="exact"/>
        <w:rPr>
          <w:snapToGrid w:val="0"/>
          <w:sz w:val="22"/>
          <w:szCs w:val="24"/>
        </w:rPr>
      </w:pPr>
    </w:p>
    <w:p w14:paraId="4DACC400" w14:textId="5767239A" w:rsidR="00C710D9" w:rsidRPr="00211E3B" w:rsidRDefault="005A047E" w:rsidP="00C710D9">
      <w:pPr>
        <w:tabs>
          <w:tab w:val="left" w:pos="567"/>
        </w:tabs>
        <w:spacing w:line="260" w:lineRule="exact"/>
        <w:rPr>
          <w:snapToGrid w:val="0"/>
          <w:sz w:val="22"/>
          <w:szCs w:val="24"/>
        </w:rPr>
      </w:pPr>
      <w:r>
        <w:rPr>
          <w:snapToGrid w:val="0"/>
          <w:sz w:val="22"/>
          <w:szCs w:val="24"/>
        </w:rPr>
        <w:t xml:space="preserve">UAB </w:t>
      </w:r>
      <w:r w:rsidR="00BF4AB8" w:rsidRPr="00211E3B">
        <w:rPr>
          <w:snapToGrid w:val="0"/>
          <w:sz w:val="22"/>
          <w:szCs w:val="24"/>
        </w:rPr>
        <w:t>Norameda</w:t>
      </w:r>
    </w:p>
    <w:p w14:paraId="77E818DA" w14:textId="77777777" w:rsidR="00C710D9" w:rsidRPr="00211E3B" w:rsidRDefault="00C710D9" w:rsidP="00C710D9">
      <w:pPr>
        <w:tabs>
          <w:tab w:val="left" w:pos="567"/>
        </w:tabs>
        <w:spacing w:line="260" w:lineRule="exact"/>
        <w:rPr>
          <w:snapToGrid w:val="0"/>
          <w:sz w:val="22"/>
          <w:szCs w:val="24"/>
        </w:rPr>
      </w:pPr>
    </w:p>
    <w:p w14:paraId="1E0E4FC5" w14:textId="77777777" w:rsidR="00C710D9" w:rsidRPr="00211E3B" w:rsidRDefault="00C710D9" w:rsidP="00C710D9">
      <w:pPr>
        <w:tabs>
          <w:tab w:val="left" w:pos="567"/>
        </w:tabs>
        <w:spacing w:line="260" w:lineRule="exact"/>
        <w:rPr>
          <w:snapToGrid w:val="0"/>
          <w:sz w:val="22"/>
          <w:szCs w:val="24"/>
        </w:rPr>
      </w:pPr>
    </w:p>
    <w:p w14:paraId="2616F3B0" w14:textId="77777777" w:rsidR="00C710D9" w:rsidRPr="00211E3B" w:rsidRDefault="00C710D9" w:rsidP="00C710D9">
      <w:pPr>
        <w:pBdr>
          <w:top w:val="single" w:sz="4" w:space="1" w:color="auto"/>
          <w:left w:val="single" w:sz="4" w:space="4" w:color="auto"/>
          <w:bottom w:val="single" w:sz="4" w:space="2" w:color="auto"/>
          <w:right w:val="single" w:sz="4" w:space="4" w:color="auto"/>
        </w:pBdr>
        <w:tabs>
          <w:tab w:val="left" w:pos="567"/>
        </w:tabs>
        <w:outlineLvl w:val="0"/>
        <w:rPr>
          <w:b/>
          <w:snapToGrid w:val="0"/>
          <w:sz w:val="22"/>
          <w:szCs w:val="24"/>
        </w:rPr>
      </w:pPr>
      <w:r w:rsidRPr="00211E3B">
        <w:rPr>
          <w:b/>
          <w:snapToGrid w:val="0"/>
          <w:sz w:val="22"/>
          <w:szCs w:val="24"/>
        </w:rPr>
        <w:t>3.</w:t>
      </w:r>
      <w:r w:rsidRPr="00211E3B">
        <w:rPr>
          <w:b/>
          <w:snapToGrid w:val="0"/>
          <w:sz w:val="22"/>
          <w:szCs w:val="24"/>
        </w:rPr>
        <w:tab/>
        <w:t>TINKAMUMO LAIKAS</w:t>
      </w:r>
    </w:p>
    <w:p w14:paraId="598F667A" w14:textId="77777777" w:rsidR="00C710D9" w:rsidRPr="00211E3B" w:rsidRDefault="00C710D9" w:rsidP="00C710D9">
      <w:pPr>
        <w:tabs>
          <w:tab w:val="left" w:pos="567"/>
        </w:tabs>
        <w:spacing w:line="260" w:lineRule="exact"/>
        <w:rPr>
          <w:snapToGrid w:val="0"/>
          <w:sz w:val="22"/>
          <w:szCs w:val="24"/>
        </w:rPr>
      </w:pPr>
    </w:p>
    <w:p w14:paraId="6D5B315B" w14:textId="6CA8135E" w:rsidR="00C710D9" w:rsidRPr="00211E3B" w:rsidRDefault="00C710D9" w:rsidP="00C710D9">
      <w:pPr>
        <w:tabs>
          <w:tab w:val="left" w:pos="567"/>
        </w:tabs>
        <w:spacing w:line="260" w:lineRule="exact"/>
        <w:rPr>
          <w:snapToGrid w:val="0"/>
          <w:sz w:val="22"/>
        </w:rPr>
      </w:pPr>
      <w:r w:rsidRPr="00211E3B">
        <w:rPr>
          <w:snapToGrid w:val="0"/>
          <w:sz w:val="22"/>
        </w:rPr>
        <w:t>EXP</w:t>
      </w:r>
      <w:r w:rsidR="00E66365">
        <w:rPr>
          <w:snapToGrid w:val="0"/>
          <w:sz w:val="22"/>
        </w:rPr>
        <w:t xml:space="preserve"> {mm/MMMM}</w:t>
      </w:r>
    </w:p>
    <w:p w14:paraId="5E81647F" w14:textId="77777777" w:rsidR="00C710D9" w:rsidRPr="00211E3B" w:rsidRDefault="00C710D9" w:rsidP="00C710D9">
      <w:pPr>
        <w:tabs>
          <w:tab w:val="left" w:pos="567"/>
        </w:tabs>
        <w:spacing w:line="260" w:lineRule="exact"/>
        <w:rPr>
          <w:snapToGrid w:val="0"/>
          <w:sz w:val="22"/>
        </w:rPr>
      </w:pPr>
    </w:p>
    <w:p w14:paraId="24F94078" w14:textId="77777777" w:rsidR="00C710D9" w:rsidRPr="00211E3B" w:rsidRDefault="00C710D9" w:rsidP="00C710D9">
      <w:pPr>
        <w:tabs>
          <w:tab w:val="left" w:pos="567"/>
        </w:tabs>
        <w:spacing w:line="260" w:lineRule="exact"/>
        <w:rPr>
          <w:snapToGrid w:val="0"/>
          <w:sz w:val="22"/>
        </w:rPr>
      </w:pPr>
    </w:p>
    <w:p w14:paraId="092AF764" w14:textId="77777777" w:rsidR="00C710D9" w:rsidRPr="00211E3B" w:rsidRDefault="00C710D9" w:rsidP="00C710D9">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211E3B">
        <w:rPr>
          <w:b/>
          <w:snapToGrid w:val="0"/>
          <w:sz w:val="22"/>
          <w:szCs w:val="24"/>
        </w:rPr>
        <w:t>4.</w:t>
      </w:r>
      <w:r w:rsidRPr="00211E3B">
        <w:rPr>
          <w:b/>
          <w:snapToGrid w:val="0"/>
          <w:sz w:val="22"/>
          <w:szCs w:val="24"/>
        </w:rPr>
        <w:tab/>
        <w:t>SERIJOS NUMERIS</w:t>
      </w:r>
    </w:p>
    <w:p w14:paraId="506168DB" w14:textId="77777777" w:rsidR="00C710D9" w:rsidRPr="00211E3B" w:rsidRDefault="00C710D9" w:rsidP="00C710D9">
      <w:pPr>
        <w:tabs>
          <w:tab w:val="left" w:pos="567"/>
        </w:tabs>
        <w:spacing w:line="260" w:lineRule="exact"/>
        <w:rPr>
          <w:snapToGrid w:val="0"/>
          <w:sz w:val="22"/>
        </w:rPr>
      </w:pPr>
    </w:p>
    <w:p w14:paraId="440075DF" w14:textId="77777777" w:rsidR="00C710D9" w:rsidRPr="00211E3B" w:rsidRDefault="00C710D9" w:rsidP="00C710D9">
      <w:pPr>
        <w:tabs>
          <w:tab w:val="left" w:pos="567"/>
        </w:tabs>
        <w:outlineLvl w:val="0"/>
        <w:rPr>
          <w:b/>
          <w:snapToGrid w:val="0"/>
          <w:sz w:val="22"/>
        </w:rPr>
      </w:pPr>
      <w:r w:rsidRPr="00211E3B">
        <w:rPr>
          <w:snapToGrid w:val="0"/>
          <w:sz w:val="22"/>
        </w:rPr>
        <w:t>Lot</w:t>
      </w:r>
    </w:p>
    <w:p w14:paraId="60B6BD75" w14:textId="77777777" w:rsidR="00C710D9" w:rsidRPr="00211E3B" w:rsidRDefault="00C710D9" w:rsidP="00C710D9">
      <w:pPr>
        <w:tabs>
          <w:tab w:val="left" w:pos="567"/>
        </w:tabs>
        <w:spacing w:line="260" w:lineRule="exact"/>
        <w:rPr>
          <w:snapToGrid w:val="0"/>
          <w:sz w:val="22"/>
          <w:szCs w:val="24"/>
        </w:rPr>
      </w:pPr>
    </w:p>
    <w:p w14:paraId="5D8F1C5A" w14:textId="77777777" w:rsidR="00C710D9" w:rsidRPr="00211E3B" w:rsidRDefault="00C710D9" w:rsidP="00C710D9">
      <w:pPr>
        <w:tabs>
          <w:tab w:val="left" w:pos="567"/>
        </w:tabs>
        <w:spacing w:line="260" w:lineRule="exact"/>
        <w:rPr>
          <w:snapToGrid w:val="0"/>
          <w:sz w:val="22"/>
          <w:szCs w:val="24"/>
        </w:rPr>
      </w:pPr>
    </w:p>
    <w:p w14:paraId="563F8348" w14:textId="77777777" w:rsidR="00C710D9" w:rsidRPr="00211E3B" w:rsidRDefault="00C710D9" w:rsidP="00C710D9">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211E3B">
        <w:rPr>
          <w:b/>
          <w:snapToGrid w:val="0"/>
          <w:sz w:val="22"/>
          <w:szCs w:val="24"/>
        </w:rPr>
        <w:t>5.</w:t>
      </w:r>
      <w:r w:rsidRPr="00211E3B">
        <w:rPr>
          <w:b/>
          <w:snapToGrid w:val="0"/>
          <w:sz w:val="22"/>
          <w:szCs w:val="24"/>
        </w:rPr>
        <w:tab/>
        <w:t>KITA</w:t>
      </w:r>
    </w:p>
    <w:p w14:paraId="5D9C5226" w14:textId="77777777" w:rsidR="00C710D9" w:rsidRPr="00211E3B" w:rsidRDefault="00C710D9" w:rsidP="00C710D9">
      <w:pPr>
        <w:tabs>
          <w:tab w:val="left" w:pos="567"/>
        </w:tabs>
        <w:spacing w:line="260" w:lineRule="exact"/>
        <w:rPr>
          <w:snapToGrid w:val="0"/>
          <w:sz w:val="22"/>
          <w:szCs w:val="24"/>
        </w:rPr>
      </w:pPr>
    </w:p>
    <w:p w14:paraId="51085259" w14:textId="77777777" w:rsidR="00C710D9" w:rsidRPr="00211E3B" w:rsidRDefault="00C710D9" w:rsidP="00C710D9">
      <w:pPr>
        <w:tabs>
          <w:tab w:val="left" w:pos="567"/>
        </w:tabs>
        <w:spacing w:line="260" w:lineRule="exact"/>
        <w:rPr>
          <w:snapToGrid w:val="0"/>
          <w:sz w:val="22"/>
          <w:szCs w:val="24"/>
        </w:rPr>
      </w:pPr>
    </w:p>
    <w:p w14:paraId="4BD22CA4" w14:textId="77777777" w:rsidR="00C710D9" w:rsidRPr="00211E3B" w:rsidRDefault="00C710D9" w:rsidP="00C710D9">
      <w:pPr>
        <w:tabs>
          <w:tab w:val="left" w:pos="567"/>
        </w:tabs>
        <w:spacing w:line="260" w:lineRule="exact"/>
        <w:rPr>
          <w:snapToGrid w:val="0"/>
          <w:sz w:val="22"/>
          <w:szCs w:val="24"/>
        </w:rPr>
      </w:pPr>
      <w:r w:rsidRPr="00211E3B">
        <w:rPr>
          <w:snapToGrid w:val="0"/>
          <w:sz w:val="22"/>
          <w:szCs w:val="24"/>
        </w:rPr>
        <w:br w:type="page"/>
      </w:r>
    </w:p>
    <w:p w14:paraId="41418832" w14:textId="3E6C0327" w:rsidR="005D554B" w:rsidRPr="00211E3B" w:rsidRDefault="005D554B" w:rsidP="005D554B">
      <w:pPr>
        <w:tabs>
          <w:tab w:val="left" w:pos="567"/>
        </w:tabs>
        <w:spacing w:line="260" w:lineRule="exact"/>
        <w:outlineLvl w:val="0"/>
        <w:rPr>
          <w:snapToGrid w:val="0"/>
          <w:sz w:val="22"/>
        </w:rPr>
      </w:pPr>
    </w:p>
    <w:p w14:paraId="0A12B1BB" w14:textId="77777777" w:rsidR="005D554B" w:rsidRPr="00211E3B" w:rsidRDefault="005D554B" w:rsidP="005D554B">
      <w:pPr>
        <w:tabs>
          <w:tab w:val="left" w:pos="567"/>
        </w:tabs>
        <w:spacing w:line="260" w:lineRule="exact"/>
        <w:outlineLvl w:val="0"/>
        <w:rPr>
          <w:snapToGrid w:val="0"/>
          <w:sz w:val="22"/>
        </w:rPr>
      </w:pPr>
    </w:p>
    <w:p w14:paraId="0A3909B6" w14:textId="77777777" w:rsidR="005D554B" w:rsidRPr="00211E3B" w:rsidRDefault="005D554B" w:rsidP="005D554B">
      <w:pPr>
        <w:tabs>
          <w:tab w:val="left" w:pos="567"/>
        </w:tabs>
        <w:spacing w:line="260" w:lineRule="exact"/>
        <w:outlineLvl w:val="0"/>
        <w:rPr>
          <w:snapToGrid w:val="0"/>
          <w:sz w:val="22"/>
        </w:rPr>
      </w:pPr>
    </w:p>
    <w:p w14:paraId="49363620" w14:textId="77777777" w:rsidR="005D554B" w:rsidRPr="00211E3B" w:rsidRDefault="005D554B" w:rsidP="005D554B">
      <w:pPr>
        <w:tabs>
          <w:tab w:val="left" w:pos="567"/>
        </w:tabs>
        <w:spacing w:line="260" w:lineRule="exact"/>
        <w:outlineLvl w:val="0"/>
        <w:rPr>
          <w:snapToGrid w:val="0"/>
          <w:sz w:val="22"/>
        </w:rPr>
      </w:pPr>
    </w:p>
    <w:p w14:paraId="3FC74D81" w14:textId="77777777" w:rsidR="005D554B" w:rsidRPr="00211E3B" w:rsidRDefault="005D554B" w:rsidP="005D554B">
      <w:pPr>
        <w:tabs>
          <w:tab w:val="left" w:pos="567"/>
        </w:tabs>
        <w:spacing w:line="260" w:lineRule="exact"/>
        <w:outlineLvl w:val="0"/>
        <w:rPr>
          <w:snapToGrid w:val="0"/>
          <w:sz w:val="22"/>
        </w:rPr>
      </w:pPr>
    </w:p>
    <w:p w14:paraId="5BF52C92" w14:textId="77777777" w:rsidR="005D554B" w:rsidRPr="00211E3B" w:rsidRDefault="005D554B" w:rsidP="005D554B">
      <w:pPr>
        <w:tabs>
          <w:tab w:val="left" w:pos="567"/>
        </w:tabs>
        <w:spacing w:line="260" w:lineRule="exact"/>
        <w:outlineLvl w:val="0"/>
        <w:rPr>
          <w:snapToGrid w:val="0"/>
          <w:sz w:val="22"/>
        </w:rPr>
      </w:pPr>
    </w:p>
    <w:p w14:paraId="67BBCDA7" w14:textId="77777777" w:rsidR="005D554B" w:rsidRPr="00211E3B" w:rsidRDefault="005D554B" w:rsidP="005D554B">
      <w:pPr>
        <w:tabs>
          <w:tab w:val="left" w:pos="567"/>
        </w:tabs>
        <w:spacing w:line="260" w:lineRule="exact"/>
        <w:outlineLvl w:val="0"/>
        <w:rPr>
          <w:snapToGrid w:val="0"/>
          <w:sz w:val="22"/>
        </w:rPr>
      </w:pPr>
    </w:p>
    <w:p w14:paraId="2ACD8019" w14:textId="77777777" w:rsidR="005D554B" w:rsidRPr="00211E3B" w:rsidRDefault="005D554B" w:rsidP="005D554B">
      <w:pPr>
        <w:tabs>
          <w:tab w:val="left" w:pos="567"/>
        </w:tabs>
        <w:spacing w:line="260" w:lineRule="exact"/>
        <w:outlineLvl w:val="0"/>
        <w:rPr>
          <w:snapToGrid w:val="0"/>
          <w:sz w:val="22"/>
        </w:rPr>
      </w:pPr>
    </w:p>
    <w:p w14:paraId="28B7FF4C" w14:textId="77777777" w:rsidR="005D554B" w:rsidRPr="00211E3B" w:rsidRDefault="005D554B" w:rsidP="005D554B">
      <w:pPr>
        <w:tabs>
          <w:tab w:val="left" w:pos="567"/>
        </w:tabs>
        <w:spacing w:line="260" w:lineRule="exact"/>
        <w:outlineLvl w:val="0"/>
        <w:rPr>
          <w:snapToGrid w:val="0"/>
          <w:sz w:val="22"/>
        </w:rPr>
      </w:pPr>
    </w:p>
    <w:p w14:paraId="35C9D3A3" w14:textId="77777777" w:rsidR="005D554B" w:rsidRPr="00211E3B" w:rsidRDefault="005D554B" w:rsidP="005D554B">
      <w:pPr>
        <w:tabs>
          <w:tab w:val="left" w:pos="567"/>
        </w:tabs>
        <w:spacing w:line="260" w:lineRule="exact"/>
        <w:outlineLvl w:val="0"/>
        <w:rPr>
          <w:snapToGrid w:val="0"/>
          <w:sz w:val="22"/>
        </w:rPr>
      </w:pPr>
    </w:p>
    <w:p w14:paraId="1AC8E391" w14:textId="77777777" w:rsidR="005D554B" w:rsidRPr="00211E3B" w:rsidRDefault="005D554B" w:rsidP="005D554B">
      <w:pPr>
        <w:tabs>
          <w:tab w:val="left" w:pos="567"/>
        </w:tabs>
        <w:spacing w:line="260" w:lineRule="exact"/>
        <w:outlineLvl w:val="0"/>
        <w:rPr>
          <w:snapToGrid w:val="0"/>
          <w:sz w:val="22"/>
        </w:rPr>
      </w:pPr>
    </w:p>
    <w:p w14:paraId="27CEF2DD" w14:textId="77777777" w:rsidR="005D554B" w:rsidRPr="00211E3B" w:rsidRDefault="005D554B" w:rsidP="005D554B">
      <w:pPr>
        <w:tabs>
          <w:tab w:val="left" w:pos="567"/>
        </w:tabs>
        <w:spacing w:line="260" w:lineRule="exact"/>
        <w:outlineLvl w:val="0"/>
        <w:rPr>
          <w:snapToGrid w:val="0"/>
          <w:sz w:val="22"/>
        </w:rPr>
      </w:pPr>
    </w:p>
    <w:p w14:paraId="4947E32C" w14:textId="77777777" w:rsidR="005D554B" w:rsidRPr="00211E3B" w:rsidRDefault="005D554B" w:rsidP="005D554B">
      <w:pPr>
        <w:tabs>
          <w:tab w:val="left" w:pos="567"/>
        </w:tabs>
        <w:spacing w:line="260" w:lineRule="exact"/>
        <w:outlineLvl w:val="0"/>
        <w:rPr>
          <w:snapToGrid w:val="0"/>
          <w:sz w:val="22"/>
        </w:rPr>
      </w:pPr>
    </w:p>
    <w:p w14:paraId="65E2F57C" w14:textId="77777777" w:rsidR="005D554B" w:rsidRPr="00211E3B" w:rsidRDefault="005D554B" w:rsidP="005D554B">
      <w:pPr>
        <w:tabs>
          <w:tab w:val="left" w:pos="567"/>
        </w:tabs>
        <w:spacing w:line="260" w:lineRule="exact"/>
        <w:outlineLvl w:val="0"/>
        <w:rPr>
          <w:snapToGrid w:val="0"/>
          <w:sz w:val="22"/>
        </w:rPr>
      </w:pPr>
    </w:p>
    <w:p w14:paraId="4EF08278" w14:textId="77777777" w:rsidR="005D554B" w:rsidRPr="00211E3B" w:rsidRDefault="005D554B" w:rsidP="005D554B">
      <w:pPr>
        <w:tabs>
          <w:tab w:val="left" w:pos="567"/>
        </w:tabs>
        <w:spacing w:line="260" w:lineRule="exact"/>
        <w:outlineLvl w:val="0"/>
        <w:rPr>
          <w:snapToGrid w:val="0"/>
          <w:sz w:val="22"/>
        </w:rPr>
      </w:pPr>
    </w:p>
    <w:p w14:paraId="7BCA090F" w14:textId="77777777" w:rsidR="005D554B" w:rsidRPr="00211E3B" w:rsidRDefault="005D554B" w:rsidP="005D554B">
      <w:pPr>
        <w:tabs>
          <w:tab w:val="left" w:pos="567"/>
        </w:tabs>
        <w:spacing w:line="260" w:lineRule="exact"/>
        <w:outlineLvl w:val="0"/>
        <w:rPr>
          <w:snapToGrid w:val="0"/>
          <w:sz w:val="22"/>
        </w:rPr>
      </w:pPr>
    </w:p>
    <w:p w14:paraId="10CA91FE" w14:textId="77777777" w:rsidR="005D554B" w:rsidRPr="00211E3B" w:rsidRDefault="005D554B" w:rsidP="005D554B">
      <w:pPr>
        <w:tabs>
          <w:tab w:val="left" w:pos="567"/>
        </w:tabs>
        <w:spacing w:line="260" w:lineRule="exact"/>
        <w:outlineLvl w:val="0"/>
        <w:rPr>
          <w:snapToGrid w:val="0"/>
          <w:sz w:val="22"/>
        </w:rPr>
      </w:pPr>
    </w:p>
    <w:p w14:paraId="464F7565" w14:textId="77777777" w:rsidR="005D554B" w:rsidRPr="00211E3B" w:rsidRDefault="005D554B" w:rsidP="005D554B">
      <w:pPr>
        <w:tabs>
          <w:tab w:val="left" w:pos="567"/>
        </w:tabs>
        <w:spacing w:line="260" w:lineRule="exact"/>
        <w:outlineLvl w:val="0"/>
        <w:rPr>
          <w:snapToGrid w:val="0"/>
          <w:sz w:val="22"/>
        </w:rPr>
      </w:pPr>
    </w:p>
    <w:p w14:paraId="71577F67" w14:textId="77777777" w:rsidR="005D554B" w:rsidRPr="00211E3B" w:rsidRDefault="005D554B" w:rsidP="005D554B">
      <w:pPr>
        <w:tabs>
          <w:tab w:val="left" w:pos="567"/>
        </w:tabs>
        <w:spacing w:line="260" w:lineRule="exact"/>
        <w:outlineLvl w:val="0"/>
        <w:rPr>
          <w:snapToGrid w:val="0"/>
          <w:sz w:val="22"/>
        </w:rPr>
      </w:pPr>
    </w:p>
    <w:p w14:paraId="44BF78D8" w14:textId="77777777" w:rsidR="005D554B" w:rsidRPr="00211E3B" w:rsidRDefault="005D554B" w:rsidP="005D554B">
      <w:pPr>
        <w:tabs>
          <w:tab w:val="left" w:pos="567"/>
        </w:tabs>
        <w:spacing w:line="260" w:lineRule="exact"/>
        <w:outlineLvl w:val="0"/>
        <w:rPr>
          <w:snapToGrid w:val="0"/>
          <w:sz w:val="22"/>
        </w:rPr>
      </w:pPr>
    </w:p>
    <w:p w14:paraId="008BDC00" w14:textId="77777777" w:rsidR="005D554B" w:rsidRPr="00211E3B" w:rsidRDefault="005D554B" w:rsidP="005D554B">
      <w:pPr>
        <w:tabs>
          <w:tab w:val="left" w:pos="567"/>
        </w:tabs>
        <w:spacing w:line="260" w:lineRule="exact"/>
        <w:outlineLvl w:val="0"/>
        <w:rPr>
          <w:snapToGrid w:val="0"/>
          <w:sz w:val="22"/>
        </w:rPr>
      </w:pPr>
    </w:p>
    <w:p w14:paraId="1083A433" w14:textId="77777777" w:rsidR="005D554B" w:rsidRPr="00211E3B" w:rsidRDefault="005D554B" w:rsidP="005D554B">
      <w:pPr>
        <w:tabs>
          <w:tab w:val="left" w:pos="567"/>
        </w:tabs>
        <w:spacing w:line="260" w:lineRule="exact"/>
        <w:outlineLvl w:val="0"/>
        <w:rPr>
          <w:snapToGrid w:val="0"/>
          <w:sz w:val="22"/>
        </w:rPr>
      </w:pPr>
    </w:p>
    <w:p w14:paraId="253EF4D9" w14:textId="77777777" w:rsidR="005D554B" w:rsidRPr="00211E3B" w:rsidRDefault="005D554B" w:rsidP="005D554B">
      <w:pPr>
        <w:tabs>
          <w:tab w:val="left" w:pos="567"/>
        </w:tabs>
        <w:spacing w:line="260" w:lineRule="exact"/>
        <w:outlineLvl w:val="0"/>
        <w:rPr>
          <w:snapToGrid w:val="0"/>
          <w:sz w:val="22"/>
        </w:rPr>
      </w:pPr>
    </w:p>
    <w:p w14:paraId="7B43F046" w14:textId="77777777" w:rsidR="005D554B" w:rsidRPr="00211E3B" w:rsidRDefault="005D554B" w:rsidP="005D554B">
      <w:pPr>
        <w:tabs>
          <w:tab w:val="left" w:pos="567"/>
        </w:tabs>
        <w:spacing w:line="260" w:lineRule="exact"/>
        <w:jc w:val="center"/>
        <w:outlineLvl w:val="0"/>
        <w:rPr>
          <w:b/>
          <w:snapToGrid w:val="0"/>
          <w:sz w:val="22"/>
        </w:rPr>
      </w:pPr>
      <w:r w:rsidRPr="00211E3B">
        <w:rPr>
          <w:b/>
          <w:snapToGrid w:val="0"/>
          <w:sz w:val="22"/>
        </w:rPr>
        <w:t>B. PAKUOTĖS LAPELIS</w:t>
      </w:r>
    </w:p>
    <w:p w14:paraId="7865A1E7" w14:textId="140AB1E0" w:rsidR="005D554B" w:rsidRPr="00211E3B" w:rsidRDefault="005D554B" w:rsidP="005D554B">
      <w:pPr>
        <w:keepNext/>
        <w:tabs>
          <w:tab w:val="left" w:pos="567"/>
        </w:tabs>
        <w:jc w:val="center"/>
        <w:outlineLvl w:val="1"/>
        <w:rPr>
          <w:b/>
          <w:snapToGrid w:val="0"/>
          <w:sz w:val="22"/>
          <w:szCs w:val="24"/>
          <w:lang w:eastAsia="x-none"/>
        </w:rPr>
      </w:pPr>
      <w:r w:rsidRPr="00211E3B">
        <w:rPr>
          <w:b/>
          <w:bCs/>
          <w:iCs/>
          <w:snapToGrid w:val="0"/>
          <w:sz w:val="22"/>
          <w:szCs w:val="28"/>
          <w:lang w:eastAsia="x-none"/>
        </w:rPr>
        <w:br w:type="page"/>
      </w:r>
      <w:r w:rsidRPr="00211E3B">
        <w:rPr>
          <w:b/>
          <w:bCs/>
          <w:iCs/>
          <w:snapToGrid w:val="0"/>
          <w:sz w:val="22"/>
          <w:szCs w:val="28"/>
          <w:lang w:eastAsia="x-none"/>
        </w:rPr>
        <w:lastRenderedPageBreak/>
        <w:t>Pakuotės lapelis:</w:t>
      </w:r>
      <w:r w:rsidRPr="00211E3B">
        <w:rPr>
          <w:b/>
          <w:snapToGrid w:val="0"/>
          <w:sz w:val="22"/>
          <w:szCs w:val="24"/>
          <w:lang w:eastAsia="x-none"/>
        </w:rPr>
        <w:t xml:space="preserve"> </w:t>
      </w:r>
      <w:r w:rsidRPr="00211E3B">
        <w:rPr>
          <w:b/>
          <w:bCs/>
          <w:iCs/>
          <w:snapToGrid w:val="0"/>
          <w:sz w:val="22"/>
          <w:szCs w:val="28"/>
          <w:lang w:eastAsia="x-none"/>
        </w:rPr>
        <w:t xml:space="preserve">informacija </w:t>
      </w:r>
      <w:r w:rsidR="00E66365">
        <w:rPr>
          <w:b/>
          <w:bCs/>
          <w:iCs/>
          <w:snapToGrid w:val="0"/>
          <w:sz w:val="22"/>
          <w:szCs w:val="28"/>
          <w:lang w:eastAsia="x-none"/>
        </w:rPr>
        <w:t>vartotojui</w:t>
      </w:r>
    </w:p>
    <w:p w14:paraId="6E0115DF" w14:textId="77777777" w:rsidR="005D554B" w:rsidRPr="00211E3B" w:rsidRDefault="005D554B" w:rsidP="005D554B">
      <w:pPr>
        <w:numPr>
          <w:ilvl w:val="12"/>
          <w:numId w:val="0"/>
        </w:numPr>
        <w:shd w:val="clear" w:color="auto" w:fill="FFFFFF"/>
        <w:jc w:val="center"/>
        <w:rPr>
          <w:snapToGrid w:val="0"/>
          <w:sz w:val="22"/>
          <w:szCs w:val="24"/>
        </w:rPr>
      </w:pPr>
    </w:p>
    <w:p w14:paraId="1014EFE6" w14:textId="13D985C0" w:rsidR="00C710D9" w:rsidRPr="00211E3B" w:rsidRDefault="00224B5B" w:rsidP="00C710D9">
      <w:pPr>
        <w:jc w:val="center"/>
        <w:rPr>
          <w:b/>
          <w:snapToGrid w:val="0"/>
          <w:sz w:val="22"/>
          <w:szCs w:val="24"/>
        </w:rPr>
      </w:pPr>
      <w:r w:rsidRPr="00211E3B">
        <w:rPr>
          <w:b/>
          <w:snapToGrid w:val="0"/>
          <w:sz w:val="22"/>
          <w:szCs w:val="24"/>
        </w:rPr>
        <w:t>Agarf</w:t>
      </w:r>
      <w:r w:rsidR="00C710D9" w:rsidRPr="00211E3B">
        <w:rPr>
          <w:b/>
          <w:snapToGrid w:val="0"/>
          <w:sz w:val="22"/>
          <w:szCs w:val="24"/>
        </w:rPr>
        <w:t xml:space="preserve"> 1</w:t>
      </w:r>
      <w:r w:rsidR="00892F95" w:rsidRPr="00211E3B">
        <w:rPr>
          <w:b/>
          <w:snapToGrid w:val="0"/>
          <w:sz w:val="22"/>
          <w:szCs w:val="24"/>
        </w:rPr>
        <w:t>0</w:t>
      </w:r>
      <w:r w:rsidR="00C710D9" w:rsidRPr="00211E3B">
        <w:rPr>
          <w:b/>
          <w:snapToGrid w:val="0"/>
          <w:sz w:val="22"/>
          <w:szCs w:val="24"/>
        </w:rPr>
        <w:t>0</w:t>
      </w:r>
      <w:r w:rsidR="0085390D">
        <w:rPr>
          <w:b/>
          <w:snapToGrid w:val="0"/>
          <w:sz w:val="22"/>
          <w:szCs w:val="24"/>
        </w:rPr>
        <w:t> mg</w:t>
      </w:r>
      <w:r w:rsidR="00C710D9" w:rsidRPr="00211E3B">
        <w:rPr>
          <w:b/>
          <w:snapToGrid w:val="0"/>
          <w:sz w:val="22"/>
          <w:szCs w:val="24"/>
        </w:rPr>
        <w:t xml:space="preserve"> minkštosios kapsulės</w:t>
      </w:r>
    </w:p>
    <w:p w14:paraId="0E43FF9B" w14:textId="77777777" w:rsidR="00C710D9" w:rsidRPr="00211E3B" w:rsidRDefault="00C710D9" w:rsidP="00C710D9">
      <w:pPr>
        <w:jc w:val="center"/>
        <w:rPr>
          <w:bCs/>
          <w:snapToGrid w:val="0"/>
          <w:sz w:val="22"/>
          <w:szCs w:val="24"/>
        </w:rPr>
      </w:pPr>
      <w:r w:rsidRPr="00211E3B">
        <w:rPr>
          <w:bCs/>
          <w:snapToGrid w:val="0"/>
          <w:sz w:val="22"/>
          <w:szCs w:val="24"/>
        </w:rPr>
        <w:t>nintedanibas</w:t>
      </w:r>
    </w:p>
    <w:p w14:paraId="1055B0D4" w14:textId="77777777" w:rsidR="005D554B" w:rsidRPr="00211E3B" w:rsidRDefault="005D554B" w:rsidP="005D554B">
      <w:pPr>
        <w:rPr>
          <w:snapToGrid w:val="0"/>
          <w:sz w:val="22"/>
          <w:szCs w:val="24"/>
        </w:rPr>
      </w:pPr>
    </w:p>
    <w:p w14:paraId="426D6DBD" w14:textId="310558C9" w:rsidR="005D554B" w:rsidRPr="00211E3B" w:rsidRDefault="005D554B" w:rsidP="005D554B">
      <w:pPr>
        <w:suppressAutoHyphens/>
        <w:ind w:left="142" w:hanging="142"/>
        <w:rPr>
          <w:snapToGrid w:val="0"/>
          <w:sz w:val="22"/>
          <w:szCs w:val="24"/>
        </w:rPr>
      </w:pPr>
      <w:r w:rsidRPr="00211E3B">
        <w:rPr>
          <w:b/>
          <w:snapToGrid w:val="0"/>
          <w:sz w:val="22"/>
          <w:szCs w:val="24"/>
        </w:rPr>
        <w:t>Atidžiai perskaitykite visą šį lapelį, prieš pradėdami vartoti vaistą, nes jame pateikiama Jums svarbi informacija.</w:t>
      </w:r>
    </w:p>
    <w:p w14:paraId="7B17B264" w14:textId="77777777" w:rsidR="005D554B" w:rsidRPr="00211E3B" w:rsidRDefault="005D554B" w:rsidP="005D554B">
      <w:pPr>
        <w:numPr>
          <w:ilvl w:val="0"/>
          <w:numId w:val="3"/>
        </w:numPr>
        <w:tabs>
          <w:tab w:val="left" w:pos="567"/>
        </w:tabs>
        <w:spacing w:line="260" w:lineRule="exact"/>
        <w:ind w:left="567" w:right="-2" w:hanging="567"/>
        <w:rPr>
          <w:snapToGrid w:val="0"/>
          <w:sz w:val="22"/>
          <w:szCs w:val="24"/>
        </w:rPr>
      </w:pPr>
      <w:r w:rsidRPr="00211E3B">
        <w:rPr>
          <w:snapToGrid w:val="0"/>
          <w:sz w:val="22"/>
          <w:szCs w:val="24"/>
        </w:rPr>
        <w:t xml:space="preserve">Neišmeskite šio lapelio, nes vėl gali prireikti jį perskaityti. </w:t>
      </w:r>
    </w:p>
    <w:p w14:paraId="57239226" w14:textId="36491413" w:rsidR="005D554B" w:rsidRPr="00211E3B" w:rsidRDefault="005D554B" w:rsidP="005D554B">
      <w:pPr>
        <w:numPr>
          <w:ilvl w:val="0"/>
          <w:numId w:val="3"/>
        </w:numPr>
        <w:tabs>
          <w:tab w:val="left" w:pos="567"/>
        </w:tabs>
        <w:spacing w:line="260" w:lineRule="exact"/>
        <w:ind w:left="567" w:right="-2" w:hanging="567"/>
        <w:rPr>
          <w:snapToGrid w:val="0"/>
          <w:sz w:val="22"/>
          <w:szCs w:val="24"/>
        </w:rPr>
      </w:pPr>
      <w:r w:rsidRPr="00211E3B">
        <w:rPr>
          <w:snapToGrid w:val="0"/>
          <w:sz w:val="22"/>
          <w:szCs w:val="24"/>
        </w:rPr>
        <w:t>Jeigu kiltų daugiau klausimų, kreipkitės į gydytoją</w:t>
      </w:r>
      <w:r w:rsidR="00C710D9" w:rsidRPr="00211E3B">
        <w:rPr>
          <w:snapToGrid w:val="0"/>
          <w:sz w:val="22"/>
          <w:szCs w:val="24"/>
        </w:rPr>
        <w:t xml:space="preserve"> </w:t>
      </w:r>
      <w:r w:rsidRPr="00211E3B">
        <w:rPr>
          <w:snapToGrid w:val="0"/>
          <w:sz w:val="22"/>
          <w:szCs w:val="24"/>
        </w:rPr>
        <w:t>arba</w:t>
      </w:r>
      <w:r w:rsidR="00C710D9" w:rsidRPr="00211E3B">
        <w:rPr>
          <w:snapToGrid w:val="0"/>
          <w:sz w:val="22"/>
          <w:szCs w:val="24"/>
        </w:rPr>
        <w:t xml:space="preserve"> </w:t>
      </w:r>
      <w:r w:rsidRPr="00211E3B">
        <w:rPr>
          <w:snapToGrid w:val="0"/>
          <w:sz w:val="22"/>
          <w:szCs w:val="24"/>
        </w:rPr>
        <w:t>vaistininką.</w:t>
      </w:r>
    </w:p>
    <w:p w14:paraId="0AAAA455" w14:textId="3D834443" w:rsidR="005D554B" w:rsidRPr="00211E3B" w:rsidRDefault="005D554B" w:rsidP="005D554B">
      <w:pPr>
        <w:tabs>
          <w:tab w:val="left" w:pos="567"/>
        </w:tabs>
        <w:ind w:left="567" w:right="-2" w:hanging="567"/>
        <w:rPr>
          <w:snapToGrid w:val="0"/>
          <w:sz w:val="22"/>
          <w:szCs w:val="24"/>
        </w:rPr>
      </w:pPr>
      <w:r w:rsidRPr="00211E3B">
        <w:rPr>
          <w:snapToGrid w:val="0"/>
          <w:sz w:val="22"/>
          <w:szCs w:val="24"/>
        </w:rPr>
        <w:t>-</w:t>
      </w:r>
      <w:r w:rsidRPr="00211E3B">
        <w:rPr>
          <w:snapToGrid w:val="0"/>
          <w:sz w:val="22"/>
          <w:szCs w:val="24"/>
        </w:rPr>
        <w:tab/>
        <w:t>Šis vaistas skirtas tik Jums, todėl kitiems žmonėms jo duoti negalima. Vaistas gali jiems pakenkti (net tiems, kurių ligos požymiai yra tokie patys kaip Jūsų).</w:t>
      </w:r>
    </w:p>
    <w:p w14:paraId="4F6F1344" w14:textId="3FFECFFF" w:rsidR="005D554B" w:rsidRPr="00211E3B" w:rsidRDefault="005D554B" w:rsidP="005D554B">
      <w:pPr>
        <w:numPr>
          <w:ilvl w:val="0"/>
          <w:numId w:val="3"/>
        </w:numPr>
        <w:tabs>
          <w:tab w:val="left" w:pos="567"/>
        </w:tabs>
        <w:spacing w:line="260" w:lineRule="exact"/>
        <w:ind w:left="567" w:hanging="567"/>
        <w:rPr>
          <w:snapToGrid w:val="0"/>
          <w:sz w:val="22"/>
          <w:szCs w:val="24"/>
        </w:rPr>
      </w:pPr>
      <w:r w:rsidRPr="00211E3B">
        <w:rPr>
          <w:snapToGrid w:val="0"/>
          <w:sz w:val="22"/>
          <w:szCs w:val="24"/>
        </w:rPr>
        <w:t xml:space="preserve">Jeigu pasireiškė šalutinis poveikis (net jeigu jis šiame lapelyje nenurodytas), kreipkitės į </w:t>
      </w:r>
      <w:r w:rsidR="00C710D9" w:rsidRPr="00211E3B">
        <w:rPr>
          <w:snapToGrid w:val="0"/>
          <w:sz w:val="22"/>
          <w:szCs w:val="24"/>
        </w:rPr>
        <w:t>gydytoją arba vaistininką</w:t>
      </w:r>
      <w:r w:rsidRPr="00211E3B">
        <w:rPr>
          <w:snapToGrid w:val="0"/>
          <w:sz w:val="22"/>
          <w:szCs w:val="24"/>
        </w:rPr>
        <w:t>. Žr. 4</w:t>
      </w:r>
      <w:r w:rsidR="00C710D9" w:rsidRPr="00211E3B">
        <w:rPr>
          <w:snapToGrid w:val="0"/>
          <w:sz w:val="22"/>
          <w:szCs w:val="24"/>
        </w:rPr>
        <w:t> </w:t>
      </w:r>
      <w:r w:rsidRPr="00211E3B">
        <w:rPr>
          <w:snapToGrid w:val="0"/>
          <w:sz w:val="22"/>
          <w:szCs w:val="24"/>
        </w:rPr>
        <w:t>skyrių.</w:t>
      </w:r>
    </w:p>
    <w:p w14:paraId="0762EB6D" w14:textId="77777777" w:rsidR="005D554B" w:rsidRPr="00211E3B" w:rsidRDefault="005D554B" w:rsidP="005D554B">
      <w:pPr>
        <w:ind w:right="-2"/>
        <w:rPr>
          <w:snapToGrid w:val="0"/>
          <w:sz w:val="22"/>
          <w:szCs w:val="24"/>
        </w:rPr>
      </w:pPr>
    </w:p>
    <w:p w14:paraId="78EE6FB7" w14:textId="77777777" w:rsidR="005D554B" w:rsidRPr="00211E3B" w:rsidRDefault="005D554B" w:rsidP="005D554B">
      <w:pPr>
        <w:keepNext/>
        <w:tabs>
          <w:tab w:val="left" w:pos="567"/>
        </w:tabs>
        <w:spacing w:line="260" w:lineRule="exact"/>
        <w:jc w:val="both"/>
        <w:outlineLvl w:val="3"/>
        <w:rPr>
          <w:b/>
          <w:bCs/>
          <w:snapToGrid w:val="0"/>
          <w:sz w:val="22"/>
          <w:szCs w:val="28"/>
          <w:lang w:eastAsia="x-none"/>
        </w:rPr>
      </w:pPr>
      <w:r w:rsidRPr="00211E3B">
        <w:rPr>
          <w:b/>
          <w:bCs/>
          <w:snapToGrid w:val="0"/>
          <w:sz w:val="22"/>
          <w:szCs w:val="28"/>
          <w:lang w:eastAsia="x-none"/>
        </w:rPr>
        <w:t>Apie ką rašoma šiame lapelyje?</w:t>
      </w:r>
    </w:p>
    <w:p w14:paraId="6E40A561" w14:textId="77777777" w:rsidR="005D554B" w:rsidRPr="00211E3B" w:rsidRDefault="005D554B" w:rsidP="005D554B">
      <w:pPr>
        <w:numPr>
          <w:ilvl w:val="12"/>
          <w:numId w:val="0"/>
        </w:numPr>
        <w:ind w:left="284" w:right="-2"/>
        <w:rPr>
          <w:snapToGrid w:val="0"/>
          <w:sz w:val="22"/>
          <w:szCs w:val="24"/>
        </w:rPr>
      </w:pPr>
    </w:p>
    <w:p w14:paraId="41157BA4" w14:textId="5FA2E554" w:rsidR="005D554B" w:rsidRPr="00211E3B" w:rsidRDefault="005D554B" w:rsidP="005D554B">
      <w:pPr>
        <w:numPr>
          <w:ilvl w:val="12"/>
          <w:numId w:val="0"/>
        </w:numPr>
        <w:tabs>
          <w:tab w:val="left" w:pos="709"/>
        </w:tabs>
        <w:ind w:right="-2"/>
        <w:rPr>
          <w:snapToGrid w:val="0"/>
          <w:sz w:val="22"/>
          <w:szCs w:val="24"/>
        </w:rPr>
      </w:pPr>
      <w:r w:rsidRPr="00211E3B">
        <w:rPr>
          <w:snapToGrid w:val="0"/>
          <w:sz w:val="22"/>
          <w:szCs w:val="24"/>
        </w:rPr>
        <w:t>1.</w:t>
      </w:r>
      <w:r w:rsidRPr="00211E3B">
        <w:rPr>
          <w:snapToGrid w:val="0"/>
          <w:sz w:val="22"/>
          <w:szCs w:val="24"/>
        </w:rPr>
        <w:tab/>
      </w:r>
      <w:r w:rsidRPr="00211E3B">
        <w:rPr>
          <w:snapToGrid w:val="0"/>
          <w:sz w:val="22"/>
        </w:rPr>
        <w:t xml:space="preserve">Kas yra </w:t>
      </w:r>
      <w:r w:rsidR="00224B5B" w:rsidRPr="00211E3B">
        <w:rPr>
          <w:snapToGrid w:val="0"/>
          <w:sz w:val="22"/>
        </w:rPr>
        <w:t>Agarf</w:t>
      </w:r>
      <w:r w:rsidRPr="00211E3B">
        <w:rPr>
          <w:snapToGrid w:val="0"/>
          <w:sz w:val="22"/>
        </w:rPr>
        <w:t xml:space="preserve"> ir kam jis vartojamas</w:t>
      </w:r>
      <w:r w:rsidRPr="00211E3B">
        <w:rPr>
          <w:snapToGrid w:val="0"/>
          <w:sz w:val="22"/>
          <w:szCs w:val="24"/>
        </w:rPr>
        <w:t xml:space="preserve"> </w:t>
      </w:r>
    </w:p>
    <w:p w14:paraId="703510BA" w14:textId="739ABBEE" w:rsidR="005D554B" w:rsidRPr="00211E3B" w:rsidRDefault="005D554B" w:rsidP="005D554B">
      <w:pPr>
        <w:numPr>
          <w:ilvl w:val="12"/>
          <w:numId w:val="0"/>
        </w:numPr>
        <w:tabs>
          <w:tab w:val="left" w:pos="709"/>
        </w:tabs>
        <w:ind w:right="-2"/>
        <w:rPr>
          <w:snapToGrid w:val="0"/>
          <w:sz w:val="22"/>
          <w:szCs w:val="24"/>
        </w:rPr>
      </w:pPr>
      <w:r w:rsidRPr="00211E3B">
        <w:rPr>
          <w:snapToGrid w:val="0"/>
          <w:sz w:val="22"/>
          <w:szCs w:val="24"/>
        </w:rPr>
        <w:t>2.</w:t>
      </w:r>
      <w:r w:rsidRPr="00211E3B">
        <w:rPr>
          <w:snapToGrid w:val="0"/>
          <w:sz w:val="22"/>
          <w:szCs w:val="24"/>
        </w:rPr>
        <w:tab/>
        <w:t xml:space="preserve">Kas žinotina prieš vartojant </w:t>
      </w:r>
      <w:r w:rsidR="00224B5B" w:rsidRPr="00211E3B">
        <w:rPr>
          <w:snapToGrid w:val="0"/>
          <w:sz w:val="22"/>
        </w:rPr>
        <w:t>Agarf</w:t>
      </w:r>
    </w:p>
    <w:p w14:paraId="3ECF9AB8" w14:textId="3696CECE" w:rsidR="005D554B" w:rsidRPr="00211E3B" w:rsidRDefault="005D554B" w:rsidP="005D554B">
      <w:pPr>
        <w:numPr>
          <w:ilvl w:val="12"/>
          <w:numId w:val="0"/>
        </w:numPr>
        <w:tabs>
          <w:tab w:val="left" w:pos="709"/>
        </w:tabs>
        <w:ind w:right="-2"/>
        <w:rPr>
          <w:snapToGrid w:val="0"/>
          <w:sz w:val="22"/>
          <w:szCs w:val="24"/>
        </w:rPr>
      </w:pPr>
      <w:r w:rsidRPr="00211E3B">
        <w:rPr>
          <w:snapToGrid w:val="0"/>
          <w:sz w:val="22"/>
          <w:szCs w:val="24"/>
        </w:rPr>
        <w:t>3.</w:t>
      </w:r>
      <w:r w:rsidRPr="00211E3B">
        <w:rPr>
          <w:snapToGrid w:val="0"/>
          <w:sz w:val="22"/>
          <w:szCs w:val="24"/>
        </w:rPr>
        <w:tab/>
        <w:t xml:space="preserve">Kaip vartoti </w:t>
      </w:r>
      <w:r w:rsidR="00224B5B" w:rsidRPr="00211E3B">
        <w:rPr>
          <w:snapToGrid w:val="0"/>
          <w:sz w:val="22"/>
        </w:rPr>
        <w:t>Agarf</w:t>
      </w:r>
    </w:p>
    <w:p w14:paraId="3D6F5518" w14:textId="77777777" w:rsidR="005D554B" w:rsidRPr="00211E3B" w:rsidRDefault="005D554B" w:rsidP="005D554B">
      <w:pPr>
        <w:numPr>
          <w:ilvl w:val="12"/>
          <w:numId w:val="0"/>
        </w:numPr>
        <w:tabs>
          <w:tab w:val="left" w:pos="709"/>
        </w:tabs>
        <w:ind w:right="-2"/>
        <w:rPr>
          <w:snapToGrid w:val="0"/>
          <w:sz w:val="22"/>
          <w:szCs w:val="24"/>
        </w:rPr>
      </w:pPr>
      <w:r w:rsidRPr="00211E3B">
        <w:rPr>
          <w:snapToGrid w:val="0"/>
          <w:sz w:val="22"/>
          <w:szCs w:val="24"/>
        </w:rPr>
        <w:t>4.</w:t>
      </w:r>
      <w:r w:rsidRPr="00211E3B">
        <w:rPr>
          <w:snapToGrid w:val="0"/>
          <w:sz w:val="22"/>
          <w:szCs w:val="24"/>
        </w:rPr>
        <w:tab/>
      </w:r>
      <w:r w:rsidRPr="00211E3B">
        <w:rPr>
          <w:snapToGrid w:val="0"/>
          <w:sz w:val="22"/>
        </w:rPr>
        <w:t>Galimas šalutinis poveikis</w:t>
      </w:r>
      <w:r w:rsidRPr="00211E3B">
        <w:rPr>
          <w:snapToGrid w:val="0"/>
          <w:sz w:val="22"/>
          <w:szCs w:val="24"/>
        </w:rPr>
        <w:t xml:space="preserve"> </w:t>
      </w:r>
    </w:p>
    <w:p w14:paraId="732041CC" w14:textId="59B14D38" w:rsidR="005D554B" w:rsidRPr="00211E3B" w:rsidRDefault="005D554B" w:rsidP="005D554B">
      <w:pPr>
        <w:numPr>
          <w:ilvl w:val="12"/>
          <w:numId w:val="0"/>
        </w:numPr>
        <w:tabs>
          <w:tab w:val="left" w:pos="709"/>
        </w:tabs>
        <w:ind w:right="-2"/>
        <w:rPr>
          <w:snapToGrid w:val="0"/>
          <w:sz w:val="22"/>
          <w:szCs w:val="24"/>
        </w:rPr>
      </w:pPr>
      <w:r w:rsidRPr="00211E3B">
        <w:rPr>
          <w:snapToGrid w:val="0"/>
          <w:sz w:val="22"/>
          <w:szCs w:val="24"/>
        </w:rPr>
        <w:t>5.</w:t>
      </w:r>
      <w:r w:rsidRPr="00211E3B">
        <w:rPr>
          <w:snapToGrid w:val="0"/>
          <w:sz w:val="22"/>
          <w:szCs w:val="24"/>
        </w:rPr>
        <w:tab/>
      </w:r>
      <w:r w:rsidRPr="00211E3B">
        <w:rPr>
          <w:snapToGrid w:val="0"/>
          <w:sz w:val="22"/>
        </w:rPr>
        <w:t xml:space="preserve">Kaip laikyti </w:t>
      </w:r>
      <w:r w:rsidR="00224B5B" w:rsidRPr="00211E3B">
        <w:rPr>
          <w:snapToGrid w:val="0"/>
          <w:sz w:val="22"/>
        </w:rPr>
        <w:t>Agarf</w:t>
      </w:r>
    </w:p>
    <w:p w14:paraId="37892546" w14:textId="77777777" w:rsidR="005D554B" w:rsidRPr="00211E3B" w:rsidRDefault="005D554B" w:rsidP="005D554B">
      <w:pPr>
        <w:numPr>
          <w:ilvl w:val="12"/>
          <w:numId w:val="0"/>
        </w:numPr>
        <w:tabs>
          <w:tab w:val="left" w:pos="709"/>
        </w:tabs>
        <w:ind w:right="-2"/>
        <w:rPr>
          <w:snapToGrid w:val="0"/>
          <w:sz w:val="22"/>
          <w:szCs w:val="24"/>
        </w:rPr>
      </w:pPr>
      <w:r w:rsidRPr="00211E3B">
        <w:rPr>
          <w:snapToGrid w:val="0"/>
          <w:sz w:val="22"/>
          <w:szCs w:val="24"/>
        </w:rPr>
        <w:t>6.</w:t>
      </w:r>
      <w:r w:rsidRPr="00211E3B">
        <w:rPr>
          <w:snapToGrid w:val="0"/>
          <w:sz w:val="22"/>
          <w:szCs w:val="24"/>
        </w:rPr>
        <w:tab/>
        <w:t>Pakuotės turinys ir kita informacija</w:t>
      </w:r>
    </w:p>
    <w:p w14:paraId="2367B324" w14:textId="77777777" w:rsidR="005D554B" w:rsidRPr="00211E3B" w:rsidRDefault="005D554B" w:rsidP="005D554B">
      <w:pPr>
        <w:numPr>
          <w:ilvl w:val="12"/>
          <w:numId w:val="0"/>
        </w:numPr>
        <w:ind w:right="-2"/>
        <w:rPr>
          <w:snapToGrid w:val="0"/>
          <w:sz w:val="22"/>
          <w:szCs w:val="24"/>
        </w:rPr>
      </w:pPr>
    </w:p>
    <w:p w14:paraId="5C503535" w14:textId="77777777" w:rsidR="005D554B" w:rsidRPr="00211E3B" w:rsidRDefault="005D554B" w:rsidP="005D554B">
      <w:pPr>
        <w:numPr>
          <w:ilvl w:val="12"/>
          <w:numId w:val="0"/>
        </w:numPr>
        <w:ind w:right="-2"/>
        <w:rPr>
          <w:snapToGrid w:val="0"/>
          <w:sz w:val="22"/>
          <w:szCs w:val="24"/>
        </w:rPr>
      </w:pPr>
    </w:p>
    <w:p w14:paraId="0C1616E3" w14:textId="60F65640" w:rsidR="005D554B" w:rsidRPr="00211E3B" w:rsidRDefault="005D554B" w:rsidP="005D554B">
      <w:pPr>
        <w:keepNext/>
        <w:tabs>
          <w:tab w:val="left" w:pos="567"/>
        </w:tabs>
        <w:spacing w:line="260" w:lineRule="exact"/>
        <w:jc w:val="both"/>
        <w:outlineLvl w:val="3"/>
        <w:rPr>
          <w:b/>
          <w:bCs/>
          <w:snapToGrid w:val="0"/>
          <w:sz w:val="22"/>
          <w:szCs w:val="28"/>
          <w:lang w:eastAsia="x-none"/>
        </w:rPr>
      </w:pPr>
      <w:r w:rsidRPr="00211E3B">
        <w:rPr>
          <w:b/>
          <w:bCs/>
          <w:snapToGrid w:val="0"/>
          <w:sz w:val="22"/>
          <w:szCs w:val="28"/>
          <w:lang w:eastAsia="x-none"/>
        </w:rPr>
        <w:t>1.</w:t>
      </w:r>
      <w:r w:rsidRPr="00211E3B">
        <w:rPr>
          <w:b/>
          <w:bCs/>
          <w:snapToGrid w:val="0"/>
          <w:sz w:val="22"/>
          <w:szCs w:val="28"/>
          <w:lang w:eastAsia="x-none"/>
        </w:rPr>
        <w:tab/>
        <w:t xml:space="preserve">Kas yra </w:t>
      </w:r>
      <w:r w:rsidR="00224B5B" w:rsidRPr="00211E3B">
        <w:rPr>
          <w:b/>
          <w:bCs/>
          <w:snapToGrid w:val="0"/>
          <w:sz w:val="22"/>
          <w:szCs w:val="28"/>
          <w:lang w:eastAsia="x-none"/>
        </w:rPr>
        <w:t>Agarf</w:t>
      </w:r>
      <w:r w:rsidRPr="00211E3B">
        <w:rPr>
          <w:b/>
          <w:bCs/>
          <w:snapToGrid w:val="0"/>
          <w:sz w:val="22"/>
          <w:szCs w:val="28"/>
          <w:lang w:eastAsia="x-none"/>
        </w:rPr>
        <w:t xml:space="preserve"> ir kam jis vartojamas</w:t>
      </w:r>
    </w:p>
    <w:p w14:paraId="4678B3C5" w14:textId="77777777" w:rsidR="005D554B" w:rsidRPr="00211E3B" w:rsidRDefault="005D554B" w:rsidP="005D554B">
      <w:pPr>
        <w:numPr>
          <w:ilvl w:val="12"/>
          <w:numId w:val="0"/>
        </w:numPr>
        <w:ind w:right="-2"/>
        <w:rPr>
          <w:snapToGrid w:val="0"/>
          <w:sz w:val="22"/>
          <w:szCs w:val="24"/>
        </w:rPr>
      </w:pPr>
    </w:p>
    <w:p w14:paraId="72338D52" w14:textId="72AE0359" w:rsidR="00A96CAC" w:rsidRPr="00A96CAC" w:rsidRDefault="00A96CAC" w:rsidP="00A96CAC">
      <w:pPr>
        <w:numPr>
          <w:ilvl w:val="12"/>
          <w:numId w:val="0"/>
        </w:numPr>
        <w:ind w:right="-2"/>
        <w:rPr>
          <w:snapToGrid w:val="0"/>
          <w:sz w:val="22"/>
        </w:rPr>
      </w:pPr>
      <w:r>
        <w:rPr>
          <w:snapToGrid w:val="0"/>
          <w:sz w:val="22"/>
        </w:rPr>
        <w:t>Agarf</w:t>
      </w:r>
      <w:r w:rsidRPr="00A96CAC">
        <w:rPr>
          <w:snapToGrid w:val="0"/>
          <w:sz w:val="22"/>
        </w:rPr>
        <w:t xml:space="preserve"> </w:t>
      </w:r>
      <w:r w:rsidR="00467465">
        <w:rPr>
          <w:snapToGrid w:val="0"/>
          <w:sz w:val="22"/>
        </w:rPr>
        <w:t xml:space="preserve">sudėtyje yra </w:t>
      </w:r>
      <w:r w:rsidRPr="00A96CAC">
        <w:rPr>
          <w:snapToGrid w:val="0"/>
          <w:sz w:val="22"/>
        </w:rPr>
        <w:t>veiklio</w:t>
      </w:r>
      <w:r w:rsidR="00467465">
        <w:rPr>
          <w:snapToGrid w:val="0"/>
          <w:sz w:val="22"/>
        </w:rPr>
        <w:t xml:space="preserve">sios </w:t>
      </w:r>
      <w:r w:rsidRPr="00A96CAC">
        <w:rPr>
          <w:snapToGrid w:val="0"/>
          <w:sz w:val="22"/>
        </w:rPr>
        <w:t>medžiag</w:t>
      </w:r>
      <w:r w:rsidR="00467465">
        <w:rPr>
          <w:snapToGrid w:val="0"/>
          <w:sz w:val="22"/>
        </w:rPr>
        <w:t>os</w:t>
      </w:r>
      <w:r w:rsidRPr="00A96CAC">
        <w:rPr>
          <w:snapToGrid w:val="0"/>
          <w:sz w:val="22"/>
        </w:rPr>
        <w:t xml:space="preserve"> nintedanib</w:t>
      </w:r>
      <w:r w:rsidR="00467465">
        <w:rPr>
          <w:snapToGrid w:val="0"/>
          <w:sz w:val="22"/>
        </w:rPr>
        <w:t xml:space="preserve">o, t. y. vaisto, kuris </w:t>
      </w:r>
      <w:r w:rsidRPr="00A96CAC">
        <w:rPr>
          <w:snapToGrid w:val="0"/>
          <w:sz w:val="22"/>
        </w:rPr>
        <w:t>priklaus</w:t>
      </w:r>
      <w:r w:rsidR="00467465">
        <w:rPr>
          <w:snapToGrid w:val="0"/>
          <w:sz w:val="22"/>
        </w:rPr>
        <w:t>o</w:t>
      </w:r>
      <w:r w:rsidRPr="00A96CAC">
        <w:rPr>
          <w:snapToGrid w:val="0"/>
          <w:sz w:val="22"/>
        </w:rPr>
        <w:t xml:space="preserve"> vadinamųjų tirozino kinazės</w:t>
      </w:r>
      <w:r w:rsidR="00467465">
        <w:rPr>
          <w:snapToGrid w:val="0"/>
          <w:sz w:val="22"/>
        </w:rPr>
        <w:t xml:space="preserve"> </w:t>
      </w:r>
      <w:r w:rsidRPr="00A96CAC">
        <w:rPr>
          <w:snapToGrid w:val="0"/>
          <w:sz w:val="22"/>
        </w:rPr>
        <w:t>inhibitorių klasei</w:t>
      </w:r>
      <w:r w:rsidR="00467465">
        <w:rPr>
          <w:snapToGrid w:val="0"/>
          <w:sz w:val="22"/>
        </w:rPr>
        <w:t xml:space="preserve"> ir y</w:t>
      </w:r>
      <w:r w:rsidR="007E77AC">
        <w:rPr>
          <w:snapToGrid w:val="0"/>
          <w:sz w:val="22"/>
        </w:rPr>
        <w:t>r</w:t>
      </w:r>
      <w:r w:rsidR="00467465">
        <w:rPr>
          <w:snapToGrid w:val="0"/>
          <w:sz w:val="22"/>
        </w:rPr>
        <w:t>a</w:t>
      </w:r>
      <w:r w:rsidRPr="00A96CAC">
        <w:rPr>
          <w:snapToGrid w:val="0"/>
          <w:sz w:val="22"/>
        </w:rPr>
        <w:t xml:space="preserve"> vartojamas idiopatinei plaučių fibrozei (IPF), kitoms lėtinėms fibrozinėms</w:t>
      </w:r>
      <w:r w:rsidR="00467465">
        <w:rPr>
          <w:snapToGrid w:val="0"/>
          <w:sz w:val="22"/>
        </w:rPr>
        <w:t xml:space="preserve"> </w:t>
      </w:r>
      <w:r w:rsidRPr="00A96CAC">
        <w:rPr>
          <w:snapToGrid w:val="0"/>
          <w:sz w:val="22"/>
        </w:rPr>
        <w:t>progresuojančio fenotipo intersticinėms plaučių ligoms (IPL) ir su sistemine skleroze susijusiai</w:t>
      </w:r>
      <w:r w:rsidR="00467465">
        <w:rPr>
          <w:snapToGrid w:val="0"/>
          <w:sz w:val="22"/>
        </w:rPr>
        <w:t xml:space="preserve"> </w:t>
      </w:r>
      <w:r w:rsidRPr="00A96CAC">
        <w:rPr>
          <w:snapToGrid w:val="0"/>
          <w:sz w:val="22"/>
        </w:rPr>
        <w:t>intersticinei plaučių ligai (SS-IPL) gydyti suaugusiesiems.</w:t>
      </w:r>
    </w:p>
    <w:p w14:paraId="1C750C9C" w14:textId="77777777" w:rsidR="00467465" w:rsidRDefault="00467465" w:rsidP="00A96CAC">
      <w:pPr>
        <w:numPr>
          <w:ilvl w:val="12"/>
          <w:numId w:val="0"/>
        </w:numPr>
        <w:ind w:right="-2"/>
        <w:rPr>
          <w:snapToGrid w:val="0"/>
          <w:sz w:val="22"/>
        </w:rPr>
      </w:pPr>
    </w:p>
    <w:p w14:paraId="6CED3D2B" w14:textId="2624F0B8" w:rsidR="00A96CAC" w:rsidRPr="00467465" w:rsidRDefault="00A96CAC" w:rsidP="00A96CAC">
      <w:pPr>
        <w:numPr>
          <w:ilvl w:val="12"/>
          <w:numId w:val="0"/>
        </w:numPr>
        <w:ind w:right="-2"/>
        <w:rPr>
          <w:snapToGrid w:val="0"/>
          <w:sz w:val="22"/>
          <w:u w:val="single"/>
        </w:rPr>
      </w:pPr>
      <w:r w:rsidRPr="00467465">
        <w:rPr>
          <w:snapToGrid w:val="0"/>
          <w:sz w:val="22"/>
          <w:u w:val="single"/>
        </w:rPr>
        <w:t>Idiopatinė plaučių fibrozė (IPF)</w:t>
      </w:r>
    </w:p>
    <w:p w14:paraId="64508564" w14:textId="63F6FA29" w:rsidR="00A96CAC" w:rsidRPr="00A96CAC" w:rsidRDefault="00A96CAC" w:rsidP="00A96CAC">
      <w:pPr>
        <w:numPr>
          <w:ilvl w:val="12"/>
          <w:numId w:val="0"/>
        </w:numPr>
        <w:ind w:right="-2"/>
        <w:rPr>
          <w:snapToGrid w:val="0"/>
          <w:sz w:val="22"/>
        </w:rPr>
      </w:pPr>
      <w:r w:rsidRPr="00A96CAC">
        <w:rPr>
          <w:snapToGrid w:val="0"/>
          <w:sz w:val="22"/>
        </w:rPr>
        <w:t>IPF yra sutrikimas, kurio metu plaučių audinys sustorėja, sustandėja ir laikui bėgant surandėja. Dėl</w:t>
      </w:r>
      <w:r w:rsidR="0027718D">
        <w:rPr>
          <w:snapToGrid w:val="0"/>
          <w:sz w:val="22"/>
        </w:rPr>
        <w:t xml:space="preserve"> </w:t>
      </w:r>
      <w:r w:rsidRPr="00A96CAC">
        <w:rPr>
          <w:snapToGrid w:val="0"/>
          <w:sz w:val="22"/>
        </w:rPr>
        <w:t>randėjimo sumažėja plaučių gebėjimas pernešti deguonį iš plaučių į kraują, todėl tampa sunku giliai</w:t>
      </w:r>
      <w:r w:rsidR="0027718D">
        <w:rPr>
          <w:snapToGrid w:val="0"/>
          <w:sz w:val="22"/>
        </w:rPr>
        <w:t xml:space="preserve"> </w:t>
      </w:r>
      <w:r w:rsidRPr="00A96CAC">
        <w:rPr>
          <w:snapToGrid w:val="0"/>
          <w:sz w:val="22"/>
        </w:rPr>
        <w:t xml:space="preserve">kvėpuoti. </w:t>
      </w:r>
      <w:r w:rsidR="0027718D">
        <w:rPr>
          <w:snapToGrid w:val="0"/>
          <w:sz w:val="22"/>
        </w:rPr>
        <w:t>Šis vaistas</w:t>
      </w:r>
      <w:r w:rsidRPr="00A96CAC">
        <w:rPr>
          <w:snapToGrid w:val="0"/>
          <w:sz w:val="22"/>
        </w:rPr>
        <w:t xml:space="preserve"> padeda sumažinti tolesnį plaučių randėjimą ir standėjimą.</w:t>
      </w:r>
    </w:p>
    <w:p w14:paraId="6B45AD99" w14:textId="77777777" w:rsidR="00467465" w:rsidRDefault="00467465" w:rsidP="00A96CAC">
      <w:pPr>
        <w:numPr>
          <w:ilvl w:val="12"/>
          <w:numId w:val="0"/>
        </w:numPr>
        <w:ind w:right="-2"/>
        <w:rPr>
          <w:snapToGrid w:val="0"/>
          <w:sz w:val="22"/>
        </w:rPr>
      </w:pPr>
    </w:p>
    <w:p w14:paraId="001A4764" w14:textId="7CDAA700" w:rsidR="00A96CAC" w:rsidRPr="00467465" w:rsidRDefault="00A96CAC" w:rsidP="00A96CAC">
      <w:pPr>
        <w:numPr>
          <w:ilvl w:val="12"/>
          <w:numId w:val="0"/>
        </w:numPr>
        <w:ind w:right="-2"/>
        <w:rPr>
          <w:snapToGrid w:val="0"/>
          <w:sz w:val="22"/>
          <w:u w:val="single"/>
        </w:rPr>
      </w:pPr>
      <w:r w:rsidRPr="00467465">
        <w:rPr>
          <w:snapToGrid w:val="0"/>
          <w:sz w:val="22"/>
          <w:u w:val="single"/>
        </w:rPr>
        <w:t>Kitos lėtinės fibrozinės progresuojančio fenotipo intersticinės plaučių ligos (IPL)</w:t>
      </w:r>
    </w:p>
    <w:p w14:paraId="1DA224EC" w14:textId="2B06A11A" w:rsidR="00B12EBC" w:rsidRPr="00A96CAC" w:rsidRDefault="00A96CAC" w:rsidP="00B12EBC">
      <w:pPr>
        <w:numPr>
          <w:ilvl w:val="12"/>
          <w:numId w:val="0"/>
        </w:numPr>
        <w:ind w:right="-2"/>
        <w:rPr>
          <w:snapToGrid w:val="0"/>
          <w:sz w:val="22"/>
        </w:rPr>
      </w:pPr>
      <w:r w:rsidRPr="00A96CAC">
        <w:rPr>
          <w:snapToGrid w:val="0"/>
          <w:sz w:val="22"/>
        </w:rPr>
        <w:t>Be IPF yra kitų sutrikimų, dėl kurių Jūsų plaučių audinys sustorėja, sustandėja ir laikui bėgant</w:t>
      </w:r>
      <w:r w:rsidR="00B12EBC">
        <w:rPr>
          <w:snapToGrid w:val="0"/>
          <w:sz w:val="22"/>
        </w:rPr>
        <w:t xml:space="preserve"> </w:t>
      </w:r>
      <w:r w:rsidRPr="00A96CAC">
        <w:rPr>
          <w:snapToGrid w:val="0"/>
          <w:sz w:val="22"/>
        </w:rPr>
        <w:t xml:space="preserve">surandėja (tai vadinama plaučių fibroze) </w:t>
      </w:r>
      <w:r w:rsidR="00B12EBC">
        <w:rPr>
          <w:snapToGrid w:val="0"/>
          <w:sz w:val="22"/>
        </w:rPr>
        <w:t>bei</w:t>
      </w:r>
      <w:r w:rsidRPr="00A96CAC">
        <w:rPr>
          <w:snapToGrid w:val="0"/>
          <w:sz w:val="22"/>
        </w:rPr>
        <w:t xml:space="preserve"> kuri</w:t>
      </w:r>
      <w:r w:rsidR="00B12EBC">
        <w:rPr>
          <w:snapToGrid w:val="0"/>
          <w:sz w:val="22"/>
        </w:rPr>
        <w:t>e</w:t>
      </w:r>
      <w:r w:rsidRPr="00A96CAC">
        <w:rPr>
          <w:snapToGrid w:val="0"/>
          <w:sz w:val="22"/>
        </w:rPr>
        <w:t xml:space="preserve"> vis </w:t>
      </w:r>
      <w:r w:rsidR="00B12EBC">
        <w:rPr>
          <w:snapToGrid w:val="0"/>
          <w:sz w:val="22"/>
        </w:rPr>
        <w:t>sunkėja</w:t>
      </w:r>
      <w:r w:rsidRPr="00A96CAC">
        <w:rPr>
          <w:snapToGrid w:val="0"/>
          <w:sz w:val="22"/>
        </w:rPr>
        <w:t xml:space="preserve"> (tai vadinama progresuojančiu</w:t>
      </w:r>
      <w:r w:rsidR="00B12EBC">
        <w:rPr>
          <w:snapToGrid w:val="0"/>
          <w:sz w:val="22"/>
        </w:rPr>
        <w:t xml:space="preserve"> </w:t>
      </w:r>
      <w:r w:rsidRPr="00A96CAC">
        <w:rPr>
          <w:snapToGrid w:val="0"/>
          <w:sz w:val="22"/>
        </w:rPr>
        <w:t xml:space="preserve">fenotipu). Tokių sutrikimų pavyzdžiai gali būti </w:t>
      </w:r>
      <w:r w:rsidR="00B12EBC" w:rsidRPr="00A96CAC">
        <w:rPr>
          <w:snapToGrid w:val="0"/>
          <w:sz w:val="22"/>
        </w:rPr>
        <w:t xml:space="preserve">padidėjusio jautrumo </w:t>
      </w:r>
      <w:r w:rsidR="00B12EBC">
        <w:rPr>
          <w:snapToGrid w:val="0"/>
          <w:sz w:val="22"/>
        </w:rPr>
        <w:t xml:space="preserve">sukeltas </w:t>
      </w:r>
      <w:r w:rsidRPr="00A96CAC">
        <w:rPr>
          <w:snapToGrid w:val="0"/>
          <w:sz w:val="22"/>
        </w:rPr>
        <w:t>pneumonitas, autoimuninė</w:t>
      </w:r>
      <w:r w:rsidR="00B12EBC">
        <w:rPr>
          <w:snapToGrid w:val="0"/>
          <w:sz w:val="22"/>
        </w:rPr>
        <w:t xml:space="preserve"> </w:t>
      </w:r>
      <w:r w:rsidRPr="00A96CAC">
        <w:rPr>
          <w:snapToGrid w:val="0"/>
          <w:sz w:val="22"/>
        </w:rPr>
        <w:t>IPL (pvz., su reumatoidiniu artritu susijusi IPL), nespecifinė idiopatinė intersticinė pneumonija, kitaip</w:t>
      </w:r>
      <w:r w:rsidR="00B12EBC">
        <w:rPr>
          <w:snapToGrid w:val="0"/>
          <w:sz w:val="22"/>
        </w:rPr>
        <w:t xml:space="preserve"> </w:t>
      </w:r>
      <w:r w:rsidRPr="00A96CAC">
        <w:rPr>
          <w:snapToGrid w:val="0"/>
          <w:sz w:val="22"/>
        </w:rPr>
        <w:t xml:space="preserve">neklasifikuojama idiopatinė intersticinė pneumonija ir kitos IPL. </w:t>
      </w:r>
      <w:r w:rsidR="00B12EBC">
        <w:rPr>
          <w:snapToGrid w:val="0"/>
          <w:sz w:val="22"/>
        </w:rPr>
        <w:t>Šis vaistas</w:t>
      </w:r>
      <w:r w:rsidR="00B12EBC" w:rsidRPr="00A96CAC">
        <w:rPr>
          <w:snapToGrid w:val="0"/>
          <w:sz w:val="22"/>
        </w:rPr>
        <w:t xml:space="preserve"> padeda sumažinti tolesnį plaučių randėjimą ir standėjimą.</w:t>
      </w:r>
    </w:p>
    <w:p w14:paraId="07897927" w14:textId="706F2EE0" w:rsidR="00467465" w:rsidRDefault="00467465" w:rsidP="00A96CAC">
      <w:pPr>
        <w:numPr>
          <w:ilvl w:val="12"/>
          <w:numId w:val="0"/>
        </w:numPr>
        <w:ind w:right="-2"/>
        <w:rPr>
          <w:snapToGrid w:val="0"/>
          <w:sz w:val="22"/>
        </w:rPr>
      </w:pPr>
    </w:p>
    <w:p w14:paraId="03A2E9A0" w14:textId="6B21B77F" w:rsidR="00A96CAC" w:rsidRPr="00467465" w:rsidRDefault="00A96CAC" w:rsidP="00A96CAC">
      <w:pPr>
        <w:numPr>
          <w:ilvl w:val="12"/>
          <w:numId w:val="0"/>
        </w:numPr>
        <w:ind w:right="-2"/>
        <w:rPr>
          <w:snapToGrid w:val="0"/>
          <w:sz w:val="22"/>
          <w:u w:val="single"/>
        </w:rPr>
      </w:pPr>
      <w:r w:rsidRPr="00467465">
        <w:rPr>
          <w:snapToGrid w:val="0"/>
          <w:sz w:val="22"/>
          <w:u w:val="single"/>
        </w:rPr>
        <w:t>Su sistemine skleroze susijusi intersticinė plaučių liga (SS-IPL)</w:t>
      </w:r>
    </w:p>
    <w:p w14:paraId="0E56FE3F" w14:textId="5BD44C5D" w:rsidR="00B12EBC" w:rsidRPr="00A96CAC" w:rsidRDefault="00A96CAC" w:rsidP="00B12EBC">
      <w:pPr>
        <w:numPr>
          <w:ilvl w:val="12"/>
          <w:numId w:val="0"/>
        </w:numPr>
        <w:ind w:right="-2"/>
        <w:rPr>
          <w:snapToGrid w:val="0"/>
          <w:sz w:val="22"/>
        </w:rPr>
      </w:pPr>
      <w:r w:rsidRPr="00A96CAC">
        <w:rPr>
          <w:snapToGrid w:val="0"/>
          <w:sz w:val="22"/>
        </w:rPr>
        <w:t>Sisteminė sklerozė (SS), dar vadinama skleroderma, yra reta lėtinė autoimuninė liga, kuri pažeidžia</w:t>
      </w:r>
      <w:r w:rsidR="00B12EBC">
        <w:rPr>
          <w:snapToGrid w:val="0"/>
          <w:sz w:val="22"/>
        </w:rPr>
        <w:t xml:space="preserve"> </w:t>
      </w:r>
      <w:r w:rsidRPr="00A96CAC">
        <w:rPr>
          <w:snapToGrid w:val="0"/>
          <w:sz w:val="22"/>
        </w:rPr>
        <w:t>jungiamąjį audinį daugelyje organizmo dalių. SS sukelia odos ir kitų vidaus organų, pvz., plaučių,</w:t>
      </w:r>
      <w:r w:rsidR="00B12EBC">
        <w:rPr>
          <w:snapToGrid w:val="0"/>
          <w:sz w:val="22"/>
        </w:rPr>
        <w:t xml:space="preserve"> </w:t>
      </w:r>
      <w:r w:rsidRPr="00A96CAC">
        <w:rPr>
          <w:snapToGrid w:val="0"/>
          <w:sz w:val="22"/>
        </w:rPr>
        <w:t>fibrozę (randėjimą ir standėjimą). Liga, kai fibrozė pažeidžia plaučius, vadinama intersticine plaučių</w:t>
      </w:r>
      <w:r w:rsidR="00B12EBC">
        <w:rPr>
          <w:snapToGrid w:val="0"/>
          <w:sz w:val="22"/>
        </w:rPr>
        <w:t xml:space="preserve"> </w:t>
      </w:r>
      <w:r w:rsidRPr="00A96CAC">
        <w:rPr>
          <w:snapToGrid w:val="0"/>
          <w:sz w:val="22"/>
        </w:rPr>
        <w:t>liga (IPL), todėl ši būklė vadinama su sistemine skleroze susijusia intersticine plaučių liga (SS-IPL).</w:t>
      </w:r>
      <w:r w:rsidR="00B12EBC">
        <w:rPr>
          <w:snapToGrid w:val="0"/>
          <w:sz w:val="22"/>
        </w:rPr>
        <w:t xml:space="preserve"> </w:t>
      </w:r>
      <w:r w:rsidRPr="00A96CAC">
        <w:rPr>
          <w:snapToGrid w:val="0"/>
          <w:sz w:val="22"/>
        </w:rPr>
        <w:t>Dėl fibrozės sumažėja plaučių gebėjimas pernešti deguonį į kraują, todėl tampa sunkiau kvėpuoti.</w:t>
      </w:r>
      <w:r w:rsidR="00B12EBC">
        <w:rPr>
          <w:snapToGrid w:val="0"/>
          <w:sz w:val="22"/>
        </w:rPr>
        <w:t xml:space="preserve"> Šis vaistas</w:t>
      </w:r>
      <w:r w:rsidR="00B12EBC" w:rsidRPr="00A96CAC">
        <w:rPr>
          <w:snapToGrid w:val="0"/>
          <w:sz w:val="22"/>
        </w:rPr>
        <w:t xml:space="preserve"> padeda sumažinti tolesnį plaučių randėjimą ir standėjimą.</w:t>
      </w:r>
    </w:p>
    <w:p w14:paraId="66AAFB6D" w14:textId="3A646FC2" w:rsidR="005D554B" w:rsidRDefault="005D554B" w:rsidP="005D554B">
      <w:pPr>
        <w:numPr>
          <w:ilvl w:val="12"/>
          <w:numId w:val="0"/>
        </w:numPr>
        <w:ind w:right="-2"/>
        <w:rPr>
          <w:snapToGrid w:val="0"/>
          <w:sz w:val="22"/>
          <w:szCs w:val="24"/>
        </w:rPr>
      </w:pPr>
    </w:p>
    <w:p w14:paraId="01638106" w14:textId="77777777" w:rsidR="00B12EBC" w:rsidRPr="00211E3B" w:rsidRDefault="00B12EBC" w:rsidP="005D554B">
      <w:pPr>
        <w:numPr>
          <w:ilvl w:val="12"/>
          <w:numId w:val="0"/>
        </w:numPr>
        <w:ind w:right="-2"/>
        <w:rPr>
          <w:snapToGrid w:val="0"/>
          <w:sz w:val="22"/>
          <w:szCs w:val="24"/>
        </w:rPr>
      </w:pPr>
    </w:p>
    <w:p w14:paraId="487C69C0" w14:textId="0C6A3CCC" w:rsidR="005D554B" w:rsidRPr="00211E3B" w:rsidRDefault="005D554B" w:rsidP="005D554B">
      <w:pPr>
        <w:keepNext/>
        <w:tabs>
          <w:tab w:val="left" w:pos="567"/>
        </w:tabs>
        <w:spacing w:line="260" w:lineRule="exact"/>
        <w:jc w:val="both"/>
        <w:outlineLvl w:val="3"/>
        <w:rPr>
          <w:b/>
          <w:bCs/>
          <w:snapToGrid w:val="0"/>
          <w:sz w:val="22"/>
          <w:szCs w:val="28"/>
          <w:lang w:eastAsia="x-none"/>
        </w:rPr>
      </w:pPr>
      <w:r w:rsidRPr="00211E3B">
        <w:rPr>
          <w:b/>
          <w:bCs/>
          <w:snapToGrid w:val="0"/>
          <w:sz w:val="22"/>
          <w:szCs w:val="28"/>
          <w:lang w:eastAsia="x-none"/>
        </w:rPr>
        <w:t>2.</w:t>
      </w:r>
      <w:r w:rsidRPr="00211E3B">
        <w:rPr>
          <w:b/>
          <w:bCs/>
          <w:snapToGrid w:val="0"/>
          <w:sz w:val="22"/>
          <w:szCs w:val="28"/>
          <w:lang w:eastAsia="x-none"/>
        </w:rPr>
        <w:tab/>
        <w:t xml:space="preserve">Kas žinotina prieš vartojant </w:t>
      </w:r>
      <w:r w:rsidR="00224B5B" w:rsidRPr="00211E3B">
        <w:rPr>
          <w:b/>
          <w:bCs/>
          <w:snapToGrid w:val="0"/>
          <w:sz w:val="22"/>
          <w:szCs w:val="28"/>
          <w:lang w:eastAsia="x-none"/>
        </w:rPr>
        <w:t>Agarf</w:t>
      </w:r>
    </w:p>
    <w:p w14:paraId="67F1CCD4" w14:textId="77777777" w:rsidR="005D554B" w:rsidRPr="00211E3B" w:rsidRDefault="005D554B" w:rsidP="005D554B">
      <w:pPr>
        <w:numPr>
          <w:ilvl w:val="12"/>
          <w:numId w:val="0"/>
        </w:numPr>
        <w:ind w:right="-2"/>
        <w:rPr>
          <w:snapToGrid w:val="0"/>
          <w:sz w:val="22"/>
          <w:szCs w:val="24"/>
        </w:rPr>
      </w:pPr>
    </w:p>
    <w:p w14:paraId="424BD84D" w14:textId="57DCD884" w:rsidR="005D554B" w:rsidRPr="00211E3B" w:rsidRDefault="00224B5B" w:rsidP="005D554B">
      <w:pPr>
        <w:keepNext/>
        <w:tabs>
          <w:tab w:val="left" w:pos="567"/>
        </w:tabs>
        <w:spacing w:line="260" w:lineRule="exact"/>
        <w:jc w:val="both"/>
        <w:outlineLvl w:val="3"/>
        <w:rPr>
          <w:b/>
          <w:bCs/>
          <w:snapToGrid w:val="0"/>
          <w:sz w:val="22"/>
          <w:szCs w:val="22"/>
          <w:lang w:eastAsia="x-none"/>
        </w:rPr>
      </w:pPr>
      <w:r w:rsidRPr="00211E3B">
        <w:rPr>
          <w:b/>
          <w:bCs/>
          <w:snapToGrid w:val="0"/>
          <w:sz w:val="22"/>
          <w:szCs w:val="22"/>
          <w:lang w:eastAsia="x-none"/>
        </w:rPr>
        <w:lastRenderedPageBreak/>
        <w:t>Agarf</w:t>
      </w:r>
      <w:r w:rsidR="005D554B" w:rsidRPr="00211E3B">
        <w:rPr>
          <w:b/>
          <w:bCs/>
          <w:snapToGrid w:val="0"/>
          <w:sz w:val="22"/>
          <w:szCs w:val="22"/>
          <w:lang w:eastAsia="x-none"/>
        </w:rPr>
        <w:t xml:space="preserve"> vartoti draudžiama</w:t>
      </w:r>
    </w:p>
    <w:p w14:paraId="6BFCF21D" w14:textId="77777777" w:rsidR="00A36CF2" w:rsidRDefault="005D554B" w:rsidP="005D554B">
      <w:pPr>
        <w:numPr>
          <w:ilvl w:val="12"/>
          <w:numId w:val="0"/>
        </w:numPr>
        <w:tabs>
          <w:tab w:val="left" w:pos="567"/>
        </w:tabs>
        <w:ind w:left="567" w:hanging="567"/>
        <w:rPr>
          <w:snapToGrid w:val="0"/>
          <w:sz w:val="22"/>
          <w:szCs w:val="24"/>
        </w:rPr>
      </w:pPr>
      <w:r w:rsidRPr="00211E3B">
        <w:rPr>
          <w:snapToGrid w:val="0"/>
          <w:sz w:val="22"/>
          <w:szCs w:val="24"/>
        </w:rPr>
        <w:t>-</w:t>
      </w:r>
      <w:r w:rsidRPr="00211E3B">
        <w:rPr>
          <w:snapToGrid w:val="0"/>
          <w:sz w:val="22"/>
          <w:szCs w:val="24"/>
        </w:rPr>
        <w:tab/>
        <w:t xml:space="preserve">jeigu yra alergija </w:t>
      </w:r>
      <w:r w:rsidR="005F0B0B" w:rsidRPr="00211E3B">
        <w:rPr>
          <w:snapToGrid w:val="0"/>
          <w:sz w:val="22"/>
          <w:szCs w:val="24"/>
        </w:rPr>
        <w:t xml:space="preserve">nintedanibui </w:t>
      </w:r>
      <w:r w:rsidRPr="00211E3B">
        <w:rPr>
          <w:snapToGrid w:val="0"/>
          <w:sz w:val="22"/>
          <w:szCs w:val="24"/>
        </w:rPr>
        <w:t>arba bet kuriai pagalbinei šio vaisto medžiagai (jos išvardytos 6</w:t>
      </w:r>
      <w:r w:rsidR="005F0B0B" w:rsidRPr="00211E3B">
        <w:rPr>
          <w:snapToGrid w:val="0"/>
          <w:sz w:val="22"/>
          <w:szCs w:val="24"/>
        </w:rPr>
        <w:t> </w:t>
      </w:r>
      <w:r w:rsidRPr="00211E3B">
        <w:rPr>
          <w:snapToGrid w:val="0"/>
          <w:sz w:val="22"/>
          <w:szCs w:val="24"/>
        </w:rPr>
        <w:t>skyriuje)</w:t>
      </w:r>
      <w:r w:rsidR="00A36CF2">
        <w:rPr>
          <w:snapToGrid w:val="0"/>
          <w:sz w:val="22"/>
          <w:szCs w:val="24"/>
        </w:rPr>
        <w:t>;</w:t>
      </w:r>
    </w:p>
    <w:p w14:paraId="72B5E267" w14:textId="428D6202" w:rsidR="005D554B" w:rsidRPr="00211E3B" w:rsidRDefault="00A36CF2" w:rsidP="005D554B">
      <w:pPr>
        <w:numPr>
          <w:ilvl w:val="12"/>
          <w:numId w:val="0"/>
        </w:numPr>
        <w:tabs>
          <w:tab w:val="left" w:pos="567"/>
        </w:tabs>
        <w:ind w:left="567" w:hanging="567"/>
        <w:rPr>
          <w:snapToGrid w:val="0"/>
          <w:sz w:val="22"/>
          <w:szCs w:val="24"/>
        </w:rPr>
      </w:pPr>
      <w:r>
        <w:rPr>
          <w:snapToGrid w:val="0"/>
          <w:sz w:val="22"/>
          <w:szCs w:val="24"/>
        </w:rPr>
        <w:t>-</w:t>
      </w:r>
      <w:r>
        <w:rPr>
          <w:snapToGrid w:val="0"/>
          <w:sz w:val="22"/>
          <w:szCs w:val="24"/>
        </w:rPr>
        <w:tab/>
        <w:t>jeigu esate nėščia</w:t>
      </w:r>
      <w:r w:rsidR="005D554B" w:rsidRPr="00211E3B">
        <w:rPr>
          <w:snapToGrid w:val="0"/>
          <w:sz w:val="22"/>
          <w:szCs w:val="24"/>
        </w:rPr>
        <w:t>.</w:t>
      </w:r>
    </w:p>
    <w:p w14:paraId="46BB80DB" w14:textId="77777777" w:rsidR="005D554B" w:rsidRPr="00211E3B" w:rsidRDefault="005D554B" w:rsidP="005D554B">
      <w:pPr>
        <w:numPr>
          <w:ilvl w:val="12"/>
          <w:numId w:val="0"/>
        </w:numPr>
        <w:ind w:right="-2"/>
        <w:rPr>
          <w:snapToGrid w:val="0"/>
          <w:sz w:val="22"/>
          <w:szCs w:val="24"/>
        </w:rPr>
      </w:pPr>
    </w:p>
    <w:p w14:paraId="224B19B7" w14:textId="77777777" w:rsidR="005D554B" w:rsidRPr="00211E3B" w:rsidRDefault="005D554B" w:rsidP="005D554B">
      <w:pPr>
        <w:keepNext/>
        <w:tabs>
          <w:tab w:val="left" w:pos="567"/>
        </w:tabs>
        <w:spacing w:line="260" w:lineRule="exact"/>
        <w:jc w:val="both"/>
        <w:outlineLvl w:val="3"/>
        <w:rPr>
          <w:b/>
          <w:bCs/>
          <w:snapToGrid w:val="0"/>
          <w:sz w:val="22"/>
          <w:szCs w:val="28"/>
          <w:lang w:eastAsia="x-none"/>
        </w:rPr>
      </w:pPr>
      <w:r w:rsidRPr="00211E3B">
        <w:rPr>
          <w:b/>
          <w:bCs/>
          <w:snapToGrid w:val="0"/>
          <w:sz w:val="22"/>
          <w:szCs w:val="28"/>
          <w:lang w:eastAsia="x-none"/>
        </w:rPr>
        <w:t xml:space="preserve">Įspėjimai ir atsargumo priemonės </w:t>
      </w:r>
    </w:p>
    <w:p w14:paraId="36265840" w14:textId="0A3A73F8" w:rsidR="005D554B" w:rsidRPr="00211E3B" w:rsidRDefault="005D554B" w:rsidP="005D554B">
      <w:pPr>
        <w:numPr>
          <w:ilvl w:val="12"/>
          <w:numId w:val="0"/>
        </w:numPr>
        <w:ind w:right="-2"/>
        <w:rPr>
          <w:snapToGrid w:val="0"/>
          <w:sz w:val="22"/>
          <w:szCs w:val="24"/>
        </w:rPr>
      </w:pPr>
      <w:r w:rsidRPr="00211E3B">
        <w:rPr>
          <w:snapToGrid w:val="0"/>
          <w:sz w:val="22"/>
          <w:szCs w:val="24"/>
        </w:rPr>
        <w:t>Pasitarkite su gydytoju arba</w:t>
      </w:r>
      <w:r w:rsidR="0014133D" w:rsidRPr="00211E3B">
        <w:rPr>
          <w:snapToGrid w:val="0"/>
          <w:sz w:val="22"/>
          <w:szCs w:val="24"/>
        </w:rPr>
        <w:t xml:space="preserve"> </w:t>
      </w:r>
      <w:r w:rsidRPr="00211E3B">
        <w:rPr>
          <w:snapToGrid w:val="0"/>
          <w:sz w:val="22"/>
          <w:szCs w:val="24"/>
        </w:rPr>
        <w:t xml:space="preserve">vaistininku, prieš pradėdami vartoti </w:t>
      </w:r>
      <w:r w:rsidR="00003F27">
        <w:rPr>
          <w:snapToGrid w:val="0"/>
          <w:sz w:val="22"/>
          <w:szCs w:val="24"/>
        </w:rPr>
        <w:t>Agarf</w:t>
      </w:r>
      <w:r w:rsidR="0014133D" w:rsidRPr="00211E3B">
        <w:rPr>
          <w:snapToGrid w:val="0"/>
          <w:sz w:val="22"/>
          <w:szCs w:val="24"/>
        </w:rPr>
        <w:t>:</w:t>
      </w:r>
    </w:p>
    <w:p w14:paraId="053C761F" w14:textId="26F55DDA" w:rsidR="0014133D" w:rsidRPr="00211E3B" w:rsidRDefault="0014133D" w:rsidP="0014133D">
      <w:pPr>
        <w:pStyle w:val="Sraopastraipa"/>
        <w:numPr>
          <w:ilvl w:val="0"/>
          <w:numId w:val="6"/>
        </w:numPr>
        <w:ind w:left="567" w:right="-2" w:hanging="567"/>
        <w:rPr>
          <w:snapToGrid w:val="0"/>
          <w:sz w:val="22"/>
          <w:szCs w:val="24"/>
        </w:rPr>
      </w:pPr>
      <w:r w:rsidRPr="00211E3B">
        <w:rPr>
          <w:snapToGrid w:val="0"/>
          <w:sz w:val="22"/>
          <w:szCs w:val="24"/>
        </w:rPr>
        <w:t>jeigu sergate arba sirgote kepenų liga;</w:t>
      </w:r>
    </w:p>
    <w:p w14:paraId="4B36F830" w14:textId="74DEE712" w:rsidR="0014133D" w:rsidRDefault="0014133D" w:rsidP="00256DA0">
      <w:pPr>
        <w:pStyle w:val="Sraopastraipa"/>
        <w:numPr>
          <w:ilvl w:val="0"/>
          <w:numId w:val="6"/>
        </w:numPr>
        <w:ind w:left="567" w:right="-2" w:hanging="567"/>
        <w:rPr>
          <w:snapToGrid w:val="0"/>
          <w:sz w:val="22"/>
          <w:szCs w:val="24"/>
        </w:rPr>
      </w:pPr>
      <w:r w:rsidRPr="00211E3B">
        <w:rPr>
          <w:snapToGrid w:val="0"/>
          <w:sz w:val="22"/>
          <w:szCs w:val="24"/>
        </w:rPr>
        <w:t>jeigu sergate arba sirgote inkstų liga arba jeigu Jūsų šlapime buvo nustatytas padidėjęs baltymų kiekis;</w:t>
      </w:r>
    </w:p>
    <w:p w14:paraId="5A31B1A0" w14:textId="792115FE" w:rsidR="00003F27" w:rsidRPr="00211E3B" w:rsidRDefault="00003F27" w:rsidP="00256DA0">
      <w:pPr>
        <w:pStyle w:val="Sraopastraipa"/>
        <w:numPr>
          <w:ilvl w:val="0"/>
          <w:numId w:val="6"/>
        </w:numPr>
        <w:ind w:left="567" w:right="-2" w:hanging="567"/>
        <w:rPr>
          <w:snapToGrid w:val="0"/>
          <w:sz w:val="22"/>
          <w:szCs w:val="24"/>
        </w:rPr>
      </w:pPr>
      <w:r>
        <w:rPr>
          <w:snapToGrid w:val="0"/>
          <w:sz w:val="22"/>
          <w:szCs w:val="24"/>
        </w:rPr>
        <w:t xml:space="preserve">jeigu </w:t>
      </w:r>
      <w:r w:rsidRPr="00211E3B">
        <w:rPr>
          <w:snapToGrid w:val="0"/>
          <w:sz w:val="22"/>
          <w:szCs w:val="24"/>
        </w:rPr>
        <w:t>yra ar buvo kraujavimo sutrikimų</w:t>
      </w:r>
      <w:r>
        <w:rPr>
          <w:snapToGrid w:val="0"/>
          <w:sz w:val="22"/>
          <w:szCs w:val="24"/>
        </w:rPr>
        <w:t>;</w:t>
      </w:r>
    </w:p>
    <w:p w14:paraId="640B4687" w14:textId="1A47CF97" w:rsidR="0014133D" w:rsidRPr="00211E3B" w:rsidRDefault="0014133D" w:rsidP="00256DA0">
      <w:pPr>
        <w:pStyle w:val="Sraopastraipa"/>
        <w:numPr>
          <w:ilvl w:val="0"/>
          <w:numId w:val="6"/>
        </w:numPr>
        <w:ind w:left="567" w:right="-2" w:hanging="567"/>
        <w:rPr>
          <w:snapToGrid w:val="0"/>
          <w:sz w:val="22"/>
          <w:szCs w:val="24"/>
        </w:rPr>
      </w:pPr>
      <w:r w:rsidRPr="00211E3B">
        <w:rPr>
          <w:snapToGrid w:val="0"/>
          <w:sz w:val="22"/>
          <w:szCs w:val="24"/>
        </w:rPr>
        <w:t>jeigu vartojate kraują skystinančių vaistų (pvz., varfarino, fenprokumono</w:t>
      </w:r>
      <w:r w:rsidR="00003F27">
        <w:rPr>
          <w:snapToGrid w:val="0"/>
          <w:sz w:val="22"/>
          <w:szCs w:val="24"/>
        </w:rPr>
        <w:t xml:space="preserve"> ar</w:t>
      </w:r>
      <w:r w:rsidRPr="00211E3B">
        <w:rPr>
          <w:snapToGrid w:val="0"/>
          <w:sz w:val="22"/>
          <w:szCs w:val="24"/>
        </w:rPr>
        <w:t xml:space="preserve"> heparino) kraujo krešėjimui slopinti;</w:t>
      </w:r>
    </w:p>
    <w:p w14:paraId="67AB65B4" w14:textId="2E790F38" w:rsidR="00003F27" w:rsidRPr="00003F27" w:rsidRDefault="00003F27" w:rsidP="00003F27">
      <w:pPr>
        <w:pStyle w:val="Sraopastraipa"/>
        <w:numPr>
          <w:ilvl w:val="0"/>
          <w:numId w:val="6"/>
        </w:numPr>
        <w:ind w:left="567" w:right="-2" w:hanging="567"/>
        <w:rPr>
          <w:snapToGrid w:val="0"/>
          <w:sz w:val="22"/>
          <w:szCs w:val="24"/>
        </w:rPr>
      </w:pPr>
      <w:r w:rsidRPr="00003F27">
        <w:rPr>
          <w:snapToGrid w:val="0"/>
          <w:sz w:val="22"/>
          <w:szCs w:val="24"/>
        </w:rPr>
        <w:t>jeigu vartojate pirfenidoną, nes gali padidėti viduriavimo, pykinimo, vėmimo ir kepenų sutrikimų rizika;</w:t>
      </w:r>
    </w:p>
    <w:p w14:paraId="49AA42F5" w14:textId="74B8F136" w:rsidR="00003F27" w:rsidRDefault="00003F27" w:rsidP="00003F27">
      <w:pPr>
        <w:pStyle w:val="Sraopastraipa"/>
        <w:numPr>
          <w:ilvl w:val="0"/>
          <w:numId w:val="6"/>
        </w:numPr>
        <w:ind w:left="567" w:right="-2" w:hanging="567"/>
        <w:rPr>
          <w:snapToGrid w:val="0"/>
          <w:sz w:val="22"/>
          <w:szCs w:val="24"/>
        </w:rPr>
      </w:pPr>
      <w:r w:rsidRPr="00003F27">
        <w:rPr>
          <w:snapToGrid w:val="0"/>
          <w:sz w:val="22"/>
          <w:szCs w:val="24"/>
        </w:rPr>
        <w:t>jeigu yra arba buvo širdies sutrikimų (pvz., širdies priepuolis)</w:t>
      </w:r>
      <w:r>
        <w:rPr>
          <w:snapToGrid w:val="0"/>
          <w:sz w:val="22"/>
          <w:szCs w:val="24"/>
        </w:rPr>
        <w:t>;</w:t>
      </w:r>
    </w:p>
    <w:p w14:paraId="1FE218D0" w14:textId="6BEDFBBD" w:rsidR="0014133D" w:rsidRPr="00211E3B" w:rsidRDefault="0014133D" w:rsidP="00003F27">
      <w:pPr>
        <w:pStyle w:val="Sraopastraipa"/>
        <w:numPr>
          <w:ilvl w:val="0"/>
          <w:numId w:val="6"/>
        </w:numPr>
        <w:ind w:left="567" w:right="-2" w:hanging="567"/>
        <w:rPr>
          <w:snapToGrid w:val="0"/>
          <w:sz w:val="22"/>
          <w:szCs w:val="24"/>
        </w:rPr>
      </w:pPr>
      <w:r w:rsidRPr="00211E3B">
        <w:rPr>
          <w:snapToGrid w:val="0"/>
          <w:sz w:val="22"/>
          <w:szCs w:val="24"/>
        </w:rPr>
        <w:t xml:space="preserve">jeigu neseniai buvo atlikta operacija. Nintedanibas gali veikti žaizdos gijimą. Dėl to, jei Jums atliekama operacija, gydymas </w:t>
      </w:r>
      <w:r w:rsidR="00003F27">
        <w:rPr>
          <w:snapToGrid w:val="0"/>
          <w:sz w:val="22"/>
          <w:szCs w:val="24"/>
        </w:rPr>
        <w:t>šiuo vaistu</w:t>
      </w:r>
      <w:r w:rsidRPr="00211E3B">
        <w:rPr>
          <w:snapToGrid w:val="0"/>
          <w:sz w:val="22"/>
          <w:szCs w:val="24"/>
        </w:rPr>
        <w:t xml:space="preserve"> paprastai </w:t>
      </w:r>
      <w:r w:rsidR="00003F27">
        <w:rPr>
          <w:snapToGrid w:val="0"/>
          <w:sz w:val="22"/>
          <w:szCs w:val="24"/>
        </w:rPr>
        <w:t xml:space="preserve">tam tikram laikotarpiui yra </w:t>
      </w:r>
      <w:r w:rsidRPr="00211E3B">
        <w:rPr>
          <w:snapToGrid w:val="0"/>
          <w:sz w:val="22"/>
          <w:szCs w:val="24"/>
        </w:rPr>
        <w:t>sustabdomas. Jūsų gydytojas nuspręs, kada gydymą šiuo vaistu galima atnaujinti;</w:t>
      </w:r>
    </w:p>
    <w:p w14:paraId="5DE9F78A" w14:textId="2D5AEF87" w:rsidR="0014133D" w:rsidRPr="00211E3B" w:rsidRDefault="0014133D" w:rsidP="0014133D">
      <w:pPr>
        <w:pStyle w:val="Sraopastraipa"/>
        <w:numPr>
          <w:ilvl w:val="0"/>
          <w:numId w:val="6"/>
        </w:numPr>
        <w:ind w:left="567" w:right="-2" w:hanging="567"/>
        <w:rPr>
          <w:snapToGrid w:val="0"/>
          <w:sz w:val="22"/>
          <w:szCs w:val="24"/>
        </w:rPr>
      </w:pPr>
      <w:r w:rsidRPr="00211E3B">
        <w:rPr>
          <w:snapToGrid w:val="0"/>
          <w:sz w:val="22"/>
          <w:szCs w:val="24"/>
        </w:rPr>
        <w:t xml:space="preserve">jeigu yra </w:t>
      </w:r>
      <w:r w:rsidR="00003F27">
        <w:rPr>
          <w:snapToGrid w:val="0"/>
          <w:sz w:val="22"/>
          <w:szCs w:val="24"/>
        </w:rPr>
        <w:t>didelis</w:t>
      </w:r>
      <w:r w:rsidRPr="00211E3B">
        <w:rPr>
          <w:snapToGrid w:val="0"/>
          <w:sz w:val="22"/>
          <w:szCs w:val="24"/>
        </w:rPr>
        <w:t xml:space="preserve"> kraujospūdis;</w:t>
      </w:r>
    </w:p>
    <w:p w14:paraId="0FCCB6F4" w14:textId="3B935F45" w:rsidR="00003F27" w:rsidRDefault="00003F27" w:rsidP="00256DA0">
      <w:pPr>
        <w:pStyle w:val="Sraopastraipa"/>
        <w:numPr>
          <w:ilvl w:val="0"/>
          <w:numId w:val="6"/>
        </w:numPr>
        <w:ind w:left="567" w:right="-2" w:hanging="567"/>
        <w:rPr>
          <w:snapToGrid w:val="0"/>
          <w:sz w:val="22"/>
          <w:szCs w:val="24"/>
        </w:rPr>
      </w:pPr>
      <w:r w:rsidRPr="00003F27">
        <w:rPr>
          <w:snapToGrid w:val="0"/>
          <w:sz w:val="22"/>
          <w:szCs w:val="24"/>
        </w:rPr>
        <w:t>jeigu Jūsų plaučių kraujagyslėse yra nenormaliai didelis kraujospūdis (plaučių hipertenzija)</w:t>
      </w:r>
      <w:r>
        <w:rPr>
          <w:snapToGrid w:val="0"/>
          <w:sz w:val="22"/>
          <w:szCs w:val="24"/>
        </w:rPr>
        <w:t>;</w:t>
      </w:r>
    </w:p>
    <w:p w14:paraId="3263D186" w14:textId="07BD9A14" w:rsidR="0014133D" w:rsidRPr="00211E3B" w:rsidRDefault="0014133D" w:rsidP="00256DA0">
      <w:pPr>
        <w:pStyle w:val="Sraopastraipa"/>
        <w:numPr>
          <w:ilvl w:val="0"/>
          <w:numId w:val="6"/>
        </w:numPr>
        <w:ind w:left="567" w:right="-2" w:hanging="567"/>
        <w:rPr>
          <w:snapToGrid w:val="0"/>
          <w:sz w:val="22"/>
          <w:szCs w:val="24"/>
        </w:rPr>
      </w:pPr>
      <w:r w:rsidRPr="00211E3B">
        <w:rPr>
          <w:snapToGrid w:val="0"/>
          <w:sz w:val="22"/>
          <w:szCs w:val="24"/>
        </w:rPr>
        <w:t>jeigu šiuo metu arba praeityje buvo diagnozuota aneurizma (kraujagyslės sienelės išsipūtimas ir susilpnėjimas) arba kraujagyslės sienelės įplyšimas.</w:t>
      </w:r>
    </w:p>
    <w:p w14:paraId="240D0704" w14:textId="77777777" w:rsidR="0014133D" w:rsidRPr="00211E3B" w:rsidRDefault="0014133D" w:rsidP="0014133D">
      <w:pPr>
        <w:numPr>
          <w:ilvl w:val="12"/>
          <w:numId w:val="0"/>
        </w:numPr>
        <w:ind w:right="-2"/>
        <w:rPr>
          <w:snapToGrid w:val="0"/>
          <w:sz w:val="22"/>
          <w:szCs w:val="24"/>
        </w:rPr>
      </w:pPr>
    </w:p>
    <w:p w14:paraId="3A69E26A" w14:textId="43419C63" w:rsidR="0014133D" w:rsidRPr="00211E3B" w:rsidRDefault="0014133D" w:rsidP="0014133D">
      <w:pPr>
        <w:numPr>
          <w:ilvl w:val="12"/>
          <w:numId w:val="0"/>
        </w:numPr>
        <w:ind w:right="-2"/>
        <w:rPr>
          <w:snapToGrid w:val="0"/>
          <w:sz w:val="22"/>
          <w:szCs w:val="24"/>
        </w:rPr>
      </w:pPr>
      <w:r w:rsidRPr="00211E3B">
        <w:rPr>
          <w:snapToGrid w:val="0"/>
          <w:sz w:val="22"/>
          <w:szCs w:val="24"/>
        </w:rPr>
        <w:t xml:space="preserve">Remdamasis šia informacija, gydytojas gali atlikti tam tikrus kraujo tyrimus, pavyzdžiui, patikrinti Jūsų kepenų funkciją. Šių tyrimų rezultatus gydytojas aptars su Jumis ir nuspręs, ar galima skirti </w:t>
      </w:r>
      <w:r w:rsidR="00557F7B">
        <w:rPr>
          <w:snapToGrid w:val="0"/>
          <w:sz w:val="22"/>
          <w:szCs w:val="24"/>
        </w:rPr>
        <w:t>Agarf</w:t>
      </w:r>
      <w:r w:rsidRPr="00211E3B">
        <w:rPr>
          <w:snapToGrid w:val="0"/>
          <w:sz w:val="22"/>
          <w:szCs w:val="24"/>
        </w:rPr>
        <w:t>.</w:t>
      </w:r>
    </w:p>
    <w:p w14:paraId="502AB24A" w14:textId="77777777" w:rsidR="0014133D" w:rsidRPr="00211E3B" w:rsidRDefault="0014133D" w:rsidP="0014133D">
      <w:pPr>
        <w:numPr>
          <w:ilvl w:val="12"/>
          <w:numId w:val="0"/>
        </w:numPr>
        <w:ind w:right="-2"/>
        <w:rPr>
          <w:snapToGrid w:val="0"/>
          <w:sz w:val="22"/>
          <w:szCs w:val="24"/>
        </w:rPr>
      </w:pPr>
    </w:p>
    <w:p w14:paraId="0B1FC318" w14:textId="789D1EEF" w:rsidR="0014133D" w:rsidRPr="00211E3B" w:rsidRDefault="0014133D" w:rsidP="0014133D">
      <w:pPr>
        <w:numPr>
          <w:ilvl w:val="12"/>
          <w:numId w:val="0"/>
        </w:numPr>
        <w:ind w:right="-2"/>
        <w:rPr>
          <w:snapToGrid w:val="0"/>
          <w:sz w:val="22"/>
          <w:szCs w:val="24"/>
        </w:rPr>
      </w:pPr>
      <w:r w:rsidRPr="00211E3B">
        <w:rPr>
          <w:snapToGrid w:val="0"/>
          <w:sz w:val="22"/>
          <w:szCs w:val="24"/>
        </w:rPr>
        <w:t>Vartodami šį vaistą</w:t>
      </w:r>
      <w:r w:rsidR="006242D1" w:rsidRPr="00211E3B">
        <w:rPr>
          <w:snapToGrid w:val="0"/>
          <w:sz w:val="22"/>
          <w:szCs w:val="24"/>
        </w:rPr>
        <w:t>,</w:t>
      </w:r>
      <w:r w:rsidRPr="00211E3B">
        <w:rPr>
          <w:snapToGrid w:val="0"/>
          <w:sz w:val="22"/>
          <w:szCs w:val="24"/>
        </w:rPr>
        <w:t xml:space="preserve"> nedelsdami praneškite savo gydytojui</w:t>
      </w:r>
      <w:r w:rsidR="006242D1" w:rsidRPr="00211E3B">
        <w:rPr>
          <w:snapToGrid w:val="0"/>
          <w:sz w:val="22"/>
          <w:szCs w:val="24"/>
        </w:rPr>
        <w:t>, jeigu</w:t>
      </w:r>
      <w:r w:rsidRPr="00211E3B">
        <w:rPr>
          <w:snapToGrid w:val="0"/>
          <w:sz w:val="22"/>
          <w:szCs w:val="24"/>
        </w:rPr>
        <w:t>:</w:t>
      </w:r>
    </w:p>
    <w:p w14:paraId="07CA3FDB" w14:textId="1CE746B9" w:rsidR="0014133D" w:rsidRPr="00211E3B" w:rsidRDefault="0014133D" w:rsidP="00256DA0">
      <w:pPr>
        <w:pStyle w:val="Sraopastraipa"/>
        <w:numPr>
          <w:ilvl w:val="0"/>
          <w:numId w:val="7"/>
        </w:numPr>
        <w:ind w:left="567" w:right="-2" w:hanging="567"/>
        <w:rPr>
          <w:snapToGrid w:val="0"/>
          <w:sz w:val="22"/>
          <w:szCs w:val="24"/>
        </w:rPr>
      </w:pPr>
      <w:r w:rsidRPr="00211E3B">
        <w:rPr>
          <w:snapToGrid w:val="0"/>
          <w:sz w:val="22"/>
          <w:szCs w:val="24"/>
        </w:rPr>
        <w:t>pradėjote viduriuoti. Viduriavimą svarbu pradėti gydyti</w:t>
      </w:r>
      <w:r w:rsidR="00254617">
        <w:rPr>
          <w:snapToGrid w:val="0"/>
          <w:sz w:val="22"/>
          <w:szCs w:val="24"/>
        </w:rPr>
        <w:t xml:space="preserve"> anksti</w:t>
      </w:r>
      <w:r w:rsidRPr="00211E3B">
        <w:rPr>
          <w:snapToGrid w:val="0"/>
          <w:sz w:val="22"/>
          <w:szCs w:val="24"/>
        </w:rPr>
        <w:t xml:space="preserve"> (žr.</w:t>
      </w:r>
      <w:r w:rsidR="006242D1" w:rsidRPr="00211E3B">
        <w:rPr>
          <w:snapToGrid w:val="0"/>
          <w:sz w:val="22"/>
          <w:szCs w:val="24"/>
        </w:rPr>
        <w:t xml:space="preserve"> </w:t>
      </w:r>
      <w:r w:rsidRPr="00211E3B">
        <w:rPr>
          <w:snapToGrid w:val="0"/>
          <w:sz w:val="22"/>
          <w:szCs w:val="24"/>
        </w:rPr>
        <w:t>4</w:t>
      </w:r>
      <w:r w:rsidR="006242D1" w:rsidRPr="00211E3B">
        <w:rPr>
          <w:snapToGrid w:val="0"/>
          <w:sz w:val="22"/>
          <w:szCs w:val="24"/>
        </w:rPr>
        <w:t> </w:t>
      </w:r>
      <w:r w:rsidRPr="00211E3B">
        <w:rPr>
          <w:snapToGrid w:val="0"/>
          <w:sz w:val="22"/>
          <w:szCs w:val="24"/>
        </w:rPr>
        <w:t>skyrių);</w:t>
      </w:r>
    </w:p>
    <w:p w14:paraId="75006F39" w14:textId="7F36B23B" w:rsidR="0014133D" w:rsidRPr="00211E3B" w:rsidRDefault="006242D1" w:rsidP="006242D1">
      <w:pPr>
        <w:pStyle w:val="Sraopastraipa"/>
        <w:numPr>
          <w:ilvl w:val="0"/>
          <w:numId w:val="7"/>
        </w:numPr>
        <w:ind w:left="567" w:right="-2" w:hanging="567"/>
        <w:rPr>
          <w:snapToGrid w:val="0"/>
          <w:sz w:val="22"/>
          <w:szCs w:val="24"/>
        </w:rPr>
      </w:pPr>
      <w:r w:rsidRPr="00211E3B">
        <w:rPr>
          <w:snapToGrid w:val="0"/>
          <w:sz w:val="22"/>
          <w:szCs w:val="24"/>
        </w:rPr>
        <w:t>pradėjote vemti</w:t>
      </w:r>
      <w:r w:rsidR="0014133D" w:rsidRPr="00211E3B">
        <w:rPr>
          <w:snapToGrid w:val="0"/>
          <w:sz w:val="22"/>
          <w:szCs w:val="24"/>
        </w:rPr>
        <w:t xml:space="preserve"> ar</w:t>
      </w:r>
      <w:r w:rsidRPr="00211E3B">
        <w:rPr>
          <w:snapToGrid w:val="0"/>
          <w:sz w:val="22"/>
          <w:szCs w:val="24"/>
        </w:rPr>
        <w:t>ba</w:t>
      </w:r>
      <w:r w:rsidR="0014133D" w:rsidRPr="00211E3B">
        <w:rPr>
          <w:snapToGrid w:val="0"/>
          <w:sz w:val="22"/>
          <w:szCs w:val="24"/>
        </w:rPr>
        <w:t xml:space="preserve"> Jus pykina</w:t>
      </w:r>
      <w:r w:rsidRPr="00211E3B">
        <w:rPr>
          <w:snapToGrid w:val="0"/>
          <w:sz w:val="22"/>
          <w:szCs w:val="24"/>
        </w:rPr>
        <w:t xml:space="preserve"> (jaučiate šleikštulį)</w:t>
      </w:r>
      <w:r w:rsidR="0014133D" w:rsidRPr="00211E3B">
        <w:rPr>
          <w:snapToGrid w:val="0"/>
          <w:sz w:val="22"/>
          <w:szCs w:val="24"/>
        </w:rPr>
        <w:t>;</w:t>
      </w:r>
    </w:p>
    <w:p w14:paraId="06027441" w14:textId="5B0B628D" w:rsidR="0014133D" w:rsidRPr="00211E3B" w:rsidRDefault="0014133D" w:rsidP="00256DA0">
      <w:pPr>
        <w:pStyle w:val="Sraopastraipa"/>
        <w:numPr>
          <w:ilvl w:val="0"/>
          <w:numId w:val="7"/>
        </w:numPr>
        <w:ind w:left="567" w:right="-2" w:hanging="567"/>
        <w:rPr>
          <w:snapToGrid w:val="0"/>
          <w:sz w:val="22"/>
          <w:szCs w:val="24"/>
        </w:rPr>
      </w:pPr>
      <w:r w:rsidRPr="00211E3B">
        <w:rPr>
          <w:snapToGrid w:val="0"/>
          <w:sz w:val="22"/>
          <w:szCs w:val="24"/>
        </w:rPr>
        <w:t>atsirado nepaaiškinamų simptomų, pvz., pagelto oda arba akių baltymai (gelta), šlapimas patamsėjo arba tapo rudas (</w:t>
      </w:r>
      <w:r w:rsidR="006242D1" w:rsidRPr="00211E3B">
        <w:rPr>
          <w:snapToGrid w:val="0"/>
          <w:sz w:val="22"/>
          <w:szCs w:val="24"/>
        </w:rPr>
        <w:t>arbatos spalvos</w:t>
      </w:r>
      <w:r w:rsidRPr="00211E3B">
        <w:rPr>
          <w:snapToGrid w:val="0"/>
          <w:sz w:val="22"/>
          <w:szCs w:val="24"/>
        </w:rPr>
        <w:t>), skauda viršutinę dešinę pilvo sritį (pilvą),</w:t>
      </w:r>
      <w:r w:rsidR="006242D1" w:rsidRPr="00211E3B">
        <w:rPr>
          <w:snapToGrid w:val="0"/>
          <w:sz w:val="22"/>
          <w:szCs w:val="24"/>
        </w:rPr>
        <w:t xml:space="preserve"> </w:t>
      </w:r>
      <w:r w:rsidRPr="00211E3B">
        <w:rPr>
          <w:snapToGrid w:val="0"/>
          <w:sz w:val="22"/>
          <w:szCs w:val="24"/>
        </w:rPr>
        <w:t xml:space="preserve">lengviau nei įprastai </w:t>
      </w:r>
      <w:r w:rsidR="006242D1" w:rsidRPr="00211E3B">
        <w:rPr>
          <w:snapToGrid w:val="0"/>
          <w:sz w:val="22"/>
          <w:szCs w:val="24"/>
        </w:rPr>
        <w:t>pradedate</w:t>
      </w:r>
      <w:r w:rsidRPr="00211E3B">
        <w:rPr>
          <w:snapToGrid w:val="0"/>
          <w:sz w:val="22"/>
          <w:szCs w:val="24"/>
        </w:rPr>
        <w:t xml:space="preserve"> kraujuoti ar atsiranda mėlynių arba jaučiate nuovargį. Tai gali būti</w:t>
      </w:r>
      <w:r w:rsidR="006242D1" w:rsidRPr="00211E3B">
        <w:rPr>
          <w:snapToGrid w:val="0"/>
          <w:sz w:val="22"/>
          <w:szCs w:val="24"/>
        </w:rPr>
        <w:t xml:space="preserve"> </w:t>
      </w:r>
      <w:r w:rsidRPr="00211E3B">
        <w:rPr>
          <w:snapToGrid w:val="0"/>
          <w:sz w:val="22"/>
          <w:szCs w:val="24"/>
        </w:rPr>
        <w:t>sunkių kepenų veiklos sutrikimų simptomai;</w:t>
      </w:r>
    </w:p>
    <w:p w14:paraId="15C5808F" w14:textId="420D1829" w:rsidR="0014133D" w:rsidRPr="006C3534" w:rsidRDefault="0014133D" w:rsidP="006C3534">
      <w:pPr>
        <w:pStyle w:val="Sraopastraipa"/>
        <w:numPr>
          <w:ilvl w:val="0"/>
          <w:numId w:val="7"/>
        </w:numPr>
        <w:ind w:left="567" w:right="-2" w:hanging="567"/>
        <w:rPr>
          <w:snapToGrid w:val="0"/>
          <w:sz w:val="22"/>
          <w:szCs w:val="24"/>
        </w:rPr>
      </w:pPr>
      <w:r w:rsidRPr="006C3534">
        <w:rPr>
          <w:snapToGrid w:val="0"/>
          <w:sz w:val="22"/>
          <w:szCs w:val="24"/>
        </w:rPr>
        <w:t>stipr</w:t>
      </w:r>
      <w:r w:rsidR="006242D1" w:rsidRPr="006C3534">
        <w:rPr>
          <w:snapToGrid w:val="0"/>
          <w:sz w:val="22"/>
          <w:szCs w:val="24"/>
        </w:rPr>
        <w:t xml:space="preserve">iai skauda </w:t>
      </w:r>
      <w:r w:rsidRPr="006C3534">
        <w:rPr>
          <w:snapToGrid w:val="0"/>
          <w:sz w:val="22"/>
          <w:szCs w:val="24"/>
        </w:rPr>
        <w:t>skrandžio plot</w:t>
      </w:r>
      <w:r w:rsidR="006242D1" w:rsidRPr="006C3534">
        <w:rPr>
          <w:snapToGrid w:val="0"/>
          <w:sz w:val="22"/>
          <w:szCs w:val="24"/>
        </w:rPr>
        <w:t>e</w:t>
      </w:r>
      <w:r w:rsidRPr="006C3534">
        <w:rPr>
          <w:snapToGrid w:val="0"/>
          <w:sz w:val="22"/>
          <w:szCs w:val="24"/>
        </w:rPr>
        <w:t xml:space="preserve">, </w:t>
      </w:r>
      <w:r w:rsidR="006242D1" w:rsidRPr="006C3534">
        <w:rPr>
          <w:snapToGrid w:val="0"/>
          <w:sz w:val="22"/>
          <w:szCs w:val="24"/>
        </w:rPr>
        <w:t>karščiuojate</w:t>
      </w:r>
      <w:r w:rsidRPr="006C3534">
        <w:rPr>
          <w:snapToGrid w:val="0"/>
          <w:sz w:val="22"/>
          <w:szCs w:val="24"/>
        </w:rPr>
        <w:t xml:space="preserve">, </w:t>
      </w:r>
      <w:r w:rsidR="006242D1" w:rsidRPr="006C3534">
        <w:rPr>
          <w:snapToGrid w:val="0"/>
          <w:sz w:val="22"/>
          <w:szCs w:val="24"/>
        </w:rPr>
        <w:t>ėmė krėsti šaltis</w:t>
      </w:r>
      <w:r w:rsidRPr="006C3534">
        <w:rPr>
          <w:snapToGrid w:val="0"/>
          <w:sz w:val="22"/>
          <w:szCs w:val="24"/>
        </w:rPr>
        <w:t>, pykin</w:t>
      </w:r>
      <w:r w:rsidR="006242D1" w:rsidRPr="006C3534">
        <w:rPr>
          <w:snapToGrid w:val="0"/>
          <w:sz w:val="22"/>
          <w:szCs w:val="24"/>
        </w:rPr>
        <w:t>a</w:t>
      </w:r>
      <w:r w:rsidRPr="006C3534">
        <w:rPr>
          <w:snapToGrid w:val="0"/>
          <w:sz w:val="22"/>
          <w:szCs w:val="24"/>
        </w:rPr>
        <w:t xml:space="preserve">, </w:t>
      </w:r>
      <w:r w:rsidR="006242D1" w:rsidRPr="006C3534">
        <w:rPr>
          <w:snapToGrid w:val="0"/>
          <w:sz w:val="22"/>
          <w:szCs w:val="24"/>
        </w:rPr>
        <w:t xml:space="preserve">vemiate, </w:t>
      </w:r>
      <w:r w:rsidRPr="006C3534">
        <w:rPr>
          <w:snapToGrid w:val="0"/>
          <w:sz w:val="22"/>
          <w:szCs w:val="24"/>
        </w:rPr>
        <w:t>pilv</w:t>
      </w:r>
      <w:r w:rsidR="006242D1" w:rsidRPr="006C3534">
        <w:rPr>
          <w:snapToGrid w:val="0"/>
          <w:sz w:val="22"/>
          <w:szCs w:val="24"/>
        </w:rPr>
        <w:t>as</w:t>
      </w:r>
      <w:r w:rsidRPr="006C3534">
        <w:rPr>
          <w:snapToGrid w:val="0"/>
          <w:sz w:val="22"/>
          <w:szCs w:val="24"/>
        </w:rPr>
        <w:t xml:space="preserve"> </w:t>
      </w:r>
      <w:r w:rsidR="006242D1" w:rsidRPr="006C3534">
        <w:rPr>
          <w:snapToGrid w:val="0"/>
          <w:sz w:val="22"/>
          <w:szCs w:val="24"/>
        </w:rPr>
        <w:t>tapo kietas arba išpūstas</w:t>
      </w:r>
      <w:r w:rsidRPr="006C3534">
        <w:rPr>
          <w:snapToGrid w:val="0"/>
          <w:sz w:val="22"/>
          <w:szCs w:val="24"/>
        </w:rPr>
        <w:t xml:space="preserve">, nes tai gali būti žarnos </w:t>
      </w:r>
      <w:r w:rsidR="006242D1" w:rsidRPr="006C3534">
        <w:rPr>
          <w:snapToGrid w:val="0"/>
          <w:sz w:val="22"/>
          <w:szCs w:val="24"/>
        </w:rPr>
        <w:t xml:space="preserve">sienelės </w:t>
      </w:r>
      <w:r w:rsidRPr="006C3534">
        <w:rPr>
          <w:snapToGrid w:val="0"/>
          <w:sz w:val="22"/>
          <w:szCs w:val="24"/>
        </w:rPr>
        <w:t>prakiurimo (virškinimo trakto</w:t>
      </w:r>
      <w:r w:rsidR="006242D1" w:rsidRPr="006C3534">
        <w:rPr>
          <w:snapToGrid w:val="0"/>
          <w:sz w:val="22"/>
          <w:szCs w:val="24"/>
        </w:rPr>
        <w:t xml:space="preserve"> </w:t>
      </w:r>
      <w:r w:rsidRPr="006C3534">
        <w:rPr>
          <w:snapToGrid w:val="0"/>
          <w:sz w:val="22"/>
          <w:szCs w:val="24"/>
        </w:rPr>
        <w:t>perforacijos) simptomai</w:t>
      </w:r>
      <w:r w:rsidR="006C3534" w:rsidRPr="006C3534">
        <w:rPr>
          <w:snapToGrid w:val="0"/>
          <w:sz w:val="22"/>
          <w:szCs w:val="24"/>
        </w:rPr>
        <w:t>. Taip pat pasakykite gydytojui, jeigu anksčiau sirgote pep</w:t>
      </w:r>
      <w:r w:rsidR="00B10A67">
        <w:rPr>
          <w:snapToGrid w:val="0"/>
          <w:sz w:val="22"/>
          <w:szCs w:val="24"/>
        </w:rPr>
        <w:t>s</w:t>
      </w:r>
      <w:r w:rsidR="006C3534" w:rsidRPr="006C3534">
        <w:rPr>
          <w:snapToGrid w:val="0"/>
          <w:sz w:val="22"/>
          <w:szCs w:val="24"/>
        </w:rPr>
        <w:t xml:space="preserve">ine opa, buvo nustatyta divertikulų arba tuo pat metu vartojate nesteroidinių vaistų nuo uždegimo (NVNU) (skiriamų skausmui malšinti ir patinimui mažinti) ar steroidų (skiriamų nuo uždegimo ir alergijų), nes </w:t>
      </w:r>
      <w:r w:rsidR="006C3534">
        <w:rPr>
          <w:snapToGrid w:val="0"/>
          <w:sz w:val="22"/>
          <w:szCs w:val="24"/>
        </w:rPr>
        <w:t>tai</w:t>
      </w:r>
      <w:r w:rsidR="006C3534" w:rsidRPr="006C3534">
        <w:rPr>
          <w:snapToGrid w:val="0"/>
          <w:sz w:val="22"/>
          <w:szCs w:val="24"/>
        </w:rPr>
        <w:t xml:space="preserve"> gali padidinti </w:t>
      </w:r>
      <w:r w:rsidR="006C3534">
        <w:rPr>
          <w:snapToGrid w:val="0"/>
          <w:sz w:val="22"/>
          <w:szCs w:val="24"/>
        </w:rPr>
        <w:t>minėtą</w:t>
      </w:r>
      <w:r w:rsidR="006C3534" w:rsidRPr="006C3534">
        <w:rPr>
          <w:snapToGrid w:val="0"/>
          <w:sz w:val="22"/>
          <w:szCs w:val="24"/>
        </w:rPr>
        <w:t xml:space="preserve"> riziką</w:t>
      </w:r>
      <w:r w:rsidR="006C3534">
        <w:rPr>
          <w:snapToGrid w:val="0"/>
          <w:sz w:val="22"/>
          <w:szCs w:val="24"/>
        </w:rPr>
        <w:t>;</w:t>
      </w:r>
    </w:p>
    <w:p w14:paraId="2F093AA5" w14:textId="2DD11889" w:rsidR="006C3534" w:rsidRPr="006C3534" w:rsidRDefault="006C3534" w:rsidP="006C3534">
      <w:pPr>
        <w:pStyle w:val="Sraopastraipa"/>
        <w:numPr>
          <w:ilvl w:val="0"/>
          <w:numId w:val="7"/>
        </w:numPr>
        <w:ind w:left="567" w:right="-2" w:hanging="567"/>
        <w:rPr>
          <w:snapToGrid w:val="0"/>
          <w:sz w:val="22"/>
          <w:szCs w:val="24"/>
        </w:rPr>
      </w:pPr>
      <w:r w:rsidRPr="006C3534">
        <w:rPr>
          <w:snapToGrid w:val="0"/>
          <w:sz w:val="22"/>
          <w:szCs w:val="24"/>
        </w:rPr>
        <w:t>vargina stiprus pilvo skausmas arba spazm</w:t>
      </w:r>
      <w:r>
        <w:rPr>
          <w:snapToGrid w:val="0"/>
          <w:sz w:val="22"/>
          <w:szCs w:val="24"/>
        </w:rPr>
        <w:t>ai</w:t>
      </w:r>
      <w:r w:rsidRPr="006C3534">
        <w:rPr>
          <w:snapToGrid w:val="0"/>
          <w:sz w:val="22"/>
          <w:szCs w:val="24"/>
        </w:rPr>
        <w:t xml:space="preserve"> ir kartu išmatose pastebėjote raudono kraujo arba viduriuojate, nes šie simptomai gali rodyti žarnų uždegimą dėl nepakankamo aprūpinimo krauju;</w:t>
      </w:r>
    </w:p>
    <w:p w14:paraId="465494FB" w14:textId="49A7199C" w:rsidR="006C3534" w:rsidRPr="006C3534" w:rsidRDefault="006C3534" w:rsidP="006C3534">
      <w:pPr>
        <w:pStyle w:val="Sraopastraipa"/>
        <w:numPr>
          <w:ilvl w:val="0"/>
          <w:numId w:val="7"/>
        </w:numPr>
        <w:ind w:left="567" w:right="-2" w:hanging="567"/>
        <w:rPr>
          <w:snapToGrid w:val="0"/>
          <w:sz w:val="22"/>
          <w:szCs w:val="24"/>
        </w:rPr>
      </w:pPr>
      <w:r w:rsidRPr="006C3534">
        <w:rPr>
          <w:snapToGrid w:val="0"/>
          <w:sz w:val="22"/>
          <w:szCs w:val="24"/>
        </w:rPr>
        <w:t xml:space="preserve">skauda, patino, paraudo ir šyla galūnė, nes tai gali būti vienos Jūsų venos (kraujagyslės rūšis) užkimšimo kraujo krešuliu simptomai; </w:t>
      </w:r>
    </w:p>
    <w:p w14:paraId="52759D05" w14:textId="04CDB8BC" w:rsidR="0014133D" w:rsidRPr="00211E3B" w:rsidRDefault="0014133D" w:rsidP="00256DA0">
      <w:pPr>
        <w:pStyle w:val="Sraopastraipa"/>
        <w:numPr>
          <w:ilvl w:val="0"/>
          <w:numId w:val="7"/>
        </w:numPr>
        <w:ind w:left="567" w:right="-2" w:hanging="567"/>
        <w:rPr>
          <w:snapToGrid w:val="0"/>
          <w:sz w:val="22"/>
          <w:szCs w:val="24"/>
        </w:rPr>
      </w:pPr>
      <w:r w:rsidRPr="00211E3B">
        <w:rPr>
          <w:snapToGrid w:val="0"/>
          <w:sz w:val="22"/>
          <w:szCs w:val="24"/>
        </w:rPr>
        <w:t>spaudžia ar skauda krūtinę, paprastai kairėje pusėje, skauda kaklą, apatinį žandikaulį, petį ar</w:t>
      </w:r>
      <w:r w:rsidR="006242D1" w:rsidRPr="00211E3B">
        <w:rPr>
          <w:snapToGrid w:val="0"/>
          <w:sz w:val="22"/>
          <w:szCs w:val="24"/>
        </w:rPr>
        <w:t xml:space="preserve"> </w:t>
      </w:r>
      <w:r w:rsidRPr="00211E3B">
        <w:rPr>
          <w:snapToGrid w:val="0"/>
          <w:sz w:val="22"/>
          <w:szCs w:val="24"/>
        </w:rPr>
        <w:t xml:space="preserve">ranką, greitai plaka širdis, trūksta oro, pykina ar vemiate, nes tai gali būti </w:t>
      </w:r>
      <w:r w:rsidR="006242D1" w:rsidRPr="00211E3B">
        <w:rPr>
          <w:snapToGrid w:val="0"/>
          <w:sz w:val="22"/>
          <w:szCs w:val="24"/>
        </w:rPr>
        <w:t xml:space="preserve">širdies priepuolio </w:t>
      </w:r>
      <w:r w:rsidRPr="00211E3B">
        <w:rPr>
          <w:snapToGrid w:val="0"/>
          <w:sz w:val="22"/>
          <w:szCs w:val="24"/>
        </w:rPr>
        <w:t>simptomai;</w:t>
      </w:r>
    </w:p>
    <w:p w14:paraId="41B9FAB4" w14:textId="4E94D200" w:rsidR="006C3534" w:rsidRPr="006C3534" w:rsidRDefault="006C3534" w:rsidP="006C3534">
      <w:pPr>
        <w:pStyle w:val="Sraopastraipa"/>
        <w:numPr>
          <w:ilvl w:val="0"/>
          <w:numId w:val="7"/>
        </w:numPr>
        <w:ind w:left="567" w:right="-2" w:hanging="567"/>
        <w:rPr>
          <w:snapToGrid w:val="0"/>
          <w:sz w:val="22"/>
          <w:szCs w:val="24"/>
        </w:rPr>
      </w:pPr>
      <w:r w:rsidRPr="006C3534">
        <w:rPr>
          <w:snapToGrid w:val="0"/>
          <w:sz w:val="22"/>
          <w:szCs w:val="24"/>
        </w:rPr>
        <w:t xml:space="preserve">patiriate bet kokį </w:t>
      </w:r>
      <w:r>
        <w:rPr>
          <w:snapToGrid w:val="0"/>
          <w:sz w:val="22"/>
          <w:szCs w:val="24"/>
        </w:rPr>
        <w:t>sunkų</w:t>
      </w:r>
      <w:r w:rsidRPr="006C3534">
        <w:rPr>
          <w:snapToGrid w:val="0"/>
          <w:sz w:val="22"/>
          <w:szCs w:val="24"/>
        </w:rPr>
        <w:t xml:space="preserve"> kraujavimą;</w:t>
      </w:r>
    </w:p>
    <w:p w14:paraId="78144FC3" w14:textId="21B9D6D0" w:rsidR="005D554B" w:rsidRPr="006C3534" w:rsidRDefault="006C3534" w:rsidP="006C3534">
      <w:pPr>
        <w:pStyle w:val="Sraopastraipa"/>
        <w:numPr>
          <w:ilvl w:val="0"/>
          <w:numId w:val="7"/>
        </w:numPr>
        <w:ind w:left="567" w:right="-2" w:hanging="567"/>
        <w:rPr>
          <w:snapToGrid w:val="0"/>
          <w:sz w:val="22"/>
          <w:szCs w:val="24"/>
        </w:rPr>
      </w:pPr>
      <w:r w:rsidRPr="006C3534">
        <w:rPr>
          <w:snapToGrid w:val="0"/>
          <w:sz w:val="22"/>
          <w:szCs w:val="24"/>
        </w:rPr>
        <w:t>atsiranda mėlynių, imate kraujuoti, karščiuojate, jaučiate nuovargį ir minčių susip</w:t>
      </w:r>
      <w:r w:rsidR="00234670">
        <w:rPr>
          <w:snapToGrid w:val="0"/>
          <w:sz w:val="22"/>
          <w:szCs w:val="24"/>
        </w:rPr>
        <w:t>ai</w:t>
      </w:r>
      <w:r w:rsidRPr="006C3534">
        <w:rPr>
          <w:snapToGrid w:val="0"/>
          <w:sz w:val="22"/>
          <w:szCs w:val="24"/>
        </w:rPr>
        <w:t>niojimą. Tai gali būti kraujagyslių pažeidimo, vadinamo trombozine mikroangiopatija (TMA), požymis.</w:t>
      </w:r>
    </w:p>
    <w:p w14:paraId="2346EED5" w14:textId="77777777" w:rsidR="0014133D" w:rsidRPr="00211E3B" w:rsidRDefault="0014133D" w:rsidP="0014133D">
      <w:pPr>
        <w:numPr>
          <w:ilvl w:val="12"/>
          <w:numId w:val="0"/>
        </w:numPr>
        <w:ind w:right="-2"/>
        <w:rPr>
          <w:snapToGrid w:val="0"/>
          <w:sz w:val="22"/>
          <w:szCs w:val="24"/>
        </w:rPr>
      </w:pPr>
    </w:p>
    <w:p w14:paraId="3E44D4BD" w14:textId="3B1F757F" w:rsidR="005D554B" w:rsidRPr="00211E3B" w:rsidRDefault="005D554B" w:rsidP="005D554B">
      <w:pPr>
        <w:keepNext/>
        <w:tabs>
          <w:tab w:val="left" w:pos="567"/>
        </w:tabs>
        <w:spacing w:line="260" w:lineRule="exact"/>
        <w:jc w:val="both"/>
        <w:outlineLvl w:val="3"/>
        <w:rPr>
          <w:b/>
          <w:bCs/>
          <w:snapToGrid w:val="0"/>
          <w:sz w:val="22"/>
          <w:szCs w:val="28"/>
          <w:lang w:eastAsia="x-none"/>
        </w:rPr>
      </w:pPr>
      <w:r w:rsidRPr="00211E3B">
        <w:rPr>
          <w:b/>
          <w:bCs/>
          <w:snapToGrid w:val="0"/>
          <w:sz w:val="22"/>
          <w:szCs w:val="28"/>
          <w:lang w:eastAsia="x-none"/>
        </w:rPr>
        <w:t>Vaikams ir paaugliams</w:t>
      </w:r>
    </w:p>
    <w:p w14:paraId="71A23BE3" w14:textId="458FDE1D" w:rsidR="005D554B" w:rsidRPr="00211E3B" w:rsidRDefault="002E78D8" w:rsidP="005D554B">
      <w:pPr>
        <w:numPr>
          <w:ilvl w:val="12"/>
          <w:numId w:val="0"/>
        </w:numPr>
        <w:rPr>
          <w:snapToGrid w:val="0"/>
          <w:sz w:val="22"/>
          <w:szCs w:val="24"/>
        </w:rPr>
      </w:pPr>
      <w:r>
        <w:rPr>
          <w:snapToGrid w:val="0"/>
          <w:sz w:val="22"/>
          <w:szCs w:val="24"/>
        </w:rPr>
        <w:t xml:space="preserve">Agarf jaunesniems kaip </w:t>
      </w:r>
      <w:r w:rsidR="00B51D38" w:rsidRPr="00211E3B">
        <w:rPr>
          <w:snapToGrid w:val="0"/>
          <w:sz w:val="22"/>
          <w:szCs w:val="24"/>
        </w:rPr>
        <w:t>18 metų vaikams ir paaugliams vartoti negalima.</w:t>
      </w:r>
    </w:p>
    <w:p w14:paraId="2182FF85" w14:textId="77777777" w:rsidR="00B51D38" w:rsidRPr="00211E3B" w:rsidRDefault="00B51D38" w:rsidP="005D554B">
      <w:pPr>
        <w:numPr>
          <w:ilvl w:val="12"/>
          <w:numId w:val="0"/>
        </w:numPr>
        <w:rPr>
          <w:snapToGrid w:val="0"/>
          <w:sz w:val="22"/>
          <w:szCs w:val="24"/>
        </w:rPr>
      </w:pPr>
    </w:p>
    <w:p w14:paraId="77E05C83" w14:textId="06DC3080" w:rsidR="005D554B" w:rsidRPr="00211E3B" w:rsidRDefault="005D554B" w:rsidP="005D554B">
      <w:pPr>
        <w:keepNext/>
        <w:tabs>
          <w:tab w:val="left" w:pos="567"/>
        </w:tabs>
        <w:spacing w:line="260" w:lineRule="exact"/>
        <w:jc w:val="both"/>
        <w:outlineLvl w:val="3"/>
        <w:rPr>
          <w:b/>
          <w:bCs/>
          <w:snapToGrid w:val="0"/>
          <w:sz w:val="22"/>
          <w:szCs w:val="28"/>
          <w:lang w:eastAsia="x-none"/>
        </w:rPr>
      </w:pPr>
      <w:r w:rsidRPr="00211E3B">
        <w:rPr>
          <w:b/>
          <w:bCs/>
          <w:snapToGrid w:val="0"/>
          <w:sz w:val="22"/>
          <w:szCs w:val="28"/>
          <w:lang w:eastAsia="x-none"/>
        </w:rPr>
        <w:lastRenderedPageBreak/>
        <w:t xml:space="preserve">Kiti vaistai ir </w:t>
      </w:r>
      <w:r w:rsidR="00224B5B" w:rsidRPr="00211E3B">
        <w:rPr>
          <w:b/>
          <w:bCs/>
          <w:snapToGrid w:val="0"/>
          <w:sz w:val="22"/>
          <w:szCs w:val="28"/>
          <w:lang w:eastAsia="x-none"/>
        </w:rPr>
        <w:t>Agarf</w:t>
      </w:r>
    </w:p>
    <w:p w14:paraId="754A00E7" w14:textId="5EED2636" w:rsidR="005D554B" w:rsidRPr="00211E3B" w:rsidRDefault="005D554B" w:rsidP="005D554B">
      <w:pPr>
        <w:numPr>
          <w:ilvl w:val="12"/>
          <w:numId w:val="0"/>
        </w:numPr>
        <w:ind w:right="-2"/>
        <w:rPr>
          <w:snapToGrid w:val="0"/>
          <w:sz w:val="22"/>
          <w:szCs w:val="24"/>
        </w:rPr>
      </w:pPr>
      <w:r w:rsidRPr="00211E3B">
        <w:rPr>
          <w:snapToGrid w:val="0"/>
          <w:sz w:val="22"/>
          <w:szCs w:val="24"/>
        </w:rPr>
        <w:t>Jeigu vartojate ar neseniai vartojote kitų vaistų</w:t>
      </w:r>
      <w:r w:rsidR="00720723" w:rsidRPr="00211E3B">
        <w:rPr>
          <w:snapToGrid w:val="0"/>
          <w:sz w:val="22"/>
          <w:szCs w:val="24"/>
        </w:rPr>
        <w:t>,</w:t>
      </w:r>
      <w:r w:rsidRPr="00211E3B">
        <w:rPr>
          <w:snapToGrid w:val="0"/>
          <w:sz w:val="22"/>
          <w:szCs w:val="24"/>
        </w:rPr>
        <w:t xml:space="preserve"> </w:t>
      </w:r>
      <w:r w:rsidR="00720723" w:rsidRPr="00211E3B">
        <w:rPr>
          <w:snapToGrid w:val="0"/>
          <w:sz w:val="22"/>
          <w:szCs w:val="24"/>
        </w:rPr>
        <w:t xml:space="preserve">įskaitant augalinius ir nereceptinius vaistus, </w:t>
      </w:r>
      <w:r w:rsidRPr="00211E3B">
        <w:rPr>
          <w:snapToGrid w:val="0"/>
          <w:sz w:val="22"/>
          <w:szCs w:val="24"/>
        </w:rPr>
        <w:t>arba dėl to nesate tikri, apie tai pasakykite gydytojui</w:t>
      </w:r>
      <w:r w:rsidR="00720723" w:rsidRPr="00211E3B">
        <w:rPr>
          <w:snapToGrid w:val="0"/>
          <w:sz w:val="22"/>
          <w:szCs w:val="24"/>
        </w:rPr>
        <w:t xml:space="preserve"> </w:t>
      </w:r>
      <w:r w:rsidRPr="00211E3B">
        <w:rPr>
          <w:snapToGrid w:val="0"/>
          <w:sz w:val="22"/>
          <w:szCs w:val="24"/>
        </w:rPr>
        <w:t>arba</w:t>
      </w:r>
      <w:r w:rsidR="00720723" w:rsidRPr="00211E3B">
        <w:rPr>
          <w:snapToGrid w:val="0"/>
          <w:sz w:val="22"/>
          <w:szCs w:val="24"/>
        </w:rPr>
        <w:t xml:space="preserve"> </w:t>
      </w:r>
      <w:r w:rsidRPr="00211E3B">
        <w:rPr>
          <w:snapToGrid w:val="0"/>
          <w:sz w:val="22"/>
          <w:szCs w:val="24"/>
        </w:rPr>
        <w:t>vaistininkui</w:t>
      </w:r>
      <w:r w:rsidR="00720723" w:rsidRPr="00211E3B">
        <w:rPr>
          <w:snapToGrid w:val="0"/>
          <w:sz w:val="22"/>
          <w:szCs w:val="24"/>
        </w:rPr>
        <w:t>.</w:t>
      </w:r>
    </w:p>
    <w:p w14:paraId="33118CBD" w14:textId="77777777" w:rsidR="005D554B" w:rsidRPr="00211E3B" w:rsidRDefault="005D554B" w:rsidP="005D554B">
      <w:pPr>
        <w:numPr>
          <w:ilvl w:val="12"/>
          <w:numId w:val="0"/>
        </w:numPr>
        <w:ind w:right="-2"/>
        <w:rPr>
          <w:snapToGrid w:val="0"/>
          <w:sz w:val="22"/>
          <w:szCs w:val="24"/>
        </w:rPr>
      </w:pPr>
    </w:p>
    <w:p w14:paraId="69AB90D3" w14:textId="34627234" w:rsidR="00720723" w:rsidRPr="00211E3B" w:rsidRDefault="00720723" w:rsidP="00720723">
      <w:pPr>
        <w:numPr>
          <w:ilvl w:val="12"/>
          <w:numId w:val="0"/>
        </w:numPr>
        <w:ind w:right="-2"/>
        <w:rPr>
          <w:snapToGrid w:val="0"/>
          <w:sz w:val="22"/>
          <w:szCs w:val="24"/>
        </w:rPr>
      </w:pPr>
      <w:r w:rsidRPr="00211E3B">
        <w:rPr>
          <w:snapToGrid w:val="0"/>
          <w:sz w:val="22"/>
          <w:szCs w:val="24"/>
        </w:rPr>
        <w:t xml:space="preserve">Yra galima </w:t>
      </w:r>
      <w:r w:rsidR="0016023E">
        <w:rPr>
          <w:snapToGrid w:val="0"/>
          <w:sz w:val="22"/>
          <w:szCs w:val="24"/>
        </w:rPr>
        <w:t>Agarf</w:t>
      </w:r>
      <w:r w:rsidRPr="00211E3B">
        <w:rPr>
          <w:snapToGrid w:val="0"/>
          <w:sz w:val="22"/>
          <w:szCs w:val="24"/>
        </w:rPr>
        <w:t xml:space="preserve"> ir kitų vaistų sąveika. Toliau išvardyti vaistai </w:t>
      </w:r>
      <w:r w:rsidR="0016023E">
        <w:rPr>
          <w:snapToGrid w:val="0"/>
          <w:sz w:val="22"/>
          <w:szCs w:val="24"/>
        </w:rPr>
        <w:t xml:space="preserve">yra pavyzdžiai vaistų, kurie </w:t>
      </w:r>
      <w:r w:rsidRPr="00211E3B">
        <w:rPr>
          <w:snapToGrid w:val="0"/>
          <w:sz w:val="22"/>
          <w:szCs w:val="24"/>
        </w:rPr>
        <w:t>gali padidinti nintedanibo kiekį kraujyje ir todėl gali padidėti šalutinio poveikio rizika (žr. 4 skyrių):</w:t>
      </w:r>
    </w:p>
    <w:p w14:paraId="513F59B0" w14:textId="35D8D7B4" w:rsidR="00720723" w:rsidRPr="00211E3B" w:rsidRDefault="0016023E" w:rsidP="00720723">
      <w:pPr>
        <w:pStyle w:val="Sraopastraipa"/>
        <w:numPr>
          <w:ilvl w:val="0"/>
          <w:numId w:val="7"/>
        </w:numPr>
        <w:ind w:left="567" w:right="-2" w:hanging="567"/>
        <w:rPr>
          <w:snapToGrid w:val="0"/>
          <w:sz w:val="22"/>
          <w:szCs w:val="24"/>
        </w:rPr>
      </w:pPr>
      <w:r>
        <w:rPr>
          <w:snapToGrid w:val="0"/>
          <w:sz w:val="22"/>
          <w:szCs w:val="24"/>
        </w:rPr>
        <w:t xml:space="preserve">vaistas, </w:t>
      </w:r>
      <w:r w:rsidR="00720723" w:rsidRPr="00211E3B">
        <w:rPr>
          <w:snapToGrid w:val="0"/>
          <w:sz w:val="22"/>
          <w:szCs w:val="24"/>
        </w:rPr>
        <w:t>vartojamas grybelinėms infekcinėms ligoms gydyti</w:t>
      </w:r>
      <w:r w:rsidRPr="0016023E">
        <w:rPr>
          <w:snapToGrid w:val="0"/>
          <w:sz w:val="22"/>
          <w:szCs w:val="24"/>
        </w:rPr>
        <w:t xml:space="preserve"> </w:t>
      </w:r>
      <w:r>
        <w:rPr>
          <w:snapToGrid w:val="0"/>
          <w:sz w:val="22"/>
          <w:szCs w:val="24"/>
        </w:rPr>
        <w:t>(</w:t>
      </w:r>
      <w:r w:rsidRPr="00211E3B">
        <w:rPr>
          <w:snapToGrid w:val="0"/>
          <w:sz w:val="22"/>
          <w:szCs w:val="24"/>
        </w:rPr>
        <w:t>ketokonazolas</w:t>
      </w:r>
      <w:r w:rsidR="00720723" w:rsidRPr="00211E3B">
        <w:rPr>
          <w:snapToGrid w:val="0"/>
          <w:sz w:val="22"/>
          <w:szCs w:val="24"/>
        </w:rPr>
        <w:t>);</w:t>
      </w:r>
    </w:p>
    <w:p w14:paraId="5F47DC13" w14:textId="77777777" w:rsidR="0016023E" w:rsidRDefault="0016023E" w:rsidP="00720723">
      <w:pPr>
        <w:pStyle w:val="Sraopastraipa"/>
        <w:numPr>
          <w:ilvl w:val="0"/>
          <w:numId w:val="7"/>
        </w:numPr>
        <w:ind w:left="567" w:right="-2" w:hanging="567"/>
        <w:rPr>
          <w:snapToGrid w:val="0"/>
          <w:sz w:val="22"/>
          <w:szCs w:val="24"/>
        </w:rPr>
      </w:pPr>
      <w:r>
        <w:rPr>
          <w:snapToGrid w:val="0"/>
          <w:sz w:val="22"/>
          <w:szCs w:val="24"/>
        </w:rPr>
        <w:t xml:space="preserve">vaistas, </w:t>
      </w:r>
      <w:r w:rsidR="00720723" w:rsidRPr="00211E3B">
        <w:rPr>
          <w:snapToGrid w:val="0"/>
          <w:sz w:val="22"/>
          <w:szCs w:val="24"/>
        </w:rPr>
        <w:t>vartojamas bakterinėms infekcinėms ligoms gydyti</w:t>
      </w:r>
      <w:r w:rsidRPr="0016023E">
        <w:rPr>
          <w:snapToGrid w:val="0"/>
          <w:sz w:val="22"/>
          <w:szCs w:val="24"/>
        </w:rPr>
        <w:t xml:space="preserve"> </w:t>
      </w:r>
      <w:r>
        <w:rPr>
          <w:snapToGrid w:val="0"/>
          <w:sz w:val="22"/>
          <w:szCs w:val="24"/>
        </w:rPr>
        <w:t>(</w:t>
      </w:r>
      <w:r w:rsidRPr="00211E3B">
        <w:rPr>
          <w:snapToGrid w:val="0"/>
          <w:sz w:val="22"/>
          <w:szCs w:val="24"/>
        </w:rPr>
        <w:t>eritromicinas</w:t>
      </w:r>
      <w:r w:rsidR="00720723" w:rsidRPr="00211E3B">
        <w:rPr>
          <w:snapToGrid w:val="0"/>
          <w:sz w:val="22"/>
          <w:szCs w:val="24"/>
        </w:rPr>
        <w:t>)</w:t>
      </w:r>
      <w:r>
        <w:rPr>
          <w:snapToGrid w:val="0"/>
          <w:sz w:val="22"/>
          <w:szCs w:val="24"/>
        </w:rPr>
        <w:t>;</w:t>
      </w:r>
    </w:p>
    <w:p w14:paraId="75DFE0D7" w14:textId="1D6FD02C" w:rsidR="00720723" w:rsidRPr="00211E3B" w:rsidRDefault="0016023E" w:rsidP="00720723">
      <w:pPr>
        <w:pStyle w:val="Sraopastraipa"/>
        <w:numPr>
          <w:ilvl w:val="0"/>
          <w:numId w:val="7"/>
        </w:numPr>
        <w:ind w:left="567" w:right="-2" w:hanging="567"/>
        <w:rPr>
          <w:snapToGrid w:val="0"/>
          <w:sz w:val="22"/>
          <w:szCs w:val="24"/>
        </w:rPr>
      </w:pPr>
      <w:r>
        <w:rPr>
          <w:snapToGrid w:val="0"/>
          <w:sz w:val="22"/>
          <w:szCs w:val="24"/>
        </w:rPr>
        <w:t>vaistas, veikiantis imuninę sistemą (ciklosporinas)</w:t>
      </w:r>
      <w:r w:rsidR="00720723" w:rsidRPr="00211E3B">
        <w:rPr>
          <w:snapToGrid w:val="0"/>
          <w:sz w:val="22"/>
          <w:szCs w:val="24"/>
        </w:rPr>
        <w:t>.</w:t>
      </w:r>
    </w:p>
    <w:p w14:paraId="0168EC62" w14:textId="77777777" w:rsidR="00720723" w:rsidRPr="00211E3B" w:rsidRDefault="00720723" w:rsidP="00720723">
      <w:pPr>
        <w:ind w:right="-2"/>
        <w:rPr>
          <w:snapToGrid w:val="0"/>
          <w:sz w:val="22"/>
          <w:szCs w:val="24"/>
        </w:rPr>
      </w:pPr>
    </w:p>
    <w:p w14:paraId="24F46C59" w14:textId="56C75090" w:rsidR="00720723" w:rsidRPr="00211E3B" w:rsidRDefault="00720723" w:rsidP="00720723">
      <w:pPr>
        <w:ind w:right="-2"/>
        <w:rPr>
          <w:snapToGrid w:val="0"/>
          <w:sz w:val="22"/>
          <w:szCs w:val="24"/>
        </w:rPr>
      </w:pPr>
      <w:r w:rsidRPr="00211E3B">
        <w:rPr>
          <w:snapToGrid w:val="0"/>
          <w:sz w:val="22"/>
          <w:szCs w:val="24"/>
        </w:rPr>
        <w:t xml:space="preserve">Toliau išvardyti vaistai </w:t>
      </w:r>
      <w:r w:rsidR="0016023E">
        <w:rPr>
          <w:snapToGrid w:val="0"/>
          <w:sz w:val="22"/>
          <w:szCs w:val="24"/>
        </w:rPr>
        <w:t xml:space="preserve">yra pavyzdžiai vaistų, kurie </w:t>
      </w:r>
      <w:r w:rsidRPr="00211E3B">
        <w:rPr>
          <w:snapToGrid w:val="0"/>
          <w:sz w:val="22"/>
          <w:szCs w:val="24"/>
        </w:rPr>
        <w:t xml:space="preserve">gali sumažinti nintedanibo kiekį kraujyje ir todėl gali sumažėti </w:t>
      </w:r>
      <w:r w:rsidR="00224B5B" w:rsidRPr="00211E3B">
        <w:rPr>
          <w:snapToGrid w:val="0"/>
          <w:sz w:val="22"/>
          <w:szCs w:val="24"/>
        </w:rPr>
        <w:t>Agarf</w:t>
      </w:r>
      <w:r w:rsidRPr="00211E3B">
        <w:rPr>
          <w:snapToGrid w:val="0"/>
          <w:sz w:val="22"/>
          <w:szCs w:val="24"/>
        </w:rPr>
        <w:t xml:space="preserve"> veiksmingumas:</w:t>
      </w:r>
    </w:p>
    <w:p w14:paraId="06609214" w14:textId="01DCA43A" w:rsidR="00720723" w:rsidRPr="00211E3B" w:rsidRDefault="00720723" w:rsidP="00720723">
      <w:pPr>
        <w:pStyle w:val="Sraopastraipa"/>
        <w:numPr>
          <w:ilvl w:val="0"/>
          <w:numId w:val="7"/>
        </w:numPr>
        <w:ind w:left="567" w:right="-2" w:hanging="567"/>
        <w:rPr>
          <w:snapToGrid w:val="0"/>
          <w:sz w:val="22"/>
          <w:szCs w:val="24"/>
        </w:rPr>
      </w:pPr>
      <w:r w:rsidRPr="00211E3B">
        <w:rPr>
          <w:snapToGrid w:val="0"/>
          <w:sz w:val="22"/>
          <w:szCs w:val="24"/>
        </w:rPr>
        <w:t>antibiotikas, vartojamas tuberkuliozei gydyti</w:t>
      </w:r>
      <w:r w:rsidR="0016023E" w:rsidRPr="0016023E">
        <w:rPr>
          <w:snapToGrid w:val="0"/>
          <w:sz w:val="22"/>
          <w:szCs w:val="24"/>
        </w:rPr>
        <w:t xml:space="preserve"> </w:t>
      </w:r>
      <w:r w:rsidR="0016023E">
        <w:rPr>
          <w:snapToGrid w:val="0"/>
          <w:sz w:val="22"/>
          <w:szCs w:val="24"/>
        </w:rPr>
        <w:t>(</w:t>
      </w:r>
      <w:r w:rsidR="0016023E" w:rsidRPr="00211E3B">
        <w:rPr>
          <w:snapToGrid w:val="0"/>
          <w:sz w:val="22"/>
          <w:szCs w:val="24"/>
        </w:rPr>
        <w:t>rifampicinas</w:t>
      </w:r>
      <w:r w:rsidRPr="00211E3B">
        <w:rPr>
          <w:snapToGrid w:val="0"/>
          <w:sz w:val="22"/>
          <w:szCs w:val="24"/>
        </w:rPr>
        <w:t>);</w:t>
      </w:r>
    </w:p>
    <w:p w14:paraId="4FED47D5" w14:textId="293A70C7" w:rsidR="00720723" w:rsidRPr="00211E3B" w:rsidRDefault="0016023E" w:rsidP="00720723">
      <w:pPr>
        <w:pStyle w:val="Sraopastraipa"/>
        <w:numPr>
          <w:ilvl w:val="0"/>
          <w:numId w:val="7"/>
        </w:numPr>
        <w:ind w:left="567" w:right="-2" w:hanging="567"/>
        <w:rPr>
          <w:snapToGrid w:val="0"/>
          <w:sz w:val="22"/>
          <w:szCs w:val="24"/>
        </w:rPr>
      </w:pPr>
      <w:r>
        <w:rPr>
          <w:snapToGrid w:val="0"/>
          <w:sz w:val="22"/>
          <w:szCs w:val="24"/>
        </w:rPr>
        <w:t xml:space="preserve">vaistai, </w:t>
      </w:r>
      <w:r w:rsidRPr="00211E3B">
        <w:rPr>
          <w:snapToGrid w:val="0"/>
          <w:sz w:val="22"/>
          <w:szCs w:val="24"/>
        </w:rPr>
        <w:t xml:space="preserve">vartojami traukuliams gydyti </w:t>
      </w:r>
      <w:r>
        <w:rPr>
          <w:snapToGrid w:val="0"/>
          <w:sz w:val="22"/>
          <w:szCs w:val="24"/>
        </w:rPr>
        <w:t>(</w:t>
      </w:r>
      <w:r w:rsidR="00720723" w:rsidRPr="00211E3B">
        <w:rPr>
          <w:snapToGrid w:val="0"/>
          <w:sz w:val="22"/>
          <w:szCs w:val="24"/>
        </w:rPr>
        <w:t>karbamazepinas, fenitoinas);</w:t>
      </w:r>
    </w:p>
    <w:p w14:paraId="08AECFEA" w14:textId="59FF63E4" w:rsidR="00720723" w:rsidRPr="00211E3B" w:rsidRDefault="0016023E" w:rsidP="00720723">
      <w:pPr>
        <w:pStyle w:val="Sraopastraipa"/>
        <w:numPr>
          <w:ilvl w:val="0"/>
          <w:numId w:val="7"/>
        </w:numPr>
        <w:ind w:left="567" w:right="-2" w:hanging="567"/>
        <w:rPr>
          <w:snapToGrid w:val="0"/>
          <w:sz w:val="22"/>
          <w:szCs w:val="24"/>
        </w:rPr>
      </w:pPr>
      <w:r w:rsidRPr="00211E3B">
        <w:rPr>
          <w:snapToGrid w:val="0"/>
          <w:sz w:val="22"/>
          <w:szCs w:val="24"/>
        </w:rPr>
        <w:t xml:space="preserve">augaliniai vaistai, vartojami depresijai gydyti </w:t>
      </w:r>
      <w:r>
        <w:rPr>
          <w:snapToGrid w:val="0"/>
          <w:sz w:val="22"/>
          <w:szCs w:val="24"/>
        </w:rPr>
        <w:t>(</w:t>
      </w:r>
      <w:r w:rsidR="00720723" w:rsidRPr="00211E3B">
        <w:rPr>
          <w:snapToGrid w:val="0"/>
          <w:sz w:val="22"/>
          <w:szCs w:val="24"/>
        </w:rPr>
        <w:t>paprastųjų jonažolių preparatai).</w:t>
      </w:r>
    </w:p>
    <w:p w14:paraId="65E407DA" w14:textId="77777777" w:rsidR="00720723" w:rsidRPr="00211E3B" w:rsidRDefault="00720723" w:rsidP="005D554B">
      <w:pPr>
        <w:numPr>
          <w:ilvl w:val="12"/>
          <w:numId w:val="0"/>
        </w:numPr>
        <w:ind w:right="-2"/>
        <w:rPr>
          <w:snapToGrid w:val="0"/>
          <w:sz w:val="22"/>
          <w:szCs w:val="24"/>
        </w:rPr>
      </w:pPr>
    </w:p>
    <w:p w14:paraId="51B8450E" w14:textId="0FC39792" w:rsidR="005D554B" w:rsidRPr="00211E3B" w:rsidRDefault="005D554B" w:rsidP="005D554B">
      <w:pPr>
        <w:keepNext/>
        <w:tabs>
          <w:tab w:val="left" w:pos="567"/>
        </w:tabs>
        <w:spacing w:line="260" w:lineRule="exact"/>
        <w:jc w:val="both"/>
        <w:outlineLvl w:val="3"/>
        <w:rPr>
          <w:b/>
          <w:bCs/>
          <w:snapToGrid w:val="0"/>
          <w:sz w:val="22"/>
          <w:szCs w:val="28"/>
          <w:lang w:eastAsia="x-none"/>
        </w:rPr>
      </w:pPr>
      <w:r w:rsidRPr="00211E3B">
        <w:rPr>
          <w:b/>
          <w:bCs/>
          <w:snapToGrid w:val="0"/>
          <w:sz w:val="22"/>
          <w:szCs w:val="28"/>
          <w:lang w:eastAsia="x-none"/>
        </w:rPr>
        <w:t>Nėštumas ir žindymo laikotarpis</w:t>
      </w:r>
    </w:p>
    <w:p w14:paraId="0ACA606A" w14:textId="52D3E71B" w:rsidR="00720723" w:rsidRPr="00211E3B" w:rsidRDefault="00720723" w:rsidP="00720723">
      <w:pPr>
        <w:numPr>
          <w:ilvl w:val="12"/>
          <w:numId w:val="0"/>
        </w:numPr>
        <w:rPr>
          <w:snapToGrid w:val="0"/>
          <w:sz w:val="22"/>
          <w:szCs w:val="24"/>
        </w:rPr>
      </w:pPr>
      <w:r w:rsidRPr="00211E3B">
        <w:rPr>
          <w:snapToGrid w:val="0"/>
          <w:sz w:val="22"/>
          <w:szCs w:val="24"/>
        </w:rPr>
        <w:t>Jeigu esate nėščia, žindote kūdikį, manote, kad galbūt esate nėščia arba planuojate pastoti, tai prieš vartodama šį vaistą pasitarkite su gydytoju arba vaistininku.</w:t>
      </w:r>
    </w:p>
    <w:p w14:paraId="04B2AF94" w14:textId="77777777" w:rsidR="00720723" w:rsidRPr="00211E3B" w:rsidRDefault="00720723" w:rsidP="00720723">
      <w:pPr>
        <w:numPr>
          <w:ilvl w:val="12"/>
          <w:numId w:val="0"/>
        </w:numPr>
        <w:rPr>
          <w:snapToGrid w:val="0"/>
          <w:sz w:val="22"/>
          <w:szCs w:val="24"/>
        </w:rPr>
      </w:pPr>
    </w:p>
    <w:p w14:paraId="41D0B446" w14:textId="77777777" w:rsidR="00720723" w:rsidRPr="00211E3B" w:rsidRDefault="00720723" w:rsidP="00720723">
      <w:pPr>
        <w:numPr>
          <w:ilvl w:val="12"/>
          <w:numId w:val="0"/>
        </w:numPr>
        <w:rPr>
          <w:snapToGrid w:val="0"/>
          <w:sz w:val="22"/>
          <w:szCs w:val="24"/>
          <w:u w:val="single"/>
        </w:rPr>
      </w:pPr>
      <w:r w:rsidRPr="00211E3B">
        <w:rPr>
          <w:snapToGrid w:val="0"/>
          <w:sz w:val="22"/>
          <w:szCs w:val="24"/>
          <w:u w:val="single"/>
        </w:rPr>
        <w:t>Nėštumas</w:t>
      </w:r>
    </w:p>
    <w:p w14:paraId="660E1A55" w14:textId="7956972B" w:rsidR="00720723" w:rsidRPr="00211E3B" w:rsidRDefault="00720723" w:rsidP="00720723">
      <w:pPr>
        <w:numPr>
          <w:ilvl w:val="12"/>
          <w:numId w:val="0"/>
        </w:numPr>
        <w:rPr>
          <w:snapToGrid w:val="0"/>
          <w:sz w:val="22"/>
          <w:szCs w:val="24"/>
        </w:rPr>
      </w:pPr>
      <w:r w:rsidRPr="00211E3B">
        <w:rPr>
          <w:snapToGrid w:val="0"/>
          <w:sz w:val="22"/>
          <w:szCs w:val="24"/>
        </w:rPr>
        <w:t xml:space="preserve">Nėštumo metu šio vaisto nevartokite, nes jis gali pakenkti Jūsų dar negimusiam vaikui ir sukelti </w:t>
      </w:r>
      <w:r w:rsidR="00C97FB3">
        <w:rPr>
          <w:snapToGrid w:val="0"/>
          <w:sz w:val="22"/>
          <w:szCs w:val="24"/>
        </w:rPr>
        <w:t>įgimtų formavimosi ydų</w:t>
      </w:r>
      <w:r w:rsidRPr="00211E3B">
        <w:rPr>
          <w:snapToGrid w:val="0"/>
          <w:sz w:val="22"/>
          <w:szCs w:val="24"/>
        </w:rPr>
        <w:t>.</w:t>
      </w:r>
    </w:p>
    <w:p w14:paraId="7EA0C54E" w14:textId="101BFBCC" w:rsidR="00720723" w:rsidRDefault="00015FEC" w:rsidP="00720723">
      <w:pPr>
        <w:numPr>
          <w:ilvl w:val="12"/>
          <w:numId w:val="0"/>
        </w:numPr>
        <w:rPr>
          <w:snapToGrid w:val="0"/>
          <w:sz w:val="22"/>
          <w:szCs w:val="24"/>
        </w:rPr>
      </w:pPr>
      <w:r w:rsidRPr="00015FEC">
        <w:rPr>
          <w:snapToGrid w:val="0"/>
          <w:sz w:val="22"/>
          <w:szCs w:val="24"/>
        </w:rPr>
        <w:t xml:space="preserve">Prieš pradedant gydymą </w:t>
      </w:r>
      <w:r>
        <w:rPr>
          <w:snapToGrid w:val="0"/>
          <w:sz w:val="22"/>
          <w:szCs w:val="24"/>
        </w:rPr>
        <w:t>šiuo vaistu</w:t>
      </w:r>
      <w:r w:rsidRPr="00015FEC">
        <w:rPr>
          <w:snapToGrid w:val="0"/>
          <w:sz w:val="22"/>
          <w:szCs w:val="24"/>
        </w:rPr>
        <w:t>, Jums būtina atlikti nėštumo testą siekiant įsitikinti, kad nesate nėščia.</w:t>
      </w:r>
      <w:r>
        <w:rPr>
          <w:snapToGrid w:val="0"/>
          <w:sz w:val="22"/>
          <w:szCs w:val="24"/>
        </w:rPr>
        <w:t xml:space="preserve"> </w:t>
      </w:r>
      <w:r w:rsidRPr="00015FEC">
        <w:rPr>
          <w:snapToGrid w:val="0"/>
          <w:sz w:val="22"/>
          <w:szCs w:val="24"/>
        </w:rPr>
        <w:t>Pasitarkite su gydytoju.</w:t>
      </w:r>
    </w:p>
    <w:p w14:paraId="325FF3DB" w14:textId="77777777" w:rsidR="00015FEC" w:rsidRPr="00211E3B" w:rsidRDefault="00015FEC" w:rsidP="00720723">
      <w:pPr>
        <w:numPr>
          <w:ilvl w:val="12"/>
          <w:numId w:val="0"/>
        </w:numPr>
        <w:rPr>
          <w:snapToGrid w:val="0"/>
          <w:sz w:val="22"/>
          <w:szCs w:val="24"/>
        </w:rPr>
      </w:pPr>
    </w:p>
    <w:p w14:paraId="37CAEFF0" w14:textId="39AE12A5" w:rsidR="00720723" w:rsidRPr="00211E3B" w:rsidRDefault="00720723" w:rsidP="00720723">
      <w:pPr>
        <w:numPr>
          <w:ilvl w:val="12"/>
          <w:numId w:val="0"/>
        </w:numPr>
        <w:rPr>
          <w:snapToGrid w:val="0"/>
          <w:sz w:val="22"/>
          <w:szCs w:val="24"/>
          <w:u w:val="single"/>
        </w:rPr>
      </w:pPr>
      <w:r w:rsidRPr="00211E3B">
        <w:rPr>
          <w:snapToGrid w:val="0"/>
          <w:sz w:val="22"/>
          <w:szCs w:val="24"/>
          <w:u w:val="single"/>
        </w:rPr>
        <w:t>Kontracepcija</w:t>
      </w:r>
    </w:p>
    <w:p w14:paraId="26570AA8" w14:textId="5BA593FF" w:rsidR="00720723" w:rsidRPr="00211E3B" w:rsidRDefault="008954BD" w:rsidP="00256DA0">
      <w:pPr>
        <w:pStyle w:val="Sraopastraipa"/>
        <w:numPr>
          <w:ilvl w:val="0"/>
          <w:numId w:val="7"/>
        </w:numPr>
        <w:ind w:left="567" w:right="-2" w:hanging="567"/>
        <w:rPr>
          <w:snapToGrid w:val="0"/>
          <w:sz w:val="22"/>
          <w:szCs w:val="24"/>
        </w:rPr>
      </w:pPr>
      <w:r w:rsidRPr="00211E3B">
        <w:rPr>
          <w:snapToGrid w:val="0"/>
          <w:sz w:val="22"/>
          <w:szCs w:val="24"/>
        </w:rPr>
        <w:t xml:space="preserve">Pastoti </w:t>
      </w:r>
      <w:r w:rsidR="00720723" w:rsidRPr="00211E3B">
        <w:rPr>
          <w:snapToGrid w:val="0"/>
          <w:sz w:val="22"/>
          <w:szCs w:val="24"/>
        </w:rPr>
        <w:t>galinčios</w:t>
      </w:r>
      <w:r w:rsidRPr="00211E3B">
        <w:rPr>
          <w:snapToGrid w:val="0"/>
          <w:sz w:val="22"/>
          <w:szCs w:val="24"/>
        </w:rPr>
        <w:t xml:space="preserve"> moterys turi naudoti labai veiksmingą kontracepcijos metodą pradėdamos</w:t>
      </w:r>
      <w:r w:rsidR="00720723" w:rsidRPr="00211E3B">
        <w:rPr>
          <w:snapToGrid w:val="0"/>
          <w:sz w:val="22"/>
          <w:szCs w:val="24"/>
        </w:rPr>
        <w:t xml:space="preserve"> vartoti </w:t>
      </w:r>
      <w:r w:rsidR="00224B5B" w:rsidRPr="00211E3B">
        <w:rPr>
          <w:snapToGrid w:val="0"/>
          <w:sz w:val="22"/>
          <w:szCs w:val="24"/>
        </w:rPr>
        <w:t>Agarf</w:t>
      </w:r>
      <w:r w:rsidR="00720723" w:rsidRPr="00211E3B">
        <w:rPr>
          <w:snapToGrid w:val="0"/>
          <w:sz w:val="22"/>
          <w:szCs w:val="24"/>
        </w:rPr>
        <w:t xml:space="preserve">, </w:t>
      </w:r>
      <w:r w:rsidRPr="00211E3B">
        <w:rPr>
          <w:snapToGrid w:val="0"/>
          <w:sz w:val="22"/>
          <w:szCs w:val="24"/>
        </w:rPr>
        <w:t>šio vaisto vartojimo laikotarpiu</w:t>
      </w:r>
      <w:r w:rsidR="00720723" w:rsidRPr="00211E3B">
        <w:rPr>
          <w:snapToGrid w:val="0"/>
          <w:sz w:val="22"/>
          <w:szCs w:val="24"/>
        </w:rPr>
        <w:t xml:space="preserve"> ir mažiausiai dar 3</w:t>
      </w:r>
      <w:r w:rsidRPr="00211E3B">
        <w:rPr>
          <w:snapToGrid w:val="0"/>
          <w:sz w:val="22"/>
          <w:szCs w:val="24"/>
        </w:rPr>
        <w:t> </w:t>
      </w:r>
      <w:r w:rsidR="00720723" w:rsidRPr="00211E3B">
        <w:rPr>
          <w:snapToGrid w:val="0"/>
          <w:sz w:val="22"/>
          <w:szCs w:val="24"/>
        </w:rPr>
        <w:t>mėnesius po paskutinės vaisto dozės pavartojimo.</w:t>
      </w:r>
    </w:p>
    <w:p w14:paraId="74409B9B" w14:textId="45F09924" w:rsidR="00720723" w:rsidRPr="00211E3B" w:rsidRDefault="00720723" w:rsidP="00720723">
      <w:pPr>
        <w:pStyle w:val="Sraopastraipa"/>
        <w:numPr>
          <w:ilvl w:val="0"/>
          <w:numId w:val="7"/>
        </w:numPr>
        <w:ind w:left="567" w:right="-2" w:hanging="567"/>
        <w:rPr>
          <w:snapToGrid w:val="0"/>
          <w:sz w:val="22"/>
          <w:szCs w:val="24"/>
        </w:rPr>
      </w:pPr>
      <w:r w:rsidRPr="00211E3B">
        <w:rPr>
          <w:snapToGrid w:val="0"/>
          <w:sz w:val="22"/>
          <w:szCs w:val="24"/>
        </w:rPr>
        <w:t>Turite aptarti su savo gydytoju geriausiai Jums tinkamus kontracepcijos metodus.</w:t>
      </w:r>
    </w:p>
    <w:p w14:paraId="59844747" w14:textId="32492945" w:rsidR="00720723" w:rsidRPr="00211E3B" w:rsidRDefault="00720723" w:rsidP="00256DA0">
      <w:pPr>
        <w:pStyle w:val="Sraopastraipa"/>
        <w:numPr>
          <w:ilvl w:val="0"/>
          <w:numId w:val="7"/>
        </w:numPr>
        <w:ind w:left="567" w:right="-2" w:hanging="567"/>
        <w:rPr>
          <w:snapToGrid w:val="0"/>
          <w:sz w:val="22"/>
          <w:szCs w:val="24"/>
        </w:rPr>
      </w:pPr>
      <w:r w:rsidRPr="00211E3B">
        <w:rPr>
          <w:snapToGrid w:val="0"/>
          <w:sz w:val="22"/>
          <w:szCs w:val="24"/>
        </w:rPr>
        <w:t xml:space="preserve">Vėmimas ir (arba) viduriavimas arba kitos virškinimo trakto būklės gali paveikti geriamųjų hormoninių kontraceptikų, tokių kaip kontraceptinės tabletės, absorbciją ir sumažinti jų veiksmingumą. Todėl, jei </w:t>
      </w:r>
      <w:r w:rsidR="008954BD" w:rsidRPr="00211E3B">
        <w:rPr>
          <w:snapToGrid w:val="0"/>
          <w:sz w:val="22"/>
          <w:szCs w:val="24"/>
        </w:rPr>
        <w:t>pasireiškia</w:t>
      </w:r>
      <w:r w:rsidRPr="00211E3B">
        <w:rPr>
          <w:snapToGrid w:val="0"/>
          <w:sz w:val="22"/>
          <w:szCs w:val="24"/>
        </w:rPr>
        <w:t xml:space="preserve"> minėt</w:t>
      </w:r>
      <w:r w:rsidR="008954BD" w:rsidRPr="00211E3B">
        <w:rPr>
          <w:snapToGrid w:val="0"/>
          <w:sz w:val="22"/>
          <w:szCs w:val="24"/>
        </w:rPr>
        <w:t>a</w:t>
      </w:r>
      <w:r w:rsidRPr="00211E3B">
        <w:rPr>
          <w:snapToGrid w:val="0"/>
          <w:sz w:val="22"/>
          <w:szCs w:val="24"/>
        </w:rPr>
        <w:t xml:space="preserve"> būkl</w:t>
      </w:r>
      <w:r w:rsidR="008954BD" w:rsidRPr="00211E3B">
        <w:rPr>
          <w:snapToGrid w:val="0"/>
          <w:sz w:val="22"/>
          <w:szCs w:val="24"/>
        </w:rPr>
        <w:t>ė</w:t>
      </w:r>
      <w:r w:rsidRPr="00211E3B">
        <w:rPr>
          <w:snapToGrid w:val="0"/>
          <w:sz w:val="22"/>
          <w:szCs w:val="24"/>
        </w:rPr>
        <w:t>, pasikalbėkite su savo gydytoju</w:t>
      </w:r>
      <w:r w:rsidR="008954BD" w:rsidRPr="00211E3B">
        <w:rPr>
          <w:snapToGrid w:val="0"/>
          <w:sz w:val="22"/>
          <w:szCs w:val="24"/>
        </w:rPr>
        <w:t xml:space="preserve"> ir </w:t>
      </w:r>
      <w:r w:rsidR="0068342C" w:rsidRPr="00211E3B">
        <w:rPr>
          <w:snapToGrid w:val="0"/>
          <w:sz w:val="22"/>
          <w:szCs w:val="24"/>
        </w:rPr>
        <w:t>ap</w:t>
      </w:r>
      <w:r w:rsidR="008954BD" w:rsidRPr="00211E3B">
        <w:rPr>
          <w:snapToGrid w:val="0"/>
          <w:sz w:val="22"/>
          <w:szCs w:val="24"/>
        </w:rPr>
        <w:t>svarstykite</w:t>
      </w:r>
      <w:r w:rsidRPr="00211E3B">
        <w:rPr>
          <w:snapToGrid w:val="0"/>
          <w:sz w:val="22"/>
          <w:szCs w:val="24"/>
        </w:rPr>
        <w:t xml:space="preserve"> alternatyv</w:t>
      </w:r>
      <w:r w:rsidR="008954BD" w:rsidRPr="00211E3B">
        <w:rPr>
          <w:snapToGrid w:val="0"/>
          <w:sz w:val="22"/>
          <w:szCs w:val="24"/>
        </w:rPr>
        <w:t>ų</w:t>
      </w:r>
      <w:r w:rsidRPr="00211E3B">
        <w:rPr>
          <w:snapToGrid w:val="0"/>
          <w:sz w:val="22"/>
          <w:szCs w:val="24"/>
        </w:rPr>
        <w:t xml:space="preserve"> tinkamesn</w:t>
      </w:r>
      <w:r w:rsidR="008954BD" w:rsidRPr="00211E3B">
        <w:rPr>
          <w:snapToGrid w:val="0"/>
          <w:sz w:val="22"/>
          <w:szCs w:val="24"/>
        </w:rPr>
        <w:t>į</w:t>
      </w:r>
      <w:r w:rsidRPr="00211E3B">
        <w:rPr>
          <w:snapToGrid w:val="0"/>
          <w:sz w:val="22"/>
          <w:szCs w:val="24"/>
        </w:rPr>
        <w:t xml:space="preserve"> kontracepcijos metod</w:t>
      </w:r>
      <w:r w:rsidR="008954BD" w:rsidRPr="00211E3B">
        <w:rPr>
          <w:snapToGrid w:val="0"/>
          <w:sz w:val="22"/>
          <w:szCs w:val="24"/>
        </w:rPr>
        <w:t>ą</w:t>
      </w:r>
      <w:r w:rsidRPr="00211E3B">
        <w:rPr>
          <w:snapToGrid w:val="0"/>
          <w:sz w:val="22"/>
          <w:szCs w:val="24"/>
        </w:rPr>
        <w:t>.</w:t>
      </w:r>
    </w:p>
    <w:p w14:paraId="5E114C04" w14:textId="7170AB08" w:rsidR="00720723" w:rsidRPr="00211E3B" w:rsidRDefault="00720723" w:rsidP="00256DA0">
      <w:pPr>
        <w:pStyle w:val="Sraopastraipa"/>
        <w:numPr>
          <w:ilvl w:val="0"/>
          <w:numId w:val="7"/>
        </w:numPr>
        <w:ind w:left="567" w:right="-2" w:hanging="567"/>
        <w:rPr>
          <w:snapToGrid w:val="0"/>
          <w:sz w:val="22"/>
          <w:szCs w:val="24"/>
        </w:rPr>
      </w:pPr>
      <w:r w:rsidRPr="00211E3B">
        <w:rPr>
          <w:snapToGrid w:val="0"/>
          <w:sz w:val="22"/>
          <w:szCs w:val="24"/>
        </w:rPr>
        <w:t xml:space="preserve">Nedelsdama pasakykite gydytojui ar vaistininkui, jeigu gydymo </w:t>
      </w:r>
      <w:r w:rsidR="00224B5B" w:rsidRPr="00211E3B">
        <w:rPr>
          <w:snapToGrid w:val="0"/>
          <w:sz w:val="22"/>
          <w:szCs w:val="24"/>
        </w:rPr>
        <w:t>Agarf</w:t>
      </w:r>
      <w:r w:rsidRPr="00211E3B">
        <w:rPr>
          <w:snapToGrid w:val="0"/>
          <w:sz w:val="22"/>
          <w:szCs w:val="24"/>
        </w:rPr>
        <w:t xml:space="preserve"> metu pastojate arba manote, kad </w:t>
      </w:r>
      <w:r w:rsidR="008954BD" w:rsidRPr="00211E3B">
        <w:rPr>
          <w:snapToGrid w:val="0"/>
          <w:sz w:val="22"/>
          <w:szCs w:val="24"/>
        </w:rPr>
        <w:t>galėjote pastoti</w:t>
      </w:r>
      <w:r w:rsidRPr="00211E3B">
        <w:rPr>
          <w:snapToGrid w:val="0"/>
          <w:sz w:val="22"/>
          <w:szCs w:val="24"/>
        </w:rPr>
        <w:t>.</w:t>
      </w:r>
    </w:p>
    <w:p w14:paraId="2224ECB0" w14:textId="77777777" w:rsidR="00720723" w:rsidRPr="00211E3B" w:rsidRDefault="00720723" w:rsidP="00720723">
      <w:pPr>
        <w:numPr>
          <w:ilvl w:val="12"/>
          <w:numId w:val="0"/>
        </w:numPr>
        <w:rPr>
          <w:snapToGrid w:val="0"/>
          <w:sz w:val="22"/>
          <w:szCs w:val="24"/>
        </w:rPr>
      </w:pPr>
    </w:p>
    <w:p w14:paraId="589E1DAD" w14:textId="5161707B" w:rsidR="00720723" w:rsidRPr="00211E3B" w:rsidRDefault="00720723" w:rsidP="00720723">
      <w:pPr>
        <w:numPr>
          <w:ilvl w:val="12"/>
          <w:numId w:val="0"/>
        </w:numPr>
        <w:rPr>
          <w:snapToGrid w:val="0"/>
          <w:sz w:val="22"/>
          <w:szCs w:val="24"/>
          <w:u w:val="single"/>
        </w:rPr>
      </w:pPr>
      <w:r w:rsidRPr="00211E3B">
        <w:rPr>
          <w:snapToGrid w:val="0"/>
          <w:sz w:val="22"/>
          <w:szCs w:val="24"/>
          <w:u w:val="single"/>
        </w:rPr>
        <w:t>Žindymo laikotarpis</w:t>
      </w:r>
    </w:p>
    <w:p w14:paraId="6ADB415C" w14:textId="09F240B0" w:rsidR="00720723" w:rsidRPr="00211E3B" w:rsidRDefault="00437538" w:rsidP="00720723">
      <w:pPr>
        <w:numPr>
          <w:ilvl w:val="12"/>
          <w:numId w:val="0"/>
        </w:numPr>
        <w:rPr>
          <w:snapToGrid w:val="0"/>
          <w:sz w:val="22"/>
          <w:szCs w:val="24"/>
        </w:rPr>
      </w:pPr>
      <w:r>
        <w:rPr>
          <w:snapToGrid w:val="0"/>
          <w:sz w:val="22"/>
          <w:szCs w:val="24"/>
        </w:rPr>
        <w:t>G</w:t>
      </w:r>
      <w:r w:rsidR="00720723" w:rsidRPr="00211E3B">
        <w:rPr>
          <w:snapToGrid w:val="0"/>
          <w:sz w:val="22"/>
          <w:szCs w:val="24"/>
        </w:rPr>
        <w:t xml:space="preserve">ydymo šiuo vaistu metu </w:t>
      </w:r>
      <w:r w:rsidR="00F20A62" w:rsidRPr="00F20A62">
        <w:rPr>
          <w:snapToGrid w:val="0"/>
          <w:sz w:val="22"/>
          <w:szCs w:val="24"/>
        </w:rPr>
        <w:t>nežindykite, nes tai gali pakenkti žindomam kūdikiui.</w:t>
      </w:r>
    </w:p>
    <w:p w14:paraId="56D050C7" w14:textId="77777777" w:rsidR="005D554B" w:rsidRPr="00211E3B" w:rsidRDefault="005D554B" w:rsidP="005D554B">
      <w:pPr>
        <w:numPr>
          <w:ilvl w:val="12"/>
          <w:numId w:val="0"/>
        </w:numPr>
        <w:rPr>
          <w:snapToGrid w:val="0"/>
          <w:sz w:val="22"/>
          <w:szCs w:val="24"/>
        </w:rPr>
      </w:pPr>
    </w:p>
    <w:p w14:paraId="10B7C859" w14:textId="77777777" w:rsidR="005D554B" w:rsidRPr="00211E3B" w:rsidRDefault="005D554B" w:rsidP="005D554B">
      <w:pPr>
        <w:keepNext/>
        <w:tabs>
          <w:tab w:val="left" w:pos="567"/>
        </w:tabs>
        <w:spacing w:line="260" w:lineRule="exact"/>
        <w:jc w:val="both"/>
        <w:outlineLvl w:val="3"/>
        <w:rPr>
          <w:b/>
          <w:bCs/>
          <w:snapToGrid w:val="0"/>
          <w:sz w:val="22"/>
          <w:szCs w:val="28"/>
          <w:lang w:eastAsia="x-none"/>
        </w:rPr>
      </w:pPr>
      <w:r w:rsidRPr="00211E3B">
        <w:rPr>
          <w:b/>
          <w:bCs/>
          <w:snapToGrid w:val="0"/>
          <w:sz w:val="22"/>
          <w:szCs w:val="28"/>
          <w:lang w:eastAsia="x-none"/>
        </w:rPr>
        <w:t>Vairavimas ir mechanizmų valdymas</w:t>
      </w:r>
    </w:p>
    <w:p w14:paraId="758DC0F1" w14:textId="77777777" w:rsidR="005D554B" w:rsidRPr="00211E3B" w:rsidRDefault="005D554B" w:rsidP="005D554B">
      <w:pPr>
        <w:numPr>
          <w:ilvl w:val="12"/>
          <w:numId w:val="0"/>
        </w:numPr>
        <w:ind w:right="-2"/>
        <w:rPr>
          <w:snapToGrid w:val="0"/>
          <w:sz w:val="22"/>
          <w:szCs w:val="24"/>
        </w:rPr>
      </w:pPr>
    </w:p>
    <w:p w14:paraId="30AFB59A" w14:textId="5DE2E08A" w:rsidR="005D554B" w:rsidRPr="00211E3B" w:rsidRDefault="00224B5B" w:rsidP="005D554B">
      <w:pPr>
        <w:numPr>
          <w:ilvl w:val="12"/>
          <w:numId w:val="0"/>
        </w:numPr>
        <w:ind w:right="-2"/>
        <w:rPr>
          <w:snapToGrid w:val="0"/>
          <w:sz w:val="22"/>
          <w:szCs w:val="28"/>
          <w:lang w:eastAsia="x-none"/>
        </w:rPr>
      </w:pPr>
      <w:r w:rsidRPr="00211E3B">
        <w:rPr>
          <w:snapToGrid w:val="0"/>
          <w:sz w:val="22"/>
          <w:szCs w:val="28"/>
          <w:lang w:eastAsia="x-none"/>
        </w:rPr>
        <w:t>Agarf</w:t>
      </w:r>
      <w:r w:rsidR="000E27DA" w:rsidRPr="00211E3B">
        <w:rPr>
          <w:snapToGrid w:val="0"/>
          <w:sz w:val="22"/>
          <w:szCs w:val="28"/>
          <w:lang w:eastAsia="x-none"/>
        </w:rPr>
        <w:t xml:space="preserve"> gali silpnai veikti Jūsų gebėjimą vairuoti ir valdyti mechanizmus. Jei </w:t>
      </w:r>
      <w:r w:rsidR="00CE585C" w:rsidRPr="00211E3B">
        <w:rPr>
          <w:snapToGrid w:val="0"/>
          <w:sz w:val="22"/>
          <w:szCs w:val="28"/>
          <w:lang w:eastAsia="x-none"/>
        </w:rPr>
        <w:t>blogai jaučiatės</w:t>
      </w:r>
      <w:r w:rsidR="000E27DA" w:rsidRPr="00211E3B">
        <w:rPr>
          <w:snapToGrid w:val="0"/>
          <w:sz w:val="22"/>
          <w:szCs w:val="28"/>
          <w:lang w:eastAsia="x-none"/>
        </w:rPr>
        <w:t>,</w:t>
      </w:r>
      <w:r w:rsidR="00CE585C" w:rsidRPr="00211E3B">
        <w:rPr>
          <w:snapToGrid w:val="0"/>
          <w:sz w:val="22"/>
          <w:szCs w:val="28"/>
          <w:lang w:eastAsia="x-none"/>
        </w:rPr>
        <w:t xml:space="preserve"> </w:t>
      </w:r>
      <w:r w:rsidR="000E27DA" w:rsidRPr="00211E3B">
        <w:rPr>
          <w:snapToGrid w:val="0"/>
          <w:sz w:val="22"/>
          <w:szCs w:val="28"/>
          <w:lang w:eastAsia="x-none"/>
        </w:rPr>
        <w:t>nevairuokite ir nevaldykite mechanizmų.</w:t>
      </w:r>
    </w:p>
    <w:p w14:paraId="37975F7A" w14:textId="77777777" w:rsidR="00720723" w:rsidRPr="00211E3B" w:rsidRDefault="00720723" w:rsidP="005D554B">
      <w:pPr>
        <w:numPr>
          <w:ilvl w:val="12"/>
          <w:numId w:val="0"/>
        </w:numPr>
        <w:ind w:right="-2"/>
        <w:rPr>
          <w:snapToGrid w:val="0"/>
          <w:sz w:val="22"/>
          <w:szCs w:val="24"/>
        </w:rPr>
      </w:pPr>
    </w:p>
    <w:p w14:paraId="2C4E0856" w14:textId="77777777" w:rsidR="00CE585C" w:rsidRPr="00211E3B" w:rsidRDefault="00CE585C" w:rsidP="005D554B">
      <w:pPr>
        <w:numPr>
          <w:ilvl w:val="12"/>
          <w:numId w:val="0"/>
        </w:numPr>
        <w:ind w:right="-2"/>
        <w:rPr>
          <w:snapToGrid w:val="0"/>
          <w:sz w:val="22"/>
          <w:szCs w:val="24"/>
        </w:rPr>
      </w:pPr>
    </w:p>
    <w:p w14:paraId="5FD6B261" w14:textId="4A9802D7" w:rsidR="005D554B" w:rsidRPr="00211E3B" w:rsidRDefault="005D554B" w:rsidP="005D554B">
      <w:pPr>
        <w:keepNext/>
        <w:keepLines/>
        <w:tabs>
          <w:tab w:val="left" w:pos="567"/>
        </w:tabs>
        <w:outlineLvl w:val="2"/>
        <w:rPr>
          <w:b/>
          <w:bCs/>
          <w:snapToGrid w:val="0"/>
          <w:sz w:val="22"/>
          <w:szCs w:val="26"/>
          <w:lang w:eastAsia="x-none"/>
        </w:rPr>
      </w:pPr>
      <w:r w:rsidRPr="00211E3B">
        <w:rPr>
          <w:b/>
          <w:bCs/>
          <w:snapToGrid w:val="0"/>
          <w:sz w:val="22"/>
          <w:szCs w:val="26"/>
          <w:lang w:eastAsia="x-none"/>
        </w:rPr>
        <w:t>3.</w:t>
      </w:r>
      <w:r w:rsidRPr="00211E3B">
        <w:rPr>
          <w:b/>
          <w:bCs/>
          <w:snapToGrid w:val="0"/>
          <w:sz w:val="22"/>
          <w:szCs w:val="26"/>
          <w:lang w:eastAsia="x-none"/>
        </w:rPr>
        <w:tab/>
        <w:t xml:space="preserve">Kaip vartoti </w:t>
      </w:r>
      <w:r w:rsidR="00224B5B" w:rsidRPr="00211E3B">
        <w:rPr>
          <w:b/>
          <w:bCs/>
          <w:snapToGrid w:val="0"/>
          <w:sz w:val="22"/>
          <w:szCs w:val="26"/>
          <w:lang w:eastAsia="x-none"/>
        </w:rPr>
        <w:t>Agarf</w:t>
      </w:r>
    </w:p>
    <w:p w14:paraId="4A86207C" w14:textId="77777777" w:rsidR="005D554B" w:rsidRPr="00211E3B" w:rsidRDefault="005D554B" w:rsidP="005D554B">
      <w:pPr>
        <w:numPr>
          <w:ilvl w:val="12"/>
          <w:numId w:val="0"/>
        </w:numPr>
        <w:ind w:right="-2"/>
        <w:rPr>
          <w:snapToGrid w:val="0"/>
          <w:sz w:val="22"/>
          <w:szCs w:val="24"/>
        </w:rPr>
      </w:pPr>
    </w:p>
    <w:p w14:paraId="16990872" w14:textId="433A77CF" w:rsidR="005D554B" w:rsidRPr="00211E3B" w:rsidRDefault="005D554B" w:rsidP="005D554B">
      <w:pPr>
        <w:ind w:right="-2"/>
        <w:rPr>
          <w:snapToGrid w:val="0"/>
          <w:sz w:val="22"/>
        </w:rPr>
      </w:pPr>
      <w:r w:rsidRPr="00211E3B">
        <w:rPr>
          <w:snapToGrid w:val="0"/>
          <w:sz w:val="22"/>
        </w:rPr>
        <w:t>Visada vartokite šį vaistą tiksliai, kaip nurodė gydytojas arba vaistininkas. Jeigu abejojate, kreipkitės į gydytoją</w:t>
      </w:r>
      <w:r w:rsidR="00C45C71" w:rsidRPr="00211E3B">
        <w:rPr>
          <w:snapToGrid w:val="0"/>
          <w:sz w:val="22"/>
        </w:rPr>
        <w:t xml:space="preserve"> </w:t>
      </w:r>
      <w:r w:rsidRPr="00211E3B">
        <w:rPr>
          <w:snapToGrid w:val="0"/>
          <w:sz w:val="22"/>
        </w:rPr>
        <w:t>arba</w:t>
      </w:r>
      <w:r w:rsidR="00C45C71" w:rsidRPr="00211E3B">
        <w:rPr>
          <w:snapToGrid w:val="0"/>
          <w:sz w:val="22"/>
        </w:rPr>
        <w:t xml:space="preserve"> </w:t>
      </w:r>
      <w:r w:rsidRPr="00211E3B">
        <w:rPr>
          <w:snapToGrid w:val="0"/>
          <w:sz w:val="22"/>
        </w:rPr>
        <w:t>vaistininką</w:t>
      </w:r>
      <w:r w:rsidR="00C45C71" w:rsidRPr="00211E3B">
        <w:rPr>
          <w:snapToGrid w:val="0"/>
          <w:sz w:val="22"/>
        </w:rPr>
        <w:t>.</w:t>
      </w:r>
    </w:p>
    <w:p w14:paraId="07E5B743" w14:textId="77777777" w:rsidR="005D554B" w:rsidRPr="00211E3B" w:rsidRDefault="005D554B" w:rsidP="005D554B">
      <w:pPr>
        <w:numPr>
          <w:ilvl w:val="12"/>
          <w:numId w:val="0"/>
        </w:numPr>
        <w:ind w:right="-2"/>
        <w:rPr>
          <w:snapToGrid w:val="0"/>
          <w:sz w:val="22"/>
          <w:szCs w:val="24"/>
        </w:rPr>
      </w:pPr>
    </w:p>
    <w:p w14:paraId="369FF466" w14:textId="4A9D7AC2" w:rsidR="001E5216" w:rsidRPr="00211E3B" w:rsidRDefault="00786611" w:rsidP="001E5216">
      <w:pPr>
        <w:numPr>
          <w:ilvl w:val="12"/>
          <w:numId w:val="0"/>
        </w:numPr>
        <w:ind w:right="-2"/>
        <w:rPr>
          <w:snapToGrid w:val="0"/>
          <w:sz w:val="22"/>
          <w:szCs w:val="24"/>
        </w:rPr>
      </w:pPr>
      <w:r w:rsidRPr="00786611">
        <w:rPr>
          <w:snapToGrid w:val="0"/>
          <w:sz w:val="22"/>
          <w:szCs w:val="24"/>
        </w:rPr>
        <w:t>Gerkite kapsules du kartus per parą, darydami maždaug 12</w:t>
      </w:r>
      <w:r>
        <w:rPr>
          <w:snapToGrid w:val="0"/>
          <w:sz w:val="22"/>
          <w:szCs w:val="24"/>
        </w:rPr>
        <w:t> </w:t>
      </w:r>
      <w:r w:rsidRPr="00786611">
        <w:rPr>
          <w:snapToGrid w:val="0"/>
          <w:sz w:val="22"/>
          <w:szCs w:val="24"/>
        </w:rPr>
        <w:t>valandų pertrauką tarp jų vartojimo, tokiu</w:t>
      </w:r>
      <w:r>
        <w:rPr>
          <w:snapToGrid w:val="0"/>
          <w:sz w:val="22"/>
          <w:szCs w:val="24"/>
        </w:rPr>
        <w:t xml:space="preserve"> </w:t>
      </w:r>
      <w:r w:rsidRPr="00786611">
        <w:rPr>
          <w:snapToGrid w:val="0"/>
          <w:sz w:val="22"/>
          <w:szCs w:val="24"/>
        </w:rPr>
        <w:t>pačiu laiku kiekvieną dieną, pavyzdžiui, gerkite vieną kapsulę ryte ir vieną kapsulę vakare. Tai</w:t>
      </w:r>
      <w:r>
        <w:rPr>
          <w:snapToGrid w:val="0"/>
          <w:sz w:val="22"/>
          <w:szCs w:val="24"/>
        </w:rPr>
        <w:t xml:space="preserve"> </w:t>
      </w:r>
      <w:r w:rsidRPr="00786611">
        <w:rPr>
          <w:snapToGrid w:val="0"/>
          <w:sz w:val="22"/>
          <w:szCs w:val="24"/>
        </w:rPr>
        <w:t>užtikrins</w:t>
      </w:r>
      <w:r>
        <w:rPr>
          <w:snapToGrid w:val="0"/>
          <w:sz w:val="22"/>
          <w:szCs w:val="24"/>
        </w:rPr>
        <w:t xml:space="preserve"> stabilų </w:t>
      </w:r>
      <w:r w:rsidRPr="00786611">
        <w:rPr>
          <w:snapToGrid w:val="0"/>
          <w:sz w:val="22"/>
          <w:szCs w:val="24"/>
        </w:rPr>
        <w:t>nintedanibo kiek</w:t>
      </w:r>
      <w:r>
        <w:rPr>
          <w:snapToGrid w:val="0"/>
          <w:sz w:val="22"/>
          <w:szCs w:val="24"/>
        </w:rPr>
        <w:t>į</w:t>
      </w:r>
      <w:r w:rsidRPr="00786611">
        <w:rPr>
          <w:snapToGrid w:val="0"/>
          <w:sz w:val="22"/>
          <w:szCs w:val="24"/>
        </w:rPr>
        <w:t xml:space="preserve"> kraujyje.</w:t>
      </w:r>
      <w:r>
        <w:rPr>
          <w:snapToGrid w:val="0"/>
          <w:sz w:val="22"/>
          <w:szCs w:val="24"/>
        </w:rPr>
        <w:t xml:space="preserve"> </w:t>
      </w:r>
      <w:r w:rsidR="00C45C71" w:rsidRPr="00211E3B">
        <w:rPr>
          <w:snapToGrid w:val="0"/>
          <w:sz w:val="22"/>
          <w:szCs w:val="24"/>
        </w:rPr>
        <w:t>Kapsules n</w:t>
      </w:r>
      <w:r w:rsidR="001E5216" w:rsidRPr="00211E3B">
        <w:rPr>
          <w:snapToGrid w:val="0"/>
          <w:sz w:val="22"/>
          <w:szCs w:val="24"/>
        </w:rPr>
        <w:t xml:space="preserve">urykite </w:t>
      </w:r>
      <w:r w:rsidR="00C45C71" w:rsidRPr="00211E3B">
        <w:rPr>
          <w:snapToGrid w:val="0"/>
          <w:sz w:val="22"/>
          <w:szCs w:val="24"/>
        </w:rPr>
        <w:t>sveikas</w:t>
      </w:r>
      <w:r w:rsidR="001E5216" w:rsidRPr="00211E3B">
        <w:rPr>
          <w:snapToGrid w:val="0"/>
          <w:sz w:val="22"/>
          <w:szCs w:val="24"/>
        </w:rPr>
        <w:t xml:space="preserve"> užsigerdami vandeniu</w:t>
      </w:r>
      <w:r>
        <w:rPr>
          <w:snapToGrid w:val="0"/>
          <w:sz w:val="22"/>
          <w:szCs w:val="24"/>
        </w:rPr>
        <w:t>, kapsulių nekramtykite</w:t>
      </w:r>
      <w:r w:rsidR="001E5216" w:rsidRPr="00211E3B">
        <w:rPr>
          <w:snapToGrid w:val="0"/>
          <w:sz w:val="22"/>
          <w:szCs w:val="24"/>
        </w:rPr>
        <w:t xml:space="preserve">. Rekomenduojama </w:t>
      </w:r>
      <w:r w:rsidR="001E5216" w:rsidRPr="00830A3C">
        <w:rPr>
          <w:snapToGrid w:val="0"/>
          <w:sz w:val="22"/>
          <w:szCs w:val="24"/>
        </w:rPr>
        <w:t>kapsules</w:t>
      </w:r>
      <w:r w:rsidR="00C45C71" w:rsidRPr="00830A3C">
        <w:rPr>
          <w:snapToGrid w:val="0"/>
          <w:sz w:val="22"/>
          <w:szCs w:val="24"/>
        </w:rPr>
        <w:t xml:space="preserve"> </w:t>
      </w:r>
      <w:r w:rsidR="00830A3C">
        <w:rPr>
          <w:snapToGrid w:val="0"/>
          <w:sz w:val="22"/>
          <w:szCs w:val="24"/>
        </w:rPr>
        <w:t>vartoti</w:t>
      </w:r>
      <w:r w:rsidR="001E5216" w:rsidRPr="00830A3C">
        <w:rPr>
          <w:snapToGrid w:val="0"/>
          <w:sz w:val="22"/>
          <w:szCs w:val="24"/>
        </w:rPr>
        <w:t xml:space="preserve"> su maistu</w:t>
      </w:r>
      <w:r w:rsidR="001E5216" w:rsidRPr="00211E3B">
        <w:rPr>
          <w:snapToGrid w:val="0"/>
          <w:sz w:val="22"/>
          <w:szCs w:val="24"/>
        </w:rPr>
        <w:t xml:space="preserve">, </w:t>
      </w:r>
      <w:r>
        <w:rPr>
          <w:snapToGrid w:val="0"/>
          <w:sz w:val="22"/>
          <w:szCs w:val="24"/>
        </w:rPr>
        <w:t xml:space="preserve">pavyzdžiui, </w:t>
      </w:r>
      <w:r w:rsidR="001E5216" w:rsidRPr="00211E3B">
        <w:rPr>
          <w:snapToGrid w:val="0"/>
          <w:sz w:val="22"/>
          <w:szCs w:val="24"/>
        </w:rPr>
        <w:t>valg</w:t>
      </w:r>
      <w:r w:rsidR="00C45C71" w:rsidRPr="00211E3B">
        <w:rPr>
          <w:snapToGrid w:val="0"/>
          <w:sz w:val="22"/>
          <w:szCs w:val="24"/>
        </w:rPr>
        <w:t>io metu, prieš pat valgį ar tuoj po jo</w:t>
      </w:r>
      <w:r w:rsidR="001E5216" w:rsidRPr="00211E3B">
        <w:rPr>
          <w:snapToGrid w:val="0"/>
          <w:sz w:val="22"/>
          <w:szCs w:val="24"/>
        </w:rPr>
        <w:t>.</w:t>
      </w:r>
      <w:r w:rsidR="009D2D59">
        <w:rPr>
          <w:snapToGrid w:val="0"/>
          <w:sz w:val="22"/>
          <w:szCs w:val="24"/>
        </w:rPr>
        <w:t xml:space="preserve"> </w:t>
      </w:r>
      <w:r w:rsidR="001E5216" w:rsidRPr="00211E3B">
        <w:rPr>
          <w:snapToGrid w:val="0"/>
          <w:sz w:val="22"/>
          <w:szCs w:val="24"/>
        </w:rPr>
        <w:t>Kapsulės neatidarykite ir netraiškykite (žr. 5</w:t>
      </w:r>
      <w:r w:rsidR="00C45C71" w:rsidRPr="00211E3B">
        <w:rPr>
          <w:snapToGrid w:val="0"/>
          <w:sz w:val="22"/>
          <w:szCs w:val="24"/>
        </w:rPr>
        <w:t> </w:t>
      </w:r>
      <w:r w:rsidR="001E5216" w:rsidRPr="00211E3B">
        <w:rPr>
          <w:snapToGrid w:val="0"/>
          <w:sz w:val="22"/>
          <w:szCs w:val="24"/>
        </w:rPr>
        <w:t>skyrių).</w:t>
      </w:r>
    </w:p>
    <w:p w14:paraId="38BA2231" w14:textId="77777777" w:rsidR="00C45C71" w:rsidRPr="00211E3B" w:rsidRDefault="00C45C71" w:rsidP="001E5216">
      <w:pPr>
        <w:numPr>
          <w:ilvl w:val="12"/>
          <w:numId w:val="0"/>
        </w:numPr>
        <w:ind w:right="-2"/>
        <w:rPr>
          <w:snapToGrid w:val="0"/>
          <w:sz w:val="22"/>
          <w:szCs w:val="24"/>
        </w:rPr>
      </w:pPr>
    </w:p>
    <w:p w14:paraId="7801F9D3" w14:textId="2DA8615A" w:rsidR="00786611" w:rsidRPr="00786611" w:rsidRDefault="00786611" w:rsidP="001E5216">
      <w:pPr>
        <w:numPr>
          <w:ilvl w:val="12"/>
          <w:numId w:val="0"/>
        </w:numPr>
        <w:ind w:right="-2"/>
        <w:rPr>
          <w:b/>
          <w:bCs/>
          <w:snapToGrid w:val="0"/>
          <w:sz w:val="22"/>
          <w:szCs w:val="24"/>
        </w:rPr>
      </w:pPr>
      <w:r w:rsidRPr="00786611">
        <w:rPr>
          <w:b/>
          <w:bCs/>
          <w:snapToGrid w:val="0"/>
          <w:sz w:val="22"/>
          <w:szCs w:val="24"/>
        </w:rPr>
        <w:t>Suaugusie</w:t>
      </w:r>
      <w:r w:rsidR="00515F45">
        <w:rPr>
          <w:b/>
          <w:bCs/>
          <w:snapToGrid w:val="0"/>
          <w:sz w:val="22"/>
          <w:szCs w:val="24"/>
        </w:rPr>
        <w:t>siems</w:t>
      </w:r>
    </w:p>
    <w:p w14:paraId="58C500BE" w14:textId="0F94CAF0" w:rsidR="006F378C" w:rsidRDefault="001E5216" w:rsidP="001E5216">
      <w:pPr>
        <w:numPr>
          <w:ilvl w:val="12"/>
          <w:numId w:val="0"/>
        </w:numPr>
        <w:ind w:right="-2"/>
        <w:rPr>
          <w:snapToGrid w:val="0"/>
          <w:sz w:val="22"/>
          <w:szCs w:val="24"/>
        </w:rPr>
      </w:pPr>
      <w:r w:rsidRPr="00211E3B">
        <w:rPr>
          <w:snapToGrid w:val="0"/>
          <w:sz w:val="22"/>
          <w:szCs w:val="24"/>
        </w:rPr>
        <w:t xml:space="preserve">Rekomenduojama dozė yra </w:t>
      </w:r>
      <w:r w:rsidR="006F378C">
        <w:rPr>
          <w:snapToGrid w:val="0"/>
          <w:sz w:val="22"/>
          <w:szCs w:val="24"/>
        </w:rPr>
        <w:t>viena 100</w:t>
      </w:r>
      <w:r w:rsidR="0085390D">
        <w:rPr>
          <w:snapToGrid w:val="0"/>
          <w:sz w:val="22"/>
          <w:szCs w:val="24"/>
        </w:rPr>
        <w:t> mg</w:t>
      </w:r>
      <w:r w:rsidR="006F378C">
        <w:rPr>
          <w:snapToGrid w:val="0"/>
          <w:sz w:val="22"/>
          <w:szCs w:val="24"/>
        </w:rPr>
        <w:t xml:space="preserve"> kapsulė du kartus per parą (bendra paros dozė yra 200</w:t>
      </w:r>
      <w:r w:rsidR="0085390D">
        <w:rPr>
          <w:snapToGrid w:val="0"/>
          <w:sz w:val="22"/>
          <w:szCs w:val="24"/>
        </w:rPr>
        <w:t> mg</w:t>
      </w:r>
      <w:r w:rsidR="006F378C">
        <w:rPr>
          <w:snapToGrid w:val="0"/>
          <w:sz w:val="22"/>
          <w:szCs w:val="24"/>
        </w:rPr>
        <w:t>).</w:t>
      </w:r>
    </w:p>
    <w:p w14:paraId="67961003" w14:textId="77777777" w:rsidR="006F378C" w:rsidRDefault="006F378C" w:rsidP="001E5216">
      <w:pPr>
        <w:numPr>
          <w:ilvl w:val="12"/>
          <w:numId w:val="0"/>
        </w:numPr>
        <w:ind w:right="-2"/>
        <w:rPr>
          <w:snapToGrid w:val="0"/>
          <w:sz w:val="22"/>
          <w:szCs w:val="24"/>
        </w:rPr>
      </w:pPr>
    </w:p>
    <w:p w14:paraId="41627EEE" w14:textId="167B35BD" w:rsidR="006F378C" w:rsidRDefault="006F378C" w:rsidP="001E5216">
      <w:pPr>
        <w:numPr>
          <w:ilvl w:val="12"/>
          <w:numId w:val="0"/>
        </w:numPr>
        <w:ind w:right="-2"/>
        <w:rPr>
          <w:snapToGrid w:val="0"/>
          <w:sz w:val="22"/>
          <w:szCs w:val="24"/>
        </w:rPr>
      </w:pPr>
      <w:r w:rsidRPr="006F378C">
        <w:rPr>
          <w:snapToGrid w:val="0"/>
          <w:sz w:val="22"/>
          <w:szCs w:val="24"/>
        </w:rPr>
        <w:t xml:space="preserve">Nevartokite didesnės </w:t>
      </w:r>
      <w:r>
        <w:rPr>
          <w:snapToGrid w:val="0"/>
          <w:sz w:val="22"/>
          <w:szCs w:val="24"/>
        </w:rPr>
        <w:t>nei</w:t>
      </w:r>
      <w:r w:rsidRPr="006F378C">
        <w:rPr>
          <w:snapToGrid w:val="0"/>
          <w:sz w:val="22"/>
          <w:szCs w:val="24"/>
        </w:rPr>
        <w:t xml:space="preserve"> rekomenduojam</w:t>
      </w:r>
      <w:r w:rsidR="00996541">
        <w:rPr>
          <w:snapToGrid w:val="0"/>
          <w:sz w:val="22"/>
          <w:szCs w:val="24"/>
        </w:rPr>
        <w:t>a</w:t>
      </w:r>
      <w:r w:rsidRPr="006F378C">
        <w:rPr>
          <w:snapToGrid w:val="0"/>
          <w:sz w:val="22"/>
          <w:szCs w:val="24"/>
        </w:rPr>
        <w:t xml:space="preserve"> </w:t>
      </w:r>
      <w:r>
        <w:rPr>
          <w:snapToGrid w:val="0"/>
          <w:sz w:val="22"/>
          <w:szCs w:val="24"/>
        </w:rPr>
        <w:t>Agarf</w:t>
      </w:r>
      <w:r w:rsidRPr="006F378C">
        <w:rPr>
          <w:snapToGrid w:val="0"/>
          <w:sz w:val="22"/>
          <w:szCs w:val="24"/>
        </w:rPr>
        <w:t xml:space="preserve"> doz</w:t>
      </w:r>
      <w:r>
        <w:rPr>
          <w:snapToGrid w:val="0"/>
          <w:sz w:val="22"/>
          <w:szCs w:val="24"/>
        </w:rPr>
        <w:t xml:space="preserve">ės, t. y. dviejų </w:t>
      </w:r>
      <w:r w:rsidRPr="006F378C">
        <w:rPr>
          <w:snapToGrid w:val="0"/>
          <w:sz w:val="22"/>
          <w:szCs w:val="24"/>
        </w:rPr>
        <w:t>100</w:t>
      </w:r>
      <w:r w:rsidR="0085390D">
        <w:rPr>
          <w:snapToGrid w:val="0"/>
          <w:sz w:val="22"/>
          <w:szCs w:val="24"/>
        </w:rPr>
        <w:t> mg</w:t>
      </w:r>
      <w:r w:rsidRPr="006F378C">
        <w:rPr>
          <w:snapToGrid w:val="0"/>
          <w:sz w:val="22"/>
          <w:szCs w:val="24"/>
        </w:rPr>
        <w:t xml:space="preserve"> kapsul</w:t>
      </w:r>
      <w:r>
        <w:rPr>
          <w:snapToGrid w:val="0"/>
          <w:sz w:val="22"/>
          <w:szCs w:val="24"/>
        </w:rPr>
        <w:t>ių</w:t>
      </w:r>
      <w:r w:rsidRPr="006F378C">
        <w:rPr>
          <w:snapToGrid w:val="0"/>
          <w:sz w:val="22"/>
          <w:szCs w:val="24"/>
        </w:rPr>
        <w:t xml:space="preserve"> per parą.</w:t>
      </w:r>
    </w:p>
    <w:p w14:paraId="4A65B2F7" w14:textId="759DD0CA" w:rsidR="00C45C71" w:rsidRPr="00211E3B" w:rsidRDefault="00C45C71" w:rsidP="001E5216">
      <w:pPr>
        <w:numPr>
          <w:ilvl w:val="12"/>
          <w:numId w:val="0"/>
        </w:numPr>
        <w:ind w:right="-2"/>
        <w:rPr>
          <w:snapToGrid w:val="0"/>
          <w:sz w:val="22"/>
          <w:szCs w:val="24"/>
        </w:rPr>
      </w:pPr>
    </w:p>
    <w:p w14:paraId="2D25F6AC" w14:textId="741DEB66" w:rsidR="001E5216" w:rsidRPr="00211E3B" w:rsidRDefault="001E5216" w:rsidP="001E5216">
      <w:pPr>
        <w:numPr>
          <w:ilvl w:val="12"/>
          <w:numId w:val="0"/>
        </w:numPr>
        <w:ind w:right="-2"/>
        <w:rPr>
          <w:snapToGrid w:val="0"/>
          <w:sz w:val="22"/>
          <w:szCs w:val="24"/>
        </w:rPr>
      </w:pPr>
      <w:r w:rsidRPr="00211E3B">
        <w:rPr>
          <w:snapToGrid w:val="0"/>
          <w:sz w:val="22"/>
          <w:szCs w:val="24"/>
        </w:rPr>
        <w:t xml:space="preserve">Jeigu rekomenduojamos </w:t>
      </w:r>
      <w:r w:rsidR="006F378C">
        <w:rPr>
          <w:snapToGrid w:val="0"/>
          <w:sz w:val="22"/>
          <w:szCs w:val="24"/>
        </w:rPr>
        <w:t>dviejų 100</w:t>
      </w:r>
      <w:r w:rsidR="0085390D">
        <w:rPr>
          <w:snapToGrid w:val="0"/>
          <w:sz w:val="22"/>
          <w:szCs w:val="24"/>
        </w:rPr>
        <w:t> mg</w:t>
      </w:r>
      <w:r w:rsidR="006F378C">
        <w:rPr>
          <w:snapToGrid w:val="0"/>
          <w:sz w:val="22"/>
          <w:szCs w:val="24"/>
        </w:rPr>
        <w:t xml:space="preserve"> Agarf kapsulių paros </w:t>
      </w:r>
      <w:r w:rsidRPr="00211E3B">
        <w:rPr>
          <w:snapToGrid w:val="0"/>
          <w:sz w:val="22"/>
          <w:szCs w:val="24"/>
        </w:rPr>
        <w:t xml:space="preserve">dozės </w:t>
      </w:r>
      <w:r w:rsidR="00237008" w:rsidRPr="00211E3B">
        <w:rPr>
          <w:snapToGrid w:val="0"/>
          <w:sz w:val="22"/>
          <w:szCs w:val="24"/>
        </w:rPr>
        <w:t xml:space="preserve">netoleruojate </w:t>
      </w:r>
      <w:r w:rsidRPr="00211E3B">
        <w:rPr>
          <w:snapToGrid w:val="0"/>
          <w:sz w:val="22"/>
          <w:szCs w:val="24"/>
        </w:rPr>
        <w:t>(žr. 4</w:t>
      </w:r>
      <w:r w:rsidR="00237008" w:rsidRPr="00211E3B">
        <w:rPr>
          <w:snapToGrid w:val="0"/>
          <w:sz w:val="22"/>
          <w:szCs w:val="24"/>
        </w:rPr>
        <w:t> </w:t>
      </w:r>
      <w:r w:rsidRPr="00211E3B">
        <w:rPr>
          <w:snapToGrid w:val="0"/>
          <w:sz w:val="22"/>
          <w:szCs w:val="24"/>
        </w:rPr>
        <w:t>skyrių</w:t>
      </w:r>
      <w:r w:rsidR="006F378C">
        <w:rPr>
          <w:snapToGrid w:val="0"/>
          <w:sz w:val="22"/>
          <w:szCs w:val="24"/>
        </w:rPr>
        <w:t>, kur pateikiamas galimas šalutinis poveikis</w:t>
      </w:r>
      <w:r w:rsidRPr="00211E3B">
        <w:rPr>
          <w:snapToGrid w:val="0"/>
          <w:sz w:val="22"/>
          <w:szCs w:val="24"/>
        </w:rPr>
        <w:t>),</w:t>
      </w:r>
      <w:r w:rsidR="00237008" w:rsidRPr="00211E3B">
        <w:rPr>
          <w:snapToGrid w:val="0"/>
          <w:sz w:val="22"/>
          <w:szCs w:val="24"/>
        </w:rPr>
        <w:t xml:space="preserve"> </w:t>
      </w:r>
      <w:r w:rsidRPr="00211E3B">
        <w:rPr>
          <w:snapToGrid w:val="0"/>
          <w:sz w:val="22"/>
          <w:szCs w:val="24"/>
        </w:rPr>
        <w:t xml:space="preserve">gydytojas gali </w:t>
      </w:r>
      <w:r w:rsidR="00B41D9C">
        <w:rPr>
          <w:snapToGrid w:val="0"/>
          <w:sz w:val="22"/>
          <w:szCs w:val="24"/>
        </w:rPr>
        <w:t xml:space="preserve">patarti nutraukti </w:t>
      </w:r>
      <w:r w:rsidR="00237008" w:rsidRPr="00211E3B">
        <w:rPr>
          <w:snapToGrid w:val="0"/>
          <w:sz w:val="22"/>
          <w:szCs w:val="24"/>
        </w:rPr>
        <w:t>šio vaisto</w:t>
      </w:r>
      <w:r w:rsidR="00B41D9C">
        <w:rPr>
          <w:snapToGrid w:val="0"/>
          <w:sz w:val="22"/>
          <w:szCs w:val="24"/>
        </w:rPr>
        <w:t xml:space="preserve"> vartojimą</w:t>
      </w:r>
      <w:r w:rsidRPr="00211E3B">
        <w:rPr>
          <w:snapToGrid w:val="0"/>
          <w:sz w:val="22"/>
          <w:szCs w:val="24"/>
        </w:rPr>
        <w:t xml:space="preserve">. Patys nemažinkite dozės ir </w:t>
      </w:r>
      <w:r w:rsidR="00237008" w:rsidRPr="00211E3B">
        <w:rPr>
          <w:snapToGrid w:val="0"/>
          <w:sz w:val="22"/>
          <w:szCs w:val="24"/>
        </w:rPr>
        <w:t>nestabdykite</w:t>
      </w:r>
      <w:r w:rsidRPr="00211E3B">
        <w:rPr>
          <w:snapToGrid w:val="0"/>
          <w:sz w:val="22"/>
          <w:szCs w:val="24"/>
        </w:rPr>
        <w:t xml:space="preserve"> gydymo</w:t>
      </w:r>
      <w:r w:rsidR="00237008" w:rsidRPr="00211E3B">
        <w:rPr>
          <w:snapToGrid w:val="0"/>
          <w:sz w:val="22"/>
          <w:szCs w:val="24"/>
        </w:rPr>
        <w:t xml:space="preserve"> prieš tai </w:t>
      </w:r>
      <w:r w:rsidRPr="00211E3B">
        <w:rPr>
          <w:snapToGrid w:val="0"/>
          <w:sz w:val="22"/>
          <w:szCs w:val="24"/>
        </w:rPr>
        <w:t>nepasitarę su gydytoju.</w:t>
      </w:r>
    </w:p>
    <w:p w14:paraId="08124A3A" w14:textId="6C64DD2A" w:rsidR="00237008" w:rsidRPr="00211E3B" w:rsidRDefault="00237008" w:rsidP="00B41D9C">
      <w:pPr>
        <w:numPr>
          <w:ilvl w:val="12"/>
          <w:numId w:val="0"/>
        </w:numPr>
        <w:ind w:right="-2"/>
        <w:rPr>
          <w:snapToGrid w:val="0"/>
          <w:sz w:val="22"/>
          <w:szCs w:val="24"/>
        </w:rPr>
      </w:pPr>
    </w:p>
    <w:p w14:paraId="282DD1E0" w14:textId="6067C177" w:rsidR="005D554B" w:rsidRPr="00211E3B" w:rsidRDefault="005D554B" w:rsidP="005D554B">
      <w:pPr>
        <w:keepNext/>
        <w:tabs>
          <w:tab w:val="left" w:pos="567"/>
        </w:tabs>
        <w:spacing w:line="260" w:lineRule="exact"/>
        <w:jc w:val="both"/>
        <w:outlineLvl w:val="3"/>
        <w:rPr>
          <w:b/>
          <w:bCs/>
          <w:snapToGrid w:val="0"/>
          <w:sz w:val="22"/>
          <w:szCs w:val="22"/>
          <w:lang w:eastAsia="x-none"/>
        </w:rPr>
      </w:pPr>
      <w:r w:rsidRPr="00211E3B">
        <w:rPr>
          <w:b/>
          <w:bCs/>
          <w:snapToGrid w:val="0"/>
          <w:sz w:val="22"/>
          <w:szCs w:val="22"/>
          <w:lang w:eastAsia="x-none"/>
        </w:rPr>
        <w:t xml:space="preserve">Ką daryti pavartojus per didelę </w:t>
      </w:r>
      <w:r w:rsidR="00224B5B" w:rsidRPr="00211E3B">
        <w:rPr>
          <w:b/>
          <w:bCs/>
          <w:snapToGrid w:val="0"/>
          <w:sz w:val="22"/>
          <w:szCs w:val="22"/>
          <w:lang w:eastAsia="x-none"/>
        </w:rPr>
        <w:t>Agarf</w:t>
      </w:r>
      <w:r w:rsidRPr="00211E3B">
        <w:rPr>
          <w:b/>
          <w:bCs/>
          <w:snapToGrid w:val="0"/>
          <w:sz w:val="22"/>
          <w:szCs w:val="22"/>
          <w:lang w:eastAsia="x-none"/>
        </w:rPr>
        <w:t xml:space="preserve"> dozę</w:t>
      </w:r>
    </w:p>
    <w:p w14:paraId="2C7F4DED" w14:textId="3AFC3DA0" w:rsidR="00237008" w:rsidRPr="00211E3B" w:rsidRDefault="00237008" w:rsidP="005D554B">
      <w:pPr>
        <w:keepNext/>
        <w:tabs>
          <w:tab w:val="left" w:pos="567"/>
        </w:tabs>
        <w:spacing w:line="260" w:lineRule="exact"/>
        <w:jc w:val="both"/>
        <w:outlineLvl w:val="3"/>
        <w:rPr>
          <w:snapToGrid w:val="0"/>
          <w:sz w:val="22"/>
          <w:szCs w:val="22"/>
          <w:lang w:eastAsia="x-none"/>
        </w:rPr>
      </w:pPr>
      <w:r w:rsidRPr="00211E3B">
        <w:rPr>
          <w:snapToGrid w:val="0"/>
          <w:sz w:val="22"/>
          <w:szCs w:val="22"/>
          <w:lang w:eastAsia="x-none"/>
        </w:rPr>
        <w:t>Nedelsdami kreipkitės į gydytoją arba vaistininką.</w:t>
      </w:r>
    </w:p>
    <w:p w14:paraId="00D95047" w14:textId="77777777" w:rsidR="005D554B" w:rsidRPr="00211E3B" w:rsidRDefault="005D554B" w:rsidP="005D554B">
      <w:pPr>
        <w:numPr>
          <w:ilvl w:val="12"/>
          <w:numId w:val="0"/>
        </w:numPr>
        <w:ind w:right="-2"/>
        <w:rPr>
          <w:snapToGrid w:val="0"/>
          <w:sz w:val="22"/>
          <w:szCs w:val="24"/>
        </w:rPr>
      </w:pPr>
    </w:p>
    <w:p w14:paraId="2BE9555D" w14:textId="515E4F74" w:rsidR="005D554B" w:rsidRPr="00211E3B" w:rsidRDefault="005D554B" w:rsidP="005D554B">
      <w:pPr>
        <w:keepNext/>
        <w:tabs>
          <w:tab w:val="left" w:pos="567"/>
        </w:tabs>
        <w:spacing w:line="260" w:lineRule="exact"/>
        <w:jc w:val="both"/>
        <w:outlineLvl w:val="3"/>
        <w:rPr>
          <w:b/>
          <w:bCs/>
          <w:snapToGrid w:val="0"/>
          <w:sz w:val="22"/>
          <w:szCs w:val="28"/>
          <w:lang w:eastAsia="x-none"/>
        </w:rPr>
      </w:pPr>
      <w:r w:rsidRPr="00211E3B">
        <w:rPr>
          <w:b/>
          <w:bCs/>
          <w:snapToGrid w:val="0"/>
          <w:sz w:val="22"/>
          <w:szCs w:val="28"/>
          <w:lang w:eastAsia="x-none"/>
        </w:rPr>
        <w:t xml:space="preserve">Pamiršus pavartoti </w:t>
      </w:r>
      <w:r w:rsidR="00224B5B" w:rsidRPr="00211E3B">
        <w:rPr>
          <w:b/>
          <w:bCs/>
          <w:snapToGrid w:val="0"/>
          <w:sz w:val="22"/>
          <w:szCs w:val="28"/>
          <w:lang w:eastAsia="x-none"/>
        </w:rPr>
        <w:t>Agarf</w:t>
      </w:r>
    </w:p>
    <w:p w14:paraId="317C92A6" w14:textId="3AF9A2B6" w:rsidR="005D554B" w:rsidRPr="00211E3B" w:rsidRDefault="005D554B" w:rsidP="005D554B">
      <w:pPr>
        <w:numPr>
          <w:ilvl w:val="12"/>
          <w:numId w:val="0"/>
        </w:numPr>
        <w:ind w:right="-2"/>
        <w:rPr>
          <w:snapToGrid w:val="0"/>
          <w:sz w:val="22"/>
          <w:szCs w:val="24"/>
        </w:rPr>
      </w:pPr>
      <w:r w:rsidRPr="00211E3B">
        <w:rPr>
          <w:snapToGrid w:val="0"/>
          <w:sz w:val="22"/>
          <w:szCs w:val="24"/>
        </w:rPr>
        <w:t xml:space="preserve">Negalima vartoti </w:t>
      </w:r>
      <w:r w:rsidR="00233E11">
        <w:rPr>
          <w:snapToGrid w:val="0"/>
          <w:sz w:val="22"/>
          <w:szCs w:val="24"/>
        </w:rPr>
        <w:t xml:space="preserve">dviejų kapsulių vienu metu, jei pamiršote išgerti ankstesnę dozę. </w:t>
      </w:r>
      <w:r w:rsidR="00237008" w:rsidRPr="00211E3B">
        <w:rPr>
          <w:snapToGrid w:val="0"/>
          <w:sz w:val="22"/>
          <w:szCs w:val="24"/>
        </w:rPr>
        <w:t xml:space="preserve">Kitą </w:t>
      </w:r>
      <w:r w:rsidR="00455845">
        <w:rPr>
          <w:snapToGrid w:val="0"/>
          <w:sz w:val="22"/>
          <w:szCs w:val="24"/>
        </w:rPr>
        <w:t>100</w:t>
      </w:r>
      <w:r w:rsidR="0085390D">
        <w:rPr>
          <w:snapToGrid w:val="0"/>
          <w:sz w:val="22"/>
          <w:szCs w:val="24"/>
        </w:rPr>
        <w:t> mg</w:t>
      </w:r>
      <w:r w:rsidR="00455845">
        <w:rPr>
          <w:snapToGrid w:val="0"/>
          <w:sz w:val="22"/>
          <w:szCs w:val="24"/>
        </w:rPr>
        <w:t xml:space="preserve"> </w:t>
      </w:r>
      <w:r w:rsidR="00224B5B" w:rsidRPr="00211E3B">
        <w:rPr>
          <w:snapToGrid w:val="0"/>
          <w:sz w:val="22"/>
          <w:szCs w:val="24"/>
        </w:rPr>
        <w:t>Agarf</w:t>
      </w:r>
      <w:r w:rsidR="00237008" w:rsidRPr="00211E3B">
        <w:rPr>
          <w:snapToGrid w:val="0"/>
          <w:sz w:val="22"/>
          <w:szCs w:val="24"/>
        </w:rPr>
        <w:t xml:space="preserve"> dozę </w:t>
      </w:r>
      <w:r w:rsidR="00455845">
        <w:rPr>
          <w:snapToGrid w:val="0"/>
          <w:sz w:val="22"/>
          <w:szCs w:val="24"/>
        </w:rPr>
        <w:t>turite vartoti</w:t>
      </w:r>
      <w:r w:rsidR="00237008" w:rsidRPr="00211E3B">
        <w:rPr>
          <w:snapToGrid w:val="0"/>
          <w:sz w:val="22"/>
          <w:szCs w:val="24"/>
        </w:rPr>
        <w:t xml:space="preserve"> numatyt</w:t>
      </w:r>
      <w:r w:rsidR="00455845">
        <w:rPr>
          <w:snapToGrid w:val="0"/>
          <w:sz w:val="22"/>
          <w:szCs w:val="24"/>
        </w:rPr>
        <w:t>u</w:t>
      </w:r>
      <w:r w:rsidR="00237008" w:rsidRPr="00211E3B">
        <w:rPr>
          <w:snapToGrid w:val="0"/>
          <w:sz w:val="22"/>
          <w:szCs w:val="24"/>
        </w:rPr>
        <w:t xml:space="preserve"> įprastu laiku</w:t>
      </w:r>
      <w:r w:rsidR="00455845">
        <w:rPr>
          <w:snapToGrid w:val="0"/>
          <w:sz w:val="22"/>
          <w:szCs w:val="24"/>
        </w:rPr>
        <w:t>, kaip</w:t>
      </w:r>
      <w:r w:rsidR="00237008" w:rsidRPr="00211E3B">
        <w:rPr>
          <w:snapToGrid w:val="0"/>
          <w:sz w:val="22"/>
          <w:szCs w:val="24"/>
        </w:rPr>
        <w:t xml:space="preserve"> rekomendavo gydytojas ar vaistininkas.</w:t>
      </w:r>
    </w:p>
    <w:p w14:paraId="1312C2B0" w14:textId="77777777" w:rsidR="005D554B" w:rsidRPr="00211E3B" w:rsidRDefault="005D554B" w:rsidP="005D554B">
      <w:pPr>
        <w:numPr>
          <w:ilvl w:val="12"/>
          <w:numId w:val="0"/>
        </w:numPr>
        <w:ind w:right="-2"/>
        <w:rPr>
          <w:snapToGrid w:val="0"/>
          <w:sz w:val="22"/>
          <w:szCs w:val="24"/>
        </w:rPr>
      </w:pPr>
    </w:p>
    <w:p w14:paraId="51C383A2" w14:textId="2C1BA166" w:rsidR="005D554B" w:rsidRPr="00211E3B" w:rsidRDefault="005D554B" w:rsidP="005D554B">
      <w:pPr>
        <w:keepNext/>
        <w:tabs>
          <w:tab w:val="left" w:pos="567"/>
        </w:tabs>
        <w:spacing w:line="260" w:lineRule="exact"/>
        <w:jc w:val="both"/>
        <w:outlineLvl w:val="3"/>
        <w:rPr>
          <w:b/>
          <w:bCs/>
          <w:snapToGrid w:val="0"/>
          <w:sz w:val="22"/>
          <w:szCs w:val="28"/>
          <w:lang w:eastAsia="x-none"/>
        </w:rPr>
      </w:pPr>
      <w:r w:rsidRPr="00211E3B">
        <w:rPr>
          <w:b/>
          <w:bCs/>
          <w:snapToGrid w:val="0"/>
          <w:sz w:val="22"/>
          <w:szCs w:val="28"/>
          <w:lang w:eastAsia="x-none"/>
        </w:rPr>
        <w:t xml:space="preserve">Nustojus vartoti </w:t>
      </w:r>
      <w:r w:rsidR="00224B5B" w:rsidRPr="00211E3B">
        <w:rPr>
          <w:b/>
          <w:bCs/>
          <w:snapToGrid w:val="0"/>
          <w:sz w:val="22"/>
          <w:szCs w:val="28"/>
          <w:lang w:eastAsia="x-none"/>
        </w:rPr>
        <w:t>Agarf</w:t>
      </w:r>
    </w:p>
    <w:p w14:paraId="549DCE0E" w14:textId="2A25085F" w:rsidR="00237008" w:rsidRPr="00211E3B" w:rsidRDefault="00237008" w:rsidP="00237008">
      <w:pPr>
        <w:numPr>
          <w:ilvl w:val="12"/>
          <w:numId w:val="0"/>
        </w:numPr>
        <w:ind w:right="-29"/>
        <w:rPr>
          <w:snapToGrid w:val="0"/>
          <w:sz w:val="22"/>
          <w:szCs w:val="24"/>
        </w:rPr>
      </w:pPr>
      <w:r w:rsidRPr="00211E3B">
        <w:rPr>
          <w:snapToGrid w:val="0"/>
          <w:sz w:val="22"/>
          <w:szCs w:val="24"/>
        </w:rPr>
        <w:t xml:space="preserve">Nenutraukite </w:t>
      </w:r>
      <w:r w:rsidR="00224B5B" w:rsidRPr="00211E3B">
        <w:rPr>
          <w:snapToGrid w:val="0"/>
          <w:sz w:val="22"/>
          <w:szCs w:val="24"/>
        </w:rPr>
        <w:t>Agarf</w:t>
      </w:r>
      <w:r w:rsidRPr="00211E3B">
        <w:rPr>
          <w:snapToGrid w:val="0"/>
          <w:sz w:val="22"/>
          <w:szCs w:val="24"/>
        </w:rPr>
        <w:t xml:space="preserve"> vartojimo nepasitarę su savo gydytoju. Svarbu šį vaistą gerti kiekvieną dieną ir tiek laiko, kiek Jums skyrė gydytojas.</w:t>
      </w:r>
    </w:p>
    <w:p w14:paraId="33CE25AB" w14:textId="77777777" w:rsidR="00237008" w:rsidRPr="00211E3B" w:rsidRDefault="00237008" w:rsidP="00237008">
      <w:pPr>
        <w:numPr>
          <w:ilvl w:val="12"/>
          <w:numId w:val="0"/>
        </w:numPr>
        <w:ind w:right="-29"/>
        <w:rPr>
          <w:snapToGrid w:val="0"/>
          <w:sz w:val="22"/>
          <w:szCs w:val="24"/>
        </w:rPr>
      </w:pPr>
    </w:p>
    <w:p w14:paraId="2E264EA3" w14:textId="51484A02" w:rsidR="005D554B" w:rsidRPr="00211E3B" w:rsidRDefault="00237008" w:rsidP="00237008">
      <w:pPr>
        <w:numPr>
          <w:ilvl w:val="12"/>
          <w:numId w:val="0"/>
        </w:numPr>
        <w:ind w:right="-29"/>
        <w:rPr>
          <w:snapToGrid w:val="0"/>
          <w:sz w:val="22"/>
          <w:szCs w:val="24"/>
        </w:rPr>
      </w:pPr>
      <w:r w:rsidRPr="00211E3B">
        <w:rPr>
          <w:snapToGrid w:val="0"/>
          <w:sz w:val="22"/>
          <w:szCs w:val="24"/>
        </w:rPr>
        <w:t>Jeigu kiltų daugiau klausimų dėl šio vaisto vartojimo, kreipkitės į gydytoją arba vaistininką</w:t>
      </w:r>
      <w:r w:rsidR="009E065D" w:rsidRPr="00211E3B">
        <w:rPr>
          <w:snapToGrid w:val="0"/>
          <w:sz w:val="22"/>
          <w:szCs w:val="24"/>
        </w:rPr>
        <w:t>.</w:t>
      </w:r>
    </w:p>
    <w:p w14:paraId="44F6DC55" w14:textId="77777777" w:rsidR="005D554B" w:rsidRPr="00211E3B" w:rsidRDefault="005D554B" w:rsidP="005D554B">
      <w:pPr>
        <w:numPr>
          <w:ilvl w:val="12"/>
          <w:numId w:val="0"/>
        </w:numPr>
        <w:rPr>
          <w:snapToGrid w:val="0"/>
          <w:sz w:val="22"/>
          <w:szCs w:val="24"/>
        </w:rPr>
      </w:pPr>
    </w:p>
    <w:p w14:paraId="4D6F7C46" w14:textId="77777777" w:rsidR="005D554B" w:rsidRPr="00211E3B" w:rsidRDefault="005D554B" w:rsidP="005D554B">
      <w:pPr>
        <w:numPr>
          <w:ilvl w:val="12"/>
          <w:numId w:val="0"/>
        </w:numPr>
        <w:rPr>
          <w:snapToGrid w:val="0"/>
          <w:sz w:val="22"/>
          <w:szCs w:val="24"/>
        </w:rPr>
      </w:pPr>
    </w:p>
    <w:p w14:paraId="48FF69A3" w14:textId="77777777" w:rsidR="005D554B" w:rsidRPr="00211E3B" w:rsidRDefault="005D554B" w:rsidP="005D554B">
      <w:pPr>
        <w:keepNext/>
        <w:keepLines/>
        <w:tabs>
          <w:tab w:val="left" w:pos="567"/>
        </w:tabs>
        <w:outlineLvl w:val="2"/>
        <w:rPr>
          <w:b/>
          <w:bCs/>
          <w:snapToGrid w:val="0"/>
          <w:sz w:val="22"/>
          <w:szCs w:val="26"/>
          <w:lang w:eastAsia="x-none"/>
        </w:rPr>
      </w:pPr>
      <w:r w:rsidRPr="00211E3B">
        <w:rPr>
          <w:b/>
          <w:bCs/>
          <w:snapToGrid w:val="0"/>
          <w:sz w:val="22"/>
          <w:szCs w:val="26"/>
          <w:lang w:eastAsia="x-none"/>
        </w:rPr>
        <w:t>4.</w:t>
      </w:r>
      <w:r w:rsidRPr="00211E3B">
        <w:rPr>
          <w:b/>
          <w:bCs/>
          <w:snapToGrid w:val="0"/>
          <w:sz w:val="22"/>
          <w:szCs w:val="26"/>
          <w:lang w:eastAsia="x-none"/>
        </w:rPr>
        <w:tab/>
        <w:t>Galimas šalutinis poveikis</w:t>
      </w:r>
    </w:p>
    <w:p w14:paraId="098474C0" w14:textId="77777777" w:rsidR="005D554B" w:rsidRPr="00211E3B" w:rsidRDefault="005D554B" w:rsidP="005D554B">
      <w:pPr>
        <w:numPr>
          <w:ilvl w:val="12"/>
          <w:numId w:val="0"/>
        </w:numPr>
        <w:rPr>
          <w:snapToGrid w:val="0"/>
          <w:sz w:val="22"/>
          <w:szCs w:val="24"/>
        </w:rPr>
      </w:pPr>
    </w:p>
    <w:p w14:paraId="397F97C2" w14:textId="77777777" w:rsidR="005D554B" w:rsidRPr="00211E3B" w:rsidRDefault="005D554B" w:rsidP="005D554B">
      <w:pPr>
        <w:ind w:right="-29"/>
        <w:rPr>
          <w:snapToGrid w:val="0"/>
          <w:sz w:val="22"/>
        </w:rPr>
      </w:pPr>
      <w:r w:rsidRPr="00211E3B">
        <w:rPr>
          <w:snapToGrid w:val="0"/>
          <w:sz w:val="22"/>
        </w:rPr>
        <w:t>Šis vaistas, kaip ir visi kiti, gali sukelti šalutinį poveikį, nors jis pasireiškia ne visiems žmonėms.</w:t>
      </w:r>
    </w:p>
    <w:p w14:paraId="4B4F50E6" w14:textId="77777777" w:rsidR="00C73A1F" w:rsidRPr="00211E3B" w:rsidRDefault="00C73A1F" w:rsidP="00C73A1F">
      <w:pPr>
        <w:tabs>
          <w:tab w:val="left" w:pos="567"/>
        </w:tabs>
        <w:ind w:right="-29"/>
        <w:rPr>
          <w:snapToGrid w:val="0"/>
          <w:sz w:val="22"/>
        </w:rPr>
      </w:pPr>
    </w:p>
    <w:p w14:paraId="6F22946A" w14:textId="66C3C8B1" w:rsidR="00C73A1F" w:rsidRPr="00211E3B" w:rsidRDefault="009C580D" w:rsidP="00C73A1F">
      <w:pPr>
        <w:tabs>
          <w:tab w:val="left" w:pos="567"/>
        </w:tabs>
        <w:ind w:right="-29"/>
        <w:rPr>
          <w:snapToGrid w:val="0"/>
          <w:sz w:val="22"/>
        </w:rPr>
      </w:pPr>
      <w:r w:rsidRPr="00211E3B">
        <w:rPr>
          <w:snapToGrid w:val="0"/>
          <w:sz w:val="22"/>
        </w:rPr>
        <w:t>Ypač svarbu atkreipti</w:t>
      </w:r>
      <w:r w:rsidR="00C73A1F" w:rsidRPr="00211E3B">
        <w:rPr>
          <w:snapToGrid w:val="0"/>
          <w:sz w:val="22"/>
        </w:rPr>
        <w:t xml:space="preserve"> dėmesį, jeigu gydymo </w:t>
      </w:r>
      <w:r w:rsidR="00224B5B" w:rsidRPr="00211E3B">
        <w:rPr>
          <w:snapToGrid w:val="0"/>
          <w:sz w:val="22"/>
        </w:rPr>
        <w:t>Agarf</w:t>
      </w:r>
      <w:r w:rsidR="00C73A1F" w:rsidRPr="00211E3B">
        <w:rPr>
          <w:snapToGrid w:val="0"/>
          <w:sz w:val="22"/>
        </w:rPr>
        <w:t xml:space="preserve"> metu Jums pasireiškia toliau išvardytas šalutinis</w:t>
      </w:r>
      <w:r w:rsidRPr="00211E3B">
        <w:rPr>
          <w:snapToGrid w:val="0"/>
          <w:sz w:val="22"/>
        </w:rPr>
        <w:t xml:space="preserve"> </w:t>
      </w:r>
      <w:r w:rsidR="00C73A1F" w:rsidRPr="00211E3B">
        <w:rPr>
          <w:snapToGrid w:val="0"/>
          <w:sz w:val="22"/>
        </w:rPr>
        <w:t>poveikis</w:t>
      </w:r>
      <w:r w:rsidRPr="00211E3B">
        <w:rPr>
          <w:snapToGrid w:val="0"/>
          <w:sz w:val="22"/>
        </w:rPr>
        <w:t>.</w:t>
      </w:r>
    </w:p>
    <w:p w14:paraId="432E2FA7" w14:textId="5F3028DE" w:rsidR="009C580D" w:rsidRPr="00211E3B" w:rsidRDefault="009C580D" w:rsidP="00C73A1F">
      <w:pPr>
        <w:tabs>
          <w:tab w:val="left" w:pos="567"/>
        </w:tabs>
        <w:ind w:right="-29"/>
        <w:rPr>
          <w:snapToGrid w:val="0"/>
          <w:sz w:val="22"/>
        </w:rPr>
      </w:pPr>
    </w:p>
    <w:p w14:paraId="0EA3853B" w14:textId="77777777" w:rsidR="00C73A1F" w:rsidRPr="005A0104" w:rsidRDefault="00C73A1F" w:rsidP="005A0104">
      <w:pPr>
        <w:ind w:right="-2"/>
        <w:rPr>
          <w:snapToGrid w:val="0"/>
          <w:sz w:val="22"/>
          <w:szCs w:val="24"/>
        </w:rPr>
      </w:pPr>
      <w:r w:rsidRPr="005A0104">
        <w:rPr>
          <w:b/>
          <w:bCs/>
          <w:snapToGrid w:val="0"/>
          <w:sz w:val="22"/>
          <w:szCs w:val="24"/>
        </w:rPr>
        <w:t xml:space="preserve">Viduriavimas </w:t>
      </w:r>
      <w:r w:rsidRPr="005A0104">
        <w:rPr>
          <w:snapToGrid w:val="0"/>
          <w:sz w:val="22"/>
          <w:szCs w:val="24"/>
        </w:rPr>
        <w:t>(</w:t>
      </w:r>
      <w:r w:rsidR="009C580D" w:rsidRPr="005A0104">
        <w:rPr>
          <w:snapToGrid w:val="0"/>
          <w:sz w:val="22"/>
          <w:szCs w:val="24"/>
        </w:rPr>
        <w:t>labai dažnas šalutinio poveikio reiškinys, gali pasireikšti ne rečiau kaip 1 iš 10 asmenų</w:t>
      </w:r>
      <w:r w:rsidRPr="005A0104">
        <w:rPr>
          <w:snapToGrid w:val="0"/>
          <w:sz w:val="22"/>
          <w:szCs w:val="24"/>
        </w:rPr>
        <w:t>)</w:t>
      </w:r>
    </w:p>
    <w:p w14:paraId="70C80674" w14:textId="7EB18B9B" w:rsidR="00C73A1F" w:rsidRPr="00211E3B" w:rsidRDefault="009C580D" w:rsidP="00C73A1F">
      <w:pPr>
        <w:tabs>
          <w:tab w:val="left" w:pos="567"/>
        </w:tabs>
        <w:ind w:right="-29"/>
        <w:rPr>
          <w:snapToGrid w:val="0"/>
          <w:sz w:val="22"/>
        </w:rPr>
      </w:pPr>
      <w:r w:rsidRPr="00211E3B">
        <w:rPr>
          <w:snapToGrid w:val="0"/>
          <w:sz w:val="22"/>
        </w:rPr>
        <w:t>Viduri</w:t>
      </w:r>
      <w:r w:rsidR="005A0104">
        <w:rPr>
          <w:snapToGrid w:val="0"/>
          <w:sz w:val="22"/>
        </w:rPr>
        <w:t xml:space="preserve">avimas gali sukelti dehidrataciją: </w:t>
      </w:r>
      <w:r w:rsidR="00C73A1F" w:rsidRPr="00211E3B">
        <w:rPr>
          <w:snapToGrid w:val="0"/>
          <w:sz w:val="22"/>
        </w:rPr>
        <w:t xml:space="preserve">organizmas gali netekti skysčių ir svarbių druskų (elektrolitų, </w:t>
      </w:r>
      <w:r w:rsidRPr="00211E3B">
        <w:rPr>
          <w:snapToGrid w:val="0"/>
          <w:sz w:val="22"/>
        </w:rPr>
        <w:t>tokių kaip</w:t>
      </w:r>
      <w:r w:rsidR="00C73A1F" w:rsidRPr="00211E3B">
        <w:rPr>
          <w:snapToGrid w:val="0"/>
          <w:sz w:val="22"/>
        </w:rPr>
        <w:t xml:space="preserve"> natri</w:t>
      </w:r>
      <w:r w:rsidRPr="00211E3B">
        <w:rPr>
          <w:snapToGrid w:val="0"/>
          <w:sz w:val="22"/>
        </w:rPr>
        <w:t>s</w:t>
      </w:r>
      <w:r w:rsidR="00C73A1F" w:rsidRPr="00211E3B">
        <w:rPr>
          <w:snapToGrid w:val="0"/>
          <w:sz w:val="22"/>
        </w:rPr>
        <w:t xml:space="preserve"> ar kali</w:t>
      </w:r>
      <w:r w:rsidRPr="00211E3B">
        <w:rPr>
          <w:snapToGrid w:val="0"/>
          <w:sz w:val="22"/>
        </w:rPr>
        <w:t>s</w:t>
      </w:r>
      <w:r w:rsidR="00C73A1F" w:rsidRPr="00211E3B">
        <w:rPr>
          <w:snapToGrid w:val="0"/>
          <w:sz w:val="22"/>
        </w:rPr>
        <w:t>).</w:t>
      </w:r>
      <w:r w:rsidRPr="00211E3B">
        <w:rPr>
          <w:snapToGrid w:val="0"/>
          <w:sz w:val="22"/>
        </w:rPr>
        <w:t xml:space="preserve"> </w:t>
      </w:r>
      <w:r w:rsidR="00C73A1F" w:rsidRPr="00211E3B">
        <w:rPr>
          <w:snapToGrid w:val="0"/>
          <w:sz w:val="22"/>
        </w:rPr>
        <w:t>Pasireiškus pirmiesiems viduriavimo požymiams, gerkite daug skysčių ir nedelsdami kreipkitės į savo</w:t>
      </w:r>
      <w:r w:rsidRPr="00211E3B">
        <w:rPr>
          <w:snapToGrid w:val="0"/>
          <w:sz w:val="22"/>
        </w:rPr>
        <w:t xml:space="preserve"> </w:t>
      </w:r>
      <w:r w:rsidR="00C73A1F" w:rsidRPr="00211E3B">
        <w:rPr>
          <w:snapToGrid w:val="0"/>
          <w:sz w:val="22"/>
        </w:rPr>
        <w:t xml:space="preserve">gydytoją. </w:t>
      </w:r>
      <w:r w:rsidR="005A0104">
        <w:rPr>
          <w:snapToGrid w:val="0"/>
          <w:sz w:val="22"/>
        </w:rPr>
        <w:t>Kiek įmanoma</w:t>
      </w:r>
      <w:r w:rsidR="00C73A1F" w:rsidRPr="00211E3B">
        <w:rPr>
          <w:snapToGrid w:val="0"/>
          <w:sz w:val="22"/>
        </w:rPr>
        <w:t xml:space="preserve"> greičiau pradėkite tinkamą viduriavimo gydymą, pvz.,</w:t>
      </w:r>
      <w:r w:rsidRPr="00211E3B">
        <w:rPr>
          <w:snapToGrid w:val="0"/>
          <w:sz w:val="22"/>
        </w:rPr>
        <w:t xml:space="preserve"> </w:t>
      </w:r>
      <w:r w:rsidR="00C73A1F" w:rsidRPr="00211E3B">
        <w:rPr>
          <w:snapToGrid w:val="0"/>
          <w:sz w:val="22"/>
        </w:rPr>
        <w:t>loperamidu.</w:t>
      </w:r>
    </w:p>
    <w:p w14:paraId="0D76D928" w14:textId="66DE2C66" w:rsidR="009C580D" w:rsidRPr="00211E3B" w:rsidRDefault="009C580D" w:rsidP="00C73A1F">
      <w:pPr>
        <w:tabs>
          <w:tab w:val="left" w:pos="567"/>
        </w:tabs>
        <w:ind w:right="-29"/>
        <w:rPr>
          <w:snapToGrid w:val="0"/>
          <w:sz w:val="22"/>
        </w:rPr>
      </w:pPr>
    </w:p>
    <w:p w14:paraId="2054243D" w14:textId="77777777" w:rsidR="005A0104" w:rsidRPr="005A0104" w:rsidRDefault="005A0104" w:rsidP="005A0104">
      <w:pPr>
        <w:ind w:right="-2"/>
        <w:rPr>
          <w:snapToGrid w:val="0"/>
          <w:sz w:val="22"/>
          <w:u w:val="single"/>
        </w:rPr>
      </w:pPr>
      <w:r w:rsidRPr="005A0104">
        <w:rPr>
          <w:snapToGrid w:val="0"/>
          <w:sz w:val="22"/>
          <w:u w:val="single"/>
        </w:rPr>
        <w:t>Idiopatinė plaučių fibrozė (IPF)</w:t>
      </w:r>
    </w:p>
    <w:p w14:paraId="56B8A361" w14:textId="77777777" w:rsidR="005A0104" w:rsidRPr="00BF4AB8" w:rsidRDefault="005A0104" w:rsidP="005A0104">
      <w:pPr>
        <w:tabs>
          <w:tab w:val="left" w:pos="567"/>
        </w:tabs>
        <w:ind w:right="-29"/>
        <w:rPr>
          <w:snapToGrid w:val="0"/>
          <w:sz w:val="22"/>
        </w:rPr>
      </w:pPr>
      <w:r w:rsidRPr="00BF4AB8">
        <w:rPr>
          <w:b/>
          <w:bCs/>
          <w:snapToGrid w:val="0"/>
          <w:sz w:val="22"/>
        </w:rPr>
        <w:t>Labai dažni šalutinio poveikio reiškiniai</w:t>
      </w:r>
      <w:r w:rsidRPr="00BF4AB8">
        <w:rPr>
          <w:snapToGrid w:val="0"/>
          <w:sz w:val="22"/>
        </w:rPr>
        <w:t xml:space="preserve"> (gali pasireikšti ne rečiau kaip 1 iš 10 asmenų)</w:t>
      </w:r>
    </w:p>
    <w:p w14:paraId="0CBF5C99" w14:textId="786A78E3" w:rsidR="005A0104" w:rsidRPr="005A0104" w:rsidRDefault="005A0104" w:rsidP="005A0104">
      <w:pPr>
        <w:pStyle w:val="Sraopastraipa"/>
        <w:numPr>
          <w:ilvl w:val="0"/>
          <w:numId w:val="7"/>
        </w:numPr>
        <w:ind w:left="567" w:right="-2" w:hanging="567"/>
        <w:rPr>
          <w:snapToGrid w:val="0"/>
          <w:sz w:val="22"/>
        </w:rPr>
      </w:pPr>
      <w:r w:rsidRPr="005A0104">
        <w:rPr>
          <w:snapToGrid w:val="0"/>
          <w:sz w:val="22"/>
        </w:rPr>
        <w:t>Pykinimas.</w:t>
      </w:r>
    </w:p>
    <w:p w14:paraId="245009C3" w14:textId="6D4B825D" w:rsidR="005A0104" w:rsidRPr="005A0104" w:rsidRDefault="005A0104" w:rsidP="005A0104">
      <w:pPr>
        <w:pStyle w:val="Sraopastraipa"/>
        <w:numPr>
          <w:ilvl w:val="0"/>
          <w:numId w:val="7"/>
        </w:numPr>
        <w:ind w:left="567" w:right="-2" w:hanging="567"/>
        <w:rPr>
          <w:snapToGrid w:val="0"/>
          <w:sz w:val="22"/>
        </w:rPr>
      </w:pPr>
      <w:r w:rsidRPr="005A0104">
        <w:rPr>
          <w:snapToGrid w:val="0"/>
          <w:sz w:val="22"/>
        </w:rPr>
        <w:t>Apatinės kūno dalies (pilvo) skausmas.</w:t>
      </w:r>
    </w:p>
    <w:p w14:paraId="2D934FD0" w14:textId="0CDC939F" w:rsidR="005A0104" w:rsidRPr="005A0104" w:rsidRDefault="005A0104" w:rsidP="005A0104">
      <w:pPr>
        <w:pStyle w:val="Sraopastraipa"/>
        <w:numPr>
          <w:ilvl w:val="0"/>
          <w:numId w:val="7"/>
        </w:numPr>
        <w:ind w:left="567" w:right="-2" w:hanging="567"/>
        <w:rPr>
          <w:snapToGrid w:val="0"/>
          <w:sz w:val="22"/>
        </w:rPr>
      </w:pPr>
      <w:r w:rsidRPr="005A0104">
        <w:rPr>
          <w:snapToGrid w:val="0"/>
          <w:sz w:val="22"/>
        </w:rPr>
        <w:t>Nenormalūs kepenų tyrim</w:t>
      </w:r>
      <w:r>
        <w:rPr>
          <w:snapToGrid w:val="0"/>
          <w:sz w:val="22"/>
        </w:rPr>
        <w:t>o</w:t>
      </w:r>
      <w:r w:rsidRPr="005A0104">
        <w:rPr>
          <w:snapToGrid w:val="0"/>
          <w:sz w:val="22"/>
        </w:rPr>
        <w:t xml:space="preserve"> </w:t>
      </w:r>
      <w:r>
        <w:rPr>
          <w:snapToGrid w:val="0"/>
          <w:sz w:val="22"/>
        </w:rPr>
        <w:t>rodmenys</w:t>
      </w:r>
      <w:r w:rsidRPr="005A0104">
        <w:rPr>
          <w:snapToGrid w:val="0"/>
          <w:sz w:val="22"/>
        </w:rPr>
        <w:t>.</w:t>
      </w:r>
    </w:p>
    <w:p w14:paraId="6B5D7CB4" w14:textId="77777777" w:rsidR="005A0104" w:rsidRDefault="005A0104" w:rsidP="005A0104">
      <w:pPr>
        <w:ind w:right="-2"/>
        <w:rPr>
          <w:snapToGrid w:val="0"/>
          <w:sz w:val="22"/>
        </w:rPr>
      </w:pPr>
    </w:p>
    <w:p w14:paraId="025AA8FE" w14:textId="77777777" w:rsidR="005A0104" w:rsidRPr="005A0104" w:rsidRDefault="005A0104" w:rsidP="005A0104">
      <w:pPr>
        <w:tabs>
          <w:tab w:val="left" w:pos="567"/>
        </w:tabs>
        <w:ind w:right="-29"/>
        <w:rPr>
          <w:snapToGrid w:val="0"/>
          <w:sz w:val="22"/>
        </w:rPr>
      </w:pPr>
      <w:r w:rsidRPr="005A0104">
        <w:rPr>
          <w:b/>
          <w:bCs/>
          <w:snapToGrid w:val="0"/>
          <w:sz w:val="22"/>
        </w:rPr>
        <w:t>Dažni šalutinio poveikio reiškiniai</w:t>
      </w:r>
      <w:r w:rsidRPr="005A0104">
        <w:rPr>
          <w:snapToGrid w:val="0"/>
          <w:sz w:val="22"/>
        </w:rPr>
        <w:t xml:space="preserve"> (gali pasireikšti rečiau kaip 1 iš 10 asmenų)</w:t>
      </w:r>
    </w:p>
    <w:p w14:paraId="7C306BF8" w14:textId="0156E451" w:rsidR="005A0104" w:rsidRPr="005A0104" w:rsidRDefault="005A0104" w:rsidP="005A0104">
      <w:pPr>
        <w:pStyle w:val="Sraopastraipa"/>
        <w:numPr>
          <w:ilvl w:val="0"/>
          <w:numId w:val="7"/>
        </w:numPr>
        <w:ind w:left="567" w:right="-2" w:hanging="567"/>
        <w:rPr>
          <w:snapToGrid w:val="0"/>
          <w:sz w:val="22"/>
        </w:rPr>
      </w:pPr>
      <w:r w:rsidRPr="005A0104">
        <w:rPr>
          <w:snapToGrid w:val="0"/>
          <w:sz w:val="22"/>
        </w:rPr>
        <w:t>Vėmimas.</w:t>
      </w:r>
    </w:p>
    <w:p w14:paraId="68AAFCB5" w14:textId="61A74E02" w:rsidR="005A0104" w:rsidRPr="005A0104" w:rsidRDefault="005A0104" w:rsidP="005A0104">
      <w:pPr>
        <w:pStyle w:val="Sraopastraipa"/>
        <w:numPr>
          <w:ilvl w:val="0"/>
          <w:numId w:val="7"/>
        </w:numPr>
        <w:ind w:left="567" w:right="-2" w:hanging="567"/>
        <w:rPr>
          <w:snapToGrid w:val="0"/>
          <w:sz w:val="22"/>
        </w:rPr>
      </w:pPr>
      <w:r w:rsidRPr="005A0104">
        <w:rPr>
          <w:snapToGrid w:val="0"/>
          <w:sz w:val="22"/>
        </w:rPr>
        <w:t>Apetito netekimas.</w:t>
      </w:r>
    </w:p>
    <w:p w14:paraId="02AD9016" w14:textId="616D3964" w:rsidR="005A0104" w:rsidRPr="005A0104" w:rsidRDefault="005A0104" w:rsidP="005A0104">
      <w:pPr>
        <w:pStyle w:val="Sraopastraipa"/>
        <w:numPr>
          <w:ilvl w:val="0"/>
          <w:numId w:val="7"/>
        </w:numPr>
        <w:ind w:left="567" w:right="-2" w:hanging="567"/>
        <w:rPr>
          <w:snapToGrid w:val="0"/>
          <w:sz w:val="22"/>
        </w:rPr>
      </w:pPr>
      <w:r w:rsidRPr="005A0104">
        <w:rPr>
          <w:snapToGrid w:val="0"/>
          <w:sz w:val="22"/>
        </w:rPr>
        <w:t>Kūno svorio sumažėjimas.</w:t>
      </w:r>
    </w:p>
    <w:p w14:paraId="577D57C9" w14:textId="1CA7740E" w:rsidR="005A0104" w:rsidRPr="005A0104" w:rsidRDefault="005A0104" w:rsidP="005A0104">
      <w:pPr>
        <w:pStyle w:val="Sraopastraipa"/>
        <w:numPr>
          <w:ilvl w:val="0"/>
          <w:numId w:val="7"/>
        </w:numPr>
        <w:ind w:left="567" w:right="-2" w:hanging="567"/>
        <w:rPr>
          <w:snapToGrid w:val="0"/>
          <w:sz w:val="22"/>
        </w:rPr>
      </w:pPr>
      <w:r w:rsidRPr="005A0104">
        <w:rPr>
          <w:snapToGrid w:val="0"/>
          <w:sz w:val="22"/>
        </w:rPr>
        <w:t>Kraujavimas.</w:t>
      </w:r>
    </w:p>
    <w:p w14:paraId="7E9D91E9" w14:textId="153A0CCC" w:rsidR="005A0104" w:rsidRPr="005A0104" w:rsidRDefault="005A0104" w:rsidP="005A0104">
      <w:pPr>
        <w:pStyle w:val="Sraopastraipa"/>
        <w:numPr>
          <w:ilvl w:val="0"/>
          <w:numId w:val="7"/>
        </w:numPr>
        <w:ind w:left="567" w:right="-2" w:hanging="567"/>
        <w:rPr>
          <w:snapToGrid w:val="0"/>
          <w:sz w:val="22"/>
        </w:rPr>
      </w:pPr>
      <w:r w:rsidRPr="005A0104">
        <w:rPr>
          <w:snapToGrid w:val="0"/>
          <w:sz w:val="22"/>
        </w:rPr>
        <w:t>Išbėrimas.</w:t>
      </w:r>
    </w:p>
    <w:p w14:paraId="7DF38AF5" w14:textId="19D8F573" w:rsidR="005A0104" w:rsidRPr="005A0104" w:rsidRDefault="005A0104" w:rsidP="005A0104">
      <w:pPr>
        <w:pStyle w:val="Sraopastraipa"/>
        <w:numPr>
          <w:ilvl w:val="0"/>
          <w:numId w:val="7"/>
        </w:numPr>
        <w:ind w:left="567" w:right="-2" w:hanging="567"/>
        <w:rPr>
          <w:snapToGrid w:val="0"/>
          <w:sz w:val="22"/>
        </w:rPr>
      </w:pPr>
      <w:r w:rsidRPr="005A0104">
        <w:rPr>
          <w:snapToGrid w:val="0"/>
          <w:sz w:val="22"/>
        </w:rPr>
        <w:t>Galvos skausmas.</w:t>
      </w:r>
    </w:p>
    <w:p w14:paraId="02EB8505" w14:textId="77777777" w:rsidR="005A0104" w:rsidRDefault="005A0104" w:rsidP="005A0104">
      <w:pPr>
        <w:ind w:right="-2"/>
        <w:rPr>
          <w:snapToGrid w:val="0"/>
          <w:sz w:val="22"/>
        </w:rPr>
      </w:pPr>
    </w:p>
    <w:p w14:paraId="553D6204" w14:textId="77777777" w:rsidR="005A0104" w:rsidRPr="005A0104" w:rsidRDefault="005A0104" w:rsidP="005A0104">
      <w:pPr>
        <w:tabs>
          <w:tab w:val="left" w:pos="567"/>
        </w:tabs>
        <w:ind w:right="-29"/>
        <w:rPr>
          <w:snapToGrid w:val="0"/>
          <w:sz w:val="22"/>
        </w:rPr>
      </w:pPr>
      <w:r w:rsidRPr="005A0104">
        <w:rPr>
          <w:b/>
          <w:bCs/>
          <w:snapToGrid w:val="0"/>
          <w:sz w:val="22"/>
        </w:rPr>
        <w:t>Nedažni šalutinio poveikio reiškiniai</w:t>
      </w:r>
      <w:r w:rsidRPr="005A0104">
        <w:rPr>
          <w:snapToGrid w:val="0"/>
          <w:sz w:val="22"/>
        </w:rPr>
        <w:t xml:space="preserve"> (gali pasireikšti rečiau kaip 1 iš 100 asmenų)</w:t>
      </w:r>
    </w:p>
    <w:p w14:paraId="01CCB602" w14:textId="3CF04C10" w:rsidR="005A0104" w:rsidRPr="005A0104" w:rsidRDefault="005A0104" w:rsidP="005A0104">
      <w:pPr>
        <w:pStyle w:val="Sraopastraipa"/>
        <w:numPr>
          <w:ilvl w:val="0"/>
          <w:numId w:val="7"/>
        </w:numPr>
        <w:ind w:left="567" w:right="-2" w:hanging="567"/>
        <w:rPr>
          <w:snapToGrid w:val="0"/>
          <w:sz w:val="22"/>
        </w:rPr>
      </w:pPr>
      <w:r w:rsidRPr="005A0104">
        <w:rPr>
          <w:snapToGrid w:val="0"/>
          <w:sz w:val="22"/>
        </w:rPr>
        <w:t>Pankreatitas</w:t>
      </w:r>
      <w:r>
        <w:rPr>
          <w:snapToGrid w:val="0"/>
          <w:sz w:val="22"/>
        </w:rPr>
        <w:t xml:space="preserve"> (kasos uždegimas)</w:t>
      </w:r>
      <w:r w:rsidRPr="005A0104">
        <w:rPr>
          <w:snapToGrid w:val="0"/>
          <w:sz w:val="22"/>
        </w:rPr>
        <w:t>.</w:t>
      </w:r>
    </w:p>
    <w:p w14:paraId="256F21BA" w14:textId="124FF44F" w:rsidR="005A0104" w:rsidRPr="005A0104" w:rsidRDefault="005A0104" w:rsidP="005A0104">
      <w:pPr>
        <w:pStyle w:val="Sraopastraipa"/>
        <w:numPr>
          <w:ilvl w:val="0"/>
          <w:numId w:val="7"/>
        </w:numPr>
        <w:ind w:left="567" w:right="-2" w:hanging="567"/>
        <w:rPr>
          <w:snapToGrid w:val="0"/>
          <w:sz w:val="22"/>
        </w:rPr>
      </w:pPr>
      <w:r w:rsidRPr="005A0104">
        <w:rPr>
          <w:snapToGrid w:val="0"/>
          <w:sz w:val="22"/>
        </w:rPr>
        <w:t>Storosios žarnos uždegimas.</w:t>
      </w:r>
    </w:p>
    <w:p w14:paraId="336DB37C" w14:textId="62C28416" w:rsidR="005A0104" w:rsidRPr="005A0104" w:rsidRDefault="005A0104" w:rsidP="005A0104">
      <w:pPr>
        <w:pStyle w:val="Sraopastraipa"/>
        <w:numPr>
          <w:ilvl w:val="0"/>
          <w:numId w:val="7"/>
        </w:numPr>
        <w:ind w:left="567" w:right="-2" w:hanging="567"/>
        <w:rPr>
          <w:snapToGrid w:val="0"/>
          <w:sz w:val="22"/>
        </w:rPr>
      </w:pPr>
      <w:r w:rsidRPr="005A0104">
        <w:rPr>
          <w:snapToGrid w:val="0"/>
          <w:sz w:val="22"/>
        </w:rPr>
        <w:t>Sunkūs kepenų sutrikimai.</w:t>
      </w:r>
    </w:p>
    <w:p w14:paraId="128B62DB" w14:textId="0B1C05BB" w:rsidR="005A0104" w:rsidRPr="005A0104" w:rsidRDefault="005A0104" w:rsidP="005A0104">
      <w:pPr>
        <w:pStyle w:val="Sraopastraipa"/>
        <w:numPr>
          <w:ilvl w:val="0"/>
          <w:numId w:val="7"/>
        </w:numPr>
        <w:ind w:left="567" w:right="-2" w:hanging="567"/>
        <w:rPr>
          <w:snapToGrid w:val="0"/>
          <w:sz w:val="22"/>
        </w:rPr>
      </w:pPr>
      <w:r w:rsidRPr="005A0104">
        <w:rPr>
          <w:snapToGrid w:val="0"/>
          <w:sz w:val="22"/>
        </w:rPr>
        <w:t>Mažas trombocitų skaičius (trombocitopenija).</w:t>
      </w:r>
    </w:p>
    <w:p w14:paraId="085C37FD" w14:textId="6E033CAD" w:rsidR="005A0104" w:rsidRPr="005A0104" w:rsidRDefault="005A0104" w:rsidP="005A0104">
      <w:pPr>
        <w:pStyle w:val="Sraopastraipa"/>
        <w:numPr>
          <w:ilvl w:val="0"/>
          <w:numId w:val="7"/>
        </w:numPr>
        <w:ind w:left="567" w:right="-2" w:hanging="567"/>
        <w:rPr>
          <w:snapToGrid w:val="0"/>
          <w:sz w:val="22"/>
        </w:rPr>
      </w:pPr>
      <w:r w:rsidRPr="005A0104">
        <w:rPr>
          <w:snapToGrid w:val="0"/>
          <w:sz w:val="22"/>
        </w:rPr>
        <w:lastRenderedPageBreak/>
        <w:t>Didelis kraujospūdis (hipertenzija).</w:t>
      </w:r>
    </w:p>
    <w:p w14:paraId="54DCA2E0" w14:textId="089DFFEA" w:rsidR="005A0104" w:rsidRPr="005A0104" w:rsidRDefault="005A0104" w:rsidP="005A0104">
      <w:pPr>
        <w:pStyle w:val="Sraopastraipa"/>
        <w:numPr>
          <w:ilvl w:val="0"/>
          <w:numId w:val="7"/>
        </w:numPr>
        <w:ind w:left="567" w:right="-2" w:hanging="567"/>
        <w:rPr>
          <w:snapToGrid w:val="0"/>
          <w:sz w:val="22"/>
        </w:rPr>
      </w:pPr>
      <w:r w:rsidRPr="005A0104">
        <w:rPr>
          <w:snapToGrid w:val="0"/>
          <w:sz w:val="22"/>
        </w:rPr>
        <w:t>Gelta – odos ir akių baltymų pageltimas dėl didel</w:t>
      </w:r>
      <w:r>
        <w:rPr>
          <w:snapToGrid w:val="0"/>
          <w:sz w:val="22"/>
        </w:rPr>
        <w:t>io</w:t>
      </w:r>
      <w:r w:rsidRPr="005A0104">
        <w:rPr>
          <w:snapToGrid w:val="0"/>
          <w:sz w:val="22"/>
        </w:rPr>
        <w:t xml:space="preserve"> bilirubino </w:t>
      </w:r>
      <w:r>
        <w:rPr>
          <w:snapToGrid w:val="0"/>
          <w:sz w:val="22"/>
        </w:rPr>
        <w:t>kiekio</w:t>
      </w:r>
      <w:r w:rsidRPr="005A0104">
        <w:rPr>
          <w:snapToGrid w:val="0"/>
          <w:sz w:val="22"/>
        </w:rPr>
        <w:t>.</w:t>
      </w:r>
    </w:p>
    <w:p w14:paraId="2F614D88" w14:textId="6277FA63" w:rsidR="005A0104" w:rsidRPr="005A0104" w:rsidRDefault="005A0104" w:rsidP="005A0104">
      <w:pPr>
        <w:pStyle w:val="Sraopastraipa"/>
        <w:numPr>
          <w:ilvl w:val="0"/>
          <w:numId w:val="7"/>
        </w:numPr>
        <w:ind w:left="567" w:right="-2" w:hanging="567"/>
        <w:rPr>
          <w:snapToGrid w:val="0"/>
          <w:sz w:val="22"/>
        </w:rPr>
      </w:pPr>
      <w:r w:rsidRPr="005A0104">
        <w:rPr>
          <w:snapToGrid w:val="0"/>
          <w:sz w:val="22"/>
        </w:rPr>
        <w:t>Niežėjimas.</w:t>
      </w:r>
    </w:p>
    <w:p w14:paraId="42E8324C" w14:textId="6E4B1CB5" w:rsidR="005A0104" w:rsidRPr="005A0104" w:rsidRDefault="005A0104" w:rsidP="005A0104">
      <w:pPr>
        <w:pStyle w:val="Sraopastraipa"/>
        <w:numPr>
          <w:ilvl w:val="0"/>
          <w:numId w:val="7"/>
        </w:numPr>
        <w:ind w:left="567" w:right="-2" w:hanging="567"/>
        <w:rPr>
          <w:snapToGrid w:val="0"/>
          <w:sz w:val="22"/>
        </w:rPr>
      </w:pPr>
      <w:r w:rsidRPr="005A0104">
        <w:rPr>
          <w:snapToGrid w:val="0"/>
          <w:sz w:val="22"/>
        </w:rPr>
        <w:t xml:space="preserve">Širdies </w:t>
      </w:r>
      <w:r>
        <w:rPr>
          <w:snapToGrid w:val="0"/>
          <w:sz w:val="22"/>
        </w:rPr>
        <w:t>priepuolis</w:t>
      </w:r>
      <w:r w:rsidRPr="005A0104">
        <w:rPr>
          <w:snapToGrid w:val="0"/>
          <w:sz w:val="22"/>
        </w:rPr>
        <w:t>.</w:t>
      </w:r>
    </w:p>
    <w:p w14:paraId="60DE69EB" w14:textId="5A067C58" w:rsidR="005A0104" w:rsidRPr="005A0104" w:rsidRDefault="005A0104" w:rsidP="005A0104">
      <w:pPr>
        <w:pStyle w:val="Sraopastraipa"/>
        <w:numPr>
          <w:ilvl w:val="0"/>
          <w:numId w:val="7"/>
        </w:numPr>
        <w:ind w:left="567" w:right="-2" w:hanging="567"/>
        <w:rPr>
          <w:snapToGrid w:val="0"/>
          <w:sz w:val="22"/>
        </w:rPr>
      </w:pPr>
      <w:r w:rsidRPr="005A0104">
        <w:rPr>
          <w:snapToGrid w:val="0"/>
          <w:sz w:val="22"/>
        </w:rPr>
        <w:t>Nuplikimas (alopecija).</w:t>
      </w:r>
    </w:p>
    <w:p w14:paraId="4F92542E" w14:textId="52994A3B" w:rsidR="005A0104" w:rsidRPr="005A0104" w:rsidRDefault="005A0104" w:rsidP="005A0104">
      <w:pPr>
        <w:pStyle w:val="Sraopastraipa"/>
        <w:numPr>
          <w:ilvl w:val="0"/>
          <w:numId w:val="7"/>
        </w:numPr>
        <w:ind w:left="567" w:right="-2" w:hanging="567"/>
        <w:rPr>
          <w:snapToGrid w:val="0"/>
          <w:sz w:val="22"/>
        </w:rPr>
      </w:pPr>
      <w:r w:rsidRPr="005A0104">
        <w:rPr>
          <w:snapToGrid w:val="0"/>
          <w:sz w:val="22"/>
        </w:rPr>
        <w:t>Padidėjęs baltymo kiekis šlapime (proteinurija).</w:t>
      </w:r>
    </w:p>
    <w:p w14:paraId="1BAA7DE0" w14:textId="77777777" w:rsidR="005A0104" w:rsidRDefault="005A0104" w:rsidP="005A0104">
      <w:pPr>
        <w:ind w:right="-2"/>
        <w:rPr>
          <w:snapToGrid w:val="0"/>
          <w:sz w:val="22"/>
        </w:rPr>
      </w:pPr>
    </w:p>
    <w:p w14:paraId="352D7F5E" w14:textId="77777777" w:rsidR="005A0104" w:rsidRPr="00BF4AB8" w:rsidRDefault="005A0104" w:rsidP="005A0104">
      <w:pPr>
        <w:ind w:right="-2"/>
        <w:rPr>
          <w:snapToGrid w:val="0"/>
          <w:sz w:val="22"/>
          <w:szCs w:val="24"/>
        </w:rPr>
      </w:pPr>
      <w:r w:rsidRPr="00BF4AB8">
        <w:rPr>
          <w:b/>
          <w:bCs/>
          <w:snapToGrid w:val="0"/>
          <w:sz w:val="22"/>
          <w:szCs w:val="24"/>
        </w:rPr>
        <w:t>Šalutinio poveikio reiškiniai, kurių dažnis nežinomas</w:t>
      </w:r>
      <w:r w:rsidRPr="00BF4AB8">
        <w:rPr>
          <w:snapToGrid w:val="0"/>
          <w:sz w:val="22"/>
          <w:szCs w:val="24"/>
        </w:rPr>
        <w:t xml:space="preserve"> (negali būti apskaičiuotas pagal turimus duomenis)</w:t>
      </w:r>
    </w:p>
    <w:p w14:paraId="0FF66F8A" w14:textId="3D21C434" w:rsidR="005A0104" w:rsidRPr="00C65FD9" w:rsidRDefault="005A0104" w:rsidP="00003D22">
      <w:pPr>
        <w:pStyle w:val="Sraopastraipa"/>
        <w:numPr>
          <w:ilvl w:val="0"/>
          <w:numId w:val="7"/>
        </w:numPr>
        <w:ind w:left="567" w:right="-2" w:hanging="567"/>
        <w:rPr>
          <w:snapToGrid w:val="0"/>
          <w:sz w:val="22"/>
        </w:rPr>
      </w:pPr>
      <w:r w:rsidRPr="00C65FD9">
        <w:rPr>
          <w:snapToGrid w:val="0"/>
          <w:sz w:val="22"/>
        </w:rPr>
        <w:t>Inkstų nepakankamumas.</w:t>
      </w:r>
    </w:p>
    <w:p w14:paraId="3792CE62" w14:textId="7ADBCEED" w:rsidR="005A0104" w:rsidRPr="00C65FD9" w:rsidRDefault="005A0104" w:rsidP="00003D22">
      <w:pPr>
        <w:pStyle w:val="Sraopastraipa"/>
        <w:numPr>
          <w:ilvl w:val="0"/>
          <w:numId w:val="16"/>
        </w:numPr>
        <w:ind w:left="567" w:right="-2" w:hanging="567"/>
        <w:rPr>
          <w:snapToGrid w:val="0"/>
          <w:sz w:val="22"/>
        </w:rPr>
      </w:pPr>
      <w:r w:rsidRPr="00C65FD9">
        <w:rPr>
          <w:snapToGrid w:val="0"/>
          <w:sz w:val="22"/>
        </w:rPr>
        <w:t>Kraujagyslės sienelės išsipūtimas ir susilpnėjimas arba kraujagyslės sienelės įplyšimas</w:t>
      </w:r>
      <w:r w:rsidR="00C65FD9" w:rsidRPr="00C65FD9">
        <w:rPr>
          <w:snapToGrid w:val="0"/>
          <w:sz w:val="22"/>
        </w:rPr>
        <w:t xml:space="preserve"> </w:t>
      </w:r>
      <w:r w:rsidRPr="00C65FD9">
        <w:rPr>
          <w:snapToGrid w:val="0"/>
          <w:sz w:val="22"/>
        </w:rPr>
        <w:t>(aneurizm</w:t>
      </w:r>
      <w:r w:rsidR="00003D22">
        <w:rPr>
          <w:snapToGrid w:val="0"/>
          <w:sz w:val="22"/>
        </w:rPr>
        <w:t>a</w:t>
      </w:r>
      <w:r w:rsidRPr="00C65FD9">
        <w:rPr>
          <w:snapToGrid w:val="0"/>
          <w:sz w:val="22"/>
        </w:rPr>
        <w:t xml:space="preserve"> ir arterijų </w:t>
      </w:r>
      <w:r w:rsidR="00C65FD9" w:rsidRPr="00C65FD9">
        <w:rPr>
          <w:snapToGrid w:val="0"/>
          <w:sz w:val="22"/>
        </w:rPr>
        <w:t>atsisluoksniavimas</w:t>
      </w:r>
      <w:r w:rsidRPr="00C65FD9">
        <w:rPr>
          <w:snapToGrid w:val="0"/>
          <w:sz w:val="22"/>
        </w:rPr>
        <w:t>).</w:t>
      </w:r>
    </w:p>
    <w:p w14:paraId="78ABB23A" w14:textId="77777777" w:rsidR="00C65FD9" w:rsidRDefault="00C65FD9" w:rsidP="00C65FD9">
      <w:pPr>
        <w:ind w:right="-2"/>
        <w:rPr>
          <w:snapToGrid w:val="0"/>
          <w:sz w:val="22"/>
        </w:rPr>
      </w:pPr>
    </w:p>
    <w:p w14:paraId="160457A7" w14:textId="02BBC61B" w:rsidR="005A0104" w:rsidRPr="00C65FD9" w:rsidRDefault="005A0104" w:rsidP="00C65FD9">
      <w:pPr>
        <w:ind w:right="-2"/>
        <w:rPr>
          <w:snapToGrid w:val="0"/>
          <w:sz w:val="22"/>
          <w:u w:val="single"/>
        </w:rPr>
      </w:pPr>
      <w:r w:rsidRPr="00C65FD9">
        <w:rPr>
          <w:snapToGrid w:val="0"/>
          <w:sz w:val="22"/>
          <w:u w:val="single"/>
        </w:rPr>
        <w:t>Kitos lėtinės fibrozinės progresuojančio fenotipo intersticinės plaučių ligos (IPL)</w:t>
      </w:r>
    </w:p>
    <w:p w14:paraId="02F4AD87" w14:textId="77777777" w:rsidR="00B435BA" w:rsidRPr="00BF4AB8" w:rsidRDefault="00B435BA" w:rsidP="00B435BA">
      <w:pPr>
        <w:tabs>
          <w:tab w:val="left" w:pos="567"/>
        </w:tabs>
        <w:ind w:right="-29"/>
        <w:rPr>
          <w:snapToGrid w:val="0"/>
          <w:sz w:val="22"/>
        </w:rPr>
      </w:pPr>
      <w:r w:rsidRPr="00BF4AB8">
        <w:rPr>
          <w:b/>
          <w:bCs/>
          <w:snapToGrid w:val="0"/>
          <w:sz w:val="22"/>
        </w:rPr>
        <w:t>Labai dažni šalutinio poveikio reiškiniai</w:t>
      </w:r>
      <w:r w:rsidRPr="00BF4AB8">
        <w:rPr>
          <w:snapToGrid w:val="0"/>
          <w:sz w:val="22"/>
        </w:rPr>
        <w:t xml:space="preserve"> (gali pasireikšti ne rečiau kaip 1 iš 10 asmenų)</w:t>
      </w:r>
    </w:p>
    <w:p w14:paraId="776DE4F7" w14:textId="53DB7014" w:rsidR="005A0104" w:rsidRPr="00B435BA" w:rsidRDefault="005A0104" w:rsidP="00B435BA">
      <w:pPr>
        <w:pStyle w:val="Sraopastraipa"/>
        <w:numPr>
          <w:ilvl w:val="0"/>
          <w:numId w:val="16"/>
        </w:numPr>
        <w:ind w:left="567" w:right="-2" w:hanging="567"/>
        <w:rPr>
          <w:snapToGrid w:val="0"/>
          <w:sz w:val="22"/>
        </w:rPr>
      </w:pPr>
      <w:r w:rsidRPr="00B435BA">
        <w:rPr>
          <w:snapToGrid w:val="0"/>
          <w:sz w:val="22"/>
        </w:rPr>
        <w:t>Pykinimas.</w:t>
      </w:r>
    </w:p>
    <w:p w14:paraId="4DF5CBB8" w14:textId="7B6550C1" w:rsidR="005A0104" w:rsidRPr="00B435BA" w:rsidRDefault="005A0104" w:rsidP="00B435BA">
      <w:pPr>
        <w:pStyle w:val="Sraopastraipa"/>
        <w:numPr>
          <w:ilvl w:val="0"/>
          <w:numId w:val="16"/>
        </w:numPr>
        <w:ind w:left="567" w:right="-2" w:hanging="567"/>
        <w:rPr>
          <w:snapToGrid w:val="0"/>
          <w:sz w:val="22"/>
        </w:rPr>
      </w:pPr>
      <w:r w:rsidRPr="00B435BA">
        <w:rPr>
          <w:snapToGrid w:val="0"/>
          <w:sz w:val="22"/>
        </w:rPr>
        <w:t>Vėmimas.</w:t>
      </w:r>
    </w:p>
    <w:p w14:paraId="69953293" w14:textId="22D030B1" w:rsidR="005A0104" w:rsidRPr="00B435BA" w:rsidRDefault="005A0104" w:rsidP="00B435BA">
      <w:pPr>
        <w:pStyle w:val="Sraopastraipa"/>
        <w:numPr>
          <w:ilvl w:val="0"/>
          <w:numId w:val="16"/>
        </w:numPr>
        <w:ind w:left="567" w:right="-2" w:hanging="567"/>
        <w:rPr>
          <w:snapToGrid w:val="0"/>
          <w:sz w:val="22"/>
        </w:rPr>
      </w:pPr>
      <w:r w:rsidRPr="00B435BA">
        <w:rPr>
          <w:snapToGrid w:val="0"/>
          <w:sz w:val="22"/>
        </w:rPr>
        <w:t>Apetito netekimas.</w:t>
      </w:r>
    </w:p>
    <w:p w14:paraId="1BC21E5A" w14:textId="7D392804" w:rsidR="005A0104" w:rsidRPr="00B435BA" w:rsidRDefault="005A0104" w:rsidP="00B435BA">
      <w:pPr>
        <w:pStyle w:val="Sraopastraipa"/>
        <w:numPr>
          <w:ilvl w:val="0"/>
          <w:numId w:val="16"/>
        </w:numPr>
        <w:ind w:left="567" w:right="-2" w:hanging="567"/>
        <w:rPr>
          <w:snapToGrid w:val="0"/>
          <w:sz w:val="22"/>
        </w:rPr>
      </w:pPr>
      <w:r w:rsidRPr="00B435BA">
        <w:rPr>
          <w:snapToGrid w:val="0"/>
          <w:sz w:val="22"/>
        </w:rPr>
        <w:t>Apatinės kūno dalies (pilvo) skausmas.</w:t>
      </w:r>
    </w:p>
    <w:p w14:paraId="0C52E4FF" w14:textId="77777777" w:rsidR="00B435BA" w:rsidRPr="005A0104" w:rsidRDefault="00B435BA" w:rsidP="00B435BA">
      <w:pPr>
        <w:pStyle w:val="Sraopastraipa"/>
        <w:numPr>
          <w:ilvl w:val="0"/>
          <w:numId w:val="16"/>
        </w:numPr>
        <w:ind w:left="567" w:right="-2" w:hanging="567"/>
        <w:rPr>
          <w:snapToGrid w:val="0"/>
          <w:sz w:val="22"/>
        </w:rPr>
      </w:pPr>
      <w:r w:rsidRPr="005A0104">
        <w:rPr>
          <w:snapToGrid w:val="0"/>
          <w:sz w:val="22"/>
        </w:rPr>
        <w:t>Nenormalūs kepenų tyrim</w:t>
      </w:r>
      <w:r>
        <w:rPr>
          <w:snapToGrid w:val="0"/>
          <w:sz w:val="22"/>
        </w:rPr>
        <w:t>o</w:t>
      </w:r>
      <w:r w:rsidRPr="005A0104">
        <w:rPr>
          <w:snapToGrid w:val="0"/>
          <w:sz w:val="22"/>
        </w:rPr>
        <w:t xml:space="preserve"> </w:t>
      </w:r>
      <w:r>
        <w:rPr>
          <w:snapToGrid w:val="0"/>
          <w:sz w:val="22"/>
        </w:rPr>
        <w:t>rodmenys</w:t>
      </w:r>
      <w:r w:rsidRPr="005A0104">
        <w:rPr>
          <w:snapToGrid w:val="0"/>
          <w:sz w:val="22"/>
        </w:rPr>
        <w:t>.</w:t>
      </w:r>
    </w:p>
    <w:p w14:paraId="0EE317A1" w14:textId="77777777" w:rsidR="00003D22" w:rsidRDefault="00003D22" w:rsidP="00003D22">
      <w:pPr>
        <w:ind w:right="-2"/>
        <w:rPr>
          <w:snapToGrid w:val="0"/>
          <w:sz w:val="22"/>
        </w:rPr>
      </w:pPr>
    </w:p>
    <w:p w14:paraId="558EE1A6" w14:textId="77777777" w:rsidR="00B435BA" w:rsidRPr="005A0104" w:rsidRDefault="00B435BA" w:rsidP="00B435BA">
      <w:pPr>
        <w:tabs>
          <w:tab w:val="left" w:pos="567"/>
        </w:tabs>
        <w:ind w:right="-29"/>
        <w:rPr>
          <w:snapToGrid w:val="0"/>
          <w:sz w:val="22"/>
        </w:rPr>
      </w:pPr>
      <w:r w:rsidRPr="005A0104">
        <w:rPr>
          <w:b/>
          <w:bCs/>
          <w:snapToGrid w:val="0"/>
          <w:sz w:val="22"/>
        </w:rPr>
        <w:t>Dažni šalutinio poveikio reiškiniai</w:t>
      </w:r>
      <w:r w:rsidRPr="005A0104">
        <w:rPr>
          <w:snapToGrid w:val="0"/>
          <w:sz w:val="22"/>
        </w:rPr>
        <w:t xml:space="preserve"> (gali pasireikšti rečiau kaip 1 iš 10 asmenų)</w:t>
      </w:r>
    </w:p>
    <w:p w14:paraId="6EDDC784" w14:textId="0E26E4ED" w:rsidR="005A0104" w:rsidRPr="00B435BA" w:rsidRDefault="005A0104" w:rsidP="00B435BA">
      <w:pPr>
        <w:pStyle w:val="Sraopastraipa"/>
        <w:numPr>
          <w:ilvl w:val="0"/>
          <w:numId w:val="16"/>
        </w:numPr>
        <w:ind w:left="567" w:right="-2" w:hanging="567"/>
        <w:rPr>
          <w:snapToGrid w:val="0"/>
          <w:sz w:val="22"/>
        </w:rPr>
      </w:pPr>
      <w:r w:rsidRPr="00B435BA">
        <w:rPr>
          <w:snapToGrid w:val="0"/>
          <w:sz w:val="22"/>
        </w:rPr>
        <w:t>Kūno svorio sumažėjimas.</w:t>
      </w:r>
    </w:p>
    <w:p w14:paraId="4D3C00DF" w14:textId="287951BA" w:rsidR="005A0104" w:rsidRPr="00B435BA" w:rsidRDefault="005A0104" w:rsidP="00B435BA">
      <w:pPr>
        <w:pStyle w:val="Sraopastraipa"/>
        <w:numPr>
          <w:ilvl w:val="0"/>
          <w:numId w:val="16"/>
        </w:numPr>
        <w:ind w:left="567" w:right="-2" w:hanging="567"/>
        <w:rPr>
          <w:snapToGrid w:val="0"/>
          <w:sz w:val="22"/>
        </w:rPr>
      </w:pPr>
      <w:r w:rsidRPr="00B435BA">
        <w:rPr>
          <w:snapToGrid w:val="0"/>
          <w:sz w:val="22"/>
        </w:rPr>
        <w:t>Didelis kraujospūdis (hipertenzija).</w:t>
      </w:r>
    </w:p>
    <w:p w14:paraId="11FA56D6" w14:textId="5AA15EBB" w:rsidR="005A0104" w:rsidRPr="00B435BA" w:rsidRDefault="005A0104" w:rsidP="00B435BA">
      <w:pPr>
        <w:pStyle w:val="Sraopastraipa"/>
        <w:numPr>
          <w:ilvl w:val="0"/>
          <w:numId w:val="16"/>
        </w:numPr>
        <w:ind w:left="567" w:right="-2" w:hanging="567"/>
        <w:rPr>
          <w:snapToGrid w:val="0"/>
          <w:sz w:val="22"/>
        </w:rPr>
      </w:pPr>
      <w:r w:rsidRPr="00B435BA">
        <w:rPr>
          <w:snapToGrid w:val="0"/>
          <w:sz w:val="22"/>
        </w:rPr>
        <w:t>Kraujavimas.</w:t>
      </w:r>
    </w:p>
    <w:p w14:paraId="4BE211D4" w14:textId="264C0ACF" w:rsidR="005A0104" w:rsidRPr="00B435BA" w:rsidRDefault="005A0104" w:rsidP="00B435BA">
      <w:pPr>
        <w:pStyle w:val="Sraopastraipa"/>
        <w:numPr>
          <w:ilvl w:val="0"/>
          <w:numId w:val="16"/>
        </w:numPr>
        <w:ind w:left="567" w:right="-2" w:hanging="567"/>
        <w:rPr>
          <w:snapToGrid w:val="0"/>
          <w:sz w:val="22"/>
        </w:rPr>
      </w:pPr>
      <w:r w:rsidRPr="00B435BA">
        <w:rPr>
          <w:snapToGrid w:val="0"/>
          <w:sz w:val="22"/>
        </w:rPr>
        <w:t>Sunkūs kepenų sutrikimai.</w:t>
      </w:r>
    </w:p>
    <w:p w14:paraId="3AD2D3CC" w14:textId="615D2A6F" w:rsidR="005A0104" w:rsidRPr="00B435BA" w:rsidRDefault="005A0104" w:rsidP="00B435BA">
      <w:pPr>
        <w:pStyle w:val="Sraopastraipa"/>
        <w:numPr>
          <w:ilvl w:val="0"/>
          <w:numId w:val="16"/>
        </w:numPr>
        <w:ind w:left="567" w:right="-2" w:hanging="567"/>
        <w:rPr>
          <w:snapToGrid w:val="0"/>
          <w:sz w:val="22"/>
        </w:rPr>
      </w:pPr>
      <w:r w:rsidRPr="00B435BA">
        <w:rPr>
          <w:snapToGrid w:val="0"/>
          <w:sz w:val="22"/>
        </w:rPr>
        <w:t>Išbėrimas.</w:t>
      </w:r>
    </w:p>
    <w:p w14:paraId="45141486" w14:textId="20A02585" w:rsidR="005A0104" w:rsidRPr="00B435BA" w:rsidRDefault="005A0104" w:rsidP="00B435BA">
      <w:pPr>
        <w:pStyle w:val="Sraopastraipa"/>
        <w:numPr>
          <w:ilvl w:val="0"/>
          <w:numId w:val="16"/>
        </w:numPr>
        <w:ind w:left="567" w:right="-2" w:hanging="567"/>
        <w:rPr>
          <w:snapToGrid w:val="0"/>
          <w:sz w:val="22"/>
        </w:rPr>
      </w:pPr>
      <w:r w:rsidRPr="00B435BA">
        <w:rPr>
          <w:snapToGrid w:val="0"/>
          <w:sz w:val="22"/>
        </w:rPr>
        <w:t>Galvos skausmas.</w:t>
      </w:r>
    </w:p>
    <w:p w14:paraId="6E8A697A" w14:textId="77777777" w:rsidR="00003D22" w:rsidRDefault="00003D22" w:rsidP="00003D22">
      <w:pPr>
        <w:ind w:right="-2"/>
        <w:rPr>
          <w:snapToGrid w:val="0"/>
          <w:sz w:val="22"/>
        </w:rPr>
      </w:pPr>
    </w:p>
    <w:p w14:paraId="71E8D360" w14:textId="2DAAEA1C" w:rsidR="00003D22" w:rsidRPr="00003D22" w:rsidRDefault="00003D22" w:rsidP="00003D22">
      <w:pPr>
        <w:tabs>
          <w:tab w:val="left" w:pos="567"/>
        </w:tabs>
        <w:ind w:right="-29"/>
        <w:rPr>
          <w:snapToGrid w:val="0"/>
          <w:sz w:val="22"/>
        </w:rPr>
      </w:pPr>
      <w:r w:rsidRPr="00003D22">
        <w:rPr>
          <w:b/>
          <w:bCs/>
          <w:snapToGrid w:val="0"/>
          <w:sz w:val="22"/>
        </w:rPr>
        <w:t>Nedažni šalutinio poveikio reiškiniai</w:t>
      </w:r>
      <w:r w:rsidRPr="00003D22">
        <w:rPr>
          <w:snapToGrid w:val="0"/>
          <w:sz w:val="22"/>
        </w:rPr>
        <w:t xml:space="preserve"> (gali pasireikšti rečiau kaip 1 iš 100 asmenų)</w:t>
      </w:r>
    </w:p>
    <w:p w14:paraId="52A8845F" w14:textId="4A6D0567" w:rsidR="005A0104" w:rsidRPr="005A0104" w:rsidRDefault="005A0104" w:rsidP="00B435BA">
      <w:pPr>
        <w:pStyle w:val="Sraopastraipa"/>
        <w:numPr>
          <w:ilvl w:val="0"/>
          <w:numId w:val="16"/>
        </w:numPr>
        <w:ind w:left="567" w:right="-2" w:hanging="567"/>
        <w:rPr>
          <w:snapToGrid w:val="0"/>
          <w:sz w:val="22"/>
        </w:rPr>
      </w:pPr>
      <w:r w:rsidRPr="005A0104">
        <w:rPr>
          <w:snapToGrid w:val="0"/>
          <w:sz w:val="22"/>
        </w:rPr>
        <w:t>Pankreatitas</w:t>
      </w:r>
      <w:r w:rsidR="00B435BA">
        <w:rPr>
          <w:snapToGrid w:val="0"/>
          <w:sz w:val="22"/>
        </w:rPr>
        <w:t xml:space="preserve"> (kasos uždegimas)</w:t>
      </w:r>
      <w:r w:rsidRPr="005A0104">
        <w:rPr>
          <w:snapToGrid w:val="0"/>
          <w:sz w:val="22"/>
        </w:rPr>
        <w:t>.</w:t>
      </w:r>
    </w:p>
    <w:p w14:paraId="25EB069B" w14:textId="509C6F35" w:rsidR="005A0104" w:rsidRPr="005A0104" w:rsidRDefault="005A0104" w:rsidP="00B435BA">
      <w:pPr>
        <w:pStyle w:val="Sraopastraipa"/>
        <w:numPr>
          <w:ilvl w:val="0"/>
          <w:numId w:val="16"/>
        </w:numPr>
        <w:ind w:left="567" w:right="-2" w:hanging="567"/>
        <w:rPr>
          <w:snapToGrid w:val="0"/>
          <w:sz w:val="22"/>
        </w:rPr>
      </w:pPr>
      <w:r w:rsidRPr="005A0104">
        <w:rPr>
          <w:snapToGrid w:val="0"/>
          <w:sz w:val="22"/>
        </w:rPr>
        <w:t>Storosios žarnos uždegimas.</w:t>
      </w:r>
    </w:p>
    <w:p w14:paraId="446936D5" w14:textId="1FB78537" w:rsidR="005A0104" w:rsidRPr="005A0104" w:rsidRDefault="005A0104" w:rsidP="00B435BA">
      <w:pPr>
        <w:pStyle w:val="Sraopastraipa"/>
        <w:numPr>
          <w:ilvl w:val="0"/>
          <w:numId w:val="16"/>
        </w:numPr>
        <w:ind w:left="567" w:right="-2" w:hanging="567"/>
        <w:rPr>
          <w:snapToGrid w:val="0"/>
          <w:sz w:val="22"/>
        </w:rPr>
      </w:pPr>
      <w:r w:rsidRPr="005A0104">
        <w:rPr>
          <w:snapToGrid w:val="0"/>
          <w:sz w:val="22"/>
        </w:rPr>
        <w:t>Mažas trombocitų skaičius (trombocitopenija).</w:t>
      </w:r>
    </w:p>
    <w:p w14:paraId="13697102" w14:textId="007219E7" w:rsidR="005A0104" w:rsidRPr="005A0104" w:rsidRDefault="005A0104" w:rsidP="00B435BA">
      <w:pPr>
        <w:pStyle w:val="Sraopastraipa"/>
        <w:numPr>
          <w:ilvl w:val="0"/>
          <w:numId w:val="16"/>
        </w:numPr>
        <w:ind w:left="567" w:right="-2" w:hanging="567"/>
        <w:rPr>
          <w:snapToGrid w:val="0"/>
          <w:sz w:val="22"/>
        </w:rPr>
      </w:pPr>
      <w:r w:rsidRPr="005A0104">
        <w:rPr>
          <w:snapToGrid w:val="0"/>
          <w:sz w:val="22"/>
        </w:rPr>
        <w:t>Gelta – odos ir akių baltymų pageltimas dėl didel</w:t>
      </w:r>
      <w:r w:rsidR="00FF4F7F">
        <w:rPr>
          <w:snapToGrid w:val="0"/>
          <w:sz w:val="22"/>
        </w:rPr>
        <w:t>io</w:t>
      </w:r>
      <w:r w:rsidRPr="005A0104">
        <w:rPr>
          <w:snapToGrid w:val="0"/>
          <w:sz w:val="22"/>
        </w:rPr>
        <w:t xml:space="preserve"> bilirubino </w:t>
      </w:r>
      <w:r w:rsidR="00FF4F7F">
        <w:rPr>
          <w:snapToGrid w:val="0"/>
          <w:sz w:val="22"/>
        </w:rPr>
        <w:t>kiekio</w:t>
      </w:r>
      <w:r w:rsidRPr="005A0104">
        <w:rPr>
          <w:snapToGrid w:val="0"/>
          <w:sz w:val="22"/>
        </w:rPr>
        <w:t>.</w:t>
      </w:r>
    </w:p>
    <w:p w14:paraId="4F211538" w14:textId="2FCD85A0" w:rsidR="005A0104" w:rsidRPr="005A0104" w:rsidRDefault="005A0104" w:rsidP="00B435BA">
      <w:pPr>
        <w:pStyle w:val="Sraopastraipa"/>
        <w:numPr>
          <w:ilvl w:val="0"/>
          <w:numId w:val="16"/>
        </w:numPr>
        <w:ind w:left="567" w:right="-2" w:hanging="567"/>
        <w:rPr>
          <w:snapToGrid w:val="0"/>
          <w:sz w:val="22"/>
        </w:rPr>
      </w:pPr>
      <w:r w:rsidRPr="005A0104">
        <w:rPr>
          <w:snapToGrid w:val="0"/>
          <w:sz w:val="22"/>
        </w:rPr>
        <w:t>Niežėjimas.</w:t>
      </w:r>
    </w:p>
    <w:p w14:paraId="4337E7BA" w14:textId="737F4CC1" w:rsidR="005A0104" w:rsidRPr="005A0104" w:rsidRDefault="005A0104" w:rsidP="00B435BA">
      <w:pPr>
        <w:pStyle w:val="Sraopastraipa"/>
        <w:numPr>
          <w:ilvl w:val="0"/>
          <w:numId w:val="16"/>
        </w:numPr>
        <w:ind w:left="567" w:right="-2" w:hanging="567"/>
        <w:rPr>
          <w:snapToGrid w:val="0"/>
          <w:sz w:val="22"/>
        </w:rPr>
      </w:pPr>
      <w:r w:rsidRPr="005A0104">
        <w:rPr>
          <w:snapToGrid w:val="0"/>
          <w:sz w:val="22"/>
        </w:rPr>
        <w:t xml:space="preserve">Širdies </w:t>
      </w:r>
      <w:r w:rsidR="00B435BA">
        <w:rPr>
          <w:snapToGrid w:val="0"/>
          <w:sz w:val="22"/>
        </w:rPr>
        <w:t>priepuolis</w:t>
      </w:r>
      <w:r w:rsidRPr="005A0104">
        <w:rPr>
          <w:snapToGrid w:val="0"/>
          <w:sz w:val="22"/>
        </w:rPr>
        <w:t>.</w:t>
      </w:r>
    </w:p>
    <w:p w14:paraId="52C19101" w14:textId="0C2EAE02" w:rsidR="005A0104" w:rsidRPr="005A0104" w:rsidRDefault="005A0104" w:rsidP="00B435BA">
      <w:pPr>
        <w:pStyle w:val="Sraopastraipa"/>
        <w:numPr>
          <w:ilvl w:val="0"/>
          <w:numId w:val="16"/>
        </w:numPr>
        <w:ind w:left="567" w:right="-2" w:hanging="567"/>
        <w:rPr>
          <w:snapToGrid w:val="0"/>
          <w:sz w:val="22"/>
        </w:rPr>
      </w:pPr>
      <w:r w:rsidRPr="005A0104">
        <w:rPr>
          <w:snapToGrid w:val="0"/>
          <w:sz w:val="22"/>
        </w:rPr>
        <w:t>Nuplikimas (alopecija).</w:t>
      </w:r>
    </w:p>
    <w:p w14:paraId="66E4A34F" w14:textId="350FC464" w:rsidR="005A0104" w:rsidRPr="005A0104" w:rsidRDefault="005A0104" w:rsidP="00B435BA">
      <w:pPr>
        <w:pStyle w:val="Sraopastraipa"/>
        <w:numPr>
          <w:ilvl w:val="0"/>
          <w:numId w:val="16"/>
        </w:numPr>
        <w:ind w:left="567" w:right="-2" w:hanging="567"/>
        <w:rPr>
          <w:snapToGrid w:val="0"/>
          <w:sz w:val="22"/>
        </w:rPr>
      </w:pPr>
      <w:r w:rsidRPr="005A0104">
        <w:rPr>
          <w:snapToGrid w:val="0"/>
          <w:sz w:val="22"/>
        </w:rPr>
        <w:t>Padidėjęs baltymo kiekis šlapime (proteinurija).</w:t>
      </w:r>
    </w:p>
    <w:p w14:paraId="78DA355C" w14:textId="77777777" w:rsidR="00003D22" w:rsidRDefault="00003D22" w:rsidP="00003D22">
      <w:pPr>
        <w:ind w:right="-2"/>
        <w:rPr>
          <w:snapToGrid w:val="0"/>
          <w:sz w:val="22"/>
        </w:rPr>
      </w:pPr>
    </w:p>
    <w:p w14:paraId="1FEEDAF3" w14:textId="77777777" w:rsidR="00B435BA" w:rsidRPr="00B435BA" w:rsidRDefault="00B435BA" w:rsidP="00B435BA">
      <w:pPr>
        <w:ind w:right="-2"/>
        <w:rPr>
          <w:snapToGrid w:val="0"/>
          <w:sz w:val="22"/>
          <w:szCs w:val="24"/>
        </w:rPr>
      </w:pPr>
      <w:r w:rsidRPr="00B435BA">
        <w:rPr>
          <w:b/>
          <w:bCs/>
          <w:snapToGrid w:val="0"/>
          <w:sz w:val="22"/>
          <w:szCs w:val="24"/>
        </w:rPr>
        <w:t>Šalutinio poveikio reiškiniai, kurių dažnis nežinomas</w:t>
      </w:r>
      <w:r w:rsidRPr="00B435BA">
        <w:rPr>
          <w:snapToGrid w:val="0"/>
          <w:sz w:val="22"/>
          <w:szCs w:val="24"/>
        </w:rPr>
        <w:t xml:space="preserve"> (negali būti apskaičiuotas pagal turimus duomenis)</w:t>
      </w:r>
    </w:p>
    <w:p w14:paraId="2E05A42B" w14:textId="77777777" w:rsidR="00B435BA" w:rsidRPr="00C65FD9" w:rsidRDefault="00B435BA" w:rsidP="00B435BA">
      <w:pPr>
        <w:pStyle w:val="Sraopastraipa"/>
        <w:numPr>
          <w:ilvl w:val="0"/>
          <w:numId w:val="7"/>
        </w:numPr>
        <w:ind w:left="567" w:right="-2" w:hanging="567"/>
        <w:rPr>
          <w:snapToGrid w:val="0"/>
          <w:sz w:val="22"/>
        </w:rPr>
      </w:pPr>
      <w:r w:rsidRPr="00C65FD9">
        <w:rPr>
          <w:snapToGrid w:val="0"/>
          <w:sz w:val="22"/>
        </w:rPr>
        <w:t>Inkstų nepakankamumas.</w:t>
      </w:r>
    </w:p>
    <w:p w14:paraId="58497550" w14:textId="2977DF3D" w:rsidR="005A0104" w:rsidRPr="005A0104" w:rsidRDefault="00B435BA" w:rsidP="00B435BA">
      <w:pPr>
        <w:pStyle w:val="Sraopastraipa"/>
        <w:numPr>
          <w:ilvl w:val="0"/>
          <w:numId w:val="7"/>
        </w:numPr>
        <w:ind w:left="567" w:right="-2" w:hanging="567"/>
        <w:rPr>
          <w:snapToGrid w:val="0"/>
          <w:sz w:val="22"/>
        </w:rPr>
      </w:pPr>
      <w:r w:rsidRPr="00C65FD9">
        <w:rPr>
          <w:snapToGrid w:val="0"/>
          <w:sz w:val="22"/>
        </w:rPr>
        <w:t>Kraujagyslės sienelės išsipūtimas ir susilpnėjimas arba kraujagyslės sienelės įplyšimas (aneurizm</w:t>
      </w:r>
      <w:r>
        <w:rPr>
          <w:snapToGrid w:val="0"/>
          <w:sz w:val="22"/>
        </w:rPr>
        <w:t>a</w:t>
      </w:r>
      <w:r w:rsidRPr="00C65FD9">
        <w:rPr>
          <w:snapToGrid w:val="0"/>
          <w:sz w:val="22"/>
        </w:rPr>
        <w:t xml:space="preserve"> ir arterijų atsisluoksniavimas).</w:t>
      </w:r>
    </w:p>
    <w:p w14:paraId="406ED37C" w14:textId="77777777" w:rsidR="00B435BA" w:rsidRDefault="00B435BA" w:rsidP="00B435BA">
      <w:pPr>
        <w:ind w:right="-2"/>
        <w:rPr>
          <w:snapToGrid w:val="0"/>
          <w:sz w:val="22"/>
        </w:rPr>
      </w:pPr>
    </w:p>
    <w:p w14:paraId="15266864" w14:textId="61F2F35B" w:rsidR="005A0104" w:rsidRPr="00B435BA" w:rsidRDefault="005A0104" w:rsidP="00B435BA">
      <w:pPr>
        <w:ind w:right="-2"/>
        <w:rPr>
          <w:snapToGrid w:val="0"/>
          <w:sz w:val="22"/>
          <w:u w:val="single"/>
        </w:rPr>
      </w:pPr>
      <w:r w:rsidRPr="00B435BA">
        <w:rPr>
          <w:snapToGrid w:val="0"/>
          <w:sz w:val="22"/>
          <w:u w:val="single"/>
        </w:rPr>
        <w:t>Su sistemine skleroze susijusi intersticinė plaučių liga (SS-IPL)</w:t>
      </w:r>
    </w:p>
    <w:p w14:paraId="0022E8E5" w14:textId="77777777" w:rsidR="005A0104" w:rsidRPr="00BF4AB8" w:rsidRDefault="005A0104" w:rsidP="005A0104">
      <w:pPr>
        <w:tabs>
          <w:tab w:val="left" w:pos="567"/>
        </w:tabs>
        <w:ind w:right="-29"/>
        <w:rPr>
          <w:snapToGrid w:val="0"/>
          <w:sz w:val="22"/>
        </w:rPr>
      </w:pPr>
      <w:r w:rsidRPr="00BF4AB8">
        <w:rPr>
          <w:b/>
          <w:bCs/>
          <w:snapToGrid w:val="0"/>
          <w:sz w:val="22"/>
        </w:rPr>
        <w:t>Labai dažni šalutinio poveikio reiškiniai</w:t>
      </w:r>
      <w:r w:rsidRPr="00BF4AB8">
        <w:rPr>
          <w:snapToGrid w:val="0"/>
          <w:sz w:val="22"/>
        </w:rPr>
        <w:t xml:space="preserve"> (gali pasireikšti ne rečiau kaip 1 iš 10 asmenų)</w:t>
      </w:r>
    </w:p>
    <w:p w14:paraId="1CB11C31" w14:textId="2EB02A92" w:rsidR="005A0104" w:rsidRPr="00FF4F7F" w:rsidRDefault="005A0104" w:rsidP="00FF4F7F">
      <w:pPr>
        <w:pStyle w:val="Sraopastraipa"/>
        <w:numPr>
          <w:ilvl w:val="0"/>
          <w:numId w:val="7"/>
        </w:numPr>
        <w:ind w:left="567" w:right="-2" w:hanging="567"/>
        <w:rPr>
          <w:snapToGrid w:val="0"/>
          <w:sz w:val="22"/>
        </w:rPr>
      </w:pPr>
      <w:r w:rsidRPr="00FF4F7F">
        <w:rPr>
          <w:snapToGrid w:val="0"/>
          <w:sz w:val="22"/>
        </w:rPr>
        <w:t>Pykinimas.</w:t>
      </w:r>
    </w:p>
    <w:p w14:paraId="519357CB" w14:textId="00BD8722" w:rsidR="005A0104" w:rsidRPr="00FF4F7F" w:rsidRDefault="005A0104" w:rsidP="00FF4F7F">
      <w:pPr>
        <w:pStyle w:val="Sraopastraipa"/>
        <w:numPr>
          <w:ilvl w:val="0"/>
          <w:numId w:val="7"/>
        </w:numPr>
        <w:ind w:left="567" w:right="-2" w:hanging="567"/>
        <w:rPr>
          <w:snapToGrid w:val="0"/>
          <w:sz w:val="22"/>
        </w:rPr>
      </w:pPr>
      <w:r w:rsidRPr="00FF4F7F">
        <w:rPr>
          <w:snapToGrid w:val="0"/>
          <w:sz w:val="22"/>
        </w:rPr>
        <w:t>Vėmimas.</w:t>
      </w:r>
    </w:p>
    <w:p w14:paraId="1C9BF857" w14:textId="01E0E36B" w:rsidR="005A0104" w:rsidRPr="00FF4F7F" w:rsidRDefault="005A0104" w:rsidP="00FF4F7F">
      <w:pPr>
        <w:pStyle w:val="Sraopastraipa"/>
        <w:numPr>
          <w:ilvl w:val="0"/>
          <w:numId w:val="7"/>
        </w:numPr>
        <w:ind w:left="567" w:right="-2" w:hanging="567"/>
        <w:rPr>
          <w:snapToGrid w:val="0"/>
          <w:sz w:val="22"/>
        </w:rPr>
      </w:pPr>
      <w:r w:rsidRPr="00FF4F7F">
        <w:rPr>
          <w:snapToGrid w:val="0"/>
          <w:sz w:val="22"/>
        </w:rPr>
        <w:t>Apatinės kūno dalies (pilvo) skausmas.</w:t>
      </w:r>
    </w:p>
    <w:p w14:paraId="174121D8" w14:textId="77777777" w:rsidR="00FF4F7F" w:rsidRPr="005A0104" w:rsidRDefault="00FF4F7F" w:rsidP="00FF4F7F">
      <w:pPr>
        <w:pStyle w:val="Sraopastraipa"/>
        <w:numPr>
          <w:ilvl w:val="0"/>
          <w:numId w:val="7"/>
        </w:numPr>
        <w:ind w:left="567" w:right="-2" w:hanging="567"/>
        <w:rPr>
          <w:snapToGrid w:val="0"/>
          <w:sz w:val="22"/>
        </w:rPr>
      </w:pPr>
      <w:r w:rsidRPr="005A0104">
        <w:rPr>
          <w:snapToGrid w:val="0"/>
          <w:sz w:val="22"/>
        </w:rPr>
        <w:t>Nenormalūs kepenų tyrim</w:t>
      </w:r>
      <w:r>
        <w:rPr>
          <w:snapToGrid w:val="0"/>
          <w:sz w:val="22"/>
        </w:rPr>
        <w:t>o</w:t>
      </w:r>
      <w:r w:rsidRPr="005A0104">
        <w:rPr>
          <w:snapToGrid w:val="0"/>
          <w:sz w:val="22"/>
        </w:rPr>
        <w:t xml:space="preserve"> </w:t>
      </w:r>
      <w:r>
        <w:rPr>
          <w:snapToGrid w:val="0"/>
          <w:sz w:val="22"/>
        </w:rPr>
        <w:t>rodmenys</w:t>
      </w:r>
      <w:r w:rsidRPr="005A0104">
        <w:rPr>
          <w:snapToGrid w:val="0"/>
          <w:sz w:val="22"/>
        </w:rPr>
        <w:t>.</w:t>
      </w:r>
    </w:p>
    <w:p w14:paraId="5DB0C9DC" w14:textId="77777777" w:rsidR="00FF4F7F" w:rsidRDefault="00FF4F7F" w:rsidP="00FF4F7F">
      <w:pPr>
        <w:ind w:right="-2"/>
        <w:rPr>
          <w:snapToGrid w:val="0"/>
          <w:sz w:val="22"/>
        </w:rPr>
      </w:pPr>
    </w:p>
    <w:p w14:paraId="692A1558" w14:textId="77777777" w:rsidR="00FF4F7F" w:rsidRPr="005A0104" w:rsidRDefault="00FF4F7F" w:rsidP="00FF4F7F">
      <w:pPr>
        <w:tabs>
          <w:tab w:val="left" w:pos="567"/>
        </w:tabs>
        <w:ind w:right="-29"/>
        <w:rPr>
          <w:snapToGrid w:val="0"/>
          <w:sz w:val="22"/>
        </w:rPr>
      </w:pPr>
      <w:r w:rsidRPr="005A0104">
        <w:rPr>
          <w:b/>
          <w:bCs/>
          <w:snapToGrid w:val="0"/>
          <w:sz w:val="22"/>
        </w:rPr>
        <w:t>Dažni šalutinio poveikio reiškiniai</w:t>
      </w:r>
      <w:r w:rsidRPr="005A0104">
        <w:rPr>
          <w:snapToGrid w:val="0"/>
          <w:sz w:val="22"/>
        </w:rPr>
        <w:t xml:space="preserve"> (gali pasireikšti rečiau kaip 1 iš 10 asmenų)</w:t>
      </w:r>
    </w:p>
    <w:p w14:paraId="65CF1ECE" w14:textId="46A33DF1" w:rsidR="005A0104" w:rsidRPr="00FF4F7F" w:rsidRDefault="005A0104" w:rsidP="00FF4F7F">
      <w:pPr>
        <w:pStyle w:val="Sraopastraipa"/>
        <w:numPr>
          <w:ilvl w:val="0"/>
          <w:numId w:val="7"/>
        </w:numPr>
        <w:ind w:left="567" w:right="-2" w:hanging="567"/>
        <w:rPr>
          <w:snapToGrid w:val="0"/>
          <w:sz w:val="22"/>
        </w:rPr>
      </w:pPr>
      <w:r w:rsidRPr="00FF4F7F">
        <w:rPr>
          <w:snapToGrid w:val="0"/>
          <w:sz w:val="22"/>
        </w:rPr>
        <w:t>Kraujavimas.</w:t>
      </w:r>
    </w:p>
    <w:p w14:paraId="55DDB334" w14:textId="6D8DFD88" w:rsidR="005A0104" w:rsidRPr="00FF4F7F" w:rsidRDefault="005A0104" w:rsidP="00FF4F7F">
      <w:pPr>
        <w:pStyle w:val="Sraopastraipa"/>
        <w:numPr>
          <w:ilvl w:val="0"/>
          <w:numId w:val="7"/>
        </w:numPr>
        <w:ind w:left="567" w:right="-2" w:hanging="567"/>
        <w:rPr>
          <w:snapToGrid w:val="0"/>
          <w:sz w:val="22"/>
        </w:rPr>
      </w:pPr>
      <w:r w:rsidRPr="00FF4F7F">
        <w:rPr>
          <w:snapToGrid w:val="0"/>
          <w:sz w:val="22"/>
        </w:rPr>
        <w:t>Didelis kraujospūdis (hipertenzija).</w:t>
      </w:r>
    </w:p>
    <w:p w14:paraId="3530C116" w14:textId="289A7E89" w:rsidR="005A0104" w:rsidRPr="00FF4F7F" w:rsidRDefault="005A0104" w:rsidP="00FF4F7F">
      <w:pPr>
        <w:pStyle w:val="Sraopastraipa"/>
        <w:numPr>
          <w:ilvl w:val="0"/>
          <w:numId w:val="7"/>
        </w:numPr>
        <w:ind w:left="567" w:right="-2" w:hanging="567"/>
        <w:rPr>
          <w:snapToGrid w:val="0"/>
          <w:sz w:val="22"/>
        </w:rPr>
      </w:pPr>
      <w:r w:rsidRPr="00FF4F7F">
        <w:rPr>
          <w:snapToGrid w:val="0"/>
          <w:sz w:val="22"/>
        </w:rPr>
        <w:t>Apetito netekimas.</w:t>
      </w:r>
    </w:p>
    <w:p w14:paraId="2A6C31C0" w14:textId="5EC9AB03" w:rsidR="005A0104" w:rsidRPr="00FF4F7F" w:rsidRDefault="005A0104" w:rsidP="00FF4F7F">
      <w:pPr>
        <w:pStyle w:val="Sraopastraipa"/>
        <w:numPr>
          <w:ilvl w:val="0"/>
          <w:numId w:val="7"/>
        </w:numPr>
        <w:ind w:left="567" w:right="-2" w:hanging="567"/>
        <w:rPr>
          <w:snapToGrid w:val="0"/>
          <w:sz w:val="22"/>
        </w:rPr>
      </w:pPr>
      <w:r w:rsidRPr="00FF4F7F">
        <w:rPr>
          <w:snapToGrid w:val="0"/>
          <w:sz w:val="22"/>
        </w:rPr>
        <w:t>Kūno svorio sumažėjimas.</w:t>
      </w:r>
    </w:p>
    <w:p w14:paraId="13BD548A" w14:textId="3186AE46" w:rsidR="005A0104" w:rsidRPr="00FF4F7F" w:rsidRDefault="005A0104" w:rsidP="00FF4F7F">
      <w:pPr>
        <w:pStyle w:val="Sraopastraipa"/>
        <w:numPr>
          <w:ilvl w:val="0"/>
          <w:numId w:val="7"/>
        </w:numPr>
        <w:ind w:left="567" w:right="-2" w:hanging="567"/>
        <w:rPr>
          <w:snapToGrid w:val="0"/>
          <w:sz w:val="22"/>
        </w:rPr>
      </w:pPr>
      <w:r w:rsidRPr="00FF4F7F">
        <w:rPr>
          <w:snapToGrid w:val="0"/>
          <w:sz w:val="22"/>
        </w:rPr>
        <w:lastRenderedPageBreak/>
        <w:t>Galvos skausmas.</w:t>
      </w:r>
    </w:p>
    <w:p w14:paraId="53266670" w14:textId="77777777" w:rsidR="00FF4F7F" w:rsidRDefault="00FF4F7F" w:rsidP="00FF4F7F">
      <w:pPr>
        <w:ind w:right="-2"/>
        <w:rPr>
          <w:snapToGrid w:val="0"/>
          <w:sz w:val="22"/>
        </w:rPr>
      </w:pPr>
    </w:p>
    <w:p w14:paraId="6962A5C9" w14:textId="77777777" w:rsidR="00FF4F7F" w:rsidRPr="00003D22" w:rsidRDefault="00FF4F7F" w:rsidP="00FF4F7F">
      <w:pPr>
        <w:tabs>
          <w:tab w:val="left" w:pos="567"/>
        </w:tabs>
        <w:ind w:right="-29"/>
        <w:rPr>
          <w:snapToGrid w:val="0"/>
          <w:sz w:val="22"/>
        </w:rPr>
      </w:pPr>
      <w:r w:rsidRPr="00003D22">
        <w:rPr>
          <w:b/>
          <w:bCs/>
          <w:snapToGrid w:val="0"/>
          <w:sz w:val="22"/>
        </w:rPr>
        <w:t>Nedažni šalutinio poveikio reiškiniai</w:t>
      </w:r>
      <w:r w:rsidRPr="00003D22">
        <w:rPr>
          <w:snapToGrid w:val="0"/>
          <w:sz w:val="22"/>
        </w:rPr>
        <w:t xml:space="preserve"> (gali pasireikšti rečiau kaip 1 iš 100 asmenų)</w:t>
      </w:r>
    </w:p>
    <w:p w14:paraId="60188387" w14:textId="241D1157" w:rsidR="005A0104" w:rsidRPr="00FF4F7F" w:rsidRDefault="005A0104" w:rsidP="00FF4F7F">
      <w:pPr>
        <w:pStyle w:val="Sraopastraipa"/>
        <w:numPr>
          <w:ilvl w:val="0"/>
          <w:numId w:val="7"/>
        </w:numPr>
        <w:ind w:left="567" w:right="-2" w:hanging="567"/>
        <w:rPr>
          <w:snapToGrid w:val="0"/>
          <w:sz w:val="22"/>
        </w:rPr>
      </w:pPr>
      <w:r w:rsidRPr="00FF4F7F">
        <w:rPr>
          <w:snapToGrid w:val="0"/>
          <w:sz w:val="22"/>
        </w:rPr>
        <w:t>Storosios žarnos uždegimas.</w:t>
      </w:r>
    </w:p>
    <w:p w14:paraId="277AC177" w14:textId="3F57FF91" w:rsidR="005A0104" w:rsidRPr="00FF4F7F" w:rsidRDefault="005A0104" w:rsidP="00FF4F7F">
      <w:pPr>
        <w:pStyle w:val="Sraopastraipa"/>
        <w:numPr>
          <w:ilvl w:val="0"/>
          <w:numId w:val="7"/>
        </w:numPr>
        <w:ind w:left="567" w:right="-2" w:hanging="567"/>
        <w:rPr>
          <w:snapToGrid w:val="0"/>
          <w:sz w:val="22"/>
        </w:rPr>
      </w:pPr>
      <w:r w:rsidRPr="00FF4F7F">
        <w:rPr>
          <w:snapToGrid w:val="0"/>
          <w:sz w:val="22"/>
        </w:rPr>
        <w:t>Sunkūs kepenų sutrikimai.</w:t>
      </w:r>
    </w:p>
    <w:p w14:paraId="2B5CA987" w14:textId="5DBC0231" w:rsidR="005A0104" w:rsidRPr="00FF4F7F" w:rsidRDefault="005A0104" w:rsidP="00FF4F7F">
      <w:pPr>
        <w:pStyle w:val="Sraopastraipa"/>
        <w:numPr>
          <w:ilvl w:val="0"/>
          <w:numId w:val="7"/>
        </w:numPr>
        <w:ind w:left="567" w:right="-2" w:hanging="567"/>
        <w:rPr>
          <w:snapToGrid w:val="0"/>
          <w:sz w:val="22"/>
        </w:rPr>
      </w:pPr>
      <w:r w:rsidRPr="00FF4F7F">
        <w:rPr>
          <w:snapToGrid w:val="0"/>
          <w:sz w:val="22"/>
        </w:rPr>
        <w:t>Inkstų nepakankamumas.</w:t>
      </w:r>
    </w:p>
    <w:p w14:paraId="1CE07BD5" w14:textId="7C4352AC" w:rsidR="005A0104" w:rsidRPr="00FF4F7F" w:rsidRDefault="005A0104" w:rsidP="00FF4F7F">
      <w:pPr>
        <w:pStyle w:val="Sraopastraipa"/>
        <w:numPr>
          <w:ilvl w:val="0"/>
          <w:numId w:val="7"/>
        </w:numPr>
        <w:ind w:left="567" w:right="-2" w:hanging="567"/>
        <w:rPr>
          <w:snapToGrid w:val="0"/>
          <w:sz w:val="22"/>
        </w:rPr>
      </w:pPr>
      <w:r w:rsidRPr="00FF4F7F">
        <w:rPr>
          <w:snapToGrid w:val="0"/>
          <w:sz w:val="22"/>
        </w:rPr>
        <w:t>Mažas trombocitų skaičius (trombocitopenija).</w:t>
      </w:r>
    </w:p>
    <w:p w14:paraId="6AFB6169" w14:textId="7141DBFE" w:rsidR="005A0104" w:rsidRPr="00FF4F7F" w:rsidRDefault="005A0104" w:rsidP="00FF4F7F">
      <w:pPr>
        <w:pStyle w:val="Sraopastraipa"/>
        <w:numPr>
          <w:ilvl w:val="0"/>
          <w:numId w:val="7"/>
        </w:numPr>
        <w:ind w:left="567" w:right="-2" w:hanging="567"/>
        <w:rPr>
          <w:snapToGrid w:val="0"/>
          <w:sz w:val="22"/>
        </w:rPr>
      </w:pPr>
      <w:r w:rsidRPr="00FF4F7F">
        <w:rPr>
          <w:snapToGrid w:val="0"/>
          <w:sz w:val="22"/>
        </w:rPr>
        <w:t>Išbėrimas.</w:t>
      </w:r>
    </w:p>
    <w:p w14:paraId="48D4DA7A" w14:textId="7A8C26E9" w:rsidR="005A0104" w:rsidRPr="00FF4F7F" w:rsidRDefault="005A0104" w:rsidP="00FF4F7F">
      <w:pPr>
        <w:pStyle w:val="Sraopastraipa"/>
        <w:numPr>
          <w:ilvl w:val="0"/>
          <w:numId w:val="7"/>
        </w:numPr>
        <w:ind w:left="567" w:right="-2" w:hanging="567"/>
        <w:rPr>
          <w:snapToGrid w:val="0"/>
          <w:sz w:val="22"/>
        </w:rPr>
      </w:pPr>
      <w:r w:rsidRPr="00FF4F7F">
        <w:rPr>
          <w:snapToGrid w:val="0"/>
          <w:sz w:val="22"/>
        </w:rPr>
        <w:t>Niežėjimas.</w:t>
      </w:r>
    </w:p>
    <w:p w14:paraId="677A079E" w14:textId="77777777" w:rsidR="00FF4F7F" w:rsidRDefault="00FF4F7F" w:rsidP="00FF4F7F">
      <w:pPr>
        <w:ind w:right="-2"/>
        <w:rPr>
          <w:snapToGrid w:val="0"/>
          <w:sz w:val="22"/>
        </w:rPr>
      </w:pPr>
    </w:p>
    <w:p w14:paraId="406A6A99" w14:textId="77777777" w:rsidR="00FF4F7F" w:rsidRPr="00FF4F7F" w:rsidRDefault="00FF4F7F" w:rsidP="00FF4F7F">
      <w:pPr>
        <w:ind w:right="-2"/>
        <w:rPr>
          <w:snapToGrid w:val="0"/>
          <w:sz w:val="22"/>
          <w:szCs w:val="24"/>
        </w:rPr>
      </w:pPr>
      <w:r w:rsidRPr="00FF4F7F">
        <w:rPr>
          <w:b/>
          <w:bCs/>
          <w:snapToGrid w:val="0"/>
          <w:sz w:val="22"/>
          <w:szCs w:val="24"/>
        </w:rPr>
        <w:t>Šalutinio poveikio reiškiniai, kurių dažnis nežinomas</w:t>
      </w:r>
      <w:r w:rsidRPr="00FF4F7F">
        <w:rPr>
          <w:snapToGrid w:val="0"/>
          <w:sz w:val="22"/>
          <w:szCs w:val="24"/>
        </w:rPr>
        <w:t xml:space="preserve"> (negali būti apskaičiuotas pagal turimus duomenis)</w:t>
      </w:r>
    </w:p>
    <w:p w14:paraId="0E3A7DAC" w14:textId="5C840A01" w:rsidR="005A0104" w:rsidRPr="00FF4F7F" w:rsidRDefault="005A0104" w:rsidP="00FF4F7F">
      <w:pPr>
        <w:pStyle w:val="Sraopastraipa"/>
        <w:numPr>
          <w:ilvl w:val="0"/>
          <w:numId w:val="7"/>
        </w:numPr>
        <w:ind w:left="567" w:right="-2" w:hanging="567"/>
        <w:rPr>
          <w:snapToGrid w:val="0"/>
          <w:sz w:val="22"/>
        </w:rPr>
      </w:pPr>
      <w:r w:rsidRPr="00FF4F7F">
        <w:rPr>
          <w:snapToGrid w:val="0"/>
          <w:sz w:val="22"/>
        </w:rPr>
        <w:t xml:space="preserve">Širdies </w:t>
      </w:r>
      <w:r w:rsidR="00FF4F7F" w:rsidRPr="00FF4F7F">
        <w:rPr>
          <w:snapToGrid w:val="0"/>
          <w:sz w:val="22"/>
        </w:rPr>
        <w:t>priepuolis</w:t>
      </w:r>
      <w:r w:rsidRPr="00FF4F7F">
        <w:rPr>
          <w:snapToGrid w:val="0"/>
          <w:sz w:val="22"/>
        </w:rPr>
        <w:t>.</w:t>
      </w:r>
    </w:p>
    <w:p w14:paraId="74F3F8B0" w14:textId="20D1FA29" w:rsidR="005A0104" w:rsidRPr="00FF4F7F" w:rsidRDefault="005A0104" w:rsidP="00FF4F7F">
      <w:pPr>
        <w:pStyle w:val="Sraopastraipa"/>
        <w:numPr>
          <w:ilvl w:val="0"/>
          <w:numId w:val="7"/>
        </w:numPr>
        <w:ind w:left="567" w:right="-2" w:hanging="567"/>
        <w:rPr>
          <w:snapToGrid w:val="0"/>
          <w:sz w:val="22"/>
        </w:rPr>
      </w:pPr>
      <w:r w:rsidRPr="00FF4F7F">
        <w:rPr>
          <w:snapToGrid w:val="0"/>
          <w:sz w:val="22"/>
        </w:rPr>
        <w:t>Pankreatitas</w:t>
      </w:r>
      <w:r w:rsidR="00FF4F7F" w:rsidRPr="00FF4F7F">
        <w:rPr>
          <w:snapToGrid w:val="0"/>
          <w:sz w:val="22"/>
        </w:rPr>
        <w:t xml:space="preserve"> (kasos uždegimas)</w:t>
      </w:r>
      <w:r w:rsidRPr="00FF4F7F">
        <w:rPr>
          <w:snapToGrid w:val="0"/>
          <w:sz w:val="22"/>
        </w:rPr>
        <w:t>.</w:t>
      </w:r>
    </w:p>
    <w:p w14:paraId="4E986389" w14:textId="2F77CE5B" w:rsidR="005A0104" w:rsidRPr="00FF4F7F" w:rsidRDefault="005A0104" w:rsidP="00FF4F7F">
      <w:pPr>
        <w:pStyle w:val="Sraopastraipa"/>
        <w:numPr>
          <w:ilvl w:val="0"/>
          <w:numId w:val="7"/>
        </w:numPr>
        <w:ind w:left="567" w:right="-2" w:hanging="567"/>
        <w:rPr>
          <w:snapToGrid w:val="0"/>
          <w:sz w:val="22"/>
        </w:rPr>
      </w:pPr>
      <w:r w:rsidRPr="00FF4F7F">
        <w:rPr>
          <w:snapToGrid w:val="0"/>
          <w:sz w:val="22"/>
        </w:rPr>
        <w:t>Gelta – odos ir akių baltymų pageltimas dėl didel</w:t>
      </w:r>
      <w:r w:rsidR="00FF4F7F">
        <w:rPr>
          <w:snapToGrid w:val="0"/>
          <w:sz w:val="22"/>
        </w:rPr>
        <w:t>io</w:t>
      </w:r>
      <w:r w:rsidRPr="00FF4F7F">
        <w:rPr>
          <w:snapToGrid w:val="0"/>
          <w:sz w:val="22"/>
        </w:rPr>
        <w:t xml:space="preserve"> bilirubino </w:t>
      </w:r>
      <w:r w:rsidR="00FF4F7F">
        <w:rPr>
          <w:snapToGrid w:val="0"/>
          <w:sz w:val="22"/>
        </w:rPr>
        <w:t>kiekio</w:t>
      </w:r>
      <w:r w:rsidRPr="00FF4F7F">
        <w:rPr>
          <w:snapToGrid w:val="0"/>
          <w:sz w:val="22"/>
        </w:rPr>
        <w:t>.</w:t>
      </w:r>
    </w:p>
    <w:p w14:paraId="7D75B534" w14:textId="0911091E" w:rsidR="005A0104" w:rsidRPr="00FF4F7F" w:rsidRDefault="00FF4F7F" w:rsidP="00FF4F7F">
      <w:pPr>
        <w:pStyle w:val="Sraopastraipa"/>
        <w:numPr>
          <w:ilvl w:val="0"/>
          <w:numId w:val="21"/>
        </w:numPr>
        <w:ind w:left="567" w:right="-2" w:hanging="567"/>
        <w:rPr>
          <w:snapToGrid w:val="0"/>
          <w:sz w:val="22"/>
        </w:rPr>
      </w:pPr>
      <w:r w:rsidRPr="00C65FD9">
        <w:rPr>
          <w:snapToGrid w:val="0"/>
          <w:sz w:val="22"/>
        </w:rPr>
        <w:t>Kraujagyslės sienelės išsipūtimas ir susilpnėjimas arba kraujagyslės sienelės įplyšimas (aneurizm</w:t>
      </w:r>
      <w:r>
        <w:rPr>
          <w:snapToGrid w:val="0"/>
          <w:sz w:val="22"/>
        </w:rPr>
        <w:t>a</w:t>
      </w:r>
      <w:r w:rsidRPr="00C65FD9">
        <w:rPr>
          <w:snapToGrid w:val="0"/>
          <w:sz w:val="22"/>
        </w:rPr>
        <w:t xml:space="preserve"> ir arterijų atsisluoksniavimas)</w:t>
      </w:r>
      <w:r w:rsidR="005A0104" w:rsidRPr="00FF4F7F">
        <w:rPr>
          <w:snapToGrid w:val="0"/>
          <w:sz w:val="22"/>
        </w:rPr>
        <w:t>.</w:t>
      </w:r>
    </w:p>
    <w:p w14:paraId="27B58C8B" w14:textId="72846FB9" w:rsidR="005A0104" w:rsidRPr="00FF4F7F" w:rsidRDefault="005A0104" w:rsidP="00FF4F7F">
      <w:pPr>
        <w:pStyle w:val="Sraopastraipa"/>
        <w:numPr>
          <w:ilvl w:val="0"/>
          <w:numId w:val="21"/>
        </w:numPr>
        <w:ind w:left="567" w:right="-2" w:hanging="567"/>
        <w:rPr>
          <w:snapToGrid w:val="0"/>
          <w:sz w:val="22"/>
        </w:rPr>
      </w:pPr>
      <w:r w:rsidRPr="00FF4F7F">
        <w:rPr>
          <w:snapToGrid w:val="0"/>
          <w:sz w:val="22"/>
        </w:rPr>
        <w:t>Nuplikimas (alopecija).</w:t>
      </w:r>
    </w:p>
    <w:p w14:paraId="6EEDB52E" w14:textId="76C20363" w:rsidR="005D554B" w:rsidRPr="00FF4F7F" w:rsidRDefault="005A0104" w:rsidP="00FF4F7F">
      <w:pPr>
        <w:pStyle w:val="Sraopastraipa"/>
        <w:numPr>
          <w:ilvl w:val="0"/>
          <w:numId w:val="21"/>
        </w:numPr>
        <w:ind w:left="567" w:right="-2" w:hanging="567"/>
        <w:rPr>
          <w:snapToGrid w:val="0"/>
          <w:sz w:val="22"/>
          <w:szCs w:val="24"/>
        </w:rPr>
      </w:pPr>
      <w:r w:rsidRPr="00FF4F7F">
        <w:rPr>
          <w:snapToGrid w:val="0"/>
          <w:sz w:val="22"/>
        </w:rPr>
        <w:t>Padidėjęs baltymo kiekis šlapime (proteinurija).</w:t>
      </w:r>
    </w:p>
    <w:p w14:paraId="40653AD3" w14:textId="77777777" w:rsidR="00BC2756" w:rsidRPr="00211E3B" w:rsidRDefault="00BC2756" w:rsidP="005D554B">
      <w:pPr>
        <w:tabs>
          <w:tab w:val="left" w:pos="567"/>
        </w:tabs>
        <w:rPr>
          <w:snapToGrid w:val="0"/>
          <w:sz w:val="22"/>
          <w:szCs w:val="22"/>
        </w:rPr>
      </w:pPr>
    </w:p>
    <w:p w14:paraId="6C5DA2E5" w14:textId="73773CD2" w:rsidR="005D554B" w:rsidRPr="00211E3B" w:rsidRDefault="005D554B" w:rsidP="005D554B">
      <w:pPr>
        <w:tabs>
          <w:tab w:val="left" w:pos="567"/>
        </w:tabs>
        <w:rPr>
          <w:b/>
          <w:snapToGrid w:val="0"/>
          <w:sz w:val="22"/>
          <w:szCs w:val="24"/>
        </w:rPr>
      </w:pPr>
      <w:r w:rsidRPr="00211E3B">
        <w:rPr>
          <w:b/>
          <w:snapToGrid w:val="0"/>
          <w:sz w:val="22"/>
          <w:szCs w:val="24"/>
        </w:rPr>
        <w:t>Pranešimas apie šalutinį poveikį</w:t>
      </w:r>
    </w:p>
    <w:p w14:paraId="5F3F2194" w14:textId="4AEE38B5" w:rsidR="005D554B" w:rsidRPr="00211E3B" w:rsidRDefault="005D554B" w:rsidP="005D554B">
      <w:pPr>
        <w:tabs>
          <w:tab w:val="left" w:pos="567"/>
        </w:tabs>
        <w:spacing w:line="260" w:lineRule="exact"/>
        <w:ind w:right="-1"/>
        <w:rPr>
          <w:snapToGrid w:val="0"/>
          <w:sz w:val="22"/>
        </w:rPr>
      </w:pPr>
      <w:r w:rsidRPr="00211E3B">
        <w:rPr>
          <w:snapToGrid w:val="0"/>
          <w:sz w:val="22"/>
        </w:rPr>
        <w:t>Jeigu pasireiškė šalutinis poveikis, įskaitant šiame lapelyje nenurodytą, pasakykite gydytojui</w:t>
      </w:r>
      <w:r w:rsidR="00BC2756" w:rsidRPr="00211E3B">
        <w:rPr>
          <w:snapToGrid w:val="0"/>
          <w:sz w:val="22"/>
        </w:rPr>
        <w:t xml:space="preserve"> </w:t>
      </w:r>
      <w:r w:rsidRPr="00211E3B">
        <w:rPr>
          <w:snapToGrid w:val="0"/>
          <w:sz w:val="22"/>
        </w:rPr>
        <w:t>arba</w:t>
      </w:r>
      <w:r w:rsidR="00BC2756" w:rsidRPr="00211E3B">
        <w:rPr>
          <w:snapToGrid w:val="0"/>
          <w:sz w:val="22"/>
        </w:rPr>
        <w:t xml:space="preserve"> </w:t>
      </w:r>
      <w:r w:rsidRPr="00211E3B">
        <w:rPr>
          <w:snapToGrid w:val="0"/>
          <w:sz w:val="22"/>
        </w:rPr>
        <w:t xml:space="preserve">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22" w:history="1">
        <w:r w:rsidRPr="00211E3B">
          <w:rPr>
            <w:snapToGrid w:val="0"/>
            <w:color w:val="0000FF"/>
            <w:sz w:val="22"/>
            <w:u w:val="single"/>
          </w:rPr>
          <w:t>https://vapris.vvkt.lt/vvkt-web/public/nrv</w:t>
        </w:r>
      </w:hyperlink>
      <w:r w:rsidRPr="00211E3B">
        <w:rPr>
          <w:snapToGrid w:val="0"/>
          <w:sz w:val="22"/>
        </w:rPr>
        <w:t xml:space="preserve"> arba užpildant Paciento pranešimo apie įtariamą nepageidaujamą reakciją (ĮNR) formą, kuri skelbiama </w:t>
      </w:r>
      <w:hyperlink r:id="rId23" w:history="1">
        <w:r w:rsidRPr="00211E3B">
          <w:rPr>
            <w:snapToGrid w:val="0"/>
            <w:color w:val="0000FF"/>
            <w:sz w:val="22"/>
            <w:u w:val="single"/>
          </w:rPr>
          <w:t>https://www.vvkt.lt/index.php?4004286486</w:t>
        </w:r>
      </w:hyperlink>
      <w:r w:rsidRPr="00211E3B">
        <w:rPr>
          <w:snapToGrid w:val="0"/>
          <w:sz w:val="22"/>
        </w:rPr>
        <w:t xml:space="preserve">, ir atsiunčiant elektroniniu paštu (adresu </w:t>
      </w:r>
      <w:hyperlink r:id="rId24" w:history="1">
        <w:r w:rsidRPr="00211E3B">
          <w:rPr>
            <w:snapToGrid w:val="0"/>
            <w:color w:val="0000FF"/>
            <w:sz w:val="22"/>
            <w:u w:val="single"/>
          </w:rPr>
          <w:t>NepageidaujamaR@vvkt.lt</w:t>
        </w:r>
      </w:hyperlink>
      <w:r w:rsidRPr="00211E3B">
        <w:rPr>
          <w:snapToGrid w:val="0"/>
          <w:sz w:val="22"/>
        </w:rPr>
        <w:t xml:space="preserve">) arba nemokamu telefonu </w:t>
      </w:r>
      <w:r w:rsidR="00DF5F4A" w:rsidRPr="00C41B4B">
        <w:rPr>
          <w:snapToGrid w:val="0"/>
          <w:sz w:val="22"/>
        </w:rPr>
        <w:t>0</w:t>
      </w:r>
      <w:r w:rsidRPr="00211E3B">
        <w:rPr>
          <w:snapToGrid w:val="0"/>
          <w:sz w:val="22"/>
        </w:rPr>
        <w:t xml:space="preserve"> 800 73 568. Pranešdami apie šalutinį poveikį galite mums padėti gauti daugiau informacijos apie šio vaisto saugumą.</w:t>
      </w:r>
    </w:p>
    <w:p w14:paraId="13F8044F" w14:textId="77777777" w:rsidR="005D554B" w:rsidRPr="00211E3B" w:rsidRDefault="005D554B" w:rsidP="005D554B">
      <w:pPr>
        <w:tabs>
          <w:tab w:val="left" w:pos="567"/>
        </w:tabs>
        <w:spacing w:line="260" w:lineRule="exact"/>
        <w:ind w:right="-449"/>
        <w:rPr>
          <w:snapToGrid w:val="0"/>
          <w:sz w:val="22"/>
          <w:szCs w:val="24"/>
        </w:rPr>
      </w:pPr>
    </w:p>
    <w:p w14:paraId="2CCA0080" w14:textId="77777777" w:rsidR="005D554B" w:rsidRPr="00211E3B" w:rsidRDefault="005D554B" w:rsidP="005D554B">
      <w:pPr>
        <w:tabs>
          <w:tab w:val="left" w:pos="567"/>
        </w:tabs>
        <w:spacing w:line="260" w:lineRule="exact"/>
        <w:ind w:right="-449"/>
        <w:rPr>
          <w:snapToGrid w:val="0"/>
          <w:sz w:val="22"/>
          <w:szCs w:val="24"/>
        </w:rPr>
      </w:pPr>
    </w:p>
    <w:p w14:paraId="5C81F202" w14:textId="1FF2A923" w:rsidR="005D554B" w:rsidRPr="00211E3B" w:rsidRDefault="005D554B" w:rsidP="005D554B">
      <w:pPr>
        <w:keepNext/>
        <w:keepLines/>
        <w:tabs>
          <w:tab w:val="left" w:pos="567"/>
        </w:tabs>
        <w:outlineLvl w:val="2"/>
        <w:rPr>
          <w:b/>
          <w:bCs/>
          <w:snapToGrid w:val="0"/>
          <w:sz w:val="22"/>
          <w:szCs w:val="26"/>
          <w:lang w:eastAsia="x-none"/>
        </w:rPr>
      </w:pPr>
      <w:r w:rsidRPr="00211E3B">
        <w:rPr>
          <w:b/>
          <w:bCs/>
          <w:snapToGrid w:val="0"/>
          <w:sz w:val="22"/>
          <w:szCs w:val="26"/>
          <w:lang w:eastAsia="x-none"/>
        </w:rPr>
        <w:t>5.</w:t>
      </w:r>
      <w:r w:rsidRPr="00211E3B">
        <w:rPr>
          <w:b/>
          <w:bCs/>
          <w:snapToGrid w:val="0"/>
          <w:sz w:val="22"/>
          <w:szCs w:val="26"/>
          <w:lang w:eastAsia="x-none"/>
        </w:rPr>
        <w:tab/>
        <w:t xml:space="preserve">Kaip laikyti </w:t>
      </w:r>
      <w:r w:rsidR="00224B5B" w:rsidRPr="00211E3B">
        <w:rPr>
          <w:b/>
          <w:bCs/>
          <w:snapToGrid w:val="0"/>
          <w:sz w:val="22"/>
          <w:szCs w:val="26"/>
          <w:lang w:eastAsia="x-none"/>
        </w:rPr>
        <w:t>Agarf</w:t>
      </w:r>
    </w:p>
    <w:p w14:paraId="002E29D2" w14:textId="77777777" w:rsidR="005D554B" w:rsidRPr="00211E3B" w:rsidRDefault="005D554B" w:rsidP="005D554B">
      <w:pPr>
        <w:numPr>
          <w:ilvl w:val="12"/>
          <w:numId w:val="0"/>
        </w:numPr>
        <w:ind w:right="-2"/>
        <w:rPr>
          <w:snapToGrid w:val="0"/>
          <w:sz w:val="22"/>
          <w:szCs w:val="24"/>
        </w:rPr>
      </w:pPr>
    </w:p>
    <w:p w14:paraId="060710C5" w14:textId="77777777" w:rsidR="005D554B" w:rsidRPr="00211E3B" w:rsidRDefault="005D554B" w:rsidP="005D554B">
      <w:pPr>
        <w:numPr>
          <w:ilvl w:val="12"/>
          <w:numId w:val="0"/>
        </w:numPr>
        <w:ind w:right="-2"/>
        <w:rPr>
          <w:snapToGrid w:val="0"/>
          <w:sz w:val="22"/>
          <w:szCs w:val="24"/>
        </w:rPr>
      </w:pPr>
      <w:r w:rsidRPr="00211E3B">
        <w:rPr>
          <w:snapToGrid w:val="0"/>
          <w:sz w:val="22"/>
          <w:szCs w:val="24"/>
        </w:rPr>
        <w:t>Šį vaistą laikykite vaikams nepastebimoje ir nepasiekiamoje vietoje.</w:t>
      </w:r>
    </w:p>
    <w:p w14:paraId="581B00E0" w14:textId="77777777" w:rsidR="005D554B" w:rsidRPr="00211E3B" w:rsidRDefault="005D554B" w:rsidP="005D554B">
      <w:pPr>
        <w:numPr>
          <w:ilvl w:val="12"/>
          <w:numId w:val="0"/>
        </w:numPr>
        <w:ind w:right="-2"/>
        <w:rPr>
          <w:snapToGrid w:val="0"/>
          <w:sz w:val="22"/>
          <w:szCs w:val="24"/>
        </w:rPr>
      </w:pPr>
    </w:p>
    <w:p w14:paraId="1EFD7924" w14:textId="5CE381E0" w:rsidR="005D554B" w:rsidRPr="00211E3B" w:rsidRDefault="005D554B" w:rsidP="005D554B">
      <w:pPr>
        <w:numPr>
          <w:ilvl w:val="12"/>
          <w:numId w:val="0"/>
        </w:numPr>
        <w:ind w:right="-2"/>
        <w:rPr>
          <w:snapToGrid w:val="0"/>
          <w:sz w:val="22"/>
          <w:szCs w:val="24"/>
        </w:rPr>
      </w:pPr>
      <w:r w:rsidRPr="00211E3B">
        <w:rPr>
          <w:snapToGrid w:val="0"/>
          <w:sz w:val="22"/>
          <w:szCs w:val="24"/>
        </w:rPr>
        <w:t xml:space="preserve">Ant </w:t>
      </w:r>
      <w:r w:rsidR="00BC2756" w:rsidRPr="00211E3B">
        <w:rPr>
          <w:snapToGrid w:val="0"/>
          <w:sz w:val="22"/>
          <w:szCs w:val="24"/>
        </w:rPr>
        <w:t xml:space="preserve">dėžutės ir lizdinės plokštelės po </w:t>
      </w:r>
      <w:r w:rsidR="00E66365">
        <w:rPr>
          <w:snapToGrid w:val="0"/>
          <w:sz w:val="22"/>
          <w:szCs w:val="24"/>
        </w:rPr>
        <w:t>,,</w:t>
      </w:r>
      <w:r w:rsidR="00BC2756" w:rsidRPr="00211E3B">
        <w:rPr>
          <w:snapToGrid w:val="0"/>
          <w:sz w:val="22"/>
          <w:szCs w:val="24"/>
        </w:rPr>
        <w:t>EXP</w:t>
      </w:r>
      <w:r w:rsidR="00E66365">
        <w:rPr>
          <w:snapToGrid w:val="0"/>
          <w:sz w:val="22"/>
          <w:szCs w:val="24"/>
        </w:rPr>
        <w:t>“</w:t>
      </w:r>
      <w:r w:rsidR="00BC2756" w:rsidRPr="00211E3B">
        <w:rPr>
          <w:snapToGrid w:val="0"/>
          <w:sz w:val="22"/>
          <w:szCs w:val="24"/>
        </w:rPr>
        <w:t xml:space="preserve"> </w:t>
      </w:r>
      <w:r w:rsidRPr="00211E3B">
        <w:rPr>
          <w:snapToGrid w:val="0"/>
          <w:sz w:val="22"/>
          <w:szCs w:val="24"/>
        </w:rPr>
        <w:t>nurodytam tinkamumo laikui pasibaigus, šio vaisto vartoti negalima. Vaistas tinkamas vartoti iki paskutinės nurodyto mėnesio dienos.</w:t>
      </w:r>
    </w:p>
    <w:p w14:paraId="7D1D0CA7" w14:textId="77777777" w:rsidR="005D554B" w:rsidRPr="00211E3B" w:rsidRDefault="005D554B" w:rsidP="005D554B">
      <w:pPr>
        <w:numPr>
          <w:ilvl w:val="12"/>
          <w:numId w:val="0"/>
        </w:numPr>
        <w:ind w:right="-2"/>
        <w:rPr>
          <w:snapToGrid w:val="0"/>
          <w:sz w:val="22"/>
          <w:szCs w:val="24"/>
        </w:rPr>
      </w:pPr>
    </w:p>
    <w:p w14:paraId="59F81060" w14:textId="1C991ACE" w:rsidR="00BC2756" w:rsidRPr="00211E3B" w:rsidRDefault="00BC2756" w:rsidP="00BC2756">
      <w:pPr>
        <w:numPr>
          <w:ilvl w:val="12"/>
          <w:numId w:val="0"/>
        </w:numPr>
        <w:ind w:right="-2"/>
        <w:rPr>
          <w:snapToGrid w:val="0"/>
          <w:sz w:val="22"/>
          <w:szCs w:val="24"/>
        </w:rPr>
      </w:pPr>
      <w:r w:rsidRPr="00211E3B">
        <w:rPr>
          <w:snapToGrid w:val="0"/>
          <w:sz w:val="22"/>
          <w:szCs w:val="24"/>
        </w:rPr>
        <w:t>Šiam vaistui specialių laikymo sąlygų nereikia.</w:t>
      </w:r>
    </w:p>
    <w:p w14:paraId="53A16700" w14:textId="77777777" w:rsidR="00BC2756" w:rsidRPr="00211E3B" w:rsidRDefault="00BC2756" w:rsidP="00BC2756">
      <w:pPr>
        <w:numPr>
          <w:ilvl w:val="12"/>
          <w:numId w:val="0"/>
        </w:numPr>
        <w:ind w:right="-2"/>
        <w:rPr>
          <w:snapToGrid w:val="0"/>
          <w:sz w:val="22"/>
          <w:szCs w:val="24"/>
        </w:rPr>
      </w:pPr>
    </w:p>
    <w:p w14:paraId="3C4B10D4" w14:textId="2FAB8320" w:rsidR="00BC2756" w:rsidRPr="00211E3B" w:rsidRDefault="00BC2756" w:rsidP="00BC2756">
      <w:pPr>
        <w:numPr>
          <w:ilvl w:val="12"/>
          <w:numId w:val="0"/>
        </w:numPr>
        <w:ind w:right="-2"/>
        <w:rPr>
          <w:snapToGrid w:val="0"/>
          <w:sz w:val="22"/>
          <w:szCs w:val="24"/>
        </w:rPr>
      </w:pPr>
      <w:r w:rsidRPr="00211E3B">
        <w:rPr>
          <w:snapToGrid w:val="0"/>
          <w:sz w:val="22"/>
          <w:szCs w:val="24"/>
        </w:rPr>
        <w:t xml:space="preserve">Pastebėjus, kad lizdinė plokštelė, kurioje yra kapsulės, atidaryta ar kapsulė </w:t>
      </w:r>
      <w:r w:rsidR="00E66365">
        <w:rPr>
          <w:snapToGrid w:val="0"/>
          <w:sz w:val="22"/>
          <w:szCs w:val="24"/>
        </w:rPr>
        <w:t>pažeista</w:t>
      </w:r>
      <w:r w:rsidRPr="00211E3B">
        <w:rPr>
          <w:snapToGrid w:val="0"/>
          <w:sz w:val="22"/>
          <w:szCs w:val="24"/>
        </w:rPr>
        <w:t>, šio vaisto vartoti negalima.</w:t>
      </w:r>
    </w:p>
    <w:p w14:paraId="250CA1CA" w14:textId="77777777" w:rsidR="005D554B" w:rsidRPr="00211E3B" w:rsidRDefault="00BC2756" w:rsidP="00BC2756">
      <w:pPr>
        <w:numPr>
          <w:ilvl w:val="12"/>
          <w:numId w:val="0"/>
        </w:numPr>
        <w:ind w:right="-2"/>
        <w:rPr>
          <w:snapToGrid w:val="0"/>
          <w:sz w:val="22"/>
          <w:szCs w:val="24"/>
        </w:rPr>
      </w:pPr>
      <w:r w:rsidRPr="00211E3B">
        <w:rPr>
          <w:snapToGrid w:val="0"/>
          <w:sz w:val="22"/>
          <w:szCs w:val="24"/>
        </w:rPr>
        <w:t>Jeigu prisilietėte prie kapsulės turinio, reikia nedelsiant gausiu vandens kiekiu nusiplauti rankas (žr. 3 skyrių).</w:t>
      </w:r>
    </w:p>
    <w:p w14:paraId="68281C7C" w14:textId="77777777" w:rsidR="00BC2756" w:rsidRPr="00211E3B" w:rsidRDefault="00BC2756" w:rsidP="00BC2756">
      <w:pPr>
        <w:numPr>
          <w:ilvl w:val="12"/>
          <w:numId w:val="0"/>
        </w:numPr>
        <w:ind w:right="-2"/>
        <w:rPr>
          <w:snapToGrid w:val="0"/>
          <w:sz w:val="22"/>
          <w:szCs w:val="24"/>
        </w:rPr>
      </w:pPr>
    </w:p>
    <w:p w14:paraId="26D16CAF" w14:textId="5621649D" w:rsidR="005D554B" w:rsidRPr="00211E3B" w:rsidRDefault="005D554B" w:rsidP="005D554B">
      <w:pPr>
        <w:numPr>
          <w:ilvl w:val="12"/>
          <w:numId w:val="0"/>
        </w:numPr>
        <w:ind w:right="-2"/>
        <w:rPr>
          <w:i/>
          <w:snapToGrid w:val="0"/>
          <w:sz w:val="22"/>
        </w:rPr>
      </w:pPr>
      <w:r w:rsidRPr="00211E3B">
        <w:rPr>
          <w:snapToGrid w:val="0"/>
          <w:sz w:val="22"/>
          <w:szCs w:val="24"/>
        </w:rPr>
        <w:t>Vaistų negalima išmesti į kanalizaciją arba su buitinėmis atliekomis. Kaip išmesti nereikalingus vaistus, klauskite vaistininko. Šios priemonės padės apsaugoti aplinką.</w:t>
      </w:r>
    </w:p>
    <w:p w14:paraId="6D8746FE" w14:textId="77777777" w:rsidR="005D554B" w:rsidRPr="00211E3B" w:rsidRDefault="005D554B" w:rsidP="005D554B">
      <w:pPr>
        <w:numPr>
          <w:ilvl w:val="12"/>
          <w:numId w:val="0"/>
        </w:numPr>
        <w:ind w:right="-2"/>
        <w:rPr>
          <w:snapToGrid w:val="0"/>
          <w:sz w:val="22"/>
          <w:szCs w:val="24"/>
        </w:rPr>
      </w:pPr>
    </w:p>
    <w:p w14:paraId="79BB67FE" w14:textId="77777777" w:rsidR="005D554B" w:rsidRPr="00211E3B" w:rsidRDefault="005D554B" w:rsidP="005D554B">
      <w:pPr>
        <w:keepNext/>
        <w:keepLines/>
        <w:tabs>
          <w:tab w:val="left" w:pos="567"/>
        </w:tabs>
        <w:outlineLvl w:val="2"/>
        <w:rPr>
          <w:b/>
          <w:bCs/>
          <w:snapToGrid w:val="0"/>
          <w:sz w:val="22"/>
          <w:szCs w:val="26"/>
          <w:lang w:eastAsia="x-none"/>
        </w:rPr>
      </w:pPr>
      <w:r w:rsidRPr="00211E3B">
        <w:rPr>
          <w:b/>
          <w:bCs/>
          <w:snapToGrid w:val="0"/>
          <w:sz w:val="22"/>
          <w:szCs w:val="26"/>
          <w:lang w:eastAsia="x-none"/>
        </w:rPr>
        <w:t>6.</w:t>
      </w:r>
      <w:r w:rsidRPr="00211E3B">
        <w:rPr>
          <w:bCs/>
          <w:snapToGrid w:val="0"/>
          <w:sz w:val="22"/>
          <w:szCs w:val="26"/>
          <w:lang w:eastAsia="x-none"/>
        </w:rPr>
        <w:tab/>
      </w:r>
      <w:r w:rsidRPr="00211E3B">
        <w:rPr>
          <w:b/>
          <w:bCs/>
          <w:snapToGrid w:val="0"/>
          <w:sz w:val="22"/>
          <w:szCs w:val="26"/>
          <w:lang w:eastAsia="x-none"/>
        </w:rPr>
        <w:t>Pakuotės turinys ir kita informacija</w:t>
      </w:r>
    </w:p>
    <w:p w14:paraId="259186DE" w14:textId="77777777" w:rsidR="005D554B" w:rsidRPr="00211E3B" w:rsidRDefault="005D554B" w:rsidP="005D554B">
      <w:pPr>
        <w:numPr>
          <w:ilvl w:val="12"/>
          <w:numId w:val="0"/>
        </w:numPr>
        <w:rPr>
          <w:snapToGrid w:val="0"/>
          <w:sz w:val="22"/>
          <w:szCs w:val="24"/>
        </w:rPr>
      </w:pPr>
    </w:p>
    <w:p w14:paraId="5AEFB569" w14:textId="6E2CC055" w:rsidR="005D554B" w:rsidRPr="00211E3B" w:rsidRDefault="00224B5B" w:rsidP="005D554B">
      <w:pPr>
        <w:keepNext/>
        <w:tabs>
          <w:tab w:val="left" w:pos="567"/>
        </w:tabs>
        <w:spacing w:line="260" w:lineRule="exact"/>
        <w:jc w:val="both"/>
        <w:outlineLvl w:val="3"/>
        <w:rPr>
          <w:b/>
          <w:bCs/>
          <w:snapToGrid w:val="0"/>
          <w:sz w:val="22"/>
          <w:szCs w:val="28"/>
          <w:lang w:eastAsia="x-none"/>
        </w:rPr>
      </w:pPr>
      <w:r w:rsidRPr="00211E3B">
        <w:rPr>
          <w:b/>
          <w:bCs/>
          <w:snapToGrid w:val="0"/>
          <w:sz w:val="22"/>
          <w:szCs w:val="28"/>
          <w:lang w:eastAsia="x-none"/>
        </w:rPr>
        <w:t>Agarf</w:t>
      </w:r>
      <w:r w:rsidR="005D554B" w:rsidRPr="00211E3B">
        <w:rPr>
          <w:b/>
          <w:bCs/>
          <w:snapToGrid w:val="0"/>
          <w:sz w:val="22"/>
          <w:szCs w:val="28"/>
          <w:lang w:eastAsia="x-none"/>
        </w:rPr>
        <w:t xml:space="preserve"> sudėtis </w:t>
      </w:r>
    </w:p>
    <w:p w14:paraId="390F50EA" w14:textId="655AE4C9" w:rsidR="005D554B" w:rsidRPr="00211E3B" w:rsidRDefault="005D554B" w:rsidP="005D554B">
      <w:pPr>
        <w:numPr>
          <w:ilvl w:val="0"/>
          <w:numId w:val="5"/>
        </w:numPr>
        <w:tabs>
          <w:tab w:val="left" w:pos="567"/>
        </w:tabs>
        <w:spacing w:line="260" w:lineRule="exact"/>
        <w:ind w:left="567" w:right="-2" w:hanging="567"/>
        <w:rPr>
          <w:snapToGrid w:val="0"/>
          <w:sz w:val="22"/>
          <w:szCs w:val="24"/>
        </w:rPr>
      </w:pPr>
      <w:r w:rsidRPr="00211E3B">
        <w:rPr>
          <w:snapToGrid w:val="0"/>
          <w:sz w:val="22"/>
          <w:szCs w:val="24"/>
        </w:rPr>
        <w:t>Veiklioji</w:t>
      </w:r>
      <w:r w:rsidR="001C1847" w:rsidRPr="00211E3B">
        <w:rPr>
          <w:snapToGrid w:val="0"/>
          <w:sz w:val="22"/>
          <w:szCs w:val="24"/>
        </w:rPr>
        <w:t xml:space="preserve"> </w:t>
      </w:r>
      <w:r w:rsidRPr="00211E3B">
        <w:rPr>
          <w:snapToGrid w:val="0"/>
          <w:sz w:val="22"/>
          <w:szCs w:val="24"/>
        </w:rPr>
        <w:t>medžiaga yra</w:t>
      </w:r>
      <w:r w:rsidR="001C1847" w:rsidRPr="00211E3B">
        <w:t xml:space="preserve"> </w:t>
      </w:r>
      <w:r w:rsidR="00996541">
        <w:t>n</w:t>
      </w:r>
      <w:r w:rsidR="001C1847" w:rsidRPr="00211E3B">
        <w:rPr>
          <w:snapToGrid w:val="0"/>
          <w:sz w:val="22"/>
          <w:szCs w:val="24"/>
        </w:rPr>
        <w:t>intedanibas. Kiekvienoje kapsulėje yra 100</w:t>
      </w:r>
      <w:r w:rsidR="0085390D">
        <w:rPr>
          <w:snapToGrid w:val="0"/>
          <w:sz w:val="22"/>
          <w:szCs w:val="24"/>
        </w:rPr>
        <w:t> mg</w:t>
      </w:r>
      <w:r w:rsidR="001C1847" w:rsidRPr="00211E3B">
        <w:rPr>
          <w:snapToGrid w:val="0"/>
          <w:sz w:val="22"/>
          <w:szCs w:val="24"/>
        </w:rPr>
        <w:t xml:space="preserve"> nintedanibo (esilato forma)</w:t>
      </w:r>
      <w:r w:rsidR="00932D83" w:rsidRPr="00211E3B">
        <w:rPr>
          <w:snapToGrid w:val="0"/>
          <w:sz w:val="22"/>
          <w:szCs w:val="24"/>
        </w:rPr>
        <w:t>.</w:t>
      </w:r>
    </w:p>
    <w:p w14:paraId="1B9FFDB2" w14:textId="079AB3F9" w:rsidR="005D554B" w:rsidRPr="00211E3B" w:rsidRDefault="005D554B" w:rsidP="005D554B">
      <w:pPr>
        <w:numPr>
          <w:ilvl w:val="0"/>
          <w:numId w:val="5"/>
        </w:numPr>
        <w:tabs>
          <w:tab w:val="left" w:pos="567"/>
        </w:tabs>
        <w:spacing w:line="260" w:lineRule="exact"/>
        <w:ind w:left="567" w:right="-2" w:hanging="567"/>
        <w:rPr>
          <w:snapToGrid w:val="0"/>
          <w:sz w:val="22"/>
          <w:szCs w:val="24"/>
        </w:rPr>
      </w:pPr>
      <w:r w:rsidRPr="00211E3B">
        <w:rPr>
          <w:snapToGrid w:val="0"/>
          <w:sz w:val="22"/>
          <w:szCs w:val="24"/>
        </w:rPr>
        <w:t>Pagalbinės medžiag</w:t>
      </w:r>
      <w:r w:rsidR="00C61A85" w:rsidRPr="00211E3B">
        <w:rPr>
          <w:snapToGrid w:val="0"/>
          <w:sz w:val="22"/>
          <w:szCs w:val="24"/>
        </w:rPr>
        <w:t>os</w:t>
      </w:r>
    </w:p>
    <w:p w14:paraId="6E76A192" w14:textId="61D23CC3" w:rsidR="00C61A85" w:rsidRPr="00211E3B" w:rsidRDefault="00C61A85" w:rsidP="00C61A85">
      <w:pPr>
        <w:pStyle w:val="Sraopastraipa"/>
        <w:numPr>
          <w:ilvl w:val="0"/>
          <w:numId w:val="8"/>
        </w:numPr>
        <w:tabs>
          <w:tab w:val="left" w:pos="567"/>
        </w:tabs>
        <w:spacing w:line="260" w:lineRule="exact"/>
        <w:ind w:left="1134" w:right="-2" w:hanging="567"/>
        <w:rPr>
          <w:snapToGrid w:val="0"/>
          <w:sz w:val="22"/>
          <w:szCs w:val="24"/>
        </w:rPr>
      </w:pPr>
      <w:r w:rsidRPr="00211E3B">
        <w:rPr>
          <w:snapToGrid w:val="0"/>
          <w:sz w:val="22"/>
          <w:szCs w:val="24"/>
        </w:rPr>
        <w:t>Kapsulės turiny</w:t>
      </w:r>
      <w:r w:rsidR="00E66365">
        <w:rPr>
          <w:snapToGrid w:val="0"/>
          <w:sz w:val="22"/>
          <w:szCs w:val="24"/>
        </w:rPr>
        <w:t>je</w:t>
      </w:r>
      <w:r w:rsidRPr="00211E3B">
        <w:rPr>
          <w:snapToGrid w:val="0"/>
          <w:sz w:val="22"/>
          <w:szCs w:val="24"/>
        </w:rPr>
        <w:t>: vidutinės grandinės trigliceridai, kietieji riebalai ir poligliceril-3-dioleatas.</w:t>
      </w:r>
    </w:p>
    <w:p w14:paraId="334905B7" w14:textId="5971F262" w:rsidR="00C61A85" w:rsidRPr="00211E3B" w:rsidRDefault="00C61A85" w:rsidP="00C61A85">
      <w:pPr>
        <w:pStyle w:val="Sraopastraipa"/>
        <w:numPr>
          <w:ilvl w:val="0"/>
          <w:numId w:val="8"/>
        </w:numPr>
        <w:tabs>
          <w:tab w:val="left" w:pos="567"/>
        </w:tabs>
        <w:spacing w:line="260" w:lineRule="exact"/>
        <w:ind w:left="1134" w:right="-2" w:hanging="567"/>
        <w:rPr>
          <w:snapToGrid w:val="0"/>
          <w:sz w:val="22"/>
          <w:szCs w:val="24"/>
        </w:rPr>
      </w:pPr>
      <w:r w:rsidRPr="00211E3B">
        <w:rPr>
          <w:snapToGrid w:val="0"/>
          <w:sz w:val="22"/>
          <w:szCs w:val="24"/>
        </w:rPr>
        <w:lastRenderedPageBreak/>
        <w:t>Kapsulės korpus</w:t>
      </w:r>
      <w:r w:rsidR="00E66365">
        <w:rPr>
          <w:snapToGrid w:val="0"/>
          <w:sz w:val="22"/>
          <w:szCs w:val="24"/>
        </w:rPr>
        <w:t>e</w:t>
      </w:r>
      <w:r w:rsidRPr="00211E3B">
        <w:rPr>
          <w:snapToGrid w:val="0"/>
          <w:sz w:val="22"/>
          <w:szCs w:val="24"/>
        </w:rPr>
        <w:t>: želatina, glicerolis, titano dioksidas (E 171), raudonasis geležies oksidas (E 172) ir geltonasis geležies oksidas (E 172), išgrynintas vanduo.</w:t>
      </w:r>
    </w:p>
    <w:p w14:paraId="25541A06" w14:textId="75CBA2BC" w:rsidR="00C61A85" w:rsidRPr="00211E3B" w:rsidRDefault="00C61A85" w:rsidP="00C61A85">
      <w:pPr>
        <w:pStyle w:val="Sraopastraipa"/>
        <w:numPr>
          <w:ilvl w:val="0"/>
          <w:numId w:val="8"/>
        </w:numPr>
        <w:tabs>
          <w:tab w:val="left" w:pos="567"/>
        </w:tabs>
        <w:spacing w:line="260" w:lineRule="exact"/>
        <w:ind w:left="1134" w:right="-2" w:hanging="567"/>
        <w:rPr>
          <w:snapToGrid w:val="0"/>
          <w:sz w:val="22"/>
          <w:szCs w:val="24"/>
        </w:rPr>
      </w:pPr>
      <w:r w:rsidRPr="00211E3B">
        <w:rPr>
          <w:snapToGrid w:val="0"/>
          <w:sz w:val="22"/>
          <w:szCs w:val="24"/>
        </w:rPr>
        <w:t>Spaustuvini</w:t>
      </w:r>
      <w:r w:rsidR="00E66365">
        <w:rPr>
          <w:snapToGrid w:val="0"/>
          <w:sz w:val="22"/>
          <w:szCs w:val="24"/>
        </w:rPr>
        <w:t>ame</w:t>
      </w:r>
      <w:r w:rsidRPr="00211E3B">
        <w:rPr>
          <w:snapToGrid w:val="0"/>
          <w:sz w:val="22"/>
          <w:szCs w:val="24"/>
        </w:rPr>
        <w:t xml:space="preserve"> rašal</w:t>
      </w:r>
      <w:r w:rsidR="00E66365">
        <w:rPr>
          <w:snapToGrid w:val="0"/>
          <w:sz w:val="22"/>
          <w:szCs w:val="24"/>
        </w:rPr>
        <w:t>e</w:t>
      </w:r>
      <w:r w:rsidRPr="00211E3B">
        <w:rPr>
          <w:snapToGrid w:val="0"/>
          <w:sz w:val="22"/>
          <w:szCs w:val="24"/>
        </w:rPr>
        <w:t>: šelakas, karminas (E 120), propilenglikolis (E 1520) ir simetikonas.</w:t>
      </w:r>
    </w:p>
    <w:p w14:paraId="63D46396" w14:textId="77777777" w:rsidR="005D554B" w:rsidRPr="00211E3B" w:rsidRDefault="005D554B" w:rsidP="005D554B">
      <w:pPr>
        <w:numPr>
          <w:ilvl w:val="12"/>
          <w:numId w:val="0"/>
        </w:numPr>
        <w:ind w:right="-2"/>
        <w:rPr>
          <w:snapToGrid w:val="0"/>
          <w:sz w:val="22"/>
          <w:szCs w:val="24"/>
        </w:rPr>
      </w:pPr>
    </w:p>
    <w:p w14:paraId="65FD6E19" w14:textId="0DC53E20" w:rsidR="005D554B" w:rsidRPr="00211E3B" w:rsidRDefault="00224B5B" w:rsidP="005D554B">
      <w:pPr>
        <w:keepNext/>
        <w:tabs>
          <w:tab w:val="left" w:pos="567"/>
        </w:tabs>
        <w:spacing w:line="260" w:lineRule="exact"/>
        <w:jc w:val="both"/>
        <w:outlineLvl w:val="3"/>
        <w:rPr>
          <w:b/>
          <w:bCs/>
          <w:snapToGrid w:val="0"/>
          <w:sz w:val="22"/>
          <w:szCs w:val="28"/>
          <w:lang w:eastAsia="x-none"/>
        </w:rPr>
      </w:pPr>
      <w:r w:rsidRPr="00211E3B">
        <w:rPr>
          <w:b/>
          <w:bCs/>
          <w:snapToGrid w:val="0"/>
          <w:sz w:val="22"/>
          <w:szCs w:val="28"/>
          <w:lang w:eastAsia="x-none"/>
        </w:rPr>
        <w:t>Agarf</w:t>
      </w:r>
      <w:r w:rsidR="005D554B" w:rsidRPr="00211E3B">
        <w:rPr>
          <w:b/>
          <w:bCs/>
          <w:snapToGrid w:val="0"/>
          <w:sz w:val="22"/>
          <w:szCs w:val="28"/>
          <w:lang w:eastAsia="x-none"/>
        </w:rPr>
        <w:t xml:space="preserve"> išvaizda ir kiekis pakuotėje</w:t>
      </w:r>
    </w:p>
    <w:p w14:paraId="6A44CE15" w14:textId="27076B29" w:rsidR="00BF4AB8" w:rsidRPr="00211E3B" w:rsidRDefault="00224B5B" w:rsidP="00BF4AB8">
      <w:pPr>
        <w:tabs>
          <w:tab w:val="left" w:pos="567"/>
        </w:tabs>
        <w:spacing w:line="260" w:lineRule="exact"/>
        <w:rPr>
          <w:snapToGrid w:val="0"/>
          <w:sz w:val="22"/>
          <w:szCs w:val="24"/>
        </w:rPr>
      </w:pPr>
      <w:r w:rsidRPr="00211E3B">
        <w:rPr>
          <w:snapToGrid w:val="0"/>
          <w:sz w:val="22"/>
          <w:szCs w:val="24"/>
        </w:rPr>
        <w:t>Agarf</w:t>
      </w:r>
      <w:r w:rsidR="00BF4AB8" w:rsidRPr="00211E3B">
        <w:rPr>
          <w:snapToGrid w:val="0"/>
          <w:sz w:val="22"/>
          <w:szCs w:val="24"/>
        </w:rPr>
        <w:t xml:space="preserve"> 100</w:t>
      </w:r>
      <w:r w:rsidR="0085390D">
        <w:rPr>
          <w:snapToGrid w:val="0"/>
          <w:sz w:val="22"/>
          <w:szCs w:val="24"/>
        </w:rPr>
        <w:t> mg</w:t>
      </w:r>
      <w:r w:rsidR="00BF4AB8" w:rsidRPr="00211E3B">
        <w:rPr>
          <w:snapToGrid w:val="0"/>
          <w:sz w:val="22"/>
          <w:szCs w:val="24"/>
        </w:rPr>
        <w:t xml:space="preserve"> yra persiko spalvos, matinės, pailgos</w:t>
      </w:r>
      <w:r w:rsidR="00E66365">
        <w:rPr>
          <w:snapToGrid w:val="0"/>
          <w:sz w:val="22"/>
          <w:szCs w:val="24"/>
        </w:rPr>
        <w:t>,</w:t>
      </w:r>
      <w:r w:rsidR="00BF4AB8" w:rsidRPr="00211E3B">
        <w:rPr>
          <w:snapToGrid w:val="0"/>
          <w:sz w:val="22"/>
          <w:szCs w:val="24"/>
        </w:rPr>
        <w:t xml:space="preserve"> maždaug 16 mm ilgio kapsulės, kuriose yra geltonos klampios suspensijos, su raudono rašalo įspaudu „NT 100“.</w:t>
      </w:r>
    </w:p>
    <w:p w14:paraId="4675918B" w14:textId="6CA2F922" w:rsidR="005D554B" w:rsidRPr="00211E3B" w:rsidRDefault="005D554B" w:rsidP="005D554B">
      <w:pPr>
        <w:numPr>
          <w:ilvl w:val="12"/>
          <w:numId w:val="0"/>
        </w:numPr>
        <w:ind w:right="-2"/>
        <w:rPr>
          <w:snapToGrid w:val="0"/>
          <w:sz w:val="22"/>
          <w:szCs w:val="24"/>
        </w:rPr>
      </w:pPr>
    </w:p>
    <w:p w14:paraId="1EC8FBFE" w14:textId="30026094" w:rsidR="00BF4AB8" w:rsidRPr="00211E3B" w:rsidRDefault="00224B5B" w:rsidP="005D554B">
      <w:pPr>
        <w:numPr>
          <w:ilvl w:val="12"/>
          <w:numId w:val="0"/>
        </w:numPr>
        <w:ind w:right="-2"/>
        <w:rPr>
          <w:snapToGrid w:val="0"/>
          <w:sz w:val="22"/>
          <w:szCs w:val="24"/>
        </w:rPr>
      </w:pPr>
      <w:r w:rsidRPr="00211E3B">
        <w:rPr>
          <w:snapToGrid w:val="0"/>
          <w:sz w:val="22"/>
          <w:szCs w:val="24"/>
        </w:rPr>
        <w:t>Agarf</w:t>
      </w:r>
      <w:r w:rsidR="00BF4AB8" w:rsidRPr="00211E3B">
        <w:rPr>
          <w:snapToGrid w:val="0"/>
          <w:sz w:val="22"/>
          <w:szCs w:val="24"/>
        </w:rPr>
        <w:t xml:space="preserve"> 100</w:t>
      </w:r>
      <w:r w:rsidR="0085390D">
        <w:rPr>
          <w:snapToGrid w:val="0"/>
          <w:sz w:val="22"/>
          <w:szCs w:val="24"/>
        </w:rPr>
        <w:t> mg</w:t>
      </w:r>
      <w:r w:rsidR="00BF4AB8" w:rsidRPr="00211E3B">
        <w:rPr>
          <w:snapToGrid w:val="0"/>
          <w:sz w:val="22"/>
          <w:szCs w:val="24"/>
        </w:rPr>
        <w:t xml:space="preserve"> minkštosios kapsulės tiekiamos kartono dėžutėje esančiose </w:t>
      </w:r>
      <w:r w:rsidR="00703C7D" w:rsidRPr="00703C7D">
        <w:rPr>
          <w:snapToGrid w:val="0"/>
          <w:sz w:val="22"/>
          <w:szCs w:val="24"/>
        </w:rPr>
        <w:t>OPA/</w:t>
      </w:r>
      <w:r w:rsidR="00703C7D">
        <w:rPr>
          <w:snapToGrid w:val="0"/>
          <w:sz w:val="22"/>
          <w:szCs w:val="24"/>
        </w:rPr>
        <w:t>aliuminio</w:t>
      </w:r>
      <w:r w:rsidR="00703C7D" w:rsidRPr="00703C7D">
        <w:rPr>
          <w:snapToGrid w:val="0"/>
          <w:sz w:val="22"/>
          <w:szCs w:val="24"/>
        </w:rPr>
        <w:t xml:space="preserve">/PVC </w:t>
      </w:r>
      <w:r w:rsidR="00703C7D">
        <w:rPr>
          <w:snapToGrid w:val="0"/>
          <w:sz w:val="22"/>
          <w:szCs w:val="24"/>
        </w:rPr>
        <w:t>aliuminio</w:t>
      </w:r>
      <w:r w:rsidR="00703C7D" w:rsidRPr="00703C7D">
        <w:rPr>
          <w:snapToGrid w:val="0"/>
          <w:sz w:val="22"/>
          <w:szCs w:val="24"/>
        </w:rPr>
        <w:t xml:space="preserve"> </w:t>
      </w:r>
      <w:r w:rsidR="00BF4AB8" w:rsidRPr="00211E3B">
        <w:rPr>
          <w:snapToGrid w:val="0"/>
          <w:sz w:val="22"/>
          <w:szCs w:val="24"/>
        </w:rPr>
        <w:t>perforuotose dalomosiose lizdinėse plokštelėse.</w:t>
      </w:r>
    </w:p>
    <w:p w14:paraId="23CDDC72" w14:textId="77777777" w:rsidR="00BF4AB8" w:rsidRPr="00211E3B" w:rsidRDefault="00BF4AB8" w:rsidP="005D554B">
      <w:pPr>
        <w:numPr>
          <w:ilvl w:val="12"/>
          <w:numId w:val="0"/>
        </w:numPr>
        <w:ind w:right="-2"/>
        <w:rPr>
          <w:snapToGrid w:val="0"/>
          <w:sz w:val="22"/>
          <w:szCs w:val="24"/>
        </w:rPr>
      </w:pPr>
    </w:p>
    <w:p w14:paraId="1CDB1F36" w14:textId="6E7459D3" w:rsidR="00BF4AB8" w:rsidRPr="00211E3B" w:rsidRDefault="00BF4AB8" w:rsidP="005D554B">
      <w:pPr>
        <w:numPr>
          <w:ilvl w:val="12"/>
          <w:numId w:val="0"/>
        </w:numPr>
        <w:ind w:right="-2"/>
        <w:rPr>
          <w:snapToGrid w:val="0"/>
          <w:sz w:val="22"/>
          <w:szCs w:val="24"/>
        </w:rPr>
      </w:pPr>
      <w:r w:rsidRPr="00211E3B">
        <w:rPr>
          <w:snapToGrid w:val="0"/>
          <w:sz w:val="22"/>
          <w:szCs w:val="24"/>
        </w:rPr>
        <w:t>Pakuotės dydžiai:</w:t>
      </w:r>
    </w:p>
    <w:p w14:paraId="1B7C3D35" w14:textId="77777777" w:rsidR="00BF4AB8" w:rsidRPr="00211E3B" w:rsidRDefault="00BF4AB8" w:rsidP="005D554B">
      <w:pPr>
        <w:numPr>
          <w:ilvl w:val="12"/>
          <w:numId w:val="0"/>
        </w:numPr>
        <w:ind w:right="-2"/>
        <w:rPr>
          <w:snapToGrid w:val="0"/>
          <w:sz w:val="22"/>
          <w:szCs w:val="24"/>
        </w:rPr>
      </w:pPr>
    </w:p>
    <w:p w14:paraId="55D9D679" w14:textId="6BD67076" w:rsidR="00BF4AB8" w:rsidRPr="00211E3B" w:rsidRDefault="00BF4AB8" w:rsidP="005D554B">
      <w:pPr>
        <w:numPr>
          <w:ilvl w:val="12"/>
          <w:numId w:val="0"/>
        </w:numPr>
        <w:ind w:right="-2"/>
        <w:rPr>
          <w:snapToGrid w:val="0"/>
          <w:sz w:val="22"/>
          <w:szCs w:val="24"/>
        </w:rPr>
      </w:pPr>
      <w:r w:rsidRPr="00211E3B">
        <w:rPr>
          <w:snapToGrid w:val="0"/>
          <w:sz w:val="22"/>
          <w:szCs w:val="24"/>
        </w:rPr>
        <w:t>60 x 1 minkštoji kapsulė</w:t>
      </w:r>
    </w:p>
    <w:p w14:paraId="0B8B51EA" w14:textId="77777777" w:rsidR="00BF4AB8" w:rsidRPr="00211E3B" w:rsidRDefault="00BF4AB8" w:rsidP="005D554B">
      <w:pPr>
        <w:numPr>
          <w:ilvl w:val="12"/>
          <w:numId w:val="0"/>
        </w:numPr>
        <w:ind w:right="-2"/>
        <w:rPr>
          <w:snapToGrid w:val="0"/>
          <w:sz w:val="22"/>
          <w:szCs w:val="24"/>
        </w:rPr>
      </w:pPr>
    </w:p>
    <w:p w14:paraId="6AFDE805" w14:textId="20E95124" w:rsidR="00BF4AB8" w:rsidRPr="00211E3B" w:rsidRDefault="00BF4AB8" w:rsidP="005D554B">
      <w:pPr>
        <w:numPr>
          <w:ilvl w:val="12"/>
          <w:numId w:val="0"/>
        </w:numPr>
        <w:ind w:right="-2"/>
        <w:rPr>
          <w:snapToGrid w:val="0"/>
          <w:sz w:val="22"/>
          <w:szCs w:val="24"/>
        </w:rPr>
      </w:pPr>
      <w:r w:rsidRPr="00211E3B">
        <w:rPr>
          <w:snapToGrid w:val="0"/>
          <w:sz w:val="22"/>
          <w:szCs w:val="24"/>
        </w:rPr>
        <w:t>Gali būti tiekiamos ne visų dydžių pakuotės.</w:t>
      </w:r>
    </w:p>
    <w:p w14:paraId="7458016F" w14:textId="77777777" w:rsidR="00BF4AB8" w:rsidRPr="00211E3B" w:rsidRDefault="00BF4AB8" w:rsidP="005D554B">
      <w:pPr>
        <w:numPr>
          <w:ilvl w:val="12"/>
          <w:numId w:val="0"/>
        </w:numPr>
        <w:ind w:right="-2"/>
        <w:rPr>
          <w:snapToGrid w:val="0"/>
          <w:sz w:val="22"/>
          <w:szCs w:val="24"/>
        </w:rPr>
      </w:pPr>
    </w:p>
    <w:p w14:paraId="68145BE4" w14:textId="77777777" w:rsidR="00ED7A10" w:rsidRDefault="00ED7A10" w:rsidP="00ED7A10">
      <w:pPr>
        <w:keepNext/>
        <w:tabs>
          <w:tab w:val="left" w:pos="567"/>
        </w:tabs>
        <w:spacing w:line="260" w:lineRule="exact"/>
        <w:jc w:val="both"/>
        <w:outlineLvl w:val="3"/>
        <w:rPr>
          <w:b/>
          <w:bCs/>
          <w:snapToGrid w:val="0"/>
          <w:sz w:val="22"/>
          <w:szCs w:val="28"/>
          <w:lang w:eastAsia="x-none"/>
        </w:rPr>
      </w:pPr>
      <w:r w:rsidRPr="001D767B">
        <w:rPr>
          <w:b/>
          <w:bCs/>
          <w:snapToGrid w:val="0"/>
          <w:sz w:val="22"/>
          <w:szCs w:val="28"/>
          <w:lang w:eastAsia="x-none"/>
        </w:rPr>
        <w:t>Registruotojas ir gamintojas</w:t>
      </w:r>
    </w:p>
    <w:p w14:paraId="70161E9B" w14:textId="77777777" w:rsidR="00ED7A10" w:rsidRDefault="00ED7A10" w:rsidP="00ED7A10">
      <w:pPr>
        <w:keepNext/>
        <w:tabs>
          <w:tab w:val="left" w:pos="567"/>
        </w:tabs>
        <w:spacing w:line="260" w:lineRule="exact"/>
        <w:jc w:val="both"/>
        <w:outlineLvl w:val="3"/>
        <w:rPr>
          <w:b/>
          <w:bCs/>
          <w:snapToGrid w:val="0"/>
          <w:sz w:val="22"/>
          <w:szCs w:val="28"/>
          <w:lang w:eastAsia="x-none"/>
        </w:rPr>
      </w:pPr>
    </w:p>
    <w:p w14:paraId="1BA105EA" w14:textId="77777777" w:rsidR="00ED7A10" w:rsidRPr="001D767B" w:rsidRDefault="00ED7A10" w:rsidP="00ED7A10">
      <w:pPr>
        <w:keepNext/>
        <w:tabs>
          <w:tab w:val="left" w:pos="567"/>
        </w:tabs>
        <w:spacing w:line="260" w:lineRule="exact"/>
        <w:jc w:val="both"/>
        <w:outlineLvl w:val="3"/>
        <w:rPr>
          <w:i/>
          <w:iCs/>
          <w:snapToGrid w:val="0"/>
          <w:sz w:val="22"/>
          <w:szCs w:val="28"/>
          <w:lang w:eastAsia="x-none"/>
        </w:rPr>
      </w:pPr>
      <w:r w:rsidRPr="001D767B">
        <w:rPr>
          <w:i/>
          <w:iCs/>
          <w:snapToGrid w:val="0"/>
          <w:sz w:val="22"/>
          <w:szCs w:val="28"/>
          <w:lang w:eastAsia="x-none"/>
        </w:rPr>
        <w:t>Registruotojas</w:t>
      </w:r>
    </w:p>
    <w:p w14:paraId="0B6CA12D" w14:textId="77777777" w:rsidR="00ED7A10" w:rsidRPr="00211E3B" w:rsidRDefault="00ED7A10" w:rsidP="00ED7A10">
      <w:pPr>
        <w:numPr>
          <w:ilvl w:val="12"/>
          <w:numId w:val="0"/>
        </w:numPr>
        <w:ind w:right="-2"/>
        <w:rPr>
          <w:snapToGrid w:val="0"/>
          <w:sz w:val="22"/>
          <w:szCs w:val="24"/>
        </w:rPr>
      </w:pPr>
      <w:r w:rsidRPr="00211E3B">
        <w:rPr>
          <w:snapToGrid w:val="0"/>
          <w:sz w:val="22"/>
          <w:szCs w:val="24"/>
        </w:rPr>
        <w:t>UAB Norameda</w:t>
      </w:r>
    </w:p>
    <w:p w14:paraId="616FF38B" w14:textId="77777777" w:rsidR="00ED7A10" w:rsidRDefault="00ED7A10" w:rsidP="00ED7A10">
      <w:pPr>
        <w:numPr>
          <w:ilvl w:val="12"/>
          <w:numId w:val="0"/>
        </w:numPr>
        <w:ind w:right="-2"/>
        <w:rPr>
          <w:snapToGrid w:val="0"/>
          <w:sz w:val="22"/>
          <w:szCs w:val="24"/>
        </w:rPr>
      </w:pPr>
      <w:r w:rsidRPr="00211E3B">
        <w:rPr>
          <w:snapToGrid w:val="0"/>
          <w:sz w:val="22"/>
          <w:szCs w:val="24"/>
        </w:rPr>
        <w:t>Meistrų 8A</w:t>
      </w:r>
    </w:p>
    <w:p w14:paraId="1EDEFE2E" w14:textId="77777777" w:rsidR="00ED7A10" w:rsidRPr="00211E3B" w:rsidRDefault="00ED7A10" w:rsidP="00ED7A10">
      <w:pPr>
        <w:numPr>
          <w:ilvl w:val="12"/>
          <w:numId w:val="0"/>
        </w:numPr>
        <w:ind w:right="-2"/>
        <w:rPr>
          <w:snapToGrid w:val="0"/>
          <w:sz w:val="22"/>
          <w:szCs w:val="24"/>
        </w:rPr>
      </w:pPr>
      <w:r w:rsidRPr="00211E3B">
        <w:rPr>
          <w:snapToGrid w:val="0"/>
          <w:sz w:val="22"/>
          <w:szCs w:val="24"/>
        </w:rPr>
        <w:t>LT-02189 Vilnius</w:t>
      </w:r>
    </w:p>
    <w:p w14:paraId="6BC9E6A7" w14:textId="77777777" w:rsidR="00ED7A10" w:rsidRPr="00211E3B" w:rsidRDefault="00ED7A10" w:rsidP="00ED7A10">
      <w:pPr>
        <w:numPr>
          <w:ilvl w:val="12"/>
          <w:numId w:val="0"/>
        </w:numPr>
        <w:ind w:right="-2"/>
        <w:rPr>
          <w:snapToGrid w:val="0"/>
          <w:sz w:val="22"/>
          <w:szCs w:val="24"/>
        </w:rPr>
      </w:pPr>
      <w:r w:rsidRPr="00211E3B">
        <w:rPr>
          <w:snapToGrid w:val="0"/>
          <w:sz w:val="22"/>
          <w:szCs w:val="24"/>
        </w:rPr>
        <w:t>Lietuva</w:t>
      </w:r>
    </w:p>
    <w:p w14:paraId="3BA27A7F" w14:textId="77777777" w:rsidR="00ED7A10" w:rsidRPr="00211E3B" w:rsidRDefault="00ED7A10" w:rsidP="00ED7A10">
      <w:pPr>
        <w:numPr>
          <w:ilvl w:val="12"/>
          <w:numId w:val="0"/>
        </w:numPr>
        <w:ind w:right="-2"/>
        <w:rPr>
          <w:snapToGrid w:val="0"/>
          <w:sz w:val="22"/>
          <w:szCs w:val="24"/>
        </w:rPr>
      </w:pPr>
    </w:p>
    <w:p w14:paraId="63422E48" w14:textId="77777777" w:rsidR="00ED7A10" w:rsidRPr="001D767B" w:rsidRDefault="00ED7A10" w:rsidP="00ED7A10">
      <w:pPr>
        <w:tabs>
          <w:tab w:val="left" w:pos="567"/>
        </w:tabs>
        <w:ind w:right="-2"/>
        <w:rPr>
          <w:i/>
          <w:iCs/>
          <w:snapToGrid w:val="0"/>
          <w:sz w:val="22"/>
        </w:rPr>
      </w:pPr>
      <w:r w:rsidRPr="001D767B">
        <w:rPr>
          <w:i/>
          <w:iCs/>
          <w:snapToGrid w:val="0"/>
          <w:sz w:val="22"/>
        </w:rPr>
        <w:t>Gamintojas</w:t>
      </w:r>
    </w:p>
    <w:p w14:paraId="7CF65951" w14:textId="77777777" w:rsidR="00ED7A10" w:rsidRPr="00ED3E5F" w:rsidRDefault="00ED7A10" w:rsidP="00ED7A10">
      <w:pPr>
        <w:tabs>
          <w:tab w:val="left" w:pos="567"/>
        </w:tabs>
        <w:ind w:right="-2"/>
        <w:rPr>
          <w:snapToGrid w:val="0"/>
          <w:sz w:val="22"/>
        </w:rPr>
      </w:pPr>
      <w:r w:rsidRPr="00ED3E5F">
        <w:rPr>
          <w:snapToGrid w:val="0"/>
          <w:sz w:val="22"/>
        </w:rPr>
        <w:t>Pharmadox Healthcare Limited</w:t>
      </w:r>
    </w:p>
    <w:p w14:paraId="11CD7E7A" w14:textId="77777777" w:rsidR="00ED7A10" w:rsidRPr="00ED3E5F" w:rsidRDefault="00ED7A10" w:rsidP="00ED7A10">
      <w:pPr>
        <w:tabs>
          <w:tab w:val="left" w:pos="567"/>
        </w:tabs>
        <w:ind w:right="-2"/>
        <w:rPr>
          <w:snapToGrid w:val="0"/>
          <w:sz w:val="22"/>
        </w:rPr>
      </w:pPr>
      <w:r w:rsidRPr="00ED3E5F">
        <w:rPr>
          <w:snapToGrid w:val="0"/>
          <w:sz w:val="22"/>
        </w:rPr>
        <w:t>KW20A Kordin Industrial Park</w:t>
      </w:r>
    </w:p>
    <w:p w14:paraId="1379C027" w14:textId="77777777" w:rsidR="00ED7A10" w:rsidRPr="00ED3E5F" w:rsidRDefault="00ED7A10" w:rsidP="00ED7A10">
      <w:pPr>
        <w:tabs>
          <w:tab w:val="left" w:pos="567"/>
        </w:tabs>
        <w:ind w:right="-2"/>
        <w:rPr>
          <w:snapToGrid w:val="0"/>
          <w:sz w:val="22"/>
        </w:rPr>
      </w:pPr>
      <w:r w:rsidRPr="00ED3E5F">
        <w:rPr>
          <w:snapToGrid w:val="0"/>
          <w:sz w:val="22"/>
        </w:rPr>
        <w:t>Paola PLA 3000</w:t>
      </w:r>
    </w:p>
    <w:p w14:paraId="40CD43A0" w14:textId="77777777" w:rsidR="00ED7A10" w:rsidRPr="00ED3E5F" w:rsidRDefault="00ED7A10" w:rsidP="00ED7A10">
      <w:pPr>
        <w:tabs>
          <w:tab w:val="left" w:pos="567"/>
        </w:tabs>
        <w:ind w:right="-2"/>
        <w:rPr>
          <w:snapToGrid w:val="0"/>
          <w:sz w:val="22"/>
        </w:rPr>
      </w:pPr>
      <w:r w:rsidRPr="00ED3E5F">
        <w:rPr>
          <w:snapToGrid w:val="0"/>
          <w:sz w:val="22"/>
        </w:rPr>
        <w:t>Malta</w:t>
      </w:r>
    </w:p>
    <w:p w14:paraId="1DA83874" w14:textId="77777777" w:rsidR="00ED7A10" w:rsidRPr="00ED3E5F" w:rsidRDefault="00ED7A10" w:rsidP="00ED7A10">
      <w:pPr>
        <w:tabs>
          <w:tab w:val="left" w:pos="567"/>
        </w:tabs>
        <w:ind w:right="-2"/>
        <w:rPr>
          <w:snapToGrid w:val="0"/>
          <w:sz w:val="22"/>
        </w:rPr>
      </w:pPr>
    </w:p>
    <w:p w14:paraId="598A801F" w14:textId="77777777" w:rsidR="00ED7A10" w:rsidRPr="00ED3E5F" w:rsidRDefault="00ED7A10" w:rsidP="00ED7A10">
      <w:pPr>
        <w:tabs>
          <w:tab w:val="left" w:pos="567"/>
        </w:tabs>
        <w:ind w:right="-2"/>
        <w:rPr>
          <w:snapToGrid w:val="0"/>
          <w:sz w:val="22"/>
          <w:highlight w:val="lightGray"/>
        </w:rPr>
      </w:pPr>
      <w:r w:rsidRPr="00ED3E5F">
        <w:rPr>
          <w:snapToGrid w:val="0"/>
          <w:sz w:val="22"/>
          <w:highlight w:val="lightGray"/>
        </w:rPr>
        <w:t>arba</w:t>
      </w:r>
    </w:p>
    <w:p w14:paraId="31621821" w14:textId="77777777" w:rsidR="00ED7A10" w:rsidRPr="00ED3E5F" w:rsidRDefault="00ED7A10" w:rsidP="00ED7A10">
      <w:pPr>
        <w:tabs>
          <w:tab w:val="left" w:pos="567"/>
        </w:tabs>
        <w:ind w:right="-2"/>
        <w:rPr>
          <w:snapToGrid w:val="0"/>
          <w:sz w:val="22"/>
          <w:highlight w:val="lightGray"/>
        </w:rPr>
      </w:pPr>
    </w:p>
    <w:p w14:paraId="1B446EED" w14:textId="77777777" w:rsidR="00ED7A10" w:rsidRPr="00ED3E5F" w:rsidRDefault="00ED7A10" w:rsidP="00ED7A10">
      <w:pPr>
        <w:tabs>
          <w:tab w:val="left" w:pos="567"/>
        </w:tabs>
        <w:ind w:right="-2"/>
        <w:rPr>
          <w:snapToGrid w:val="0"/>
          <w:sz w:val="22"/>
          <w:highlight w:val="lightGray"/>
        </w:rPr>
      </w:pPr>
      <w:r w:rsidRPr="00ED3E5F">
        <w:rPr>
          <w:snapToGrid w:val="0"/>
          <w:sz w:val="22"/>
          <w:highlight w:val="lightGray"/>
        </w:rPr>
        <w:t>Adalvo Limited</w:t>
      </w:r>
    </w:p>
    <w:p w14:paraId="2B6031C5" w14:textId="77777777" w:rsidR="00ED7A10" w:rsidRPr="00ED3E5F" w:rsidRDefault="00ED7A10" w:rsidP="00ED7A10">
      <w:pPr>
        <w:tabs>
          <w:tab w:val="left" w:pos="567"/>
        </w:tabs>
        <w:ind w:right="-2"/>
        <w:rPr>
          <w:snapToGrid w:val="0"/>
          <w:sz w:val="22"/>
          <w:highlight w:val="lightGray"/>
        </w:rPr>
      </w:pPr>
      <w:r w:rsidRPr="00ED3E5F">
        <w:rPr>
          <w:snapToGrid w:val="0"/>
          <w:sz w:val="22"/>
          <w:highlight w:val="lightGray"/>
        </w:rPr>
        <w:t>Malta Life Sciences Park Building 1 Level 4</w:t>
      </w:r>
    </w:p>
    <w:p w14:paraId="24622AD5" w14:textId="77777777" w:rsidR="00ED7A10" w:rsidRPr="00ED3E5F" w:rsidRDefault="00ED7A10" w:rsidP="00ED7A10">
      <w:pPr>
        <w:tabs>
          <w:tab w:val="left" w:pos="567"/>
        </w:tabs>
        <w:ind w:right="-2"/>
        <w:rPr>
          <w:snapToGrid w:val="0"/>
          <w:sz w:val="22"/>
          <w:highlight w:val="lightGray"/>
        </w:rPr>
      </w:pPr>
      <w:r w:rsidRPr="00ED3E5F">
        <w:rPr>
          <w:snapToGrid w:val="0"/>
          <w:sz w:val="22"/>
          <w:highlight w:val="lightGray"/>
        </w:rPr>
        <w:t>Sir Temi Zammit Buildings</w:t>
      </w:r>
    </w:p>
    <w:p w14:paraId="6512062B" w14:textId="77777777" w:rsidR="00ED7A10" w:rsidRPr="00ED3E5F" w:rsidRDefault="00ED7A10" w:rsidP="00ED7A10">
      <w:pPr>
        <w:tabs>
          <w:tab w:val="left" w:pos="567"/>
        </w:tabs>
        <w:ind w:right="-2"/>
        <w:rPr>
          <w:snapToGrid w:val="0"/>
          <w:sz w:val="22"/>
          <w:highlight w:val="lightGray"/>
        </w:rPr>
      </w:pPr>
      <w:r w:rsidRPr="00ED3E5F">
        <w:rPr>
          <w:snapToGrid w:val="0"/>
          <w:sz w:val="22"/>
          <w:highlight w:val="lightGray"/>
        </w:rPr>
        <w:t>San Gwann Industrial Estate, SGN 3000</w:t>
      </w:r>
    </w:p>
    <w:p w14:paraId="7F8382D3" w14:textId="77777777" w:rsidR="00ED7A10" w:rsidRPr="00ED3E5F" w:rsidRDefault="00ED7A10" w:rsidP="00ED7A10">
      <w:pPr>
        <w:tabs>
          <w:tab w:val="left" w:pos="567"/>
        </w:tabs>
        <w:ind w:right="-2"/>
        <w:rPr>
          <w:snapToGrid w:val="0"/>
          <w:sz w:val="22"/>
          <w:highlight w:val="lightGray"/>
        </w:rPr>
      </w:pPr>
      <w:r w:rsidRPr="00ED3E5F">
        <w:rPr>
          <w:snapToGrid w:val="0"/>
          <w:sz w:val="22"/>
          <w:highlight w:val="lightGray"/>
        </w:rPr>
        <w:t>Malta</w:t>
      </w:r>
    </w:p>
    <w:p w14:paraId="733EC55F" w14:textId="77777777" w:rsidR="00ED7A10" w:rsidRPr="00ED3E5F" w:rsidRDefault="00ED7A10" w:rsidP="00ED7A10">
      <w:pPr>
        <w:tabs>
          <w:tab w:val="left" w:pos="567"/>
        </w:tabs>
        <w:ind w:right="-2"/>
        <w:rPr>
          <w:snapToGrid w:val="0"/>
          <w:sz w:val="22"/>
          <w:highlight w:val="lightGray"/>
        </w:rPr>
      </w:pPr>
    </w:p>
    <w:p w14:paraId="4A26BCEE" w14:textId="77777777" w:rsidR="00ED7A10" w:rsidRPr="00ED3E5F" w:rsidRDefault="00ED7A10" w:rsidP="00ED7A10">
      <w:pPr>
        <w:tabs>
          <w:tab w:val="left" w:pos="567"/>
        </w:tabs>
        <w:ind w:right="-2"/>
        <w:rPr>
          <w:snapToGrid w:val="0"/>
          <w:sz w:val="22"/>
          <w:highlight w:val="lightGray"/>
        </w:rPr>
      </w:pPr>
      <w:r w:rsidRPr="00ED3E5F">
        <w:rPr>
          <w:snapToGrid w:val="0"/>
          <w:sz w:val="22"/>
          <w:highlight w:val="lightGray"/>
        </w:rPr>
        <w:t>arba</w:t>
      </w:r>
    </w:p>
    <w:p w14:paraId="4B2AD432" w14:textId="77777777" w:rsidR="00ED7A10" w:rsidRPr="00ED3E5F" w:rsidRDefault="00ED7A10" w:rsidP="00ED7A10">
      <w:pPr>
        <w:tabs>
          <w:tab w:val="left" w:pos="567"/>
        </w:tabs>
        <w:ind w:right="-2"/>
        <w:rPr>
          <w:snapToGrid w:val="0"/>
          <w:sz w:val="22"/>
          <w:highlight w:val="lightGray"/>
        </w:rPr>
      </w:pPr>
    </w:p>
    <w:p w14:paraId="451B64EB" w14:textId="77777777" w:rsidR="00ED7A10" w:rsidRPr="00ED3E5F" w:rsidRDefault="00ED7A10" w:rsidP="00ED7A10">
      <w:pPr>
        <w:tabs>
          <w:tab w:val="left" w:pos="567"/>
        </w:tabs>
        <w:ind w:right="-2"/>
        <w:rPr>
          <w:snapToGrid w:val="0"/>
          <w:sz w:val="22"/>
          <w:highlight w:val="lightGray"/>
        </w:rPr>
      </w:pPr>
      <w:r w:rsidRPr="00ED3E5F">
        <w:rPr>
          <w:snapToGrid w:val="0"/>
          <w:sz w:val="22"/>
          <w:highlight w:val="lightGray"/>
        </w:rPr>
        <w:t>QUALIMETRIX S.A.</w:t>
      </w:r>
    </w:p>
    <w:p w14:paraId="46FB74A5" w14:textId="77777777" w:rsidR="00ED7A10" w:rsidRPr="00ED3E5F" w:rsidRDefault="00ED7A10" w:rsidP="00ED7A10">
      <w:pPr>
        <w:tabs>
          <w:tab w:val="left" w:pos="567"/>
        </w:tabs>
        <w:ind w:right="-2"/>
        <w:rPr>
          <w:snapToGrid w:val="0"/>
          <w:sz w:val="22"/>
          <w:highlight w:val="lightGray"/>
        </w:rPr>
      </w:pPr>
      <w:r w:rsidRPr="00ED3E5F">
        <w:rPr>
          <w:snapToGrid w:val="0"/>
          <w:sz w:val="22"/>
          <w:highlight w:val="lightGray"/>
        </w:rPr>
        <w:t>579 MESOGEION AVENUE AGIA PARASKEVI,</w:t>
      </w:r>
    </w:p>
    <w:p w14:paraId="37B6BFA6" w14:textId="77777777" w:rsidR="00ED7A10" w:rsidRPr="00ED3E5F" w:rsidRDefault="00ED7A10" w:rsidP="00ED7A10">
      <w:pPr>
        <w:tabs>
          <w:tab w:val="left" w:pos="567"/>
        </w:tabs>
        <w:ind w:right="-2"/>
        <w:rPr>
          <w:snapToGrid w:val="0"/>
          <w:sz w:val="22"/>
        </w:rPr>
      </w:pPr>
      <w:r w:rsidRPr="00ED3E5F">
        <w:rPr>
          <w:snapToGrid w:val="0"/>
          <w:sz w:val="22"/>
          <w:highlight w:val="lightGray"/>
        </w:rPr>
        <w:t>Athens, 15343 Graikija</w:t>
      </w:r>
    </w:p>
    <w:p w14:paraId="78E317BF" w14:textId="77777777" w:rsidR="00ED7A10" w:rsidRPr="00ED3E5F" w:rsidRDefault="00ED7A10" w:rsidP="00ED7A10">
      <w:pPr>
        <w:tabs>
          <w:tab w:val="left" w:pos="567"/>
        </w:tabs>
        <w:ind w:right="-2"/>
        <w:rPr>
          <w:snapToGrid w:val="0"/>
          <w:sz w:val="22"/>
        </w:rPr>
      </w:pPr>
    </w:p>
    <w:p w14:paraId="3B12EF6D" w14:textId="77777777" w:rsidR="00ED7A10" w:rsidRPr="00211E3B" w:rsidRDefault="00ED7A10" w:rsidP="00ED7A10">
      <w:pPr>
        <w:tabs>
          <w:tab w:val="left" w:pos="0"/>
        </w:tabs>
        <w:ind w:right="-2"/>
        <w:rPr>
          <w:snapToGrid w:val="0"/>
          <w:sz w:val="22"/>
        </w:rPr>
      </w:pPr>
    </w:p>
    <w:p w14:paraId="6077F7F2" w14:textId="77777777" w:rsidR="00ED7A10" w:rsidRPr="00211E3B" w:rsidRDefault="00ED7A10" w:rsidP="00ED7A10">
      <w:pPr>
        <w:tabs>
          <w:tab w:val="left" w:pos="567"/>
        </w:tabs>
        <w:ind w:right="-2"/>
        <w:rPr>
          <w:snapToGrid w:val="0"/>
          <w:sz w:val="22"/>
        </w:rPr>
      </w:pPr>
      <w:r w:rsidRPr="00211E3B">
        <w:rPr>
          <w:snapToGrid w:val="0"/>
          <w:sz w:val="22"/>
        </w:rPr>
        <w:t>Jeigu apie šį vaistą norite sužinoti daugiau, kreipkitės į vietinį registruotojo atstovą:</w:t>
      </w:r>
    </w:p>
    <w:p w14:paraId="756FE676" w14:textId="77777777" w:rsidR="00ED7A10" w:rsidRPr="00C93BBB" w:rsidRDefault="00ED7A10" w:rsidP="00ED7A10">
      <w:pPr>
        <w:numPr>
          <w:ilvl w:val="12"/>
          <w:numId w:val="0"/>
        </w:numPr>
        <w:tabs>
          <w:tab w:val="left" w:pos="567"/>
        </w:tabs>
        <w:spacing w:line="260" w:lineRule="exact"/>
        <w:ind w:right="-2"/>
        <w:rPr>
          <w:snapToGrid w:val="0"/>
          <w:sz w:val="22"/>
          <w:szCs w:val="24"/>
        </w:rPr>
      </w:pPr>
      <w:r w:rsidRPr="00C93BBB">
        <w:rPr>
          <w:snapToGrid w:val="0"/>
          <w:sz w:val="22"/>
          <w:szCs w:val="24"/>
        </w:rPr>
        <w:tab/>
      </w:r>
    </w:p>
    <w:p w14:paraId="60E93E1E" w14:textId="77777777" w:rsidR="00ED7A10" w:rsidRDefault="00ED7A10" w:rsidP="00ED7A10">
      <w:pPr>
        <w:numPr>
          <w:ilvl w:val="12"/>
          <w:numId w:val="0"/>
        </w:numPr>
        <w:tabs>
          <w:tab w:val="left" w:pos="567"/>
        </w:tabs>
        <w:spacing w:line="260" w:lineRule="exact"/>
        <w:ind w:right="-2"/>
        <w:rPr>
          <w:snapToGrid w:val="0"/>
          <w:sz w:val="22"/>
          <w:szCs w:val="24"/>
        </w:rPr>
      </w:pPr>
      <w:r w:rsidRPr="00C93BBB">
        <w:rPr>
          <w:snapToGrid w:val="0"/>
          <w:sz w:val="22"/>
          <w:szCs w:val="24"/>
        </w:rPr>
        <w:t>UAB Norameda, Meistrų 8A, LT-02189 Vilnius, Lietuva, Tel. +370 5 2306499</w:t>
      </w:r>
      <w:r>
        <w:rPr>
          <w:snapToGrid w:val="0"/>
          <w:sz w:val="22"/>
          <w:szCs w:val="24"/>
        </w:rPr>
        <w:t>.</w:t>
      </w:r>
    </w:p>
    <w:p w14:paraId="6F00EB79" w14:textId="77777777" w:rsidR="00ED7A10" w:rsidRPr="00211E3B" w:rsidRDefault="00ED7A10" w:rsidP="00ED7A10">
      <w:pPr>
        <w:numPr>
          <w:ilvl w:val="12"/>
          <w:numId w:val="0"/>
        </w:numPr>
        <w:tabs>
          <w:tab w:val="left" w:pos="567"/>
        </w:tabs>
        <w:spacing w:line="260" w:lineRule="exact"/>
        <w:ind w:right="-2"/>
        <w:rPr>
          <w:snapToGrid w:val="0"/>
          <w:sz w:val="22"/>
        </w:rPr>
      </w:pPr>
    </w:p>
    <w:p w14:paraId="1156745A" w14:textId="77777777" w:rsidR="00ED7A10" w:rsidRPr="00211E3B" w:rsidRDefault="00ED7A10" w:rsidP="00ED7A10">
      <w:pPr>
        <w:numPr>
          <w:ilvl w:val="12"/>
          <w:numId w:val="0"/>
        </w:numPr>
        <w:tabs>
          <w:tab w:val="left" w:pos="567"/>
        </w:tabs>
        <w:spacing w:line="260" w:lineRule="exact"/>
        <w:ind w:right="-2"/>
        <w:rPr>
          <w:snapToGrid w:val="0"/>
          <w:sz w:val="22"/>
        </w:rPr>
      </w:pPr>
      <w:r w:rsidRPr="00211E3B">
        <w:rPr>
          <w:b/>
          <w:snapToGrid w:val="0"/>
          <w:sz w:val="22"/>
        </w:rPr>
        <w:t>Šis vaistas Europos ekonominės erdvės valstybėse narėse registruotas tokiais pavadinimais: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2"/>
        <w:gridCol w:w="7288"/>
      </w:tblGrid>
      <w:tr w:rsidR="00ED7A10" w:rsidRPr="00211E3B" w14:paraId="6E9736BA" w14:textId="77777777" w:rsidTr="00256DA0">
        <w:tc>
          <w:tcPr>
            <w:tcW w:w="1830" w:type="dxa"/>
            <w:shd w:val="clear" w:color="auto" w:fill="auto"/>
          </w:tcPr>
          <w:p w14:paraId="3CBA49AE" w14:textId="77777777" w:rsidR="00ED7A10" w:rsidRPr="00211E3B" w:rsidRDefault="00ED7A10" w:rsidP="00256DA0">
            <w:pPr>
              <w:numPr>
                <w:ilvl w:val="12"/>
                <w:numId w:val="0"/>
              </w:numPr>
              <w:ind w:right="-2"/>
              <w:rPr>
                <w:rFonts w:eastAsia="Calibri"/>
                <w:sz w:val="22"/>
                <w:szCs w:val="22"/>
                <w:lang w:val="lt-LT"/>
              </w:rPr>
            </w:pPr>
          </w:p>
        </w:tc>
        <w:tc>
          <w:tcPr>
            <w:tcW w:w="7648" w:type="dxa"/>
            <w:shd w:val="clear" w:color="auto" w:fill="auto"/>
          </w:tcPr>
          <w:p w14:paraId="51A97FC3" w14:textId="77777777" w:rsidR="00ED7A10" w:rsidRPr="00211E3B" w:rsidRDefault="00ED7A10" w:rsidP="00256DA0">
            <w:pPr>
              <w:numPr>
                <w:ilvl w:val="12"/>
                <w:numId w:val="0"/>
              </w:numPr>
              <w:ind w:right="-2"/>
              <w:rPr>
                <w:rFonts w:eastAsia="Calibri"/>
                <w:sz w:val="22"/>
                <w:szCs w:val="22"/>
                <w:lang w:val="lt-LT"/>
              </w:rPr>
            </w:pPr>
          </w:p>
        </w:tc>
      </w:tr>
      <w:tr w:rsidR="00ED7A10" w:rsidRPr="00211E3B" w14:paraId="79EBEAEA" w14:textId="77777777" w:rsidTr="00256DA0">
        <w:tc>
          <w:tcPr>
            <w:tcW w:w="1830" w:type="dxa"/>
            <w:shd w:val="clear" w:color="auto" w:fill="auto"/>
          </w:tcPr>
          <w:p w14:paraId="3A1B6413" w14:textId="77777777" w:rsidR="00ED7A10" w:rsidRPr="00211E3B" w:rsidRDefault="00ED7A10" w:rsidP="00256DA0">
            <w:pPr>
              <w:numPr>
                <w:ilvl w:val="12"/>
                <w:numId w:val="0"/>
              </w:numPr>
              <w:ind w:right="-2"/>
              <w:rPr>
                <w:rFonts w:eastAsia="Calibri"/>
                <w:sz w:val="22"/>
                <w:szCs w:val="22"/>
                <w:lang w:val="lt-LT"/>
              </w:rPr>
            </w:pPr>
            <w:r>
              <w:rPr>
                <w:sz w:val="22"/>
              </w:rPr>
              <w:t>Islandija</w:t>
            </w:r>
          </w:p>
        </w:tc>
        <w:tc>
          <w:tcPr>
            <w:tcW w:w="7648" w:type="dxa"/>
            <w:shd w:val="clear" w:color="auto" w:fill="auto"/>
          </w:tcPr>
          <w:p w14:paraId="35A79AD7" w14:textId="1E870B28" w:rsidR="00ED7A10" w:rsidRPr="00211E3B" w:rsidRDefault="00ED7A10" w:rsidP="00ED7A10">
            <w:pPr>
              <w:numPr>
                <w:ilvl w:val="12"/>
                <w:numId w:val="0"/>
              </w:numPr>
              <w:ind w:right="-2"/>
              <w:rPr>
                <w:rFonts w:eastAsia="Calibri"/>
                <w:sz w:val="22"/>
                <w:szCs w:val="22"/>
                <w:lang w:val="lt-LT"/>
              </w:rPr>
            </w:pPr>
            <w:r>
              <w:rPr>
                <w:sz w:val="22"/>
              </w:rPr>
              <w:t xml:space="preserve">Agarf 100 mg mjúk hylki </w:t>
            </w:r>
          </w:p>
        </w:tc>
      </w:tr>
      <w:tr w:rsidR="00ED7A10" w:rsidRPr="00211E3B" w14:paraId="65C3BB9A" w14:textId="77777777" w:rsidTr="00256DA0">
        <w:tc>
          <w:tcPr>
            <w:tcW w:w="1830" w:type="dxa"/>
            <w:shd w:val="clear" w:color="auto" w:fill="auto"/>
          </w:tcPr>
          <w:p w14:paraId="6AA017C7" w14:textId="77777777" w:rsidR="00ED7A10" w:rsidRPr="00211E3B" w:rsidRDefault="00ED7A10" w:rsidP="00256DA0">
            <w:pPr>
              <w:numPr>
                <w:ilvl w:val="12"/>
                <w:numId w:val="0"/>
              </w:numPr>
              <w:ind w:right="-2"/>
              <w:rPr>
                <w:rFonts w:eastAsia="Calibri"/>
                <w:sz w:val="22"/>
                <w:szCs w:val="22"/>
                <w:lang w:val="lt-LT"/>
              </w:rPr>
            </w:pPr>
            <w:r>
              <w:rPr>
                <w:sz w:val="22"/>
                <w:szCs w:val="22"/>
              </w:rPr>
              <w:t>Estija</w:t>
            </w:r>
          </w:p>
        </w:tc>
        <w:tc>
          <w:tcPr>
            <w:tcW w:w="7648" w:type="dxa"/>
            <w:shd w:val="clear" w:color="auto" w:fill="auto"/>
          </w:tcPr>
          <w:p w14:paraId="1ABD2867" w14:textId="77777777" w:rsidR="00ED7A10" w:rsidRPr="00211E3B" w:rsidRDefault="00ED7A10" w:rsidP="00256DA0">
            <w:pPr>
              <w:numPr>
                <w:ilvl w:val="12"/>
                <w:numId w:val="0"/>
              </w:numPr>
              <w:ind w:right="-2"/>
              <w:rPr>
                <w:rFonts w:eastAsia="Calibri"/>
                <w:sz w:val="22"/>
                <w:szCs w:val="22"/>
                <w:lang w:val="lt-LT"/>
              </w:rPr>
            </w:pPr>
            <w:r>
              <w:rPr>
                <w:sz w:val="22"/>
              </w:rPr>
              <w:t>Agarf</w:t>
            </w:r>
          </w:p>
        </w:tc>
      </w:tr>
      <w:tr w:rsidR="00ED7A10" w:rsidRPr="00211E3B" w14:paraId="7C1091F0" w14:textId="77777777" w:rsidTr="00256DA0">
        <w:tc>
          <w:tcPr>
            <w:tcW w:w="1830" w:type="dxa"/>
            <w:shd w:val="clear" w:color="auto" w:fill="auto"/>
          </w:tcPr>
          <w:p w14:paraId="2100E807" w14:textId="77777777" w:rsidR="00ED7A10" w:rsidRDefault="00ED7A10" w:rsidP="00256DA0">
            <w:pPr>
              <w:numPr>
                <w:ilvl w:val="12"/>
                <w:numId w:val="0"/>
              </w:numPr>
              <w:ind w:right="-2"/>
              <w:rPr>
                <w:sz w:val="22"/>
              </w:rPr>
            </w:pPr>
            <w:r>
              <w:rPr>
                <w:sz w:val="22"/>
              </w:rPr>
              <w:t>Lietuva</w:t>
            </w:r>
          </w:p>
        </w:tc>
        <w:tc>
          <w:tcPr>
            <w:tcW w:w="7648" w:type="dxa"/>
            <w:shd w:val="clear" w:color="auto" w:fill="auto"/>
          </w:tcPr>
          <w:p w14:paraId="26BB574B" w14:textId="080E2B53" w:rsidR="00ED7A10" w:rsidRDefault="00ED7A10" w:rsidP="00ED7A10">
            <w:pPr>
              <w:numPr>
                <w:ilvl w:val="12"/>
                <w:numId w:val="0"/>
              </w:numPr>
              <w:ind w:right="-2"/>
              <w:rPr>
                <w:sz w:val="22"/>
              </w:rPr>
            </w:pPr>
            <w:r>
              <w:rPr>
                <w:sz w:val="22"/>
              </w:rPr>
              <w:t xml:space="preserve">Agarf 100 mg minkštosios kapsulės </w:t>
            </w:r>
          </w:p>
        </w:tc>
      </w:tr>
      <w:tr w:rsidR="00ED7A10" w:rsidRPr="00211E3B" w14:paraId="521A0D40" w14:textId="77777777" w:rsidTr="00256DA0">
        <w:tc>
          <w:tcPr>
            <w:tcW w:w="1830" w:type="dxa"/>
            <w:shd w:val="clear" w:color="auto" w:fill="auto"/>
          </w:tcPr>
          <w:p w14:paraId="22BB9F26" w14:textId="77777777" w:rsidR="00ED7A10" w:rsidRDefault="00ED7A10" w:rsidP="00256DA0">
            <w:pPr>
              <w:numPr>
                <w:ilvl w:val="12"/>
                <w:numId w:val="0"/>
              </w:numPr>
              <w:ind w:right="-2"/>
              <w:rPr>
                <w:sz w:val="22"/>
              </w:rPr>
            </w:pPr>
            <w:r>
              <w:rPr>
                <w:sz w:val="22"/>
              </w:rPr>
              <w:t>Latvija</w:t>
            </w:r>
          </w:p>
        </w:tc>
        <w:tc>
          <w:tcPr>
            <w:tcW w:w="7648" w:type="dxa"/>
            <w:shd w:val="clear" w:color="auto" w:fill="auto"/>
          </w:tcPr>
          <w:p w14:paraId="12D52B21" w14:textId="77777777" w:rsidR="00ED7A10" w:rsidRDefault="00ED7A10" w:rsidP="00256DA0">
            <w:pPr>
              <w:numPr>
                <w:ilvl w:val="12"/>
                <w:numId w:val="0"/>
              </w:numPr>
              <w:ind w:right="-2"/>
              <w:rPr>
                <w:sz w:val="22"/>
              </w:rPr>
            </w:pPr>
            <w:r>
              <w:rPr>
                <w:sz w:val="22"/>
              </w:rPr>
              <w:t xml:space="preserve">Agarf 100 mg mīkstās kapsulas </w:t>
            </w:r>
          </w:p>
          <w:p w14:paraId="16E45EEB" w14:textId="1CBB3DEE" w:rsidR="00ED7A10" w:rsidRDefault="00ED7A10" w:rsidP="00256DA0">
            <w:pPr>
              <w:numPr>
                <w:ilvl w:val="12"/>
                <w:numId w:val="0"/>
              </w:numPr>
              <w:ind w:right="-2"/>
              <w:rPr>
                <w:sz w:val="22"/>
              </w:rPr>
            </w:pPr>
          </w:p>
        </w:tc>
      </w:tr>
    </w:tbl>
    <w:p w14:paraId="31C6E421" w14:textId="2CB0DE16" w:rsidR="005D554B" w:rsidRPr="00211E3B" w:rsidRDefault="005D554B" w:rsidP="005D554B">
      <w:pPr>
        <w:numPr>
          <w:ilvl w:val="12"/>
          <w:numId w:val="0"/>
        </w:numPr>
        <w:ind w:right="-2"/>
        <w:rPr>
          <w:b/>
          <w:snapToGrid w:val="0"/>
          <w:sz w:val="22"/>
        </w:rPr>
      </w:pPr>
      <w:r w:rsidRPr="00211E3B">
        <w:rPr>
          <w:b/>
          <w:snapToGrid w:val="0"/>
          <w:sz w:val="22"/>
        </w:rPr>
        <w:lastRenderedPageBreak/>
        <w:t xml:space="preserve">Šis pakuotės lapelis paskutinį kartą peržiūrėtas </w:t>
      </w:r>
      <w:r w:rsidR="00305F70">
        <w:rPr>
          <w:b/>
          <w:snapToGrid w:val="0"/>
          <w:sz w:val="22"/>
        </w:rPr>
        <w:t>2024-02-23</w:t>
      </w:r>
      <w:r w:rsidR="00E66365">
        <w:rPr>
          <w:b/>
          <w:snapToGrid w:val="0"/>
          <w:sz w:val="22"/>
        </w:rPr>
        <w:t>.</w:t>
      </w:r>
    </w:p>
    <w:p w14:paraId="2404CB3D" w14:textId="77777777" w:rsidR="005D554B" w:rsidRPr="00211E3B" w:rsidRDefault="005D554B" w:rsidP="005D554B">
      <w:pPr>
        <w:numPr>
          <w:ilvl w:val="12"/>
          <w:numId w:val="0"/>
        </w:numPr>
        <w:tabs>
          <w:tab w:val="left" w:pos="567"/>
        </w:tabs>
        <w:ind w:right="-2"/>
        <w:rPr>
          <w:i/>
          <w:snapToGrid w:val="0"/>
          <w:sz w:val="22"/>
          <w:szCs w:val="24"/>
        </w:rPr>
      </w:pPr>
    </w:p>
    <w:p w14:paraId="66F5A219" w14:textId="40604522" w:rsidR="005D554B" w:rsidRDefault="005D554B" w:rsidP="005D554B">
      <w:pPr>
        <w:numPr>
          <w:ilvl w:val="12"/>
          <w:numId w:val="0"/>
        </w:numPr>
        <w:tabs>
          <w:tab w:val="left" w:pos="567"/>
        </w:tabs>
        <w:ind w:right="-2"/>
        <w:rPr>
          <w:snapToGrid w:val="0"/>
          <w:sz w:val="22"/>
        </w:rPr>
      </w:pPr>
      <w:r w:rsidRPr="00211E3B">
        <w:rPr>
          <w:snapToGrid w:val="0"/>
          <w:sz w:val="22"/>
        </w:rPr>
        <w:t xml:space="preserve">Išsami informacija apie šį </w:t>
      </w:r>
      <w:r w:rsidRPr="00211E3B">
        <w:rPr>
          <w:snapToGrid w:val="0"/>
          <w:sz w:val="22"/>
          <w:szCs w:val="24"/>
        </w:rPr>
        <w:t>vaistą</w:t>
      </w:r>
      <w:r w:rsidRPr="00211E3B">
        <w:rPr>
          <w:snapToGrid w:val="0"/>
          <w:sz w:val="22"/>
        </w:rPr>
        <w:t xml:space="preserve"> pateikiama Valstybinės vaistų kontrolės tarnybos prie Lietuvos Respublikos sveikatos apsaugos ministerijos tinklalapyje</w:t>
      </w:r>
      <w:r w:rsidRPr="00211E3B">
        <w:rPr>
          <w:i/>
          <w:snapToGrid w:val="0"/>
          <w:sz w:val="22"/>
          <w:szCs w:val="24"/>
        </w:rPr>
        <w:t xml:space="preserve"> </w:t>
      </w:r>
      <w:hyperlink r:id="rId25" w:history="1">
        <w:r w:rsidRPr="00211E3B">
          <w:rPr>
            <w:rFonts w:eastAsia="SimSun"/>
            <w:snapToGrid w:val="0"/>
            <w:color w:val="0000FF"/>
            <w:sz w:val="22"/>
            <w:u w:val="single"/>
          </w:rPr>
          <w:t>http://www.vvkt.lt/</w:t>
        </w:r>
      </w:hyperlink>
      <w:r w:rsidRPr="00211E3B">
        <w:rPr>
          <w:snapToGrid w:val="0"/>
          <w:sz w:val="22"/>
        </w:rPr>
        <w:t>.</w:t>
      </w:r>
    </w:p>
    <w:p w14:paraId="03E9E320" w14:textId="3EBAE578" w:rsidR="00B65381" w:rsidRDefault="00B65381">
      <w:pPr>
        <w:rPr>
          <w:snapToGrid w:val="0"/>
          <w:sz w:val="22"/>
        </w:rPr>
      </w:pPr>
      <w:r>
        <w:rPr>
          <w:snapToGrid w:val="0"/>
          <w:sz w:val="22"/>
        </w:rPr>
        <w:br w:type="page"/>
      </w:r>
    </w:p>
    <w:p w14:paraId="1CA72590" w14:textId="202EEA54" w:rsidR="00B65381" w:rsidRPr="00211E3B" w:rsidRDefault="00B65381" w:rsidP="00B65381">
      <w:pPr>
        <w:keepNext/>
        <w:tabs>
          <w:tab w:val="left" w:pos="567"/>
        </w:tabs>
        <w:jc w:val="center"/>
        <w:outlineLvl w:val="1"/>
        <w:rPr>
          <w:b/>
          <w:snapToGrid w:val="0"/>
          <w:sz w:val="22"/>
          <w:szCs w:val="24"/>
          <w:lang w:eastAsia="x-none"/>
        </w:rPr>
      </w:pPr>
      <w:r w:rsidRPr="00211E3B">
        <w:rPr>
          <w:b/>
          <w:bCs/>
          <w:iCs/>
          <w:snapToGrid w:val="0"/>
          <w:sz w:val="22"/>
          <w:szCs w:val="28"/>
          <w:lang w:eastAsia="x-none"/>
        </w:rPr>
        <w:lastRenderedPageBreak/>
        <w:t>Pakuotės lapelis:</w:t>
      </w:r>
      <w:r w:rsidRPr="00211E3B">
        <w:rPr>
          <w:b/>
          <w:snapToGrid w:val="0"/>
          <w:sz w:val="22"/>
          <w:szCs w:val="24"/>
          <w:lang w:eastAsia="x-none"/>
        </w:rPr>
        <w:t xml:space="preserve"> </w:t>
      </w:r>
      <w:r w:rsidRPr="00211E3B">
        <w:rPr>
          <w:b/>
          <w:bCs/>
          <w:iCs/>
          <w:snapToGrid w:val="0"/>
          <w:sz w:val="22"/>
          <w:szCs w:val="28"/>
          <w:lang w:eastAsia="x-none"/>
        </w:rPr>
        <w:t xml:space="preserve">informacija </w:t>
      </w:r>
      <w:r w:rsidR="00E66365">
        <w:rPr>
          <w:b/>
          <w:bCs/>
          <w:iCs/>
          <w:snapToGrid w:val="0"/>
          <w:sz w:val="22"/>
          <w:szCs w:val="28"/>
          <w:lang w:eastAsia="x-none"/>
        </w:rPr>
        <w:t>vartotojui</w:t>
      </w:r>
    </w:p>
    <w:p w14:paraId="5358CD18" w14:textId="77777777" w:rsidR="00B65381" w:rsidRPr="00211E3B" w:rsidRDefault="00B65381" w:rsidP="00B65381">
      <w:pPr>
        <w:numPr>
          <w:ilvl w:val="12"/>
          <w:numId w:val="0"/>
        </w:numPr>
        <w:shd w:val="clear" w:color="auto" w:fill="FFFFFF"/>
        <w:jc w:val="center"/>
        <w:rPr>
          <w:snapToGrid w:val="0"/>
          <w:sz w:val="22"/>
          <w:szCs w:val="24"/>
        </w:rPr>
      </w:pPr>
    </w:p>
    <w:p w14:paraId="10C0EC03" w14:textId="5EAAEC43" w:rsidR="00B65381" w:rsidRPr="00211E3B" w:rsidRDefault="00B65381" w:rsidP="00B65381">
      <w:pPr>
        <w:jc w:val="center"/>
        <w:rPr>
          <w:b/>
          <w:snapToGrid w:val="0"/>
          <w:sz w:val="22"/>
          <w:szCs w:val="24"/>
        </w:rPr>
      </w:pPr>
      <w:r w:rsidRPr="00211E3B">
        <w:rPr>
          <w:b/>
          <w:snapToGrid w:val="0"/>
          <w:sz w:val="22"/>
          <w:szCs w:val="24"/>
        </w:rPr>
        <w:t>Agarf 1</w:t>
      </w:r>
      <w:r>
        <w:rPr>
          <w:b/>
          <w:snapToGrid w:val="0"/>
          <w:sz w:val="22"/>
          <w:szCs w:val="24"/>
        </w:rPr>
        <w:t>5</w:t>
      </w:r>
      <w:r w:rsidRPr="00211E3B">
        <w:rPr>
          <w:b/>
          <w:snapToGrid w:val="0"/>
          <w:sz w:val="22"/>
          <w:szCs w:val="24"/>
        </w:rPr>
        <w:t>0</w:t>
      </w:r>
      <w:r>
        <w:rPr>
          <w:b/>
          <w:snapToGrid w:val="0"/>
          <w:sz w:val="22"/>
          <w:szCs w:val="24"/>
        </w:rPr>
        <w:t> mg</w:t>
      </w:r>
      <w:r w:rsidRPr="00211E3B">
        <w:rPr>
          <w:b/>
          <w:snapToGrid w:val="0"/>
          <w:sz w:val="22"/>
          <w:szCs w:val="24"/>
        </w:rPr>
        <w:t xml:space="preserve"> minkštosios kapsulės</w:t>
      </w:r>
    </w:p>
    <w:p w14:paraId="542ADDD8" w14:textId="77777777" w:rsidR="00B65381" w:rsidRPr="00211E3B" w:rsidRDefault="00B65381" w:rsidP="00B65381">
      <w:pPr>
        <w:jc w:val="center"/>
        <w:rPr>
          <w:bCs/>
          <w:snapToGrid w:val="0"/>
          <w:sz w:val="22"/>
          <w:szCs w:val="24"/>
        </w:rPr>
      </w:pPr>
      <w:r w:rsidRPr="00211E3B">
        <w:rPr>
          <w:bCs/>
          <w:snapToGrid w:val="0"/>
          <w:sz w:val="22"/>
          <w:szCs w:val="24"/>
        </w:rPr>
        <w:t>nintedanibas</w:t>
      </w:r>
    </w:p>
    <w:p w14:paraId="0B8D8E80" w14:textId="77777777" w:rsidR="00B65381" w:rsidRPr="00211E3B" w:rsidRDefault="00B65381" w:rsidP="00B65381">
      <w:pPr>
        <w:rPr>
          <w:snapToGrid w:val="0"/>
          <w:sz w:val="22"/>
          <w:szCs w:val="24"/>
        </w:rPr>
      </w:pPr>
    </w:p>
    <w:p w14:paraId="50A06E9C" w14:textId="77777777" w:rsidR="00B65381" w:rsidRPr="00211E3B" w:rsidRDefault="00B65381" w:rsidP="00B65381">
      <w:pPr>
        <w:suppressAutoHyphens/>
        <w:ind w:left="142" w:hanging="142"/>
        <w:rPr>
          <w:snapToGrid w:val="0"/>
          <w:sz w:val="22"/>
          <w:szCs w:val="24"/>
        </w:rPr>
      </w:pPr>
      <w:r w:rsidRPr="00211E3B">
        <w:rPr>
          <w:b/>
          <w:snapToGrid w:val="0"/>
          <w:sz w:val="22"/>
          <w:szCs w:val="24"/>
        </w:rPr>
        <w:t>Atidžiai perskaitykite visą šį lapelį, prieš pradėdami vartoti vaistą, nes jame pateikiama Jums svarbi informacija.</w:t>
      </w:r>
    </w:p>
    <w:p w14:paraId="35C033A9" w14:textId="77777777" w:rsidR="00B65381" w:rsidRPr="00211E3B" w:rsidRDefault="00B65381" w:rsidP="00B65381">
      <w:pPr>
        <w:numPr>
          <w:ilvl w:val="0"/>
          <w:numId w:val="3"/>
        </w:numPr>
        <w:tabs>
          <w:tab w:val="left" w:pos="567"/>
        </w:tabs>
        <w:spacing w:line="260" w:lineRule="exact"/>
        <w:ind w:left="567" w:right="-2" w:hanging="567"/>
        <w:rPr>
          <w:snapToGrid w:val="0"/>
          <w:sz w:val="22"/>
          <w:szCs w:val="24"/>
        </w:rPr>
      </w:pPr>
      <w:r w:rsidRPr="00211E3B">
        <w:rPr>
          <w:snapToGrid w:val="0"/>
          <w:sz w:val="22"/>
          <w:szCs w:val="24"/>
        </w:rPr>
        <w:t xml:space="preserve">Neišmeskite šio lapelio, nes vėl gali prireikti jį perskaityti. </w:t>
      </w:r>
    </w:p>
    <w:p w14:paraId="298A9DD5" w14:textId="77777777" w:rsidR="00B65381" w:rsidRPr="00211E3B" w:rsidRDefault="00B65381" w:rsidP="00B65381">
      <w:pPr>
        <w:numPr>
          <w:ilvl w:val="0"/>
          <w:numId w:val="3"/>
        </w:numPr>
        <w:tabs>
          <w:tab w:val="left" w:pos="567"/>
        </w:tabs>
        <w:spacing w:line="260" w:lineRule="exact"/>
        <w:ind w:left="567" w:right="-2" w:hanging="567"/>
        <w:rPr>
          <w:snapToGrid w:val="0"/>
          <w:sz w:val="22"/>
          <w:szCs w:val="24"/>
        </w:rPr>
      </w:pPr>
      <w:r w:rsidRPr="00211E3B">
        <w:rPr>
          <w:snapToGrid w:val="0"/>
          <w:sz w:val="22"/>
          <w:szCs w:val="24"/>
        </w:rPr>
        <w:t>Jeigu kiltų daugiau klausimų, kreipkitės į gydytoją arba vaistininką.</w:t>
      </w:r>
    </w:p>
    <w:p w14:paraId="45D5BA23" w14:textId="77777777" w:rsidR="00B65381" w:rsidRPr="00211E3B" w:rsidRDefault="00B65381" w:rsidP="00B65381">
      <w:pPr>
        <w:tabs>
          <w:tab w:val="left" w:pos="567"/>
        </w:tabs>
        <w:ind w:left="567" w:right="-2" w:hanging="567"/>
        <w:rPr>
          <w:snapToGrid w:val="0"/>
          <w:sz w:val="22"/>
          <w:szCs w:val="24"/>
        </w:rPr>
      </w:pPr>
      <w:r w:rsidRPr="00211E3B">
        <w:rPr>
          <w:snapToGrid w:val="0"/>
          <w:sz w:val="22"/>
          <w:szCs w:val="24"/>
        </w:rPr>
        <w:t>-</w:t>
      </w:r>
      <w:r w:rsidRPr="00211E3B">
        <w:rPr>
          <w:snapToGrid w:val="0"/>
          <w:sz w:val="22"/>
          <w:szCs w:val="24"/>
        </w:rPr>
        <w:tab/>
        <w:t>Šis vaistas skirtas tik Jums, todėl kitiems žmonėms jo duoti negalima. Vaistas gali jiems pakenkti (net tiems, kurių ligos požymiai yra tokie patys kaip Jūsų).</w:t>
      </w:r>
    </w:p>
    <w:p w14:paraId="3352AEAD" w14:textId="77777777" w:rsidR="00B65381" w:rsidRPr="00211E3B" w:rsidRDefault="00B65381" w:rsidP="00B65381">
      <w:pPr>
        <w:numPr>
          <w:ilvl w:val="0"/>
          <w:numId w:val="3"/>
        </w:numPr>
        <w:tabs>
          <w:tab w:val="left" w:pos="567"/>
        </w:tabs>
        <w:spacing w:line="260" w:lineRule="exact"/>
        <w:ind w:left="567" w:hanging="567"/>
        <w:rPr>
          <w:snapToGrid w:val="0"/>
          <w:sz w:val="22"/>
          <w:szCs w:val="24"/>
        </w:rPr>
      </w:pPr>
      <w:r w:rsidRPr="00211E3B">
        <w:rPr>
          <w:snapToGrid w:val="0"/>
          <w:sz w:val="22"/>
          <w:szCs w:val="24"/>
        </w:rPr>
        <w:t>Jeigu pasireiškė šalutinis poveikis (net jeigu jis šiame lapelyje nenurodytas), kreipkitės į gydytoją arba vaistininką. Žr. 4 skyrių.</w:t>
      </w:r>
    </w:p>
    <w:p w14:paraId="0603F426" w14:textId="77777777" w:rsidR="00B65381" w:rsidRPr="00211E3B" w:rsidRDefault="00B65381" w:rsidP="00B65381">
      <w:pPr>
        <w:ind w:right="-2"/>
        <w:rPr>
          <w:snapToGrid w:val="0"/>
          <w:sz w:val="22"/>
          <w:szCs w:val="24"/>
        </w:rPr>
      </w:pPr>
    </w:p>
    <w:p w14:paraId="60BA0C5A" w14:textId="77777777" w:rsidR="00B65381" w:rsidRPr="00211E3B" w:rsidRDefault="00B65381" w:rsidP="00B65381">
      <w:pPr>
        <w:keepNext/>
        <w:tabs>
          <w:tab w:val="left" w:pos="567"/>
        </w:tabs>
        <w:spacing w:line="260" w:lineRule="exact"/>
        <w:jc w:val="both"/>
        <w:outlineLvl w:val="3"/>
        <w:rPr>
          <w:b/>
          <w:bCs/>
          <w:snapToGrid w:val="0"/>
          <w:sz w:val="22"/>
          <w:szCs w:val="28"/>
          <w:lang w:eastAsia="x-none"/>
        </w:rPr>
      </w:pPr>
      <w:r w:rsidRPr="00211E3B">
        <w:rPr>
          <w:b/>
          <w:bCs/>
          <w:snapToGrid w:val="0"/>
          <w:sz w:val="22"/>
          <w:szCs w:val="28"/>
          <w:lang w:eastAsia="x-none"/>
        </w:rPr>
        <w:t>Apie ką rašoma šiame lapelyje?</w:t>
      </w:r>
    </w:p>
    <w:p w14:paraId="5C78BB86" w14:textId="77777777" w:rsidR="00B65381" w:rsidRPr="00211E3B" w:rsidRDefault="00B65381" w:rsidP="00B65381">
      <w:pPr>
        <w:numPr>
          <w:ilvl w:val="12"/>
          <w:numId w:val="0"/>
        </w:numPr>
        <w:ind w:left="284" w:right="-2"/>
        <w:rPr>
          <w:snapToGrid w:val="0"/>
          <w:sz w:val="22"/>
          <w:szCs w:val="24"/>
        </w:rPr>
      </w:pPr>
    </w:p>
    <w:p w14:paraId="1EBEF3ED" w14:textId="77777777" w:rsidR="00B65381" w:rsidRPr="00211E3B" w:rsidRDefault="00B65381" w:rsidP="00B65381">
      <w:pPr>
        <w:numPr>
          <w:ilvl w:val="12"/>
          <w:numId w:val="0"/>
        </w:numPr>
        <w:tabs>
          <w:tab w:val="left" w:pos="709"/>
        </w:tabs>
        <w:ind w:right="-2"/>
        <w:rPr>
          <w:snapToGrid w:val="0"/>
          <w:sz w:val="22"/>
          <w:szCs w:val="24"/>
        </w:rPr>
      </w:pPr>
      <w:r w:rsidRPr="00211E3B">
        <w:rPr>
          <w:snapToGrid w:val="0"/>
          <w:sz w:val="22"/>
          <w:szCs w:val="24"/>
        </w:rPr>
        <w:t>1.</w:t>
      </w:r>
      <w:r w:rsidRPr="00211E3B">
        <w:rPr>
          <w:snapToGrid w:val="0"/>
          <w:sz w:val="22"/>
          <w:szCs w:val="24"/>
        </w:rPr>
        <w:tab/>
      </w:r>
      <w:r w:rsidRPr="00211E3B">
        <w:rPr>
          <w:snapToGrid w:val="0"/>
          <w:sz w:val="22"/>
        </w:rPr>
        <w:t>Kas yra Agarf ir kam jis vartojamas</w:t>
      </w:r>
      <w:r w:rsidRPr="00211E3B">
        <w:rPr>
          <w:snapToGrid w:val="0"/>
          <w:sz w:val="22"/>
          <w:szCs w:val="24"/>
        </w:rPr>
        <w:t xml:space="preserve"> </w:t>
      </w:r>
    </w:p>
    <w:p w14:paraId="1EA08252" w14:textId="77777777" w:rsidR="00B65381" w:rsidRPr="00211E3B" w:rsidRDefault="00B65381" w:rsidP="00B65381">
      <w:pPr>
        <w:numPr>
          <w:ilvl w:val="12"/>
          <w:numId w:val="0"/>
        </w:numPr>
        <w:tabs>
          <w:tab w:val="left" w:pos="709"/>
        </w:tabs>
        <w:ind w:right="-2"/>
        <w:rPr>
          <w:snapToGrid w:val="0"/>
          <w:sz w:val="22"/>
          <w:szCs w:val="24"/>
        </w:rPr>
      </w:pPr>
      <w:r w:rsidRPr="00211E3B">
        <w:rPr>
          <w:snapToGrid w:val="0"/>
          <w:sz w:val="22"/>
          <w:szCs w:val="24"/>
        </w:rPr>
        <w:t>2.</w:t>
      </w:r>
      <w:r w:rsidRPr="00211E3B">
        <w:rPr>
          <w:snapToGrid w:val="0"/>
          <w:sz w:val="22"/>
          <w:szCs w:val="24"/>
        </w:rPr>
        <w:tab/>
        <w:t xml:space="preserve">Kas žinotina prieš vartojant </w:t>
      </w:r>
      <w:r w:rsidRPr="00211E3B">
        <w:rPr>
          <w:snapToGrid w:val="0"/>
          <w:sz w:val="22"/>
        </w:rPr>
        <w:t>Agarf</w:t>
      </w:r>
    </w:p>
    <w:p w14:paraId="0EB4589C" w14:textId="77777777" w:rsidR="00B65381" w:rsidRPr="00211E3B" w:rsidRDefault="00B65381" w:rsidP="00B65381">
      <w:pPr>
        <w:numPr>
          <w:ilvl w:val="12"/>
          <w:numId w:val="0"/>
        </w:numPr>
        <w:tabs>
          <w:tab w:val="left" w:pos="709"/>
        </w:tabs>
        <w:ind w:right="-2"/>
        <w:rPr>
          <w:snapToGrid w:val="0"/>
          <w:sz w:val="22"/>
          <w:szCs w:val="24"/>
        </w:rPr>
      </w:pPr>
      <w:r w:rsidRPr="00211E3B">
        <w:rPr>
          <w:snapToGrid w:val="0"/>
          <w:sz w:val="22"/>
          <w:szCs w:val="24"/>
        </w:rPr>
        <w:t>3.</w:t>
      </w:r>
      <w:r w:rsidRPr="00211E3B">
        <w:rPr>
          <w:snapToGrid w:val="0"/>
          <w:sz w:val="22"/>
          <w:szCs w:val="24"/>
        </w:rPr>
        <w:tab/>
        <w:t xml:space="preserve">Kaip vartoti </w:t>
      </w:r>
      <w:r w:rsidRPr="00211E3B">
        <w:rPr>
          <w:snapToGrid w:val="0"/>
          <w:sz w:val="22"/>
        </w:rPr>
        <w:t>Agarf</w:t>
      </w:r>
    </w:p>
    <w:p w14:paraId="37B823D3" w14:textId="77777777" w:rsidR="00B65381" w:rsidRPr="00211E3B" w:rsidRDefault="00B65381" w:rsidP="00B65381">
      <w:pPr>
        <w:numPr>
          <w:ilvl w:val="12"/>
          <w:numId w:val="0"/>
        </w:numPr>
        <w:tabs>
          <w:tab w:val="left" w:pos="709"/>
        </w:tabs>
        <w:ind w:right="-2"/>
        <w:rPr>
          <w:snapToGrid w:val="0"/>
          <w:sz w:val="22"/>
          <w:szCs w:val="24"/>
        </w:rPr>
      </w:pPr>
      <w:r w:rsidRPr="00211E3B">
        <w:rPr>
          <w:snapToGrid w:val="0"/>
          <w:sz w:val="22"/>
          <w:szCs w:val="24"/>
        </w:rPr>
        <w:t>4.</w:t>
      </w:r>
      <w:r w:rsidRPr="00211E3B">
        <w:rPr>
          <w:snapToGrid w:val="0"/>
          <w:sz w:val="22"/>
          <w:szCs w:val="24"/>
        </w:rPr>
        <w:tab/>
      </w:r>
      <w:r w:rsidRPr="00211E3B">
        <w:rPr>
          <w:snapToGrid w:val="0"/>
          <w:sz w:val="22"/>
        </w:rPr>
        <w:t>Galimas šalutinis poveikis</w:t>
      </w:r>
      <w:r w:rsidRPr="00211E3B">
        <w:rPr>
          <w:snapToGrid w:val="0"/>
          <w:sz w:val="22"/>
          <w:szCs w:val="24"/>
        </w:rPr>
        <w:t xml:space="preserve"> </w:t>
      </w:r>
    </w:p>
    <w:p w14:paraId="2E43369C" w14:textId="77777777" w:rsidR="00B65381" w:rsidRPr="00211E3B" w:rsidRDefault="00B65381" w:rsidP="00B65381">
      <w:pPr>
        <w:numPr>
          <w:ilvl w:val="12"/>
          <w:numId w:val="0"/>
        </w:numPr>
        <w:tabs>
          <w:tab w:val="left" w:pos="709"/>
        </w:tabs>
        <w:ind w:right="-2"/>
        <w:rPr>
          <w:snapToGrid w:val="0"/>
          <w:sz w:val="22"/>
          <w:szCs w:val="24"/>
        </w:rPr>
      </w:pPr>
      <w:r w:rsidRPr="00211E3B">
        <w:rPr>
          <w:snapToGrid w:val="0"/>
          <w:sz w:val="22"/>
          <w:szCs w:val="24"/>
        </w:rPr>
        <w:t>5.</w:t>
      </w:r>
      <w:r w:rsidRPr="00211E3B">
        <w:rPr>
          <w:snapToGrid w:val="0"/>
          <w:sz w:val="22"/>
          <w:szCs w:val="24"/>
        </w:rPr>
        <w:tab/>
      </w:r>
      <w:r w:rsidRPr="00211E3B">
        <w:rPr>
          <w:snapToGrid w:val="0"/>
          <w:sz w:val="22"/>
        </w:rPr>
        <w:t>Kaip laikyti Agarf</w:t>
      </w:r>
    </w:p>
    <w:p w14:paraId="6392DA28" w14:textId="77777777" w:rsidR="00B65381" w:rsidRPr="00211E3B" w:rsidRDefault="00B65381" w:rsidP="00B65381">
      <w:pPr>
        <w:numPr>
          <w:ilvl w:val="12"/>
          <w:numId w:val="0"/>
        </w:numPr>
        <w:tabs>
          <w:tab w:val="left" w:pos="709"/>
        </w:tabs>
        <w:ind w:right="-2"/>
        <w:rPr>
          <w:snapToGrid w:val="0"/>
          <w:sz w:val="22"/>
          <w:szCs w:val="24"/>
        </w:rPr>
      </w:pPr>
      <w:r w:rsidRPr="00211E3B">
        <w:rPr>
          <w:snapToGrid w:val="0"/>
          <w:sz w:val="22"/>
          <w:szCs w:val="24"/>
        </w:rPr>
        <w:t>6.</w:t>
      </w:r>
      <w:r w:rsidRPr="00211E3B">
        <w:rPr>
          <w:snapToGrid w:val="0"/>
          <w:sz w:val="22"/>
          <w:szCs w:val="24"/>
        </w:rPr>
        <w:tab/>
        <w:t>Pakuotės turinys ir kita informacija</w:t>
      </w:r>
    </w:p>
    <w:p w14:paraId="13C8286B" w14:textId="77777777" w:rsidR="00B65381" w:rsidRPr="00211E3B" w:rsidRDefault="00B65381" w:rsidP="00B65381">
      <w:pPr>
        <w:numPr>
          <w:ilvl w:val="12"/>
          <w:numId w:val="0"/>
        </w:numPr>
        <w:ind w:right="-2"/>
        <w:rPr>
          <w:snapToGrid w:val="0"/>
          <w:sz w:val="22"/>
          <w:szCs w:val="24"/>
        </w:rPr>
      </w:pPr>
    </w:p>
    <w:p w14:paraId="00C35C54" w14:textId="77777777" w:rsidR="00B65381" w:rsidRPr="00211E3B" w:rsidRDefault="00B65381" w:rsidP="00B65381">
      <w:pPr>
        <w:numPr>
          <w:ilvl w:val="12"/>
          <w:numId w:val="0"/>
        </w:numPr>
        <w:ind w:right="-2"/>
        <w:rPr>
          <w:snapToGrid w:val="0"/>
          <w:sz w:val="22"/>
          <w:szCs w:val="24"/>
        </w:rPr>
      </w:pPr>
    </w:p>
    <w:p w14:paraId="61B9B29E" w14:textId="77777777" w:rsidR="00B65381" w:rsidRPr="00211E3B" w:rsidRDefault="00B65381" w:rsidP="00B65381">
      <w:pPr>
        <w:keepNext/>
        <w:tabs>
          <w:tab w:val="left" w:pos="567"/>
        </w:tabs>
        <w:spacing w:line="260" w:lineRule="exact"/>
        <w:jc w:val="both"/>
        <w:outlineLvl w:val="3"/>
        <w:rPr>
          <w:b/>
          <w:bCs/>
          <w:snapToGrid w:val="0"/>
          <w:sz w:val="22"/>
          <w:szCs w:val="28"/>
          <w:lang w:eastAsia="x-none"/>
        </w:rPr>
      </w:pPr>
      <w:r w:rsidRPr="00211E3B">
        <w:rPr>
          <w:b/>
          <w:bCs/>
          <w:snapToGrid w:val="0"/>
          <w:sz w:val="22"/>
          <w:szCs w:val="28"/>
          <w:lang w:eastAsia="x-none"/>
        </w:rPr>
        <w:t>1.</w:t>
      </w:r>
      <w:r w:rsidRPr="00211E3B">
        <w:rPr>
          <w:b/>
          <w:bCs/>
          <w:snapToGrid w:val="0"/>
          <w:sz w:val="22"/>
          <w:szCs w:val="28"/>
          <w:lang w:eastAsia="x-none"/>
        </w:rPr>
        <w:tab/>
        <w:t>Kas yra Agarf ir kam jis vartojamas</w:t>
      </w:r>
    </w:p>
    <w:p w14:paraId="2C0648C5" w14:textId="77777777" w:rsidR="00B65381" w:rsidRPr="00211E3B" w:rsidRDefault="00B65381" w:rsidP="00B65381">
      <w:pPr>
        <w:numPr>
          <w:ilvl w:val="12"/>
          <w:numId w:val="0"/>
        </w:numPr>
        <w:ind w:right="-2"/>
        <w:rPr>
          <w:snapToGrid w:val="0"/>
          <w:sz w:val="22"/>
          <w:szCs w:val="24"/>
        </w:rPr>
      </w:pPr>
    </w:p>
    <w:p w14:paraId="082265B1" w14:textId="77777777" w:rsidR="00B65381" w:rsidRPr="00A96CAC" w:rsidRDefault="00B65381" w:rsidP="00B65381">
      <w:pPr>
        <w:numPr>
          <w:ilvl w:val="12"/>
          <w:numId w:val="0"/>
        </w:numPr>
        <w:ind w:right="-2"/>
        <w:rPr>
          <w:snapToGrid w:val="0"/>
          <w:sz w:val="22"/>
        </w:rPr>
      </w:pPr>
      <w:r>
        <w:rPr>
          <w:snapToGrid w:val="0"/>
          <w:sz w:val="22"/>
        </w:rPr>
        <w:t>Agarf</w:t>
      </w:r>
      <w:r w:rsidRPr="00A96CAC">
        <w:rPr>
          <w:snapToGrid w:val="0"/>
          <w:sz w:val="22"/>
        </w:rPr>
        <w:t xml:space="preserve"> </w:t>
      </w:r>
      <w:r>
        <w:rPr>
          <w:snapToGrid w:val="0"/>
          <w:sz w:val="22"/>
        </w:rPr>
        <w:t xml:space="preserve">sudėtyje yra </w:t>
      </w:r>
      <w:r w:rsidRPr="00A96CAC">
        <w:rPr>
          <w:snapToGrid w:val="0"/>
          <w:sz w:val="22"/>
        </w:rPr>
        <w:t>veiklio</w:t>
      </w:r>
      <w:r>
        <w:rPr>
          <w:snapToGrid w:val="0"/>
          <w:sz w:val="22"/>
        </w:rPr>
        <w:t xml:space="preserve">sios </w:t>
      </w:r>
      <w:r w:rsidRPr="00A96CAC">
        <w:rPr>
          <w:snapToGrid w:val="0"/>
          <w:sz w:val="22"/>
        </w:rPr>
        <w:t>medžiag</w:t>
      </w:r>
      <w:r>
        <w:rPr>
          <w:snapToGrid w:val="0"/>
          <w:sz w:val="22"/>
        </w:rPr>
        <w:t>os</w:t>
      </w:r>
      <w:r w:rsidRPr="00A96CAC">
        <w:rPr>
          <w:snapToGrid w:val="0"/>
          <w:sz w:val="22"/>
        </w:rPr>
        <w:t xml:space="preserve"> nintedanib</w:t>
      </w:r>
      <w:r>
        <w:rPr>
          <w:snapToGrid w:val="0"/>
          <w:sz w:val="22"/>
        </w:rPr>
        <w:t xml:space="preserve">o, t. y. vaisto, kuris </w:t>
      </w:r>
      <w:r w:rsidRPr="00A96CAC">
        <w:rPr>
          <w:snapToGrid w:val="0"/>
          <w:sz w:val="22"/>
        </w:rPr>
        <w:t>priklaus</w:t>
      </w:r>
      <w:r>
        <w:rPr>
          <w:snapToGrid w:val="0"/>
          <w:sz w:val="22"/>
        </w:rPr>
        <w:t>o</w:t>
      </w:r>
      <w:r w:rsidRPr="00A96CAC">
        <w:rPr>
          <w:snapToGrid w:val="0"/>
          <w:sz w:val="22"/>
        </w:rPr>
        <w:t xml:space="preserve"> vadinamųjų tirozino kinazės</w:t>
      </w:r>
      <w:r>
        <w:rPr>
          <w:snapToGrid w:val="0"/>
          <w:sz w:val="22"/>
        </w:rPr>
        <w:t xml:space="preserve"> </w:t>
      </w:r>
      <w:r w:rsidRPr="00A96CAC">
        <w:rPr>
          <w:snapToGrid w:val="0"/>
          <w:sz w:val="22"/>
        </w:rPr>
        <w:t>inhibitorių klasei</w:t>
      </w:r>
      <w:r>
        <w:rPr>
          <w:snapToGrid w:val="0"/>
          <w:sz w:val="22"/>
        </w:rPr>
        <w:t xml:space="preserve"> ir yra</w:t>
      </w:r>
      <w:r w:rsidRPr="00A96CAC">
        <w:rPr>
          <w:snapToGrid w:val="0"/>
          <w:sz w:val="22"/>
        </w:rPr>
        <w:t xml:space="preserve"> vartojamas idiopatinei plaučių fibrozei (IPF), kitoms lėtinėms fibrozinėms</w:t>
      </w:r>
      <w:r>
        <w:rPr>
          <w:snapToGrid w:val="0"/>
          <w:sz w:val="22"/>
        </w:rPr>
        <w:t xml:space="preserve"> </w:t>
      </w:r>
      <w:r w:rsidRPr="00A96CAC">
        <w:rPr>
          <w:snapToGrid w:val="0"/>
          <w:sz w:val="22"/>
        </w:rPr>
        <w:t>progresuojančio fenotipo intersticinėms plaučių ligoms (IPL) ir su sistemine skleroze susijusiai</w:t>
      </w:r>
      <w:r>
        <w:rPr>
          <w:snapToGrid w:val="0"/>
          <w:sz w:val="22"/>
        </w:rPr>
        <w:t xml:space="preserve"> </w:t>
      </w:r>
      <w:r w:rsidRPr="00A96CAC">
        <w:rPr>
          <w:snapToGrid w:val="0"/>
          <w:sz w:val="22"/>
        </w:rPr>
        <w:t>intersticinei plaučių ligai (SS-IPL) gydyti suaugusiesiems.</w:t>
      </w:r>
    </w:p>
    <w:p w14:paraId="2AA3ECA7" w14:textId="77777777" w:rsidR="00B65381" w:rsidRDefault="00B65381" w:rsidP="00B65381">
      <w:pPr>
        <w:numPr>
          <w:ilvl w:val="12"/>
          <w:numId w:val="0"/>
        </w:numPr>
        <w:ind w:right="-2"/>
        <w:rPr>
          <w:snapToGrid w:val="0"/>
          <w:sz w:val="22"/>
        </w:rPr>
      </w:pPr>
    </w:p>
    <w:p w14:paraId="6DBA82BB" w14:textId="77777777" w:rsidR="00B65381" w:rsidRPr="00467465" w:rsidRDefault="00B65381" w:rsidP="00B65381">
      <w:pPr>
        <w:numPr>
          <w:ilvl w:val="12"/>
          <w:numId w:val="0"/>
        </w:numPr>
        <w:ind w:right="-2"/>
        <w:rPr>
          <w:snapToGrid w:val="0"/>
          <w:sz w:val="22"/>
          <w:u w:val="single"/>
        </w:rPr>
      </w:pPr>
      <w:r w:rsidRPr="00467465">
        <w:rPr>
          <w:snapToGrid w:val="0"/>
          <w:sz w:val="22"/>
          <w:u w:val="single"/>
        </w:rPr>
        <w:t>Idiopatinė plaučių fibrozė (IPF)</w:t>
      </w:r>
    </w:p>
    <w:p w14:paraId="27362563" w14:textId="77777777" w:rsidR="00B65381" w:rsidRPr="00A96CAC" w:rsidRDefault="00B65381" w:rsidP="00B65381">
      <w:pPr>
        <w:numPr>
          <w:ilvl w:val="12"/>
          <w:numId w:val="0"/>
        </w:numPr>
        <w:ind w:right="-2"/>
        <w:rPr>
          <w:snapToGrid w:val="0"/>
          <w:sz w:val="22"/>
        </w:rPr>
      </w:pPr>
      <w:r w:rsidRPr="00A96CAC">
        <w:rPr>
          <w:snapToGrid w:val="0"/>
          <w:sz w:val="22"/>
        </w:rPr>
        <w:t>IPF yra sutrikimas, kurio metu plaučių audinys sustorėja, sustandėja ir laikui bėgant surandėja. Dėl</w:t>
      </w:r>
      <w:r>
        <w:rPr>
          <w:snapToGrid w:val="0"/>
          <w:sz w:val="22"/>
        </w:rPr>
        <w:t xml:space="preserve"> </w:t>
      </w:r>
      <w:r w:rsidRPr="00A96CAC">
        <w:rPr>
          <w:snapToGrid w:val="0"/>
          <w:sz w:val="22"/>
        </w:rPr>
        <w:t>randėjimo sumažėja plaučių gebėjimas pernešti deguonį iš plaučių į kraują, todėl tampa sunku giliai</w:t>
      </w:r>
      <w:r>
        <w:rPr>
          <w:snapToGrid w:val="0"/>
          <w:sz w:val="22"/>
        </w:rPr>
        <w:t xml:space="preserve"> </w:t>
      </w:r>
      <w:r w:rsidRPr="00A96CAC">
        <w:rPr>
          <w:snapToGrid w:val="0"/>
          <w:sz w:val="22"/>
        </w:rPr>
        <w:t xml:space="preserve">kvėpuoti. </w:t>
      </w:r>
      <w:r>
        <w:rPr>
          <w:snapToGrid w:val="0"/>
          <w:sz w:val="22"/>
        </w:rPr>
        <w:t>Šis vaistas</w:t>
      </w:r>
      <w:r w:rsidRPr="00A96CAC">
        <w:rPr>
          <w:snapToGrid w:val="0"/>
          <w:sz w:val="22"/>
        </w:rPr>
        <w:t xml:space="preserve"> padeda sumažinti tolesnį plaučių randėjimą ir standėjimą.</w:t>
      </w:r>
    </w:p>
    <w:p w14:paraId="63451EB4" w14:textId="77777777" w:rsidR="00B65381" w:rsidRDefault="00B65381" w:rsidP="00B65381">
      <w:pPr>
        <w:numPr>
          <w:ilvl w:val="12"/>
          <w:numId w:val="0"/>
        </w:numPr>
        <w:ind w:right="-2"/>
        <w:rPr>
          <w:snapToGrid w:val="0"/>
          <w:sz w:val="22"/>
        </w:rPr>
      </w:pPr>
    </w:p>
    <w:p w14:paraId="6DB7D420" w14:textId="77777777" w:rsidR="00B65381" w:rsidRPr="00467465" w:rsidRDefault="00B65381" w:rsidP="00B65381">
      <w:pPr>
        <w:numPr>
          <w:ilvl w:val="12"/>
          <w:numId w:val="0"/>
        </w:numPr>
        <w:ind w:right="-2"/>
        <w:rPr>
          <w:snapToGrid w:val="0"/>
          <w:sz w:val="22"/>
          <w:u w:val="single"/>
        </w:rPr>
      </w:pPr>
      <w:r w:rsidRPr="00467465">
        <w:rPr>
          <w:snapToGrid w:val="0"/>
          <w:sz w:val="22"/>
          <w:u w:val="single"/>
        </w:rPr>
        <w:t>Kitos lėtinės fibrozinės progresuojančio fenotipo intersticinės plaučių ligos (IPL)</w:t>
      </w:r>
    </w:p>
    <w:p w14:paraId="4051CFAE" w14:textId="77777777" w:rsidR="00B65381" w:rsidRPr="00A96CAC" w:rsidRDefault="00B65381" w:rsidP="00B65381">
      <w:pPr>
        <w:numPr>
          <w:ilvl w:val="12"/>
          <w:numId w:val="0"/>
        </w:numPr>
        <w:ind w:right="-2"/>
        <w:rPr>
          <w:snapToGrid w:val="0"/>
          <w:sz w:val="22"/>
        </w:rPr>
      </w:pPr>
      <w:r w:rsidRPr="00A96CAC">
        <w:rPr>
          <w:snapToGrid w:val="0"/>
          <w:sz w:val="22"/>
        </w:rPr>
        <w:t>Be IPF yra kitų sutrikimų, dėl kurių Jūsų plaučių audinys sustorėja, sustandėja ir laikui bėgant</w:t>
      </w:r>
      <w:r>
        <w:rPr>
          <w:snapToGrid w:val="0"/>
          <w:sz w:val="22"/>
        </w:rPr>
        <w:t xml:space="preserve"> </w:t>
      </w:r>
      <w:r w:rsidRPr="00A96CAC">
        <w:rPr>
          <w:snapToGrid w:val="0"/>
          <w:sz w:val="22"/>
        </w:rPr>
        <w:t xml:space="preserve">surandėja (tai vadinama plaučių fibroze) </w:t>
      </w:r>
      <w:r>
        <w:rPr>
          <w:snapToGrid w:val="0"/>
          <w:sz w:val="22"/>
        </w:rPr>
        <w:t>bei</w:t>
      </w:r>
      <w:r w:rsidRPr="00A96CAC">
        <w:rPr>
          <w:snapToGrid w:val="0"/>
          <w:sz w:val="22"/>
        </w:rPr>
        <w:t xml:space="preserve"> kuri</w:t>
      </w:r>
      <w:r>
        <w:rPr>
          <w:snapToGrid w:val="0"/>
          <w:sz w:val="22"/>
        </w:rPr>
        <w:t>e</w:t>
      </w:r>
      <w:r w:rsidRPr="00A96CAC">
        <w:rPr>
          <w:snapToGrid w:val="0"/>
          <w:sz w:val="22"/>
        </w:rPr>
        <w:t xml:space="preserve"> vis </w:t>
      </w:r>
      <w:r>
        <w:rPr>
          <w:snapToGrid w:val="0"/>
          <w:sz w:val="22"/>
        </w:rPr>
        <w:t>sunkėja</w:t>
      </w:r>
      <w:r w:rsidRPr="00A96CAC">
        <w:rPr>
          <w:snapToGrid w:val="0"/>
          <w:sz w:val="22"/>
        </w:rPr>
        <w:t xml:space="preserve"> (tai vadinama progresuojančiu</w:t>
      </w:r>
      <w:r>
        <w:rPr>
          <w:snapToGrid w:val="0"/>
          <w:sz w:val="22"/>
        </w:rPr>
        <w:t xml:space="preserve"> </w:t>
      </w:r>
      <w:r w:rsidRPr="00A96CAC">
        <w:rPr>
          <w:snapToGrid w:val="0"/>
          <w:sz w:val="22"/>
        </w:rPr>
        <w:t xml:space="preserve">fenotipu). Tokių sutrikimų pavyzdžiai gali būti padidėjusio jautrumo </w:t>
      </w:r>
      <w:r>
        <w:rPr>
          <w:snapToGrid w:val="0"/>
          <w:sz w:val="22"/>
        </w:rPr>
        <w:t xml:space="preserve">sukeltas </w:t>
      </w:r>
      <w:r w:rsidRPr="00A96CAC">
        <w:rPr>
          <w:snapToGrid w:val="0"/>
          <w:sz w:val="22"/>
        </w:rPr>
        <w:t>pneumonitas, autoimuninė</w:t>
      </w:r>
      <w:r>
        <w:rPr>
          <w:snapToGrid w:val="0"/>
          <w:sz w:val="22"/>
        </w:rPr>
        <w:t xml:space="preserve"> </w:t>
      </w:r>
      <w:r w:rsidRPr="00A96CAC">
        <w:rPr>
          <w:snapToGrid w:val="0"/>
          <w:sz w:val="22"/>
        </w:rPr>
        <w:t>IPL (pvz., su reumatoidiniu artritu susijusi IPL), nespecifinė idiopatinė intersticinė pneumonija, kitaip</w:t>
      </w:r>
      <w:r>
        <w:rPr>
          <w:snapToGrid w:val="0"/>
          <w:sz w:val="22"/>
        </w:rPr>
        <w:t xml:space="preserve"> </w:t>
      </w:r>
      <w:r w:rsidRPr="00A96CAC">
        <w:rPr>
          <w:snapToGrid w:val="0"/>
          <w:sz w:val="22"/>
        </w:rPr>
        <w:t xml:space="preserve">neklasifikuojama idiopatinė intersticinė pneumonija ir kitos IPL. </w:t>
      </w:r>
      <w:r>
        <w:rPr>
          <w:snapToGrid w:val="0"/>
          <w:sz w:val="22"/>
        </w:rPr>
        <w:t>Šis vaistas</w:t>
      </w:r>
      <w:r w:rsidRPr="00A96CAC">
        <w:rPr>
          <w:snapToGrid w:val="0"/>
          <w:sz w:val="22"/>
        </w:rPr>
        <w:t xml:space="preserve"> padeda sumažinti tolesnį plaučių randėjimą ir standėjimą.</w:t>
      </w:r>
    </w:p>
    <w:p w14:paraId="1D990A06" w14:textId="77777777" w:rsidR="00B65381" w:rsidRDefault="00B65381" w:rsidP="00B65381">
      <w:pPr>
        <w:numPr>
          <w:ilvl w:val="12"/>
          <w:numId w:val="0"/>
        </w:numPr>
        <w:ind w:right="-2"/>
        <w:rPr>
          <w:snapToGrid w:val="0"/>
          <w:sz w:val="22"/>
        </w:rPr>
      </w:pPr>
    </w:p>
    <w:p w14:paraId="13224A6B" w14:textId="77777777" w:rsidR="00B65381" w:rsidRPr="00467465" w:rsidRDefault="00B65381" w:rsidP="00B65381">
      <w:pPr>
        <w:numPr>
          <w:ilvl w:val="12"/>
          <w:numId w:val="0"/>
        </w:numPr>
        <w:ind w:right="-2"/>
        <w:rPr>
          <w:snapToGrid w:val="0"/>
          <w:sz w:val="22"/>
          <w:u w:val="single"/>
        </w:rPr>
      </w:pPr>
      <w:r w:rsidRPr="00467465">
        <w:rPr>
          <w:snapToGrid w:val="0"/>
          <w:sz w:val="22"/>
          <w:u w:val="single"/>
        </w:rPr>
        <w:t>Su sistemine skleroze susijusi intersticinė plaučių liga (SS-IPL)</w:t>
      </w:r>
    </w:p>
    <w:p w14:paraId="258DB43A" w14:textId="77777777" w:rsidR="00B65381" w:rsidRPr="00A96CAC" w:rsidRDefault="00B65381" w:rsidP="00B65381">
      <w:pPr>
        <w:numPr>
          <w:ilvl w:val="12"/>
          <w:numId w:val="0"/>
        </w:numPr>
        <w:ind w:right="-2"/>
        <w:rPr>
          <w:snapToGrid w:val="0"/>
          <w:sz w:val="22"/>
        </w:rPr>
      </w:pPr>
      <w:r w:rsidRPr="00A96CAC">
        <w:rPr>
          <w:snapToGrid w:val="0"/>
          <w:sz w:val="22"/>
        </w:rPr>
        <w:t>Sisteminė sklerozė (SS), dar vadinama skleroderma, yra reta lėtinė autoimuninė liga, kuri pažeidžia</w:t>
      </w:r>
      <w:r>
        <w:rPr>
          <w:snapToGrid w:val="0"/>
          <w:sz w:val="22"/>
        </w:rPr>
        <w:t xml:space="preserve"> </w:t>
      </w:r>
      <w:r w:rsidRPr="00A96CAC">
        <w:rPr>
          <w:snapToGrid w:val="0"/>
          <w:sz w:val="22"/>
        </w:rPr>
        <w:t>jungiamąjį audinį daugelyje organizmo dalių. SS sukelia odos ir kitų vidaus organų, pvz., plaučių,</w:t>
      </w:r>
      <w:r>
        <w:rPr>
          <w:snapToGrid w:val="0"/>
          <w:sz w:val="22"/>
        </w:rPr>
        <w:t xml:space="preserve"> </w:t>
      </w:r>
      <w:r w:rsidRPr="00A96CAC">
        <w:rPr>
          <w:snapToGrid w:val="0"/>
          <w:sz w:val="22"/>
        </w:rPr>
        <w:t>fibrozę (randėjimą ir standėjimą). Liga, kai fibrozė pažeidžia plaučius, vadinama intersticine plaučių</w:t>
      </w:r>
      <w:r>
        <w:rPr>
          <w:snapToGrid w:val="0"/>
          <w:sz w:val="22"/>
        </w:rPr>
        <w:t xml:space="preserve"> </w:t>
      </w:r>
      <w:r w:rsidRPr="00A96CAC">
        <w:rPr>
          <w:snapToGrid w:val="0"/>
          <w:sz w:val="22"/>
        </w:rPr>
        <w:t>liga (IPL), todėl ši būklė vadinama su sistemine skleroze susijusia intersticine plaučių liga (SS-IPL).</w:t>
      </w:r>
      <w:r>
        <w:rPr>
          <w:snapToGrid w:val="0"/>
          <w:sz w:val="22"/>
        </w:rPr>
        <w:t xml:space="preserve"> </w:t>
      </w:r>
      <w:r w:rsidRPr="00A96CAC">
        <w:rPr>
          <w:snapToGrid w:val="0"/>
          <w:sz w:val="22"/>
        </w:rPr>
        <w:t>Dėl fibrozės sumažėja plaučių gebėjimas pernešti deguonį į kraują, todėl tampa sunkiau kvėpuoti.</w:t>
      </w:r>
      <w:r>
        <w:rPr>
          <w:snapToGrid w:val="0"/>
          <w:sz w:val="22"/>
        </w:rPr>
        <w:t xml:space="preserve"> Šis vaistas</w:t>
      </w:r>
      <w:r w:rsidRPr="00A96CAC">
        <w:rPr>
          <w:snapToGrid w:val="0"/>
          <w:sz w:val="22"/>
        </w:rPr>
        <w:t xml:space="preserve"> padeda sumažinti tolesnį plaučių randėjimą ir standėjimą.</w:t>
      </w:r>
    </w:p>
    <w:p w14:paraId="4847E83E" w14:textId="77777777" w:rsidR="00B65381" w:rsidRDefault="00B65381" w:rsidP="00B65381">
      <w:pPr>
        <w:numPr>
          <w:ilvl w:val="12"/>
          <w:numId w:val="0"/>
        </w:numPr>
        <w:ind w:right="-2"/>
        <w:rPr>
          <w:snapToGrid w:val="0"/>
          <w:sz w:val="22"/>
          <w:szCs w:val="24"/>
        </w:rPr>
      </w:pPr>
    </w:p>
    <w:p w14:paraId="09A55DD4" w14:textId="77777777" w:rsidR="00B65381" w:rsidRPr="00211E3B" w:rsidRDefault="00B65381" w:rsidP="00B65381">
      <w:pPr>
        <w:numPr>
          <w:ilvl w:val="12"/>
          <w:numId w:val="0"/>
        </w:numPr>
        <w:ind w:right="-2"/>
        <w:rPr>
          <w:snapToGrid w:val="0"/>
          <w:sz w:val="22"/>
          <w:szCs w:val="24"/>
        </w:rPr>
      </w:pPr>
    </w:p>
    <w:p w14:paraId="280D568C" w14:textId="77777777" w:rsidR="00B65381" w:rsidRPr="00211E3B" w:rsidRDefault="00B65381" w:rsidP="00B65381">
      <w:pPr>
        <w:keepNext/>
        <w:tabs>
          <w:tab w:val="left" w:pos="567"/>
        </w:tabs>
        <w:spacing w:line="260" w:lineRule="exact"/>
        <w:jc w:val="both"/>
        <w:outlineLvl w:val="3"/>
        <w:rPr>
          <w:b/>
          <w:bCs/>
          <w:snapToGrid w:val="0"/>
          <w:sz w:val="22"/>
          <w:szCs w:val="28"/>
          <w:lang w:eastAsia="x-none"/>
        </w:rPr>
      </w:pPr>
      <w:r w:rsidRPr="00211E3B">
        <w:rPr>
          <w:b/>
          <w:bCs/>
          <w:snapToGrid w:val="0"/>
          <w:sz w:val="22"/>
          <w:szCs w:val="28"/>
          <w:lang w:eastAsia="x-none"/>
        </w:rPr>
        <w:t>2.</w:t>
      </w:r>
      <w:r w:rsidRPr="00211E3B">
        <w:rPr>
          <w:b/>
          <w:bCs/>
          <w:snapToGrid w:val="0"/>
          <w:sz w:val="22"/>
          <w:szCs w:val="28"/>
          <w:lang w:eastAsia="x-none"/>
        </w:rPr>
        <w:tab/>
        <w:t>Kas žinotina prieš vartojant Agarf</w:t>
      </w:r>
    </w:p>
    <w:p w14:paraId="22BE0C1B" w14:textId="77777777" w:rsidR="00B65381" w:rsidRPr="00211E3B" w:rsidRDefault="00B65381" w:rsidP="00B65381">
      <w:pPr>
        <w:numPr>
          <w:ilvl w:val="12"/>
          <w:numId w:val="0"/>
        </w:numPr>
        <w:ind w:right="-2"/>
        <w:rPr>
          <w:snapToGrid w:val="0"/>
          <w:sz w:val="22"/>
          <w:szCs w:val="24"/>
        </w:rPr>
      </w:pPr>
    </w:p>
    <w:p w14:paraId="6FE33A14" w14:textId="77777777" w:rsidR="00B65381" w:rsidRPr="00211E3B" w:rsidRDefault="00B65381" w:rsidP="00B65381">
      <w:pPr>
        <w:keepNext/>
        <w:tabs>
          <w:tab w:val="left" w:pos="567"/>
        </w:tabs>
        <w:spacing w:line="260" w:lineRule="exact"/>
        <w:jc w:val="both"/>
        <w:outlineLvl w:val="3"/>
        <w:rPr>
          <w:b/>
          <w:bCs/>
          <w:snapToGrid w:val="0"/>
          <w:sz w:val="22"/>
          <w:szCs w:val="22"/>
          <w:lang w:eastAsia="x-none"/>
        </w:rPr>
      </w:pPr>
      <w:r w:rsidRPr="00211E3B">
        <w:rPr>
          <w:b/>
          <w:bCs/>
          <w:snapToGrid w:val="0"/>
          <w:sz w:val="22"/>
          <w:szCs w:val="22"/>
          <w:lang w:eastAsia="x-none"/>
        </w:rPr>
        <w:lastRenderedPageBreak/>
        <w:t>Agarf vartoti draudžiama</w:t>
      </w:r>
    </w:p>
    <w:p w14:paraId="7B37FC09" w14:textId="77777777" w:rsidR="00B65381" w:rsidRDefault="00B65381" w:rsidP="00B65381">
      <w:pPr>
        <w:numPr>
          <w:ilvl w:val="12"/>
          <w:numId w:val="0"/>
        </w:numPr>
        <w:tabs>
          <w:tab w:val="left" w:pos="567"/>
        </w:tabs>
        <w:ind w:left="567" w:hanging="567"/>
        <w:rPr>
          <w:snapToGrid w:val="0"/>
          <w:sz w:val="22"/>
          <w:szCs w:val="24"/>
        </w:rPr>
      </w:pPr>
      <w:r w:rsidRPr="00211E3B">
        <w:rPr>
          <w:snapToGrid w:val="0"/>
          <w:sz w:val="22"/>
          <w:szCs w:val="24"/>
        </w:rPr>
        <w:t>-</w:t>
      </w:r>
      <w:r w:rsidRPr="00211E3B">
        <w:rPr>
          <w:snapToGrid w:val="0"/>
          <w:sz w:val="22"/>
          <w:szCs w:val="24"/>
        </w:rPr>
        <w:tab/>
        <w:t>jeigu yra alergija nintedanibui arba bet kuriai pagalbinei šio vaisto medžiagai (jos išvardytos 6 skyriuje)</w:t>
      </w:r>
      <w:r>
        <w:rPr>
          <w:snapToGrid w:val="0"/>
          <w:sz w:val="22"/>
          <w:szCs w:val="24"/>
        </w:rPr>
        <w:t>;</w:t>
      </w:r>
    </w:p>
    <w:p w14:paraId="2DCCDF54" w14:textId="77777777" w:rsidR="00B65381" w:rsidRPr="00211E3B" w:rsidRDefault="00B65381" w:rsidP="00B65381">
      <w:pPr>
        <w:numPr>
          <w:ilvl w:val="12"/>
          <w:numId w:val="0"/>
        </w:numPr>
        <w:tabs>
          <w:tab w:val="left" w:pos="567"/>
        </w:tabs>
        <w:ind w:left="567" w:hanging="567"/>
        <w:rPr>
          <w:snapToGrid w:val="0"/>
          <w:sz w:val="22"/>
          <w:szCs w:val="24"/>
        </w:rPr>
      </w:pPr>
      <w:r>
        <w:rPr>
          <w:snapToGrid w:val="0"/>
          <w:sz w:val="22"/>
          <w:szCs w:val="24"/>
        </w:rPr>
        <w:t>-</w:t>
      </w:r>
      <w:r>
        <w:rPr>
          <w:snapToGrid w:val="0"/>
          <w:sz w:val="22"/>
          <w:szCs w:val="24"/>
        </w:rPr>
        <w:tab/>
        <w:t>jeigu esate nėščia</w:t>
      </w:r>
      <w:r w:rsidRPr="00211E3B">
        <w:rPr>
          <w:snapToGrid w:val="0"/>
          <w:sz w:val="22"/>
          <w:szCs w:val="24"/>
        </w:rPr>
        <w:t>.</w:t>
      </w:r>
    </w:p>
    <w:p w14:paraId="27A06F4F" w14:textId="77777777" w:rsidR="00B65381" w:rsidRPr="00211E3B" w:rsidRDefault="00B65381" w:rsidP="00B65381">
      <w:pPr>
        <w:numPr>
          <w:ilvl w:val="12"/>
          <w:numId w:val="0"/>
        </w:numPr>
        <w:ind w:right="-2"/>
        <w:rPr>
          <w:snapToGrid w:val="0"/>
          <w:sz w:val="22"/>
          <w:szCs w:val="24"/>
        </w:rPr>
      </w:pPr>
    </w:p>
    <w:p w14:paraId="50DB02B7" w14:textId="77777777" w:rsidR="00B65381" w:rsidRPr="00211E3B" w:rsidRDefault="00B65381" w:rsidP="00B65381">
      <w:pPr>
        <w:keepNext/>
        <w:tabs>
          <w:tab w:val="left" w:pos="567"/>
        </w:tabs>
        <w:spacing w:line="260" w:lineRule="exact"/>
        <w:jc w:val="both"/>
        <w:outlineLvl w:val="3"/>
        <w:rPr>
          <w:b/>
          <w:bCs/>
          <w:snapToGrid w:val="0"/>
          <w:sz w:val="22"/>
          <w:szCs w:val="28"/>
          <w:lang w:eastAsia="x-none"/>
        </w:rPr>
      </w:pPr>
      <w:r w:rsidRPr="00211E3B">
        <w:rPr>
          <w:b/>
          <w:bCs/>
          <w:snapToGrid w:val="0"/>
          <w:sz w:val="22"/>
          <w:szCs w:val="28"/>
          <w:lang w:eastAsia="x-none"/>
        </w:rPr>
        <w:t xml:space="preserve">Įspėjimai ir atsargumo priemonės </w:t>
      </w:r>
    </w:p>
    <w:p w14:paraId="7D03F839" w14:textId="77777777" w:rsidR="00B65381" w:rsidRPr="00211E3B" w:rsidRDefault="00B65381" w:rsidP="00B65381">
      <w:pPr>
        <w:numPr>
          <w:ilvl w:val="12"/>
          <w:numId w:val="0"/>
        </w:numPr>
        <w:ind w:right="-2"/>
        <w:rPr>
          <w:snapToGrid w:val="0"/>
          <w:sz w:val="22"/>
          <w:szCs w:val="24"/>
        </w:rPr>
      </w:pPr>
      <w:r w:rsidRPr="00211E3B">
        <w:rPr>
          <w:snapToGrid w:val="0"/>
          <w:sz w:val="22"/>
          <w:szCs w:val="24"/>
        </w:rPr>
        <w:t xml:space="preserve">Pasitarkite su gydytoju arba vaistininku, prieš pradėdami vartoti </w:t>
      </w:r>
      <w:r>
        <w:rPr>
          <w:snapToGrid w:val="0"/>
          <w:sz w:val="22"/>
          <w:szCs w:val="24"/>
        </w:rPr>
        <w:t>Agarf</w:t>
      </w:r>
      <w:r w:rsidRPr="00211E3B">
        <w:rPr>
          <w:snapToGrid w:val="0"/>
          <w:sz w:val="22"/>
          <w:szCs w:val="24"/>
        </w:rPr>
        <w:t>:</w:t>
      </w:r>
    </w:p>
    <w:p w14:paraId="1C56A96E" w14:textId="77777777" w:rsidR="00B65381" w:rsidRPr="00211E3B" w:rsidRDefault="00B65381" w:rsidP="00B65381">
      <w:pPr>
        <w:pStyle w:val="Sraopastraipa"/>
        <w:numPr>
          <w:ilvl w:val="0"/>
          <w:numId w:val="6"/>
        </w:numPr>
        <w:ind w:left="567" w:right="-2" w:hanging="567"/>
        <w:rPr>
          <w:snapToGrid w:val="0"/>
          <w:sz w:val="22"/>
          <w:szCs w:val="24"/>
        </w:rPr>
      </w:pPr>
      <w:r w:rsidRPr="00211E3B">
        <w:rPr>
          <w:snapToGrid w:val="0"/>
          <w:sz w:val="22"/>
          <w:szCs w:val="24"/>
        </w:rPr>
        <w:t>jeigu sergate arba sirgote kepenų liga;</w:t>
      </w:r>
    </w:p>
    <w:p w14:paraId="43AEAB37" w14:textId="77777777" w:rsidR="00B65381" w:rsidRDefault="00B65381" w:rsidP="00B65381">
      <w:pPr>
        <w:pStyle w:val="Sraopastraipa"/>
        <w:numPr>
          <w:ilvl w:val="0"/>
          <w:numId w:val="6"/>
        </w:numPr>
        <w:ind w:left="567" w:right="-2" w:hanging="567"/>
        <w:rPr>
          <w:snapToGrid w:val="0"/>
          <w:sz w:val="22"/>
          <w:szCs w:val="24"/>
        </w:rPr>
      </w:pPr>
      <w:r w:rsidRPr="00211E3B">
        <w:rPr>
          <w:snapToGrid w:val="0"/>
          <w:sz w:val="22"/>
          <w:szCs w:val="24"/>
        </w:rPr>
        <w:t>jeigu sergate arba sirgote inkstų liga arba jeigu Jūsų šlapime buvo nustatytas padidėjęs baltymų kiekis;</w:t>
      </w:r>
    </w:p>
    <w:p w14:paraId="1EEB370C" w14:textId="77777777" w:rsidR="00B65381" w:rsidRPr="00211E3B" w:rsidRDefault="00B65381" w:rsidP="00B65381">
      <w:pPr>
        <w:pStyle w:val="Sraopastraipa"/>
        <w:numPr>
          <w:ilvl w:val="0"/>
          <w:numId w:val="6"/>
        </w:numPr>
        <w:ind w:left="567" w:right="-2" w:hanging="567"/>
        <w:rPr>
          <w:snapToGrid w:val="0"/>
          <w:sz w:val="22"/>
          <w:szCs w:val="24"/>
        </w:rPr>
      </w:pPr>
      <w:r>
        <w:rPr>
          <w:snapToGrid w:val="0"/>
          <w:sz w:val="22"/>
          <w:szCs w:val="24"/>
        </w:rPr>
        <w:t xml:space="preserve">jeigu </w:t>
      </w:r>
      <w:r w:rsidRPr="00211E3B">
        <w:rPr>
          <w:snapToGrid w:val="0"/>
          <w:sz w:val="22"/>
          <w:szCs w:val="24"/>
        </w:rPr>
        <w:t>yra ar buvo kraujavimo sutrikimų</w:t>
      </w:r>
      <w:r>
        <w:rPr>
          <w:snapToGrid w:val="0"/>
          <w:sz w:val="22"/>
          <w:szCs w:val="24"/>
        </w:rPr>
        <w:t>;</w:t>
      </w:r>
    </w:p>
    <w:p w14:paraId="40AB8793" w14:textId="77777777" w:rsidR="00B65381" w:rsidRPr="00211E3B" w:rsidRDefault="00B65381" w:rsidP="00B65381">
      <w:pPr>
        <w:pStyle w:val="Sraopastraipa"/>
        <w:numPr>
          <w:ilvl w:val="0"/>
          <w:numId w:val="6"/>
        </w:numPr>
        <w:ind w:left="567" w:right="-2" w:hanging="567"/>
        <w:rPr>
          <w:snapToGrid w:val="0"/>
          <w:sz w:val="22"/>
          <w:szCs w:val="24"/>
        </w:rPr>
      </w:pPr>
      <w:r w:rsidRPr="00211E3B">
        <w:rPr>
          <w:snapToGrid w:val="0"/>
          <w:sz w:val="22"/>
          <w:szCs w:val="24"/>
        </w:rPr>
        <w:t>jeigu vartojate kraują skystinančių vaistų (pvz., varfarino, fenprokumono</w:t>
      </w:r>
      <w:r>
        <w:rPr>
          <w:snapToGrid w:val="0"/>
          <w:sz w:val="22"/>
          <w:szCs w:val="24"/>
        </w:rPr>
        <w:t xml:space="preserve"> ar</w:t>
      </w:r>
      <w:r w:rsidRPr="00211E3B">
        <w:rPr>
          <w:snapToGrid w:val="0"/>
          <w:sz w:val="22"/>
          <w:szCs w:val="24"/>
        </w:rPr>
        <w:t xml:space="preserve"> heparino) kraujo krešėjimui slopinti;</w:t>
      </w:r>
    </w:p>
    <w:p w14:paraId="0F7CDF6F" w14:textId="77777777" w:rsidR="00B65381" w:rsidRPr="00003F27" w:rsidRDefault="00B65381" w:rsidP="00B65381">
      <w:pPr>
        <w:pStyle w:val="Sraopastraipa"/>
        <w:numPr>
          <w:ilvl w:val="0"/>
          <w:numId w:val="6"/>
        </w:numPr>
        <w:ind w:left="567" w:right="-2" w:hanging="567"/>
        <w:rPr>
          <w:snapToGrid w:val="0"/>
          <w:sz w:val="22"/>
          <w:szCs w:val="24"/>
        </w:rPr>
      </w:pPr>
      <w:r w:rsidRPr="00003F27">
        <w:rPr>
          <w:snapToGrid w:val="0"/>
          <w:sz w:val="22"/>
          <w:szCs w:val="24"/>
        </w:rPr>
        <w:t>jeigu vartojate pirfenidoną, nes gali padidėti viduriavimo, pykinimo, vėmimo ir kepenų sutrikimų rizika;</w:t>
      </w:r>
    </w:p>
    <w:p w14:paraId="44944E4F" w14:textId="77777777" w:rsidR="00B65381" w:rsidRDefault="00B65381" w:rsidP="00B65381">
      <w:pPr>
        <w:pStyle w:val="Sraopastraipa"/>
        <w:numPr>
          <w:ilvl w:val="0"/>
          <w:numId w:val="6"/>
        </w:numPr>
        <w:ind w:left="567" w:right="-2" w:hanging="567"/>
        <w:rPr>
          <w:snapToGrid w:val="0"/>
          <w:sz w:val="22"/>
          <w:szCs w:val="24"/>
        </w:rPr>
      </w:pPr>
      <w:r w:rsidRPr="00003F27">
        <w:rPr>
          <w:snapToGrid w:val="0"/>
          <w:sz w:val="22"/>
          <w:szCs w:val="24"/>
        </w:rPr>
        <w:t>jeigu yra arba buvo širdies sutrikimų (pvz., širdies priepuolis)</w:t>
      </w:r>
      <w:r>
        <w:rPr>
          <w:snapToGrid w:val="0"/>
          <w:sz w:val="22"/>
          <w:szCs w:val="24"/>
        </w:rPr>
        <w:t>;</w:t>
      </w:r>
    </w:p>
    <w:p w14:paraId="088D1441" w14:textId="77777777" w:rsidR="00B65381" w:rsidRPr="00211E3B" w:rsidRDefault="00B65381" w:rsidP="00B65381">
      <w:pPr>
        <w:pStyle w:val="Sraopastraipa"/>
        <w:numPr>
          <w:ilvl w:val="0"/>
          <w:numId w:val="6"/>
        </w:numPr>
        <w:ind w:left="567" w:right="-2" w:hanging="567"/>
        <w:rPr>
          <w:snapToGrid w:val="0"/>
          <w:sz w:val="22"/>
          <w:szCs w:val="24"/>
        </w:rPr>
      </w:pPr>
      <w:r w:rsidRPr="00211E3B">
        <w:rPr>
          <w:snapToGrid w:val="0"/>
          <w:sz w:val="22"/>
          <w:szCs w:val="24"/>
        </w:rPr>
        <w:t xml:space="preserve">jeigu neseniai buvo atlikta operacija. Nintedanibas gali veikti žaizdos gijimą. Dėl to, jei Jums atliekama operacija, gydymas </w:t>
      </w:r>
      <w:r>
        <w:rPr>
          <w:snapToGrid w:val="0"/>
          <w:sz w:val="22"/>
          <w:szCs w:val="24"/>
        </w:rPr>
        <w:t>šiuo vaistu</w:t>
      </w:r>
      <w:r w:rsidRPr="00211E3B">
        <w:rPr>
          <w:snapToGrid w:val="0"/>
          <w:sz w:val="22"/>
          <w:szCs w:val="24"/>
        </w:rPr>
        <w:t xml:space="preserve"> paprastai </w:t>
      </w:r>
      <w:r>
        <w:rPr>
          <w:snapToGrid w:val="0"/>
          <w:sz w:val="22"/>
          <w:szCs w:val="24"/>
        </w:rPr>
        <w:t xml:space="preserve">tam tikram laikotarpiui yra </w:t>
      </w:r>
      <w:r w:rsidRPr="00211E3B">
        <w:rPr>
          <w:snapToGrid w:val="0"/>
          <w:sz w:val="22"/>
          <w:szCs w:val="24"/>
        </w:rPr>
        <w:t>sustabdomas. Jūsų gydytojas nuspręs, kada gydymą šiuo vaistu galima atnaujinti;</w:t>
      </w:r>
    </w:p>
    <w:p w14:paraId="274EB624" w14:textId="77777777" w:rsidR="00B65381" w:rsidRPr="00211E3B" w:rsidRDefault="00B65381" w:rsidP="00B65381">
      <w:pPr>
        <w:pStyle w:val="Sraopastraipa"/>
        <w:numPr>
          <w:ilvl w:val="0"/>
          <w:numId w:val="6"/>
        </w:numPr>
        <w:ind w:left="567" w:right="-2" w:hanging="567"/>
        <w:rPr>
          <w:snapToGrid w:val="0"/>
          <w:sz w:val="22"/>
          <w:szCs w:val="24"/>
        </w:rPr>
      </w:pPr>
      <w:r w:rsidRPr="00211E3B">
        <w:rPr>
          <w:snapToGrid w:val="0"/>
          <w:sz w:val="22"/>
          <w:szCs w:val="24"/>
        </w:rPr>
        <w:t xml:space="preserve">jeigu yra </w:t>
      </w:r>
      <w:r>
        <w:rPr>
          <w:snapToGrid w:val="0"/>
          <w:sz w:val="22"/>
          <w:szCs w:val="24"/>
        </w:rPr>
        <w:t>didelis</w:t>
      </w:r>
      <w:r w:rsidRPr="00211E3B">
        <w:rPr>
          <w:snapToGrid w:val="0"/>
          <w:sz w:val="22"/>
          <w:szCs w:val="24"/>
        </w:rPr>
        <w:t xml:space="preserve"> kraujospūdis;</w:t>
      </w:r>
    </w:p>
    <w:p w14:paraId="11AE4338" w14:textId="77777777" w:rsidR="00B65381" w:rsidRDefault="00B65381" w:rsidP="00B65381">
      <w:pPr>
        <w:pStyle w:val="Sraopastraipa"/>
        <w:numPr>
          <w:ilvl w:val="0"/>
          <w:numId w:val="6"/>
        </w:numPr>
        <w:ind w:left="567" w:right="-2" w:hanging="567"/>
        <w:rPr>
          <w:snapToGrid w:val="0"/>
          <w:sz w:val="22"/>
          <w:szCs w:val="24"/>
        </w:rPr>
      </w:pPr>
      <w:r w:rsidRPr="00003F27">
        <w:rPr>
          <w:snapToGrid w:val="0"/>
          <w:sz w:val="22"/>
          <w:szCs w:val="24"/>
        </w:rPr>
        <w:t>jeigu Jūsų plaučių kraujagyslėse yra nenormaliai didelis kraujospūdis (plaučių hipertenzija)</w:t>
      </w:r>
      <w:r>
        <w:rPr>
          <w:snapToGrid w:val="0"/>
          <w:sz w:val="22"/>
          <w:szCs w:val="24"/>
        </w:rPr>
        <w:t>;</w:t>
      </w:r>
    </w:p>
    <w:p w14:paraId="65558166" w14:textId="77777777" w:rsidR="00B65381" w:rsidRPr="00211E3B" w:rsidRDefault="00B65381" w:rsidP="00B65381">
      <w:pPr>
        <w:pStyle w:val="Sraopastraipa"/>
        <w:numPr>
          <w:ilvl w:val="0"/>
          <w:numId w:val="6"/>
        </w:numPr>
        <w:ind w:left="567" w:right="-2" w:hanging="567"/>
        <w:rPr>
          <w:snapToGrid w:val="0"/>
          <w:sz w:val="22"/>
          <w:szCs w:val="24"/>
        </w:rPr>
      </w:pPr>
      <w:r w:rsidRPr="00211E3B">
        <w:rPr>
          <w:snapToGrid w:val="0"/>
          <w:sz w:val="22"/>
          <w:szCs w:val="24"/>
        </w:rPr>
        <w:t>jeigu šiuo metu arba praeityje buvo diagnozuota aneurizma (kraujagyslės sienelės išsipūtimas ir susilpnėjimas) arba kraujagyslės sienelės įplyšimas.</w:t>
      </w:r>
    </w:p>
    <w:p w14:paraId="1C521FE4" w14:textId="77777777" w:rsidR="00B65381" w:rsidRPr="00211E3B" w:rsidRDefault="00B65381" w:rsidP="00B65381">
      <w:pPr>
        <w:numPr>
          <w:ilvl w:val="12"/>
          <w:numId w:val="0"/>
        </w:numPr>
        <w:ind w:right="-2"/>
        <w:rPr>
          <w:snapToGrid w:val="0"/>
          <w:sz w:val="22"/>
          <w:szCs w:val="24"/>
        </w:rPr>
      </w:pPr>
    </w:p>
    <w:p w14:paraId="159E2EA5" w14:textId="77777777" w:rsidR="00B65381" w:rsidRPr="00211E3B" w:rsidRDefault="00B65381" w:rsidP="00B65381">
      <w:pPr>
        <w:numPr>
          <w:ilvl w:val="12"/>
          <w:numId w:val="0"/>
        </w:numPr>
        <w:ind w:right="-2"/>
        <w:rPr>
          <w:snapToGrid w:val="0"/>
          <w:sz w:val="22"/>
          <w:szCs w:val="24"/>
        </w:rPr>
      </w:pPr>
      <w:r w:rsidRPr="00211E3B">
        <w:rPr>
          <w:snapToGrid w:val="0"/>
          <w:sz w:val="22"/>
          <w:szCs w:val="24"/>
        </w:rPr>
        <w:t xml:space="preserve">Remdamasis šia informacija, gydytojas gali atlikti tam tikrus kraujo tyrimus, pavyzdžiui, patikrinti Jūsų kepenų funkciją. Šių tyrimų rezultatus gydytojas aptars su Jumis ir nuspręs, ar galima skirti </w:t>
      </w:r>
      <w:r>
        <w:rPr>
          <w:snapToGrid w:val="0"/>
          <w:sz w:val="22"/>
          <w:szCs w:val="24"/>
        </w:rPr>
        <w:t>Agarf</w:t>
      </w:r>
      <w:r w:rsidRPr="00211E3B">
        <w:rPr>
          <w:snapToGrid w:val="0"/>
          <w:sz w:val="22"/>
          <w:szCs w:val="24"/>
        </w:rPr>
        <w:t>.</w:t>
      </w:r>
    </w:p>
    <w:p w14:paraId="707027FC" w14:textId="77777777" w:rsidR="00B65381" w:rsidRPr="00211E3B" w:rsidRDefault="00B65381" w:rsidP="00B65381">
      <w:pPr>
        <w:numPr>
          <w:ilvl w:val="12"/>
          <w:numId w:val="0"/>
        </w:numPr>
        <w:ind w:right="-2"/>
        <w:rPr>
          <w:snapToGrid w:val="0"/>
          <w:sz w:val="22"/>
          <w:szCs w:val="24"/>
        </w:rPr>
      </w:pPr>
    </w:p>
    <w:p w14:paraId="19BAE9A8" w14:textId="77777777" w:rsidR="00B65381" w:rsidRPr="00211E3B" w:rsidRDefault="00B65381" w:rsidP="00B65381">
      <w:pPr>
        <w:numPr>
          <w:ilvl w:val="12"/>
          <w:numId w:val="0"/>
        </w:numPr>
        <w:ind w:right="-2"/>
        <w:rPr>
          <w:snapToGrid w:val="0"/>
          <w:sz w:val="22"/>
          <w:szCs w:val="24"/>
        </w:rPr>
      </w:pPr>
      <w:r w:rsidRPr="00211E3B">
        <w:rPr>
          <w:snapToGrid w:val="0"/>
          <w:sz w:val="22"/>
          <w:szCs w:val="24"/>
        </w:rPr>
        <w:t>Vartodami šį vaistą, nedelsdami praneškite savo gydytojui, jeigu:</w:t>
      </w:r>
    </w:p>
    <w:p w14:paraId="32A2964B" w14:textId="77777777" w:rsidR="00B65381" w:rsidRPr="00211E3B" w:rsidRDefault="00B65381" w:rsidP="00B65381">
      <w:pPr>
        <w:pStyle w:val="Sraopastraipa"/>
        <w:numPr>
          <w:ilvl w:val="0"/>
          <w:numId w:val="7"/>
        </w:numPr>
        <w:ind w:left="567" w:right="-2" w:hanging="567"/>
        <w:rPr>
          <w:snapToGrid w:val="0"/>
          <w:sz w:val="22"/>
          <w:szCs w:val="24"/>
        </w:rPr>
      </w:pPr>
      <w:r w:rsidRPr="00211E3B">
        <w:rPr>
          <w:snapToGrid w:val="0"/>
          <w:sz w:val="22"/>
          <w:szCs w:val="24"/>
        </w:rPr>
        <w:t>pradėjote viduriuoti. Viduriavimą svarbu pradėti gydyti</w:t>
      </w:r>
      <w:r>
        <w:rPr>
          <w:snapToGrid w:val="0"/>
          <w:sz w:val="22"/>
          <w:szCs w:val="24"/>
        </w:rPr>
        <w:t xml:space="preserve"> anksti</w:t>
      </w:r>
      <w:r w:rsidRPr="00211E3B">
        <w:rPr>
          <w:snapToGrid w:val="0"/>
          <w:sz w:val="22"/>
          <w:szCs w:val="24"/>
        </w:rPr>
        <w:t xml:space="preserve"> (žr. 4 skyrių);</w:t>
      </w:r>
    </w:p>
    <w:p w14:paraId="226C80EE" w14:textId="77777777" w:rsidR="00B65381" w:rsidRPr="00211E3B" w:rsidRDefault="00B65381" w:rsidP="00B65381">
      <w:pPr>
        <w:pStyle w:val="Sraopastraipa"/>
        <w:numPr>
          <w:ilvl w:val="0"/>
          <w:numId w:val="7"/>
        </w:numPr>
        <w:ind w:left="567" w:right="-2" w:hanging="567"/>
        <w:rPr>
          <w:snapToGrid w:val="0"/>
          <w:sz w:val="22"/>
          <w:szCs w:val="24"/>
        </w:rPr>
      </w:pPr>
      <w:r w:rsidRPr="00211E3B">
        <w:rPr>
          <w:snapToGrid w:val="0"/>
          <w:sz w:val="22"/>
          <w:szCs w:val="24"/>
        </w:rPr>
        <w:t>pradėjote vemti arba Jus pykina (jaučiate šleikštulį);</w:t>
      </w:r>
    </w:p>
    <w:p w14:paraId="379B0174" w14:textId="77777777" w:rsidR="00B65381" w:rsidRPr="00211E3B" w:rsidRDefault="00B65381" w:rsidP="00B65381">
      <w:pPr>
        <w:pStyle w:val="Sraopastraipa"/>
        <w:numPr>
          <w:ilvl w:val="0"/>
          <w:numId w:val="7"/>
        </w:numPr>
        <w:ind w:left="567" w:right="-2" w:hanging="567"/>
        <w:rPr>
          <w:snapToGrid w:val="0"/>
          <w:sz w:val="22"/>
          <w:szCs w:val="24"/>
        </w:rPr>
      </w:pPr>
      <w:r w:rsidRPr="00211E3B">
        <w:rPr>
          <w:snapToGrid w:val="0"/>
          <w:sz w:val="22"/>
          <w:szCs w:val="24"/>
        </w:rPr>
        <w:t>atsirado nepaaiškinamų simptomų, pvz., pagelto oda arba akių baltymai (gelta), šlapimas patamsėjo arba tapo rudas (arbatos spalvos), skauda viršutinę dešinę pilvo sritį (pilvą), lengviau nei įprastai pradedate kraujuoti ar atsiranda mėlynių arba jaučiate nuovargį. Tai gali būti sunkių kepenų veiklos sutrikimų simptomai;</w:t>
      </w:r>
    </w:p>
    <w:p w14:paraId="5093948F" w14:textId="4DE19758" w:rsidR="00B65381" w:rsidRPr="006C3534" w:rsidRDefault="00B65381" w:rsidP="00B65381">
      <w:pPr>
        <w:pStyle w:val="Sraopastraipa"/>
        <w:numPr>
          <w:ilvl w:val="0"/>
          <w:numId w:val="7"/>
        </w:numPr>
        <w:ind w:left="567" w:right="-2" w:hanging="567"/>
        <w:rPr>
          <w:snapToGrid w:val="0"/>
          <w:sz w:val="22"/>
          <w:szCs w:val="24"/>
        </w:rPr>
      </w:pPr>
      <w:r w:rsidRPr="006C3534">
        <w:rPr>
          <w:snapToGrid w:val="0"/>
          <w:sz w:val="22"/>
          <w:szCs w:val="24"/>
        </w:rPr>
        <w:t>stipriai skauda skrandžio plote, karščiuojate, ėmė krėsti šaltis, pykina, vemiate, pilvas tapo kietas arba išpūstas, nes tai gali būti žarnos sienelės prakiurimo (virškinimo trakto perforacijos) simptomai. Taip pat pasakykite gydytojui, jeigu anksčiau sirgote pep</w:t>
      </w:r>
      <w:r w:rsidR="00B10A67">
        <w:rPr>
          <w:snapToGrid w:val="0"/>
          <w:sz w:val="22"/>
          <w:szCs w:val="24"/>
        </w:rPr>
        <w:t>s</w:t>
      </w:r>
      <w:r w:rsidRPr="006C3534">
        <w:rPr>
          <w:snapToGrid w:val="0"/>
          <w:sz w:val="22"/>
          <w:szCs w:val="24"/>
        </w:rPr>
        <w:t xml:space="preserve">ine opa, buvo nustatyta divertikulų arba tuo pat metu vartojate nesteroidinių vaistų nuo uždegimo (NVNU) (skiriamų skausmui malšinti ir patinimui mažinti) ar steroidų (skiriamų nuo uždegimo ir alergijų), nes </w:t>
      </w:r>
      <w:r>
        <w:rPr>
          <w:snapToGrid w:val="0"/>
          <w:sz w:val="22"/>
          <w:szCs w:val="24"/>
        </w:rPr>
        <w:t>tai</w:t>
      </w:r>
      <w:r w:rsidRPr="006C3534">
        <w:rPr>
          <w:snapToGrid w:val="0"/>
          <w:sz w:val="22"/>
          <w:szCs w:val="24"/>
        </w:rPr>
        <w:t xml:space="preserve"> gali padidinti </w:t>
      </w:r>
      <w:r>
        <w:rPr>
          <w:snapToGrid w:val="0"/>
          <w:sz w:val="22"/>
          <w:szCs w:val="24"/>
        </w:rPr>
        <w:t>minėtą</w:t>
      </w:r>
      <w:r w:rsidRPr="006C3534">
        <w:rPr>
          <w:snapToGrid w:val="0"/>
          <w:sz w:val="22"/>
          <w:szCs w:val="24"/>
        </w:rPr>
        <w:t xml:space="preserve"> riziką</w:t>
      </w:r>
      <w:r>
        <w:rPr>
          <w:snapToGrid w:val="0"/>
          <w:sz w:val="22"/>
          <w:szCs w:val="24"/>
        </w:rPr>
        <w:t>;</w:t>
      </w:r>
    </w:p>
    <w:p w14:paraId="48B70E7C" w14:textId="77777777" w:rsidR="00B65381" w:rsidRPr="006C3534" w:rsidRDefault="00B65381" w:rsidP="00B65381">
      <w:pPr>
        <w:pStyle w:val="Sraopastraipa"/>
        <w:numPr>
          <w:ilvl w:val="0"/>
          <w:numId w:val="7"/>
        </w:numPr>
        <w:ind w:left="567" w:right="-2" w:hanging="567"/>
        <w:rPr>
          <w:snapToGrid w:val="0"/>
          <w:sz w:val="22"/>
          <w:szCs w:val="24"/>
        </w:rPr>
      </w:pPr>
      <w:r w:rsidRPr="006C3534">
        <w:rPr>
          <w:snapToGrid w:val="0"/>
          <w:sz w:val="22"/>
          <w:szCs w:val="24"/>
        </w:rPr>
        <w:t>vargina stiprus pilvo skausmas arba spazm</w:t>
      </w:r>
      <w:r>
        <w:rPr>
          <w:snapToGrid w:val="0"/>
          <w:sz w:val="22"/>
          <w:szCs w:val="24"/>
        </w:rPr>
        <w:t>ai</w:t>
      </w:r>
      <w:r w:rsidRPr="006C3534">
        <w:rPr>
          <w:snapToGrid w:val="0"/>
          <w:sz w:val="22"/>
          <w:szCs w:val="24"/>
        </w:rPr>
        <w:t xml:space="preserve"> ir kartu išmatose pastebėjote raudono kraujo arba viduriuojate, nes šie simptomai gali rodyti žarnų uždegimą dėl nepakankamo aprūpinimo krauju;</w:t>
      </w:r>
    </w:p>
    <w:p w14:paraId="31B39166" w14:textId="77777777" w:rsidR="00B65381" w:rsidRPr="006C3534" w:rsidRDefault="00B65381" w:rsidP="00B65381">
      <w:pPr>
        <w:pStyle w:val="Sraopastraipa"/>
        <w:numPr>
          <w:ilvl w:val="0"/>
          <w:numId w:val="7"/>
        </w:numPr>
        <w:ind w:left="567" w:right="-2" w:hanging="567"/>
        <w:rPr>
          <w:snapToGrid w:val="0"/>
          <w:sz w:val="22"/>
          <w:szCs w:val="24"/>
        </w:rPr>
      </w:pPr>
      <w:r w:rsidRPr="006C3534">
        <w:rPr>
          <w:snapToGrid w:val="0"/>
          <w:sz w:val="22"/>
          <w:szCs w:val="24"/>
        </w:rPr>
        <w:t xml:space="preserve">skauda, patino, paraudo ir šyla galūnė, nes tai gali būti vienos Jūsų venos (kraujagyslės rūšis) užkimšimo kraujo krešuliu simptomai; </w:t>
      </w:r>
    </w:p>
    <w:p w14:paraId="50DDD48A" w14:textId="77777777" w:rsidR="00B65381" w:rsidRPr="00211E3B" w:rsidRDefault="00B65381" w:rsidP="00B65381">
      <w:pPr>
        <w:pStyle w:val="Sraopastraipa"/>
        <w:numPr>
          <w:ilvl w:val="0"/>
          <w:numId w:val="7"/>
        </w:numPr>
        <w:ind w:left="567" w:right="-2" w:hanging="567"/>
        <w:rPr>
          <w:snapToGrid w:val="0"/>
          <w:sz w:val="22"/>
          <w:szCs w:val="24"/>
        </w:rPr>
      </w:pPr>
      <w:r w:rsidRPr="00211E3B">
        <w:rPr>
          <w:snapToGrid w:val="0"/>
          <w:sz w:val="22"/>
          <w:szCs w:val="24"/>
        </w:rPr>
        <w:t>spaudžia ar skauda krūtinę, paprastai kairėje pusėje, skauda kaklą, apatinį žandikaulį, petį ar ranką, greitai plaka širdis, trūksta oro, pykina ar vemiate, nes tai gali būti širdies priepuolio simptomai;</w:t>
      </w:r>
    </w:p>
    <w:p w14:paraId="692F8DD8" w14:textId="77777777" w:rsidR="00B65381" w:rsidRPr="006C3534" w:rsidRDefault="00B65381" w:rsidP="00B65381">
      <w:pPr>
        <w:pStyle w:val="Sraopastraipa"/>
        <w:numPr>
          <w:ilvl w:val="0"/>
          <w:numId w:val="7"/>
        </w:numPr>
        <w:ind w:left="567" w:right="-2" w:hanging="567"/>
        <w:rPr>
          <w:snapToGrid w:val="0"/>
          <w:sz w:val="22"/>
          <w:szCs w:val="24"/>
        </w:rPr>
      </w:pPr>
      <w:r w:rsidRPr="006C3534">
        <w:rPr>
          <w:snapToGrid w:val="0"/>
          <w:sz w:val="22"/>
          <w:szCs w:val="24"/>
        </w:rPr>
        <w:t xml:space="preserve">patiriate bet kokį </w:t>
      </w:r>
      <w:r>
        <w:rPr>
          <w:snapToGrid w:val="0"/>
          <w:sz w:val="22"/>
          <w:szCs w:val="24"/>
        </w:rPr>
        <w:t>sunkų</w:t>
      </w:r>
      <w:r w:rsidRPr="006C3534">
        <w:rPr>
          <w:snapToGrid w:val="0"/>
          <w:sz w:val="22"/>
          <w:szCs w:val="24"/>
        </w:rPr>
        <w:t xml:space="preserve"> kraujavimą;</w:t>
      </w:r>
    </w:p>
    <w:p w14:paraId="60617DE5" w14:textId="77777777" w:rsidR="00B65381" w:rsidRPr="006C3534" w:rsidRDefault="00B65381" w:rsidP="00B65381">
      <w:pPr>
        <w:pStyle w:val="Sraopastraipa"/>
        <w:numPr>
          <w:ilvl w:val="0"/>
          <w:numId w:val="7"/>
        </w:numPr>
        <w:ind w:left="567" w:right="-2" w:hanging="567"/>
        <w:rPr>
          <w:snapToGrid w:val="0"/>
          <w:sz w:val="22"/>
          <w:szCs w:val="24"/>
        </w:rPr>
      </w:pPr>
      <w:r w:rsidRPr="006C3534">
        <w:rPr>
          <w:snapToGrid w:val="0"/>
          <w:sz w:val="22"/>
          <w:szCs w:val="24"/>
        </w:rPr>
        <w:t>atsiranda mėlynių, imate kraujuoti, karščiuojate, jaučiate nuovargį ir minčių susip</w:t>
      </w:r>
      <w:r>
        <w:rPr>
          <w:snapToGrid w:val="0"/>
          <w:sz w:val="22"/>
          <w:szCs w:val="24"/>
        </w:rPr>
        <w:t>ai</w:t>
      </w:r>
      <w:r w:rsidRPr="006C3534">
        <w:rPr>
          <w:snapToGrid w:val="0"/>
          <w:sz w:val="22"/>
          <w:szCs w:val="24"/>
        </w:rPr>
        <w:t>niojimą. Tai gali būti kraujagyslių pažeidimo, vadinamo trombozine mikroangiopatija (TMA), požymis.</w:t>
      </w:r>
    </w:p>
    <w:p w14:paraId="17279FA6" w14:textId="77777777" w:rsidR="00B65381" w:rsidRPr="00211E3B" w:rsidRDefault="00B65381" w:rsidP="00B65381">
      <w:pPr>
        <w:numPr>
          <w:ilvl w:val="12"/>
          <w:numId w:val="0"/>
        </w:numPr>
        <w:ind w:right="-2"/>
        <w:rPr>
          <w:snapToGrid w:val="0"/>
          <w:sz w:val="22"/>
          <w:szCs w:val="24"/>
        </w:rPr>
      </w:pPr>
    </w:p>
    <w:p w14:paraId="66245488" w14:textId="77777777" w:rsidR="00B65381" w:rsidRPr="00211E3B" w:rsidRDefault="00B65381" w:rsidP="00B65381">
      <w:pPr>
        <w:keepNext/>
        <w:tabs>
          <w:tab w:val="left" w:pos="567"/>
        </w:tabs>
        <w:spacing w:line="260" w:lineRule="exact"/>
        <w:jc w:val="both"/>
        <w:outlineLvl w:val="3"/>
        <w:rPr>
          <w:b/>
          <w:bCs/>
          <w:snapToGrid w:val="0"/>
          <w:sz w:val="22"/>
          <w:szCs w:val="28"/>
          <w:lang w:eastAsia="x-none"/>
        </w:rPr>
      </w:pPr>
      <w:r w:rsidRPr="00211E3B">
        <w:rPr>
          <w:b/>
          <w:bCs/>
          <w:snapToGrid w:val="0"/>
          <w:sz w:val="22"/>
          <w:szCs w:val="28"/>
          <w:lang w:eastAsia="x-none"/>
        </w:rPr>
        <w:t>Vaikams ir paaugliams</w:t>
      </w:r>
    </w:p>
    <w:p w14:paraId="1ACBCC36" w14:textId="77777777" w:rsidR="00B65381" w:rsidRPr="00211E3B" w:rsidRDefault="00B65381" w:rsidP="00B65381">
      <w:pPr>
        <w:numPr>
          <w:ilvl w:val="12"/>
          <w:numId w:val="0"/>
        </w:numPr>
        <w:rPr>
          <w:snapToGrid w:val="0"/>
          <w:sz w:val="22"/>
          <w:szCs w:val="24"/>
        </w:rPr>
      </w:pPr>
      <w:r>
        <w:rPr>
          <w:snapToGrid w:val="0"/>
          <w:sz w:val="22"/>
          <w:szCs w:val="24"/>
        </w:rPr>
        <w:t xml:space="preserve">Agarf jaunesniems kaip </w:t>
      </w:r>
      <w:r w:rsidRPr="00211E3B">
        <w:rPr>
          <w:snapToGrid w:val="0"/>
          <w:sz w:val="22"/>
          <w:szCs w:val="24"/>
        </w:rPr>
        <w:t>18 metų vaikams ir paaugliams vartoti negalima.</w:t>
      </w:r>
    </w:p>
    <w:p w14:paraId="1765EF30" w14:textId="77777777" w:rsidR="00B65381" w:rsidRPr="00211E3B" w:rsidRDefault="00B65381" w:rsidP="00B65381">
      <w:pPr>
        <w:numPr>
          <w:ilvl w:val="12"/>
          <w:numId w:val="0"/>
        </w:numPr>
        <w:rPr>
          <w:snapToGrid w:val="0"/>
          <w:sz w:val="22"/>
          <w:szCs w:val="24"/>
        </w:rPr>
      </w:pPr>
    </w:p>
    <w:p w14:paraId="3C95C76D" w14:textId="77777777" w:rsidR="00B65381" w:rsidRPr="00211E3B" w:rsidRDefault="00B65381" w:rsidP="00B65381">
      <w:pPr>
        <w:keepNext/>
        <w:tabs>
          <w:tab w:val="left" w:pos="567"/>
        </w:tabs>
        <w:spacing w:line="260" w:lineRule="exact"/>
        <w:jc w:val="both"/>
        <w:outlineLvl w:val="3"/>
        <w:rPr>
          <w:b/>
          <w:bCs/>
          <w:snapToGrid w:val="0"/>
          <w:sz w:val="22"/>
          <w:szCs w:val="28"/>
          <w:lang w:eastAsia="x-none"/>
        </w:rPr>
      </w:pPr>
      <w:r w:rsidRPr="00211E3B">
        <w:rPr>
          <w:b/>
          <w:bCs/>
          <w:snapToGrid w:val="0"/>
          <w:sz w:val="22"/>
          <w:szCs w:val="28"/>
          <w:lang w:eastAsia="x-none"/>
        </w:rPr>
        <w:lastRenderedPageBreak/>
        <w:t>Kiti vaistai ir Agarf</w:t>
      </w:r>
    </w:p>
    <w:p w14:paraId="591062E8" w14:textId="77777777" w:rsidR="00B65381" w:rsidRPr="00211E3B" w:rsidRDefault="00B65381" w:rsidP="00B65381">
      <w:pPr>
        <w:numPr>
          <w:ilvl w:val="12"/>
          <w:numId w:val="0"/>
        </w:numPr>
        <w:ind w:right="-2"/>
        <w:rPr>
          <w:snapToGrid w:val="0"/>
          <w:sz w:val="22"/>
          <w:szCs w:val="24"/>
        </w:rPr>
      </w:pPr>
      <w:r w:rsidRPr="00211E3B">
        <w:rPr>
          <w:snapToGrid w:val="0"/>
          <w:sz w:val="22"/>
          <w:szCs w:val="24"/>
        </w:rPr>
        <w:t>Jeigu vartojate ar neseniai vartojote kitų vaistų, įskaitant augalinius ir nereceptinius vaistus, arba dėl to nesate tikri, apie tai pasakykite gydytojui arba vaistininkui.</w:t>
      </w:r>
    </w:p>
    <w:p w14:paraId="64AF54F7" w14:textId="77777777" w:rsidR="00B65381" w:rsidRPr="00211E3B" w:rsidRDefault="00B65381" w:rsidP="00B65381">
      <w:pPr>
        <w:numPr>
          <w:ilvl w:val="12"/>
          <w:numId w:val="0"/>
        </w:numPr>
        <w:ind w:right="-2"/>
        <w:rPr>
          <w:snapToGrid w:val="0"/>
          <w:sz w:val="22"/>
          <w:szCs w:val="24"/>
        </w:rPr>
      </w:pPr>
    </w:p>
    <w:p w14:paraId="355B7D25" w14:textId="77777777" w:rsidR="00B65381" w:rsidRPr="00211E3B" w:rsidRDefault="00B65381" w:rsidP="00B65381">
      <w:pPr>
        <w:numPr>
          <w:ilvl w:val="12"/>
          <w:numId w:val="0"/>
        </w:numPr>
        <w:ind w:right="-2"/>
        <w:rPr>
          <w:snapToGrid w:val="0"/>
          <w:sz w:val="22"/>
          <w:szCs w:val="24"/>
        </w:rPr>
      </w:pPr>
      <w:r w:rsidRPr="00211E3B">
        <w:rPr>
          <w:snapToGrid w:val="0"/>
          <w:sz w:val="22"/>
          <w:szCs w:val="24"/>
        </w:rPr>
        <w:t xml:space="preserve">Yra galima </w:t>
      </w:r>
      <w:r>
        <w:rPr>
          <w:snapToGrid w:val="0"/>
          <w:sz w:val="22"/>
          <w:szCs w:val="24"/>
        </w:rPr>
        <w:t>Agarf</w:t>
      </w:r>
      <w:r w:rsidRPr="00211E3B">
        <w:rPr>
          <w:snapToGrid w:val="0"/>
          <w:sz w:val="22"/>
          <w:szCs w:val="24"/>
        </w:rPr>
        <w:t xml:space="preserve"> ir kitų vaistų sąveika. Toliau išvardyti vaistai </w:t>
      </w:r>
      <w:r>
        <w:rPr>
          <w:snapToGrid w:val="0"/>
          <w:sz w:val="22"/>
          <w:szCs w:val="24"/>
        </w:rPr>
        <w:t xml:space="preserve">yra pavyzdžiai vaistų, kurie </w:t>
      </w:r>
      <w:r w:rsidRPr="00211E3B">
        <w:rPr>
          <w:snapToGrid w:val="0"/>
          <w:sz w:val="22"/>
          <w:szCs w:val="24"/>
        </w:rPr>
        <w:t>gali padidinti nintedanibo kiekį kraujyje ir todėl gali padidėti šalutinio poveikio rizika (žr. 4 skyrių):</w:t>
      </w:r>
    </w:p>
    <w:p w14:paraId="11DCC01F" w14:textId="77777777" w:rsidR="00B65381" w:rsidRPr="00211E3B" w:rsidRDefault="00B65381" w:rsidP="00B65381">
      <w:pPr>
        <w:pStyle w:val="Sraopastraipa"/>
        <w:numPr>
          <w:ilvl w:val="0"/>
          <w:numId w:val="7"/>
        </w:numPr>
        <w:ind w:left="567" w:right="-2" w:hanging="567"/>
        <w:rPr>
          <w:snapToGrid w:val="0"/>
          <w:sz w:val="22"/>
          <w:szCs w:val="24"/>
        </w:rPr>
      </w:pPr>
      <w:r>
        <w:rPr>
          <w:snapToGrid w:val="0"/>
          <w:sz w:val="22"/>
          <w:szCs w:val="24"/>
        </w:rPr>
        <w:t xml:space="preserve">vaistas, </w:t>
      </w:r>
      <w:r w:rsidRPr="00211E3B">
        <w:rPr>
          <w:snapToGrid w:val="0"/>
          <w:sz w:val="22"/>
          <w:szCs w:val="24"/>
        </w:rPr>
        <w:t>vartojamas grybelinėms infekcinėms ligoms gydyti</w:t>
      </w:r>
      <w:r w:rsidRPr="0016023E">
        <w:rPr>
          <w:snapToGrid w:val="0"/>
          <w:sz w:val="22"/>
          <w:szCs w:val="24"/>
        </w:rPr>
        <w:t xml:space="preserve"> </w:t>
      </w:r>
      <w:r>
        <w:rPr>
          <w:snapToGrid w:val="0"/>
          <w:sz w:val="22"/>
          <w:szCs w:val="24"/>
        </w:rPr>
        <w:t>(</w:t>
      </w:r>
      <w:r w:rsidRPr="00211E3B">
        <w:rPr>
          <w:snapToGrid w:val="0"/>
          <w:sz w:val="22"/>
          <w:szCs w:val="24"/>
        </w:rPr>
        <w:t>ketokonazolas);</w:t>
      </w:r>
    </w:p>
    <w:p w14:paraId="5CC32A45" w14:textId="77777777" w:rsidR="00B65381" w:rsidRDefault="00B65381" w:rsidP="00B65381">
      <w:pPr>
        <w:pStyle w:val="Sraopastraipa"/>
        <w:numPr>
          <w:ilvl w:val="0"/>
          <w:numId w:val="7"/>
        </w:numPr>
        <w:ind w:left="567" w:right="-2" w:hanging="567"/>
        <w:rPr>
          <w:snapToGrid w:val="0"/>
          <w:sz w:val="22"/>
          <w:szCs w:val="24"/>
        </w:rPr>
      </w:pPr>
      <w:r>
        <w:rPr>
          <w:snapToGrid w:val="0"/>
          <w:sz w:val="22"/>
          <w:szCs w:val="24"/>
        </w:rPr>
        <w:t xml:space="preserve">vaistas, </w:t>
      </w:r>
      <w:r w:rsidRPr="00211E3B">
        <w:rPr>
          <w:snapToGrid w:val="0"/>
          <w:sz w:val="22"/>
          <w:szCs w:val="24"/>
        </w:rPr>
        <w:t>vartojamas bakterinėms infekcinėms ligoms gydyti</w:t>
      </w:r>
      <w:r w:rsidRPr="0016023E">
        <w:rPr>
          <w:snapToGrid w:val="0"/>
          <w:sz w:val="22"/>
          <w:szCs w:val="24"/>
        </w:rPr>
        <w:t xml:space="preserve"> </w:t>
      </w:r>
      <w:r>
        <w:rPr>
          <w:snapToGrid w:val="0"/>
          <w:sz w:val="22"/>
          <w:szCs w:val="24"/>
        </w:rPr>
        <w:t>(</w:t>
      </w:r>
      <w:r w:rsidRPr="00211E3B">
        <w:rPr>
          <w:snapToGrid w:val="0"/>
          <w:sz w:val="22"/>
          <w:szCs w:val="24"/>
        </w:rPr>
        <w:t>eritromicinas)</w:t>
      </w:r>
      <w:r>
        <w:rPr>
          <w:snapToGrid w:val="0"/>
          <w:sz w:val="22"/>
          <w:szCs w:val="24"/>
        </w:rPr>
        <w:t>;</w:t>
      </w:r>
    </w:p>
    <w:p w14:paraId="46397E12" w14:textId="77777777" w:rsidR="00B65381" w:rsidRPr="00211E3B" w:rsidRDefault="00B65381" w:rsidP="00B65381">
      <w:pPr>
        <w:pStyle w:val="Sraopastraipa"/>
        <w:numPr>
          <w:ilvl w:val="0"/>
          <w:numId w:val="7"/>
        </w:numPr>
        <w:ind w:left="567" w:right="-2" w:hanging="567"/>
        <w:rPr>
          <w:snapToGrid w:val="0"/>
          <w:sz w:val="22"/>
          <w:szCs w:val="24"/>
        </w:rPr>
      </w:pPr>
      <w:r>
        <w:rPr>
          <w:snapToGrid w:val="0"/>
          <w:sz w:val="22"/>
          <w:szCs w:val="24"/>
        </w:rPr>
        <w:t>vaistas, veikiantis imuninę sistemą (ciklosporinas)</w:t>
      </w:r>
      <w:r w:rsidRPr="00211E3B">
        <w:rPr>
          <w:snapToGrid w:val="0"/>
          <w:sz w:val="22"/>
          <w:szCs w:val="24"/>
        </w:rPr>
        <w:t>.</w:t>
      </w:r>
    </w:p>
    <w:p w14:paraId="26A64CAF" w14:textId="77777777" w:rsidR="00B65381" w:rsidRPr="00211E3B" w:rsidRDefault="00B65381" w:rsidP="00B65381">
      <w:pPr>
        <w:ind w:right="-2"/>
        <w:rPr>
          <w:snapToGrid w:val="0"/>
          <w:sz w:val="22"/>
          <w:szCs w:val="24"/>
        </w:rPr>
      </w:pPr>
    </w:p>
    <w:p w14:paraId="54D8AEBD" w14:textId="77777777" w:rsidR="00B65381" w:rsidRPr="00211E3B" w:rsidRDefault="00B65381" w:rsidP="00B65381">
      <w:pPr>
        <w:ind w:right="-2"/>
        <w:rPr>
          <w:snapToGrid w:val="0"/>
          <w:sz w:val="22"/>
          <w:szCs w:val="24"/>
        </w:rPr>
      </w:pPr>
      <w:r w:rsidRPr="00211E3B">
        <w:rPr>
          <w:snapToGrid w:val="0"/>
          <w:sz w:val="22"/>
          <w:szCs w:val="24"/>
        </w:rPr>
        <w:t xml:space="preserve">Toliau išvardyti vaistai </w:t>
      </w:r>
      <w:r>
        <w:rPr>
          <w:snapToGrid w:val="0"/>
          <w:sz w:val="22"/>
          <w:szCs w:val="24"/>
        </w:rPr>
        <w:t xml:space="preserve">yra pavyzdžiai vaistų, kurie </w:t>
      </w:r>
      <w:r w:rsidRPr="00211E3B">
        <w:rPr>
          <w:snapToGrid w:val="0"/>
          <w:sz w:val="22"/>
          <w:szCs w:val="24"/>
        </w:rPr>
        <w:t>gali sumažinti nintedanibo kiekį kraujyje ir todėl gali sumažėti Agarf veiksmingumas:</w:t>
      </w:r>
    </w:p>
    <w:p w14:paraId="17B46859" w14:textId="77777777" w:rsidR="00B65381" w:rsidRPr="00211E3B" w:rsidRDefault="00B65381" w:rsidP="00B65381">
      <w:pPr>
        <w:pStyle w:val="Sraopastraipa"/>
        <w:numPr>
          <w:ilvl w:val="0"/>
          <w:numId w:val="7"/>
        </w:numPr>
        <w:ind w:left="567" w:right="-2" w:hanging="567"/>
        <w:rPr>
          <w:snapToGrid w:val="0"/>
          <w:sz w:val="22"/>
          <w:szCs w:val="24"/>
        </w:rPr>
      </w:pPr>
      <w:r w:rsidRPr="00211E3B">
        <w:rPr>
          <w:snapToGrid w:val="0"/>
          <w:sz w:val="22"/>
          <w:szCs w:val="24"/>
        </w:rPr>
        <w:t>antibiotikas, vartojamas tuberkuliozei gydyti</w:t>
      </w:r>
      <w:r w:rsidRPr="0016023E">
        <w:rPr>
          <w:snapToGrid w:val="0"/>
          <w:sz w:val="22"/>
          <w:szCs w:val="24"/>
        </w:rPr>
        <w:t xml:space="preserve"> </w:t>
      </w:r>
      <w:r>
        <w:rPr>
          <w:snapToGrid w:val="0"/>
          <w:sz w:val="22"/>
          <w:szCs w:val="24"/>
        </w:rPr>
        <w:t>(</w:t>
      </w:r>
      <w:r w:rsidRPr="00211E3B">
        <w:rPr>
          <w:snapToGrid w:val="0"/>
          <w:sz w:val="22"/>
          <w:szCs w:val="24"/>
        </w:rPr>
        <w:t>rifampicinas);</w:t>
      </w:r>
    </w:p>
    <w:p w14:paraId="7F13D015" w14:textId="77777777" w:rsidR="00B65381" w:rsidRPr="00211E3B" w:rsidRDefault="00B65381" w:rsidP="00B65381">
      <w:pPr>
        <w:pStyle w:val="Sraopastraipa"/>
        <w:numPr>
          <w:ilvl w:val="0"/>
          <w:numId w:val="7"/>
        </w:numPr>
        <w:ind w:left="567" w:right="-2" w:hanging="567"/>
        <w:rPr>
          <w:snapToGrid w:val="0"/>
          <w:sz w:val="22"/>
          <w:szCs w:val="24"/>
        </w:rPr>
      </w:pPr>
      <w:r>
        <w:rPr>
          <w:snapToGrid w:val="0"/>
          <w:sz w:val="22"/>
          <w:szCs w:val="24"/>
        </w:rPr>
        <w:t xml:space="preserve">vaistai, </w:t>
      </w:r>
      <w:r w:rsidRPr="00211E3B">
        <w:rPr>
          <w:snapToGrid w:val="0"/>
          <w:sz w:val="22"/>
          <w:szCs w:val="24"/>
        </w:rPr>
        <w:t xml:space="preserve">vartojami traukuliams gydyti </w:t>
      </w:r>
      <w:r>
        <w:rPr>
          <w:snapToGrid w:val="0"/>
          <w:sz w:val="22"/>
          <w:szCs w:val="24"/>
        </w:rPr>
        <w:t>(</w:t>
      </w:r>
      <w:r w:rsidRPr="00211E3B">
        <w:rPr>
          <w:snapToGrid w:val="0"/>
          <w:sz w:val="22"/>
          <w:szCs w:val="24"/>
        </w:rPr>
        <w:t>karbamazepinas, fenitoinas);</w:t>
      </w:r>
    </w:p>
    <w:p w14:paraId="3622A6D9" w14:textId="77777777" w:rsidR="00B65381" w:rsidRPr="00211E3B" w:rsidRDefault="00B65381" w:rsidP="00B65381">
      <w:pPr>
        <w:pStyle w:val="Sraopastraipa"/>
        <w:numPr>
          <w:ilvl w:val="0"/>
          <w:numId w:val="7"/>
        </w:numPr>
        <w:ind w:left="567" w:right="-2" w:hanging="567"/>
        <w:rPr>
          <w:snapToGrid w:val="0"/>
          <w:sz w:val="22"/>
          <w:szCs w:val="24"/>
        </w:rPr>
      </w:pPr>
      <w:r w:rsidRPr="00211E3B">
        <w:rPr>
          <w:snapToGrid w:val="0"/>
          <w:sz w:val="22"/>
          <w:szCs w:val="24"/>
        </w:rPr>
        <w:t xml:space="preserve">augaliniai vaistai, vartojami depresijai gydyti </w:t>
      </w:r>
      <w:r>
        <w:rPr>
          <w:snapToGrid w:val="0"/>
          <w:sz w:val="22"/>
          <w:szCs w:val="24"/>
        </w:rPr>
        <w:t>(</w:t>
      </w:r>
      <w:r w:rsidRPr="00211E3B">
        <w:rPr>
          <w:snapToGrid w:val="0"/>
          <w:sz w:val="22"/>
          <w:szCs w:val="24"/>
        </w:rPr>
        <w:t>paprastųjų jonažolių preparatai).</w:t>
      </w:r>
    </w:p>
    <w:p w14:paraId="6A6797FD" w14:textId="77777777" w:rsidR="00B65381" w:rsidRPr="00211E3B" w:rsidRDefault="00B65381" w:rsidP="00B65381">
      <w:pPr>
        <w:numPr>
          <w:ilvl w:val="12"/>
          <w:numId w:val="0"/>
        </w:numPr>
        <w:ind w:right="-2"/>
        <w:rPr>
          <w:snapToGrid w:val="0"/>
          <w:sz w:val="22"/>
          <w:szCs w:val="24"/>
        </w:rPr>
      </w:pPr>
    </w:p>
    <w:p w14:paraId="233EB7DA" w14:textId="77777777" w:rsidR="00B65381" w:rsidRPr="00211E3B" w:rsidRDefault="00B65381" w:rsidP="00B65381">
      <w:pPr>
        <w:keepNext/>
        <w:tabs>
          <w:tab w:val="left" w:pos="567"/>
        </w:tabs>
        <w:spacing w:line="260" w:lineRule="exact"/>
        <w:jc w:val="both"/>
        <w:outlineLvl w:val="3"/>
        <w:rPr>
          <w:b/>
          <w:bCs/>
          <w:snapToGrid w:val="0"/>
          <w:sz w:val="22"/>
          <w:szCs w:val="28"/>
          <w:lang w:eastAsia="x-none"/>
        </w:rPr>
      </w:pPr>
      <w:r w:rsidRPr="00211E3B">
        <w:rPr>
          <w:b/>
          <w:bCs/>
          <w:snapToGrid w:val="0"/>
          <w:sz w:val="22"/>
          <w:szCs w:val="28"/>
          <w:lang w:eastAsia="x-none"/>
        </w:rPr>
        <w:t>Nėštumas ir žindymo laikotarpis</w:t>
      </w:r>
    </w:p>
    <w:p w14:paraId="381FF219" w14:textId="77777777" w:rsidR="00B65381" w:rsidRPr="00211E3B" w:rsidRDefault="00B65381" w:rsidP="00B65381">
      <w:pPr>
        <w:numPr>
          <w:ilvl w:val="12"/>
          <w:numId w:val="0"/>
        </w:numPr>
        <w:rPr>
          <w:snapToGrid w:val="0"/>
          <w:sz w:val="22"/>
          <w:szCs w:val="24"/>
        </w:rPr>
      </w:pPr>
      <w:r w:rsidRPr="00211E3B">
        <w:rPr>
          <w:snapToGrid w:val="0"/>
          <w:sz w:val="22"/>
          <w:szCs w:val="24"/>
        </w:rPr>
        <w:t>Jeigu esate nėščia, žindote kūdikį, manote, kad galbūt esate nėščia arba planuojate pastoti, tai prieš vartodama šį vaistą pasitarkite su gydytoju arba vaistininku.</w:t>
      </w:r>
    </w:p>
    <w:p w14:paraId="3C9782FF" w14:textId="77777777" w:rsidR="00B65381" w:rsidRPr="00211E3B" w:rsidRDefault="00B65381" w:rsidP="00B65381">
      <w:pPr>
        <w:numPr>
          <w:ilvl w:val="12"/>
          <w:numId w:val="0"/>
        </w:numPr>
        <w:rPr>
          <w:snapToGrid w:val="0"/>
          <w:sz w:val="22"/>
          <w:szCs w:val="24"/>
        </w:rPr>
      </w:pPr>
    </w:p>
    <w:p w14:paraId="1B894948" w14:textId="77777777" w:rsidR="00B65381" w:rsidRPr="00211E3B" w:rsidRDefault="00B65381" w:rsidP="00B65381">
      <w:pPr>
        <w:numPr>
          <w:ilvl w:val="12"/>
          <w:numId w:val="0"/>
        </w:numPr>
        <w:rPr>
          <w:snapToGrid w:val="0"/>
          <w:sz w:val="22"/>
          <w:szCs w:val="24"/>
          <w:u w:val="single"/>
        </w:rPr>
      </w:pPr>
      <w:r w:rsidRPr="00211E3B">
        <w:rPr>
          <w:snapToGrid w:val="0"/>
          <w:sz w:val="22"/>
          <w:szCs w:val="24"/>
          <w:u w:val="single"/>
        </w:rPr>
        <w:t>Nėštumas</w:t>
      </w:r>
    </w:p>
    <w:p w14:paraId="7CCCFE0F" w14:textId="42E05EE0" w:rsidR="00B65381" w:rsidRPr="00211E3B" w:rsidRDefault="00B65381" w:rsidP="00B65381">
      <w:pPr>
        <w:numPr>
          <w:ilvl w:val="12"/>
          <w:numId w:val="0"/>
        </w:numPr>
        <w:rPr>
          <w:snapToGrid w:val="0"/>
          <w:sz w:val="22"/>
          <w:szCs w:val="24"/>
        </w:rPr>
      </w:pPr>
      <w:r w:rsidRPr="00211E3B">
        <w:rPr>
          <w:snapToGrid w:val="0"/>
          <w:sz w:val="22"/>
          <w:szCs w:val="24"/>
        </w:rPr>
        <w:t xml:space="preserve">Nėštumo metu šio vaisto nevartokite, nes jis gali pakenkti Jūsų dar negimusiam vaikui ir sukelti </w:t>
      </w:r>
      <w:r w:rsidR="00515F45">
        <w:rPr>
          <w:snapToGrid w:val="0"/>
          <w:sz w:val="22"/>
          <w:szCs w:val="24"/>
        </w:rPr>
        <w:t>įgimtų formavimosi ydų</w:t>
      </w:r>
      <w:r w:rsidRPr="00211E3B">
        <w:rPr>
          <w:snapToGrid w:val="0"/>
          <w:sz w:val="22"/>
          <w:szCs w:val="24"/>
        </w:rPr>
        <w:t>.</w:t>
      </w:r>
    </w:p>
    <w:p w14:paraId="5F3B7A69" w14:textId="77777777" w:rsidR="00B65381" w:rsidRDefault="00B65381" w:rsidP="00B65381">
      <w:pPr>
        <w:numPr>
          <w:ilvl w:val="12"/>
          <w:numId w:val="0"/>
        </w:numPr>
        <w:rPr>
          <w:snapToGrid w:val="0"/>
          <w:sz w:val="22"/>
          <w:szCs w:val="24"/>
        </w:rPr>
      </w:pPr>
      <w:r w:rsidRPr="00015FEC">
        <w:rPr>
          <w:snapToGrid w:val="0"/>
          <w:sz w:val="22"/>
          <w:szCs w:val="24"/>
        </w:rPr>
        <w:t xml:space="preserve">Prieš pradedant gydymą </w:t>
      </w:r>
      <w:r>
        <w:rPr>
          <w:snapToGrid w:val="0"/>
          <w:sz w:val="22"/>
          <w:szCs w:val="24"/>
        </w:rPr>
        <w:t>šiuo vaistu</w:t>
      </w:r>
      <w:r w:rsidRPr="00015FEC">
        <w:rPr>
          <w:snapToGrid w:val="0"/>
          <w:sz w:val="22"/>
          <w:szCs w:val="24"/>
        </w:rPr>
        <w:t>, Jums būtina atlikti nėštumo testą siekiant įsitikinti, kad nesate nėščia.</w:t>
      </w:r>
      <w:r>
        <w:rPr>
          <w:snapToGrid w:val="0"/>
          <w:sz w:val="22"/>
          <w:szCs w:val="24"/>
        </w:rPr>
        <w:t xml:space="preserve"> </w:t>
      </w:r>
      <w:r w:rsidRPr="00015FEC">
        <w:rPr>
          <w:snapToGrid w:val="0"/>
          <w:sz w:val="22"/>
          <w:szCs w:val="24"/>
        </w:rPr>
        <w:t>Pasitarkite su gydytoju.</w:t>
      </w:r>
    </w:p>
    <w:p w14:paraId="07D3FCD1" w14:textId="77777777" w:rsidR="00B65381" w:rsidRPr="00211E3B" w:rsidRDefault="00B65381" w:rsidP="00B65381">
      <w:pPr>
        <w:numPr>
          <w:ilvl w:val="12"/>
          <w:numId w:val="0"/>
        </w:numPr>
        <w:rPr>
          <w:snapToGrid w:val="0"/>
          <w:sz w:val="22"/>
          <w:szCs w:val="24"/>
        </w:rPr>
      </w:pPr>
    </w:p>
    <w:p w14:paraId="6A969C44" w14:textId="77777777" w:rsidR="00B65381" w:rsidRPr="00211E3B" w:rsidRDefault="00B65381" w:rsidP="00B65381">
      <w:pPr>
        <w:numPr>
          <w:ilvl w:val="12"/>
          <w:numId w:val="0"/>
        </w:numPr>
        <w:rPr>
          <w:snapToGrid w:val="0"/>
          <w:sz w:val="22"/>
          <w:szCs w:val="24"/>
          <w:u w:val="single"/>
        </w:rPr>
      </w:pPr>
      <w:r w:rsidRPr="00211E3B">
        <w:rPr>
          <w:snapToGrid w:val="0"/>
          <w:sz w:val="22"/>
          <w:szCs w:val="24"/>
          <w:u w:val="single"/>
        </w:rPr>
        <w:t>Kontracepcija</w:t>
      </w:r>
    </w:p>
    <w:p w14:paraId="2EF5BB57" w14:textId="77777777" w:rsidR="00B65381" w:rsidRPr="00211E3B" w:rsidRDefault="00B65381" w:rsidP="00B65381">
      <w:pPr>
        <w:pStyle w:val="Sraopastraipa"/>
        <w:numPr>
          <w:ilvl w:val="0"/>
          <w:numId w:val="7"/>
        </w:numPr>
        <w:ind w:left="567" w:right="-2" w:hanging="567"/>
        <w:rPr>
          <w:snapToGrid w:val="0"/>
          <w:sz w:val="22"/>
          <w:szCs w:val="24"/>
        </w:rPr>
      </w:pPr>
      <w:r w:rsidRPr="00211E3B">
        <w:rPr>
          <w:snapToGrid w:val="0"/>
          <w:sz w:val="22"/>
          <w:szCs w:val="24"/>
        </w:rPr>
        <w:t>Pastoti galinčios moterys turi naudoti labai veiksmingą kontracepcijos metodą pradėdamos vartoti Agarf, šio vaisto vartojimo laikotarpiu ir mažiausiai dar 3 mėnesius po paskutinės vaisto dozės pavartojimo.</w:t>
      </w:r>
    </w:p>
    <w:p w14:paraId="2420BBE5" w14:textId="77777777" w:rsidR="00B65381" w:rsidRPr="00211E3B" w:rsidRDefault="00B65381" w:rsidP="00B65381">
      <w:pPr>
        <w:pStyle w:val="Sraopastraipa"/>
        <w:numPr>
          <w:ilvl w:val="0"/>
          <w:numId w:val="7"/>
        </w:numPr>
        <w:ind w:left="567" w:right="-2" w:hanging="567"/>
        <w:rPr>
          <w:snapToGrid w:val="0"/>
          <w:sz w:val="22"/>
          <w:szCs w:val="24"/>
        </w:rPr>
      </w:pPr>
      <w:r w:rsidRPr="00211E3B">
        <w:rPr>
          <w:snapToGrid w:val="0"/>
          <w:sz w:val="22"/>
          <w:szCs w:val="24"/>
        </w:rPr>
        <w:t>Turite aptarti su savo gydytoju geriausiai Jums tinkamus kontracepcijos metodus.</w:t>
      </w:r>
    </w:p>
    <w:p w14:paraId="16D4F804" w14:textId="77777777" w:rsidR="00B65381" w:rsidRPr="00211E3B" w:rsidRDefault="00B65381" w:rsidP="00B65381">
      <w:pPr>
        <w:pStyle w:val="Sraopastraipa"/>
        <w:numPr>
          <w:ilvl w:val="0"/>
          <w:numId w:val="7"/>
        </w:numPr>
        <w:ind w:left="567" w:right="-2" w:hanging="567"/>
        <w:rPr>
          <w:snapToGrid w:val="0"/>
          <w:sz w:val="22"/>
          <w:szCs w:val="24"/>
        </w:rPr>
      </w:pPr>
      <w:r w:rsidRPr="00211E3B">
        <w:rPr>
          <w:snapToGrid w:val="0"/>
          <w:sz w:val="22"/>
          <w:szCs w:val="24"/>
        </w:rPr>
        <w:t>Vėmimas ir (arba) viduriavimas arba kitos virškinimo trakto būklės gali paveikti geriamųjų hormoninių kontraceptikų, tokių kaip kontraceptinės tabletės, absorbciją ir sumažinti jų veiksmingumą. Todėl, jei pasireiškia minėta būklė, pasikalbėkite su savo gydytoju ir apsvarstykite alternatyvų tinkamesnį kontracepcijos metodą.</w:t>
      </w:r>
    </w:p>
    <w:p w14:paraId="033B714C" w14:textId="77777777" w:rsidR="00B65381" w:rsidRPr="00211E3B" w:rsidRDefault="00B65381" w:rsidP="00B65381">
      <w:pPr>
        <w:pStyle w:val="Sraopastraipa"/>
        <w:numPr>
          <w:ilvl w:val="0"/>
          <w:numId w:val="7"/>
        </w:numPr>
        <w:ind w:left="567" w:right="-2" w:hanging="567"/>
        <w:rPr>
          <w:snapToGrid w:val="0"/>
          <w:sz w:val="22"/>
          <w:szCs w:val="24"/>
        </w:rPr>
      </w:pPr>
      <w:r w:rsidRPr="00211E3B">
        <w:rPr>
          <w:snapToGrid w:val="0"/>
          <w:sz w:val="22"/>
          <w:szCs w:val="24"/>
        </w:rPr>
        <w:t>Nedelsdama pasakykite gydytojui ar vaistininkui, jeigu gydymo Agarf metu pastojate arba manote, kad galėjote pastoti.</w:t>
      </w:r>
    </w:p>
    <w:p w14:paraId="1A761ACC" w14:textId="77777777" w:rsidR="00B65381" w:rsidRPr="00211E3B" w:rsidRDefault="00B65381" w:rsidP="00B65381">
      <w:pPr>
        <w:numPr>
          <w:ilvl w:val="12"/>
          <w:numId w:val="0"/>
        </w:numPr>
        <w:rPr>
          <w:snapToGrid w:val="0"/>
          <w:sz w:val="22"/>
          <w:szCs w:val="24"/>
        </w:rPr>
      </w:pPr>
    </w:p>
    <w:p w14:paraId="3FEEC1B4" w14:textId="77777777" w:rsidR="00B65381" w:rsidRPr="00211E3B" w:rsidRDefault="00B65381" w:rsidP="00B65381">
      <w:pPr>
        <w:numPr>
          <w:ilvl w:val="12"/>
          <w:numId w:val="0"/>
        </w:numPr>
        <w:rPr>
          <w:snapToGrid w:val="0"/>
          <w:sz w:val="22"/>
          <w:szCs w:val="24"/>
          <w:u w:val="single"/>
        </w:rPr>
      </w:pPr>
      <w:r w:rsidRPr="00211E3B">
        <w:rPr>
          <w:snapToGrid w:val="0"/>
          <w:sz w:val="22"/>
          <w:szCs w:val="24"/>
          <w:u w:val="single"/>
        </w:rPr>
        <w:t>Žindymo laikotarpis</w:t>
      </w:r>
    </w:p>
    <w:p w14:paraId="4589ECB5" w14:textId="34A4805B" w:rsidR="00B65381" w:rsidRPr="00211E3B" w:rsidRDefault="00B65381" w:rsidP="00B65381">
      <w:pPr>
        <w:numPr>
          <w:ilvl w:val="12"/>
          <w:numId w:val="0"/>
        </w:numPr>
        <w:rPr>
          <w:snapToGrid w:val="0"/>
          <w:sz w:val="22"/>
          <w:szCs w:val="24"/>
        </w:rPr>
      </w:pPr>
      <w:r>
        <w:rPr>
          <w:snapToGrid w:val="0"/>
          <w:sz w:val="22"/>
          <w:szCs w:val="24"/>
        </w:rPr>
        <w:t>G</w:t>
      </w:r>
      <w:r w:rsidRPr="00211E3B">
        <w:rPr>
          <w:snapToGrid w:val="0"/>
          <w:sz w:val="22"/>
          <w:szCs w:val="24"/>
        </w:rPr>
        <w:t xml:space="preserve">ydymo šiuo vaistu metu </w:t>
      </w:r>
      <w:r w:rsidR="00515F45" w:rsidRPr="00515F45">
        <w:rPr>
          <w:snapToGrid w:val="0"/>
          <w:sz w:val="22"/>
          <w:szCs w:val="24"/>
        </w:rPr>
        <w:t>nežindykite, nes tai gali pakenkti žindomam kūdikiui.</w:t>
      </w:r>
    </w:p>
    <w:p w14:paraId="574ABF2F" w14:textId="77777777" w:rsidR="00B65381" w:rsidRPr="00211E3B" w:rsidRDefault="00B65381" w:rsidP="00B65381">
      <w:pPr>
        <w:numPr>
          <w:ilvl w:val="12"/>
          <w:numId w:val="0"/>
        </w:numPr>
        <w:rPr>
          <w:snapToGrid w:val="0"/>
          <w:sz w:val="22"/>
          <w:szCs w:val="24"/>
        </w:rPr>
      </w:pPr>
    </w:p>
    <w:p w14:paraId="69954956" w14:textId="77777777" w:rsidR="00B65381" w:rsidRPr="00211E3B" w:rsidRDefault="00B65381" w:rsidP="00B65381">
      <w:pPr>
        <w:keepNext/>
        <w:tabs>
          <w:tab w:val="left" w:pos="567"/>
        </w:tabs>
        <w:spacing w:line="260" w:lineRule="exact"/>
        <w:jc w:val="both"/>
        <w:outlineLvl w:val="3"/>
        <w:rPr>
          <w:b/>
          <w:bCs/>
          <w:snapToGrid w:val="0"/>
          <w:sz w:val="22"/>
          <w:szCs w:val="28"/>
          <w:lang w:eastAsia="x-none"/>
        </w:rPr>
      </w:pPr>
      <w:r w:rsidRPr="00211E3B">
        <w:rPr>
          <w:b/>
          <w:bCs/>
          <w:snapToGrid w:val="0"/>
          <w:sz w:val="22"/>
          <w:szCs w:val="28"/>
          <w:lang w:eastAsia="x-none"/>
        </w:rPr>
        <w:t>Vairavimas ir mechanizmų valdymas</w:t>
      </w:r>
    </w:p>
    <w:p w14:paraId="1F2B4B3A" w14:textId="77777777" w:rsidR="00B65381" w:rsidRPr="00211E3B" w:rsidRDefault="00B65381" w:rsidP="00B65381">
      <w:pPr>
        <w:numPr>
          <w:ilvl w:val="12"/>
          <w:numId w:val="0"/>
        </w:numPr>
        <w:ind w:right="-2"/>
        <w:rPr>
          <w:snapToGrid w:val="0"/>
          <w:sz w:val="22"/>
          <w:szCs w:val="24"/>
        </w:rPr>
      </w:pPr>
    </w:p>
    <w:p w14:paraId="5AF1A186" w14:textId="77777777" w:rsidR="00B65381" w:rsidRPr="00211E3B" w:rsidRDefault="00B65381" w:rsidP="00B65381">
      <w:pPr>
        <w:numPr>
          <w:ilvl w:val="12"/>
          <w:numId w:val="0"/>
        </w:numPr>
        <w:ind w:right="-2"/>
        <w:rPr>
          <w:snapToGrid w:val="0"/>
          <w:sz w:val="22"/>
          <w:szCs w:val="28"/>
          <w:lang w:eastAsia="x-none"/>
        </w:rPr>
      </w:pPr>
      <w:r w:rsidRPr="00211E3B">
        <w:rPr>
          <w:snapToGrid w:val="0"/>
          <w:sz w:val="22"/>
          <w:szCs w:val="28"/>
          <w:lang w:eastAsia="x-none"/>
        </w:rPr>
        <w:t>Agarf gali silpnai veikti Jūsų gebėjimą vairuoti ir valdyti mechanizmus. Jei blogai jaučiatės, nevairuokite ir nevaldykite mechanizmų.</w:t>
      </w:r>
    </w:p>
    <w:p w14:paraId="02CE6707" w14:textId="77777777" w:rsidR="00B65381" w:rsidRPr="00211E3B" w:rsidRDefault="00B65381" w:rsidP="00B65381">
      <w:pPr>
        <w:numPr>
          <w:ilvl w:val="12"/>
          <w:numId w:val="0"/>
        </w:numPr>
        <w:ind w:right="-2"/>
        <w:rPr>
          <w:snapToGrid w:val="0"/>
          <w:sz w:val="22"/>
          <w:szCs w:val="24"/>
        </w:rPr>
      </w:pPr>
    </w:p>
    <w:p w14:paraId="435326BF" w14:textId="77777777" w:rsidR="00B65381" w:rsidRPr="00211E3B" w:rsidRDefault="00B65381" w:rsidP="00B65381">
      <w:pPr>
        <w:numPr>
          <w:ilvl w:val="12"/>
          <w:numId w:val="0"/>
        </w:numPr>
        <w:ind w:right="-2"/>
        <w:rPr>
          <w:snapToGrid w:val="0"/>
          <w:sz w:val="22"/>
          <w:szCs w:val="24"/>
        </w:rPr>
      </w:pPr>
    </w:p>
    <w:p w14:paraId="680257DC" w14:textId="77777777" w:rsidR="00B65381" w:rsidRPr="00211E3B" w:rsidRDefault="00B65381" w:rsidP="00B65381">
      <w:pPr>
        <w:keepNext/>
        <w:keepLines/>
        <w:tabs>
          <w:tab w:val="left" w:pos="567"/>
        </w:tabs>
        <w:outlineLvl w:val="2"/>
        <w:rPr>
          <w:b/>
          <w:bCs/>
          <w:snapToGrid w:val="0"/>
          <w:sz w:val="22"/>
          <w:szCs w:val="26"/>
          <w:lang w:eastAsia="x-none"/>
        </w:rPr>
      </w:pPr>
      <w:r w:rsidRPr="00211E3B">
        <w:rPr>
          <w:b/>
          <w:bCs/>
          <w:snapToGrid w:val="0"/>
          <w:sz w:val="22"/>
          <w:szCs w:val="26"/>
          <w:lang w:eastAsia="x-none"/>
        </w:rPr>
        <w:t>3.</w:t>
      </w:r>
      <w:r w:rsidRPr="00211E3B">
        <w:rPr>
          <w:b/>
          <w:bCs/>
          <w:snapToGrid w:val="0"/>
          <w:sz w:val="22"/>
          <w:szCs w:val="26"/>
          <w:lang w:eastAsia="x-none"/>
        </w:rPr>
        <w:tab/>
        <w:t>Kaip vartoti Agarf</w:t>
      </w:r>
    </w:p>
    <w:p w14:paraId="3CF18809" w14:textId="77777777" w:rsidR="00B65381" w:rsidRPr="00211E3B" w:rsidRDefault="00B65381" w:rsidP="00B65381">
      <w:pPr>
        <w:numPr>
          <w:ilvl w:val="12"/>
          <w:numId w:val="0"/>
        </w:numPr>
        <w:ind w:right="-2"/>
        <w:rPr>
          <w:snapToGrid w:val="0"/>
          <w:sz w:val="22"/>
          <w:szCs w:val="24"/>
        </w:rPr>
      </w:pPr>
    </w:p>
    <w:p w14:paraId="18FC9771" w14:textId="77777777" w:rsidR="00B65381" w:rsidRPr="00211E3B" w:rsidRDefault="00B65381" w:rsidP="00B65381">
      <w:pPr>
        <w:ind w:right="-2"/>
        <w:rPr>
          <w:snapToGrid w:val="0"/>
          <w:sz w:val="22"/>
        </w:rPr>
      </w:pPr>
      <w:r w:rsidRPr="00211E3B">
        <w:rPr>
          <w:snapToGrid w:val="0"/>
          <w:sz w:val="22"/>
        </w:rPr>
        <w:t>Visada vartokite šį vaistą tiksliai, kaip nurodė gydytojas arba vaistininkas. Jeigu abejojate, kreipkitės į gydytoją arba vaistininką.</w:t>
      </w:r>
    </w:p>
    <w:p w14:paraId="2D4A792F" w14:textId="77777777" w:rsidR="00B65381" w:rsidRPr="00211E3B" w:rsidRDefault="00B65381" w:rsidP="00B65381">
      <w:pPr>
        <w:numPr>
          <w:ilvl w:val="12"/>
          <w:numId w:val="0"/>
        </w:numPr>
        <w:ind w:right="-2"/>
        <w:rPr>
          <w:snapToGrid w:val="0"/>
          <w:sz w:val="22"/>
          <w:szCs w:val="24"/>
        </w:rPr>
      </w:pPr>
    </w:p>
    <w:p w14:paraId="1D17BD38" w14:textId="77777777" w:rsidR="00B65381" w:rsidRPr="00211E3B" w:rsidRDefault="00B65381" w:rsidP="00B65381">
      <w:pPr>
        <w:numPr>
          <w:ilvl w:val="12"/>
          <w:numId w:val="0"/>
        </w:numPr>
        <w:ind w:right="-2"/>
        <w:rPr>
          <w:snapToGrid w:val="0"/>
          <w:sz w:val="22"/>
          <w:szCs w:val="24"/>
        </w:rPr>
      </w:pPr>
      <w:r w:rsidRPr="00786611">
        <w:rPr>
          <w:snapToGrid w:val="0"/>
          <w:sz w:val="22"/>
          <w:szCs w:val="24"/>
        </w:rPr>
        <w:t>Gerkite kapsules du kartus per parą, darydami maždaug 12</w:t>
      </w:r>
      <w:r>
        <w:rPr>
          <w:snapToGrid w:val="0"/>
          <w:sz w:val="22"/>
          <w:szCs w:val="24"/>
        </w:rPr>
        <w:t> </w:t>
      </w:r>
      <w:r w:rsidRPr="00786611">
        <w:rPr>
          <w:snapToGrid w:val="0"/>
          <w:sz w:val="22"/>
          <w:szCs w:val="24"/>
        </w:rPr>
        <w:t>valandų pertrauką tarp jų vartojimo, tokiu</w:t>
      </w:r>
      <w:r>
        <w:rPr>
          <w:snapToGrid w:val="0"/>
          <w:sz w:val="22"/>
          <w:szCs w:val="24"/>
        </w:rPr>
        <w:t xml:space="preserve"> </w:t>
      </w:r>
      <w:r w:rsidRPr="00786611">
        <w:rPr>
          <w:snapToGrid w:val="0"/>
          <w:sz w:val="22"/>
          <w:szCs w:val="24"/>
        </w:rPr>
        <w:t>pačiu laiku kiekvieną dieną, pavyzdžiui, gerkite vieną kapsulę ryte ir vieną kapsulę vakare. Tai</w:t>
      </w:r>
      <w:r>
        <w:rPr>
          <w:snapToGrid w:val="0"/>
          <w:sz w:val="22"/>
          <w:szCs w:val="24"/>
        </w:rPr>
        <w:t xml:space="preserve"> </w:t>
      </w:r>
      <w:r w:rsidRPr="00786611">
        <w:rPr>
          <w:snapToGrid w:val="0"/>
          <w:sz w:val="22"/>
          <w:szCs w:val="24"/>
        </w:rPr>
        <w:t>užtikrins</w:t>
      </w:r>
      <w:r>
        <w:rPr>
          <w:snapToGrid w:val="0"/>
          <w:sz w:val="22"/>
          <w:szCs w:val="24"/>
        </w:rPr>
        <w:t xml:space="preserve"> stabilų </w:t>
      </w:r>
      <w:r w:rsidRPr="00786611">
        <w:rPr>
          <w:snapToGrid w:val="0"/>
          <w:sz w:val="22"/>
          <w:szCs w:val="24"/>
        </w:rPr>
        <w:t>nintedanibo kiek</w:t>
      </w:r>
      <w:r>
        <w:rPr>
          <w:snapToGrid w:val="0"/>
          <w:sz w:val="22"/>
          <w:szCs w:val="24"/>
        </w:rPr>
        <w:t>į</w:t>
      </w:r>
      <w:r w:rsidRPr="00786611">
        <w:rPr>
          <w:snapToGrid w:val="0"/>
          <w:sz w:val="22"/>
          <w:szCs w:val="24"/>
        </w:rPr>
        <w:t xml:space="preserve"> kraujyje.</w:t>
      </w:r>
      <w:r>
        <w:rPr>
          <w:snapToGrid w:val="0"/>
          <w:sz w:val="22"/>
          <w:szCs w:val="24"/>
        </w:rPr>
        <w:t xml:space="preserve"> </w:t>
      </w:r>
      <w:r w:rsidRPr="00211E3B">
        <w:rPr>
          <w:snapToGrid w:val="0"/>
          <w:sz w:val="22"/>
          <w:szCs w:val="24"/>
        </w:rPr>
        <w:t>Kapsules nurykite sveikas užsigerdami vandeniu</w:t>
      </w:r>
      <w:r>
        <w:rPr>
          <w:snapToGrid w:val="0"/>
          <w:sz w:val="22"/>
          <w:szCs w:val="24"/>
        </w:rPr>
        <w:t>, kapsulių nekramtykite</w:t>
      </w:r>
      <w:r w:rsidRPr="00211E3B">
        <w:rPr>
          <w:snapToGrid w:val="0"/>
          <w:sz w:val="22"/>
          <w:szCs w:val="24"/>
        </w:rPr>
        <w:t xml:space="preserve">. Rekomenduojama </w:t>
      </w:r>
      <w:r w:rsidRPr="00830A3C">
        <w:rPr>
          <w:snapToGrid w:val="0"/>
          <w:sz w:val="22"/>
          <w:szCs w:val="24"/>
        </w:rPr>
        <w:t xml:space="preserve">kapsules </w:t>
      </w:r>
      <w:r>
        <w:rPr>
          <w:snapToGrid w:val="0"/>
          <w:sz w:val="22"/>
          <w:szCs w:val="24"/>
        </w:rPr>
        <w:t>vartoti</w:t>
      </w:r>
      <w:r w:rsidRPr="00830A3C">
        <w:rPr>
          <w:snapToGrid w:val="0"/>
          <w:sz w:val="22"/>
          <w:szCs w:val="24"/>
        </w:rPr>
        <w:t xml:space="preserve"> su maistu</w:t>
      </w:r>
      <w:r w:rsidRPr="00211E3B">
        <w:rPr>
          <w:snapToGrid w:val="0"/>
          <w:sz w:val="22"/>
          <w:szCs w:val="24"/>
        </w:rPr>
        <w:t xml:space="preserve">, </w:t>
      </w:r>
      <w:r>
        <w:rPr>
          <w:snapToGrid w:val="0"/>
          <w:sz w:val="22"/>
          <w:szCs w:val="24"/>
        </w:rPr>
        <w:t xml:space="preserve">pavyzdžiui, </w:t>
      </w:r>
      <w:r w:rsidRPr="00211E3B">
        <w:rPr>
          <w:snapToGrid w:val="0"/>
          <w:sz w:val="22"/>
          <w:szCs w:val="24"/>
        </w:rPr>
        <w:t>valgio metu, prieš pat valgį ar tuoj po jo.</w:t>
      </w:r>
      <w:r>
        <w:rPr>
          <w:snapToGrid w:val="0"/>
          <w:sz w:val="22"/>
          <w:szCs w:val="24"/>
        </w:rPr>
        <w:t xml:space="preserve"> </w:t>
      </w:r>
      <w:r w:rsidRPr="00211E3B">
        <w:rPr>
          <w:snapToGrid w:val="0"/>
          <w:sz w:val="22"/>
          <w:szCs w:val="24"/>
        </w:rPr>
        <w:t>Kapsulės neatidarykite ir netraiškykite (žr. 5 skyrių).</w:t>
      </w:r>
    </w:p>
    <w:p w14:paraId="32C2C936" w14:textId="77777777" w:rsidR="00B65381" w:rsidRPr="00211E3B" w:rsidRDefault="00B65381" w:rsidP="00B65381">
      <w:pPr>
        <w:numPr>
          <w:ilvl w:val="12"/>
          <w:numId w:val="0"/>
        </w:numPr>
        <w:ind w:right="-2"/>
        <w:rPr>
          <w:snapToGrid w:val="0"/>
          <w:sz w:val="22"/>
          <w:szCs w:val="24"/>
        </w:rPr>
      </w:pPr>
    </w:p>
    <w:p w14:paraId="75ADFB79" w14:textId="25DCF9C1" w:rsidR="00B65381" w:rsidRPr="00786611" w:rsidRDefault="00B65381" w:rsidP="00B65381">
      <w:pPr>
        <w:numPr>
          <w:ilvl w:val="12"/>
          <w:numId w:val="0"/>
        </w:numPr>
        <w:ind w:right="-2"/>
        <w:rPr>
          <w:b/>
          <w:bCs/>
          <w:snapToGrid w:val="0"/>
          <w:sz w:val="22"/>
          <w:szCs w:val="24"/>
        </w:rPr>
      </w:pPr>
      <w:r w:rsidRPr="00786611">
        <w:rPr>
          <w:b/>
          <w:bCs/>
          <w:snapToGrid w:val="0"/>
          <w:sz w:val="22"/>
          <w:szCs w:val="24"/>
        </w:rPr>
        <w:t>Suaugusie</w:t>
      </w:r>
      <w:r w:rsidR="00515F45">
        <w:rPr>
          <w:b/>
          <w:bCs/>
          <w:snapToGrid w:val="0"/>
          <w:sz w:val="22"/>
          <w:szCs w:val="24"/>
        </w:rPr>
        <w:t>siems</w:t>
      </w:r>
    </w:p>
    <w:p w14:paraId="2E954F83" w14:textId="2732785D" w:rsidR="00B65381" w:rsidRDefault="00B65381" w:rsidP="00B65381">
      <w:pPr>
        <w:numPr>
          <w:ilvl w:val="12"/>
          <w:numId w:val="0"/>
        </w:numPr>
        <w:ind w:right="-2"/>
        <w:rPr>
          <w:snapToGrid w:val="0"/>
          <w:sz w:val="22"/>
          <w:szCs w:val="24"/>
        </w:rPr>
      </w:pPr>
      <w:r w:rsidRPr="00211E3B">
        <w:rPr>
          <w:snapToGrid w:val="0"/>
          <w:sz w:val="22"/>
          <w:szCs w:val="24"/>
        </w:rPr>
        <w:t xml:space="preserve">Rekomenduojama dozė yra </w:t>
      </w:r>
      <w:r>
        <w:rPr>
          <w:snapToGrid w:val="0"/>
          <w:sz w:val="22"/>
          <w:szCs w:val="24"/>
        </w:rPr>
        <w:t>viena 1</w:t>
      </w:r>
      <w:r w:rsidR="00CE4150">
        <w:rPr>
          <w:snapToGrid w:val="0"/>
          <w:sz w:val="22"/>
          <w:szCs w:val="24"/>
        </w:rPr>
        <w:t>5</w:t>
      </w:r>
      <w:r>
        <w:rPr>
          <w:snapToGrid w:val="0"/>
          <w:sz w:val="22"/>
          <w:szCs w:val="24"/>
        </w:rPr>
        <w:t xml:space="preserve">0 mg kapsulė du kartus per parą (bendra paros dozė yra </w:t>
      </w:r>
      <w:r w:rsidR="00CE4150">
        <w:rPr>
          <w:snapToGrid w:val="0"/>
          <w:sz w:val="22"/>
          <w:szCs w:val="24"/>
        </w:rPr>
        <w:t>3</w:t>
      </w:r>
      <w:r>
        <w:rPr>
          <w:snapToGrid w:val="0"/>
          <w:sz w:val="22"/>
          <w:szCs w:val="24"/>
        </w:rPr>
        <w:t>00 mg).</w:t>
      </w:r>
    </w:p>
    <w:p w14:paraId="3118267D" w14:textId="77777777" w:rsidR="00B65381" w:rsidRDefault="00B65381" w:rsidP="00B65381">
      <w:pPr>
        <w:numPr>
          <w:ilvl w:val="12"/>
          <w:numId w:val="0"/>
        </w:numPr>
        <w:ind w:right="-2"/>
        <w:rPr>
          <w:snapToGrid w:val="0"/>
          <w:sz w:val="22"/>
          <w:szCs w:val="24"/>
        </w:rPr>
      </w:pPr>
    </w:p>
    <w:p w14:paraId="06895158" w14:textId="0F1BF581" w:rsidR="00B65381" w:rsidRDefault="00B65381" w:rsidP="00B65381">
      <w:pPr>
        <w:numPr>
          <w:ilvl w:val="12"/>
          <w:numId w:val="0"/>
        </w:numPr>
        <w:ind w:right="-2"/>
        <w:rPr>
          <w:snapToGrid w:val="0"/>
          <w:sz w:val="22"/>
          <w:szCs w:val="24"/>
        </w:rPr>
      </w:pPr>
      <w:r w:rsidRPr="006F378C">
        <w:rPr>
          <w:snapToGrid w:val="0"/>
          <w:sz w:val="22"/>
          <w:szCs w:val="24"/>
        </w:rPr>
        <w:t xml:space="preserve">Nevartokite didesnės </w:t>
      </w:r>
      <w:r>
        <w:rPr>
          <w:snapToGrid w:val="0"/>
          <w:sz w:val="22"/>
          <w:szCs w:val="24"/>
        </w:rPr>
        <w:t>nei</w:t>
      </w:r>
      <w:r w:rsidRPr="006F378C">
        <w:rPr>
          <w:snapToGrid w:val="0"/>
          <w:sz w:val="22"/>
          <w:szCs w:val="24"/>
        </w:rPr>
        <w:t xml:space="preserve"> rekomenduojam</w:t>
      </w:r>
      <w:r>
        <w:rPr>
          <w:snapToGrid w:val="0"/>
          <w:sz w:val="22"/>
          <w:szCs w:val="24"/>
        </w:rPr>
        <w:t>a</w:t>
      </w:r>
      <w:r w:rsidRPr="006F378C">
        <w:rPr>
          <w:snapToGrid w:val="0"/>
          <w:sz w:val="22"/>
          <w:szCs w:val="24"/>
        </w:rPr>
        <w:t xml:space="preserve"> </w:t>
      </w:r>
      <w:r>
        <w:rPr>
          <w:snapToGrid w:val="0"/>
          <w:sz w:val="22"/>
          <w:szCs w:val="24"/>
        </w:rPr>
        <w:t>Agarf</w:t>
      </w:r>
      <w:r w:rsidRPr="006F378C">
        <w:rPr>
          <w:snapToGrid w:val="0"/>
          <w:sz w:val="22"/>
          <w:szCs w:val="24"/>
        </w:rPr>
        <w:t xml:space="preserve"> doz</w:t>
      </w:r>
      <w:r>
        <w:rPr>
          <w:snapToGrid w:val="0"/>
          <w:sz w:val="22"/>
          <w:szCs w:val="24"/>
        </w:rPr>
        <w:t xml:space="preserve">ės, t. y. dviejų </w:t>
      </w:r>
      <w:r w:rsidRPr="006F378C">
        <w:rPr>
          <w:snapToGrid w:val="0"/>
          <w:sz w:val="22"/>
          <w:szCs w:val="24"/>
        </w:rPr>
        <w:t>1</w:t>
      </w:r>
      <w:r w:rsidR="00CE4150">
        <w:rPr>
          <w:snapToGrid w:val="0"/>
          <w:sz w:val="22"/>
          <w:szCs w:val="24"/>
        </w:rPr>
        <w:t>5</w:t>
      </w:r>
      <w:r w:rsidRPr="006F378C">
        <w:rPr>
          <w:snapToGrid w:val="0"/>
          <w:sz w:val="22"/>
          <w:szCs w:val="24"/>
        </w:rPr>
        <w:t>0</w:t>
      </w:r>
      <w:r>
        <w:rPr>
          <w:snapToGrid w:val="0"/>
          <w:sz w:val="22"/>
          <w:szCs w:val="24"/>
        </w:rPr>
        <w:t> mg</w:t>
      </w:r>
      <w:r w:rsidRPr="006F378C">
        <w:rPr>
          <w:snapToGrid w:val="0"/>
          <w:sz w:val="22"/>
          <w:szCs w:val="24"/>
        </w:rPr>
        <w:t xml:space="preserve"> kapsul</w:t>
      </w:r>
      <w:r>
        <w:rPr>
          <w:snapToGrid w:val="0"/>
          <w:sz w:val="22"/>
          <w:szCs w:val="24"/>
        </w:rPr>
        <w:t>ių</w:t>
      </w:r>
      <w:r w:rsidRPr="006F378C">
        <w:rPr>
          <w:snapToGrid w:val="0"/>
          <w:sz w:val="22"/>
          <w:szCs w:val="24"/>
        </w:rPr>
        <w:t xml:space="preserve"> per parą.</w:t>
      </w:r>
    </w:p>
    <w:p w14:paraId="5D025ED4" w14:textId="77777777" w:rsidR="00B65381" w:rsidRPr="00211E3B" w:rsidRDefault="00B65381" w:rsidP="00B65381">
      <w:pPr>
        <w:numPr>
          <w:ilvl w:val="12"/>
          <w:numId w:val="0"/>
        </w:numPr>
        <w:ind w:right="-2"/>
        <w:rPr>
          <w:snapToGrid w:val="0"/>
          <w:sz w:val="22"/>
          <w:szCs w:val="24"/>
        </w:rPr>
      </w:pPr>
    </w:p>
    <w:p w14:paraId="3EFCDE41" w14:textId="274DDC6E" w:rsidR="00B65381" w:rsidRPr="00211E3B" w:rsidRDefault="00B65381" w:rsidP="00B65381">
      <w:pPr>
        <w:numPr>
          <w:ilvl w:val="12"/>
          <w:numId w:val="0"/>
        </w:numPr>
        <w:ind w:right="-2"/>
        <w:rPr>
          <w:snapToGrid w:val="0"/>
          <w:sz w:val="22"/>
          <w:szCs w:val="24"/>
        </w:rPr>
      </w:pPr>
      <w:r w:rsidRPr="00211E3B">
        <w:rPr>
          <w:snapToGrid w:val="0"/>
          <w:sz w:val="22"/>
          <w:szCs w:val="24"/>
        </w:rPr>
        <w:t xml:space="preserve">Jeigu rekomenduojamos </w:t>
      </w:r>
      <w:r>
        <w:rPr>
          <w:snapToGrid w:val="0"/>
          <w:sz w:val="22"/>
          <w:szCs w:val="24"/>
        </w:rPr>
        <w:t>dviejų 1</w:t>
      </w:r>
      <w:r w:rsidR="00CE4150">
        <w:rPr>
          <w:snapToGrid w:val="0"/>
          <w:sz w:val="22"/>
          <w:szCs w:val="24"/>
        </w:rPr>
        <w:t>5</w:t>
      </w:r>
      <w:r>
        <w:rPr>
          <w:snapToGrid w:val="0"/>
          <w:sz w:val="22"/>
          <w:szCs w:val="24"/>
        </w:rPr>
        <w:t xml:space="preserve">0 mg Agarf kapsulių paros </w:t>
      </w:r>
      <w:r w:rsidRPr="00211E3B">
        <w:rPr>
          <w:snapToGrid w:val="0"/>
          <w:sz w:val="22"/>
          <w:szCs w:val="24"/>
        </w:rPr>
        <w:t>dozės netoleruojate (žr. 4 skyrių</w:t>
      </w:r>
      <w:r>
        <w:rPr>
          <w:snapToGrid w:val="0"/>
          <w:sz w:val="22"/>
          <w:szCs w:val="24"/>
        </w:rPr>
        <w:t>, kur pateikiamas galimas šalutinis poveikis</w:t>
      </w:r>
      <w:r w:rsidRPr="00211E3B">
        <w:rPr>
          <w:snapToGrid w:val="0"/>
          <w:sz w:val="22"/>
          <w:szCs w:val="24"/>
        </w:rPr>
        <w:t xml:space="preserve">), gydytojas gali </w:t>
      </w:r>
      <w:r w:rsidR="00CE4150">
        <w:rPr>
          <w:snapToGrid w:val="0"/>
          <w:sz w:val="22"/>
          <w:szCs w:val="24"/>
        </w:rPr>
        <w:t>sumažinti Agarf paros dozę</w:t>
      </w:r>
      <w:r w:rsidRPr="00211E3B">
        <w:rPr>
          <w:snapToGrid w:val="0"/>
          <w:sz w:val="22"/>
          <w:szCs w:val="24"/>
        </w:rPr>
        <w:t>. Patys nemažinkite dozės ir nestabdykite gydymo prieš tai nepasitarę su gydytoju.</w:t>
      </w:r>
    </w:p>
    <w:p w14:paraId="05E74B65" w14:textId="77777777" w:rsidR="00B65381" w:rsidRPr="00211E3B" w:rsidRDefault="00B65381" w:rsidP="00B65381">
      <w:pPr>
        <w:numPr>
          <w:ilvl w:val="12"/>
          <w:numId w:val="0"/>
        </w:numPr>
        <w:ind w:right="-2"/>
        <w:rPr>
          <w:snapToGrid w:val="0"/>
          <w:sz w:val="22"/>
          <w:szCs w:val="24"/>
        </w:rPr>
      </w:pPr>
    </w:p>
    <w:p w14:paraId="154404C3" w14:textId="77777777" w:rsidR="00B65381" w:rsidRPr="00211E3B" w:rsidRDefault="00B65381" w:rsidP="00B65381">
      <w:pPr>
        <w:keepNext/>
        <w:tabs>
          <w:tab w:val="left" w:pos="567"/>
        </w:tabs>
        <w:spacing w:line="260" w:lineRule="exact"/>
        <w:jc w:val="both"/>
        <w:outlineLvl w:val="3"/>
        <w:rPr>
          <w:b/>
          <w:bCs/>
          <w:snapToGrid w:val="0"/>
          <w:sz w:val="22"/>
          <w:szCs w:val="22"/>
          <w:lang w:eastAsia="x-none"/>
        </w:rPr>
      </w:pPr>
      <w:r w:rsidRPr="00211E3B">
        <w:rPr>
          <w:b/>
          <w:bCs/>
          <w:snapToGrid w:val="0"/>
          <w:sz w:val="22"/>
          <w:szCs w:val="22"/>
          <w:lang w:eastAsia="x-none"/>
        </w:rPr>
        <w:t>Ką daryti pavartojus per didelę Agarf dozę</w:t>
      </w:r>
    </w:p>
    <w:p w14:paraId="6D77609D" w14:textId="77777777" w:rsidR="00B65381" w:rsidRPr="00211E3B" w:rsidRDefault="00B65381" w:rsidP="00B65381">
      <w:pPr>
        <w:keepNext/>
        <w:tabs>
          <w:tab w:val="left" w:pos="567"/>
        </w:tabs>
        <w:spacing w:line="260" w:lineRule="exact"/>
        <w:jc w:val="both"/>
        <w:outlineLvl w:val="3"/>
        <w:rPr>
          <w:snapToGrid w:val="0"/>
          <w:sz w:val="22"/>
          <w:szCs w:val="22"/>
          <w:lang w:eastAsia="x-none"/>
        </w:rPr>
      </w:pPr>
      <w:r w:rsidRPr="00211E3B">
        <w:rPr>
          <w:snapToGrid w:val="0"/>
          <w:sz w:val="22"/>
          <w:szCs w:val="22"/>
          <w:lang w:eastAsia="x-none"/>
        </w:rPr>
        <w:t>Nedelsdami kreipkitės į gydytoją arba vaistininką.</w:t>
      </w:r>
    </w:p>
    <w:p w14:paraId="17C25495" w14:textId="77777777" w:rsidR="00B65381" w:rsidRPr="00211E3B" w:rsidRDefault="00B65381" w:rsidP="00B65381">
      <w:pPr>
        <w:numPr>
          <w:ilvl w:val="12"/>
          <w:numId w:val="0"/>
        </w:numPr>
        <w:ind w:right="-2"/>
        <w:rPr>
          <w:snapToGrid w:val="0"/>
          <w:sz w:val="22"/>
          <w:szCs w:val="24"/>
        </w:rPr>
      </w:pPr>
    </w:p>
    <w:p w14:paraId="1533A130" w14:textId="77777777" w:rsidR="00B65381" w:rsidRPr="00211E3B" w:rsidRDefault="00B65381" w:rsidP="00B65381">
      <w:pPr>
        <w:keepNext/>
        <w:tabs>
          <w:tab w:val="left" w:pos="567"/>
        </w:tabs>
        <w:spacing w:line="260" w:lineRule="exact"/>
        <w:jc w:val="both"/>
        <w:outlineLvl w:val="3"/>
        <w:rPr>
          <w:b/>
          <w:bCs/>
          <w:snapToGrid w:val="0"/>
          <w:sz w:val="22"/>
          <w:szCs w:val="28"/>
          <w:lang w:eastAsia="x-none"/>
        </w:rPr>
      </w:pPr>
      <w:r w:rsidRPr="00211E3B">
        <w:rPr>
          <w:b/>
          <w:bCs/>
          <w:snapToGrid w:val="0"/>
          <w:sz w:val="22"/>
          <w:szCs w:val="28"/>
          <w:lang w:eastAsia="x-none"/>
        </w:rPr>
        <w:t>Pamiršus pavartoti Agarf</w:t>
      </w:r>
    </w:p>
    <w:p w14:paraId="78BB65BB" w14:textId="4A7DCCF7" w:rsidR="00B65381" w:rsidRPr="00211E3B" w:rsidRDefault="00B65381" w:rsidP="00B65381">
      <w:pPr>
        <w:numPr>
          <w:ilvl w:val="12"/>
          <w:numId w:val="0"/>
        </w:numPr>
        <w:ind w:right="-2"/>
        <w:rPr>
          <w:snapToGrid w:val="0"/>
          <w:sz w:val="22"/>
          <w:szCs w:val="24"/>
        </w:rPr>
      </w:pPr>
      <w:r w:rsidRPr="00211E3B">
        <w:rPr>
          <w:snapToGrid w:val="0"/>
          <w:sz w:val="22"/>
          <w:szCs w:val="24"/>
        </w:rPr>
        <w:t xml:space="preserve">Negalima vartoti </w:t>
      </w:r>
      <w:r>
        <w:rPr>
          <w:snapToGrid w:val="0"/>
          <w:sz w:val="22"/>
          <w:szCs w:val="24"/>
        </w:rPr>
        <w:t xml:space="preserve">dviejų kapsulių vienu metu, jei pamiršote išgerti ankstesnę dozę. </w:t>
      </w:r>
      <w:r w:rsidRPr="00211E3B">
        <w:rPr>
          <w:snapToGrid w:val="0"/>
          <w:sz w:val="22"/>
          <w:szCs w:val="24"/>
        </w:rPr>
        <w:t xml:space="preserve">Kitą </w:t>
      </w:r>
      <w:r>
        <w:rPr>
          <w:snapToGrid w:val="0"/>
          <w:sz w:val="22"/>
          <w:szCs w:val="24"/>
        </w:rPr>
        <w:t>1</w:t>
      </w:r>
      <w:r w:rsidR="00CE4150">
        <w:rPr>
          <w:snapToGrid w:val="0"/>
          <w:sz w:val="22"/>
          <w:szCs w:val="24"/>
        </w:rPr>
        <w:t>5</w:t>
      </w:r>
      <w:r>
        <w:rPr>
          <w:snapToGrid w:val="0"/>
          <w:sz w:val="22"/>
          <w:szCs w:val="24"/>
        </w:rPr>
        <w:t xml:space="preserve">0 mg </w:t>
      </w:r>
      <w:r w:rsidRPr="00211E3B">
        <w:rPr>
          <w:snapToGrid w:val="0"/>
          <w:sz w:val="22"/>
          <w:szCs w:val="24"/>
        </w:rPr>
        <w:t xml:space="preserve">Agarf dozę </w:t>
      </w:r>
      <w:r>
        <w:rPr>
          <w:snapToGrid w:val="0"/>
          <w:sz w:val="22"/>
          <w:szCs w:val="24"/>
        </w:rPr>
        <w:t>turite vartoti</w:t>
      </w:r>
      <w:r w:rsidRPr="00211E3B">
        <w:rPr>
          <w:snapToGrid w:val="0"/>
          <w:sz w:val="22"/>
          <w:szCs w:val="24"/>
        </w:rPr>
        <w:t xml:space="preserve"> numatyt</w:t>
      </w:r>
      <w:r>
        <w:rPr>
          <w:snapToGrid w:val="0"/>
          <w:sz w:val="22"/>
          <w:szCs w:val="24"/>
        </w:rPr>
        <w:t>u</w:t>
      </w:r>
      <w:r w:rsidRPr="00211E3B">
        <w:rPr>
          <w:snapToGrid w:val="0"/>
          <w:sz w:val="22"/>
          <w:szCs w:val="24"/>
        </w:rPr>
        <w:t xml:space="preserve"> įprastu laiku</w:t>
      </w:r>
      <w:r>
        <w:rPr>
          <w:snapToGrid w:val="0"/>
          <w:sz w:val="22"/>
          <w:szCs w:val="24"/>
        </w:rPr>
        <w:t>, kaip</w:t>
      </w:r>
      <w:r w:rsidRPr="00211E3B">
        <w:rPr>
          <w:snapToGrid w:val="0"/>
          <w:sz w:val="22"/>
          <w:szCs w:val="24"/>
        </w:rPr>
        <w:t xml:space="preserve"> rekomendavo gydytojas ar vaistininkas.</w:t>
      </w:r>
    </w:p>
    <w:p w14:paraId="483AB915" w14:textId="77777777" w:rsidR="00B65381" w:rsidRPr="00211E3B" w:rsidRDefault="00B65381" w:rsidP="00B65381">
      <w:pPr>
        <w:numPr>
          <w:ilvl w:val="12"/>
          <w:numId w:val="0"/>
        </w:numPr>
        <w:ind w:right="-2"/>
        <w:rPr>
          <w:snapToGrid w:val="0"/>
          <w:sz w:val="22"/>
          <w:szCs w:val="24"/>
        </w:rPr>
      </w:pPr>
    </w:p>
    <w:p w14:paraId="0FDB481A" w14:textId="77777777" w:rsidR="00B65381" w:rsidRPr="00211E3B" w:rsidRDefault="00B65381" w:rsidP="00B65381">
      <w:pPr>
        <w:keepNext/>
        <w:tabs>
          <w:tab w:val="left" w:pos="567"/>
        </w:tabs>
        <w:spacing w:line="260" w:lineRule="exact"/>
        <w:jc w:val="both"/>
        <w:outlineLvl w:val="3"/>
        <w:rPr>
          <w:b/>
          <w:bCs/>
          <w:snapToGrid w:val="0"/>
          <w:sz w:val="22"/>
          <w:szCs w:val="28"/>
          <w:lang w:eastAsia="x-none"/>
        </w:rPr>
      </w:pPr>
      <w:r w:rsidRPr="00211E3B">
        <w:rPr>
          <w:b/>
          <w:bCs/>
          <w:snapToGrid w:val="0"/>
          <w:sz w:val="22"/>
          <w:szCs w:val="28"/>
          <w:lang w:eastAsia="x-none"/>
        </w:rPr>
        <w:t>Nustojus vartoti Agarf</w:t>
      </w:r>
    </w:p>
    <w:p w14:paraId="6A69CF61" w14:textId="77777777" w:rsidR="00B65381" w:rsidRPr="00211E3B" w:rsidRDefault="00B65381" w:rsidP="00B65381">
      <w:pPr>
        <w:numPr>
          <w:ilvl w:val="12"/>
          <w:numId w:val="0"/>
        </w:numPr>
        <w:ind w:right="-29"/>
        <w:rPr>
          <w:snapToGrid w:val="0"/>
          <w:sz w:val="22"/>
          <w:szCs w:val="24"/>
        </w:rPr>
      </w:pPr>
      <w:r w:rsidRPr="00211E3B">
        <w:rPr>
          <w:snapToGrid w:val="0"/>
          <w:sz w:val="22"/>
          <w:szCs w:val="24"/>
        </w:rPr>
        <w:t>Nenutraukite Agarf vartojimo nepasitarę su savo gydytoju. Svarbu šį vaistą gerti kiekvieną dieną ir tiek laiko, kiek Jums skyrė gydytojas.</w:t>
      </w:r>
    </w:p>
    <w:p w14:paraId="7845B671" w14:textId="77777777" w:rsidR="00B65381" w:rsidRPr="00211E3B" w:rsidRDefault="00B65381" w:rsidP="00B65381">
      <w:pPr>
        <w:numPr>
          <w:ilvl w:val="12"/>
          <w:numId w:val="0"/>
        </w:numPr>
        <w:ind w:right="-29"/>
        <w:rPr>
          <w:snapToGrid w:val="0"/>
          <w:sz w:val="22"/>
          <w:szCs w:val="24"/>
        </w:rPr>
      </w:pPr>
    </w:p>
    <w:p w14:paraId="25751712" w14:textId="77777777" w:rsidR="00B65381" w:rsidRPr="00211E3B" w:rsidRDefault="00B65381" w:rsidP="00B65381">
      <w:pPr>
        <w:numPr>
          <w:ilvl w:val="12"/>
          <w:numId w:val="0"/>
        </w:numPr>
        <w:ind w:right="-29"/>
        <w:rPr>
          <w:snapToGrid w:val="0"/>
          <w:sz w:val="22"/>
          <w:szCs w:val="24"/>
        </w:rPr>
      </w:pPr>
      <w:r w:rsidRPr="00211E3B">
        <w:rPr>
          <w:snapToGrid w:val="0"/>
          <w:sz w:val="22"/>
          <w:szCs w:val="24"/>
        </w:rPr>
        <w:t>Jeigu kiltų daugiau klausimų dėl šio vaisto vartojimo, kreipkitės į gydytoją arba vaistininką.</w:t>
      </w:r>
    </w:p>
    <w:p w14:paraId="1802D77F" w14:textId="77777777" w:rsidR="00B65381" w:rsidRPr="00305F70" w:rsidRDefault="00B65381" w:rsidP="00B65381">
      <w:pPr>
        <w:numPr>
          <w:ilvl w:val="12"/>
          <w:numId w:val="0"/>
        </w:numPr>
        <w:rPr>
          <w:snapToGrid w:val="0"/>
          <w:sz w:val="16"/>
          <w:szCs w:val="16"/>
        </w:rPr>
      </w:pPr>
    </w:p>
    <w:p w14:paraId="4011E154" w14:textId="77777777" w:rsidR="00B65381" w:rsidRPr="00211E3B" w:rsidRDefault="00B65381" w:rsidP="00B65381">
      <w:pPr>
        <w:numPr>
          <w:ilvl w:val="12"/>
          <w:numId w:val="0"/>
        </w:numPr>
        <w:rPr>
          <w:snapToGrid w:val="0"/>
          <w:sz w:val="22"/>
          <w:szCs w:val="24"/>
        </w:rPr>
      </w:pPr>
    </w:p>
    <w:p w14:paraId="08FE2438" w14:textId="77777777" w:rsidR="00B65381" w:rsidRPr="00211E3B" w:rsidRDefault="00B65381" w:rsidP="00B65381">
      <w:pPr>
        <w:keepNext/>
        <w:keepLines/>
        <w:tabs>
          <w:tab w:val="left" w:pos="567"/>
        </w:tabs>
        <w:outlineLvl w:val="2"/>
        <w:rPr>
          <w:b/>
          <w:bCs/>
          <w:snapToGrid w:val="0"/>
          <w:sz w:val="22"/>
          <w:szCs w:val="26"/>
          <w:lang w:eastAsia="x-none"/>
        </w:rPr>
      </w:pPr>
      <w:r w:rsidRPr="00211E3B">
        <w:rPr>
          <w:b/>
          <w:bCs/>
          <w:snapToGrid w:val="0"/>
          <w:sz w:val="22"/>
          <w:szCs w:val="26"/>
          <w:lang w:eastAsia="x-none"/>
        </w:rPr>
        <w:t>4.</w:t>
      </w:r>
      <w:r w:rsidRPr="00211E3B">
        <w:rPr>
          <w:b/>
          <w:bCs/>
          <w:snapToGrid w:val="0"/>
          <w:sz w:val="22"/>
          <w:szCs w:val="26"/>
          <w:lang w:eastAsia="x-none"/>
        </w:rPr>
        <w:tab/>
        <w:t>Galimas šalutinis poveikis</w:t>
      </w:r>
    </w:p>
    <w:p w14:paraId="18C01D83" w14:textId="77777777" w:rsidR="00B65381" w:rsidRPr="00211E3B" w:rsidRDefault="00B65381" w:rsidP="00B65381">
      <w:pPr>
        <w:numPr>
          <w:ilvl w:val="12"/>
          <w:numId w:val="0"/>
        </w:numPr>
        <w:rPr>
          <w:snapToGrid w:val="0"/>
          <w:sz w:val="22"/>
          <w:szCs w:val="24"/>
        </w:rPr>
      </w:pPr>
    </w:p>
    <w:p w14:paraId="1D38E1AA" w14:textId="77777777" w:rsidR="00B65381" w:rsidRPr="00211E3B" w:rsidRDefault="00B65381" w:rsidP="00B65381">
      <w:pPr>
        <w:ind w:right="-29"/>
        <w:rPr>
          <w:snapToGrid w:val="0"/>
          <w:sz w:val="22"/>
        </w:rPr>
      </w:pPr>
      <w:r w:rsidRPr="00211E3B">
        <w:rPr>
          <w:snapToGrid w:val="0"/>
          <w:sz w:val="22"/>
        </w:rPr>
        <w:t>Šis vaistas, kaip ir visi kiti, gali sukelti šalutinį poveikį, nors jis pasireiškia ne visiems žmonėms.</w:t>
      </w:r>
    </w:p>
    <w:p w14:paraId="2A35FDA4" w14:textId="77777777" w:rsidR="00B65381" w:rsidRPr="00211E3B" w:rsidRDefault="00B65381" w:rsidP="00B65381">
      <w:pPr>
        <w:tabs>
          <w:tab w:val="left" w:pos="567"/>
        </w:tabs>
        <w:ind w:right="-29"/>
        <w:rPr>
          <w:snapToGrid w:val="0"/>
          <w:sz w:val="22"/>
        </w:rPr>
      </w:pPr>
    </w:p>
    <w:p w14:paraId="74504FF8" w14:textId="77777777" w:rsidR="00B65381" w:rsidRPr="00211E3B" w:rsidRDefault="00B65381" w:rsidP="00B65381">
      <w:pPr>
        <w:tabs>
          <w:tab w:val="left" w:pos="567"/>
        </w:tabs>
        <w:ind w:right="-29"/>
        <w:rPr>
          <w:snapToGrid w:val="0"/>
          <w:sz w:val="22"/>
        </w:rPr>
      </w:pPr>
      <w:r w:rsidRPr="00211E3B">
        <w:rPr>
          <w:snapToGrid w:val="0"/>
          <w:sz w:val="22"/>
        </w:rPr>
        <w:t>Ypač svarbu atkreipti dėmesį, jeigu gydymo Agarf metu Jums pasireiškia toliau išvardytas šalutinis poveikis.</w:t>
      </w:r>
    </w:p>
    <w:p w14:paraId="4818E3AA" w14:textId="77777777" w:rsidR="00B65381" w:rsidRPr="00211E3B" w:rsidRDefault="00B65381" w:rsidP="00B65381">
      <w:pPr>
        <w:tabs>
          <w:tab w:val="left" w:pos="567"/>
        </w:tabs>
        <w:ind w:right="-29"/>
        <w:rPr>
          <w:snapToGrid w:val="0"/>
          <w:sz w:val="22"/>
        </w:rPr>
      </w:pPr>
    </w:p>
    <w:p w14:paraId="7DE2D349" w14:textId="77777777" w:rsidR="00B65381" w:rsidRPr="005A0104" w:rsidRDefault="00B65381" w:rsidP="00B65381">
      <w:pPr>
        <w:ind w:right="-2"/>
        <w:rPr>
          <w:snapToGrid w:val="0"/>
          <w:sz w:val="22"/>
          <w:szCs w:val="24"/>
        </w:rPr>
      </w:pPr>
      <w:r w:rsidRPr="005A0104">
        <w:rPr>
          <w:b/>
          <w:bCs/>
          <w:snapToGrid w:val="0"/>
          <w:sz w:val="22"/>
          <w:szCs w:val="24"/>
        </w:rPr>
        <w:t xml:space="preserve">Viduriavimas </w:t>
      </w:r>
      <w:r w:rsidRPr="005A0104">
        <w:rPr>
          <w:snapToGrid w:val="0"/>
          <w:sz w:val="22"/>
          <w:szCs w:val="24"/>
        </w:rPr>
        <w:t>(labai dažnas šalutinio poveikio reiškinys, gali pasireikšti ne rečiau kaip 1 iš 10 asmenų)</w:t>
      </w:r>
    </w:p>
    <w:p w14:paraId="01D09242" w14:textId="77777777" w:rsidR="00B65381" w:rsidRPr="00211E3B" w:rsidRDefault="00B65381" w:rsidP="00B65381">
      <w:pPr>
        <w:tabs>
          <w:tab w:val="left" w:pos="567"/>
        </w:tabs>
        <w:ind w:right="-29"/>
        <w:rPr>
          <w:snapToGrid w:val="0"/>
          <w:sz w:val="22"/>
        </w:rPr>
      </w:pPr>
      <w:r w:rsidRPr="00211E3B">
        <w:rPr>
          <w:snapToGrid w:val="0"/>
          <w:sz w:val="22"/>
        </w:rPr>
        <w:t>Viduri</w:t>
      </w:r>
      <w:r>
        <w:rPr>
          <w:snapToGrid w:val="0"/>
          <w:sz w:val="22"/>
        </w:rPr>
        <w:t xml:space="preserve">avimas gali sukelti dehidrataciją: </w:t>
      </w:r>
      <w:r w:rsidRPr="00211E3B">
        <w:rPr>
          <w:snapToGrid w:val="0"/>
          <w:sz w:val="22"/>
        </w:rPr>
        <w:t xml:space="preserve">organizmas gali netekti skysčių ir svarbių druskų (elektrolitų, tokių kaip natris ar kalis). Pasireiškus pirmiesiems viduriavimo požymiams, gerkite daug skysčių ir nedelsdami kreipkitės į savo gydytoją. </w:t>
      </w:r>
      <w:r>
        <w:rPr>
          <w:snapToGrid w:val="0"/>
          <w:sz w:val="22"/>
        </w:rPr>
        <w:t>Kiek įmanoma</w:t>
      </w:r>
      <w:r w:rsidRPr="00211E3B">
        <w:rPr>
          <w:snapToGrid w:val="0"/>
          <w:sz w:val="22"/>
        </w:rPr>
        <w:t xml:space="preserve"> greičiau pradėkite tinkamą viduriavimo gydymą, pvz., loperamidu.</w:t>
      </w:r>
    </w:p>
    <w:p w14:paraId="39878F78" w14:textId="77777777" w:rsidR="00B65381" w:rsidRPr="00211E3B" w:rsidRDefault="00B65381" w:rsidP="00B65381">
      <w:pPr>
        <w:tabs>
          <w:tab w:val="left" w:pos="567"/>
        </w:tabs>
        <w:ind w:right="-29"/>
        <w:rPr>
          <w:snapToGrid w:val="0"/>
          <w:sz w:val="22"/>
        </w:rPr>
      </w:pPr>
    </w:p>
    <w:p w14:paraId="2097CFDB" w14:textId="77777777" w:rsidR="00B65381" w:rsidRPr="005A0104" w:rsidRDefault="00B65381" w:rsidP="00B65381">
      <w:pPr>
        <w:ind w:right="-2"/>
        <w:rPr>
          <w:snapToGrid w:val="0"/>
          <w:sz w:val="22"/>
          <w:u w:val="single"/>
        </w:rPr>
      </w:pPr>
      <w:r w:rsidRPr="005A0104">
        <w:rPr>
          <w:snapToGrid w:val="0"/>
          <w:sz w:val="22"/>
          <w:u w:val="single"/>
        </w:rPr>
        <w:t>Idiopatinė plaučių fibrozė (IPF)</w:t>
      </w:r>
    </w:p>
    <w:p w14:paraId="7B0DC631" w14:textId="77777777" w:rsidR="00B65381" w:rsidRPr="00BF4AB8" w:rsidRDefault="00B65381" w:rsidP="00B65381">
      <w:pPr>
        <w:tabs>
          <w:tab w:val="left" w:pos="567"/>
        </w:tabs>
        <w:ind w:right="-29"/>
        <w:rPr>
          <w:snapToGrid w:val="0"/>
          <w:sz w:val="22"/>
        </w:rPr>
      </w:pPr>
      <w:r w:rsidRPr="00BF4AB8">
        <w:rPr>
          <w:b/>
          <w:bCs/>
          <w:snapToGrid w:val="0"/>
          <w:sz w:val="22"/>
        </w:rPr>
        <w:t>Labai dažni šalutinio poveikio reiškiniai</w:t>
      </w:r>
      <w:r w:rsidRPr="00BF4AB8">
        <w:rPr>
          <w:snapToGrid w:val="0"/>
          <w:sz w:val="22"/>
        </w:rPr>
        <w:t xml:space="preserve"> (gali pasireikšti ne rečiau kaip 1 iš 10 asmenų)</w:t>
      </w:r>
    </w:p>
    <w:p w14:paraId="5A794A7F" w14:textId="77777777" w:rsidR="00B65381" w:rsidRPr="005A0104" w:rsidRDefault="00B65381" w:rsidP="00B65381">
      <w:pPr>
        <w:pStyle w:val="Sraopastraipa"/>
        <w:numPr>
          <w:ilvl w:val="0"/>
          <w:numId w:val="7"/>
        </w:numPr>
        <w:ind w:left="567" w:right="-2" w:hanging="567"/>
        <w:rPr>
          <w:snapToGrid w:val="0"/>
          <w:sz w:val="22"/>
        </w:rPr>
      </w:pPr>
      <w:r w:rsidRPr="005A0104">
        <w:rPr>
          <w:snapToGrid w:val="0"/>
          <w:sz w:val="22"/>
        </w:rPr>
        <w:t>Pykinimas.</w:t>
      </w:r>
    </w:p>
    <w:p w14:paraId="7A2BDE59" w14:textId="77777777" w:rsidR="00B65381" w:rsidRPr="005A0104" w:rsidRDefault="00B65381" w:rsidP="00B65381">
      <w:pPr>
        <w:pStyle w:val="Sraopastraipa"/>
        <w:numPr>
          <w:ilvl w:val="0"/>
          <w:numId w:val="7"/>
        </w:numPr>
        <w:ind w:left="567" w:right="-2" w:hanging="567"/>
        <w:rPr>
          <w:snapToGrid w:val="0"/>
          <w:sz w:val="22"/>
        </w:rPr>
      </w:pPr>
      <w:r w:rsidRPr="005A0104">
        <w:rPr>
          <w:snapToGrid w:val="0"/>
          <w:sz w:val="22"/>
        </w:rPr>
        <w:t>Apatinės kūno dalies (pilvo) skausmas.</w:t>
      </w:r>
    </w:p>
    <w:p w14:paraId="7FFDF1F7" w14:textId="77777777" w:rsidR="00B65381" w:rsidRPr="005A0104" w:rsidRDefault="00B65381" w:rsidP="00B65381">
      <w:pPr>
        <w:pStyle w:val="Sraopastraipa"/>
        <w:numPr>
          <w:ilvl w:val="0"/>
          <w:numId w:val="7"/>
        </w:numPr>
        <w:ind w:left="567" w:right="-2" w:hanging="567"/>
        <w:rPr>
          <w:snapToGrid w:val="0"/>
          <w:sz w:val="22"/>
        </w:rPr>
      </w:pPr>
      <w:r w:rsidRPr="005A0104">
        <w:rPr>
          <w:snapToGrid w:val="0"/>
          <w:sz w:val="22"/>
        </w:rPr>
        <w:t>Nenormalūs kepenų tyrim</w:t>
      </w:r>
      <w:r>
        <w:rPr>
          <w:snapToGrid w:val="0"/>
          <w:sz w:val="22"/>
        </w:rPr>
        <w:t>o</w:t>
      </w:r>
      <w:r w:rsidRPr="005A0104">
        <w:rPr>
          <w:snapToGrid w:val="0"/>
          <w:sz w:val="22"/>
        </w:rPr>
        <w:t xml:space="preserve"> </w:t>
      </w:r>
      <w:r>
        <w:rPr>
          <w:snapToGrid w:val="0"/>
          <w:sz w:val="22"/>
        </w:rPr>
        <w:t>rodmenys</w:t>
      </w:r>
      <w:r w:rsidRPr="005A0104">
        <w:rPr>
          <w:snapToGrid w:val="0"/>
          <w:sz w:val="22"/>
        </w:rPr>
        <w:t>.</w:t>
      </w:r>
    </w:p>
    <w:p w14:paraId="4C3897D3" w14:textId="77777777" w:rsidR="00B65381" w:rsidRDefault="00B65381" w:rsidP="00B65381">
      <w:pPr>
        <w:ind w:right="-2"/>
        <w:rPr>
          <w:snapToGrid w:val="0"/>
          <w:sz w:val="22"/>
        </w:rPr>
      </w:pPr>
    </w:p>
    <w:p w14:paraId="322566AD" w14:textId="77777777" w:rsidR="00B65381" w:rsidRPr="005A0104" w:rsidRDefault="00B65381" w:rsidP="00B65381">
      <w:pPr>
        <w:tabs>
          <w:tab w:val="left" w:pos="567"/>
        </w:tabs>
        <w:ind w:right="-29"/>
        <w:rPr>
          <w:snapToGrid w:val="0"/>
          <w:sz w:val="22"/>
        </w:rPr>
      </w:pPr>
      <w:r w:rsidRPr="005A0104">
        <w:rPr>
          <w:b/>
          <w:bCs/>
          <w:snapToGrid w:val="0"/>
          <w:sz w:val="22"/>
        </w:rPr>
        <w:t>Dažni šalutinio poveikio reiškiniai</w:t>
      </w:r>
      <w:r w:rsidRPr="005A0104">
        <w:rPr>
          <w:snapToGrid w:val="0"/>
          <w:sz w:val="22"/>
        </w:rPr>
        <w:t xml:space="preserve"> (gali pasireikšti rečiau kaip 1 iš 10 asmenų)</w:t>
      </w:r>
    </w:p>
    <w:p w14:paraId="5FE0B956" w14:textId="77777777" w:rsidR="00B65381" w:rsidRPr="005A0104" w:rsidRDefault="00B65381" w:rsidP="00B65381">
      <w:pPr>
        <w:pStyle w:val="Sraopastraipa"/>
        <w:numPr>
          <w:ilvl w:val="0"/>
          <w:numId w:val="7"/>
        </w:numPr>
        <w:ind w:left="567" w:right="-2" w:hanging="567"/>
        <w:rPr>
          <w:snapToGrid w:val="0"/>
          <w:sz w:val="22"/>
        </w:rPr>
      </w:pPr>
      <w:r w:rsidRPr="005A0104">
        <w:rPr>
          <w:snapToGrid w:val="0"/>
          <w:sz w:val="22"/>
        </w:rPr>
        <w:t>Vėmimas.</w:t>
      </w:r>
    </w:p>
    <w:p w14:paraId="4B3304D0" w14:textId="77777777" w:rsidR="00B65381" w:rsidRPr="005A0104" w:rsidRDefault="00B65381" w:rsidP="00B65381">
      <w:pPr>
        <w:pStyle w:val="Sraopastraipa"/>
        <w:numPr>
          <w:ilvl w:val="0"/>
          <w:numId w:val="7"/>
        </w:numPr>
        <w:ind w:left="567" w:right="-2" w:hanging="567"/>
        <w:rPr>
          <w:snapToGrid w:val="0"/>
          <w:sz w:val="22"/>
        </w:rPr>
      </w:pPr>
      <w:r w:rsidRPr="005A0104">
        <w:rPr>
          <w:snapToGrid w:val="0"/>
          <w:sz w:val="22"/>
        </w:rPr>
        <w:t>Apetito netekimas.</w:t>
      </w:r>
    </w:p>
    <w:p w14:paraId="7F4C80F7" w14:textId="77777777" w:rsidR="00B65381" w:rsidRPr="005A0104" w:rsidRDefault="00B65381" w:rsidP="00B65381">
      <w:pPr>
        <w:pStyle w:val="Sraopastraipa"/>
        <w:numPr>
          <w:ilvl w:val="0"/>
          <w:numId w:val="7"/>
        </w:numPr>
        <w:ind w:left="567" w:right="-2" w:hanging="567"/>
        <w:rPr>
          <w:snapToGrid w:val="0"/>
          <w:sz w:val="22"/>
        </w:rPr>
      </w:pPr>
      <w:r w:rsidRPr="005A0104">
        <w:rPr>
          <w:snapToGrid w:val="0"/>
          <w:sz w:val="22"/>
        </w:rPr>
        <w:t>Kūno svorio sumažėjimas.</w:t>
      </w:r>
    </w:p>
    <w:p w14:paraId="34FC8907" w14:textId="77777777" w:rsidR="00B65381" w:rsidRPr="005A0104" w:rsidRDefault="00B65381" w:rsidP="00B65381">
      <w:pPr>
        <w:pStyle w:val="Sraopastraipa"/>
        <w:numPr>
          <w:ilvl w:val="0"/>
          <w:numId w:val="7"/>
        </w:numPr>
        <w:ind w:left="567" w:right="-2" w:hanging="567"/>
        <w:rPr>
          <w:snapToGrid w:val="0"/>
          <w:sz w:val="22"/>
        </w:rPr>
      </w:pPr>
      <w:r w:rsidRPr="005A0104">
        <w:rPr>
          <w:snapToGrid w:val="0"/>
          <w:sz w:val="22"/>
        </w:rPr>
        <w:t>Kraujavimas.</w:t>
      </w:r>
    </w:p>
    <w:p w14:paraId="5721B0C7" w14:textId="77777777" w:rsidR="00B65381" w:rsidRPr="005A0104" w:rsidRDefault="00B65381" w:rsidP="00B65381">
      <w:pPr>
        <w:pStyle w:val="Sraopastraipa"/>
        <w:numPr>
          <w:ilvl w:val="0"/>
          <w:numId w:val="7"/>
        </w:numPr>
        <w:ind w:left="567" w:right="-2" w:hanging="567"/>
        <w:rPr>
          <w:snapToGrid w:val="0"/>
          <w:sz w:val="22"/>
        </w:rPr>
      </w:pPr>
      <w:r w:rsidRPr="005A0104">
        <w:rPr>
          <w:snapToGrid w:val="0"/>
          <w:sz w:val="22"/>
        </w:rPr>
        <w:t>Išbėrimas.</w:t>
      </w:r>
    </w:p>
    <w:p w14:paraId="428796F6" w14:textId="77777777" w:rsidR="00B65381" w:rsidRPr="005A0104" w:rsidRDefault="00B65381" w:rsidP="00B65381">
      <w:pPr>
        <w:pStyle w:val="Sraopastraipa"/>
        <w:numPr>
          <w:ilvl w:val="0"/>
          <w:numId w:val="7"/>
        </w:numPr>
        <w:ind w:left="567" w:right="-2" w:hanging="567"/>
        <w:rPr>
          <w:snapToGrid w:val="0"/>
          <w:sz w:val="22"/>
        </w:rPr>
      </w:pPr>
      <w:r w:rsidRPr="005A0104">
        <w:rPr>
          <w:snapToGrid w:val="0"/>
          <w:sz w:val="22"/>
        </w:rPr>
        <w:t>Galvos skausmas.</w:t>
      </w:r>
    </w:p>
    <w:p w14:paraId="66B73EF2" w14:textId="77777777" w:rsidR="00B65381" w:rsidRDefault="00B65381" w:rsidP="00B65381">
      <w:pPr>
        <w:ind w:right="-2"/>
        <w:rPr>
          <w:snapToGrid w:val="0"/>
          <w:sz w:val="22"/>
        </w:rPr>
      </w:pPr>
    </w:p>
    <w:p w14:paraId="1EF6B31E" w14:textId="77777777" w:rsidR="00B65381" w:rsidRPr="005A0104" w:rsidRDefault="00B65381" w:rsidP="00B65381">
      <w:pPr>
        <w:tabs>
          <w:tab w:val="left" w:pos="567"/>
        </w:tabs>
        <w:ind w:right="-29"/>
        <w:rPr>
          <w:snapToGrid w:val="0"/>
          <w:sz w:val="22"/>
        </w:rPr>
      </w:pPr>
      <w:r w:rsidRPr="005A0104">
        <w:rPr>
          <w:b/>
          <w:bCs/>
          <w:snapToGrid w:val="0"/>
          <w:sz w:val="22"/>
        </w:rPr>
        <w:t>Nedažni šalutinio poveikio reiškiniai</w:t>
      </w:r>
      <w:r w:rsidRPr="005A0104">
        <w:rPr>
          <w:snapToGrid w:val="0"/>
          <w:sz w:val="22"/>
        </w:rPr>
        <w:t xml:space="preserve"> (gali pasireikšti rečiau kaip 1 iš 100 asmenų)</w:t>
      </w:r>
    </w:p>
    <w:p w14:paraId="79423A45" w14:textId="77777777" w:rsidR="00B65381" w:rsidRPr="005A0104" w:rsidRDefault="00B65381" w:rsidP="00B65381">
      <w:pPr>
        <w:pStyle w:val="Sraopastraipa"/>
        <w:numPr>
          <w:ilvl w:val="0"/>
          <w:numId w:val="7"/>
        </w:numPr>
        <w:ind w:left="567" w:right="-2" w:hanging="567"/>
        <w:rPr>
          <w:snapToGrid w:val="0"/>
          <w:sz w:val="22"/>
        </w:rPr>
      </w:pPr>
      <w:r w:rsidRPr="005A0104">
        <w:rPr>
          <w:snapToGrid w:val="0"/>
          <w:sz w:val="22"/>
        </w:rPr>
        <w:t>Pankreatitas</w:t>
      </w:r>
      <w:r>
        <w:rPr>
          <w:snapToGrid w:val="0"/>
          <w:sz w:val="22"/>
        </w:rPr>
        <w:t xml:space="preserve"> (kasos uždegimas)</w:t>
      </w:r>
      <w:r w:rsidRPr="005A0104">
        <w:rPr>
          <w:snapToGrid w:val="0"/>
          <w:sz w:val="22"/>
        </w:rPr>
        <w:t>.</w:t>
      </w:r>
    </w:p>
    <w:p w14:paraId="7CC267FE" w14:textId="77777777" w:rsidR="00B65381" w:rsidRPr="005A0104" w:rsidRDefault="00B65381" w:rsidP="00B65381">
      <w:pPr>
        <w:pStyle w:val="Sraopastraipa"/>
        <w:numPr>
          <w:ilvl w:val="0"/>
          <w:numId w:val="7"/>
        </w:numPr>
        <w:ind w:left="567" w:right="-2" w:hanging="567"/>
        <w:rPr>
          <w:snapToGrid w:val="0"/>
          <w:sz w:val="22"/>
        </w:rPr>
      </w:pPr>
      <w:r w:rsidRPr="005A0104">
        <w:rPr>
          <w:snapToGrid w:val="0"/>
          <w:sz w:val="22"/>
        </w:rPr>
        <w:t>Storosios žarnos uždegimas.</w:t>
      </w:r>
    </w:p>
    <w:p w14:paraId="491C7016" w14:textId="77777777" w:rsidR="00B65381" w:rsidRPr="005A0104" w:rsidRDefault="00B65381" w:rsidP="00B65381">
      <w:pPr>
        <w:pStyle w:val="Sraopastraipa"/>
        <w:numPr>
          <w:ilvl w:val="0"/>
          <w:numId w:val="7"/>
        </w:numPr>
        <w:ind w:left="567" w:right="-2" w:hanging="567"/>
        <w:rPr>
          <w:snapToGrid w:val="0"/>
          <w:sz w:val="22"/>
        </w:rPr>
      </w:pPr>
      <w:r w:rsidRPr="005A0104">
        <w:rPr>
          <w:snapToGrid w:val="0"/>
          <w:sz w:val="22"/>
        </w:rPr>
        <w:t>Sunkūs kepenų sutrikimai.</w:t>
      </w:r>
    </w:p>
    <w:p w14:paraId="6304DCB9" w14:textId="77777777" w:rsidR="00B65381" w:rsidRPr="005A0104" w:rsidRDefault="00B65381" w:rsidP="00B65381">
      <w:pPr>
        <w:pStyle w:val="Sraopastraipa"/>
        <w:numPr>
          <w:ilvl w:val="0"/>
          <w:numId w:val="7"/>
        </w:numPr>
        <w:ind w:left="567" w:right="-2" w:hanging="567"/>
        <w:rPr>
          <w:snapToGrid w:val="0"/>
          <w:sz w:val="22"/>
        </w:rPr>
      </w:pPr>
      <w:r w:rsidRPr="005A0104">
        <w:rPr>
          <w:snapToGrid w:val="0"/>
          <w:sz w:val="22"/>
        </w:rPr>
        <w:t>Mažas trombocitų skaičius (trombocitopenija).</w:t>
      </w:r>
    </w:p>
    <w:p w14:paraId="4C949227" w14:textId="77777777" w:rsidR="00B65381" w:rsidRPr="005A0104" w:rsidRDefault="00B65381" w:rsidP="00B65381">
      <w:pPr>
        <w:pStyle w:val="Sraopastraipa"/>
        <w:numPr>
          <w:ilvl w:val="0"/>
          <w:numId w:val="7"/>
        </w:numPr>
        <w:ind w:left="567" w:right="-2" w:hanging="567"/>
        <w:rPr>
          <w:snapToGrid w:val="0"/>
          <w:sz w:val="22"/>
        </w:rPr>
      </w:pPr>
      <w:r w:rsidRPr="005A0104">
        <w:rPr>
          <w:snapToGrid w:val="0"/>
          <w:sz w:val="22"/>
        </w:rPr>
        <w:lastRenderedPageBreak/>
        <w:t>Didelis kraujospūdis (hipertenzija).</w:t>
      </w:r>
    </w:p>
    <w:p w14:paraId="7AB7C00D" w14:textId="77777777" w:rsidR="00B65381" w:rsidRPr="005A0104" w:rsidRDefault="00B65381" w:rsidP="00B65381">
      <w:pPr>
        <w:pStyle w:val="Sraopastraipa"/>
        <w:numPr>
          <w:ilvl w:val="0"/>
          <w:numId w:val="7"/>
        </w:numPr>
        <w:ind w:left="567" w:right="-2" w:hanging="567"/>
        <w:rPr>
          <w:snapToGrid w:val="0"/>
          <w:sz w:val="22"/>
        </w:rPr>
      </w:pPr>
      <w:r w:rsidRPr="005A0104">
        <w:rPr>
          <w:snapToGrid w:val="0"/>
          <w:sz w:val="22"/>
        </w:rPr>
        <w:t>Gelta – odos ir akių baltymų pageltimas dėl didel</w:t>
      </w:r>
      <w:r>
        <w:rPr>
          <w:snapToGrid w:val="0"/>
          <w:sz w:val="22"/>
        </w:rPr>
        <w:t>io</w:t>
      </w:r>
      <w:r w:rsidRPr="005A0104">
        <w:rPr>
          <w:snapToGrid w:val="0"/>
          <w:sz w:val="22"/>
        </w:rPr>
        <w:t xml:space="preserve"> bilirubino </w:t>
      </w:r>
      <w:r>
        <w:rPr>
          <w:snapToGrid w:val="0"/>
          <w:sz w:val="22"/>
        </w:rPr>
        <w:t>kiekio</w:t>
      </w:r>
      <w:r w:rsidRPr="005A0104">
        <w:rPr>
          <w:snapToGrid w:val="0"/>
          <w:sz w:val="22"/>
        </w:rPr>
        <w:t>.</w:t>
      </w:r>
    </w:p>
    <w:p w14:paraId="764FA369" w14:textId="6DBDA60A" w:rsidR="00B65381" w:rsidRPr="005A0104" w:rsidRDefault="00B65381" w:rsidP="00B65381">
      <w:pPr>
        <w:pStyle w:val="Sraopastraipa"/>
        <w:numPr>
          <w:ilvl w:val="0"/>
          <w:numId w:val="7"/>
        </w:numPr>
        <w:ind w:left="567" w:right="-2" w:hanging="567"/>
        <w:rPr>
          <w:snapToGrid w:val="0"/>
          <w:sz w:val="22"/>
        </w:rPr>
      </w:pPr>
      <w:r w:rsidRPr="005A0104">
        <w:rPr>
          <w:snapToGrid w:val="0"/>
          <w:sz w:val="22"/>
        </w:rPr>
        <w:t>Niežėjimas.</w:t>
      </w:r>
    </w:p>
    <w:p w14:paraId="683CFA8A" w14:textId="77777777" w:rsidR="00B65381" w:rsidRPr="005A0104" w:rsidRDefault="00B65381" w:rsidP="00B65381">
      <w:pPr>
        <w:pStyle w:val="Sraopastraipa"/>
        <w:numPr>
          <w:ilvl w:val="0"/>
          <w:numId w:val="7"/>
        </w:numPr>
        <w:ind w:left="567" w:right="-2" w:hanging="567"/>
        <w:rPr>
          <w:snapToGrid w:val="0"/>
          <w:sz w:val="22"/>
        </w:rPr>
      </w:pPr>
      <w:r w:rsidRPr="005A0104">
        <w:rPr>
          <w:snapToGrid w:val="0"/>
          <w:sz w:val="22"/>
        </w:rPr>
        <w:t xml:space="preserve">Širdies </w:t>
      </w:r>
      <w:r>
        <w:rPr>
          <w:snapToGrid w:val="0"/>
          <w:sz w:val="22"/>
        </w:rPr>
        <w:t>priepuolis</w:t>
      </w:r>
      <w:r w:rsidRPr="005A0104">
        <w:rPr>
          <w:snapToGrid w:val="0"/>
          <w:sz w:val="22"/>
        </w:rPr>
        <w:t>.</w:t>
      </w:r>
    </w:p>
    <w:p w14:paraId="066462AB" w14:textId="77777777" w:rsidR="00B65381" w:rsidRPr="005A0104" w:rsidRDefault="00B65381" w:rsidP="00B65381">
      <w:pPr>
        <w:pStyle w:val="Sraopastraipa"/>
        <w:numPr>
          <w:ilvl w:val="0"/>
          <w:numId w:val="7"/>
        </w:numPr>
        <w:ind w:left="567" w:right="-2" w:hanging="567"/>
        <w:rPr>
          <w:snapToGrid w:val="0"/>
          <w:sz w:val="22"/>
        </w:rPr>
      </w:pPr>
      <w:r w:rsidRPr="005A0104">
        <w:rPr>
          <w:snapToGrid w:val="0"/>
          <w:sz w:val="22"/>
        </w:rPr>
        <w:t>Nuplikimas (alopecija).</w:t>
      </w:r>
    </w:p>
    <w:p w14:paraId="5429E820" w14:textId="77777777" w:rsidR="00B65381" w:rsidRPr="005A0104" w:rsidRDefault="00B65381" w:rsidP="00B65381">
      <w:pPr>
        <w:pStyle w:val="Sraopastraipa"/>
        <w:numPr>
          <w:ilvl w:val="0"/>
          <w:numId w:val="7"/>
        </w:numPr>
        <w:ind w:left="567" w:right="-2" w:hanging="567"/>
        <w:rPr>
          <w:snapToGrid w:val="0"/>
          <w:sz w:val="22"/>
        </w:rPr>
      </w:pPr>
      <w:r w:rsidRPr="005A0104">
        <w:rPr>
          <w:snapToGrid w:val="0"/>
          <w:sz w:val="22"/>
        </w:rPr>
        <w:t>Padidėjęs baltymo kiekis šlapime (proteinurija).</w:t>
      </w:r>
    </w:p>
    <w:p w14:paraId="66BB01B1" w14:textId="77777777" w:rsidR="00B65381" w:rsidRDefault="00B65381" w:rsidP="00B65381">
      <w:pPr>
        <w:ind w:right="-2"/>
        <w:rPr>
          <w:snapToGrid w:val="0"/>
          <w:sz w:val="22"/>
        </w:rPr>
      </w:pPr>
    </w:p>
    <w:p w14:paraId="2F3CDCFC" w14:textId="77777777" w:rsidR="00B65381" w:rsidRPr="00BF4AB8" w:rsidRDefault="00B65381" w:rsidP="00B65381">
      <w:pPr>
        <w:ind w:right="-2"/>
        <w:rPr>
          <w:snapToGrid w:val="0"/>
          <w:sz w:val="22"/>
          <w:szCs w:val="24"/>
        </w:rPr>
      </w:pPr>
      <w:r w:rsidRPr="00BF4AB8">
        <w:rPr>
          <w:b/>
          <w:bCs/>
          <w:snapToGrid w:val="0"/>
          <w:sz w:val="22"/>
          <w:szCs w:val="24"/>
        </w:rPr>
        <w:t>Šalutinio poveikio reiškiniai, kurių dažnis nežinomas</w:t>
      </w:r>
      <w:r w:rsidRPr="00BF4AB8">
        <w:rPr>
          <w:snapToGrid w:val="0"/>
          <w:sz w:val="22"/>
          <w:szCs w:val="24"/>
        </w:rPr>
        <w:t xml:space="preserve"> (negali būti apskaičiuotas pagal turimus duomenis)</w:t>
      </w:r>
    </w:p>
    <w:p w14:paraId="4CF688C9" w14:textId="77777777" w:rsidR="00B65381" w:rsidRPr="00C65FD9" w:rsidRDefault="00B65381" w:rsidP="00B65381">
      <w:pPr>
        <w:pStyle w:val="Sraopastraipa"/>
        <w:numPr>
          <w:ilvl w:val="0"/>
          <w:numId w:val="7"/>
        </w:numPr>
        <w:ind w:left="567" w:right="-2" w:hanging="567"/>
        <w:rPr>
          <w:snapToGrid w:val="0"/>
          <w:sz w:val="22"/>
        </w:rPr>
      </w:pPr>
      <w:r w:rsidRPr="00C65FD9">
        <w:rPr>
          <w:snapToGrid w:val="0"/>
          <w:sz w:val="22"/>
        </w:rPr>
        <w:t>Inkstų nepakankamumas.</w:t>
      </w:r>
    </w:p>
    <w:p w14:paraId="28EA6DAC" w14:textId="77777777" w:rsidR="00B65381" w:rsidRPr="00C65FD9" w:rsidRDefault="00B65381" w:rsidP="00B65381">
      <w:pPr>
        <w:pStyle w:val="Sraopastraipa"/>
        <w:numPr>
          <w:ilvl w:val="0"/>
          <w:numId w:val="16"/>
        </w:numPr>
        <w:ind w:left="567" w:right="-2" w:hanging="567"/>
        <w:rPr>
          <w:snapToGrid w:val="0"/>
          <w:sz w:val="22"/>
        </w:rPr>
      </w:pPr>
      <w:r w:rsidRPr="00C65FD9">
        <w:rPr>
          <w:snapToGrid w:val="0"/>
          <w:sz w:val="22"/>
        </w:rPr>
        <w:t>Kraujagyslės sienelės išsipūtimas ir susilpnėjimas arba kraujagyslės sienelės įplyšimas (aneurizm</w:t>
      </w:r>
      <w:r>
        <w:rPr>
          <w:snapToGrid w:val="0"/>
          <w:sz w:val="22"/>
        </w:rPr>
        <w:t>a</w:t>
      </w:r>
      <w:r w:rsidRPr="00C65FD9">
        <w:rPr>
          <w:snapToGrid w:val="0"/>
          <w:sz w:val="22"/>
        </w:rPr>
        <w:t xml:space="preserve"> ir arterijų atsisluoksniavimas).</w:t>
      </w:r>
    </w:p>
    <w:p w14:paraId="447E337B" w14:textId="77777777" w:rsidR="00B65381" w:rsidRPr="00305F70" w:rsidRDefault="00B65381" w:rsidP="00B65381">
      <w:pPr>
        <w:ind w:right="-2"/>
        <w:rPr>
          <w:snapToGrid w:val="0"/>
          <w:sz w:val="16"/>
          <w:szCs w:val="16"/>
        </w:rPr>
      </w:pPr>
    </w:p>
    <w:p w14:paraId="3889C0EA" w14:textId="77777777" w:rsidR="00B65381" w:rsidRPr="00C65FD9" w:rsidRDefault="00B65381" w:rsidP="00B65381">
      <w:pPr>
        <w:ind w:right="-2"/>
        <w:rPr>
          <w:snapToGrid w:val="0"/>
          <w:sz w:val="22"/>
          <w:u w:val="single"/>
        </w:rPr>
      </w:pPr>
      <w:r w:rsidRPr="00C65FD9">
        <w:rPr>
          <w:snapToGrid w:val="0"/>
          <w:sz w:val="22"/>
          <w:u w:val="single"/>
        </w:rPr>
        <w:t>Kitos lėtinės fibrozinės progresuojančio fenotipo intersticinės plaučių ligos (IPL)</w:t>
      </w:r>
    </w:p>
    <w:p w14:paraId="17BA9293" w14:textId="77777777" w:rsidR="00B65381" w:rsidRPr="00BF4AB8" w:rsidRDefault="00B65381" w:rsidP="00B65381">
      <w:pPr>
        <w:tabs>
          <w:tab w:val="left" w:pos="567"/>
        </w:tabs>
        <w:ind w:right="-29"/>
        <w:rPr>
          <w:snapToGrid w:val="0"/>
          <w:sz w:val="22"/>
        </w:rPr>
      </w:pPr>
      <w:r w:rsidRPr="00BF4AB8">
        <w:rPr>
          <w:b/>
          <w:bCs/>
          <w:snapToGrid w:val="0"/>
          <w:sz w:val="22"/>
        </w:rPr>
        <w:t>Labai dažni šalutinio poveikio reiškiniai</w:t>
      </w:r>
      <w:r w:rsidRPr="00BF4AB8">
        <w:rPr>
          <w:snapToGrid w:val="0"/>
          <w:sz w:val="22"/>
        </w:rPr>
        <w:t xml:space="preserve"> (gali pasireikšti ne rečiau kaip 1 iš 10 asmenų)</w:t>
      </w:r>
    </w:p>
    <w:p w14:paraId="6B95C267" w14:textId="77777777" w:rsidR="00B65381" w:rsidRPr="00B435BA" w:rsidRDefault="00B65381" w:rsidP="00B65381">
      <w:pPr>
        <w:pStyle w:val="Sraopastraipa"/>
        <w:numPr>
          <w:ilvl w:val="0"/>
          <w:numId w:val="16"/>
        </w:numPr>
        <w:ind w:left="567" w:right="-2" w:hanging="567"/>
        <w:rPr>
          <w:snapToGrid w:val="0"/>
          <w:sz w:val="22"/>
        </w:rPr>
      </w:pPr>
      <w:r w:rsidRPr="00B435BA">
        <w:rPr>
          <w:snapToGrid w:val="0"/>
          <w:sz w:val="22"/>
        </w:rPr>
        <w:t>Pykinimas.</w:t>
      </w:r>
    </w:p>
    <w:p w14:paraId="6B4FE1AD" w14:textId="77777777" w:rsidR="00B65381" w:rsidRPr="00B435BA" w:rsidRDefault="00B65381" w:rsidP="00B65381">
      <w:pPr>
        <w:pStyle w:val="Sraopastraipa"/>
        <w:numPr>
          <w:ilvl w:val="0"/>
          <w:numId w:val="16"/>
        </w:numPr>
        <w:ind w:left="567" w:right="-2" w:hanging="567"/>
        <w:rPr>
          <w:snapToGrid w:val="0"/>
          <w:sz w:val="22"/>
        </w:rPr>
      </w:pPr>
      <w:r w:rsidRPr="00B435BA">
        <w:rPr>
          <w:snapToGrid w:val="0"/>
          <w:sz w:val="22"/>
        </w:rPr>
        <w:t>Vėmimas.</w:t>
      </w:r>
    </w:p>
    <w:p w14:paraId="72919837" w14:textId="77777777" w:rsidR="00B65381" w:rsidRPr="00B435BA" w:rsidRDefault="00B65381" w:rsidP="00B65381">
      <w:pPr>
        <w:pStyle w:val="Sraopastraipa"/>
        <w:numPr>
          <w:ilvl w:val="0"/>
          <w:numId w:val="16"/>
        </w:numPr>
        <w:ind w:left="567" w:right="-2" w:hanging="567"/>
        <w:rPr>
          <w:snapToGrid w:val="0"/>
          <w:sz w:val="22"/>
        </w:rPr>
      </w:pPr>
      <w:r w:rsidRPr="00B435BA">
        <w:rPr>
          <w:snapToGrid w:val="0"/>
          <w:sz w:val="22"/>
        </w:rPr>
        <w:t>Apetito netekimas.</w:t>
      </w:r>
    </w:p>
    <w:p w14:paraId="5689653F" w14:textId="77777777" w:rsidR="00B65381" w:rsidRPr="00B435BA" w:rsidRDefault="00B65381" w:rsidP="00B65381">
      <w:pPr>
        <w:pStyle w:val="Sraopastraipa"/>
        <w:numPr>
          <w:ilvl w:val="0"/>
          <w:numId w:val="16"/>
        </w:numPr>
        <w:ind w:left="567" w:right="-2" w:hanging="567"/>
        <w:rPr>
          <w:snapToGrid w:val="0"/>
          <w:sz w:val="22"/>
        </w:rPr>
      </w:pPr>
      <w:r w:rsidRPr="00B435BA">
        <w:rPr>
          <w:snapToGrid w:val="0"/>
          <w:sz w:val="22"/>
        </w:rPr>
        <w:t>Apatinės kūno dalies (pilvo) skausmas.</w:t>
      </w:r>
    </w:p>
    <w:p w14:paraId="6FFE180C" w14:textId="77777777" w:rsidR="00B65381" w:rsidRPr="005A0104" w:rsidRDefault="00B65381" w:rsidP="00B65381">
      <w:pPr>
        <w:pStyle w:val="Sraopastraipa"/>
        <w:numPr>
          <w:ilvl w:val="0"/>
          <w:numId w:val="16"/>
        </w:numPr>
        <w:ind w:left="567" w:right="-2" w:hanging="567"/>
        <w:rPr>
          <w:snapToGrid w:val="0"/>
          <w:sz w:val="22"/>
        </w:rPr>
      </w:pPr>
      <w:r w:rsidRPr="005A0104">
        <w:rPr>
          <w:snapToGrid w:val="0"/>
          <w:sz w:val="22"/>
        </w:rPr>
        <w:t>Nenormalūs kepenų tyrim</w:t>
      </w:r>
      <w:r>
        <w:rPr>
          <w:snapToGrid w:val="0"/>
          <w:sz w:val="22"/>
        </w:rPr>
        <w:t>o</w:t>
      </w:r>
      <w:r w:rsidRPr="005A0104">
        <w:rPr>
          <w:snapToGrid w:val="0"/>
          <w:sz w:val="22"/>
        </w:rPr>
        <w:t xml:space="preserve"> </w:t>
      </w:r>
      <w:r>
        <w:rPr>
          <w:snapToGrid w:val="0"/>
          <w:sz w:val="22"/>
        </w:rPr>
        <w:t>rodmenys</w:t>
      </w:r>
      <w:r w:rsidRPr="005A0104">
        <w:rPr>
          <w:snapToGrid w:val="0"/>
          <w:sz w:val="22"/>
        </w:rPr>
        <w:t>.</w:t>
      </w:r>
    </w:p>
    <w:p w14:paraId="01ED6F5C" w14:textId="77777777" w:rsidR="00B65381" w:rsidRDefault="00B65381" w:rsidP="00B65381">
      <w:pPr>
        <w:ind w:right="-2"/>
        <w:rPr>
          <w:snapToGrid w:val="0"/>
          <w:sz w:val="22"/>
        </w:rPr>
      </w:pPr>
    </w:p>
    <w:p w14:paraId="0CD5DE96" w14:textId="77777777" w:rsidR="00B65381" w:rsidRPr="005A0104" w:rsidRDefault="00B65381" w:rsidP="00B65381">
      <w:pPr>
        <w:tabs>
          <w:tab w:val="left" w:pos="567"/>
        </w:tabs>
        <w:ind w:right="-29"/>
        <w:rPr>
          <w:snapToGrid w:val="0"/>
          <w:sz w:val="22"/>
        </w:rPr>
      </w:pPr>
      <w:r w:rsidRPr="005A0104">
        <w:rPr>
          <w:b/>
          <w:bCs/>
          <w:snapToGrid w:val="0"/>
          <w:sz w:val="22"/>
        </w:rPr>
        <w:t>Dažni šalutinio poveikio reiškiniai</w:t>
      </w:r>
      <w:r w:rsidRPr="005A0104">
        <w:rPr>
          <w:snapToGrid w:val="0"/>
          <w:sz w:val="22"/>
        </w:rPr>
        <w:t xml:space="preserve"> (gali pasireikšti rečiau kaip 1 iš 10 asmenų)</w:t>
      </w:r>
    </w:p>
    <w:p w14:paraId="03C8E2E3" w14:textId="77777777" w:rsidR="00B65381" w:rsidRPr="00B435BA" w:rsidRDefault="00B65381" w:rsidP="00B65381">
      <w:pPr>
        <w:pStyle w:val="Sraopastraipa"/>
        <w:numPr>
          <w:ilvl w:val="0"/>
          <w:numId w:val="16"/>
        </w:numPr>
        <w:ind w:left="567" w:right="-2" w:hanging="567"/>
        <w:rPr>
          <w:snapToGrid w:val="0"/>
          <w:sz w:val="22"/>
        </w:rPr>
      </w:pPr>
      <w:r w:rsidRPr="00B435BA">
        <w:rPr>
          <w:snapToGrid w:val="0"/>
          <w:sz w:val="22"/>
        </w:rPr>
        <w:t>Kūno svorio sumažėjimas.</w:t>
      </w:r>
    </w:p>
    <w:p w14:paraId="4CB4C006" w14:textId="77777777" w:rsidR="00B65381" w:rsidRPr="00B435BA" w:rsidRDefault="00B65381" w:rsidP="00B65381">
      <w:pPr>
        <w:pStyle w:val="Sraopastraipa"/>
        <w:numPr>
          <w:ilvl w:val="0"/>
          <w:numId w:val="16"/>
        </w:numPr>
        <w:ind w:left="567" w:right="-2" w:hanging="567"/>
        <w:rPr>
          <w:snapToGrid w:val="0"/>
          <w:sz w:val="22"/>
        </w:rPr>
      </w:pPr>
      <w:r w:rsidRPr="00B435BA">
        <w:rPr>
          <w:snapToGrid w:val="0"/>
          <w:sz w:val="22"/>
        </w:rPr>
        <w:t>Didelis kraujospūdis (hipertenzija).</w:t>
      </w:r>
    </w:p>
    <w:p w14:paraId="4D377F26" w14:textId="77777777" w:rsidR="00B65381" w:rsidRPr="00B435BA" w:rsidRDefault="00B65381" w:rsidP="00B65381">
      <w:pPr>
        <w:pStyle w:val="Sraopastraipa"/>
        <w:numPr>
          <w:ilvl w:val="0"/>
          <w:numId w:val="16"/>
        </w:numPr>
        <w:ind w:left="567" w:right="-2" w:hanging="567"/>
        <w:rPr>
          <w:snapToGrid w:val="0"/>
          <w:sz w:val="22"/>
        </w:rPr>
      </w:pPr>
      <w:r w:rsidRPr="00B435BA">
        <w:rPr>
          <w:snapToGrid w:val="0"/>
          <w:sz w:val="22"/>
        </w:rPr>
        <w:t>Kraujavimas.</w:t>
      </w:r>
    </w:p>
    <w:p w14:paraId="6515A700" w14:textId="77777777" w:rsidR="00B65381" w:rsidRPr="00B435BA" w:rsidRDefault="00B65381" w:rsidP="00B65381">
      <w:pPr>
        <w:pStyle w:val="Sraopastraipa"/>
        <w:numPr>
          <w:ilvl w:val="0"/>
          <w:numId w:val="16"/>
        </w:numPr>
        <w:ind w:left="567" w:right="-2" w:hanging="567"/>
        <w:rPr>
          <w:snapToGrid w:val="0"/>
          <w:sz w:val="22"/>
        </w:rPr>
      </w:pPr>
      <w:r w:rsidRPr="00B435BA">
        <w:rPr>
          <w:snapToGrid w:val="0"/>
          <w:sz w:val="22"/>
        </w:rPr>
        <w:t>Sunkūs kepenų sutrikimai.</w:t>
      </w:r>
    </w:p>
    <w:p w14:paraId="0AB48ECF" w14:textId="77777777" w:rsidR="00B65381" w:rsidRPr="00B435BA" w:rsidRDefault="00B65381" w:rsidP="00B65381">
      <w:pPr>
        <w:pStyle w:val="Sraopastraipa"/>
        <w:numPr>
          <w:ilvl w:val="0"/>
          <w:numId w:val="16"/>
        </w:numPr>
        <w:ind w:left="567" w:right="-2" w:hanging="567"/>
        <w:rPr>
          <w:snapToGrid w:val="0"/>
          <w:sz w:val="22"/>
        </w:rPr>
      </w:pPr>
      <w:r w:rsidRPr="00B435BA">
        <w:rPr>
          <w:snapToGrid w:val="0"/>
          <w:sz w:val="22"/>
        </w:rPr>
        <w:t>Išbėrimas.</w:t>
      </w:r>
    </w:p>
    <w:p w14:paraId="4BD74C94" w14:textId="77777777" w:rsidR="00B65381" w:rsidRPr="00B435BA" w:rsidRDefault="00B65381" w:rsidP="00B65381">
      <w:pPr>
        <w:pStyle w:val="Sraopastraipa"/>
        <w:numPr>
          <w:ilvl w:val="0"/>
          <w:numId w:val="16"/>
        </w:numPr>
        <w:ind w:left="567" w:right="-2" w:hanging="567"/>
        <w:rPr>
          <w:snapToGrid w:val="0"/>
          <w:sz w:val="22"/>
        </w:rPr>
      </w:pPr>
      <w:r w:rsidRPr="00B435BA">
        <w:rPr>
          <w:snapToGrid w:val="0"/>
          <w:sz w:val="22"/>
        </w:rPr>
        <w:t>Galvos skausmas.</w:t>
      </w:r>
    </w:p>
    <w:p w14:paraId="1DA19825" w14:textId="77777777" w:rsidR="00B65381" w:rsidRDefault="00B65381" w:rsidP="00B65381">
      <w:pPr>
        <w:ind w:right="-2"/>
        <w:rPr>
          <w:snapToGrid w:val="0"/>
          <w:sz w:val="22"/>
        </w:rPr>
      </w:pPr>
    </w:p>
    <w:p w14:paraId="5B5676C4" w14:textId="77777777" w:rsidR="00B65381" w:rsidRPr="00003D22" w:rsidRDefault="00B65381" w:rsidP="00B65381">
      <w:pPr>
        <w:tabs>
          <w:tab w:val="left" w:pos="567"/>
        </w:tabs>
        <w:ind w:right="-29"/>
        <w:rPr>
          <w:snapToGrid w:val="0"/>
          <w:sz w:val="22"/>
        </w:rPr>
      </w:pPr>
      <w:r w:rsidRPr="00003D22">
        <w:rPr>
          <w:b/>
          <w:bCs/>
          <w:snapToGrid w:val="0"/>
          <w:sz w:val="22"/>
        </w:rPr>
        <w:t>Nedažni šalutinio poveikio reiškiniai</w:t>
      </w:r>
      <w:r w:rsidRPr="00003D22">
        <w:rPr>
          <w:snapToGrid w:val="0"/>
          <w:sz w:val="22"/>
        </w:rPr>
        <w:t xml:space="preserve"> (gali pasireikšti rečiau kaip 1 iš 100 asmenų)</w:t>
      </w:r>
    </w:p>
    <w:p w14:paraId="1F17274E" w14:textId="77777777" w:rsidR="00B65381" w:rsidRPr="005A0104" w:rsidRDefault="00B65381" w:rsidP="00B65381">
      <w:pPr>
        <w:pStyle w:val="Sraopastraipa"/>
        <w:numPr>
          <w:ilvl w:val="0"/>
          <w:numId w:val="16"/>
        </w:numPr>
        <w:ind w:left="567" w:right="-2" w:hanging="567"/>
        <w:rPr>
          <w:snapToGrid w:val="0"/>
          <w:sz w:val="22"/>
        </w:rPr>
      </w:pPr>
      <w:r w:rsidRPr="005A0104">
        <w:rPr>
          <w:snapToGrid w:val="0"/>
          <w:sz w:val="22"/>
        </w:rPr>
        <w:t>Pankreatitas</w:t>
      </w:r>
      <w:r>
        <w:rPr>
          <w:snapToGrid w:val="0"/>
          <w:sz w:val="22"/>
        </w:rPr>
        <w:t xml:space="preserve"> (kasos uždegimas)</w:t>
      </w:r>
      <w:r w:rsidRPr="005A0104">
        <w:rPr>
          <w:snapToGrid w:val="0"/>
          <w:sz w:val="22"/>
        </w:rPr>
        <w:t>.</w:t>
      </w:r>
    </w:p>
    <w:p w14:paraId="564B969A" w14:textId="77777777" w:rsidR="00B65381" w:rsidRPr="005A0104" w:rsidRDefault="00B65381" w:rsidP="00B65381">
      <w:pPr>
        <w:pStyle w:val="Sraopastraipa"/>
        <w:numPr>
          <w:ilvl w:val="0"/>
          <w:numId w:val="16"/>
        </w:numPr>
        <w:ind w:left="567" w:right="-2" w:hanging="567"/>
        <w:rPr>
          <w:snapToGrid w:val="0"/>
          <w:sz w:val="22"/>
        </w:rPr>
      </w:pPr>
      <w:r w:rsidRPr="005A0104">
        <w:rPr>
          <w:snapToGrid w:val="0"/>
          <w:sz w:val="22"/>
        </w:rPr>
        <w:t>Storosios žarnos uždegimas.</w:t>
      </w:r>
    </w:p>
    <w:p w14:paraId="2CDD85C9" w14:textId="77777777" w:rsidR="00B65381" w:rsidRPr="005A0104" w:rsidRDefault="00B65381" w:rsidP="00B65381">
      <w:pPr>
        <w:pStyle w:val="Sraopastraipa"/>
        <w:numPr>
          <w:ilvl w:val="0"/>
          <w:numId w:val="16"/>
        </w:numPr>
        <w:ind w:left="567" w:right="-2" w:hanging="567"/>
        <w:rPr>
          <w:snapToGrid w:val="0"/>
          <w:sz w:val="22"/>
        </w:rPr>
      </w:pPr>
      <w:r w:rsidRPr="005A0104">
        <w:rPr>
          <w:snapToGrid w:val="0"/>
          <w:sz w:val="22"/>
        </w:rPr>
        <w:t>Mažas trombocitų skaičius (trombocitopenija).</w:t>
      </w:r>
    </w:p>
    <w:p w14:paraId="496242D1" w14:textId="77777777" w:rsidR="00B65381" w:rsidRPr="005A0104" w:rsidRDefault="00B65381" w:rsidP="00B65381">
      <w:pPr>
        <w:pStyle w:val="Sraopastraipa"/>
        <w:numPr>
          <w:ilvl w:val="0"/>
          <w:numId w:val="16"/>
        </w:numPr>
        <w:ind w:left="567" w:right="-2" w:hanging="567"/>
        <w:rPr>
          <w:snapToGrid w:val="0"/>
          <w:sz w:val="22"/>
        </w:rPr>
      </w:pPr>
      <w:r w:rsidRPr="005A0104">
        <w:rPr>
          <w:snapToGrid w:val="0"/>
          <w:sz w:val="22"/>
        </w:rPr>
        <w:t>Gelta – odos ir akių baltymų pageltimas dėl didel</w:t>
      </w:r>
      <w:r>
        <w:rPr>
          <w:snapToGrid w:val="0"/>
          <w:sz w:val="22"/>
        </w:rPr>
        <w:t>io</w:t>
      </w:r>
      <w:r w:rsidRPr="005A0104">
        <w:rPr>
          <w:snapToGrid w:val="0"/>
          <w:sz w:val="22"/>
        </w:rPr>
        <w:t xml:space="preserve"> bilirubino </w:t>
      </w:r>
      <w:r>
        <w:rPr>
          <w:snapToGrid w:val="0"/>
          <w:sz w:val="22"/>
        </w:rPr>
        <w:t>kiekio</w:t>
      </w:r>
      <w:r w:rsidRPr="005A0104">
        <w:rPr>
          <w:snapToGrid w:val="0"/>
          <w:sz w:val="22"/>
        </w:rPr>
        <w:t>.</w:t>
      </w:r>
    </w:p>
    <w:p w14:paraId="59AA1AC0" w14:textId="1F97AEF8" w:rsidR="00B65381" w:rsidRPr="005A0104" w:rsidRDefault="00B65381" w:rsidP="00B65381">
      <w:pPr>
        <w:pStyle w:val="Sraopastraipa"/>
        <w:numPr>
          <w:ilvl w:val="0"/>
          <w:numId w:val="16"/>
        </w:numPr>
        <w:ind w:left="567" w:right="-2" w:hanging="567"/>
        <w:rPr>
          <w:snapToGrid w:val="0"/>
          <w:sz w:val="22"/>
        </w:rPr>
      </w:pPr>
      <w:r w:rsidRPr="005A0104">
        <w:rPr>
          <w:snapToGrid w:val="0"/>
          <w:sz w:val="22"/>
        </w:rPr>
        <w:t>Niežėjimas.</w:t>
      </w:r>
    </w:p>
    <w:p w14:paraId="6DD114E2" w14:textId="77777777" w:rsidR="00B65381" w:rsidRPr="005A0104" w:rsidRDefault="00B65381" w:rsidP="00B65381">
      <w:pPr>
        <w:pStyle w:val="Sraopastraipa"/>
        <w:numPr>
          <w:ilvl w:val="0"/>
          <w:numId w:val="16"/>
        </w:numPr>
        <w:ind w:left="567" w:right="-2" w:hanging="567"/>
        <w:rPr>
          <w:snapToGrid w:val="0"/>
          <w:sz w:val="22"/>
        </w:rPr>
      </w:pPr>
      <w:r w:rsidRPr="005A0104">
        <w:rPr>
          <w:snapToGrid w:val="0"/>
          <w:sz w:val="22"/>
        </w:rPr>
        <w:t xml:space="preserve">Širdies </w:t>
      </w:r>
      <w:r>
        <w:rPr>
          <w:snapToGrid w:val="0"/>
          <w:sz w:val="22"/>
        </w:rPr>
        <w:t>priepuolis</w:t>
      </w:r>
      <w:r w:rsidRPr="005A0104">
        <w:rPr>
          <w:snapToGrid w:val="0"/>
          <w:sz w:val="22"/>
        </w:rPr>
        <w:t>.</w:t>
      </w:r>
    </w:p>
    <w:p w14:paraId="091B19D7" w14:textId="77777777" w:rsidR="00B65381" w:rsidRPr="005A0104" w:rsidRDefault="00B65381" w:rsidP="00B65381">
      <w:pPr>
        <w:pStyle w:val="Sraopastraipa"/>
        <w:numPr>
          <w:ilvl w:val="0"/>
          <w:numId w:val="16"/>
        </w:numPr>
        <w:ind w:left="567" w:right="-2" w:hanging="567"/>
        <w:rPr>
          <w:snapToGrid w:val="0"/>
          <w:sz w:val="22"/>
        </w:rPr>
      </w:pPr>
      <w:r w:rsidRPr="005A0104">
        <w:rPr>
          <w:snapToGrid w:val="0"/>
          <w:sz w:val="22"/>
        </w:rPr>
        <w:t>Nuplikimas (alopecija).</w:t>
      </w:r>
    </w:p>
    <w:p w14:paraId="6FBB0AC5" w14:textId="77777777" w:rsidR="00B65381" w:rsidRPr="005A0104" w:rsidRDefault="00B65381" w:rsidP="00B65381">
      <w:pPr>
        <w:pStyle w:val="Sraopastraipa"/>
        <w:numPr>
          <w:ilvl w:val="0"/>
          <w:numId w:val="16"/>
        </w:numPr>
        <w:ind w:left="567" w:right="-2" w:hanging="567"/>
        <w:rPr>
          <w:snapToGrid w:val="0"/>
          <w:sz w:val="22"/>
        </w:rPr>
      </w:pPr>
      <w:r w:rsidRPr="005A0104">
        <w:rPr>
          <w:snapToGrid w:val="0"/>
          <w:sz w:val="22"/>
        </w:rPr>
        <w:t>Padidėjęs baltymo kiekis šlapime (proteinurija).</w:t>
      </w:r>
    </w:p>
    <w:p w14:paraId="75991436" w14:textId="77777777" w:rsidR="00B65381" w:rsidRPr="00305F70" w:rsidRDefault="00B65381" w:rsidP="00B65381">
      <w:pPr>
        <w:ind w:right="-2"/>
        <w:rPr>
          <w:snapToGrid w:val="0"/>
          <w:sz w:val="16"/>
          <w:szCs w:val="16"/>
        </w:rPr>
      </w:pPr>
    </w:p>
    <w:p w14:paraId="0CA94425" w14:textId="77777777" w:rsidR="00B65381" w:rsidRPr="00B435BA" w:rsidRDefault="00B65381" w:rsidP="00B65381">
      <w:pPr>
        <w:ind w:right="-2"/>
        <w:rPr>
          <w:snapToGrid w:val="0"/>
          <w:sz w:val="22"/>
          <w:szCs w:val="24"/>
        </w:rPr>
      </w:pPr>
      <w:r w:rsidRPr="00B435BA">
        <w:rPr>
          <w:b/>
          <w:bCs/>
          <w:snapToGrid w:val="0"/>
          <w:sz w:val="22"/>
          <w:szCs w:val="24"/>
        </w:rPr>
        <w:t>Šalutinio poveikio reiškiniai, kurių dažnis nežinomas</w:t>
      </w:r>
      <w:r w:rsidRPr="00B435BA">
        <w:rPr>
          <w:snapToGrid w:val="0"/>
          <w:sz w:val="22"/>
          <w:szCs w:val="24"/>
        </w:rPr>
        <w:t xml:space="preserve"> (negali būti apskaičiuotas pagal turimus duomenis)</w:t>
      </w:r>
    </w:p>
    <w:p w14:paraId="54A801E7" w14:textId="77777777" w:rsidR="00B65381" w:rsidRPr="00C65FD9" w:rsidRDefault="00B65381" w:rsidP="00B65381">
      <w:pPr>
        <w:pStyle w:val="Sraopastraipa"/>
        <w:numPr>
          <w:ilvl w:val="0"/>
          <w:numId w:val="7"/>
        </w:numPr>
        <w:ind w:left="567" w:right="-2" w:hanging="567"/>
        <w:rPr>
          <w:snapToGrid w:val="0"/>
          <w:sz w:val="22"/>
        </w:rPr>
      </w:pPr>
      <w:r w:rsidRPr="00C65FD9">
        <w:rPr>
          <w:snapToGrid w:val="0"/>
          <w:sz w:val="22"/>
        </w:rPr>
        <w:t>Inkstų nepakankamumas.</w:t>
      </w:r>
    </w:p>
    <w:p w14:paraId="4C5DD92D" w14:textId="77777777" w:rsidR="00B65381" w:rsidRPr="005A0104" w:rsidRDefault="00B65381" w:rsidP="00B65381">
      <w:pPr>
        <w:pStyle w:val="Sraopastraipa"/>
        <w:numPr>
          <w:ilvl w:val="0"/>
          <w:numId w:val="7"/>
        </w:numPr>
        <w:ind w:left="567" w:right="-2" w:hanging="567"/>
        <w:rPr>
          <w:snapToGrid w:val="0"/>
          <w:sz w:val="22"/>
        </w:rPr>
      </w:pPr>
      <w:r w:rsidRPr="00C65FD9">
        <w:rPr>
          <w:snapToGrid w:val="0"/>
          <w:sz w:val="22"/>
        </w:rPr>
        <w:t>Kraujagyslės sienelės išsipūtimas ir susilpnėjimas arba kraujagyslės sienelės įplyšimas (aneurizm</w:t>
      </w:r>
      <w:r>
        <w:rPr>
          <w:snapToGrid w:val="0"/>
          <w:sz w:val="22"/>
        </w:rPr>
        <w:t>a</w:t>
      </w:r>
      <w:r w:rsidRPr="00C65FD9">
        <w:rPr>
          <w:snapToGrid w:val="0"/>
          <w:sz w:val="22"/>
        </w:rPr>
        <w:t xml:space="preserve"> ir arterijų atsisluoksniavimas).</w:t>
      </w:r>
    </w:p>
    <w:p w14:paraId="47618085" w14:textId="77777777" w:rsidR="00B65381" w:rsidRDefault="00B65381" w:rsidP="00B65381">
      <w:pPr>
        <w:ind w:right="-2"/>
        <w:rPr>
          <w:snapToGrid w:val="0"/>
          <w:sz w:val="22"/>
        </w:rPr>
      </w:pPr>
    </w:p>
    <w:p w14:paraId="028C3ABF" w14:textId="77777777" w:rsidR="00B65381" w:rsidRPr="00B435BA" w:rsidRDefault="00B65381" w:rsidP="00B65381">
      <w:pPr>
        <w:ind w:right="-2"/>
        <w:rPr>
          <w:snapToGrid w:val="0"/>
          <w:sz w:val="22"/>
          <w:u w:val="single"/>
        </w:rPr>
      </w:pPr>
      <w:r w:rsidRPr="00B435BA">
        <w:rPr>
          <w:snapToGrid w:val="0"/>
          <w:sz w:val="22"/>
          <w:u w:val="single"/>
        </w:rPr>
        <w:t>Su sistemine skleroze susijusi intersticinė plaučių liga (SS-IPL)</w:t>
      </w:r>
    </w:p>
    <w:p w14:paraId="58B66F5A" w14:textId="77777777" w:rsidR="00B65381" w:rsidRPr="00BF4AB8" w:rsidRDefault="00B65381" w:rsidP="00B65381">
      <w:pPr>
        <w:tabs>
          <w:tab w:val="left" w:pos="567"/>
        </w:tabs>
        <w:ind w:right="-29"/>
        <w:rPr>
          <w:snapToGrid w:val="0"/>
          <w:sz w:val="22"/>
        </w:rPr>
      </w:pPr>
      <w:r w:rsidRPr="00BF4AB8">
        <w:rPr>
          <w:b/>
          <w:bCs/>
          <w:snapToGrid w:val="0"/>
          <w:sz w:val="22"/>
        </w:rPr>
        <w:t>Labai dažni šalutinio poveikio reiškiniai</w:t>
      </w:r>
      <w:r w:rsidRPr="00BF4AB8">
        <w:rPr>
          <w:snapToGrid w:val="0"/>
          <w:sz w:val="22"/>
        </w:rPr>
        <w:t xml:space="preserve"> (gali pasireikšti ne rečiau kaip 1 iš 10 asmenų)</w:t>
      </w:r>
    </w:p>
    <w:p w14:paraId="69DAB1DA" w14:textId="77777777" w:rsidR="00B65381" w:rsidRPr="00FF4F7F" w:rsidRDefault="00B65381" w:rsidP="00B65381">
      <w:pPr>
        <w:pStyle w:val="Sraopastraipa"/>
        <w:numPr>
          <w:ilvl w:val="0"/>
          <w:numId w:val="7"/>
        </w:numPr>
        <w:ind w:left="567" w:right="-2" w:hanging="567"/>
        <w:rPr>
          <w:snapToGrid w:val="0"/>
          <w:sz w:val="22"/>
        </w:rPr>
      </w:pPr>
      <w:r w:rsidRPr="00FF4F7F">
        <w:rPr>
          <w:snapToGrid w:val="0"/>
          <w:sz w:val="22"/>
        </w:rPr>
        <w:t>Pykinimas.</w:t>
      </w:r>
    </w:p>
    <w:p w14:paraId="05E5E718" w14:textId="77777777" w:rsidR="00B65381" w:rsidRPr="00FF4F7F" w:rsidRDefault="00B65381" w:rsidP="00B65381">
      <w:pPr>
        <w:pStyle w:val="Sraopastraipa"/>
        <w:numPr>
          <w:ilvl w:val="0"/>
          <w:numId w:val="7"/>
        </w:numPr>
        <w:ind w:left="567" w:right="-2" w:hanging="567"/>
        <w:rPr>
          <w:snapToGrid w:val="0"/>
          <w:sz w:val="22"/>
        </w:rPr>
      </w:pPr>
      <w:r w:rsidRPr="00FF4F7F">
        <w:rPr>
          <w:snapToGrid w:val="0"/>
          <w:sz w:val="22"/>
        </w:rPr>
        <w:t>Vėmimas.</w:t>
      </w:r>
    </w:p>
    <w:p w14:paraId="5FDF3099" w14:textId="77777777" w:rsidR="00B65381" w:rsidRPr="00FF4F7F" w:rsidRDefault="00B65381" w:rsidP="00B65381">
      <w:pPr>
        <w:pStyle w:val="Sraopastraipa"/>
        <w:numPr>
          <w:ilvl w:val="0"/>
          <w:numId w:val="7"/>
        </w:numPr>
        <w:ind w:left="567" w:right="-2" w:hanging="567"/>
        <w:rPr>
          <w:snapToGrid w:val="0"/>
          <w:sz w:val="22"/>
        </w:rPr>
      </w:pPr>
      <w:r w:rsidRPr="00FF4F7F">
        <w:rPr>
          <w:snapToGrid w:val="0"/>
          <w:sz w:val="22"/>
        </w:rPr>
        <w:t>Apatinės kūno dalies (pilvo) skausmas.</w:t>
      </w:r>
    </w:p>
    <w:p w14:paraId="10585638" w14:textId="77777777" w:rsidR="00B65381" w:rsidRPr="005A0104" w:rsidRDefault="00B65381" w:rsidP="00B65381">
      <w:pPr>
        <w:pStyle w:val="Sraopastraipa"/>
        <w:numPr>
          <w:ilvl w:val="0"/>
          <w:numId w:val="7"/>
        </w:numPr>
        <w:ind w:left="567" w:right="-2" w:hanging="567"/>
        <w:rPr>
          <w:snapToGrid w:val="0"/>
          <w:sz w:val="22"/>
        </w:rPr>
      </w:pPr>
      <w:r w:rsidRPr="005A0104">
        <w:rPr>
          <w:snapToGrid w:val="0"/>
          <w:sz w:val="22"/>
        </w:rPr>
        <w:t>Nenormalūs kepenų tyrim</w:t>
      </w:r>
      <w:r>
        <w:rPr>
          <w:snapToGrid w:val="0"/>
          <w:sz w:val="22"/>
        </w:rPr>
        <w:t>o</w:t>
      </w:r>
      <w:r w:rsidRPr="005A0104">
        <w:rPr>
          <w:snapToGrid w:val="0"/>
          <w:sz w:val="22"/>
        </w:rPr>
        <w:t xml:space="preserve"> </w:t>
      </w:r>
      <w:r>
        <w:rPr>
          <w:snapToGrid w:val="0"/>
          <w:sz w:val="22"/>
        </w:rPr>
        <w:t>rodmenys</w:t>
      </w:r>
      <w:r w:rsidRPr="005A0104">
        <w:rPr>
          <w:snapToGrid w:val="0"/>
          <w:sz w:val="22"/>
        </w:rPr>
        <w:t>.</w:t>
      </w:r>
    </w:p>
    <w:p w14:paraId="27F066C1" w14:textId="77777777" w:rsidR="00B65381" w:rsidRDefault="00B65381" w:rsidP="00B65381">
      <w:pPr>
        <w:ind w:right="-2"/>
        <w:rPr>
          <w:snapToGrid w:val="0"/>
          <w:sz w:val="22"/>
        </w:rPr>
      </w:pPr>
    </w:p>
    <w:p w14:paraId="4CA2CDBC" w14:textId="77777777" w:rsidR="00B65381" w:rsidRPr="005A0104" w:rsidRDefault="00B65381" w:rsidP="00B65381">
      <w:pPr>
        <w:tabs>
          <w:tab w:val="left" w:pos="567"/>
        </w:tabs>
        <w:ind w:right="-29"/>
        <w:rPr>
          <w:snapToGrid w:val="0"/>
          <w:sz w:val="22"/>
        </w:rPr>
      </w:pPr>
      <w:r w:rsidRPr="005A0104">
        <w:rPr>
          <w:b/>
          <w:bCs/>
          <w:snapToGrid w:val="0"/>
          <w:sz w:val="22"/>
        </w:rPr>
        <w:t>Dažni šalutinio poveikio reiškiniai</w:t>
      </w:r>
      <w:r w:rsidRPr="005A0104">
        <w:rPr>
          <w:snapToGrid w:val="0"/>
          <w:sz w:val="22"/>
        </w:rPr>
        <w:t xml:space="preserve"> (gali pasireikšti rečiau kaip 1 iš 10 asmenų)</w:t>
      </w:r>
    </w:p>
    <w:p w14:paraId="1CBB740D" w14:textId="77777777" w:rsidR="00B65381" w:rsidRPr="00FF4F7F" w:rsidRDefault="00B65381" w:rsidP="00B65381">
      <w:pPr>
        <w:pStyle w:val="Sraopastraipa"/>
        <w:numPr>
          <w:ilvl w:val="0"/>
          <w:numId w:val="7"/>
        </w:numPr>
        <w:ind w:left="567" w:right="-2" w:hanging="567"/>
        <w:rPr>
          <w:snapToGrid w:val="0"/>
          <w:sz w:val="22"/>
        </w:rPr>
      </w:pPr>
      <w:r w:rsidRPr="00FF4F7F">
        <w:rPr>
          <w:snapToGrid w:val="0"/>
          <w:sz w:val="22"/>
        </w:rPr>
        <w:t>Kraujavimas.</w:t>
      </w:r>
    </w:p>
    <w:p w14:paraId="5E5FC686" w14:textId="77777777" w:rsidR="00B65381" w:rsidRPr="00FF4F7F" w:rsidRDefault="00B65381" w:rsidP="00B65381">
      <w:pPr>
        <w:pStyle w:val="Sraopastraipa"/>
        <w:numPr>
          <w:ilvl w:val="0"/>
          <w:numId w:val="7"/>
        </w:numPr>
        <w:ind w:left="567" w:right="-2" w:hanging="567"/>
        <w:rPr>
          <w:snapToGrid w:val="0"/>
          <w:sz w:val="22"/>
        </w:rPr>
      </w:pPr>
      <w:r w:rsidRPr="00FF4F7F">
        <w:rPr>
          <w:snapToGrid w:val="0"/>
          <w:sz w:val="22"/>
        </w:rPr>
        <w:t>Didelis kraujospūdis (hipertenzija).</w:t>
      </w:r>
    </w:p>
    <w:p w14:paraId="1B4FFE8A" w14:textId="77777777" w:rsidR="00B65381" w:rsidRPr="00FF4F7F" w:rsidRDefault="00B65381" w:rsidP="00B65381">
      <w:pPr>
        <w:pStyle w:val="Sraopastraipa"/>
        <w:numPr>
          <w:ilvl w:val="0"/>
          <w:numId w:val="7"/>
        </w:numPr>
        <w:ind w:left="567" w:right="-2" w:hanging="567"/>
        <w:rPr>
          <w:snapToGrid w:val="0"/>
          <w:sz w:val="22"/>
        </w:rPr>
      </w:pPr>
      <w:r w:rsidRPr="00FF4F7F">
        <w:rPr>
          <w:snapToGrid w:val="0"/>
          <w:sz w:val="22"/>
        </w:rPr>
        <w:t>Apetito netekimas.</w:t>
      </w:r>
    </w:p>
    <w:p w14:paraId="66E4B146" w14:textId="77777777" w:rsidR="00B65381" w:rsidRPr="00FF4F7F" w:rsidRDefault="00B65381" w:rsidP="00B65381">
      <w:pPr>
        <w:pStyle w:val="Sraopastraipa"/>
        <w:numPr>
          <w:ilvl w:val="0"/>
          <w:numId w:val="7"/>
        </w:numPr>
        <w:ind w:left="567" w:right="-2" w:hanging="567"/>
        <w:rPr>
          <w:snapToGrid w:val="0"/>
          <w:sz w:val="22"/>
        </w:rPr>
      </w:pPr>
      <w:r w:rsidRPr="00FF4F7F">
        <w:rPr>
          <w:snapToGrid w:val="0"/>
          <w:sz w:val="22"/>
        </w:rPr>
        <w:t>Kūno svorio sumažėjimas.</w:t>
      </w:r>
    </w:p>
    <w:p w14:paraId="6E71ACA8" w14:textId="77777777" w:rsidR="00B65381" w:rsidRPr="00FF4F7F" w:rsidRDefault="00B65381" w:rsidP="00B65381">
      <w:pPr>
        <w:pStyle w:val="Sraopastraipa"/>
        <w:numPr>
          <w:ilvl w:val="0"/>
          <w:numId w:val="7"/>
        </w:numPr>
        <w:ind w:left="567" w:right="-2" w:hanging="567"/>
        <w:rPr>
          <w:snapToGrid w:val="0"/>
          <w:sz w:val="22"/>
        </w:rPr>
      </w:pPr>
      <w:r w:rsidRPr="00FF4F7F">
        <w:rPr>
          <w:snapToGrid w:val="0"/>
          <w:sz w:val="22"/>
        </w:rPr>
        <w:t>Galvos skausmas.</w:t>
      </w:r>
    </w:p>
    <w:p w14:paraId="19F9AE42" w14:textId="77777777" w:rsidR="00B65381" w:rsidRDefault="00B65381" w:rsidP="00B65381">
      <w:pPr>
        <w:ind w:right="-2"/>
        <w:rPr>
          <w:snapToGrid w:val="0"/>
          <w:sz w:val="22"/>
        </w:rPr>
      </w:pPr>
    </w:p>
    <w:p w14:paraId="1A9ECBF5" w14:textId="77777777" w:rsidR="00B65381" w:rsidRPr="00003D22" w:rsidRDefault="00B65381" w:rsidP="00B65381">
      <w:pPr>
        <w:tabs>
          <w:tab w:val="left" w:pos="567"/>
        </w:tabs>
        <w:ind w:right="-29"/>
        <w:rPr>
          <w:snapToGrid w:val="0"/>
          <w:sz w:val="22"/>
        </w:rPr>
      </w:pPr>
      <w:r w:rsidRPr="00003D22">
        <w:rPr>
          <w:b/>
          <w:bCs/>
          <w:snapToGrid w:val="0"/>
          <w:sz w:val="22"/>
        </w:rPr>
        <w:t>Nedažni šalutinio poveikio reiškiniai</w:t>
      </w:r>
      <w:r w:rsidRPr="00003D22">
        <w:rPr>
          <w:snapToGrid w:val="0"/>
          <w:sz w:val="22"/>
        </w:rPr>
        <w:t xml:space="preserve"> (gali pasireikšti rečiau kaip 1 iš 100 asmenų)</w:t>
      </w:r>
    </w:p>
    <w:p w14:paraId="59032F66" w14:textId="77777777" w:rsidR="00B65381" w:rsidRPr="00FF4F7F" w:rsidRDefault="00B65381" w:rsidP="00B65381">
      <w:pPr>
        <w:pStyle w:val="Sraopastraipa"/>
        <w:numPr>
          <w:ilvl w:val="0"/>
          <w:numId w:val="7"/>
        </w:numPr>
        <w:ind w:left="567" w:right="-2" w:hanging="567"/>
        <w:rPr>
          <w:snapToGrid w:val="0"/>
          <w:sz w:val="22"/>
        </w:rPr>
      </w:pPr>
      <w:r w:rsidRPr="00FF4F7F">
        <w:rPr>
          <w:snapToGrid w:val="0"/>
          <w:sz w:val="22"/>
        </w:rPr>
        <w:t>Storosios žarnos uždegimas.</w:t>
      </w:r>
    </w:p>
    <w:p w14:paraId="6A3E3B23" w14:textId="77777777" w:rsidR="00B65381" w:rsidRPr="00FF4F7F" w:rsidRDefault="00B65381" w:rsidP="00B65381">
      <w:pPr>
        <w:pStyle w:val="Sraopastraipa"/>
        <w:numPr>
          <w:ilvl w:val="0"/>
          <w:numId w:val="7"/>
        </w:numPr>
        <w:ind w:left="567" w:right="-2" w:hanging="567"/>
        <w:rPr>
          <w:snapToGrid w:val="0"/>
          <w:sz w:val="22"/>
        </w:rPr>
      </w:pPr>
      <w:r w:rsidRPr="00FF4F7F">
        <w:rPr>
          <w:snapToGrid w:val="0"/>
          <w:sz w:val="22"/>
        </w:rPr>
        <w:t>Sunkūs kepenų sutrikimai.</w:t>
      </w:r>
    </w:p>
    <w:p w14:paraId="706F9ACF" w14:textId="77777777" w:rsidR="00B65381" w:rsidRPr="00FF4F7F" w:rsidRDefault="00B65381" w:rsidP="00B65381">
      <w:pPr>
        <w:pStyle w:val="Sraopastraipa"/>
        <w:numPr>
          <w:ilvl w:val="0"/>
          <w:numId w:val="7"/>
        </w:numPr>
        <w:ind w:left="567" w:right="-2" w:hanging="567"/>
        <w:rPr>
          <w:snapToGrid w:val="0"/>
          <w:sz w:val="22"/>
        </w:rPr>
      </w:pPr>
      <w:r w:rsidRPr="00FF4F7F">
        <w:rPr>
          <w:snapToGrid w:val="0"/>
          <w:sz w:val="22"/>
        </w:rPr>
        <w:t>Inkstų nepakankamumas.</w:t>
      </w:r>
    </w:p>
    <w:p w14:paraId="0492E306" w14:textId="77777777" w:rsidR="00B65381" w:rsidRPr="00FF4F7F" w:rsidRDefault="00B65381" w:rsidP="00B65381">
      <w:pPr>
        <w:pStyle w:val="Sraopastraipa"/>
        <w:numPr>
          <w:ilvl w:val="0"/>
          <w:numId w:val="7"/>
        </w:numPr>
        <w:ind w:left="567" w:right="-2" w:hanging="567"/>
        <w:rPr>
          <w:snapToGrid w:val="0"/>
          <w:sz w:val="22"/>
        </w:rPr>
      </w:pPr>
      <w:r w:rsidRPr="00FF4F7F">
        <w:rPr>
          <w:snapToGrid w:val="0"/>
          <w:sz w:val="22"/>
        </w:rPr>
        <w:t>Mažas trombocitų skaičius (trombocitopenija).</w:t>
      </w:r>
    </w:p>
    <w:p w14:paraId="121C1F58" w14:textId="77777777" w:rsidR="00B65381" w:rsidRPr="00FF4F7F" w:rsidRDefault="00B65381" w:rsidP="00B65381">
      <w:pPr>
        <w:pStyle w:val="Sraopastraipa"/>
        <w:numPr>
          <w:ilvl w:val="0"/>
          <w:numId w:val="7"/>
        </w:numPr>
        <w:ind w:left="567" w:right="-2" w:hanging="567"/>
        <w:rPr>
          <w:snapToGrid w:val="0"/>
          <w:sz w:val="22"/>
        </w:rPr>
      </w:pPr>
      <w:r w:rsidRPr="00FF4F7F">
        <w:rPr>
          <w:snapToGrid w:val="0"/>
          <w:sz w:val="22"/>
        </w:rPr>
        <w:t>Išbėrimas.</w:t>
      </w:r>
    </w:p>
    <w:p w14:paraId="5BEB355B" w14:textId="192011C6" w:rsidR="00B65381" w:rsidRPr="00FF4F7F" w:rsidRDefault="00B65381" w:rsidP="00B65381">
      <w:pPr>
        <w:pStyle w:val="Sraopastraipa"/>
        <w:numPr>
          <w:ilvl w:val="0"/>
          <w:numId w:val="7"/>
        </w:numPr>
        <w:ind w:left="567" w:right="-2" w:hanging="567"/>
        <w:rPr>
          <w:snapToGrid w:val="0"/>
          <w:sz w:val="22"/>
        </w:rPr>
      </w:pPr>
      <w:r w:rsidRPr="00FF4F7F">
        <w:rPr>
          <w:snapToGrid w:val="0"/>
          <w:sz w:val="22"/>
        </w:rPr>
        <w:t>Niežėjimas.</w:t>
      </w:r>
    </w:p>
    <w:p w14:paraId="696ABB59" w14:textId="77777777" w:rsidR="00B65381" w:rsidRDefault="00B65381" w:rsidP="00B65381">
      <w:pPr>
        <w:ind w:right="-2"/>
        <w:rPr>
          <w:snapToGrid w:val="0"/>
          <w:sz w:val="22"/>
        </w:rPr>
      </w:pPr>
    </w:p>
    <w:p w14:paraId="3EA236A0" w14:textId="77777777" w:rsidR="00B65381" w:rsidRPr="00FF4F7F" w:rsidRDefault="00B65381" w:rsidP="00B65381">
      <w:pPr>
        <w:ind w:right="-2"/>
        <w:rPr>
          <w:snapToGrid w:val="0"/>
          <w:sz w:val="22"/>
          <w:szCs w:val="24"/>
        </w:rPr>
      </w:pPr>
      <w:r w:rsidRPr="00FF4F7F">
        <w:rPr>
          <w:b/>
          <w:bCs/>
          <w:snapToGrid w:val="0"/>
          <w:sz w:val="22"/>
          <w:szCs w:val="24"/>
        </w:rPr>
        <w:t>Šalutinio poveikio reiškiniai, kurių dažnis nežinomas</w:t>
      </w:r>
      <w:r w:rsidRPr="00FF4F7F">
        <w:rPr>
          <w:snapToGrid w:val="0"/>
          <w:sz w:val="22"/>
          <w:szCs w:val="24"/>
        </w:rPr>
        <w:t xml:space="preserve"> (negali būti apskaičiuotas pagal turimus duomenis)</w:t>
      </w:r>
    </w:p>
    <w:p w14:paraId="7016642D" w14:textId="77777777" w:rsidR="00B65381" w:rsidRPr="00FF4F7F" w:rsidRDefault="00B65381" w:rsidP="00B65381">
      <w:pPr>
        <w:pStyle w:val="Sraopastraipa"/>
        <w:numPr>
          <w:ilvl w:val="0"/>
          <w:numId w:val="7"/>
        </w:numPr>
        <w:ind w:left="567" w:right="-2" w:hanging="567"/>
        <w:rPr>
          <w:snapToGrid w:val="0"/>
          <w:sz w:val="22"/>
        </w:rPr>
      </w:pPr>
      <w:r w:rsidRPr="00FF4F7F">
        <w:rPr>
          <w:snapToGrid w:val="0"/>
          <w:sz w:val="22"/>
        </w:rPr>
        <w:t>Širdies priepuolis.</w:t>
      </w:r>
    </w:p>
    <w:p w14:paraId="260DFA33" w14:textId="77777777" w:rsidR="00B65381" w:rsidRPr="00FF4F7F" w:rsidRDefault="00B65381" w:rsidP="00B65381">
      <w:pPr>
        <w:pStyle w:val="Sraopastraipa"/>
        <w:numPr>
          <w:ilvl w:val="0"/>
          <w:numId w:val="7"/>
        </w:numPr>
        <w:ind w:left="567" w:right="-2" w:hanging="567"/>
        <w:rPr>
          <w:snapToGrid w:val="0"/>
          <w:sz w:val="22"/>
        </w:rPr>
      </w:pPr>
      <w:r w:rsidRPr="00FF4F7F">
        <w:rPr>
          <w:snapToGrid w:val="0"/>
          <w:sz w:val="22"/>
        </w:rPr>
        <w:t>Pankreatitas (kasos uždegimas).</w:t>
      </w:r>
    </w:p>
    <w:p w14:paraId="01444714" w14:textId="77777777" w:rsidR="00B65381" w:rsidRPr="00FF4F7F" w:rsidRDefault="00B65381" w:rsidP="00B65381">
      <w:pPr>
        <w:pStyle w:val="Sraopastraipa"/>
        <w:numPr>
          <w:ilvl w:val="0"/>
          <w:numId w:val="7"/>
        </w:numPr>
        <w:ind w:left="567" w:right="-2" w:hanging="567"/>
        <w:rPr>
          <w:snapToGrid w:val="0"/>
          <w:sz w:val="22"/>
        </w:rPr>
      </w:pPr>
      <w:r w:rsidRPr="00FF4F7F">
        <w:rPr>
          <w:snapToGrid w:val="0"/>
          <w:sz w:val="22"/>
        </w:rPr>
        <w:t>Gelta – odos ir akių baltymų pageltimas dėl didel</w:t>
      </w:r>
      <w:r>
        <w:rPr>
          <w:snapToGrid w:val="0"/>
          <w:sz w:val="22"/>
        </w:rPr>
        <w:t>io</w:t>
      </w:r>
      <w:r w:rsidRPr="00FF4F7F">
        <w:rPr>
          <w:snapToGrid w:val="0"/>
          <w:sz w:val="22"/>
        </w:rPr>
        <w:t xml:space="preserve"> bilirubino </w:t>
      </w:r>
      <w:r>
        <w:rPr>
          <w:snapToGrid w:val="0"/>
          <w:sz w:val="22"/>
        </w:rPr>
        <w:t>kiekio</w:t>
      </w:r>
      <w:r w:rsidRPr="00FF4F7F">
        <w:rPr>
          <w:snapToGrid w:val="0"/>
          <w:sz w:val="22"/>
        </w:rPr>
        <w:t>.</w:t>
      </w:r>
    </w:p>
    <w:p w14:paraId="336787DC" w14:textId="77777777" w:rsidR="00B65381" w:rsidRPr="00FF4F7F" w:rsidRDefault="00B65381" w:rsidP="00B65381">
      <w:pPr>
        <w:pStyle w:val="Sraopastraipa"/>
        <w:numPr>
          <w:ilvl w:val="0"/>
          <w:numId w:val="21"/>
        </w:numPr>
        <w:ind w:left="567" w:right="-2" w:hanging="567"/>
        <w:rPr>
          <w:snapToGrid w:val="0"/>
          <w:sz w:val="22"/>
        </w:rPr>
      </w:pPr>
      <w:r w:rsidRPr="00C65FD9">
        <w:rPr>
          <w:snapToGrid w:val="0"/>
          <w:sz w:val="22"/>
        </w:rPr>
        <w:t>Kraujagyslės sienelės išsipūtimas ir susilpnėjimas arba kraujagyslės sienelės įplyšimas (aneurizm</w:t>
      </w:r>
      <w:r>
        <w:rPr>
          <w:snapToGrid w:val="0"/>
          <w:sz w:val="22"/>
        </w:rPr>
        <w:t>a</w:t>
      </w:r>
      <w:r w:rsidRPr="00C65FD9">
        <w:rPr>
          <w:snapToGrid w:val="0"/>
          <w:sz w:val="22"/>
        </w:rPr>
        <w:t xml:space="preserve"> ir arterijų atsisluoksniavimas)</w:t>
      </w:r>
      <w:r w:rsidRPr="00FF4F7F">
        <w:rPr>
          <w:snapToGrid w:val="0"/>
          <w:sz w:val="22"/>
        </w:rPr>
        <w:t>.</w:t>
      </w:r>
    </w:p>
    <w:p w14:paraId="25D3C23D" w14:textId="77777777" w:rsidR="00B65381" w:rsidRPr="00FF4F7F" w:rsidRDefault="00B65381" w:rsidP="00B65381">
      <w:pPr>
        <w:pStyle w:val="Sraopastraipa"/>
        <w:numPr>
          <w:ilvl w:val="0"/>
          <w:numId w:val="21"/>
        </w:numPr>
        <w:ind w:left="567" w:right="-2" w:hanging="567"/>
        <w:rPr>
          <w:snapToGrid w:val="0"/>
          <w:sz w:val="22"/>
        </w:rPr>
      </w:pPr>
      <w:r w:rsidRPr="00FF4F7F">
        <w:rPr>
          <w:snapToGrid w:val="0"/>
          <w:sz w:val="22"/>
        </w:rPr>
        <w:t>Nuplikimas (alopecija).</w:t>
      </w:r>
    </w:p>
    <w:p w14:paraId="47CF6FCB" w14:textId="77777777" w:rsidR="00B65381" w:rsidRPr="00FF4F7F" w:rsidRDefault="00B65381" w:rsidP="00B65381">
      <w:pPr>
        <w:pStyle w:val="Sraopastraipa"/>
        <w:numPr>
          <w:ilvl w:val="0"/>
          <w:numId w:val="21"/>
        </w:numPr>
        <w:ind w:left="567" w:right="-2" w:hanging="567"/>
        <w:rPr>
          <w:snapToGrid w:val="0"/>
          <w:sz w:val="22"/>
          <w:szCs w:val="24"/>
        </w:rPr>
      </w:pPr>
      <w:r w:rsidRPr="00FF4F7F">
        <w:rPr>
          <w:snapToGrid w:val="0"/>
          <w:sz w:val="22"/>
        </w:rPr>
        <w:t>Padidėjęs baltymo kiekis šlapime (proteinurija).</w:t>
      </w:r>
    </w:p>
    <w:p w14:paraId="7C00A7D4" w14:textId="77777777" w:rsidR="00B65381" w:rsidRPr="00211E3B" w:rsidRDefault="00B65381" w:rsidP="00B65381">
      <w:pPr>
        <w:tabs>
          <w:tab w:val="left" w:pos="567"/>
        </w:tabs>
        <w:rPr>
          <w:snapToGrid w:val="0"/>
          <w:sz w:val="22"/>
          <w:szCs w:val="22"/>
        </w:rPr>
      </w:pPr>
    </w:p>
    <w:p w14:paraId="403379E2" w14:textId="77777777" w:rsidR="00B65381" w:rsidRPr="00211E3B" w:rsidRDefault="00B65381" w:rsidP="00B65381">
      <w:pPr>
        <w:tabs>
          <w:tab w:val="left" w:pos="567"/>
        </w:tabs>
        <w:rPr>
          <w:b/>
          <w:snapToGrid w:val="0"/>
          <w:sz w:val="22"/>
          <w:szCs w:val="24"/>
        </w:rPr>
      </w:pPr>
      <w:r w:rsidRPr="00211E3B">
        <w:rPr>
          <w:b/>
          <w:snapToGrid w:val="0"/>
          <w:sz w:val="22"/>
          <w:szCs w:val="24"/>
        </w:rPr>
        <w:t>Pranešimas apie šalutinį poveikį</w:t>
      </w:r>
    </w:p>
    <w:p w14:paraId="11D7B556" w14:textId="663FEC06" w:rsidR="00B65381" w:rsidRPr="00211E3B" w:rsidRDefault="00B65381" w:rsidP="00B65381">
      <w:pPr>
        <w:tabs>
          <w:tab w:val="left" w:pos="567"/>
        </w:tabs>
        <w:spacing w:line="260" w:lineRule="exact"/>
        <w:ind w:right="-1"/>
        <w:rPr>
          <w:snapToGrid w:val="0"/>
          <w:sz w:val="22"/>
        </w:rPr>
      </w:pPr>
      <w:r w:rsidRPr="00211E3B">
        <w:rPr>
          <w:snapToGrid w:val="0"/>
          <w:sz w:val="22"/>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26" w:history="1">
        <w:r w:rsidRPr="00211E3B">
          <w:rPr>
            <w:snapToGrid w:val="0"/>
            <w:color w:val="0000FF"/>
            <w:sz w:val="22"/>
            <w:u w:val="single"/>
          </w:rPr>
          <w:t>https://vapris.vvkt.lt/vvkt-web/public/nrv</w:t>
        </w:r>
      </w:hyperlink>
      <w:r w:rsidRPr="00211E3B">
        <w:rPr>
          <w:snapToGrid w:val="0"/>
          <w:sz w:val="22"/>
        </w:rPr>
        <w:t xml:space="preserve"> arba užpildant Paciento pranešimo apie įtariamą nepageidaujamą reakciją (ĮNR) formą, kuri skelbiama </w:t>
      </w:r>
      <w:hyperlink r:id="rId27" w:history="1">
        <w:r w:rsidRPr="00211E3B">
          <w:rPr>
            <w:snapToGrid w:val="0"/>
            <w:color w:val="0000FF"/>
            <w:sz w:val="22"/>
            <w:u w:val="single"/>
          </w:rPr>
          <w:t>https://www.vvkt.lt/index.php?4004286486</w:t>
        </w:r>
      </w:hyperlink>
      <w:r w:rsidRPr="00211E3B">
        <w:rPr>
          <w:snapToGrid w:val="0"/>
          <w:sz w:val="22"/>
        </w:rPr>
        <w:t xml:space="preserve">, ir atsiunčiant elektroniniu paštu (adresu </w:t>
      </w:r>
      <w:hyperlink r:id="rId28" w:history="1">
        <w:r w:rsidRPr="00211E3B">
          <w:rPr>
            <w:snapToGrid w:val="0"/>
            <w:color w:val="0000FF"/>
            <w:sz w:val="22"/>
            <w:u w:val="single"/>
          </w:rPr>
          <w:t>NepageidaujamaR@vvkt.lt</w:t>
        </w:r>
      </w:hyperlink>
      <w:r w:rsidRPr="00211E3B">
        <w:rPr>
          <w:snapToGrid w:val="0"/>
          <w:sz w:val="22"/>
        </w:rPr>
        <w:t xml:space="preserve">) arba nemokamu telefonu </w:t>
      </w:r>
      <w:r w:rsidR="00DF5F4A" w:rsidRPr="00AD2E74">
        <w:rPr>
          <w:snapToGrid w:val="0"/>
          <w:sz w:val="22"/>
          <w:highlight w:val="yellow"/>
        </w:rPr>
        <w:t>0</w:t>
      </w:r>
      <w:r w:rsidRPr="00211E3B">
        <w:rPr>
          <w:snapToGrid w:val="0"/>
          <w:sz w:val="22"/>
        </w:rPr>
        <w:t xml:space="preserve"> 800 73 568. Pranešdami apie šalutinį poveikį galite mums padėti gauti daugiau informacijos apie šio vaisto saugumą.</w:t>
      </w:r>
    </w:p>
    <w:p w14:paraId="1B545CBE" w14:textId="77777777" w:rsidR="00B65381" w:rsidRPr="00211E3B" w:rsidRDefault="00B65381" w:rsidP="00B65381">
      <w:pPr>
        <w:tabs>
          <w:tab w:val="left" w:pos="567"/>
        </w:tabs>
        <w:spacing w:line="260" w:lineRule="exact"/>
        <w:ind w:right="-449"/>
        <w:rPr>
          <w:snapToGrid w:val="0"/>
          <w:sz w:val="22"/>
          <w:szCs w:val="24"/>
        </w:rPr>
      </w:pPr>
    </w:p>
    <w:p w14:paraId="0E7696DB" w14:textId="77777777" w:rsidR="00B65381" w:rsidRPr="00211E3B" w:rsidRDefault="00B65381" w:rsidP="00B65381">
      <w:pPr>
        <w:tabs>
          <w:tab w:val="left" w:pos="567"/>
        </w:tabs>
        <w:spacing w:line="260" w:lineRule="exact"/>
        <w:ind w:right="-449"/>
        <w:rPr>
          <w:snapToGrid w:val="0"/>
          <w:sz w:val="22"/>
          <w:szCs w:val="24"/>
        </w:rPr>
      </w:pPr>
    </w:p>
    <w:p w14:paraId="7685FB04" w14:textId="77777777" w:rsidR="00B65381" w:rsidRPr="00211E3B" w:rsidRDefault="00B65381" w:rsidP="00B65381">
      <w:pPr>
        <w:keepNext/>
        <w:keepLines/>
        <w:tabs>
          <w:tab w:val="left" w:pos="567"/>
        </w:tabs>
        <w:outlineLvl w:val="2"/>
        <w:rPr>
          <w:b/>
          <w:bCs/>
          <w:snapToGrid w:val="0"/>
          <w:sz w:val="22"/>
          <w:szCs w:val="26"/>
          <w:lang w:eastAsia="x-none"/>
        </w:rPr>
      </w:pPr>
      <w:r w:rsidRPr="00211E3B">
        <w:rPr>
          <w:b/>
          <w:bCs/>
          <w:snapToGrid w:val="0"/>
          <w:sz w:val="22"/>
          <w:szCs w:val="26"/>
          <w:lang w:eastAsia="x-none"/>
        </w:rPr>
        <w:t>5.</w:t>
      </w:r>
      <w:r w:rsidRPr="00211E3B">
        <w:rPr>
          <w:b/>
          <w:bCs/>
          <w:snapToGrid w:val="0"/>
          <w:sz w:val="22"/>
          <w:szCs w:val="26"/>
          <w:lang w:eastAsia="x-none"/>
        </w:rPr>
        <w:tab/>
        <w:t>Kaip laikyti Agarf</w:t>
      </w:r>
    </w:p>
    <w:p w14:paraId="0CFBAFC8" w14:textId="77777777" w:rsidR="00B65381" w:rsidRPr="00211E3B" w:rsidRDefault="00B65381" w:rsidP="00B65381">
      <w:pPr>
        <w:numPr>
          <w:ilvl w:val="12"/>
          <w:numId w:val="0"/>
        </w:numPr>
        <w:ind w:right="-2"/>
        <w:rPr>
          <w:snapToGrid w:val="0"/>
          <w:sz w:val="22"/>
          <w:szCs w:val="24"/>
        </w:rPr>
      </w:pPr>
    </w:p>
    <w:p w14:paraId="2E9351B7" w14:textId="77777777" w:rsidR="00B65381" w:rsidRPr="00211E3B" w:rsidRDefault="00B65381" w:rsidP="00B65381">
      <w:pPr>
        <w:numPr>
          <w:ilvl w:val="12"/>
          <w:numId w:val="0"/>
        </w:numPr>
        <w:ind w:right="-2"/>
        <w:rPr>
          <w:snapToGrid w:val="0"/>
          <w:sz w:val="22"/>
          <w:szCs w:val="24"/>
        </w:rPr>
      </w:pPr>
      <w:r w:rsidRPr="00211E3B">
        <w:rPr>
          <w:snapToGrid w:val="0"/>
          <w:sz w:val="22"/>
          <w:szCs w:val="24"/>
        </w:rPr>
        <w:t>Šį vaistą laikykite vaikams nepastebimoje ir nepasiekiamoje vietoje.</w:t>
      </w:r>
    </w:p>
    <w:p w14:paraId="64B2ACF3" w14:textId="77777777" w:rsidR="00B65381" w:rsidRPr="00211E3B" w:rsidRDefault="00B65381" w:rsidP="00B65381">
      <w:pPr>
        <w:numPr>
          <w:ilvl w:val="12"/>
          <w:numId w:val="0"/>
        </w:numPr>
        <w:ind w:right="-2"/>
        <w:rPr>
          <w:snapToGrid w:val="0"/>
          <w:sz w:val="22"/>
          <w:szCs w:val="24"/>
        </w:rPr>
      </w:pPr>
    </w:p>
    <w:p w14:paraId="35A1CD74" w14:textId="669DAB28" w:rsidR="00B65381" w:rsidRPr="00211E3B" w:rsidRDefault="00B65381" w:rsidP="00B65381">
      <w:pPr>
        <w:numPr>
          <w:ilvl w:val="12"/>
          <w:numId w:val="0"/>
        </w:numPr>
        <w:ind w:right="-2"/>
        <w:rPr>
          <w:snapToGrid w:val="0"/>
          <w:sz w:val="22"/>
          <w:szCs w:val="24"/>
        </w:rPr>
      </w:pPr>
      <w:r w:rsidRPr="00211E3B">
        <w:rPr>
          <w:snapToGrid w:val="0"/>
          <w:sz w:val="22"/>
          <w:szCs w:val="24"/>
        </w:rPr>
        <w:t xml:space="preserve">Ant dėžutės ir lizdinės plokštelės po </w:t>
      </w:r>
      <w:r w:rsidR="00E66365">
        <w:rPr>
          <w:snapToGrid w:val="0"/>
          <w:sz w:val="22"/>
          <w:szCs w:val="24"/>
        </w:rPr>
        <w:t>,,</w:t>
      </w:r>
      <w:r w:rsidRPr="00211E3B">
        <w:rPr>
          <w:snapToGrid w:val="0"/>
          <w:sz w:val="22"/>
          <w:szCs w:val="24"/>
        </w:rPr>
        <w:t>EXP</w:t>
      </w:r>
      <w:r w:rsidR="00E66365">
        <w:rPr>
          <w:snapToGrid w:val="0"/>
          <w:sz w:val="22"/>
          <w:szCs w:val="24"/>
        </w:rPr>
        <w:t>‘‘</w:t>
      </w:r>
      <w:r w:rsidRPr="00211E3B">
        <w:rPr>
          <w:snapToGrid w:val="0"/>
          <w:sz w:val="22"/>
          <w:szCs w:val="24"/>
        </w:rPr>
        <w:t xml:space="preserve"> nurodytam tinkamumo laikui pasibaigus, šio vaisto vartoti negalima. Vaistas tinkamas vartoti iki paskutinės nurodyto mėnesio dienos.</w:t>
      </w:r>
    </w:p>
    <w:p w14:paraId="1B53B98E" w14:textId="77777777" w:rsidR="00B65381" w:rsidRPr="00211E3B" w:rsidRDefault="00B65381" w:rsidP="00B65381">
      <w:pPr>
        <w:numPr>
          <w:ilvl w:val="12"/>
          <w:numId w:val="0"/>
        </w:numPr>
        <w:ind w:right="-2"/>
        <w:rPr>
          <w:snapToGrid w:val="0"/>
          <w:sz w:val="22"/>
          <w:szCs w:val="24"/>
        </w:rPr>
      </w:pPr>
    </w:p>
    <w:p w14:paraId="76022AF7" w14:textId="77777777" w:rsidR="00B65381" w:rsidRPr="00211E3B" w:rsidRDefault="00B65381" w:rsidP="00B65381">
      <w:pPr>
        <w:numPr>
          <w:ilvl w:val="12"/>
          <w:numId w:val="0"/>
        </w:numPr>
        <w:ind w:right="-2"/>
        <w:rPr>
          <w:snapToGrid w:val="0"/>
          <w:sz w:val="22"/>
          <w:szCs w:val="24"/>
        </w:rPr>
      </w:pPr>
      <w:r w:rsidRPr="00211E3B">
        <w:rPr>
          <w:snapToGrid w:val="0"/>
          <w:sz w:val="22"/>
          <w:szCs w:val="24"/>
        </w:rPr>
        <w:t>Šiam vaistui specialių laikymo sąlygų nereikia.</w:t>
      </w:r>
    </w:p>
    <w:p w14:paraId="4C373047" w14:textId="77777777" w:rsidR="00B65381" w:rsidRPr="00211E3B" w:rsidRDefault="00B65381" w:rsidP="00B65381">
      <w:pPr>
        <w:numPr>
          <w:ilvl w:val="12"/>
          <w:numId w:val="0"/>
        </w:numPr>
        <w:ind w:right="-2"/>
        <w:rPr>
          <w:snapToGrid w:val="0"/>
          <w:sz w:val="22"/>
          <w:szCs w:val="24"/>
        </w:rPr>
      </w:pPr>
    </w:p>
    <w:p w14:paraId="7C43F905" w14:textId="29661AA9" w:rsidR="00B65381" w:rsidRPr="00211E3B" w:rsidRDefault="00B65381" w:rsidP="00B65381">
      <w:pPr>
        <w:numPr>
          <w:ilvl w:val="12"/>
          <w:numId w:val="0"/>
        </w:numPr>
        <w:ind w:right="-2"/>
        <w:rPr>
          <w:snapToGrid w:val="0"/>
          <w:sz w:val="22"/>
          <w:szCs w:val="24"/>
        </w:rPr>
      </w:pPr>
      <w:r w:rsidRPr="00211E3B">
        <w:rPr>
          <w:snapToGrid w:val="0"/>
          <w:sz w:val="22"/>
          <w:szCs w:val="24"/>
        </w:rPr>
        <w:t xml:space="preserve">Pastebėjus, kad lizdinė plokštelė, kurioje yra kapsulės, atidaryta ar kapsulė </w:t>
      </w:r>
      <w:r w:rsidR="00E66365">
        <w:rPr>
          <w:snapToGrid w:val="0"/>
          <w:sz w:val="22"/>
          <w:szCs w:val="24"/>
        </w:rPr>
        <w:t>pažeista</w:t>
      </w:r>
      <w:r w:rsidRPr="00211E3B">
        <w:rPr>
          <w:snapToGrid w:val="0"/>
          <w:sz w:val="22"/>
          <w:szCs w:val="24"/>
        </w:rPr>
        <w:t>, šio vaisto vartoti negalima.</w:t>
      </w:r>
    </w:p>
    <w:p w14:paraId="56B51DDD" w14:textId="77777777" w:rsidR="00B65381" w:rsidRPr="00211E3B" w:rsidRDefault="00B65381" w:rsidP="00B65381">
      <w:pPr>
        <w:numPr>
          <w:ilvl w:val="12"/>
          <w:numId w:val="0"/>
        </w:numPr>
        <w:ind w:right="-2"/>
        <w:rPr>
          <w:snapToGrid w:val="0"/>
          <w:sz w:val="22"/>
          <w:szCs w:val="24"/>
        </w:rPr>
      </w:pPr>
      <w:r w:rsidRPr="00211E3B">
        <w:rPr>
          <w:snapToGrid w:val="0"/>
          <w:sz w:val="22"/>
          <w:szCs w:val="24"/>
        </w:rPr>
        <w:t>Jeigu prisilietėte prie kapsulės turinio, reikia nedelsiant gausiu vandens kiekiu nusiplauti rankas (žr. 3 skyrių).</w:t>
      </w:r>
    </w:p>
    <w:p w14:paraId="7D479A99" w14:textId="77777777" w:rsidR="00B65381" w:rsidRPr="00211E3B" w:rsidRDefault="00B65381" w:rsidP="00B65381">
      <w:pPr>
        <w:numPr>
          <w:ilvl w:val="12"/>
          <w:numId w:val="0"/>
        </w:numPr>
        <w:ind w:right="-2"/>
        <w:rPr>
          <w:snapToGrid w:val="0"/>
          <w:sz w:val="22"/>
          <w:szCs w:val="24"/>
        </w:rPr>
      </w:pPr>
    </w:p>
    <w:p w14:paraId="3F02CE54" w14:textId="77777777" w:rsidR="00B65381" w:rsidRPr="00211E3B" w:rsidRDefault="00B65381" w:rsidP="00B65381">
      <w:pPr>
        <w:numPr>
          <w:ilvl w:val="12"/>
          <w:numId w:val="0"/>
        </w:numPr>
        <w:ind w:right="-2"/>
        <w:rPr>
          <w:i/>
          <w:snapToGrid w:val="0"/>
          <w:sz w:val="22"/>
        </w:rPr>
      </w:pPr>
      <w:r w:rsidRPr="00211E3B">
        <w:rPr>
          <w:snapToGrid w:val="0"/>
          <w:sz w:val="22"/>
          <w:szCs w:val="24"/>
        </w:rPr>
        <w:t>Vaistų negalima išmesti į kanalizaciją arba su buitinėmis atliekomis. Kaip išmesti nereikalingus vaistus, klauskite vaistininko. Šios priemonės padės apsaugoti aplinką.</w:t>
      </w:r>
    </w:p>
    <w:p w14:paraId="69B231F9" w14:textId="77777777" w:rsidR="00B65381" w:rsidRPr="00211E3B" w:rsidRDefault="00B65381" w:rsidP="00B65381">
      <w:pPr>
        <w:numPr>
          <w:ilvl w:val="12"/>
          <w:numId w:val="0"/>
        </w:numPr>
        <w:ind w:right="-2"/>
        <w:rPr>
          <w:snapToGrid w:val="0"/>
          <w:sz w:val="22"/>
          <w:szCs w:val="24"/>
        </w:rPr>
      </w:pPr>
    </w:p>
    <w:p w14:paraId="743405E7" w14:textId="77777777" w:rsidR="00B65381" w:rsidRPr="00211E3B" w:rsidRDefault="00B65381" w:rsidP="00B65381">
      <w:pPr>
        <w:keepNext/>
        <w:keepLines/>
        <w:tabs>
          <w:tab w:val="left" w:pos="567"/>
        </w:tabs>
        <w:outlineLvl w:val="2"/>
        <w:rPr>
          <w:b/>
          <w:bCs/>
          <w:snapToGrid w:val="0"/>
          <w:sz w:val="22"/>
          <w:szCs w:val="26"/>
          <w:lang w:eastAsia="x-none"/>
        </w:rPr>
      </w:pPr>
      <w:r w:rsidRPr="00211E3B">
        <w:rPr>
          <w:b/>
          <w:bCs/>
          <w:snapToGrid w:val="0"/>
          <w:sz w:val="22"/>
          <w:szCs w:val="26"/>
          <w:lang w:eastAsia="x-none"/>
        </w:rPr>
        <w:t>6.</w:t>
      </w:r>
      <w:r w:rsidRPr="00211E3B">
        <w:rPr>
          <w:bCs/>
          <w:snapToGrid w:val="0"/>
          <w:sz w:val="22"/>
          <w:szCs w:val="26"/>
          <w:lang w:eastAsia="x-none"/>
        </w:rPr>
        <w:tab/>
      </w:r>
      <w:r w:rsidRPr="00211E3B">
        <w:rPr>
          <w:b/>
          <w:bCs/>
          <w:snapToGrid w:val="0"/>
          <w:sz w:val="22"/>
          <w:szCs w:val="26"/>
          <w:lang w:eastAsia="x-none"/>
        </w:rPr>
        <w:t>Pakuotės turinys ir kita informacija</w:t>
      </w:r>
    </w:p>
    <w:p w14:paraId="0AD37711" w14:textId="77777777" w:rsidR="00B65381" w:rsidRPr="00211E3B" w:rsidRDefault="00B65381" w:rsidP="00B65381">
      <w:pPr>
        <w:numPr>
          <w:ilvl w:val="12"/>
          <w:numId w:val="0"/>
        </w:numPr>
        <w:rPr>
          <w:snapToGrid w:val="0"/>
          <w:sz w:val="22"/>
          <w:szCs w:val="24"/>
        </w:rPr>
      </w:pPr>
    </w:p>
    <w:p w14:paraId="6D8B7C4C" w14:textId="77777777" w:rsidR="00B65381" w:rsidRPr="00211E3B" w:rsidRDefault="00B65381" w:rsidP="00B65381">
      <w:pPr>
        <w:keepNext/>
        <w:tabs>
          <w:tab w:val="left" w:pos="567"/>
        </w:tabs>
        <w:spacing w:line="260" w:lineRule="exact"/>
        <w:jc w:val="both"/>
        <w:outlineLvl w:val="3"/>
        <w:rPr>
          <w:b/>
          <w:bCs/>
          <w:snapToGrid w:val="0"/>
          <w:sz w:val="22"/>
          <w:szCs w:val="28"/>
          <w:lang w:eastAsia="x-none"/>
        </w:rPr>
      </w:pPr>
      <w:r w:rsidRPr="00211E3B">
        <w:rPr>
          <w:b/>
          <w:bCs/>
          <w:snapToGrid w:val="0"/>
          <w:sz w:val="22"/>
          <w:szCs w:val="28"/>
          <w:lang w:eastAsia="x-none"/>
        </w:rPr>
        <w:t xml:space="preserve">Agarf sudėtis </w:t>
      </w:r>
    </w:p>
    <w:p w14:paraId="1B2C677F" w14:textId="726C7359" w:rsidR="00B65381" w:rsidRPr="00211E3B" w:rsidRDefault="00B65381" w:rsidP="00B65381">
      <w:pPr>
        <w:numPr>
          <w:ilvl w:val="0"/>
          <w:numId w:val="5"/>
        </w:numPr>
        <w:tabs>
          <w:tab w:val="left" w:pos="567"/>
        </w:tabs>
        <w:spacing w:line="260" w:lineRule="exact"/>
        <w:ind w:left="567" w:right="-2" w:hanging="567"/>
        <w:rPr>
          <w:snapToGrid w:val="0"/>
          <w:sz w:val="22"/>
          <w:szCs w:val="24"/>
        </w:rPr>
      </w:pPr>
      <w:r w:rsidRPr="00211E3B">
        <w:rPr>
          <w:snapToGrid w:val="0"/>
          <w:sz w:val="22"/>
          <w:szCs w:val="24"/>
        </w:rPr>
        <w:t>Veiklioji medžiaga yra</w:t>
      </w:r>
      <w:r w:rsidRPr="00211E3B">
        <w:t xml:space="preserve"> </w:t>
      </w:r>
      <w:r>
        <w:t>n</w:t>
      </w:r>
      <w:r w:rsidRPr="00211E3B">
        <w:rPr>
          <w:snapToGrid w:val="0"/>
          <w:sz w:val="22"/>
          <w:szCs w:val="24"/>
        </w:rPr>
        <w:t>intedanibas. Kiekvienoje kapsulėje yra 1</w:t>
      </w:r>
      <w:r w:rsidR="00CE4150">
        <w:rPr>
          <w:snapToGrid w:val="0"/>
          <w:sz w:val="22"/>
          <w:szCs w:val="24"/>
        </w:rPr>
        <w:t>5</w:t>
      </w:r>
      <w:r w:rsidRPr="00211E3B">
        <w:rPr>
          <w:snapToGrid w:val="0"/>
          <w:sz w:val="22"/>
          <w:szCs w:val="24"/>
        </w:rPr>
        <w:t>0</w:t>
      </w:r>
      <w:r>
        <w:rPr>
          <w:snapToGrid w:val="0"/>
          <w:sz w:val="22"/>
          <w:szCs w:val="24"/>
        </w:rPr>
        <w:t> mg</w:t>
      </w:r>
      <w:r w:rsidRPr="00211E3B">
        <w:rPr>
          <w:snapToGrid w:val="0"/>
          <w:sz w:val="22"/>
          <w:szCs w:val="24"/>
        </w:rPr>
        <w:t xml:space="preserve"> nintedanibo (esilato forma).</w:t>
      </w:r>
    </w:p>
    <w:p w14:paraId="118B3E98" w14:textId="77777777" w:rsidR="00B65381" w:rsidRPr="00211E3B" w:rsidRDefault="00B65381" w:rsidP="00B65381">
      <w:pPr>
        <w:numPr>
          <w:ilvl w:val="0"/>
          <w:numId w:val="5"/>
        </w:numPr>
        <w:tabs>
          <w:tab w:val="left" w:pos="567"/>
        </w:tabs>
        <w:spacing w:line="260" w:lineRule="exact"/>
        <w:ind w:left="567" w:right="-2" w:hanging="567"/>
        <w:rPr>
          <w:snapToGrid w:val="0"/>
          <w:sz w:val="22"/>
          <w:szCs w:val="24"/>
        </w:rPr>
      </w:pPr>
      <w:r w:rsidRPr="00211E3B">
        <w:rPr>
          <w:snapToGrid w:val="0"/>
          <w:sz w:val="22"/>
          <w:szCs w:val="24"/>
        </w:rPr>
        <w:t>Pagalbinės medžiagos</w:t>
      </w:r>
    </w:p>
    <w:p w14:paraId="25ECFD53" w14:textId="4D198C0D" w:rsidR="00B65381" w:rsidRPr="00211E3B" w:rsidRDefault="00B65381" w:rsidP="00B65381">
      <w:pPr>
        <w:pStyle w:val="Sraopastraipa"/>
        <w:numPr>
          <w:ilvl w:val="0"/>
          <w:numId w:val="8"/>
        </w:numPr>
        <w:tabs>
          <w:tab w:val="left" w:pos="567"/>
        </w:tabs>
        <w:spacing w:line="260" w:lineRule="exact"/>
        <w:ind w:left="1134" w:right="-2" w:hanging="567"/>
        <w:rPr>
          <w:snapToGrid w:val="0"/>
          <w:sz w:val="22"/>
          <w:szCs w:val="24"/>
        </w:rPr>
      </w:pPr>
      <w:r w:rsidRPr="00211E3B">
        <w:rPr>
          <w:snapToGrid w:val="0"/>
          <w:sz w:val="22"/>
          <w:szCs w:val="24"/>
        </w:rPr>
        <w:t>Kapsulės turiny</w:t>
      </w:r>
      <w:r w:rsidR="00E66365">
        <w:rPr>
          <w:snapToGrid w:val="0"/>
          <w:sz w:val="22"/>
          <w:szCs w:val="24"/>
        </w:rPr>
        <w:t>je</w:t>
      </w:r>
      <w:r w:rsidRPr="00211E3B">
        <w:rPr>
          <w:snapToGrid w:val="0"/>
          <w:sz w:val="22"/>
          <w:szCs w:val="24"/>
        </w:rPr>
        <w:t>: vidutinės grandinės trigliceridai, kietieji riebalai ir poligliceril-3-dioleatas.</w:t>
      </w:r>
    </w:p>
    <w:p w14:paraId="0FBF2429" w14:textId="681EB393" w:rsidR="00B65381" w:rsidRPr="00211E3B" w:rsidRDefault="00B65381" w:rsidP="00B65381">
      <w:pPr>
        <w:pStyle w:val="Sraopastraipa"/>
        <w:numPr>
          <w:ilvl w:val="0"/>
          <w:numId w:val="8"/>
        </w:numPr>
        <w:tabs>
          <w:tab w:val="left" w:pos="567"/>
        </w:tabs>
        <w:spacing w:line="260" w:lineRule="exact"/>
        <w:ind w:left="1134" w:right="-2" w:hanging="567"/>
        <w:rPr>
          <w:snapToGrid w:val="0"/>
          <w:sz w:val="22"/>
          <w:szCs w:val="24"/>
        </w:rPr>
      </w:pPr>
      <w:r w:rsidRPr="00211E3B">
        <w:rPr>
          <w:snapToGrid w:val="0"/>
          <w:sz w:val="22"/>
          <w:szCs w:val="24"/>
        </w:rPr>
        <w:t>Kapsulės korpus</w:t>
      </w:r>
      <w:r w:rsidR="00E66365">
        <w:rPr>
          <w:snapToGrid w:val="0"/>
          <w:sz w:val="22"/>
          <w:szCs w:val="24"/>
        </w:rPr>
        <w:t>e</w:t>
      </w:r>
      <w:r w:rsidRPr="00211E3B">
        <w:rPr>
          <w:snapToGrid w:val="0"/>
          <w:sz w:val="22"/>
          <w:szCs w:val="24"/>
        </w:rPr>
        <w:t>: želatina, glicerolis, titano dioksidas (E 171), raudonasis geležies oksidas (E 172) ir geltonasis geležies oksidas (E 172), išgrynintas vanduo.</w:t>
      </w:r>
    </w:p>
    <w:p w14:paraId="32DAE58E" w14:textId="09DE3C20" w:rsidR="00B65381" w:rsidRPr="00211E3B" w:rsidRDefault="00B65381" w:rsidP="00B65381">
      <w:pPr>
        <w:pStyle w:val="Sraopastraipa"/>
        <w:numPr>
          <w:ilvl w:val="0"/>
          <w:numId w:val="8"/>
        </w:numPr>
        <w:tabs>
          <w:tab w:val="left" w:pos="567"/>
        </w:tabs>
        <w:spacing w:line="260" w:lineRule="exact"/>
        <w:ind w:left="1134" w:right="-2" w:hanging="567"/>
        <w:rPr>
          <w:snapToGrid w:val="0"/>
          <w:sz w:val="22"/>
          <w:szCs w:val="24"/>
        </w:rPr>
      </w:pPr>
      <w:r w:rsidRPr="00211E3B">
        <w:rPr>
          <w:snapToGrid w:val="0"/>
          <w:sz w:val="22"/>
          <w:szCs w:val="24"/>
        </w:rPr>
        <w:lastRenderedPageBreak/>
        <w:t>Spaustuvin</w:t>
      </w:r>
      <w:r w:rsidR="00E66365">
        <w:rPr>
          <w:snapToGrid w:val="0"/>
          <w:sz w:val="22"/>
          <w:szCs w:val="24"/>
        </w:rPr>
        <w:t>iame</w:t>
      </w:r>
      <w:r w:rsidRPr="00211E3B">
        <w:rPr>
          <w:snapToGrid w:val="0"/>
          <w:sz w:val="22"/>
          <w:szCs w:val="24"/>
        </w:rPr>
        <w:t xml:space="preserve"> rašal</w:t>
      </w:r>
      <w:r w:rsidR="00E66365">
        <w:rPr>
          <w:snapToGrid w:val="0"/>
          <w:sz w:val="22"/>
          <w:szCs w:val="24"/>
        </w:rPr>
        <w:t>e</w:t>
      </w:r>
      <w:r w:rsidRPr="00211E3B">
        <w:rPr>
          <w:snapToGrid w:val="0"/>
          <w:sz w:val="22"/>
          <w:szCs w:val="24"/>
        </w:rPr>
        <w:t xml:space="preserve">: šelakas, </w:t>
      </w:r>
      <w:r w:rsidR="00B27861">
        <w:rPr>
          <w:snapToGrid w:val="0"/>
          <w:sz w:val="22"/>
          <w:szCs w:val="24"/>
        </w:rPr>
        <w:t xml:space="preserve">juodasis </w:t>
      </w:r>
      <w:r w:rsidR="00B27861" w:rsidRPr="00B27861">
        <w:rPr>
          <w:snapToGrid w:val="0"/>
          <w:sz w:val="22"/>
          <w:szCs w:val="24"/>
        </w:rPr>
        <w:t>geležies oksidas (E172)</w:t>
      </w:r>
      <w:r w:rsidRPr="00211E3B">
        <w:rPr>
          <w:snapToGrid w:val="0"/>
          <w:sz w:val="22"/>
          <w:szCs w:val="24"/>
        </w:rPr>
        <w:t>, propilenglikolis (E 1520).</w:t>
      </w:r>
    </w:p>
    <w:p w14:paraId="12A535F5" w14:textId="77777777" w:rsidR="00B65381" w:rsidRPr="00211E3B" w:rsidRDefault="00B65381" w:rsidP="00B65381">
      <w:pPr>
        <w:numPr>
          <w:ilvl w:val="12"/>
          <w:numId w:val="0"/>
        </w:numPr>
        <w:ind w:right="-2"/>
        <w:rPr>
          <w:snapToGrid w:val="0"/>
          <w:sz w:val="22"/>
          <w:szCs w:val="24"/>
        </w:rPr>
      </w:pPr>
    </w:p>
    <w:p w14:paraId="6713A269" w14:textId="77777777" w:rsidR="00B65381" w:rsidRPr="00211E3B" w:rsidRDefault="00B65381" w:rsidP="00B65381">
      <w:pPr>
        <w:keepNext/>
        <w:tabs>
          <w:tab w:val="left" w:pos="567"/>
        </w:tabs>
        <w:spacing w:line="260" w:lineRule="exact"/>
        <w:jc w:val="both"/>
        <w:outlineLvl w:val="3"/>
        <w:rPr>
          <w:b/>
          <w:bCs/>
          <w:snapToGrid w:val="0"/>
          <w:sz w:val="22"/>
          <w:szCs w:val="28"/>
          <w:lang w:eastAsia="x-none"/>
        </w:rPr>
      </w:pPr>
      <w:r w:rsidRPr="00211E3B">
        <w:rPr>
          <w:b/>
          <w:bCs/>
          <w:snapToGrid w:val="0"/>
          <w:sz w:val="22"/>
          <w:szCs w:val="28"/>
          <w:lang w:eastAsia="x-none"/>
        </w:rPr>
        <w:t>Agarf išvaizda ir kiekis pakuotėje</w:t>
      </w:r>
    </w:p>
    <w:p w14:paraId="774A8F00" w14:textId="2DB55598" w:rsidR="00B65381" w:rsidRPr="00211E3B" w:rsidRDefault="00B65381" w:rsidP="00B65381">
      <w:pPr>
        <w:tabs>
          <w:tab w:val="left" w:pos="567"/>
        </w:tabs>
        <w:spacing w:line="260" w:lineRule="exact"/>
        <w:rPr>
          <w:snapToGrid w:val="0"/>
          <w:sz w:val="22"/>
          <w:szCs w:val="24"/>
        </w:rPr>
      </w:pPr>
      <w:r w:rsidRPr="00211E3B">
        <w:rPr>
          <w:snapToGrid w:val="0"/>
          <w:sz w:val="22"/>
          <w:szCs w:val="24"/>
        </w:rPr>
        <w:t>Agarf 1</w:t>
      </w:r>
      <w:r w:rsidR="00CE4150">
        <w:rPr>
          <w:snapToGrid w:val="0"/>
          <w:sz w:val="22"/>
          <w:szCs w:val="24"/>
        </w:rPr>
        <w:t>5</w:t>
      </w:r>
      <w:r w:rsidRPr="00211E3B">
        <w:rPr>
          <w:snapToGrid w:val="0"/>
          <w:sz w:val="22"/>
          <w:szCs w:val="24"/>
        </w:rPr>
        <w:t>0</w:t>
      </w:r>
      <w:r>
        <w:rPr>
          <w:snapToGrid w:val="0"/>
          <w:sz w:val="22"/>
          <w:szCs w:val="24"/>
        </w:rPr>
        <w:t> mg</w:t>
      </w:r>
      <w:r w:rsidRPr="00211E3B">
        <w:rPr>
          <w:snapToGrid w:val="0"/>
          <w:sz w:val="22"/>
          <w:szCs w:val="24"/>
        </w:rPr>
        <w:t xml:space="preserve"> yra </w:t>
      </w:r>
      <w:r w:rsidR="00CE4150">
        <w:rPr>
          <w:snapToGrid w:val="0"/>
          <w:sz w:val="22"/>
          <w:szCs w:val="24"/>
        </w:rPr>
        <w:t>rudos</w:t>
      </w:r>
      <w:r w:rsidRPr="00211E3B">
        <w:rPr>
          <w:snapToGrid w:val="0"/>
          <w:sz w:val="22"/>
          <w:szCs w:val="24"/>
        </w:rPr>
        <w:t>, matinės, pailgos</w:t>
      </w:r>
      <w:r w:rsidR="00E66365">
        <w:rPr>
          <w:snapToGrid w:val="0"/>
          <w:sz w:val="22"/>
          <w:szCs w:val="24"/>
        </w:rPr>
        <w:t>,</w:t>
      </w:r>
      <w:r w:rsidRPr="00211E3B">
        <w:rPr>
          <w:snapToGrid w:val="0"/>
          <w:sz w:val="22"/>
          <w:szCs w:val="24"/>
        </w:rPr>
        <w:t xml:space="preserve"> maždaug 1</w:t>
      </w:r>
      <w:r w:rsidR="00CE4150">
        <w:rPr>
          <w:snapToGrid w:val="0"/>
          <w:sz w:val="22"/>
          <w:szCs w:val="24"/>
        </w:rPr>
        <w:t>7</w:t>
      </w:r>
      <w:r w:rsidRPr="00211E3B">
        <w:rPr>
          <w:snapToGrid w:val="0"/>
          <w:sz w:val="22"/>
          <w:szCs w:val="24"/>
        </w:rPr>
        <w:t xml:space="preserve"> mm ilgio kapsulės, kuriose yra geltonos klampios suspensijos, su </w:t>
      </w:r>
      <w:r w:rsidR="00B27861">
        <w:rPr>
          <w:snapToGrid w:val="0"/>
          <w:sz w:val="22"/>
          <w:szCs w:val="24"/>
        </w:rPr>
        <w:t>juodo</w:t>
      </w:r>
      <w:r w:rsidR="00B27861" w:rsidRPr="00211E3B">
        <w:rPr>
          <w:snapToGrid w:val="0"/>
          <w:sz w:val="22"/>
          <w:szCs w:val="24"/>
        </w:rPr>
        <w:t xml:space="preserve"> </w:t>
      </w:r>
      <w:r w:rsidRPr="00211E3B">
        <w:rPr>
          <w:snapToGrid w:val="0"/>
          <w:sz w:val="22"/>
          <w:szCs w:val="24"/>
        </w:rPr>
        <w:t>rašalo įspaudu „NT 1</w:t>
      </w:r>
      <w:r w:rsidR="00CE4150">
        <w:rPr>
          <w:snapToGrid w:val="0"/>
          <w:sz w:val="22"/>
          <w:szCs w:val="24"/>
        </w:rPr>
        <w:t>5</w:t>
      </w:r>
      <w:r w:rsidRPr="00211E3B">
        <w:rPr>
          <w:snapToGrid w:val="0"/>
          <w:sz w:val="22"/>
          <w:szCs w:val="24"/>
        </w:rPr>
        <w:t>0“.</w:t>
      </w:r>
    </w:p>
    <w:p w14:paraId="025CF2AF" w14:textId="77777777" w:rsidR="00B65381" w:rsidRPr="00211E3B" w:rsidRDefault="00B65381" w:rsidP="00B65381">
      <w:pPr>
        <w:numPr>
          <w:ilvl w:val="12"/>
          <w:numId w:val="0"/>
        </w:numPr>
        <w:ind w:right="-2"/>
        <w:rPr>
          <w:snapToGrid w:val="0"/>
          <w:sz w:val="22"/>
          <w:szCs w:val="24"/>
        </w:rPr>
      </w:pPr>
    </w:p>
    <w:p w14:paraId="42D6C478" w14:textId="20A16404" w:rsidR="00B65381" w:rsidRPr="00211E3B" w:rsidRDefault="00B65381" w:rsidP="00B65381">
      <w:pPr>
        <w:numPr>
          <w:ilvl w:val="12"/>
          <w:numId w:val="0"/>
        </w:numPr>
        <w:ind w:right="-2"/>
        <w:rPr>
          <w:snapToGrid w:val="0"/>
          <w:sz w:val="22"/>
          <w:szCs w:val="24"/>
        </w:rPr>
      </w:pPr>
      <w:r w:rsidRPr="00211E3B">
        <w:rPr>
          <w:snapToGrid w:val="0"/>
          <w:sz w:val="22"/>
          <w:szCs w:val="24"/>
        </w:rPr>
        <w:t>Agarf 1</w:t>
      </w:r>
      <w:r w:rsidR="00CE4150">
        <w:rPr>
          <w:snapToGrid w:val="0"/>
          <w:sz w:val="22"/>
          <w:szCs w:val="24"/>
        </w:rPr>
        <w:t>5</w:t>
      </w:r>
      <w:r w:rsidRPr="00211E3B">
        <w:rPr>
          <w:snapToGrid w:val="0"/>
          <w:sz w:val="22"/>
          <w:szCs w:val="24"/>
        </w:rPr>
        <w:t>0</w:t>
      </w:r>
      <w:r>
        <w:rPr>
          <w:snapToGrid w:val="0"/>
          <w:sz w:val="22"/>
          <w:szCs w:val="24"/>
        </w:rPr>
        <w:t> mg</w:t>
      </w:r>
      <w:r w:rsidRPr="00211E3B">
        <w:rPr>
          <w:snapToGrid w:val="0"/>
          <w:sz w:val="22"/>
          <w:szCs w:val="24"/>
        </w:rPr>
        <w:t xml:space="preserve"> kapsulės tiekiamos kartono dėžutėje esančiose </w:t>
      </w:r>
      <w:r w:rsidRPr="00703C7D">
        <w:rPr>
          <w:snapToGrid w:val="0"/>
          <w:sz w:val="22"/>
          <w:szCs w:val="24"/>
        </w:rPr>
        <w:t>OPA/</w:t>
      </w:r>
      <w:r>
        <w:rPr>
          <w:snapToGrid w:val="0"/>
          <w:sz w:val="22"/>
          <w:szCs w:val="24"/>
        </w:rPr>
        <w:t>aliuminio</w:t>
      </w:r>
      <w:r w:rsidRPr="00703C7D">
        <w:rPr>
          <w:snapToGrid w:val="0"/>
          <w:sz w:val="22"/>
          <w:szCs w:val="24"/>
        </w:rPr>
        <w:t xml:space="preserve">/PVC </w:t>
      </w:r>
      <w:r>
        <w:rPr>
          <w:snapToGrid w:val="0"/>
          <w:sz w:val="22"/>
          <w:szCs w:val="24"/>
        </w:rPr>
        <w:t>aliuminio</w:t>
      </w:r>
      <w:r w:rsidRPr="00703C7D">
        <w:rPr>
          <w:snapToGrid w:val="0"/>
          <w:sz w:val="22"/>
          <w:szCs w:val="24"/>
        </w:rPr>
        <w:t xml:space="preserve"> </w:t>
      </w:r>
      <w:r w:rsidRPr="00211E3B">
        <w:rPr>
          <w:snapToGrid w:val="0"/>
          <w:sz w:val="22"/>
          <w:szCs w:val="24"/>
        </w:rPr>
        <w:t>perforuotose dalomosiose lizdinėse plokštelėse.</w:t>
      </w:r>
    </w:p>
    <w:p w14:paraId="443BFF78" w14:textId="77777777" w:rsidR="00B65381" w:rsidRPr="00211E3B" w:rsidRDefault="00B65381" w:rsidP="00B65381">
      <w:pPr>
        <w:numPr>
          <w:ilvl w:val="12"/>
          <w:numId w:val="0"/>
        </w:numPr>
        <w:ind w:right="-2"/>
        <w:rPr>
          <w:snapToGrid w:val="0"/>
          <w:sz w:val="22"/>
          <w:szCs w:val="24"/>
        </w:rPr>
      </w:pPr>
    </w:p>
    <w:p w14:paraId="4CC48133" w14:textId="77777777" w:rsidR="00B65381" w:rsidRPr="00211E3B" w:rsidRDefault="00B65381" w:rsidP="00B65381">
      <w:pPr>
        <w:numPr>
          <w:ilvl w:val="12"/>
          <w:numId w:val="0"/>
        </w:numPr>
        <w:ind w:right="-2"/>
        <w:rPr>
          <w:snapToGrid w:val="0"/>
          <w:sz w:val="22"/>
          <w:szCs w:val="24"/>
        </w:rPr>
      </w:pPr>
      <w:r w:rsidRPr="00211E3B">
        <w:rPr>
          <w:snapToGrid w:val="0"/>
          <w:sz w:val="22"/>
          <w:szCs w:val="24"/>
        </w:rPr>
        <w:t>Pakuotės dydžiai:</w:t>
      </w:r>
    </w:p>
    <w:p w14:paraId="299D5CDE" w14:textId="77777777" w:rsidR="00B65381" w:rsidRPr="00211E3B" w:rsidRDefault="00B65381" w:rsidP="00B65381">
      <w:pPr>
        <w:numPr>
          <w:ilvl w:val="12"/>
          <w:numId w:val="0"/>
        </w:numPr>
        <w:ind w:right="-2"/>
        <w:rPr>
          <w:snapToGrid w:val="0"/>
          <w:sz w:val="22"/>
          <w:szCs w:val="24"/>
        </w:rPr>
      </w:pPr>
    </w:p>
    <w:p w14:paraId="6CFA7499" w14:textId="1CD53B62" w:rsidR="00CE4150" w:rsidRPr="00211E3B" w:rsidRDefault="00CE4150" w:rsidP="00CE4150">
      <w:pPr>
        <w:numPr>
          <w:ilvl w:val="12"/>
          <w:numId w:val="0"/>
        </w:numPr>
        <w:ind w:right="-2"/>
        <w:rPr>
          <w:snapToGrid w:val="0"/>
          <w:sz w:val="22"/>
          <w:szCs w:val="24"/>
        </w:rPr>
      </w:pPr>
      <w:r>
        <w:rPr>
          <w:snapToGrid w:val="0"/>
          <w:sz w:val="22"/>
          <w:szCs w:val="24"/>
        </w:rPr>
        <w:t>3</w:t>
      </w:r>
      <w:r w:rsidRPr="00211E3B">
        <w:rPr>
          <w:snapToGrid w:val="0"/>
          <w:sz w:val="22"/>
          <w:szCs w:val="24"/>
        </w:rPr>
        <w:t>0 x 1 minkštoji kapsulė</w:t>
      </w:r>
    </w:p>
    <w:p w14:paraId="5F57FB61" w14:textId="77777777" w:rsidR="00CE4150" w:rsidRPr="00211E3B" w:rsidRDefault="00CE4150" w:rsidP="00CE4150">
      <w:pPr>
        <w:numPr>
          <w:ilvl w:val="12"/>
          <w:numId w:val="0"/>
        </w:numPr>
        <w:ind w:right="-2"/>
        <w:rPr>
          <w:snapToGrid w:val="0"/>
          <w:sz w:val="22"/>
          <w:szCs w:val="24"/>
        </w:rPr>
      </w:pPr>
      <w:r w:rsidRPr="00211E3B">
        <w:rPr>
          <w:snapToGrid w:val="0"/>
          <w:sz w:val="22"/>
          <w:szCs w:val="24"/>
        </w:rPr>
        <w:t>60 x 1 minkštoji kapsulė</w:t>
      </w:r>
    </w:p>
    <w:p w14:paraId="4D77F57E" w14:textId="77777777" w:rsidR="00B65381" w:rsidRPr="00211E3B" w:rsidRDefault="00B65381" w:rsidP="00B65381">
      <w:pPr>
        <w:numPr>
          <w:ilvl w:val="12"/>
          <w:numId w:val="0"/>
        </w:numPr>
        <w:ind w:right="-2"/>
        <w:rPr>
          <w:snapToGrid w:val="0"/>
          <w:sz w:val="22"/>
          <w:szCs w:val="24"/>
        </w:rPr>
      </w:pPr>
    </w:p>
    <w:p w14:paraId="0E11B87F" w14:textId="77777777" w:rsidR="00B65381" w:rsidRPr="00211E3B" w:rsidRDefault="00B65381" w:rsidP="00B65381">
      <w:pPr>
        <w:numPr>
          <w:ilvl w:val="12"/>
          <w:numId w:val="0"/>
        </w:numPr>
        <w:ind w:right="-2"/>
        <w:rPr>
          <w:snapToGrid w:val="0"/>
          <w:sz w:val="22"/>
          <w:szCs w:val="24"/>
        </w:rPr>
      </w:pPr>
      <w:r w:rsidRPr="00211E3B">
        <w:rPr>
          <w:snapToGrid w:val="0"/>
          <w:sz w:val="22"/>
          <w:szCs w:val="24"/>
        </w:rPr>
        <w:t>Gali būti tiekiamos ne visų dydžių pakuotės.</w:t>
      </w:r>
    </w:p>
    <w:p w14:paraId="58DF8BD2" w14:textId="77777777" w:rsidR="00B65381" w:rsidRPr="00211E3B" w:rsidRDefault="00B65381" w:rsidP="00B65381">
      <w:pPr>
        <w:numPr>
          <w:ilvl w:val="12"/>
          <w:numId w:val="0"/>
        </w:numPr>
        <w:ind w:right="-2"/>
        <w:rPr>
          <w:snapToGrid w:val="0"/>
          <w:sz w:val="22"/>
          <w:szCs w:val="24"/>
        </w:rPr>
      </w:pPr>
    </w:p>
    <w:p w14:paraId="4F80D4B4" w14:textId="1C6CE192" w:rsidR="001D767B" w:rsidRDefault="001D767B" w:rsidP="00B65381">
      <w:pPr>
        <w:keepNext/>
        <w:tabs>
          <w:tab w:val="left" w:pos="567"/>
        </w:tabs>
        <w:spacing w:line="260" w:lineRule="exact"/>
        <w:jc w:val="both"/>
        <w:outlineLvl w:val="3"/>
        <w:rPr>
          <w:b/>
          <w:bCs/>
          <w:snapToGrid w:val="0"/>
          <w:sz w:val="22"/>
          <w:szCs w:val="28"/>
          <w:lang w:eastAsia="x-none"/>
        </w:rPr>
      </w:pPr>
      <w:r w:rsidRPr="001D767B">
        <w:rPr>
          <w:b/>
          <w:bCs/>
          <w:snapToGrid w:val="0"/>
          <w:sz w:val="22"/>
          <w:szCs w:val="28"/>
          <w:lang w:eastAsia="x-none"/>
        </w:rPr>
        <w:t>Registruotojas ir gamintojas</w:t>
      </w:r>
    </w:p>
    <w:p w14:paraId="102A9253" w14:textId="77777777" w:rsidR="001D767B" w:rsidRDefault="001D767B" w:rsidP="00B65381">
      <w:pPr>
        <w:keepNext/>
        <w:tabs>
          <w:tab w:val="left" w:pos="567"/>
        </w:tabs>
        <w:spacing w:line="260" w:lineRule="exact"/>
        <w:jc w:val="both"/>
        <w:outlineLvl w:val="3"/>
        <w:rPr>
          <w:b/>
          <w:bCs/>
          <w:snapToGrid w:val="0"/>
          <w:sz w:val="22"/>
          <w:szCs w:val="28"/>
          <w:lang w:eastAsia="x-none"/>
        </w:rPr>
      </w:pPr>
    </w:p>
    <w:p w14:paraId="1303CD29" w14:textId="68689BB6" w:rsidR="00B65381" w:rsidRPr="001D767B" w:rsidRDefault="00B65381" w:rsidP="00B65381">
      <w:pPr>
        <w:keepNext/>
        <w:tabs>
          <w:tab w:val="left" w:pos="567"/>
        </w:tabs>
        <w:spacing w:line="260" w:lineRule="exact"/>
        <w:jc w:val="both"/>
        <w:outlineLvl w:val="3"/>
        <w:rPr>
          <w:i/>
          <w:iCs/>
          <w:snapToGrid w:val="0"/>
          <w:sz w:val="22"/>
          <w:szCs w:val="28"/>
          <w:lang w:eastAsia="x-none"/>
        </w:rPr>
      </w:pPr>
      <w:r w:rsidRPr="001D767B">
        <w:rPr>
          <w:i/>
          <w:iCs/>
          <w:snapToGrid w:val="0"/>
          <w:sz w:val="22"/>
          <w:szCs w:val="28"/>
          <w:lang w:eastAsia="x-none"/>
        </w:rPr>
        <w:t>Registruotojas</w:t>
      </w:r>
    </w:p>
    <w:p w14:paraId="6D443094" w14:textId="77777777" w:rsidR="00B65381" w:rsidRPr="00211E3B" w:rsidRDefault="00B65381" w:rsidP="00B65381">
      <w:pPr>
        <w:numPr>
          <w:ilvl w:val="12"/>
          <w:numId w:val="0"/>
        </w:numPr>
        <w:ind w:right="-2"/>
        <w:rPr>
          <w:snapToGrid w:val="0"/>
          <w:sz w:val="22"/>
          <w:szCs w:val="24"/>
        </w:rPr>
      </w:pPr>
      <w:r w:rsidRPr="00211E3B">
        <w:rPr>
          <w:snapToGrid w:val="0"/>
          <w:sz w:val="22"/>
          <w:szCs w:val="24"/>
        </w:rPr>
        <w:t>UAB Norameda</w:t>
      </w:r>
    </w:p>
    <w:p w14:paraId="2AC8191F" w14:textId="77777777" w:rsidR="00ED3E5F" w:rsidRDefault="00B65381" w:rsidP="00B65381">
      <w:pPr>
        <w:numPr>
          <w:ilvl w:val="12"/>
          <w:numId w:val="0"/>
        </w:numPr>
        <w:ind w:right="-2"/>
        <w:rPr>
          <w:snapToGrid w:val="0"/>
          <w:sz w:val="22"/>
          <w:szCs w:val="24"/>
        </w:rPr>
      </w:pPr>
      <w:r w:rsidRPr="00211E3B">
        <w:rPr>
          <w:snapToGrid w:val="0"/>
          <w:sz w:val="22"/>
          <w:szCs w:val="24"/>
        </w:rPr>
        <w:t>Meistrų 8A</w:t>
      </w:r>
    </w:p>
    <w:p w14:paraId="1CE9BB29" w14:textId="15F6C051" w:rsidR="00B65381" w:rsidRPr="00211E3B" w:rsidRDefault="00B65381" w:rsidP="00B65381">
      <w:pPr>
        <w:numPr>
          <w:ilvl w:val="12"/>
          <w:numId w:val="0"/>
        </w:numPr>
        <w:ind w:right="-2"/>
        <w:rPr>
          <w:snapToGrid w:val="0"/>
          <w:sz w:val="22"/>
          <w:szCs w:val="24"/>
        </w:rPr>
      </w:pPr>
      <w:r w:rsidRPr="00211E3B">
        <w:rPr>
          <w:snapToGrid w:val="0"/>
          <w:sz w:val="22"/>
          <w:szCs w:val="24"/>
        </w:rPr>
        <w:t>LT-02189 Vilnius</w:t>
      </w:r>
    </w:p>
    <w:p w14:paraId="4DBDD276" w14:textId="77777777" w:rsidR="00B65381" w:rsidRPr="00211E3B" w:rsidRDefault="00B65381" w:rsidP="00B65381">
      <w:pPr>
        <w:numPr>
          <w:ilvl w:val="12"/>
          <w:numId w:val="0"/>
        </w:numPr>
        <w:ind w:right="-2"/>
        <w:rPr>
          <w:snapToGrid w:val="0"/>
          <w:sz w:val="22"/>
          <w:szCs w:val="24"/>
        </w:rPr>
      </w:pPr>
      <w:r w:rsidRPr="00211E3B">
        <w:rPr>
          <w:snapToGrid w:val="0"/>
          <w:sz w:val="22"/>
          <w:szCs w:val="24"/>
        </w:rPr>
        <w:t>Lietuva</w:t>
      </w:r>
    </w:p>
    <w:p w14:paraId="063FC60C" w14:textId="77777777" w:rsidR="00B65381" w:rsidRPr="00211E3B" w:rsidRDefault="00B65381" w:rsidP="00B65381">
      <w:pPr>
        <w:numPr>
          <w:ilvl w:val="12"/>
          <w:numId w:val="0"/>
        </w:numPr>
        <w:ind w:right="-2"/>
        <w:rPr>
          <w:snapToGrid w:val="0"/>
          <w:sz w:val="22"/>
          <w:szCs w:val="24"/>
        </w:rPr>
      </w:pPr>
    </w:p>
    <w:p w14:paraId="579D7148" w14:textId="77777777" w:rsidR="00B65381" w:rsidRPr="001D767B" w:rsidRDefault="00B65381" w:rsidP="00B65381">
      <w:pPr>
        <w:tabs>
          <w:tab w:val="left" w:pos="567"/>
        </w:tabs>
        <w:ind w:right="-2"/>
        <w:rPr>
          <w:i/>
          <w:iCs/>
          <w:snapToGrid w:val="0"/>
          <w:sz w:val="22"/>
        </w:rPr>
      </w:pPr>
      <w:r w:rsidRPr="001D767B">
        <w:rPr>
          <w:i/>
          <w:iCs/>
          <w:snapToGrid w:val="0"/>
          <w:sz w:val="22"/>
        </w:rPr>
        <w:t>Gamintojas</w:t>
      </w:r>
    </w:p>
    <w:p w14:paraId="319C024C" w14:textId="77777777" w:rsidR="00ED3E5F" w:rsidRPr="00ED3E5F" w:rsidRDefault="00ED3E5F" w:rsidP="00ED3E5F">
      <w:pPr>
        <w:tabs>
          <w:tab w:val="left" w:pos="567"/>
        </w:tabs>
        <w:ind w:right="-2"/>
        <w:rPr>
          <w:snapToGrid w:val="0"/>
          <w:sz w:val="22"/>
        </w:rPr>
      </w:pPr>
      <w:r w:rsidRPr="00ED3E5F">
        <w:rPr>
          <w:snapToGrid w:val="0"/>
          <w:sz w:val="22"/>
        </w:rPr>
        <w:t>Pharmadox Healthcare Limited</w:t>
      </w:r>
    </w:p>
    <w:p w14:paraId="4910EC35" w14:textId="77777777" w:rsidR="00ED3E5F" w:rsidRPr="00ED3E5F" w:rsidRDefault="00ED3E5F" w:rsidP="00ED3E5F">
      <w:pPr>
        <w:tabs>
          <w:tab w:val="left" w:pos="567"/>
        </w:tabs>
        <w:ind w:right="-2"/>
        <w:rPr>
          <w:snapToGrid w:val="0"/>
          <w:sz w:val="22"/>
        </w:rPr>
      </w:pPr>
      <w:r w:rsidRPr="00ED3E5F">
        <w:rPr>
          <w:snapToGrid w:val="0"/>
          <w:sz w:val="22"/>
        </w:rPr>
        <w:t>KW20A Kordin Industrial Park</w:t>
      </w:r>
    </w:p>
    <w:p w14:paraId="29429BDA" w14:textId="77777777" w:rsidR="00ED3E5F" w:rsidRPr="00ED3E5F" w:rsidRDefault="00ED3E5F" w:rsidP="00ED3E5F">
      <w:pPr>
        <w:tabs>
          <w:tab w:val="left" w:pos="567"/>
        </w:tabs>
        <w:ind w:right="-2"/>
        <w:rPr>
          <w:snapToGrid w:val="0"/>
          <w:sz w:val="22"/>
        </w:rPr>
      </w:pPr>
      <w:r w:rsidRPr="00ED3E5F">
        <w:rPr>
          <w:snapToGrid w:val="0"/>
          <w:sz w:val="22"/>
        </w:rPr>
        <w:t>Paola PLA 3000</w:t>
      </w:r>
    </w:p>
    <w:p w14:paraId="7B61B190" w14:textId="77777777" w:rsidR="00ED3E5F" w:rsidRPr="00ED3E5F" w:rsidRDefault="00ED3E5F" w:rsidP="00ED3E5F">
      <w:pPr>
        <w:tabs>
          <w:tab w:val="left" w:pos="567"/>
        </w:tabs>
        <w:ind w:right="-2"/>
        <w:rPr>
          <w:snapToGrid w:val="0"/>
          <w:sz w:val="22"/>
        </w:rPr>
      </w:pPr>
      <w:r w:rsidRPr="00ED3E5F">
        <w:rPr>
          <w:snapToGrid w:val="0"/>
          <w:sz w:val="22"/>
        </w:rPr>
        <w:t>Malta</w:t>
      </w:r>
    </w:p>
    <w:p w14:paraId="6DE5EA6E" w14:textId="77777777" w:rsidR="00ED3E5F" w:rsidRPr="00ED3E5F" w:rsidRDefault="00ED3E5F" w:rsidP="00ED3E5F">
      <w:pPr>
        <w:tabs>
          <w:tab w:val="left" w:pos="567"/>
        </w:tabs>
        <w:ind w:right="-2"/>
        <w:rPr>
          <w:snapToGrid w:val="0"/>
          <w:sz w:val="22"/>
        </w:rPr>
      </w:pPr>
    </w:p>
    <w:p w14:paraId="285F6763" w14:textId="77777777" w:rsidR="00ED3E5F" w:rsidRPr="00ED3E5F" w:rsidRDefault="00ED3E5F" w:rsidP="00ED3E5F">
      <w:pPr>
        <w:tabs>
          <w:tab w:val="left" w:pos="567"/>
        </w:tabs>
        <w:ind w:right="-2"/>
        <w:rPr>
          <w:snapToGrid w:val="0"/>
          <w:sz w:val="22"/>
          <w:highlight w:val="lightGray"/>
        </w:rPr>
      </w:pPr>
      <w:r w:rsidRPr="00ED3E5F">
        <w:rPr>
          <w:snapToGrid w:val="0"/>
          <w:sz w:val="22"/>
          <w:highlight w:val="lightGray"/>
        </w:rPr>
        <w:t>arba</w:t>
      </w:r>
    </w:p>
    <w:p w14:paraId="6F0E0A51" w14:textId="77777777" w:rsidR="00ED3E5F" w:rsidRPr="00ED3E5F" w:rsidRDefault="00ED3E5F" w:rsidP="00ED3E5F">
      <w:pPr>
        <w:tabs>
          <w:tab w:val="left" w:pos="567"/>
        </w:tabs>
        <w:ind w:right="-2"/>
        <w:rPr>
          <w:snapToGrid w:val="0"/>
          <w:sz w:val="22"/>
          <w:highlight w:val="lightGray"/>
        </w:rPr>
      </w:pPr>
    </w:p>
    <w:p w14:paraId="08AEBEF7" w14:textId="77777777" w:rsidR="00ED3E5F" w:rsidRPr="00ED3E5F" w:rsidRDefault="00ED3E5F" w:rsidP="00ED3E5F">
      <w:pPr>
        <w:tabs>
          <w:tab w:val="left" w:pos="567"/>
        </w:tabs>
        <w:ind w:right="-2"/>
        <w:rPr>
          <w:snapToGrid w:val="0"/>
          <w:sz w:val="22"/>
          <w:highlight w:val="lightGray"/>
        </w:rPr>
      </w:pPr>
      <w:r w:rsidRPr="00ED3E5F">
        <w:rPr>
          <w:snapToGrid w:val="0"/>
          <w:sz w:val="22"/>
          <w:highlight w:val="lightGray"/>
        </w:rPr>
        <w:t>Adalvo Limited</w:t>
      </w:r>
    </w:p>
    <w:p w14:paraId="32E0AED2" w14:textId="77777777" w:rsidR="00ED3E5F" w:rsidRPr="00ED3E5F" w:rsidRDefault="00ED3E5F" w:rsidP="00ED3E5F">
      <w:pPr>
        <w:tabs>
          <w:tab w:val="left" w:pos="567"/>
        </w:tabs>
        <w:ind w:right="-2"/>
        <w:rPr>
          <w:snapToGrid w:val="0"/>
          <w:sz w:val="22"/>
          <w:highlight w:val="lightGray"/>
        </w:rPr>
      </w:pPr>
      <w:r w:rsidRPr="00ED3E5F">
        <w:rPr>
          <w:snapToGrid w:val="0"/>
          <w:sz w:val="22"/>
          <w:highlight w:val="lightGray"/>
        </w:rPr>
        <w:t>Malta Life Sciences Park Building 1 Level 4</w:t>
      </w:r>
    </w:p>
    <w:p w14:paraId="709F84C1" w14:textId="77777777" w:rsidR="00ED3E5F" w:rsidRPr="00ED3E5F" w:rsidRDefault="00ED3E5F" w:rsidP="00ED3E5F">
      <w:pPr>
        <w:tabs>
          <w:tab w:val="left" w:pos="567"/>
        </w:tabs>
        <w:ind w:right="-2"/>
        <w:rPr>
          <w:snapToGrid w:val="0"/>
          <w:sz w:val="22"/>
          <w:highlight w:val="lightGray"/>
        </w:rPr>
      </w:pPr>
      <w:r w:rsidRPr="00ED3E5F">
        <w:rPr>
          <w:snapToGrid w:val="0"/>
          <w:sz w:val="22"/>
          <w:highlight w:val="lightGray"/>
        </w:rPr>
        <w:t>Sir Temi Zammit Buildings</w:t>
      </w:r>
    </w:p>
    <w:p w14:paraId="32B4D17B" w14:textId="77777777" w:rsidR="00ED3E5F" w:rsidRPr="00ED3E5F" w:rsidRDefault="00ED3E5F" w:rsidP="00ED3E5F">
      <w:pPr>
        <w:tabs>
          <w:tab w:val="left" w:pos="567"/>
        </w:tabs>
        <w:ind w:right="-2"/>
        <w:rPr>
          <w:snapToGrid w:val="0"/>
          <w:sz w:val="22"/>
          <w:highlight w:val="lightGray"/>
        </w:rPr>
      </w:pPr>
      <w:r w:rsidRPr="00ED3E5F">
        <w:rPr>
          <w:snapToGrid w:val="0"/>
          <w:sz w:val="22"/>
          <w:highlight w:val="lightGray"/>
        </w:rPr>
        <w:t>San Gwann Industrial Estate, SGN 3000</w:t>
      </w:r>
    </w:p>
    <w:p w14:paraId="5DD52EC7" w14:textId="77777777" w:rsidR="00ED3E5F" w:rsidRPr="00ED3E5F" w:rsidRDefault="00ED3E5F" w:rsidP="00ED3E5F">
      <w:pPr>
        <w:tabs>
          <w:tab w:val="left" w:pos="567"/>
        </w:tabs>
        <w:ind w:right="-2"/>
        <w:rPr>
          <w:snapToGrid w:val="0"/>
          <w:sz w:val="22"/>
          <w:highlight w:val="lightGray"/>
        </w:rPr>
      </w:pPr>
      <w:r w:rsidRPr="00ED3E5F">
        <w:rPr>
          <w:snapToGrid w:val="0"/>
          <w:sz w:val="22"/>
          <w:highlight w:val="lightGray"/>
        </w:rPr>
        <w:t>Malta</w:t>
      </w:r>
    </w:p>
    <w:p w14:paraId="567072FD" w14:textId="77777777" w:rsidR="00ED3E5F" w:rsidRPr="00ED3E5F" w:rsidRDefault="00ED3E5F" w:rsidP="00ED3E5F">
      <w:pPr>
        <w:tabs>
          <w:tab w:val="left" w:pos="567"/>
        </w:tabs>
        <w:ind w:right="-2"/>
        <w:rPr>
          <w:snapToGrid w:val="0"/>
          <w:sz w:val="22"/>
          <w:highlight w:val="lightGray"/>
        </w:rPr>
      </w:pPr>
    </w:p>
    <w:p w14:paraId="32F846ED" w14:textId="77777777" w:rsidR="00ED3E5F" w:rsidRPr="00ED3E5F" w:rsidRDefault="00ED3E5F" w:rsidP="00ED3E5F">
      <w:pPr>
        <w:tabs>
          <w:tab w:val="left" w:pos="567"/>
        </w:tabs>
        <w:ind w:right="-2"/>
        <w:rPr>
          <w:snapToGrid w:val="0"/>
          <w:sz w:val="22"/>
          <w:highlight w:val="lightGray"/>
        </w:rPr>
      </w:pPr>
      <w:r w:rsidRPr="00ED3E5F">
        <w:rPr>
          <w:snapToGrid w:val="0"/>
          <w:sz w:val="22"/>
          <w:highlight w:val="lightGray"/>
        </w:rPr>
        <w:t>arba</w:t>
      </w:r>
    </w:p>
    <w:p w14:paraId="79C5C4F7" w14:textId="77777777" w:rsidR="00ED3E5F" w:rsidRPr="00ED3E5F" w:rsidRDefault="00ED3E5F" w:rsidP="00ED3E5F">
      <w:pPr>
        <w:tabs>
          <w:tab w:val="left" w:pos="567"/>
        </w:tabs>
        <w:ind w:right="-2"/>
        <w:rPr>
          <w:snapToGrid w:val="0"/>
          <w:sz w:val="22"/>
          <w:highlight w:val="lightGray"/>
        </w:rPr>
      </w:pPr>
    </w:p>
    <w:p w14:paraId="332233E3" w14:textId="77777777" w:rsidR="00ED3E5F" w:rsidRPr="00ED3E5F" w:rsidRDefault="00ED3E5F" w:rsidP="00ED3E5F">
      <w:pPr>
        <w:tabs>
          <w:tab w:val="left" w:pos="567"/>
        </w:tabs>
        <w:ind w:right="-2"/>
        <w:rPr>
          <w:snapToGrid w:val="0"/>
          <w:sz w:val="22"/>
          <w:highlight w:val="lightGray"/>
        </w:rPr>
      </w:pPr>
      <w:r w:rsidRPr="00ED3E5F">
        <w:rPr>
          <w:snapToGrid w:val="0"/>
          <w:sz w:val="22"/>
          <w:highlight w:val="lightGray"/>
        </w:rPr>
        <w:t>QUALIMETRIX S.A.</w:t>
      </w:r>
    </w:p>
    <w:p w14:paraId="422D648E" w14:textId="77777777" w:rsidR="00ED3E5F" w:rsidRPr="00ED3E5F" w:rsidRDefault="00ED3E5F" w:rsidP="00ED3E5F">
      <w:pPr>
        <w:tabs>
          <w:tab w:val="left" w:pos="567"/>
        </w:tabs>
        <w:ind w:right="-2"/>
        <w:rPr>
          <w:snapToGrid w:val="0"/>
          <w:sz w:val="22"/>
          <w:highlight w:val="lightGray"/>
        </w:rPr>
      </w:pPr>
      <w:r w:rsidRPr="00ED3E5F">
        <w:rPr>
          <w:snapToGrid w:val="0"/>
          <w:sz w:val="22"/>
          <w:highlight w:val="lightGray"/>
        </w:rPr>
        <w:t>579 MESOGEION AVENUE AGIA PARASKEVI,</w:t>
      </w:r>
    </w:p>
    <w:p w14:paraId="10D3EA3A" w14:textId="6277744D" w:rsidR="00ED3E5F" w:rsidRPr="00ED3E5F" w:rsidRDefault="00ED3E5F" w:rsidP="00ED3E5F">
      <w:pPr>
        <w:tabs>
          <w:tab w:val="left" w:pos="567"/>
        </w:tabs>
        <w:ind w:right="-2"/>
        <w:rPr>
          <w:snapToGrid w:val="0"/>
          <w:sz w:val="22"/>
        </w:rPr>
      </w:pPr>
      <w:r w:rsidRPr="00ED3E5F">
        <w:rPr>
          <w:snapToGrid w:val="0"/>
          <w:sz w:val="22"/>
          <w:highlight w:val="lightGray"/>
        </w:rPr>
        <w:t>Athens, 15343 Graikija</w:t>
      </w:r>
    </w:p>
    <w:p w14:paraId="4E0FB677" w14:textId="77777777" w:rsidR="00B65381" w:rsidRPr="00ED3E5F" w:rsidRDefault="00B65381" w:rsidP="00B65381">
      <w:pPr>
        <w:tabs>
          <w:tab w:val="left" w:pos="567"/>
        </w:tabs>
        <w:ind w:right="-2"/>
        <w:rPr>
          <w:snapToGrid w:val="0"/>
          <w:sz w:val="22"/>
        </w:rPr>
      </w:pPr>
    </w:p>
    <w:p w14:paraId="4BD7CEDE" w14:textId="77777777" w:rsidR="00B65381" w:rsidRPr="00211E3B" w:rsidRDefault="00B65381" w:rsidP="00B65381">
      <w:pPr>
        <w:tabs>
          <w:tab w:val="left" w:pos="0"/>
        </w:tabs>
        <w:ind w:right="-2"/>
        <w:rPr>
          <w:snapToGrid w:val="0"/>
          <w:sz w:val="22"/>
        </w:rPr>
      </w:pPr>
    </w:p>
    <w:p w14:paraId="3127FA1C" w14:textId="77777777" w:rsidR="00B65381" w:rsidRPr="00211E3B" w:rsidRDefault="00B65381" w:rsidP="00B65381">
      <w:pPr>
        <w:tabs>
          <w:tab w:val="left" w:pos="567"/>
        </w:tabs>
        <w:ind w:right="-2"/>
        <w:rPr>
          <w:snapToGrid w:val="0"/>
          <w:sz w:val="22"/>
        </w:rPr>
      </w:pPr>
      <w:r w:rsidRPr="00211E3B">
        <w:rPr>
          <w:snapToGrid w:val="0"/>
          <w:sz w:val="22"/>
        </w:rPr>
        <w:t>Jeigu apie šį vaistą norite sužinoti daugiau, kreipkitės į vietinį registruotojo atstovą:</w:t>
      </w:r>
    </w:p>
    <w:p w14:paraId="4EF56ABE" w14:textId="77777777" w:rsidR="00C93BBB" w:rsidRPr="00C93BBB" w:rsidRDefault="00C93BBB" w:rsidP="00C93BBB">
      <w:pPr>
        <w:numPr>
          <w:ilvl w:val="12"/>
          <w:numId w:val="0"/>
        </w:numPr>
        <w:tabs>
          <w:tab w:val="left" w:pos="567"/>
        </w:tabs>
        <w:spacing w:line="260" w:lineRule="exact"/>
        <w:ind w:right="-2"/>
        <w:rPr>
          <w:snapToGrid w:val="0"/>
          <w:sz w:val="22"/>
          <w:szCs w:val="24"/>
        </w:rPr>
      </w:pPr>
      <w:r w:rsidRPr="00C93BBB">
        <w:rPr>
          <w:snapToGrid w:val="0"/>
          <w:sz w:val="22"/>
          <w:szCs w:val="24"/>
        </w:rPr>
        <w:tab/>
      </w:r>
    </w:p>
    <w:p w14:paraId="1F64C40A" w14:textId="192E5A62" w:rsidR="00B65381" w:rsidRDefault="00C93BBB" w:rsidP="00C93BBB">
      <w:pPr>
        <w:numPr>
          <w:ilvl w:val="12"/>
          <w:numId w:val="0"/>
        </w:numPr>
        <w:tabs>
          <w:tab w:val="left" w:pos="567"/>
        </w:tabs>
        <w:spacing w:line="260" w:lineRule="exact"/>
        <w:ind w:right="-2"/>
        <w:rPr>
          <w:snapToGrid w:val="0"/>
          <w:sz w:val="22"/>
          <w:szCs w:val="24"/>
        </w:rPr>
      </w:pPr>
      <w:r w:rsidRPr="00C93BBB">
        <w:rPr>
          <w:snapToGrid w:val="0"/>
          <w:sz w:val="22"/>
          <w:szCs w:val="24"/>
        </w:rPr>
        <w:t>UAB Norameda, Meistrų 8A, LT-02189 Vilnius, Lietuva, Tel. +370 5 2306499</w:t>
      </w:r>
      <w:r>
        <w:rPr>
          <w:snapToGrid w:val="0"/>
          <w:sz w:val="22"/>
          <w:szCs w:val="24"/>
        </w:rPr>
        <w:t>.</w:t>
      </w:r>
    </w:p>
    <w:p w14:paraId="50A3061D" w14:textId="77777777" w:rsidR="00C93BBB" w:rsidRPr="00211E3B" w:rsidRDefault="00C93BBB" w:rsidP="00C93BBB">
      <w:pPr>
        <w:numPr>
          <w:ilvl w:val="12"/>
          <w:numId w:val="0"/>
        </w:numPr>
        <w:tabs>
          <w:tab w:val="left" w:pos="567"/>
        </w:tabs>
        <w:spacing w:line="260" w:lineRule="exact"/>
        <w:ind w:right="-2"/>
        <w:rPr>
          <w:snapToGrid w:val="0"/>
          <w:sz w:val="22"/>
        </w:rPr>
      </w:pPr>
    </w:p>
    <w:p w14:paraId="77C177E4" w14:textId="77777777" w:rsidR="00B65381" w:rsidRPr="00211E3B" w:rsidRDefault="00B65381" w:rsidP="00B65381">
      <w:pPr>
        <w:numPr>
          <w:ilvl w:val="12"/>
          <w:numId w:val="0"/>
        </w:numPr>
        <w:tabs>
          <w:tab w:val="left" w:pos="567"/>
        </w:tabs>
        <w:spacing w:line="260" w:lineRule="exact"/>
        <w:ind w:right="-2"/>
        <w:rPr>
          <w:snapToGrid w:val="0"/>
          <w:sz w:val="22"/>
        </w:rPr>
      </w:pPr>
      <w:r w:rsidRPr="00211E3B">
        <w:rPr>
          <w:b/>
          <w:snapToGrid w:val="0"/>
          <w:sz w:val="22"/>
        </w:rPr>
        <w:t>Šis vaistas Europos ekonominės erdvės valstybėse narėse registruotas tokiais pavadinimais: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2"/>
        <w:gridCol w:w="7288"/>
      </w:tblGrid>
      <w:tr w:rsidR="00B65381" w:rsidRPr="00211E3B" w14:paraId="74620C4E" w14:textId="77777777" w:rsidTr="00716E4E">
        <w:tc>
          <w:tcPr>
            <w:tcW w:w="1830" w:type="dxa"/>
            <w:shd w:val="clear" w:color="auto" w:fill="auto"/>
          </w:tcPr>
          <w:p w14:paraId="542151E0" w14:textId="77777777" w:rsidR="00B65381" w:rsidRPr="00211E3B" w:rsidRDefault="00B65381" w:rsidP="00256DA0">
            <w:pPr>
              <w:numPr>
                <w:ilvl w:val="12"/>
                <w:numId w:val="0"/>
              </w:numPr>
              <w:ind w:right="-2"/>
              <w:rPr>
                <w:rFonts w:eastAsia="Calibri"/>
                <w:sz w:val="22"/>
                <w:szCs w:val="22"/>
                <w:lang w:val="lt-LT"/>
              </w:rPr>
            </w:pPr>
          </w:p>
        </w:tc>
        <w:tc>
          <w:tcPr>
            <w:tcW w:w="7648" w:type="dxa"/>
            <w:shd w:val="clear" w:color="auto" w:fill="auto"/>
          </w:tcPr>
          <w:p w14:paraId="1D4ED585" w14:textId="77777777" w:rsidR="00B65381" w:rsidRPr="00211E3B" w:rsidRDefault="00B65381" w:rsidP="00256DA0">
            <w:pPr>
              <w:numPr>
                <w:ilvl w:val="12"/>
                <w:numId w:val="0"/>
              </w:numPr>
              <w:ind w:right="-2"/>
              <w:rPr>
                <w:rFonts w:eastAsia="Calibri"/>
                <w:sz w:val="22"/>
                <w:szCs w:val="22"/>
                <w:lang w:val="lt-LT"/>
              </w:rPr>
            </w:pPr>
          </w:p>
        </w:tc>
      </w:tr>
      <w:tr w:rsidR="00716E4E" w:rsidRPr="00211E3B" w14:paraId="22758B44" w14:textId="77777777" w:rsidTr="00716E4E">
        <w:tc>
          <w:tcPr>
            <w:tcW w:w="1830" w:type="dxa"/>
            <w:shd w:val="clear" w:color="auto" w:fill="auto"/>
          </w:tcPr>
          <w:p w14:paraId="707F06FE" w14:textId="2618E4AF" w:rsidR="00716E4E" w:rsidRPr="00211E3B" w:rsidRDefault="00716E4E" w:rsidP="00716E4E">
            <w:pPr>
              <w:numPr>
                <w:ilvl w:val="12"/>
                <w:numId w:val="0"/>
              </w:numPr>
              <w:ind w:right="-2"/>
              <w:rPr>
                <w:rFonts w:eastAsia="Calibri"/>
                <w:sz w:val="22"/>
                <w:szCs w:val="22"/>
                <w:lang w:val="lt-LT"/>
              </w:rPr>
            </w:pPr>
            <w:r>
              <w:rPr>
                <w:sz w:val="22"/>
              </w:rPr>
              <w:t>Islandija</w:t>
            </w:r>
          </w:p>
        </w:tc>
        <w:tc>
          <w:tcPr>
            <w:tcW w:w="7648" w:type="dxa"/>
            <w:shd w:val="clear" w:color="auto" w:fill="auto"/>
          </w:tcPr>
          <w:p w14:paraId="543C2573" w14:textId="08F02C76" w:rsidR="00716E4E" w:rsidRPr="00211E3B" w:rsidRDefault="00716E4E" w:rsidP="00716E4E">
            <w:pPr>
              <w:numPr>
                <w:ilvl w:val="12"/>
                <w:numId w:val="0"/>
              </w:numPr>
              <w:ind w:right="-2"/>
              <w:rPr>
                <w:rFonts w:eastAsia="Calibri"/>
                <w:sz w:val="22"/>
                <w:szCs w:val="22"/>
                <w:lang w:val="lt-LT"/>
              </w:rPr>
            </w:pPr>
            <w:r>
              <w:rPr>
                <w:sz w:val="22"/>
              </w:rPr>
              <w:t>Agarf 150 mg mjúk hylki</w:t>
            </w:r>
          </w:p>
        </w:tc>
      </w:tr>
      <w:tr w:rsidR="00716E4E" w:rsidRPr="00211E3B" w14:paraId="7C59B941" w14:textId="77777777" w:rsidTr="00716E4E">
        <w:tc>
          <w:tcPr>
            <w:tcW w:w="1830" w:type="dxa"/>
            <w:shd w:val="clear" w:color="auto" w:fill="auto"/>
          </w:tcPr>
          <w:p w14:paraId="126C650E" w14:textId="6649067B" w:rsidR="00716E4E" w:rsidRPr="00211E3B" w:rsidRDefault="00716E4E" w:rsidP="00716E4E">
            <w:pPr>
              <w:numPr>
                <w:ilvl w:val="12"/>
                <w:numId w:val="0"/>
              </w:numPr>
              <w:ind w:right="-2"/>
              <w:rPr>
                <w:rFonts w:eastAsia="Calibri"/>
                <w:sz w:val="22"/>
                <w:szCs w:val="22"/>
                <w:lang w:val="lt-LT"/>
              </w:rPr>
            </w:pPr>
            <w:r>
              <w:rPr>
                <w:sz w:val="22"/>
                <w:szCs w:val="22"/>
              </w:rPr>
              <w:t>Estija</w:t>
            </w:r>
          </w:p>
        </w:tc>
        <w:tc>
          <w:tcPr>
            <w:tcW w:w="7648" w:type="dxa"/>
            <w:shd w:val="clear" w:color="auto" w:fill="auto"/>
          </w:tcPr>
          <w:p w14:paraId="636D8A26" w14:textId="1BC85C4C" w:rsidR="00716E4E" w:rsidRPr="00211E3B" w:rsidRDefault="00716E4E" w:rsidP="00716E4E">
            <w:pPr>
              <w:numPr>
                <w:ilvl w:val="12"/>
                <w:numId w:val="0"/>
              </w:numPr>
              <w:ind w:right="-2"/>
              <w:rPr>
                <w:rFonts w:eastAsia="Calibri"/>
                <w:sz w:val="22"/>
                <w:szCs w:val="22"/>
                <w:lang w:val="lt-LT"/>
              </w:rPr>
            </w:pPr>
            <w:r>
              <w:rPr>
                <w:sz w:val="22"/>
              </w:rPr>
              <w:t>Agarf</w:t>
            </w:r>
          </w:p>
        </w:tc>
      </w:tr>
      <w:tr w:rsidR="00716E4E" w:rsidRPr="00211E3B" w14:paraId="0911EE3D" w14:textId="77777777" w:rsidTr="00716E4E">
        <w:tc>
          <w:tcPr>
            <w:tcW w:w="1830" w:type="dxa"/>
            <w:shd w:val="clear" w:color="auto" w:fill="auto"/>
          </w:tcPr>
          <w:p w14:paraId="491B303F" w14:textId="3471B316" w:rsidR="00716E4E" w:rsidRDefault="00716E4E" w:rsidP="00716E4E">
            <w:pPr>
              <w:numPr>
                <w:ilvl w:val="12"/>
                <w:numId w:val="0"/>
              </w:numPr>
              <w:ind w:right="-2"/>
              <w:rPr>
                <w:sz w:val="22"/>
              </w:rPr>
            </w:pPr>
            <w:r>
              <w:rPr>
                <w:sz w:val="22"/>
              </w:rPr>
              <w:t>Lietuva</w:t>
            </w:r>
          </w:p>
        </w:tc>
        <w:tc>
          <w:tcPr>
            <w:tcW w:w="7648" w:type="dxa"/>
            <w:shd w:val="clear" w:color="auto" w:fill="auto"/>
          </w:tcPr>
          <w:p w14:paraId="3316B45C" w14:textId="200BEFA9" w:rsidR="00716E4E" w:rsidRDefault="00716E4E" w:rsidP="00716E4E">
            <w:pPr>
              <w:numPr>
                <w:ilvl w:val="12"/>
                <w:numId w:val="0"/>
              </w:numPr>
              <w:ind w:right="-2"/>
              <w:rPr>
                <w:sz w:val="22"/>
              </w:rPr>
            </w:pPr>
            <w:r>
              <w:rPr>
                <w:sz w:val="22"/>
              </w:rPr>
              <w:t>Agarf 150 mg minkštosios kapsulės</w:t>
            </w:r>
          </w:p>
        </w:tc>
      </w:tr>
      <w:tr w:rsidR="00716E4E" w:rsidRPr="00211E3B" w14:paraId="04FE206D" w14:textId="77777777" w:rsidTr="00716E4E">
        <w:tc>
          <w:tcPr>
            <w:tcW w:w="1830" w:type="dxa"/>
            <w:shd w:val="clear" w:color="auto" w:fill="auto"/>
          </w:tcPr>
          <w:p w14:paraId="7D80975A" w14:textId="62939E03" w:rsidR="00716E4E" w:rsidRDefault="00716E4E" w:rsidP="00716E4E">
            <w:pPr>
              <w:numPr>
                <w:ilvl w:val="12"/>
                <w:numId w:val="0"/>
              </w:numPr>
              <w:ind w:right="-2"/>
              <w:rPr>
                <w:sz w:val="22"/>
              </w:rPr>
            </w:pPr>
            <w:r>
              <w:rPr>
                <w:sz w:val="22"/>
              </w:rPr>
              <w:t>Latvija</w:t>
            </w:r>
          </w:p>
        </w:tc>
        <w:tc>
          <w:tcPr>
            <w:tcW w:w="7648" w:type="dxa"/>
            <w:shd w:val="clear" w:color="auto" w:fill="auto"/>
          </w:tcPr>
          <w:p w14:paraId="493B5A25" w14:textId="35485ECC" w:rsidR="00716E4E" w:rsidRDefault="00716E4E" w:rsidP="00716E4E">
            <w:pPr>
              <w:numPr>
                <w:ilvl w:val="12"/>
                <w:numId w:val="0"/>
              </w:numPr>
              <w:ind w:right="-2"/>
              <w:rPr>
                <w:sz w:val="22"/>
              </w:rPr>
            </w:pPr>
            <w:r>
              <w:rPr>
                <w:sz w:val="22"/>
              </w:rPr>
              <w:t>Agarf 150 mg mīkstās kapsulas</w:t>
            </w:r>
          </w:p>
        </w:tc>
      </w:tr>
    </w:tbl>
    <w:p w14:paraId="1C43B576" w14:textId="77777777" w:rsidR="00B65381" w:rsidRPr="00211E3B" w:rsidRDefault="00B65381" w:rsidP="00B65381">
      <w:pPr>
        <w:tabs>
          <w:tab w:val="left" w:pos="567"/>
        </w:tabs>
        <w:spacing w:line="260" w:lineRule="exact"/>
        <w:ind w:left="567" w:hanging="567"/>
        <w:rPr>
          <w:snapToGrid w:val="0"/>
          <w:sz w:val="22"/>
        </w:rPr>
      </w:pPr>
    </w:p>
    <w:p w14:paraId="6C953CAB" w14:textId="498DDF7F" w:rsidR="00B65381" w:rsidRPr="00211E3B" w:rsidRDefault="00B65381" w:rsidP="00B65381">
      <w:pPr>
        <w:numPr>
          <w:ilvl w:val="12"/>
          <w:numId w:val="0"/>
        </w:numPr>
        <w:ind w:right="-2"/>
        <w:rPr>
          <w:b/>
          <w:snapToGrid w:val="0"/>
          <w:sz w:val="22"/>
        </w:rPr>
      </w:pPr>
      <w:r w:rsidRPr="00211E3B">
        <w:rPr>
          <w:b/>
          <w:snapToGrid w:val="0"/>
          <w:sz w:val="22"/>
        </w:rPr>
        <w:lastRenderedPageBreak/>
        <w:t>Šis pakuotės lapelis paskutinį kartą peržiūrėtas</w:t>
      </w:r>
      <w:r w:rsidR="00543241">
        <w:rPr>
          <w:b/>
          <w:snapToGrid w:val="0"/>
          <w:sz w:val="22"/>
        </w:rPr>
        <w:t xml:space="preserve"> 2025-02-07</w:t>
      </w:r>
      <w:r w:rsidR="00E66365">
        <w:rPr>
          <w:b/>
          <w:snapToGrid w:val="0"/>
          <w:sz w:val="22"/>
        </w:rPr>
        <w:t>.</w:t>
      </w:r>
    </w:p>
    <w:p w14:paraId="34454CEE" w14:textId="53437295" w:rsidR="00B65381" w:rsidRDefault="00B65381" w:rsidP="00B65381">
      <w:pPr>
        <w:numPr>
          <w:ilvl w:val="12"/>
          <w:numId w:val="0"/>
        </w:numPr>
        <w:tabs>
          <w:tab w:val="left" w:pos="567"/>
        </w:tabs>
        <w:ind w:right="-2"/>
        <w:rPr>
          <w:i/>
          <w:snapToGrid w:val="0"/>
          <w:sz w:val="22"/>
          <w:szCs w:val="24"/>
        </w:rPr>
      </w:pPr>
    </w:p>
    <w:p w14:paraId="5D8FA168" w14:textId="77777777" w:rsidR="00305F70" w:rsidRPr="00211E3B" w:rsidRDefault="00305F70" w:rsidP="00B65381">
      <w:pPr>
        <w:numPr>
          <w:ilvl w:val="12"/>
          <w:numId w:val="0"/>
        </w:numPr>
        <w:tabs>
          <w:tab w:val="left" w:pos="567"/>
        </w:tabs>
        <w:ind w:right="-2"/>
        <w:rPr>
          <w:i/>
          <w:snapToGrid w:val="0"/>
          <w:sz w:val="22"/>
          <w:szCs w:val="24"/>
        </w:rPr>
      </w:pPr>
    </w:p>
    <w:p w14:paraId="2301F1D4" w14:textId="03BFA95B" w:rsidR="00B65381" w:rsidRDefault="00B65381" w:rsidP="00B65381">
      <w:pPr>
        <w:numPr>
          <w:ilvl w:val="12"/>
          <w:numId w:val="0"/>
        </w:numPr>
        <w:tabs>
          <w:tab w:val="left" w:pos="567"/>
        </w:tabs>
        <w:ind w:right="-2"/>
        <w:rPr>
          <w:snapToGrid w:val="0"/>
          <w:sz w:val="22"/>
        </w:rPr>
      </w:pPr>
      <w:r w:rsidRPr="00211E3B">
        <w:rPr>
          <w:snapToGrid w:val="0"/>
          <w:sz w:val="22"/>
        </w:rPr>
        <w:t xml:space="preserve">Išsami informacija apie šį </w:t>
      </w:r>
      <w:r w:rsidRPr="00211E3B">
        <w:rPr>
          <w:snapToGrid w:val="0"/>
          <w:sz w:val="22"/>
          <w:szCs w:val="24"/>
        </w:rPr>
        <w:t>vaistą</w:t>
      </w:r>
      <w:r w:rsidRPr="00211E3B">
        <w:rPr>
          <w:snapToGrid w:val="0"/>
          <w:sz w:val="22"/>
        </w:rPr>
        <w:t xml:space="preserve"> pateikiama Valstybinės vaistų kontrolės tarnybos prie Lietuvos Respublikos sveikatos apsaugos ministerijos tinklalapyje</w:t>
      </w:r>
      <w:r w:rsidRPr="00211E3B">
        <w:rPr>
          <w:i/>
          <w:snapToGrid w:val="0"/>
          <w:sz w:val="22"/>
          <w:szCs w:val="24"/>
        </w:rPr>
        <w:t xml:space="preserve"> </w:t>
      </w:r>
      <w:hyperlink r:id="rId29" w:history="1">
        <w:r w:rsidRPr="00211E3B">
          <w:rPr>
            <w:rFonts w:eastAsia="SimSun"/>
            <w:snapToGrid w:val="0"/>
            <w:color w:val="0000FF"/>
            <w:sz w:val="22"/>
            <w:u w:val="single"/>
          </w:rPr>
          <w:t>http://www.vvkt.lt/</w:t>
        </w:r>
      </w:hyperlink>
      <w:r w:rsidRPr="00211E3B">
        <w:rPr>
          <w:snapToGrid w:val="0"/>
          <w:sz w:val="22"/>
        </w:rPr>
        <w:t>.</w:t>
      </w:r>
    </w:p>
    <w:p w14:paraId="6AD0AB59" w14:textId="77777777" w:rsidR="00C41B4B" w:rsidRPr="00211E3B" w:rsidRDefault="00C41B4B" w:rsidP="00B65381">
      <w:pPr>
        <w:numPr>
          <w:ilvl w:val="12"/>
          <w:numId w:val="0"/>
        </w:numPr>
        <w:tabs>
          <w:tab w:val="left" w:pos="567"/>
        </w:tabs>
        <w:ind w:right="-2"/>
        <w:rPr>
          <w:snapToGrid w:val="0"/>
          <w:sz w:val="22"/>
          <w:szCs w:val="24"/>
        </w:rPr>
      </w:pPr>
      <w:bookmarkStart w:id="4" w:name="_GoBack"/>
      <w:bookmarkEnd w:id="4"/>
    </w:p>
    <w:sectPr w:rsidR="00C41B4B" w:rsidRPr="00211E3B" w:rsidSect="0081504F">
      <w:pgSz w:w="11906" w:h="16838" w:code="9"/>
      <w:pgMar w:top="1134" w:right="1418" w:bottom="1134" w:left="1418" w:header="737" w:footer="73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AE227C" w14:textId="77777777" w:rsidR="004A1546" w:rsidRDefault="004A1546">
      <w:pPr>
        <w:rPr>
          <w:szCs w:val="24"/>
          <w:lang w:eastAsia="lt-LT"/>
        </w:rPr>
      </w:pPr>
      <w:r>
        <w:rPr>
          <w:szCs w:val="24"/>
          <w:lang w:eastAsia="lt-LT"/>
        </w:rPr>
        <w:separator/>
      </w:r>
    </w:p>
  </w:endnote>
  <w:endnote w:type="continuationSeparator" w:id="0">
    <w:p w14:paraId="550A0A34" w14:textId="77777777" w:rsidR="004A1546" w:rsidRDefault="004A1546">
      <w:pPr>
        <w:rPr>
          <w:szCs w:val="24"/>
          <w:lang w:eastAsia="lt-LT"/>
        </w:rPr>
      </w:pPr>
      <w:r>
        <w:rPr>
          <w:szCs w:val="24"/>
          <w:lang w:eastAsia="lt-LT"/>
        </w:rPr>
        <w:continuationSeparator/>
      </w:r>
    </w:p>
  </w:endnote>
  <w:endnote w:type="continuationNotice" w:id="1">
    <w:p w14:paraId="27D3D3A2" w14:textId="77777777" w:rsidR="004A1546" w:rsidRDefault="004A15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5" w14:textId="77777777" w:rsidR="00C74415" w:rsidRDefault="00C74415">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6" w14:textId="77777777" w:rsidR="00C74415" w:rsidRDefault="00C74415">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8" w14:textId="77777777" w:rsidR="00C74415" w:rsidRDefault="00C74415">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B4B910" w14:textId="77777777" w:rsidR="004A1546" w:rsidRDefault="004A1546">
      <w:pPr>
        <w:rPr>
          <w:szCs w:val="24"/>
          <w:lang w:eastAsia="lt-LT"/>
        </w:rPr>
      </w:pPr>
      <w:r>
        <w:rPr>
          <w:szCs w:val="24"/>
          <w:lang w:eastAsia="lt-LT"/>
        </w:rPr>
        <w:separator/>
      </w:r>
    </w:p>
  </w:footnote>
  <w:footnote w:type="continuationSeparator" w:id="0">
    <w:p w14:paraId="710B98CA" w14:textId="77777777" w:rsidR="004A1546" w:rsidRDefault="004A1546">
      <w:pPr>
        <w:rPr>
          <w:szCs w:val="24"/>
          <w:lang w:eastAsia="lt-LT"/>
        </w:rPr>
      </w:pPr>
      <w:r>
        <w:rPr>
          <w:szCs w:val="24"/>
          <w:lang w:eastAsia="lt-LT"/>
        </w:rPr>
        <w:continuationSeparator/>
      </w:r>
    </w:p>
  </w:footnote>
  <w:footnote w:type="continuationNotice" w:id="1">
    <w:p w14:paraId="1D43CE12" w14:textId="77777777" w:rsidR="004A1546" w:rsidRDefault="004A154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2" w14:textId="77777777" w:rsidR="00C74415" w:rsidRDefault="00C74415">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B008A" w14:textId="77777777" w:rsidR="00543241" w:rsidRDefault="0054324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6A27" w14:textId="77777777" w:rsidR="00C74415" w:rsidRDefault="00C74415">
    <w:pPr>
      <w:tabs>
        <w:tab w:val="center" w:pos="4153"/>
        <w:tab w:val="right" w:pos="8306"/>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F20118"/>
    <w:multiLevelType w:val="hybridMultilevel"/>
    <w:tmpl w:val="6EA8B7A4"/>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0B2135"/>
    <w:multiLevelType w:val="hybridMultilevel"/>
    <w:tmpl w:val="3132AD2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AED74C2"/>
    <w:multiLevelType w:val="hybridMultilevel"/>
    <w:tmpl w:val="2DDA868C"/>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2DD177CB"/>
    <w:multiLevelType w:val="hybridMultilevel"/>
    <w:tmpl w:val="1604167E"/>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2FD07415"/>
    <w:multiLevelType w:val="hybridMultilevel"/>
    <w:tmpl w:val="585AF1E6"/>
    <w:lvl w:ilvl="0" w:tplc="41C46F18">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303D46AA"/>
    <w:multiLevelType w:val="hybridMultilevel"/>
    <w:tmpl w:val="41E42E58"/>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30DD3CC2"/>
    <w:multiLevelType w:val="hybridMultilevel"/>
    <w:tmpl w:val="598A589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1AF3989"/>
    <w:multiLevelType w:val="hybridMultilevel"/>
    <w:tmpl w:val="D98EBF24"/>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37916F32"/>
    <w:multiLevelType w:val="hybridMultilevel"/>
    <w:tmpl w:val="38F2F2DC"/>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B8E6FE8"/>
    <w:multiLevelType w:val="hybridMultilevel"/>
    <w:tmpl w:val="91C6DD40"/>
    <w:lvl w:ilvl="0" w:tplc="0B54FFF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0D7464B"/>
    <w:multiLevelType w:val="hybridMultilevel"/>
    <w:tmpl w:val="EE3C32F6"/>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4BB36901"/>
    <w:multiLevelType w:val="hybridMultilevel"/>
    <w:tmpl w:val="6046DF58"/>
    <w:lvl w:ilvl="0" w:tplc="41C46F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3DC3F77"/>
    <w:multiLevelType w:val="hybridMultilevel"/>
    <w:tmpl w:val="91B4447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96A444D"/>
    <w:multiLevelType w:val="hybridMultilevel"/>
    <w:tmpl w:val="DB88A5A0"/>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6A61AE"/>
    <w:multiLevelType w:val="hybridMultilevel"/>
    <w:tmpl w:val="4A726AE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7415767"/>
    <w:multiLevelType w:val="hybridMultilevel"/>
    <w:tmpl w:val="8A2C263C"/>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2"/>
  </w:num>
  <w:num w:numId="2">
    <w:abstractNumId w:val="16"/>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17"/>
  </w:num>
  <w:num w:numId="7">
    <w:abstractNumId w:val="14"/>
  </w:num>
  <w:num w:numId="8">
    <w:abstractNumId w:val="10"/>
  </w:num>
  <w:num w:numId="9">
    <w:abstractNumId w:val="3"/>
  </w:num>
  <w:num w:numId="10">
    <w:abstractNumId w:val="11"/>
  </w:num>
  <w:num w:numId="11">
    <w:abstractNumId w:val="8"/>
  </w:num>
  <w:num w:numId="12">
    <w:abstractNumId w:val="13"/>
  </w:num>
  <w:num w:numId="13">
    <w:abstractNumId w:val="6"/>
  </w:num>
  <w:num w:numId="14">
    <w:abstractNumId w:val="1"/>
  </w:num>
  <w:num w:numId="15">
    <w:abstractNumId w:val="12"/>
  </w:num>
  <w:num w:numId="16">
    <w:abstractNumId w:val="9"/>
  </w:num>
  <w:num w:numId="17">
    <w:abstractNumId w:val="15"/>
  </w:num>
  <w:num w:numId="18">
    <w:abstractNumId w:val="18"/>
  </w:num>
  <w:num w:numId="19">
    <w:abstractNumId w:val="7"/>
  </w:num>
  <w:num w:numId="20">
    <w:abstractNumId w:val="4"/>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CD3"/>
    <w:rsid w:val="00002430"/>
    <w:rsid w:val="00003859"/>
    <w:rsid w:val="00003D22"/>
    <w:rsid w:val="00003F27"/>
    <w:rsid w:val="00007878"/>
    <w:rsid w:val="00015FEC"/>
    <w:rsid w:val="00022904"/>
    <w:rsid w:val="0002292F"/>
    <w:rsid w:val="000251D8"/>
    <w:rsid w:val="00027D96"/>
    <w:rsid w:val="00034169"/>
    <w:rsid w:val="00037BA1"/>
    <w:rsid w:val="00050E42"/>
    <w:rsid w:val="000550B2"/>
    <w:rsid w:val="00062F09"/>
    <w:rsid w:val="00072258"/>
    <w:rsid w:val="00072FBF"/>
    <w:rsid w:val="0007776F"/>
    <w:rsid w:val="00083E6E"/>
    <w:rsid w:val="00091D83"/>
    <w:rsid w:val="00093138"/>
    <w:rsid w:val="00095016"/>
    <w:rsid w:val="00096482"/>
    <w:rsid w:val="000967B2"/>
    <w:rsid w:val="000A1E70"/>
    <w:rsid w:val="000A22D9"/>
    <w:rsid w:val="000A2C25"/>
    <w:rsid w:val="000A7A49"/>
    <w:rsid w:val="000B4027"/>
    <w:rsid w:val="000B7CD3"/>
    <w:rsid w:val="000C3197"/>
    <w:rsid w:val="000C5668"/>
    <w:rsid w:val="000D2A16"/>
    <w:rsid w:val="000D4DBF"/>
    <w:rsid w:val="000D58B9"/>
    <w:rsid w:val="000D5BEF"/>
    <w:rsid w:val="000D6FAD"/>
    <w:rsid w:val="000E27DA"/>
    <w:rsid w:val="00114F9B"/>
    <w:rsid w:val="0011586E"/>
    <w:rsid w:val="00117C95"/>
    <w:rsid w:val="001201A3"/>
    <w:rsid w:val="001220CD"/>
    <w:rsid w:val="00135B95"/>
    <w:rsid w:val="0014133D"/>
    <w:rsid w:val="00146FEE"/>
    <w:rsid w:val="0014714A"/>
    <w:rsid w:val="00150E2D"/>
    <w:rsid w:val="001550C9"/>
    <w:rsid w:val="0016023E"/>
    <w:rsid w:val="001605E5"/>
    <w:rsid w:val="00163674"/>
    <w:rsid w:val="00171B86"/>
    <w:rsid w:val="00175C7B"/>
    <w:rsid w:val="001761A2"/>
    <w:rsid w:val="0017784C"/>
    <w:rsid w:val="00180ECA"/>
    <w:rsid w:val="00181989"/>
    <w:rsid w:val="00182D60"/>
    <w:rsid w:val="00183AA2"/>
    <w:rsid w:val="001855A8"/>
    <w:rsid w:val="001920A9"/>
    <w:rsid w:val="00195670"/>
    <w:rsid w:val="00195D7C"/>
    <w:rsid w:val="00197137"/>
    <w:rsid w:val="001A05BE"/>
    <w:rsid w:val="001A3605"/>
    <w:rsid w:val="001A3840"/>
    <w:rsid w:val="001A5C84"/>
    <w:rsid w:val="001B0079"/>
    <w:rsid w:val="001B14DB"/>
    <w:rsid w:val="001B1CE9"/>
    <w:rsid w:val="001B62AC"/>
    <w:rsid w:val="001C1847"/>
    <w:rsid w:val="001C1EBB"/>
    <w:rsid w:val="001D40E5"/>
    <w:rsid w:val="001D767B"/>
    <w:rsid w:val="001E5140"/>
    <w:rsid w:val="001E5216"/>
    <w:rsid w:val="001E7865"/>
    <w:rsid w:val="001F1298"/>
    <w:rsid w:val="001F2253"/>
    <w:rsid w:val="001F3F80"/>
    <w:rsid w:val="001F536B"/>
    <w:rsid w:val="002013D3"/>
    <w:rsid w:val="0020164F"/>
    <w:rsid w:val="002021DF"/>
    <w:rsid w:val="00211E3B"/>
    <w:rsid w:val="00216FC0"/>
    <w:rsid w:val="0021713A"/>
    <w:rsid w:val="0022251F"/>
    <w:rsid w:val="00224B5B"/>
    <w:rsid w:val="00224DD9"/>
    <w:rsid w:val="00227ACE"/>
    <w:rsid w:val="00227F5B"/>
    <w:rsid w:val="002335C4"/>
    <w:rsid w:val="00233E11"/>
    <w:rsid w:val="00234670"/>
    <w:rsid w:val="00236FB9"/>
    <w:rsid w:val="00237008"/>
    <w:rsid w:val="0023783C"/>
    <w:rsid w:val="002401AE"/>
    <w:rsid w:val="00240FB7"/>
    <w:rsid w:val="002451BE"/>
    <w:rsid w:val="00254617"/>
    <w:rsid w:val="00254E8E"/>
    <w:rsid w:val="00256DA0"/>
    <w:rsid w:val="00257AE0"/>
    <w:rsid w:val="00261BB7"/>
    <w:rsid w:val="002674AF"/>
    <w:rsid w:val="00271E2E"/>
    <w:rsid w:val="0027718D"/>
    <w:rsid w:val="002915D4"/>
    <w:rsid w:val="002A3978"/>
    <w:rsid w:val="002A6EDA"/>
    <w:rsid w:val="002A7A15"/>
    <w:rsid w:val="002B256E"/>
    <w:rsid w:val="002B3F2C"/>
    <w:rsid w:val="002B7A67"/>
    <w:rsid w:val="002C0807"/>
    <w:rsid w:val="002C1DB2"/>
    <w:rsid w:val="002D00BE"/>
    <w:rsid w:val="002D1DDB"/>
    <w:rsid w:val="002D2540"/>
    <w:rsid w:val="002D4C84"/>
    <w:rsid w:val="002E5847"/>
    <w:rsid w:val="002E78D8"/>
    <w:rsid w:val="002F61D6"/>
    <w:rsid w:val="00301A83"/>
    <w:rsid w:val="00305F70"/>
    <w:rsid w:val="003141B9"/>
    <w:rsid w:val="003201AD"/>
    <w:rsid w:val="00322769"/>
    <w:rsid w:val="00330003"/>
    <w:rsid w:val="00330A6E"/>
    <w:rsid w:val="0033270E"/>
    <w:rsid w:val="00340EE0"/>
    <w:rsid w:val="00347341"/>
    <w:rsid w:val="00350563"/>
    <w:rsid w:val="003512B6"/>
    <w:rsid w:val="0035487A"/>
    <w:rsid w:val="00363A46"/>
    <w:rsid w:val="003710E2"/>
    <w:rsid w:val="00373AFE"/>
    <w:rsid w:val="003744B7"/>
    <w:rsid w:val="003754C7"/>
    <w:rsid w:val="00375C06"/>
    <w:rsid w:val="003959AC"/>
    <w:rsid w:val="003963FE"/>
    <w:rsid w:val="00396B6D"/>
    <w:rsid w:val="0039788C"/>
    <w:rsid w:val="003A284E"/>
    <w:rsid w:val="003D04A0"/>
    <w:rsid w:val="003D1A33"/>
    <w:rsid w:val="003D2B76"/>
    <w:rsid w:val="003D45C5"/>
    <w:rsid w:val="003D71D2"/>
    <w:rsid w:val="003D762A"/>
    <w:rsid w:val="003E5411"/>
    <w:rsid w:val="003E6511"/>
    <w:rsid w:val="003F20B3"/>
    <w:rsid w:val="003F2578"/>
    <w:rsid w:val="003F36C0"/>
    <w:rsid w:val="00400F6C"/>
    <w:rsid w:val="00412831"/>
    <w:rsid w:val="00420114"/>
    <w:rsid w:val="00422466"/>
    <w:rsid w:val="00424003"/>
    <w:rsid w:val="0043521A"/>
    <w:rsid w:val="00436411"/>
    <w:rsid w:val="00437538"/>
    <w:rsid w:val="00437B19"/>
    <w:rsid w:val="00442E02"/>
    <w:rsid w:val="00444B58"/>
    <w:rsid w:val="00455845"/>
    <w:rsid w:val="0045728B"/>
    <w:rsid w:val="004664B5"/>
    <w:rsid w:val="00467465"/>
    <w:rsid w:val="004823F3"/>
    <w:rsid w:val="00490C25"/>
    <w:rsid w:val="004910A5"/>
    <w:rsid w:val="004959A0"/>
    <w:rsid w:val="004A1546"/>
    <w:rsid w:val="004A1BDF"/>
    <w:rsid w:val="004A2377"/>
    <w:rsid w:val="004A3A17"/>
    <w:rsid w:val="004B1B33"/>
    <w:rsid w:val="004B7789"/>
    <w:rsid w:val="004B7CC3"/>
    <w:rsid w:val="004C0122"/>
    <w:rsid w:val="004C1681"/>
    <w:rsid w:val="004F14A9"/>
    <w:rsid w:val="004F3C73"/>
    <w:rsid w:val="004F5ACE"/>
    <w:rsid w:val="005009CE"/>
    <w:rsid w:val="00501AD8"/>
    <w:rsid w:val="005039E7"/>
    <w:rsid w:val="00503E5F"/>
    <w:rsid w:val="00510281"/>
    <w:rsid w:val="00515F45"/>
    <w:rsid w:val="00516DF6"/>
    <w:rsid w:val="005319C7"/>
    <w:rsid w:val="00536523"/>
    <w:rsid w:val="00542C9F"/>
    <w:rsid w:val="00543241"/>
    <w:rsid w:val="005467FB"/>
    <w:rsid w:val="0055137E"/>
    <w:rsid w:val="00557F7B"/>
    <w:rsid w:val="00561CF4"/>
    <w:rsid w:val="00563387"/>
    <w:rsid w:val="00566595"/>
    <w:rsid w:val="00574A33"/>
    <w:rsid w:val="0057521D"/>
    <w:rsid w:val="00577196"/>
    <w:rsid w:val="00577665"/>
    <w:rsid w:val="00580308"/>
    <w:rsid w:val="00592C0F"/>
    <w:rsid w:val="005946B3"/>
    <w:rsid w:val="00594A26"/>
    <w:rsid w:val="005965BD"/>
    <w:rsid w:val="00596DFE"/>
    <w:rsid w:val="00596F47"/>
    <w:rsid w:val="005A0104"/>
    <w:rsid w:val="005A047E"/>
    <w:rsid w:val="005A14AD"/>
    <w:rsid w:val="005A2A28"/>
    <w:rsid w:val="005A43D0"/>
    <w:rsid w:val="005A4EB0"/>
    <w:rsid w:val="005A6D89"/>
    <w:rsid w:val="005A7F8B"/>
    <w:rsid w:val="005B10AE"/>
    <w:rsid w:val="005C4D79"/>
    <w:rsid w:val="005D554B"/>
    <w:rsid w:val="005E424F"/>
    <w:rsid w:val="005E563A"/>
    <w:rsid w:val="005F08FC"/>
    <w:rsid w:val="005F0B0B"/>
    <w:rsid w:val="005F5414"/>
    <w:rsid w:val="00601D06"/>
    <w:rsid w:val="006051F9"/>
    <w:rsid w:val="00612873"/>
    <w:rsid w:val="00613293"/>
    <w:rsid w:val="0061704D"/>
    <w:rsid w:val="00621FD3"/>
    <w:rsid w:val="00623EC9"/>
    <w:rsid w:val="006242D1"/>
    <w:rsid w:val="00624EB3"/>
    <w:rsid w:val="00633603"/>
    <w:rsid w:val="0063583A"/>
    <w:rsid w:val="00636065"/>
    <w:rsid w:val="006407B0"/>
    <w:rsid w:val="0064098E"/>
    <w:rsid w:val="00640DAF"/>
    <w:rsid w:val="00646943"/>
    <w:rsid w:val="0066322B"/>
    <w:rsid w:val="00663A56"/>
    <w:rsid w:val="006666E0"/>
    <w:rsid w:val="006814E5"/>
    <w:rsid w:val="0068342C"/>
    <w:rsid w:val="006A10F6"/>
    <w:rsid w:val="006B08B6"/>
    <w:rsid w:val="006B54A9"/>
    <w:rsid w:val="006B65E9"/>
    <w:rsid w:val="006B6785"/>
    <w:rsid w:val="006C0E1E"/>
    <w:rsid w:val="006C18E2"/>
    <w:rsid w:val="006C3534"/>
    <w:rsid w:val="006D0FAE"/>
    <w:rsid w:val="006D3BBE"/>
    <w:rsid w:val="006D3DFF"/>
    <w:rsid w:val="006D4267"/>
    <w:rsid w:val="006D4BBF"/>
    <w:rsid w:val="006D66C3"/>
    <w:rsid w:val="006D7B3F"/>
    <w:rsid w:val="006E1D23"/>
    <w:rsid w:val="006E2BE3"/>
    <w:rsid w:val="006E37AB"/>
    <w:rsid w:val="006E76AB"/>
    <w:rsid w:val="006F1FC2"/>
    <w:rsid w:val="006F378C"/>
    <w:rsid w:val="006F44E6"/>
    <w:rsid w:val="007009F0"/>
    <w:rsid w:val="00703C7D"/>
    <w:rsid w:val="00706953"/>
    <w:rsid w:val="00707E7D"/>
    <w:rsid w:val="007105DA"/>
    <w:rsid w:val="00711A13"/>
    <w:rsid w:val="00716E4E"/>
    <w:rsid w:val="0072061D"/>
    <w:rsid w:val="00720723"/>
    <w:rsid w:val="00722073"/>
    <w:rsid w:val="00731FD4"/>
    <w:rsid w:val="007334B7"/>
    <w:rsid w:val="00736365"/>
    <w:rsid w:val="0074121E"/>
    <w:rsid w:val="00745AA8"/>
    <w:rsid w:val="007746D3"/>
    <w:rsid w:val="00777FCA"/>
    <w:rsid w:val="00786611"/>
    <w:rsid w:val="00791C2E"/>
    <w:rsid w:val="00795CF9"/>
    <w:rsid w:val="007B0BCF"/>
    <w:rsid w:val="007C175B"/>
    <w:rsid w:val="007C7E79"/>
    <w:rsid w:val="007E01B7"/>
    <w:rsid w:val="007E0A87"/>
    <w:rsid w:val="007E24C1"/>
    <w:rsid w:val="007E25F2"/>
    <w:rsid w:val="007E4DC1"/>
    <w:rsid w:val="007E7208"/>
    <w:rsid w:val="007E77AC"/>
    <w:rsid w:val="007F5C08"/>
    <w:rsid w:val="00806314"/>
    <w:rsid w:val="0081379F"/>
    <w:rsid w:val="008148EF"/>
    <w:rsid w:val="0081504F"/>
    <w:rsid w:val="00821590"/>
    <w:rsid w:val="00830A3C"/>
    <w:rsid w:val="00843B6C"/>
    <w:rsid w:val="00846046"/>
    <w:rsid w:val="0085390D"/>
    <w:rsid w:val="00854A5C"/>
    <w:rsid w:val="00861BBA"/>
    <w:rsid w:val="008752B3"/>
    <w:rsid w:val="0089190B"/>
    <w:rsid w:val="00892F95"/>
    <w:rsid w:val="008954BD"/>
    <w:rsid w:val="008A01AB"/>
    <w:rsid w:val="008A5422"/>
    <w:rsid w:val="008A5D79"/>
    <w:rsid w:val="008B46FF"/>
    <w:rsid w:val="008B5543"/>
    <w:rsid w:val="008B6CC6"/>
    <w:rsid w:val="008D266E"/>
    <w:rsid w:val="008D2BF5"/>
    <w:rsid w:val="008D5EBC"/>
    <w:rsid w:val="008F2D18"/>
    <w:rsid w:val="008F6072"/>
    <w:rsid w:val="009002BE"/>
    <w:rsid w:val="009037E1"/>
    <w:rsid w:val="0090482C"/>
    <w:rsid w:val="00926611"/>
    <w:rsid w:val="0092718B"/>
    <w:rsid w:val="0092748B"/>
    <w:rsid w:val="00930C4F"/>
    <w:rsid w:val="00932D83"/>
    <w:rsid w:val="009374EE"/>
    <w:rsid w:val="00937DE1"/>
    <w:rsid w:val="0094101A"/>
    <w:rsid w:val="00945DEC"/>
    <w:rsid w:val="00957502"/>
    <w:rsid w:val="00964B89"/>
    <w:rsid w:val="00967FAF"/>
    <w:rsid w:val="0097474F"/>
    <w:rsid w:val="009811FC"/>
    <w:rsid w:val="009812E8"/>
    <w:rsid w:val="00985F80"/>
    <w:rsid w:val="00987B5E"/>
    <w:rsid w:val="00987DC2"/>
    <w:rsid w:val="00993D1A"/>
    <w:rsid w:val="00996541"/>
    <w:rsid w:val="009A1E10"/>
    <w:rsid w:val="009A5D55"/>
    <w:rsid w:val="009A63B9"/>
    <w:rsid w:val="009B178B"/>
    <w:rsid w:val="009C1E24"/>
    <w:rsid w:val="009C580D"/>
    <w:rsid w:val="009C68A2"/>
    <w:rsid w:val="009C6B96"/>
    <w:rsid w:val="009D2D59"/>
    <w:rsid w:val="009E065D"/>
    <w:rsid w:val="009E34BE"/>
    <w:rsid w:val="009F0B16"/>
    <w:rsid w:val="009F550F"/>
    <w:rsid w:val="009F6BE1"/>
    <w:rsid w:val="00A00D93"/>
    <w:rsid w:val="00A01657"/>
    <w:rsid w:val="00A044DC"/>
    <w:rsid w:val="00A11B4B"/>
    <w:rsid w:val="00A1412D"/>
    <w:rsid w:val="00A25A79"/>
    <w:rsid w:val="00A27F95"/>
    <w:rsid w:val="00A36751"/>
    <w:rsid w:val="00A36CF2"/>
    <w:rsid w:val="00A43C5F"/>
    <w:rsid w:val="00A457E8"/>
    <w:rsid w:val="00A5701D"/>
    <w:rsid w:val="00A607AB"/>
    <w:rsid w:val="00A65543"/>
    <w:rsid w:val="00A65F28"/>
    <w:rsid w:val="00A665EA"/>
    <w:rsid w:val="00A67AA1"/>
    <w:rsid w:val="00A81575"/>
    <w:rsid w:val="00A81D02"/>
    <w:rsid w:val="00A82584"/>
    <w:rsid w:val="00A860E2"/>
    <w:rsid w:val="00A90785"/>
    <w:rsid w:val="00A91ADA"/>
    <w:rsid w:val="00A91B07"/>
    <w:rsid w:val="00A96CAC"/>
    <w:rsid w:val="00AA1D5A"/>
    <w:rsid w:val="00AA2153"/>
    <w:rsid w:val="00AC2468"/>
    <w:rsid w:val="00AC48E9"/>
    <w:rsid w:val="00AC49EA"/>
    <w:rsid w:val="00AD1DFB"/>
    <w:rsid w:val="00AD23D8"/>
    <w:rsid w:val="00AD2DAD"/>
    <w:rsid w:val="00AD2E74"/>
    <w:rsid w:val="00AD7A56"/>
    <w:rsid w:val="00AE6455"/>
    <w:rsid w:val="00AE6D26"/>
    <w:rsid w:val="00AF3362"/>
    <w:rsid w:val="00AF464D"/>
    <w:rsid w:val="00AF685F"/>
    <w:rsid w:val="00AF6E52"/>
    <w:rsid w:val="00B063BB"/>
    <w:rsid w:val="00B06708"/>
    <w:rsid w:val="00B10A67"/>
    <w:rsid w:val="00B12EBC"/>
    <w:rsid w:val="00B16661"/>
    <w:rsid w:val="00B1737F"/>
    <w:rsid w:val="00B23F3C"/>
    <w:rsid w:val="00B25831"/>
    <w:rsid w:val="00B27861"/>
    <w:rsid w:val="00B36BCE"/>
    <w:rsid w:val="00B4060D"/>
    <w:rsid w:val="00B41968"/>
    <w:rsid w:val="00B41D9C"/>
    <w:rsid w:val="00B435BA"/>
    <w:rsid w:val="00B47D5B"/>
    <w:rsid w:val="00B51D38"/>
    <w:rsid w:val="00B60348"/>
    <w:rsid w:val="00B60704"/>
    <w:rsid w:val="00B6390F"/>
    <w:rsid w:val="00B65381"/>
    <w:rsid w:val="00B66002"/>
    <w:rsid w:val="00B675DD"/>
    <w:rsid w:val="00B75432"/>
    <w:rsid w:val="00B76206"/>
    <w:rsid w:val="00B77014"/>
    <w:rsid w:val="00B806EC"/>
    <w:rsid w:val="00B80A5A"/>
    <w:rsid w:val="00B84CFD"/>
    <w:rsid w:val="00B86EBF"/>
    <w:rsid w:val="00B96573"/>
    <w:rsid w:val="00BA2698"/>
    <w:rsid w:val="00BB0712"/>
    <w:rsid w:val="00BB0D8A"/>
    <w:rsid w:val="00BB6A61"/>
    <w:rsid w:val="00BC1525"/>
    <w:rsid w:val="00BC2756"/>
    <w:rsid w:val="00BD0307"/>
    <w:rsid w:val="00BD5976"/>
    <w:rsid w:val="00BD61DC"/>
    <w:rsid w:val="00BE11E8"/>
    <w:rsid w:val="00BE5504"/>
    <w:rsid w:val="00BE56AE"/>
    <w:rsid w:val="00BF3C45"/>
    <w:rsid w:val="00BF4AB8"/>
    <w:rsid w:val="00BF795D"/>
    <w:rsid w:val="00C034BE"/>
    <w:rsid w:val="00C10881"/>
    <w:rsid w:val="00C1308C"/>
    <w:rsid w:val="00C14BDA"/>
    <w:rsid w:val="00C16AF9"/>
    <w:rsid w:val="00C2199F"/>
    <w:rsid w:val="00C2682D"/>
    <w:rsid w:val="00C37904"/>
    <w:rsid w:val="00C41B4B"/>
    <w:rsid w:val="00C45C71"/>
    <w:rsid w:val="00C51535"/>
    <w:rsid w:val="00C55BEF"/>
    <w:rsid w:val="00C55EC7"/>
    <w:rsid w:val="00C56015"/>
    <w:rsid w:val="00C61A85"/>
    <w:rsid w:val="00C6399C"/>
    <w:rsid w:val="00C653B7"/>
    <w:rsid w:val="00C65FD9"/>
    <w:rsid w:val="00C70F90"/>
    <w:rsid w:val="00C710D9"/>
    <w:rsid w:val="00C71C77"/>
    <w:rsid w:val="00C7351E"/>
    <w:rsid w:val="00C73A1F"/>
    <w:rsid w:val="00C74415"/>
    <w:rsid w:val="00C93BBB"/>
    <w:rsid w:val="00C97FB3"/>
    <w:rsid w:val="00CA02A2"/>
    <w:rsid w:val="00CB2E6A"/>
    <w:rsid w:val="00CB352D"/>
    <w:rsid w:val="00CB373C"/>
    <w:rsid w:val="00CD289A"/>
    <w:rsid w:val="00CE4150"/>
    <w:rsid w:val="00CE4697"/>
    <w:rsid w:val="00CE585C"/>
    <w:rsid w:val="00CF13B3"/>
    <w:rsid w:val="00D05F49"/>
    <w:rsid w:val="00D063F8"/>
    <w:rsid w:val="00D074EB"/>
    <w:rsid w:val="00D143E5"/>
    <w:rsid w:val="00D14568"/>
    <w:rsid w:val="00D166F1"/>
    <w:rsid w:val="00D171A9"/>
    <w:rsid w:val="00D22B19"/>
    <w:rsid w:val="00D22FDC"/>
    <w:rsid w:val="00D25C49"/>
    <w:rsid w:val="00D32760"/>
    <w:rsid w:val="00D35BA8"/>
    <w:rsid w:val="00D35FC0"/>
    <w:rsid w:val="00D52A02"/>
    <w:rsid w:val="00D5361F"/>
    <w:rsid w:val="00D639E0"/>
    <w:rsid w:val="00D67B57"/>
    <w:rsid w:val="00D7087C"/>
    <w:rsid w:val="00D70BEF"/>
    <w:rsid w:val="00D74476"/>
    <w:rsid w:val="00D762D9"/>
    <w:rsid w:val="00D8121A"/>
    <w:rsid w:val="00D8244A"/>
    <w:rsid w:val="00D83B53"/>
    <w:rsid w:val="00D924F0"/>
    <w:rsid w:val="00DA2716"/>
    <w:rsid w:val="00DA4064"/>
    <w:rsid w:val="00DA50D1"/>
    <w:rsid w:val="00DC19C7"/>
    <w:rsid w:val="00DF0D10"/>
    <w:rsid w:val="00DF5F4A"/>
    <w:rsid w:val="00E04F77"/>
    <w:rsid w:val="00E05C89"/>
    <w:rsid w:val="00E05EF3"/>
    <w:rsid w:val="00E07749"/>
    <w:rsid w:val="00E132BF"/>
    <w:rsid w:val="00E17924"/>
    <w:rsid w:val="00E22601"/>
    <w:rsid w:val="00E25897"/>
    <w:rsid w:val="00E27BA1"/>
    <w:rsid w:val="00E35F45"/>
    <w:rsid w:val="00E412DC"/>
    <w:rsid w:val="00E42506"/>
    <w:rsid w:val="00E45A7B"/>
    <w:rsid w:val="00E53A48"/>
    <w:rsid w:val="00E565F3"/>
    <w:rsid w:val="00E56814"/>
    <w:rsid w:val="00E635AB"/>
    <w:rsid w:val="00E647DB"/>
    <w:rsid w:val="00E66365"/>
    <w:rsid w:val="00E671F0"/>
    <w:rsid w:val="00E6726E"/>
    <w:rsid w:val="00E67BFA"/>
    <w:rsid w:val="00E7080B"/>
    <w:rsid w:val="00E72157"/>
    <w:rsid w:val="00E725DB"/>
    <w:rsid w:val="00E743AC"/>
    <w:rsid w:val="00E806DD"/>
    <w:rsid w:val="00E807F6"/>
    <w:rsid w:val="00E81DC6"/>
    <w:rsid w:val="00E8431B"/>
    <w:rsid w:val="00E85A72"/>
    <w:rsid w:val="00E93BCD"/>
    <w:rsid w:val="00EA0CA2"/>
    <w:rsid w:val="00EA0DC8"/>
    <w:rsid w:val="00EA18BF"/>
    <w:rsid w:val="00EA2F0C"/>
    <w:rsid w:val="00EC0A5C"/>
    <w:rsid w:val="00EC1314"/>
    <w:rsid w:val="00EC5110"/>
    <w:rsid w:val="00ED1694"/>
    <w:rsid w:val="00ED23C8"/>
    <w:rsid w:val="00ED2787"/>
    <w:rsid w:val="00ED3E5F"/>
    <w:rsid w:val="00ED7A10"/>
    <w:rsid w:val="00EE4A45"/>
    <w:rsid w:val="00EF17C9"/>
    <w:rsid w:val="00EF4988"/>
    <w:rsid w:val="00EF7DE8"/>
    <w:rsid w:val="00F01173"/>
    <w:rsid w:val="00F02AA9"/>
    <w:rsid w:val="00F054CD"/>
    <w:rsid w:val="00F1671B"/>
    <w:rsid w:val="00F17A08"/>
    <w:rsid w:val="00F20A62"/>
    <w:rsid w:val="00F23058"/>
    <w:rsid w:val="00F30725"/>
    <w:rsid w:val="00F333E6"/>
    <w:rsid w:val="00F33ECC"/>
    <w:rsid w:val="00F35E6B"/>
    <w:rsid w:val="00F4282D"/>
    <w:rsid w:val="00F4477F"/>
    <w:rsid w:val="00F46B38"/>
    <w:rsid w:val="00F56E0D"/>
    <w:rsid w:val="00F62A70"/>
    <w:rsid w:val="00F7210A"/>
    <w:rsid w:val="00F73101"/>
    <w:rsid w:val="00F73EA8"/>
    <w:rsid w:val="00F7623C"/>
    <w:rsid w:val="00F805CD"/>
    <w:rsid w:val="00F874F9"/>
    <w:rsid w:val="00F91165"/>
    <w:rsid w:val="00F9264C"/>
    <w:rsid w:val="00F92A98"/>
    <w:rsid w:val="00FA00A3"/>
    <w:rsid w:val="00FA2B2E"/>
    <w:rsid w:val="00FA6DD1"/>
    <w:rsid w:val="00FA7E8D"/>
    <w:rsid w:val="00FB2376"/>
    <w:rsid w:val="00FC0F9F"/>
    <w:rsid w:val="00FD20CA"/>
    <w:rsid w:val="00FD7BBD"/>
    <w:rsid w:val="00FE062F"/>
    <w:rsid w:val="00FF4F7F"/>
    <w:rsid w:val="00FF54A6"/>
    <w:rsid w:val="00FF6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9A6948"/>
  <w15:docId w15:val="{88775CA8-5190-4CCA-87E3-88BDF8122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060D"/>
  </w:style>
  <w:style w:type="paragraph" w:styleId="Antrat1">
    <w:name w:val="heading 1"/>
    <w:basedOn w:val="prastasis"/>
    <w:next w:val="prastasis"/>
    <w:link w:val="Antrat1Diagrama"/>
    <w:uiPriority w:val="99"/>
    <w:qFormat/>
    <w:rsid w:val="005D554B"/>
    <w:pPr>
      <w:tabs>
        <w:tab w:val="left" w:pos="567"/>
      </w:tabs>
      <w:spacing w:before="240" w:after="120" w:line="260" w:lineRule="exact"/>
      <w:ind w:left="357" w:hanging="357"/>
      <w:outlineLvl w:val="0"/>
    </w:pPr>
    <w:rPr>
      <w:rFonts w:eastAsia="SimSun"/>
      <w:b/>
      <w:caps/>
      <w:sz w:val="26"/>
      <w:lang w:val="en-US"/>
    </w:rPr>
  </w:style>
  <w:style w:type="paragraph" w:styleId="Antrat2">
    <w:name w:val="heading 2"/>
    <w:basedOn w:val="prastasis"/>
    <w:next w:val="prastasis"/>
    <w:link w:val="Antrat2Diagrama"/>
    <w:uiPriority w:val="99"/>
    <w:qFormat/>
    <w:rsid w:val="005D554B"/>
    <w:pPr>
      <w:keepNext/>
      <w:tabs>
        <w:tab w:val="left" w:pos="567"/>
      </w:tabs>
      <w:spacing w:before="240" w:after="60" w:line="260" w:lineRule="exact"/>
      <w:outlineLvl w:val="1"/>
    </w:pPr>
    <w:rPr>
      <w:rFonts w:ascii="Cambria" w:hAnsi="Cambria"/>
      <w:b/>
      <w:bCs/>
      <w:i/>
      <w:iCs/>
      <w:snapToGrid w:val="0"/>
      <w:sz w:val="28"/>
      <w:szCs w:val="28"/>
      <w:lang w:val="en-GB" w:eastAsia="x-none"/>
    </w:rPr>
  </w:style>
  <w:style w:type="paragraph" w:styleId="Antrat3">
    <w:name w:val="heading 3"/>
    <w:basedOn w:val="prastasis"/>
    <w:next w:val="prastasis"/>
    <w:link w:val="Antrat3Diagrama"/>
    <w:uiPriority w:val="99"/>
    <w:qFormat/>
    <w:rsid w:val="005D554B"/>
    <w:pPr>
      <w:keepNext/>
      <w:keepLines/>
      <w:tabs>
        <w:tab w:val="left" w:pos="567"/>
      </w:tabs>
      <w:spacing w:before="120" w:after="80" w:line="260" w:lineRule="exact"/>
      <w:outlineLvl w:val="2"/>
    </w:pPr>
    <w:rPr>
      <w:rFonts w:ascii="Cambria" w:hAnsi="Cambria"/>
      <w:b/>
      <w:bCs/>
      <w:snapToGrid w:val="0"/>
      <w:sz w:val="26"/>
      <w:szCs w:val="26"/>
      <w:lang w:val="en-GB" w:eastAsia="x-none"/>
    </w:rPr>
  </w:style>
  <w:style w:type="paragraph" w:styleId="Antrat4">
    <w:name w:val="heading 4"/>
    <w:basedOn w:val="prastasis"/>
    <w:next w:val="prastasis"/>
    <w:link w:val="Antrat4Diagrama"/>
    <w:uiPriority w:val="99"/>
    <w:qFormat/>
    <w:rsid w:val="005D554B"/>
    <w:pPr>
      <w:keepNext/>
      <w:tabs>
        <w:tab w:val="left" w:pos="567"/>
      </w:tabs>
      <w:spacing w:line="260" w:lineRule="exact"/>
      <w:jc w:val="both"/>
      <w:outlineLvl w:val="3"/>
    </w:pPr>
    <w:rPr>
      <w:rFonts w:ascii="Calibri" w:hAnsi="Calibri"/>
      <w:b/>
      <w:bCs/>
      <w:snapToGrid w:val="0"/>
      <w:sz w:val="28"/>
      <w:szCs w:val="28"/>
      <w:lang w:val="en-GB" w:eastAsia="x-none"/>
    </w:rPr>
  </w:style>
  <w:style w:type="paragraph" w:styleId="Antrat5">
    <w:name w:val="heading 5"/>
    <w:basedOn w:val="prastasis"/>
    <w:next w:val="prastasis"/>
    <w:link w:val="Antrat5Diagrama"/>
    <w:uiPriority w:val="99"/>
    <w:qFormat/>
    <w:rsid w:val="005D554B"/>
    <w:pPr>
      <w:keepNext/>
      <w:tabs>
        <w:tab w:val="left" w:pos="567"/>
      </w:tabs>
      <w:spacing w:line="260" w:lineRule="exact"/>
      <w:jc w:val="both"/>
      <w:outlineLvl w:val="4"/>
    </w:pPr>
    <w:rPr>
      <w:rFonts w:eastAsia="SimSun"/>
      <w:noProof/>
      <w:sz w:val="22"/>
      <w:lang w:val="en-GB"/>
    </w:rPr>
  </w:style>
  <w:style w:type="paragraph" w:styleId="Antrat6">
    <w:name w:val="heading 6"/>
    <w:basedOn w:val="prastasis"/>
    <w:next w:val="prastasis"/>
    <w:link w:val="Antrat6Diagrama"/>
    <w:uiPriority w:val="99"/>
    <w:qFormat/>
    <w:rsid w:val="005D554B"/>
    <w:pPr>
      <w:keepNext/>
      <w:tabs>
        <w:tab w:val="left" w:pos="-720"/>
        <w:tab w:val="left" w:pos="567"/>
        <w:tab w:val="left" w:pos="4536"/>
      </w:tabs>
      <w:suppressAutoHyphens/>
      <w:spacing w:line="260" w:lineRule="exact"/>
      <w:outlineLvl w:val="5"/>
    </w:pPr>
    <w:rPr>
      <w:rFonts w:eastAsia="SimSun"/>
      <w:i/>
      <w:sz w:val="22"/>
      <w:lang w:val="en-GB"/>
    </w:rPr>
  </w:style>
  <w:style w:type="paragraph" w:styleId="Antrat7">
    <w:name w:val="heading 7"/>
    <w:basedOn w:val="prastasis"/>
    <w:next w:val="prastasis"/>
    <w:link w:val="Antrat7Diagrama"/>
    <w:uiPriority w:val="99"/>
    <w:qFormat/>
    <w:rsid w:val="005D554B"/>
    <w:pPr>
      <w:keepNext/>
      <w:tabs>
        <w:tab w:val="left" w:pos="-720"/>
        <w:tab w:val="left" w:pos="567"/>
        <w:tab w:val="left" w:pos="4536"/>
      </w:tabs>
      <w:suppressAutoHyphens/>
      <w:spacing w:line="260" w:lineRule="exact"/>
      <w:jc w:val="both"/>
      <w:outlineLvl w:val="6"/>
    </w:pPr>
    <w:rPr>
      <w:rFonts w:eastAsia="SimSun"/>
      <w:i/>
      <w:sz w:val="22"/>
      <w:lang w:val="en-GB"/>
    </w:rPr>
  </w:style>
  <w:style w:type="paragraph" w:styleId="Antrat8">
    <w:name w:val="heading 8"/>
    <w:basedOn w:val="prastasis"/>
    <w:next w:val="prastasis"/>
    <w:link w:val="Antrat8Diagrama"/>
    <w:uiPriority w:val="99"/>
    <w:qFormat/>
    <w:rsid w:val="005D554B"/>
    <w:pPr>
      <w:keepNext/>
      <w:tabs>
        <w:tab w:val="left" w:pos="567"/>
      </w:tabs>
      <w:spacing w:line="260" w:lineRule="exact"/>
      <w:ind w:left="567" w:hanging="567"/>
      <w:jc w:val="both"/>
      <w:outlineLvl w:val="7"/>
    </w:pPr>
    <w:rPr>
      <w:rFonts w:eastAsia="SimSun"/>
      <w:b/>
      <w:i/>
      <w:sz w:val="22"/>
      <w:lang w:val="en-GB"/>
    </w:rPr>
  </w:style>
  <w:style w:type="paragraph" w:styleId="Antrat9">
    <w:name w:val="heading 9"/>
    <w:basedOn w:val="prastasis"/>
    <w:next w:val="prastasis"/>
    <w:link w:val="Antrat9Diagrama"/>
    <w:uiPriority w:val="99"/>
    <w:qFormat/>
    <w:rsid w:val="005D554B"/>
    <w:pPr>
      <w:keepNext/>
      <w:tabs>
        <w:tab w:val="left" w:pos="567"/>
      </w:tabs>
      <w:spacing w:line="260" w:lineRule="exact"/>
      <w:jc w:val="both"/>
      <w:outlineLvl w:val="8"/>
    </w:pPr>
    <w:rPr>
      <w:rFonts w:eastAsia="SimSun"/>
      <w:b/>
      <w:i/>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A3840"/>
    <w:rPr>
      <w:color w:val="808080"/>
    </w:rPr>
  </w:style>
  <w:style w:type="paragraph" w:styleId="Antrats">
    <w:name w:val="header"/>
    <w:basedOn w:val="prastasis"/>
    <w:link w:val="AntratsDiagrama"/>
    <w:uiPriority w:val="99"/>
    <w:rsid w:val="001A3840"/>
    <w:pPr>
      <w:tabs>
        <w:tab w:val="center" w:pos="4819"/>
        <w:tab w:val="right" w:pos="9638"/>
      </w:tabs>
    </w:pPr>
  </w:style>
  <w:style w:type="character" w:customStyle="1" w:styleId="AntratsDiagrama">
    <w:name w:val="Antraštės Diagrama"/>
    <w:basedOn w:val="Numatytasispastraiposriftas"/>
    <w:link w:val="Antrats"/>
    <w:uiPriority w:val="99"/>
    <w:rsid w:val="001A3840"/>
  </w:style>
  <w:style w:type="character" w:customStyle="1" w:styleId="Antrat1Diagrama">
    <w:name w:val="Antraštė 1 Diagrama"/>
    <w:basedOn w:val="Numatytasispastraiposriftas"/>
    <w:link w:val="Antrat1"/>
    <w:uiPriority w:val="99"/>
    <w:rsid w:val="005D554B"/>
    <w:rPr>
      <w:rFonts w:eastAsia="SimSun"/>
      <w:b/>
      <w:caps/>
      <w:sz w:val="26"/>
      <w:lang w:val="en-US"/>
    </w:rPr>
  </w:style>
  <w:style w:type="character" w:customStyle="1" w:styleId="Antrat2Diagrama">
    <w:name w:val="Antraštė 2 Diagrama"/>
    <w:basedOn w:val="Numatytasispastraiposriftas"/>
    <w:link w:val="Antrat2"/>
    <w:uiPriority w:val="99"/>
    <w:rsid w:val="005D554B"/>
    <w:rPr>
      <w:rFonts w:ascii="Cambria" w:hAnsi="Cambria"/>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5D554B"/>
    <w:rPr>
      <w:rFonts w:ascii="Cambria" w:hAnsi="Cambria"/>
      <w:b/>
      <w:bCs/>
      <w:snapToGrid w:val="0"/>
      <w:sz w:val="26"/>
      <w:szCs w:val="26"/>
      <w:lang w:val="en-GB" w:eastAsia="x-none"/>
    </w:rPr>
  </w:style>
  <w:style w:type="character" w:customStyle="1" w:styleId="Antrat4Diagrama">
    <w:name w:val="Antraštė 4 Diagrama"/>
    <w:basedOn w:val="Numatytasispastraiposriftas"/>
    <w:link w:val="Antrat4"/>
    <w:uiPriority w:val="99"/>
    <w:rsid w:val="005D554B"/>
    <w:rPr>
      <w:rFonts w:ascii="Calibri" w:hAnsi="Calibri"/>
      <w:b/>
      <w:bCs/>
      <w:snapToGrid w:val="0"/>
      <w:sz w:val="28"/>
      <w:szCs w:val="28"/>
      <w:lang w:val="en-GB" w:eastAsia="x-none"/>
    </w:rPr>
  </w:style>
  <w:style w:type="character" w:customStyle="1" w:styleId="Antrat5Diagrama">
    <w:name w:val="Antraštė 5 Diagrama"/>
    <w:basedOn w:val="Numatytasispastraiposriftas"/>
    <w:link w:val="Antrat5"/>
    <w:uiPriority w:val="99"/>
    <w:rsid w:val="005D554B"/>
    <w:rPr>
      <w:rFonts w:eastAsia="SimSun"/>
      <w:noProof/>
      <w:sz w:val="22"/>
      <w:lang w:val="en-GB"/>
    </w:rPr>
  </w:style>
  <w:style w:type="character" w:customStyle="1" w:styleId="Antrat6Diagrama">
    <w:name w:val="Antraštė 6 Diagrama"/>
    <w:basedOn w:val="Numatytasispastraiposriftas"/>
    <w:link w:val="Antrat6"/>
    <w:uiPriority w:val="99"/>
    <w:rsid w:val="005D554B"/>
    <w:rPr>
      <w:rFonts w:eastAsia="SimSun"/>
      <w:i/>
      <w:sz w:val="22"/>
      <w:lang w:val="en-GB"/>
    </w:rPr>
  </w:style>
  <w:style w:type="character" w:customStyle="1" w:styleId="Antrat7Diagrama">
    <w:name w:val="Antraštė 7 Diagrama"/>
    <w:basedOn w:val="Numatytasispastraiposriftas"/>
    <w:link w:val="Antrat7"/>
    <w:uiPriority w:val="99"/>
    <w:rsid w:val="005D554B"/>
    <w:rPr>
      <w:rFonts w:eastAsia="SimSun"/>
      <w:i/>
      <w:sz w:val="22"/>
      <w:lang w:val="en-GB"/>
    </w:rPr>
  </w:style>
  <w:style w:type="character" w:customStyle="1" w:styleId="Antrat8Diagrama">
    <w:name w:val="Antraštė 8 Diagrama"/>
    <w:basedOn w:val="Numatytasispastraiposriftas"/>
    <w:link w:val="Antrat8"/>
    <w:uiPriority w:val="99"/>
    <w:rsid w:val="005D554B"/>
    <w:rPr>
      <w:rFonts w:eastAsia="SimSun"/>
      <w:b/>
      <w:i/>
      <w:sz w:val="22"/>
      <w:lang w:val="en-GB"/>
    </w:rPr>
  </w:style>
  <w:style w:type="character" w:customStyle="1" w:styleId="Antrat9Diagrama">
    <w:name w:val="Antraštė 9 Diagrama"/>
    <w:basedOn w:val="Numatytasispastraiposriftas"/>
    <w:link w:val="Antrat9"/>
    <w:uiPriority w:val="99"/>
    <w:rsid w:val="005D554B"/>
    <w:rPr>
      <w:rFonts w:eastAsia="SimSun"/>
      <w:b/>
      <w:i/>
      <w:sz w:val="22"/>
      <w:lang w:val="en-GB"/>
    </w:rPr>
  </w:style>
  <w:style w:type="numbering" w:customStyle="1" w:styleId="Sraonra1">
    <w:name w:val="Sąrašo nėra1"/>
    <w:next w:val="Sraonra"/>
    <w:uiPriority w:val="99"/>
    <w:semiHidden/>
    <w:unhideWhenUsed/>
    <w:rsid w:val="005D554B"/>
  </w:style>
  <w:style w:type="paragraph" w:styleId="Porat">
    <w:name w:val="footer"/>
    <w:basedOn w:val="prastasis"/>
    <w:link w:val="PoratDiagrama"/>
    <w:uiPriority w:val="99"/>
    <w:rsid w:val="005D554B"/>
    <w:pPr>
      <w:tabs>
        <w:tab w:val="left" w:pos="567"/>
        <w:tab w:val="center" w:pos="4536"/>
        <w:tab w:val="right" w:pos="8306"/>
      </w:tabs>
      <w:spacing w:line="260" w:lineRule="exact"/>
    </w:pPr>
    <w:rPr>
      <w:snapToGrid w:val="0"/>
      <w:sz w:val="22"/>
      <w:lang w:val="en-GB" w:eastAsia="x-none"/>
    </w:rPr>
  </w:style>
  <w:style w:type="character" w:customStyle="1" w:styleId="PoratDiagrama">
    <w:name w:val="Poraštė Diagrama"/>
    <w:basedOn w:val="Numatytasispastraiposriftas"/>
    <w:link w:val="Porat"/>
    <w:uiPriority w:val="99"/>
    <w:rsid w:val="005D554B"/>
    <w:rPr>
      <w:snapToGrid w:val="0"/>
      <w:sz w:val="22"/>
      <w:lang w:val="en-GB" w:eastAsia="x-none"/>
    </w:rPr>
  </w:style>
  <w:style w:type="character" w:customStyle="1" w:styleId="HeaderChar">
    <w:name w:val="Header Char"/>
    <w:rsid w:val="005D554B"/>
    <w:rPr>
      <w:snapToGrid w:val="0"/>
      <w:sz w:val="22"/>
      <w:lang w:val="en-GB" w:eastAsia="en-US"/>
    </w:rPr>
  </w:style>
  <w:style w:type="character" w:styleId="Puslapionumeris">
    <w:name w:val="page number"/>
    <w:uiPriority w:val="99"/>
    <w:rsid w:val="005D554B"/>
    <w:rPr>
      <w:rFonts w:cs="Times New Roman"/>
    </w:rPr>
  </w:style>
  <w:style w:type="character" w:styleId="Hipersaitas">
    <w:name w:val="Hyperlink"/>
    <w:uiPriority w:val="99"/>
    <w:rsid w:val="005D554B"/>
    <w:rPr>
      <w:color w:val="0000FF"/>
      <w:u w:val="single"/>
    </w:rPr>
  </w:style>
  <w:style w:type="paragraph" w:customStyle="1" w:styleId="BodytextAgency">
    <w:name w:val="Body text (Agency)"/>
    <w:basedOn w:val="prastasis"/>
    <w:link w:val="BodytextAgencyChar"/>
    <w:uiPriority w:val="99"/>
    <w:rsid w:val="005D554B"/>
    <w:pPr>
      <w:spacing w:after="140" w:line="280" w:lineRule="atLeast"/>
    </w:pPr>
    <w:rPr>
      <w:rFonts w:ascii="Verdana" w:hAnsi="Verdana"/>
      <w:snapToGrid w:val="0"/>
      <w:sz w:val="18"/>
      <w:lang w:val="en-GB" w:eastAsia="x-none"/>
    </w:rPr>
  </w:style>
  <w:style w:type="paragraph" w:customStyle="1" w:styleId="NormalAgency">
    <w:name w:val="Normal (Agency)"/>
    <w:link w:val="NormalAgencyChar"/>
    <w:uiPriority w:val="99"/>
    <w:rsid w:val="005D554B"/>
    <w:rPr>
      <w:rFonts w:ascii="Verdana" w:hAnsi="Verdana"/>
      <w:snapToGrid w:val="0"/>
      <w:sz w:val="18"/>
      <w:szCs w:val="22"/>
      <w:lang w:val="en-GB" w:eastAsia="lt-LT"/>
    </w:rPr>
  </w:style>
  <w:style w:type="paragraph" w:customStyle="1" w:styleId="TabletextrowsAgency">
    <w:name w:val="Table text rows (Agency)"/>
    <w:basedOn w:val="prastasis"/>
    <w:uiPriority w:val="99"/>
    <w:rsid w:val="005D554B"/>
    <w:pPr>
      <w:spacing w:line="280" w:lineRule="exact"/>
    </w:pPr>
    <w:rPr>
      <w:rFonts w:ascii="Verdana" w:hAnsi="Verdana"/>
      <w:snapToGrid w:val="0"/>
      <w:sz w:val="18"/>
      <w:lang w:val="en-GB"/>
    </w:rPr>
  </w:style>
  <w:style w:type="character" w:customStyle="1" w:styleId="tw4winError">
    <w:name w:val="tw4winError"/>
    <w:uiPriority w:val="99"/>
    <w:rsid w:val="005D554B"/>
    <w:rPr>
      <w:rFonts w:ascii="Courier New" w:hAnsi="Courier New"/>
      <w:color w:val="00FF00"/>
      <w:sz w:val="40"/>
    </w:rPr>
  </w:style>
  <w:style w:type="character" w:customStyle="1" w:styleId="tw4winTerm">
    <w:name w:val="tw4winTerm"/>
    <w:uiPriority w:val="99"/>
    <w:rsid w:val="005D554B"/>
    <w:rPr>
      <w:color w:val="0000FF"/>
    </w:rPr>
  </w:style>
  <w:style w:type="character" w:customStyle="1" w:styleId="tw4winPopup">
    <w:name w:val="tw4winPopup"/>
    <w:uiPriority w:val="99"/>
    <w:rsid w:val="005D554B"/>
    <w:rPr>
      <w:rFonts w:ascii="Courier New" w:hAnsi="Courier New"/>
      <w:noProof/>
      <w:color w:val="008000"/>
    </w:rPr>
  </w:style>
  <w:style w:type="character" w:customStyle="1" w:styleId="tw4winJump">
    <w:name w:val="tw4winJump"/>
    <w:uiPriority w:val="99"/>
    <w:rsid w:val="005D554B"/>
    <w:rPr>
      <w:rFonts w:ascii="Courier New" w:hAnsi="Courier New"/>
      <w:noProof/>
      <w:color w:val="008080"/>
    </w:rPr>
  </w:style>
  <w:style w:type="character" w:customStyle="1" w:styleId="tw4winExternal">
    <w:name w:val="tw4winExternal"/>
    <w:uiPriority w:val="99"/>
    <w:rsid w:val="005D554B"/>
    <w:rPr>
      <w:rFonts w:ascii="Courier New" w:hAnsi="Courier New"/>
      <w:noProof/>
      <w:color w:val="808080"/>
    </w:rPr>
  </w:style>
  <w:style w:type="character" w:customStyle="1" w:styleId="tw4winInternal">
    <w:name w:val="tw4winInternal"/>
    <w:uiPriority w:val="99"/>
    <w:rsid w:val="005D554B"/>
    <w:rPr>
      <w:rFonts w:ascii="Courier New" w:hAnsi="Courier New"/>
      <w:noProof/>
      <w:color w:val="FF0000"/>
    </w:rPr>
  </w:style>
  <w:style w:type="character" w:customStyle="1" w:styleId="DONOTTRANSLATE">
    <w:name w:val="DO_NOT_TRANSLATE"/>
    <w:uiPriority w:val="99"/>
    <w:rsid w:val="005D554B"/>
    <w:rPr>
      <w:rFonts w:ascii="Courier New" w:hAnsi="Courier New"/>
      <w:noProof/>
      <w:color w:val="800000"/>
    </w:rPr>
  </w:style>
  <w:style w:type="paragraph" w:styleId="Debesliotekstas">
    <w:name w:val="Balloon Text"/>
    <w:basedOn w:val="prastasis"/>
    <w:link w:val="DebesliotekstasDiagrama"/>
    <w:uiPriority w:val="99"/>
    <w:rsid w:val="005D554B"/>
    <w:pPr>
      <w:tabs>
        <w:tab w:val="left" w:pos="567"/>
      </w:tabs>
    </w:pPr>
    <w:rPr>
      <w:rFonts w:ascii="Tahoma" w:hAnsi="Tahoma"/>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5D554B"/>
    <w:rPr>
      <w:rFonts w:ascii="Tahoma" w:hAnsi="Tahoma"/>
      <w:snapToGrid w:val="0"/>
      <w:sz w:val="16"/>
      <w:szCs w:val="16"/>
      <w:lang w:val="en-GB" w:eastAsia="x-none"/>
    </w:rPr>
  </w:style>
  <w:style w:type="character" w:styleId="Komentaronuoroda">
    <w:name w:val="annotation reference"/>
    <w:uiPriority w:val="99"/>
    <w:rsid w:val="005D554B"/>
    <w:rPr>
      <w:sz w:val="16"/>
      <w:szCs w:val="16"/>
    </w:rPr>
  </w:style>
  <w:style w:type="paragraph" w:styleId="Komentarotekstas">
    <w:name w:val="annotation text"/>
    <w:basedOn w:val="prastasis"/>
    <w:link w:val="KomentarotekstasDiagrama"/>
    <w:uiPriority w:val="99"/>
    <w:rsid w:val="005D554B"/>
    <w:pPr>
      <w:tabs>
        <w:tab w:val="left" w:pos="567"/>
      </w:tabs>
      <w:spacing w:line="260" w:lineRule="exact"/>
    </w:pPr>
    <w:rPr>
      <w:snapToGrid w:val="0"/>
      <w:sz w:val="20"/>
      <w:lang w:val="en-GB"/>
    </w:rPr>
  </w:style>
  <w:style w:type="character" w:customStyle="1" w:styleId="KomentarotekstasDiagrama">
    <w:name w:val="Komentaro tekstas Diagrama"/>
    <w:basedOn w:val="Numatytasispastraiposriftas"/>
    <w:link w:val="Komentarotekstas"/>
    <w:uiPriority w:val="99"/>
    <w:rsid w:val="005D554B"/>
    <w:rPr>
      <w:snapToGrid w:val="0"/>
      <w:sz w:val="20"/>
      <w:lang w:val="en-GB"/>
    </w:rPr>
  </w:style>
  <w:style w:type="paragraph" w:styleId="Komentarotema">
    <w:name w:val="annotation subject"/>
    <w:basedOn w:val="Komentarotekstas"/>
    <w:next w:val="Komentarotekstas"/>
    <w:link w:val="KomentarotemaDiagrama"/>
    <w:uiPriority w:val="99"/>
    <w:rsid w:val="005D554B"/>
    <w:rPr>
      <w:b/>
      <w:bCs/>
    </w:rPr>
  </w:style>
  <w:style w:type="character" w:customStyle="1" w:styleId="KomentarotemaDiagrama">
    <w:name w:val="Komentaro tema Diagrama"/>
    <w:basedOn w:val="KomentarotekstasDiagrama"/>
    <w:link w:val="Komentarotema"/>
    <w:uiPriority w:val="99"/>
    <w:rsid w:val="005D554B"/>
    <w:rPr>
      <w:b/>
      <w:bCs/>
      <w:snapToGrid w:val="0"/>
      <w:sz w:val="20"/>
      <w:lang w:val="en-GB"/>
    </w:rPr>
  </w:style>
  <w:style w:type="paragraph" w:styleId="Pataisymai">
    <w:name w:val="Revision"/>
    <w:hidden/>
    <w:uiPriority w:val="99"/>
    <w:semiHidden/>
    <w:rsid w:val="005D554B"/>
    <w:rPr>
      <w:snapToGrid w:val="0"/>
      <w:sz w:val="22"/>
      <w:lang w:val="en-GB"/>
    </w:rPr>
  </w:style>
  <w:style w:type="paragraph" w:customStyle="1" w:styleId="EMEAEnBodyText">
    <w:name w:val="EMEA En Body Text"/>
    <w:basedOn w:val="prastasis"/>
    <w:uiPriority w:val="99"/>
    <w:rsid w:val="005D554B"/>
    <w:pPr>
      <w:spacing w:before="120" w:after="120"/>
      <w:jc w:val="both"/>
    </w:pPr>
    <w:rPr>
      <w:rFonts w:eastAsia="SimSun"/>
      <w:sz w:val="22"/>
      <w:lang w:val="en-US" w:eastAsia="zh-CN"/>
    </w:rPr>
  </w:style>
  <w:style w:type="character" w:customStyle="1" w:styleId="tw4winMark">
    <w:name w:val="tw4winMark"/>
    <w:uiPriority w:val="99"/>
    <w:rsid w:val="005D554B"/>
    <w:rPr>
      <w:rFonts w:ascii="Courier New" w:hAnsi="Courier New"/>
      <w:vanish/>
      <w:color w:val="800080"/>
      <w:sz w:val="24"/>
      <w:vertAlign w:val="subscript"/>
    </w:rPr>
  </w:style>
  <w:style w:type="paragraph" w:styleId="Dokumentostruktra">
    <w:name w:val="Document Map"/>
    <w:basedOn w:val="prastasis"/>
    <w:link w:val="DokumentostruktraDiagrama"/>
    <w:uiPriority w:val="99"/>
    <w:rsid w:val="005D554B"/>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basedOn w:val="Numatytasispastraiposriftas"/>
    <w:link w:val="Dokumentostruktra"/>
    <w:uiPriority w:val="99"/>
    <w:rsid w:val="005D554B"/>
    <w:rPr>
      <w:rFonts w:ascii="Tahoma" w:eastAsia="SimSun" w:hAnsi="Tahoma"/>
      <w:sz w:val="20"/>
      <w:shd w:val="clear" w:color="auto" w:fill="000080"/>
      <w:lang w:val="en-GB" w:eastAsia="zh-CN"/>
    </w:rPr>
  </w:style>
  <w:style w:type="paragraph" w:styleId="Pagrindiniotekstotrauka">
    <w:name w:val="Body Text Indent"/>
    <w:basedOn w:val="prastasis"/>
    <w:link w:val="PagrindiniotekstotraukaDiagrama"/>
    <w:uiPriority w:val="99"/>
    <w:rsid w:val="005D554B"/>
    <w:pPr>
      <w:autoSpaceDE w:val="0"/>
      <w:autoSpaceDN w:val="0"/>
      <w:adjustRightInd w:val="0"/>
      <w:ind w:left="720"/>
      <w:jc w:val="both"/>
    </w:pPr>
    <w:rPr>
      <w:rFonts w:eastAsia="SimSun"/>
      <w:sz w:val="22"/>
      <w:szCs w:val="22"/>
      <w:lang w:val="en-GB" w:eastAsia="en-GB"/>
    </w:rPr>
  </w:style>
  <w:style w:type="character" w:customStyle="1" w:styleId="PagrindiniotekstotraukaDiagrama">
    <w:name w:val="Pagrindinio teksto įtrauka Diagrama"/>
    <w:basedOn w:val="Numatytasispastraiposriftas"/>
    <w:link w:val="Pagrindiniotekstotrauka"/>
    <w:uiPriority w:val="99"/>
    <w:rsid w:val="005D554B"/>
    <w:rPr>
      <w:rFonts w:eastAsia="SimSun"/>
      <w:sz w:val="22"/>
      <w:szCs w:val="22"/>
      <w:lang w:val="en-GB" w:eastAsia="en-GB"/>
    </w:rPr>
  </w:style>
  <w:style w:type="paragraph" w:styleId="Pagrindinistekstas3">
    <w:name w:val="Body Text 3"/>
    <w:basedOn w:val="prastasis"/>
    <w:link w:val="Pagrindinistekstas3Diagrama"/>
    <w:uiPriority w:val="99"/>
    <w:rsid w:val="005D554B"/>
    <w:pPr>
      <w:autoSpaceDE w:val="0"/>
      <w:autoSpaceDN w:val="0"/>
      <w:adjustRightInd w:val="0"/>
      <w:jc w:val="both"/>
    </w:pPr>
    <w:rPr>
      <w:rFonts w:eastAsia="SimSun"/>
      <w:color w:val="0000FF"/>
      <w:sz w:val="22"/>
      <w:szCs w:val="22"/>
      <w:lang w:val="en-GB" w:eastAsia="en-GB"/>
    </w:rPr>
  </w:style>
  <w:style w:type="character" w:customStyle="1" w:styleId="Pagrindinistekstas3Diagrama">
    <w:name w:val="Pagrindinis tekstas 3 Diagrama"/>
    <w:basedOn w:val="Numatytasispastraiposriftas"/>
    <w:link w:val="Pagrindinistekstas3"/>
    <w:uiPriority w:val="99"/>
    <w:rsid w:val="005D554B"/>
    <w:rPr>
      <w:rFonts w:eastAsia="SimSun"/>
      <w:color w:val="0000FF"/>
      <w:sz w:val="22"/>
      <w:szCs w:val="22"/>
      <w:lang w:val="en-GB" w:eastAsia="en-GB"/>
    </w:rPr>
  </w:style>
  <w:style w:type="paragraph" w:styleId="Pagrindiniotekstotrauka2">
    <w:name w:val="Body Text Indent 2"/>
    <w:basedOn w:val="prastasis"/>
    <w:link w:val="Pagrindiniotekstotrauka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rPr>
  </w:style>
  <w:style w:type="character" w:customStyle="1" w:styleId="Pagrindiniotekstotrauka2Diagrama">
    <w:name w:val="Pagrindinio teksto įtrauka 2 Diagrama"/>
    <w:basedOn w:val="Numatytasispastraiposriftas"/>
    <w:link w:val="Pagrindiniotekstotrauka2"/>
    <w:uiPriority w:val="99"/>
    <w:rsid w:val="005D554B"/>
    <w:rPr>
      <w:rFonts w:eastAsia="SimSun"/>
      <w:b/>
      <w:bCs/>
      <w:color w:val="0000FF"/>
      <w:sz w:val="22"/>
      <w:szCs w:val="22"/>
      <w:lang w:val="en-GB"/>
    </w:rPr>
  </w:style>
  <w:style w:type="paragraph" w:styleId="Pagrindinistekstas">
    <w:name w:val="Body Text"/>
    <w:basedOn w:val="prastasis"/>
    <w:link w:val="PagrindinistekstasDiagrama"/>
    <w:uiPriority w:val="99"/>
    <w:rsid w:val="005D554B"/>
    <w:rPr>
      <w:rFonts w:eastAsia="SimSun"/>
      <w:i/>
      <w:color w:val="008000"/>
      <w:sz w:val="22"/>
      <w:lang w:val="en-GB"/>
    </w:rPr>
  </w:style>
  <w:style w:type="character" w:customStyle="1" w:styleId="PagrindinistekstasDiagrama">
    <w:name w:val="Pagrindinis tekstas Diagrama"/>
    <w:basedOn w:val="Numatytasispastraiposriftas"/>
    <w:link w:val="Pagrindinistekstas"/>
    <w:uiPriority w:val="99"/>
    <w:rsid w:val="005D554B"/>
    <w:rPr>
      <w:rFonts w:eastAsia="SimSun"/>
      <w:i/>
      <w:color w:val="008000"/>
      <w:sz w:val="22"/>
      <w:lang w:val="en-GB"/>
    </w:rPr>
  </w:style>
  <w:style w:type="paragraph" w:styleId="Pagrindinistekstas2">
    <w:name w:val="Body Text 2"/>
    <w:basedOn w:val="prastasis"/>
    <w:link w:val="Pagrindinistekstas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eastAsia="SimSun"/>
      <w:b/>
      <w:bCs/>
      <w:color w:val="0000FF"/>
      <w:sz w:val="22"/>
      <w:szCs w:val="22"/>
      <w:u w:val="single"/>
      <w:lang w:val="en-GB"/>
    </w:rPr>
  </w:style>
  <w:style w:type="character" w:customStyle="1" w:styleId="Pagrindinistekstas2Diagrama">
    <w:name w:val="Pagrindinis tekstas 2 Diagrama"/>
    <w:basedOn w:val="Numatytasispastraiposriftas"/>
    <w:link w:val="Pagrindinistekstas2"/>
    <w:uiPriority w:val="99"/>
    <w:rsid w:val="005D554B"/>
    <w:rPr>
      <w:rFonts w:eastAsia="SimSun"/>
      <w:b/>
      <w:bCs/>
      <w:color w:val="0000FF"/>
      <w:sz w:val="22"/>
      <w:szCs w:val="22"/>
      <w:u w:val="single"/>
      <w:lang w:val="en-GB"/>
    </w:rPr>
  </w:style>
  <w:style w:type="paragraph" w:customStyle="1" w:styleId="AHeader1">
    <w:name w:val="AHeader 1"/>
    <w:basedOn w:val="prastasis"/>
    <w:uiPriority w:val="99"/>
    <w:rsid w:val="005D554B"/>
    <w:pPr>
      <w:tabs>
        <w:tab w:val="num" w:pos="720"/>
      </w:tabs>
      <w:spacing w:after="120"/>
      <w:ind w:left="284" w:hanging="284"/>
    </w:pPr>
    <w:rPr>
      <w:rFonts w:ascii="Arial" w:eastAsia="SimSun" w:hAnsi="Arial" w:cs="Arial"/>
      <w:b/>
      <w:bCs/>
      <w:lang w:val="en-GB"/>
    </w:rPr>
  </w:style>
  <w:style w:type="paragraph" w:customStyle="1" w:styleId="AHeader2">
    <w:name w:val="AHeader 2"/>
    <w:basedOn w:val="AHeader1"/>
    <w:uiPriority w:val="99"/>
    <w:rsid w:val="005D554B"/>
    <w:pPr>
      <w:tabs>
        <w:tab w:val="clear" w:pos="720"/>
        <w:tab w:val="num" w:pos="360"/>
      </w:tabs>
      <w:ind w:left="709" w:hanging="425"/>
    </w:pPr>
    <w:rPr>
      <w:sz w:val="22"/>
    </w:rPr>
  </w:style>
  <w:style w:type="paragraph" w:customStyle="1" w:styleId="AHeader3">
    <w:name w:val="AHeader 3"/>
    <w:basedOn w:val="AHeader2"/>
    <w:uiPriority w:val="99"/>
    <w:rsid w:val="005D554B"/>
    <w:pPr>
      <w:ind w:left="1276" w:hanging="567"/>
    </w:pPr>
  </w:style>
  <w:style w:type="paragraph" w:customStyle="1" w:styleId="AHeader2abc">
    <w:name w:val="AHeader 2 abc"/>
    <w:basedOn w:val="AHeader3"/>
    <w:uiPriority w:val="99"/>
    <w:rsid w:val="005D554B"/>
    <w:pPr>
      <w:jc w:val="both"/>
    </w:pPr>
    <w:rPr>
      <w:b w:val="0"/>
      <w:bCs w:val="0"/>
    </w:rPr>
  </w:style>
  <w:style w:type="paragraph" w:customStyle="1" w:styleId="AHeader3abc">
    <w:name w:val="AHeader 3 abc"/>
    <w:basedOn w:val="AHeader2abc"/>
    <w:uiPriority w:val="99"/>
    <w:rsid w:val="005D554B"/>
    <w:pPr>
      <w:ind w:left="1701" w:hanging="425"/>
    </w:pPr>
  </w:style>
  <w:style w:type="paragraph" w:styleId="Pagrindiniotekstotrauka3">
    <w:name w:val="Body Text Indent 3"/>
    <w:basedOn w:val="prastasis"/>
    <w:link w:val="Pagrindiniotekstotrauka3Diagrama"/>
    <w:uiPriority w:val="99"/>
    <w:rsid w:val="005D554B"/>
    <w:pPr>
      <w:tabs>
        <w:tab w:val="left" w:pos="567"/>
        <w:tab w:val="left" w:pos="1134"/>
      </w:tabs>
      <w:autoSpaceDE w:val="0"/>
      <w:autoSpaceDN w:val="0"/>
      <w:adjustRightInd w:val="0"/>
      <w:spacing w:line="260" w:lineRule="exact"/>
      <w:ind w:left="633"/>
      <w:jc w:val="both"/>
    </w:pPr>
    <w:rPr>
      <w:rFonts w:eastAsia="SimSun"/>
      <w:sz w:val="22"/>
      <w:szCs w:val="21"/>
      <w:lang w:val="en-GB"/>
    </w:rPr>
  </w:style>
  <w:style w:type="character" w:customStyle="1" w:styleId="Pagrindiniotekstotrauka3Diagrama">
    <w:name w:val="Pagrindinio teksto įtrauka 3 Diagrama"/>
    <w:basedOn w:val="Numatytasispastraiposriftas"/>
    <w:link w:val="Pagrindiniotekstotrauka3"/>
    <w:uiPriority w:val="99"/>
    <w:rsid w:val="005D554B"/>
    <w:rPr>
      <w:rFonts w:eastAsia="SimSun"/>
      <w:sz w:val="22"/>
      <w:szCs w:val="21"/>
      <w:lang w:val="en-GB"/>
    </w:rPr>
  </w:style>
  <w:style w:type="character" w:styleId="Perirtashipersaitas">
    <w:name w:val="FollowedHyperlink"/>
    <w:uiPriority w:val="99"/>
    <w:rsid w:val="005D554B"/>
    <w:rPr>
      <w:rFonts w:cs="Times New Roman"/>
      <w:color w:val="800080"/>
      <w:u w:val="single"/>
    </w:rPr>
  </w:style>
  <w:style w:type="character" w:styleId="Grietas">
    <w:name w:val="Strong"/>
    <w:uiPriority w:val="99"/>
    <w:qFormat/>
    <w:rsid w:val="005D554B"/>
    <w:rPr>
      <w:rFonts w:cs="Times New Roman"/>
      <w:b/>
      <w:bCs/>
    </w:rPr>
  </w:style>
  <w:style w:type="character" w:customStyle="1" w:styleId="BodytextAgencyChar">
    <w:name w:val="Body text (Agency) Char"/>
    <w:link w:val="BodytextAgency"/>
    <w:uiPriority w:val="99"/>
    <w:locked/>
    <w:rsid w:val="005D554B"/>
    <w:rPr>
      <w:rFonts w:ascii="Verdana" w:hAnsi="Verdana"/>
      <w:snapToGrid w:val="0"/>
      <w:sz w:val="18"/>
      <w:lang w:val="en-GB" w:eastAsia="x-none"/>
    </w:rPr>
  </w:style>
  <w:style w:type="table" w:customStyle="1" w:styleId="TablegridAgencyblack">
    <w:name w:val="Table grid (Agency) black"/>
    <w:uiPriority w:val="99"/>
    <w:semiHidden/>
    <w:rsid w:val="005D554B"/>
    <w:rPr>
      <w:rFonts w:ascii="Verdana" w:eastAsia="SimSun" w:hAnsi="Verdana"/>
      <w:sz w:val="18"/>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5D554B"/>
    <w:pPr>
      <w:keepNext/>
    </w:pPr>
    <w:rPr>
      <w:rFonts w:eastAsia="SimSun" w:cs="Verdana"/>
      <w:b/>
      <w:snapToGrid/>
      <w:szCs w:val="18"/>
      <w:lang w:eastAsia="en-GB"/>
    </w:rPr>
  </w:style>
  <w:style w:type="character" w:customStyle="1" w:styleId="NormalAgencyChar">
    <w:name w:val="Normal (Agency) Char"/>
    <w:link w:val="NormalAgency"/>
    <w:uiPriority w:val="99"/>
    <w:locked/>
    <w:rsid w:val="005D554B"/>
    <w:rPr>
      <w:rFonts w:ascii="Verdana" w:hAnsi="Verdana"/>
      <w:snapToGrid w:val="0"/>
      <w:sz w:val="18"/>
      <w:szCs w:val="22"/>
      <w:lang w:val="en-GB" w:eastAsia="lt-LT"/>
    </w:rPr>
  </w:style>
  <w:style w:type="paragraph" w:styleId="Paprastasistekstas">
    <w:name w:val="Plain Text"/>
    <w:basedOn w:val="prastasis"/>
    <w:link w:val="PaprastasistekstasDiagrama"/>
    <w:uiPriority w:val="99"/>
    <w:rsid w:val="005D554B"/>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rsid w:val="005D554B"/>
    <w:rPr>
      <w:rFonts w:ascii="Courier New" w:eastAsia="SimSun" w:hAnsi="Courier New"/>
      <w:sz w:val="20"/>
      <w:lang w:val="en-US"/>
    </w:rPr>
  </w:style>
  <w:style w:type="paragraph" w:customStyle="1" w:styleId="Default">
    <w:name w:val="Default"/>
    <w:rsid w:val="005D554B"/>
    <w:pPr>
      <w:autoSpaceDE w:val="0"/>
      <w:autoSpaceDN w:val="0"/>
      <w:adjustRightInd w:val="0"/>
    </w:pPr>
    <w:rPr>
      <w:rFonts w:eastAsia="SimSun"/>
      <w:color w:val="000000"/>
      <w:szCs w:val="24"/>
      <w:lang w:val="en-US" w:eastAsia="zh-CN"/>
    </w:rPr>
  </w:style>
  <w:style w:type="paragraph" w:styleId="Pavadinimas">
    <w:name w:val="Title"/>
    <w:basedOn w:val="prastasis"/>
    <w:link w:val="PavadinimasDiagrama"/>
    <w:uiPriority w:val="99"/>
    <w:qFormat/>
    <w:rsid w:val="005D554B"/>
    <w:pPr>
      <w:jc w:val="center"/>
    </w:pPr>
    <w:rPr>
      <w:rFonts w:eastAsia="SimSun"/>
      <w:b/>
      <w:sz w:val="22"/>
      <w:lang w:val="en-GB"/>
    </w:rPr>
  </w:style>
  <w:style w:type="character" w:customStyle="1" w:styleId="PavadinimasDiagrama">
    <w:name w:val="Pavadinimas Diagrama"/>
    <w:basedOn w:val="Numatytasispastraiposriftas"/>
    <w:link w:val="Pavadinimas"/>
    <w:uiPriority w:val="99"/>
    <w:rsid w:val="005D554B"/>
    <w:rPr>
      <w:rFonts w:eastAsia="SimSun"/>
      <w:b/>
      <w:sz w:val="22"/>
      <w:lang w:val="en-GB"/>
    </w:rPr>
  </w:style>
  <w:style w:type="paragraph" w:styleId="Dokumentoinaostekstas">
    <w:name w:val="endnote text"/>
    <w:basedOn w:val="prastasis"/>
    <w:link w:val="DokumentoinaostekstasDiagrama"/>
    <w:uiPriority w:val="99"/>
    <w:rsid w:val="005D554B"/>
    <w:pPr>
      <w:tabs>
        <w:tab w:val="left" w:pos="567"/>
      </w:tabs>
    </w:pPr>
    <w:rPr>
      <w:rFonts w:eastAsia="SimSun"/>
      <w:sz w:val="22"/>
      <w:lang w:val="en-GB"/>
    </w:rPr>
  </w:style>
  <w:style w:type="character" w:customStyle="1" w:styleId="DokumentoinaostekstasDiagrama">
    <w:name w:val="Dokumento išnašos tekstas Diagrama"/>
    <w:basedOn w:val="Numatytasispastraiposriftas"/>
    <w:link w:val="Dokumentoinaostekstas"/>
    <w:uiPriority w:val="99"/>
    <w:rsid w:val="005D554B"/>
    <w:rPr>
      <w:rFonts w:eastAsia="SimSun"/>
      <w:sz w:val="22"/>
      <w:lang w:val="en-GB"/>
    </w:rPr>
  </w:style>
  <w:style w:type="paragraph" w:customStyle="1" w:styleId="BTEMEASMCA">
    <w:name w:val="BT EMEA_SMCA"/>
    <w:basedOn w:val="prastasis"/>
    <w:link w:val="BTEMEASMCAChar"/>
    <w:autoRedefine/>
    <w:uiPriority w:val="99"/>
    <w:rsid w:val="005D554B"/>
    <w:rPr>
      <w:rFonts w:eastAsia="SimSun"/>
      <w:noProof/>
      <w:sz w:val="20"/>
      <w:lang w:val="x-none" w:eastAsia="x-none"/>
    </w:rPr>
  </w:style>
  <w:style w:type="character" w:customStyle="1" w:styleId="BTEMEASMCAChar">
    <w:name w:val="BT EMEA_SMCA Char"/>
    <w:link w:val="BTEMEASMCA"/>
    <w:uiPriority w:val="99"/>
    <w:locked/>
    <w:rsid w:val="005D554B"/>
    <w:rPr>
      <w:rFonts w:eastAsia="SimSun"/>
      <w:noProof/>
      <w:sz w:val="20"/>
      <w:lang w:val="x-none" w:eastAsia="x-none"/>
    </w:rPr>
  </w:style>
  <w:style w:type="character" w:customStyle="1" w:styleId="CharChar12">
    <w:name w:val="Char Char12"/>
    <w:locked/>
    <w:rsid w:val="005D554B"/>
    <w:rPr>
      <w:snapToGrid w:val="0"/>
      <w:lang w:val="en-GB" w:eastAsia="en-US" w:bidi="ar-SA"/>
    </w:rPr>
  </w:style>
  <w:style w:type="table" w:styleId="Lentelstinklelis">
    <w:name w:val="Table Grid"/>
    <w:basedOn w:val="prastojilentel"/>
    <w:rsid w:val="004A3A17"/>
    <w:rPr>
      <w:rFonts w:eastAsia="SimSun"/>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rsid w:val="0014133D"/>
    <w:pPr>
      <w:ind w:left="720"/>
      <w:contextualSpacing/>
    </w:pPr>
  </w:style>
  <w:style w:type="paragraph" w:customStyle="1" w:styleId="TableParagraph">
    <w:name w:val="Table Paragraph"/>
    <w:basedOn w:val="prastasis"/>
    <w:uiPriority w:val="1"/>
    <w:qFormat/>
    <w:rsid w:val="00B47D5B"/>
    <w:pPr>
      <w:widowControl w:val="0"/>
      <w:autoSpaceDE w:val="0"/>
      <w:autoSpaceDN w:val="0"/>
      <w:spacing w:before="7"/>
      <w:ind w:left="98"/>
    </w:pPr>
    <w:rPr>
      <w:rFonts w:ascii="Arial" w:eastAsia="Arial"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57077443">
      <w:bodyDiv w:val="1"/>
      <w:marLeft w:val="0"/>
      <w:marRight w:val="0"/>
      <w:marTop w:val="0"/>
      <w:marBottom w:val="0"/>
      <w:divBdr>
        <w:top w:val="none" w:sz="0" w:space="0" w:color="auto"/>
        <w:left w:val="none" w:sz="0" w:space="0" w:color="auto"/>
        <w:bottom w:val="none" w:sz="0" w:space="0" w:color="auto"/>
        <w:right w:val="none" w:sz="0" w:space="0" w:color="auto"/>
      </w:divBdr>
    </w:div>
    <w:div w:id="1886528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image" Target="media/image4.png"/><Relationship Id="rId18" Type="http://schemas.openxmlformats.org/officeDocument/2006/relationships/footer" Target="footer1.xml"/><Relationship Id="rId26" Type="http://schemas.openxmlformats.org/officeDocument/2006/relationships/hyperlink" Target="https://vapris.vvkt.lt/vvkt-web/public/nrv"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5" Type="http://schemas.openxmlformats.org/officeDocument/2006/relationships/hyperlink" Target="https://vapris.vvkt.lt/vvkt-web/public/medications"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s://vapris.vvkt.lt/vvkt-web/public/medica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mailto:NepageidaujamaR@vvkt.lt" TargetMode="External"/><Relationship Id="rId5" Type="http://schemas.openxmlformats.org/officeDocument/2006/relationships/webSettings" Target="webSettings.xml"/><Relationship Id="rId15" Type="http://schemas.openxmlformats.org/officeDocument/2006/relationships/hyperlink" Target="https://vapris.vvkt.lt/vvkt-web/public/medications" TargetMode="External"/><Relationship Id="rId23" Type="http://schemas.openxmlformats.org/officeDocument/2006/relationships/hyperlink" Target="https://www.vvkt.lt/index.php?4004286486" TargetMode="External"/><Relationship Id="rId28" Type="http://schemas.openxmlformats.org/officeDocument/2006/relationships/hyperlink" Target="mailto:NepageidaujamaR@vvkt.lt" TargetMode="External"/><Relationship Id="rId10" Type="http://schemas.openxmlformats.org/officeDocument/2006/relationships/image" Target="media/image1.png"/><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image" Target="media/image5.png"/><Relationship Id="rId22" Type="http://schemas.openxmlformats.org/officeDocument/2006/relationships/hyperlink" Target="https://vapris.vvkt.lt/vvkt-web/public/nrv" TargetMode="External"/><Relationship Id="rId27" Type="http://schemas.openxmlformats.org/officeDocument/2006/relationships/hyperlink" Target="https://www.vvkt.lt/index.php?4004286486"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19B09-38C6-4C3E-917F-5BBB48B9C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57</Pages>
  <Words>16232</Words>
  <Characters>109576</Characters>
  <Application>Microsoft Office Word</Application>
  <DocSecurity>0</DocSecurity>
  <Lines>913</Lines>
  <Paragraphs>251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125557</CharactersWithSpaces>
  <SharedDoc>false</SharedDoc>
  <HyperlinkBase/>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Eglė Mažuolienė</dc:creator>
  <cp:lastModifiedBy>Albina Burkauskaitė</cp:lastModifiedBy>
  <cp:revision>4</cp:revision>
  <cp:lastPrinted>2016-12-22T10:29:00Z</cp:lastPrinted>
  <dcterms:created xsi:type="dcterms:W3CDTF">2025-03-05T11:48:00Z</dcterms:created>
  <dcterms:modified xsi:type="dcterms:W3CDTF">2025-03-05T11:53:00Z</dcterms:modified>
</cp:coreProperties>
</file>