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71205E" w14:textId="77777777" w:rsidR="005D554B" w:rsidRPr="00BF4AB8" w:rsidRDefault="005D554B" w:rsidP="00D762D9">
      <w:pPr>
        <w:tabs>
          <w:tab w:val="left" w:pos="-1440"/>
          <w:tab w:val="left" w:pos="-720"/>
          <w:tab w:val="left" w:pos="567"/>
        </w:tabs>
        <w:spacing w:line="260" w:lineRule="exact"/>
        <w:rPr>
          <w:b/>
          <w:snapToGrid w:val="0"/>
          <w:sz w:val="22"/>
        </w:rPr>
      </w:pPr>
      <w:bookmarkStart w:id="0" w:name="_GoBack"/>
      <w:bookmarkEnd w:id="0"/>
    </w:p>
    <w:p w14:paraId="6A9E7D43" w14:textId="77777777" w:rsidR="006B65E9" w:rsidRPr="00BF4AB8" w:rsidRDefault="006B65E9" w:rsidP="00D762D9">
      <w:pPr>
        <w:tabs>
          <w:tab w:val="left" w:pos="-1440"/>
          <w:tab w:val="left" w:pos="-720"/>
          <w:tab w:val="left" w:pos="567"/>
        </w:tabs>
        <w:spacing w:line="260" w:lineRule="exact"/>
        <w:rPr>
          <w:b/>
          <w:snapToGrid w:val="0"/>
          <w:sz w:val="22"/>
        </w:rPr>
      </w:pPr>
    </w:p>
    <w:p w14:paraId="58737BA7" w14:textId="77777777" w:rsidR="006B65E9" w:rsidRPr="00BF4AB8" w:rsidRDefault="006B65E9" w:rsidP="00D762D9">
      <w:pPr>
        <w:tabs>
          <w:tab w:val="left" w:pos="-1440"/>
          <w:tab w:val="left" w:pos="-720"/>
          <w:tab w:val="left" w:pos="567"/>
        </w:tabs>
        <w:spacing w:line="260" w:lineRule="exact"/>
        <w:rPr>
          <w:b/>
          <w:snapToGrid w:val="0"/>
          <w:sz w:val="22"/>
        </w:rPr>
      </w:pPr>
    </w:p>
    <w:p w14:paraId="10B9FE9C" w14:textId="77777777" w:rsidR="006B65E9" w:rsidRPr="00BF4AB8" w:rsidRDefault="006B65E9" w:rsidP="00D762D9">
      <w:pPr>
        <w:tabs>
          <w:tab w:val="left" w:pos="-1440"/>
          <w:tab w:val="left" w:pos="-720"/>
          <w:tab w:val="left" w:pos="567"/>
        </w:tabs>
        <w:spacing w:line="260" w:lineRule="exact"/>
        <w:rPr>
          <w:b/>
          <w:snapToGrid w:val="0"/>
          <w:sz w:val="22"/>
        </w:rPr>
      </w:pPr>
    </w:p>
    <w:p w14:paraId="4635BB2B" w14:textId="77777777" w:rsidR="006B65E9" w:rsidRPr="00BF4AB8" w:rsidRDefault="006B65E9" w:rsidP="00D762D9">
      <w:pPr>
        <w:tabs>
          <w:tab w:val="left" w:pos="-1440"/>
          <w:tab w:val="left" w:pos="-720"/>
          <w:tab w:val="left" w:pos="567"/>
        </w:tabs>
        <w:spacing w:line="260" w:lineRule="exact"/>
        <w:rPr>
          <w:b/>
          <w:snapToGrid w:val="0"/>
          <w:sz w:val="22"/>
        </w:rPr>
      </w:pPr>
    </w:p>
    <w:p w14:paraId="39F38EA4" w14:textId="77777777" w:rsidR="005D554B" w:rsidRPr="00BF4AB8" w:rsidRDefault="005D554B" w:rsidP="005D554B">
      <w:pPr>
        <w:tabs>
          <w:tab w:val="left" w:pos="-1440"/>
          <w:tab w:val="left" w:pos="-720"/>
          <w:tab w:val="left" w:pos="567"/>
        </w:tabs>
        <w:spacing w:line="260" w:lineRule="exact"/>
        <w:rPr>
          <w:b/>
          <w:snapToGrid w:val="0"/>
          <w:sz w:val="22"/>
        </w:rPr>
      </w:pPr>
    </w:p>
    <w:p w14:paraId="4FB3F0E9" w14:textId="77777777" w:rsidR="005D554B" w:rsidRPr="00BF4AB8" w:rsidRDefault="005D554B" w:rsidP="005D554B">
      <w:pPr>
        <w:tabs>
          <w:tab w:val="left" w:pos="-1440"/>
          <w:tab w:val="left" w:pos="-720"/>
          <w:tab w:val="left" w:pos="567"/>
        </w:tabs>
        <w:spacing w:line="260" w:lineRule="exact"/>
        <w:rPr>
          <w:b/>
          <w:snapToGrid w:val="0"/>
          <w:sz w:val="22"/>
        </w:rPr>
      </w:pPr>
    </w:p>
    <w:p w14:paraId="452DF17D" w14:textId="77777777" w:rsidR="005D554B" w:rsidRPr="00BF4AB8" w:rsidRDefault="005D554B" w:rsidP="005D554B">
      <w:pPr>
        <w:tabs>
          <w:tab w:val="left" w:pos="-1440"/>
          <w:tab w:val="left" w:pos="-720"/>
          <w:tab w:val="left" w:pos="567"/>
        </w:tabs>
        <w:spacing w:line="260" w:lineRule="exact"/>
        <w:rPr>
          <w:b/>
          <w:snapToGrid w:val="0"/>
          <w:sz w:val="22"/>
        </w:rPr>
      </w:pPr>
    </w:p>
    <w:p w14:paraId="0E960FE5" w14:textId="77777777" w:rsidR="005D554B" w:rsidRPr="00BF4AB8" w:rsidRDefault="005D554B" w:rsidP="005D554B">
      <w:pPr>
        <w:tabs>
          <w:tab w:val="left" w:pos="-1440"/>
          <w:tab w:val="left" w:pos="-720"/>
          <w:tab w:val="left" w:pos="567"/>
        </w:tabs>
        <w:spacing w:line="260" w:lineRule="exact"/>
        <w:rPr>
          <w:b/>
          <w:snapToGrid w:val="0"/>
          <w:sz w:val="22"/>
        </w:rPr>
      </w:pPr>
    </w:p>
    <w:p w14:paraId="2DEC829C" w14:textId="77777777" w:rsidR="005D554B" w:rsidRPr="00BF4AB8" w:rsidRDefault="005D554B" w:rsidP="005D554B">
      <w:pPr>
        <w:tabs>
          <w:tab w:val="left" w:pos="-1440"/>
          <w:tab w:val="left" w:pos="-720"/>
          <w:tab w:val="left" w:pos="567"/>
        </w:tabs>
        <w:spacing w:line="260" w:lineRule="exact"/>
        <w:rPr>
          <w:b/>
          <w:snapToGrid w:val="0"/>
          <w:sz w:val="22"/>
        </w:rPr>
      </w:pPr>
    </w:p>
    <w:p w14:paraId="655B59E9" w14:textId="77777777" w:rsidR="005D554B" w:rsidRPr="00BF4AB8" w:rsidRDefault="005D554B" w:rsidP="005D554B">
      <w:pPr>
        <w:tabs>
          <w:tab w:val="left" w:pos="-1440"/>
          <w:tab w:val="left" w:pos="-720"/>
          <w:tab w:val="left" w:pos="567"/>
        </w:tabs>
        <w:spacing w:line="260" w:lineRule="exact"/>
        <w:rPr>
          <w:b/>
          <w:snapToGrid w:val="0"/>
          <w:sz w:val="22"/>
        </w:rPr>
      </w:pPr>
    </w:p>
    <w:p w14:paraId="7C95252B" w14:textId="77777777" w:rsidR="005D554B" w:rsidRPr="00BF4AB8" w:rsidRDefault="005D554B" w:rsidP="005D554B">
      <w:pPr>
        <w:tabs>
          <w:tab w:val="left" w:pos="-1440"/>
          <w:tab w:val="left" w:pos="-720"/>
          <w:tab w:val="left" w:pos="567"/>
        </w:tabs>
        <w:spacing w:line="260" w:lineRule="exact"/>
        <w:rPr>
          <w:b/>
          <w:snapToGrid w:val="0"/>
          <w:sz w:val="22"/>
        </w:rPr>
      </w:pPr>
    </w:p>
    <w:p w14:paraId="00BFE78C" w14:textId="77777777" w:rsidR="005D554B" w:rsidRPr="00BF4AB8" w:rsidRDefault="005D554B" w:rsidP="005D554B">
      <w:pPr>
        <w:tabs>
          <w:tab w:val="left" w:pos="-1440"/>
          <w:tab w:val="left" w:pos="-720"/>
          <w:tab w:val="left" w:pos="567"/>
        </w:tabs>
        <w:spacing w:line="260" w:lineRule="exact"/>
        <w:rPr>
          <w:b/>
          <w:snapToGrid w:val="0"/>
          <w:sz w:val="22"/>
        </w:rPr>
      </w:pPr>
    </w:p>
    <w:p w14:paraId="5D22A253" w14:textId="77777777" w:rsidR="005D554B" w:rsidRPr="00BF4AB8" w:rsidRDefault="005D554B" w:rsidP="005D554B">
      <w:pPr>
        <w:tabs>
          <w:tab w:val="left" w:pos="-1440"/>
          <w:tab w:val="left" w:pos="-720"/>
          <w:tab w:val="left" w:pos="567"/>
        </w:tabs>
        <w:spacing w:line="260" w:lineRule="exact"/>
        <w:rPr>
          <w:b/>
          <w:snapToGrid w:val="0"/>
          <w:sz w:val="22"/>
        </w:rPr>
      </w:pPr>
    </w:p>
    <w:p w14:paraId="14BA3A66" w14:textId="77777777" w:rsidR="005D554B" w:rsidRPr="00BF4AB8" w:rsidRDefault="005D554B" w:rsidP="005D554B">
      <w:pPr>
        <w:tabs>
          <w:tab w:val="left" w:pos="-1440"/>
          <w:tab w:val="left" w:pos="-720"/>
          <w:tab w:val="left" w:pos="567"/>
        </w:tabs>
        <w:spacing w:line="260" w:lineRule="exact"/>
        <w:rPr>
          <w:b/>
          <w:snapToGrid w:val="0"/>
          <w:sz w:val="22"/>
        </w:rPr>
      </w:pPr>
    </w:p>
    <w:p w14:paraId="475F1DBE" w14:textId="77777777" w:rsidR="005D554B" w:rsidRPr="00BF4AB8" w:rsidRDefault="005D554B" w:rsidP="005D554B">
      <w:pPr>
        <w:tabs>
          <w:tab w:val="left" w:pos="-1440"/>
          <w:tab w:val="left" w:pos="-720"/>
          <w:tab w:val="left" w:pos="567"/>
        </w:tabs>
        <w:spacing w:line="260" w:lineRule="exact"/>
        <w:rPr>
          <w:b/>
          <w:snapToGrid w:val="0"/>
          <w:sz w:val="22"/>
        </w:rPr>
      </w:pPr>
    </w:p>
    <w:p w14:paraId="2704CED4" w14:textId="77777777" w:rsidR="005D554B" w:rsidRPr="00BF4AB8" w:rsidRDefault="005D554B" w:rsidP="005D554B">
      <w:pPr>
        <w:tabs>
          <w:tab w:val="left" w:pos="-1440"/>
          <w:tab w:val="left" w:pos="-720"/>
          <w:tab w:val="left" w:pos="567"/>
        </w:tabs>
        <w:spacing w:line="260" w:lineRule="exact"/>
        <w:rPr>
          <w:b/>
          <w:snapToGrid w:val="0"/>
          <w:sz w:val="22"/>
        </w:rPr>
      </w:pPr>
    </w:p>
    <w:p w14:paraId="7E7F5575" w14:textId="77777777" w:rsidR="005D554B" w:rsidRPr="00BF4AB8" w:rsidRDefault="005D554B" w:rsidP="005D554B">
      <w:pPr>
        <w:tabs>
          <w:tab w:val="left" w:pos="-1440"/>
          <w:tab w:val="left" w:pos="-720"/>
          <w:tab w:val="left" w:pos="567"/>
        </w:tabs>
        <w:spacing w:line="260" w:lineRule="exact"/>
        <w:rPr>
          <w:b/>
          <w:snapToGrid w:val="0"/>
          <w:sz w:val="22"/>
        </w:rPr>
      </w:pPr>
    </w:p>
    <w:p w14:paraId="75FE5D6A" w14:textId="77777777" w:rsidR="005D554B" w:rsidRPr="00BF4AB8" w:rsidRDefault="005D554B" w:rsidP="005D554B">
      <w:pPr>
        <w:tabs>
          <w:tab w:val="left" w:pos="-1440"/>
          <w:tab w:val="left" w:pos="-720"/>
          <w:tab w:val="left" w:pos="567"/>
        </w:tabs>
        <w:spacing w:line="260" w:lineRule="exact"/>
        <w:rPr>
          <w:b/>
          <w:snapToGrid w:val="0"/>
          <w:sz w:val="22"/>
        </w:rPr>
      </w:pPr>
    </w:p>
    <w:p w14:paraId="3A52ABB6" w14:textId="77777777" w:rsidR="005D554B" w:rsidRPr="00BF4AB8" w:rsidRDefault="005D554B" w:rsidP="005D554B">
      <w:pPr>
        <w:tabs>
          <w:tab w:val="left" w:pos="-1440"/>
          <w:tab w:val="left" w:pos="-720"/>
          <w:tab w:val="left" w:pos="567"/>
        </w:tabs>
        <w:spacing w:line="260" w:lineRule="exact"/>
        <w:rPr>
          <w:b/>
          <w:snapToGrid w:val="0"/>
          <w:sz w:val="22"/>
        </w:rPr>
      </w:pPr>
    </w:p>
    <w:p w14:paraId="109236DE" w14:textId="77777777" w:rsidR="005D554B" w:rsidRPr="00BF4AB8" w:rsidRDefault="005D554B" w:rsidP="005D554B">
      <w:pPr>
        <w:keepNext/>
        <w:tabs>
          <w:tab w:val="left" w:pos="567"/>
        </w:tabs>
        <w:jc w:val="center"/>
        <w:outlineLvl w:val="1"/>
        <w:rPr>
          <w:b/>
          <w:snapToGrid w:val="0"/>
          <w:sz w:val="22"/>
          <w:szCs w:val="24"/>
          <w:lang w:eastAsia="x-none"/>
        </w:rPr>
      </w:pPr>
      <w:r w:rsidRPr="00BF4AB8">
        <w:rPr>
          <w:b/>
          <w:bCs/>
          <w:iCs/>
          <w:snapToGrid w:val="0"/>
          <w:sz w:val="22"/>
          <w:szCs w:val="28"/>
          <w:lang w:eastAsia="x-none"/>
        </w:rPr>
        <w:t>I PRIEDAS</w:t>
      </w:r>
    </w:p>
    <w:p w14:paraId="544F9CA4" w14:textId="77777777" w:rsidR="005D554B" w:rsidRPr="00BF4AB8" w:rsidRDefault="005D554B" w:rsidP="005D554B">
      <w:pPr>
        <w:tabs>
          <w:tab w:val="left" w:pos="567"/>
        </w:tabs>
        <w:rPr>
          <w:snapToGrid w:val="0"/>
          <w:sz w:val="22"/>
          <w:szCs w:val="24"/>
        </w:rPr>
      </w:pPr>
    </w:p>
    <w:p w14:paraId="0D39300D" w14:textId="77777777" w:rsidR="005D554B" w:rsidRPr="00BF4AB8" w:rsidRDefault="005D554B" w:rsidP="005D554B">
      <w:pPr>
        <w:tabs>
          <w:tab w:val="left" w:pos="-1440"/>
          <w:tab w:val="left" w:pos="-720"/>
          <w:tab w:val="left" w:pos="567"/>
        </w:tabs>
        <w:spacing w:line="260" w:lineRule="exact"/>
        <w:jc w:val="center"/>
        <w:rPr>
          <w:b/>
          <w:snapToGrid w:val="0"/>
          <w:sz w:val="22"/>
        </w:rPr>
      </w:pPr>
      <w:r w:rsidRPr="00BF4AB8">
        <w:rPr>
          <w:b/>
          <w:snapToGrid w:val="0"/>
          <w:sz w:val="22"/>
        </w:rPr>
        <w:t>PREPARATO CHARAKTERISTIKŲ SANTRAUKA</w:t>
      </w:r>
    </w:p>
    <w:p w14:paraId="65F5087C" w14:textId="77777777" w:rsidR="005D554B" w:rsidRPr="00BF4AB8" w:rsidRDefault="005D554B" w:rsidP="005D554B">
      <w:pPr>
        <w:tabs>
          <w:tab w:val="left" w:pos="-1440"/>
          <w:tab w:val="left" w:pos="-720"/>
          <w:tab w:val="left" w:pos="567"/>
        </w:tabs>
        <w:spacing w:line="260" w:lineRule="exact"/>
        <w:jc w:val="center"/>
        <w:rPr>
          <w:snapToGrid w:val="0"/>
          <w:sz w:val="22"/>
        </w:rPr>
      </w:pPr>
      <w:r w:rsidRPr="00BF4AB8">
        <w:rPr>
          <w:snapToGrid w:val="0"/>
          <w:sz w:val="22"/>
          <w:lang w:eastAsia="zh-CN"/>
        </w:rPr>
        <w:br w:type="page"/>
      </w:r>
    </w:p>
    <w:p w14:paraId="21CA2D7E" w14:textId="77777777" w:rsidR="005D554B" w:rsidRPr="00BF4AB8" w:rsidRDefault="005D554B" w:rsidP="005D554B">
      <w:pPr>
        <w:tabs>
          <w:tab w:val="left" w:pos="567"/>
        </w:tabs>
        <w:spacing w:line="260" w:lineRule="exact"/>
        <w:rPr>
          <w:snapToGrid w:val="0"/>
          <w:sz w:val="22"/>
          <w:szCs w:val="24"/>
        </w:rPr>
      </w:pPr>
    </w:p>
    <w:p w14:paraId="643FFECE" w14:textId="77777777" w:rsidR="005D554B" w:rsidRPr="00BF4AB8" w:rsidRDefault="005D554B" w:rsidP="005D554B">
      <w:pPr>
        <w:keepNext/>
        <w:keepLines/>
        <w:tabs>
          <w:tab w:val="left" w:pos="567"/>
        </w:tabs>
        <w:outlineLvl w:val="2"/>
        <w:rPr>
          <w:b/>
          <w:bCs/>
          <w:snapToGrid w:val="0"/>
          <w:sz w:val="22"/>
          <w:szCs w:val="22"/>
          <w:lang w:eastAsia="x-none"/>
        </w:rPr>
      </w:pPr>
      <w:r w:rsidRPr="00BF4AB8">
        <w:rPr>
          <w:b/>
          <w:bCs/>
          <w:snapToGrid w:val="0"/>
          <w:sz w:val="22"/>
          <w:szCs w:val="22"/>
          <w:lang w:eastAsia="x-none"/>
        </w:rPr>
        <w:t>1.</w:t>
      </w:r>
      <w:r w:rsidRPr="00BF4AB8">
        <w:rPr>
          <w:b/>
          <w:bCs/>
          <w:snapToGrid w:val="0"/>
          <w:sz w:val="22"/>
          <w:szCs w:val="26"/>
          <w:lang w:eastAsia="x-none"/>
        </w:rPr>
        <w:tab/>
      </w:r>
      <w:r w:rsidRPr="00BF4AB8">
        <w:rPr>
          <w:b/>
          <w:bCs/>
          <w:snapToGrid w:val="0"/>
          <w:sz w:val="22"/>
          <w:szCs w:val="22"/>
          <w:lang w:eastAsia="x-none"/>
        </w:rPr>
        <w:t>VAISTINIO PREPARATO PAVADINIMAS</w:t>
      </w:r>
    </w:p>
    <w:p w14:paraId="061F2258" w14:textId="77777777" w:rsidR="005D554B" w:rsidRPr="00BF4AB8" w:rsidRDefault="005D554B" w:rsidP="005D554B">
      <w:pPr>
        <w:tabs>
          <w:tab w:val="left" w:pos="567"/>
        </w:tabs>
        <w:spacing w:line="260" w:lineRule="exact"/>
        <w:rPr>
          <w:snapToGrid w:val="0"/>
          <w:sz w:val="22"/>
          <w:szCs w:val="22"/>
        </w:rPr>
      </w:pPr>
    </w:p>
    <w:p w14:paraId="28371565" w14:textId="3243F71F" w:rsidR="00D762D9" w:rsidRPr="00BF4AB8" w:rsidRDefault="00D762D9" w:rsidP="00D762D9">
      <w:pPr>
        <w:rPr>
          <w:sz w:val="22"/>
          <w:szCs w:val="22"/>
        </w:rPr>
      </w:pPr>
      <w:proofErr w:type="spellStart"/>
      <w:r w:rsidRPr="00BF4AB8">
        <w:rPr>
          <w:sz w:val="22"/>
          <w:szCs w:val="22"/>
        </w:rPr>
        <w:t>Nytyka</w:t>
      </w:r>
      <w:proofErr w:type="spellEnd"/>
      <w:r w:rsidRPr="00BF4AB8">
        <w:rPr>
          <w:sz w:val="22"/>
          <w:szCs w:val="22"/>
        </w:rPr>
        <w:t xml:space="preserve"> 100</w:t>
      </w:r>
      <w:r w:rsidR="00AC48E9" w:rsidRPr="00BF4AB8">
        <w:rPr>
          <w:sz w:val="22"/>
          <w:szCs w:val="22"/>
        </w:rPr>
        <w:t> mg</w:t>
      </w:r>
      <w:r w:rsidRPr="00BF4AB8">
        <w:rPr>
          <w:sz w:val="22"/>
          <w:szCs w:val="22"/>
        </w:rPr>
        <w:t xml:space="preserve"> minkštosios kapsulės</w:t>
      </w:r>
    </w:p>
    <w:p w14:paraId="643C98BC" w14:textId="74DBA1B0" w:rsidR="00D762D9" w:rsidRPr="00BF4AB8" w:rsidRDefault="00D762D9" w:rsidP="00D762D9">
      <w:pPr>
        <w:rPr>
          <w:iCs/>
          <w:sz w:val="22"/>
          <w:szCs w:val="22"/>
        </w:rPr>
      </w:pPr>
      <w:proofErr w:type="spellStart"/>
      <w:r w:rsidRPr="00BF4AB8">
        <w:rPr>
          <w:sz w:val="22"/>
          <w:szCs w:val="22"/>
        </w:rPr>
        <w:t>Nytyka</w:t>
      </w:r>
      <w:proofErr w:type="spellEnd"/>
      <w:r w:rsidRPr="00BF4AB8">
        <w:rPr>
          <w:sz w:val="22"/>
          <w:szCs w:val="22"/>
        </w:rPr>
        <w:t xml:space="preserve"> 150</w:t>
      </w:r>
      <w:r w:rsidR="00AC48E9" w:rsidRPr="00BF4AB8">
        <w:rPr>
          <w:sz w:val="22"/>
          <w:szCs w:val="22"/>
        </w:rPr>
        <w:t> mg</w:t>
      </w:r>
      <w:r w:rsidRPr="00BF4AB8">
        <w:rPr>
          <w:sz w:val="22"/>
          <w:szCs w:val="22"/>
        </w:rPr>
        <w:t xml:space="preserve"> minkštosios kapsulės</w:t>
      </w:r>
    </w:p>
    <w:p w14:paraId="75301FA9" w14:textId="77777777" w:rsidR="005D554B" w:rsidRPr="00BF4AB8" w:rsidRDefault="005D554B" w:rsidP="005D554B">
      <w:pPr>
        <w:tabs>
          <w:tab w:val="left" w:pos="567"/>
        </w:tabs>
        <w:spacing w:line="260" w:lineRule="exact"/>
        <w:rPr>
          <w:snapToGrid w:val="0"/>
          <w:sz w:val="22"/>
          <w:szCs w:val="22"/>
        </w:rPr>
      </w:pPr>
    </w:p>
    <w:p w14:paraId="523B7D92" w14:textId="77777777" w:rsidR="005D554B" w:rsidRPr="00BF4AB8" w:rsidRDefault="005D554B" w:rsidP="005D554B">
      <w:pPr>
        <w:tabs>
          <w:tab w:val="left" w:pos="567"/>
        </w:tabs>
        <w:spacing w:line="260" w:lineRule="exact"/>
        <w:rPr>
          <w:snapToGrid w:val="0"/>
          <w:sz w:val="22"/>
          <w:szCs w:val="22"/>
        </w:rPr>
      </w:pPr>
    </w:p>
    <w:p w14:paraId="4F4D2886" w14:textId="77777777" w:rsidR="005D554B" w:rsidRPr="00BF4AB8" w:rsidRDefault="005D554B" w:rsidP="005D554B">
      <w:pPr>
        <w:keepNext/>
        <w:keepLines/>
        <w:tabs>
          <w:tab w:val="left" w:pos="567"/>
        </w:tabs>
        <w:outlineLvl w:val="2"/>
        <w:rPr>
          <w:b/>
          <w:bCs/>
          <w:snapToGrid w:val="0"/>
          <w:sz w:val="22"/>
          <w:szCs w:val="26"/>
          <w:lang w:eastAsia="x-none"/>
        </w:rPr>
      </w:pPr>
      <w:r w:rsidRPr="00BF4AB8">
        <w:rPr>
          <w:b/>
          <w:bCs/>
          <w:snapToGrid w:val="0"/>
          <w:sz w:val="22"/>
          <w:szCs w:val="26"/>
          <w:lang w:eastAsia="x-none"/>
        </w:rPr>
        <w:t>2.</w:t>
      </w:r>
      <w:r w:rsidRPr="00BF4AB8">
        <w:rPr>
          <w:b/>
          <w:bCs/>
          <w:snapToGrid w:val="0"/>
          <w:sz w:val="22"/>
          <w:szCs w:val="26"/>
          <w:lang w:eastAsia="x-none"/>
        </w:rPr>
        <w:tab/>
        <w:t>KOKYBINĖ IR KIEKYBINĖ SUDĖTIS</w:t>
      </w:r>
    </w:p>
    <w:p w14:paraId="5E187864" w14:textId="77777777" w:rsidR="005D554B" w:rsidRPr="00BF4AB8" w:rsidRDefault="005D554B" w:rsidP="005D554B">
      <w:pPr>
        <w:tabs>
          <w:tab w:val="left" w:pos="567"/>
        </w:tabs>
        <w:spacing w:line="260" w:lineRule="exact"/>
        <w:rPr>
          <w:snapToGrid w:val="0"/>
          <w:sz w:val="22"/>
          <w:szCs w:val="24"/>
        </w:rPr>
      </w:pPr>
    </w:p>
    <w:p w14:paraId="5BBB4585" w14:textId="527927A8" w:rsidR="00FE062F" w:rsidRPr="00BF4AB8" w:rsidRDefault="00FE062F" w:rsidP="00FE062F">
      <w:pPr>
        <w:keepNext/>
        <w:keepLines/>
        <w:tabs>
          <w:tab w:val="left" w:pos="567"/>
        </w:tabs>
        <w:rPr>
          <w:i/>
          <w:sz w:val="22"/>
          <w:u w:val="single"/>
        </w:rPr>
      </w:pPr>
      <w:proofErr w:type="spellStart"/>
      <w:r w:rsidRPr="00BF4AB8">
        <w:rPr>
          <w:i/>
          <w:sz w:val="22"/>
          <w:u w:val="single"/>
        </w:rPr>
        <w:t>Nytyka</w:t>
      </w:r>
      <w:proofErr w:type="spellEnd"/>
      <w:r w:rsidRPr="00BF4AB8">
        <w:rPr>
          <w:i/>
          <w:sz w:val="22"/>
          <w:u w:val="single"/>
        </w:rPr>
        <w:t xml:space="preserve"> 100</w:t>
      </w:r>
      <w:r w:rsidR="00AC48E9" w:rsidRPr="00BF4AB8">
        <w:rPr>
          <w:i/>
          <w:sz w:val="22"/>
          <w:u w:val="single"/>
        </w:rPr>
        <w:t> mg</w:t>
      </w:r>
      <w:r w:rsidRPr="00BF4AB8">
        <w:rPr>
          <w:i/>
          <w:sz w:val="22"/>
          <w:u w:val="single"/>
        </w:rPr>
        <w:t xml:space="preserve"> minkštosios kapsulės</w:t>
      </w:r>
    </w:p>
    <w:p w14:paraId="3A66F2A2" w14:textId="6A4598BD" w:rsidR="00FE062F" w:rsidRPr="00BF4AB8" w:rsidRDefault="00FE062F" w:rsidP="00FE062F">
      <w:pPr>
        <w:tabs>
          <w:tab w:val="left" w:pos="567"/>
        </w:tabs>
        <w:rPr>
          <w:sz w:val="22"/>
        </w:rPr>
      </w:pPr>
      <w:r w:rsidRPr="00BF4AB8">
        <w:rPr>
          <w:sz w:val="22"/>
        </w:rPr>
        <w:t xml:space="preserve">Kiekvienoje minkštojoje kapsulėje yra </w:t>
      </w:r>
      <w:proofErr w:type="spellStart"/>
      <w:r w:rsidRPr="00BF4AB8">
        <w:rPr>
          <w:sz w:val="22"/>
        </w:rPr>
        <w:t>nintedanibo</w:t>
      </w:r>
      <w:proofErr w:type="spellEnd"/>
      <w:r w:rsidRPr="00BF4AB8">
        <w:rPr>
          <w:sz w:val="22"/>
        </w:rPr>
        <w:t xml:space="preserve"> </w:t>
      </w:r>
      <w:proofErr w:type="spellStart"/>
      <w:r w:rsidRPr="00BF4AB8">
        <w:rPr>
          <w:sz w:val="22"/>
        </w:rPr>
        <w:t>esilato</w:t>
      </w:r>
      <w:proofErr w:type="spellEnd"/>
      <w:r w:rsidRPr="00BF4AB8">
        <w:rPr>
          <w:sz w:val="22"/>
        </w:rPr>
        <w:t>, atitinkančio 100</w:t>
      </w:r>
      <w:r w:rsidR="00AC48E9" w:rsidRPr="00BF4AB8">
        <w:rPr>
          <w:sz w:val="22"/>
        </w:rPr>
        <w:t> mg</w:t>
      </w:r>
      <w:r w:rsidRPr="00BF4AB8">
        <w:rPr>
          <w:sz w:val="22"/>
        </w:rPr>
        <w:t xml:space="preserve"> </w:t>
      </w:r>
      <w:proofErr w:type="spellStart"/>
      <w:r w:rsidRPr="00BF4AB8">
        <w:rPr>
          <w:sz w:val="22"/>
        </w:rPr>
        <w:t>nintedanibo</w:t>
      </w:r>
      <w:proofErr w:type="spellEnd"/>
      <w:r w:rsidRPr="00BF4AB8">
        <w:rPr>
          <w:sz w:val="22"/>
        </w:rPr>
        <w:t>.</w:t>
      </w:r>
    </w:p>
    <w:p w14:paraId="1A76F93C" w14:textId="77777777" w:rsidR="00FE062F" w:rsidRPr="00BF4AB8" w:rsidRDefault="00FE062F" w:rsidP="00FE062F">
      <w:pPr>
        <w:tabs>
          <w:tab w:val="left" w:pos="567"/>
        </w:tabs>
        <w:rPr>
          <w:sz w:val="22"/>
        </w:rPr>
      </w:pPr>
    </w:p>
    <w:p w14:paraId="6144381B" w14:textId="54BD7784" w:rsidR="00FE062F" w:rsidRPr="00BF4AB8" w:rsidRDefault="00FE062F" w:rsidP="00FE062F">
      <w:pPr>
        <w:tabs>
          <w:tab w:val="left" w:pos="567"/>
        </w:tabs>
        <w:rPr>
          <w:i/>
          <w:sz w:val="22"/>
          <w:u w:val="single"/>
        </w:rPr>
      </w:pPr>
      <w:proofErr w:type="spellStart"/>
      <w:r w:rsidRPr="00BF4AB8">
        <w:rPr>
          <w:i/>
          <w:sz w:val="22"/>
          <w:u w:val="single"/>
        </w:rPr>
        <w:t>Nytyka</w:t>
      </w:r>
      <w:proofErr w:type="spellEnd"/>
      <w:r w:rsidRPr="00BF4AB8">
        <w:rPr>
          <w:i/>
          <w:sz w:val="22"/>
          <w:u w:val="single"/>
        </w:rPr>
        <w:t xml:space="preserve"> 150</w:t>
      </w:r>
      <w:r w:rsidR="00AC48E9" w:rsidRPr="00BF4AB8">
        <w:rPr>
          <w:i/>
          <w:sz w:val="22"/>
          <w:u w:val="single"/>
        </w:rPr>
        <w:t> mg</w:t>
      </w:r>
      <w:r w:rsidRPr="00BF4AB8">
        <w:rPr>
          <w:i/>
          <w:sz w:val="22"/>
          <w:u w:val="single"/>
        </w:rPr>
        <w:t xml:space="preserve"> minkštosios kapsulės</w:t>
      </w:r>
    </w:p>
    <w:p w14:paraId="40FFF941" w14:textId="04072134" w:rsidR="00FE062F" w:rsidRPr="00BF4AB8" w:rsidRDefault="00FE062F" w:rsidP="00FE062F">
      <w:pPr>
        <w:tabs>
          <w:tab w:val="left" w:pos="567"/>
        </w:tabs>
        <w:rPr>
          <w:sz w:val="22"/>
        </w:rPr>
      </w:pPr>
      <w:r w:rsidRPr="00BF4AB8">
        <w:rPr>
          <w:sz w:val="22"/>
        </w:rPr>
        <w:t xml:space="preserve">Kiekvienoje minkštojoje kapsulėje yra </w:t>
      </w:r>
      <w:proofErr w:type="spellStart"/>
      <w:r w:rsidRPr="00BF4AB8">
        <w:rPr>
          <w:sz w:val="22"/>
        </w:rPr>
        <w:t>nintedanibo</w:t>
      </w:r>
      <w:proofErr w:type="spellEnd"/>
      <w:r w:rsidRPr="00BF4AB8">
        <w:rPr>
          <w:sz w:val="22"/>
        </w:rPr>
        <w:t xml:space="preserve"> </w:t>
      </w:r>
      <w:proofErr w:type="spellStart"/>
      <w:r w:rsidRPr="00BF4AB8">
        <w:rPr>
          <w:sz w:val="22"/>
        </w:rPr>
        <w:t>esilato</w:t>
      </w:r>
      <w:proofErr w:type="spellEnd"/>
      <w:r w:rsidRPr="00BF4AB8">
        <w:rPr>
          <w:sz w:val="22"/>
        </w:rPr>
        <w:t>, atitinkančio 150</w:t>
      </w:r>
      <w:r w:rsidR="00AC48E9" w:rsidRPr="00BF4AB8">
        <w:rPr>
          <w:sz w:val="22"/>
        </w:rPr>
        <w:t> mg</w:t>
      </w:r>
      <w:r w:rsidRPr="00BF4AB8">
        <w:rPr>
          <w:sz w:val="22"/>
        </w:rPr>
        <w:t xml:space="preserve"> </w:t>
      </w:r>
      <w:proofErr w:type="spellStart"/>
      <w:r w:rsidRPr="00BF4AB8">
        <w:rPr>
          <w:sz w:val="22"/>
        </w:rPr>
        <w:t>nintedanibo</w:t>
      </w:r>
      <w:proofErr w:type="spellEnd"/>
      <w:r w:rsidRPr="00BF4AB8">
        <w:rPr>
          <w:sz w:val="22"/>
        </w:rPr>
        <w:t>.</w:t>
      </w:r>
    </w:p>
    <w:p w14:paraId="7648B9CF" w14:textId="77777777" w:rsidR="00FE062F" w:rsidRPr="00BF4AB8" w:rsidRDefault="00FE062F" w:rsidP="00FE062F">
      <w:pPr>
        <w:tabs>
          <w:tab w:val="left" w:pos="567"/>
        </w:tabs>
        <w:rPr>
          <w:sz w:val="22"/>
        </w:rPr>
      </w:pPr>
    </w:p>
    <w:p w14:paraId="0752496C" w14:textId="63F4ABED" w:rsidR="005D554B" w:rsidRPr="00BF4AB8" w:rsidRDefault="005D554B" w:rsidP="005D554B">
      <w:pPr>
        <w:tabs>
          <w:tab w:val="left" w:pos="567"/>
        </w:tabs>
        <w:spacing w:line="260" w:lineRule="exact"/>
        <w:rPr>
          <w:snapToGrid w:val="0"/>
          <w:sz w:val="22"/>
        </w:rPr>
      </w:pPr>
      <w:r w:rsidRPr="00BF4AB8">
        <w:rPr>
          <w:snapToGrid w:val="0"/>
          <w:sz w:val="22"/>
        </w:rPr>
        <w:t>Visos pagalbinės medžiagos išvardytos 6.1</w:t>
      </w:r>
      <w:r w:rsidR="00FE062F" w:rsidRPr="00BF4AB8">
        <w:rPr>
          <w:snapToGrid w:val="0"/>
          <w:sz w:val="22"/>
        </w:rPr>
        <w:t> </w:t>
      </w:r>
      <w:r w:rsidRPr="00BF4AB8">
        <w:rPr>
          <w:snapToGrid w:val="0"/>
          <w:sz w:val="22"/>
        </w:rPr>
        <w:t>skyriuje.</w:t>
      </w:r>
    </w:p>
    <w:p w14:paraId="7AD75C3E" w14:textId="77777777" w:rsidR="005D554B" w:rsidRPr="00BF4AB8" w:rsidRDefault="005D554B" w:rsidP="005D554B">
      <w:pPr>
        <w:tabs>
          <w:tab w:val="left" w:pos="567"/>
        </w:tabs>
        <w:spacing w:line="260" w:lineRule="exact"/>
        <w:rPr>
          <w:snapToGrid w:val="0"/>
          <w:sz w:val="22"/>
          <w:szCs w:val="24"/>
        </w:rPr>
      </w:pPr>
    </w:p>
    <w:p w14:paraId="32FAB694" w14:textId="77777777" w:rsidR="005D554B" w:rsidRPr="00BF4AB8" w:rsidRDefault="005D554B" w:rsidP="005D554B">
      <w:pPr>
        <w:tabs>
          <w:tab w:val="left" w:pos="567"/>
        </w:tabs>
        <w:spacing w:line="260" w:lineRule="exact"/>
        <w:rPr>
          <w:snapToGrid w:val="0"/>
          <w:sz w:val="22"/>
          <w:szCs w:val="24"/>
        </w:rPr>
      </w:pPr>
    </w:p>
    <w:p w14:paraId="573B0F93" w14:textId="77777777" w:rsidR="005D554B" w:rsidRPr="00BF4AB8" w:rsidRDefault="005D554B" w:rsidP="005D554B">
      <w:pPr>
        <w:keepNext/>
        <w:keepLines/>
        <w:tabs>
          <w:tab w:val="left" w:pos="567"/>
        </w:tabs>
        <w:outlineLvl w:val="2"/>
        <w:rPr>
          <w:b/>
          <w:bCs/>
          <w:snapToGrid w:val="0"/>
          <w:sz w:val="22"/>
          <w:szCs w:val="26"/>
          <w:lang w:eastAsia="x-none"/>
        </w:rPr>
      </w:pPr>
      <w:r w:rsidRPr="00BF4AB8">
        <w:rPr>
          <w:b/>
          <w:bCs/>
          <w:snapToGrid w:val="0"/>
          <w:sz w:val="22"/>
          <w:szCs w:val="26"/>
          <w:lang w:eastAsia="x-none"/>
        </w:rPr>
        <w:t>3.</w:t>
      </w:r>
      <w:r w:rsidRPr="00BF4AB8">
        <w:rPr>
          <w:b/>
          <w:bCs/>
          <w:snapToGrid w:val="0"/>
          <w:sz w:val="22"/>
          <w:szCs w:val="26"/>
          <w:lang w:eastAsia="x-none"/>
        </w:rPr>
        <w:tab/>
        <w:t>FARMACINĖ FORMA</w:t>
      </w:r>
    </w:p>
    <w:p w14:paraId="0FD16301" w14:textId="77777777" w:rsidR="005D554B" w:rsidRPr="00BF4AB8" w:rsidRDefault="005D554B" w:rsidP="005D554B">
      <w:pPr>
        <w:tabs>
          <w:tab w:val="left" w:pos="567"/>
        </w:tabs>
        <w:spacing w:line="260" w:lineRule="exact"/>
        <w:rPr>
          <w:snapToGrid w:val="0"/>
          <w:sz w:val="22"/>
          <w:szCs w:val="24"/>
        </w:rPr>
      </w:pPr>
    </w:p>
    <w:p w14:paraId="57C65D3E" w14:textId="77777777" w:rsidR="00563387" w:rsidRPr="00BF4AB8" w:rsidRDefault="00563387" w:rsidP="00563387">
      <w:pPr>
        <w:tabs>
          <w:tab w:val="left" w:pos="567"/>
        </w:tabs>
        <w:spacing w:line="260" w:lineRule="exact"/>
        <w:rPr>
          <w:snapToGrid w:val="0"/>
          <w:sz w:val="22"/>
          <w:szCs w:val="24"/>
        </w:rPr>
      </w:pPr>
      <w:r w:rsidRPr="00BF4AB8">
        <w:rPr>
          <w:snapToGrid w:val="0"/>
          <w:sz w:val="22"/>
          <w:szCs w:val="24"/>
        </w:rPr>
        <w:t>Minkštoji kapsulė (kapsulė).</w:t>
      </w:r>
    </w:p>
    <w:p w14:paraId="1800F3C4" w14:textId="77777777" w:rsidR="00563387" w:rsidRPr="00BF4AB8" w:rsidRDefault="00563387" w:rsidP="00563387">
      <w:pPr>
        <w:tabs>
          <w:tab w:val="left" w:pos="567"/>
        </w:tabs>
        <w:spacing w:line="260" w:lineRule="exact"/>
        <w:rPr>
          <w:snapToGrid w:val="0"/>
          <w:sz w:val="22"/>
          <w:szCs w:val="24"/>
        </w:rPr>
      </w:pPr>
    </w:p>
    <w:p w14:paraId="12D0C7E9" w14:textId="05CC92A1" w:rsidR="00563387" w:rsidRPr="00BF4AB8" w:rsidRDefault="00563387" w:rsidP="00563387">
      <w:pPr>
        <w:tabs>
          <w:tab w:val="left" w:pos="567"/>
        </w:tabs>
        <w:rPr>
          <w:i/>
          <w:sz w:val="22"/>
          <w:u w:val="single"/>
        </w:rPr>
      </w:pPr>
      <w:proofErr w:type="spellStart"/>
      <w:r w:rsidRPr="00BF4AB8">
        <w:rPr>
          <w:i/>
          <w:sz w:val="22"/>
          <w:u w:val="single"/>
        </w:rPr>
        <w:t>Nytyka</w:t>
      </w:r>
      <w:proofErr w:type="spellEnd"/>
      <w:r w:rsidRPr="00BF4AB8">
        <w:rPr>
          <w:i/>
          <w:sz w:val="22"/>
          <w:u w:val="single"/>
        </w:rPr>
        <w:t xml:space="preserve"> 100</w:t>
      </w:r>
      <w:r w:rsidR="00AC48E9" w:rsidRPr="00BF4AB8">
        <w:rPr>
          <w:i/>
          <w:sz w:val="22"/>
          <w:u w:val="single"/>
        </w:rPr>
        <w:t> mg</w:t>
      </w:r>
      <w:r w:rsidRPr="00BF4AB8">
        <w:rPr>
          <w:i/>
          <w:sz w:val="22"/>
          <w:u w:val="single"/>
        </w:rPr>
        <w:t xml:space="preserve"> minkštosios kapsulės</w:t>
      </w:r>
    </w:p>
    <w:p w14:paraId="044B5C1F" w14:textId="5122989A" w:rsidR="00563387" w:rsidRPr="00BF4AB8" w:rsidRDefault="00563387" w:rsidP="00003859">
      <w:pPr>
        <w:tabs>
          <w:tab w:val="left" w:pos="567"/>
        </w:tabs>
        <w:spacing w:line="260" w:lineRule="exact"/>
        <w:rPr>
          <w:snapToGrid w:val="0"/>
          <w:sz w:val="22"/>
          <w:szCs w:val="24"/>
        </w:rPr>
      </w:pPr>
      <w:r w:rsidRPr="00BF4AB8">
        <w:rPr>
          <w:snapToGrid w:val="0"/>
          <w:sz w:val="22"/>
          <w:szCs w:val="24"/>
        </w:rPr>
        <w:t>Persiko spalvos, matinės, pailgos</w:t>
      </w:r>
      <w:r w:rsidR="00477B8D">
        <w:rPr>
          <w:snapToGrid w:val="0"/>
          <w:sz w:val="22"/>
          <w:szCs w:val="24"/>
        </w:rPr>
        <w:t>,</w:t>
      </w:r>
      <w:r w:rsidR="00003859" w:rsidRPr="00BF4AB8">
        <w:rPr>
          <w:snapToGrid w:val="0"/>
          <w:sz w:val="22"/>
          <w:szCs w:val="24"/>
        </w:rPr>
        <w:t xml:space="preserve"> maždaug 16 mm ilgio kapsulės</w:t>
      </w:r>
      <w:r w:rsidRPr="00BF4AB8">
        <w:rPr>
          <w:snapToGrid w:val="0"/>
          <w:sz w:val="22"/>
          <w:szCs w:val="24"/>
        </w:rPr>
        <w:t xml:space="preserve">, kuriose yra geltonos klampios suspensijos, </w:t>
      </w:r>
      <w:r w:rsidR="00003859" w:rsidRPr="00BF4AB8">
        <w:rPr>
          <w:snapToGrid w:val="0"/>
          <w:sz w:val="22"/>
          <w:szCs w:val="24"/>
        </w:rPr>
        <w:t>su raudono rašalo įspaudu</w:t>
      </w:r>
      <w:r w:rsidRPr="00BF4AB8">
        <w:rPr>
          <w:snapToGrid w:val="0"/>
          <w:sz w:val="22"/>
          <w:szCs w:val="24"/>
        </w:rPr>
        <w:t xml:space="preserve"> „</w:t>
      </w:r>
      <w:r w:rsidR="00003859" w:rsidRPr="00BF4AB8">
        <w:rPr>
          <w:snapToGrid w:val="0"/>
          <w:sz w:val="22"/>
          <w:szCs w:val="24"/>
        </w:rPr>
        <w:t>NT </w:t>
      </w:r>
      <w:r w:rsidRPr="00BF4AB8">
        <w:rPr>
          <w:snapToGrid w:val="0"/>
          <w:sz w:val="22"/>
          <w:szCs w:val="24"/>
        </w:rPr>
        <w:t>100“.</w:t>
      </w:r>
    </w:p>
    <w:p w14:paraId="78A5675C" w14:textId="77777777" w:rsidR="00563387" w:rsidRPr="00BF4AB8" w:rsidRDefault="00563387" w:rsidP="00563387">
      <w:pPr>
        <w:tabs>
          <w:tab w:val="left" w:pos="567"/>
        </w:tabs>
        <w:spacing w:line="260" w:lineRule="exact"/>
        <w:rPr>
          <w:snapToGrid w:val="0"/>
          <w:sz w:val="22"/>
          <w:szCs w:val="24"/>
        </w:rPr>
      </w:pPr>
    </w:p>
    <w:p w14:paraId="7C7B36F2" w14:textId="72C8B8D7" w:rsidR="00563387" w:rsidRPr="00BF4AB8" w:rsidRDefault="00563387" w:rsidP="00563387">
      <w:pPr>
        <w:tabs>
          <w:tab w:val="left" w:pos="567"/>
        </w:tabs>
        <w:rPr>
          <w:i/>
          <w:sz w:val="22"/>
          <w:u w:val="single"/>
        </w:rPr>
      </w:pPr>
      <w:proofErr w:type="spellStart"/>
      <w:r w:rsidRPr="00BF4AB8">
        <w:rPr>
          <w:i/>
          <w:sz w:val="22"/>
          <w:u w:val="single"/>
        </w:rPr>
        <w:t>Nytyka</w:t>
      </w:r>
      <w:proofErr w:type="spellEnd"/>
      <w:r w:rsidRPr="00BF4AB8">
        <w:rPr>
          <w:i/>
          <w:sz w:val="22"/>
          <w:u w:val="single"/>
        </w:rPr>
        <w:t xml:space="preserve"> 150</w:t>
      </w:r>
      <w:r w:rsidR="00AC48E9" w:rsidRPr="00BF4AB8">
        <w:rPr>
          <w:i/>
          <w:sz w:val="22"/>
          <w:u w:val="single"/>
        </w:rPr>
        <w:t> mg</w:t>
      </w:r>
      <w:r w:rsidRPr="00BF4AB8">
        <w:rPr>
          <w:i/>
          <w:sz w:val="22"/>
          <w:u w:val="single"/>
        </w:rPr>
        <w:t xml:space="preserve"> minkštosios kapsulės</w:t>
      </w:r>
    </w:p>
    <w:p w14:paraId="3903EFEF" w14:textId="42460D7C" w:rsidR="00003859" w:rsidRPr="00BF4AB8" w:rsidRDefault="003959AC" w:rsidP="00003859">
      <w:pPr>
        <w:tabs>
          <w:tab w:val="left" w:pos="567"/>
        </w:tabs>
        <w:spacing w:line="260" w:lineRule="exact"/>
        <w:rPr>
          <w:snapToGrid w:val="0"/>
          <w:sz w:val="22"/>
          <w:szCs w:val="24"/>
        </w:rPr>
      </w:pPr>
      <w:r>
        <w:rPr>
          <w:snapToGrid w:val="0"/>
          <w:sz w:val="22"/>
          <w:szCs w:val="24"/>
        </w:rPr>
        <w:t>Rudos</w:t>
      </w:r>
      <w:r w:rsidR="00003859" w:rsidRPr="00BF4AB8">
        <w:rPr>
          <w:snapToGrid w:val="0"/>
          <w:sz w:val="22"/>
          <w:szCs w:val="24"/>
        </w:rPr>
        <w:t>, matinės, pailgos</w:t>
      </w:r>
      <w:r w:rsidR="00477B8D">
        <w:rPr>
          <w:snapToGrid w:val="0"/>
          <w:sz w:val="22"/>
          <w:szCs w:val="24"/>
        </w:rPr>
        <w:t>,</w:t>
      </w:r>
      <w:r w:rsidR="00003859" w:rsidRPr="00BF4AB8">
        <w:rPr>
          <w:snapToGrid w:val="0"/>
          <w:sz w:val="22"/>
          <w:szCs w:val="24"/>
        </w:rPr>
        <w:t xml:space="preserve"> maždaug 17 mm ilgio kapsulės, kuriose yra geltonos klampios suspensijos, su </w:t>
      </w:r>
      <w:r w:rsidR="00CD0CC6">
        <w:rPr>
          <w:snapToGrid w:val="0"/>
          <w:sz w:val="22"/>
          <w:szCs w:val="24"/>
        </w:rPr>
        <w:t>juodo</w:t>
      </w:r>
      <w:r w:rsidR="00CD0CC6" w:rsidRPr="00BF4AB8">
        <w:rPr>
          <w:snapToGrid w:val="0"/>
          <w:sz w:val="22"/>
          <w:szCs w:val="24"/>
        </w:rPr>
        <w:t xml:space="preserve"> </w:t>
      </w:r>
      <w:r w:rsidR="00003859" w:rsidRPr="00BF4AB8">
        <w:rPr>
          <w:snapToGrid w:val="0"/>
          <w:sz w:val="22"/>
          <w:szCs w:val="24"/>
        </w:rPr>
        <w:t>rašalo įspaudu „NT 150“.</w:t>
      </w:r>
    </w:p>
    <w:p w14:paraId="357D2123" w14:textId="77777777" w:rsidR="005D554B" w:rsidRPr="00BF4AB8" w:rsidRDefault="005D554B" w:rsidP="005D554B">
      <w:pPr>
        <w:tabs>
          <w:tab w:val="left" w:pos="567"/>
        </w:tabs>
        <w:spacing w:line="260" w:lineRule="exact"/>
        <w:rPr>
          <w:snapToGrid w:val="0"/>
          <w:sz w:val="22"/>
          <w:szCs w:val="24"/>
        </w:rPr>
      </w:pPr>
    </w:p>
    <w:p w14:paraId="1C6CF915" w14:textId="77777777" w:rsidR="005D554B" w:rsidRPr="00BF4AB8" w:rsidRDefault="005D554B" w:rsidP="005D554B">
      <w:pPr>
        <w:tabs>
          <w:tab w:val="left" w:pos="567"/>
        </w:tabs>
        <w:spacing w:line="260" w:lineRule="exact"/>
        <w:rPr>
          <w:snapToGrid w:val="0"/>
          <w:sz w:val="22"/>
          <w:szCs w:val="24"/>
        </w:rPr>
      </w:pPr>
    </w:p>
    <w:p w14:paraId="1B9C6B67" w14:textId="77777777" w:rsidR="005D554B" w:rsidRPr="00BF4AB8" w:rsidRDefault="005D554B" w:rsidP="005D554B">
      <w:pPr>
        <w:keepNext/>
        <w:keepLines/>
        <w:tabs>
          <w:tab w:val="left" w:pos="567"/>
        </w:tabs>
        <w:outlineLvl w:val="2"/>
        <w:rPr>
          <w:b/>
          <w:bCs/>
          <w:snapToGrid w:val="0"/>
          <w:sz w:val="22"/>
          <w:szCs w:val="26"/>
          <w:lang w:eastAsia="x-none"/>
        </w:rPr>
      </w:pPr>
      <w:r w:rsidRPr="00BF4AB8">
        <w:rPr>
          <w:b/>
          <w:bCs/>
          <w:snapToGrid w:val="0"/>
          <w:sz w:val="22"/>
          <w:szCs w:val="26"/>
          <w:lang w:eastAsia="x-none"/>
        </w:rPr>
        <w:t>4.</w:t>
      </w:r>
      <w:r w:rsidRPr="00BF4AB8">
        <w:rPr>
          <w:b/>
          <w:bCs/>
          <w:snapToGrid w:val="0"/>
          <w:sz w:val="22"/>
          <w:szCs w:val="26"/>
          <w:lang w:eastAsia="x-none"/>
        </w:rPr>
        <w:tab/>
        <w:t>KLINIKINĖ INFORMACIJA</w:t>
      </w:r>
    </w:p>
    <w:p w14:paraId="5AD120EA" w14:textId="77777777" w:rsidR="005D554B" w:rsidRPr="00BF4AB8" w:rsidRDefault="005D554B" w:rsidP="005D554B">
      <w:pPr>
        <w:tabs>
          <w:tab w:val="left" w:pos="567"/>
        </w:tabs>
        <w:spacing w:line="260" w:lineRule="exact"/>
        <w:rPr>
          <w:snapToGrid w:val="0"/>
          <w:sz w:val="22"/>
          <w:szCs w:val="24"/>
        </w:rPr>
      </w:pPr>
    </w:p>
    <w:p w14:paraId="23E88A53" w14:textId="77777777" w:rsidR="005D554B" w:rsidRPr="00BF4AB8" w:rsidRDefault="005D554B" w:rsidP="005D554B">
      <w:pPr>
        <w:keepNext/>
        <w:tabs>
          <w:tab w:val="left" w:pos="567"/>
        </w:tabs>
        <w:spacing w:line="260" w:lineRule="exact"/>
        <w:jc w:val="both"/>
        <w:outlineLvl w:val="3"/>
        <w:rPr>
          <w:b/>
          <w:bCs/>
          <w:snapToGrid w:val="0"/>
          <w:sz w:val="22"/>
          <w:szCs w:val="28"/>
          <w:lang w:eastAsia="x-none"/>
        </w:rPr>
      </w:pPr>
      <w:r w:rsidRPr="00BF4AB8">
        <w:rPr>
          <w:b/>
          <w:bCs/>
          <w:snapToGrid w:val="0"/>
          <w:sz w:val="22"/>
          <w:szCs w:val="28"/>
          <w:lang w:eastAsia="x-none"/>
        </w:rPr>
        <w:t>4.1</w:t>
      </w:r>
      <w:r w:rsidRPr="00BF4AB8">
        <w:rPr>
          <w:b/>
          <w:bCs/>
          <w:snapToGrid w:val="0"/>
          <w:sz w:val="22"/>
          <w:szCs w:val="28"/>
          <w:lang w:eastAsia="x-none"/>
        </w:rPr>
        <w:tab/>
        <w:t>Terapinės indikacijos</w:t>
      </w:r>
    </w:p>
    <w:p w14:paraId="2B0F5969" w14:textId="77777777" w:rsidR="005D554B" w:rsidRPr="00BF4AB8" w:rsidRDefault="005D554B" w:rsidP="005D554B">
      <w:pPr>
        <w:tabs>
          <w:tab w:val="left" w:pos="567"/>
        </w:tabs>
        <w:spacing w:line="260" w:lineRule="exact"/>
        <w:rPr>
          <w:snapToGrid w:val="0"/>
          <w:sz w:val="22"/>
          <w:szCs w:val="24"/>
        </w:rPr>
      </w:pPr>
    </w:p>
    <w:p w14:paraId="72451546" w14:textId="27CDB99A" w:rsidR="005D554B" w:rsidRPr="00BF4AB8" w:rsidRDefault="00A81575" w:rsidP="00A81575">
      <w:pPr>
        <w:tabs>
          <w:tab w:val="left" w:pos="567"/>
        </w:tabs>
        <w:spacing w:line="260" w:lineRule="exact"/>
        <w:rPr>
          <w:snapToGrid w:val="0"/>
          <w:sz w:val="22"/>
          <w:szCs w:val="24"/>
        </w:rPr>
      </w:pPr>
      <w:proofErr w:type="spellStart"/>
      <w:r w:rsidRPr="00BF4AB8">
        <w:rPr>
          <w:snapToGrid w:val="0"/>
          <w:sz w:val="22"/>
          <w:szCs w:val="24"/>
        </w:rPr>
        <w:t>Nytyka</w:t>
      </w:r>
      <w:proofErr w:type="spellEnd"/>
      <w:r w:rsidRPr="00BF4AB8">
        <w:rPr>
          <w:snapToGrid w:val="0"/>
          <w:sz w:val="22"/>
          <w:szCs w:val="24"/>
        </w:rPr>
        <w:t xml:space="preserve"> derinyje su </w:t>
      </w:r>
      <w:proofErr w:type="spellStart"/>
      <w:r w:rsidRPr="00BF4AB8">
        <w:rPr>
          <w:snapToGrid w:val="0"/>
          <w:sz w:val="22"/>
          <w:szCs w:val="24"/>
        </w:rPr>
        <w:t>docetakseliu</w:t>
      </w:r>
      <w:proofErr w:type="spellEnd"/>
      <w:r w:rsidRPr="00BF4AB8">
        <w:rPr>
          <w:snapToGrid w:val="0"/>
          <w:sz w:val="22"/>
          <w:szCs w:val="24"/>
        </w:rPr>
        <w:t xml:space="preserve"> skirtas lokaliai progresavusiu, </w:t>
      </w:r>
      <w:proofErr w:type="spellStart"/>
      <w:r w:rsidR="005467FB" w:rsidRPr="00BF4AB8">
        <w:rPr>
          <w:snapToGrid w:val="0"/>
          <w:sz w:val="22"/>
          <w:szCs w:val="24"/>
        </w:rPr>
        <w:t>metastaziniu</w:t>
      </w:r>
      <w:proofErr w:type="spellEnd"/>
      <w:r w:rsidRPr="00BF4AB8">
        <w:rPr>
          <w:snapToGrid w:val="0"/>
          <w:sz w:val="22"/>
          <w:szCs w:val="24"/>
        </w:rPr>
        <w:t xml:space="preserve"> ar lokaliai r</w:t>
      </w:r>
      <w:r w:rsidR="005467FB" w:rsidRPr="00BF4AB8">
        <w:rPr>
          <w:snapToGrid w:val="0"/>
          <w:sz w:val="22"/>
          <w:szCs w:val="24"/>
        </w:rPr>
        <w:t>ecidyviniu</w:t>
      </w:r>
      <w:r w:rsidR="00640DAF" w:rsidRPr="00BF4AB8">
        <w:rPr>
          <w:snapToGrid w:val="0"/>
          <w:sz w:val="22"/>
          <w:szCs w:val="24"/>
        </w:rPr>
        <w:t xml:space="preserve"> </w:t>
      </w:r>
      <w:proofErr w:type="spellStart"/>
      <w:r w:rsidRPr="00BF4AB8">
        <w:rPr>
          <w:snapToGrid w:val="0"/>
          <w:sz w:val="22"/>
          <w:szCs w:val="24"/>
        </w:rPr>
        <w:t>nesmulkialąsteliniu</w:t>
      </w:r>
      <w:proofErr w:type="spellEnd"/>
      <w:r w:rsidRPr="00BF4AB8">
        <w:rPr>
          <w:snapToGrid w:val="0"/>
          <w:sz w:val="22"/>
          <w:szCs w:val="24"/>
        </w:rPr>
        <w:t xml:space="preserve"> plaučių vėžiu (NSPV), kurio histologinis naviko tipas </w:t>
      </w:r>
      <w:r w:rsidR="00640DAF" w:rsidRPr="00BF4AB8">
        <w:rPr>
          <w:snapToGrid w:val="0"/>
          <w:sz w:val="22"/>
          <w:szCs w:val="24"/>
        </w:rPr>
        <w:t>˗</w:t>
      </w:r>
      <w:r w:rsidRPr="00BF4AB8">
        <w:rPr>
          <w:snapToGrid w:val="0"/>
          <w:sz w:val="22"/>
          <w:szCs w:val="24"/>
        </w:rPr>
        <w:t xml:space="preserve"> </w:t>
      </w:r>
      <w:proofErr w:type="spellStart"/>
      <w:r w:rsidRPr="00BF4AB8">
        <w:rPr>
          <w:snapToGrid w:val="0"/>
          <w:sz w:val="22"/>
          <w:szCs w:val="24"/>
        </w:rPr>
        <w:t>adenokarcinoma</w:t>
      </w:r>
      <w:proofErr w:type="spellEnd"/>
      <w:r w:rsidRPr="00BF4AB8">
        <w:rPr>
          <w:snapToGrid w:val="0"/>
          <w:sz w:val="22"/>
          <w:szCs w:val="24"/>
        </w:rPr>
        <w:t>,</w:t>
      </w:r>
      <w:r w:rsidR="00640DAF" w:rsidRPr="00BF4AB8">
        <w:rPr>
          <w:snapToGrid w:val="0"/>
          <w:sz w:val="22"/>
          <w:szCs w:val="24"/>
        </w:rPr>
        <w:t xml:space="preserve"> </w:t>
      </w:r>
      <w:r w:rsidRPr="00BF4AB8">
        <w:rPr>
          <w:snapToGrid w:val="0"/>
          <w:sz w:val="22"/>
          <w:szCs w:val="24"/>
        </w:rPr>
        <w:t>sergantiems suaugusiems pacientams gydyti po pirmaeilės chemoterapijos.</w:t>
      </w:r>
    </w:p>
    <w:p w14:paraId="5F4E078D" w14:textId="77777777" w:rsidR="005D554B" w:rsidRPr="00BF4AB8" w:rsidRDefault="005D554B" w:rsidP="005D554B">
      <w:pPr>
        <w:tabs>
          <w:tab w:val="left" w:pos="567"/>
        </w:tabs>
        <w:spacing w:line="260" w:lineRule="exact"/>
        <w:rPr>
          <w:snapToGrid w:val="0"/>
          <w:sz w:val="22"/>
          <w:szCs w:val="24"/>
        </w:rPr>
      </w:pPr>
    </w:p>
    <w:p w14:paraId="4F84A66E" w14:textId="77777777" w:rsidR="005D554B" w:rsidRPr="00BF4AB8" w:rsidRDefault="005D554B" w:rsidP="005D554B">
      <w:pPr>
        <w:keepNext/>
        <w:tabs>
          <w:tab w:val="left" w:pos="567"/>
        </w:tabs>
        <w:spacing w:line="260" w:lineRule="exact"/>
        <w:jc w:val="both"/>
        <w:outlineLvl w:val="3"/>
        <w:rPr>
          <w:b/>
          <w:bCs/>
          <w:snapToGrid w:val="0"/>
          <w:sz w:val="22"/>
          <w:szCs w:val="28"/>
          <w:lang w:eastAsia="x-none"/>
        </w:rPr>
      </w:pPr>
      <w:r w:rsidRPr="00BF4AB8">
        <w:rPr>
          <w:b/>
          <w:bCs/>
          <w:snapToGrid w:val="0"/>
          <w:sz w:val="22"/>
          <w:szCs w:val="28"/>
          <w:lang w:eastAsia="x-none"/>
        </w:rPr>
        <w:t>4.2</w:t>
      </w:r>
      <w:r w:rsidRPr="00BF4AB8">
        <w:rPr>
          <w:b/>
          <w:bCs/>
          <w:snapToGrid w:val="0"/>
          <w:sz w:val="22"/>
          <w:szCs w:val="28"/>
          <w:lang w:eastAsia="x-none"/>
        </w:rPr>
        <w:tab/>
        <w:t>Dozavimas ir vartojimo metodas</w:t>
      </w:r>
    </w:p>
    <w:p w14:paraId="2EF1AD9E" w14:textId="77777777" w:rsidR="005D554B" w:rsidRPr="00BF4AB8" w:rsidRDefault="005D554B" w:rsidP="005D554B">
      <w:pPr>
        <w:tabs>
          <w:tab w:val="left" w:pos="567"/>
        </w:tabs>
        <w:spacing w:line="260" w:lineRule="exact"/>
        <w:rPr>
          <w:snapToGrid w:val="0"/>
          <w:sz w:val="22"/>
          <w:szCs w:val="24"/>
        </w:rPr>
      </w:pPr>
    </w:p>
    <w:p w14:paraId="68FC90A5" w14:textId="47D35D9C" w:rsidR="004A3A17" w:rsidRPr="00BF4AB8" w:rsidRDefault="007334B7" w:rsidP="007334B7">
      <w:pPr>
        <w:tabs>
          <w:tab w:val="left" w:pos="567"/>
        </w:tabs>
        <w:rPr>
          <w:sz w:val="22"/>
          <w:szCs w:val="22"/>
        </w:rPr>
      </w:pPr>
      <w:r w:rsidRPr="00BF4AB8">
        <w:rPr>
          <w:sz w:val="22"/>
          <w:szCs w:val="22"/>
        </w:rPr>
        <w:t xml:space="preserve">Gydymą </w:t>
      </w:r>
      <w:proofErr w:type="spellStart"/>
      <w:r w:rsidRPr="00BF4AB8">
        <w:rPr>
          <w:sz w:val="22"/>
          <w:szCs w:val="22"/>
        </w:rPr>
        <w:t>Nytyka</w:t>
      </w:r>
      <w:proofErr w:type="spellEnd"/>
      <w:r w:rsidRPr="00BF4AB8">
        <w:rPr>
          <w:sz w:val="22"/>
          <w:szCs w:val="22"/>
        </w:rPr>
        <w:t xml:space="preserve"> turi pradėti ir prižiūrėti gydytojas, turintis gydymo priešvėžiniais vaistiniais</w:t>
      </w:r>
      <w:r w:rsidR="0023783C" w:rsidRPr="00BF4AB8">
        <w:rPr>
          <w:sz w:val="22"/>
          <w:szCs w:val="22"/>
        </w:rPr>
        <w:t xml:space="preserve"> </w:t>
      </w:r>
      <w:r w:rsidRPr="00BF4AB8">
        <w:rPr>
          <w:sz w:val="22"/>
          <w:szCs w:val="22"/>
        </w:rPr>
        <w:t>preparatais patirties</w:t>
      </w:r>
      <w:r w:rsidR="004A3A17" w:rsidRPr="00BF4AB8">
        <w:rPr>
          <w:sz w:val="22"/>
          <w:szCs w:val="22"/>
        </w:rPr>
        <w:t>.</w:t>
      </w:r>
    </w:p>
    <w:p w14:paraId="3C45FD08" w14:textId="77777777" w:rsidR="004A3A17" w:rsidRPr="00BF4AB8" w:rsidRDefault="004A3A17" w:rsidP="004A3A17">
      <w:pPr>
        <w:tabs>
          <w:tab w:val="left" w:pos="567"/>
        </w:tabs>
        <w:rPr>
          <w:sz w:val="22"/>
          <w:szCs w:val="22"/>
        </w:rPr>
      </w:pPr>
    </w:p>
    <w:p w14:paraId="6408F5BE" w14:textId="08B78D0F" w:rsidR="004A3A17" w:rsidRPr="00BF4AB8" w:rsidRDefault="00BB0712" w:rsidP="004A3A17">
      <w:pPr>
        <w:keepNext/>
        <w:tabs>
          <w:tab w:val="left" w:pos="567"/>
        </w:tabs>
        <w:rPr>
          <w:sz w:val="22"/>
          <w:szCs w:val="22"/>
          <w:u w:val="single"/>
        </w:rPr>
      </w:pPr>
      <w:r w:rsidRPr="00BF4AB8">
        <w:rPr>
          <w:sz w:val="22"/>
          <w:szCs w:val="22"/>
          <w:u w:val="single"/>
        </w:rPr>
        <w:t>Dozavimas</w:t>
      </w:r>
    </w:p>
    <w:p w14:paraId="6869851D" w14:textId="44A60225" w:rsidR="00257AE0" w:rsidRPr="00BF4AB8" w:rsidRDefault="00257AE0" w:rsidP="00257AE0">
      <w:pPr>
        <w:tabs>
          <w:tab w:val="left" w:pos="567"/>
        </w:tabs>
        <w:rPr>
          <w:sz w:val="22"/>
          <w:szCs w:val="22"/>
        </w:rPr>
      </w:pPr>
      <w:r w:rsidRPr="00BF4AB8">
        <w:rPr>
          <w:sz w:val="22"/>
          <w:szCs w:val="22"/>
        </w:rPr>
        <w:t xml:space="preserve">Rekomenduojama </w:t>
      </w:r>
      <w:proofErr w:type="spellStart"/>
      <w:r w:rsidRPr="00BF4AB8">
        <w:rPr>
          <w:sz w:val="22"/>
          <w:szCs w:val="22"/>
        </w:rPr>
        <w:t>nintedanibo</w:t>
      </w:r>
      <w:proofErr w:type="spellEnd"/>
      <w:r w:rsidRPr="00BF4AB8">
        <w:rPr>
          <w:sz w:val="22"/>
          <w:szCs w:val="22"/>
        </w:rPr>
        <w:t xml:space="preserve"> dozė yra 200</w:t>
      </w:r>
      <w:r w:rsidR="00AC48E9" w:rsidRPr="00BF4AB8">
        <w:rPr>
          <w:sz w:val="22"/>
          <w:szCs w:val="22"/>
        </w:rPr>
        <w:t> mg</w:t>
      </w:r>
      <w:r w:rsidR="009374EE" w:rsidRPr="00BF4AB8">
        <w:rPr>
          <w:sz w:val="22"/>
          <w:szCs w:val="22"/>
        </w:rPr>
        <w:t>, j</w:t>
      </w:r>
      <w:r w:rsidRPr="00BF4AB8">
        <w:rPr>
          <w:sz w:val="22"/>
          <w:szCs w:val="22"/>
        </w:rPr>
        <w:t>i vartojama du kartus per parą, maždaug</w:t>
      </w:r>
      <w:r w:rsidR="009374EE" w:rsidRPr="00BF4AB8">
        <w:rPr>
          <w:sz w:val="22"/>
          <w:szCs w:val="22"/>
        </w:rPr>
        <w:t xml:space="preserve"> </w:t>
      </w:r>
      <w:r w:rsidRPr="00BF4AB8">
        <w:rPr>
          <w:sz w:val="22"/>
          <w:szCs w:val="22"/>
        </w:rPr>
        <w:t>kas 12</w:t>
      </w:r>
      <w:r w:rsidR="009374EE" w:rsidRPr="00BF4AB8">
        <w:rPr>
          <w:sz w:val="22"/>
          <w:szCs w:val="22"/>
        </w:rPr>
        <w:t> </w:t>
      </w:r>
      <w:r w:rsidRPr="00BF4AB8">
        <w:rPr>
          <w:sz w:val="22"/>
          <w:szCs w:val="22"/>
        </w:rPr>
        <w:t>valandų nuo 2 iki 2</w:t>
      </w:r>
      <w:r w:rsidR="009374EE" w:rsidRPr="00BF4AB8">
        <w:rPr>
          <w:sz w:val="22"/>
          <w:szCs w:val="22"/>
        </w:rPr>
        <w:t>1 </w:t>
      </w:r>
      <w:r w:rsidRPr="00BF4AB8">
        <w:rPr>
          <w:sz w:val="22"/>
          <w:szCs w:val="22"/>
        </w:rPr>
        <w:t>dienos įprastinio 21</w:t>
      </w:r>
      <w:r w:rsidR="009374EE" w:rsidRPr="00BF4AB8">
        <w:rPr>
          <w:sz w:val="22"/>
          <w:szCs w:val="22"/>
        </w:rPr>
        <w:t> </w:t>
      </w:r>
      <w:r w:rsidRPr="00BF4AB8">
        <w:rPr>
          <w:sz w:val="22"/>
          <w:szCs w:val="22"/>
        </w:rPr>
        <w:t xml:space="preserve">dienos gydymo </w:t>
      </w:r>
      <w:proofErr w:type="spellStart"/>
      <w:r w:rsidRPr="00BF4AB8">
        <w:rPr>
          <w:sz w:val="22"/>
          <w:szCs w:val="22"/>
        </w:rPr>
        <w:t>docetakseliu</w:t>
      </w:r>
      <w:proofErr w:type="spellEnd"/>
      <w:r w:rsidRPr="00BF4AB8">
        <w:rPr>
          <w:sz w:val="22"/>
          <w:szCs w:val="22"/>
        </w:rPr>
        <w:t xml:space="preserve"> ciklo metu.</w:t>
      </w:r>
    </w:p>
    <w:p w14:paraId="5D46AA75" w14:textId="1DC713A7" w:rsidR="00257AE0" w:rsidRPr="00BF4AB8" w:rsidRDefault="009374EE" w:rsidP="00257AE0">
      <w:pPr>
        <w:tabs>
          <w:tab w:val="left" w:pos="567"/>
        </w:tabs>
        <w:rPr>
          <w:sz w:val="22"/>
          <w:szCs w:val="22"/>
        </w:rPr>
      </w:pPr>
      <w:proofErr w:type="spellStart"/>
      <w:r w:rsidRPr="00BF4AB8">
        <w:rPr>
          <w:sz w:val="22"/>
          <w:szCs w:val="22"/>
        </w:rPr>
        <w:t>Nytaka</w:t>
      </w:r>
      <w:proofErr w:type="spellEnd"/>
      <w:r w:rsidR="00257AE0" w:rsidRPr="00BF4AB8">
        <w:rPr>
          <w:sz w:val="22"/>
          <w:szCs w:val="22"/>
        </w:rPr>
        <w:t xml:space="preserve"> negalima vartoti tą pačią </w:t>
      </w:r>
      <w:r w:rsidRPr="00BF4AB8">
        <w:rPr>
          <w:sz w:val="22"/>
          <w:szCs w:val="22"/>
        </w:rPr>
        <w:t>dieną</w:t>
      </w:r>
      <w:r w:rsidR="00257AE0" w:rsidRPr="00BF4AB8">
        <w:rPr>
          <w:sz w:val="22"/>
          <w:szCs w:val="22"/>
        </w:rPr>
        <w:t xml:space="preserve">, kurią taikoma chemoterapija </w:t>
      </w:r>
      <w:proofErr w:type="spellStart"/>
      <w:r w:rsidR="00257AE0" w:rsidRPr="00BF4AB8">
        <w:rPr>
          <w:sz w:val="22"/>
          <w:szCs w:val="22"/>
        </w:rPr>
        <w:t>docetakseliu</w:t>
      </w:r>
      <w:proofErr w:type="spellEnd"/>
      <w:r w:rsidR="00257AE0" w:rsidRPr="00BF4AB8">
        <w:rPr>
          <w:sz w:val="22"/>
          <w:szCs w:val="22"/>
        </w:rPr>
        <w:t xml:space="preserve"> (=</w:t>
      </w:r>
      <w:r w:rsidRPr="00BF4AB8">
        <w:rPr>
          <w:sz w:val="22"/>
          <w:szCs w:val="22"/>
        </w:rPr>
        <w:t> </w:t>
      </w:r>
      <w:r w:rsidR="00257AE0" w:rsidRPr="00BF4AB8">
        <w:rPr>
          <w:sz w:val="22"/>
          <w:szCs w:val="22"/>
        </w:rPr>
        <w:t>1</w:t>
      </w:r>
      <w:r w:rsidRPr="00BF4AB8">
        <w:rPr>
          <w:sz w:val="22"/>
          <w:szCs w:val="22"/>
        </w:rPr>
        <w:t> </w:t>
      </w:r>
      <w:r w:rsidR="00257AE0" w:rsidRPr="00BF4AB8">
        <w:rPr>
          <w:sz w:val="22"/>
          <w:szCs w:val="22"/>
        </w:rPr>
        <w:t>dieną).</w:t>
      </w:r>
      <w:r w:rsidRPr="00BF4AB8">
        <w:rPr>
          <w:sz w:val="22"/>
          <w:szCs w:val="22"/>
        </w:rPr>
        <w:t xml:space="preserve"> </w:t>
      </w:r>
      <w:r w:rsidR="00257AE0" w:rsidRPr="00BF4AB8">
        <w:rPr>
          <w:sz w:val="22"/>
          <w:szCs w:val="22"/>
        </w:rPr>
        <w:t xml:space="preserve">Jei </w:t>
      </w:r>
      <w:proofErr w:type="spellStart"/>
      <w:r w:rsidR="00257AE0" w:rsidRPr="00BF4AB8">
        <w:rPr>
          <w:sz w:val="22"/>
          <w:szCs w:val="22"/>
        </w:rPr>
        <w:t>nintedanibo</w:t>
      </w:r>
      <w:proofErr w:type="spellEnd"/>
      <w:r w:rsidR="00257AE0" w:rsidRPr="00BF4AB8">
        <w:rPr>
          <w:sz w:val="22"/>
          <w:szCs w:val="22"/>
        </w:rPr>
        <w:t xml:space="preserve"> dozė praleidžiama, vartojimą reikia atnaujinti rekomenduojamą dozę vartojant</w:t>
      </w:r>
      <w:r w:rsidRPr="00BF4AB8">
        <w:rPr>
          <w:sz w:val="22"/>
          <w:szCs w:val="22"/>
        </w:rPr>
        <w:t xml:space="preserve"> numatytu</w:t>
      </w:r>
      <w:r w:rsidR="00257AE0" w:rsidRPr="00BF4AB8">
        <w:rPr>
          <w:sz w:val="22"/>
          <w:szCs w:val="22"/>
        </w:rPr>
        <w:t xml:space="preserve"> artimiausios dozės laiku. </w:t>
      </w:r>
      <w:r w:rsidRPr="00BF4AB8">
        <w:rPr>
          <w:sz w:val="22"/>
          <w:szCs w:val="22"/>
        </w:rPr>
        <w:t>Negalima didinti i</w:t>
      </w:r>
      <w:r w:rsidR="00257AE0" w:rsidRPr="00BF4AB8">
        <w:rPr>
          <w:sz w:val="22"/>
          <w:szCs w:val="22"/>
        </w:rPr>
        <w:t xml:space="preserve">ndividualių </w:t>
      </w:r>
      <w:proofErr w:type="spellStart"/>
      <w:r w:rsidR="00257AE0" w:rsidRPr="00BF4AB8">
        <w:rPr>
          <w:sz w:val="22"/>
          <w:szCs w:val="22"/>
        </w:rPr>
        <w:t>nintedanibo</w:t>
      </w:r>
      <w:proofErr w:type="spellEnd"/>
      <w:r w:rsidR="00257AE0" w:rsidRPr="00BF4AB8">
        <w:rPr>
          <w:sz w:val="22"/>
          <w:szCs w:val="22"/>
        </w:rPr>
        <w:t xml:space="preserve"> paros dozių ir vartoti</w:t>
      </w:r>
      <w:r w:rsidRPr="00BF4AB8">
        <w:rPr>
          <w:sz w:val="22"/>
          <w:szCs w:val="22"/>
        </w:rPr>
        <w:t xml:space="preserve"> </w:t>
      </w:r>
      <w:r w:rsidR="00257AE0" w:rsidRPr="00BF4AB8">
        <w:rPr>
          <w:sz w:val="22"/>
          <w:szCs w:val="22"/>
        </w:rPr>
        <w:t>didesn</w:t>
      </w:r>
      <w:r w:rsidRPr="00BF4AB8">
        <w:rPr>
          <w:sz w:val="22"/>
          <w:szCs w:val="22"/>
        </w:rPr>
        <w:t xml:space="preserve">ę nei </w:t>
      </w:r>
      <w:r w:rsidR="00257AE0" w:rsidRPr="00BF4AB8">
        <w:rPr>
          <w:sz w:val="22"/>
          <w:szCs w:val="22"/>
        </w:rPr>
        <w:t>rekomenduojam</w:t>
      </w:r>
      <w:r w:rsidRPr="00BF4AB8">
        <w:rPr>
          <w:sz w:val="22"/>
          <w:szCs w:val="22"/>
        </w:rPr>
        <w:t>a</w:t>
      </w:r>
      <w:r w:rsidR="00257AE0" w:rsidRPr="00BF4AB8">
        <w:rPr>
          <w:sz w:val="22"/>
          <w:szCs w:val="22"/>
        </w:rPr>
        <w:t xml:space="preserve"> doz</w:t>
      </w:r>
      <w:r w:rsidRPr="00BF4AB8">
        <w:rPr>
          <w:sz w:val="22"/>
          <w:szCs w:val="22"/>
        </w:rPr>
        <w:t>ę</w:t>
      </w:r>
      <w:r w:rsidR="00257AE0" w:rsidRPr="00BF4AB8">
        <w:rPr>
          <w:sz w:val="22"/>
          <w:szCs w:val="22"/>
        </w:rPr>
        <w:t>, norint kompensuoti praleistas dozes. Negalima viršyti</w:t>
      </w:r>
      <w:r w:rsidRPr="00BF4AB8">
        <w:rPr>
          <w:sz w:val="22"/>
          <w:szCs w:val="22"/>
        </w:rPr>
        <w:t xml:space="preserve"> </w:t>
      </w:r>
      <w:r w:rsidR="00257AE0" w:rsidRPr="00BF4AB8">
        <w:rPr>
          <w:sz w:val="22"/>
          <w:szCs w:val="22"/>
        </w:rPr>
        <w:t>maksimalios rekomenduojamos 400</w:t>
      </w:r>
      <w:r w:rsidR="00AC48E9" w:rsidRPr="00BF4AB8">
        <w:rPr>
          <w:sz w:val="22"/>
          <w:szCs w:val="22"/>
        </w:rPr>
        <w:t> mg</w:t>
      </w:r>
      <w:r w:rsidR="00257AE0" w:rsidRPr="00BF4AB8">
        <w:rPr>
          <w:sz w:val="22"/>
          <w:szCs w:val="22"/>
        </w:rPr>
        <w:t xml:space="preserve"> paros dozės.</w:t>
      </w:r>
    </w:p>
    <w:p w14:paraId="7B063A5E" w14:textId="7879F4BF" w:rsidR="00257AE0" w:rsidRPr="00BF4AB8" w:rsidRDefault="00257AE0" w:rsidP="00257AE0">
      <w:pPr>
        <w:tabs>
          <w:tab w:val="left" w:pos="567"/>
        </w:tabs>
        <w:rPr>
          <w:sz w:val="22"/>
          <w:szCs w:val="22"/>
        </w:rPr>
      </w:pPr>
    </w:p>
    <w:p w14:paraId="7101A9D2" w14:textId="33E5A5BE" w:rsidR="00257AE0" w:rsidRPr="00BF4AB8" w:rsidRDefault="00257AE0" w:rsidP="00257AE0">
      <w:pPr>
        <w:tabs>
          <w:tab w:val="left" w:pos="567"/>
        </w:tabs>
        <w:rPr>
          <w:sz w:val="22"/>
          <w:szCs w:val="22"/>
        </w:rPr>
      </w:pPr>
      <w:r w:rsidRPr="00BF4AB8">
        <w:rPr>
          <w:sz w:val="22"/>
          <w:szCs w:val="22"/>
        </w:rPr>
        <w:t xml:space="preserve">Nutraukus gydymą </w:t>
      </w:r>
      <w:proofErr w:type="spellStart"/>
      <w:r w:rsidRPr="00BF4AB8">
        <w:rPr>
          <w:sz w:val="22"/>
          <w:szCs w:val="22"/>
        </w:rPr>
        <w:t>docetakseliu</w:t>
      </w:r>
      <w:proofErr w:type="spellEnd"/>
      <w:r w:rsidRPr="00BF4AB8">
        <w:rPr>
          <w:sz w:val="22"/>
          <w:szCs w:val="22"/>
        </w:rPr>
        <w:t xml:space="preserve">, pacientai gydymą </w:t>
      </w:r>
      <w:proofErr w:type="spellStart"/>
      <w:r w:rsidRPr="00BF4AB8">
        <w:rPr>
          <w:sz w:val="22"/>
          <w:szCs w:val="22"/>
        </w:rPr>
        <w:t>nintedanibu</w:t>
      </w:r>
      <w:proofErr w:type="spellEnd"/>
      <w:r w:rsidRPr="00BF4AB8">
        <w:rPr>
          <w:sz w:val="22"/>
          <w:szCs w:val="22"/>
        </w:rPr>
        <w:t xml:space="preserve"> gali tęsti tol, kol </w:t>
      </w:r>
      <w:r w:rsidR="0011586E" w:rsidRPr="00BF4AB8">
        <w:rPr>
          <w:sz w:val="22"/>
          <w:szCs w:val="22"/>
        </w:rPr>
        <w:t>stebima</w:t>
      </w:r>
      <w:r w:rsidRPr="00BF4AB8">
        <w:rPr>
          <w:sz w:val="22"/>
          <w:szCs w:val="22"/>
        </w:rPr>
        <w:t xml:space="preserve"> klinikinė</w:t>
      </w:r>
      <w:r w:rsidR="0011586E" w:rsidRPr="00BF4AB8">
        <w:rPr>
          <w:sz w:val="22"/>
          <w:szCs w:val="22"/>
        </w:rPr>
        <w:t xml:space="preserve"> </w:t>
      </w:r>
      <w:r w:rsidRPr="00BF4AB8">
        <w:rPr>
          <w:sz w:val="22"/>
          <w:szCs w:val="22"/>
        </w:rPr>
        <w:t>nauda arba pasireiškia nepriimtinas toksinis poveikis.</w:t>
      </w:r>
    </w:p>
    <w:p w14:paraId="14F1BAD5" w14:textId="010C007F" w:rsidR="004A3A17" w:rsidRPr="00BF4AB8" w:rsidRDefault="00257AE0" w:rsidP="00257AE0">
      <w:pPr>
        <w:tabs>
          <w:tab w:val="left" w:pos="567"/>
        </w:tabs>
        <w:rPr>
          <w:sz w:val="22"/>
          <w:szCs w:val="22"/>
        </w:rPr>
      </w:pPr>
      <w:r w:rsidRPr="00BF4AB8">
        <w:rPr>
          <w:sz w:val="22"/>
          <w:szCs w:val="22"/>
        </w:rPr>
        <w:lastRenderedPageBreak/>
        <w:t xml:space="preserve">Informacijos apie </w:t>
      </w:r>
      <w:proofErr w:type="spellStart"/>
      <w:r w:rsidRPr="00BF4AB8">
        <w:rPr>
          <w:sz w:val="22"/>
          <w:szCs w:val="22"/>
        </w:rPr>
        <w:t>docetakselio</w:t>
      </w:r>
      <w:proofErr w:type="spellEnd"/>
      <w:r w:rsidRPr="00BF4AB8">
        <w:rPr>
          <w:sz w:val="22"/>
          <w:szCs w:val="22"/>
        </w:rPr>
        <w:t xml:space="preserve"> dozavimą, vartojimo metodus ir dozės koregavimą ieškokite</w:t>
      </w:r>
      <w:r w:rsidR="0011586E" w:rsidRPr="00BF4AB8">
        <w:rPr>
          <w:sz w:val="22"/>
          <w:szCs w:val="22"/>
        </w:rPr>
        <w:t xml:space="preserve"> </w:t>
      </w:r>
      <w:r w:rsidRPr="00BF4AB8">
        <w:rPr>
          <w:sz w:val="22"/>
          <w:szCs w:val="22"/>
        </w:rPr>
        <w:t xml:space="preserve">atitinkamoje </w:t>
      </w:r>
      <w:proofErr w:type="spellStart"/>
      <w:r w:rsidRPr="00BF4AB8">
        <w:rPr>
          <w:sz w:val="22"/>
          <w:szCs w:val="22"/>
        </w:rPr>
        <w:t>docetakselio</w:t>
      </w:r>
      <w:proofErr w:type="spellEnd"/>
      <w:r w:rsidRPr="00BF4AB8">
        <w:rPr>
          <w:sz w:val="22"/>
          <w:szCs w:val="22"/>
        </w:rPr>
        <w:t xml:space="preserve"> vaistinio preparato informacijoje.</w:t>
      </w:r>
    </w:p>
    <w:p w14:paraId="189937E7" w14:textId="77777777" w:rsidR="004A3A17" w:rsidRPr="00BF4AB8" w:rsidRDefault="004A3A17" w:rsidP="004A3A17">
      <w:pPr>
        <w:tabs>
          <w:tab w:val="left" w:pos="567"/>
        </w:tabs>
        <w:rPr>
          <w:sz w:val="22"/>
          <w:szCs w:val="22"/>
        </w:rPr>
      </w:pPr>
    </w:p>
    <w:p w14:paraId="49024713" w14:textId="15C273E8" w:rsidR="004A3A17" w:rsidRPr="00BF4AB8" w:rsidRDefault="0011586E" w:rsidP="004A3A17">
      <w:pPr>
        <w:keepNext/>
        <w:tabs>
          <w:tab w:val="left" w:pos="567"/>
        </w:tabs>
        <w:rPr>
          <w:i/>
          <w:sz w:val="22"/>
          <w:szCs w:val="22"/>
          <w:u w:val="single"/>
        </w:rPr>
      </w:pPr>
      <w:r w:rsidRPr="00BF4AB8">
        <w:rPr>
          <w:i/>
          <w:sz w:val="22"/>
          <w:szCs w:val="22"/>
          <w:u w:val="single"/>
        </w:rPr>
        <w:t>Dozės koregavimas</w:t>
      </w:r>
    </w:p>
    <w:p w14:paraId="31B99C29" w14:textId="76110504" w:rsidR="00EC5110" w:rsidRPr="00BF4AB8" w:rsidRDefault="00EC5110" w:rsidP="00EC5110">
      <w:pPr>
        <w:tabs>
          <w:tab w:val="left" w:pos="567"/>
        </w:tabs>
        <w:rPr>
          <w:sz w:val="22"/>
          <w:szCs w:val="22"/>
        </w:rPr>
      </w:pPr>
      <w:r w:rsidRPr="00BF4AB8">
        <w:rPr>
          <w:sz w:val="22"/>
          <w:szCs w:val="22"/>
        </w:rPr>
        <w:t xml:space="preserve">Pradinė priemonė nepageidaujamoms reakcijoms (žr. 1 ir 2 lenteles) valdyti yra laikinas gydymo </w:t>
      </w:r>
      <w:proofErr w:type="spellStart"/>
      <w:r w:rsidRPr="00BF4AB8">
        <w:rPr>
          <w:sz w:val="22"/>
          <w:szCs w:val="22"/>
        </w:rPr>
        <w:t>nintedanibu</w:t>
      </w:r>
      <w:proofErr w:type="spellEnd"/>
      <w:r w:rsidRPr="00BF4AB8">
        <w:rPr>
          <w:sz w:val="22"/>
          <w:szCs w:val="22"/>
        </w:rPr>
        <w:t xml:space="preserve"> nutraukimas, kol specifinės nepageidaujamos reakcijos susilpnės iki tokio lygio, kuris leidžia tęsti gydymą (iki 1 laipsnio ar pradinio sunkumo).</w:t>
      </w:r>
    </w:p>
    <w:p w14:paraId="538E7DD8" w14:textId="263D9699" w:rsidR="00EC5110" w:rsidRPr="00BF4AB8" w:rsidRDefault="00EC5110" w:rsidP="00EC5110">
      <w:pPr>
        <w:tabs>
          <w:tab w:val="left" w:pos="567"/>
        </w:tabs>
        <w:rPr>
          <w:sz w:val="22"/>
          <w:szCs w:val="22"/>
        </w:rPr>
      </w:pPr>
      <w:r w:rsidRPr="00BF4AB8">
        <w:rPr>
          <w:sz w:val="22"/>
          <w:szCs w:val="22"/>
        </w:rPr>
        <w:t xml:space="preserve">Gydymas </w:t>
      </w:r>
      <w:proofErr w:type="spellStart"/>
      <w:r w:rsidRPr="00BF4AB8">
        <w:rPr>
          <w:sz w:val="22"/>
          <w:szCs w:val="22"/>
        </w:rPr>
        <w:t>nintedanibu</w:t>
      </w:r>
      <w:proofErr w:type="spellEnd"/>
      <w:r w:rsidRPr="00BF4AB8">
        <w:rPr>
          <w:sz w:val="22"/>
          <w:szCs w:val="22"/>
        </w:rPr>
        <w:t xml:space="preserve"> gali būti atnaujintas sumažinta doze. Remiantis individualiu saugumu ir toleravimu, paros dozę rekomenduojama mažinti 100</w:t>
      </w:r>
      <w:r w:rsidR="00AC48E9" w:rsidRPr="00BF4AB8">
        <w:rPr>
          <w:sz w:val="22"/>
          <w:szCs w:val="22"/>
        </w:rPr>
        <w:t> mg</w:t>
      </w:r>
      <w:r w:rsidRPr="00BF4AB8">
        <w:rPr>
          <w:sz w:val="22"/>
          <w:szCs w:val="22"/>
        </w:rPr>
        <w:t xml:space="preserve"> (t. y. kiekvieną dozę sumažinti 50</w:t>
      </w:r>
      <w:r w:rsidR="00AC48E9" w:rsidRPr="00BF4AB8">
        <w:rPr>
          <w:sz w:val="22"/>
          <w:szCs w:val="22"/>
        </w:rPr>
        <w:t> mg</w:t>
      </w:r>
      <w:r w:rsidRPr="00BF4AB8">
        <w:rPr>
          <w:sz w:val="22"/>
          <w:szCs w:val="22"/>
        </w:rPr>
        <w:t>), kaip nurodyta 1 ir 2 lentelėse.</w:t>
      </w:r>
    </w:p>
    <w:p w14:paraId="57FC6353" w14:textId="2A3B85E6" w:rsidR="004A3A17" w:rsidRPr="00BF4AB8" w:rsidRDefault="00EC5110" w:rsidP="004B1B33">
      <w:pPr>
        <w:tabs>
          <w:tab w:val="left" w:pos="567"/>
        </w:tabs>
        <w:rPr>
          <w:sz w:val="22"/>
          <w:szCs w:val="22"/>
        </w:rPr>
      </w:pPr>
      <w:r w:rsidRPr="00BF4AB8">
        <w:rPr>
          <w:sz w:val="22"/>
          <w:szCs w:val="22"/>
        </w:rPr>
        <w:t>Jei nepageidaujama (-</w:t>
      </w:r>
      <w:proofErr w:type="spellStart"/>
      <w:r w:rsidRPr="00BF4AB8">
        <w:rPr>
          <w:sz w:val="22"/>
          <w:szCs w:val="22"/>
        </w:rPr>
        <w:t>os</w:t>
      </w:r>
      <w:proofErr w:type="spellEnd"/>
      <w:r w:rsidRPr="00BF4AB8">
        <w:rPr>
          <w:sz w:val="22"/>
          <w:szCs w:val="22"/>
        </w:rPr>
        <w:t>) reakcija (-</w:t>
      </w:r>
      <w:proofErr w:type="spellStart"/>
      <w:r w:rsidRPr="00BF4AB8">
        <w:rPr>
          <w:sz w:val="22"/>
          <w:szCs w:val="22"/>
        </w:rPr>
        <w:t>os</w:t>
      </w:r>
      <w:proofErr w:type="spellEnd"/>
      <w:r w:rsidRPr="00BF4AB8">
        <w:rPr>
          <w:sz w:val="22"/>
          <w:szCs w:val="22"/>
        </w:rPr>
        <w:t>) išlieka, t. y. jei pacientas netoleruoja du kartus per parą vartojamos 100</w:t>
      </w:r>
      <w:r w:rsidR="00AC48E9" w:rsidRPr="00BF4AB8">
        <w:rPr>
          <w:sz w:val="22"/>
          <w:szCs w:val="22"/>
        </w:rPr>
        <w:t> mg</w:t>
      </w:r>
      <w:r w:rsidRPr="00BF4AB8">
        <w:rPr>
          <w:sz w:val="22"/>
          <w:szCs w:val="22"/>
        </w:rPr>
        <w:t xml:space="preserve"> dozės, gydymą </w:t>
      </w:r>
      <w:proofErr w:type="spellStart"/>
      <w:r w:rsidRPr="00BF4AB8">
        <w:rPr>
          <w:sz w:val="22"/>
          <w:szCs w:val="22"/>
        </w:rPr>
        <w:t>Nytyka</w:t>
      </w:r>
      <w:proofErr w:type="spellEnd"/>
      <w:r w:rsidRPr="00BF4AB8">
        <w:rPr>
          <w:sz w:val="22"/>
          <w:szCs w:val="22"/>
        </w:rPr>
        <w:t xml:space="preserve"> reikia nutraukti visam laikui. Gydymą </w:t>
      </w:r>
      <w:proofErr w:type="spellStart"/>
      <w:r w:rsidR="004B1B33" w:rsidRPr="00BF4AB8">
        <w:rPr>
          <w:sz w:val="22"/>
          <w:szCs w:val="22"/>
        </w:rPr>
        <w:t>Nytyka</w:t>
      </w:r>
      <w:proofErr w:type="spellEnd"/>
      <w:r w:rsidR="004B1B33" w:rsidRPr="00BF4AB8">
        <w:rPr>
          <w:sz w:val="22"/>
          <w:szCs w:val="22"/>
        </w:rPr>
        <w:t xml:space="preserve"> </w:t>
      </w:r>
      <w:r w:rsidRPr="00BF4AB8">
        <w:rPr>
          <w:sz w:val="22"/>
          <w:szCs w:val="22"/>
        </w:rPr>
        <w:t>reikia</w:t>
      </w:r>
      <w:r w:rsidR="004B1B33" w:rsidRPr="00BF4AB8">
        <w:rPr>
          <w:sz w:val="22"/>
          <w:szCs w:val="22"/>
        </w:rPr>
        <w:t xml:space="preserve"> sustabdyti</w:t>
      </w:r>
      <w:r w:rsidRPr="00BF4AB8">
        <w:rPr>
          <w:sz w:val="22"/>
          <w:szCs w:val="22"/>
        </w:rPr>
        <w:t xml:space="preserve">, jei aspartataminotransferazės (AST) / alaninaminotransferazės (ALT) aktyvumas </w:t>
      </w:r>
      <w:r w:rsidR="004B1B33" w:rsidRPr="00BF4AB8">
        <w:rPr>
          <w:sz w:val="22"/>
          <w:szCs w:val="22"/>
        </w:rPr>
        <w:t xml:space="preserve">specifiškai </w:t>
      </w:r>
      <w:r w:rsidRPr="00BF4AB8">
        <w:rPr>
          <w:sz w:val="22"/>
          <w:szCs w:val="22"/>
        </w:rPr>
        <w:t>padidėja</w:t>
      </w:r>
      <w:r w:rsidR="004B1B33" w:rsidRPr="00BF4AB8">
        <w:rPr>
          <w:sz w:val="22"/>
          <w:szCs w:val="22"/>
        </w:rPr>
        <w:t xml:space="preserve"> ir</w:t>
      </w:r>
      <w:r w:rsidRPr="00BF4AB8">
        <w:rPr>
          <w:sz w:val="22"/>
          <w:szCs w:val="22"/>
        </w:rPr>
        <w:t xml:space="preserve"> &gt;</w:t>
      </w:r>
      <w:r w:rsidR="004B1B33" w:rsidRPr="00BF4AB8">
        <w:rPr>
          <w:sz w:val="22"/>
          <w:szCs w:val="22"/>
        </w:rPr>
        <w:t> </w:t>
      </w:r>
      <w:r w:rsidRPr="00BF4AB8">
        <w:rPr>
          <w:sz w:val="22"/>
          <w:szCs w:val="22"/>
        </w:rPr>
        <w:t>3</w:t>
      </w:r>
      <w:r w:rsidR="004B1B33" w:rsidRPr="00BF4AB8">
        <w:rPr>
          <w:sz w:val="22"/>
          <w:szCs w:val="22"/>
        </w:rPr>
        <w:t> </w:t>
      </w:r>
      <w:r w:rsidRPr="00BF4AB8">
        <w:rPr>
          <w:sz w:val="22"/>
          <w:szCs w:val="22"/>
        </w:rPr>
        <w:t>kart</w:t>
      </w:r>
      <w:r w:rsidR="004B1B33" w:rsidRPr="00BF4AB8">
        <w:rPr>
          <w:sz w:val="22"/>
          <w:szCs w:val="22"/>
        </w:rPr>
        <w:t xml:space="preserve">us viršija </w:t>
      </w:r>
      <w:r w:rsidRPr="00BF4AB8">
        <w:rPr>
          <w:sz w:val="22"/>
          <w:szCs w:val="22"/>
        </w:rPr>
        <w:t>viršutin</w:t>
      </w:r>
      <w:r w:rsidR="004B1B33" w:rsidRPr="00BF4AB8">
        <w:rPr>
          <w:sz w:val="22"/>
          <w:szCs w:val="22"/>
        </w:rPr>
        <w:t>ę</w:t>
      </w:r>
      <w:r w:rsidRPr="00BF4AB8">
        <w:rPr>
          <w:sz w:val="22"/>
          <w:szCs w:val="22"/>
        </w:rPr>
        <w:t xml:space="preserve"> normos rib</w:t>
      </w:r>
      <w:r w:rsidR="004B1B33" w:rsidRPr="00BF4AB8">
        <w:rPr>
          <w:sz w:val="22"/>
          <w:szCs w:val="22"/>
        </w:rPr>
        <w:t>ą</w:t>
      </w:r>
      <w:r w:rsidRPr="00BF4AB8">
        <w:rPr>
          <w:sz w:val="22"/>
          <w:szCs w:val="22"/>
        </w:rPr>
        <w:t xml:space="preserve"> (VNR) kartu su bendrojo </w:t>
      </w:r>
      <w:proofErr w:type="spellStart"/>
      <w:r w:rsidRPr="00BF4AB8">
        <w:rPr>
          <w:sz w:val="22"/>
          <w:szCs w:val="22"/>
        </w:rPr>
        <w:t>bilirubino</w:t>
      </w:r>
      <w:proofErr w:type="spellEnd"/>
      <w:r w:rsidRPr="00BF4AB8">
        <w:rPr>
          <w:sz w:val="22"/>
          <w:szCs w:val="22"/>
        </w:rPr>
        <w:t xml:space="preserve"> kiekio</w:t>
      </w:r>
      <w:r w:rsidR="004B1B33" w:rsidRPr="00BF4AB8">
        <w:rPr>
          <w:sz w:val="22"/>
          <w:szCs w:val="22"/>
        </w:rPr>
        <w:t xml:space="preserve"> </w:t>
      </w:r>
      <w:r w:rsidRPr="00BF4AB8">
        <w:rPr>
          <w:sz w:val="22"/>
          <w:szCs w:val="22"/>
        </w:rPr>
        <w:t>padidėjimu ≥</w:t>
      </w:r>
      <w:r w:rsidR="004B1B33" w:rsidRPr="00BF4AB8">
        <w:rPr>
          <w:sz w:val="22"/>
          <w:szCs w:val="22"/>
        </w:rPr>
        <w:t> </w:t>
      </w:r>
      <w:r w:rsidRPr="00BF4AB8">
        <w:rPr>
          <w:sz w:val="22"/>
          <w:szCs w:val="22"/>
        </w:rPr>
        <w:t>2</w:t>
      </w:r>
      <w:r w:rsidR="004B1B33" w:rsidRPr="00BF4AB8">
        <w:rPr>
          <w:sz w:val="22"/>
          <w:szCs w:val="22"/>
        </w:rPr>
        <w:t xml:space="preserve"> kartus viršijant </w:t>
      </w:r>
      <w:r w:rsidRPr="00BF4AB8">
        <w:rPr>
          <w:sz w:val="22"/>
          <w:szCs w:val="22"/>
        </w:rPr>
        <w:t xml:space="preserve">VNR ir šarminės </w:t>
      </w:r>
      <w:proofErr w:type="spellStart"/>
      <w:r w:rsidRPr="00BF4AB8">
        <w:rPr>
          <w:sz w:val="22"/>
          <w:szCs w:val="22"/>
        </w:rPr>
        <w:t>fosfatazės</w:t>
      </w:r>
      <w:proofErr w:type="spellEnd"/>
      <w:r w:rsidRPr="00BF4AB8">
        <w:rPr>
          <w:sz w:val="22"/>
          <w:szCs w:val="22"/>
        </w:rPr>
        <w:t xml:space="preserve"> (ŠF) aktyvum</w:t>
      </w:r>
      <w:r w:rsidR="004B1B33" w:rsidRPr="00BF4AB8">
        <w:rPr>
          <w:sz w:val="22"/>
          <w:szCs w:val="22"/>
        </w:rPr>
        <w:t>o padidėjimu</w:t>
      </w:r>
      <w:r w:rsidRPr="00BF4AB8">
        <w:rPr>
          <w:sz w:val="22"/>
          <w:szCs w:val="22"/>
        </w:rPr>
        <w:t xml:space="preserve"> &lt;</w:t>
      </w:r>
      <w:r w:rsidR="004B1B33" w:rsidRPr="00BF4AB8">
        <w:rPr>
          <w:sz w:val="22"/>
          <w:szCs w:val="22"/>
        </w:rPr>
        <w:t> </w:t>
      </w:r>
      <w:r w:rsidRPr="00BF4AB8">
        <w:rPr>
          <w:sz w:val="22"/>
          <w:szCs w:val="22"/>
        </w:rPr>
        <w:t>2</w:t>
      </w:r>
      <w:r w:rsidR="004B1B33" w:rsidRPr="00BF4AB8">
        <w:rPr>
          <w:sz w:val="22"/>
          <w:szCs w:val="22"/>
        </w:rPr>
        <w:t xml:space="preserve"> kartus viršijant VNR</w:t>
      </w:r>
      <w:r w:rsidRPr="00BF4AB8">
        <w:rPr>
          <w:sz w:val="22"/>
          <w:szCs w:val="22"/>
        </w:rPr>
        <w:t>; žr. 2</w:t>
      </w:r>
      <w:r w:rsidR="004B1B33" w:rsidRPr="00BF4AB8">
        <w:rPr>
          <w:sz w:val="22"/>
          <w:szCs w:val="22"/>
        </w:rPr>
        <w:t> </w:t>
      </w:r>
      <w:r w:rsidRPr="00BF4AB8">
        <w:rPr>
          <w:sz w:val="22"/>
          <w:szCs w:val="22"/>
        </w:rPr>
        <w:t xml:space="preserve">lentelę. Jei </w:t>
      </w:r>
      <w:r w:rsidR="004B1B33" w:rsidRPr="00BF4AB8">
        <w:rPr>
          <w:sz w:val="22"/>
          <w:szCs w:val="22"/>
        </w:rPr>
        <w:t>nenustatoma alternatyvi tokio poveikio</w:t>
      </w:r>
      <w:r w:rsidRPr="00BF4AB8">
        <w:rPr>
          <w:sz w:val="22"/>
          <w:szCs w:val="22"/>
        </w:rPr>
        <w:t xml:space="preserve"> priežas</w:t>
      </w:r>
      <w:r w:rsidR="004B1B33" w:rsidRPr="00BF4AB8">
        <w:rPr>
          <w:sz w:val="22"/>
          <w:szCs w:val="22"/>
        </w:rPr>
        <w:t>tis</w:t>
      </w:r>
      <w:r w:rsidRPr="00BF4AB8">
        <w:rPr>
          <w:sz w:val="22"/>
          <w:szCs w:val="22"/>
        </w:rPr>
        <w:t xml:space="preserve">, gydymą </w:t>
      </w:r>
      <w:proofErr w:type="spellStart"/>
      <w:r w:rsidR="004B1B33" w:rsidRPr="00BF4AB8">
        <w:rPr>
          <w:sz w:val="22"/>
          <w:szCs w:val="22"/>
        </w:rPr>
        <w:t>Nytyka</w:t>
      </w:r>
      <w:proofErr w:type="spellEnd"/>
      <w:r w:rsidR="004B1B33" w:rsidRPr="00BF4AB8">
        <w:rPr>
          <w:sz w:val="22"/>
          <w:szCs w:val="22"/>
        </w:rPr>
        <w:t xml:space="preserve"> </w:t>
      </w:r>
      <w:r w:rsidRPr="00BF4AB8">
        <w:rPr>
          <w:sz w:val="22"/>
          <w:szCs w:val="22"/>
        </w:rPr>
        <w:t>reikia nutraukti visam laikui (taip pat žr. 4.4</w:t>
      </w:r>
      <w:r w:rsidR="004B1B33" w:rsidRPr="00BF4AB8">
        <w:rPr>
          <w:sz w:val="22"/>
          <w:szCs w:val="22"/>
        </w:rPr>
        <w:t> </w:t>
      </w:r>
      <w:r w:rsidRPr="00BF4AB8">
        <w:rPr>
          <w:sz w:val="22"/>
          <w:szCs w:val="22"/>
        </w:rPr>
        <w:t>skyrių).</w:t>
      </w:r>
    </w:p>
    <w:p w14:paraId="087B54B4" w14:textId="77777777" w:rsidR="004A3A17" w:rsidRPr="00BF4AB8" w:rsidRDefault="004A3A17" w:rsidP="004A3A17">
      <w:pPr>
        <w:tabs>
          <w:tab w:val="left" w:pos="567"/>
        </w:tabs>
        <w:rPr>
          <w:sz w:val="22"/>
          <w:szCs w:val="22"/>
        </w:rPr>
      </w:pPr>
    </w:p>
    <w:p w14:paraId="7E6D1FEE" w14:textId="4C65B151" w:rsidR="004A3A17" w:rsidRPr="00BF4AB8" w:rsidRDefault="004A3A17" w:rsidP="004B1B33">
      <w:pPr>
        <w:keepNext/>
        <w:tabs>
          <w:tab w:val="left" w:pos="1134"/>
        </w:tabs>
        <w:ind w:left="1134" w:hanging="1134"/>
        <w:rPr>
          <w:b/>
          <w:sz w:val="22"/>
          <w:szCs w:val="22"/>
        </w:rPr>
      </w:pPr>
      <w:r w:rsidRPr="00BF4AB8">
        <w:rPr>
          <w:b/>
          <w:sz w:val="22"/>
          <w:szCs w:val="22"/>
        </w:rPr>
        <w:t>1</w:t>
      </w:r>
      <w:r w:rsidR="00EC5110" w:rsidRPr="00BF4AB8">
        <w:rPr>
          <w:b/>
          <w:sz w:val="22"/>
          <w:szCs w:val="22"/>
        </w:rPr>
        <w:t> lentelė.</w:t>
      </w:r>
      <w:r w:rsidRPr="00BF4AB8">
        <w:rPr>
          <w:b/>
          <w:sz w:val="22"/>
          <w:szCs w:val="22"/>
        </w:rPr>
        <w:tab/>
      </w:r>
      <w:r w:rsidR="004B1B33" w:rsidRPr="00BF4AB8">
        <w:rPr>
          <w:b/>
          <w:sz w:val="22"/>
          <w:szCs w:val="22"/>
        </w:rPr>
        <w:t xml:space="preserve">Rekomenduojamas </w:t>
      </w:r>
      <w:proofErr w:type="spellStart"/>
      <w:r w:rsidR="004B1B33" w:rsidRPr="00BF4AB8">
        <w:rPr>
          <w:b/>
          <w:sz w:val="22"/>
          <w:szCs w:val="22"/>
        </w:rPr>
        <w:t>nintedanibo</w:t>
      </w:r>
      <w:proofErr w:type="spellEnd"/>
      <w:r w:rsidR="004B1B33" w:rsidRPr="00BF4AB8">
        <w:rPr>
          <w:b/>
          <w:sz w:val="22"/>
          <w:szCs w:val="22"/>
        </w:rPr>
        <w:t xml:space="preserve"> dozės koregavimas pasireiškus viduriavimui, vėmimui ir kitoms nehematologinėms ar hematologinėms nepageidaujamoms reakcijoms</w:t>
      </w:r>
    </w:p>
    <w:tbl>
      <w:tblPr>
        <w:tblStyle w:val="Lentelstinklelis"/>
        <w:tblW w:w="5000" w:type="pct"/>
        <w:tblLook w:val="04A0" w:firstRow="1" w:lastRow="0" w:firstColumn="1" w:lastColumn="0" w:noHBand="0" w:noVBand="1"/>
      </w:tblPr>
      <w:tblGrid>
        <w:gridCol w:w="4530"/>
        <w:gridCol w:w="4530"/>
      </w:tblGrid>
      <w:tr w:rsidR="004A3A17" w:rsidRPr="00BF4AB8" w14:paraId="6217D21C" w14:textId="77777777" w:rsidTr="003E7B06">
        <w:tc>
          <w:tcPr>
            <w:tcW w:w="2500" w:type="pct"/>
            <w:vAlign w:val="center"/>
          </w:tcPr>
          <w:p w14:paraId="3B6EE38C" w14:textId="4F7455ED" w:rsidR="004A3A17" w:rsidRPr="00BF4AB8" w:rsidRDefault="004A3A17" w:rsidP="004A3A17">
            <w:pPr>
              <w:tabs>
                <w:tab w:val="left" w:pos="567"/>
              </w:tabs>
              <w:jc w:val="center"/>
              <w:rPr>
                <w:b/>
                <w:sz w:val="22"/>
                <w:szCs w:val="22"/>
                <w:lang w:val="lt-LT"/>
              </w:rPr>
            </w:pPr>
            <w:r w:rsidRPr="00BF4AB8">
              <w:rPr>
                <w:b/>
                <w:sz w:val="22"/>
                <w:szCs w:val="22"/>
                <w:lang w:val="lt-LT"/>
              </w:rPr>
              <w:t xml:space="preserve">CTCAE* </w:t>
            </w:r>
            <w:r w:rsidR="004B1B33" w:rsidRPr="00BF4AB8">
              <w:rPr>
                <w:b/>
                <w:sz w:val="22"/>
                <w:szCs w:val="22"/>
                <w:lang w:val="lt-LT"/>
              </w:rPr>
              <w:t>nepageidaujama reakcija</w:t>
            </w:r>
          </w:p>
        </w:tc>
        <w:tc>
          <w:tcPr>
            <w:tcW w:w="2500" w:type="pct"/>
            <w:vAlign w:val="center"/>
          </w:tcPr>
          <w:p w14:paraId="281C55E4" w14:textId="6790C09F" w:rsidR="004A3A17" w:rsidRPr="00BF4AB8" w:rsidRDefault="004B1B33" w:rsidP="004A3A17">
            <w:pPr>
              <w:tabs>
                <w:tab w:val="left" w:pos="567"/>
              </w:tabs>
              <w:jc w:val="center"/>
              <w:rPr>
                <w:b/>
                <w:sz w:val="22"/>
                <w:szCs w:val="22"/>
                <w:lang w:val="lt-LT"/>
              </w:rPr>
            </w:pPr>
            <w:r w:rsidRPr="00BF4AB8">
              <w:rPr>
                <w:b/>
                <w:sz w:val="22"/>
                <w:szCs w:val="22"/>
                <w:lang w:val="lt-LT"/>
              </w:rPr>
              <w:t>Dozės koregavimas</w:t>
            </w:r>
          </w:p>
        </w:tc>
      </w:tr>
      <w:tr w:rsidR="004A3A17" w:rsidRPr="00BF4AB8" w14:paraId="6F1CF1BB" w14:textId="77777777" w:rsidTr="003E7B06">
        <w:tc>
          <w:tcPr>
            <w:tcW w:w="2500" w:type="pct"/>
          </w:tcPr>
          <w:p w14:paraId="71F2A977" w14:textId="1F2FB446" w:rsidR="00706953" w:rsidRPr="00BF4AB8" w:rsidRDefault="00706953" w:rsidP="00706953">
            <w:pPr>
              <w:tabs>
                <w:tab w:val="left" w:pos="567"/>
              </w:tabs>
              <w:rPr>
                <w:sz w:val="22"/>
                <w:szCs w:val="22"/>
                <w:lang w:val="lt-LT"/>
              </w:rPr>
            </w:pPr>
            <w:r w:rsidRPr="00BF4AB8">
              <w:rPr>
                <w:sz w:val="22"/>
                <w:szCs w:val="22"/>
                <w:lang w:val="lt-LT"/>
              </w:rPr>
              <w:t>≥ 2 laipsnio viduriavimas ilgiau kaip 7 dienas iš eilės, nepaisant gydymo vaistiniais preparatais nuo viduriavimo</w:t>
            </w:r>
          </w:p>
          <w:p w14:paraId="055C1D24" w14:textId="77777777" w:rsidR="00706953" w:rsidRPr="00BF4AB8" w:rsidRDefault="00706953" w:rsidP="00706953">
            <w:pPr>
              <w:tabs>
                <w:tab w:val="left" w:pos="567"/>
              </w:tabs>
              <w:rPr>
                <w:b/>
                <w:bCs/>
                <w:i/>
                <w:iCs/>
                <w:sz w:val="22"/>
                <w:szCs w:val="22"/>
                <w:lang w:val="lt-LT"/>
              </w:rPr>
            </w:pPr>
            <w:r w:rsidRPr="00BF4AB8">
              <w:rPr>
                <w:b/>
                <w:bCs/>
                <w:i/>
                <w:iCs/>
                <w:sz w:val="22"/>
                <w:szCs w:val="22"/>
                <w:lang w:val="lt-LT"/>
              </w:rPr>
              <w:t>ARBA</w:t>
            </w:r>
          </w:p>
          <w:p w14:paraId="5F358B04" w14:textId="04368CD4" w:rsidR="004A3A17" w:rsidRPr="00BF4AB8" w:rsidRDefault="00706953" w:rsidP="00706953">
            <w:pPr>
              <w:tabs>
                <w:tab w:val="left" w:pos="567"/>
              </w:tabs>
              <w:rPr>
                <w:sz w:val="22"/>
                <w:szCs w:val="22"/>
                <w:lang w:val="lt-LT"/>
              </w:rPr>
            </w:pPr>
            <w:r w:rsidRPr="00BF4AB8">
              <w:rPr>
                <w:sz w:val="22"/>
                <w:szCs w:val="22"/>
                <w:lang w:val="lt-LT"/>
              </w:rPr>
              <w:t>≥ 3 laipsnio viduriavimas, nepaisant gydymo vaistiniais preparatais nuo viduriavimo</w:t>
            </w:r>
          </w:p>
        </w:tc>
        <w:tc>
          <w:tcPr>
            <w:tcW w:w="2500" w:type="pct"/>
            <w:vMerge w:val="restart"/>
            <w:vAlign w:val="center"/>
          </w:tcPr>
          <w:p w14:paraId="242308FF" w14:textId="4126031D" w:rsidR="004A3A17" w:rsidRPr="00BF4AB8" w:rsidRDefault="00706953" w:rsidP="00706953">
            <w:pPr>
              <w:tabs>
                <w:tab w:val="left" w:pos="567"/>
              </w:tabs>
              <w:jc w:val="center"/>
              <w:rPr>
                <w:sz w:val="22"/>
                <w:szCs w:val="22"/>
                <w:lang w:val="lt-LT"/>
              </w:rPr>
            </w:pPr>
            <w:r w:rsidRPr="00BF4AB8">
              <w:rPr>
                <w:sz w:val="22"/>
                <w:szCs w:val="22"/>
                <w:lang w:val="lt-LT"/>
              </w:rPr>
              <w:t>Sustabdžius gydymą ir reakcijai susilpnėjus iki 1 laipsnio ar pradinio sunkumo, dozė mažinama nuo 200</w:t>
            </w:r>
            <w:r w:rsidR="00AC48E9" w:rsidRPr="00BF4AB8">
              <w:rPr>
                <w:sz w:val="22"/>
                <w:szCs w:val="22"/>
                <w:lang w:val="lt-LT"/>
              </w:rPr>
              <w:t> mg</w:t>
            </w:r>
            <w:r w:rsidRPr="00BF4AB8">
              <w:rPr>
                <w:sz w:val="22"/>
                <w:szCs w:val="22"/>
                <w:lang w:val="lt-LT"/>
              </w:rPr>
              <w:t xml:space="preserve"> du kartus per parą iki 150</w:t>
            </w:r>
            <w:r w:rsidR="00AC48E9" w:rsidRPr="00BF4AB8">
              <w:rPr>
                <w:sz w:val="22"/>
                <w:szCs w:val="22"/>
                <w:lang w:val="lt-LT"/>
              </w:rPr>
              <w:t> mg</w:t>
            </w:r>
            <w:r w:rsidRPr="00BF4AB8">
              <w:rPr>
                <w:sz w:val="22"/>
                <w:szCs w:val="22"/>
                <w:lang w:val="lt-LT"/>
              </w:rPr>
              <w:t xml:space="preserve"> du kartus per parą ir (jei manoma, kad dozę būtina mažinti antrą kartą) nuo 150</w:t>
            </w:r>
            <w:r w:rsidR="00AC48E9" w:rsidRPr="00BF4AB8">
              <w:rPr>
                <w:sz w:val="22"/>
                <w:szCs w:val="22"/>
                <w:lang w:val="lt-LT"/>
              </w:rPr>
              <w:t> mg</w:t>
            </w:r>
            <w:r w:rsidRPr="00BF4AB8">
              <w:rPr>
                <w:sz w:val="22"/>
                <w:szCs w:val="22"/>
                <w:lang w:val="lt-LT"/>
              </w:rPr>
              <w:t xml:space="preserve"> du kartus per parą iki 100</w:t>
            </w:r>
            <w:r w:rsidR="00AC48E9" w:rsidRPr="00BF4AB8">
              <w:rPr>
                <w:sz w:val="22"/>
                <w:szCs w:val="22"/>
                <w:lang w:val="lt-LT"/>
              </w:rPr>
              <w:t> mg</w:t>
            </w:r>
            <w:r w:rsidRPr="00BF4AB8">
              <w:rPr>
                <w:sz w:val="22"/>
                <w:szCs w:val="22"/>
                <w:lang w:val="lt-LT"/>
              </w:rPr>
              <w:t xml:space="preserve"> du kartus per parą.</w:t>
            </w:r>
          </w:p>
        </w:tc>
      </w:tr>
      <w:tr w:rsidR="004A3A17" w:rsidRPr="00BF4AB8" w14:paraId="763091E8" w14:textId="77777777" w:rsidTr="003E7B06">
        <w:tc>
          <w:tcPr>
            <w:tcW w:w="2500" w:type="pct"/>
          </w:tcPr>
          <w:p w14:paraId="44727DA2" w14:textId="045A95B0" w:rsidR="004A3A17" w:rsidRPr="00BF4AB8" w:rsidRDefault="00706953" w:rsidP="004A3A17">
            <w:pPr>
              <w:tabs>
                <w:tab w:val="left" w:pos="567"/>
              </w:tabs>
              <w:rPr>
                <w:sz w:val="22"/>
                <w:szCs w:val="22"/>
                <w:lang w:val="lt-LT"/>
              </w:rPr>
            </w:pPr>
            <w:r w:rsidRPr="00BF4AB8">
              <w:rPr>
                <w:sz w:val="22"/>
                <w:szCs w:val="22"/>
                <w:lang w:val="lt-LT"/>
              </w:rPr>
              <w:t>≥ 2 laipsnio vėmimas</w:t>
            </w:r>
          </w:p>
          <w:p w14:paraId="774A7C80" w14:textId="6614324B" w:rsidR="004A3A17" w:rsidRPr="00BF4AB8" w:rsidRDefault="00706953" w:rsidP="004A3A17">
            <w:pPr>
              <w:tabs>
                <w:tab w:val="left" w:pos="567"/>
              </w:tabs>
              <w:rPr>
                <w:b/>
                <w:i/>
                <w:sz w:val="22"/>
                <w:szCs w:val="22"/>
                <w:lang w:val="lt-LT"/>
              </w:rPr>
            </w:pPr>
            <w:r w:rsidRPr="00BF4AB8">
              <w:rPr>
                <w:b/>
                <w:i/>
                <w:sz w:val="22"/>
                <w:szCs w:val="22"/>
                <w:lang w:val="lt-LT"/>
              </w:rPr>
              <w:t>IR (ARBA)</w:t>
            </w:r>
          </w:p>
          <w:p w14:paraId="66A8893D" w14:textId="37F8F8C0" w:rsidR="004A3A17" w:rsidRPr="00BF4AB8" w:rsidRDefault="00706953" w:rsidP="004A3A17">
            <w:pPr>
              <w:tabs>
                <w:tab w:val="left" w:pos="567"/>
              </w:tabs>
              <w:rPr>
                <w:sz w:val="22"/>
                <w:szCs w:val="22"/>
                <w:lang w:val="lt-LT"/>
              </w:rPr>
            </w:pPr>
            <w:r w:rsidRPr="00BF4AB8">
              <w:rPr>
                <w:sz w:val="22"/>
                <w:szCs w:val="22"/>
                <w:lang w:val="lt-LT"/>
              </w:rPr>
              <w:t>≥ 3 laipsnio vėmimas, nepaisant gydymo vaistiniais preparatais nuo vėmimo</w:t>
            </w:r>
          </w:p>
        </w:tc>
        <w:tc>
          <w:tcPr>
            <w:tcW w:w="2500" w:type="pct"/>
            <w:vMerge/>
          </w:tcPr>
          <w:p w14:paraId="6AA5D02F" w14:textId="77777777" w:rsidR="004A3A17" w:rsidRPr="00BF4AB8" w:rsidRDefault="004A3A17" w:rsidP="004A3A17">
            <w:pPr>
              <w:tabs>
                <w:tab w:val="left" w:pos="567"/>
              </w:tabs>
              <w:rPr>
                <w:sz w:val="22"/>
                <w:szCs w:val="22"/>
                <w:lang w:val="lt-LT"/>
              </w:rPr>
            </w:pPr>
          </w:p>
        </w:tc>
      </w:tr>
      <w:tr w:rsidR="004A3A17" w:rsidRPr="00BF4AB8" w14:paraId="1299E56F" w14:textId="77777777" w:rsidTr="003E7B06">
        <w:tc>
          <w:tcPr>
            <w:tcW w:w="2500" w:type="pct"/>
          </w:tcPr>
          <w:p w14:paraId="69392E5C" w14:textId="00BE6802" w:rsidR="004A3A17" w:rsidRPr="00BF4AB8" w:rsidRDefault="00706953" w:rsidP="00706953">
            <w:pPr>
              <w:tabs>
                <w:tab w:val="left" w:pos="567"/>
              </w:tabs>
              <w:rPr>
                <w:sz w:val="22"/>
                <w:szCs w:val="22"/>
                <w:lang w:val="lt-LT"/>
              </w:rPr>
            </w:pPr>
            <w:r w:rsidRPr="00BF4AB8">
              <w:rPr>
                <w:sz w:val="22"/>
                <w:szCs w:val="22"/>
                <w:lang w:val="lt-LT"/>
              </w:rPr>
              <w:t>Kitos ≥ 3 laipsnio nehematologinės ar hematologinės nepageidaujamos reakcijos</w:t>
            </w:r>
          </w:p>
        </w:tc>
        <w:tc>
          <w:tcPr>
            <w:tcW w:w="2500" w:type="pct"/>
            <w:vMerge/>
          </w:tcPr>
          <w:p w14:paraId="51B47283" w14:textId="77777777" w:rsidR="004A3A17" w:rsidRPr="00BF4AB8" w:rsidRDefault="004A3A17" w:rsidP="004A3A17">
            <w:pPr>
              <w:tabs>
                <w:tab w:val="left" w:pos="567"/>
              </w:tabs>
              <w:rPr>
                <w:sz w:val="22"/>
                <w:szCs w:val="22"/>
                <w:lang w:val="lt-LT"/>
              </w:rPr>
            </w:pPr>
          </w:p>
        </w:tc>
      </w:tr>
    </w:tbl>
    <w:p w14:paraId="35037EA2" w14:textId="63C9D9E4" w:rsidR="004A3A17" w:rsidRPr="00BF4AB8" w:rsidRDefault="004A3A17" w:rsidP="00861BBA">
      <w:pPr>
        <w:tabs>
          <w:tab w:val="left" w:pos="567"/>
        </w:tabs>
        <w:rPr>
          <w:sz w:val="20"/>
        </w:rPr>
      </w:pPr>
      <w:r w:rsidRPr="00BF4AB8">
        <w:rPr>
          <w:sz w:val="20"/>
        </w:rPr>
        <w:t xml:space="preserve">* CTCAE: </w:t>
      </w:r>
      <w:r w:rsidR="00861BBA" w:rsidRPr="00BF4AB8">
        <w:rPr>
          <w:sz w:val="20"/>
        </w:rPr>
        <w:t xml:space="preserve">nepageidaujamų reiškinių bendros terminologijos kriterijai (angl. </w:t>
      </w:r>
      <w:proofErr w:type="spellStart"/>
      <w:r w:rsidRPr="00BF4AB8">
        <w:rPr>
          <w:i/>
          <w:iCs/>
          <w:sz w:val="20"/>
        </w:rPr>
        <w:t>Common</w:t>
      </w:r>
      <w:proofErr w:type="spellEnd"/>
      <w:r w:rsidRPr="00BF4AB8">
        <w:rPr>
          <w:i/>
          <w:iCs/>
          <w:sz w:val="20"/>
        </w:rPr>
        <w:t xml:space="preserve"> </w:t>
      </w:r>
      <w:proofErr w:type="spellStart"/>
      <w:r w:rsidRPr="00BF4AB8">
        <w:rPr>
          <w:i/>
          <w:iCs/>
          <w:sz w:val="20"/>
        </w:rPr>
        <w:t>Terminology</w:t>
      </w:r>
      <w:proofErr w:type="spellEnd"/>
      <w:r w:rsidRPr="00BF4AB8">
        <w:rPr>
          <w:i/>
          <w:iCs/>
          <w:sz w:val="20"/>
        </w:rPr>
        <w:t xml:space="preserve"> </w:t>
      </w:r>
      <w:proofErr w:type="spellStart"/>
      <w:r w:rsidRPr="00BF4AB8">
        <w:rPr>
          <w:i/>
          <w:iCs/>
          <w:sz w:val="20"/>
        </w:rPr>
        <w:t>Criteria</w:t>
      </w:r>
      <w:proofErr w:type="spellEnd"/>
      <w:r w:rsidRPr="00BF4AB8">
        <w:rPr>
          <w:i/>
          <w:iCs/>
          <w:sz w:val="20"/>
        </w:rPr>
        <w:t xml:space="preserve"> </w:t>
      </w:r>
      <w:proofErr w:type="spellStart"/>
      <w:r w:rsidRPr="00BF4AB8">
        <w:rPr>
          <w:i/>
          <w:iCs/>
          <w:sz w:val="20"/>
        </w:rPr>
        <w:t>for</w:t>
      </w:r>
      <w:proofErr w:type="spellEnd"/>
      <w:r w:rsidRPr="00BF4AB8">
        <w:rPr>
          <w:i/>
          <w:iCs/>
          <w:sz w:val="20"/>
        </w:rPr>
        <w:t xml:space="preserve"> </w:t>
      </w:r>
      <w:proofErr w:type="spellStart"/>
      <w:r w:rsidRPr="00BF4AB8">
        <w:rPr>
          <w:i/>
          <w:iCs/>
          <w:sz w:val="20"/>
        </w:rPr>
        <w:t>Adverse</w:t>
      </w:r>
      <w:proofErr w:type="spellEnd"/>
      <w:r w:rsidRPr="00BF4AB8">
        <w:rPr>
          <w:i/>
          <w:iCs/>
          <w:sz w:val="20"/>
        </w:rPr>
        <w:t xml:space="preserve"> </w:t>
      </w:r>
      <w:proofErr w:type="spellStart"/>
      <w:r w:rsidRPr="00BF4AB8">
        <w:rPr>
          <w:i/>
          <w:iCs/>
          <w:sz w:val="20"/>
        </w:rPr>
        <w:t>Events</w:t>
      </w:r>
      <w:proofErr w:type="spellEnd"/>
      <w:r w:rsidR="00861BBA" w:rsidRPr="00BF4AB8">
        <w:rPr>
          <w:sz w:val="20"/>
        </w:rPr>
        <w:t>)</w:t>
      </w:r>
    </w:p>
    <w:p w14:paraId="621DE63D" w14:textId="77777777" w:rsidR="004A3A17" w:rsidRPr="00BF4AB8" w:rsidRDefault="004A3A17" w:rsidP="004A3A17">
      <w:pPr>
        <w:tabs>
          <w:tab w:val="left" w:pos="567"/>
        </w:tabs>
        <w:rPr>
          <w:sz w:val="22"/>
          <w:szCs w:val="22"/>
        </w:rPr>
      </w:pPr>
    </w:p>
    <w:p w14:paraId="3016A6C0" w14:textId="3B3487E2" w:rsidR="004A3A17" w:rsidRPr="00BF4AB8" w:rsidRDefault="004A3A17" w:rsidP="00BD61DC">
      <w:pPr>
        <w:keepNext/>
        <w:tabs>
          <w:tab w:val="left" w:pos="567"/>
        </w:tabs>
        <w:ind w:left="1134" w:hanging="1134"/>
        <w:rPr>
          <w:b/>
          <w:sz w:val="22"/>
          <w:szCs w:val="22"/>
        </w:rPr>
      </w:pPr>
      <w:r w:rsidRPr="00BF4AB8">
        <w:rPr>
          <w:b/>
          <w:sz w:val="22"/>
          <w:szCs w:val="22"/>
        </w:rPr>
        <w:t>2</w:t>
      </w:r>
      <w:r w:rsidR="00BD61DC" w:rsidRPr="00BF4AB8">
        <w:rPr>
          <w:b/>
          <w:sz w:val="22"/>
          <w:szCs w:val="22"/>
        </w:rPr>
        <w:t> lentelė.</w:t>
      </w:r>
      <w:r w:rsidRPr="00BF4AB8">
        <w:rPr>
          <w:b/>
          <w:sz w:val="22"/>
          <w:szCs w:val="22"/>
        </w:rPr>
        <w:tab/>
      </w:r>
      <w:r w:rsidR="00BD61DC" w:rsidRPr="00BF4AB8">
        <w:rPr>
          <w:b/>
          <w:sz w:val="22"/>
          <w:szCs w:val="22"/>
        </w:rPr>
        <w:t xml:space="preserve">Rekomenduojamas </w:t>
      </w:r>
      <w:proofErr w:type="spellStart"/>
      <w:r w:rsidR="00BD61DC" w:rsidRPr="00BF4AB8">
        <w:rPr>
          <w:b/>
          <w:sz w:val="22"/>
          <w:szCs w:val="22"/>
        </w:rPr>
        <w:t>nintedanibo</w:t>
      </w:r>
      <w:proofErr w:type="spellEnd"/>
      <w:r w:rsidR="00BD61DC" w:rsidRPr="00BF4AB8">
        <w:rPr>
          <w:b/>
          <w:sz w:val="22"/>
          <w:szCs w:val="22"/>
        </w:rPr>
        <w:t xml:space="preserve"> dozės koregavimas padidėjus AST ir (arba) ALT aktyvumui bei </w:t>
      </w:r>
      <w:proofErr w:type="spellStart"/>
      <w:r w:rsidR="00BD61DC" w:rsidRPr="00BF4AB8">
        <w:rPr>
          <w:b/>
          <w:sz w:val="22"/>
          <w:szCs w:val="22"/>
        </w:rPr>
        <w:t>bilirubino</w:t>
      </w:r>
      <w:proofErr w:type="spellEnd"/>
      <w:r w:rsidR="00BD61DC" w:rsidRPr="00BF4AB8">
        <w:rPr>
          <w:b/>
          <w:sz w:val="22"/>
          <w:szCs w:val="22"/>
        </w:rPr>
        <w:t xml:space="preserve"> kiekiui</w:t>
      </w:r>
    </w:p>
    <w:tbl>
      <w:tblPr>
        <w:tblStyle w:val="Lentelstinklelis"/>
        <w:tblW w:w="5000" w:type="pct"/>
        <w:tblLook w:val="04A0" w:firstRow="1" w:lastRow="0" w:firstColumn="1" w:lastColumn="0" w:noHBand="0" w:noVBand="1"/>
      </w:tblPr>
      <w:tblGrid>
        <w:gridCol w:w="4530"/>
        <w:gridCol w:w="4530"/>
      </w:tblGrid>
      <w:tr w:rsidR="004A3A17" w:rsidRPr="00BF4AB8" w14:paraId="6169D023" w14:textId="77777777" w:rsidTr="003E7B06">
        <w:tc>
          <w:tcPr>
            <w:tcW w:w="2500" w:type="pct"/>
          </w:tcPr>
          <w:p w14:paraId="76D9EFAB" w14:textId="77777777" w:rsidR="00227ACE" w:rsidRPr="00BF4AB8" w:rsidRDefault="004A3A17" w:rsidP="00227ACE">
            <w:pPr>
              <w:tabs>
                <w:tab w:val="left" w:pos="567"/>
              </w:tabs>
              <w:rPr>
                <w:b/>
                <w:sz w:val="22"/>
                <w:szCs w:val="22"/>
                <w:lang w:val="lt-LT"/>
              </w:rPr>
            </w:pPr>
            <w:r w:rsidRPr="00BF4AB8">
              <w:rPr>
                <w:b/>
                <w:sz w:val="22"/>
                <w:szCs w:val="22"/>
                <w:lang w:val="lt-LT"/>
              </w:rPr>
              <w:t xml:space="preserve">AST / ALT </w:t>
            </w:r>
            <w:r w:rsidR="00227ACE" w:rsidRPr="00BF4AB8">
              <w:rPr>
                <w:b/>
                <w:sz w:val="22"/>
                <w:szCs w:val="22"/>
                <w:lang w:val="lt-LT"/>
              </w:rPr>
              <w:t xml:space="preserve">aktyvumo ir </w:t>
            </w:r>
            <w:proofErr w:type="spellStart"/>
            <w:r w:rsidR="00227ACE" w:rsidRPr="00BF4AB8">
              <w:rPr>
                <w:b/>
                <w:sz w:val="22"/>
                <w:szCs w:val="22"/>
                <w:lang w:val="lt-LT"/>
              </w:rPr>
              <w:t>bilirubino</w:t>
            </w:r>
            <w:proofErr w:type="spellEnd"/>
            <w:r w:rsidR="00227ACE" w:rsidRPr="00BF4AB8">
              <w:rPr>
                <w:b/>
                <w:sz w:val="22"/>
                <w:szCs w:val="22"/>
                <w:lang w:val="lt-LT"/>
              </w:rPr>
              <w:t xml:space="preserve"> kiekio</w:t>
            </w:r>
          </w:p>
          <w:p w14:paraId="7007DF80" w14:textId="21CC731A" w:rsidR="004A3A17" w:rsidRPr="00BF4AB8" w:rsidRDefault="00227ACE" w:rsidP="00227ACE">
            <w:pPr>
              <w:tabs>
                <w:tab w:val="left" w:pos="567"/>
              </w:tabs>
              <w:rPr>
                <w:b/>
                <w:sz w:val="22"/>
                <w:szCs w:val="22"/>
                <w:lang w:val="lt-LT"/>
              </w:rPr>
            </w:pPr>
            <w:r w:rsidRPr="00BF4AB8">
              <w:rPr>
                <w:b/>
                <w:sz w:val="22"/>
                <w:szCs w:val="22"/>
                <w:lang w:val="lt-LT"/>
              </w:rPr>
              <w:t>padidėjimas</w:t>
            </w:r>
          </w:p>
        </w:tc>
        <w:tc>
          <w:tcPr>
            <w:tcW w:w="2500" w:type="pct"/>
          </w:tcPr>
          <w:p w14:paraId="791623D6" w14:textId="39AA1003" w:rsidR="004A3A17" w:rsidRPr="00BF4AB8" w:rsidRDefault="00227ACE" w:rsidP="004A3A17">
            <w:pPr>
              <w:tabs>
                <w:tab w:val="left" w:pos="567"/>
              </w:tabs>
              <w:rPr>
                <w:b/>
                <w:sz w:val="22"/>
                <w:szCs w:val="22"/>
                <w:lang w:val="lt-LT"/>
              </w:rPr>
            </w:pPr>
            <w:r w:rsidRPr="00BF4AB8">
              <w:rPr>
                <w:b/>
                <w:sz w:val="22"/>
                <w:szCs w:val="22"/>
                <w:lang w:val="lt-LT"/>
              </w:rPr>
              <w:t>Dozės koregavimas</w:t>
            </w:r>
          </w:p>
        </w:tc>
      </w:tr>
      <w:tr w:rsidR="004A3A17" w:rsidRPr="00BF4AB8" w14:paraId="6F55834D" w14:textId="77777777" w:rsidTr="003E7B06">
        <w:tc>
          <w:tcPr>
            <w:tcW w:w="2500" w:type="pct"/>
          </w:tcPr>
          <w:p w14:paraId="4ABE8F94" w14:textId="653E7CEF" w:rsidR="00227ACE" w:rsidRPr="00BF4AB8" w:rsidRDefault="00227ACE" w:rsidP="00227ACE">
            <w:pPr>
              <w:tabs>
                <w:tab w:val="left" w:pos="567"/>
              </w:tabs>
              <w:rPr>
                <w:sz w:val="22"/>
                <w:szCs w:val="22"/>
                <w:lang w:val="lt-LT"/>
              </w:rPr>
            </w:pPr>
            <w:r w:rsidRPr="00BF4AB8">
              <w:rPr>
                <w:sz w:val="22"/>
                <w:szCs w:val="22"/>
                <w:lang w:val="lt-LT"/>
              </w:rPr>
              <w:t xml:space="preserve">AST ir (arba) ALT aktyvumo padidėjimas &gt; 2,5 karto viršijant VNR kartu su bendrojo </w:t>
            </w:r>
            <w:proofErr w:type="spellStart"/>
            <w:r w:rsidRPr="00BF4AB8">
              <w:rPr>
                <w:sz w:val="22"/>
                <w:szCs w:val="22"/>
                <w:lang w:val="lt-LT"/>
              </w:rPr>
              <w:t>bilirubino</w:t>
            </w:r>
            <w:proofErr w:type="spellEnd"/>
            <w:r w:rsidRPr="00BF4AB8">
              <w:rPr>
                <w:sz w:val="22"/>
                <w:szCs w:val="22"/>
                <w:lang w:val="lt-LT"/>
              </w:rPr>
              <w:t xml:space="preserve"> kiekio padidėjimu ≥ 1,5 karto viršijant VNR</w:t>
            </w:r>
          </w:p>
          <w:p w14:paraId="0B96F956" w14:textId="77777777" w:rsidR="00227ACE" w:rsidRPr="00BF4AB8" w:rsidRDefault="00227ACE" w:rsidP="00227ACE">
            <w:pPr>
              <w:tabs>
                <w:tab w:val="left" w:pos="567"/>
              </w:tabs>
              <w:rPr>
                <w:b/>
                <w:bCs/>
                <w:i/>
                <w:iCs/>
                <w:sz w:val="22"/>
                <w:szCs w:val="22"/>
                <w:lang w:val="lt-LT"/>
              </w:rPr>
            </w:pPr>
            <w:r w:rsidRPr="00BF4AB8">
              <w:rPr>
                <w:b/>
                <w:bCs/>
                <w:i/>
                <w:iCs/>
                <w:sz w:val="22"/>
                <w:szCs w:val="22"/>
                <w:lang w:val="lt-LT"/>
              </w:rPr>
              <w:t>ARBA</w:t>
            </w:r>
          </w:p>
          <w:p w14:paraId="0495B5B0" w14:textId="183E91E5" w:rsidR="004A3A17" w:rsidRPr="00BF4AB8" w:rsidRDefault="00227ACE" w:rsidP="00227ACE">
            <w:pPr>
              <w:tabs>
                <w:tab w:val="left" w:pos="567"/>
              </w:tabs>
              <w:rPr>
                <w:sz w:val="22"/>
                <w:szCs w:val="22"/>
                <w:lang w:val="lt-LT"/>
              </w:rPr>
            </w:pPr>
            <w:r w:rsidRPr="00BF4AB8">
              <w:rPr>
                <w:sz w:val="22"/>
                <w:szCs w:val="22"/>
                <w:lang w:val="lt-LT"/>
              </w:rPr>
              <w:t>AST ir (arba) ALT aktyvumo padidėjimas &gt; 5 kartus viršijant VNR</w:t>
            </w:r>
          </w:p>
        </w:tc>
        <w:tc>
          <w:tcPr>
            <w:tcW w:w="2500" w:type="pct"/>
          </w:tcPr>
          <w:p w14:paraId="7E67CDF7" w14:textId="5D9307D0" w:rsidR="004A3A17" w:rsidRPr="00BF4AB8" w:rsidRDefault="00227ACE" w:rsidP="00227ACE">
            <w:pPr>
              <w:tabs>
                <w:tab w:val="left" w:pos="567"/>
              </w:tabs>
              <w:rPr>
                <w:sz w:val="22"/>
                <w:szCs w:val="22"/>
                <w:lang w:val="lt-LT"/>
              </w:rPr>
            </w:pPr>
            <w:r w:rsidRPr="00BF4AB8">
              <w:rPr>
                <w:sz w:val="22"/>
                <w:szCs w:val="22"/>
                <w:lang w:val="lt-LT"/>
              </w:rPr>
              <w:t xml:space="preserve">Sustabdžius gydymą ir </w:t>
            </w:r>
            <w:proofErr w:type="spellStart"/>
            <w:r w:rsidRPr="00BF4AB8">
              <w:rPr>
                <w:sz w:val="22"/>
                <w:szCs w:val="22"/>
                <w:lang w:val="lt-LT"/>
              </w:rPr>
              <w:t>ir</w:t>
            </w:r>
            <w:proofErr w:type="spellEnd"/>
            <w:r w:rsidRPr="00BF4AB8">
              <w:rPr>
                <w:sz w:val="22"/>
                <w:szCs w:val="22"/>
                <w:lang w:val="lt-LT"/>
              </w:rPr>
              <w:t xml:space="preserve"> </w:t>
            </w:r>
            <w:proofErr w:type="spellStart"/>
            <w:r w:rsidRPr="00BF4AB8">
              <w:rPr>
                <w:sz w:val="22"/>
                <w:szCs w:val="22"/>
                <w:lang w:val="lt-LT"/>
              </w:rPr>
              <w:t>transaminazių</w:t>
            </w:r>
            <w:proofErr w:type="spellEnd"/>
            <w:r w:rsidRPr="00BF4AB8">
              <w:rPr>
                <w:sz w:val="22"/>
                <w:szCs w:val="22"/>
                <w:lang w:val="lt-LT"/>
              </w:rPr>
              <w:t xml:space="preserve"> aktyvumui sumažėjus iki rodmens, VNR viršijančio ≤ 2,5 karto, bei kartu </w:t>
            </w:r>
            <w:proofErr w:type="spellStart"/>
            <w:r w:rsidRPr="00BF4AB8">
              <w:rPr>
                <w:sz w:val="22"/>
                <w:szCs w:val="22"/>
                <w:lang w:val="lt-LT"/>
              </w:rPr>
              <w:t>bilirubino</w:t>
            </w:r>
            <w:proofErr w:type="spellEnd"/>
            <w:r w:rsidRPr="00BF4AB8">
              <w:rPr>
                <w:sz w:val="22"/>
                <w:szCs w:val="22"/>
                <w:lang w:val="lt-LT"/>
              </w:rPr>
              <w:t xml:space="preserve"> kiekiui sumažėjus iki normalaus, dozė mažinama nuo 200</w:t>
            </w:r>
            <w:r w:rsidR="00AC48E9" w:rsidRPr="00BF4AB8">
              <w:rPr>
                <w:sz w:val="22"/>
                <w:szCs w:val="22"/>
                <w:lang w:val="lt-LT"/>
              </w:rPr>
              <w:t> mg</w:t>
            </w:r>
            <w:r w:rsidRPr="00BF4AB8">
              <w:rPr>
                <w:sz w:val="22"/>
                <w:szCs w:val="22"/>
                <w:lang w:val="lt-LT"/>
              </w:rPr>
              <w:t xml:space="preserve"> du kartus per parą iki 150</w:t>
            </w:r>
            <w:r w:rsidR="00AC48E9" w:rsidRPr="00BF4AB8">
              <w:rPr>
                <w:sz w:val="22"/>
                <w:szCs w:val="22"/>
                <w:lang w:val="lt-LT"/>
              </w:rPr>
              <w:t> mg</w:t>
            </w:r>
            <w:r w:rsidRPr="00BF4AB8">
              <w:rPr>
                <w:sz w:val="22"/>
                <w:szCs w:val="22"/>
                <w:lang w:val="lt-LT"/>
              </w:rPr>
              <w:t xml:space="preserve"> du kartus per parą ir (jei manoma, kad dozę būtina mažinti antrą kartą) nuo 150</w:t>
            </w:r>
            <w:r w:rsidR="00AC48E9" w:rsidRPr="00BF4AB8">
              <w:rPr>
                <w:sz w:val="22"/>
                <w:szCs w:val="22"/>
                <w:lang w:val="lt-LT"/>
              </w:rPr>
              <w:t> mg</w:t>
            </w:r>
            <w:r w:rsidRPr="00BF4AB8">
              <w:rPr>
                <w:sz w:val="22"/>
                <w:szCs w:val="22"/>
                <w:lang w:val="lt-LT"/>
              </w:rPr>
              <w:t xml:space="preserve"> du kartus per parą iki 100</w:t>
            </w:r>
            <w:r w:rsidR="00AC48E9" w:rsidRPr="00BF4AB8">
              <w:rPr>
                <w:sz w:val="22"/>
                <w:szCs w:val="22"/>
                <w:lang w:val="lt-LT"/>
              </w:rPr>
              <w:t> mg</w:t>
            </w:r>
            <w:r w:rsidRPr="00BF4AB8">
              <w:rPr>
                <w:sz w:val="22"/>
                <w:szCs w:val="22"/>
                <w:lang w:val="lt-LT"/>
              </w:rPr>
              <w:t xml:space="preserve"> du kartus per parą.</w:t>
            </w:r>
          </w:p>
        </w:tc>
      </w:tr>
      <w:tr w:rsidR="004A3A17" w:rsidRPr="00BF4AB8" w14:paraId="415E1015" w14:textId="77777777" w:rsidTr="003E7B06">
        <w:tc>
          <w:tcPr>
            <w:tcW w:w="2500" w:type="pct"/>
          </w:tcPr>
          <w:p w14:paraId="09716314" w14:textId="27F421E5" w:rsidR="004A3A17" w:rsidRPr="00BF4AB8" w:rsidRDefault="00227ACE" w:rsidP="004A3A17">
            <w:pPr>
              <w:tabs>
                <w:tab w:val="left" w:pos="567"/>
              </w:tabs>
              <w:rPr>
                <w:sz w:val="22"/>
                <w:szCs w:val="22"/>
                <w:lang w:val="lt-LT"/>
              </w:rPr>
            </w:pPr>
            <w:r w:rsidRPr="00BF4AB8">
              <w:rPr>
                <w:sz w:val="22"/>
                <w:szCs w:val="22"/>
                <w:lang w:val="lt-LT"/>
              </w:rPr>
              <w:t xml:space="preserve">AST ir (arba) ALT aktyvumo padidėjimas &gt; 3 kartus viršijant VNR kartu su bendrojo </w:t>
            </w:r>
            <w:proofErr w:type="spellStart"/>
            <w:r w:rsidRPr="00BF4AB8">
              <w:rPr>
                <w:sz w:val="22"/>
                <w:szCs w:val="22"/>
                <w:lang w:val="lt-LT"/>
              </w:rPr>
              <w:t>bilirubino</w:t>
            </w:r>
            <w:proofErr w:type="spellEnd"/>
            <w:r w:rsidRPr="00BF4AB8">
              <w:rPr>
                <w:sz w:val="22"/>
                <w:szCs w:val="22"/>
                <w:lang w:val="lt-LT"/>
              </w:rPr>
              <w:t xml:space="preserve"> kiekio padidėjimu ≥ 2 kartus viršijant VNR ir ŠF aktyvumo </w:t>
            </w:r>
            <w:r w:rsidRPr="009037E1">
              <w:rPr>
                <w:sz w:val="22"/>
                <w:szCs w:val="22"/>
                <w:lang w:val="lt-LT"/>
              </w:rPr>
              <w:t>padidėjimu &lt; </w:t>
            </w:r>
            <w:r w:rsidR="009037E1" w:rsidRPr="00343D76">
              <w:rPr>
                <w:sz w:val="22"/>
                <w:szCs w:val="22"/>
                <w:lang w:val="lt-LT"/>
              </w:rPr>
              <w:t>2</w:t>
            </w:r>
            <w:r w:rsidRPr="009037E1">
              <w:rPr>
                <w:sz w:val="22"/>
                <w:szCs w:val="22"/>
                <w:lang w:val="lt-LT"/>
              </w:rPr>
              <w:t>kartus</w:t>
            </w:r>
            <w:r w:rsidRPr="00BF4AB8">
              <w:rPr>
                <w:sz w:val="22"/>
                <w:szCs w:val="22"/>
                <w:lang w:val="lt-LT"/>
              </w:rPr>
              <w:t xml:space="preserve"> viršijant VNR</w:t>
            </w:r>
          </w:p>
        </w:tc>
        <w:tc>
          <w:tcPr>
            <w:tcW w:w="2500" w:type="pct"/>
          </w:tcPr>
          <w:p w14:paraId="5DF2A984" w14:textId="78771401" w:rsidR="004A3A17" w:rsidRPr="009037E1" w:rsidRDefault="00227ACE" w:rsidP="004A3A17">
            <w:pPr>
              <w:tabs>
                <w:tab w:val="left" w:pos="567"/>
              </w:tabs>
              <w:rPr>
                <w:sz w:val="22"/>
                <w:szCs w:val="22"/>
                <w:lang w:val="lt-LT"/>
              </w:rPr>
            </w:pPr>
            <w:r w:rsidRPr="00BF4AB8">
              <w:rPr>
                <w:sz w:val="22"/>
                <w:szCs w:val="22"/>
                <w:lang w:val="lt-LT"/>
              </w:rPr>
              <w:t xml:space="preserve">Jei nenustatoma alternatyvi tokio poveikio priežastis, gydymą </w:t>
            </w:r>
            <w:proofErr w:type="spellStart"/>
            <w:r w:rsidRPr="00BF4AB8">
              <w:rPr>
                <w:sz w:val="22"/>
                <w:szCs w:val="22"/>
                <w:lang w:val="lt-LT"/>
              </w:rPr>
              <w:t>nintedanibu</w:t>
            </w:r>
            <w:proofErr w:type="spellEnd"/>
            <w:r w:rsidRPr="00BF4AB8">
              <w:rPr>
                <w:sz w:val="22"/>
                <w:szCs w:val="22"/>
                <w:lang w:val="lt-LT"/>
              </w:rPr>
              <w:t xml:space="preserve"> reikia nutraukti visam laikui</w:t>
            </w:r>
            <w:r w:rsidR="00A665EA" w:rsidRPr="00343D76">
              <w:rPr>
                <w:sz w:val="22"/>
                <w:szCs w:val="22"/>
                <w:lang w:val="lt-LT"/>
              </w:rPr>
              <w:t>.</w:t>
            </w:r>
          </w:p>
        </w:tc>
      </w:tr>
    </w:tbl>
    <w:p w14:paraId="7CBFEE4A" w14:textId="77777777" w:rsidR="00227ACE" w:rsidRPr="00BF4AB8" w:rsidRDefault="00227ACE" w:rsidP="00227ACE">
      <w:pPr>
        <w:tabs>
          <w:tab w:val="left" w:pos="567"/>
        </w:tabs>
        <w:rPr>
          <w:sz w:val="20"/>
        </w:rPr>
      </w:pPr>
      <w:r w:rsidRPr="00BF4AB8">
        <w:rPr>
          <w:sz w:val="20"/>
        </w:rPr>
        <w:t>AST: aspartataminotransferazė; ALT: alaninaminotransferazė</w:t>
      </w:r>
    </w:p>
    <w:p w14:paraId="063C0BB5" w14:textId="6A25957A" w:rsidR="004A3A17" w:rsidRPr="00BF4AB8" w:rsidRDefault="00227ACE" w:rsidP="00227ACE">
      <w:pPr>
        <w:tabs>
          <w:tab w:val="left" w:pos="567"/>
        </w:tabs>
        <w:rPr>
          <w:sz w:val="20"/>
        </w:rPr>
      </w:pPr>
      <w:r w:rsidRPr="00BF4AB8">
        <w:rPr>
          <w:sz w:val="20"/>
        </w:rPr>
        <w:t xml:space="preserve">ŠF: šarminė </w:t>
      </w:r>
      <w:proofErr w:type="spellStart"/>
      <w:r w:rsidRPr="00BF4AB8">
        <w:rPr>
          <w:sz w:val="20"/>
        </w:rPr>
        <w:t>fosfatazė</w:t>
      </w:r>
      <w:proofErr w:type="spellEnd"/>
      <w:r w:rsidRPr="00BF4AB8">
        <w:rPr>
          <w:sz w:val="20"/>
        </w:rPr>
        <w:t>; VNR: viršutinė normos riba</w:t>
      </w:r>
    </w:p>
    <w:p w14:paraId="4899CEB5" w14:textId="77777777" w:rsidR="004A3A17" w:rsidRPr="00BF4AB8" w:rsidRDefault="004A3A17" w:rsidP="004A3A17">
      <w:pPr>
        <w:tabs>
          <w:tab w:val="left" w:pos="567"/>
        </w:tabs>
        <w:rPr>
          <w:sz w:val="22"/>
          <w:szCs w:val="22"/>
        </w:rPr>
      </w:pPr>
    </w:p>
    <w:p w14:paraId="1AB99D10" w14:textId="77777777" w:rsidR="00227ACE" w:rsidRPr="00BF4AB8" w:rsidRDefault="00227ACE" w:rsidP="00227ACE">
      <w:pPr>
        <w:tabs>
          <w:tab w:val="left" w:pos="567"/>
        </w:tabs>
        <w:rPr>
          <w:sz w:val="22"/>
          <w:szCs w:val="22"/>
          <w:u w:val="single"/>
        </w:rPr>
      </w:pPr>
      <w:r w:rsidRPr="00BF4AB8">
        <w:rPr>
          <w:sz w:val="22"/>
          <w:szCs w:val="22"/>
          <w:u w:val="single"/>
        </w:rPr>
        <w:lastRenderedPageBreak/>
        <w:t>Ypatingos populiacijos</w:t>
      </w:r>
    </w:p>
    <w:p w14:paraId="5DCB213D" w14:textId="77777777" w:rsidR="00227ACE" w:rsidRPr="00BF4AB8" w:rsidRDefault="00227ACE" w:rsidP="00227ACE">
      <w:pPr>
        <w:tabs>
          <w:tab w:val="left" w:pos="567"/>
        </w:tabs>
        <w:rPr>
          <w:i/>
          <w:iCs/>
          <w:sz w:val="22"/>
          <w:szCs w:val="22"/>
        </w:rPr>
      </w:pPr>
      <w:r w:rsidRPr="00BF4AB8">
        <w:rPr>
          <w:i/>
          <w:iCs/>
          <w:sz w:val="22"/>
          <w:szCs w:val="22"/>
        </w:rPr>
        <w:t>Vaikų populiacija</w:t>
      </w:r>
    </w:p>
    <w:p w14:paraId="5D0AB539" w14:textId="337FCD79" w:rsidR="004A3A17" w:rsidRPr="00BF4AB8" w:rsidRDefault="00227ACE" w:rsidP="00227ACE">
      <w:pPr>
        <w:tabs>
          <w:tab w:val="left" w:pos="567"/>
        </w:tabs>
        <w:rPr>
          <w:sz w:val="22"/>
          <w:szCs w:val="22"/>
        </w:rPr>
      </w:pPr>
      <w:proofErr w:type="spellStart"/>
      <w:r w:rsidRPr="00BF4AB8">
        <w:rPr>
          <w:sz w:val="22"/>
          <w:szCs w:val="22"/>
        </w:rPr>
        <w:t>Nintedanibo</w:t>
      </w:r>
      <w:proofErr w:type="spellEnd"/>
      <w:r w:rsidRPr="00BF4AB8">
        <w:rPr>
          <w:sz w:val="22"/>
          <w:szCs w:val="22"/>
        </w:rPr>
        <w:t xml:space="preserve"> saugumas ir veiksmingumas vaikams nuo 0 iki 18 metų dar neištirti.</w:t>
      </w:r>
    </w:p>
    <w:p w14:paraId="7ED72385" w14:textId="77777777" w:rsidR="004A3A17" w:rsidRPr="00BF4AB8" w:rsidRDefault="004A3A17" w:rsidP="004A3A17">
      <w:pPr>
        <w:tabs>
          <w:tab w:val="left" w:pos="567"/>
        </w:tabs>
        <w:rPr>
          <w:sz w:val="22"/>
          <w:szCs w:val="22"/>
        </w:rPr>
      </w:pPr>
    </w:p>
    <w:p w14:paraId="3743E03D" w14:textId="28532964" w:rsidR="00227ACE" w:rsidRPr="00BF4AB8" w:rsidRDefault="00227ACE" w:rsidP="00227ACE">
      <w:pPr>
        <w:tabs>
          <w:tab w:val="left" w:pos="567"/>
        </w:tabs>
        <w:rPr>
          <w:i/>
          <w:sz w:val="22"/>
          <w:szCs w:val="22"/>
        </w:rPr>
      </w:pPr>
      <w:r w:rsidRPr="00BF4AB8">
        <w:rPr>
          <w:i/>
          <w:sz w:val="22"/>
          <w:szCs w:val="22"/>
        </w:rPr>
        <w:t>Senyvi (≥ 65 metų) pacientai</w:t>
      </w:r>
    </w:p>
    <w:p w14:paraId="41FE49EB" w14:textId="7FE3E184" w:rsidR="00227ACE" w:rsidRPr="00BF4AB8" w:rsidRDefault="00227ACE" w:rsidP="00227ACE">
      <w:pPr>
        <w:tabs>
          <w:tab w:val="left" w:pos="567"/>
        </w:tabs>
        <w:rPr>
          <w:iCs/>
          <w:sz w:val="22"/>
          <w:szCs w:val="22"/>
        </w:rPr>
      </w:pPr>
      <w:r w:rsidRPr="00BF4AB8">
        <w:rPr>
          <w:iCs/>
          <w:sz w:val="22"/>
          <w:szCs w:val="22"/>
        </w:rPr>
        <w:t>Apskritai senyviems pacientams kokių nors saugumo ir veiksmingumo skirtumų nebuvo pastebėta.</w:t>
      </w:r>
    </w:p>
    <w:p w14:paraId="5FB11B42" w14:textId="1C7EF177" w:rsidR="00227ACE" w:rsidRPr="00BF4AB8" w:rsidRDefault="00227ACE" w:rsidP="00227ACE">
      <w:pPr>
        <w:tabs>
          <w:tab w:val="left" w:pos="567"/>
        </w:tabs>
        <w:rPr>
          <w:iCs/>
          <w:sz w:val="22"/>
          <w:szCs w:val="22"/>
        </w:rPr>
      </w:pPr>
      <w:r w:rsidRPr="00BF4AB8">
        <w:rPr>
          <w:iCs/>
          <w:sz w:val="22"/>
          <w:szCs w:val="22"/>
        </w:rPr>
        <w:t xml:space="preserve">Iš pagrindiniame tyrime </w:t>
      </w:r>
      <w:r w:rsidRPr="00711A13">
        <w:rPr>
          <w:iCs/>
          <w:sz w:val="22"/>
          <w:szCs w:val="22"/>
        </w:rPr>
        <w:t>1199.13</w:t>
      </w:r>
      <w:r w:rsidRPr="00BF4AB8">
        <w:rPr>
          <w:iCs/>
          <w:sz w:val="22"/>
          <w:szCs w:val="22"/>
        </w:rPr>
        <w:t xml:space="preserve"> dalyvavusių pacientų 85 (12,9</w:t>
      </w:r>
      <w:r w:rsidR="00AC48E9" w:rsidRPr="00BF4AB8">
        <w:rPr>
          <w:iCs/>
          <w:sz w:val="22"/>
          <w:szCs w:val="22"/>
        </w:rPr>
        <w:t> %</w:t>
      </w:r>
      <w:r w:rsidRPr="00BF4AB8">
        <w:rPr>
          <w:iCs/>
          <w:sz w:val="22"/>
          <w:szCs w:val="22"/>
        </w:rPr>
        <w:t xml:space="preserve"> pacientų</w:t>
      </w:r>
      <w:r w:rsidR="002D1DDB" w:rsidRPr="00BF4AB8">
        <w:rPr>
          <w:iCs/>
          <w:sz w:val="22"/>
          <w:szCs w:val="22"/>
        </w:rPr>
        <w:t>. kurių</w:t>
      </w:r>
      <w:r w:rsidRPr="00BF4AB8">
        <w:rPr>
          <w:iCs/>
          <w:sz w:val="22"/>
          <w:szCs w:val="22"/>
        </w:rPr>
        <w:t xml:space="preserve"> histologinis naviko</w:t>
      </w:r>
      <w:r w:rsidR="002D1DDB" w:rsidRPr="00BF4AB8">
        <w:rPr>
          <w:iCs/>
          <w:sz w:val="22"/>
          <w:szCs w:val="22"/>
        </w:rPr>
        <w:t xml:space="preserve"> </w:t>
      </w:r>
      <w:r w:rsidRPr="00BF4AB8">
        <w:rPr>
          <w:iCs/>
          <w:sz w:val="22"/>
          <w:szCs w:val="22"/>
        </w:rPr>
        <w:t xml:space="preserve">tipas </w:t>
      </w:r>
      <w:r w:rsidR="002D1DDB" w:rsidRPr="00BF4AB8">
        <w:rPr>
          <w:iCs/>
          <w:sz w:val="22"/>
          <w:szCs w:val="22"/>
        </w:rPr>
        <w:t>buvo</w:t>
      </w:r>
      <w:r w:rsidRPr="00BF4AB8">
        <w:rPr>
          <w:iCs/>
          <w:sz w:val="22"/>
          <w:szCs w:val="22"/>
        </w:rPr>
        <w:t xml:space="preserve"> </w:t>
      </w:r>
      <w:proofErr w:type="spellStart"/>
      <w:r w:rsidRPr="00BF4AB8">
        <w:rPr>
          <w:iCs/>
          <w:sz w:val="22"/>
          <w:szCs w:val="22"/>
        </w:rPr>
        <w:t>adenokarcinoma</w:t>
      </w:r>
      <w:proofErr w:type="spellEnd"/>
      <w:r w:rsidRPr="00BF4AB8">
        <w:rPr>
          <w:iCs/>
          <w:sz w:val="22"/>
          <w:szCs w:val="22"/>
        </w:rPr>
        <w:t>) buvo 70</w:t>
      </w:r>
      <w:r w:rsidR="002D1DDB" w:rsidRPr="00BF4AB8">
        <w:rPr>
          <w:iCs/>
          <w:sz w:val="22"/>
          <w:szCs w:val="22"/>
        </w:rPr>
        <w:t> </w:t>
      </w:r>
      <w:r w:rsidRPr="00BF4AB8">
        <w:rPr>
          <w:iCs/>
          <w:sz w:val="22"/>
          <w:szCs w:val="22"/>
        </w:rPr>
        <w:t>metų ar vyresni (amžiaus mediana: 72</w:t>
      </w:r>
      <w:r w:rsidR="002D1DDB" w:rsidRPr="00BF4AB8">
        <w:rPr>
          <w:iCs/>
          <w:sz w:val="22"/>
          <w:szCs w:val="22"/>
        </w:rPr>
        <w:t> </w:t>
      </w:r>
      <w:r w:rsidRPr="00BF4AB8">
        <w:rPr>
          <w:iCs/>
          <w:sz w:val="22"/>
          <w:szCs w:val="22"/>
        </w:rPr>
        <w:t>metai, ribos: 70</w:t>
      </w:r>
      <w:r w:rsidR="002D1DDB" w:rsidRPr="00BF4AB8">
        <w:rPr>
          <w:iCs/>
          <w:sz w:val="22"/>
          <w:szCs w:val="22"/>
        </w:rPr>
        <w:noBreakHyphen/>
      </w:r>
      <w:r w:rsidRPr="00BF4AB8">
        <w:rPr>
          <w:iCs/>
          <w:sz w:val="22"/>
          <w:szCs w:val="22"/>
        </w:rPr>
        <w:t>80</w:t>
      </w:r>
      <w:r w:rsidR="002D1DDB" w:rsidRPr="00BF4AB8">
        <w:rPr>
          <w:iCs/>
          <w:sz w:val="22"/>
          <w:szCs w:val="22"/>
        </w:rPr>
        <w:t> </w:t>
      </w:r>
      <w:r w:rsidRPr="00BF4AB8">
        <w:rPr>
          <w:iCs/>
          <w:sz w:val="22"/>
          <w:szCs w:val="22"/>
        </w:rPr>
        <w:t>metų) (žr.</w:t>
      </w:r>
      <w:r w:rsidR="002D1DDB" w:rsidRPr="00BF4AB8">
        <w:rPr>
          <w:iCs/>
          <w:sz w:val="22"/>
          <w:szCs w:val="22"/>
        </w:rPr>
        <w:t xml:space="preserve"> </w:t>
      </w:r>
      <w:r w:rsidRPr="00BF4AB8">
        <w:rPr>
          <w:iCs/>
          <w:sz w:val="22"/>
          <w:szCs w:val="22"/>
        </w:rPr>
        <w:t>5.1</w:t>
      </w:r>
      <w:r w:rsidR="002D1DDB" w:rsidRPr="00BF4AB8">
        <w:rPr>
          <w:iCs/>
          <w:sz w:val="22"/>
          <w:szCs w:val="22"/>
        </w:rPr>
        <w:t> </w:t>
      </w:r>
      <w:r w:rsidRPr="00BF4AB8">
        <w:rPr>
          <w:iCs/>
          <w:sz w:val="22"/>
          <w:szCs w:val="22"/>
        </w:rPr>
        <w:t>skyrių).</w:t>
      </w:r>
    </w:p>
    <w:p w14:paraId="286F95CF" w14:textId="4E5E9F44" w:rsidR="00227ACE" w:rsidRPr="00BF4AB8" w:rsidRDefault="00227ACE" w:rsidP="00227ACE">
      <w:pPr>
        <w:tabs>
          <w:tab w:val="left" w:pos="567"/>
        </w:tabs>
        <w:rPr>
          <w:iCs/>
          <w:sz w:val="22"/>
          <w:szCs w:val="22"/>
        </w:rPr>
      </w:pPr>
      <w:r w:rsidRPr="00BF4AB8">
        <w:rPr>
          <w:iCs/>
          <w:sz w:val="22"/>
          <w:szCs w:val="22"/>
        </w:rPr>
        <w:t>Senyviems pacientams pradinės dozės koreguoti nereikia (žr. 5.2</w:t>
      </w:r>
      <w:r w:rsidR="002D1DDB" w:rsidRPr="00BF4AB8">
        <w:rPr>
          <w:iCs/>
          <w:sz w:val="22"/>
          <w:szCs w:val="22"/>
        </w:rPr>
        <w:t> </w:t>
      </w:r>
      <w:r w:rsidRPr="00BF4AB8">
        <w:rPr>
          <w:iCs/>
          <w:sz w:val="22"/>
          <w:szCs w:val="22"/>
        </w:rPr>
        <w:t>skyrių).</w:t>
      </w:r>
    </w:p>
    <w:p w14:paraId="617C4CBF" w14:textId="77777777" w:rsidR="002D1DDB" w:rsidRPr="00BF4AB8" w:rsidRDefault="002D1DDB" w:rsidP="00227ACE">
      <w:pPr>
        <w:tabs>
          <w:tab w:val="left" w:pos="567"/>
        </w:tabs>
        <w:rPr>
          <w:iCs/>
          <w:sz w:val="22"/>
          <w:szCs w:val="22"/>
        </w:rPr>
      </w:pPr>
    </w:p>
    <w:p w14:paraId="5BD2F014" w14:textId="77777777" w:rsidR="00227ACE" w:rsidRPr="00BF4AB8" w:rsidRDefault="00227ACE" w:rsidP="00227ACE">
      <w:pPr>
        <w:tabs>
          <w:tab w:val="left" w:pos="567"/>
        </w:tabs>
        <w:rPr>
          <w:i/>
          <w:sz w:val="22"/>
          <w:szCs w:val="22"/>
        </w:rPr>
      </w:pPr>
      <w:r w:rsidRPr="00BF4AB8">
        <w:rPr>
          <w:i/>
          <w:sz w:val="22"/>
          <w:szCs w:val="22"/>
        </w:rPr>
        <w:t>Rasė ir kūno svoris</w:t>
      </w:r>
    </w:p>
    <w:p w14:paraId="2E66DC04" w14:textId="16269204" w:rsidR="00227ACE" w:rsidRPr="00BF4AB8" w:rsidRDefault="00227ACE" w:rsidP="00227ACE">
      <w:pPr>
        <w:tabs>
          <w:tab w:val="left" w:pos="567"/>
        </w:tabs>
        <w:rPr>
          <w:iCs/>
          <w:sz w:val="22"/>
          <w:szCs w:val="22"/>
        </w:rPr>
      </w:pPr>
      <w:r w:rsidRPr="00BF4AB8">
        <w:rPr>
          <w:iCs/>
          <w:sz w:val="22"/>
          <w:szCs w:val="22"/>
        </w:rPr>
        <w:t xml:space="preserve">Remiantis populiacijos </w:t>
      </w:r>
      <w:proofErr w:type="spellStart"/>
      <w:r w:rsidRPr="00BF4AB8">
        <w:rPr>
          <w:iCs/>
          <w:sz w:val="22"/>
          <w:szCs w:val="22"/>
        </w:rPr>
        <w:t>farmakokinetikos</w:t>
      </w:r>
      <w:proofErr w:type="spellEnd"/>
      <w:r w:rsidRPr="00BF4AB8">
        <w:rPr>
          <w:iCs/>
          <w:sz w:val="22"/>
          <w:szCs w:val="22"/>
        </w:rPr>
        <w:t xml:space="preserve"> (FK) analizėmis</w:t>
      </w:r>
      <w:r w:rsidR="000D6FAD" w:rsidRPr="00BF4AB8">
        <w:rPr>
          <w:iCs/>
          <w:sz w:val="22"/>
          <w:szCs w:val="22"/>
        </w:rPr>
        <w:t>,</w:t>
      </w:r>
      <w:r w:rsidRPr="00BF4AB8">
        <w:rPr>
          <w:iCs/>
          <w:sz w:val="22"/>
          <w:szCs w:val="22"/>
        </w:rPr>
        <w:t xml:space="preserve"> </w:t>
      </w:r>
      <w:proofErr w:type="spellStart"/>
      <w:r w:rsidR="000D6FAD" w:rsidRPr="00BF4AB8">
        <w:rPr>
          <w:iCs/>
          <w:sz w:val="22"/>
          <w:szCs w:val="22"/>
        </w:rPr>
        <w:t>nintedanibo</w:t>
      </w:r>
      <w:proofErr w:type="spellEnd"/>
      <w:r w:rsidRPr="00BF4AB8">
        <w:rPr>
          <w:iCs/>
          <w:sz w:val="22"/>
          <w:szCs w:val="22"/>
        </w:rPr>
        <w:t xml:space="preserve"> dozės iš anksto koreguoti nebūtina</w:t>
      </w:r>
      <w:r w:rsidR="000D6FAD" w:rsidRPr="00BF4AB8">
        <w:rPr>
          <w:iCs/>
          <w:sz w:val="22"/>
          <w:szCs w:val="22"/>
        </w:rPr>
        <w:t xml:space="preserve"> </w:t>
      </w:r>
      <w:r w:rsidRPr="00BF4AB8">
        <w:rPr>
          <w:iCs/>
          <w:sz w:val="22"/>
          <w:szCs w:val="22"/>
        </w:rPr>
        <w:t>(žr. 5.2</w:t>
      </w:r>
      <w:r w:rsidR="000D6FAD" w:rsidRPr="00BF4AB8">
        <w:rPr>
          <w:iCs/>
          <w:sz w:val="22"/>
          <w:szCs w:val="22"/>
        </w:rPr>
        <w:t> </w:t>
      </w:r>
      <w:r w:rsidRPr="00BF4AB8">
        <w:rPr>
          <w:iCs/>
          <w:sz w:val="22"/>
          <w:szCs w:val="22"/>
        </w:rPr>
        <w:t xml:space="preserve">skyrių). Juodaodžių ir </w:t>
      </w:r>
      <w:proofErr w:type="spellStart"/>
      <w:r w:rsidRPr="00BF4AB8">
        <w:rPr>
          <w:iCs/>
          <w:sz w:val="22"/>
          <w:szCs w:val="22"/>
        </w:rPr>
        <w:t>afroamerikiečių</w:t>
      </w:r>
      <w:proofErr w:type="spellEnd"/>
      <w:r w:rsidRPr="00BF4AB8">
        <w:rPr>
          <w:iCs/>
          <w:sz w:val="22"/>
          <w:szCs w:val="22"/>
        </w:rPr>
        <w:t xml:space="preserve"> pacientų saugumo duomenys yra riboti.</w:t>
      </w:r>
    </w:p>
    <w:p w14:paraId="34069E25" w14:textId="77777777" w:rsidR="000D6FAD" w:rsidRPr="00BF4AB8" w:rsidRDefault="000D6FAD" w:rsidP="00227ACE">
      <w:pPr>
        <w:tabs>
          <w:tab w:val="left" w:pos="567"/>
        </w:tabs>
        <w:rPr>
          <w:iCs/>
          <w:sz w:val="22"/>
          <w:szCs w:val="22"/>
        </w:rPr>
      </w:pPr>
    </w:p>
    <w:p w14:paraId="3B13509B" w14:textId="77777777" w:rsidR="00227ACE" w:rsidRPr="00BF4AB8" w:rsidRDefault="00227ACE" w:rsidP="00227ACE">
      <w:pPr>
        <w:tabs>
          <w:tab w:val="left" w:pos="567"/>
        </w:tabs>
        <w:rPr>
          <w:i/>
          <w:sz w:val="22"/>
          <w:szCs w:val="22"/>
        </w:rPr>
      </w:pPr>
      <w:r w:rsidRPr="00BF4AB8">
        <w:rPr>
          <w:i/>
          <w:sz w:val="22"/>
          <w:szCs w:val="22"/>
        </w:rPr>
        <w:t>Sutrikusi inkstų funkcija</w:t>
      </w:r>
    </w:p>
    <w:p w14:paraId="2A3A437A" w14:textId="67744AFB" w:rsidR="00227ACE" w:rsidRPr="00BF4AB8" w:rsidRDefault="00227ACE" w:rsidP="00227ACE">
      <w:pPr>
        <w:tabs>
          <w:tab w:val="left" w:pos="567"/>
        </w:tabs>
        <w:rPr>
          <w:iCs/>
          <w:sz w:val="22"/>
          <w:szCs w:val="22"/>
        </w:rPr>
      </w:pPr>
      <w:r w:rsidRPr="00BF4AB8">
        <w:rPr>
          <w:iCs/>
          <w:sz w:val="22"/>
          <w:szCs w:val="22"/>
        </w:rPr>
        <w:t>Per inkstus išsiskiria mažiau nei 1</w:t>
      </w:r>
      <w:r w:rsidR="00AC48E9" w:rsidRPr="00BF4AB8">
        <w:rPr>
          <w:iCs/>
          <w:sz w:val="22"/>
          <w:szCs w:val="22"/>
        </w:rPr>
        <w:t> %</w:t>
      </w:r>
      <w:r w:rsidRPr="00BF4AB8">
        <w:rPr>
          <w:iCs/>
          <w:sz w:val="22"/>
          <w:szCs w:val="22"/>
        </w:rPr>
        <w:t xml:space="preserve"> vienkartinės </w:t>
      </w:r>
      <w:proofErr w:type="spellStart"/>
      <w:r w:rsidRPr="00BF4AB8">
        <w:rPr>
          <w:iCs/>
          <w:sz w:val="22"/>
          <w:szCs w:val="22"/>
        </w:rPr>
        <w:t>nintedanibo</w:t>
      </w:r>
      <w:proofErr w:type="spellEnd"/>
      <w:r w:rsidRPr="00BF4AB8">
        <w:rPr>
          <w:iCs/>
          <w:sz w:val="22"/>
          <w:szCs w:val="22"/>
        </w:rPr>
        <w:t xml:space="preserve"> dozės (žr. 5.2</w:t>
      </w:r>
      <w:r w:rsidR="00ED23C8" w:rsidRPr="00BF4AB8">
        <w:rPr>
          <w:iCs/>
          <w:sz w:val="22"/>
          <w:szCs w:val="22"/>
        </w:rPr>
        <w:t> </w:t>
      </w:r>
      <w:r w:rsidRPr="00BF4AB8">
        <w:rPr>
          <w:iCs/>
          <w:sz w:val="22"/>
          <w:szCs w:val="22"/>
        </w:rPr>
        <w:t>skyrių). Jei yra lengvas</w:t>
      </w:r>
      <w:r w:rsidR="00ED23C8" w:rsidRPr="00BF4AB8">
        <w:rPr>
          <w:iCs/>
          <w:sz w:val="22"/>
          <w:szCs w:val="22"/>
        </w:rPr>
        <w:t xml:space="preserve"> </w:t>
      </w:r>
      <w:r w:rsidRPr="00BF4AB8">
        <w:rPr>
          <w:iCs/>
          <w:sz w:val="22"/>
          <w:szCs w:val="22"/>
        </w:rPr>
        <w:t xml:space="preserve">arba vidutinio sunkumo inkstų funkcijos sutrikimas, pradinės dozės koreguoti nebūtina. </w:t>
      </w:r>
      <w:proofErr w:type="spellStart"/>
      <w:r w:rsidRPr="00BF4AB8">
        <w:rPr>
          <w:iCs/>
          <w:sz w:val="22"/>
          <w:szCs w:val="22"/>
        </w:rPr>
        <w:t>Nintedanibo</w:t>
      </w:r>
      <w:proofErr w:type="spellEnd"/>
      <w:r w:rsidR="00ED23C8" w:rsidRPr="00BF4AB8">
        <w:rPr>
          <w:iCs/>
          <w:sz w:val="22"/>
          <w:szCs w:val="22"/>
        </w:rPr>
        <w:t xml:space="preserve"> </w:t>
      </w:r>
      <w:r w:rsidRPr="00BF4AB8">
        <w:rPr>
          <w:iCs/>
          <w:sz w:val="22"/>
          <w:szCs w:val="22"/>
        </w:rPr>
        <w:t xml:space="preserve">saugumo, veiksmingumo ir </w:t>
      </w:r>
      <w:proofErr w:type="spellStart"/>
      <w:r w:rsidRPr="00BF4AB8">
        <w:rPr>
          <w:iCs/>
          <w:sz w:val="22"/>
          <w:szCs w:val="22"/>
        </w:rPr>
        <w:t>farmakokinetikos</w:t>
      </w:r>
      <w:proofErr w:type="spellEnd"/>
      <w:r w:rsidRPr="00BF4AB8">
        <w:rPr>
          <w:iCs/>
          <w:sz w:val="22"/>
          <w:szCs w:val="22"/>
        </w:rPr>
        <w:t xml:space="preserve"> tyrimų su pacientais, kuri</w:t>
      </w:r>
      <w:r w:rsidR="00ED23C8" w:rsidRPr="00BF4AB8">
        <w:rPr>
          <w:iCs/>
          <w:sz w:val="22"/>
          <w:szCs w:val="22"/>
        </w:rPr>
        <w:t>ems yra sunkus</w:t>
      </w:r>
      <w:r w:rsidRPr="00BF4AB8">
        <w:rPr>
          <w:iCs/>
          <w:sz w:val="22"/>
          <w:szCs w:val="22"/>
        </w:rPr>
        <w:t xml:space="preserve"> inkstų funkcij</w:t>
      </w:r>
      <w:r w:rsidR="00ED23C8" w:rsidRPr="00BF4AB8">
        <w:rPr>
          <w:iCs/>
          <w:sz w:val="22"/>
          <w:szCs w:val="22"/>
        </w:rPr>
        <w:t xml:space="preserve">os sutrikimas </w:t>
      </w:r>
      <w:r w:rsidRPr="00BF4AB8">
        <w:rPr>
          <w:iCs/>
          <w:sz w:val="22"/>
          <w:szCs w:val="22"/>
        </w:rPr>
        <w:t>(</w:t>
      </w:r>
      <w:proofErr w:type="spellStart"/>
      <w:r w:rsidRPr="00BF4AB8">
        <w:rPr>
          <w:iCs/>
          <w:sz w:val="22"/>
          <w:szCs w:val="22"/>
        </w:rPr>
        <w:t>kreatinino</w:t>
      </w:r>
      <w:proofErr w:type="spellEnd"/>
      <w:r w:rsidRPr="00BF4AB8">
        <w:rPr>
          <w:iCs/>
          <w:sz w:val="22"/>
          <w:szCs w:val="22"/>
        </w:rPr>
        <w:t xml:space="preserve"> klirensas &lt;</w:t>
      </w:r>
      <w:r w:rsidR="00ED23C8" w:rsidRPr="00BF4AB8">
        <w:rPr>
          <w:iCs/>
          <w:sz w:val="22"/>
          <w:szCs w:val="22"/>
        </w:rPr>
        <w:t> </w:t>
      </w:r>
      <w:r w:rsidRPr="00BF4AB8">
        <w:rPr>
          <w:iCs/>
          <w:sz w:val="22"/>
          <w:szCs w:val="22"/>
        </w:rPr>
        <w:t>30</w:t>
      </w:r>
      <w:r w:rsidR="00ED23C8" w:rsidRPr="00BF4AB8">
        <w:rPr>
          <w:iCs/>
          <w:sz w:val="22"/>
          <w:szCs w:val="22"/>
        </w:rPr>
        <w:t> </w:t>
      </w:r>
      <w:r w:rsidRPr="00BF4AB8">
        <w:rPr>
          <w:iCs/>
          <w:sz w:val="22"/>
          <w:szCs w:val="22"/>
        </w:rPr>
        <w:t>ml/min</w:t>
      </w:r>
      <w:r w:rsidR="00ED23C8" w:rsidRPr="00BF4AB8">
        <w:rPr>
          <w:iCs/>
          <w:sz w:val="22"/>
          <w:szCs w:val="22"/>
        </w:rPr>
        <w:t>.</w:t>
      </w:r>
      <w:r w:rsidRPr="00BF4AB8">
        <w:rPr>
          <w:iCs/>
          <w:sz w:val="22"/>
          <w:szCs w:val="22"/>
        </w:rPr>
        <w:t>)</w:t>
      </w:r>
      <w:r w:rsidR="003F20B3" w:rsidRPr="00BF4AB8">
        <w:rPr>
          <w:iCs/>
          <w:sz w:val="22"/>
          <w:szCs w:val="22"/>
        </w:rPr>
        <w:t>,</w:t>
      </w:r>
      <w:r w:rsidRPr="00BF4AB8">
        <w:rPr>
          <w:iCs/>
          <w:sz w:val="22"/>
          <w:szCs w:val="22"/>
        </w:rPr>
        <w:t xml:space="preserve"> neatlikta.</w:t>
      </w:r>
    </w:p>
    <w:p w14:paraId="28A848AF" w14:textId="77777777" w:rsidR="00ED23C8" w:rsidRPr="00BF4AB8" w:rsidRDefault="00ED23C8" w:rsidP="00227ACE">
      <w:pPr>
        <w:tabs>
          <w:tab w:val="left" w:pos="567"/>
        </w:tabs>
        <w:rPr>
          <w:iCs/>
          <w:sz w:val="22"/>
          <w:szCs w:val="22"/>
        </w:rPr>
      </w:pPr>
    </w:p>
    <w:p w14:paraId="183B71AB" w14:textId="5B2EACCE" w:rsidR="00227ACE" w:rsidRPr="00BF4AB8" w:rsidRDefault="00227ACE" w:rsidP="00227ACE">
      <w:pPr>
        <w:tabs>
          <w:tab w:val="left" w:pos="567"/>
        </w:tabs>
        <w:rPr>
          <w:i/>
          <w:sz w:val="22"/>
          <w:szCs w:val="22"/>
        </w:rPr>
      </w:pPr>
      <w:r w:rsidRPr="00BF4AB8">
        <w:rPr>
          <w:i/>
          <w:sz w:val="22"/>
          <w:szCs w:val="22"/>
        </w:rPr>
        <w:t>Sutrikusi kepenų funkcija</w:t>
      </w:r>
    </w:p>
    <w:p w14:paraId="0A9F1C5F" w14:textId="693E1B95" w:rsidR="004A3A17" w:rsidRPr="00993D1A" w:rsidRDefault="00227ACE" w:rsidP="00227ACE">
      <w:pPr>
        <w:tabs>
          <w:tab w:val="left" w:pos="567"/>
        </w:tabs>
        <w:rPr>
          <w:iCs/>
          <w:sz w:val="22"/>
          <w:szCs w:val="22"/>
        </w:rPr>
      </w:pPr>
      <w:proofErr w:type="spellStart"/>
      <w:r w:rsidRPr="00BF4AB8">
        <w:rPr>
          <w:iCs/>
          <w:sz w:val="22"/>
          <w:szCs w:val="22"/>
        </w:rPr>
        <w:t>Nintedanibas</w:t>
      </w:r>
      <w:proofErr w:type="spellEnd"/>
      <w:r w:rsidRPr="00BF4AB8">
        <w:rPr>
          <w:iCs/>
          <w:sz w:val="22"/>
          <w:szCs w:val="22"/>
        </w:rPr>
        <w:t xml:space="preserve"> daugiausia </w:t>
      </w:r>
      <w:r w:rsidR="003F20B3" w:rsidRPr="00BF4AB8">
        <w:rPr>
          <w:iCs/>
          <w:sz w:val="22"/>
          <w:szCs w:val="22"/>
        </w:rPr>
        <w:t>šalinamas</w:t>
      </w:r>
      <w:r w:rsidRPr="00BF4AB8">
        <w:rPr>
          <w:iCs/>
          <w:sz w:val="22"/>
          <w:szCs w:val="22"/>
        </w:rPr>
        <w:t xml:space="preserve"> su tulžimi / išmatomis (&gt;</w:t>
      </w:r>
      <w:r w:rsidR="003F20B3" w:rsidRPr="00BF4AB8">
        <w:rPr>
          <w:iCs/>
          <w:sz w:val="22"/>
          <w:szCs w:val="22"/>
        </w:rPr>
        <w:t> </w:t>
      </w:r>
      <w:r w:rsidRPr="00BF4AB8">
        <w:rPr>
          <w:iCs/>
          <w:sz w:val="22"/>
          <w:szCs w:val="22"/>
        </w:rPr>
        <w:t>90</w:t>
      </w:r>
      <w:r w:rsidR="00AC48E9" w:rsidRPr="00BF4AB8">
        <w:rPr>
          <w:iCs/>
          <w:sz w:val="22"/>
          <w:szCs w:val="22"/>
        </w:rPr>
        <w:t> %</w:t>
      </w:r>
      <w:r w:rsidRPr="00BF4AB8">
        <w:rPr>
          <w:iCs/>
          <w:sz w:val="22"/>
          <w:szCs w:val="22"/>
        </w:rPr>
        <w:t xml:space="preserve">). </w:t>
      </w:r>
      <w:r w:rsidR="003F20B3" w:rsidRPr="00BF4AB8">
        <w:rPr>
          <w:iCs/>
          <w:sz w:val="22"/>
          <w:szCs w:val="22"/>
        </w:rPr>
        <w:t>P</w:t>
      </w:r>
      <w:r w:rsidRPr="00BF4AB8">
        <w:rPr>
          <w:iCs/>
          <w:sz w:val="22"/>
          <w:szCs w:val="22"/>
        </w:rPr>
        <w:t>acientams, kuriems yra kepenų funkcijos sutrikimas (</w:t>
      </w:r>
      <w:proofErr w:type="spellStart"/>
      <w:r w:rsidRPr="00BF4AB8">
        <w:rPr>
          <w:i/>
          <w:sz w:val="22"/>
          <w:szCs w:val="22"/>
        </w:rPr>
        <w:t>Child</w:t>
      </w:r>
      <w:proofErr w:type="spellEnd"/>
      <w:r w:rsidRPr="00BF4AB8">
        <w:rPr>
          <w:i/>
          <w:sz w:val="22"/>
          <w:szCs w:val="22"/>
        </w:rPr>
        <w:t xml:space="preserve"> </w:t>
      </w:r>
      <w:proofErr w:type="spellStart"/>
      <w:r w:rsidRPr="00BF4AB8">
        <w:rPr>
          <w:i/>
          <w:sz w:val="22"/>
          <w:szCs w:val="22"/>
        </w:rPr>
        <w:t>Pugh</w:t>
      </w:r>
      <w:proofErr w:type="spellEnd"/>
      <w:r w:rsidRPr="00BF4AB8">
        <w:rPr>
          <w:iCs/>
          <w:sz w:val="22"/>
          <w:szCs w:val="22"/>
        </w:rPr>
        <w:t xml:space="preserve"> A, </w:t>
      </w:r>
      <w:proofErr w:type="spellStart"/>
      <w:r w:rsidRPr="00BF4AB8">
        <w:rPr>
          <w:i/>
          <w:sz w:val="22"/>
          <w:szCs w:val="22"/>
        </w:rPr>
        <w:t>Child</w:t>
      </w:r>
      <w:proofErr w:type="spellEnd"/>
      <w:r w:rsidRPr="00BF4AB8">
        <w:rPr>
          <w:i/>
          <w:sz w:val="22"/>
          <w:szCs w:val="22"/>
        </w:rPr>
        <w:t xml:space="preserve"> </w:t>
      </w:r>
      <w:proofErr w:type="spellStart"/>
      <w:r w:rsidRPr="00BF4AB8">
        <w:rPr>
          <w:i/>
          <w:sz w:val="22"/>
          <w:szCs w:val="22"/>
        </w:rPr>
        <w:t>Pugh</w:t>
      </w:r>
      <w:proofErr w:type="spellEnd"/>
      <w:r w:rsidRPr="00BF4AB8">
        <w:rPr>
          <w:iCs/>
          <w:sz w:val="22"/>
          <w:szCs w:val="22"/>
        </w:rPr>
        <w:t xml:space="preserve"> B; žr. 5.2</w:t>
      </w:r>
      <w:r w:rsidR="003F20B3" w:rsidRPr="00BF4AB8">
        <w:rPr>
          <w:iCs/>
          <w:sz w:val="22"/>
          <w:szCs w:val="22"/>
        </w:rPr>
        <w:t> </w:t>
      </w:r>
      <w:r w:rsidRPr="00BF4AB8">
        <w:rPr>
          <w:iCs/>
          <w:sz w:val="22"/>
          <w:szCs w:val="22"/>
        </w:rPr>
        <w:t>skyrių)</w:t>
      </w:r>
      <w:r w:rsidR="003F20B3" w:rsidRPr="00BF4AB8">
        <w:rPr>
          <w:iCs/>
          <w:sz w:val="22"/>
          <w:szCs w:val="22"/>
        </w:rPr>
        <w:t>, ekspozicija padidėja. Remiantis klinikiniais duomenimis, p</w:t>
      </w:r>
      <w:r w:rsidRPr="00BF4AB8">
        <w:rPr>
          <w:iCs/>
          <w:sz w:val="22"/>
          <w:szCs w:val="22"/>
        </w:rPr>
        <w:t>acientams, kuriems yra lengvas kepenų funkcijos sutrikimas</w:t>
      </w:r>
      <w:r w:rsidR="003F20B3" w:rsidRPr="00BF4AB8">
        <w:rPr>
          <w:iCs/>
          <w:sz w:val="22"/>
          <w:szCs w:val="22"/>
        </w:rPr>
        <w:t xml:space="preserve"> </w:t>
      </w:r>
      <w:r w:rsidRPr="00BF4AB8">
        <w:rPr>
          <w:iCs/>
          <w:sz w:val="22"/>
          <w:szCs w:val="22"/>
        </w:rPr>
        <w:t>(</w:t>
      </w:r>
      <w:proofErr w:type="spellStart"/>
      <w:r w:rsidRPr="00BF4AB8">
        <w:rPr>
          <w:i/>
          <w:sz w:val="22"/>
          <w:szCs w:val="22"/>
        </w:rPr>
        <w:t>Child</w:t>
      </w:r>
      <w:proofErr w:type="spellEnd"/>
      <w:r w:rsidRPr="00BF4AB8">
        <w:rPr>
          <w:i/>
          <w:sz w:val="22"/>
          <w:szCs w:val="22"/>
        </w:rPr>
        <w:t xml:space="preserve"> </w:t>
      </w:r>
      <w:proofErr w:type="spellStart"/>
      <w:r w:rsidRPr="00BF4AB8">
        <w:rPr>
          <w:i/>
          <w:sz w:val="22"/>
          <w:szCs w:val="22"/>
        </w:rPr>
        <w:t>Pugh</w:t>
      </w:r>
      <w:proofErr w:type="spellEnd"/>
      <w:r w:rsidRPr="00BF4AB8">
        <w:rPr>
          <w:iCs/>
          <w:sz w:val="22"/>
          <w:szCs w:val="22"/>
        </w:rPr>
        <w:t xml:space="preserve"> A), pradinės dozės koreguoti nebūtina. Gauti riboti 9 pacientų,</w:t>
      </w:r>
      <w:r w:rsidR="003F20B3" w:rsidRPr="00BF4AB8">
        <w:rPr>
          <w:iCs/>
          <w:sz w:val="22"/>
          <w:szCs w:val="22"/>
        </w:rPr>
        <w:t xml:space="preserve"> </w:t>
      </w:r>
      <w:r w:rsidRPr="00BF4AB8">
        <w:rPr>
          <w:iCs/>
          <w:sz w:val="22"/>
          <w:szCs w:val="22"/>
        </w:rPr>
        <w:t>sergančių vidutinio sunkumo kepenų sutrikimu (</w:t>
      </w:r>
      <w:proofErr w:type="spellStart"/>
      <w:r w:rsidRPr="00BF4AB8">
        <w:rPr>
          <w:i/>
          <w:sz w:val="22"/>
          <w:szCs w:val="22"/>
        </w:rPr>
        <w:t>Child</w:t>
      </w:r>
      <w:proofErr w:type="spellEnd"/>
      <w:r w:rsidRPr="00BF4AB8">
        <w:rPr>
          <w:i/>
          <w:sz w:val="22"/>
          <w:szCs w:val="22"/>
        </w:rPr>
        <w:t xml:space="preserve"> </w:t>
      </w:r>
      <w:proofErr w:type="spellStart"/>
      <w:r w:rsidRPr="00BF4AB8">
        <w:rPr>
          <w:i/>
          <w:sz w:val="22"/>
          <w:szCs w:val="22"/>
        </w:rPr>
        <w:t>Pugh</w:t>
      </w:r>
      <w:proofErr w:type="spellEnd"/>
      <w:r w:rsidRPr="00BF4AB8">
        <w:rPr>
          <w:iCs/>
          <w:sz w:val="22"/>
          <w:szCs w:val="22"/>
        </w:rPr>
        <w:t xml:space="preserve"> B), </w:t>
      </w:r>
      <w:r w:rsidR="003F20B3" w:rsidRPr="00BF4AB8">
        <w:rPr>
          <w:iCs/>
          <w:sz w:val="22"/>
          <w:szCs w:val="22"/>
        </w:rPr>
        <w:t xml:space="preserve">saugumo duomenys yra </w:t>
      </w:r>
      <w:r w:rsidRPr="00BF4AB8">
        <w:rPr>
          <w:iCs/>
          <w:sz w:val="22"/>
          <w:szCs w:val="22"/>
        </w:rPr>
        <w:t>nepakankami, kad būtų galima</w:t>
      </w:r>
      <w:r w:rsidR="003F20B3" w:rsidRPr="00BF4AB8">
        <w:rPr>
          <w:iCs/>
          <w:sz w:val="22"/>
          <w:szCs w:val="22"/>
        </w:rPr>
        <w:t xml:space="preserve"> </w:t>
      </w:r>
      <w:r w:rsidRPr="00BF4AB8">
        <w:rPr>
          <w:iCs/>
          <w:sz w:val="22"/>
          <w:szCs w:val="22"/>
        </w:rPr>
        <w:t xml:space="preserve">charakterizuoti šią populiaciją. </w:t>
      </w:r>
      <w:proofErr w:type="spellStart"/>
      <w:r w:rsidR="003F20B3" w:rsidRPr="00BF4AB8">
        <w:rPr>
          <w:iCs/>
          <w:sz w:val="22"/>
          <w:szCs w:val="22"/>
        </w:rPr>
        <w:t>Nintedanibo</w:t>
      </w:r>
      <w:proofErr w:type="spellEnd"/>
      <w:r w:rsidR="003F20B3" w:rsidRPr="00BF4AB8">
        <w:rPr>
          <w:iCs/>
          <w:sz w:val="22"/>
          <w:szCs w:val="22"/>
        </w:rPr>
        <w:t xml:space="preserve"> saugumo, veiksmingumo ir </w:t>
      </w:r>
      <w:proofErr w:type="spellStart"/>
      <w:r w:rsidR="003F20B3" w:rsidRPr="00BF4AB8">
        <w:rPr>
          <w:iCs/>
          <w:sz w:val="22"/>
          <w:szCs w:val="22"/>
        </w:rPr>
        <w:t>farmakokinetikos</w:t>
      </w:r>
      <w:proofErr w:type="spellEnd"/>
      <w:r w:rsidR="003F20B3" w:rsidRPr="00BF4AB8">
        <w:rPr>
          <w:iCs/>
          <w:sz w:val="22"/>
          <w:szCs w:val="22"/>
        </w:rPr>
        <w:t xml:space="preserve"> tyrimų su pacientais, kuriems yra sunkus</w:t>
      </w:r>
      <w:r w:rsidRPr="00BF4AB8">
        <w:rPr>
          <w:iCs/>
          <w:sz w:val="22"/>
          <w:szCs w:val="22"/>
        </w:rPr>
        <w:t xml:space="preserve"> kepenų funkcijos sutrikimas (</w:t>
      </w:r>
      <w:proofErr w:type="spellStart"/>
      <w:r w:rsidRPr="00BF4AB8">
        <w:rPr>
          <w:i/>
          <w:sz w:val="22"/>
          <w:szCs w:val="22"/>
        </w:rPr>
        <w:t>Child</w:t>
      </w:r>
      <w:proofErr w:type="spellEnd"/>
      <w:r w:rsidRPr="00BF4AB8">
        <w:rPr>
          <w:i/>
          <w:sz w:val="22"/>
          <w:szCs w:val="22"/>
        </w:rPr>
        <w:t xml:space="preserve"> </w:t>
      </w:r>
      <w:proofErr w:type="spellStart"/>
      <w:r w:rsidRPr="00BF4AB8">
        <w:rPr>
          <w:i/>
          <w:sz w:val="22"/>
          <w:szCs w:val="22"/>
        </w:rPr>
        <w:t>Pugh</w:t>
      </w:r>
      <w:proofErr w:type="spellEnd"/>
      <w:r w:rsidRPr="00BF4AB8">
        <w:rPr>
          <w:iCs/>
          <w:sz w:val="22"/>
          <w:szCs w:val="22"/>
        </w:rPr>
        <w:t xml:space="preserve"> C)</w:t>
      </w:r>
      <w:r w:rsidR="003F20B3" w:rsidRPr="00BF4AB8">
        <w:rPr>
          <w:iCs/>
          <w:sz w:val="22"/>
          <w:szCs w:val="22"/>
        </w:rPr>
        <w:t>, neatlikta</w:t>
      </w:r>
      <w:r w:rsidRPr="00BF4AB8">
        <w:rPr>
          <w:iCs/>
          <w:sz w:val="22"/>
          <w:szCs w:val="22"/>
        </w:rPr>
        <w:t>. Pacientų, kuriems yra</w:t>
      </w:r>
      <w:r w:rsidR="003F20B3" w:rsidRPr="00BF4AB8">
        <w:rPr>
          <w:iCs/>
          <w:sz w:val="22"/>
          <w:szCs w:val="22"/>
        </w:rPr>
        <w:t xml:space="preserve"> </w:t>
      </w:r>
      <w:r w:rsidRPr="00BF4AB8">
        <w:rPr>
          <w:iCs/>
          <w:sz w:val="22"/>
          <w:szCs w:val="22"/>
        </w:rPr>
        <w:t>vidutinio sunkumo (</w:t>
      </w:r>
      <w:proofErr w:type="spellStart"/>
      <w:r w:rsidRPr="00BF4AB8">
        <w:rPr>
          <w:i/>
          <w:sz w:val="22"/>
          <w:szCs w:val="22"/>
        </w:rPr>
        <w:t>Child</w:t>
      </w:r>
      <w:proofErr w:type="spellEnd"/>
      <w:r w:rsidRPr="00BF4AB8">
        <w:rPr>
          <w:i/>
          <w:sz w:val="22"/>
          <w:szCs w:val="22"/>
        </w:rPr>
        <w:t xml:space="preserve"> </w:t>
      </w:r>
      <w:proofErr w:type="spellStart"/>
      <w:r w:rsidRPr="00BF4AB8">
        <w:rPr>
          <w:i/>
          <w:sz w:val="22"/>
          <w:szCs w:val="22"/>
        </w:rPr>
        <w:t>Pugh</w:t>
      </w:r>
      <w:proofErr w:type="spellEnd"/>
      <w:r w:rsidRPr="00BF4AB8">
        <w:rPr>
          <w:iCs/>
          <w:sz w:val="22"/>
          <w:szCs w:val="22"/>
        </w:rPr>
        <w:t xml:space="preserve"> B) arba sunkus (</w:t>
      </w:r>
      <w:proofErr w:type="spellStart"/>
      <w:r w:rsidRPr="00BF4AB8">
        <w:rPr>
          <w:i/>
          <w:sz w:val="22"/>
          <w:szCs w:val="22"/>
        </w:rPr>
        <w:t>Child</w:t>
      </w:r>
      <w:proofErr w:type="spellEnd"/>
      <w:r w:rsidRPr="00BF4AB8">
        <w:rPr>
          <w:i/>
          <w:sz w:val="22"/>
          <w:szCs w:val="22"/>
        </w:rPr>
        <w:t xml:space="preserve"> </w:t>
      </w:r>
      <w:proofErr w:type="spellStart"/>
      <w:r w:rsidRPr="00BF4AB8">
        <w:rPr>
          <w:i/>
          <w:sz w:val="22"/>
          <w:szCs w:val="22"/>
        </w:rPr>
        <w:t>Pugh</w:t>
      </w:r>
      <w:proofErr w:type="spellEnd"/>
      <w:r w:rsidRPr="00BF4AB8">
        <w:rPr>
          <w:iCs/>
          <w:sz w:val="22"/>
          <w:szCs w:val="22"/>
        </w:rPr>
        <w:t xml:space="preserve"> C) kepenų funkcijos sutrikimas, </w:t>
      </w:r>
      <w:proofErr w:type="spellStart"/>
      <w:r w:rsidR="003F20B3" w:rsidRPr="00BF4AB8">
        <w:rPr>
          <w:iCs/>
          <w:sz w:val="22"/>
          <w:szCs w:val="22"/>
        </w:rPr>
        <w:t>Nytyka</w:t>
      </w:r>
      <w:proofErr w:type="spellEnd"/>
      <w:r w:rsidR="003F20B3" w:rsidRPr="00BF4AB8">
        <w:rPr>
          <w:iCs/>
          <w:sz w:val="22"/>
          <w:szCs w:val="22"/>
        </w:rPr>
        <w:t xml:space="preserve"> </w:t>
      </w:r>
      <w:r w:rsidRPr="00BF4AB8">
        <w:rPr>
          <w:iCs/>
          <w:sz w:val="22"/>
          <w:szCs w:val="22"/>
        </w:rPr>
        <w:t>gydyti nerekomenduojama (žr. 4.4 ir 5.2</w:t>
      </w:r>
      <w:r w:rsidR="003F20B3" w:rsidRPr="00BF4AB8">
        <w:rPr>
          <w:iCs/>
          <w:sz w:val="22"/>
          <w:szCs w:val="22"/>
        </w:rPr>
        <w:t> </w:t>
      </w:r>
      <w:r w:rsidRPr="00BF4AB8">
        <w:rPr>
          <w:iCs/>
          <w:sz w:val="22"/>
          <w:szCs w:val="22"/>
        </w:rPr>
        <w:t>skyrius)</w:t>
      </w:r>
      <w:r w:rsidR="00613293">
        <w:rPr>
          <w:iCs/>
          <w:sz w:val="22"/>
          <w:szCs w:val="22"/>
        </w:rPr>
        <w:t>.</w:t>
      </w:r>
    </w:p>
    <w:p w14:paraId="15102A74" w14:textId="77777777" w:rsidR="004A3A17" w:rsidRPr="00BF4AB8" w:rsidRDefault="004A3A17" w:rsidP="004A3A17">
      <w:pPr>
        <w:tabs>
          <w:tab w:val="left" w:pos="567"/>
        </w:tabs>
        <w:rPr>
          <w:sz w:val="22"/>
          <w:szCs w:val="22"/>
        </w:rPr>
      </w:pPr>
    </w:p>
    <w:p w14:paraId="283951A0" w14:textId="6929E87C" w:rsidR="004A3A17" w:rsidRPr="00BF4AB8" w:rsidRDefault="004A3A17" w:rsidP="004A3A17">
      <w:pPr>
        <w:keepNext/>
        <w:tabs>
          <w:tab w:val="left" w:pos="567"/>
        </w:tabs>
        <w:rPr>
          <w:sz w:val="22"/>
          <w:szCs w:val="22"/>
          <w:u w:val="single"/>
        </w:rPr>
      </w:pPr>
      <w:r w:rsidRPr="00BF4AB8">
        <w:rPr>
          <w:sz w:val="22"/>
          <w:szCs w:val="22"/>
          <w:u w:val="single"/>
        </w:rPr>
        <w:t>Vartojimo metodas</w:t>
      </w:r>
    </w:p>
    <w:p w14:paraId="6BE06A71" w14:textId="77777777" w:rsidR="003F20B3" w:rsidRPr="00BF4AB8" w:rsidRDefault="003F20B3" w:rsidP="003F20B3">
      <w:pPr>
        <w:tabs>
          <w:tab w:val="left" w:pos="567"/>
        </w:tabs>
        <w:rPr>
          <w:sz w:val="22"/>
          <w:szCs w:val="22"/>
        </w:rPr>
      </w:pPr>
      <w:proofErr w:type="spellStart"/>
      <w:r w:rsidRPr="00BF4AB8">
        <w:rPr>
          <w:sz w:val="22"/>
          <w:szCs w:val="22"/>
        </w:rPr>
        <w:t>Nytyka</w:t>
      </w:r>
      <w:proofErr w:type="spellEnd"/>
      <w:r w:rsidRPr="00BF4AB8">
        <w:rPr>
          <w:sz w:val="22"/>
          <w:szCs w:val="22"/>
        </w:rPr>
        <w:t xml:space="preserve"> kapsules būtina vartoti per burną, geriau su maistu. Reikia nuryti visą kapsulę užgeriant vandeniu. Kapsulės kramtyti negalima.</w:t>
      </w:r>
    </w:p>
    <w:p w14:paraId="3F6AE6AD" w14:textId="37797E38" w:rsidR="004A3A17" w:rsidRPr="00BF4AB8" w:rsidRDefault="003F20B3" w:rsidP="00363A46">
      <w:pPr>
        <w:tabs>
          <w:tab w:val="left" w:pos="567"/>
        </w:tabs>
        <w:rPr>
          <w:sz w:val="22"/>
          <w:szCs w:val="22"/>
        </w:rPr>
      </w:pPr>
      <w:r w:rsidRPr="00BF4AB8">
        <w:rPr>
          <w:sz w:val="22"/>
          <w:szCs w:val="22"/>
        </w:rPr>
        <w:t xml:space="preserve">Kapsulės negalima atidaryti ar traiškyti, </w:t>
      </w:r>
      <w:r w:rsidR="00363A46" w:rsidRPr="00BF4AB8">
        <w:rPr>
          <w:sz w:val="22"/>
          <w:szCs w:val="22"/>
        </w:rPr>
        <w:t>kad būtų išvengta netyčinės ekspozicijos paimant kapsules</w:t>
      </w:r>
      <w:r w:rsidR="004A3A17" w:rsidRPr="00BF4AB8">
        <w:rPr>
          <w:sz w:val="22"/>
          <w:szCs w:val="22"/>
        </w:rPr>
        <w:t xml:space="preserve">. </w:t>
      </w:r>
      <w:r w:rsidR="00363A46" w:rsidRPr="00BF4AB8">
        <w:rPr>
          <w:sz w:val="22"/>
          <w:szCs w:val="22"/>
        </w:rPr>
        <w:t xml:space="preserve">Jeigu prisiliečiama prie kapsulės turinio, pacientas turi nedelsiant gausiu vandens kiekiu nusiplauti rankas </w:t>
      </w:r>
      <w:r w:rsidR="004A3A17" w:rsidRPr="00BF4AB8">
        <w:rPr>
          <w:sz w:val="22"/>
          <w:szCs w:val="22"/>
        </w:rPr>
        <w:t>(</w:t>
      </w:r>
      <w:r w:rsidRPr="00BF4AB8">
        <w:rPr>
          <w:sz w:val="22"/>
          <w:szCs w:val="22"/>
        </w:rPr>
        <w:t>žr. 6.6 skyrių</w:t>
      </w:r>
      <w:r w:rsidR="004A3A17" w:rsidRPr="00BF4AB8">
        <w:rPr>
          <w:sz w:val="22"/>
          <w:szCs w:val="22"/>
        </w:rPr>
        <w:t>).</w:t>
      </w:r>
    </w:p>
    <w:p w14:paraId="30180B53" w14:textId="77777777" w:rsidR="005D554B" w:rsidRPr="00BF4AB8" w:rsidRDefault="005D554B" w:rsidP="005D554B">
      <w:pPr>
        <w:tabs>
          <w:tab w:val="left" w:pos="567"/>
        </w:tabs>
        <w:spacing w:line="260" w:lineRule="exact"/>
        <w:rPr>
          <w:snapToGrid w:val="0"/>
          <w:sz w:val="22"/>
          <w:szCs w:val="24"/>
        </w:rPr>
      </w:pPr>
    </w:p>
    <w:p w14:paraId="25773536" w14:textId="77777777" w:rsidR="005D554B" w:rsidRPr="00BF4AB8" w:rsidRDefault="005D554B" w:rsidP="005D554B">
      <w:pPr>
        <w:keepNext/>
        <w:tabs>
          <w:tab w:val="left" w:pos="567"/>
        </w:tabs>
        <w:spacing w:line="260" w:lineRule="exact"/>
        <w:jc w:val="both"/>
        <w:outlineLvl w:val="3"/>
        <w:rPr>
          <w:b/>
          <w:bCs/>
          <w:snapToGrid w:val="0"/>
          <w:sz w:val="22"/>
          <w:szCs w:val="28"/>
          <w:lang w:eastAsia="x-none"/>
        </w:rPr>
      </w:pPr>
      <w:r w:rsidRPr="00BF4AB8">
        <w:rPr>
          <w:b/>
          <w:bCs/>
          <w:snapToGrid w:val="0"/>
          <w:sz w:val="22"/>
          <w:szCs w:val="28"/>
          <w:lang w:eastAsia="x-none"/>
        </w:rPr>
        <w:t>4.3</w:t>
      </w:r>
      <w:r w:rsidRPr="00BF4AB8">
        <w:rPr>
          <w:b/>
          <w:bCs/>
          <w:snapToGrid w:val="0"/>
          <w:sz w:val="22"/>
          <w:szCs w:val="28"/>
          <w:lang w:eastAsia="x-none"/>
        </w:rPr>
        <w:tab/>
        <w:t>Kontraindikacijos</w:t>
      </w:r>
    </w:p>
    <w:p w14:paraId="69412C16" w14:textId="77777777" w:rsidR="005D554B" w:rsidRPr="00BF4AB8" w:rsidRDefault="005D554B" w:rsidP="005D554B">
      <w:pPr>
        <w:tabs>
          <w:tab w:val="left" w:pos="567"/>
        </w:tabs>
        <w:spacing w:line="260" w:lineRule="exact"/>
        <w:rPr>
          <w:snapToGrid w:val="0"/>
          <w:sz w:val="22"/>
          <w:szCs w:val="24"/>
        </w:rPr>
      </w:pPr>
    </w:p>
    <w:p w14:paraId="04452F2C" w14:textId="1B486E55" w:rsidR="005D554B" w:rsidRPr="00BF4AB8" w:rsidRDefault="00363A46" w:rsidP="005D554B">
      <w:pPr>
        <w:tabs>
          <w:tab w:val="left" w:pos="567"/>
        </w:tabs>
        <w:spacing w:line="260" w:lineRule="exact"/>
        <w:rPr>
          <w:snapToGrid w:val="0"/>
          <w:sz w:val="22"/>
          <w:szCs w:val="24"/>
        </w:rPr>
      </w:pPr>
      <w:r w:rsidRPr="00BF4AB8">
        <w:rPr>
          <w:snapToGrid w:val="0"/>
          <w:sz w:val="22"/>
          <w:szCs w:val="24"/>
        </w:rPr>
        <w:t>P</w:t>
      </w:r>
      <w:r w:rsidR="005D554B" w:rsidRPr="00BF4AB8">
        <w:rPr>
          <w:snapToGrid w:val="0"/>
          <w:sz w:val="22"/>
          <w:szCs w:val="24"/>
        </w:rPr>
        <w:t>adidėjęs jautrumas veikliajai arba bet kuriai 6.1</w:t>
      </w:r>
      <w:r w:rsidRPr="00BF4AB8">
        <w:rPr>
          <w:snapToGrid w:val="0"/>
          <w:sz w:val="22"/>
          <w:szCs w:val="24"/>
        </w:rPr>
        <w:t> </w:t>
      </w:r>
      <w:r w:rsidR="005D554B" w:rsidRPr="00BF4AB8">
        <w:rPr>
          <w:snapToGrid w:val="0"/>
          <w:sz w:val="22"/>
          <w:szCs w:val="24"/>
        </w:rPr>
        <w:t>skyriuje nurodytai pagalbinei medžiagai</w:t>
      </w:r>
      <w:r w:rsidRPr="00BF4AB8">
        <w:rPr>
          <w:snapToGrid w:val="0"/>
          <w:sz w:val="22"/>
          <w:szCs w:val="24"/>
        </w:rPr>
        <w:t>.</w:t>
      </w:r>
    </w:p>
    <w:p w14:paraId="6D2F6307" w14:textId="77777777" w:rsidR="005D554B" w:rsidRPr="00BF4AB8" w:rsidRDefault="005D554B" w:rsidP="005D554B">
      <w:pPr>
        <w:tabs>
          <w:tab w:val="left" w:pos="567"/>
        </w:tabs>
        <w:spacing w:line="260" w:lineRule="exact"/>
        <w:rPr>
          <w:snapToGrid w:val="0"/>
          <w:sz w:val="22"/>
          <w:szCs w:val="24"/>
        </w:rPr>
      </w:pPr>
    </w:p>
    <w:p w14:paraId="4DF6FEA6" w14:textId="77777777" w:rsidR="005D554B" w:rsidRPr="00BF4AB8" w:rsidRDefault="005D554B" w:rsidP="005D554B">
      <w:pPr>
        <w:tabs>
          <w:tab w:val="left" w:pos="567"/>
        </w:tabs>
        <w:spacing w:line="260" w:lineRule="exact"/>
        <w:rPr>
          <w:snapToGrid w:val="0"/>
          <w:sz w:val="22"/>
        </w:rPr>
      </w:pPr>
      <w:r w:rsidRPr="00BF4AB8">
        <w:rPr>
          <w:b/>
          <w:snapToGrid w:val="0"/>
          <w:sz w:val="22"/>
        </w:rPr>
        <w:t>4.4</w:t>
      </w:r>
      <w:r w:rsidRPr="00BF4AB8">
        <w:rPr>
          <w:b/>
          <w:snapToGrid w:val="0"/>
          <w:sz w:val="22"/>
        </w:rPr>
        <w:tab/>
        <w:t>Specialūs įspėjimai ir atsargumo priemonės</w:t>
      </w:r>
    </w:p>
    <w:p w14:paraId="179410EE" w14:textId="77777777" w:rsidR="005D554B" w:rsidRPr="00BF4AB8" w:rsidRDefault="005D554B" w:rsidP="005D554B">
      <w:pPr>
        <w:tabs>
          <w:tab w:val="left" w:pos="567"/>
        </w:tabs>
        <w:spacing w:line="260" w:lineRule="exact"/>
        <w:rPr>
          <w:snapToGrid w:val="0"/>
          <w:sz w:val="22"/>
        </w:rPr>
      </w:pPr>
    </w:p>
    <w:p w14:paraId="37995F2C" w14:textId="77777777" w:rsidR="00D14568" w:rsidRPr="00BF4AB8" w:rsidRDefault="00D14568" w:rsidP="00D14568">
      <w:pPr>
        <w:tabs>
          <w:tab w:val="left" w:pos="567"/>
        </w:tabs>
        <w:spacing w:line="260" w:lineRule="exact"/>
        <w:rPr>
          <w:snapToGrid w:val="0"/>
          <w:sz w:val="22"/>
          <w:u w:val="single"/>
        </w:rPr>
      </w:pPr>
      <w:r w:rsidRPr="00BF4AB8">
        <w:rPr>
          <w:snapToGrid w:val="0"/>
          <w:sz w:val="22"/>
          <w:u w:val="single"/>
        </w:rPr>
        <w:t>Virškinimo trakto sutrikimai</w:t>
      </w:r>
    </w:p>
    <w:p w14:paraId="4D39D103" w14:textId="10ED932F" w:rsidR="00D14568" w:rsidRPr="00BF4AB8" w:rsidRDefault="00D14568" w:rsidP="00D14568">
      <w:pPr>
        <w:tabs>
          <w:tab w:val="left" w:pos="567"/>
        </w:tabs>
        <w:spacing w:line="260" w:lineRule="exact"/>
        <w:rPr>
          <w:snapToGrid w:val="0"/>
          <w:sz w:val="22"/>
        </w:rPr>
      </w:pPr>
      <w:r w:rsidRPr="00BF4AB8">
        <w:rPr>
          <w:snapToGrid w:val="0"/>
          <w:sz w:val="22"/>
        </w:rPr>
        <w:t xml:space="preserve">Dažniausiai pranešta virškinimo trakto nepageidaujama reakcija buvo viduriavimas, kuris laiko atžvilgiu buvo glaudžiai susijęs su </w:t>
      </w:r>
      <w:proofErr w:type="spellStart"/>
      <w:r w:rsidRPr="00BF4AB8">
        <w:rPr>
          <w:snapToGrid w:val="0"/>
          <w:sz w:val="22"/>
        </w:rPr>
        <w:t>docetakselio</w:t>
      </w:r>
      <w:proofErr w:type="spellEnd"/>
      <w:r w:rsidRPr="00BF4AB8">
        <w:rPr>
          <w:snapToGrid w:val="0"/>
          <w:sz w:val="22"/>
        </w:rPr>
        <w:t xml:space="preserve"> vartojimu (žr. 4.8 skyrių). Klinikinio tyrimo LUME-</w:t>
      </w:r>
      <w:proofErr w:type="spellStart"/>
      <w:r w:rsidRPr="00BF4AB8">
        <w:rPr>
          <w:snapToGrid w:val="0"/>
          <w:sz w:val="22"/>
        </w:rPr>
        <w:t>Lung</w:t>
      </w:r>
      <w:proofErr w:type="spellEnd"/>
      <w:r w:rsidRPr="00BF4AB8">
        <w:rPr>
          <w:snapToGrid w:val="0"/>
          <w:sz w:val="22"/>
        </w:rPr>
        <w:t> 1 (žr. 5.1 skyrių) metu daugumai pacientų pasireiškė lengvas arba vidutinio sunkumo viduriavimas.</w:t>
      </w:r>
    </w:p>
    <w:p w14:paraId="480BECE6" w14:textId="1F024E95" w:rsidR="00D14568" w:rsidRPr="00BF4AB8" w:rsidRDefault="00D14568" w:rsidP="00D14568">
      <w:pPr>
        <w:tabs>
          <w:tab w:val="left" w:pos="567"/>
        </w:tabs>
        <w:spacing w:line="260" w:lineRule="exact"/>
        <w:rPr>
          <w:snapToGrid w:val="0"/>
          <w:sz w:val="22"/>
        </w:rPr>
      </w:pPr>
      <w:r w:rsidRPr="00BF4AB8">
        <w:rPr>
          <w:snapToGrid w:val="0"/>
          <w:sz w:val="22"/>
        </w:rPr>
        <w:t xml:space="preserve">Po </w:t>
      </w:r>
      <w:proofErr w:type="spellStart"/>
      <w:r w:rsidRPr="00BF4AB8">
        <w:rPr>
          <w:snapToGrid w:val="0"/>
          <w:sz w:val="22"/>
        </w:rPr>
        <w:t>nintedanibo</w:t>
      </w:r>
      <w:proofErr w:type="spellEnd"/>
      <w:r w:rsidRPr="00BF4AB8">
        <w:rPr>
          <w:snapToGrid w:val="0"/>
          <w:sz w:val="22"/>
        </w:rPr>
        <w:t xml:space="preserve"> pateikimo į rinką gauta pranešimų apie sunkius viduriavimo atvejus, sukėlusius dehidrataciją ir elektrolitų pusiausvyros sutrikimus. Viduriavimą reikia gydyti nuo pirmųjų jo požymių atsiradimo, užtikrinant pakankamą hidrataciją ir skiriant vaistinių preparatų nuo viduriavimo, pvz., </w:t>
      </w:r>
      <w:proofErr w:type="spellStart"/>
      <w:r w:rsidRPr="00BF4AB8">
        <w:rPr>
          <w:snapToGrid w:val="0"/>
          <w:sz w:val="22"/>
        </w:rPr>
        <w:t>loperamido</w:t>
      </w:r>
      <w:proofErr w:type="spellEnd"/>
      <w:r w:rsidRPr="00BF4AB8">
        <w:rPr>
          <w:snapToGrid w:val="0"/>
          <w:sz w:val="22"/>
        </w:rPr>
        <w:t xml:space="preserve">; gali </w:t>
      </w:r>
      <w:r w:rsidR="00FA00A3" w:rsidRPr="00BF4AB8">
        <w:rPr>
          <w:snapToGrid w:val="0"/>
          <w:sz w:val="22"/>
        </w:rPr>
        <w:t>tekti sustabdyti</w:t>
      </w:r>
      <w:r w:rsidRPr="00BF4AB8">
        <w:rPr>
          <w:snapToGrid w:val="0"/>
          <w:sz w:val="22"/>
        </w:rPr>
        <w:t xml:space="preserve"> </w:t>
      </w:r>
      <w:proofErr w:type="spellStart"/>
      <w:r w:rsidR="00FA00A3" w:rsidRPr="00BF4AB8">
        <w:rPr>
          <w:snapToGrid w:val="0"/>
          <w:sz w:val="22"/>
        </w:rPr>
        <w:t>nintedanibo</w:t>
      </w:r>
      <w:proofErr w:type="spellEnd"/>
      <w:r w:rsidRPr="00BF4AB8">
        <w:rPr>
          <w:snapToGrid w:val="0"/>
          <w:sz w:val="22"/>
        </w:rPr>
        <w:t xml:space="preserve"> vartojimą, sumažinti jo dozę ar </w:t>
      </w:r>
      <w:r w:rsidR="00FA00A3" w:rsidRPr="00BF4AB8">
        <w:rPr>
          <w:snapToGrid w:val="0"/>
          <w:sz w:val="22"/>
        </w:rPr>
        <w:t xml:space="preserve">visiškai </w:t>
      </w:r>
      <w:r w:rsidRPr="00BF4AB8">
        <w:rPr>
          <w:snapToGrid w:val="0"/>
          <w:sz w:val="22"/>
        </w:rPr>
        <w:t xml:space="preserve">nutraukti </w:t>
      </w:r>
      <w:r w:rsidR="00FA00A3" w:rsidRPr="00BF4AB8">
        <w:rPr>
          <w:snapToGrid w:val="0"/>
          <w:sz w:val="22"/>
        </w:rPr>
        <w:t>gydymą</w:t>
      </w:r>
      <w:r w:rsidRPr="00BF4AB8">
        <w:rPr>
          <w:snapToGrid w:val="0"/>
          <w:sz w:val="22"/>
        </w:rPr>
        <w:t xml:space="preserve"> </w:t>
      </w:r>
      <w:proofErr w:type="spellStart"/>
      <w:r w:rsidR="00FA00A3" w:rsidRPr="00BF4AB8">
        <w:rPr>
          <w:snapToGrid w:val="0"/>
          <w:sz w:val="22"/>
        </w:rPr>
        <w:t>nintedanibu</w:t>
      </w:r>
      <w:proofErr w:type="spellEnd"/>
      <w:r w:rsidR="00FA00A3" w:rsidRPr="00BF4AB8">
        <w:rPr>
          <w:snapToGrid w:val="0"/>
          <w:sz w:val="22"/>
        </w:rPr>
        <w:t xml:space="preserve"> </w:t>
      </w:r>
      <w:r w:rsidRPr="00BF4AB8">
        <w:rPr>
          <w:snapToGrid w:val="0"/>
          <w:sz w:val="22"/>
        </w:rPr>
        <w:t>(žr. 4.2</w:t>
      </w:r>
      <w:r w:rsidR="00FA00A3" w:rsidRPr="00BF4AB8">
        <w:rPr>
          <w:snapToGrid w:val="0"/>
          <w:sz w:val="22"/>
        </w:rPr>
        <w:t> </w:t>
      </w:r>
      <w:r w:rsidRPr="00BF4AB8">
        <w:rPr>
          <w:snapToGrid w:val="0"/>
          <w:sz w:val="22"/>
        </w:rPr>
        <w:t>skyrių).</w:t>
      </w:r>
    </w:p>
    <w:p w14:paraId="3D6C9828" w14:textId="77777777" w:rsidR="00FA00A3" w:rsidRPr="00BF4AB8" w:rsidRDefault="00FA00A3" w:rsidP="00D14568">
      <w:pPr>
        <w:tabs>
          <w:tab w:val="left" w:pos="567"/>
        </w:tabs>
        <w:spacing w:line="260" w:lineRule="exact"/>
        <w:rPr>
          <w:snapToGrid w:val="0"/>
          <w:sz w:val="22"/>
        </w:rPr>
      </w:pPr>
    </w:p>
    <w:p w14:paraId="58E2A19B" w14:textId="31A69200" w:rsidR="00D14568" w:rsidRPr="00BF4AB8" w:rsidRDefault="00D14568" w:rsidP="00D14568">
      <w:pPr>
        <w:tabs>
          <w:tab w:val="left" w:pos="567"/>
        </w:tabs>
        <w:spacing w:line="260" w:lineRule="exact"/>
        <w:rPr>
          <w:snapToGrid w:val="0"/>
          <w:sz w:val="22"/>
        </w:rPr>
      </w:pPr>
      <w:r w:rsidRPr="00BF4AB8">
        <w:rPr>
          <w:snapToGrid w:val="0"/>
          <w:sz w:val="22"/>
        </w:rPr>
        <w:lastRenderedPageBreak/>
        <w:t xml:space="preserve">Dažnai </w:t>
      </w:r>
      <w:r w:rsidR="00FA00A3" w:rsidRPr="00BF4AB8">
        <w:rPr>
          <w:snapToGrid w:val="0"/>
          <w:sz w:val="22"/>
        </w:rPr>
        <w:t>praneštos</w:t>
      </w:r>
      <w:r w:rsidRPr="00BF4AB8">
        <w:rPr>
          <w:snapToGrid w:val="0"/>
          <w:sz w:val="22"/>
        </w:rPr>
        <w:t xml:space="preserve"> nepageidaujamos virškinimo trakto reakcijos buvo pykinimas ir vėmimas, dažniausiai</w:t>
      </w:r>
      <w:r w:rsidR="00FA00A3" w:rsidRPr="00BF4AB8">
        <w:rPr>
          <w:snapToGrid w:val="0"/>
          <w:sz w:val="22"/>
        </w:rPr>
        <w:t xml:space="preserve"> jos buvo </w:t>
      </w:r>
      <w:r w:rsidRPr="00BF4AB8">
        <w:rPr>
          <w:snapToGrid w:val="0"/>
          <w:sz w:val="22"/>
        </w:rPr>
        <w:t>lengv</w:t>
      </w:r>
      <w:r w:rsidR="00FA00A3" w:rsidRPr="00BF4AB8">
        <w:rPr>
          <w:snapToGrid w:val="0"/>
          <w:sz w:val="22"/>
        </w:rPr>
        <w:t>os</w:t>
      </w:r>
      <w:r w:rsidRPr="00BF4AB8">
        <w:rPr>
          <w:snapToGrid w:val="0"/>
          <w:sz w:val="22"/>
        </w:rPr>
        <w:t xml:space="preserve"> ar vidutinio sunkumo (žr. 4.8</w:t>
      </w:r>
      <w:r w:rsidR="00FA00A3" w:rsidRPr="00BF4AB8">
        <w:rPr>
          <w:snapToGrid w:val="0"/>
          <w:sz w:val="22"/>
        </w:rPr>
        <w:t> </w:t>
      </w:r>
      <w:r w:rsidRPr="00BF4AB8">
        <w:rPr>
          <w:snapToGrid w:val="0"/>
          <w:sz w:val="22"/>
        </w:rPr>
        <w:t xml:space="preserve">skyrių). Gali reikėti </w:t>
      </w:r>
      <w:r w:rsidR="00FA00A3" w:rsidRPr="00BF4AB8">
        <w:rPr>
          <w:snapToGrid w:val="0"/>
          <w:sz w:val="22"/>
        </w:rPr>
        <w:t xml:space="preserve">sustabdyti </w:t>
      </w:r>
      <w:proofErr w:type="spellStart"/>
      <w:r w:rsidR="00FA00A3" w:rsidRPr="00BF4AB8">
        <w:rPr>
          <w:snapToGrid w:val="0"/>
          <w:sz w:val="22"/>
        </w:rPr>
        <w:t>Nytyka</w:t>
      </w:r>
      <w:proofErr w:type="spellEnd"/>
      <w:r w:rsidR="00FA00A3" w:rsidRPr="00BF4AB8">
        <w:rPr>
          <w:snapToGrid w:val="0"/>
          <w:sz w:val="22"/>
        </w:rPr>
        <w:t xml:space="preserve"> vartojimą, sumažinti jo dozę ar visiškai nutraukti gydymą </w:t>
      </w:r>
      <w:proofErr w:type="spellStart"/>
      <w:r w:rsidR="00FA00A3" w:rsidRPr="00BF4AB8">
        <w:rPr>
          <w:snapToGrid w:val="0"/>
          <w:sz w:val="22"/>
        </w:rPr>
        <w:t>Nytyka</w:t>
      </w:r>
      <w:proofErr w:type="spellEnd"/>
      <w:r w:rsidR="00FA00A3" w:rsidRPr="00BF4AB8">
        <w:rPr>
          <w:snapToGrid w:val="0"/>
          <w:sz w:val="22"/>
        </w:rPr>
        <w:t xml:space="preserve"> </w:t>
      </w:r>
      <w:r w:rsidRPr="00BF4AB8">
        <w:rPr>
          <w:snapToGrid w:val="0"/>
          <w:sz w:val="22"/>
        </w:rPr>
        <w:t>(žr. 4.2</w:t>
      </w:r>
      <w:r w:rsidR="00FA00A3" w:rsidRPr="00BF4AB8">
        <w:rPr>
          <w:snapToGrid w:val="0"/>
          <w:sz w:val="22"/>
        </w:rPr>
        <w:t> </w:t>
      </w:r>
      <w:r w:rsidRPr="00BF4AB8">
        <w:rPr>
          <w:snapToGrid w:val="0"/>
          <w:sz w:val="22"/>
        </w:rPr>
        <w:t xml:space="preserve">skyrių), nepaisant taikomo tinkamo palaikomojo gydymo. </w:t>
      </w:r>
      <w:r w:rsidR="00FA00A3" w:rsidRPr="00BF4AB8">
        <w:rPr>
          <w:snapToGrid w:val="0"/>
          <w:sz w:val="22"/>
        </w:rPr>
        <w:t xml:space="preserve">Palaikomasis gydymas pasireiškus pykinimui ir vėmimui gali apimti </w:t>
      </w:r>
      <w:r w:rsidRPr="00BF4AB8">
        <w:rPr>
          <w:snapToGrid w:val="0"/>
          <w:sz w:val="22"/>
        </w:rPr>
        <w:t>vaistini</w:t>
      </w:r>
      <w:r w:rsidR="00FA00A3" w:rsidRPr="00BF4AB8">
        <w:rPr>
          <w:snapToGrid w:val="0"/>
          <w:sz w:val="22"/>
        </w:rPr>
        <w:t>ų</w:t>
      </w:r>
      <w:r w:rsidRPr="00BF4AB8">
        <w:rPr>
          <w:snapToGrid w:val="0"/>
          <w:sz w:val="22"/>
        </w:rPr>
        <w:t xml:space="preserve"> preparat</w:t>
      </w:r>
      <w:r w:rsidR="00FA00A3" w:rsidRPr="00BF4AB8">
        <w:rPr>
          <w:snapToGrid w:val="0"/>
          <w:sz w:val="22"/>
        </w:rPr>
        <w:t>ų</w:t>
      </w:r>
      <w:r w:rsidRPr="00BF4AB8">
        <w:rPr>
          <w:snapToGrid w:val="0"/>
          <w:sz w:val="22"/>
        </w:rPr>
        <w:t>, kuriems būdingos</w:t>
      </w:r>
      <w:r w:rsidR="00FA00A3" w:rsidRPr="00BF4AB8">
        <w:rPr>
          <w:snapToGrid w:val="0"/>
          <w:sz w:val="22"/>
        </w:rPr>
        <w:t xml:space="preserve"> </w:t>
      </w:r>
      <w:r w:rsidRPr="00BF4AB8">
        <w:rPr>
          <w:snapToGrid w:val="0"/>
          <w:sz w:val="22"/>
        </w:rPr>
        <w:t xml:space="preserve">vėmimą slopinančios savybės, pvz., </w:t>
      </w:r>
      <w:proofErr w:type="spellStart"/>
      <w:r w:rsidRPr="00BF4AB8">
        <w:rPr>
          <w:snapToGrid w:val="0"/>
          <w:sz w:val="22"/>
        </w:rPr>
        <w:t>gliukokortikoid</w:t>
      </w:r>
      <w:r w:rsidR="00FA00A3" w:rsidRPr="00BF4AB8">
        <w:rPr>
          <w:snapToGrid w:val="0"/>
          <w:sz w:val="22"/>
        </w:rPr>
        <w:t>ų</w:t>
      </w:r>
      <w:proofErr w:type="spellEnd"/>
      <w:r w:rsidRPr="00BF4AB8">
        <w:rPr>
          <w:snapToGrid w:val="0"/>
          <w:sz w:val="22"/>
        </w:rPr>
        <w:t xml:space="preserve">, </w:t>
      </w:r>
      <w:proofErr w:type="spellStart"/>
      <w:r w:rsidRPr="00BF4AB8">
        <w:rPr>
          <w:snapToGrid w:val="0"/>
          <w:sz w:val="22"/>
        </w:rPr>
        <w:t>antihistaminini</w:t>
      </w:r>
      <w:r w:rsidR="00FA00A3" w:rsidRPr="00BF4AB8">
        <w:rPr>
          <w:snapToGrid w:val="0"/>
          <w:sz w:val="22"/>
        </w:rPr>
        <w:t>ų</w:t>
      </w:r>
      <w:proofErr w:type="spellEnd"/>
      <w:r w:rsidRPr="00BF4AB8">
        <w:rPr>
          <w:snapToGrid w:val="0"/>
          <w:sz w:val="22"/>
        </w:rPr>
        <w:t xml:space="preserve"> vaistini</w:t>
      </w:r>
      <w:r w:rsidR="00FA00A3" w:rsidRPr="00BF4AB8">
        <w:rPr>
          <w:snapToGrid w:val="0"/>
          <w:sz w:val="22"/>
        </w:rPr>
        <w:t>ų</w:t>
      </w:r>
      <w:r w:rsidRPr="00BF4AB8">
        <w:rPr>
          <w:snapToGrid w:val="0"/>
          <w:sz w:val="22"/>
        </w:rPr>
        <w:t xml:space="preserve"> preparat</w:t>
      </w:r>
      <w:r w:rsidR="00FA00A3" w:rsidRPr="00BF4AB8">
        <w:rPr>
          <w:snapToGrid w:val="0"/>
          <w:sz w:val="22"/>
        </w:rPr>
        <w:t>ų</w:t>
      </w:r>
      <w:r w:rsidRPr="00BF4AB8">
        <w:rPr>
          <w:snapToGrid w:val="0"/>
          <w:sz w:val="22"/>
        </w:rPr>
        <w:t xml:space="preserve"> ar 5</w:t>
      </w:r>
      <w:r w:rsidR="00FA00A3" w:rsidRPr="00BF4AB8">
        <w:rPr>
          <w:snapToGrid w:val="0"/>
          <w:sz w:val="22"/>
        </w:rPr>
        <w:noBreakHyphen/>
      </w:r>
      <w:r w:rsidRPr="00BF4AB8">
        <w:rPr>
          <w:snapToGrid w:val="0"/>
          <w:sz w:val="22"/>
        </w:rPr>
        <w:t>HT3 receptorių blokatori</w:t>
      </w:r>
      <w:r w:rsidR="00FA00A3" w:rsidRPr="00BF4AB8">
        <w:rPr>
          <w:snapToGrid w:val="0"/>
          <w:sz w:val="22"/>
        </w:rPr>
        <w:t>ų, vartojimą</w:t>
      </w:r>
      <w:r w:rsidRPr="00BF4AB8">
        <w:rPr>
          <w:snapToGrid w:val="0"/>
          <w:sz w:val="22"/>
        </w:rPr>
        <w:t xml:space="preserve"> ir tinkamą hidrataciją.</w:t>
      </w:r>
    </w:p>
    <w:p w14:paraId="3AA64085" w14:textId="77777777" w:rsidR="00FA00A3" w:rsidRPr="00BF4AB8" w:rsidRDefault="00FA00A3" w:rsidP="00D14568">
      <w:pPr>
        <w:tabs>
          <w:tab w:val="left" w:pos="567"/>
        </w:tabs>
        <w:spacing w:line="260" w:lineRule="exact"/>
        <w:rPr>
          <w:snapToGrid w:val="0"/>
          <w:sz w:val="22"/>
        </w:rPr>
      </w:pPr>
    </w:p>
    <w:p w14:paraId="53C93CAD" w14:textId="00C890E5" w:rsidR="00D14568" w:rsidRPr="00BF4AB8" w:rsidRDefault="00D14568" w:rsidP="00FA00A3">
      <w:pPr>
        <w:tabs>
          <w:tab w:val="left" w:pos="567"/>
        </w:tabs>
        <w:spacing w:line="260" w:lineRule="exact"/>
        <w:rPr>
          <w:snapToGrid w:val="0"/>
          <w:sz w:val="22"/>
        </w:rPr>
      </w:pPr>
      <w:proofErr w:type="spellStart"/>
      <w:r w:rsidRPr="00BF4AB8">
        <w:rPr>
          <w:snapToGrid w:val="0"/>
          <w:sz w:val="22"/>
        </w:rPr>
        <w:t>Dehidracijos</w:t>
      </w:r>
      <w:proofErr w:type="spellEnd"/>
      <w:r w:rsidRPr="00BF4AB8">
        <w:rPr>
          <w:snapToGrid w:val="0"/>
          <w:sz w:val="22"/>
        </w:rPr>
        <w:t xml:space="preserve"> atveju būtina skirti elektrolitų ir skysčių. Jei atsiranda reikšmingų virškinimo trakto</w:t>
      </w:r>
      <w:r w:rsidR="00FA00A3" w:rsidRPr="00BF4AB8">
        <w:rPr>
          <w:snapToGrid w:val="0"/>
          <w:sz w:val="22"/>
        </w:rPr>
        <w:t xml:space="preserve"> </w:t>
      </w:r>
      <w:r w:rsidRPr="00BF4AB8">
        <w:rPr>
          <w:snapToGrid w:val="0"/>
          <w:sz w:val="22"/>
        </w:rPr>
        <w:t xml:space="preserve">nepageidaujamų reiškinių, reikia stebėti elektrolitų kiekį kraujo plazmoje. </w:t>
      </w:r>
      <w:r w:rsidR="00FA00A3" w:rsidRPr="00BF4AB8">
        <w:rPr>
          <w:snapToGrid w:val="0"/>
          <w:sz w:val="22"/>
        </w:rPr>
        <w:t xml:space="preserve">Gali reikėti sustabdyti </w:t>
      </w:r>
      <w:proofErr w:type="spellStart"/>
      <w:r w:rsidR="00FA00A3" w:rsidRPr="00BF4AB8">
        <w:rPr>
          <w:snapToGrid w:val="0"/>
          <w:sz w:val="22"/>
        </w:rPr>
        <w:t>Nytyka</w:t>
      </w:r>
      <w:proofErr w:type="spellEnd"/>
      <w:r w:rsidR="00FA00A3" w:rsidRPr="00BF4AB8">
        <w:rPr>
          <w:snapToGrid w:val="0"/>
          <w:sz w:val="22"/>
        </w:rPr>
        <w:t xml:space="preserve"> vartojimą, sumažinti jo dozę ar visiškai nutraukti gydymą </w:t>
      </w:r>
      <w:proofErr w:type="spellStart"/>
      <w:r w:rsidR="00FA00A3" w:rsidRPr="00BF4AB8">
        <w:rPr>
          <w:snapToGrid w:val="0"/>
          <w:sz w:val="22"/>
        </w:rPr>
        <w:t>Nytyka</w:t>
      </w:r>
      <w:proofErr w:type="spellEnd"/>
      <w:r w:rsidRPr="00BF4AB8">
        <w:rPr>
          <w:snapToGrid w:val="0"/>
          <w:sz w:val="22"/>
        </w:rPr>
        <w:t xml:space="preserve"> (žr. 4.2 skyrių).</w:t>
      </w:r>
    </w:p>
    <w:p w14:paraId="557695C4" w14:textId="77777777" w:rsidR="00D14568" w:rsidRPr="00BF4AB8" w:rsidRDefault="00D14568" w:rsidP="00D14568">
      <w:pPr>
        <w:tabs>
          <w:tab w:val="left" w:pos="567"/>
        </w:tabs>
        <w:spacing w:line="260" w:lineRule="exact"/>
        <w:rPr>
          <w:snapToGrid w:val="0"/>
          <w:sz w:val="22"/>
        </w:rPr>
      </w:pPr>
    </w:p>
    <w:p w14:paraId="6A2999BA" w14:textId="00D0631A" w:rsidR="00D14568" w:rsidRPr="00BF4AB8" w:rsidRDefault="00D14568" w:rsidP="00D14568">
      <w:pPr>
        <w:tabs>
          <w:tab w:val="left" w:pos="567"/>
        </w:tabs>
        <w:spacing w:line="260" w:lineRule="exact"/>
        <w:rPr>
          <w:snapToGrid w:val="0"/>
          <w:sz w:val="22"/>
          <w:u w:val="single"/>
        </w:rPr>
      </w:pPr>
      <w:proofErr w:type="spellStart"/>
      <w:r w:rsidRPr="00BF4AB8">
        <w:rPr>
          <w:snapToGrid w:val="0"/>
          <w:sz w:val="22"/>
          <w:u w:val="single"/>
        </w:rPr>
        <w:t>Neutropenija</w:t>
      </w:r>
      <w:proofErr w:type="spellEnd"/>
      <w:r w:rsidRPr="00BF4AB8">
        <w:rPr>
          <w:snapToGrid w:val="0"/>
          <w:sz w:val="22"/>
          <w:u w:val="single"/>
        </w:rPr>
        <w:t xml:space="preserve"> ir sepsis</w:t>
      </w:r>
    </w:p>
    <w:p w14:paraId="40EF8AC9" w14:textId="786A988F" w:rsidR="00D14568" w:rsidRPr="00BF4AB8" w:rsidRDefault="00D14568" w:rsidP="00D14568">
      <w:pPr>
        <w:tabs>
          <w:tab w:val="left" w:pos="567"/>
        </w:tabs>
        <w:spacing w:line="260" w:lineRule="exact"/>
        <w:rPr>
          <w:snapToGrid w:val="0"/>
          <w:sz w:val="22"/>
        </w:rPr>
      </w:pPr>
      <w:r w:rsidRPr="00BF4AB8">
        <w:rPr>
          <w:snapToGrid w:val="0"/>
          <w:sz w:val="22"/>
        </w:rPr>
        <w:t xml:space="preserve">Pastebėta, kad pacientams, gydomiems </w:t>
      </w:r>
      <w:proofErr w:type="spellStart"/>
      <w:r w:rsidR="009A1E10" w:rsidRPr="00BF4AB8">
        <w:rPr>
          <w:snapToGrid w:val="0"/>
          <w:sz w:val="22"/>
        </w:rPr>
        <w:t>nintedanibo</w:t>
      </w:r>
      <w:proofErr w:type="spellEnd"/>
      <w:r w:rsidRPr="00BF4AB8">
        <w:rPr>
          <w:snapToGrid w:val="0"/>
          <w:sz w:val="22"/>
        </w:rPr>
        <w:t xml:space="preserve"> ir </w:t>
      </w:r>
      <w:proofErr w:type="spellStart"/>
      <w:r w:rsidRPr="00BF4AB8">
        <w:rPr>
          <w:snapToGrid w:val="0"/>
          <w:sz w:val="22"/>
        </w:rPr>
        <w:t>docetakselio</w:t>
      </w:r>
      <w:proofErr w:type="spellEnd"/>
      <w:r w:rsidRPr="00BF4AB8">
        <w:rPr>
          <w:snapToGrid w:val="0"/>
          <w:sz w:val="22"/>
        </w:rPr>
        <w:t xml:space="preserve"> deriniu, </w:t>
      </w:r>
      <w:r w:rsidR="009A1E10" w:rsidRPr="00BF4AB8">
        <w:rPr>
          <w:snapToGrid w:val="0"/>
          <w:sz w:val="22"/>
        </w:rPr>
        <w:t xml:space="preserve">palyginti su gydomais vien </w:t>
      </w:r>
      <w:proofErr w:type="spellStart"/>
      <w:r w:rsidR="009A1E10" w:rsidRPr="00BF4AB8">
        <w:rPr>
          <w:snapToGrid w:val="0"/>
          <w:sz w:val="22"/>
        </w:rPr>
        <w:t>docetakseliu</w:t>
      </w:r>
      <w:proofErr w:type="spellEnd"/>
      <w:r w:rsidR="009A1E10" w:rsidRPr="00BF4AB8">
        <w:rPr>
          <w:snapToGrid w:val="0"/>
          <w:sz w:val="22"/>
        </w:rPr>
        <w:t xml:space="preserve">, </w:t>
      </w:r>
      <w:r w:rsidRPr="00BF4AB8">
        <w:rPr>
          <w:snapToGrid w:val="0"/>
          <w:sz w:val="22"/>
        </w:rPr>
        <w:t>dažniau pasireiškė CTCAE</w:t>
      </w:r>
      <w:r w:rsidR="009A1E10" w:rsidRPr="00BF4AB8">
        <w:rPr>
          <w:snapToGrid w:val="0"/>
          <w:sz w:val="22"/>
        </w:rPr>
        <w:t xml:space="preserve"> </w:t>
      </w:r>
      <w:r w:rsidRPr="00BF4AB8">
        <w:rPr>
          <w:snapToGrid w:val="0"/>
          <w:sz w:val="22"/>
        </w:rPr>
        <w:t>≥</w:t>
      </w:r>
      <w:r w:rsidR="009A1E10" w:rsidRPr="00BF4AB8">
        <w:rPr>
          <w:snapToGrid w:val="0"/>
          <w:sz w:val="22"/>
        </w:rPr>
        <w:t> </w:t>
      </w:r>
      <w:r w:rsidRPr="00BF4AB8">
        <w:rPr>
          <w:snapToGrid w:val="0"/>
          <w:sz w:val="22"/>
        </w:rPr>
        <w:t>3</w:t>
      </w:r>
      <w:r w:rsidR="009A1E10" w:rsidRPr="00BF4AB8">
        <w:rPr>
          <w:snapToGrid w:val="0"/>
          <w:sz w:val="22"/>
        </w:rPr>
        <w:t> </w:t>
      </w:r>
      <w:r w:rsidRPr="00BF4AB8">
        <w:rPr>
          <w:snapToGrid w:val="0"/>
          <w:sz w:val="22"/>
        </w:rPr>
        <w:t xml:space="preserve">laipsnio </w:t>
      </w:r>
      <w:proofErr w:type="spellStart"/>
      <w:r w:rsidRPr="00BF4AB8">
        <w:rPr>
          <w:snapToGrid w:val="0"/>
          <w:sz w:val="22"/>
        </w:rPr>
        <w:t>neutropenija</w:t>
      </w:r>
      <w:proofErr w:type="spellEnd"/>
      <w:r w:rsidRPr="00BF4AB8">
        <w:rPr>
          <w:snapToGrid w:val="0"/>
          <w:sz w:val="22"/>
        </w:rPr>
        <w:t>.</w:t>
      </w:r>
    </w:p>
    <w:p w14:paraId="2358F513" w14:textId="23FA465C" w:rsidR="00D14568" w:rsidRPr="00BF4AB8" w:rsidRDefault="00D14568" w:rsidP="00D14568">
      <w:pPr>
        <w:tabs>
          <w:tab w:val="left" w:pos="567"/>
        </w:tabs>
        <w:spacing w:line="260" w:lineRule="exact"/>
        <w:rPr>
          <w:snapToGrid w:val="0"/>
          <w:sz w:val="22"/>
        </w:rPr>
      </w:pPr>
      <w:r w:rsidRPr="00BF4AB8">
        <w:rPr>
          <w:snapToGrid w:val="0"/>
          <w:sz w:val="22"/>
        </w:rPr>
        <w:t xml:space="preserve">Buvo ir </w:t>
      </w:r>
      <w:r w:rsidR="009A1E10" w:rsidRPr="00BF4AB8">
        <w:rPr>
          <w:snapToGrid w:val="0"/>
          <w:sz w:val="22"/>
        </w:rPr>
        <w:t>vėlesnių</w:t>
      </w:r>
      <w:r w:rsidRPr="00BF4AB8">
        <w:rPr>
          <w:snapToGrid w:val="0"/>
          <w:sz w:val="22"/>
        </w:rPr>
        <w:t xml:space="preserve"> komplikacijų, pvz., sepsio ar </w:t>
      </w:r>
      <w:proofErr w:type="spellStart"/>
      <w:r w:rsidRPr="00BF4AB8">
        <w:rPr>
          <w:snapToGrid w:val="0"/>
          <w:sz w:val="22"/>
        </w:rPr>
        <w:t>febrilinės</w:t>
      </w:r>
      <w:proofErr w:type="spellEnd"/>
      <w:r w:rsidRPr="00BF4AB8">
        <w:rPr>
          <w:snapToGrid w:val="0"/>
          <w:sz w:val="22"/>
        </w:rPr>
        <w:t xml:space="preserve"> </w:t>
      </w:r>
      <w:proofErr w:type="spellStart"/>
      <w:r w:rsidRPr="00BF4AB8">
        <w:rPr>
          <w:snapToGrid w:val="0"/>
          <w:sz w:val="22"/>
        </w:rPr>
        <w:t>neutropenijos</w:t>
      </w:r>
      <w:proofErr w:type="spellEnd"/>
      <w:r w:rsidRPr="00BF4AB8">
        <w:rPr>
          <w:snapToGrid w:val="0"/>
          <w:sz w:val="22"/>
        </w:rPr>
        <w:t>, atvejų (įskaitant mirtinus</w:t>
      </w:r>
      <w:r w:rsidR="009A1E10" w:rsidRPr="00BF4AB8">
        <w:rPr>
          <w:snapToGrid w:val="0"/>
          <w:sz w:val="22"/>
        </w:rPr>
        <w:t xml:space="preserve"> </w:t>
      </w:r>
      <w:r w:rsidRPr="00BF4AB8">
        <w:rPr>
          <w:snapToGrid w:val="0"/>
          <w:sz w:val="22"/>
        </w:rPr>
        <w:t>atvejus).</w:t>
      </w:r>
    </w:p>
    <w:p w14:paraId="263C337D" w14:textId="77777777" w:rsidR="009A1E10" w:rsidRPr="00BF4AB8" w:rsidRDefault="009A1E10" w:rsidP="00D14568">
      <w:pPr>
        <w:tabs>
          <w:tab w:val="left" w:pos="567"/>
        </w:tabs>
        <w:spacing w:line="260" w:lineRule="exact"/>
        <w:rPr>
          <w:snapToGrid w:val="0"/>
          <w:sz w:val="22"/>
        </w:rPr>
      </w:pPr>
    </w:p>
    <w:p w14:paraId="0740E643" w14:textId="5732A0CF" w:rsidR="00D14568" w:rsidRPr="00BF4AB8" w:rsidRDefault="00D14568" w:rsidP="00D14568">
      <w:pPr>
        <w:tabs>
          <w:tab w:val="left" w:pos="567"/>
        </w:tabs>
        <w:spacing w:line="260" w:lineRule="exact"/>
        <w:rPr>
          <w:snapToGrid w:val="0"/>
          <w:sz w:val="22"/>
        </w:rPr>
      </w:pPr>
      <w:r w:rsidRPr="00BF4AB8">
        <w:rPr>
          <w:snapToGrid w:val="0"/>
          <w:sz w:val="22"/>
        </w:rPr>
        <w:t>Gydymo</w:t>
      </w:r>
      <w:r w:rsidR="0094101A" w:rsidRPr="00BF4AB8">
        <w:rPr>
          <w:snapToGrid w:val="0"/>
          <w:sz w:val="22"/>
        </w:rPr>
        <w:t xml:space="preserve"> metu būtina stebėti kraujo ląstelių kiekį</w:t>
      </w:r>
      <w:r w:rsidRPr="00BF4AB8">
        <w:rPr>
          <w:snapToGrid w:val="0"/>
          <w:sz w:val="22"/>
        </w:rPr>
        <w:t xml:space="preserve">, ypač </w:t>
      </w:r>
      <w:r w:rsidR="0094101A" w:rsidRPr="00BF4AB8">
        <w:rPr>
          <w:snapToGrid w:val="0"/>
          <w:sz w:val="22"/>
        </w:rPr>
        <w:t>jei kartu vartojamas</w:t>
      </w:r>
      <w:r w:rsidRPr="00BF4AB8">
        <w:rPr>
          <w:snapToGrid w:val="0"/>
          <w:sz w:val="22"/>
        </w:rPr>
        <w:t xml:space="preserve"> </w:t>
      </w:r>
      <w:proofErr w:type="spellStart"/>
      <w:r w:rsidRPr="00BF4AB8">
        <w:rPr>
          <w:snapToGrid w:val="0"/>
          <w:sz w:val="22"/>
        </w:rPr>
        <w:t>docetakseli</w:t>
      </w:r>
      <w:r w:rsidR="0094101A" w:rsidRPr="00BF4AB8">
        <w:rPr>
          <w:snapToGrid w:val="0"/>
          <w:sz w:val="22"/>
        </w:rPr>
        <w:t>s</w:t>
      </w:r>
      <w:proofErr w:type="spellEnd"/>
      <w:r w:rsidRPr="00BF4AB8">
        <w:rPr>
          <w:snapToGrid w:val="0"/>
          <w:sz w:val="22"/>
        </w:rPr>
        <w:t>. Pacientams,</w:t>
      </w:r>
      <w:r w:rsidR="0094101A" w:rsidRPr="00BF4AB8">
        <w:rPr>
          <w:snapToGrid w:val="0"/>
          <w:sz w:val="22"/>
        </w:rPr>
        <w:t xml:space="preserve"> </w:t>
      </w:r>
      <w:r w:rsidRPr="00BF4AB8">
        <w:rPr>
          <w:snapToGrid w:val="0"/>
          <w:sz w:val="22"/>
        </w:rPr>
        <w:t xml:space="preserve">gydomiems </w:t>
      </w:r>
      <w:proofErr w:type="spellStart"/>
      <w:r w:rsidRPr="00BF4AB8">
        <w:rPr>
          <w:snapToGrid w:val="0"/>
          <w:sz w:val="22"/>
        </w:rPr>
        <w:t>nintedanibo</w:t>
      </w:r>
      <w:proofErr w:type="spellEnd"/>
      <w:r w:rsidRPr="00BF4AB8">
        <w:rPr>
          <w:snapToGrid w:val="0"/>
          <w:sz w:val="22"/>
        </w:rPr>
        <w:t xml:space="preserve"> ir </w:t>
      </w:r>
      <w:proofErr w:type="spellStart"/>
      <w:r w:rsidRPr="00BF4AB8">
        <w:rPr>
          <w:snapToGrid w:val="0"/>
          <w:sz w:val="22"/>
        </w:rPr>
        <w:t>docetakselio</w:t>
      </w:r>
      <w:proofErr w:type="spellEnd"/>
      <w:r w:rsidRPr="00BF4AB8">
        <w:rPr>
          <w:snapToGrid w:val="0"/>
          <w:sz w:val="22"/>
        </w:rPr>
        <w:t xml:space="preserve"> deriniu, reikia pakartotinai atlikinėti visų kraujo ląstelių kiekio</w:t>
      </w:r>
      <w:r w:rsidR="0094101A" w:rsidRPr="00BF4AB8">
        <w:rPr>
          <w:snapToGrid w:val="0"/>
          <w:sz w:val="22"/>
        </w:rPr>
        <w:t xml:space="preserve"> </w:t>
      </w:r>
      <w:r w:rsidRPr="00BF4AB8">
        <w:rPr>
          <w:snapToGrid w:val="0"/>
          <w:sz w:val="22"/>
        </w:rPr>
        <w:t>tyrimus kiekvieno gydymo ciklo pradžioje ir maždaug tuo metu, kai ląstelių kieki</w:t>
      </w:r>
      <w:r w:rsidR="00150E2D" w:rsidRPr="00BF4AB8">
        <w:rPr>
          <w:snapToGrid w:val="0"/>
          <w:sz w:val="22"/>
        </w:rPr>
        <w:t>s</w:t>
      </w:r>
      <w:r w:rsidRPr="00BF4AB8">
        <w:rPr>
          <w:snapToGrid w:val="0"/>
          <w:sz w:val="22"/>
        </w:rPr>
        <w:t xml:space="preserve"> būna mažiausi</w:t>
      </w:r>
      <w:r w:rsidR="00150E2D" w:rsidRPr="00BF4AB8">
        <w:rPr>
          <w:snapToGrid w:val="0"/>
          <w:sz w:val="22"/>
        </w:rPr>
        <w:t>as bei</w:t>
      </w:r>
      <w:r w:rsidRPr="00BF4AB8">
        <w:rPr>
          <w:snapToGrid w:val="0"/>
          <w:sz w:val="22"/>
        </w:rPr>
        <w:t>,</w:t>
      </w:r>
      <w:r w:rsidR="00150E2D" w:rsidRPr="00BF4AB8">
        <w:rPr>
          <w:snapToGrid w:val="0"/>
          <w:sz w:val="22"/>
        </w:rPr>
        <w:t xml:space="preserve"> </w:t>
      </w:r>
      <w:r w:rsidRPr="00BF4AB8">
        <w:rPr>
          <w:snapToGrid w:val="0"/>
          <w:sz w:val="22"/>
        </w:rPr>
        <w:t xml:space="preserve">jei </w:t>
      </w:r>
      <w:r w:rsidR="00150E2D" w:rsidRPr="00BF4AB8">
        <w:rPr>
          <w:snapToGrid w:val="0"/>
          <w:sz w:val="22"/>
        </w:rPr>
        <w:t>yra klinikinių indikacijų</w:t>
      </w:r>
      <w:r w:rsidRPr="00BF4AB8">
        <w:rPr>
          <w:snapToGrid w:val="0"/>
          <w:sz w:val="22"/>
        </w:rPr>
        <w:t>, po paskutinio gydymo deriniu ciklo.</w:t>
      </w:r>
    </w:p>
    <w:p w14:paraId="1FF589CE" w14:textId="77777777" w:rsidR="0094101A" w:rsidRPr="00BF4AB8" w:rsidRDefault="0094101A" w:rsidP="00D14568">
      <w:pPr>
        <w:tabs>
          <w:tab w:val="left" w:pos="567"/>
        </w:tabs>
        <w:spacing w:line="260" w:lineRule="exact"/>
        <w:rPr>
          <w:snapToGrid w:val="0"/>
          <w:sz w:val="22"/>
        </w:rPr>
      </w:pPr>
    </w:p>
    <w:p w14:paraId="5FCE491E" w14:textId="668F3BC9" w:rsidR="00D14568" w:rsidRPr="00BF4AB8" w:rsidRDefault="00D14568" w:rsidP="00D14568">
      <w:pPr>
        <w:tabs>
          <w:tab w:val="left" w:pos="567"/>
        </w:tabs>
        <w:spacing w:line="260" w:lineRule="exact"/>
        <w:rPr>
          <w:snapToGrid w:val="0"/>
          <w:sz w:val="22"/>
          <w:u w:val="single"/>
        </w:rPr>
      </w:pPr>
      <w:r w:rsidRPr="00BF4AB8">
        <w:rPr>
          <w:snapToGrid w:val="0"/>
          <w:sz w:val="22"/>
          <w:u w:val="single"/>
        </w:rPr>
        <w:t>Kepenų funkcija</w:t>
      </w:r>
    </w:p>
    <w:p w14:paraId="05FCE34B" w14:textId="192D598A" w:rsidR="00150E2D" w:rsidRPr="00BF4AB8" w:rsidRDefault="00D14568" w:rsidP="00150E2D">
      <w:pPr>
        <w:tabs>
          <w:tab w:val="left" w:pos="567"/>
        </w:tabs>
        <w:spacing w:line="260" w:lineRule="exact"/>
        <w:rPr>
          <w:snapToGrid w:val="0"/>
          <w:sz w:val="22"/>
        </w:rPr>
      </w:pPr>
      <w:r w:rsidRPr="00BF4AB8">
        <w:rPr>
          <w:snapToGrid w:val="0"/>
          <w:sz w:val="22"/>
        </w:rPr>
        <w:t>Dėl didesnės ekspozicijos nepageidaujamų reiškinių rizika gali padidėti pacientams, kuriems yra</w:t>
      </w:r>
      <w:r w:rsidR="00150E2D" w:rsidRPr="00BF4AB8">
        <w:rPr>
          <w:snapToGrid w:val="0"/>
          <w:sz w:val="22"/>
        </w:rPr>
        <w:t xml:space="preserve"> </w:t>
      </w:r>
      <w:r w:rsidRPr="00BF4AB8">
        <w:rPr>
          <w:snapToGrid w:val="0"/>
          <w:sz w:val="22"/>
        </w:rPr>
        <w:t>lengvas kepenų funkcijos sutrikimas (</w:t>
      </w:r>
      <w:proofErr w:type="spellStart"/>
      <w:r w:rsidRPr="00BF4AB8">
        <w:rPr>
          <w:i/>
          <w:iCs/>
          <w:snapToGrid w:val="0"/>
          <w:sz w:val="22"/>
        </w:rPr>
        <w:t>Child</w:t>
      </w:r>
      <w:proofErr w:type="spellEnd"/>
      <w:r w:rsidRPr="00BF4AB8">
        <w:rPr>
          <w:i/>
          <w:iCs/>
          <w:snapToGrid w:val="0"/>
          <w:sz w:val="22"/>
        </w:rPr>
        <w:t xml:space="preserve"> </w:t>
      </w:r>
      <w:proofErr w:type="spellStart"/>
      <w:r w:rsidRPr="00BF4AB8">
        <w:rPr>
          <w:i/>
          <w:iCs/>
          <w:snapToGrid w:val="0"/>
          <w:sz w:val="22"/>
        </w:rPr>
        <w:t>Pugh</w:t>
      </w:r>
      <w:proofErr w:type="spellEnd"/>
      <w:r w:rsidRPr="00BF4AB8">
        <w:rPr>
          <w:snapToGrid w:val="0"/>
          <w:sz w:val="22"/>
        </w:rPr>
        <w:t xml:space="preserve"> A; žr. 4.2 ir 5.2</w:t>
      </w:r>
      <w:r w:rsidR="0094101A" w:rsidRPr="00BF4AB8">
        <w:rPr>
          <w:snapToGrid w:val="0"/>
          <w:sz w:val="22"/>
        </w:rPr>
        <w:t> </w:t>
      </w:r>
      <w:r w:rsidRPr="00BF4AB8">
        <w:rPr>
          <w:snapToGrid w:val="0"/>
          <w:sz w:val="22"/>
        </w:rPr>
        <w:t>skyrius). Gauti riboti saugumo</w:t>
      </w:r>
      <w:r w:rsidR="00150E2D" w:rsidRPr="00BF4AB8">
        <w:rPr>
          <w:snapToGrid w:val="0"/>
          <w:sz w:val="22"/>
        </w:rPr>
        <w:t xml:space="preserve"> </w:t>
      </w:r>
      <w:r w:rsidRPr="00BF4AB8">
        <w:rPr>
          <w:snapToGrid w:val="0"/>
          <w:sz w:val="22"/>
        </w:rPr>
        <w:t>duomenys iš 9</w:t>
      </w:r>
      <w:r w:rsidR="00150E2D" w:rsidRPr="00BF4AB8">
        <w:rPr>
          <w:snapToGrid w:val="0"/>
          <w:sz w:val="22"/>
        </w:rPr>
        <w:t> </w:t>
      </w:r>
      <w:r w:rsidRPr="00BF4AB8">
        <w:rPr>
          <w:snapToGrid w:val="0"/>
          <w:sz w:val="22"/>
        </w:rPr>
        <w:t xml:space="preserve">pacientų, sergančių kepenų ląstelių </w:t>
      </w:r>
      <w:proofErr w:type="spellStart"/>
      <w:r w:rsidRPr="00BF4AB8">
        <w:rPr>
          <w:snapToGrid w:val="0"/>
          <w:sz w:val="22"/>
        </w:rPr>
        <w:t>karcinoma</w:t>
      </w:r>
      <w:proofErr w:type="spellEnd"/>
      <w:r w:rsidRPr="00BF4AB8">
        <w:rPr>
          <w:snapToGrid w:val="0"/>
          <w:sz w:val="22"/>
        </w:rPr>
        <w:t xml:space="preserve"> ir vidutinio sunkumo kepenų funkcijos</w:t>
      </w:r>
      <w:r w:rsidR="00150E2D" w:rsidRPr="00BF4AB8">
        <w:rPr>
          <w:snapToGrid w:val="0"/>
          <w:sz w:val="22"/>
        </w:rPr>
        <w:t xml:space="preserve"> </w:t>
      </w:r>
      <w:r w:rsidRPr="00BF4AB8">
        <w:rPr>
          <w:snapToGrid w:val="0"/>
          <w:sz w:val="22"/>
        </w:rPr>
        <w:t xml:space="preserve">sutrikimu, klasifikuotu kaip </w:t>
      </w:r>
      <w:proofErr w:type="spellStart"/>
      <w:r w:rsidRPr="00BF4AB8">
        <w:rPr>
          <w:i/>
          <w:iCs/>
          <w:snapToGrid w:val="0"/>
          <w:sz w:val="22"/>
        </w:rPr>
        <w:t>Child</w:t>
      </w:r>
      <w:proofErr w:type="spellEnd"/>
      <w:r w:rsidRPr="00BF4AB8">
        <w:rPr>
          <w:i/>
          <w:iCs/>
          <w:snapToGrid w:val="0"/>
          <w:sz w:val="22"/>
        </w:rPr>
        <w:t xml:space="preserve"> </w:t>
      </w:r>
      <w:proofErr w:type="spellStart"/>
      <w:r w:rsidRPr="00BF4AB8">
        <w:rPr>
          <w:i/>
          <w:iCs/>
          <w:snapToGrid w:val="0"/>
          <w:sz w:val="22"/>
        </w:rPr>
        <w:t>Pugh</w:t>
      </w:r>
      <w:proofErr w:type="spellEnd"/>
      <w:r w:rsidRPr="00BF4AB8">
        <w:rPr>
          <w:snapToGrid w:val="0"/>
          <w:sz w:val="22"/>
        </w:rPr>
        <w:t xml:space="preserve"> B. Nors </w:t>
      </w:r>
      <w:r w:rsidR="00150E2D" w:rsidRPr="00BF4AB8">
        <w:rPr>
          <w:snapToGrid w:val="0"/>
          <w:sz w:val="22"/>
        </w:rPr>
        <w:t xml:space="preserve">nenumatytų saugumo rezultatų </w:t>
      </w:r>
      <w:r w:rsidRPr="00BF4AB8">
        <w:rPr>
          <w:snapToGrid w:val="0"/>
          <w:sz w:val="22"/>
        </w:rPr>
        <w:t xml:space="preserve">šiems pacientams nebuvo </w:t>
      </w:r>
      <w:r w:rsidR="00150E2D" w:rsidRPr="00BF4AB8">
        <w:rPr>
          <w:snapToGrid w:val="0"/>
          <w:sz w:val="22"/>
        </w:rPr>
        <w:t>gauta</w:t>
      </w:r>
      <w:r w:rsidRPr="00BF4AB8">
        <w:rPr>
          <w:snapToGrid w:val="0"/>
          <w:sz w:val="22"/>
        </w:rPr>
        <w:t>, duomenų pacient</w:t>
      </w:r>
      <w:r w:rsidR="00D56D58">
        <w:rPr>
          <w:snapToGrid w:val="0"/>
          <w:sz w:val="22"/>
        </w:rPr>
        <w:t>ams</w:t>
      </w:r>
      <w:r w:rsidRPr="00BF4AB8">
        <w:rPr>
          <w:snapToGrid w:val="0"/>
          <w:sz w:val="22"/>
        </w:rPr>
        <w:t>, kuriems yra vidutinio sunkumo kepenų funkcijos</w:t>
      </w:r>
      <w:r w:rsidR="00150E2D" w:rsidRPr="00BF4AB8">
        <w:rPr>
          <w:snapToGrid w:val="0"/>
          <w:sz w:val="22"/>
        </w:rPr>
        <w:t xml:space="preserve"> </w:t>
      </w:r>
      <w:r w:rsidRPr="00BF4AB8">
        <w:rPr>
          <w:snapToGrid w:val="0"/>
          <w:sz w:val="22"/>
        </w:rPr>
        <w:t>sutrikimas, gydymo rekomendacijoms</w:t>
      </w:r>
      <w:r w:rsidR="00150E2D" w:rsidRPr="00BF4AB8">
        <w:rPr>
          <w:snapToGrid w:val="0"/>
          <w:sz w:val="22"/>
        </w:rPr>
        <w:t xml:space="preserve"> pagrįsti nepakanka</w:t>
      </w:r>
      <w:r w:rsidRPr="00BF4AB8">
        <w:rPr>
          <w:snapToGrid w:val="0"/>
          <w:sz w:val="22"/>
        </w:rPr>
        <w:t xml:space="preserve">. </w:t>
      </w:r>
      <w:proofErr w:type="spellStart"/>
      <w:r w:rsidRPr="00BF4AB8">
        <w:rPr>
          <w:snapToGrid w:val="0"/>
          <w:sz w:val="22"/>
        </w:rPr>
        <w:t>Nintedanibo</w:t>
      </w:r>
      <w:proofErr w:type="spellEnd"/>
      <w:r w:rsidRPr="00BF4AB8">
        <w:rPr>
          <w:snapToGrid w:val="0"/>
          <w:sz w:val="22"/>
        </w:rPr>
        <w:t xml:space="preserve"> veiksmingumas nebuvo tirtas pacientams, kuriems</w:t>
      </w:r>
      <w:r w:rsidR="00150E2D" w:rsidRPr="00BF4AB8">
        <w:rPr>
          <w:snapToGrid w:val="0"/>
          <w:sz w:val="22"/>
        </w:rPr>
        <w:t xml:space="preserve"> </w:t>
      </w:r>
      <w:r w:rsidRPr="00BF4AB8">
        <w:rPr>
          <w:snapToGrid w:val="0"/>
          <w:sz w:val="22"/>
        </w:rPr>
        <w:t>yra vidutinio sunkumo kepenų funkcijos sutrikimas (</w:t>
      </w:r>
      <w:proofErr w:type="spellStart"/>
      <w:r w:rsidRPr="00BF4AB8">
        <w:rPr>
          <w:i/>
          <w:iCs/>
          <w:snapToGrid w:val="0"/>
          <w:sz w:val="22"/>
        </w:rPr>
        <w:t>Child</w:t>
      </w:r>
      <w:proofErr w:type="spellEnd"/>
      <w:r w:rsidRPr="00BF4AB8">
        <w:rPr>
          <w:i/>
          <w:iCs/>
          <w:snapToGrid w:val="0"/>
          <w:sz w:val="22"/>
        </w:rPr>
        <w:t xml:space="preserve"> </w:t>
      </w:r>
      <w:proofErr w:type="spellStart"/>
      <w:r w:rsidRPr="00BF4AB8">
        <w:rPr>
          <w:i/>
          <w:iCs/>
          <w:snapToGrid w:val="0"/>
          <w:sz w:val="22"/>
        </w:rPr>
        <w:t>Pugh</w:t>
      </w:r>
      <w:proofErr w:type="spellEnd"/>
      <w:r w:rsidRPr="00BF4AB8">
        <w:rPr>
          <w:snapToGrid w:val="0"/>
          <w:sz w:val="22"/>
        </w:rPr>
        <w:t xml:space="preserve"> B).</w:t>
      </w:r>
    </w:p>
    <w:p w14:paraId="4817F4DE" w14:textId="51A86B51" w:rsidR="00D14568" w:rsidRPr="00BF4AB8" w:rsidRDefault="00150E2D" w:rsidP="00150E2D">
      <w:pPr>
        <w:tabs>
          <w:tab w:val="left" w:pos="567"/>
        </w:tabs>
        <w:spacing w:line="260" w:lineRule="exact"/>
        <w:rPr>
          <w:snapToGrid w:val="0"/>
          <w:sz w:val="22"/>
        </w:rPr>
      </w:pPr>
      <w:proofErr w:type="spellStart"/>
      <w:r w:rsidRPr="00BF4AB8">
        <w:rPr>
          <w:iCs/>
          <w:sz w:val="22"/>
          <w:szCs w:val="22"/>
        </w:rPr>
        <w:t>Nintedanibo</w:t>
      </w:r>
      <w:proofErr w:type="spellEnd"/>
      <w:r w:rsidRPr="00BF4AB8">
        <w:rPr>
          <w:iCs/>
          <w:sz w:val="22"/>
          <w:szCs w:val="22"/>
        </w:rPr>
        <w:t xml:space="preserve"> saugumo, veiksmingumo ir </w:t>
      </w:r>
      <w:proofErr w:type="spellStart"/>
      <w:r w:rsidRPr="00BF4AB8">
        <w:rPr>
          <w:iCs/>
          <w:sz w:val="22"/>
          <w:szCs w:val="22"/>
        </w:rPr>
        <w:t>farmakokinetikos</w:t>
      </w:r>
      <w:proofErr w:type="spellEnd"/>
      <w:r w:rsidRPr="00BF4AB8">
        <w:rPr>
          <w:iCs/>
          <w:sz w:val="22"/>
          <w:szCs w:val="22"/>
        </w:rPr>
        <w:t xml:space="preserve"> tyrimų su pacientais, kuriems yra sunkus kepenų funkcijos sutrikimas (</w:t>
      </w:r>
      <w:proofErr w:type="spellStart"/>
      <w:r w:rsidRPr="00BF4AB8">
        <w:rPr>
          <w:i/>
          <w:sz w:val="22"/>
          <w:szCs w:val="22"/>
        </w:rPr>
        <w:t>Child</w:t>
      </w:r>
      <w:proofErr w:type="spellEnd"/>
      <w:r w:rsidRPr="00BF4AB8">
        <w:rPr>
          <w:i/>
          <w:sz w:val="22"/>
          <w:szCs w:val="22"/>
        </w:rPr>
        <w:t xml:space="preserve"> </w:t>
      </w:r>
      <w:proofErr w:type="spellStart"/>
      <w:r w:rsidRPr="00BF4AB8">
        <w:rPr>
          <w:i/>
          <w:sz w:val="22"/>
          <w:szCs w:val="22"/>
        </w:rPr>
        <w:t>Pugh</w:t>
      </w:r>
      <w:proofErr w:type="spellEnd"/>
      <w:r w:rsidRPr="00BF4AB8">
        <w:rPr>
          <w:iCs/>
          <w:sz w:val="22"/>
          <w:szCs w:val="22"/>
        </w:rPr>
        <w:t xml:space="preserve"> C), neatlikta. Pacientų, kuriems yra vidutinio sunkumo (</w:t>
      </w:r>
      <w:proofErr w:type="spellStart"/>
      <w:r w:rsidRPr="00BF4AB8">
        <w:rPr>
          <w:i/>
          <w:sz w:val="22"/>
          <w:szCs w:val="22"/>
        </w:rPr>
        <w:t>Child</w:t>
      </w:r>
      <w:proofErr w:type="spellEnd"/>
      <w:r w:rsidRPr="00BF4AB8">
        <w:rPr>
          <w:i/>
          <w:sz w:val="22"/>
          <w:szCs w:val="22"/>
        </w:rPr>
        <w:t xml:space="preserve"> </w:t>
      </w:r>
      <w:proofErr w:type="spellStart"/>
      <w:r w:rsidRPr="00BF4AB8">
        <w:rPr>
          <w:i/>
          <w:sz w:val="22"/>
          <w:szCs w:val="22"/>
        </w:rPr>
        <w:t>Pugh</w:t>
      </w:r>
      <w:proofErr w:type="spellEnd"/>
      <w:r w:rsidRPr="00BF4AB8">
        <w:rPr>
          <w:iCs/>
          <w:sz w:val="22"/>
          <w:szCs w:val="22"/>
        </w:rPr>
        <w:t xml:space="preserve"> B) arba sunkus (</w:t>
      </w:r>
      <w:proofErr w:type="spellStart"/>
      <w:r w:rsidRPr="00BF4AB8">
        <w:rPr>
          <w:i/>
          <w:sz w:val="22"/>
          <w:szCs w:val="22"/>
        </w:rPr>
        <w:t>Child</w:t>
      </w:r>
      <w:proofErr w:type="spellEnd"/>
      <w:r w:rsidRPr="00BF4AB8">
        <w:rPr>
          <w:i/>
          <w:sz w:val="22"/>
          <w:szCs w:val="22"/>
        </w:rPr>
        <w:t xml:space="preserve"> </w:t>
      </w:r>
      <w:proofErr w:type="spellStart"/>
      <w:r w:rsidRPr="00BF4AB8">
        <w:rPr>
          <w:i/>
          <w:sz w:val="22"/>
          <w:szCs w:val="22"/>
        </w:rPr>
        <w:t>Pugh</w:t>
      </w:r>
      <w:proofErr w:type="spellEnd"/>
      <w:r w:rsidRPr="00BF4AB8">
        <w:rPr>
          <w:iCs/>
          <w:sz w:val="22"/>
          <w:szCs w:val="22"/>
        </w:rPr>
        <w:t xml:space="preserve"> C) kepenų funkcijos sutrikimas, </w:t>
      </w:r>
      <w:proofErr w:type="spellStart"/>
      <w:r w:rsidRPr="00BF4AB8">
        <w:rPr>
          <w:iCs/>
          <w:sz w:val="22"/>
          <w:szCs w:val="22"/>
        </w:rPr>
        <w:t>Nytyka</w:t>
      </w:r>
      <w:proofErr w:type="spellEnd"/>
      <w:r w:rsidRPr="00BF4AB8">
        <w:rPr>
          <w:iCs/>
          <w:sz w:val="22"/>
          <w:szCs w:val="22"/>
        </w:rPr>
        <w:t xml:space="preserve"> gydyti nerekomenduojama </w:t>
      </w:r>
      <w:r w:rsidR="00D14568" w:rsidRPr="00BF4AB8">
        <w:rPr>
          <w:snapToGrid w:val="0"/>
          <w:sz w:val="22"/>
        </w:rPr>
        <w:t>(žr. 4.2</w:t>
      </w:r>
      <w:r w:rsidRPr="00BF4AB8">
        <w:rPr>
          <w:snapToGrid w:val="0"/>
          <w:sz w:val="22"/>
        </w:rPr>
        <w:t> </w:t>
      </w:r>
      <w:r w:rsidR="00D14568" w:rsidRPr="00BF4AB8">
        <w:rPr>
          <w:snapToGrid w:val="0"/>
          <w:sz w:val="22"/>
        </w:rPr>
        <w:t>skyrių).</w:t>
      </w:r>
    </w:p>
    <w:p w14:paraId="45A8A1EF" w14:textId="77777777" w:rsidR="00150E2D" w:rsidRPr="00BF4AB8" w:rsidRDefault="00150E2D" w:rsidP="00150E2D">
      <w:pPr>
        <w:tabs>
          <w:tab w:val="left" w:pos="567"/>
        </w:tabs>
        <w:spacing w:line="260" w:lineRule="exact"/>
        <w:rPr>
          <w:snapToGrid w:val="0"/>
          <w:sz w:val="22"/>
        </w:rPr>
      </w:pPr>
    </w:p>
    <w:p w14:paraId="57C1BF6F" w14:textId="58540557" w:rsidR="00D14568" w:rsidRPr="00BF4AB8" w:rsidRDefault="00D14568" w:rsidP="00D14568">
      <w:pPr>
        <w:tabs>
          <w:tab w:val="left" w:pos="567"/>
        </w:tabs>
        <w:spacing w:line="260" w:lineRule="exact"/>
        <w:rPr>
          <w:snapToGrid w:val="0"/>
          <w:sz w:val="22"/>
        </w:rPr>
      </w:pPr>
      <w:r w:rsidRPr="00BF4AB8">
        <w:rPr>
          <w:snapToGrid w:val="0"/>
          <w:sz w:val="22"/>
        </w:rPr>
        <w:t xml:space="preserve">Gydant </w:t>
      </w:r>
      <w:proofErr w:type="spellStart"/>
      <w:r w:rsidRPr="00BF4AB8">
        <w:rPr>
          <w:snapToGrid w:val="0"/>
          <w:sz w:val="22"/>
        </w:rPr>
        <w:t>nintedanibu</w:t>
      </w:r>
      <w:proofErr w:type="spellEnd"/>
      <w:r w:rsidRPr="00BF4AB8">
        <w:rPr>
          <w:snapToGrid w:val="0"/>
          <w:sz w:val="22"/>
        </w:rPr>
        <w:t>, nustatyta vaistinio preparato sukelto kepenų pažeidimo atvejų, įskaitant sunkų</w:t>
      </w:r>
      <w:r w:rsidR="00150E2D" w:rsidRPr="00BF4AB8">
        <w:rPr>
          <w:snapToGrid w:val="0"/>
          <w:sz w:val="22"/>
        </w:rPr>
        <w:t xml:space="preserve"> </w:t>
      </w:r>
      <w:r w:rsidRPr="00BF4AB8">
        <w:rPr>
          <w:snapToGrid w:val="0"/>
          <w:sz w:val="22"/>
        </w:rPr>
        <w:t xml:space="preserve">kepenų pažeidimą, pasibaigusį mirtimi. </w:t>
      </w:r>
      <w:r w:rsidR="00150E2D" w:rsidRPr="00BF4AB8">
        <w:rPr>
          <w:snapToGrid w:val="0"/>
          <w:sz w:val="22"/>
        </w:rPr>
        <w:t>Daugumai pacientų</w:t>
      </w:r>
      <w:r w:rsidRPr="00BF4AB8">
        <w:rPr>
          <w:snapToGrid w:val="0"/>
          <w:sz w:val="22"/>
        </w:rPr>
        <w:t xml:space="preserve"> kepenų fermentų (ALT, AST, ŠF, gama</w:t>
      </w:r>
      <w:r w:rsidR="00150E2D" w:rsidRPr="00BF4AB8">
        <w:rPr>
          <w:snapToGrid w:val="0"/>
          <w:sz w:val="22"/>
        </w:rPr>
        <w:t xml:space="preserve"> </w:t>
      </w:r>
      <w:proofErr w:type="spellStart"/>
      <w:r w:rsidRPr="00BF4AB8">
        <w:rPr>
          <w:snapToGrid w:val="0"/>
          <w:sz w:val="22"/>
        </w:rPr>
        <w:t>glutamiltransferazės</w:t>
      </w:r>
      <w:proofErr w:type="spellEnd"/>
      <w:r w:rsidRPr="00BF4AB8">
        <w:rPr>
          <w:snapToGrid w:val="0"/>
          <w:sz w:val="22"/>
        </w:rPr>
        <w:t xml:space="preserve"> [GGT]) aktyvumo ir </w:t>
      </w:r>
      <w:proofErr w:type="spellStart"/>
      <w:r w:rsidRPr="00BF4AB8">
        <w:rPr>
          <w:snapToGrid w:val="0"/>
          <w:sz w:val="22"/>
        </w:rPr>
        <w:t>bilirubino</w:t>
      </w:r>
      <w:proofErr w:type="spellEnd"/>
      <w:r w:rsidRPr="00BF4AB8">
        <w:rPr>
          <w:snapToGrid w:val="0"/>
          <w:sz w:val="22"/>
        </w:rPr>
        <w:t xml:space="preserve"> kiekio padidėjimas buvo laikinas ir </w:t>
      </w:r>
      <w:r w:rsidR="00150E2D" w:rsidRPr="00BF4AB8">
        <w:rPr>
          <w:snapToGrid w:val="0"/>
          <w:sz w:val="22"/>
        </w:rPr>
        <w:t xml:space="preserve">išnyko </w:t>
      </w:r>
      <w:r w:rsidRPr="00BF4AB8">
        <w:rPr>
          <w:snapToGrid w:val="0"/>
          <w:sz w:val="22"/>
        </w:rPr>
        <w:t xml:space="preserve">sumažinus dozę ar </w:t>
      </w:r>
      <w:r w:rsidR="00150E2D" w:rsidRPr="00BF4AB8">
        <w:rPr>
          <w:snapToGrid w:val="0"/>
          <w:sz w:val="22"/>
        </w:rPr>
        <w:t>sustabdžius</w:t>
      </w:r>
      <w:r w:rsidRPr="00BF4AB8">
        <w:rPr>
          <w:snapToGrid w:val="0"/>
          <w:sz w:val="22"/>
        </w:rPr>
        <w:t xml:space="preserve"> vartojimą.</w:t>
      </w:r>
    </w:p>
    <w:p w14:paraId="3ED9DBA4" w14:textId="74309C06" w:rsidR="00D14568" w:rsidRPr="00BF4AB8" w:rsidRDefault="00D14568" w:rsidP="00D14568">
      <w:pPr>
        <w:tabs>
          <w:tab w:val="left" w:pos="567"/>
        </w:tabs>
        <w:spacing w:line="260" w:lineRule="exact"/>
        <w:rPr>
          <w:snapToGrid w:val="0"/>
          <w:sz w:val="22"/>
        </w:rPr>
      </w:pPr>
    </w:p>
    <w:p w14:paraId="4BB5DBA5" w14:textId="151EFD0D" w:rsidR="00D14568" w:rsidRPr="00BF4AB8" w:rsidRDefault="00D14568" w:rsidP="00D14568">
      <w:pPr>
        <w:tabs>
          <w:tab w:val="left" w:pos="567"/>
        </w:tabs>
        <w:spacing w:line="260" w:lineRule="exact"/>
        <w:rPr>
          <w:snapToGrid w:val="0"/>
          <w:sz w:val="22"/>
        </w:rPr>
      </w:pPr>
      <w:r w:rsidRPr="00BF4AB8">
        <w:rPr>
          <w:snapToGrid w:val="0"/>
          <w:sz w:val="22"/>
        </w:rPr>
        <w:t xml:space="preserve">Prieš pradedant gydymą </w:t>
      </w:r>
      <w:proofErr w:type="spellStart"/>
      <w:r w:rsidR="00150E2D" w:rsidRPr="00BF4AB8">
        <w:rPr>
          <w:snapToGrid w:val="0"/>
          <w:sz w:val="22"/>
        </w:rPr>
        <w:t>nintedanibo</w:t>
      </w:r>
      <w:proofErr w:type="spellEnd"/>
      <w:r w:rsidR="00150E2D" w:rsidRPr="00BF4AB8">
        <w:rPr>
          <w:snapToGrid w:val="0"/>
          <w:sz w:val="22"/>
        </w:rPr>
        <w:t xml:space="preserve"> </w:t>
      </w:r>
      <w:r w:rsidRPr="00BF4AB8">
        <w:rPr>
          <w:snapToGrid w:val="0"/>
          <w:sz w:val="22"/>
        </w:rPr>
        <w:t xml:space="preserve">ir </w:t>
      </w:r>
      <w:proofErr w:type="spellStart"/>
      <w:r w:rsidRPr="00BF4AB8">
        <w:rPr>
          <w:snapToGrid w:val="0"/>
          <w:sz w:val="22"/>
        </w:rPr>
        <w:t>docetakselio</w:t>
      </w:r>
      <w:proofErr w:type="spellEnd"/>
      <w:r w:rsidRPr="00BF4AB8">
        <w:rPr>
          <w:snapToGrid w:val="0"/>
          <w:sz w:val="22"/>
        </w:rPr>
        <w:t xml:space="preserve"> deriniu, reikia ištirti </w:t>
      </w:r>
      <w:proofErr w:type="spellStart"/>
      <w:r w:rsidRPr="00BF4AB8">
        <w:rPr>
          <w:snapToGrid w:val="0"/>
          <w:sz w:val="22"/>
        </w:rPr>
        <w:t>transaminaz</w:t>
      </w:r>
      <w:r w:rsidR="00150E2D" w:rsidRPr="00BF4AB8">
        <w:rPr>
          <w:snapToGrid w:val="0"/>
          <w:sz w:val="22"/>
        </w:rPr>
        <w:t>ių</w:t>
      </w:r>
      <w:proofErr w:type="spellEnd"/>
      <w:r w:rsidR="00150E2D" w:rsidRPr="00BF4AB8">
        <w:rPr>
          <w:snapToGrid w:val="0"/>
          <w:sz w:val="22"/>
        </w:rPr>
        <w:t xml:space="preserve"> ir</w:t>
      </w:r>
      <w:r w:rsidRPr="00BF4AB8">
        <w:rPr>
          <w:snapToGrid w:val="0"/>
          <w:sz w:val="22"/>
        </w:rPr>
        <w:t xml:space="preserve"> ŠF aktyvumo </w:t>
      </w:r>
      <w:r w:rsidR="00150E2D" w:rsidRPr="00BF4AB8">
        <w:rPr>
          <w:snapToGrid w:val="0"/>
          <w:sz w:val="22"/>
        </w:rPr>
        <w:t xml:space="preserve">bei </w:t>
      </w:r>
      <w:proofErr w:type="spellStart"/>
      <w:r w:rsidRPr="00BF4AB8">
        <w:rPr>
          <w:snapToGrid w:val="0"/>
          <w:sz w:val="22"/>
        </w:rPr>
        <w:t>bilirubino</w:t>
      </w:r>
      <w:proofErr w:type="spellEnd"/>
      <w:r w:rsidRPr="00BF4AB8">
        <w:rPr>
          <w:snapToGrid w:val="0"/>
          <w:sz w:val="22"/>
        </w:rPr>
        <w:t xml:space="preserve"> kiekį. Gydymo metu </w:t>
      </w:r>
      <w:r w:rsidR="00150E2D" w:rsidRPr="00BF4AB8">
        <w:rPr>
          <w:snapToGrid w:val="0"/>
          <w:sz w:val="22"/>
        </w:rPr>
        <w:t>šiuos rodmenis</w:t>
      </w:r>
      <w:r w:rsidRPr="00BF4AB8">
        <w:rPr>
          <w:snapToGrid w:val="0"/>
          <w:sz w:val="22"/>
        </w:rPr>
        <w:t xml:space="preserve"> reikia stebėti </w:t>
      </w:r>
      <w:r w:rsidR="00150E2D" w:rsidRPr="00BF4AB8">
        <w:rPr>
          <w:snapToGrid w:val="0"/>
          <w:sz w:val="22"/>
        </w:rPr>
        <w:t xml:space="preserve">atsižvelgiant į klinikinę būtinybę </w:t>
      </w:r>
      <w:r w:rsidRPr="00BF4AB8">
        <w:rPr>
          <w:snapToGrid w:val="0"/>
          <w:sz w:val="22"/>
        </w:rPr>
        <w:t>arba periodiškai,</w:t>
      </w:r>
      <w:r w:rsidR="00150E2D" w:rsidRPr="00BF4AB8">
        <w:rPr>
          <w:snapToGrid w:val="0"/>
          <w:sz w:val="22"/>
        </w:rPr>
        <w:t xml:space="preserve"> </w:t>
      </w:r>
      <w:r w:rsidRPr="00BF4AB8">
        <w:rPr>
          <w:snapToGrid w:val="0"/>
          <w:sz w:val="22"/>
        </w:rPr>
        <w:t xml:space="preserve">t. y. gydymo deriniu su </w:t>
      </w:r>
      <w:proofErr w:type="spellStart"/>
      <w:r w:rsidRPr="00BF4AB8">
        <w:rPr>
          <w:snapToGrid w:val="0"/>
          <w:sz w:val="22"/>
        </w:rPr>
        <w:t>docetakseliu</w:t>
      </w:r>
      <w:proofErr w:type="spellEnd"/>
      <w:r w:rsidRPr="00BF4AB8">
        <w:rPr>
          <w:snapToGrid w:val="0"/>
          <w:sz w:val="22"/>
        </w:rPr>
        <w:t xml:space="preserve"> fazės metu kiekvieno gydymo ciklo pradžioje ir kas mėnesį tuo</w:t>
      </w:r>
      <w:r w:rsidR="00150E2D" w:rsidRPr="00BF4AB8">
        <w:rPr>
          <w:snapToGrid w:val="0"/>
          <w:sz w:val="22"/>
        </w:rPr>
        <w:t xml:space="preserve"> </w:t>
      </w:r>
      <w:r w:rsidRPr="00BF4AB8">
        <w:rPr>
          <w:snapToGrid w:val="0"/>
          <w:sz w:val="22"/>
        </w:rPr>
        <w:t xml:space="preserve">atveju, jei nutraukus gydymą </w:t>
      </w:r>
      <w:proofErr w:type="spellStart"/>
      <w:r w:rsidRPr="00BF4AB8">
        <w:rPr>
          <w:snapToGrid w:val="0"/>
          <w:sz w:val="22"/>
        </w:rPr>
        <w:t>docetakseliu</w:t>
      </w:r>
      <w:proofErr w:type="spellEnd"/>
      <w:r w:rsidRPr="00BF4AB8">
        <w:rPr>
          <w:snapToGrid w:val="0"/>
          <w:sz w:val="22"/>
        </w:rPr>
        <w:t xml:space="preserve">, tęsiamas gydymas vien </w:t>
      </w:r>
      <w:proofErr w:type="spellStart"/>
      <w:r w:rsidR="00150E2D" w:rsidRPr="00BF4AB8">
        <w:rPr>
          <w:snapToGrid w:val="0"/>
          <w:sz w:val="22"/>
        </w:rPr>
        <w:t>nintedanibu</w:t>
      </w:r>
      <w:proofErr w:type="spellEnd"/>
      <w:r w:rsidRPr="00BF4AB8">
        <w:rPr>
          <w:snapToGrid w:val="0"/>
          <w:sz w:val="22"/>
        </w:rPr>
        <w:t>.</w:t>
      </w:r>
    </w:p>
    <w:p w14:paraId="53B599E2" w14:textId="77777777" w:rsidR="00150E2D" w:rsidRPr="00BF4AB8" w:rsidRDefault="00150E2D" w:rsidP="00D14568">
      <w:pPr>
        <w:tabs>
          <w:tab w:val="left" w:pos="567"/>
        </w:tabs>
        <w:spacing w:line="260" w:lineRule="exact"/>
        <w:rPr>
          <w:snapToGrid w:val="0"/>
          <w:sz w:val="22"/>
        </w:rPr>
      </w:pPr>
    </w:p>
    <w:p w14:paraId="475759D9" w14:textId="393E52C1" w:rsidR="00D14568" w:rsidRDefault="00D14568" w:rsidP="00EA2F0C">
      <w:pPr>
        <w:tabs>
          <w:tab w:val="left" w:pos="567"/>
        </w:tabs>
        <w:spacing w:line="260" w:lineRule="exact"/>
        <w:rPr>
          <w:snapToGrid w:val="0"/>
          <w:sz w:val="22"/>
        </w:rPr>
      </w:pPr>
      <w:r w:rsidRPr="00BF4AB8">
        <w:rPr>
          <w:snapToGrid w:val="0"/>
          <w:sz w:val="22"/>
        </w:rPr>
        <w:t xml:space="preserve">Jei nustatomas </w:t>
      </w:r>
      <w:r w:rsidR="00EA2F0C" w:rsidRPr="00BF4AB8">
        <w:rPr>
          <w:snapToGrid w:val="0"/>
          <w:sz w:val="22"/>
        </w:rPr>
        <w:t>atitinkamas</w:t>
      </w:r>
      <w:r w:rsidRPr="00BF4AB8">
        <w:rPr>
          <w:snapToGrid w:val="0"/>
          <w:sz w:val="22"/>
        </w:rPr>
        <w:t xml:space="preserve"> kepenų fermentų aktyvumo padidėjimas, gali reikėti </w:t>
      </w:r>
      <w:r w:rsidR="00EA2F0C" w:rsidRPr="00BF4AB8">
        <w:rPr>
          <w:snapToGrid w:val="0"/>
          <w:sz w:val="22"/>
        </w:rPr>
        <w:t xml:space="preserve">sustabdyti </w:t>
      </w:r>
      <w:proofErr w:type="spellStart"/>
      <w:r w:rsidR="00EA2F0C" w:rsidRPr="00BF4AB8">
        <w:rPr>
          <w:snapToGrid w:val="0"/>
          <w:sz w:val="22"/>
        </w:rPr>
        <w:t>Nytyka</w:t>
      </w:r>
      <w:proofErr w:type="spellEnd"/>
      <w:r w:rsidR="00EA2F0C" w:rsidRPr="00BF4AB8">
        <w:rPr>
          <w:snapToGrid w:val="0"/>
          <w:sz w:val="22"/>
        </w:rPr>
        <w:t xml:space="preserve"> vartojimą, sumažinti jo dozę ar visiškai nutraukti gydymą </w:t>
      </w:r>
      <w:proofErr w:type="spellStart"/>
      <w:r w:rsidR="00EA2F0C" w:rsidRPr="00BF4AB8">
        <w:rPr>
          <w:snapToGrid w:val="0"/>
          <w:sz w:val="22"/>
        </w:rPr>
        <w:t>Nytyka</w:t>
      </w:r>
      <w:proofErr w:type="spellEnd"/>
      <w:r w:rsidR="00EA2F0C" w:rsidRPr="00BF4AB8">
        <w:rPr>
          <w:snapToGrid w:val="0"/>
          <w:sz w:val="22"/>
        </w:rPr>
        <w:t xml:space="preserve"> </w:t>
      </w:r>
      <w:r w:rsidRPr="00BF4AB8">
        <w:rPr>
          <w:snapToGrid w:val="0"/>
          <w:sz w:val="22"/>
        </w:rPr>
        <w:t>(žr. 4.2</w:t>
      </w:r>
      <w:r w:rsidR="00EA2F0C" w:rsidRPr="00BF4AB8">
        <w:rPr>
          <w:snapToGrid w:val="0"/>
          <w:sz w:val="22"/>
        </w:rPr>
        <w:t> </w:t>
      </w:r>
      <w:r w:rsidRPr="00BF4AB8">
        <w:rPr>
          <w:snapToGrid w:val="0"/>
          <w:sz w:val="22"/>
        </w:rPr>
        <w:t>skyrių). Reikia ištirti, ar nėra kitų kepenų</w:t>
      </w:r>
      <w:r w:rsidR="00EA2F0C" w:rsidRPr="00BF4AB8">
        <w:rPr>
          <w:snapToGrid w:val="0"/>
          <w:sz w:val="22"/>
        </w:rPr>
        <w:t xml:space="preserve"> </w:t>
      </w:r>
      <w:r w:rsidRPr="00BF4AB8">
        <w:rPr>
          <w:snapToGrid w:val="0"/>
          <w:sz w:val="22"/>
        </w:rPr>
        <w:t xml:space="preserve">fermentų aktyvumo padidėjimo priežasčių, </w:t>
      </w:r>
      <w:r w:rsidR="00EA2F0C" w:rsidRPr="00BF4AB8">
        <w:rPr>
          <w:snapToGrid w:val="0"/>
          <w:sz w:val="22"/>
        </w:rPr>
        <w:t xml:space="preserve">ir </w:t>
      </w:r>
      <w:r w:rsidRPr="00BF4AB8">
        <w:rPr>
          <w:snapToGrid w:val="0"/>
          <w:sz w:val="22"/>
        </w:rPr>
        <w:t xml:space="preserve">prireikus imtis atitinkamų veiksmų. </w:t>
      </w:r>
      <w:r w:rsidR="00EA2F0C" w:rsidRPr="00BF4AB8">
        <w:rPr>
          <w:snapToGrid w:val="0"/>
          <w:sz w:val="22"/>
        </w:rPr>
        <w:t>J</w:t>
      </w:r>
      <w:r w:rsidRPr="00BF4AB8">
        <w:rPr>
          <w:snapToGrid w:val="0"/>
          <w:sz w:val="22"/>
        </w:rPr>
        <w:t xml:space="preserve">ei atsiranda specifinių kepenų funkcijos </w:t>
      </w:r>
      <w:r w:rsidR="00EA2F0C" w:rsidRPr="00BF4AB8">
        <w:rPr>
          <w:snapToGrid w:val="0"/>
          <w:sz w:val="22"/>
        </w:rPr>
        <w:t>rodmenų</w:t>
      </w:r>
      <w:r w:rsidRPr="00BF4AB8">
        <w:rPr>
          <w:snapToGrid w:val="0"/>
          <w:sz w:val="22"/>
        </w:rPr>
        <w:t xml:space="preserve"> pokyčių (AST/ALT aktyvumas</w:t>
      </w:r>
      <w:r w:rsidR="00EA2F0C" w:rsidRPr="00BF4AB8">
        <w:rPr>
          <w:snapToGrid w:val="0"/>
          <w:sz w:val="22"/>
        </w:rPr>
        <w:t xml:space="preserve"> </w:t>
      </w:r>
      <w:r w:rsidRPr="00BF4AB8">
        <w:rPr>
          <w:snapToGrid w:val="0"/>
          <w:sz w:val="22"/>
        </w:rPr>
        <w:t>&gt;</w:t>
      </w:r>
      <w:r w:rsidR="00EA2F0C" w:rsidRPr="00BF4AB8">
        <w:rPr>
          <w:snapToGrid w:val="0"/>
          <w:sz w:val="22"/>
        </w:rPr>
        <w:t> </w:t>
      </w:r>
      <w:r w:rsidRPr="00BF4AB8">
        <w:rPr>
          <w:snapToGrid w:val="0"/>
          <w:sz w:val="22"/>
        </w:rPr>
        <w:t>3</w:t>
      </w:r>
      <w:r w:rsidR="00EA2F0C" w:rsidRPr="00BF4AB8">
        <w:rPr>
          <w:snapToGrid w:val="0"/>
          <w:sz w:val="22"/>
        </w:rPr>
        <w:t> kartus viršija</w:t>
      </w:r>
      <w:r w:rsidRPr="00BF4AB8">
        <w:rPr>
          <w:snapToGrid w:val="0"/>
          <w:sz w:val="22"/>
        </w:rPr>
        <w:t xml:space="preserve"> VNR; bendrojo </w:t>
      </w:r>
      <w:proofErr w:type="spellStart"/>
      <w:r w:rsidRPr="00BF4AB8">
        <w:rPr>
          <w:snapToGrid w:val="0"/>
          <w:sz w:val="22"/>
        </w:rPr>
        <w:t>bilirubino</w:t>
      </w:r>
      <w:proofErr w:type="spellEnd"/>
      <w:r w:rsidRPr="00BF4AB8">
        <w:rPr>
          <w:snapToGrid w:val="0"/>
          <w:sz w:val="22"/>
        </w:rPr>
        <w:t xml:space="preserve"> kiekis ≥</w:t>
      </w:r>
      <w:r w:rsidR="00EA2F0C" w:rsidRPr="00BF4AB8">
        <w:rPr>
          <w:snapToGrid w:val="0"/>
          <w:sz w:val="22"/>
        </w:rPr>
        <w:t> </w:t>
      </w:r>
      <w:r w:rsidRPr="00BF4AB8">
        <w:rPr>
          <w:snapToGrid w:val="0"/>
          <w:sz w:val="22"/>
        </w:rPr>
        <w:t>2</w:t>
      </w:r>
      <w:r w:rsidR="00EA2F0C" w:rsidRPr="00BF4AB8">
        <w:rPr>
          <w:snapToGrid w:val="0"/>
          <w:sz w:val="22"/>
        </w:rPr>
        <w:t> kartus viršija VNR</w:t>
      </w:r>
      <w:r w:rsidRPr="00BF4AB8">
        <w:rPr>
          <w:snapToGrid w:val="0"/>
          <w:sz w:val="22"/>
        </w:rPr>
        <w:t xml:space="preserve"> ir ŠF aktyvumas &lt;</w:t>
      </w:r>
      <w:r w:rsidR="00EA2F0C" w:rsidRPr="00BF4AB8">
        <w:rPr>
          <w:snapToGrid w:val="0"/>
          <w:sz w:val="22"/>
        </w:rPr>
        <w:t> 2 kartus viršija VNR</w:t>
      </w:r>
      <w:r w:rsidRPr="00BF4AB8">
        <w:rPr>
          <w:snapToGrid w:val="0"/>
          <w:sz w:val="22"/>
        </w:rPr>
        <w:t>)</w:t>
      </w:r>
      <w:r w:rsidR="00EA2F0C" w:rsidRPr="00BF4AB8">
        <w:rPr>
          <w:snapToGrid w:val="0"/>
          <w:sz w:val="22"/>
        </w:rPr>
        <w:t>, šio vaistinio preparato vartojimą būtina sustabdyti</w:t>
      </w:r>
      <w:r w:rsidRPr="00BF4AB8">
        <w:rPr>
          <w:snapToGrid w:val="0"/>
          <w:sz w:val="22"/>
        </w:rPr>
        <w:t xml:space="preserve">. </w:t>
      </w:r>
      <w:r w:rsidR="00EA2F0C" w:rsidRPr="00BF4AB8">
        <w:rPr>
          <w:snapToGrid w:val="0"/>
          <w:sz w:val="22"/>
        </w:rPr>
        <w:t xml:space="preserve">Jei </w:t>
      </w:r>
      <w:r w:rsidR="00EA2F0C" w:rsidRPr="00BF4AB8">
        <w:rPr>
          <w:sz w:val="22"/>
          <w:szCs w:val="22"/>
        </w:rPr>
        <w:t xml:space="preserve">nenustatoma alternatyvi tokio poveikio priežastis, gydymą </w:t>
      </w:r>
      <w:proofErr w:type="spellStart"/>
      <w:r w:rsidR="00EA2F0C" w:rsidRPr="00BF4AB8">
        <w:rPr>
          <w:sz w:val="22"/>
          <w:szCs w:val="22"/>
        </w:rPr>
        <w:t>Nytyka</w:t>
      </w:r>
      <w:proofErr w:type="spellEnd"/>
      <w:r w:rsidR="00EA2F0C" w:rsidRPr="00BF4AB8">
        <w:rPr>
          <w:sz w:val="22"/>
          <w:szCs w:val="22"/>
        </w:rPr>
        <w:t xml:space="preserve"> reikia nutraukti visam laikui </w:t>
      </w:r>
      <w:r w:rsidRPr="00BF4AB8">
        <w:rPr>
          <w:snapToGrid w:val="0"/>
          <w:sz w:val="22"/>
        </w:rPr>
        <w:t>(žr. 4.2</w:t>
      </w:r>
      <w:r w:rsidR="00EA2F0C" w:rsidRPr="00BF4AB8">
        <w:rPr>
          <w:snapToGrid w:val="0"/>
          <w:sz w:val="22"/>
        </w:rPr>
        <w:t> </w:t>
      </w:r>
      <w:r w:rsidRPr="00BF4AB8">
        <w:rPr>
          <w:snapToGrid w:val="0"/>
          <w:sz w:val="22"/>
        </w:rPr>
        <w:t>skyrių).</w:t>
      </w:r>
    </w:p>
    <w:p w14:paraId="057C8651" w14:textId="77777777" w:rsidR="00995E70" w:rsidRPr="00BF4AB8" w:rsidRDefault="00995E70" w:rsidP="00EA2F0C">
      <w:pPr>
        <w:tabs>
          <w:tab w:val="left" w:pos="567"/>
        </w:tabs>
        <w:spacing w:line="260" w:lineRule="exact"/>
        <w:rPr>
          <w:snapToGrid w:val="0"/>
          <w:sz w:val="22"/>
        </w:rPr>
      </w:pPr>
    </w:p>
    <w:p w14:paraId="4DB50B1F" w14:textId="13D3C638" w:rsidR="00D14568" w:rsidRPr="00BF4AB8" w:rsidRDefault="00D14568" w:rsidP="00D14568">
      <w:pPr>
        <w:tabs>
          <w:tab w:val="left" w:pos="567"/>
        </w:tabs>
        <w:spacing w:line="260" w:lineRule="exact"/>
        <w:rPr>
          <w:snapToGrid w:val="0"/>
          <w:sz w:val="22"/>
        </w:rPr>
      </w:pPr>
      <w:r w:rsidRPr="00BF4AB8">
        <w:rPr>
          <w:snapToGrid w:val="0"/>
          <w:sz w:val="22"/>
        </w:rPr>
        <w:t>Mažai sveriantiems pacientams (&lt;</w:t>
      </w:r>
      <w:r w:rsidR="00EA2F0C" w:rsidRPr="00BF4AB8">
        <w:rPr>
          <w:snapToGrid w:val="0"/>
          <w:sz w:val="22"/>
        </w:rPr>
        <w:t> </w:t>
      </w:r>
      <w:r w:rsidRPr="00BF4AB8">
        <w:rPr>
          <w:snapToGrid w:val="0"/>
          <w:sz w:val="22"/>
        </w:rPr>
        <w:t>65</w:t>
      </w:r>
      <w:r w:rsidR="00EA2F0C" w:rsidRPr="00BF4AB8">
        <w:rPr>
          <w:snapToGrid w:val="0"/>
          <w:sz w:val="22"/>
        </w:rPr>
        <w:t> </w:t>
      </w:r>
      <w:r w:rsidRPr="00BF4AB8">
        <w:rPr>
          <w:snapToGrid w:val="0"/>
          <w:sz w:val="22"/>
        </w:rPr>
        <w:t>kg), pacientams azijiečiams ir pacientėms moterims fermentų</w:t>
      </w:r>
      <w:r w:rsidR="00EA2F0C" w:rsidRPr="00BF4AB8">
        <w:rPr>
          <w:snapToGrid w:val="0"/>
          <w:sz w:val="22"/>
        </w:rPr>
        <w:t xml:space="preserve"> </w:t>
      </w:r>
      <w:r w:rsidRPr="00BF4AB8">
        <w:rPr>
          <w:snapToGrid w:val="0"/>
          <w:sz w:val="22"/>
        </w:rPr>
        <w:t xml:space="preserve">aktyvumo padidėjimo rizika yra didesnė. </w:t>
      </w:r>
      <w:proofErr w:type="spellStart"/>
      <w:r w:rsidRPr="00BF4AB8">
        <w:rPr>
          <w:snapToGrid w:val="0"/>
          <w:sz w:val="22"/>
        </w:rPr>
        <w:t>Nintedanibo</w:t>
      </w:r>
      <w:proofErr w:type="spellEnd"/>
      <w:r w:rsidRPr="00BF4AB8">
        <w:rPr>
          <w:snapToGrid w:val="0"/>
          <w:sz w:val="22"/>
        </w:rPr>
        <w:t xml:space="preserve"> ekspozicija didėjo proporcingai paciento</w:t>
      </w:r>
      <w:r w:rsidR="00EA2F0C" w:rsidRPr="00BF4AB8">
        <w:rPr>
          <w:snapToGrid w:val="0"/>
          <w:sz w:val="22"/>
        </w:rPr>
        <w:t xml:space="preserve"> </w:t>
      </w:r>
      <w:r w:rsidRPr="00BF4AB8">
        <w:rPr>
          <w:snapToGrid w:val="0"/>
          <w:sz w:val="22"/>
        </w:rPr>
        <w:lastRenderedPageBreak/>
        <w:t xml:space="preserve">amžiui, o tai gali </w:t>
      </w:r>
      <w:r w:rsidR="00EA2F0C" w:rsidRPr="00BF4AB8">
        <w:rPr>
          <w:snapToGrid w:val="0"/>
          <w:sz w:val="22"/>
        </w:rPr>
        <w:t>lemti</w:t>
      </w:r>
      <w:r w:rsidRPr="00BF4AB8">
        <w:rPr>
          <w:snapToGrid w:val="0"/>
          <w:sz w:val="22"/>
        </w:rPr>
        <w:t xml:space="preserve"> didesnę kepenų fermentų aktyvumo padidėjimo riziką (žr. 5.2</w:t>
      </w:r>
      <w:r w:rsidR="00EA2F0C" w:rsidRPr="00BF4AB8">
        <w:rPr>
          <w:snapToGrid w:val="0"/>
          <w:sz w:val="22"/>
        </w:rPr>
        <w:t> </w:t>
      </w:r>
      <w:r w:rsidRPr="00BF4AB8">
        <w:rPr>
          <w:snapToGrid w:val="0"/>
          <w:sz w:val="22"/>
        </w:rPr>
        <w:t>skyrių).</w:t>
      </w:r>
      <w:r w:rsidR="00EA2F0C" w:rsidRPr="00BF4AB8">
        <w:rPr>
          <w:snapToGrid w:val="0"/>
          <w:sz w:val="22"/>
        </w:rPr>
        <w:t xml:space="preserve"> </w:t>
      </w:r>
      <w:r w:rsidRPr="00BF4AB8">
        <w:rPr>
          <w:snapToGrid w:val="0"/>
          <w:sz w:val="22"/>
        </w:rPr>
        <w:t xml:space="preserve">Pacientus, kuriems yra </w:t>
      </w:r>
      <w:r w:rsidR="00EA2F0C" w:rsidRPr="00BF4AB8">
        <w:rPr>
          <w:snapToGrid w:val="0"/>
          <w:sz w:val="22"/>
        </w:rPr>
        <w:t>tokių</w:t>
      </w:r>
      <w:r w:rsidRPr="00BF4AB8">
        <w:rPr>
          <w:snapToGrid w:val="0"/>
          <w:sz w:val="22"/>
        </w:rPr>
        <w:t xml:space="preserve"> rizikos veiksnių, </w:t>
      </w:r>
      <w:r w:rsidR="00EA2F0C" w:rsidRPr="00BF4AB8">
        <w:rPr>
          <w:snapToGrid w:val="0"/>
          <w:sz w:val="22"/>
        </w:rPr>
        <w:t>rekomenduojama</w:t>
      </w:r>
      <w:r w:rsidRPr="00BF4AB8">
        <w:rPr>
          <w:snapToGrid w:val="0"/>
          <w:sz w:val="22"/>
        </w:rPr>
        <w:t xml:space="preserve"> atidžiai stebėti.</w:t>
      </w:r>
    </w:p>
    <w:p w14:paraId="4D4E29BF" w14:textId="77777777" w:rsidR="00EA2F0C" w:rsidRPr="00BF4AB8" w:rsidRDefault="00EA2F0C" w:rsidP="00D14568">
      <w:pPr>
        <w:tabs>
          <w:tab w:val="left" w:pos="567"/>
        </w:tabs>
        <w:spacing w:line="260" w:lineRule="exact"/>
        <w:rPr>
          <w:snapToGrid w:val="0"/>
          <w:sz w:val="22"/>
        </w:rPr>
      </w:pPr>
    </w:p>
    <w:p w14:paraId="3578788F" w14:textId="26F9841E" w:rsidR="00D14568" w:rsidRPr="00BF4AB8" w:rsidRDefault="00D14568" w:rsidP="00D14568">
      <w:pPr>
        <w:tabs>
          <w:tab w:val="left" w:pos="567"/>
        </w:tabs>
        <w:spacing w:line="260" w:lineRule="exact"/>
        <w:rPr>
          <w:snapToGrid w:val="0"/>
          <w:sz w:val="22"/>
          <w:u w:val="single"/>
        </w:rPr>
      </w:pPr>
      <w:r w:rsidRPr="00BF4AB8">
        <w:rPr>
          <w:snapToGrid w:val="0"/>
          <w:sz w:val="22"/>
          <w:u w:val="single"/>
        </w:rPr>
        <w:t>Inkstų funkcija</w:t>
      </w:r>
    </w:p>
    <w:p w14:paraId="7D942560" w14:textId="7EF1BAC1" w:rsidR="00D14568" w:rsidRPr="00BF4AB8" w:rsidRDefault="00D14568" w:rsidP="00D14568">
      <w:pPr>
        <w:tabs>
          <w:tab w:val="left" w:pos="567"/>
        </w:tabs>
        <w:spacing w:line="260" w:lineRule="exact"/>
        <w:rPr>
          <w:snapToGrid w:val="0"/>
          <w:sz w:val="22"/>
        </w:rPr>
      </w:pPr>
      <w:r w:rsidRPr="00BF4AB8">
        <w:rPr>
          <w:snapToGrid w:val="0"/>
          <w:sz w:val="22"/>
        </w:rPr>
        <w:t xml:space="preserve">Gauta pranešimų apie inkstų </w:t>
      </w:r>
      <w:r w:rsidR="006D3BBE" w:rsidRPr="00BF4AB8">
        <w:rPr>
          <w:snapToGrid w:val="0"/>
          <w:sz w:val="22"/>
        </w:rPr>
        <w:t>funkcijos sutrikimo</w:t>
      </w:r>
      <w:r w:rsidRPr="00BF4AB8">
        <w:rPr>
          <w:snapToGrid w:val="0"/>
          <w:sz w:val="22"/>
        </w:rPr>
        <w:t xml:space="preserve"> / nepakankamumo atvejus</w:t>
      </w:r>
      <w:r w:rsidR="006D3BBE" w:rsidRPr="00BF4AB8">
        <w:rPr>
          <w:snapToGrid w:val="0"/>
          <w:sz w:val="22"/>
        </w:rPr>
        <w:t xml:space="preserve"> (</w:t>
      </w:r>
      <w:r w:rsidRPr="00BF4AB8">
        <w:rPr>
          <w:snapToGrid w:val="0"/>
          <w:sz w:val="22"/>
        </w:rPr>
        <w:t>kartais pasibaigusius mirtimi</w:t>
      </w:r>
      <w:r w:rsidR="006D3BBE" w:rsidRPr="00BF4AB8">
        <w:rPr>
          <w:snapToGrid w:val="0"/>
          <w:sz w:val="22"/>
        </w:rPr>
        <w:t xml:space="preserve">) </w:t>
      </w:r>
      <w:proofErr w:type="spellStart"/>
      <w:r w:rsidRPr="00BF4AB8">
        <w:rPr>
          <w:snapToGrid w:val="0"/>
          <w:sz w:val="22"/>
        </w:rPr>
        <w:t>nintedanibo</w:t>
      </w:r>
      <w:proofErr w:type="spellEnd"/>
      <w:r w:rsidRPr="00BF4AB8">
        <w:rPr>
          <w:snapToGrid w:val="0"/>
          <w:sz w:val="22"/>
        </w:rPr>
        <w:t xml:space="preserve"> vartojusiems pacientams (žr. 4.8</w:t>
      </w:r>
      <w:r w:rsidR="006D3BBE" w:rsidRPr="00BF4AB8">
        <w:rPr>
          <w:snapToGrid w:val="0"/>
          <w:sz w:val="22"/>
        </w:rPr>
        <w:t> </w:t>
      </w:r>
      <w:r w:rsidRPr="00BF4AB8">
        <w:rPr>
          <w:snapToGrid w:val="0"/>
          <w:sz w:val="22"/>
        </w:rPr>
        <w:t>skyrių).</w:t>
      </w:r>
    </w:p>
    <w:p w14:paraId="3CA633BD" w14:textId="43BDD792" w:rsidR="00D14568" w:rsidRPr="00BF4AB8" w:rsidRDefault="00D14568" w:rsidP="00D14568">
      <w:pPr>
        <w:tabs>
          <w:tab w:val="left" w:pos="567"/>
        </w:tabs>
        <w:spacing w:line="260" w:lineRule="exact"/>
        <w:rPr>
          <w:snapToGrid w:val="0"/>
          <w:sz w:val="22"/>
        </w:rPr>
      </w:pPr>
      <w:proofErr w:type="spellStart"/>
      <w:r w:rsidRPr="00BF4AB8">
        <w:rPr>
          <w:snapToGrid w:val="0"/>
          <w:sz w:val="22"/>
        </w:rPr>
        <w:t>Nintedanibu</w:t>
      </w:r>
      <w:proofErr w:type="spellEnd"/>
      <w:r w:rsidRPr="00BF4AB8">
        <w:rPr>
          <w:snapToGrid w:val="0"/>
          <w:sz w:val="22"/>
        </w:rPr>
        <w:t xml:space="preserve"> gydomus pacientus </w:t>
      </w:r>
      <w:r w:rsidR="006D3BBE" w:rsidRPr="00BF4AB8">
        <w:rPr>
          <w:snapToGrid w:val="0"/>
          <w:sz w:val="22"/>
        </w:rPr>
        <w:t>būtina</w:t>
      </w:r>
      <w:r w:rsidRPr="00BF4AB8">
        <w:rPr>
          <w:snapToGrid w:val="0"/>
          <w:sz w:val="22"/>
        </w:rPr>
        <w:t xml:space="preserve"> stebėti, ypatingą dėmesį skiriant pacientams, turintiems inkstų</w:t>
      </w:r>
      <w:r w:rsidR="006D3BBE" w:rsidRPr="00BF4AB8">
        <w:rPr>
          <w:snapToGrid w:val="0"/>
          <w:sz w:val="22"/>
        </w:rPr>
        <w:t xml:space="preserve"> funkcijos sutrikimo </w:t>
      </w:r>
      <w:r w:rsidRPr="00BF4AB8">
        <w:rPr>
          <w:snapToGrid w:val="0"/>
          <w:sz w:val="22"/>
        </w:rPr>
        <w:t xml:space="preserve">/ nepakankamumo </w:t>
      </w:r>
      <w:r w:rsidR="006D3BBE" w:rsidRPr="00BF4AB8">
        <w:rPr>
          <w:snapToGrid w:val="0"/>
          <w:sz w:val="22"/>
        </w:rPr>
        <w:t xml:space="preserve">pasireiškimo </w:t>
      </w:r>
      <w:r w:rsidRPr="00BF4AB8">
        <w:rPr>
          <w:snapToGrid w:val="0"/>
          <w:sz w:val="22"/>
        </w:rPr>
        <w:t xml:space="preserve">rizikos veiksnių. Inkstų </w:t>
      </w:r>
      <w:r w:rsidR="006D3BBE" w:rsidRPr="00BF4AB8">
        <w:rPr>
          <w:snapToGrid w:val="0"/>
          <w:sz w:val="22"/>
        </w:rPr>
        <w:t xml:space="preserve">funkcijos sutrikimo </w:t>
      </w:r>
      <w:r w:rsidRPr="00BF4AB8">
        <w:rPr>
          <w:snapToGrid w:val="0"/>
          <w:sz w:val="22"/>
        </w:rPr>
        <w:t>/ nepakankamumo atvejais reikia</w:t>
      </w:r>
      <w:r w:rsidR="006D3BBE" w:rsidRPr="00BF4AB8">
        <w:rPr>
          <w:snapToGrid w:val="0"/>
          <w:sz w:val="22"/>
        </w:rPr>
        <w:t xml:space="preserve"> </w:t>
      </w:r>
      <w:r w:rsidRPr="00BF4AB8">
        <w:rPr>
          <w:snapToGrid w:val="0"/>
          <w:sz w:val="22"/>
        </w:rPr>
        <w:t>apsvarstyti gydymo koregavimo galimybes (</w:t>
      </w:r>
      <w:r w:rsidR="006D3BBE" w:rsidRPr="00BF4AB8">
        <w:rPr>
          <w:snapToGrid w:val="0"/>
          <w:sz w:val="22"/>
        </w:rPr>
        <w:t xml:space="preserve">žr. </w:t>
      </w:r>
      <w:r w:rsidRPr="00BF4AB8">
        <w:rPr>
          <w:snapToGrid w:val="0"/>
          <w:sz w:val="22"/>
        </w:rPr>
        <w:t>4.2</w:t>
      </w:r>
      <w:r w:rsidR="006D3BBE" w:rsidRPr="00BF4AB8">
        <w:rPr>
          <w:snapToGrid w:val="0"/>
          <w:sz w:val="22"/>
        </w:rPr>
        <w:t> </w:t>
      </w:r>
      <w:r w:rsidRPr="00BF4AB8">
        <w:rPr>
          <w:snapToGrid w:val="0"/>
          <w:sz w:val="22"/>
        </w:rPr>
        <w:t>skyri</w:t>
      </w:r>
      <w:r w:rsidR="006D3BBE" w:rsidRPr="00BF4AB8">
        <w:rPr>
          <w:snapToGrid w:val="0"/>
          <w:sz w:val="22"/>
        </w:rPr>
        <w:t>ų „Dozės koregavimas“</w:t>
      </w:r>
      <w:r w:rsidRPr="00BF4AB8">
        <w:rPr>
          <w:snapToGrid w:val="0"/>
          <w:sz w:val="22"/>
        </w:rPr>
        <w:t>).</w:t>
      </w:r>
    </w:p>
    <w:p w14:paraId="61057554" w14:textId="77777777" w:rsidR="006D3BBE" w:rsidRPr="00BF4AB8" w:rsidRDefault="006D3BBE" w:rsidP="00D14568">
      <w:pPr>
        <w:tabs>
          <w:tab w:val="left" w:pos="567"/>
        </w:tabs>
        <w:spacing w:line="260" w:lineRule="exact"/>
        <w:rPr>
          <w:snapToGrid w:val="0"/>
          <w:sz w:val="22"/>
        </w:rPr>
      </w:pPr>
    </w:p>
    <w:p w14:paraId="4F1BC123" w14:textId="77777777" w:rsidR="00D14568" w:rsidRPr="00BF4AB8" w:rsidRDefault="00D14568" w:rsidP="00D14568">
      <w:pPr>
        <w:tabs>
          <w:tab w:val="left" w:pos="567"/>
        </w:tabs>
        <w:spacing w:line="260" w:lineRule="exact"/>
        <w:rPr>
          <w:snapToGrid w:val="0"/>
          <w:sz w:val="22"/>
          <w:u w:val="single"/>
        </w:rPr>
      </w:pPr>
      <w:r w:rsidRPr="00BF4AB8">
        <w:rPr>
          <w:snapToGrid w:val="0"/>
          <w:sz w:val="22"/>
          <w:u w:val="single"/>
        </w:rPr>
        <w:t>Kraujavimas</w:t>
      </w:r>
    </w:p>
    <w:p w14:paraId="2CEC7C10" w14:textId="67E24CFB" w:rsidR="00D14568" w:rsidRPr="00BF4AB8" w:rsidRDefault="00D14568" w:rsidP="00D14568">
      <w:pPr>
        <w:tabs>
          <w:tab w:val="left" w:pos="567"/>
        </w:tabs>
        <w:spacing w:line="260" w:lineRule="exact"/>
        <w:rPr>
          <w:snapToGrid w:val="0"/>
          <w:sz w:val="22"/>
        </w:rPr>
      </w:pPr>
      <w:r w:rsidRPr="00BF4AB8">
        <w:rPr>
          <w:snapToGrid w:val="0"/>
          <w:sz w:val="22"/>
        </w:rPr>
        <w:t xml:space="preserve">Kraujagyslių </w:t>
      </w:r>
      <w:proofErr w:type="spellStart"/>
      <w:r w:rsidRPr="00BF4AB8">
        <w:rPr>
          <w:snapToGrid w:val="0"/>
          <w:sz w:val="22"/>
        </w:rPr>
        <w:t>endotelio</w:t>
      </w:r>
      <w:proofErr w:type="spellEnd"/>
      <w:r w:rsidRPr="00BF4AB8">
        <w:rPr>
          <w:snapToGrid w:val="0"/>
          <w:sz w:val="22"/>
        </w:rPr>
        <w:t xml:space="preserve"> augimo faktoriaus receptorių (KEAFR) slopinimas gali būti susijęs su</w:t>
      </w:r>
      <w:r w:rsidR="00D70BEF" w:rsidRPr="00BF4AB8">
        <w:rPr>
          <w:snapToGrid w:val="0"/>
          <w:sz w:val="22"/>
        </w:rPr>
        <w:t xml:space="preserve"> </w:t>
      </w:r>
      <w:r w:rsidRPr="00BF4AB8">
        <w:rPr>
          <w:snapToGrid w:val="0"/>
          <w:sz w:val="22"/>
        </w:rPr>
        <w:t xml:space="preserve">kraujavimo rizikos padidėjimu. </w:t>
      </w:r>
      <w:proofErr w:type="spellStart"/>
      <w:r w:rsidR="00D70BEF" w:rsidRPr="00BF4AB8">
        <w:rPr>
          <w:snapToGrid w:val="0"/>
          <w:sz w:val="22"/>
        </w:rPr>
        <w:t>Nintedanibo</w:t>
      </w:r>
      <w:proofErr w:type="spellEnd"/>
      <w:r w:rsidR="00D70BEF" w:rsidRPr="00BF4AB8">
        <w:rPr>
          <w:snapToGrid w:val="0"/>
          <w:sz w:val="22"/>
        </w:rPr>
        <w:t xml:space="preserve"> </w:t>
      </w:r>
      <w:r w:rsidRPr="00BF4AB8">
        <w:rPr>
          <w:snapToGrid w:val="0"/>
          <w:sz w:val="22"/>
        </w:rPr>
        <w:t>klinikinio tyrimo (LUME-</w:t>
      </w:r>
      <w:proofErr w:type="spellStart"/>
      <w:r w:rsidRPr="00BF4AB8">
        <w:rPr>
          <w:snapToGrid w:val="0"/>
          <w:sz w:val="22"/>
        </w:rPr>
        <w:t>Lung</w:t>
      </w:r>
      <w:proofErr w:type="spellEnd"/>
      <w:r w:rsidR="00D70BEF" w:rsidRPr="00BF4AB8">
        <w:rPr>
          <w:snapToGrid w:val="0"/>
          <w:sz w:val="22"/>
        </w:rPr>
        <w:t> </w:t>
      </w:r>
      <w:r w:rsidRPr="00BF4AB8">
        <w:rPr>
          <w:snapToGrid w:val="0"/>
          <w:sz w:val="22"/>
        </w:rPr>
        <w:t>1; žr. 5.1</w:t>
      </w:r>
      <w:r w:rsidR="00D70BEF" w:rsidRPr="00BF4AB8">
        <w:rPr>
          <w:snapToGrid w:val="0"/>
          <w:sz w:val="22"/>
        </w:rPr>
        <w:t> </w:t>
      </w:r>
      <w:r w:rsidRPr="00BF4AB8">
        <w:rPr>
          <w:snapToGrid w:val="0"/>
          <w:sz w:val="22"/>
        </w:rPr>
        <w:t>skyrių) metu</w:t>
      </w:r>
      <w:r w:rsidR="00D70BEF" w:rsidRPr="00BF4AB8">
        <w:rPr>
          <w:snapToGrid w:val="0"/>
          <w:sz w:val="22"/>
        </w:rPr>
        <w:t xml:space="preserve"> </w:t>
      </w:r>
      <w:r w:rsidRPr="00BF4AB8">
        <w:rPr>
          <w:snapToGrid w:val="0"/>
          <w:sz w:val="22"/>
        </w:rPr>
        <w:t>kraujavimo dažnis abiejose gydymo grupėse buvo panašus (žr. 4.8</w:t>
      </w:r>
      <w:r w:rsidR="00D70BEF" w:rsidRPr="00BF4AB8">
        <w:rPr>
          <w:snapToGrid w:val="0"/>
          <w:sz w:val="22"/>
        </w:rPr>
        <w:t> </w:t>
      </w:r>
      <w:r w:rsidRPr="00BF4AB8">
        <w:rPr>
          <w:snapToGrid w:val="0"/>
          <w:sz w:val="22"/>
        </w:rPr>
        <w:t>skyrių). Dažniausias</w:t>
      </w:r>
      <w:r w:rsidR="00D70BEF" w:rsidRPr="00BF4AB8">
        <w:rPr>
          <w:snapToGrid w:val="0"/>
          <w:sz w:val="22"/>
        </w:rPr>
        <w:t xml:space="preserve"> </w:t>
      </w:r>
      <w:r w:rsidRPr="00BF4AB8">
        <w:rPr>
          <w:snapToGrid w:val="0"/>
          <w:sz w:val="22"/>
        </w:rPr>
        <w:t>kraujavimo reiškinys buvo silpnas arba vidutinio stiprumo kraujavimas iš nosies. Dauguma mirtino</w:t>
      </w:r>
      <w:r w:rsidR="00D70BEF" w:rsidRPr="00BF4AB8">
        <w:rPr>
          <w:snapToGrid w:val="0"/>
          <w:sz w:val="22"/>
        </w:rPr>
        <w:t xml:space="preserve"> </w:t>
      </w:r>
      <w:r w:rsidRPr="00BF4AB8">
        <w:rPr>
          <w:snapToGrid w:val="0"/>
          <w:sz w:val="22"/>
        </w:rPr>
        <w:t>kraujavimo reiškinių buvo susiję su naviku. Kraujavimo į kvėpavimo organus ar mirtino kraujavimo</w:t>
      </w:r>
      <w:r w:rsidR="00D70BEF" w:rsidRPr="00BF4AB8">
        <w:rPr>
          <w:snapToGrid w:val="0"/>
          <w:sz w:val="22"/>
        </w:rPr>
        <w:t xml:space="preserve"> </w:t>
      </w:r>
      <w:r w:rsidRPr="00BF4AB8">
        <w:rPr>
          <w:snapToGrid w:val="0"/>
          <w:sz w:val="22"/>
        </w:rPr>
        <w:t xml:space="preserve">neatitikimų nebuvo ir </w:t>
      </w:r>
      <w:proofErr w:type="spellStart"/>
      <w:r w:rsidRPr="00BF4AB8">
        <w:rPr>
          <w:snapToGrid w:val="0"/>
          <w:sz w:val="22"/>
        </w:rPr>
        <w:t>intracerebrinio</w:t>
      </w:r>
      <w:proofErr w:type="spellEnd"/>
      <w:r w:rsidRPr="00BF4AB8">
        <w:rPr>
          <w:snapToGrid w:val="0"/>
          <w:sz w:val="22"/>
        </w:rPr>
        <w:t xml:space="preserve"> kraujavimo atvejų </w:t>
      </w:r>
      <w:r w:rsidR="00D70BEF" w:rsidRPr="00BF4AB8">
        <w:rPr>
          <w:snapToGrid w:val="0"/>
          <w:sz w:val="22"/>
        </w:rPr>
        <w:t>nepranešta</w:t>
      </w:r>
      <w:r w:rsidRPr="00BF4AB8">
        <w:rPr>
          <w:snapToGrid w:val="0"/>
          <w:sz w:val="22"/>
        </w:rPr>
        <w:t>.</w:t>
      </w:r>
    </w:p>
    <w:p w14:paraId="3D26E6FA" w14:textId="77777777" w:rsidR="00D70BEF" w:rsidRPr="00BF4AB8" w:rsidRDefault="00D70BEF" w:rsidP="00D14568">
      <w:pPr>
        <w:tabs>
          <w:tab w:val="left" w:pos="567"/>
        </w:tabs>
        <w:spacing w:line="260" w:lineRule="exact"/>
        <w:rPr>
          <w:snapToGrid w:val="0"/>
          <w:sz w:val="22"/>
        </w:rPr>
      </w:pPr>
    </w:p>
    <w:p w14:paraId="57F35E60" w14:textId="7A130398" w:rsidR="00D14568" w:rsidRPr="00BF4AB8" w:rsidRDefault="00D14568" w:rsidP="00D14568">
      <w:pPr>
        <w:tabs>
          <w:tab w:val="left" w:pos="567"/>
        </w:tabs>
        <w:spacing w:line="260" w:lineRule="exact"/>
        <w:rPr>
          <w:snapToGrid w:val="0"/>
          <w:sz w:val="22"/>
        </w:rPr>
      </w:pPr>
      <w:r w:rsidRPr="00BF4AB8">
        <w:rPr>
          <w:snapToGrid w:val="0"/>
          <w:sz w:val="22"/>
        </w:rPr>
        <w:t>Pacientai, neseniai patyrę kraujavimą iš plaučių (&gt;</w:t>
      </w:r>
      <w:r w:rsidR="00D70BEF" w:rsidRPr="00BF4AB8">
        <w:rPr>
          <w:snapToGrid w:val="0"/>
          <w:sz w:val="22"/>
        </w:rPr>
        <w:t> </w:t>
      </w:r>
      <w:r w:rsidRPr="00BF4AB8">
        <w:rPr>
          <w:snapToGrid w:val="0"/>
          <w:sz w:val="22"/>
        </w:rPr>
        <w:t>2,5</w:t>
      </w:r>
      <w:r w:rsidR="00D70BEF" w:rsidRPr="00BF4AB8">
        <w:rPr>
          <w:snapToGrid w:val="0"/>
          <w:sz w:val="22"/>
        </w:rPr>
        <w:t> </w:t>
      </w:r>
      <w:r w:rsidRPr="00BF4AB8">
        <w:rPr>
          <w:snapToGrid w:val="0"/>
          <w:sz w:val="22"/>
        </w:rPr>
        <w:t>ml gryno kraujo), taip pat pacientai, kuriems</w:t>
      </w:r>
      <w:r w:rsidR="00D70BEF" w:rsidRPr="00BF4AB8">
        <w:rPr>
          <w:snapToGrid w:val="0"/>
          <w:sz w:val="22"/>
        </w:rPr>
        <w:t xml:space="preserve"> </w:t>
      </w:r>
      <w:r w:rsidRPr="00BF4AB8">
        <w:rPr>
          <w:snapToGrid w:val="0"/>
          <w:sz w:val="22"/>
        </w:rPr>
        <w:t xml:space="preserve">nustatytas centrinės lokalizacijos navikas ir </w:t>
      </w:r>
      <w:proofErr w:type="spellStart"/>
      <w:r w:rsidRPr="00BF4AB8">
        <w:rPr>
          <w:snapToGrid w:val="0"/>
          <w:sz w:val="22"/>
        </w:rPr>
        <w:t>rentgenologiškai</w:t>
      </w:r>
      <w:proofErr w:type="spellEnd"/>
      <w:r w:rsidRPr="00BF4AB8">
        <w:rPr>
          <w:snapToGrid w:val="0"/>
          <w:sz w:val="22"/>
        </w:rPr>
        <w:t xml:space="preserve"> patvirtintas stambių kraujagyslių</w:t>
      </w:r>
      <w:r w:rsidR="00D70BEF" w:rsidRPr="00BF4AB8">
        <w:rPr>
          <w:snapToGrid w:val="0"/>
          <w:sz w:val="22"/>
        </w:rPr>
        <w:t xml:space="preserve"> </w:t>
      </w:r>
      <w:r w:rsidRPr="00BF4AB8">
        <w:rPr>
          <w:snapToGrid w:val="0"/>
          <w:sz w:val="22"/>
        </w:rPr>
        <w:t xml:space="preserve">įtraukimas ar </w:t>
      </w:r>
      <w:proofErr w:type="spellStart"/>
      <w:r w:rsidRPr="00BF4AB8">
        <w:rPr>
          <w:snapToGrid w:val="0"/>
          <w:sz w:val="22"/>
        </w:rPr>
        <w:t>rentgenologiškai</w:t>
      </w:r>
      <w:proofErr w:type="spellEnd"/>
      <w:r w:rsidRPr="00BF4AB8">
        <w:rPr>
          <w:snapToGrid w:val="0"/>
          <w:sz w:val="22"/>
        </w:rPr>
        <w:t xml:space="preserve"> matomos naviko kavernos ar nekrozė, į klinikinius tyrimus nebuvo</w:t>
      </w:r>
      <w:r w:rsidR="00D70BEF" w:rsidRPr="00BF4AB8">
        <w:rPr>
          <w:snapToGrid w:val="0"/>
          <w:sz w:val="22"/>
        </w:rPr>
        <w:t xml:space="preserve"> </w:t>
      </w:r>
      <w:r w:rsidRPr="00BF4AB8">
        <w:rPr>
          <w:snapToGrid w:val="0"/>
          <w:sz w:val="22"/>
        </w:rPr>
        <w:t xml:space="preserve">įtraukti. Todėl šių pacientų </w:t>
      </w:r>
      <w:r w:rsidR="00D70BEF" w:rsidRPr="00BF4AB8">
        <w:rPr>
          <w:snapToGrid w:val="0"/>
          <w:sz w:val="22"/>
        </w:rPr>
        <w:t xml:space="preserve">gydyti </w:t>
      </w:r>
      <w:proofErr w:type="spellStart"/>
      <w:r w:rsidR="00D70BEF" w:rsidRPr="00BF4AB8">
        <w:rPr>
          <w:snapToGrid w:val="0"/>
          <w:sz w:val="22"/>
        </w:rPr>
        <w:t>nintedanibu</w:t>
      </w:r>
      <w:proofErr w:type="spellEnd"/>
      <w:r w:rsidR="00D70BEF" w:rsidRPr="00BF4AB8">
        <w:rPr>
          <w:snapToGrid w:val="0"/>
          <w:sz w:val="22"/>
        </w:rPr>
        <w:t xml:space="preserve"> </w:t>
      </w:r>
      <w:r w:rsidRPr="00BF4AB8">
        <w:rPr>
          <w:snapToGrid w:val="0"/>
          <w:sz w:val="22"/>
        </w:rPr>
        <w:t>nerekomenduojama.</w:t>
      </w:r>
    </w:p>
    <w:p w14:paraId="27915045" w14:textId="77777777" w:rsidR="00D70BEF" w:rsidRPr="00BF4AB8" w:rsidRDefault="00D70BEF" w:rsidP="00D14568">
      <w:pPr>
        <w:tabs>
          <w:tab w:val="left" w:pos="567"/>
        </w:tabs>
        <w:spacing w:line="260" w:lineRule="exact"/>
        <w:rPr>
          <w:snapToGrid w:val="0"/>
          <w:sz w:val="22"/>
        </w:rPr>
      </w:pPr>
    </w:p>
    <w:p w14:paraId="2220331F" w14:textId="02D7DFD7" w:rsidR="00D14568" w:rsidRPr="00BF4AB8" w:rsidRDefault="00114F9B" w:rsidP="00D14568">
      <w:pPr>
        <w:tabs>
          <w:tab w:val="left" w:pos="567"/>
        </w:tabs>
        <w:spacing w:line="260" w:lineRule="exact"/>
        <w:rPr>
          <w:snapToGrid w:val="0"/>
          <w:sz w:val="22"/>
        </w:rPr>
      </w:pPr>
      <w:r w:rsidRPr="00BF4AB8">
        <w:rPr>
          <w:snapToGrid w:val="0"/>
          <w:sz w:val="22"/>
        </w:rPr>
        <w:t>Po v</w:t>
      </w:r>
      <w:r w:rsidR="00D14568" w:rsidRPr="00BF4AB8">
        <w:rPr>
          <w:snapToGrid w:val="0"/>
          <w:sz w:val="22"/>
        </w:rPr>
        <w:t>aistini</w:t>
      </w:r>
      <w:r w:rsidRPr="00BF4AB8">
        <w:rPr>
          <w:snapToGrid w:val="0"/>
          <w:sz w:val="22"/>
        </w:rPr>
        <w:t>o</w:t>
      </w:r>
      <w:r w:rsidR="00D14568" w:rsidRPr="00BF4AB8">
        <w:rPr>
          <w:snapToGrid w:val="0"/>
          <w:sz w:val="22"/>
        </w:rPr>
        <w:t xml:space="preserve"> preparat</w:t>
      </w:r>
      <w:r w:rsidRPr="00BF4AB8">
        <w:rPr>
          <w:snapToGrid w:val="0"/>
          <w:sz w:val="22"/>
        </w:rPr>
        <w:t xml:space="preserve">o pateikimo </w:t>
      </w:r>
      <w:r w:rsidR="00D14568" w:rsidRPr="00BF4AB8">
        <w:rPr>
          <w:snapToGrid w:val="0"/>
          <w:sz w:val="22"/>
        </w:rPr>
        <w:t xml:space="preserve">į rinką gauta pranešimų apie nesunkaus ir sunkaus kraujavimo </w:t>
      </w:r>
      <w:r w:rsidRPr="00BF4AB8">
        <w:rPr>
          <w:snapToGrid w:val="0"/>
          <w:sz w:val="22"/>
        </w:rPr>
        <w:t>reiškinius (</w:t>
      </w:r>
      <w:r w:rsidR="00D14568" w:rsidRPr="00BF4AB8">
        <w:rPr>
          <w:snapToGrid w:val="0"/>
          <w:sz w:val="22"/>
        </w:rPr>
        <w:t>kai kurie iš jų buvo mirtini</w:t>
      </w:r>
      <w:r w:rsidRPr="00BF4AB8">
        <w:rPr>
          <w:snapToGrid w:val="0"/>
          <w:sz w:val="22"/>
        </w:rPr>
        <w:t>)</w:t>
      </w:r>
      <w:r w:rsidR="00D14568" w:rsidRPr="00BF4AB8">
        <w:rPr>
          <w:snapToGrid w:val="0"/>
          <w:sz w:val="22"/>
        </w:rPr>
        <w:t xml:space="preserve">, įskaitant </w:t>
      </w:r>
      <w:r w:rsidRPr="00BF4AB8">
        <w:rPr>
          <w:snapToGrid w:val="0"/>
          <w:sz w:val="22"/>
        </w:rPr>
        <w:t xml:space="preserve">atvejus </w:t>
      </w:r>
      <w:r w:rsidR="00D14568" w:rsidRPr="00BF4AB8">
        <w:rPr>
          <w:snapToGrid w:val="0"/>
          <w:sz w:val="22"/>
        </w:rPr>
        <w:t>pacient</w:t>
      </w:r>
      <w:r w:rsidRPr="00BF4AB8">
        <w:rPr>
          <w:snapToGrid w:val="0"/>
          <w:sz w:val="22"/>
        </w:rPr>
        <w:t>am</w:t>
      </w:r>
      <w:r w:rsidR="00D14568" w:rsidRPr="00BF4AB8">
        <w:rPr>
          <w:snapToGrid w:val="0"/>
          <w:sz w:val="22"/>
        </w:rPr>
        <w:t>s, gydom</w:t>
      </w:r>
      <w:r w:rsidRPr="00BF4AB8">
        <w:rPr>
          <w:snapToGrid w:val="0"/>
          <w:sz w:val="22"/>
        </w:rPr>
        <w:t>iem</w:t>
      </w:r>
      <w:r w:rsidR="00D14568" w:rsidRPr="00BF4AB8">
        <w:rPr>
          <w:snapToGrid w:val="0"/>
          <w:sz w:val="22"/>
        </w:rPr>
        <w:t xml:space="preserve">s antikoaguliantais ar </w:t>
      </w:r>
      <w:r w:rsidRPr="00BF4AB8">
        <w:rPr>
          <w:snapToGrid w:val="0"/>
          <w:sz w:val="22"/>
        </w:rPr>
        <w:t xml:space="preserve">kitais kraujavimą sukelti galinčiais </w:t>
      </w:r>
      <w:r w:rsidR="00D14568" w:rsidRPr="00BF4AB8">
        <w:rPr>
          <w:snapToGrid w:val="0"/>
          <w:sz w:val="22"/>
        </w:rPr>
        <w:t>vaistiniais preparatais</w:t>
      </w:r>
      <w:r w:rsidRPr="00BF4AB8">
        <w:rPr>
          <w:snapToGrid w:val="0"/>
          <w:sz w:val="22"/>
        </w:rPr>
        <w:t xml:space="preserve"> arba jais negydomiems </w:t>
      </w:r>
      <w:r w:rsidR="00D14568" w:rsidRPr="00BF4AB8">
        <w:rPr>
          <w:snapToGrid w:val="0"/>
          <w:sz w:val="22"/>
        </w:rPr>
        <w:t>(klinikinių tyrimų duomenys taip pat pateikiami</w:t>
      </w:r>
      <w:r w:rsidRPr="00BF4AB8">
        <w:rPr>
          <w:snapToGrid w:val="0"/>
          <w:sz w:val="22"/>
        </w:rPr>
        <w:t xml:space="preserve"> </w:t>
      </w:r>
      <w:r w:rsidR="00135B95" w:rsidRPr="00BF4AB8">
        <w:rPr>
          <w:snapToGrid w:val="0"/>
          <w:sz w:val="22"/>
        </w:rPr>
        <w:t>poskyryje</w:t>
      </w:r>
      <w:r w:rsidR="00D14568" w:rsidRPr="00BF4AB8">
        <w:rPr>
          <w:snapToGrid w:val="0"/>
          <w:sz w:val="22"/>
        </w:rPr>
        <w:t xml:space="preserve"> „</w:t>
      </w:r>
      <w:r w:rsidRPr="00BF4AB8">
        <w:rPr>
          <w:snapToGrid w:val="0"/>
          <w:sz w:val="22"/>
        </w:rPr>
        <w:t xml:space="preserve">Terapinė </w:t>
      </w:r>
      <w:proofErr w:type="spellStart"/>
      <w:r w:rsidRPr="00BF4AB8">
        <w:rPr>
          <w:snapToGrid w:val="0"/>
          <w:sz w:val="22"/>
        </w:rPr>
        <w:t>antikoaguliacija</w:t>
      </w:r>
      <w:proofErr w:type="spellEnd"/>
      <w:r w:rsidR="00D14568" w:rsidRPr="00BF4AB8">
        <w:rPr>
          <w:snapToGrid w:val="0"/>
          <w:sz w:val="22"/>
        </w:rPr>
        <w:t>“, žr. toliau). Kraujavimo atveju</w:t>
      </w:r>
      <w:r w:rsidRPr="00BF4AB8">
        <w:rPr>
          <w:snapToGrid w:val="0"/>
          <w:sz w:val="22"/>
        </w:rPr>
        <w:t>,</w:t>
      </w:r>
      <w:r w:rsidR="00D14568" w:rsidRPr="00BF4AB8">
        <w:rPr>
          <w:snapToGrid w:val="0"/>
          <w:sz w:val="22"/>
        </w:rPr>
        <w:t xml:space="preserve"> </w:t>
      </w:r>
      <w:r w:rsidRPr="00BF4AB8">
        <w:rPr>
          <w:snapToGrid w:val="0"/>
          <w:sz w:val="22"/>
        </w:rPr>
        <w:t xml:space="preserve">remiantis klinikiniu įvertinimu, </w:t>
      </w:r>
      <w:r w:rsidR="00D14568" w:rsidRPr="00BF4AB8">
        <w:rPr>
          <w:snapToGrid w:val="0"/>
          <w:sz w:val="22"/>
        </w:rPr>
        <w:t>reikia apsvarstyti dozės</w:t>
      </w:r>
      <w:r w:rsidRPr="00BF4AB8">
        <w:rPr>
          <w:snapToGrid w:val="0"/>
          <w:sz w:val="22"/>
        </w:rPr>
        <w:t xml:space="preserve"> koregavimo, vartojimo sustabdymo ar jo nutraukimo reikalingumą</w:t>
      </w:r>
      <w:r w:rsidR="00D14568" w:rsidRPr="00BF4AB8">
        <w:rPr>
          <w:snapToGrid w:val="0"/>
          <w:sz w:val="22"/>
        </w:rPr>
        <w:t xml:space="preserve"> (žr. 4.2</w:t>
      </w:r>
      <w:r w:rsidRPr="00BF4AB8">
        <w:rPr>
          <w:snapToGrid w:val="0"/>
          <w:sz w:val="22"/>
        </w:rPr>
        <w:t> </w:t>
      </w:r>
      <w:r w:rsidR="00D14568" w:rsidRPr="00BF4AB8">
        <w:rPr>
          <w:snapToGrid w:val="0"/>
          <w:sz w:val="22"/>
        </w:rPr>
        <w:t xml:space="preserve">skyrių). </w:t>
      </w:r>
      <w:r w:rsidRPr="00BF4AB8">
        <w:rPr>
          <w:snapToGrid w:val="0"/>
          <w:sz w:val="22"/>
        </w:rPr>
        <w:t>Po vaistinio preparato pateikimo į rinką nustatyti kr</w:t>
      </w:r>
      <w:r w:rsidR="00D14568" w:rsidRPr="00BF4AB8">
        <w:rPr>
          <w:snapToGrid w:val="0"/>
          <w:sz w:val="22"/>
        </w:rPr>
        <w:t>aujavimo atvejai</w:t>
      </w:r>
      <w:r w:rsidRPr="00BF4AB8">
        <w:rPr>
          <w:snapToGrid w:val="0"/>
          <w:sz w:val="22"/>
        </w:rPr>
        <w:t xml:space="preserve"> apėmė (tuo neapsiribojant)</w:t>
      </w:r>
      <w:r w:rsidR="00D14568" w:rsidRPr="00BF4AB8">
        <w:rPr>
          <w:snapToGrid w:val="0"/>
          <w:sz w:val="22"/>
        </w:rPr>
        <w:t xml:space="preserve"> virškinimo</w:t>
      </w:r>
      <w:r w:rsidRPr="00BF4AB8">
        <w:rPr>
          <w:snapToGrid w:val="0"/>
          <w:sz w:val="22"/>
        </w:rPr>
        <w:t xml:space="preserve"> trakto</w:t>
      </w:r>
      <w:r w:rsidR="00D14568" w:rsidRPr="00BF4AB8">
        <w:rPr>
          <w:snapToGrid w:val="0"/>
          <w:sz w:val="22"/>
        </w:rPr>
        <w:t>, kvėpavimo ir centrinės nervų sistemos organu</w:t>
      </w:r>
      <w:r w:rsidRPr="00BF4AB8">
        <w:rPr>
          <w:snapToGrid w:val="0"/>
          <w:sz w:val="22"/>
        </w:rPr>
        <w:t>s</w:t>
      </w:r>
      <w:r w:rsidR="00D14568" w:rsidRPr="00BF4AB8">
        <w:rPr>
          <w:snapToGrid w:val="0"/>
          <w:sz w:val="22"/>
        </w:rPr>
        <w:t>, dažniausiai</w:t>
      </w:r>
      <w:r w:rsidRPr="00BF4AB8">
        <w:rPr>
          <w:snapToGrid w:val="0"/>
          <w:sz w:val="22"/>
        </w:rPr>
        <w:t xml:space="preserve"> pranešta apie </w:t>
      </w:r>
      <w:r w:rsidR="00D14568" w:rsidRPr="00BF4AB8">
        <w:rPr>
          <w:snapToGrid w:val="0"/>
          <w:sz w:val="22"/>
        </w:rPr>
        <w:t>kraujavim</w:t>
      </w:r>
      <w:r w:rsidRPr="00BF4AB8">
        <w:rPr>
          <w:snapToGrid w:val="0"/>
          <w:sz w:val="22"/>
        </w:rPr>
        <w:t>ą</w:t>
      </w:r>
      <w:r w:rsidR="00D14568" w:rsidRPr="00BF4AB8">
        <w:rPr>
          <w:snapToGrid w:val="0"/>
          <w:sz w:val="22"/>
        </w:rPr>
        <w:t xml:space="preserve"> iš kvėpavimo takų.</w:t>
      </w:r>
    </w:p>
    <w:p w14:paraId="0472D113" w14:textId="77777777" w:rsidR="00114F9B" w:rsidRPr="00BF4AB8" w:rsidRDefault="00114F9B" w:rsidP="00D14568">
      <w:pPr>
        <w:tabs>
          <w:tab w:val="left" w:pos="567"/>
        </w:tabs>
        <w:spacing w:line="260" w:lineRule="exact"/>
        <w:rPr>
          <w:snapToGrid w:val="0"/>
          <w:sz w:val="22"/>
        </w:rPr>
      </w:pPr>
    </w:p>
    <w:p w14:paraId="4855E9A1" w14:textId="6C483FEC" w:rsidR="00D14568" w:rsidRPr="00BF4AB8" w:rsidRDefault="00114F9B" w:rsidP="00D14568">
      <w:pPr>
        <w:tabs>
          <w:tab w:val="left" w:pos="567"/>
        </w:tabs>
        <w:spacing w:line="260" w:lineRule="exact"/>
        <w:rPr>
          <w:i/>
          <w:iCs/>
          <w:snapToGrid w:val="0"/>
          <w:sz w:val="22"/>
        </w:rPr>
      </w:pPr>
      <w:r w:rsidRPr="00BF4AB8">
        <w:rPr>
          <w:i/>
          <w:iCs/>
          <w:snapToGrid w:val="0"/>
          <w:sz w:val="22"/>
        </w:rPr>
        <w:t xml:space="preserve">Terapinė </w:t>
      </w:r>
      <w:proofErr w:type="spellStart"/>
      <w:r w:rsidRPr="00BF4AB8">
        <w:rPr>
          <w:i/>
          <w:iCs/>
          <w:snapToGrid w:val="0"/>
          <w:sz w:val="22"/>
        </w:rPr>
        <w:t>antikoaguliacija</w:t>
      </w:r>
      <w:proofErr w:type="spellEnd"/>
    </w:p>
    <w:p w14:paraId="6CFB80FF" w14:textId="1EBB614B" w:rsidR="00D14568" w:rsidRPr="00BF4AB8" w:rsidRDefault="00114F9B" w:rsidP="00D14568">
      <w:pPr>
        <w:tabs>
          <w:tab w:val="left" w:pos="567"/>
        </w:tabs>
        <w:spacing w:line="260" w:lineRule="exact"/>
        <w:rPr>
          <w:snapToGrid w:val="0"/>
          <w:sz w:val="22"/>
        </w:rPr>
      </w:pPr>
      <w:r w:rsidRPr="00BF4AB8">
        <w:rPr>
          <w:snapToGrid w:val="0"/>
          <w:sz w:val="22"/>
        </w:rPr>
        <w:t>K</w:t>
      </w:r>
      <w:r w:rsidR="00D14568" w:rsidRPr="00BF4AB8">
        <w:rPr>
          <w:snapToGrid w:val="0"/>
          <w:sz w:val="22"/>
        </w:rPr>
        <w:t>linikinių</w:t>
      </w:r>
      <w:r w:rsidRPr="00BF4AB8">
        <w:rPr>
          <w:snapToGrid w:val="0"/>
          <w:sz w:val="22"/>
        </w:rPr>
        <w:t xml:space="preserve"> </w:t>
      </w:r>
      <w:r w:rsidR="00D14568" w:rsidRPr="00BF4AB8">
        <w:rPr>
          <w:snapToGrid w:val="0"/>
          <w:sz w:val="22"/>
        </w:rPr>
        <w:t xml:space="preserve">tyrimų duomenų apie pacientus, </w:t>
      </w:r>
      <w:r w:rsidRPr="00BF4AB8">
        <w:rPr>
          <w:snapToGrid w:val="0"/>
          <w:sz w:val="22"/>
        </w:rPr>
        <w:t>kurie turi</w:t>
      </w:r>
      <w:r w:rsidR="00D14568" w:rsidRPr="00BF4AB8">
        <w:rPr>
          <w:snapToGrid w:val="0"/>
          <w:sz w:val="22"/>
        </w:rPr>
        <w:t xml:space="preserve"> įgimtą polinkį kraujuoti arba </w:t>
      </w:r>
      <w:r w:rsidRPr="00BF4AB8">
        <w:rPr>
          <w:snapToGrid w:val="0"/>
          <w:sz w:val="22"/>
        </w:rPr>
        <w:t xml:space="preserve">kuriems buvo skirta visa </w:t>
      </w:r>
      <w:proofErr w:type="spellStart"/>
      <w:r w:rsidRPr="00BF4AB8">
        <w:rPr>
          <w:snapToGrid w:val="0"/>
          <w:sz w:val="22"/>
        </w:rPr>
        <w:t>antikoaguliac</w:t>
      </w:r>
      <w:r w:rsidR="00096482" w:rsidRPr="00BF4AB8">
        <w:rPr>
          <w:snapToGrid w:val="0"/>
          <w:sz w:val="22"/>
        </w:rPr>
        <w:t>i</w:t>
      </w:r>
      <w:r w:rsidRPr="00BF4AB8">
        <w:rPr>
          <w:snapToGrid w:val="0"/>
          <w:sz w:val="22"/>
        </w:rPr>
        <w:t>nio</w:t>
      </w:r>
      <w:proofErr w:type="spellEnd"/>
      <w:r w:rsidRPr="00BF4AB8">
        <w:rPr>
          <w:snapToGrid w:val="0"/>
          <w:sz w:val="22"/>
        </w:rPr>
        <w:t xml:space="preserve"> gydymo dozė </w:t>
      </w:r>
      <w:r w:rsidR="00D14568" w:rsidRPr="00BF4AB8">
        <w:rPr>
          <w:snapToGrid w:val="0"/>
          <w:sz w:val="22"/>
        </w:rPr>
        <w:t xml:space="preserve">prieš pradedant gydyti </w:t>
      </w:r>
      <w:proofErr w:type="spellStart"/>
      <w:r w:rsidR="00096482" w:rsidRPr="00BF4AB8">
        <w:rPr>
          <w:snapToGrid w:val="0"/>
          <w:sz w:val="22"/>
        </w:rPr>
        <w:t>nintedanibu</w:t>
      </w:r>
      <w:proofErr w:type="spellEnd"/>
      <w:r w:rsidR="00096482" w:rsidRPr="00BF4AB8">
        <w:rPr>
          <w:snapToGrid w:val="0"/>
          <w:sz w:val="22"/>
        </w:rPr>
        <w:t>, n</w:t>
      </w:r>
      <w:r w:rsidRPr="00BF4AB8">
        <w:rPr>
          <w:snapToGrid w:val="0"/>
          <w:sz w:val="22"/>
        </w:rPr>
        <w:t xml:space="preserve">ėra </w:t>
      </w:r>
      <w:r w:rsidR="00D14568" w:rsidRPr="00BF4AB8">
        <w:rPr>
          <w:snapToGrid w:val="0"/>
          <w:sz w:val="22"/>
        </w:rPr>
        <w:t>(</w:t>
      </w:r>
      <w:r w:rsidR="00096482" w:rsidRPr="00BF4AB8">
        <w:rPr>
          <w:snapToGrid w:val="0"/>
          <w:sz w:val="22"/>
        </w:rPr>
        <w:t>po</w:t>
      </w:r>
      <w:r w:rsidR="00D14568" w:rsidRPr="00BF4AB8">
        <w:rPr>
          <w:snapToGrid w:val="0"/>
          <w:sz w:val="22"/>
        </w:rPr>
        <w:t xml:space="preserve"> vaistin</w:t>
      </w:r>
      <w:r w:rsidR="002021DF">
        <w:rPr>
          <w:snapToGrid w:val="0"/>
          <w:sz w:val="22"/>
        </w:rPr>
        <w:t>i</w:t>
      </w:r>
      <w:r w:rsidR="00096482" w:rsidRPr="00BF4AB8">
        <w:rPr>
          <w:snapToGrid w:val="0"/>
          <w:sz w:val="22"/>
        </w:rPr>
        <w:t>o</w:t>
      </w:r>
      <w:r w:rsidR="00D14568" w:rsidRPr="00BF4AB8">
        <w:rPr>
          <w:snapToGrid w:val="0"/>
          <w:sz w:val="22"/>
        </w:rPr>
        <w:t xml:space="preserve"> preparat</w:t>
      </w:r>
      <w:r w:rsidR="00096482" w:rsidRPr="00BF4AB8">
        <w:rPr>
          <w:snapToGrid w:val="0"/>
          <w:sz w:val="22"/>
        </w:rPr>
        <w:t xml:space="preserve">o pateikimo į rinką gauta patirtis pateikiama poskyryje </w:t>
      </w:r>
      <w:r w:rsidR="00D14568" w:rsidRPr="00BF4AB8">
        <w:rPr>
          <w:snapToGrid w:val="0"/>
          <w:sz w:val="22"/>
        </w:rPr>
        <w:t>„Kraujavimas“</w:t>
      </w:r>
      <w:r w:rsidR="00096482" w:rsidRPr="00BF4AB8">
        <w:rPr>
          <w:snapToGrid w:val="0"/>
          <w:sz w:val="22"/>
        </w:rPr>
        <w:t xml:space="preserve"> aukščiau</w:t>
      </w:r>
      <w:r w:rsidR="00D14568" w:rsidRPr="00BF4AB8">
        <w:rPr>
          <w:snapToGrid w:val="0"/>
          <w:sz w:val="22"/>
        </w:rPr>
        <w:t>). Pacientams, ilgą laiką gydomiems mažomis mažos</w:t>
      </w:r>
      <w:r w:rsidR="00096482" w:rsidRPr="00BF4AB8">
        <w:rPr>
          <w:snapToGrid w:val="0"/>
          <w:sz w:val="22"/>
        </w:rPr>
        <w:t xml:space="preserve"> </w:t>
      </w:r>
      <w:r w:rsidR="00D14568" w:rsidRPr="00BF4AB8">
        <w:rPr>
          <w:snapToGrid w:val="0"/>
          <w:sz w:val="22"/>
        </w:rPr>
        <w:t xml:space="preserve">molekulinės masės heparinų ar </w:t>
      </w:r>
      <w:proofErr w:type="spellStart"/>
      <w:r w:rsidR="00D14568" w:rsidRPr="00BF4AB8">
        <w:rPr>
          <w:snapToGrid w:val="0"/>
          <w:sz w:val="22"/>
        </w:rPr>
        <w:t>acetilsalicilo</w:t>
      </w:r>
      <w:proofErr w:type="spellEnd"/>
      <w:r w:rsidR="00D14568" w:rsidRPr="00BF4AB8">
        <w:rPr>
          <w:snapToGrid w:val="0"/>
          <w:sz w:val="22"/>
        </w:rPr>
        <w:t xml:space="preserve"> rūgšties dozėmis, kraujavimo dažnio padidėjimo</w:t>
      </w:r>
      <w:r w:rsidR="00096482" w:rsidRPr="00BF4AB8">
        <w:rPr>
          <w:snapToGrid w:val="0"/>
          <w:sz w:val="22"/>
        </w:rPr>
        <w:t xml:space="preserve"> </w:t>
      </w:r>
      <w:r w:rsidR="00D14568" w:rsidRPr="00BF4AB8">
        <w:rPr>
          <w:snapToGrid w:val="0"/>
          <w:sz w:val="22"/>
        </w:rPr>
        <w:t xml:space="preserve">nepastebėta. Pacientams, kuriems gydymo metu atsirado </w:t>
      </w:r>
      <w:proofErr w:type="spellStart"/>
      <w:r w:rsidR="00D14568" w:rsidRPr="00BF4AB8">
        <w:rPr>
          <w:snapToGrid w:val="0"/>
          <w:sz w:val="22"/>
        </w:rPr>
        <w:t>tromboemboli</w:t>
      </w:r>
      <w:r w:rsidR="00096482" w:rsidRPr="00BF4AB8">
        <w:rPr>
          <w:snapToGrid w:val="0"/>
          <w:sz w:val="22"/>
        </w:rPr>
        <w:t>jos</w:t>
      </w:r>
      <w:proofErr w:type="spellEnd"/>
      <w:r w:rsidR="00D14568" w:rsidRPr="00BF4AB8">
        <w:rPr>
          <w:snapToGrid w:val="0"/>
          <w:sz w:val="22"/>
        </w:rPr>
        <w:t xml:space="preserve"> reiškinių ir kuriuos reikėjo</w:t>
      </w:r>
      <w:r w:rsidR="00096482" w:rsidRPr="00BF4AB8">
        <w:rPr>
          <w:snapToGrid w:val="0"/>
          <w:sz w:val="22"/>
        </w:rPr>
        <w:t xml:space="preserve"> </w:t>
      </w:r>
      <w:r w:rsidR="00D14568" w:rsidRPr="00BF4AB8">
        <w:rPr>
          <w:snapToGrid w:val="0"/>
          <w:sz w:val="22"/>
        </w:rPr>
        <w:t xml:space="preserve">gydyti antikoaguliantais, buvo leista tęsti gydymą </w:t>
      </w:r>
      <w:proofErr w:type="spellStart"/>
      <w:r w:rsidR="00096482" w:rsidRPr="00BF4AB8">
        <w:rPr>
          <w:snapToGrid w:val="0"/>
          <w:sz w:val="22"/>
        </w:rPr>
        <w:t>nintedanibu</w:t>
      </w:r>
      <w:proofErr w:type="spellEnd"/>
      <w:r w:rsidR="00096482" w:rsidRPr="00BF4AB8">
        <w:rPr>
          <w:snapToGrid w:val="0"/>
          <w:sz w:val="22"/>
        </w:rPr>
        <w:t xml:space="preserve"> </w:t>
      </w:r>
      <w:r w:rsidR="00D14568" w:rsidRPr="00BF4AB8">
        <w:rPr>
          <w:snapToGrid w:val="0"/>
          <w:sz w:val="22"/>
        </w:rPr>
        <w:t>ir jiems kraujavimo reiškinių dažnis</w:t>
      </w:r>
      <w:r w:rsidR="00096482" w:rsidRPr="00BF4AB8">
        <w:rPr>
          <w:snapToGrid w:val="0"/>
          <w:sz w:val="22"/>
        </w:rPr>
        <w:t xml:space="preserve"> </w:t>
      </w:r>
      <w:r w:rsidR="00D14568" w:rsidRPr="00BF4AB8">
        <w:rPr>
          <w:snapToGrid w:val="0"/>
          <w:sz w:val="22"/>
        </w:rPr>
        <w:t xml:space="preserve">nepadidėjo. Pacientus, kartu vartojančius antikoaguliantų, pvz., </w:t>
      </w:r>
      <w:proofErr w:type="spellStart"/>
      <w:r w:rsidR="00D14568" w:rsidRPr="00BF4AB8">
        <w:rPr>
          <w:snapToGrid w:val="0"/>
          <w:sz w:val="22"/>
        </w:rPr>
        <w:t>varfarino</w:t>
      </w:r>
      <w:proofErr w:type="spellEnd"/>
      <w:r w:rsidR="00D14568" w:rsidRPr="00BF4AB8">
        <w:rPr>
          <w:snapToGrid w:val="0"/>
          <w:sz w:val="22"/>
        </w:rPr>
        <w:t xml:space="preserve"> ar </w:t>
      </w:r>
      <w:proofErr w:type="spellStart"/>
      <w:r w:rsidR="00D14568" w:rsidRPr="00BF4AB8">
        <w:rPr>
          <w:snapToGrid w:val="0"/>
          <w:sz w:val="22"/>
        </w:rPr>
        <w:t>fenprokumono</w:t>
      </w:r>
      <w:proofErr w:type="spellEnd"/>
      <w:r w:rsidR="00D14568" w:rsidRPr="00BF4AB8">
        <w:rPr>
          <w:snapToGrid w:val="0"/>
          <w:sz w:val="22"/>
        </w:rPr>
        <w:t>, reikia</w:t>
      </w:r>
      <w:r w:rsidR="00096482" w:rsidRPr="00BF4AB8">
        <w:rPr>
          <w:snapToGrid w:val="0"/>
          <w:sz w:val="22"/>
        </w:rPr>
        <w:t xml:space="preserve"> </w:t>
      </w:r>
      <w:r w:rsidR="00D14568" w:rsidRPr="00BF4AB8">
        <w:rPr>
          <w:snapToGrid w:val="0"/>
          <w:sz w:val="22"/>
        </w:rPr>
        <w:t xml:space="preserve">reguliariai stebėti dėl </w:t>
      </w:r>
      <w:proofErr w:type="spellStart"/>
      <w:r w:rsidR="00D14568" w:rsidRPr="00BF4AB8">
        <w:rPr>
          <w:snapToGrid w:val="0"/>
          <w:sz w:val="22"/>
        </w:rPr>
        <w:t>protrombino</w:t>
      </w:r>
      <w:proofErr w:type="spellEnd"/>
      <w:r w:rsidR="00D14568" w:rsidRPr="00BF4AB8">
        <w:rPr>
          <w:snapToGrid w:val="0"/>
          <w:sz w:val="22"/>
        </w:rPr>
        <w:t xml:space="preserve"> laiko, tarptautinio normalizuoto santykio (TNS) pokyčių ir</w:t>
      </w:r>
      <w:r w:rsidR="00096482" w:rsidRPr="00BF4AB8">
        <w:rPr>
          <w:snapToGrid w:val="0"/>
          <w:sz w:val="22"/>
        </w:rPr>
        <w:t xml:space="preserve"> </w:t>
      </w:r>
      <w:r w:rsidR="00D14568" w:rsidRPr="00BF4AB8">
        <w:rPr>
          <w:snapToGrid w:val="0"/>
          <w:sz w:val="22"/>
        </w:rPr>
        <w:t>klinikinio kraujavimo epizodų.</w:t>
      </w:r>
    </w:p>
    <w:p w14:paraId="02B5B4A1" w14:textId="77777777" w:rsidR="00096482" w:rsidRPr="00BF4AB8" w:rsidRDefault="00096482" w:rsidP="00D14568">
      <w:pPr>
        <w:tabs>
          <w:tab w:val="left" w:pos="567"/>
        </w:tabs>
        <w:spacing w:line="260" w:lineRule="exact"/>
        <w:rPr>
          <w:snapToGrid w:val="0"/>
          <w:sz w:val="22"/>
        </w:rPr>
      </w:pPr>
    </w:p>
    <w:p w14:paraId="510EBDF7" w14:textId="17E68CD6" w:rsidR="00D14568" w:rsidRPr="00BF4AB8" w:rsidRDefault="00D14568" w:rsidP="00D14568">
      <w:pPr>
        <w:tabs>
          <w:tab w:val="left" w:pos="567"/>
        </w:tabs>
        <w:spacing w:line="260" w:lineRule="exact"/>
        <w:rPr>
          <w:snapToGrid w:val="0"/>
          <w:sz w:val="22"/>
          <w:u w:val="single"/>
        </w:rPr>
      </w:pPr>
      <w:r w:rsidRPr="00BF4AB8">
        <w:rPr>
          <w:snapToGrid w:val="0"/>
          <w:sz w:val="22"/>
          <w:u w:val="single"/>
        </w:rPr>
        <w:t>Metastazės galvos smegenyse</w:t>
      </w:r>
    </w:p>
    <w:p w14:paraId="3D9A867F" w14:textId="77777777" w:rsidR="00D14568" w:rsidRPr="00BF4AB8" w:rsidRDefault="00D14568" w:rsidP="00D14568">
      <w:pPr>
        <w:tabs>
          <w:tab w:val="left" w:pos="567"/>
        </w:tabs>
        <w:spacing w:line="260" w:lineRule="exact"/>
        <w:rPr>
          <w:i/>
          <w:iCs/>
          <w:snapToGrid w:val="0"/>
          <w:sz w:val="22"/>
        </w:rPr>
      </w:pPr>
      <w:r w:rsidRPr="00BF4AB8">
        <w:rPr>
          <w:i/>
          <w:iCs/>
          <w:snapToGrid w:val="0"/>
          <w:sz w:val="22"/>
        </w:rPr>
        <w:t>Stabilios metastazės galvos smegenyse</w:t>
      </w:r>
    </w:p>
    <w:p w14:paraId="5C401286" w14:textId="163EAB6C" w:rsidR="00D14568" w:rsidRPr="00BF4AB8" w:rsidRDefault="00D14568" w:rsidP="00D14568">
      <w:pPr>
        <w:tabs>
          <w:tab w:val="left" w:pos="567"/>
        </w:tabs>
        <w:spacing w:line="260" w:lineRule="exact"/>
        <w:rPr>
          <w:snapToGrid w:val="0"/>
          <w:sz w:val="22"/>
        </w:rPr>
      </w:pPr>
      <w:r w:rsidRPr="00BF4AB8">
        <w:rPr>
          <w:snapToGrid w:val="0"/>
          <w:sz w:val="22"/>
        </w:rPr>
        <w:t xml:space="preserve">Pacientams, kuriems prieš pradedant gydymą </w:t>
      </w:r>
      <w:proofErr w:type="spellStart"/>
      <w:r w:rsidR="008F2D18" w:rsidRPr="00BF4AB8">
        <w:rPr>
          <w:snapToGrid w:val="0"/>
          <w:sz w:val="22"/>
        </w:rPr>
        <w:t>nintedanibu</w:t>
      </w:r>
      <w:proofErr w:type="spellEnd"/>
      <w:r w:rsidR="008F2D18" w:rsidRPr="00BF4AB8">
        <w:rPr>
          <w:snapToGrid w:val="0"/>
          <w:sz w:val="22"/>
        </w:rPr>
        <w:t xml:space="preserve"> </w:t>
      </w:r>
      <w:r w:rsidRPr="00BF4AB8">
        <w:rPr>
          <w:snapToGrid w:val="0"/>
          <w:sz w:val="22"/>
        </w:rPr>
        <w:t>buvo taikytas tinkamas metastazių galvos</w:t>
      </w:r>
      <w:r w:rsidR="008F2D18" w:rsidRPr="00BF4AB8">
        <w:rPr>
          <w:snapToGrid w:val="0"/>
          <w:sz w:val="22"/>
        </w:rPr>
        <w:t xml:space="preserve"> </w:t>
      </w:r>
      <w:r w:rsidRPr="00BF4AB8">
        <w:rPr>
          <w:snapToGrid w:val="0"/>
          <w:sz w:val="22"/>
        </w:rPr>
        <w:t xml:space="preserve">smegenyse gydymas ir kurios išliko </w:t>
      </w:r>
      <w:r w:rsidR="008F2D18" w:rsidRPr="00BF4AB8">
        <w:rPr>
          <w:snapToGrid w:val="0"/>
          <w:sz w:val="22"/>
        </w:rPr>
        <w:t xml:space="preserve">stabilios </w:t>
      </w:r>
      <w:r w:rsidRPr="00BF4AB8">
        <w:rPr>
          <w:snapToGrid w:val="0"/>
          <w:sz w:val="22"/>
        </w:rPr>
        <w:t>≥</w:t>
      </w:r>
      <w:r w:rsidR="008F2D18" w:rsidRPr="00BF4AB8">
        <w:rPr>
          <w:snapToGrid w:val="0"/>
          <w:sz w:val="22"/>
        </w:rPr>
        <w:t> </w:t>
      </w:r>
      <w:r w:rsidRPr="00BF4AB8">
        <w:rPr>
          <w:snapToGrid w:val="0"/>
          <w:sz w:val="22"/>
        </w:rPr>
        <w:t>4</w:t>
      </w:r>
      <w:r w:rsidR="008F2D18" w:rsidRPr="00BF4AB8">
        <w:rPr>
          <w:snapToGrid w:val="0"/>
          <w:sz w:val="22"/>
        </w:rPr>
        <w:t> </w:t>
      </w:r>
      <w:r w:rsidRPr="00BF4AB8">
        <w:rPr>
          <w:snapToGrid w:val="0"/>
          <w:sz w:val="22"/>
        </w:rPr>
        <w:t xml:space="preserve">savaites prieš padedant gydyti </w:t>
      </w:r>
      <w:proofErr w:type="spellStart"/>
      <w:r w:rsidR="008F2D18" w:rsidRPr="00BF4AB8">
        <w:rPr>
          <w:snapToGrid w:val="0"/>
          <w:sz w:val="22"/>
        </w:rPr>
        <w:t>nintedanibu</w:t>
      </w:r>
      <w:proofErr w:type="spellEnd"/>
      <w:r w:rsidRPr="00BF4AB8">
        <w:rPr>
          <w:snapToGrid w:val="0"/>
          <w:sz w:val="22"/>
        </w:rPr>
        <w:t>,</w:t>
      </w:r>
      <w:r w:rsidR="008F2D18" w:rsidRPr="00BF4AB8">
        <w:rPr>
          <w:snapToGrid w:val="0"/>
          <w:sz w:val="22"/>
        </w:rPr>
        <w:t xml:space="preserve"> </w:t>
      </w:r>
      <w:r w:rsidRPr="00BF4AB8">
        <w:rPr>
          <w:snapToGrid w:val="0"/>
          <w:sz w:val="22"/>
        </w:rPr>
        <w:t xml:space="preserve">kraujavimo </w:t>
      </w:r>
      <w:r w:rsidR="008F2D18" w:rsidRPr="00BF4AB8">
        <w:rPr>
          <w:snapToGrid w:val="0"/>
          <w:sz w:val="22"/>
        </w:rPr>
        <w:t xml:space="preserve">į galvos smegenis </w:t>
      </w:r>
      <w:r w:rsidRPr="00BF4AB8">
        <w:rPr>
          <w:snapToGrid w:val="0"/>
          <w:sz w:val="22"/>
        </w:rPr>
        <w:t>dažnio padidėjimo nepastebėta. Vis dėlto tokius pacientus reikia atidžiai</w:t>
      </w:r>
      <w:r w:rsidR="008F2D18" w:rsidRPr="00BF4AB8">
        <w:rPr>
          <w:snapToGrid w:val="0"/>
          <w:sz w:val="22"/>
        </w:rPr>
        <w:t xml:space="preserve"> </w:t>
      </w:r>
      <w:r w:rsidRPr="00BF4AB8">
        <w:rPr>
          <w:snapToGrid w:val="0"/>
          <w:sz w:val="22"/>
        </w:rPr>
        <w:t xml:space="preserve">stebėti, ar neatsiranda kraujavimo </w:t>
      </w:r>
      <w:r w:rsidR="008F2D18" w:rsidRPr="00BF4AB8">
        <w:rPr>
          <w:snapToGrid w:val="0"/>
          <w:sz w:val="22"/>
        </w:rPr>
        <w:t xml:space="preserve">į galvos smegenis </w:t>
      </w:r>
      <w:r w:rsidRPr="00BF4AB8">
        <w:rPr>
          <w:snapToGrid w:val="0"/>
          <w:sz w:val="22"/>
        </w:rPr>
        <w:t>požymių ir simptomų.</w:t>
      </w:r>
    </w:p>
    <w:p w14:paraId="007B9B88" w14:textId="77777777" w:rsidR="00096482" w:rsidRPr="00BF4AB8" w:rsidRDefault="00096482" w:rsidP="00D14568">
      <w:pPr>
        <w:tabs>
          <w:tab w:val="left" w:pos="567"/>
        </w:tabs>
        <w:spacing w:line="260" w:lineRule="exact"/>
        <w:rPr>
          <w:snapToGrid w:val="0"/>
          <w:sz w:val="22"/>
        </w:rPr>
      </w:pPr>
    </w:p>
    <w:p w14:paraId="21137F44" w14:textId="0FDF3186" w:rsidR="00D14568" w:rsidRPr="00BF4AB8" w:rsidRDefault="00D14568" w:rsidP="00D14568">
      <w:pPr>
        <w:tabs>
          <w:tab w:val="left" w:pos="567"/>
        </w:tabs>
        <w:spacing w:line="260" w:lineRule="exact"/>
        <w:rPr>
          <w:i/>
          <w:iCs/>
          <w:snapToGrid w:val="0"/>
          <w:sz w:val="22"/>
        </w:rPr>
      </w:pPr>
      <w:r w:rsidRPr="00BF4AB8">
        <w:rPr>
          <w:i/>
          <w:iCs/>
          <w:snapToGrid w:val="0"/>
          <w:sz w:val="22"/>
        </w:rPr>
        <w:t>Aktyvios metastazės galvos smegenyse</w:t>
      </w:r>
    </w:p>
    <w:p w14:paraId="7A8710C1" w14:textId="6B9C0886" w:rsidR="00D14568" w:rsidRPr="00BF4AB8" w:rsidRDefault="00D14568" w:rsidP="00D14568">
      <w:pPr>
        <w:tabs>
          <w:tab w:val="left" w:pos="567"/>
        </w:tabs>
        <w:spacing w:line="260" w:lineRule="exact"/>
        <w:rPr>
          <w:snapToGrid w:val="0"/>
          <w:sz w:val="22"/>
        </w:rPr>
      </w:pPr>
      <w:r w:rsidRPr="00BF4AB8">
        <w:rPr>
          <w:snapToGrid w:val="0"/>
          <w:sz w:val="22"/>
        </w:rPr>
        <w:t xml:space="preserve">Pacientai, kurių metastazės galvos smegenyse </w:t>
      </w:r>
      <w:r w:rsidR="008F2D18" w:rsidRPr="00BF4AB8">
        <w:rPr>
          <w:snapToGrid w:val="0"/>
          <w:sz w:val="22"/>
        </w:rPr>
        <w:t xml:space="preserve">yra </w:t>
      </w:r>
      <w:r w:rsidRPr="00BF4AB8">
        <w:rPr>
          <w:snapToGrid w:val="0"/>
          <w:sz w:val="22"/>
        </w:rPr>
        <w:t>aktyvios, į klinikinius tyrimus nebuvo įtraukti ir jų</w:t>
      </w:r>
      <w:r w:rsidR="008F2D18" w:rsidRPr="00BF4AB8">
        <w:rPr>
          <w:snapToGrid w:val="0"/>
          <w:sz w:val="22"/>
        </w:rPr>
        <w:t xml:space="preserve"> </w:t>
      </w:r>
      <w:proofErr w:type="spellStart"/>
      <w:r w:rsidR="008F2D18" w:rsidRPr="00BF4AB8">
        <w:rPr>
          <w:snapToGrid w:val="0"/>
          <w:sz w:val="22"/>
        </w:rPr>
        <w:t>nintedanibu</w:t>
      </w:r>
      <w:proofErr w:type="spellEnd"/>
      <w:r w:rsidR="008F2D18" w:rsidRPr="00BF4AB8">
        <w:rPr>
          <w:snapToGrid w:val="0"/>
          <w:sz w:val="22"/>
        </w:rPr>
        <w:t xml:space="preserve"> gydyti </w:t>
      </w:r>
      <w:r w:rsidRPr="00BF4AB8">
        <w:rPr>
          <w:snapToGrid w:val="0"/>
          <w:sz w:val="22"/>
        </w:rPr>
        <w:t>nerekomenduojama.</w:t>
      </w:r>
    </w:p>
    <w:p w14:paraId="25A6D249" w14:textId="77777777" w:rsidR="00096482" w:rsidRPr="00BF4AB8" w:rsidRDefault="00096482" w:rsidP="00D14568">
      <w:pPr>
        <w:tabs>
          <w:tab w:val="left" w:pos="567"/>
        </w:tabs>
        <w:spacing w:line="260" w:lineRule="exact"/>
        <w:rPr>
          <w:snapToGrid w:val="0"/>
          <w:sz w:val="22"/>
        </w:rPr>
      </w:pPr>
    </w:p>
    <w:p w14:paraId="2A9AACE2" w14:textId="210A5D37" w:rsidR="00D14568" w:rsidRPr="00BF4AB8" w:rsidRDefault="00D14568" w:rsidP="00D14568">
      <w:pPr>
        <w:tabs>
          <w:tab w:val="left" w:pos="567"/>
        </w:tabs>
        <w:spacing w:line="260" w:lineRule="exact"/>
        <w:rPr>
          <w:snapToGrid w:val="0"/>
          <w:sz w:val="22"/>
          <w:u w:val="single"/>
        </w:rPr>
      </w:pPr>
      <w:r w:rsidRPr="00BF4AB8">
        <w:rPr>
          <w:snapToGrid w:val="0"/>
          <w:sz w:val="22"/>
          <w:u w:val="single"/>
        </w:rPr>
        <w:t xml:space="preserve">Venų </w:t>
      </w:r>
      <w:proofErr w:type="spellStart"/>
      <w:r w:rsidRPr="00BF4AB8">
        <w:rPr>
          <w:snapToGrid w:val="0"/>
          <w:sz w:val="22"/>
          <w:u w:val="single"/>
        </w:rPr>
        <w:t>tromboembolija</w:t>
      </w:r>
      <w:proofErr w:type="spellEnd"/>
    </w:p>
    <w:p w14:paraId="454CC8A3" w14:textId="31D2C362" w:rsidR="00D14568" w:rsidRPr="00BF4AB8" w:rsidRDefault="006E1D23" w:rsidP="00D14568">
      <w:pPr>
        <w:tabs>
          <w:tab w:val="left" w:pos="567"/>
        </w:tabs>
        <w:spacing w:line="260" w:lineRule="exact"/>
        <w:rPr>
          <w:snapToGrid w:val="0"/>
          <w:sz w:val="22"/>
        </w:rPr>
      </w:pPr>
      <w:proofErr w:type="spellStart"/>
      <w:r w:rsidRPr="00BF4AB8">
        <w:rPr>
          <w:snapToGrid w:val="0"/>
          <w:sz w:val="22"/>
        </w:rPr>
        <w:lastRenderedPageBreak/>
        <w:t>Nintedanibu</w:t>
      </w:r>
      <w:proofErr w:type="spellEnd"/>
      <w:r w:rsidRPr="00BF4AB8">
        <w:rPr>
          <w:snapToGrid w:val="0"/>
          <w:sz w:val="22"/>
        </w:rPr>
        <w:t xml:space="preserve"> gydomiems p</w:t>
      </w:r>
      <w:r w:rsidR="00D14568" w:rsidRPr="00BF4AB8">
        <w:rPr>
          <w:snapToGrid w:val="0"/>
          <w:sz w:val="22"/>
        </w:rPr>
        <w:t xml:space="preserve">acientams yra didesnė venų </w:t>
      </w:r>
      <w:proofErr w:type="spellStart"/>
      <w:r w:rsidR="00D14568" w:rsidRPr="00BF4AB8">
        <w:rPr>
          <w:snapToGrid w:val="0"/>
          <w:sz w:val="22"/>
        </w:rPr>
        <w:t>tromboembolijos</w:t>
      </w:r>
      <w:proofErr w:type="spellEnd"/>
      <w:r w:rsidR="00D14568" w:rsidRPr="00BF4AB8">
        <w:rPr>
          <w:snapToGrid w:val="0"/>
          <w:sz w:val="22"/>
        </w:rPr>
        <w:t>, įskaitant plaučių emboliją ir</w:t>
      </w:r>
      <w:r w:rsidRPr="00BF4AB8">
        <w:rPr>
          <w:snapToGrid w:val="0"/>
          <w:sz w:val="22"/>
        </w:rPr>
        <w:t xml:space="preserve"> </w:t>
      </w:r>
      <w:r w:rsidR="00D14568" w:rsidRPr="00BF4AB8">
        <w:rPr>
          <w:snapToGrid w:val="0"/>
          <w:sz w:val="22"/>
        </w:rPr>
        <w:t xml:space="preserve">giliųjų venų trombozę, rizika. Reikia atidžiai stebėti, ar pacientams neatsiranda </w:t>
      </w:r>
      <w:proofErr w:type="spellStart"/>
      <w:r w:rsidR="00D14568" w:rsidRPr="00BF4AB8">
        <w:rPr>
          <w:snapToGrid w:val="0"/>
          <w:sz w:val="22"/>
        </w:rPr>
        <w:t>tromboemboli</w:t>
      </w:r>
      <w:r w:rsidRPr="00BF4AB8">
        <w:rPr>
          <w:snapToGrid w:val="0"/>
          <w:sz w:val="22"/>
        </w:rPr>
        <w:t>jos</w:t>
      </w:r>
      <w:proofErr w:type="spellEnd"/>
      <w:r w:rsidRPr="00BF4AB8">
        <w:rPr>
          <w:snapToGrid w:val="0"/>
          <w:sz w:val="22"/>
        </w:rPr>
        <w:t xml:space="preserve"> </w:t>
      </w:r>
      <w:r w:rsidR="00D14568" w:rsidRPr="00BF4AB8">
        <w:rPr>
          <w:snapToGrid w:val="0"/>
          <w:sz w:val="22"/>
        </w:rPr>
        <w:t xml:space="preserve">reiškinių. Ypač atsargiai reikia gydyti pacientus, </w:t>
      </w:r>
      <w:r w:rsidRPr="00BF4AB8">
        <w:rPr>
          <w:snapToGrid w:val="0"/>
          <w:sz w:val="22"/>
        </w:rPr>
        <w:t>kurie turi</w:t>
      </w:r>
      <w:r w:rsidR="00D14568" w:rsidRPr="00BF4AB8">
        <w:rPr>
          <w:snapToGrid w:val="0"/>
          <w:sz w:val="22"/>
        </w:rPr>
        <w:t xml:space="preserve"> papildomų rizikos veiksnių, susijusių su</w:t>
      </w:r>
      <w:r w:rsidRPr="00BF4AB8">
        <w:rPr>
          <w:snapToGrid w:val="0"/>
          <w:sz w:val="22"/>
        </w:rPr>
        <w:t xml:space="preserve"> </w:t>
      </w:r>
      <w:proofErr w:type="spellStart"/>
      <w:r w:rsidR="00D14568" w:rsidRPr="00BF4AB8">
        <w:rPr>
          <w:snapToGrid w:val="0"/>
          <w:sz w:val="22"/>
        </w:rPr>
        <w:t>tromboemboli</w:t>
      </w:r>
      <w:r w:rsidRPr="00BF4AB8">
        <w:rPr>
          <w:snapToGrid w:val="0"/>
          <w:sz w:val="22"/>
        </w:rPr>
        <w:t>jos</w:t>
      </w:r>
      <w:proofErr w:type="spellEnd"/>
      <w:r w:rsidR="00D14568" w:rsidRPr="00BF4AB8">
        <w:rPr>
          <w:snapToGrid w:val="0"/>
          <w:sz w:val="22"/>
        </w:rPr>
        <w:t xml:space="preserve"> reiškiniais. Pacientams, kuriems pasireiškia gyvybei pavojingos venų</w:t>
      </w:r>
      <w:r w:rsidRPr="00BF4AB8">
        <w:rPr>
          <w:snapToGrid w:val="0"/>
          <w:sz w:val="22"/>
        </w:rPr>
        <w:t xml:space="preserve"> </w:t>
      </w:r>
      <w:proofErr w:type="spellStart"/>
      <w:r w:rsidR="00D14568" w:rsidRPr="00BF4AB8">
        <w:rPr>
          <w:snapToGrid w:val="0"/>
          <w:sz w:val="22"/>
        </w:rPr>
        <w:t>tromboemboli</w:t>
      </w:r>
      <w:r w:rsidRPr="00BF4AB8">
        <w:rPr>
          <w:snapToGrid w:val="0"/>
          <w:sz w:val="22"/>
        </w:rPr>
        <w:t>jos</w:t>
      </w:r>
      <w:proofErr w:type="spellEnd"/>
      <w:r w:rsidR="00D14568" w:rsidRPr="00BF4AB8">
        <w:rPr>
          <w:snapToGrid w:val="0"/>
          <w:sz w:val="22"/>
        </w:rPr>
        <w:t xml:space="preserve"> reakcijos, gydymą </w:t>
      </w:r>
      <w:r w:rsidRPr="00BF4AB8">
        <w:rPr>
          <w:snapToGrid w:val="0"/>
          <w:sz w:val="22"/>
        </w:rPr>
        <w:t>šiuo vaistiniu preparatu</w:t>
      </w:r>
      <w:r w:rsidR="00D14568" w:rsidRPr="00BF4AB8">
        <w:rPr>
          <w:snapToGrid w:val="0"/>
          <w:sz w:val="22"/>
        </w:rPr>
        <w:t xml:space="preserve"> reikia nutraukti.</w:t>
      </w:r>
    </w:p>
    <w:p w14:paraId="3A2C906C" w14:textId="77777777" w:rsidR="006E1D23" w:rsidRPr="00BF4AB8" w:rsidRDefault="006E1D23" w:rsidP="00D14568">
      <w:pPr>
        <w:tabs>
          <w:tab w:val="left" w:pos="567"/>
        </w:tabs>
        <w:spacing w:line="260" w:lineRule="exact"/>
        <w:rPr>
          <w:snapToGrid w:val="0"/>
          <w:sz w:val="22"/>
        </w:rPr>
      </w:pPr>
    </w:p>
    <w:p w14:paraId="2DB9DF3F" w14:textId="5184FE45" w:rsidR="00D14568" w:rsidRPr="00BF4AB8" w:rsidRDefault="00D14568" w:rsidP="00D14568">
      <w:pPr>
        <w:tabs>
          <w:tab w:val="left" w:pos="567"/>
        </w:tabs>
        <w:spacing w:line="260" w:lineRule="exact"/>
        <w:rPr>
          <w:snapToGrid w:val="0"/>
          <w:sz w:val="22"/>
          <w:u w:val="single"/>
        </w:rPr>
      </w:pPr>
      <w:r w:rsidRPr="00BF4AB8">
        <w:rPr>
          <w:snapToGrid w:val="0"/>
          <w:sz w:val="22"/>
          <w:u w:val="single"/>
        </w:rPr>
        <w:t xml:space="preserve">Arterijų </w:t>
      </w:r>
      <w:proofErr w:type="spellStart"/>
      <w:r w:rsidRPr="00BF4AB8">
        <w:rPr>
          <w:snapToGrid w:val="0"/>
          <w:sz w:val="22"/>
          <w:u w:val="single"/>
        </w:rPr>
        <w:t>tromboemboli</w:t>
      </w:r>
      <w:r w:rsidR="00945DEC" w:rsidRPr="00BF4AB8">
        <w:rPr>
          <w:snapToGrid w:val="0"/>
          <w:sz w:val="22"/>
          <w:u w:val="single"/>
        </w:rPr>
        <w:t>jos</w:t>
      </w:r>
      <w:proofErr w:type="spellEnd"/>
      <w:r w:rsidRPr="00BF4AB8">
        <w:rPr>
          <w:snapToGrid w:val="0"/>
          <w:sz w:val="22"/>
          <w:u w:val="single"/>
        </w:rPr>
        <w:t xml:space="preserve"> reiškiniai</w:t>
      </w:r>
    </w:p>
    <w:p w14:paraId="620A94C7" w14:textId="190DD893" w:rsidR="00D14568" w:rsidRPr="00BF4AB8" w:rsidRDefault="00C6399C" w:rsidP="00D14568">
      <w:pPr>
        <w:tabs>
          <w:tab w:val="left" w:pos="567"/>
        </w:tabs>
        <w:spacing w:line="260" w:lineRule="exact"/>
        <w:rPr>
          <w:snapToGrid w:val="0"/>
          <w:sz w:val="22"/>
        </w:rPr>
      </w:pPr>
      <w:r w:rsidRPr="00BF4AB8">
        <w:rPr>
          <w:snapToGrid w:val="0"/>
          <w:sz w:val="22"/>
        </w:rPr>
        <w:t>3 </w:t>
      </w:r>
      <w:r w:rsidR="00D14568" w:rsidRPr="00BF4AB8">
        <w:rPr>
          <w:snapToGrid w:val="0"/>
          <w:sz w:val="22"/>
        </w:rPr>
        <w:t>fazės tyrimo 1199.13 (LUME-</w:t>
      </w:r>
      <w:proofErr w:type="spellStart"/>
      <w:r w:rsidR="00D14568" w:rsidRPr="00BF4AB8">
        <w:rPr>
          <w:snapToGrid w:val="0"/>
          <w:sz w:val="22"/>
        </w:rPr>
        <w:t>Lung</w:t>
      </w:r>
      <w:proofErr w:type="spellEnd"/>
      <w:r w:rsidRPr="00BF4AB8">
        <w:rPr>
          <w:snapToGrid w:val="0"/>
          <w:sz w:val="22"/>
        </w:rPr>
        <w:t> </w:t>
      </w:r>
      <w:r w:rsidR="00D14568" w:rsidRPr="00BF4AB8">
        <w:rPr>
          <w:snapToGrid w:val="0"/>
          <w:sz w:val="22"/>
        </w:rPr>
        <w:t xml:space="preserve">1) metu arterijų </w:t>
      </w:r>
      <w:proofErr w:type="spellStart"/>
      <w:r w:rsidR="00D14568" w:rsidRPr="00BF4AB8">
        <w:rPr>
          <w:snapToGrid w:val="0"/>
          <w:sz w:val="22"/>
        </w:rPr>
        <w:t>tromboemboli</w:t>
      </w:r>
      <w:r w:rsidRPr="00BF4AB8">
        <w:rPr>
          <w:snapToGrid w:val="0"/>
          <w:sz w:val="22"/>
        </w:rPr>
        <w:t>jos</w:t>
      </w:r>
      <w:proofErr w:type="spellEnd"/>
      <w:r w:rsidR="00D14568" w:rsidRPr="00BF4AB8">
        <w:rPr>
          <w:snapToGrid w:val="0"/>
          <w:sz w:val="22"/>
        </w:rPr>
        <w:t xml:space="preserve"> reiškinių dažnis dviejose</w:t>
      </w:r>
      <w:r w:rsidRPr="00BF4AB8">
        <w:rPr>
          <w:snapToGrid w:val="0"/>
          <w:sz w:val="22"/>
        </w:rPr>
        <w:t xml:space="preserve"> </w:t>
      </w:r>
      <w:r w:rsidR="00D14568" w:rsidRPr="00BF4AB8">
        <w:rPr>
          <w:snapToGrid w:val="0"/>
          <w:sz w:val="22"/>
        </w:rPr>
        <w:t>gydymo grupėse buvo panašus. Pacientai, kuriuos neseniai buvo ištikęs miokardo infarktas ar insultas,</w:t>
      </w:r>
      <w:r w:rsidRPr="00BF4AB8">
        <w:rPr>
          <w:snapToGrid w:val="0"/>
          <w:sz w:val="22"/>
        </w:rPr>
        <w:t xml:space="preserve"> </w:t>
      </w:r>
      <w:r w:rsidR="00D14568" w:rsidRPr="00BF4AB8">
        <w:rPr>
          <w:snapToGrid w:val="0"/>
          <w:sz w:val="22"/>
        </w:rPr>
        <w:t xml:space="preserve">į šį tyrimą nebuvo įtraukti. Vis dėlto </w:t>
      </w:r>
      <w:proofErr w:type="spellStart"/>
      <w:r w:rsidR="00D14568" w:rsidRPr="00BF4AB8">
        <w:rPr>
          <w:snapToGrid w:val="0"/>
          <w:sz w:val="22"/>
        </w:rPr>
        <w:t>idiopatine</w:t>
      </w:r>
      <w:proofErr w:type="spellEnd"/>
      <w:r w:rsidR="00D14568" w:rsidRPr="00BF4AB8">
        <w:rPr>
          <w:snapToGrid w:val="0"/>
          <w:sz w:val="22"/>
        </w:rPr>
        <w:t xml:space="preserve"> plaučių fibroze (IPF) sergantiems pacientams,</w:t>
      </w:r>
      <w:r w:rsidRPr="00BF4AB8">
        <w:rPr>
          <w:snapToGrid w:val="0"/>
          <w:sz w:val="22"/>
        </w:rPr>
        <w:t xml:space="preserve"> </w:t>
      </w:r>
      <w:r w:rsidR="00D14568" w:rsidRPr="00BF4AB8">
        <w:rPr>
          <w:snapToGrid w:val="0"/>
          <w:sz w:val="22"/>
        </w:rPr>
        <w:t xml:space="preserve">gydomiems vien </w:t>
      </w:r>
      <w:bookmarkStart w:id="1" w:name="_Hlk151225702"/>
      <w:proofErr w:type="spellStart"/>
      <w:r w:rsidR="00D14568" w:rsidRPr="00BF4AB8">
        <w:rPr>
          <w:snapToGrid w:val="0"/>
          <w:sz w:val="22"/>
        </w:rPr>
        <w:t>nintedanibu</w:t>
      </w:r>
      <w:bookmarkEnd w:id="1"/>
      <w:proofErr w:type="spellEnd"/>
      <w:r w:rsidR="00D14568" w:rsidRPr="00BF4AB8">
        <w:rPr>
          <w:snapToGrid w:val="0"/>
          <w:sz w:val="22"/>
        </w:rPr>
        <w:t xml:space="preserve">, arterijų </w:t>
      </w:r>
      <w:proofErr w:type="spellStart"/>
      <w:r w:rsidR="00D14568" w:rsidRPr="00BF4AB8">
        <w:rPr>
          <w:snapToGrid w:val="0"/>
          <w:sz w:val="22"/>
        </w:rPr>
        <w:t>tromboemboli</w:t>
      </w:r>
      <w:r w:rsidRPr="00BF4AB8">
        <w:rPr>
          <w:snapToGrid w:val="0"/>
          <w:sz w:val="22"/>
        </w:rPr>
        <w:t>jos</w:t>
      </w:r>
      <w:proofErr w:type="spellEnd"/>
      <w:r w:rsidR="00D14568" w:rsidRPr="00BF4AB8">
        <w:rPr>
          <w:snapToGrid w:val="0"/>
          <w:sz w:val="22"/>
        </w:rPr>
        <w:t xml:space="preserve"> reiškinių dažnis buvo didesnis. Pacientus,</w:t>
      </w:r>
      <w:r w:rsidRPr="00BF4AB8">
        <w:rPr>
          <w:snapToGrid w:val="0"/>
          <w:sz w:val="22"/>
        </w:rPr>
        <w:t xml:space="preserve"> </w:t>
      </w:r>
      <w:r w:rsidR="00D14568" w:rsidRPr="00BF4AB8">
        <w:rPr>
          <w:snapToGrid w:val="0"/>
          <w:sz w:val="22"/>
        </w:rPr>
        <w:t>kuriems</w:t>
      </w:r>
      <w:r w:rsidRPr="00BF4AB8">
        <w:rPr>
          <w:snapToGrid w:val="0"/>
          <w:sz w:val="22"/>
        </w:rPr>
        <w:t xml:space="preserve"> yra didesnė</w:t>
      </w:r>
      <w:r w:rsidR="00D14568" w:rsidRPr="00BF4AB8">
        <w:rPr>
          <w:snapToGrid w:val="0"/>
          <w:sz w:val="22"/>
        </w:rPr>
        <w:t xml:space="preserve"> kardiovaskulinių reiškinių rizika, įskaitant sergančius širdies vainikinių arterijų liga, reikia gydyti atsargiai. Pacientams, kuriems atsiranda ūminės miokardo išemijos požymių ar</w:t>
      </w:r>
      <w:r w:rsidRPr="00BF4AB8">
        <w:rPr>
          <w:snapToGrid w:val="0"/>
          <w:sz w:val="22"/>
        </w:rPr>
        <w:t xml:space="preserve"> </w:t>
      </w:r>
      <w:r w:rsidR="00D14568" w:rsidRPr="00BF4AB8">
        <w:rPr>
          <w:snapToGrid w:val="0"/>
          <w:sz w:val="22"/>
        </w:rPr>
        <w:t xml:space="preserve">simptomų, reikia įvertinti gydymo </w:t>
      </w:r>
      <w:r w:rsidRPr="00BF4AB8">
        <w:rPr>
          <w:snapToGrid w:val="0"/>
          <w:sz w:val="22"/>
        </w:rPr>
        <w:t>sustabdymo</w:t>
      </w:r>
      <w:r w:rsidR="00D14568" w:rsidRPr="00BF4AB8">
        <w:rPr>
          <w:snapToGrid w:val="0"/>
          <w:sz w:val="22"/>
        </w:rPr>
        <w:t xml:space="preserve"> </w:t>
      </w:r>
      <w:r w:rsidRPr="00BF4AB8">
        <w:rPr>
          <w:snapToGrid w:val="0"/>
          <w:sz w:val="22"/>
        </w:rPr>
        <w:t>reikalingumą</w:t>
      </w:r>
      <w:r w:rsidR="00D14568" w:rsidRPr="00BF4AB8">
        <w:rPr>
          <w:snapToGrid w:val="0"/>
          <w:sz w:val="22"/>
        </w:rPr>
        <w:t>.</w:t>
      </w:r>
    </w:p>
    <w:p w14:paraId="4A16EF75" w14:textId="77777777" w:rsidR="00C6399C" w:rsidRPr="00BF4AB8" w:rsidRDefault="00C6399C" w:rsidP="00D14568">
      <w:pPr>
        <w:tabs>
          <w:tab w:val="left" w:pos="567"/>
        </w:tabs>
        <w:spacing w:line="260" w:lineRule="exact"/>
        <w:rPr>
          <w:snapToGrid w:val="0"/>
          <w:sz w:val="22"/>
        </w:rPr>
      </w:pPr>
    </w:p>
    <w:p w14:paraId="4AFA84E3" w14:textId="4F3A72E9" w:rsidR="00D14568" w:rsidRPr="00BF4AB8" w:rsidRDefault="00D14568" w:rsidP="00D14568">
      <w:pPr>
        <w:tabs>
          <w:tab w:val="left" w:pos="567"/>
        </w:tabs>
        <w:spacing w:line="260" w:lineRule="exact"/>
        <w:rPr>
          <w:snapToGrid w:val="0"/>
          <w:sz w:val="22"/>
          <w:u w:val="single"/>
        </w:rPr>
      </w:pPr>
      <w:r w:rsidRPr="00BF4AB8">
        <w:rPr>
          <w:snapToGrid w:val="0"/>
          <w:sz w:val="22"/>
          <w:u w:val="single"/>
        </w:rPr>
        <w:t xml:space="preserve">Aneurizmos ir arterijų </w:t>
      </w:r>
      <w:r w:rsidR="00A00D93" w:rsidRPr="00BF4AB8">
        <w:rPr>
          <w:snapToGrid w:val="0"/>
          <w:sz w:val="22"/>
          <w:u w:val="single"/>
        </w:rPr>
        <w:t>atsisluoksniavimas</w:t>
      </w:r>
    </w:p>
    <w:p w14:paraId="0B3091AC" w14:textId="769BBE8B" w:rsidR="00D14568" w:rsidRPr="00BF4AB8" w:rsidRDefault="00D14568" w:rsidP="00D14568">
      <w:pPr>
        <w:tabs>
          <w:tab w:val="left" w:pos="567"/>
        </w:tabs>
        <w:spacing w:line="260" w:lineRule="exact"/>
        <w:rPr>
          <w:snapToGrid w:val="0"/>
          <w:sz w:val="22"/>
        </w:rPr>
      </w:pPr>
      <w:r w:rsidRPr="00BF4AB8">
        <w:rPr>
          <w:snapToGrid w:val="0"/>
          <w:sz w:val="22"/>
        </w:rPr>
        <w:t xml:space="preserve">KEAF reakcijų sekos inhibitorių vartojimas gali paskatinti aneurizmų ir (arba) arterijos </w:t>
      </w:r>
      <w:r w:rsidR="00A00D93" w:rsidRPr="00BF4AB8">
        <w:rPr>
          <w:snapToGrid w:val="0"/>
          <w:sz w:val="22"/>
        </w:rPr>
        <w:t xml:space="preserve">atsisluoksniavimo </w:t>
      </w:r>
      <w:r w:rsidRPr="00BF4AB8">
        <w:rPr>
          <w:snapToGrid w:val="0"/>
          <w:sz w:val="22"/>
        </w:rPr>
        <w:t>vystymąsi pacientams, kuriems diagnozuota arba nediagnozuota hipertenzija. Prieš pradedant gydyti</w:t>
      </w:r>
      <w:r w:rsidR="00A00D93" w:rsidRPr="00BF4AB8">
        <w:rPr>
          <w:snapToGrid w:val="0"/>
          <w:sz w:val="22"/>
        </w:rPr>
        <w:t xml:space="preserve"> </w:t>
      </w:r>
      <w:proofErr w:type="spellStart"/>
      <w:r w:rsidR="00A00D93" w:rsidRPr="00BF4AB8">
        <w:rPr>
          <w:snapToGrid w:val="0"/>
          <w:sz w:val="22"/>
        </w:rPr>
        <w:t>nintedanibu</w:t>
      </w:r>
      <w:proofErr w:type="spellEnd"/>
      <w:r w:rsidRPr="00BF4AB8">
        <w:rPr>
          <w:snapToGrid w:val="0"/>
          <w:sz w:val="22"/>
        </w:rPr>
        <w:t xml:space="preserve">, </w:t>
      </w:r>
      <w:r w:rsidR="00B06708" w:rsidRPr="00BF4AB8">
        <w:rPr>
          <w:snapToGrid w:val="0"/>
          <w:sz w:val="22"/>
        </w:rPr>
        <w:t xml:space="preserve">tokią riziką </w:t>
      </w:r>
      <w:r w:rsidRPr="00BF4AB8">
        <w:rPr>
          <w:snapToGrid w:val="0"/>
          <w:sz w:val="22"/>
        </w:rPr>
        <w:t>reikia atidžiai įvertinti pacientams, kuriems nustatyta rizikos veiksnių</w:t>
      </w:r>
      <w:r w:rsidR="00B06708" w:rsidRPr="00BF4AB8">
        <w:rPr>
          <w:snapToGrid w:val="0"/>
          <w:sz w:val="22"/>
        </w:rPr>
        <w:t>, tokių</w:t>
      </w:r>
      <w:r w:rsidRPr="00BF4AB8">
        <w:rPr>
          <w:snapToGrid w:val="0"/>
          <w:sz w:val="22"/>
        </w:rPr>
        <w:t xml:space="preserve"> kaip</w:t>
      </w:r>
      <w:r w:rsidR="00B06708" w:rsidRPr="00BF4AB8">
        <w:rPr>
          <w:snapToGrid w:val="0"/>
          <w:sz w:val="22"/>
        </w:rPr>
        <w:t xml:space="preserve"> </w:t>
      </w:r>
      <w:r w:rsidRPr="00BF4AB8">
        <w:rPr>
          <w:snapToGrid w:val="0"/>
          <w:sz w:val="22"/>
        </w:rPr>
        <w:t>hipertenzija arba anksčiau diagnozuota aortos aneurizma.</w:t>
      </w:r>
    </w:p>
    <w:p w14:paraId="4735626C" w14:textId="77777777" w:rsidR="00A00D93" w:rsidRPr="00BF4AB8" w:rsidRDefault="00A00D93" w:rsidP="00D14568">
      <w:pPr>
        <w:tabs>
          <w:tab w:val="left" w:pos="567"/>
        </w:tabs>
        <w:spacing w:line="260" w:lineRule="exact"/>
        <w:rPr>
          <w:snapToGrid w:val="0"/>
          <w:sz w:val="22"/>
        </w:rPr>
      </w:pPr>
    </w:p>
    <w:p w14:paraId="61512190" w14:textId="42B428B1" w:rsidR="00D14568" w:rsidRPr="00BF4AB8" w:rsidRDefault="00D14568" w:rsidP="00D14568">
      <w:pPr>
        <w:tabs>
          <w:tab w:val="left" w:pos="567"/>
        </w:tabs>
        <w:spacing w:line="260" w:lineRule="exact"/>
        <w:rPr>
          <w:snapToGrid w:val="0"/>
          <w:sz w:val="22"/>
          <w:u w:val="single"/>
        </w:rPr>
      </w:pPr>
      <w:r w:rsidRPr="00BF4AB8">
        <w:rPr>
          <w:snapToGrid w:val="0"/>
          <w:sz w:val="22"/>
          <w:u w:val="single"/>
        </w:rPr>
        <w:t>Virškinimo trakto perforacij</w:t>
      </w:r>
      <w:r w:rsidR="00240FB7" w:rsidRPr="00BF4AB8">
        <w:rPr>
          <w:snapToGrid w:val="0"/>
          <w:sz w:val="22"/>
          <w:u w:val="single"/>
        </w:rPr>
        <w:t>a</w:t>
      </w:r>
      <w:r w:rsidRPr="00BF4AB8">
        <w:rPr>
          <w:snapToGrid w:val="0"/>
          <w:sz w:val="22"/>
          <w:u w:val="single"/>
        </w:rPr>
        <w:t xml:space="preserve"> ir išeminis kolitas</w:t>
      </w:r>
    </w:p>
    <w:p w14:paraId="10669FE7" w14:textId="36545704" w:rsidR="00D14568" w:rsidRPr="00BF4AB8" w:rsidRDefault="00D14568" w:rsidP="00D14568">
      <w:pPr>
        <w:tabs>
          <w:tab w:val="left" w:pos="567"/>
        </w:tabs>
        <w:spacing w:line="260" w:lineRule="exact"/>
        <w:rPr>
          <w:snapToGrid w:val="0"/>
          <w:sz w:val="22"/>
        </w:rPr>
      </w:pPr>
      <w:r w:rsidRPr="00BF4AB8">
        <w:rPr>
          <w:snapToGrid w:val="0"/>
          <w:sz w:val="22"/>
        </w:rPr>
        <w:t>Klinikinio tyrimo metu virškinimo trakto perforacijos dažnis dviejose gydymo grupėse buvo panašus.</w:t>
      </w:r>
      <w:r w:rsidR="00240FB7" w:rsidRPr="00BF4AB8">
        <w:rPr>
          <w:snapToGrid w:val="0"/>
          <w:sz w:val="22"/>
        </w:rPr>
        <w:t xml:space="preserve"> </w:t>
      </w:r>
      <w:r w:rsidRPr="00BF4AB8">
        <w:rPr>
          <w:snapToGrid w:val="0"/>
          <w:sz w:val="22"/>
        </w:rPr>
        <w:t>Vis dėlto</w:t>
      </w:r>
      <w:r w:rsidR="00240FB7" w:rsidRPr="00BF4AB8">
        <w:rPr>
          <w:snapToGrid w:val="0"/>
          <w:sz w:val="22"/>
        </w:rPr>
        <w:t xml:space="preserve">, atsižvelgiant į </w:t>
      </w:r>
      <w:r w:rsidRPr="00BF4AB8">
        <w:rPr>
          <w:snapToGrid w:val="0"/>
          <w:sz w:val="22"/>
        </w:rPr>
        <w:t>veikimo mechanizm</w:t>
      </w:r>
      <w:r w:rsidR="00240FB7" w:rsidRPr="00BF4AB8">
        <w:rPr>
          <w:snapToGrid w:val="0"/>
          <w:sz w:val="22"/>
        </w:rPr>
        <w:t>ą</w:t>
      </w:r>
      <w:r w:rsidRPr="00BF4AB8">
        <w:rPr>
          <w:snapToGrid w:val="0"/>
          <w:sz w:val="22"/>
        </w:rPr>
        <w:t xml:space="preserve">, </w:t>
      </w:r>
      <w:proofErr w:type="spellStart"/>
      <w:r w:rsidR="00240FB7" w:rsidRPr="00BF4AB8">
        <w:rPr>
          <w:snapToGrid w:val="0"/>
          <w:sz w:val="22"/>
        </w:rPr>
        <w:t>nintedanibu</w:t>
      </w:r>
      <w:proofErr w:type="spellEnd"/>
      <w:r w:rsidR="00240FB7" w:rsidRPr="00BF4AB8">
        <w:rPr>
          <w:snapToGrid w:val="0"/>
          <w:sz w:val="22"/>
        </w:rPr>
        <w:t xml:space="preserve"> gydomiems </w:t>
      </w:r>
      <w:r w:rsidRPr="00BF4AB8">
        <w:rPr>
          <w:snapToGrid w:val="0"/>
          <w:sz w:val="22"/>
        </w:rPr>
        <w:t>pacientams gali būti didesnė</w:t>
      </w:r>
      <w:r w:rsidR="00240FB7" w:rsidRPr="00BF4AB8">
        <w:rPr>
          <w:snapToGrid w:val="0"/>
          <w:sz w:val="22"/>
        </w:rPr>
        <w:t xml:space="preserve"> </w:t>
      </w:r>
      <w:r w:rsidRPr="00BF4AB8">
        <w:rPr>
          <w:snapToGrid w:val="0"/>
          <w:sz w:val="22"/>
        </w:rPr>
        <w:t>virškinimo trakto perforaci</w:t>
      </w:r>
      <w:r w:rsidR="00240FB7" w:rsidRPr="00BF4AB8">
        <w:rPr>
          <w:snapToGrid w:val="0"/>
          <w:sz w:val="22"/>
        </w:rPr>
        <w:t>jos</w:t>
      </w:r>
      <w:r w:rsidRPr="00BF4AB8">
        <w:rPr>
          <w:snapToGrid w:val="0"/>
          <w:sz w:val="22"/>
        </w:rPr>
        <w:t xml:space="preserve"> rizika. </w:t>
      </w:r>
      <w:bookmarkStart w:id="2" w:name="_Hlk151225994"/>
      <w:r w:rsidR="00240FB7" w:rsidRPr="00BF4AB8">
        <w:rPr>
          <w:snapToGrid w:val="0"/>
          <w:sz w:val="22"/>
        </w:rPr>
        <w:t>Po vaistinio preparato pateikimo</w:t>
      </w:r>
      <w:r w:rsidRPr="00BF4AB8">
        <w:rPr>
          <w:snapToGrid w:val="0"/>
          <w:sz w:val="22"/>
        </w:rPr>
        <w:t xml:space="preserve"> į rinką</w:t>
      </w:r>
      <w:r w:rsidR="00240FB7" w:rsidRPr="00BF4AB8">
        <w:rPr>
          <w:snapToGrid w:val="0"/>
          <w:sz w:val="22"/>
        </w:rPr>
        <w:t xml:space="preserve"> </w:t>
      </w:r>
      <w:bookmarkEnd w:id="2"/>
      <w:r w:rsidR="00240FB7" w:rsidRPr="00BF4AB8">
        <w:rPr>
          <w:snapToGrid w:val="0"/>
          <w:sz w:val="22"/>
        </w:rPr>
        <w:t xml:space="preserve">buvo </w:t>
      </w:r>
      <w:r w:rsidRPr="00BF4AB8">
        <w:rPr>
          <w:snapToGrid w:val="0"/>
          <w:sz w:val="22"/>
        </w:rPr>
        <w:t>gauta pranešimų apie virškinimo trakto perforacij</w:t>
      </w:r>
      <w:r w:rsidR="00240FB7" w:rsidRPr="00BF4AB8">
        <w:rPr>
          <w:snapToGrid w:val="0"/>
          <w:sz w:val="22"/>
        </w:rPr>
        <w:t>os</w:t>
      </w:r>
      <w:r w:rsidRPr="00BF4AB8">
        <w:rPr>
          <w:snapToGrid w:val="0"/>
          <w:sz w:val="22"/>
        </w:rPr>
        <w:t xml:space="preserve"> ir išeminio kolito atvejus</w:t>
      </w:r>
      <w:r w:rsidR="00240FB7" w:rsidRPr="00BF4AB8">
        <w:rPr>
          <w:snapToGrid w:val="0"/>
          <w:sz w:val="22"/>
        </w:rPr>
        <w:t xml:space="preserve"> vartojant </w:t>
      </w:r>
      <w:proofErr w:type="spellStart"/>
      <w:r w:rsidR="00240FB7" w:rsidRPr="00BF4AB8">
        <w:rPr>
          <w:snapToGrid w:val="0"/>
          <w:sz w:val="22"/>
        </w:rPr>
        <w:t>nintedanibą</w:t>
      </w:r>
      <w:proofErr w:type="spellEnd"/>
      <w:r w:rsidRPr="00BF4AB8">
        <w:rPr>
          <w:snapToGrid w:val="0"/>
          <w:sz w:val="22"/>
        </w:rPr>
        <w:t xml:space="preserve">, kai kurie </w:t>
      </w:r>
      <w:r w:rsidR="00240FB7" w:rsidRPr="00BF4AB8">
        <w:rPr>
          <w:snapToGrid w:val="0"/>
          <w:sz w:val="22"/>
        </w:rPr>
        <w:t>atvejai buvo mirtini</w:t>
      </w:r>
      <w:r w:rsidRPr="00BF4AB8">
        <w:rPr>
          <w:snapToGrid w:val="0"/>
          <w:sz w:val="22"/>
        </w:rPr>
        <w:t xml:space="preserve">. Ypač atsargiai reikia gydyti pacientus, kuriems anksčiau buvo atlikta </w:t>
      </w:r>
      <w:r w:rsidR="00240FB7" w:rsidRPr="00BF4AB8">
        <w:rPr>
          <w:snapToGrid w:val="0"/>
          <w:sz w:val="22"/>
        </w:rPr>
        <w:t xml:space="preserve">pilvo organų </w:t>
      </w:r>
      <w:r w:rsidRPr="00BF4AB8">
        <w:rPr>
          <w:snapToGrid w:val="0"/>
          <w:sz w:val="22"/>
        </w:rPr>
        <w:t xml:space="preserve">operacija ar neseniai </w:t>
      </w:r>
      <w:r w:rsidR="00240FB7" w:rsidRPr="00BF4AB8">
        <w:rPr>
          <w:snapToGrid w:val="0"/>
          <w:sz w:val="22"/>
        </w:rPr>
        <w:t>buvo</w:t>
      </w:r>
      <w:r w:rsidRPr="00BF4AB8">
        <w:rPr>
          <w:snapToGrid w:val="0"/>
          <w:sz w:val="22"/>
        </w:rPr>
        <w:t xml:space="preserve"> tuščiavidurio organo perforacija. </w:t>
      </w:r>
      <w:proofErr w:type="spellStart"/>
      <w:r w:rsidRPr="00BF4AB8">
        <w:rPr>
          <w:snapToGrid w:val="0"/>
          <w:sz w:val="22"/>
        </w:rPr>
        <w:t>Nytyka</w:t>
      </w:r>
      <w:proofErr w:type="spellEnd"/>
      <w:r w:rsidRPr="00BF4AB8">
        <w:rPr>
          <w:snapToGrid w:val="0"/>
          <w:sz w:val="22"/>
        </w:rPr>
        <w:t xml:space="preserve"> galima pradėti vartoti </w:t>
      </w:r>
      <w:r w:rsidR="00240FB7" w:rsidRPr="00BF4AB8">
        <w:rPr>
          <w:snapToGrid w:val="0"/>
          <w:sz w:val="22"/>
        </w:rPr>
        <w:t xml:space="preserve">po didelės apimties operacijos </w:t>
      </w:r>
      <w:r w:rsidRPr="00BF4AB8">
        <w:rPr>
          <w:snapToGrid w:val="0"/>
          <w:sz w:val="22"/>
        </w:rPr>
        <w:t>praėjus</w:t>
      </w:r>
      <w:r w:rsidR="00240FB7" w:rsidRPr="00BF4AB8">
        <w:rPr>
          <w:snapToGrid w:val="0"/>
          <w:sz w:val="22"/>
        </w:rPr>
        <w:t xml:space="preserve"> </w:t>
      </w:r>
      <w:r w:rsidRPr="00BF4AB8">
        <w:rPr>
          <w:snapToGrid w:val="0"/>
          <w:sz w:val="22"/>
        </w:rPr>
        <w:t>mažiausiai 4</w:t>
      </w:r>
      <w:r w:rsidR="00240FB7" w:rsidRPr="00BF4AB8">
        <w:rPr>
          <w:snapToGrid w:val="0"/>
          <w:sz w:val="22"/>
        </w:rPr>
        <w:t> </w:t>
      </w:r>
      <w:r w:rsidRPr="00BF4AB8">
        <w:rPr>
          <w:snapToGrid w:val="0"/>
          <w:sz w:val="22"/>
        </w:rPr>
        <w:t>savaitėms. Pacientams, kurie patyrė virškinimo trakto</w:t>
      </w:r>
      <w:r w:rsidR="00240FB7" w:rsidRPr="00BF4AB8">
        <w:rPr>
          <w:snapToGrid w:val="0"/>
          <w:sz w:val="22"/>
        </w:rPr>
        <w:t xml:space="preserve"> </w:t>
      </w:r>
      <w:r w:rsidRPr="00BF4AB8">
        <w:rPr>
          <w:snapToGrid w:val="0"/>
          <w:sz w:val="22"/>
        </w:rPr>
        <w:t xml:space="preserve">perforaciją, gydymą </w:t>
      </w:r>
      <w:proofErr w:type="spellStart"/>
      <w:r w:rsidR="00240FB7" w:rsidRPr="00BF4AB8">
        <w:rPr>
          <w:snapToGrid w:val="0"/>
          <w:sz w:val="22"/>
        </w:rPr>
        <w:t>nintedanibu</w:t>
      </w:r>
      <w:proofErr w:type="spellEnd"/>
      <w:r w:rsidR="00240FB7" w:rsidRPr="00BF4AB8">
        <w:rPr>
          <w:snapToGrid w:val="0"/>
          <w:sz w:val="22"/>
        </w:rPr>
        <w:t xml:space="preserve"> </w:t>
      </w:r>
      <w:r w:rsidRPr="00BF4AB8">
        <w:rPr>
          <w:snapToGrid w:val="0"/>
          <w:sz w:val="22"/>
        </w:rPr>
        <w:t>reikia nutraukti visam laikui. Pacientams, kuriems išsivystė išeminis</w:t>
      </w:r>
      <w:r w:rsidR="00240FB7" w:rsidRPr="00BF4AB8">
        <w:rPr>
          <w:snapToGrid w:val="0"/>
          <w:sz w:val="22"/>
        </w:rPr>
        <w:t xml:space="preserve"> </w:t>
      </w:r>
      <w:r w:rsidRPr="00BF4AB8">
        <w:rPr>
          <w:snapToGrid w:val="0"/>
          <w:sz w:val="22"/>
        </w:rPr>
        <w:t xml:space="preserve">kolitas, gydymą </w:t>
      </w:r>
      <w:proofErr w:type="spellStart"/>
      <w:r w:rsidR="00240FB7" w:rsidRPr="00BF4AB8">
        <w:rPr>
          <w:snapToGrid w:val="0"/>
          <w:sz w:val="22"/>
        </w:rPr>
        <w:t>nintedanibu</w:t>
      </w:r>
      <w:proofErr w:type="spellEnd"/>
      <w:r w:rsidR="00240FB7" w:rsidRPr="00BF4AB8">
        <w:rPr>
          <w:snapToGrid w:val="0"/>
          <w:sz w:val="22"/>
        </w:rPr>
        <w:t xml:space="preserve"> </w:t>
      </w:r>
      <w:r w:rsidRPr="00BF4AB8">
        <w:rPr>
          <w:snapToGrid w:val="0"/>
          <w:sz w:val="22"/>
        </w:rPr>
        <w:t>reikia nutraukti</w:t>
      </w:r>
      <w:r w:rsidR="00240FB7" w:rsidRPr="00BF4AB8">
        <w:rPr>
          <w:snapToGrid w:val="0"/>
          <w:sz w:val="22"/>
        </w:rPr>
        <w:t xml:space="preserve">; </w:t>
      </w:r>
      <w:r w:rsidRPr="00BF4AB8">
        <w:rPr>
          <w:snapToGrid w:val="0"/>
          <w:sz w:val="22"/>
        </w:rPr>
        <w:t>išskirtiniais atvejais</w:t>
      </w:r>
      <w:r w:rsidR="00240FB7" w:rsidRPr="00BF4AB8">
        <w:rPr>
          <w:snapToGrid w:val="0"/>
          <w:sz w:val="22"/>
        </w:rPr>
        <w:t xml:space="preserve"> gydymą </w:t>
      </w:r>
      <w:proofErr w:type="spellStart"/>
      <w:r w:rsidR="00240FB7" w:rsidRPr="00BF4AB8">
        <w:rPr>
          <w:snapToGrid w:val="0"/>
          <w:sz w:val="22"/>
        </w:rPr>
        <w:t>nintedanibu</w:t>
      </w:r>
      <w:proofErr w:type="spellEnd"/>
      <w:r w:rsidR="00240FB7" w:rsidRPr="00BF4AB8">
        <w:rPr>
          <w:snapToGrid w:val="0"/>
          <w:sz w:val="22"/>
        </w:rPr>
        <w:t xml:space="preserve"> galima atnaujinti </w:t>
      </w:r>
      <w:r w:rsidRPr="00BF4AB8">
        <w:rPr>
          <w:snapToGrid w:val="0"/>
          <w:sz w:val="22"/>
        </w:rPr>
        <w:t xml:space="preserve">visiškai </w:t>
      </w:r>
      <w:r w:rsidR="00240FB7" w:rsidRPr="00BF4AB8">
        <w:rPr>
          <w:snapToGrid w:val="0"/>
          <w:sz w:val="22"/>
        </w:rPr>
        <w:t>išnykus</w:t>
      </w:r>
      <w:r w:rsidRPr="00BF4AB8">
        <w:rPr>
          <w:snapToGrid w:val="0"/>
          <w:sz w:val="22"/>
        </w:rPr>
        <w:t xml:space="preserve"> išeminiam kolitui ir atidžiai įvertinus paciento būklę bei kitus rizikos veiksnius.</w:t>
      </w:r>
    </w:p>
    <w:p w14:paraId="0C9F18AD" w14:textId="77777777" w:rsidR="00240FB7" w:rsidRPr="00BF4AB8" w:rsidRDefault="00240FB7" w:rsidP="00D14568">
      <w:pPr>
        <w:tabs>
          <w:tab w:val="left" w:pos="567"/>
        </w:tabs>
        <w:spacing w:line="260" w:lineRule="exact"/>
        <w:rPr>
          <w:snapToGrid w:val="0"/>
          <w:sz w:val="22"/>
        </w:rPr>
      </w:pPr>
    </w:p>
    <w:p w14:paraId="4C112913" w14:textId="1923C73C" w:rsidR="00D14568" w:rsidRPr="00BF4AB8" w:rsidRDefault="00D14568" w:rsidP="00D14568">
      <w:pPr>
        <w:tabs>
          <w:tab w:val="left" w:pos="567"/>
        </w:tabs>
        <w:spacing w:line="260" w:lineRule="exact"/>
        <w:rPr>
          <w:snapToGrid w:val="0"/>
          <w:sz w:val="22"/>
          <w:u w:val="single"/>
        </w:rPr>
      </w:pPr>
      <w:proofErr w:type="spellStart"/>
      <w:r w:rsidRPr="00BF4AB8">
        <w:rPr>
          <w:snapToGrid w:val="0"/>
          <w:sz w:val="22"/>
          <w:u w:val="single"/>
        </w:rPr>
        <w:t>Nefrozinio</w:t>
      </w:r>
      <w:proofErr w:type="spellEnd"/>
      <w:r w:rsidRPr="00BF4AB8">
        <w:rPr>
          <w:snapToGrid w:val="0"/>
          <w:sz w:val="22"/>
          <w:u w:val="single"/>
        </w:rPr>
        <w:t xml:space="preserve"> lygio </w:t>
      </w:r>
      <w:proofErr w:type="spellStart"/>
      <w:r w:rsidRPr="00BF4AB8">
        <w:rPr>
          <w:snapToGrid w:val="0"/>
          <w:sz w:val="22"/>
          <w:u w:val="single"/>
        </w:rPr>
        <w:t>proteinurija</w:t>
      </w:r>
      <w:proofErr w:type="spellEnd"/>
    </w:p>
    <w:p w14:paraId="7602C9FF" w14:textId="11420DBD" w:rsidR="00D14568" w:rsidRPr="00BF4AB8" w:rsidRDefault="00B806EC" w:rsidP="00D14568">
      <w:pPr>
        <w:tabs>
          <w:tab w:val="left" w:pos="567"/>
        </w:tabs>
        <w:spacing w:line="260" w:lineRule="exact"/>
        <w:rPr>
          <w:snapToGrid w:val="0"/>
          <w:sz w:val="22"/>
        </w:rPr>
      </w:pPr>
      <w:r w:rsidRPr="00BF4AB8">
        <w:rPr>
          <w:snapToGrid w:val="0"/>
          <w:sz w:val="22"/>
        </w:rPr>
        <w:t xml:space="preserve">Po vaistinio preparato pateikimo į rinką </w:t>
      </w:r>
      <w:r w:rsidR="00D14568" w:rsidRPr="00BF4AB8">
        <w:rPr>
          <w:snapToGrid w:val="0"/>
          <w:sz w:val="22"/>
        </w:rPr>
        <w:t xml:space="preserve">gauta labai </w:t>
      </w:r>
      <w:r w:rsidRPr="00BF4AB8">
        <w:rPr>
          <w:snapToGrid w:val="0"/>
          <w:sz w:val="22"/>
        </w:rPr>
        <w:t>nedaug</w:t>
      </w:r>
      <w:r w:rsidR="00D14568" w:rsidRPr="00BF4AB8">
        <w:rPr>
          <w:snapToGrid w:val="0"/>
          <w:sz w:val="22"/>
        </w:rPr>
        <w:t xml:space="preserve"> pranešimų apie </w:t>
      </w:r>
      <w:proofErr w:type="spellStart"/>
      <w:r w:rsidR="00D14568" w:rsidRPr="00BF4AB8">
        <w:rPr>
          <w:snapToGrid w:val="0"/>
          <w:sz w:val="22"/>
        </w:rPr>
        <w:t>nefrozinio</w:t>
      </w:r>
      <w:proofErr w:type="spellEnd"/>
      <w:r w:rsidR="00D14568" w:rsidRPr="00BF4AB8">
        <w:rPr>
          <w:snapToGrid w:val="0"/>
          <w:sz w:val="22"/>
        </w:rPr>
        <w:t xml:space="preserve"> lygio </w:t>
      </w:r>
      <w:proofErr w:type="spellStart"/>
      <w:r w:rsidR="00D14568" w:rsidRPr="00BF4AB8">
        <w:rPr>
          <w:snapToGrid w:val="0"/>
          <w:sz w:val="22"/>
        </w:rPr>
        <w:t>proteinurijos</w:t>
      </w:r>
      <w:proofErr w:type="spellEnd"/>
      <w:r w:rsidR="00D14568" w:rsidRPr="00BF4AB8">
        <w:rPr>
          <w:snapToGrid w:val="0"/>
          <w:sz w:val="22"/>
        </w:rPr>
        <w:t xml:space="preserve"> atvejus.</w:t>
      </w:r>
      <w:r w:rsidRPr="00BF4AB8">
        <w:rPr>
          <w:snapToGrid w:val="0"/>
          <w:sz w:val="22"/>
        </w:rPr>
        <w:t xml:space="preserve"> </w:t>
      </w:r>
      <w:r w:rsidR="00D14568" w:rsidRPr="00BF4AB8">
        <w:rPr>
          <w:snapToGrid w:val="0"/>
          <w:sz w:val="22"/>
        </w:rPr>
        <w:t xml:space="preserve">Individualių atvejų histologiniai </w:t>
      </w:r>
      <w:r w:rsidRPr="00BF4AB8">
        <w:rPr>
          <w:snapToGrid w:val="0"/>
          <w:sz w:val="22"/>
        </w:rPr>
        <w:t>duomenys</w:t>
      </w:r>
      <w:r w:rsidR="00D14568" w:rsidRPr="00BF4AB8">
        <w:rPr>
          <w:snapToGrid w:val="0"/>
          <w:sz w:val="22"/>
        </w:rPr>
        <w:t xml:space="preserve"> rodė </w:t>
      </w:r>
      <w:proofErr w:type="spellStart"/>
      <w:r w:rsidR="00D14568" w:rsidRPr="00BF4AB8">
        <w:rPr>
          <w:snapToGrid w:val="0"/>
          <w:sz w:val="22"/>
        </w:rPr>
        <w:t>glomerulų</w:t>
      </w:r>
      <w:proofErr w:type="spellEnd"/>
      <w:r w:rsidR="00D14568" w:rsidRPr="00BF4AB8">
        <w:rPr>
          <w:snapToGrid w:val="0"/>
          <w:sz w:val="22"/>
        </w:rPr>
        <w:t xml:space="preserve"> </w:t>
      </w:r>
      <w:proofErr w:type="spellStart"/>
      <w:r w:rsidR="00D14568" w:rsidRPr="00BF4AB8">
        <w:rPr>
          <w:snapToGrid w:val="0"/>
          <w:sz w:val="22"/>
        </w:rPr>
        <w:t>mikroangiopatiją</w:t>
      </w:r>
      <w:proofErr w:type="spellEnd"/>
      <w:r w:rsidR="00D14568" w:rsidRPr="00BF4AB8">
        <w:rPr>
          <w:snapToGrid w:val="0"/>
          <w:sz w:val="22"/>
        </w:rPr>
        <w:t xml:space="preserve"> su inkstų </w:t>
      </w:r>
      <w:proofErr w:type="spellStart"/>
      <w:r w:rsidR="00D14568" w:rsidRPr="00BF4AB8">
        <w:rPr>
          <w:snapToGrid w:val="0"/>
          <w:sz w:val="22"/>
        </w:rPr>
        <w:t>trombais</w:t>
      </w:r>
      <w:proofErr w:type="spellEnd"/>
      <w:r w:rsidR="00D14568" w:rsidRPr="00BF4AB8">
        <w:rPr>
          <w:snapToGrid w:val="0"/>
          <w:sz w:val="22"/>
        </w:rPr>
        <w:t xml:space="preserve"> arba be</w:t>
      </w:r>
      <w:r w:rsidRPr="00BF4AB8">
        <w:rPr>
          <w:snapToGrid w:val="0"/>
          <w:sz w:val="22"/>
        </w:rPr>
        <w:t xml:space="preserve"> </w:t>
      </w:r>
      <w:r w:rsidR="00D14568" w:rsidRPr="00BF4AB8">
        <w:rPr>
          <w:snapToGrid w:val="0"/>
          <w:sz w:val="22"/>
        </w:rPr>
        <w:t xml:space="preserve">jų. Pastebėta, kad simptomai išnyko nutraukus gydymą </w:t>
      </w:r>
      <w:proofErr w:type="spellStart"/>
      <w:r w:rsidRPr="00BF4AB8">
        <w:rPr>
          <w:snapToGrid w:val="0"/>
          <w:sz w:val="22"/>
        </w:rPr>
        <w:t>nintedanibu</w:t>
      </w:r>
      <w:proofErr w:type="spellEnd"/>
      <w:r w:rsidR="00D14568" w:rsidRPr="00BF4AB8">
        <w:rPr>
          <w:snapToGrid w:val="0"/>
          <w:sz w:val="22"/>
        </w:rPr>
        <w:t>. Pacientams, kuriems atsiranda</w:t>
      </w:r>
      <w:r w:rsidRPr="00BF4AB8">
        <w:rPr>
          <w:snapToGrid w:val="0"/>
          <w:sz w:val="22"/>
        </w:rPr>
        <w:t xml:space="preserve"> </w:t>
      </w:r>
      <w:proofErr w:type="spellStart"/>
      <w:r w:rsidR="00D14568" w:rsidRPr="00BF4AB8">
        <w:rPr>
          <w:snapToGrid w:val="0"/>
          <w:sz w:val="22"/>
        </w:rPr>
        <w:t>nefrozinio</w:t>
      </w:r>
      <w:proofErr w:type="spellEnd"/>
      <w:r w:rsidR="00D14568" w:rsidRPr="00BF4AB8">
        <w:rPr>
          <w:snapToGrid w:val="0"/>
          <w:sz w:val="22"/>
        </w:rPr>
        <w:t xml:space="preserve"> sindromo požymių ar simptomų, reikia įvertinti gydymo </w:t>
      </w:r>
      <w:r w:rsidRPr="00BF4AB8">
        <w:rPr>
          <w:snapToGrid w:val="0"/>
          <w:sz w:val="22"/>
        </w:rPr>
        <w:t>sustabdymo</w:t>
      </w:r>
      <w:r w:rsidR="00D14568" w:rsidRPr="00BF4AB8">
        <w:rPr>
          <w:snapToGrid w:val="0"/>
          <w:sz w:val="22"/>
        </w:rPr>
        <w:t xml:space="preserve"> būtinybę.</w:t>
      </w:r>
    </w:p>
    <w:p w14:paraId="640C24AF" w14:textId="00D51907" w:rsidR="00D14568" w:rsidRPr="00BF4AB8" w:rsidRDefault="00D14568" w:rsidP="00D14568">
      <w:pPr>
        <w:tabs>
          <w:tab w:val="left" w:pos="567"/>
        </w:tabs>
        <w:spacing w:line="260" w:lineRule="exact"/>
        <w:rPr>
          <w:snapToGrid w:val="0"/>
          <w:sz w:val="22"/>
        </w:rPr>
      </w:pPr>
    </w:p>
    <w:p w14:paraId="40E840E4" w14:textId="77777777" w:rsidR="00D14568" w:rsidRPr="00BF4AB8" w:rsidRDefault="00D14568" w:rsidP="00D14568">
      <w:pPr>
        <w:tabs>
          <w:tab w:val="left" w:pos="567"/>
        </w:tabs>
        <w:spacing w:line="260" w:lineRule="exact"/>
        <w:rPr>
          <w:snapToGrid w:val="0"/>
          <w:sz w:val="22"/>
          <w:u w:val="single"/>
        </w:rPr>
      </w:pPr>
      <w:r w:rsidRPr="00BF4AB8">
        <w:rPr>
          <w:snapToGrid w:val="0"/>
          <w:sz w:val="22"/>
          <w:u w:val="single"/>
        </w:rPr>
        <w:t>Žaizdos gijimo komplikacija</w:t>
      </w:r>
    </w:p>
    <w:p w14:paraId="4D172654" w14:textId="41B583A9" w:rsidR="00D14568" w:rsidRPr="00BF4AB8" w:rsidRDefault="00D14568" w:rsidP="00D14568">
      <w:pPr>
        <w:tabs>
          <w:tab w:val="left" w:pos="567"/>
        </w:tabs>
        <w:spacing w:line="260" w:lineRule="exact"/>
        <w:rPr>
          <w:snapToGrid w:val="0"/>
          <w:sz w:val="22"/>
        </w:rPr>
      </w:pPr>
      <w:r w:rsidRPr="00BF4AB8">
        <w:rPr>
          <w:snapToGrid w:val="0"/>
          <w:sz w:val="22"/>
        </w:rPr>
        <w:t xml:space="preserve">Remiantis veikimo mechanizmu, </w:t>
      </w:r>
      <w:proofErr w:type="spellStart"/>
      <w:r w:rsidRPr="00BF4AB8">
        <w:rPr>
          <w:snapToGrid w:val="0"/>
          <w:sz w:val="22"/>
        </w:rPr>
        <w:t>nintedanibas</w:t>
      </w:r>
      <w:proofErr w:type="spellEnd"/>
      <w:r w:rsidRPr="00BF4AB8">
        <w:rPr>
          <w:snapToGrid w:val="0"/>
          <w:sz w:val="22"/>
        </w:rPr>
        <w:t xml:space="preserve"> gali pabloginti žaizdos gijimą. LUME-</w:t>
      </w:r>
      <w:proofErr w:type="spellStart"/>
      <w:r w:rsidRPr="00BF4AB8">
        <w:rPr>
          <w:snapToGrid w:val="0"/>
          <w:sz w:val="22"/>
        </w:rPr>
        <w:t>Lung</w:t>
      </w:r>
      <w:proofErr w:type="spellEnd"/>
      <w:r w:rsidR="00B063BB" w:rsidRPr="00BF4AB8">
        <w:rPr>
          <w:snapToGrid w:val="0"/>
          <w:sz w:val="22"/>
        </w:rPr>
        <w:t> </w:t>
      </w:r>
      <w:r w:rsidRPr="00BF4AB8">
        <w:rPr>
          <w:snapToGrid w:val="0"/>
          <w:sz w:val="22"/>
        </w:rPr>
        <w:t>1 tyrimo</w:t>
      </w:r>
      <w:r w:rsidR="00B063BB" w:rsidRPr="00BF4AB8">
        <w:rPr>
          <w:snapToGrid w:val="0"/>
          <w:sz w:val="22"/>
        </w:rPr>
        <w:t xml:space="preserve"> </w:t>
      </w:r>
      <w:r w:rsidRPr="00BF4AB8">
        <w:rPr>
          <w:snapToGrid w:val="0"/>
          <w:sz w:val="22"/>
        </w:rPr>
        <w:t xml:space="preserve">metu žaizdos gijimo </w:t>
      </w:r>
      <w:r w:rsidR="00B063BB" w:rsidRPr="00BF4AB8">
        <w:rPr>
          <w:snapToGrid w:val="0"/>
          <w:sz w:val="22"/>
        </w:rPr>
        <w:t>pablogėjimo</w:t>
      </w:r>
      <w:r w:rsidRPr="00BF4AB8">
        <w:rPr>
          <w:snapToGrid w:val="0"/>
          <w:sz w:val="22"/>
        </w:rPr>
        <w:t xml:space="preserve"> dažnio padidėjimo nepastebėta. </w:t>
      </w:r>
      <w:proofErr w:type="spellStart"/>
      <w:r w:rsidR="00B063BB" w:rsidRPr="00BF4AB8">
        <w:rPr>
          <w:snapToGrid w:val="0"/>
          <w:sz w:val="22"/>
        </w:rPr>
        <w:t>N</w:t>
      </w:r>
      <w:r w:rsidRPr="00BF4AB8">
        <w:rPr>
          <w:snapToGrid w:val="0"/>
          <w:sz w:val="22"/>
        </w:rPr>
        <w:t>intedanibo</w:t>
      </w:r>
      <w:proofErr w:type="spellEnd"/>
      <w:r w:rsidR="00B063BB" w:rsidRPr="00BF4AB8">
        <w:rPr>
          <w:snapToGrid w:val="0"/>
          <w:sz w:val="22"/>
        </w:rPr>
        <w:t xml:space="preserve"> </w:t>
      </w:r>
      <w:r w:rsidRPr="00BF4AB8">
        <w:rPr>
          <w:snapToGrid w:val="0"/>
          <w:sz w:val="22"/>
        </w:rPr>
        <w:t>tyrimų,</w:t>
      </w:r>
      <w:r w:rsidR="00B063BB" w:rsidRPr="00BF4AB8">
        <w:rPr>
          <w:snapToGrid w:val="0"/>
          <w:sz w:val="22"/>
        </w:rPr>
        <w:t xml:space="preserve"> </w:t>
      </w:r>
      <w:r w:rsidRPr="00BF4AB8">
        <w:rPr>
          <w:snapToGrid w:val="0"/>
          <w:sz w:val="22"/>
        </w:rPr>
        <w:t>skirtų jo poveikiui žaizdos gijimui ištirti</w:t>
      </w:r>
      <w:r w:rsidR="00B063BB" w:rsidRPr="00BF4AB8">
        <w:rPr>
          <w:snapToGrid w:val="0"/>
          <w:sz w:val="22"/>
        </w:rPr>
        <w:t>, nebuvo atlikta</w:t>
      </w:r>
      <w:r w:rsidRPr="00BF4AB8">
        <w:rPr>
          <w:snapToGrid w:val="0"/>
          <w:sz w:val="22"/>
        </w:rPr>
        <w:t xml:space="preserve">. Todėl gydymą </w:t>
      </w:r>
      <w:proofErr w:type="spellStart"/>
      <w:r w:rsidRPr="00BF4AB8">
        <w:rPr>
          <w:snapToGrid w:val="0"/>
          <w:sz w:val="22"/>
        </w:rPr>
        <w:t>Nytyka</w:t>
      </w:r>
      <w:proofErr w:type="spellEnd"/>
      <w:r w:rsidRPr="00BF4AB8">
        <w:rPr>
          <w:snapToGrid w:val="0"/>
          <w:sz w:val="22"/>
        </w:rPr>
        <w:t xml:space="preserve"> reikia pradėti, o tuo atveju, kai jo</w:t>
      </w:r>
      <w:r w:rsidR="00B063BB" w:rsidRPr="00BF4AB8">
        <w:rPr>
          <w:snapToGrid w:val="0"/>
          <w:sz w:val="22"/>
        </w:rPr>
        <w:t xml:space="preserve"> </w:t>
      </w:r>
      <w:r w:rsidRPr="00BF4AB8">
        <w:rPr>
          <w:snapToGrid w:val="0"/>
          <w:sz w:val="22"/>
        </w:rPr>
        <w:t>vartojimas buvo nutrauktas prieš operaciją ‒ atnaujinti tik remiantis klinikin</w:t>
      </w:r>
      <w:r w:rsidR="00B063BB" w:rsidRPr="00BF4AB8">
        <w:rPr>
          <w:snapToGrid w:val="0"/>
          <w:sz w:val="22"/>
        </w:rPr>
        <w:t>iu sprendimu</w:t>
      </w:r>
      <w:r w:rsidRPr="00BF4AB8">
        <w:rPr>
          <w:snapToGrid w:val="0"/>
          <w:sz w:val="22"/>
        </w:rPr>
        <w:t xml:space="preserve"> dėl pakankamo</w:t>
      </w:r>
      <w:r w:rsidR="00B063BB" w:rsidRPr="00BF4AB8">
        <w:rPr>
          <w:snapToGrid w:val="0"/>
          <w:sz w:val="22"/>
        </w:rPr>
        <w:t xml:space="preserve"> </w:t>
      </w:r>
      <w:r w:rsidRPr="00BF4AB8">
        <w:rPr>
          <w:snapToGrid w:val="0"/>
          <w:sz w:val="22"/>
        </w:rPr>
        <w:t>žaizdos gijimo.</w:t>
      </w:r>
    </w:p>
    <w:p w14:paraId="65CF2498" w14:textId="77777777" w:rsidR="00B16661" w:rsidRPr="00BF4AB8" w:rsidRDefault="00B16661" w:rsidP="00D14568">
      <w:pPr>
        <w:tabs>
          <w:tab w:val="left" w:pos="567"/>
        </w:tabs>
        <w:spacing w:line="260" w:lineRule="exact"/>
        <w:rPr>
          <w:snapToGrid w:val="0"/>
          <w:sz w:val="22"/>
        </w:rPr>
      </w:pPr>
    </w:p>
    <w:p w14:paraId="0C26361E" w14:textId="51B69DC3" w:rsidR="00D14568" w:rsidRPr="00BF4AB8" w:rsidRDefault="00D14568" w:rsidP="00D14568">
      <w:pPr>
        <w:tabs>
          <w:tab w:val="left" w:pos="567"/>
        </w:tabs>
        <w:spacing w:line="260" w:lineRule="exact"/>
        <w:rPr>
          <w:snapToGrid w:val="0"/>
          <w:sz w:val="22"/>
          <w:u w:val="single"/>
        </w:rPr>
      </w:pPr>
      <w:r w:rsidRPr="00BF4AB8">
        <w:rPr>
          <w:snapToGrid w:val="0"/>
          <w:sz w:val="22"/>
          <w:u w:val="single"/>
        </w:rPr>
        <w:t>Poveikis QT intervalui</w:t>
      </w:r>
    </w:p>
    <w:p w14:paraId="31DA1513" w14:textId="290EE87C" w:rsidR="00D14568" w:rsidRPr="00BF4AB8" w:rsidRDefault="00D14568" w:rsidP="00D14568">
      <w:pPr>
        <w:tabs>
          <w:tab w:val="left" w:pos="567"/>
        </w:tabs>
        <w:spacing w:line="260" w:lineRule="exact"/>
        <w:rPr>
          <w:snapToGrid w:val="0"/>
          <w:sz w:val="22"/>
        </w:rPr>
      </w:pPr>
      <w:r w:rsidRPr="00BF4AB8">
        <w:rPr>
          <w:snapToGrid w:val="0"/>
          <w:sz w:val="22"/>
        </w:rPr>
        <w:t xml:space="preserve">Klinikinių </w:t>
      </w:r>
      <w:proofErr w:type="spellStart"/>
      <w:r w:rsidR="000A7A49" w:rsidRPr="00BF4AB8">
        <w:rPr>
          <w:snapToGrid w:val="0"/>
          <w:sz w:val="22"/>
        </w:rPr>
        <w:t>nintedanibo</w:t>
      </w:r>
      <w:proofErr w:type="spellEnd"/>
      <w:r w:rsidR="000A7A49" w:rsidRPr="00BF4AB8">
        <w:rPr>
          <w:snapToGrid w:val="0"/>
          <w:sz w:val="22"/>
        </w:rPr>
        <w:t xml:space="preserve"> </w:t>
      </w:r>
      <w:r w:rsidRPr="00BF4AB8">
        <w:rPr>
          <w:snapToGrid w:val="0"/>
          <w:sz w:val="22"/>
        </w:rPr>
        <w:t xml:space="preserve">tyrimų </w:t>
      </w:r>
      <w:r w:rsidR="000A7A49" w:rsidRPr="00BF4AB8">
        <w:rPr>
          <w:snapToGrid w:val="0"/>
          <w:sz w:val="22"/>
        </w:rPr>
        <w:t>programos</w:t>
      </w:r>
      <w:r w:rsidRPr="00BF4AB8">
        <w:rPr>
          <w:snapToGrid w:val="0"/>
          <w:sz w:val="22"/>
        </w:rPr>
        <w:t xml:space="preserve"> metu QT intervalo pailgėjimo </w:t>
      </w:r>
      <w:r w:rsidR="000A7A49" w:rsidRPr="00BF4AB8">
        <w:rPr>
          <w:snapToGrid w:val="0"/>
          <w:sz w:val="22"/>
        </w:rPr>
        <w:t xml:space="preserve">nebuvo pastebėta </w:t>
      </w:r>
      <w:r w:rsidRPr="00BF4AB8">
        <w:rPr>
          <w:snapToGrid w:val="0"/>
          <w:sz w:val="22"/>
        </w:rPr>
        <w:t>(žr. 5.1</w:t>
      </w:r>
      <w:r w:rsidR="000A7A49" w:rsidRPr="00BF4AB8">
        <w:rPr>
          <w:snapToGrid w:val="0"/>
          <w:sz w:val="22"/>
        </w:rPr>
        <w:t> </w:t>
      </w:r>
      <w:r w:rsidRPr="00BF4AB8">
        <w:rPr>
          <w:snapToGrid w:val="0"/>
          <w:sz w:val="22"/>
        </w:rPr>
        <w:t>skyrių).</w:t>
      </w:r>
      <w:r w:rsidR="000A7A49" w:rsidRPr="00BF4AB8">
        <w:rPr>
          <w:snapToGrid w:val="0"/>
          <w:sz w:val="22"/>
        </w:rPr>
        <w:t xml:space="preserve"> </w:t>
      </w:r>
      <w:r w:rsidRPr="00BF4AB8">
        <w:rPr>
          <w:snapToGrid w:val="0"/>
          <w:sz w:val="22"/>
        </w:rPr>
        <w:t xml:space="preserve">Kadangi žinoma, kad </w:t>
      </w:r>
      <w:r w:rsidR="000A7A49" w:rsidRPr="00BF4AB8">
        <w:rPr>
          <w:snapToGrid w:val="0"/>
          <w:sz w:val="22"/>
        </w:rPr>
        <w:t>keli</w:t>
      </w:r>
      <w:r w:rsidRPr="00BF4AB8">
        <w:rPr>
          <w:snapToGrid w:val="0"/>
          <w:sz w:val="22"/>
        </w:rPr>
        <w:t xml:space="preserve"> kiti </w:t>
      </w:r>
      <w:proofErr w:type="spellStart"/>
      <w:r w:rsidRPr="00BF4AB8">
        <w:rPr>
          <w:snapToGrid w:val="0"/>
          <w:sz w:val="22"/>
        </w:rPr>
        <w:t>tirozinkinazės</w:t>
      </w:r>
      <w:proofErr w:type="spellEnd"/>
      <w:r w:rsidRPr="00BF4AB8">
        <w:rPr>
          <w:snapToGrid w:val="0"/>
          <w:sz w:val="22"/>
        </w:rPr>
        <w:t xml:space="preserve"> inhibitoriai daro poveikį QT intervalui, </w:t>
      </w:r>
      <w:proofErr w:type="spellStart"/>
      <w:r w:rsidRPr="00BF4AB8">
        <w:rPr>
          <w:snapToGrid w:val="0"/>
          <w:sz w:val="22"/>
        </w:rPr>
        <w:t>nintedanibą</w:t>
      </w:r>
      <w:proofErr w:type="spellEnd"/>
      <w:r w:rsidRPr="00BF4AB8">
        <w:rPr>
          <w:snapToGrid w:val="0"/>
          <w:sz w:val="22"/>
        </w:rPr>
        <w:t xml:space="preserve"> </w:t>
      </w:r>
      <w:r w:rsidR="000A7A49" w:rsidRPr="00BF4AB8">
        <w:rPr>
          <w:snapToGrid w:val="0"/>
          <w:sz w:val="22"/>
        </w:rPr>
        <w:t xml:space="preserve">reikia atsargiai skirti </w:t>
      </w:r>
      <w:r w:rsidRPr="00BF4AB8">
        <w:rPr>
          <w:snapToGrid w:val="0"/>
          <w:sz w:val="22"/>
        </w:rPr>
        <w:t xml:space="preserve">pacientams, kuriems gali pailgėti </w:t>
      </w:r>
      <w:proofErr w:type="spellStart"/>
      <w:r w:rsidRPr="00993D1A">
        <w:rPr>
          <w:snapToGrid w:val="0"/>
          <w:sz w:val="22"/>
        </w:rPr>
        <w:t>QTc</w:t>
      </w:r>
      <w:proofErr w:type="spellEnd"/>
      <w:r w:rsidRPr="00BF4AB8">
        <w:rPr>
          <w:snapToGrid w:val="0"/>
          <w:sz w:val="22"/>
        </w:rPr>
        <w:t xml:space="preserve"> intervalas.</w:t>
      </w:r>
    </w:p>
    <w:p w14:paraId="7390FFA1" w14:textId="77777777" w:rsidR="00B063BB" w:rsidRPr="00BF4AB8" w:rsidRDefault="00B063BB" w:rsidP="00D14568">
      <w:pPr>
        <w:tabs>
          <w:tab w:val="left" w:pos="567"/>
        </w:tabs>
        <w:spacing w:line="260" w:lineRule="exact"/>
        <w:rPr>
          <w:snapToGrid w:val="0"/>
          <w:sz w:val="22"/>
        </w:rPr>
      </w:pPr>
    </w:p>
    <w:p w14:paraId="116D060C" w14:textId="10143DBC" w:rsidR="00D14568" w:rsidRPr="00BF4AB8" w:rsidRDefault="00D14568" w:rsidP="00D14568">
      <w:pPr>
        <w:tabs>
          <w:tab w:val="left" w:pos="567"/>
        </w:tabs>
        <w:spacing w:line="260" w:lineRule="exact"/>
        <w:rPr>
          <w:snapToGrid w:val="0"/>
          <w:sz w:val="22"/>
          <w:u w:val="single"/>
        </w:rPr>
      </w:pPr>
      <w:r w:rsidRPr="00BF4AB8">
        <w:rPr>
          <w:snapToGrid w:val="0"/>
          <w:sz w:val="22"/>
          <w:u w:val="single"/>
        </w:rPr>
        <w:t>Ypatingos populiacijos</w:t>
      </w:r>
    </w:p>
    <w:p w14:paraId="4813C28F" w14:textId="00BF1CBC" w:rsidR="005D554B" w:rsidRPr="00BF4AB8" w:rsidRDefault="00D14568" w:rsidP="00D14568">
      <w:pPr>
        <w:tabs>
          <w:tab w:val="left" w:pos="567"/>
        </w:tabs>
        <w:spacing w:line="260" w:lineRule="exact"/>
        <w:rPr>
          <w:snapToGrid w:val="0"/>
          <w:sz w:val="22"/>
          <w:szCs w:val="24"/>
          <w:u w:val="single"/>
        </w:rPr>
      </w:pPr>
      <w:r w:rsidRPr="00BF4AB8">
        <w:rPr>
          <w:snapToGrid w:val="0"/>
          <w:sz w:val="22"/>
        </w:rPr>
        <w:t>Tyrimo 1199.13 (LUME-</w:t>
      </w:r>
      <w:proofErr w:type="spellStart"/>
      <w:r w:rsidRPr="00BF4AB8">
        <w:rPr>
          <w:snapToGrid w:val="0"/>
          <w:sz w:val="22"/>
        </w:rPr>
        <w:t>Lung</w:t>
      </w:r>
      <w:proofErr w:type="spellEnd"/>
      <w:r w:rsidR="00B063BB" w:rsidRPr="00BF4AB8">
        <w:rPr>
          <w:snapToGrid w:val="0"/>
          <w:sz w:val="22"/>
        </w:rPr>
        <w:t> </w:t>
      </w:r>
      <w:r w:rsidRPr="00BF4AB8">
        <w:rPr>
          <w:snapToGrid w:val="0"/>
          <w:sz w:val="22"/>
        </w:rPr>
        <w:t>1) metu pacientams</w:t>
      </w:r>
      <w:r w:rsidR="00722073">
        <w:rPr>
          <w:snapToGrid w:val="0"/>
          <w:sz w:val="22"/>
        </w:rPr>
        <w:t>,</w:t>
      </w:r>
      <w:r w:rsidR="000A7A49" w:rsidRPr="00BF4AB8">
        <w:rPr>
          <w:snapToGrid w:val="0"/>
          <w:sz w:val="22"/>
        </w:rPr>
        <w:t xml:space="preserve"> kurie buvo gydyti</w:t>
      </w:r>
      <w:r w:rsidRPr="00BF4AB8">
        <w:rPr>
          <w:snapToGrid w:val="0"/>
          <w:sz w:val="22"/>
        </w:rPr>
        <w:t xml:space="preserve"> </w:t>
      </w:r>
      <w:proofErr w:type="spellStart"/>
      <w:r w:rsidRPr="00BF4AB8">
        <w:rPr>
          <w:snapToGrid w:val="0"/>
          <w:sz w:val="22"/>
        </w:rPr>
        <w:t>nintedanibu</w:t>
      </w:r>
      <w:proofErr w:type="spellEnd"/>
      <w:r w:rsidRPr="00BF4AB8">
        <w:rPr>
          <w:snapToGrid w:val="0"/>
          <w:sz w:val="22"/>
        </w:rPr>
        <w:t xml:space="preserve"> kartu su </w:t>
      </w:r>
      <w:proofErr w:type="spellStart"/>
      <w:r w:rsidRPr="00BF4AB8">
        <w:rPr>
          <w:snapToGrid w:val="0"/>
          <w:sz w:val="22"/>
        </w:rPr>
        <w:t>docetakseliu</w:t>
      </w:r>
      <w:proofErr w:type="spellEnd"/>
      <w:r w:rsidR="002B256E" w:rsidRPr="00BF4AB8">
        <w:rPr>
          <w:snapToGrid w:val="0"/>
          <w:sz w:val="22"/>
        </w:rPr>
        <w:t xml:space="preserve"> ir k</w:t>
      </w:r>
      <w:r w:rsidRPr="00BF4AB8">
        <w:rPr>
          <w:snapToGrid w:val="0"/>
          <w:sz w:val="22"/>
        </w:rPr>
        <w:t>urių kūno svoris buvo mažesnis kaip 50</w:t>
      </w:r>
      <w:r w:rsidR="002B256E" w:rsidRPr="00BF4AB8">
        <w:rPr>
          <w:snapToGrid w:val="0"/>
          <w:sz w:val="22"/>
        </w:rPr>
        <w:t> </w:t>
      </w:r>
      <w:r w:rsidRPr="00BF4AB8">
        <w:rPr>
          <w:snapToGrid w:val="0"/>
          <w:sz w:val="22"/>
        </w:rPr>
        <w:t xml:space="preserve">kg, dažniau pasireiškė sunkių </w:t>
      </w:r>
      <w:r w:rsidRPr="00BF4AB8">
        <w:rPr>
          <w:snapToGrid w:val="0"/>
          <w:sz w:val="22"/>
        </w:rPr>
        <w:lastRenderedPageBreak/>
        <w:t>nepageidaujamų reakcijų</w:t>
      </w:r>
      <w:r w:rsidR="002B256E" w:rsidRPr="00BF4AB8">
        <w:rPr>
          <w:snapToGrid w:val="0"/>
          <w:sz w:val="22"/>
        </w:rPr>
        <w:t xml:space="preserve"> </w:t>
      </w:r>
      <w:r w:rsidRPr="00BF4AB8">
        <w:rPr>
          <w:snapToGrid w:val="0"/>
          <w:sz w:val="22"/>
        </w:rPr>
        <w:t>(SNR), palygin</w:t>
      </w:r>
      <w:r w:rsidR="002B256E" w:rsidRPr="00BF4AB8">
        <w:rPr>
          <w:snapToGrid w:val="0"/>
          <w:sz w:val="22"/>
        </w:rPr>
        <w:t>ti</w:t>
      </w:r>
      <w:r w:rsidRPr="00BF4AB8">
        <w:rPr>
          <w:snapToGrid w:val="0"/>
          <w:sz w:val="22"/>
        </w:rPr>
        <w:t xml:space="preserve"> su pacientais, kurie svėrė ≥</w:t>
      </w:r>
      <w:r w:rsidR="002B256E" w:rsidRPr="00BF4AB8">
        <w:rPr>
          <w:snapToGrid w:val="0"/>
          <w:sz w:val="22"/>
        </w:rPr>
        <w:t> </w:t>
      </w:r>
      <w:r w:rsidRPr="00BF4AB8">
        <w:rPr>
          <w:snapToGrid w:val="0"/>
          <w:sz w:val="22"/>
        </w:rPr>
        <w:t>50</w:t>
      </w:r>
      <w:r w:rsidR="002B256E" w:rsidRPr="00BF4AB8">
        <w:rPr>
          <w:snapToGrid w:val="0"/>
          <w:sz w:val="22"/>
        </w:rPr>
        <w:t> </w:t>
      </w:r>
      <w:r w:rsidRPr="00BF4AB8">
        <w:rPr>
          <w:snapToGrid w:val="0"/>
          <w:sz w:val="22"/>
        </w:rPr>
        <w:t>kg</w:t>
      </w:r>
      <w:r w:rsidR="002B256E" w:rsidRPr="00BF4AB8">
        <w:rPr>
          <w:snapToGrid w:val="0"/>
          <w:sz w:val="22"/>
        </w:rPr>
        <w:t>; vis dėlto</w:t>
      </w:r>
      <w:r w:rsidRPr="00BF4AB8">
        <w:rPr>
          <w:snapToGrid w:val="0"/>
          <w:sz w:val="22"/>
        </w:rPr>
        <w:t xml:space="preserve"> pacientų, </w:t>
      </w:r>
      <w:r w:rsidR="002B256E" w:rsidRPr="00BF4AB8">
        <w:rPr>
          <w:snapToGrid w:val="0"/>
          <w:sz w:val="22"/>
        </w:rPr>
        <w:t xml:space="preserve">kurie svėrė mažiau </w:t>
      </w:r>
      <w:r w:rsidRPr="00BF4AB8">
        <w:rPr>
          <w:snapToGrid w:val="0"/>
          <w:sz w:val="22"/>
        </w:rPr>
        <w:t>nei 50</w:t>
      </w:r>
      <w:r w:rsidR="002B256E" w:rsidRPr="00BF4AB8">
        <w:rPr>
          <w:snapToGrid w:val="0"/>
          <w:sz w:val="22"/>
        </w:rPr>
        <w:t> </w:t>
      </w:r>
      <w:r w:rsidRPr="00BF4AB8">
        <w:rPr>
          <w:snapToGrid w:val="0"/>
          <w:sz w:val="22"/>
        </w:rPr>
        <w:t>kg, buvo nedaug. Rekomenduojama atidžiai stebėti pacientus, kurie sveria</w:t>
      </w:r>
      <w:r w:rsidR="002B256E" w:rsidRPr="00BF4AB8">
        <w:rPr>
          <w:snapToGrid w:val="0"/>
          <w:sz w:val="22"/>
        </w:rPr>
        <w:t xml:space="preserve"> </w:t>
      </w:r>
      <w:r w:rsidRPr="00BF4AB8">
        <w:rPr>
          <w:snapToGrid w:val="0"/>
          <w:sz w:val="22"/>
        </w:rPr>
        <w:t>&lt;</w:t>
      </w:r>
      <w:r w:rsidR="002B256E" w:rsidRPr="00BF4AB8">
        <w:rPr>
          <w:snapToGrid w:val="0"/>
          <w:sz w:val="22"/>
        </w:rPr>
        <w:t> </w:t>
      </w:r>
      <w:r w:rsidRPr="00BF4AB8">
        <w:rPr>
          <w:snapToGrid w:val="0"/>
          <w:sz w:val="22"/>
        </w:rPr>
        <w:t>50</w:t>
      </w:r>
      <w:r w:rsidR="002B256E" w:rsidRPr="00BF4AB8">
        <w:rPr>
          <w:snapToGrid w:val="0"/>
          <w:sz w:val="22"/>
        </w:rPr>
        <w:t> </w:t>
      </w:r>
      <w:r w:rsidRPr="00BF4AB8">
        <w:rPr>
          <w:snapToGrid w:val="0"/>
          <w:sz w:val="22"/>
        </w:rPr>
        <w:t>kg</w:t>
      </w:r>
      <w:r w:rsidR="002B256E" w:rsidRPr="00BF4AB8">
        <w:rPr>
          <w:snapToGrid w:val="0"/>
          <w:sz w:val="22"/>
        </w:rPr>
        <w:t>.</w:t>
      </w:r>
    </w:p>
    <w:p w14:paraId="391BCE4D" w14:textId="77777777" w:rsidR="005D554B" w:rsidRPr="00BF4AB8" w:rsidRDefault="005D554B" w:rsidP="005D554B">
      <w:pPr>
        <w:tabs>
          <w:tab w:val="left" w:pos="567"/>
        </w:tabs>
        <w:spacing w:line="260" w:lineRule="exact"/>
        <w:rPr>
          <w:snapToGrid w:val="0"/>
          <w:sz w:val="22"/>
          <w:szCs w:val="24"/>
        </w:rPr>
      </w:pPr>
    </w:p>
    <w:p w14:paraId="7AC63E74" w14:textId="77777777" w:rsidR="005D554B" w:rsidRPr="00BF4AB8" w:rsidRDefault="005D554B" w:rsidP="005D554B">
      <w:pPr>
        <w:keepNext/>
        <w:tabs>
          <w:tab w:val="left" w:pos="567"/>
        </w:tabs>
        <w:spacing w:line="260" w:lineRule="exact"/>
        <w:jc w:val="both"/>
        <w:outlineLvl w:val="3"/>
        <w:rPr>
          <w:b/>
          <w:bCs/>
          <w:snapToGrid w:val="0"/>
          <w:sz w:val="22"/>
          <w:szCs w:val="28"/>
          <w:lang w:eastAsia="x-none"/>
        </w:rPr>
      </w:pPr>
      <w:r w:rsidRPr="00BF4AB8">
        <w:rPr>
          <w:b/>
          <w:bCs/>
          <w:snapToGrid w:val="0"/>
          <w:sz w:val="22"/>
          <w:szCs w:val="28"/>
          <w:lang w:eastAsia="x-none"/>
        </w:rPr>
        <w:t>4.5</w:t>
      </w:r>
      <w:r w:rsidRPr="00BF4AB8">
        <w:rPr>
          <w:b/>
          <w:bCs/>
          <w:snapToGrid w:val="0"/>
          <w:sz w:val="22"/>
          <w:szCs w:val="28"/>
          <w:lang w:eastAsia="x-none"/>
        </w:rPr>
        <w:tab/>
        <w:t>Sąveika su kitais vaistiniais preparatais ir kitokia sąveika</w:t>
      </w:r>
    </w:p>
    <w:p w14:paraId="2256EA38" w14:textId="77777777" w:rsidR="005D554B" w:rsidRPr="00BF4AB8" w:rsidRDefault="005D554B" w:rsidP="005D554B">
      <w:pPr>
        <w:tabs>
          <w:tab w:val="left" w:pos="567"/>
        </w:tabs>
        <w:spacing w:line="260" w:lineRule="exact"/>
        <w:rPr>
          <w:snapToGrid w:val="0"/>
          <w:sz w:val="22"/>
          <w:szCs w:val="24"/>
        </w:rPr>
      </w:pPr>
    </w:p>
    <w:p w14:paraId="3E679EE6" w14:textId="77777777" w:rsidR="00E27BA1" w:rsidRPr="00BF4AB8" w:rsidRDefault="00E27BA1" w:rsidP="00E27BA1">
      <w:pPr>
        <w:tabs>
          <w:tab w:val="left" w:pos="567"/>
        </w:tabs>
        <w:spacing w:line="260" w:lineRule="exact"/>
        <w:rPr>
          <w:snapToGrid w:val="0"/>
          <w:sz w:val="22"/>
          <w:szCs w:val="24"/>
        </w:rPr>
      </w:pPr>
      <w:r w:rsidRPr="00BF4AB8">
        <w:rPr>
          <w:snapToGrid w:val="0"/>
          <w:sz w:val="22"/>
          <w:szCs w:val="24"/>
        </w:rPr>
        <w:t>Sąveikos tyrimai atlikti tik suaugusiesiems.</w:t>
      </w:r>
    </w:p>
    <w:p w14:paraId="59A1E7D5" w14:textId="77777777" w:rsidR="00E27BA1" w:rsidRPr="00BF4AB8" w:rsidRDefault="00E27BA1" w:rsidP="00E27BA1">
      <w:pPr>
        <w:tabs>
          <w:tab w:val="left" w:pos="567"/>
        </w:tabs>
        <w:spacing w:line="260" w:lineRule="exact"/>
        <w:rPr>
          <w:snapToGrid w:val="0"/>
          <w:sz w:val="22"/>
          <w:szCs w:val="24"/>
        </w:rPr>
      </w:pPr>
    </w:p>
    <w:p w14:paraId="2847BDEA" w14:textId="6A6902EB" w:rsidR="00E27BA1" w:rsidRPr="00BF4AB8" w:rsidRDefault="00E27BA1" w:rsidP="00E27BA1">
      <w:pPr>
        <w:tabs>
          <w:tab w:val="left" w:pos="567"/>
        </w:tabs>
        <w:spacing w:line="260" w:lineRule="exact"/>
        <w:rPr>
          <w:snapToGrid w:val="0"/>
          <w:sz w:val="22"/>
          <w:szCs w:val="24"/>
          <w:u w:val="single"/>
        </w:rPr>
      </w:pPr>
      <w:r w:rsidRPr="00BF4AB8">
        <w:rPr>
          <w:snapToGrid w:val="0"/>
          <w:sz w:val="22"/>
          <w:szCs w:val="24"/>
          <w:u w:val="single"/>
        </w:rPr>
        <w:t xml:space="preserve">P </w:t>
      </w:r>
      <w:proofErr w:type="spellStart"/>
      <w:r w:rsidRPr="00BF4AB8">
        <w:rPr>
          <w:snapToGrid w:val="0"/>
          <w:sz w:val="22"/>
          <w:szCs w:val="24"/>
          <w:u w:val="single"/>
        </w:rPr>
        <w:t>glikoproteinas</w:t>
      </w:r>
      <w:proofErr w:type="spellEnd"/>
      <w:r w:rsidRPr="00BF4AB8">
        <w:rPr>
          <w:snapToGrid w:val="0"/>
          <w:sz w:val="22"/>
          <w:szCs w:val="24"/>
          <w:u w:val="single"/>
        </w:rPr>
        <w:t xml:space="preserve"> (P-</w:t>
      </w:r>
      <w:proofErr w:type="spellStart"/>
      <w:r w:rsidRPr="00BF4AB8">
        <w:rPr>
          <w:snapToGrid w:val="0"/>
          <w:sz w:val="22"/>
          <w:szCs w:val="24"/>
          <w:u w:val="single"/>
        </w:rPr>
        <w:t>gp</w:t>
      </w:r>
      <w:proofErr w:type="spellEnd"/>
      <w:r w:rsidRPr="00BF4AB8">
        <w:rPr>
          <w:snapToGrid w:val="0"/>
          <w:sz w:val="22"/>
          <w:szCs w:val="24"/>
          <w:u w:val="single"/>
        </w:rPr>
        <w:t>)</w:t>
      </w:r>
    </w:p>
    <w:p w14:paraId="07D3363A" w14:textId="18482601" w:rsidR="00E27BA1" w:rsidRPr="00BF4AB8" w:rsidRDefault="00E27BA1" w:rsidP="00707E7D">
      <w:pPr>
        <w:tabs>
          <w:tab w:val="left" w:pos="567"/>
        </w:tabs>
        <w:spacing w:line="260" w:lineRule="exact"/>
        <w:rPr>
          <w:snapToGrid w:val="0"/>
          <w:sz w:val="22"/>
          <w:szCs w:val="24"/>
        </w:rPr>
      </w:pPr>
      <w:proofErr w:type="spellStart"/>
      <w:r w:rsidRPr="00BF4AB8">
        <w:rPr>
          <w:snapToGrid w:val="0"/>
          <w:sz w:val="22"/>
          <w:szCs w:val="24"/>
        </w:rPr>
        <w:t>Nintedanibas</w:t>
      </w:r>
      <w:proofErr w:type="spellEnd"/>
      <w:r w:rsidRPr="00BF4AB8">
        <w:rPr>
          <w:snapToGrid w:val="0"/>
          <w:sz w:val="22"/>
          <w:szCs w:val="24"/>
        </w:rPr>
        <w:t xml:space="preserve"> yra P-</w:t>
      </w:r>
      <w:proofErr w:type="spellStart"/>
      <w:r w:rsidRPr="00BF4AB8">
        <w:rPr>
          <w:snapToGrid w:val="0"/>
          <w:sz w:val="22"/>
          <w:szCs w:val="24"/>
        </w:rPr>
        <w:t>gp</w:t>
      </w:r>
      <w:proofErr w:type="spellEnd"/>
      <w:r w:rsidRPr="00BF4AB8">
        <w:rPr>
          <w:snapToGrid w:val="0"/>
          <w:sz w:val="22"/>
          <w:szCs w:val="24"/>
        </w:rPr>
        <w:t xml:space="preserve"> substratas (žr. 5.2</w:t>
      </w:r>
      <w:r w:rsidR="00707E7D" w:rsidRPr="00BF4AB8">
        <w:rPr>
          <w:snapToGrid w:val="0"/>
          <w:sz w:val="22"/>
          <w:szCs w:val="24"/>
        </w:rPr>
        <w:t> </w:t>
      </w:r>
      <w:r w:rsidRPr="00BF4AB8">
        <w:rPr>
          <w:snapToGrid w:val="0"/>
          <w:sz w:val="22"/>
          <w:szCs w:val="24"/>
        </w:rPr>
        <w:t>skyrių). Vaistinių preparatų sąvei</w:t>
      </w:r>
      <w:r w:rsidR="00707E7D" w:rsidRPr="00BF4AB8">
        <w:rPr>
          <w:snapToGrid w:val="0"/>
          <w:sz w:val="22"/>
          <w:szCs w:val="24"/>
        </w:rPr>
        <w:t>kos</w:t>
      </w:r>
      <w:r w:rsidRPr="00BF4AB8">
        <w:rPr>
          <w:snapToGrid w:val="0"/>
          <w:sz w:val="22"/>
          <w:szCs w:val="24"/>
        </w:rPr>
        <w:t xml:space="preserve"> tyrimo</w:t>
      </w:r>
      <w:r w:rsidR="00707E7D" w:rsidRPr="00BF4AB8">
        <w:rPr>
          <w:snapToGrid w:val="0"/>
          <w:sz w:val="22"/>
          <w:szCs w:val="24"/>
        </w:rPr>
        <w:t xml:space="preserve"> </w:t>
      </w:r>
      <w:r w:rsidRPr="00BF4AB8">
        <w:rPr>
          <w:snapToGrid w:val="0"/>
          <w:sz w:val="22"/>
          <w:szCs w:val="24"/>
        </w:rPr>
        <w:t>metu kartu vartojamas stipriai veikiantis P-</w:t>
      </w:r>
      <w:proofErr w:type="spellStart"/>
      <w:r w:rsidRPr="00BF4AB8">
        <w:rPr>
          <w:snapToGrid w:val="0"/>
          <w:sz w:val="22"/>
          <w:szCs w:val="24"/>
        </w:rPr>
        <w:t>gp</w:t>
      </w:r>
      <w:proofErr w:type="spellEnd"/>
      <w:r w:rsidRPr="00BF4AB8">
        <w:rPr>
          <w:snapToGrid w:val="0"/>
          <w:sz w:val="22"/>
          <w:szCs w:val="24"/>
        </w:rPr>
        <w:t xml:space="preserve"> inhibitorius </w:t>
      </w:r>
      <w:proofErr w:type="spellStart"/>
      <w:r w:rsidRPr="00BF4AB8">
        <w:rPr>
          <w:snapToGrid w:val="0"/>
          <w:sz w:val="22"/>
          <w:szCs w:val="24"/>
        </w:rPr>
        <w:t>ketokonazolas</w:t>
      </w:r>
      <w:proofErr w:type="spellEnd"/>
      <w:r w:rsidRPr="00BF4AB8">
        <w:rPr>
          <w:snapToGrid w:val="0"/>
          <w:sz w:val="22"/>
          <w:szCs w:val="24"/>
        </w:rPr>
        <w:t xml:space="preserve"> </w:t>
      </w:r>
      <w:proofErr w:type="spellStart"/>
      <w:r w:rsidRPr="00BF4AB8">
        <w:rPr>
          <w:snapToGrid w:val="0"/>
          <w:sz w:val="22"/>
          <w:szCs w:val="24"/>
        </w:rPr>
        <w:t>nintedanibo</w:t>
      </w:r>
      <w:proofErr w:type="spellEnd"/>
      <w:r w:rsidRPr="00BF4AB8">
        <w:rPr>
          <w:snapToGrid w:val="0"/>
          <w:sz w:val="22"/>
          <w:szCs w:val="24"/>
        </w:rPr>
        <w:t xml:space="preserve"> ekspoziciją,</w:t>
      </w:r>
      <w:r w:rsidR="00707E7D" w:rsidRPr="00BF4AB8">
        <w:rPr>
          <w:snapToGrid w:val="0"/>
          <w:sz w:val="22"/>
          <w:szCs w:val="24"/>
        </w:rPr>
        <w:t xml:space="preserve"> </w:t>
      </w:r>
      <w:r w:rsidRPr="00BF4AB8">
        <w:rPr>
          <w:snapToGrid w:val="0"/>
          <w:sz w:val="22"/>
          <w:szCs w:val="24"/>
        </w:rPr>
        <w:t>remiantis AUC, padidino 1,61</w:t>
      </w:r>
      <w:r w:rsidR="00707E7D" w:rsidRPr="00BF4AB8">
        <w:rPr>
          <w:snapToGrid w:val="0"/>
          <w:sz w:val="22"/>
          <w:szCs w:val="24"/>
        </w:rPr>
        <w:t> </w:t>
      </w:r>
      <w:r w:rsidRPr="00BF4AB8">
        <w:rPr>
          <w:snapToGrid w:val="0"/>
          <w:sz w:val="22"/>
          <w:szCs w:val="24"/>
        </w:rPr>
        <w:t xml:space="preserve">karto, remiantis </w:t>
      </w:r>
      <w:proofErr w:type="spellStart"/>
      <w:r w:rsidRPr="00BF4AB8">
        <w:rPr>
          <w:snapToGrid w:val="0"/>
          <w:sz w:val="22"/>
          <w:szCs w:val="24"/>
        </w:rPr>
        <w:t>C</w:t>
      </w:r>
      <w:r w:rsidRPr="00BF4AB8">
        <w:rPr>
          <w:snapToGrid w:val="0"/>
          <w:sz w:val="22"/>
          <w:szCs w:val="24"/>
          <w:vertAlign w:val="subscript"/>
        </w:rPr>
        <w:t>max</w:t>
      </w:r>
      <w:proofErr w:type="spellEnd"/>
      <w:r w:rsidRPr="00BF4AB8">
        <w:rPr>
          <w:snapToGrid w:val="0"/>
          <w:sz w:val="22"/>
          <w:szCs w:val="24"/>
        </w:rPr>
        <w:t xml:space="preserve"> – 1,83</w:t>
      </w:r>
      <w:r w:rsidR="00707E7D" w:rsidRPr="00BF4AB8">
        <w:rPr>
          <w:snapToGrid w:val="0"/>
          <w:sz w:val="22"/>
          <w:szCs w:val="24"/>
        </w:rPr>
        <w:t> </w:t>
      </w:r>
      <w:r w:rsidRPr="00BF4AB8">
        <w:rPr>
          <w:snapToGrid w:val="0"/>
          <w:sz w:val="22"/>
          <w:szCs w:val="24"/>
        </w:rPr>
        <w:t>karto. Vaistinių preparatų sąveikos tyrimo metu kartu vartojamas stipriai veikiantis P-</w:t>
      </w:r>
      <w:proofErr w:type="spellStart"/>
      <w:r w:rsidRPr="00BF4AB8">
        <w:rPr>
          <w:snapToGrid w:val="0"/>
          <w:sz w:val="22"/>
          <w:szCs w:val="24"/>
        </w:rPr>
        <w:t>gp</w:t>
      </w:r>
      <w:proofErr w:type="spellEnd"/>
      <w:r w:rsidRPr="00BF4AB8">
        <w:rPr>
          <w:snapToGrid w:val="0"/>
          <w:sz w:val="22"/>
          <w:szCs w:val="24"/>
        </w:rPr>
        <w:t xml:space="preserve"> </w:t>
      </w:r>
      <w:proofErr w:type="spellStart"/>
      <w:r w:rsidRPr="00BF4AB8">
        <w:rPr>
          <w:snapToGrid w:val="0"/>
          <w:sz w:val="22"/>
          <w:szCs w:val="24"/>
        </w:rPr>
        <w:t>induktorius</w:t>
      </w:r>
      <w:proofErr w:type="spellEnd"/>
      <w:r w:rsidRPr="00BF4AB8">
        <w:rPr>
          <w:snapToGrid w:val="0"/>
          <w:sz w:val="22"/>
          <w:szCs w:val="24"/>
        </w:rPr>
        <w:t xml:space="preserve"> </w:t>
      </w:r>
      <w:proofErr w:type="spellStart"/>
      <w:r w:rsidRPr="00BF4AB8">
        <w:rPr>
          <w:snapToGrid w:val="0"/>
          <w:sz w:val="22"/>
          <w:szCs w:val="24"/>
        </w:rPr>
        <w:t>rifampicinas</w:t>
      </w:r>
      <w:proofErr w:type="spellEnd"/>
      <w:r w:rsidRPr="00BF4AB8">
        <w:rPr>
          <w:snapToGrid w:val="0"/>
          <w:sz w:val="22"/>
          <w:szCs w:val="24"/>
        </w:rPr>
        <w:t xml:space="preserve"> </w:t>
      </w:r>
      <w:proofErr w:type="spellStart"/>
      <w:r w:rsidRPr="00BF4AB8">
        <w:rPr>
          <w:snapToGrid w:val="0"/>
          <w:sz w:val="22"/>
          <w:szCs w:val="24"/>
        </w:rPr>
        <w:t>nintedanibo</w:t>
      </w:r>
      <w:proofErr w:type="spellEnd"/>
      <w:r w:rsidR="00707E7D" w:rsidRPr="00BF4AB8">
        <w:rPr>
          <w:snapToGrid w:val="0"/>
          <w:sz w:val="22"/>
          <w:szCs w:val="24"/>
        </w:rPr>
        <w:t xml:space="preserve"> </w:t>
      </w:r>
      <w:r w:rsidRPr="00BF4AB8">
        <w:rPr>
          <w:snapToGrid w:val="0"/>
          <w:sz w:val="22"/>
          <w:szCs w:val="24"/>
        </w:rPr>
        <w:t>ekspoziciją, remiantis AUC, sumažino 50,3</w:t>
      </w:r>
      <w:r w:rsidR="00AC48E9" w:rsidRPr="00BF4AB8">
        <w:rPr>
          <w:snapToGrid w:val="0"/>
          <w:sz w:val="22"/>
          <w:szCs w:val="24"/>
        </w:rPr>
        <w:t> %</w:t>
      </w:r>
      <w:r w:rsidRPr="00BF4AB8">
        <w:rPr>
          <w:snapToGrid w:val="0"/>
          <w:sz w:val="22"/>
          <w:szCs w:val="24"/>
        </w:rPr>
        <w:t xml:space="preserve">, remiantis </w:t>
      </w:r>
      <w:proofErr w:type="spellStart"/>
      <w:r w:rsidRPr="00BF4AB8">
        <w:rPr>
          <w:snapToGrid w:val="0"/>
          <w:sz w:val="22"/>
          <w:szCs w:val="24"/>
        </w:rPr>
        <w:t>C</w:t>
      </w:r>
      <w:r w:rsidRPr="00BF4AB8">
        <w:rPr>
          <w:snapToGrid w:val="0"/>
          <w:sz w:val="22"/>
          <w:szCs w:val="24"/>
          <w:vertAlign w:val="subscript"/>
        </w:rPr>
        <w:t>max</w:t>
      </w:r>
      <w:proofErr w:type="spellEnd"/>
      <w:r w:rsidRPr="00BF4AB8">
        <w:rPr>
          <w:snapToGrid w:val="0"/>
          <w:sz w:val="22"/>
          <w:szCs w:val="24"/>
        </w:rPr>
        <w:t xml:space="preserve"> – 60,3</w:t>
      </w:r>
      <w:r w:rsidR="00AC48E9" w:rsidRPr="00BF4AB8">
        <w:rPr>
          <w:snapToGrid w:val="0"/>
          <w:sz w:val="22"/>
          <w:szCs w:val="24"/>
        </w:rPr>
        <w:t> %</w:t>
      </w:r>
      <w:r w:rsidRPr="00BF4AB8">
        <w:rPr>
          <w:snapToGrid w:val="0"/>
          <w:sz w:val="22"/>
          <w:szCs w:val="24"/>
        </w:rPr>
        <w:t>, palyginti su ekspozicija</w:t>
      </w:r>
      <w:r w:rsidR="00707E7D" w:rsidRPr="00BF4AB8">
        <w:rPr>
          <w:snapToGrid w:val="0"/>
          <w:sz w:val="22"/>
          <w:szCs w:val="24"/>
        </w:rPr>
        <w:t xml:space="preserve"> </w:t>
      </w:r>
      <w:proofErr w:type="spellStart"/>
      <w:r w:rsidRPr="00BF4AB8">
        <w:rPr>
          <w:snapToGrid w:val="0"/>
          <w:sz w:val="22"/>
          <w:szCs w:val="24"/>
        </w:rPr>
        <w:t>monoterapijos</w:t>
      </w:r>
      <w:proofErr w:type="spellEnd"/>
      <w:r w:rsidRPr="00BF4AB8">
        <w:rPr>
          <w:snapToGrid w:val="0"/>
          <w:sz w:val="22"/>
          <w:szCs w:val="24"/>
        </w:rPr>
        <w:t xml:space="preserve"> </w:t>
      </w:r>
      <w:proofErr w:type="spellStart"/>
      <w:r w:rsidRPr="00BF4AB8">
        <w:rPr>
          <w:snapToGrid w:val="0"/>
          <w:sz w:val="22"/>
          <w:szCs w:val="24"/>
        </w:rPr>
        <w:t>nintedanibu</w:t>
      </w:r>
      <w:proofErr w:type="spellEnd"/>
      <w:r w:rsidRPr="00BF4AB8">
        <w:rPr>
          <w:snapToGrid w:val="0"/>
          <w:sz w:val="22"/>
          <w:szCs w:val="24"/>
        </w:rPr>
        <w:t xml:space="preserve"> metu. </w:t>
      </w:r>
      <w:proofErr w:type="spellStart"/>
      <w:r w:rsidRPr="00BF4AB8">
        <w:rPr>
          <w:snapToGrid w:val="0"/>
          <w:sz w:val="22"/>
          <w:szCs w:val="24"/>
        </w:rPr>
        <w:t>Nintedanibą</w:t>
      </w:r>
      <w:proofErr w:type="spellEnd"/>
      <w:r w:rsidRPr="00BF4AB8">
        <w:rPr>
          <w:snapToGrid w:val="0"/>
          <w:sz w:val="22"/>
          <w:szCs w:val="24"/>
        </w:rPr>
        <w:t xml:space="preserve"> </w:t>
      </w:r>
      <w:r w:rsidR="00707E7D" w:rsidRPr="00BF4AB8">
        <w:rPr>
          <w:snapToGrid w:val="0"/>
          <w:sz w:val="22"/>
          <w:szCs w:val="24"/>
        </w:rPr>
        <w:t>vartojant kartu</w:t>
      </w:r>
      <w:r w:rsidRPr="00BF4AB8">
        <w:rPr>
          <w:snapToGrid w:val="0"/>
          <w:sz w:val="22"/>
          <w:szCs w:val="24"/>
        </w:rPr>
        <w:t xml:space="preserve"> su stipriai veikiančiais P-</w:t>
      </w:r>
      <w:proofErr w:type="spellStart"/>
      <w:r w:rsidRPr="00BF4AB8">
        <w:rPr>
          <w:snapToGrid w:val="0"/>
          <w:sz w:val="22"/>
          <w:szCs w:val="24"/>
        </w:rPr>
        <w:t>gp</w:t>
      </w:r>
      <w:proofErr w:type="spellEnd"/>
      <w:r w:rsidRPr="00BF4AB8">
        <w:rPr>
          <w:snapToGrid w:val="0"/>
          <w:sz w:val="22"/>
          <w:szCs w:val="24"/>
        </w:rPr>
        <w:t xml:space="preserve"> inhibitoriais (pvz</w:t>
      </w:r>
      <w:r w:rsidR="00707E7D" w:rsidRPr="00BF4AB8">
        <w:rPr>
          <w:snapToGrid w:val="0"/>
          <w:sz w:val="22"/>
          <w:szCs w:val="24"/>
        </w:rPr>
        <w:t>.</w:t>
      </w:r>
      <w:r w:rsidRPr="00BF4AB8">
        <w:rPr>
          <w:snapToGrid w:val="0"/>
          <w:sz w:val="22"/>
          <w:szCs w:val="24"/>
        </w:rPr>
        <w:t>,</w:t>
      </w:r>
      <w:r w:rsidR="00707E7D" w:rsidRPr="00BF4AB8">
        <w:rPr>
          <w:snapToGrid w:val="0"/>
          <w:sz w:val="22"/>
          <w:szCs w:val="24"/>
        </w:rPr>
        <w:t xml:space="preserve"> </w:t>
      </w:r>
      <w:proofErr w:type="spellStart"/>
      <w:r w:rsidRPr="00BF4AB8">
        <w:rPr>
          <w:snapToGrid w:val="0"/>
          <w:sz w:val="22"/>
          <w:szCs w:val="24"/>
        </w:rPr>
        <w:t>ketokonazolu</w:t>
      </w:r>
      <w:proofErr w:type="spellEnd"/>
      <w:r w:rsidRPr="00BF4AB8">
        <w:rPr>
          <w:snapToGrid w:val="0"/>
          <w:sz w:val="22"/>
          <w:szCs w:val="24"/>
        </w:rPr>
        <w:t xml:space="preserve"> ar </w:t>
      </w:r>
      <w:proofErr w:type="spellStart"/>
      <w:r w:rsidRPr="00BF4AB8">
        <w:rPr>
          <w:snapToGrid w:val="0"/>
          <w:sz w:val="22"/>
          <w:szCs w:val="24"/>
        </w:rPr>
        <w:t>eritromicinu</w:t>
      </w:r>
      <w:proofErr w:type="spellEnd"/>
      <w:r w:rsidRPr="00BF4AB8">
        <w:rPr>
          <w:snapToGrid w:val="0"/>
          <w:sz w:val="22"/>
          <w:szCs w:val="24"/>
        </w:rPr>
        <w:t xml:space="preserve">), gali padidėti </w:t>
      </w:r>
      <w:proofErr w:type="spellStart"/>
      <w:r w:rsidRPr="00BF4AB8">
        <w:rPr>
          <w:snapToGrid w:val="0"/>
          <w:sz w:val="22"/>
          <w:szCs w:val="24"/>
        </w:rPr>
        <w:t>nintedanibo</w:t>
      </w:r>
      <w:proofErr w:type="spellEnd"/>
      <w:r w:rsidRPr="00BF4AB8">
        <w:rPr>
          <w:snapToGrid w:val="0"/>
          <w:sz w:val="22"/>
          <w:szCs w:val="24"/>
        </w:rPr>
        <w:t xml:space="preserve"> ekspozicija. Tais atvejais reikia atidžiai</w:t>
      </w:r>
      <w:r w:rsidR="00707E7D" w:rsidRPr="00BF4AB8">
        <w:rPr>
          <w:snapToGrid w:val="0"/>
          <w:sz w:val="22"/>
          <w:szCs w:val="24"/>
        </w:rPr>
        <w:t xml:space="preserve"> </w:t>
      </w:r>
      <w:r w:rsidRPr="00BF4AB8">
        <w:rPr>
          <w:snapToGrid w:val="0"/>
          <w:sz w:val="22"/>
          <w:szCs w:val="24"/>
        </w:rPr>
        <w:t xml:space="preserve">stebėti, kaip pacientas toleruoja </w:t>
      </w:r>
      <w:proofErr w:type="spellStart"/>
      <w:r w:rsidRPr="00BF4AB8">
        <w:rPr>
          <w:snapToGrid w:val="0"/>
          <w:sz w:val="22"/>
          <w:szCs w:val="24"/>
        </w:rPr>
        <w:t>nintedanibą</w:t>
      </w:r>
      <w:proofErr w:type="spellEnd"/>
      <w:r w:rsidRPr="00BF4AB8">
        <w:rPr>
          <w:snapToGrid w:val="0"/>
          <w:sz w:val="22"/>
          <w:szCs w:val="24"/>
        </w:rPr>
        <w:t xml:space="preserve">. </w:t>
      </w:r>
      <w:r w:rsidR="00707E7D" w:rsidRPr="00BF4AB8">
        <w:rPr>
          <w:snapToGrid w:val="0"/>
          <w:sz w:val="22"/>
          <w:szCs w:val="24"/>
        </w:rPr>
        <w:t>Siekiant kontroliuoti</w:t>
      </w:r>
      <w:r w:rsidRPr="00BF4AB8">
        <w:rPr>
          <w:snapToGrid w:val="0"/>
          <w:sz w:val="22"/>
          <w:szCs w:val="24"/>
        </w:rPr>
        <w:t xml:space="preserve"> nepageidaujam</w:t>
      </w:r>
      <w:r w:rsidR="00707E7D" w:rsidRPr="00BF4AB8">
        <w:rPr>
          <w:snapToGrid w:val="0"/>
          <w:sz w:val="22"/>
          <w:szCs w:val="24"/>
        </w:rPr>
        <w:t>as</w:t>
      </w:r>
      <w:r w:rsidRPr="00BF4AB8">
        <w:rPr>
          <w:snapToGrid w:val="0"/>
          <w:sz w:val="22"/>
          <w:szCs w:val="24"/>
        </w:rPr>
        <w:t xml:space="preserve"> reakcij</w:t>
      </w:r>
      <w:r w:rsidR="00707E7D" w:rsidRPr="00BF4AB8">
        <w:rPr>
          <w:snapToGrid w:val="0"/>
          <w:sz w:val="22"/>
          <w:szCs w:val="24"/>
        </w:rPr>
        <w:t>as,</w:t>
      </w:r>
      <w:r w:rsidRPr="00BF4AB8">
        <w:rPr>
          <w:snapToGrid w:val="0"/>
          <w:sz w:val="22"/>
          <w:szCs w:val="24"/>
        </w:rPr>
        <w:t xml:space="preserve"> gali prireikti</w:t>
      </w:r>
      <w:r w:rsidR="00707E7D" w:rsidRPr="00BF4AB8">
        <w:rPr>
          <w:snapToGrid w:val="0"/>
          <w:sz w:val="22"/>
          <w:szCs w:val="24"/>
        </w:rPr>
        <w:t xml:space="preserve"> sustabdyti šio vaistinio preparato vartojimą</w:t>
      </w:r>
      <w:r w:rsidRPr="00BF4AB8">
        <w:rPr>
          <w:snapToGrid w:val="0"/>
          <w:sz w:val="22"/>
          <w:szCs w:val="24"/>
        </w:rPr>
        <w:t>, sumažinti jo dozę ar</w:t>
      </w:r>
      <w:r w:rsidR="00707E7D" w:rsidRPr="00BF4AB8">
        <w:rPr>
          <w:snapToGrid w:val="0"/>
          <w:sz w:val="22"/>
          <w:szCs w:val="24"/>
        </w:rPr>
        <w:t>ba</w:t>
      </w:r>
      <w:r w:rsidRPr="00BF4AB8">
        <w:rPr>
          <w:snapToGrid w:val="0"/>
          <w:sz w:val="22"/>
          <w:szCs w:val="24"/>
        </w:rPr>
        <w:t xml:space="preserve"> nutraukti </w:t>
      </w:r>
      <w:r w:rsidR="00707E7D" w:rsidRPr="00BF4AB8">
        <w:rPr>
          <w:snapToGrid w:val="0"/>
          <w:sz w:val="22"/>
          <w:szCs w:val="24"/>
        </w:rPr>
        <w:t>gydymą</w:t>
      </w:r>
      <w:r w:rsidRPr="00BF4AB8">
        <w:rPr>
          <w:snapToGrid w:val="0"/>
          <w:sz w:val="22"/>
          <w:szCs w:val="24"/>
        </w:rPr>
        <w:t xml:space="preserve"> (žr. 4.2</w:t>
      </w:r>
      <w:r w:rsidR="00707E7D" w:rsidRPr="00BF4AB8">
        <w:rPr>
          <w:snapToGrid w:val="0"/>
          <w:sz w:val="22"/>
          <w:szCs w:val="24"/>
        </w:rPr>
        <w:t> </w:t>
      </w:r>
      <w:r w:rsidRPr="00BF4AB8">
        <w:rPr>
          <w:snapToGrid w:val="0"/>
          <w:sz w:val="22"/>
          <w:szCs w:val="24"/>
        </w:rPr>
        <w:t>skyrių).</w:t>
      </w:r>
    </w:p>
    <w:p w14:paraId="3FD4986C" w14:textId="77777777" w:rsidR="00707E7D" w:rsidRPr="00BF4AB8" w:rsidRDefault="00707E7D" w:rsidP="00E27BA1">
      <w:pPr>
        <w:tabs>
          <w:tab w:val="left" w:pos="567"/>
        </w:tabs>
        <w:spacing w:line="260" w:lineRule="exact"/>
        <w:rPr>
          <w:snapToGrid w:val="0"/>
          <w:sz w:val="22"/>
          <w:szCs w:val="24"/>
        </w:rPr>
      </w:pPr>
    </w:p>
    <w:p w14:paraId="5E2E5F75" w14:textId="31C2D352" w:rsidR="00E27BA1" w:rsidRPr="00BF4AB8" w:rsidRDefault="00E27BA1" w:rsidP="00E27BA1">
      <w:pPr>
        <w:tabs>
          <w:tab w:val="left" w:pos="567"/>
        </w:tabs>
        <w:spacing w:line="260" w:lineRule="exact"/>
        <w:rPr>
          <w:snapToGrid w:val="0"/>
          <w:sz w:val="22"/>
          <w:szCs w:val="24"/>
        </w:rPr>
      </w:pPr>
      <w:r w:rsidRPr="00BF4AB8">
        <w:rPr>
          <w:snapToGrid w:val="0"/>
          <w:sz w:val="22"/>
          <w:szCs w:val="24"/>
        </w:rPr>
        <w:t>Stipriai veikiantys P-</w:t>
      </w:r>
      <w:proofErr w:type="spellStart"/>
      <w:r w:rsidRPr="00BF4AB8">
        <w:rPr>
          <w:snapToGrid w:val="0"/>
          <w:sz w:val="22"/>
          <w:szCs w:val="24"/>
        </w:rPr>
        <w:t>gp</w:t>
      </w:r>
      <w:proofErr w:type="spellEnd"/>
      <w:r w:rsidRPr="00BF4AB8">
        <w:rPr>
          <w:snapToGrid w:val="0"/>
          <w:sz w:val="22"/>
          <w:szCs w:val="24"/>
        </w:rPr>
        <w:t xml:space="preserve"> </w:t>
      </w:r>
      <w:proofErr w:type="spellStart"/>
      <w:r w:rsidRPr="00BF4AB8">
        <w:rPr>
          <w:snapToGrid w:val="0"/>
          <w:sz w:val="22"/>
          <w:szCs w:val="24"/>
        </w:rPr>
        <w:t>induktoriai</w:t>
      </w:r>
      <w:proofErr w:type="spellEnd"/>
      <w:r w:rsidRPr="00BF4AB8">
        <w:rPr>
          <w:snapToGrid w:val="0"/>
          <w:sz w:val="22"/>
          <w:szCs w:val="24"/>
        </w:rPr>
        <w:t xml:space="preserve"> (pvz., </w:t>
      </w:r>
      <w:proofErr w:type="spellStart"/>
      <w:r w:rsidRPr="00BF4AB8">
        <w:rPr>
          <w:snapToGrid w:val="0"/>
          <w:sz w:val="22"/>
          <w:szCs w:val="24"/>
        </w:rPr>
        <w:t>rifampicinas</w:t>
      </w:r>
      <w:proofErr w:type="spellEnd"/>
      <w:r w:rsidRPr="00BF4AB8">
        <w:rPr>
          <w:snapToGrid w:val="0"/>
          <w:sz w:val="22"/>
          <w:szCs w:val="24"/>
        </w:rPr>
        <w:t xml:space="preserve">, </w:t>
      </w:r>
      <w:proofErr w:type="spellStart"/>
      <w:r w:rsidRPr="00BF4AB8">
        <w:rPr>
          <w:snapToGrid w:val="0"/>
          <w:sz w:val="22"/>
          <w:szCs w:val="24"/>
        </w:rPr>
        <w:t>karbamazepinas</w:t>
      </w:r>
      <w:proofErr w:type="spellEnd"/>
      <w:r w:rsidRPr="00BF4AB8">
        <w:rPr>
          <w:snapToGrid w:val="0"/>
          <w:sz w:val="22"/>
          <w:szCs w:val="24"/>
        </w:rPr>
        <w:t xml:space="preserve">, </w:t>
      </w:r>
      <w:proofErr w:type="spellStart"/>
      <w:r w:rsidRPr="00BF4AB8">
        <w:rPr>
          <w:snapToGrid w:val="0"/>
          <w:sz w:val="22"/>
          <w:szCs w:val="24"/>
        </w:rPr>
        <w:t>fenitoinas</w:t>
      </w:r>
      <w:proofErr w:type="spellEnd"/>
      <w:r w:rsidRPr="00BF4AB8">
        <w:rPr>
          <w:snapToGrid w:val="0"/>
          <w:sz w:val="22"/>
          <w:szCs w:val="24"/>
        </w:rPr>
        <w:t xml:space="preserve"> ir jonažolių</w:t>
      </w:r>
      <w:r w:rsidR="00707E7D" w:rsidRPr="00BF4AB8">
        <w:rPr>
          <w:snapToGrid w:val="0"/>
          <w:sz w:val="22"/>
          <w:szCs w:val="24"/>
        </w:rPr>
        <w:t xml:space="preserve"> </w:t>
      </w:r>
      <w:r w:rsidRPr="00BF4AB8">
        <w:rPr>
          <w:snapToGrid w:val="0"/>
          <w:sz w:val="22"/>
          <w:szCs w:val="24"/>
        </w:rPr>
        <w:t xml:space="preserve">preparatai) gali sumažinti </w:t>
      </w:r>
      <w:proofErr w:type="spellStart"/>
      <w:r w:rsidRPr="00BF4AB8">
        <w:rPr>
          <w:snapToGrid w:val="0"/>
          <w:sz w:val="22"/>
          <w:szCs w:val="24"/>
        </w:rPr>
        <w:t>nintedanibo</w:t>
      </w:r>
      <w:proofErr w:type="spellEnd"/>
      <w:r w:rsidRPr="00BF4AB8">
        <w:rPr>
          <w:snapToGrid w:val="0"/>
          <w:sz w:val="22"/>
          <w:szCs w:val="24"/>
        </w:rPr>
        <w:t xml:space="preserve"> ekspoziciją. Reikia </w:t>
      </w:r>
      <w:r w:rsidR="00707E7D" w:rsidRPr="00BF4AB8">
        <w:rPr>
          <w:snapToGrid w:val="0"/>
          <w:sz w:val="22"/>
          <w:szCs w:val="24"/>
        </w:rPr>
        <w:t>atidžiai</w:t>
      </w:r>
      <w:r w:rsidRPr="00BF4AB8">
        <w:rPr>
          <w:snapToGrid w:val="0"/>
          <w:sz w:val="22"/>
          <w:szCs w:val="24"/>
        </w:rPr>
        <w:t xml:space="preserve"> apsvarstyti jų </w:t>
      </w:r>
      <w:r w:rsidR="00707E7D" w:rsidRPr="00BF4AB8">
        <w:rPr>
          <w:snapToGrid w:val="0"/>
          <w:sz w:val="22"/>
          <w:szCs w:val="24"/>
        </w:rPr>
        <w:t>vartojimą kartu</w:t>
      </w:r>
      <w:r w:rsidRPr="00BF4AB8">
        <w:rPr>
          <w:snapToGrid w:val="0"/>
          <w:sz w:val="22"/>
          <w:szCs w:val="24"/>
        </w:rPr>
        <w:t xml:space="preserve"> su</w:t>
      </w:r>
      <w:r w:rsidR="00707E7D" w:rsidRPr="00BF4AB8">
        <w:rPr>
          <w:snapToGrid w:val="0"/>
          <w:sz w:val="22"/>
          <w:szCs w:val="24"/>
        </w:rPr>
        <w:t xml:space="preserve"> </w:t>
      </w:r>
      <w:proofErr w:type="spellStart"/>
      <w:r w:rsidRPr="00BF4AB8">
        <w:rPr>
          <w:snapToGrid w:val="0"/>
          <w:sz w:val="22"/>
          <w:szCs w:val="24"/>
        </w:rPr>
        <w:t>nintedanibu</w:t>
      </w:r>
      <w:proofErr w:type="spellEnd"/>
      <w:r w:rsidRPr="00BF4AB8">
        <w:rPr>
          <w:snapToGrid w:val="0"/>
          <w:sz w:val="22"/>
          <w:szCs w:val="24"/>
        </w:rPr>
        <w:t>.</w:t>
      </w:r>
    </w:p>
    <w:p w14:paraId="00BC10BF" w14:textId="77777777" w:rsidR="00707E7D" w:rsidRPr="00BF4AB8" w:rsidRDefault="00707E7D" w:rsidP="00E27BA1">
      <w:pPr>
        <w:tabs>
          <w:tab w:val="left" w:pos="567"/>
        </w:tabs>
        <w:spacing w:line="260" w:lineRule="exact"/>
        <w:rPr>
          <w:snapToGrid w:val="0"/>
          <w:sz w:val="22"/>
          <w:szCs w:val="24"/>
        </w:rPr>
      </w:pPr>
    </w:p>
    <w:p w14:paraId="3410E126" w14:textId="1A31BA12" w:rsidR="00E27BA1" w:rsidRPr="00BF4AB8" w:rsidRDefault="00E27BA1" w:rsidP="00E27BA1">
      <w:pPr>
        <w:tabs>
          <w:tab w:val="left" w:pos="567"/>
        </w:tabs>
        <w:spacing w:line="260" w:lineRule="exact"/>
        <w:rPr>
          <w:snapToGrid w:val="0"/>
          <w:sz w:val="22"/>
          <w:szCs w:val="24"/>
          <w:u w:val="single"/>
        </w:rPr>
      </w:pPr>
      <w:proofErr w:type="spellStart"/>
      <w:r w:rsidRPr="00BF4AB8">
        <w:rPr>
          <w:snapToGrid w:val="0"/>
          <w:sz w:val="22"/>
          <w:szCs w:val="24"/>
          <w:u w:val="single"/>
        </w:rPr>
        <w:t>Citochromo</w:t>
      </w:r>
      <w:proofErr w:type="spellEnd"/>
      <w:r w:rsidRPr="00BF4AB8">
        <w:rPr>
          <w:snapToGrid w:val="0"/>
          <w:sz w:val="22"/>
          <w:szCs w:val="24"/>
          <w:u w:val="single"/>
        </w:rPr>
        <w:t xml:space="preserve"> (CYP) fermentai</w:t>
      </w:r>
    </w:p>
    <w:p w14:paraId="5CDE44C9" w14:textId="7AE1035B" w:rsidR="00E27BA1" w:rsidRPr="00BF4AB8" w:rsidRDefault="00E27BA1" w:rsidP="00E27BA1">
      <w:pPr>
        <w:tabs>
          <w:tab w:val="left" w:pos="567"/>
        </w:tabs>
        <w:spacing w:line="260" w:lineRule="exact"/>
        <w:rPr>
          <w:snapToGrid w:val="0"/>
          <w:sz w:val="22"/>
          <w:szCs w:val="24"/>
        </w:rPr>
      </w:pPr>
      <w:r w:rsidRPr="00BF4AB8">
        <w:rPr>
          <w:snapToGrid w:val="0"/>
          <w:sz w:val="22"/>
          <w:szCs w:val="24"/>
        </w:rPr>
        <w:t xml:space="preserve">Tik maža dalis </w:t>
      </w:r>
      <w:proofErr w:type="spellStart"/>
      <w:r w:rsidRPr="00BF4AB8">
        <w:rPr>
          <w:snapToGrid w:val="0"/>
          <w:sz w:val="22"/>
          <w:szCs w:val="24"/>
        </w:rPr>
        <w:t>nintedanibo</w:t>
      </w:r>
      <w:proofErr w:type="spellEnd"/>
      <w:r w:rsidRPr="00BF4AB8">
        <w:rPr>
          <w:snapToGrid w:val="0"/>
          <w:sz w:val="22"/>
          <w:szCs w:val="24"/>
        </w:rPr>
        <w:t xml:space="preserve"> </w:t>
      </w:r>
      <w:proofErr w:type="spellStart"/>
      <w:r w:rsidRPr="00BF4AB8">
        <w:rPr>
          <w:snapToGrid w:val="0"/>
          <w:sz w:val="22"/>
          <w:szCs w:val="24"/>
        </w:rPr>
        <w:t>biotransformacijos</w:t>
      </w:r>
      <w:proofErr w:type="spellEnd"/>
      <w:r w:rsidRPr="00BF4AB8">
        <w:rPr>
          <w:snapToGrid w:val="0"/>
          <w:sz w:val="22"/>
          <w:szCs w:val="24"/>
        </w:rPr>
        <w:t xml:space="preserve"> vyksta veikiant CYP fermentams. </w:t>
      </w:r>
      <w:proofErr w:type="spellStart"/>
      <w:r w:rsidRPr="00BF4AB8">
        <w:rPr>
          <w:snapToGrid w:val="0"/>
          <w:sz w:val="22"/>
          <w:szCs w:val="24"/>
        </w:rPr>
        <w:t>Ikiklinikinių</w:t>
      </w:r>
      <w:proofErr w:type="spellEnd"/>
      <w:r w:rsidRPr="00BF4AB8">
        <w:rPr>
          <w:snapToGrid w:val="0"/>
          <w:sz w:val="22"/>
          <w:szCs w:val="24"/>
        </w:rPr>
        <w:t xml:space="preserve"> tyrimų</w:t>
      </w:r>
      <w:r w:rsidR="00707E7D" w:rsidRPr="00BF4AB8">
        <w:rPr>
          <w:snapToGrid w:val="0"/>
          <w:sz w:val="22"/>
          <w:szCs w:val="24"/>
        </w:rPr>
        <w:t xml:space="preserve"> </w:t>
      </w:r>
      <w:r w:rsidRPr="00BF4AB8">
        <w:rPr>
          <w:snapToGrid w:val="0"/>
          <w:sz w:val="22"/>
          <w:szCs w:val="24"/>
        </w:rPr>
        <w:t xml:space="preserve">metu nustatyta, kad </w:t>
      </w:r>
      <w:proofErr w:type="spellStart"/>
      <w:r w:rsidRPr="00BF4AB8">
        <w:rPr>
          <w:snapToGrid w:val="0"/>
          <w:sz w:val="22"/>
          <w:szCs w:val="24"/>
        </w:rPr>
        <w:t>nintedanibas</w:t>
      </w:r>
      <w:proofErr w:type="spellEnd"/>
      <w:r w:rsidRPr="00BF4AB8">
        <w:rPr>
          <w:snapToGrid w:val="0"/>
          <w:sz w:val="22"/>
          <w:szCs w:val="24"/>
        </w:rPr>
        <w:t xml:space="preserve"> ir jo metabolitai, t. y. laisvos rūgšties </w:t>
      </w:r>
      <w:r w:rsidR="00707E7D" w:rsidRPr="00BF4AB8">
        <w:rPr>
          <w:snapToGrid w:val="0"/>
          <w:sz w:val="22"/>
          <w:szCs w:val="24"/>
        </w:rPr>
        <w:t>darinys</w:t>
      </w:r>
      <w:r w:rsidRPr="00BF4AB8">
        <w:rPr>
          <w:snapToGrid w:val="0"/>
          <w:sz w:val="22"/>
          <w:szCs w:val="24"/>
        </w:rPr>
        <w:t xml:space="preserve"> </w:t>
      </w:r>
      <w:r w:rsidRPr="00993D1A">
        <w:rPr>
          <w:snapToGrid w:val="0"/>
          <w:sz w:val="22"/>
          <w:szCs w:val="24"/>
        </w:rPr>
        <w:t>BIBF</w:t>
      </w:r>
      <w:r w:rsidR="00707E7D" w:rsidRPr="00993D1A">
        <w:rPr>
          <w:snapToGrid w:val="0"/>
          <w:sz w:val="22"/>
          <w:szCs w:val="24"/>
        </w:rPr>
        <w:t> </w:t>
      </w:r>
      <w:r w:rsidRPr="00993D1A">
        <w:rPr>
          <w:snapToGrid w:val="0"/>
          <w:sz w:val="22"/>
          <w:szCs w:val="24"/>
        </w:rPr>
        <w:t>1202 ir jo</w:t>
      </w:r>
      <w:r w:rsidR="00707E7D" w:rsidRPr="00993D1A">
        <w:rPr>
          <w:snapToGrid w:val="0"/>
          <w:sz w:val="22"/>
          <w:szCs w:val="24"/>
        </w:rPr>
        <w:t xml:space="preserve"> </w:t>
      </w:r>
      <w:proofErr w:type="spellStart"/>
      <w:r w:rsidRPr="00993D1A">
        <w:rPr>
          <w:snapToGrid w:val="0"/>
          <w:sz w:val="22"/>
          <w:szCs w:val="24"/>
        </w:rPr>
        <w:t>gliukuronidas</w:t>
      </w:r>
      <w:proofErr w:type="spellEnd"/>
      <w:r w:rsidRPr="00993D1A">
        <w:rPr>
          <w:snapToGrid w:val="0"/>
          <w:sz w:val="22"/>
          <w:szCs w:val="24"/>
        </w:rPr>
        <w:t xml:space="preserve"> </w:t>
      </w:r>
      <w:r w:rsidR="00993D1A">
        <w:rPr>
          <w:snapToGrid w:val="0"/>
          <w:sz w:val="22"/>
          <w:szCs w:val="24"/>
        </w:rPr>
        <w:t>(</w:t>
      </w:r>
      <w:r w:rsidRPr="00993D1A">
        <w:rPr>
          <w:snapToGrid w:val="0"/>
          <w:sz w:val="22"/>
          <w:szCs w:val="24"/>
        </w:rPr>
        <w:t>BIBF</w:t>
      </w:r>
      <w:r w:rsidR="00707E7D" w:rsidRPr="00993D1A">
        <w:rPr>
          <w:snapToGrid w:val="0"/>
          <w:sz w:val="22"/>
          <w:szCs w:val="24"/>
        </w:rPr>
        <w:t> </w:t>
      </w:r>
      <w:r w:rsidRPr="00993D1A">
        <w:rPr>
          <w:snapToGrid w:val="0"/>
          <w:sz w:val="22"/>
          <w:szCs w:val="24"/>
        </w:rPr>
        <w:t xml:space="preserve">1202 </w:t>
      </w:r>
      <w:proofErr w:type="spellStart"/>
      <w:r w:rsidRPr="00993D1A">
        <w:rPr>
          <w:snapToGrid w:val="0"/>
          <w:sz w:val="22"/>
          <w:szCs w:val="24"/>
        </w:rPr>
        <w:t>gliukuronidas</w:t>
      </w:r>
      <w:proofErr w:type="spellEnd"/>
      <w:r w:rsidR="00993D1A">
        <w:rPr>
          <w:snapToGrid w:val="0"/>
          <w:sz w:val="22"/>
          <w:szCs w:val="24"/>
        </w:rPr>
        <w:t>)</w:t>
      </w:r>
      <w:r w:rsidRPr="00BF4AB8">
        <w:rPr>
          <w:snapToGrid w:val="0"/>
          <w:sz w:val="22"/>
          <w:szCs w:val="24"/>
        </w:rPr>
        <w:t xml:space="preserve"> CYP fermentų neslopina ir neindukuoja (žr. 5.2</w:t>
      </w:r>
      <w:r w:rsidR="00707E7D" w:rsidRPr="00BF4AB8">
        <w:rPr>
          <w:snapToGrid w:val="0"/>
          <w:sz w:val="22"/>
          <w:szCs w:val="24"/>
        </w:rPr>
        <w:t> </w:t>
      </w:r>
      <w:r w:rsidRPr="00BF4AB8">
        <w:rPr>
          <w:snapToGrid w:val="0"/>
          <w:sz w:val="22"/>
          <w:szCs w:val="24"/>
        </w:rPr>
        <w:t>skyrių).</w:t>
      </w:r>
      <w:r w:rsidR="00707E7D" w:rsidRPr="00BF4AB8">
        <w:rPr>
          <w:snapToGrid w:val="0"/>
          <w:sz w:val="22"/>
          <w:szCs w:val="24"/>
        </w:rPr>
        <w:t xml:space="preserve"> Dėl to </w:t>
      </w:r>
      <w:r w:rsidRPr="00BF4AB8">
        <w:rPr>
          <w:snapToGrid w:val="0"/>
          <w:sz w:val="22"/>
          <w:szCs w:val="24"/>
        </w:rPr>
        <w:t xml:space="preserve">manoma, kad CYP metabolizmu pagrįstos vaistinių preparatų sąveikos su </w:t>
      </w:r>
      <w:proofErr w:type="spellStart"/>
      <w:r w:rsidRPr="00BF4AB8">
        <w:rPr>
          <w:snapToGrid w:val="0"/>
          <w:sz w:val="22"/>
          <w:szCs w:val="24"/>
        </w:rPr>
        <w:t>nintedanibu</w:t>
      </w:r>
      <w:proofErr w:type="spellEnd"/>
      <w:r w:rsidRPr="00BF4AB8">
        <w:rPr>
          <w:snapToGrid w:val="0"/>
          <w:sz w:val="22"/>
          <w:szCs w:val="24"/>
        </w:rPr>
        <w:t xml:space="preserve"> tikimybė</w:t>
      </w:r>
      <w:r w:rsidR="00707E7D" w:rsidRPr="00BF4AB8">
        <w:rPr>
          <w:snapToGrid w:val="0"/>
          <w:sz w:val="22"/>
          <w:szCs w:val="24"/>
        </w:rPr>
        <w:t xml:space="preserve"> </w:t>
      </w:r>
      <w:r w:rsidRPr="00BF4AB8">
        <w:rPr>
          <w:snapToGrid w:val="0"/>
          <w:sz w:val="22"/>
          <w:szCs w:val="24"/>
        </w:rPr>
        <w:t>yra maža.</w:t>
      </w:r>
    </w:p>
    <w:p w14:paraId="7545BBEE" w14:textId="77777777" w:rsidR="00707E7D" w:rsidRPr="00BF4AB8" w:rsidRDefault="00707E7D" w:rsidP="00E27BA1">
      <w:pPr>
        <w:tabs>
          <w:tab w:val="left" w:pos="567"/>
        </w:tabs>
        <w:spacing w:line="260" w:lineRule="exact"/>
        <w:rPr>
          <w:snapToGrid w:val="0"/>
          <w:sz w:val="22"/>
          <w:szCs w:val="24"/>
        </w:rPr>
      </w:pPr>
    </w:p>
    <w:p w14:paraId="5601C50F" w14:textId="09E6DE48" w:rsidR="00E27BA1" w:rsidRPr="00BF4AB8" w:rsidRDefault="00707E7D" w:rsidP="00E27BA1">
      <w:pPr>
        <w:tabs>
          <w:tab w:val="left" w:pos="567"/>
        </w:tabs>
        <w:spacing w:line="260" w:lineRule="exact"/>
        <w:rPr>
          <w:snapToGrid w:val="0"/>
          <w:sz w:val="22"/>
          <w:szCs w:val="24"/>
          <w:u w:val="single"/>
        </w:rPr>
      </w:pPr>
      <w:r w:rsidRPr="00BF4AB8">
        <w:rPr>
          <w:snapToGrid w:val="0"/>
          <w:sz w:val="22"/>
          <w:szCs w:val="24"/>
          <w:u w:val="single"/>
        </w:rPr>
        <w:t>Vartojimas kartu</w:t>
      </w:r>
      <w:r w:rsidR="00E27BA1" w:rsidRPr="00BF4AB8">
        <w:rPr>
          <w:snapToGrid w:val="0"/>
          <w:sz w:val="22"/>
          <w:szCs w:val="24"/>
          <w:u w:val="single"/>
        </w:rPr>
        <w:t xml:space="preserve"> su kitais vaistiniais preparatais</w:t>
      </w:r>
    </w:p>
    <w:p w14:paraId="00BF4C4C" w14:textId="4111A9FA" w:rsidR="00E27BA1" w:rsidRPr="00BF4AB8" w:rsidRDefault="00E27BA1" w:rsidP="00E27BA1">
      <w:pPr>
        <w:tabs>
          <w:tab w:val="left" w:pos="567"/>
        </w:tabs>
        <w:spacing w:line="260" w:lineRule="exact"/>
        <w:rPr>
          <w:snapToGrid w:val="0"/>
          <w:sz w:val="22"/>
          <w:szCs w:val="24"/>
        </w:rPr>
      </w:pPr>
      <w:proofErr w:type="spellStart"/>
      <w:r w:rsidRPr="00BF4AB8">
        <w:rPr>
          <w:snapToGrid w:val="0"/>
          <w:sz w:val="22"/>
          <w:szCs w:val="24"/>
        </w:rPr>
        <w:t>Nintedanibo</w:t>
      </w:r>
      <w:proofErr w:type="spellEnd"/>
      <w:r w:rsidRPr="00BF4AB8">
        <w:rPr>
          <w:snapToGrid w:val="0"/>
          <w:sz w:val="22"/>
          <w:szCs w:val="24"/>
        </w:rPr>
        <w:t xml:space="preserve"> </w:t>
      </w:r>
      <w:r w:rsidR="00707E7D" w:rsidRPr="00BF4AB8">
        <w:rPr>
          <w:snapToGrid w:val="0"/>
          <w:sz w:val="22"/>
          <w:szCs w:val="24"/>
        </w:rPr>
        <w:t>vartojimas kartu</w:t>
      </w:r>
      <w:r w:rsidRPr="00BF4AB8">
        <w:rPr>
          <w:snapToGrid w:val="0"/>
          <w:sz w:val="22"/>
          <w:szCs w:val="24"/>
        </w:rPr>
        <w:t xml:space="preserve"> su </w:t>
      </w:r>
      <w:proofErr w:type="spellStart"/>
      <w:r w:rsidRPr="00BF4AB8">
        <w:rPr>
          <w:snapToGrid w:val="0"/>
          <w:sz w:val="22"/>
          <w:szCs w:val="24"/>
        </w:rPr>
        <w:t>docetakseliu</w:t>
      </w:r>
      <w:proofErr w:type="spellEnd"/>
      <w:r w:rsidRPr="00BF4AB8">
        <w:rPr>
          <w:snapToGrid w:val="0"/>
          <w:sz w:val="22"/>
          <w:szCs w:val="24"/>
        </w:rPr>
        <w:t xml:space="preserve"> (75</w:t>
      </w:r>
      <w:r w:rsidR="00AC48E9" w:rsidRPr="00BF4AB8">
        <w:rPr>
          <w:snapToGrid w:val="0"/>
          <w:sz w:val="22"/>
          <w:szCs w:val="24"/>
        </w:rPr>
        <w:t> mg</w:t>
      </w:r>
      <w:r w:rsidRPr="00BF4AB8">
        <w:rPr>
          <w:snapToGrid w:val="0"/>
          <w:sz w:val="22"/>
          <w:szCs w:val="24"/>
        </w:rPr>
        <w:t>/m</w:t>
      </w:r>
      <w:r w:rsidRPr="00BF4AB8">
        <w:rPr>
          <w:snapToGrid w:val="0"/>
          <w:sz w:val="22"/>
          <w:szCs w:val="24"/>
          <w:vertAlign w:val="superscript"/>
        </w:rPr>
        <w:t>2</w:t>
      </w:r>
      <w:r w:rsidRPr="00BF4AB8">
        <w:rPr>
          <w:snapToGrid w:val="0"/>
          <w:sz w:val="22"/>
          <w:szCs w:val="24"/>
        </w:rPr>
        <w:t>) reikšmingai nepakeitė nė vieno vaistinio preparato</w:t>
      </w:r>
      <w:r w:rsidR="00707E7D" w:rsidRPr="00BF4AB8">
        <w:rPr>
          <w:snapToGrid w:val="0"/>
          <w:sz w:val="22"/>
          <w:szCs w:val="24"/>
        </w:rPr>
        <w:t xml:space="preserve"> </w:t>
      </w:r>
      <w:proofErr w:type="spellStart"/>
      <w:r w:rsidRPr="00BF4AB8">
        <w:rPr>
          <w:snapToGrid w:val="0"/>
          <w:sz w:val="22"/>
          <w:szCs w:val="24"/>
        </w:rPr>
        <w:t>farmakokinetikos</w:t>
      </w:r>
      <w:proofErr w:type="spellEnd"/>
      <w:r w:rsidRPr="00BF4AB8">
        <w:rPr>
          <w:snapToGrid w:val="0"/>
          <w:sz w:val="22"/>
          <w:szCs w:val="24"/>
        </w:rPr>
        <w:t>.</w:t>
      </w:r>
    </w:p>
    <w:p w14:paraId="5A605A89" w14:textId="77F7EBCB" w:rsidR="005D554B" w:rsidRPr="00BF4AB8" w:rsidRDefault="00E27BA1" w:rsidP="00E27BA1">
      <w:pPr>
        <w:tabs>
          <w:tab w:val="left" w:pos="567"/>
        </w:tabs>
        <w:spacing w:line="260" w:lineRule="exact"/>
        <w:rPr>
          <w:snapToGrid w:val="0"/>
          <w:sz w:val="22"/>
          <w:szCs w:val="24"/>
        </w:rPr>
      </w:pPr>
      <w:proofErr w:type="spellStart"/>
      <w:r w:rsidRPr="00BF4AB8">
        <w:rPr>
          <w:snapToGrid w:val="0"/>
          <w:sz w:val="22"/>
          <w:szCs w:val="24"/>
        </w:rPr>
        <w:t>Nintedanibą</w:t>
      </w:r>
      <w:proofErr w:type="spellEnd"/>
      <w:r w:rsidRPr="00BF4AB8">
        <w:rPr>
          <w:snapToGrid w:val="0"/>
          <w:sz w:val="22"/>
          <w:szCs w:val="24"/>
        </w:rPr>
        <w:t xml:space="preserve"> vartojant kartu su geriamaisiais hormoniniais kontraceptikais, geriamųjų hormoninių</w:t>
      </w:r>
      <w:r w:rsidR="00707E7D" w:rsidRPr="00BF4AB8">
        <w:rPr>
          <w:snapToGrid w:val="0"/>
          <w:sz w:val="22"/>
          <w:szCs w:val="24"/>
        </w:rPr>
        <w:t xml:space="preserve"> </w:t>
      </w:r>
      <w:r w:rsidRPr="00BF4AB8">
        <w:rPr>
          <w:snapToGrid w:val="0"/>
          <w:sz w:val="22"/>
          <w:szCs w:val="24"/>
        </w:rPr>
        <w:t xml:space="preserve">kontraceptikų </w:t>
      </w:r>
      <w:proofErr w:type="spellStart"/>
      <w:r w:rsidRPr="00BF4AB8">
        <w:rPr>
          <w:snapToGrid w:val="0"/>
          <w:sz w:val="22"/>
          <w:szCs w:val="24"/>
        </w:rPr>
        <w:t>farmakokinetika</w:t>
      </w:r>
      <w:proofErr w:type="spellEnd"/>
      <w:r w:rsidRPr="00BF4AB8">
        <w:rPr>
          <w:snapToGrid w:val="0"/>
          <w:sz w:val="22"/>
          <w:szCs w:val="24"/>
        </w:rPr>
        <w:t xml:space="preserve"> reikšmingai nepakito (žr. 5.2</w:t>
      </w:r>
      <w:r w:rsidR="00707E7D" w:rsidRPr="00BF4AB8">
        <w:rPr>
          <w:snapToGrid w:val="0"/>
          <w:sz w:val="22"/>
          <w:szCs w:val="24"/>
        </w:rPr>
        <w:t> </w:t>
      </w:r>
      <w:r w:rsidRPr="00BF4AB8">
        <w:rPr>
          <w:snapToGrid w:val="0"/>
          <w:sz w:val="22"/>
          <w:szCs w:val="24"/>
        </w:rPr>
        <w:t>skyrių).</w:t>
      </w:r>
    </w:p>
    <w:p w14:paraId="3D7E2E82" w14:textId="77777777" w:rsidR="005D554B" w:rsidRPr="00BF4AB8" w:rsidRDefault="005D554B" w:rsidP="005D554B">
      <w:pPr>
        <w:tabs>
          <w:tab w:val="left" w:pos="567"/>
        </w:tabs>
        <w:spacing w:line="260" w:lineRule="exact"/>
        <w:rPr>
          <w:snapToGrid w:val="0"/>
          <w:sz w:val="22"/>
          <w:szCs w:val="24"/>
        </w:rPr>
      </w:pPr>
    </w:p>
    <w:p w14:paraId="2CCB0AEB" w14:textId="77777777" w:rsidR="005D554B" w:rsidRPr="00BF4AB8" w:rsidRDefault="005D554B" w:rsidP="005D554B">
      <w:pPr>
        <w:keepNext/>
        <w:tabs>
          <w:tab w:val="left" w:pos="567"/>
        </w:tabs>
        <w:spacing w:line="260" w:lineRule="exact"/>
        <w:jc w:val="both"/>
        <w:outlineLvl w:val="3"/>
        <w:rPr>
          <w:b/>
          <w:bCs/>
          <w:snapToGrid w:val="0"/>
          <w:sz w:val="22"/>
          <w:szCs w:val="28"/>
          <w:lang w:eastAsia="x-none"/>
        </w:rPr>
      </w:pPr>
      <w:r w:rsidRPr="00BF4AB8">
        <w:rPr>
          <w:b/>
          <w:bCs/>
          <w:snapToGrid w:val="0"/>
          <w:sz w:val="22"/>
          <w:szCs w:val="28"/>
          <w:lang w:eastAsia="x-none"/>
        </w:rPr>
        <w:t>4.6</w:t>
      </w:r>
      <w:r w:rsidRPr="00BF4AB8">
        <w:rPr>
          <w:b/>
          <w:bCs/>
          <w:snapToGrid w:val="0"/>
          <w:sz w:val="22"/>
          <w:szCs w:val="28"/>
          <w:lang w:eastAsia="x-none"/>
        </w:rPr>
        <w:tab/>
        <w:t>Vaisingumas, nėštumo ir žindymo laikotarpis</w:t>
      </w:r>
    </w:p>
    <w:p w14:paraId="046E9D1C" w14:textId="77777777" w:rsidR="005D554B" w:rsidRPr="00BF4AB8" w:rsidRDefault="005D554B" w:rsidP="005D554B">
      <w:pPr>
        <w:tabs>
          <w:tab w:val="left" w:pos="567"/>
        </w:tabs>
        <w:spacing w:line="260" w:lineRule="exact"/>
        <w:rPr>
          <w:snapToGrid w:val="0"/>
          <w:sz w:val="22"/>
          <w:szCs w:val="24"/>
        </w:rPr>
      </w:pPr>
    </w:p>
    <w:p w14:paraId="21287052" w14:textId="77777777" w:rsidR="0055137E" w:rsidRPr="00BF4AB8" w:rsidRDefault="0055137E" w:rsidP="0055137E">
      <w:pPr>
        <w:tabs>
          <w:tab w:val="left" w:pos="567"/>
        </w:tabs>
        <w:spacing w:line="260" w:lineRule="exact"/>
        <w:rPr>
          <w:snapToGrid w:val="0"/>
          <w:color w:val="0D0D0D"/>
          <w:sz w:val="22"/>
          <w:szCs w:val="24"/>
          <w:u w:val="single"/>
        </w:rPr>
      </w:pPr>
      <w:r w:rsidRPr="00BF4AB8">
        <w:rPr>
          <w:snapToGrid w:val="0"/>
          <w:color w:val="0D0D0D"/>
          <w:sz w:val="22"/>
          <w:szCs w:val="24"/>
          <w:u w:val="single"/>
        </w:rPr>
        <w:t>Vaisingo amžiaus moterys / kontracepcija</w:t>
      </w:r>
    </w:p>
    <w:p w14:paraId="51EF4976" w14:textId="30479C12" w:rsidR="0055137E" w:rsidRPr="00BF4AB8" w:rsidRDefault="0055137E" w:rsidP="0055137E">
      <w:pPr>
        <w:tabs>
          <w:tab w:val="left" w:pos="567"/>
        </w:tabs>
        <w:spacing w:line="260" w:lineRule="exact"/>
        <w:rPr>
          <w:snapToGrid w:val="0"/>
          <w:color w:val="0D0D0D"/>
          <w:sz w:val="22"/>
          <w:szCs w:val="24"/>
        </w:rPr>
      </w:pPr>
      <w:proofErr w:type="spellStart"/>
      <w:r w:rsidRPr="00BF4AB8">
        <w:rPr>
          <w:snapToGrid w:val="0"/>
          <w:color w:val="0D0D0D"/>
          <w:sz w:val="22"/>
          <w:szCs w:val="24"/>
        </w:rPr>
        <w:t>Nintedanibas</w:t>
      </w:r>
      <w:proofErr w:type="spellEnd"/>
      <w:r w:rsidRPr="00BF4AB8">
        <w:rPr>
          <w:snapToGrid w:val="0"/>
          <w:color w:val="0D0D0D"/>
          <w:sz w:val="22"/>
          <w:szCs w:val="24"/>
        </w:rPr>
        <w:t xml:space="preserve"> gali pakenkti žmogaus vaisiui (žr. 5.3</w:t>
      </w:r>
      <w:r w:rsidR="00E81DC6" w:rsidRPr="00BF4AB8">
        <w:rPr>
          <w:snapToGrid w:val="0"/>
          <w:color w:val="0D0D0D"/>
          <w:sz w:val="22"/>
          <w:szCs w:val="24"/>
        </w:rPr>
        <w:t> </w:t>
      </w:r>
      <w:r w:rsidRPr="00BF4AB8">
        <w:rPr>
          <w:snapToGrid w:val="0"/>
          <w:color w:val="0D0D0D"/>
          <w:sz w:val="22"/>
          <w:szCs w:val="24"/>
        </w:rPr>
        <w:t>skyrių). Vaisingo amžiaus moterims reikia patarti</w:t>
      </w:r>
      <w:r w:rsidR="00E81DC6" w:rsidRPr="00BF4AB8">
        <w:rPr>
          <w:snapToGrid w:val="0"/>
          <w:color w:val="0D0D0D"/>
          <w:sz w:val="22"/>
          <w:szCs w:val="24"/>
        </w:rPr>
        <w:t xml:space="preserve"> </w:t>
      </w:r>
      <w:r w:rsidRPr="00BF4AB8">
        <w:rPr>
          <w:snapToGrid w:val="0"/>
          <w:color w:val="0D0D0D"/>
          <w:sz w:val="22"/>
          <w:szCs w:val="24"/>
        </w:rPr>
        <w:t xml:space="preserve">vengti pastoti gydymo </w:t>
      </w:r>
      <w:proofErr w:type="spellStart"/>
      <w:r w:rsidR="00E81DC6" w:rsidRPr="00BF4AB8">
        <w:rPr>
          <w:snapToGrid w:val="0"/>
          <w:color w:val="0D0D0D"/>
          <w:sz w:val="22"/>
          <w:szCs w:val="24"/>
        </w:rPr>
        <w:t>Nytyka</w:t>
      </w:r>
      <w:proofErr w:type="spellEnd"/>
      <w:r w:rsidRPr="00BF4AB8">
        <w:rPr>
          <w:snapToGrid w:val="0"/>
          <w:color w:val="0D0D0D"/>
          <w:sz w:val="22"/>
          <w:szCs w:val="24"/>
        </w:rPr>
        <w:t xml:space="preserve"> metu</w:t>
      </w:r>
      <w:r w:rsidR="00E81DC6" w:rsidRPr="00BF4AB8">
        <w:rPr>
          <w:snapToGrid w:val="0"/>
          <w:color w:val="0D0D0D"/>
          <w:sz w:val="22"/>
          <w:szCs w:val="24"/>
        </w:rPr>
        <w:t xml:space="preserve"> ir p</w:t>
      </w:r>
      <w:r w:rsidRPr="00BF4AB8">
        <w:rPr>
          <w:snapToGrid w:val="0"/>
          <w:color w:val="0D0D0D"/>
          <w:sz w:val="22"/>
          <w:szCs w:val="24"/>
        </w:rPr>
        <w:t xml:space="preserve">radedant gydymą, </w:t>
      </w:r>
      <w:r w:rsidR="00E81DC6" w:rsidRPr="00BF4AB8">
        <w:rPr>
          <w:snapToGrid w:val="0"/>
          <w:color w:val="0D0D0D"/>
          <w:sz w:val="22"/>
          <w:szCs w:val="24"/>
        </w:rPr>
        <w:t>jo</w:t>
      </w:r>
      <w:r w:rsidRPr="00BF4AB8">
        <w:rPr>
          <w:snapToGrid w:val="0"/>
          <w:color w:val="0D0D0D"/>
          <w:sz w:val="22"/>
          <w:szCs w:val="24"/>
        </w:rPr>
        <w:t xml:space="preserve"> metu </w:t>
      </w:r>
      <w:r w:rsidR="00E81DC6" w:rsidRPr="00BF4AB8">
        <w:rPr>
          <w:snapToGrid w:val="0"/>
          <w:color w:val="0D0D0D"/>
          <w:sz w:val="22"/>
          <w:szCs w:val="24"/>
        </w:rPr>
        <w:t>bei</w:t>
      </w:r>
      <w:r w:rsidRPr="00BF4AB8">
        <w:rPr>
          <w:snapToGrid w:val="0"/>
          <w:color w:val="0D0D0D"/>
          <w:sz w:val="22"/>
          <w:szCs w:val="24"/>
        </w:rPr>
        <w:t xml:space="preserve"> mažiausiai 3</w:t>
      </w:r>
      <w:r w:rsidR="00E81DC6" w:rsidRPr="00BF4AB8">
        <w:rPr>
          <w:snapToGrid w:val="0"/>
          <w:color w:val="0D0D0D"/>
          <w:sz w:val="22"/>
          <w:szCs w:val="24"/>
        </w:rPr>
        <w:t> </w:t>
      </w:r>
      <w:r w:rsidRPr="00BF4AB8">
        <w:rPr>
          <w:snapToGrid w:val="0"/>
          <w:color w:val="0D0D0D"/>
          <w:sz w:val="22"/>
          <w:szCs w:val="24"/>
        </w:rPr>
        <w:t>mėnesius po</w:t>
      </w:r>
      <w:r w:rsidR="00E81DC6" w:rsidRPr="00BF4AB8">
        <w:rPr>
          <w:snapToGrid w:val="0"/>
          <w:color w:val="0D0D0D"/>
          <w:sz w:val="22"/>
          <w:szCs w:val="24"/>
        </w:rPr>
        <w:t xml:space="preserve"> </w:t>
      </w:r>
      <w:r w:rsidRPr="00BF4AB8">
        <w:rPr>
          <w:snapToGrid w:val="0"/>
          <w:color w:val="0D0D0D"/>
          <w:sz w:val="22"/>
          <w:szCs w:val="24"/>
        </w:rPr>
        <w:t xml:space="preserve">paskutinės </w:t>
      </w:r>
      <w:proofErr w:type="spellStart"/>
      <w:r w:rsidR="00E81DC6" w:rsidRPr="00BF4AB8">
        <w:rPr>
          <w:snapToGrid w:val="0"/>
          <w:color w:val="0D0D0D"/>
          <w:sz w:val="22"/>
          <w:szCs w:val="24"/>
        </w:rPr>
        <w:t>Nytyka</w:t>
      </w:r>
      <w:proofErr w:type="spellEnd"/>
      <w:r w:rsidRPr="00BF4AB8">
        <w:rPr>
          <w:snapToGrid w:val="0"/>
          <w:color w:val="0D0D0D"/>
          <w:sz w:val="22"/>
          <w:szCs w:val="24"/>
        </w:rPr>
        <w:t xml:space="preserve"> dozės pavartojimo naudoti labai veiksmingus kontracepcijos metodus.</w:t>
      </w:r>
      <w:r w:rsidR="00E81DC6" w:rsidRPr="00BF4AB8">
        <w:rPr>
          <w:snapToGrid w:val="0"/>
          <w:color w:val="0D0D0D"/>
          <w:sz w:val="22"/>
          <w:szCs w:val="24"/>
        </w:rPr>
        <w:t xml:space="preserve"> </w:t>
      </w:r>
      <w:proofErr w:type="spellStart"/>
      <w:r w:rsidRPr="00BF4AB8">
        <w:rPr>
          <w:snapToGrid w:val="0"/>
          <w:color w:val="0D0D0D"/>
          <w:sz w:val="22"/>
          <w:szCs w:val="24"/>
        </w:rPr>
        <w:t>Nintedanibas</w:t>
      </w:r>
      <w:proofErr w:type="spellEnd"/>
      <w:r w:rsidRPr="00BF4AB8">
        <w:rPr>
          <w:snapToGrid w:val="0"/>
          <w:color w:val="0D0D0D"/>
          <w:sz w:val="22"/>
          <w:szCs w:val="24"/>
        </w:rPr>
        <w:t xml:space="preserve"> </w:t>
      </w:r>
      <w:proofErr w:type="spellStart"/>
      <w:r w:rsidRPr="00BF4AB8">
        <w:rPr>
          <w:snapToGrid w:val="0"/>
          <w:color w:val="0D0D0D"/>
          <w:sz w:val="22"/>
          <w:szCs w:val="24"/>
        </w:rPr>
        <w:t>etinilestradiolio</w:t>
      </w:r>
      <w:proofErr w:type="spellEnd"/>
      <w:r w:rsidRPr="00BF4AB8">
        <w:rPr>
          <w:snapToGrid w:val="0"/>
          <w:color w:val="0D0D0D"/>
          <w:sz w:val="22"/>
          <w:szCs w:val="24"/>
        </w:rPr>
        <w:t xml:space="preserve"> ir </w:t>
      </w:r>
      <w:proofErr w:type="spellStart"/>
      <w:r w:rsidRPr="00BF4AB8">
        <w:rPr>
          <w:snapToGrid w:val="0"/>
          <w:color w:val="0D0D0D"/>
          <w:sz w:val="22"/>
          <w:szCs w:val="24"/>
        </w:rPr>
        <w:t>levonorgestrelio</w:t>
      </w:r>
      <w:proofErr w:type="spellEnd"/>
      <w:r w:rsidRPr="00BF4AB8">
        <w:rPr>
          <w:snapToGrid w:val="0"/>
          <w:color w:val="0D0D0D"/>
          <w:sz w:val="22"/>
          <w:szCs w:val="24"/>
        </w:rPr>
        <w:t xml:space="preserve"> ekspozicijos </w:t>
      </w:r>
      <w:r w:rsidR="00E81DC6" w:rsidRPr="00BF4AB8">
        <w:rPr>
          <w:snapToGrid w:val="0"/>
          <w:color w:val="0D0D0D"/>
          <w:sz w:val="22"/>
          <w:szCs w:val="24"/>
        </w:rPr>
        <w:t xml:space="preserve">kraujo </w:t>
      </w:r>
      <w:r w:rsidRPr="00BF4AB8">
        <w:rPr>
          <w:snapToGrid w:val="0"/>
          <w:color w:val="0D0D0D"/>
          <w:sz w:val="22"/>
          <w:szCs w:val="24"/>
        </w:rPr>
        <w:t xml:space="preserve">plazmoje </w:t>
      </w:r>
      <w:r w:rsidR="00E81DC6" w:rsidRPr="00BF4AB8">
        <w:rPr>
          <w:snapToGrid w:val="0"/>
          <w:color w:val="0D0D0D"/>
          <w:sz w:val="22"/>
          <w:szCs w:val="24"/>
        </w:rPr>
        <w:t xml:space="preserve">reikšmingai neveikia </w:t>
      </w:r>
      <w:r w:rsidRPr="00BF4AB8">
        <w:rPr>
          <w:snapToGrid w:val="0"/>
          <w:color w:val="0D0D0D"/>
          <w:sz w:val="22"/>
          <w:szCs w:val="24"/>
        </w:rPr>
        <w:t>(žr.</w:t>
      </w:r>
      <w:r w:rsidR="00E81DC6" w:rsidRPr="00BF4AB8">
        <w:rPr>
          <w:snapToGrid w:val="0"/>
          <w:color w:val="0D0D0D"/>
          <w:sz w:val="22"/>
          <w:szCs w:val="24"/>
        </w:rPr>
        <w:t xml:space="preserve"> </w:t>
      </w:r>
      <w:r w:rsidRPr="00BF4AB8">
        <w:rPr>
          <w:snapToGrid w:val="0"/>
          <w:color w:val="0D0D0D"/>
          <w:sz w:val="22"/>
          <w:szCs w:val="24"/>
        </w:rPr>
        <w:t>5.2</w:t>
      </w:r>
      <w:r w:rsidR="00E81DC6" w:rsidRPr="00BF4AB8">
        <w:rPr>
          <w:snapToGrid w:val="0"/>
          <w:color w:val="0D0D0D"/>
          <w:sz w:val="22"/>
          <w:szCs w:val="24"/>
        </w:rPr>
        <w:t> </w:t>
      </w:r>
      <w:r w:rsidRPr="00BF4AB8">
        <w:rPr>
          <w:snapToGrid w:val="0"/>
          <w:color w:val="0D0D0D"/>
          <w:sz w:val="22"/>
          <w:szCs w:val="24"/>
        </w:rPr>
        <w:t>skyrių). Geriamųjų hormoninių kontraceptikų veiksmingumas gali sumažėti dėl vėmimo ir (arba)</w:t>
      </w:r>
      <w:r w:rsidR="00E81DC6" w:rsidRPr="00BF4AB8">
        <w:rPr>
          <w:snapToGrid w:val="0"/>
          <w:color w:val="0D0D0D"/>
          <w:sz w:val="22"/>
          <w:szCs w:val="24"/>
        </w:rPr>
        <w:t xml:space="preserve"> </w:t>
      </w:r>
      <w:r w:rsidRPr="00BF4AB8">
        <w:rPr>
          <w:snapToGrid w:val="0"/>
          <w:color w:val="0D0D0D"/>
          <w:sz w:val="22"/>
          <w:szCs w:val="24"/>
        </w:rPr>
        <w:t>viduriavimo arba kitų būklių, kurios gali paveikti absorbciją. Geriamųjų hormoninių kontraceptikų</w:t>
      </w:r>
      <w:r w:rsidR="00E81DC6" w:rsidRPr="00BF4AB8">
        <w:rPr>
          <w:snapToGrid w:val="0"/>
          <w:color w:val="0D0D0D"/>
          <w:sz w:val="22"/>
          <w:szCs w:val="24"/>
        </w:rPr>
        <w:t xml:space="preserve"> </w:t>
      </w:r>
      <w:r w:rsidRPr="00BF4AB8">
        <w:rPr>
          <w:snapToGrid w:val="0"/>
          <w:color w:val="0D0D0D"/>
          <w:sz w:val="22"/>
          <w:szCs w:val="24"/>
        </w:rPr>
        <w:t>vartojančio</w:t>
      </w:r>
      <w:r w:rsidR="00E81DC6" w:rsidRPr="00BF4AB8">
        <w:rPr>
          <w:snapToGrid w:val="0"/>
          <w:color w:val="0D0D0D"/>
          <w:sz w:val="22"/>
          <w:szCs w:val="24"/>
        </w:rPr>
        <w:t>m</w:t>
      </w:r>
      <w:r w:rsidRPr="00BF4AB8">
        <w:rPr>
          <w:snapToGrid w:val="0"/>
          <w:color w:val="0D0D0D"/>
          <w:sz w:val="22"/>
          <w:szCs w:val="24"/>
        </w:rPr>
        <w:t>s moter</w:t>
      </w:r>
      <w:r w:rsidR="00E81DC6" w:rsidRPr="00BF4AB8">
        <w:rPr>
          <w:snapToGrid w:val="0"/>
          <w:color w:val="0D0D0D"/>
          <w:sz w:val="22"/>
          <w:szCs w:val="24"/>
        </w:rPr>
        <w:t>im</w:t>
      </w:r>
      <w:r w:rsidRPr="00BF4AB8">
        <w:rPr>
          <w:snapToGrid w:val="0"/>
          <w:color w:val="0D0D0D"/>
          <w:sz w:val="22"/>
          <w:szCs w:val="24"/>
        </w:rPr>
        <w:t xml:space="preserve">s, kurios patiria minėtų būklių, turi būti </w:t>
      </w:r>
      <w:r w:rsidR="00E81DC6" w:rsidRPr="00BF4AB8">
        <w:rPr>
          <w:snapToGrid w:val="0"/>
          <w:color w:val="0D0D0D"/>
          <w:sz w:val="22"/>
          <w:szCs w:val="24"/>
        </w:rPr>
        <w:t>patarta</w:t>
      </w:r>
      <w:r w:rsidRPr="00BF4AB8">
        <w:rPr>
          <w:snapToGrid w:val="0"/>
          <w:color w:val="0D0D0D"/>
          <w:sz w:val="22"/>
          <w:szCs w:val="24"/>
        </w:rPr>
        <w:t xml:space="preserve"> naudoti alternatyvią labai</w:t>
      </w:r>
      <w:r w:rsidR="00E81DC6" w:rsidRPr="00BF4AB8">
        <w:rPr>
          <w:snapToGrid w:val="0"/>
          <w:color w:val="0D0D0D"/>
          <w:sz w:val="22"/>
          <w:szCs w:val="24"/>
        </w:rPr>
        <w:t xml:space="preserve"> </w:t>
      </w:r>
      <w:r w:rsidRPr="00BF4AB8">
        <w:rPr>
          <w:snapToGrid w:val="0"/>
          <w:color w:val="0D0D0D"/>
          <w:sz w:val="22"/>
          <w:szCs w:val="24"/>
        </w:rPr>
        <w:t>veiksmingą kontracepcijos priemonę.</w:t>
      </w:r>
    </w:p>
    <w:p w14:paraId="5116CC62" w14:textId="77777777" w:rsidR="00E81DC6" w:rsidRPr="00BF4AB8" w:rsidRDefault="00E81DC6" w:rsidP="0055137E">
      <w:pPr>
        <w:tabs>
          <w:tab w:val="left" w:pos="567"/>
        </w:tabs>
        <w:spacing w:line="260" w:lineRule="exact"/>
        <w:rPr>
          <w:snapToGrid w:val="0"/>
          <w:color w:val="0D0D0D"/>
          <w:sz w:val="22"/>
          <w:szCs w:val="24"/>
        </w:rPr>
      </w:pPr>
    </w:p>
    <w:p w14:paraId="63E21D84" w14:textId="77777777" w:rsidR="0055137E" w:rsidRPr="00BF4AB8" w:rsidRDefault="0055137E" w:rsidP="0055137E">
      <w:pPr>
        <w:tabs>
          <w:tab w:val="left" w:pos="567"/>
        </w:tabs>
        <w:spacing w:line="260" w:lineRule="exact"/>
        <w:rPr>
          <w:snapToGrid w:val="0"/>
          <w:color w:val="0D0D0D"/>
          <w:sz w:val="22"/>
          <w:szCs w:val="24"/>
          <w:u w:val="single"/>
        </w:rPr>
      </w:pPr>
      <w:r w:rsidRPr="00BF4AB8">
        <w:rPr>
          <w:snapToGrid w:val="0"/>
          <w:color w:val="0D0D0D"/>
          <w:sz w:val="22"/>
          <w:szCs w:val="24"/>
          <w:u w:val="single"/>
        </w:rPr>
        <w:t>Nėštumas</w:t>
      </w:r>
    </w:p>
    <w:p w14:paraId="0321AF08" w14:textId="54EAB8FF" w:rsidR="0055137E" w:rsidRPr="00BF4AB8" w:rsidRDefault="00C70F90" w:rsidP="0055137E">
      <w:pPr>
        <w:tabs>
          <w:tab w:val="left" w:pos="567"/>
        </w:tabs>
        <w:spacing w:line="260" w:lineRule="exact"/>
        <w:rPr>
          <w:snapToGrid w:val="0"/>
          <w:color w:val="0D0D0D"/>
          <w:sz w:val="22"/>
          <w:szCs w:val="24"/>
        </w:rPr>
      </w:pPr>
      <w:r w:rsidRPr="00BF4AB8">
        <w:rPr>
          <w:snapToGrid w:val="0"/>
          <w:color w:val="0D0D0D"/>
          <w:sz w:val="22"/>
          <w:szCs w:val="24"/>
        </w:rPr>
        <w:t xml:space="preserve">Duomenų apie </w:t>
      </w:r>
      <w:proofErr w:type="spellStart"/>
      <w:r w:rsidRPr="00BF4AB8">
        <w:rPr>
          <w:snapToGrid w:val="0"/>
          <w:color w:val="0D0D0D"/>
          <w:sz w:val="22"/>
          <w:szCs w:val="24"/>
        </w:rPr>
        <w:t>nintedanibo</w:t>
      </w:r>
      <w:proofErr w:type="spellEnd"/>
      <w:r w:rsidRPr="00BF4AB8">
        <w:rPr>
          <w:snapToGrid w:val="0"/>
          <w:color w:val="0D0D0D"/>
          <w:sz w:val="22"/>
          <w:szCs w:val="24"/>
        </w:rPr>
        <w:t xml:space="preserve"> vartojimą nėštumo metu nėra, su gyvūnais atlikti </w:t>
      </w:r>
      <w:proofErr w:type="spellStart"/>
      <w:r w:rsidRPr="00BF4AB8">
        <w:rPr>
          <w:snapToGrid w:val="0"/>
          <w:color w:val="0D0D0D"/>
          <w:sz w:val="22"/>
          <w:szCs w:val="24"/>
        </w:rPr>
        <w:t>ikiklinikiniai</w:t>
      </w:r>
      <w:proofErr w:type="spellEnd"/>
      <w:r w:rsidRPr="00BF4AB8">
        <w:rPr>
          <w:snapToGrid w:val="0"/>
          <w:color w:val="0D0D0D"/>
          <w:sz w:val="22"/>
          <w:szCs w:val="24"/>
        </w:rPr>
        <w:t xml:space="preserve"> tyrimai parodė toksinį šios veikliosios medžiagos poveikį reprodukcijai </w:t>
      </w:r>
      <w:r w:rsidR="0055137E" w:rsidRPr="00BF4AB8">
        <w:rPr>
          <w:snapToGrid w:val="0"/>
          <w:color w:val="0D0D0D"/>
          <w:sz w:val="22"/>
          <w:szCs w:val="24"/>
        </w:rPr>
        <w:t>(žr. 5.3</w:t>
      </w:r>
      <w:r w:rsidRPr="00BF4AB8">
        <w:rPr>
          <w:snapToGrid w:val="0"/>
          <w:color w:val="0D0D0D"/>
          <w:sz w:val="22"/>
          <w:szCs w:val="24"/>
        </w:rPr>
        <w:t> </w:t>
      </w:r>
      <w:r w:rsidR="0055137E" w:rsidRPr="00BF4AB8">
        <w:rPr>
          <w:snapToGrid w:val="0"/>
          <w:color w:val="0D0D0D"/>
          <w:sz w:val="22"/>
          <w:szCs w:val="24"/>
        </w:rPr>
        <w:t xml:space="preserve">skyrių). Kadangi </w:t>
      </w:r>
      <w:bookmarkStart w:id="3" w:name="_Hlk151229649"/>
      <w:proofErr w:type="spellStart"/>
      <w:r w:rsidR="0055137E" w:rsidRPr="00BF4AB8">
        <w:rPr>
          <w:snapToGrid w:val="0"/>
          <w:color w:val="0D0D0D"/>
          <w:sz w:val="22"/>
          <w:szCs w:val="24"/>
        </w:rPr>
        <w:t>nintedanibas</w:t>
      </w:r>
      <w:bookmarkEnd w:id="3"/>
      <w:proofErr w:type="spellEnd"/>
      <w:r w:rsidRPr="00BF4AB8">
        <w:rPr>
          <w:snapToGrid w:val="0"/>
          <w:color w:val="0D0D0D"/>
          <w:sz w:val="22"/>
          <w:szCs w:val="24"/>
        </w:rPr>
        <w:t xml:space="preserve"> </w:t>
      </w:r>
      <w:r w:rsidR="0055137E" w:rsidRPr="00BF4AB8">
        <w:rPr>
          <w:snapToGrid w:val="0"/>
          <w:color w:val="0D0D0D"/>
          <w:sz w:val="22"/>
          <w:szCs w:val="24"/>
        </w:rPr>
        <w:t xml:space="preserve">gali pakenkti ir žmogaus vaisiui, nėštumo metu </w:t>
      </w:r>
      <w:r w:rsidRPr="00BF4AB8">
        <w:rPr>
          <w:snapToGrid w:val="0"/>
          <w:color w:val="0D0D0D"/>
          <w:sz w:val="22"/>
          <w:szCs w:val="24"/>
        </w:rPr>
        <w:t>jo</w:t>
      </w:r>
      <w:r w:rsidR="0055137E" w:rsidRPr="00BF4AB8">
        <w:rPr>
          <w:snapToGrid w:val="0"/>
          <w:color w:val="0D0D0D"/>
          <w:sz w:val="22"/>
          <w:szCs w:val="24"/>
        </w:rPr>
        <w:t xml:space="preserve"> vartoti negalima, nebent moters</w:t>
      </w:r>
      <w:r w:rsidRPr="00BF4AB8">
        <w:rPr>
          <w:snapToGrid w:val="0"/>
          <w:color w:val="0D0D0D"/>
          <w:sz w:val="22"/>
          <w:szCs w:val="24"/>
        </w:rPr>
        <w:t xml:space="preserve"> </w:t>
      </w:r>
      <w:r w:rsidR="0055137E" w:rsidRPr="00BF4AB8">
        <w:rPr>
          <w:snapToGrid w:val="0"/>
          <w:color w:val="0D0D0D"/>
          <w:sz w:val="22"/>
          <w:szCs w:val="24"/>
        </w:rPr>
        <w:t>klinikinė būklė yra tokia, kad ją gydyti</w:t>
      </w:r>
      <w:r w:rsidRPr="00BF4AB8">
        <w:rPr>
          <w:snapToGrid w:val="0"/>
          <w:color w:val="0D0D0D"/>
          <w:sz w:val="22"/>
          <w:szCs w:val="24"/>
        </w:rPr>
        <w:t xml:space="preserve"> </w:t>
      </w:r>
      <w:proofErr w:type="spellStart"/>
      <w:r w:rsidRPr="00BF4AB8">
        <w:rPr>
          <w:snapToGrid w:val="0"/>
          <w:color w:val="0D0D0D"/>
          <w:sz w:val="22"/>
          <w:szCs w:val="24"/>
        </w:rPr>
        <w:t>nintedanibu</w:t>
      </w:r>
      <w:proofErr w:type="spellEnd"/>
      <w:r w:rsidRPr="00BF4AB8">
        <w:rPr>
          <w:snapToGrid w:val="0"/>
          <w:color w:val="0D0D0D"/>
          <w:sz w:val="22"/>
          <w:szCs w:val="24"/>
        </w:rPr>
        <w:t xml:space="preserve"> būtina</w:t>
      </w:r>
      <w:r w:rsidR="0055137E" w:rsidRPr="00BF4AB8">
        <w:rPr>
          <w:snapToGrid w:val="0"/>
          <w:color w:val="0D0D0D"/>
          <w:sz w:val="22"/>
          <w:szCs w:val="24"/>
        </w:rPr>
        <w:t>. Nėštumo tyrimą reikia atlikti bent prieš pradedant</w:t>
      </w:r>
      <w:r w:rsidRPr="00BF4AB8">
        <w:rPr>
          <w:snapToGrid w:val="0"/>
          <w:color w:val="0D0D0D"/>
          <w:sz w:val="22"/>
          <w:szCs w:val="24"/>
        </w:rPr>
        <w:t xml:space="preserve"> </w:t>
      </w:r>
      <w:r w:rsidR="0055137E" w:rsidRPr="00BF4AB8">
        <w:rPr>
          <w:snapToGrid w:val="0"/>
          <w:color w:val="0D0D0D"/>
          <w:sz w:val="22"/>
          <w:szCs w:val="24"/>
        </w:rPr>
        <w:t xml:space="preserve">gydymą </w:t>
      </w:r>
      <w:proofErr w:type="spellStart"/>
      <w:r w:rsidR="00E81DC6" w:rsidRPr="00BF4AB8">
        <w:rPr>
          <w:snapToGrid w:val="0"/>
          <w:color w:val="0D0D0D"/>
          <w:sz w:val="22"/>
          <w:szCs w:val="24"/>
        </w:rPr>
        <w:t>Nytyka</w:t>
      </w:r>
      <w:proofErr w:type="spellEnd"/>
      <w:r w:rsidR="0055137E" w:rsidRPr="00BF4AB8">
        <w:rPr>
          <w:snapToGrid w:val="0"/>
          <w:color w:val="0D0D0D"/>
          <w:sz w:val="22"/>
          <w:szCs w:val="24"/>
        </w:rPr>
        <w:t>.</w:t>
      </w:r>
      <w:r w:rsidRPr="00BF4AB8">
        <w:rPr>
          <w:snapToGrid w:val="0"/>
          <w:color w:val="0D0D0D"/>
          <w:sz w:val="22"/>
          <w:szCs w:val="24"/>
        </w:rPr>
        <w:t xml:space="preserve"> </w:t>
      </w:r>
      <w:r w:rsidR="0055137E" w:rsidRPr="00BF4AB8">
        <w:rPr>
          <w:snapToGrid w:val="0"/>
          <w:color w:val="0D0D0D"/>
          <w:sz w:val="22"/>
          <w:szCs w:val="24"/>
        </w:rPr>
        <w:t>Pacientes moteris reikia perspėti, kad jos praneštų savo gydytojui ar vaistininkui, jei pastojo gydymo</w:t>
      </w:r>
      <w:r w:rsidRPr="00BF4AB8">
        <w:rPr>
          <w:snapToGrid w:val="0"/>
          <w:color w:val="0D0D0D"/>
          <w:sz w:val="22"/>
          <w:szCs w:val="24"/>
        </w:rPr>
        <w:t xml:space="preserve"> šiuo vaistiniu preparatu</w:t>
      </w:r>
      <w:r w:rsidR="0055137E" w:rsidRPr="00BF4AB8">
        <w:rPr>
          <w:snapToGrid w:val="0"/>
          <w:color w:val="0D0D0D"/>
          <w:sz w:val="22"/>
          <w:szCs w:val="24"/>
        </w:rPr>
        <w:t xml:space="preserve"> metu.</w:t>
      </w:r>
    </w:p>
    <w:p w14:paraId="501A1763" w14:textId="77777777" w:rsidR="00C70F90" w:rsidRPr="00BF4AB8" w:rsidRDefault="00C70F90" w:rsidP="0055137E">
      <w:pPr>
        <w:tabs>
          <w:tab w:val="left" w:pos="567"/>
        </w:tabs>
        <w:spacing w:line="260" w:lineRule="exact"/>
        <w:rPr>
          <w:snapToGrid w:val="0"/>
          <w:color w:val="0D0D0D"/>
          <w:sz w:val="22"/>
          <w:szCs w:val="24"/>
        </w:rPr>
      </w:pPr>
    </w:p>
    <w:p w14:paraId="6553065E" w14:textId="4184DFD4" w:rsidR="0055137E" w:rsidRPr="00BF4AB8" w:rsidRDefault="0055137E" w:rsidP="0055137E">
      <w:pPr>
        <w:tabs>
          <w:tab w:val="left" w:pos="567"/>
        </w:tabs>
        <w:spacing w:line="260" w:lineRule="exact"/>
        <w:rPr>
          <w:snapToGrid w:val="0"/>
          <w:color w:val="0D0D0D"/>
          <w:sz w:val="22"/>
          <w:szCs w:val="24"/>
        </w:rPr>
      </w:pPr>
      <w:r w:rsidRPr="00BF4AB8">
        <w:rPr>
          <w:snapToGrid w:val="0"/>
          <w:color w:val="0D0D0D"/>
          <w:sz w:val="22"/>
          <w:szCs w:val="24"/>
        </w:rPr>
        <w:lastRenderedPageBreak/>
        <w:t xml:space="preserve">Jei pacientė pastoja vartodama </w:t>
      </w:r>
      <w:proofErr w:type="spellStart"/>
      <w:r w:rsidR="00E81DC6" w:rsidRPr="00BF4AB8">
        <w:rPr>
          <w:snapToGrid w:val="0"/>
          <w:color w:val="0D0D0D"/>
          <w:sz w:val="22"/>
          <w:szCs w:val="24"/>
        </w:rPr>
        <w:t>Nytyka</w:t>
      </w:r>
      <w:proofErr w:type="spellEnd"/>
      <w:r w:rsidRPr="00BF4AB8">
        <w:rPr>
          <w:snapToGrid w:val="0"/>
          <w:color w:val="0D0D0D"/>
          <w:sz w:val="22"/>
          <w:szCs w:val="24"/>
        </w:rPr>
        <w:t>, ją reikia informuoti apie galimą pavojų vaisiui. Reikia</w:t>
      </w:r>
      <w:r w:rsidR="002C1DB2" w:rsidRPr="00BF4AB8">
        <w:rPr>
          <w:snapToGrid w:val="0"/>
          <w:color w:val="0D0D0D"/>
          <w:sz w:val="22"/>
          <w:szCs w:val="24"/>
        </w:rPr>
        <w:t xml:space="preserve"> </w:t>
      </w:r>
      <w:r w:rsidRPr="00BF4AB8">
        <w:rPr>
          <w:snapToGrid w:val="0"/>
          <w:color w:val="0D0D0D"/>
          <w:sz w:val="22"/>
          <w:szCs w:val="24"/>
        </w:rPr>
        <w:t xml:space="preserve">apsvarstyti gydymo </w:t>
      </w:r>
      <w:proofErr w:type="spellStart"/>
      <w:r w:rsidR="002C1DB2" w:rsidRPr="00BF4AB8">
        <w:rPr>
          <w:snapToGrid w:val="0"/>
          <w:color w:val="0D0D0D"/>
          <w:sz w:val="22"/>
          <w:szCs w:val="24"/>
        </w:rPr>
        <w:t>nintedanibu</w:t>
      </w:r>
      <w:proofErr w:type="spellEnd"/>
      <w:r w:rsidR="002C1DB2" w:rsidRPr="00BF4AB8">
        <w:rPr>
          <w:snapToGrid w:val="0"/>
          <w:color w:val="0D0D0D"/>
          <w:sz w:val="22"/>
          <w:szCs w:val="24"/>
        </w:rPr>
        <w:t xml:space="preserve"> </w:t>
      </w:r>
      <w:r w:rsidRPr="00BF4AB8">
        <w:rPr>
          <w:snapToGrid w:val="0"/>
          <w:color w:val="0D0D0D"/>
          <w:sz w:val="22"/>
          <w:szCs w:val="24"/>
        </w:rPr>
        <w:t>nutraukimą.</w:t>
      </w:r>
    </w:p>
    <w:p w14:paraId="0C396939" w14:textId="77777777" w:rsidR="00501AD8" w:rsidRPr="00BF4AB8" w:rsidRDefault="00501AD8" w:rsidP="0055137E">
      <w:pPr>
        <w:tabs>
          <w:tab w:val="left" w:pos="567"/>
        </w:tabs>
        <w:spacing w:line="260" w:lineRule="exact"/>
        <w:rPr>
          <w:snapToGrid w:val="0"/>
          <w:color w:val="0D0D0D"/>
          <w:sz w:val="22"/>
          <w:szCs w:val="24"/>
        </w:rPr>
      </w:pPr>
    </w:p>
    <w:p w14:paraId="3D282C60" w14:textId="07881FD2" w:rsidR="0055137E" w:rsidRPr="00BF4AB8" w:rsidRDefault="0055137E" w:rsidP="0055137E">
      <w:pPr>
        <w:tabs>
          <w:tab w:val="left" w:pos="567"/>
        </w:tabs>
        <w:spacing w:line="260" w:lineRule="exact"/>
        <w:rPr>
          <w:snapToGrid w:val="0"/>
          <w:color w:val="0D0D0D"/>
          <w:sz w:val="22"/>
          <w:szCs w:val="24"/>
          <w:u w:val="single"/>
        </w:rPr>
      </w:pPr>
      <w:r w:rsidRPr="00BF4AB8">
        <w:rPr>
          <w:snapToGrid w:val="0"/>
          <w:color w:val="0D0D0D"/>
          <w:sz w:val="22"/>
          <w:szCs w:val="24"/>
          <w:u w:val="single"/>
        </w:rPr>
        <w:t>Žindymas</w:t>
      </w:r>
    </w:p>
    <w:p w14:paraId="20E71C19" w14:textId="09D805B5" w:rsidR="0055137E" w:rsidRPr="00BF4AB8" w:rsidRDefault="002C1DB2" w:rsidP="0055137E">
      <w:pPr>
        <w:tabs>
          <w:tab w:val="left" w:pos="567"/>
        </w:tabs>
        <w:spacing w:line="260" w:lineRule="exact"/>
        <w:rPr>
          <w:snapToGrid w:val="0"/>
          <w:color w:val="0D0D0D"/>
          <w:sz w:val="22"/>
          <w:szCs w:val="24"/>
        </w:rPr>
      </w:pPr>
      <w:r w:rsidRPr="00BF4AB8">
        <w:rPr>
          <w:snapToGrid w:val="0"/>
          <w:color w:val="0D0D0D"/>
          <w:sz w:val="22"/>
          <w:szCs w:val="24"/>
        </w:rPr>
        <w:t>I</w:t>
      </w:r>
      <w:r w:rsidR="0055137E" w:rsidRPr="00BF4AB8">
        <w:rPr>
          <w:snapToGrid w:val="0"/>
          <w:color w:val="0D0D0D"/>
          <w:sz w:val="22"/>
          <w:szCs w:val="24"/>
        </w:rPr>
        <w:t>nformacijos</w:t>
      </w:r>
      <w:r w:rsidRPr="00BF4AB8">
        <w:rPr>
          <w:snapToGrid w:val="0"/>
          <w:color w:val="0D0D0D"/>
          <w:sz w:val="22"/>
          <w:szCs w:val="24"/>
        </w:rPr>
        <w:t xml:space="preserve"> </w:t>
      </w:r>
      <w:r w:rsidR="0055137E" w:rsidRPr="00BF4AB8">
        <w:rPr>
          <w:snapToGrid w:val="0"/>
          <w:color w:val="0D0D0D"/>
          <w:sz w:val="22"/>
          <w:szCs w:val="24"/>
        </w:rPr>
        <w:t xml:space="preserve">apie </w:t>
      </w:r>
      <w:proofErr w:type="spellStart"/>
      <w:r w:rsidR="0055137E" w:rsidRPr="00BF4AB8">
        <w:rPr>
          <w:snapToGrid w:val="0"/>
          <w:color w:val="0D0D0D"/>
          <w:sz w:val="22"/>
          <w:szCs w:val="24"/>
        </w:rPr>
        <w:t>nintedanib</w:t>
      </w:r>
      <w:r w:rsidRPr="00BF4AB8">
        <w:rPr>
          <w:snapToGrid w:val="0"/>
          <w:color w:val="0D0D0D"/>
          <w:sz w:val="22"/>
          <w:szCs w:val="24"/>
        </w:rPr>
        <w:t>o</w:t>
      </w:r>
      <w:proofErr w:type="spellEnd"/>
      <w:r w:rsidR="0055137E" w:rsidRPr="00BF4AB8">
        <w:rPr>
          <w:snapToGrid w:val="0"/>
          <w:color w:val="0D0D0D"/>
          <w:sz w:val="22"/>
          <w:szCs w:val="24"/>
        </w:rPr>
        <w:t xml:space="preserve"> ir jo metabolit</w:t>
      </w:r>
      <w:r w:rsidRPr="00BF4AB8">
        <w:rPr>
          <w:snapToGrid w:val="0"/>
          <w:color w:val="0D0D0D"/>
          <w:sz w:val="22"/>
          <w:szCs w:val="24"/>
        </w:rPr>
        <w:t xml:space="preserve">ų išsiskyrimą </w:t>
      </w:r>
      <w:r w:rsidR="0055137E" w:rsidRPr="00BF4AB8">
        <w:rPr>
          <w:snapToGrid w:val="0"/>
          <w:color w:val="0D0D0D"/>
          <w:sz w:val="22"/>
          <w:szCs w:val="24"/>
        </w:rPr>
        <w:t>į motinos pieną</w:t>
      </w:r>
      <w:r w:rsidRPr="00BF4AB8">
        <w:rPr>
          <w:snapToGrid w:val="0"/>
          <w:color w:val="0D0D0D"/>
          <w:sz w:val="22"/>
          <w:szCs w:val="24"/>
        </w:rPr>
        <w:t xml:space="preserve"> nėra</w:t>
      </w:r>
      <w:r w:rsidR="0055137E" w:rsidRPr="00BF4AB8">
        <w:rPr>
          <w:snapToGrid w:val="0"/>
          <w:color w:val="0D0D0D"/>
          <w:sz w:val="22"/>
          <w:szCs w:val="24"/>
        </w:rPr>
        <w:t>.</w:t>
      </w:r>
      <w:r w:rsidRPr="00BF4AB8">
        <w:rPr>
          <w:snapToGrid w:val="0"/>
          <w:color w:val="0D0D0D"/>
          <w:sz w:val="22"/>
          <w:szCs w:val="24"/>
        </w:rPr>
        <w:t xml:space="preserve"> </w:t>
      </w:r>
      <w:proofErr w:type="spellStart"/>
      <w:r w:rsidR="0055137E" w:rsidRPr="00BF4AB8">
        <w:rPr>
          <w:snapToGrid w:val="0"/>
          <w:color w:val="0D0D0D"/>
          <w:sz w:val="22"/>
          <w:szCs w:val="24"/>
        </w:rPr>
        <w:t>Ikiklinikiniai</w:t>
      </w:r>
      <w:proofErr w:type="spellEnd"/>
      <w:r w:rsidR="0055137E" w:rsidRPr="00BF4AB8">
        <w:rPr>
          <w:snapToGrid w:val="0"/>
          <w:color w:val="0D0D0D"/>
          <w:sz w:val="22"/>
          <w:szCs w:val="24"/>
        </w:rPr>
        <w:t xml:space="preserve"> tyrimai parodė, kad nedideli</w:t>
      </w:r>
      <w:r w:rsidRPr="00BF4AB8">
        <w:rPr>
          <w:snapToGrid w:val="0"/>
          <w:color w:val="0D0D0D"/>
          <w:sz w:val="22"/>
          <w:szCs w:val="24"/>
        </w:rPr>
        <w:t>s</w:t>
      </w:r>
      <w:r w:rsidR="0055137E" w:rsidRPr="00BF4AB8">
        <w:rPr>
          <w:snapToGrid w:val="0"/>
          <w:color w:val="0D0D0D"/>
          <w:sz w:val="22"/>
          <w:szCs w:val="24"/>
        </w:rPr>
        <w:t xml:space="preserve"> kieki</w:t>
      </w:r>
      <w:r w:rsidRPr="00BF4AB8">
        <w:rPr>
          <w:snapToGrid w:val="0"/>
          <w:color w:val="0D0D0D"/>
          <w:sz w:val="22"/>
          <w:szCs w:val="24"/>
        </w:rPr>
        <w:t>s</w:t>
      </w:r>
      <w:r w:rsidR="0055137E" w:rsidRPr="00BF4AB8">
        <w:rPr>
          <w:snapToGrid w:val="0"/>
          <w:color w:val="0D0D0D"/>
          <w:sz w:val="22"/>
          <w:szCs w:val="24"/>
        </w:rPr>
        <w:t xml:space="preserve"> </w:t>
      </w:r>
      <w:proofErr w:type="spellStart"/>
      <w:r w:rsidR="0055137E" w:rsidRPr="00BF4AB8">
        <w:rPr>
          <w:snapToGrid w:val="0"/>
          <w:color w:val="0D0D0D"/>
          <w:sz w:val="22"/>
          <w:szCs w:val="24"/>
        </w:rPr>
        <w:t>nintedanibo</w:t>
      </w:r>
      <w:proofErr w:type="spellEnd"/>
      <w:r w:rsidR="0055137E" w:rsidRPr="00BF4AB8">
        <w:rPr>
          <w:snapToGrid w:val="0"/>
          <w:color w:val="0D0D0D"/>
          <w:sz w:val="22"/>
          <w:szCs w:val="24"/>
        </w:rPr>
        <w:t xml:space="preserve"> ir jo metabolitų (≤</w:t>
      </w:r>
      <w:r w:rsidRPr="00BF4AB8">
        <w:rPr>
          <w:snapToGrid w:val="0"/>
          <w:color w:val="0D0D0D"/>
          <w:sz w:val="22"/>
          <w:szCs w:val="24"/>
        </w:rPr>
        <w:t> </w:t>
      </w:r>
      <w:r w:rsidR="0055137E" w:rsidRPr="00BF4AB8">
        <w:rPr>
          <w:snapToGrid w:val="0"/>
          <w:color w:val="0D0D0D"/>
          <w:sz w:val="22"/>
          <w:szCs w:val="24"/>
        </w:rPr>
        <w:t>0,5</w:t>
      </w:r>
      <w:r w:rsidR="00AC48E9" w:rsidRPr="00BF4AB8">
        <w:rPr>
          <w:snapToGrid w:val="0"/>
          <w:color w:val="0D0D0D"/>
          <w:sz w:val="22"/>
          <w:szCs w:val="24"/>
        </w:rPr>
        <w:t> %</w:t>
      </w:r>
      <w:r w:rsidR="0055137E" w:rsidRPr="00BF4AB8">
        <w:rPr>
          <w:snapToGrid w:val="0"/>
          <w:color w:val="0D0D0D"/>
          <w:sz w:val="22"/>
          <w:szCs w:val="24"/>
        </w:rPr>
        <w:t xml:space="preserve"> pavartotos</w:t>
      </w:r>
      <w:r w:rsidRPr="00BF4AB8">
        <w:rPr>
          <w:snapToGrid w:val="0"/>
          <w:color w:val="0D0D0D"/>
          <w:sz w:val="22"/>
          <w:szCs w:val="24"/>
        </w:rPr>
        <w:t xml:space="preserve"> </w:t>
      </w:r>
      <w:r w:rsidR="0055137E" w:rsidRPr="00BF4AB8">
        <w:rPr>
          <w:snapToGrid w:val="0"/>
          <w:color w:val="0D0D0D"/>
          <w:sz w:val="22"/>
          <w:szCs w:val="24"/>
        </w:rPr>
        <w:t xml:space="preserve">dozės) išsiskyrė į </w:t>
      </w:r>
      <w:proofErr w:type="spellStart"/>
      <w:r w:rsidR="006E37AB" w:rsidRPr="00BF4AB8">
        <w:rPr>
          <w:snapToGrid w:val="0"/>
          <w:color w:val="0D0D0D"/>
          <w:sz w:val="22"/>
          <w:szCs w:val="24"/>
        </w:rPr>
        <w:t>laktuojančių</w:t>
      </w:r>
      <w:proofErr w:type="spellEnd"/>
      <w:r w:rsidR="0055137E" w:rsidRPr="00BF4AB8">
        <w:rPr>
          <w:snapToGrid w:val="0"/>
          <w:color w:val="0D0D0D"/>
          <w:sz w:val="22"/>
          <w:szCs w:val="24"/>
        </w:rPr>
        <w:t xml:space="preserve"> žiurkių pieną. Pavojaus žindomam vaikui negalima atmesti. Gydymo</w:t>
      </w:r>
      <w:r w:rsidR="006E37AB" w:rsidRPr="00BF4AB8">
        <w:rPr>
          <w:snapToGrid w:val="0"/>
          <w:color w:val="0D0D0D"/>
          <w:sz w:val="22"/>
          <w:szCs w:val="24"/>
        </w:rPr>
        <w:t xml:space="preserve"> šiuo vaistiniu preparatu</w:t>
      </w:r>
      <w:r w:rsidR="0055137E" w:rsidRPr="00BF4AB8">
        <w:rPr>
          <w:snapToGrid w:val="0"/>
          <w:color w:val="0D0D0D"/>
          <w:sz w:val="22"/>
          <w:szCs w:val="24"/>
        </w:rPr>
        <w:t xml:space="preserve"> metu žindymą reikia nutraukti.</w:t>
      </w:r>
    </w:p>
    <w:p w14:paraId="1516F665" w14:textId="77777777" w:rsidR="006E37AB" w:rsidRPr="00BF4AB8" w:rsidRDefault="006E37AB" w:rsidP="0055137E">
      <w:pPr>
        <w:tabs>
          <w:tab w:val="left" w:pos="567"/>
        </w:tabs>
        <w:spacing w:line="260" w:lineRule="exact"/>
        <w:rPr>
          <w:snapToGrid w:val="0"/>
          <w:color w:val="0D0D0D"/>
          <w:sz w:val="22"/>
          <w:szCs w:val="24"/>
        </w:rPr>
      </w:pPr>
    </w:p>
    <w:p w14:paraId="5D2DB256" w14:textId="376ABE65" w:rsidR="0055137E" w:rsidRPr="00BF4AB8" w:rsidRDefault="0055137E" w:rsidP="0055137E">
      <w:pPr>
        <w:tabs>
          <w:tab w:val="left" w:pos="567"/>
        </w:tabs>
        <w:spacing w:line="260" w:lineRule="exact"/>
        <w:rPr>
          <w:snapToGrid w:val="0"/>
          <w:color w:val="0D0D0D"/>
          <w:sz w:val="22"/>
          <w:szCs w:val="24"/>
          <w:u w:val="single"/>
        </w:rPr>
      </w:pPr>
      <w:r w:rsidRPr="00BF4AB8">
        <w:rPr>
          <w:snapToGrid w:val="0"/>
          <w:color w:val="0D0D0D"/>
          <w:sz w:val="22"/>
          <w:szCs w:val="24"/>
          <w:u w:val="single"/>
        </w:rPr>
        <w:t>Vaisingumas</w:t>
      </w:r>
    </w:p>
    <w:p w14:paraId="5A506C98" w14:textId="7D6CA328" w:rsidR="005D554B" w:rsidRPr="00BF4AB8" w:rsidRDefault="0055137E" w:rsidP="0055137E">
      <w:pPr>
        <w:tabs>
          <w:tab w:val="left" w:pos="567"/>
        </w:tabs>
        <w:spacing w:line="260" w:lineRule="exact"/>
        <w:rPr>
          <w:snapToGrid w:val="0"/>
          <w:color w:val="0D0D0D"/>
          <w:sz w:val="22"/>
        </w:rPr>
      </w:pPr>
      <w:r w:rsidRPr="00BF4AB8">
        <w:rPr>
          <w:snapToGrid w:val="0"/>
          <w:color w:val="0D0D0D"/>
          <w:sz w:val="22"/>
          <w:szCs w:val="24"/>
        </w:rPr>
        <w:t xml:space="preserve">Remiantis </w:t>
      </w:r>
      <w:proofErr w:type="spellStart"/>
      <w:r w:rsidRPr="00BF4AB8">
        <w:rPr>
          <w:snapToGrid w:val="0"/>
          <w:color w:val="0D0D0D"/>
          <w:sz w:val="22"/>
          <w:szCs w:val="24"/>
        </w:rPr>
        <w:t>ikiklinikiniais</w:t>
      </w:r>
      <w:proofErr w:type="spellEnd"/>
      <w:r w:rsidRPr="00BF4AB8">
        <w:rPr>
          <w:snapToGrid w:val="0"/>
          <w:color w:val="0D0D0D"/>
          <w:sz w:val="22"/>
          <w:szCs w:val="24"/>
        </w:rPr>
        <w:t xml:space="preserve"> tyrimais, </w:t>
      </w:r>
      <w:r w:rsidR="00731FD4" w:rsidRPr="00BF4AB8">
        <w:rPr>
          <w:snapToGrid w:val="0"/>
          <w:color w:val="0D0D0D"/>
          <w:sz w:val="22"/>
          <w:szCs w:val="24"/>
        </w:rPr>
        <w:t xml:space="preserve">duomenų apie </w:t>
      </w:r>
      <w:r w:rsidRPr="00BF4AB8">
        <w:rPr>
          <w:snapToGrid w:val="0"/>
          <w:color w:val="0D0D0D"/>
          <w:sz w:val="22"/>
          <w:szCs w:val="24"/>
        </w:rPr>
        <w:t>vyrų vaisingumo sutrikim</w:t>
      </w:r>
      <w:r w:rsidR="00731FD4" w:rsidRPr="00BF4AB8">
        <w:rPr>
          <w:snapToGrid w:val="0"/>
          <w:color w:val="0D0D0D"/>
          <w:sz w:val="22"/>
          <w:szCs w:val="24"/>
        </w:rPr>
        <w:t xml:space="preserve">us nėra </w:t>
      </w:r>
      <w:r w:rsidRPr="00BF4AB8">
        <w:rPr>
          <w:snapToGrid w:val="0"/>
          <w:color w:val="0D0D0D"/>
          <w:sz w:val="22"/>
          <w:szCs w:val="24"/>
        </w:rPr>
        <w:t>(žr. 5.3</w:t>
      </w:r>
      <w:r w:rsidR="00731FD4" w:rsidRPr="00BF4AB8">
        <w:rPr>
          <w:snapToGrid w:val="0"/>
          <w:color w:val="0D0D0D"/>
          <w:sz w:val="22"/>
          <w:szCs w:val="24"/>
        </w:rPr>
        <w:t> </w:t>
      </w:r>
      <w:r w:rsidRPr="00BF4AB8">
        <w:rPr>
          <w:snapToGrid w:val="0"/>
          <w:color w:val="0D0D0D"/>
          <w:sz w:val="22"/>
          <w:szCs w:val="24"/>
        </w:rPr>
        <w:t xml:space="preserve">skyrių). </w:t>
      </w:r>
      <w:r w:rsidR="00731FD4" w:rsidRPr="00BF4AB8">
        <w:rPr>
          <w:snapToGrid w:val="0"/>
          <w:color w:val="0D0D0D"/>
          <w:sz w:val="22"/>
          <w:szCs w:val="24"/>
        </w:rPr>
        <w:t xml:space="preserve">Galimo </w:t>
      </w:r>
      <w:proofErr w:type="spellStart"/>
      <w:r w:rsidR="00731FD4" w:rsidRPr="00BF4AB8">
        <w:rPr>
          <w:snapToGrid w:val="0"/>
          <w:color w:val="0D0D0D"/>
          <w:sz w:val="22"/>
          <w:szCs w:val="24"/>
        </w:rPr>
        <w:t>nintedanibo</w:t>
      </w:r>
      <w:proofErr w:type="spellEnd"/>
      <w:r w:rsidR="00731FD4" w:rsidRPr="00BF4AB8">
        <w:rPr>
          <w:snapToGrid w:val="0"/>
          <w:color w:val="0D0D0D"/>
          <w:sz w:val="22"/>
          <w:szCs w:val="24"/>
        </w:rPr>
        <w:t xml:space="preserve"> poveikio moterų vaisingumui </w:t>
      </w:r>
      <w:r w:rsidRPr="00BF4AB8">
        <w:rPr>
          <w:snapToGrid w:val="0"/>
          <w:color w:val="0D0D0D"/>
          <w:sz w:val="22"/>
          <w:szCs w:val="24"/>
        </w:rPr>
        <w:t>tyrimų su žmonėmis ar gyvūnais</w:t>
      </w:r>
      <w:r w:rsidR="00731FD4" w:rsidRPr="00BF4AB8">
        <w:rPr>
          <w:snapToGrid w:val="0"/>
          <w:color w:val="0D0D0D"/>
          <w:sz w:val="22"/>
          <w:szCs w:val="24"/>
        </w:rPr>
        <w:t xml:space="preserve"> neatlikta.</w:t>
      </w:r>
    </w:p>
    <w:p w14:paraId="5A62FAF4" w14:textId="77777777" w:rsidR="005D554B" w:rsidRPr="00BF4AB8" w:rsidRDefault="005D554B" w:rsidP="005D554B">
      <w:pPr>
        <w:tabs>
          <w:tab w:val="left" w:pos="567"/>
        </w:tabs>
        <w:spacing w:line="260" w:lineRule="exact"/>
        <w:rPr>
          <w:snapToGrid w:val="0"/>
          <w:sz w:val="22"/>
          <w:szCs w:val="24"/>
        </w:rPr>
      </w:pPr>
    </w:p>
    <w:p w14:paraId="22424686" w14:textId="77777777" w:rsidR="005D554B" w:rsidRPr="00BF4AB8" w:rsidRDefault="005D554B" w:rsidP="005D554B">
      <w:pPr>
        <w:keepNext/>
        <w:tabs>
          <w:tab w:val="left" w:pos="567"/>
        </w:tabs>
        <w:spacing w:line="260" w:lineRule="exact"/>
        <w:jc w:val="both"/>
        <w:outlineLvl w:val="3"/>
        <w:rPr>
          <w:b/>
          <w:bCs/>
          <w:snapToGrid w:val="0"/>
          <w:sz w:val="22"/>
          <w:szCs w:val="28"/>
          <w:lang w:eastAsia="x-none"/>
        </w:rPr>
      </w:pPr>
      <w:r w:rsidRPr="00BF4AB8">
        <w:rPr>
          <w:b/>
          <w:bCs/>
          <w:snapToGrid w:val="0"/>
          <w:sz w:val="22"/>
          <w:szCs w:val="28"/>
          <w:lang w:eastAsia="x-none"/>
        </w:rPr>
        <w:t>4.7</w:t>
      </w:r>
      <w:r w:rsidRPr="00BF4AB8">
        <w:rPr>
          <w:b/>
          <w:bCs/>
          <w:snapToGrid w:val="0"/>
          <w:sz w:val="22"/>
          <w:szCs w:val="28"/>
          <w:lang w:eastAsia="x-none"/>
        </w:rPr>
        <w:tab/>
        <w:t>Poveikis gebėjimui vairuoti ir valdyti mechanizmus</w:t>
      </w:r>
    </w:p>
    <w:p w14:paraId="63983B06" w14:textId="77777777" w:rsidR="005D554B" w:rsidRPr="00BF4AB8" w:rsidRDefault="005D554B" w:rsidP="005D554B">
      <w:pPr>
        <w:tabs>
          <w:tab w:val="left" w:pos="567"/>
        </w:tabs>
        <w:spacing w:line="260" w:lineRule="exact"/>
        <w:rPr>
          <w:snapToGrid w:val="0"/>
          <w:sz w:val="22"/>
          <w:szCs w:val="24"/>
        </w:rPr>
      </w:pPr>
    </w:p>
    <w:p w14:paraId="0BCDE791" w14:textId="7DB8FC70" w:rsidR="005D554B" w:rsidRPr="00BF4AB8" w:rsidRDefault="004F3C73" w:rsidP="004F3C73">
      <w:pPr>
        <w:tabs>
          <w:tab w:val="left" w:pos="567"/>
        </w:tabs>
        <w:spacing w:line="260" w:lineRule="exact"/>
        <w:rPr>
          <w:snapToGrid w:val="0"/>
          <w:sz w:val="22"/>
          <w:szCs w:val="24"/>
        </w:rPr>
      </w:pPr>
      <w:proofErr w:type="spellStart"/>
      <w:r w:rsidRPr="00BF4AB8">
        <w:rPr>
          <w:snapToGrid w:val="0"/>
          <w:sz w:val="22"/>
          <w:szCs w:val="24"/>
        </w:rPr>
        <w:t>Nytyka</w:t>
      </w:r>
      <w:proofErr w:type="spellEnd"/>
      <w:r w:rsidRPr="00BF4AB8">
        <w:rPr>
          <w:snapToGrid w:val="0"/>
          <w:sz w:val="22"/>
          <w:szCs w:val="24"/>
        </w:rPr>
        <w:t xml:space="preserve"> </w:t>
      </w:r>
      <w:r w:rsidR="005D554B" w:rsidRPr="00BF4AB8">
        <w:rPr>
          <w:snapToGrid w:val="0"/>
          <w:sz w:val="22"/>
          <w:szCs w:val="24"/>
        </w:rPr>
        <w:t>gebėjim</w:t>
      </w:r>
      <w:r w:rsidR="00CE585C" w:rsidRPr="00BF4AB8">
        <w:rPr>
          <w:snapToGrid w:val="0"/>
          <w:sz w:val="22"/>
          <w:szCs w:val="24"/>
        </w:rPr>
        <w:t>ą</w:t>
      </w:r>
      <w:r w:rsidR="005D554B" w:rsidRPr="00BF4AB8">
        <w:rPr>
          <w:snapToGrid w:val="0"/>
          <w:sz w:val="22"/>
          <w:szCs w:val="24"/>
        </w:rPr>
        <w:t xml:space="preserve"> vairuoti ir valdyti mechanizmus veikia </w:t>
      </w:r>
      <w:r w:rsidR="00CE585C" w:rsidRPr="00BF4AB8">
        <w:rPr>
          <w:snapToGrid w:val="0"/>
          <w:sz w:val="22"/>
          <w:szCs w:val="24"/>
        </w:rPr>
        <w:t>silpnai</w:t>
      </w:r>
      <w:r w:rsidRPr="00BF4AB8">
        <w:rPr>
          <w:snapToGrid w:val="0"/>
          <w:sz w:val="22"/>
          <w:szCs w:val="24"/>
        </w:rPr>
        <w:t>.</w:t>
      </w:r>
      <w:r w:rsidRPr="00BF4AB8">
        <w:t xml:space="preserve"> </w:t>
      </w:r>
      <w:r w:rsidRPr="00BF4AB8">
        <w:rPr>
          <w:snapToGrid w:val="0"/>
          <w:sz w:val="22"/>
          <w:szCs w:val="24"/>
        </w:rPr>
        <w:t>Pacientams reikia patarti būti atsargiems, vairuojant ir valdant mechanizmus gydymo šiuo vaistiniu preparatu metu.</w:t>
      </w:r>
    </w:p>
    <w:p w14:paraId="75394C56" w14:textId="77777777" w:rsidR="005D554B" w:rsidRPr="00BF4AB8" w:rsidRDefault="005D554B" w:rsidP="005D554B">
      <w:pPr>
        <w:tabs>
          <w:tab w:val="left" w:pos="567"/>
        </w:tabs>
        <w:spacing w:line="260" w:lineRule="exact"/>
        <w:rPr>
          <w:snapToGrid w:val="0"/>
          <w:sz w:val="22"/>
          <w:szCs w:val="24"/>
        </w:rPr>
      </w:pPr>
    </w:p>
    <w:p w14:paraId="323274F5" w14:textId="77777777" w:rsidR="005D554B" w:rsidRPr="00BF4AB8" w:rsidRDefault="005D554B" w:rsidP="005D554B">
      <w:pPr>
        <w:tabs>
          <w:tab w:val="left" w:pos="567"/>
        </w:tabs>
        <w:outlineLvl w:val="0"/>
        <w:rPr>
          <w:snapToGrid w:val="0"/>
          <w:sz w:val="22"/>
          <w:u w:val="single"/>
        </w:rPr>
      </w:pPr>
      <w:r w:rsidRPr="00BF4AB8">
        <w:rPr>
          <w:b/>
          <w:snapToGrid w:val="0"/>
          <w:sz w:val="22"/>
        </w:rPr>
        <w:t>4.8</w:t>
      </w:r>
      <w:r w:rsidRPr="00BF4AB8">
        <w:rPr>
          <w:b/>
          <w:snapToGrid w:val="0"/>
          <w:sz w:val="22"/>
        </w:rPr>
        <w:tab/>
        <w:t>Nepageidaujamas poveikis</w:t>
      </w:r>
    </w:p>
    <w:p w14:paraId="744AF453" w14:textId="77777777" w:rsidR="004F3C73" w:rsidRPr="00BF4AB8" w:rsidRDefault="004F3C73" w:rsidP="005D554B">
      <w:pPr>
        <w:tabs>
          <w:tab w:val="left" w:pos="567"/>
        </w:tabs>
        <w:contextualSpacing/>
        <w:outlineLvl w:val="0"/>
        <w:rPr>
          <w:snapToGrid w:val="0"/>
          <w:sz w:val="22"/>
          <w:szCs w:val="22"/>
        </w:rPr>
      </w:pPr>
    </w:p>
    <w:p w14:paraId="0920BE90" w14:textId="6763A1EE" w:rsidR="005D554B" w:rsidRPr="00BF4AB8" w:rsidRDefault="005D554B" w:rsidP="005D554B">
      <w:pPr>
        <w:tabs>
          <w:tab w:val="left" w:pos="567"/>
        </w:tabs>
        <w:spacing w:line="260" w:lineRule="exact"/>
        <w:rPr>
          <w:iCs/>
          <w:snapToGrid w:val="0"/>
          <w:sz w:val="22"/>
          <w:szCs w:val="22"/>
          <w:u w:val="single"/>
          <w:lang w:eastAsia="lt-LT"/>
        </w:rPr>
      </w:pPr>
      <w:r w:rsidRPr="00BF4AB8">
        <w:rPr>
          <w:iCs/>
          <w:snapToGrid w:val="0"/>
          <w:sz w:val="22"/>
          <w:szCs w:val="22"/>
          <w:u w:val="single"/>
          <w:lang w:eastAsia="lt-LT"/>
        </w:rPr>
        <w:t>Saugumo duomenų santrauka</w:t>
      </w:r>
    </w:p>
    <w:p w14:paraId="6F8EBF8B" w14:textId="74229A77" w:rsidR="004F3C73" w:rsidRPr="00BF4AB8" w:rsidRDefault="004F3C73" w:rsidP="004F3C73">
      <w:pPr>
        <w:tabs>
          <w:tab w:val="left" w:pos="567"/>
        </w:tabs>
        <w:spacing w:line="260" w:lineRule="exact"/>
        <w:rPr>
          <w:iCs/>
          <w:snapToGrid w:val="0"/>
          <w:sz w:val="22"/>
          <w:szCs w:val="22"/>
          <w:lang w:eastAsia="lt-LT"/>
        </w:rPr>
      </w:pPr>
      <w:r w:rsidRPr="00BF4AB8">
        <w:rPr>
          <w:iCs/>
          <w:snapToGrid w:val="0"/>
          <w:sz w:val="22"/>
          <w:szCs w:val="22"/>
          <w:lang w:eastAsia="lt-LT"/>
        </w:rPr>
        <w:t>Toliau šiame skyriuje pateikti saugumo duomenys yra paremti globaliu, dvigubai koduotu atsitiktinių imčių pagrindiniu 3 fazės tyrimu 1199.13 (LUME-</w:t>
      </w:r>
      <w:proofErr w:type="spellStart"/>
      <w:r w:rsidRPr="00BF4AB8">
        <w:rPr>
          <w:iCs/>
          <w:snapToGrid w:val="0"/>
          <w:sz w:val="22"/>
          <w:szCs w:val="22"/>
          <w:lang w:eastAsia="lt-LT"/>
        </w:rPr>
        <w:t>Lung</w:t>
      </w:r>
      <w:proofErr w:type="spellEnd"/>
      <w:r w:rsidRPr="00BF4AB8">
        <w:rPr>
          <w:iCs/>
          <w:snapToGrid w:val="0"/>
          <w:sz w:val="22"/>
          <w:szCs w:val="22"/>
          <w:lang w:eastAsia="lt-LT"/>
        </w:rPr>
        <w:t xml:space="preserve"> 1), kurio metu buvo lyginamas lokaliai progresavusiu, </w:t>
      </w:r>
      <w:proofErr w:type="spellStart"/>
      <w:r w:rsidR="005467FB" w:rsidRPr="00BF4AB8">
        <w:rPr>
          <w:iCs/>
          <w:snapToGrid w:val="0"/>
          <w:sz w:val="22"/>
          <w:szCs w:val="22"/>
          <w:lang w:eastAsia="lt-LT"/>
        </w:rPr>
        <w:t>metastaziniu</w:t>
      </w:r>
      <w:proofErr w:type="spellEnd"/>
      <w:r w:rsidRPr="00BF4AB8">
        <w:rPr>
          <w:iCs/>
          <w:snapToGrid w:val="0"/>
          <w:sz w:val="22"/>
          <w:szCs w:val="22"/>
          <w:lang w:eastAsia="lt-LT"/>
        </w:rPr>
        <w:t xml:space="preserve"> ar r</w:t>
      </w:r>
      <w:r w:rsidR="005467FB" w:rsidRPr="00BF4AB8">
        <w:rPr>
          <w:iCs/>
          <w:snapToGrid w:val="0"/>
          <w:sz w:val="22"/>
          <w:szCs w:val="22"/>
          <w:lang w:eastAsia="lt-LT"/>
        </w:rPr>
        <w:t>ecidyviniu</w:t>
      </w:r>
      <w:r w:rsidRPr="00BF4AB8">
        <w:rPr>
          <w:iCs/>
          <w:snapToGrid w:val="0"/>
          <w:sz w:val="22"/>
          <w:szCs w:val="22"/>
          <w:lang w:eastAsia="lt-LT"/>
        </w:rPr>
        <w:t xml:space="preserve"> NSPV sergančių pacientų gydymas </w:t>
      </w:r>
      <w:proofErr w:type="spellStart"/>
      <w:r w:rsidRPr="00BF4AB8">
        <w:rPr>
          <w:iCs/>
          <w:snapToGrid w:val="0"/>
          <w:sz w:val="22"/>
          <w:szCs w:val="22"/>
          <w:lang w:eastAsia="lt-LT"/>
        </w:rPr>
        <w:t>nintedanibo</w:t>
      </w:r>
      <w:proofErr w:type="spellEnd"/>
      <w:r w:rsidRPr="00BF4AB8">
        <w:rPr>
          <w:iCs/>
          <w:snapToGrid w:val="0"/>
          <w:sz w:val="22"/>
          <w:szCs w:val="22"/>
          <w:lang w:eastAsia="lt-LT"/>
        </w:rPr>
        <w:t xml:space="preserve"> ir </w:t>
      </w:r>
      <w:proofErr w:type="spellStart"/>
      <w:r w:rsidRPr="00BF4AB8">
        <w:rPr>
          <w:iCs/>
          <w:snapToGrid w:val="0"/>
          <w:sz w:val="22"/>
          <w:szCs w:val="22"/>
          <w:lang w:eastAsia="lt-LT"/>
        </w:rPr>
        <w:t>docetakselio</w:t>
      </w:r>
      <w:proofErr w:type="spellEnd"/>
      <w:r w:rsidRPr="00BF4AB8">
        <w:rPr>
          <w:iCs/>
          <w:snapToGrid w:val="0"/>
          <w:sz w:val="22"/>
          <w:szCs w:val="22"/>
          <w:lang w:eastAsia="lt-LT"/>
        </w:rPr>
        <w:t xml:space="preserve"> deriniu bei </w:t>
      </w:r>
      <w:proofErr w:type="spellStart"/>
      <w:r w:rsidRPr="00BF4AB8">
        <w:rPr>
          <w:iCs/>
          <w:snapToGrid w:val="0"/>
          <w:sz w:val="22"/>
          <w:szCs w:val="22"/>
          <w:lang w:eastAsia="lt-LT"/>
        </w:rPr>
        <w:t>placebo</w:t>
      </w:r>
      <w:proofErr w:type="spellEnd"/>
      <w:r w:rsidRPr="00BF4AB8">
        <w:rPr>
          <w:iCs/>
          <w:snapToGrid w:val="0"/>
          <w:sz w:val="22"/>
          <w:szCs w:val="22"/>
          <w:lang w:eastAsia="lt-LT"/>
        </w:rPr>
        <w:t xml:space="preserve"> ir </w:t>
      </w:r>
      <w:proofErr w:type="spellStart"/>
      <w:r w:rsidRPr="00BF4AB8">
        <w:rPr>
          <w:iCs/>
          <w:snapToGrid w:val="0"/>
          <w:sz w:val="22"/>
          <w:szCs w:val="22"/>
          <w:lang w:eastAsia="lt-LT"/>
        </w:rPr>
        <w:t>docetakselio</w:t>
      </w:r>
      <w:proofErr w:type="spellEnd"/>
      <w:r w:rsidRPr="00BF4AB8">
        <w:rPr>
          <w:iCs/>
          <w:snapToGrid w:val="0"/>
          <w:sz w:val="22"/>
          <w:szCs w:val="22"/>
          <w:lang w:eastAsia="lt-LT"/>
        </w:rPr>
        <w:t xml:space="preserve"> deriniu po pirmaeilės chemoterapijos, ir duomenimis, gautais po vaistinio preparato pateikimo į rinką. Dažniausiai praneštos </w:t>
      </w:r>
      <w:proofErr w:type="spellStart"/>
      <w:r w:rsidRPr="00BF4AB8">
        <w:rPr>
          <w:iCs/>
          <w:snapToGrid w:val="0"/>
          <w:sz w:val="22"/>
          <w:szCs w:val="22"/>
          <w:lang w:eastAsia="lt-LT"/>
        </w:rPr>
        <w:t>nintedanibui</w:t>
      </w:r>
      <w:proofErr w:type="spellEnd"/>
      <w:r w:rsidRPr="00BF4AB8">
        <w:rPr>
          <w:iCs/>
          <w:snapToGrid w:val="0"/>
          <w:sz w:val="22"/>
          <w:szCs w:val="22"/>
          <w:lang w:eastAsia="lt-LT"/>
        </w:rPr>
        <w:t xml:space="preserve"> specifinės nepageidaujamos reakcijos (NR) buvo viduriavimas, kepenų fermentų (ALT ir AST) </w:t>
      </w:r>
      <w:proofErr w:type="spellStart"/>
      <w:r w:rsidRPr="00BF4AB8">
        <w:rPr>
          <w:iCs/>
          <w:snapToGrid w:val="0"/>
          <w:sz w:val="22"/>
          <w:szCs w:val="22"/>
          <w:lang w:eastAsia="lt-LT"/>
        </w:rPr>
        <w:t>aktyvumų</w:t>
      </w:r>
      <w:proofErr w:type="spellEnd"/>
      <w:r w:rsidRPr="00BF4AB8">
        <w:rPr>
          <w:iCs/>
          <w:snapToGrid w:val="0"/>
          <w:sz w:val="22"/>
          <w:szCs w:val="22"/>
          <w:lang w:eastAsia="lt-LT"/>
        </w:rPr>
        <w:t xml:space="preserve"> padidėjimas ir vėmimas. 3 lentelėje pateikta nepageidaujamų reakcijų pagal organų sistemų klases (OSK) santrauka. </w:t>
      </w:r>
      <w:r w:rsidR="00CB2E6A" w:rsidRPr="00BF4AB8">
        <w:rPr>
          <w:iCs/>
          <w:snapToGrid w:val="0"/>
          <w:sz w:val="22"/>
          <w:szCs w:val="22"/>
          <w:lang w:eastAsia="lt-LT"/>
        </w:rPr>
        <w:t>Informacijos a</w:t>
      </w:r>
      <w:r w:rsidRPr="00BF4AB8">
        <w:rPr>
          <w:iCs/>
          <w:snapToGrid w:val="0"/>
          <w:sz w:val="22"/>
          <w:szCs w:val="22"/>
          <w:lang w:eastAsia="lt-LT"/>
        </w:rPr>
        <w:t>pie atrinktų nepageidaujamų reakcijų valdymą pateikiama 4.4 skyriuje.</w:t>
      </w:r>
      <w:r w:rsidR="00CB2E6A" w:rsidRPr="00BF4AB8">
        <w:rPr>
          <w:iCs/>
          <w:snapToGrid w:val="0"/>
          <w:sz w:val="22"/>
          <w:szCs w:val="22"/>
          <w:lang w:eastAsia="lt-LT"/>
        </w:rPr>
        <w:t xml:space="preserve"> </w:t>
      </w:r>
      <w:r w:rsidRPr="00BF4AB8">
        <w:rPr>
          <w:iCs/>
          <w:snapToGrid w:val="0"/>
          <w:sz w:val="22"/>
          <w:szCs w:val="22"/>
          <w:lang w:eastAsia="lt-LT"/>
        </w:rPr>
        <w:t>Informacija apie atrinktas nepageidaujamas reakcijas, pastebėtas LUME-</w:t>
      </w:r>
      <w:proofErr w:type="spellStart"/>
      <w:r w:rsidRPr="00BF4AB8">
        <w:rPr>
          <w:iCs/>
          <w:snapToGrid w:val="0"/>
          <w:sz w:val="22"/>
          <w:szCs w:val="22"/>
          <w:lang w:eastAsia="lt-LT"/>
        </w:rPr>
        <w:t>Lung</w:t>
      </w:r>
      <w:proofErr w:type="spellEnd"/>
      <w:r w:rsidR="00CB2E6A" w:rsidRPr="00BF4AB8">
        <w:rPr>
          <w:iCs/>
          <w:snapToGrid w:val="0"/>
          <w:sz w:val="22"/>
          <w:szCs w:val="22"/>
          <w:lang w:eastAsia="lt-LT"/>
        </w:rPr>
        <w:t> </w:t>
      </w:r>
      <w:r w:rsidRPr="00BF4AB8">
        <w:rPr>
          <w:iCs/>
          <w:snapToGrid w:val="0"/>
          <w:sz w:val="22"/>
          <w:szCs w:val="22"/>
          <w:lang w:eastAsia="lt-LT"/>
        </w:rPr>
        <w:t>1 tyrimo metu, pateikta</w:t>
      </w:r>
      <w:r w:rsidR="00CB2E6A" w:rsidRPr="00BF4AB8">
        <w:rPr>
          <w:iCs/>
          <w:snapToGrid w:val="0"/>
          <w:sz w:val="22"/>
          <w:szCs w:val="22"/>
          <w:lang w:eastAsia="lt-LT"/>
        </w:rPr>
        <w:t xml:space="preserve"> </w:t>
      </w:r>
      <w:r w:rsidRPr="00BF4AB8">
        <w:rPr>
          <w:iCs/>
          <w:snapToGrid w:val="0"/>
          <w:sz w:val="22"/>
          <w:szCs w:val="22"/>
          <w:lang w:eastAsia="lt-LT"/>
        </w:rPr>
        <w:t>toliau.</w:t>
      </w:r>
    </w:p>
    <w:p w14:paraId="3FD66B16" w14:textId="77777777" w:rsidR="00CB2E6A" w:rsidRPr="00BF4AB8" w:rsidRDefault="00CB2E6A" w:rsidP="004F3C73">
      <w:pPr>
        <w:tabs>
          <w:tab w:val="left" w:pos="567"/>
        </w:tabs>
        <w:spacing w:line="260" w:lineRule="exact"/>
        <w:rPr>
          <w:iCs/>
          <w:snapToGrid w:val="0"/>
          <w:sz w:val="22"/>
          <w:szCs w:val="22"/>
          <w:lang w:eastAsia="lt-LT"/>
        </w:rPr>
      </w:pPr>
    </w:p>
    <w:p w14:paraId="52572C02" w14:textId="77777777" w:rsidR="004F3C73" w:rsidRPr="00BF4AB8" w:rsidRDefault="004F3C73" w:rsidP="004F3C73">
      <w:pPr>
        <w:tabs>
          <w:tab w:val="left" w:pos="567"/>
        </w:tabs>
        <w:spacing w:line="260" w:lineRule="exact"/>
        <w:rPr>
          <w:iCs/>
          <w:snapToGrid w:val="0"/>
          <w:sz w:val="22"/>
          <w:szCs w:val="22"/>
          <w:u w:val="single"/>
          <w:lang w:eastAsia="lt-LT"/>
        </w:rPr>
      </w:pPr>
      <w:r w:rsidRPr="00BF4AB8">
        <w:rPr>
          <w:iCs/>
          <w:snapToGrid w:val="0"/>
          <w:sz w:val="22"/>
          <w:szCs w:val="22"/>
          <w:u w:val="single"/>
          <w:lang w:eastAsia="lt-LT"/>
        </w:rPr>
        <w:t>Nepageidaujamų reakcijų santrauka lentelėje</w:t>
      </w:r>
    </w:p>
    <w:p w14:paraId="5ED176B8" w14:textId="74E0FE43" w:rsidR="004F3C73" w:rsidRPr="00BF4AB8" w:rsidRDefault="004F3C73" w:rsidP="004F3C73">
      <w:pPr>
        <w:tabs>
          <w:tab w:val="left" w:pos="567"/>
        </w:tabs>
        <w:spacing w:line="260" w:lineRule="exact"/>
        <w:rPr>
          <w:iCs/>
          <w:snapToGrid w:val="0"/>
          <w:sz w:val="22"/>
          <w:szCs w:val="22"/>
          <w:lang w:eastAsia="lt-LT"/>
        </w:rPr>
      </w:pPr>
      <w:r w:rsidRPr="00BF4AB8">
        <w:rPr>
          <w:iCs/>
          <w:snapToGrid w:val="0"/>
          <w:sz w:val="22"/>
          <w:szCs w:val="22"/>
          <w:lang w:eastAsia="lt-LT"/>
        </w:rPr>
        <w:t>3</w:t>
      </w:r>
      <w:r w:rsidR="00CB2E6A" w:rsidRPr="00BF4AB8">
        <w:rPr>
          <w:iCs/>
          <w:snapToGrid w:val="0"/>
          <w:sz w:val="22"/>
          <w:szCs w:val="22"/>
          <w:lang w:eastAsia="lt-LT"/>
        </w:rPr>
        <w:t> </w:t>
      </w:r>
      <w:r w:rsidRPr="00BF4AB8">
        <w:rPr>
          <w:iCs/>
          <w:snapToGrid w:val="0"/>
          <w:sz w:val="22"/>
          <w:szCs w:val="22"/>
          <w:lang w:eastAsia="lt-LT"/>
        </w:rPr>
        <w:t xml:space="preserve">lentelėje </w:t>
      </w:r>
      <w:r w:rsidR="00CB2E6A" w:rsidRPr="00BF4AB8">
        <w:rPr>
          <w:iCs/>
          <w:snapToGrid w:val="0"/>
          <w:sz w:val="22"/>
          <w:szCs w:val="22"/>
          <w:lang w:eastAsia="lt-LT"/>
        </w:rPr>
        <w:t>apibendrintas</w:t>
      </w:r>
      <w:r w:rsidRPr="00BF4AB8">
        <w:rPr>
          <w:iCs/>
          <w:snapToGrid w:val="0"/>
          <w:sz w:val="22"/>
          <w:szCs w:val="22"/>
          <w:lang w:eastAsia="lt-LT"/>
        </w:rPr>
        <w:t xml:space="preserve"> </w:t>
      </w:r>
      <w:r w:rsidR="00CB2E6A" w:rsidRPr="00BF4AB8">
        <w:rPr>
          <w:iCs/>
          <w:snapToGrid w:val="0"/>
          <w:sz w:val="22"/>
          <w:szCs w:val="22"/>
          <w:lang w:eastAsia="lt-LT"/>
        </w:rPr>
        <w:t xml:space="preserve">dažnis </w:t>
      </w:r>
      <w:r w:rsidRPr="00BF4AB8">
        <w:rPr>
          <w:iCs/>
          <w:snapToGrid w:val="0"/>
          <w:sz w:val="22"/>
          <w:szCs w:val="22"/>
          <w:lang w:eastAsia="lt-LT"/>
        </w:rPr>
        <w:t xml:space="preserve">nepageidaujamų reakcijų, </w:t>
      </w:r>
      <w:r w:rsidR="00CB2E6A" w:rsidRPr="00BF4AB8">
        <w:rPr>
          <w:iCs/>
          <w:snapToGrid w:val="0"/>
          <w:sz w:val="22"/>
          <w:szCs w:val="22"/>
          <w:lang w:eastAsia="lt-LT"/>
        </w:rPr>
        <w:t>apie kurias</w:t>
      </w:r>
      <w:r w:rsidRPr="00BF4AB8">
        <w:rPr>
          <w:iCs/>
          <w:snapToGrid w:val="0"/>
          <w:sz w:val="22"/>
          <w:szCs w:val="22"/>
          <w:lang w:eastAsia="lt-LT"/>
        </w:rPr>
        <w:t xml:space="preserve"> buvo </w:t>
      </w:r>
      <w:r w:rsidR="00CB2E6A" w:rsidRPr="00BF4AB8">
        <w:rPr>
          <w:iCs/>
          <w:snapToGrid w:val="0"/>
          <w:sz w:val="22"/>
          <w:szCs w:val="22"/>
          <w:lang w:eastAsia="lt-LT"/>
        </w:rPr>
        <w:t xml:space="preserve">pranešta </w:t>
      </w:r>
      <w:r w:rsidRPr="00BF4AB8">
        <w:rPr>
          <w:iCs/>
          <w:snapToGrid w:val="0"/>
          <w:sz w:val="22"/>
          <w:szCs w:val="22"/>
          <w:lang w:eastAsia="lt-LT"/>
        </w:rPr>
        <w:t>pagrindinio tyrimo LUME-</w:t>
      </w:r>
      <w:proofErr w:type="spellStart"/>
      <w:r w:rsidRPr="00BF4AB8">
        <w:rPr>
          <w:iCs/>
          <w:snapToGrid w:val="0"/>
          <w:sz w:val="22"/>
          <w:szCs w:val="22"/>
          <w:lang w:eastAsia="lt-LT"/>
        </w:rPr>
        <w:t>Lung</w:t>
      </w:r>
      <w:proofErr w:type="spellEnd"/>
      <w:r w:rsidR="00CB2E6A" w:rsidRPr="00BF4AB8">
        <w:rPr>
          <w:iCs/>
          <w:snapToGrid w:val="0"/>
          <w:sz w:val="22"/>
          <w:szCs w:val="22"/>
          <w:lang w:eastAsia="lt-LT"/>
        </w:rPr>
        <w:t> </w:t>
      </w:r>
      <w:r w:rsidRPr="00BF4AB8">
        <w:rPr>
          <w:iCs/>
          <w:snapToGrid w:val="0"/>
          <w:sz w:val="22"/>
          <w:szCs w:val="22"/>
          <w:lang w:eastAsia="lt-LT"/>
        </w:rPr>
        <w:t>1 metu pacientams, sergantiems NSPV, kurio histologinis naviko</w:t>
      </w:r>
      <w:r w:rsidR="00CB2E6A" w:rsidRPr="00BF4AB8">
        <w:rPr>
          <w:iCs/>
          <w:snapToGrid w:val="0"/>
          <w:sz w:val="22"/>
          <w:szCs w:val="22"/>
          <w:lang w:eastAsia="lt-LT"/>
        </w:rPr>
        <w:t xml:space="preserve"> </w:t>
      </w:r>
      <w:r w:rsidRPr="00BF4AB8">
        <w:rPr>
          <w:iCs/>
          <w:snapToGrid w:val="0"/>
          <w:sz w:val="22"/>
          <w:szCs w:val="22"/>
          <w:lang w:eastAsia="lt-LT"/>
        </w:rPr>
        <w:t xml:space="preserve">tipas - </w:t>
      </w:r>
      <w:proofErr w:type="spellStart"/>
      <w:r w:rsidRPr="00BF4AB8">
        <w:rPr>
          <w:iCs/>
          <w:snapToGrid w:val="0"/>
          <w:sz w:val="22"/>
          <w:szCs w:val="22"/>
          <w:lang w:eastAsia="lt-LT"/>
        </w:rPr>
        <w:t>adenokarcinoma</w:t>
      </w:r>
      <w:proofErr w:type="spellEnd"/>
      <w:r w:rsidRPr="00BF4AB8">
        <w:rPr>
          <w:iCs/>
          <w:snapToGrid w:val="0"/>
          <w:sz w:val="22"/>
          <w:szCs w:val="22"/>
          <w:lang w:eastAsia="lt-LT"/>
        </w:rPr>
        <w:t xml:space="preserve"> (n</w:t>
      </w:r>
      <w:r w:rsidR="00D35BA8" w:rsidRPr="00BF4AB8">
        <w:rPr>
          <w:iCs/>
          <w:snapToGrid w:val="0"/>
          <w:sz w:val="22"/>
          <w:szCs w:val="22"/>
          <w:lang w:eastAsia="lt-LT"/>
        </w:rPr>
        <w:t>=</w:t>
      </w:r>
      <w:r w:rsidRPr="00BF4AB8">
        <w:rPr>
          <w:iCs/>
          <w:snapToGrid w:val="0"/>
          <w:sz w:val="22"/>
          <w:szCs w:val="22"/>
          <w:lang w:eastAsia="lt-LT"/>
        </w:rPr>
        <w:t xml:space="preserve">320), arba po vaistinio preparato pateikimo į rinką. NR dažnis </w:t>
      </w:r>
      <w:r w:rsidR="00CB2E6A" w:rsidRPr="00BF4AB8">
        <w:rPr>
          <w:snapToGrid w:val="0"/>
          <w:sz w:val="22"/>
        </w:rPr>
        <w:t>apibūdinamas taip: labai dažnas (≥ 1/10), dažnas (nuo ≥ 1/100 iki &lt; 1/10), nedažnas (nuo ≥ 1/1 000 iki &lt; 1/100), retas (nuo ≥ 1/10 000 iki &lt; 1/1 000), labai retas (&lt; 1/10 000) ir nežinomas (negali būti apskaičiuotas pagal turimus duomenis)</w:t>
      </w:r>
      <w:r w:rsidRPr="00BF4AB8">
        <w:rPr>
          <w:iCs/>
          <w:snapToGrid w:val="0"/>
          <w:sz w:val="22"/>
          <w:szCs w:val="22"/>
          <w:lang w:eastAsia="lt-LT"/>
        </w:rPr>
        <w:t>.</w:t>
      </w:r>
      <w:r w:rsidR="00CB2E6A" w:rsidRPr="00BF4AB8">
        <w:rPr>
          <w:iCs/>
          <w:snapToGrid w:val="0"/>
          <w:sz w:val="22"/>
          <w:szCs w:val="22"/>
          <w:lang w:eastAsia="lt-LT"/>
        </w:rPr>
        <w:t xml:space="preserve"> </w:t>
      </w:r>
      <w:r w:rsidRPr="00BF4AB8">
        <w:rPr>
          <w:iCs/>
          <w:snapToGrid w:val="0"/>
          <w:sz w:val="22"/>
          <w:szCs w:val="22"/>
          <w:lang w:eastAsia="lt-LT"/>
        </w:rPr>
        <w:t>Kiekvienoje dažnio grupėje nepageidaujamos reakcijos pateikiamos mažėjančio sunkumo tvarka.</w:t>
      </w:r>
    </w:p>
    <w:p w14:paraId="148C22BD" w14:textId="77777777" w:rsidR="00CB2E6A" w:rsidRPr="00BF4AB8" w:rsidRDefault="00CB2E6A" w:rsidP="005D554B">
      <w:pPr>
        <w:tabs>
          <w:tab w:val="left" w:pos="567"/>
        </w:tabs>
        <w:spacing w:line="260" w:lineRule="exact"/>
        <w:rPr>
          <w:iCs/>
          <w:snapToGrid w:val="0"/>
          <w:sz w:val="22"/>
          <w:szCs w:val="22"/>
          <w:lang w:eastAsia="lt-LT"/>
        </w:rPr>
      </w:pPr>
    </w:p>
    <w:p w14:paraId="26B8DCE6" w14:textId="6C9C3445" w:rsidR="00CB2E6A" w:rsidRPr="00BF4AB8" w:rsidRDefault="00CB2E6A" w:rsidP="00CB2E6A">
      <w:pPr>
        <w:keepNext/>
        <w:tabs>
          <w:tab w:val="left" w:pos="567"/>
        </w:tabs>
        <w:autoSpaceDE w:val="0"/>
        <w:autoSpaceDN w:val="0"/>
        <w:adjustRightInd w:val="0"/>
        <w:ind w:left="1134" w:hanging="1134"/>
        <w:jc w:val="both"/>
        <w:rPr>
          <w:b/>
          <w:sz w:val="22"/>
          <w:szCs w:val="22"/>
        </w:rPr>
      </w:pPr>
      <w:r w:rsidRPr="00BF4AB8">
        <w:rPr>
          <w:b/>
          <w:sz w:val="22"/>
          <w:szCs w:val="22"/>
        </w:rPr>
        <w:t>3 lentelė. NR apibendrinimas pagal dažnio kategorijas</w:t>
      </w:r>
    </w:p>
    <w:tbl>
      <w:tblPr>
        <w:tblStyle w:val="Lentelstinklelis"/>
        <w:tblW w:w="5000" w:type="pct"/>
        <w:tblLook w:val="04A0" w:firstRow="1" w:lastRow="0" w:firstColumn="1" w:lastColumn="0" w:noHBand="0" w:noVBand="1"/>
      </w:tblPr>
      <w:tblGrid>
        <w:gridCol w:w="1318"/>
        <w:gridCol w:w="2361"/>
        <w:gridCol w:w="1908"/>
        <w:gridCol w:w="1696"/>
        <w:gridCol w:w="1777"/>
      </w:tblGrid>
      <w:tr w:rsidR="0089190B" w:rsidRPr="00BF4AB8" w14:paraId="12876349" w14:textId="77777777" w:rsidTr="003E7B06">
        <w:trPr>
          <w:tblHeader/>
        </w:trPr>
        <w:tc>
          <w:tcPr>
            <w:tcW w:w="1000" w:type="pct"/>
          </w:tcPr>
          <w:p w14:paraId="46A0CA3C" w14:textId="77777777" w:rsidR="00CB2E6A" w:rsidRPr="00BF4AB8" w:rsidRDefault="00CB2E6A" w:rsidP="00CB2E6A">
            <w:pPr>
              <w:tabs>
                <w:tab w:val="left" w:pos="567"/>
              </w:tabs>
              <w:autoSpaceDE w:val="0"/>
              <w:autoSpaceDN w:val="0"/>
              <w:adjustRightInd w:val="0"/>
              <w:jc w:val="center"/>
              <w:rPr>
                <w:b/>
                <w:sz w:val="22"/>
                <w:szCs w:val="22"/>
                <w:lang w:val="lt-LT"/>
              </w:rPr>
            </w:pPr>
            <w:r w:rsidRPr="00BF4AB8">
              <w:rPr>
                <w:b/>
                <w:sz w:val="22"/>
                <w:szCs w:val="22"/>
                <w:lang w:val="lt-LT"/>
              </w:rPr>
              <w:t>Organų</w:t>
            </w:r>
          </w:p>
          <w:p w14:paraId="1CFF1802" w14:textId="217B27FE" w:rsidR="00CB2E6A" w:rsidRPr="00BF4AB8" w:rsidRDefault="00CB2E6A" w:rsidP="00CB2E6A">
            <w:pPr>
              <w:tabs>
                <w:tab w:val="left" w:pos="567"/>
              </w:tabs>
              <w:autoSpaceDE w:val="0"/>
              <w:autoSpaceDN w:val="0"/>
              <w:adjustRightInd w:val="0"/>
              <w:jc w:val="center"/>
              <w:rPr>
                <w:b/>
                <w:sz w:val="22"/>
                <w:szCs w:val="22"/>
                <w:lang w:val="lt-LT"/>
              </w:rPr>
            </w:pPr>
            <w:r w:rsidRPr="00BF4AB8">
              <w:rPr>
                <w:b/>
                <w:sz w:val="22"/>
                <w:szCs w:val="22"/>
                <w:lang w:val="lt-LT"/>
              </w:rPr>
              <w:t>sistemų klasė</w:t>
            </w:r>
          </w:p>
        </w:tc>
        <w:tc>
          <w:tcPr>
            <w:tcW w:w="1000" w:type="pct"/>
          </w:tcPr>
          <w:p w14:paraId="5EA9EABB" w14:textId="3CBE4F5B" w:rsidR="00CB2E6A" w:rsidRPr="00BF4AB8" w:rsidRDefault="00CB2E6A" w:rsidP="00CB2E6A">
            <w:pPr>
              <w:tabs>
                <w:tab w:val="left" w:pos="567"/>
              </w:tabs>
              <w:autoSpaceDE w:val="0"/>
              <w:autoSpaceDN w:val="0"/>
              <w:adjustRightInd w:val="0"/>
              <w:jc w:val="center"/>
              <w:rPr>
                <w:b/>
                <w:sz w:val="22"/>
                <w:szCs w:val="22"/>
                <w:lang w:val="lt-LT"/>
              </w:rPr>
            </w:pPr>
            <w:r w:rsidRPr="00BF4AB8">
              <w:rPr>
                <w:b/>
                <w:sz w:val="22"/>
                <w:szCs w:val="22"/>
                <w:lang w:val="lt-LT"/>
              </w:rPr>
              <w:t>Labai dažnas</w:t>
            </w:r>
            <w:r w:rsidRPr="00BF4AB8">
              <w:rPr>
                <w:b/>
                <w:sz w:val="22"/>
                <w:szCs w:val="22"/>
                <w:lang w:val="lt-LT"/>
              </w:rPr>
              <w:br/>
              <w:t>(≥ 1/10)</w:t>
            </w:r>
          </w:p>
        </w:tc>
        <w:tc>
          <w:tcPr>
            <w:tcW w:w="1000" w:type="pct"/>
          </w:tcPr>
          <w:p w14:paraId="6A054F7D" w14:textId="1C9B0735" w:rsidR="00CB2E6A" w:rsidRPr="00BF4AB8" w:rsidRDefault="00CB2E6A" w:rsidP="00CB2E6A">
            <w:pPr>
              <w:tabs>
                <w:tab w:val="left" w:pos="567"/>
              </w:tabs>
              <w:autoSpaceDE w:val="0"/>
              <w:autoSpaceDN w:val="0"/>
              <w:adjustRightInd w:val="0"/>
              <w:jc w:val="center"/>
              <w:rPr>
                <w:b/>
                <w:sz w:val="22"/>
                <w:szCs w:val="22"/>
                <w:lang w:val="lt-LT"/>
              </w:rPr>
            </w:pPr>
            <w:r w:rsidRPr="00BF4AB8">
              <w:rPr>
                <w:b/>
                <w:sz w:val="22"/>
                <w:szCs w:val="22"/>
                <w:lang w:val="lt-LT"/>
              </w:rPr>
              <w:t>Dažnas (nuo ≥ 1/100 iki &lt; 1/10)</w:t>
            </w:r>
          </w:p>
        </w:tc>
        <w:tc>
          <w:tcPr>
            <w:tcW w:w="1000" w:type="pct"/>
          </w:tcPr>
          <w:p w14:paraId="4C5DBAF3" w14:textId="390C592D" w:rsidR="00CB2E6A" w:rsidRPr="00BF4AB8" w:rsidRDefault="00CB2E6A" w:rsidP="00CB2E6A">
            <w:pPr>
              <w:tabs>
                <w:tab w:val="left" w:pos="567"/>
              </w:tabs>
              <w:autoSpaceDE w:val="0"/>
              <w:autoSpaceDN w:val="0"/>
              <w:adjustRightInd w:val="0"/>
              <w:jc w:val="center"/>
              <w:rPr>
                <w:b/>
                <w:sz w:val="22"/>
                <w:szCs w:val="22"/>
                <w:lang w:val="lt-LT"/>
              </w:rPr>
            </w:pPr>
            <w:r w:rsidRPr="00BF4AB8">
              <w:rPr>
                <w:b/>
                <w:sz w:val="22"/>
                <w:szCs w:val="22"/>
                <w:lang w:val="lt-LT"/>
              </w:rPr>
              <w:t>Nedažnas</w:t>
            </w:r>
          </w:p>
          <w:p w14:paraId="42BDD34E" w14:textId="0A6021E0" w:rsidR="00CB2E6A" w:rsidRPr="00BF4AB8" w:rsidRDefault="00CB2E6A" w:rsidP="00CB2E6A">
            <w:pPr>
              <w:tabs>
                <w:tab w:val="left" w:pos="567"/>
              </w:tabs>
              <w:autoSpaceDE w:val="0"/>
              <w:autoSpaceDN w:val="0"/>
              <w:adjustRightInd w:val="0"/>
              <w:jc w:val="center"/>
              <w:rPr>
                <w:b/>
                <w:sz w:val="22"/>
                <w:szCs w:val="22"/>
                <w:lang w:val="lt-LT"/>
              </w:rPr>
            </w:pPr>
            <w:r w:rsidRPr="00BF4AB8">
              <w:rPr>
                <w:b/>
                <w:sz w:val="22"/>
                <w:szCs w:val="22"/>
                <w:lang w:val="lt-LT"/>
              </w:rPr>
              <w:t>(nuo ≥ 1/1 000 iki &lt; 1/100)</w:t>
            </w:r>
          </w:p>
        </w:tc>
        <w:tc>
          <w:tcPr>
            <w:tcW w:w="1000" w:type="pct"/>
          </w:tcPr>
          <w:p w14:paraId="07604017" w14:textId="64A1A1B2" w:rsidR="00CB2E6A" w:rsidRPr="00BF4AB8" w:rsidRDefault="00CB2E6A" w:rsidP="00CB2E6A">
            <w:pPr>
              <w:tabs>
                <w:tab w:val="left" w:pos="567"/>
              </w:tabs>
              <w:autoSpaceDE w:val="0"/>
              <w:autoSpaceDN w:val="0"/>
              <w:adjustRightInd w:val="0"/>
              <w:jc w:val="center"/>
              <w:rPr>
                <w:b/>
                <w:sz w:val="22"/>
                <w:szCs w:val="22"/>
                <w:lang w:val="lt-LT"/>
              </w:rPr>
            </w:pPr>
            <w:r w:rsidRPr="00BF4AB8">
              <w:rPr>
                <w:b/>
                <w:sz w:val="22"/>
                <w:szCs w:val="22"/>
                <w:lang w:val="lt-LT"/>
              </w:rPr>
              <w:t>Dažnis nežinomas</w:t>
            </w:r>
          </w:p>
        </w:tc>
      </w:tr>
      <w:tr w:rsidR="0089190B" w:rsidRPr="00BF4AB8" w14:paraId="1A13D684" w14:textId="77777777" w:rsidTr="003E7B06">
        <w:tc>
          <w:tcPr>
            <w:tcW w:w="1000" w:type="pct"/>
          </w:tcPr>
          <w:p w14:paraId="6EF8B272" w14:textId="5EA8B28F" w:rsidR="00CB2E6A" w:rsidRPr="00BF4AB8" w:rsidRDefault="00CB2E6A" w:rsidP="00CB2E6A">
            <w:pPr>
              <w:tabs>
                <w:tab w:val="left" w:pos="567"/>
              </w:tabs>
              <w:autoSpaceDE w:val="0"/>
              <w:autoSpaceDN w:val="0"/>
              <w:adjustRightInd w:val="0"/>
              <w:jc w:val="center"/>
              <w:rPr>
                <w:sz w:val="22"/>
                <w:szCs w:val="22"/>
                <w:lang w:val="lt-LT"/>
              </w:rPr>
            </w:pPr>
            <w:r w:rsidRPr="00BF4AB8">
              <w:rPr>
                <w:sz w:val="22"/>
                <w:szCs w:val="22"/>
                <w:lang w:val="lt-LT"/>
              </w:rPr>
              <w:t xml:space="preserve">Infekcijos ir </w:t>
            </w:r>
            <w:proofErr w:type="spellStart"/>
            <w:r w:rsidRPr="00BF4AB8">
              <w:rPr>
                <w:sz w:val="22"/>
                <w:szCs w:val="22"/>
                <w:lang w:val="lt-LT"/>
              </w:rPr>
              <w:t>infestacijos</w:t>
            </w:r>
            <w:proofErr w:type="spellEnd"/>
          </w:p>
        </w:tc>
        <w:tc>
          <w:tcPr>
            <w:tcW w:w="1000" w:type="pct"/>
          </w:tcPr>
          <w:p w14:paraId="55E2B1D4" w14:textId="77777777" w:rsidR="00CB2E6A" w:rsidRPr="00BF4AB8" w:rsidRDefault="00CB2E6A" w:rsidP="00CB2E6A">
            <w:pPr>
              <w:tabs>
                <w:tab w:val="left" w:pos="567"/>
              </w:tabs>
              <w:autoSpaceDE w:val="0"/>
              <w:autoSpaceDN w:val="0"/>
              <w:adjustRightInd w:val="0"/>
              <w:jc w:val="center"/>
              <w:rPr>
                <w:sz w:val="22"/>
                <w:szCs w:val="22"/>
                <w:lang w:val="lt-LT"/>
              </w:rPr>
            </w:pPr>
          </w:p>
        </w:tc>
        <w:tc>
          <w:tcPr>
            <w:tcW w:w="1000" w:type="pct"/>
          </w:tcPr>
          <w:p w14:paraId="769D69EA" w14:textId="38392ECC" w:rsidR="00CB2E6A" w:rsidRPr="00BF4AB8" w:rsidRDefault="00CB2E6A" w:rsidP="00CB2E6A">
            <w:pPr>
              <w:tabs>
                <w:tab w:val="left" w:pos="567"/>
              </w:tabs>
              <w:autoSpaceDE w:val="0"/>
              <w:autoSpaceDN w:val="0"/>
              <w:adjustRightInd w:val="0"/>
              <w:jc w:val="center"/>
              <w:rPr>
                <w:sz w:val="22"/>
                <w:szCs w:val="22"/>
                <w:lang w:val="lt-LT"/>
              </w:rPr>
            </w:pPr>
            <w:proofErr w:type="spellStart"/>
            <w:r w:rsidRPr="00BF4AB8">
              <w:rPr>
                <w:sz w:val="22"/>
                <w:szCs w:val="22"/>
                <w:lang w:val="lt-LT"/>
              </w:rPr>
              <w:t>Febrilinė</w:t>
            </w:r>
            <w:proofErr w:type="spellEnd"/>
            <w:r w:rsidRPr="00BF4AB8">
              <w:rPr>
                <w:sz w:val="22"/>
                <w:szCs w:val="22"/>
                <w:lang w:val="lt-LT"/>
              </w:rPr>
              <w:t xml:space="preserve"> </w:t>
            </w:r>
            <w:proofErr w:type="spellStart"/>
            <w:r w:rsidRPr="00BF4AB8">
              <w:rPr>
                <w:sz w:val="22"/>
                <w:szCs w:val="22"/>
                <w:lang w:val="lt-LT"/>
              </w:rPr>
              <w:t>neutropenija</w:t>
            </w:r>
            <w:proofErr w:type="spellEnd"/>
            <w:r w:rsidRPr="00BF4AB8">
              <w:rPr>
                <w:sz w:val="22"/>
                <w:szCs w:val="22"/>
                <w:lang w:val="lt-LT"/>
              </w:rPr>
              <w:t xml:space="preserve">, </w:t>
            </w:r>
            <w:proofErr w:type="spellStart"/>
            <w:r w:rsidRPr="00BF4AB8">
              <w:rPr>
                <w:sz w:val="22"/>
                <w:szCs w:val="22"/>
                <w:lang w:val="lt-LT"/>
              </w:rPr>
              <w:t>abscesai</w:t>
            </w:r>
            <w:proofErr w:type="spellEnd"/>
            <w:r w:rsidRPr="00BF4AB8">
              <w:rPr>
                <w:sz w:val="22"/>
                <w:szCs w:val="22"/>
                <w:lang w:val="lt-LT"/>
              </w:rPr>
              <w:t>, sepsis</w:t>
            </w:r>
          </w:p>
        </w:tc>
        <w:tc>
          <w:tcPr>
            <w:tcW w:w="1000" w:type="pct"/>
          </w:tcPr>
          <w:p w14:paraId="0FF52E6C" w14:textId="77777777" w:rsidR="00CB2E6A" w:rsidRPr="00BF4AB8" w:rsidRDefault="00CB2E6A" w:rsidP="00CB2E6A">
            <w:pPr>
              <w:tabs>
                <w:tab w:val="left" w:pos="567"/>
              </w:tabs>
              <w:autoSpaceDE w:val="0"/>
              <w:autoSpaceDN w:val="0"/>
              <w:adjustRightInd w:val="0"/>
              <w:jc w:val="center"/>
              <w:rPr>
                <w:sz w:val="22"/>
                <w:szCs w:val="22"/>
                <w:lang w:val="lt-LT"/>
              </w:rPr>
            </w:pPr>
          </w:p>
        </w:tc>
        <w:tc>
          <w:tcPr>
            <w:tcW w:w="1000" w:type="pct"/>
          </w:tcPr>
          <w:p w14:paraId="4C0294D0" w14:textId="77777777" w:rsidR="00CB2E6A" w:rsidRPr="00BF4AB8" w:rsidRDefault="00CB2E6A" w:rsidP="00CB2E6A">
            <w:pPr>
              <w:tabs>
                <w:tab w:val="left" w:pos="567"/>
              </w:tabs>
              <w:autoSpaceDE w:val="0"/>
              <w:autoSpaceDN w:val="0"/>
              <w:adjustRightInd w:val="0"/>
              <w:jc w:val="center"/>
              <w:rPr>
                <w:sz w:val="22"/>
                <w:szCs w:val="22"/>
                <w:lang w:val="lt-LT"/>
              </w:rPr>
            </w:pPr>
          </w:p>
        </w:tc>
      </w:tr>
      <w:tr w:rsidR="0089190B" w:rsidRPr="00BF4AB8" w14:paraId="2517BE69" w14:textId="77777777" w:rsidTr="003E7B06">
        <w:tc>
          <w:tcPr>
            <w:tcW w:w="1000" w:type="pct"/>
          </w:tcPr>
          <w:p w14:paraId="06194F76" w14:textId="3E8ADFDD" w:rsidR="00CB2E6A" w:rsidRPr="00BF4AB8" w:rsidRDefault="00CB2E6A" w:rsidP="00CB2E6A">
            <w:pPr>
              <w:tabs>
                <w:tab w:val="left" w:pos="567"/>
              </w:tabs>
              <w:autoSpaceDE w:val="0"/>
              <w:autoSpaceDN w:val="0"/>
              <w:adjustRightInd w:val="0"/>
              <w:jc w:val="center"/>
              <w:rPr>
                <w:sz w:val="22"/>
                <w:szCs w:val="22"/>
                <w:lang w:val="lt-LT"/>
              </w:rPr>
            </w:pPr>
            <w:r w:rsidRPr="00BF4AB8">
              <w:rPr>
                <w:sz w:val="22"/>
                <w:szCs w:val="22"/>
                <w:lang w:val="lt-LT"/>
              </w:rPr>
              <w:t>Kraujo ir limfinės sistemos sutrikimai</w:t>
            </w:r>
          </w:p>
        </w:tc>
        <w:tc>
          <w:tcPr>
            <w:tcW w:w="1000" w:type="pct"/>
          </w:tcPr>
          <w:p w14:paraId="3FE3889F" w14:textId="110C6B8C" w:rsidR="00CB2E6A" w:rsidRPr="00BF4AB8" w:rsidRDefault="00CB2E6A" w:rsidP="00CB2E6A">
            <w:pPr>
              <w:tabs>
                <w:tab w:val="left" w:pos="567"/>
              </w:tabs>
              <w:autoSpaceDE w:val="0"/>
              <w:autoSpaceDN w:val="0"/>
              <w:adjustRightInd w:val="0"/>
              <w:jc w:val="center"/>
              <w:rPr>
                <w:sz w:val="22"/>
                <w:szCs w:val="22"/>
                <w:lang w:val="lt-LT"/>
              </w:rPr>
            </w:pPr>
            <w:proofErr w:type="spellStart"/>
            <w:r w:rsidRPr="00BF4AB8">
              <w:rPr>
                <w:sz w:val="22"/>
                <w:szCs w:val="22"/>
                <w:lang w:val="lt-LT"/>
              </w:rPr>
              <w:t>Neutropenija</w:t>
            </w:r>
            <w:proofErr w:type="spellEnd"/>
            <w:r w:rsidRPr="00BF4AB8">
              <w:rPr>
                <w:sz w:val="22"/>
                <w:szCs w:val="22"/>
                <w:lang w:val="lt-LT"/>
              </w:rPr>
              <w:t xml:space="preserve"> (įskaitant </w:t>
            </w:r>
            <w:proofErr w:type="spellStart"/>
            <w:r w:rsidRPr="00BF4AB8">
              <w:rPr>
                <w:sz w:val="22"/>
                <w:szCs w:val="22"/>
                <w:lang w:val="lt-LT"/>
              </w:rPr>
              <w:t>febrilinę</w:t>
            </w:r>
            <w:proofErr w:type="spellEnd"/>
          </w:p>
          <w:p w14:paraId="140A1C9D" w14:textId="16FD01E6" w:rsidR="00CB2E6A" w:rsidRPr="00BF4AB8" w:rsidRDefault="00CB2E6A" w:rsidP="00CB2E6A">
            <w:pPr>
              <w:tabs>
                <w:tab w:val="left" w:pos="567"/>
              </w:tabs>
              <w:autoSpaceDE w:val="0"/>
              <w:autoSpaceDN w:val="0"/>
              <w:adjustRightInd w:val="0"/>
              <w:jc w:val="center"/>
              <w:rPr>
                <w:sz w:val="22"/>
                <w:szCs w:val="22"/>
                <w:lang w:val="lt-LT"/>
              </w:rPr>
            </w:pPr>
            <w:proofErr w:type="spellStart"/>
            <w:r w:rsidRPr="00BF4AB8">
              <w:rPr>
                <w:sz w:val="22"/>
                <w:szCs w:val="22"/>
                <w:lang w:val="lt-LT"/>
              </w:rPr>
              <w:t>neutropeniją</w:t>
            </w:r>
            <w:proofErr w:type="spellEnd"/>
            <w:r w:rsidRPr="00BF4AB8">
              <w:rPr>
                <w:sz w:val="22"/>
                <w:szCs w:val="22"/>
                <w:lang w:val="lt-LT"/>
              </w:rPr>
              <w:t>)</w:t>
            </w:r>
          </w:p>
        </w:tc>
        <w:tc>
          <w:tcPr>
            <w:tcW w:w="1000" w:type="pct"/>
          </w:tcPr>
          <w:p w14:paraId="62F87618" w14:textId="61201B11" w:rsidR="00CB2E6A" w:rsidRPr="00BF4AB8" w:rsidRDefault="00CB2E6A" w:rsidP="00CB2E6A">
            <w:pPr>
              <w:tabs>
                <w:tab w:val="left" w:pos="567"/>
              </w:tabs>
              <w:autoSpaceDE w:val="0"/>
              <w:autoSpaceDN w:val="0"/>
              <w:adjustRightInd w:val="0"/>
              <w:jc w:val="center"/>
              <w:rPr>
                <w:sz w:val="22"/>
                <w:szCs w:val="22"/>
                <w:lang w:val="lt-LT"/>
              </w:rPr>
            </w:pPr>
            <w:proofErr w:type="spellStart"/>
            <w:r w:rsidRPr="00BF4AB8">
              <w:rPr>
                <w:sz w:val="22"/>
                <w:szCs w:val="22"/>
                <w:lang w:val="lt-LT"/>
              </w:rPr>
              <w:t>Trombocitopenija</w:t>
            </w:r>
            <w:proofErr w:type="spellEnd"/>
          </w:p>
        </w:tc>
        <w:tc>
          <w:tcPr>
            <w:tcW w:w="1000" w:type="pct"/>
          </w:tcPr>
          <w:p w14:paraId="70D7665C" w14:textId="77777777" w:rsidR="00CB2E6A" w:rsidRPr="00BF4AB8" w:rsidRDefault="00CB2E6A" w:rsidP="00CB2E6A">
            <w:pPr>
              <w:tabs>
                <w:tab w:val="left" w:pos="567"/>
              </w:tabs>
              <w:autoSpaceDE w:val="0"/>
              <w:autoSpaceDN w:val="0"/>
              <w:adjustRightInd w:val="0"/>
              <w:jc w:val="center"/>
              <w:rPr>
                <w:sz w:val="22"/>
                <w:szCs w:val="22"/>
                <w:lang w:val="lt-LT"/>
              </w:rPr>
            </w:pPr>
          </w:p>
        </w:tc>
        <w:tc>
          <w:tcPr>
            <w:tcW w:w="1000" w:type="pct"/>
          </w:tcPr>
          <w:p w14:paraId="127EC9FE" w14:textId="77777777" w:rsidR="00CB2E6A" w:rsidRPr="00BF4AB8" w:rsidRDefault="00CB2E6A" w:rsidP="00CB2E6A">
            <w:pPr>
              <w:tabs>
                <w:tab w:val="left" w:pos="567"/>
              </w:tabs>
              <w:autoSpaceDE w:val="0"/>
              <w:autoSpaceDN w:val="0"/>
              <w:adjustRightInd w:val="0"/>
              <w:jc w:val="center"/>
              <w:rPr>
                <w:sz w:val="22"/>
                <w:szCs w:val="22"/>
                <w:lang w:val="lt-LT"/>
              </w:rPr>
            </w:pPr>
          </w:p>
        </w:tc>
      </w:tr>
      <w:tr w:rsidR="0089190B" w:rsidRPr="00BF4AB8" w14:paraId="6563ADC4" w14:textId="77777777" w:rsidTr="003E7B06">
        <w:tc>
          <w:tcPr>
            <w:tcW w:w="1000" w:type="pct"/>
          </w:tcPr>
          <w:p w14:paraId="1AF09145" w14:textId="47971588" w:rsidR="00CB2E6A" w:rsidRPr="00BF4AB8" w:rsidRDefault="00CB2E6A" w:rsidP="00CB2E6A">
            <w:pPr>
              <w:tabs>
                <w:tab w:val="left" w:pos="567"/>
              </w:tabs>
              <w:autoSpaceDE w:val="0"/>
              <w:autoSpaceDN w:val="0"/>
              <w:adjustRightInd w:val="0"/>
              <w:jc w:val="center"/>
              <w:rPr>
                <w:sz w:val="22"/>
                <w:szCs w:val="22"/>
                <w:lang w:val="lt-LT"/>
              </w:rPr>
            </w:pPr>
            <w:r w:rsidRPr="00BF4AB8">
              <w:rPr>
                <w:sz w:val="22"/>
                <w:szCs w:val="22"/>
                <w:lang w:val="lt-LT"/>
              </w:rPr>
              <w:t>Metabolizmo ir mitybos sutrikimai</w:t>
            </w:r>
          </w:p>
        </w:tc>
        <w:tc>
          <w:tcPr>
            <w:tcW w:w="1000" w:type="pct"/>
          </w:tcPr>
          <w:p w14:paraId="1A01D6B7" w14:textId="13AB8496" w:rsidR="00CB2E6A" w:rsidRPr="00BF4AB8" w:rsidRDefault="00CB2E6A" w:rsidP="00CB2E6A">
            <w:pPr>
              <w:tabs>
                <w:tab w:val="left" w:pos="567"/>
              </w:tabs>
              <w:autoSpaceDE w:val="0"/>
              <w:autoSpaceDN w:val="0"/>
              <w:adjustRightInd w:val="0"/>
              <w:jc w:val="center"/>
              <w:rPr>
                <w:sz w:val="22"/>
                <w:szCs w:val="22"/>
                <w:lang w:val="lt-LT"/>
              </w:rPr>
            </w:pPr>
            <w:r w:rsidRPr="00BF4AB8">
              <w:rPr>
                <w:sz w:val="22"/>
                <w:szCs w:val="22"/>
                <w:lang w:val="lt-LT"/>
              </w:rPr>
              <w:t>Sumažėjęs apetitas, elektrolitų pusiausvyros sutrikimas</w:t>
            </w:r>
          </w:p>
        </w:tc>
        <w:tc>
          <w:tcPr>
            <w:tcW w:w="1000" w:type="pct"/>
          </w:tcPr>
          <w:p w14:paraId="5FD05A86" w14:textId="0C00628F" w:rsidR="00CB2E6A" w:rsidRPr="00BF4AB8" w:rsidRDefault="00CB2E6A" w:rsidP="00CB2E6A">
            <w:pPr>
              <w:tabs>
                <w:tab w:val="left" w:pos="567"/>
              </w:tabs>
              <w:autoSpaceDE w:val="0"/>
              <w:autoSpaceDN w:val="0"/>
              <w:adjustRightInd w:val="0"/>
              <w:jc w:val="center"/>
              <w:rPr>
                <w:sz w:val="22"/>
                <w:szCs w:val="22"/>
                <w:lang w:val="lt-LT"/>
              </w:rPr>
            </w:pPr>
            <w:r w:rsidRPr="00BF4AB8">
              <w:rPr>
                <w:sz w:val="22"/>
                <w:szCs w:val="22"/>
                <w:lang w:val="lt-LT"/>
              </w:rPr>
              <w:t>Dehidratacija, sumažėjęs kūno svoris</w:t>
            </w:r>
          </w:p>
        </w:tc>
        <w:tc>
          <w:tcPr>
            <w:tcW w:w="1000" w:type="pct"/>
          </w:tcPr>
          <w:p w14:paraId="572DBDAA" w14:textId="77777777" w:rsidR="00CB2E6A" w:rsidRPr="00BF4AB8" w:rsidRDefault="00CB2E6A" w:rsidP="00CB2E6A">
            <w:pPr>
              <w:tabs>
                <w:tab w:val="left" w:pos="567"/>
              </w:tabs>
              <w:autoSpaceDE w:val="0"/>
              <w:autoSpaceDN w:val="0"/>
              <w:adjustRightInd w:val="0"/>
              <w:jc w:val="center"/>
              <w:rPr>
                <w:sz w:val="22"/>
                <w:szCs w:val="22"/>
                <w:lang w:val="lt-LT"/>
              </w:rPr>
            </w:pPr>
          </w:p>
        </w:tc>
        <w:tc>
          <w:tcPr>
            <w:tcW w:w="1000" w:type="pct"/>
          </w:tcPr>
          <w:p w14:paraId="10D20DAF" w14:textId="77777777" w:rsidR="00CB2E6A" w:rsidRPr="00BF4AB8" w:rsidRDefault="00CB2E6A" w:rsidP="00CB2E6A">
            <w:pPr>
              <w:tabs>
                <w:tab w:val="left" w:pos="567"/>
              </w:tabs>
              <w:autoSpaceDE w:val="0"/>
              <w:autoSpaceDN w:val="0"/>
              <w:adjustRightInd w:val="0"/>
              <w:jc w:val="center"/>
              <w:rPr>
                <w:sz w:val="22"/>
                <w:szCs w:val="22"/>
                <w:lang w:val="lt-LT"/>
              </w:rPr>
            </w:pPr>
          </w:p>
        </w:tc>
      </w:tr>
      <w:tr w:rsidR="0089190B" w:rsidRPr="00BF4AB8" w14:paraId="2F98DF2B" w14:textId="77777777" w:rsidTr="003E7B06">
        <w:tc>
          <w:tcPr>
            <w:tcW w:w="1000" w:type="pct"/>
          </w:tcPr>
          <w:p w14:paraId="3C0E2513" w14:textId="4492244C" w:rsidR="00CB2E6A" w:rsidRPr="00BF4AB8" w:rsidRDefault="00CB2E6A" w:rsidP="00CB2E6A">
            <w:pPr>
              <w:tabs>
                <w:tab w:val="left" w:pos="567"/>
              </w:tabs>
              <w:autoSpaceDE w:val="0"/>
              <w:autoSpaceDN w:val="0"/>
              <w:adjustRightInd w:val="0"/>
              <w:jc w:val="center"/>
              <w:rPr>
                <w:sz w:val="22"/>
                <w:szCs w:val="22"/>
                <w:lang w:val="lt-LT"/>
              </w:rPr>
            </w:pPr>
            <w:r w:rsidRPr="00BF4AB8">
              <w:rPr>
                <w:sz w:val="22"/>
                <w:szCs w:val="22"/>
                <w:lang w:val="lt-LT"/>
              </w:rPr>
              <w:lastRenderedPageBreak/>
              <w:t>Nervų sistemos sutrikimai</w:t>
            </w:r>
          </w:p>
        </w:tc>
        <w:tc>
          <w:tcPr>
            <w:tcW w:w="1000" w:type="pct"/>
          </w:tcPr>
          <w:p w14:paraId="05B120D3" w14:textId="4A098656" w:rsidR="00CB2E6A" w:rsidRPr="00BF4AB8" w:rsidRDefault="00CB2E6A" w:rsidP="00CB2E6A">
            <w:pPr>
              <w:tabs>
                <w:tab w:val="left" w:pos="567"/>
              </w:tabs>
              <w:autoSpaceDE w:val="0"/>
              <w:autoSpaceDN w:val="0"/>
              <w:adjustRightInd w:val="0"/>
              <w:jc w:val="center"/>
              <w:rPr>
                <w:sz w:val="22"/>
                <w:szCs w:val="22"/>
                <w:lang w:val="lt-LT"/>
              </w:rPr>
            </w:pPr>
            <w:r w:rsidRPr="00BF4AB8">
              <w:rPr>
                <w:sz w:val="22"/>
                <w:szCs w:val="22"/>
                <w:lang w:val="lt-LT"/>
              </w:rPr>
              <w:t>Periferinė neuropatija</w:t>
            </w:r>
          </w:p>
        </w:tc>
        <w:tc>
          <w:tcPr>
            <w:tcW w:w="1000" w:type="pct"/>
          </w:tcPr>
          <w:p w14:paraId="7744E6BC" w14:textId="4A8FA5B5" w:rsidR="00CB2E6A" w:rsidRPr="00BF4AB8" w:rsidRDefault="00CB2E6A" w:rsidP="00CB2E6A">
            <w:pPr>
              <w:tabs>
                <w:tab w:val="left" w:pos="567"/>
              </w:tabs>
              <w:autoSpaceDE w:val="0"/>
              <w:autoSpaceDN w:val="0"/>
              <w:adjustRightInd w:val="0"/>
              <w:jc w:val="center"/>
              <w:rPr>
                <w:sz w:val="22"/>
                <w:szCs w:val="22"/>
                <w:lang w:val="lt-LT"/>
              </w:rPr>
            </w:pPr>
            <w:r w:rsidRPr="00BF4AB8">
              <w:rPr>
                <w:sz w:val="22"/>
                <w:szCs w:val="22"/>
                <w:lang w:val="lt-LT"/>
              </w:rPr>
              <w:t>Galvos skausmas</w:t>
            </w:r>
            <w:r w:rsidRPr="00BF4AB8">
              <w:rPr>
                <w:sz w:val="22"/>
                <w:szCs w:val="22"/>
                <w:vertAlign w:val="superscript"/>
                <w:lang w:val="lt-LT"/>
              </w:rPr>
              <w:t>1)</w:t>
            </w:r>
          </w:p>
        </w:tc>
        <w:tc>
          <w:tcPr>
            <w:tcW w:w="1000" w:type="pct"/>
          </w:tcPr>
          <w:p w14:paraId="2954C152" w14:textId="77777777" w:rsidR="00CB2E6A" w:rsidRPr="00BF4AB8" w:rsidRDefault="00CB2E6A" w:rsidP="00CB2E6A">
            <w:pPr>
              <w:tabs>
                <w:tab w:val="left" w:pos="567"/>
              </w:tabs>
              <w:autoSpaceDE w:val="0"/>
              <w:autoSpaceDN w:val="0"/>
              <w:adjustRightInd w:val="0"/>
              <w:jc w:val="center"/>
              <w:rPr>
                <w:sz w:val="22"/>
                <w:szCs w:val="22"/>
                <w:lang w:val="lt-LT"/>
              </w:rPr>
            </w:pPr>
          </w:p>
        </w:tc>
        <w:tc>
          <w:tcPr>
            <w:tcW w:w="1000" w:type="pct"/>
          </w:tcPr>
          <w:p w14:paraId="3389268E" w14:textId="77777777" w:rsidR="00CB2E6A" w:rsidRPr="00BF4AB8" w:rsidRDefault="00CB2E6A" w:rsidP="00CB2E6A">
            <w:pPr>
              <w:tabs>
                <w:tab w:val="left" w:pos="567"/>
              </w:tabs>
              <w:autoSpaceDE w:val="0"/>
              <w:autoSpaceDN w:val="0"/>
              <w:adjustRightInd w:val="0"/>
              <w:jc w:val="center"/>
              <w:rPr>
                <w:sz w:val="22"/>
                <w:szCs w:val="22"/>
                <w:lang w:val="lt-LT"/>
              </w:rPr>
            </w:pPr>
          </w:p>
        </w:tc>
      </w:tr>
      <w:tr w:rsidR="0089190B" w:rsidRPr="00BF4AB8" w14:paraId="7F55185F" w14:textId="77777777" w:rsidTr="003E7B06">
        <w:tc>
          <w:tcPr>
            <w:tcW w:w="1000" w:type="pct"/>
          </w:tcPr>
          <w:p w14:paraId="16B63656" w14:textId="3B464C0C" w:rsidR="00CB2E6A" w:rsidRPr="00BF4AB8" w:rsidRDefault="00CB2E6A" w:rsidP="00CB2E6A">
            <w:pPr>
              <w:tabs>
                <w:tab w:val="left" w:pos="567"/>
              </w:tabs>
              <w:autoSpaceDE w:val="0"/>
              <w:autoSpaceDN w:val="0"/>
              <w:adjustRightInd w:val="0"/>
              <w:jc w:val="center"/>
              <w:rPr>
                <w:sz w:val="22"/>
                <w:szCs w:val="22"/>
                <w:lang w:val="lt-LT"/>
              </w:rPr>
            </w:pPr>
            <w:r w:rsidRPr="00BF4AB8">
              <w:rPr>
                <w:sz w:val="22"/>
                <w:szCs w:val="22"/>
                <w:lang w:val="lt-LT"/>
              </w:rPr>
              <w:t>Širdies sutrikimai</w:t>
            </w:r>
          </w:p>
        </w:tc>
        <w:tc>
          <w:tcPr>
            <w:tcW w:w="1000" w:type="pct"/>
          </w:tcPr>
          <w:p w14:paraId="674F402E" w14:textId="77777777" w:rsidR="00CB2E6A" w:rsidRPr="00BF4AB8" w:rsidRDefault="00CB2E6A" w:rsidP="00CB2E6A">
            <w:pPr>
              <w:tabs>
                <w:tab w:val="left" w:pos="567"/>
              </w:tabs>
              <w:autoSpaceDE w:val="0"/>
              <w:autoSpaceDN w:val="0"/>
              <w:adjustRightInd w:val="0"/>
              <w:jc w:val="center"/>
              <w:rPr>
                <w:sz w:val="22"/>
                <w:szCs w:val="22"/>
                <w:lang w:val="lt-LT"/>
              </w:rPr>
            </w:pPr>
          </w:p>
        </w:tc>
        <w:tc>
          <w:tcPr>
            <w:tcW w:w="1000" w:type="pct"/>
          </w:tcPr>
          <w:p w14:paraId="665E14BA" w14:textId="77777777" w:rsidR="00CB2E6A" w:rsidRPr="00BF4AB8" w:rsidRDefault="00CB2E6A" w:rsidP="00CB2E6A">
            <w:pPr>
              <w:tabs>
                <w:tab w:val="left" w:pos="567"/>
              </w:tabs>
              <w:autoSpaceDE w:val="0"/>
              <w:autoSpaceDN w:val="0"/>
              <w:adjustRightInd w:val="0"/>
              <w:jc w:val="center"/>
              <w:rPr>
                <w:sz w:val="22"/>
                <w:szCs w:val="22"/>
                <w:lang w:val="lt-LT"/>
              </w:rPr>
            </w:pPr>
          </w:p>
        </w:tc>
        <w:tc>
          <w:tcPr>
            <w:tcW w:w="1000" w:type="pct"/>
          </w:tcPr>
          <w:p w14:paraId="424E129D" w14:textId="68C0B088" w:rsidR="00CB2E6A" w:rsidRPr="00BF4AB8" w:rsidRDefault="00CB2E6A" w:rsidP="00CB2E6A">
            <w:pPr>
              <w:tabs>
                <w:tab w:val="left" w:pos="567"/>
              </w:tabs>
              <w:autoSpaceDE w:val="0"/>
              <w:autoSpaceDN w:val="0"/>
              <w:adjustRightInd w:val="0"/>
              <w:jc w:val="center"/>
              <w:rPr>
                <w:sz w:val="22"/>
                <w:szCs w:val="22"/>
                <w:lang w:val="lt-LT"/>
              </w:rPr>
            </w:pPr>
            <w:r w:rsidRPr="00BF4AB8">
              <w:rPr>
                <w:sz w:val="22"/>
                <w:szCs w:val="22"/>
                <w:lang w:val="lt-LT"/>
              </w:rPr>
              <w:t>Miokardo infarktas (žr. 4.4 skyrių)</w:t>
            </w:r>
          </w:p>
        </w:tc>
        <w:tc>
          <w:tcPr>
            <w:tcW w:w="1000" w:type="pct"/>
          </w:tcPr>
          <w:p w14:paraId="482CF238" w14:textId="77777777" w:rsidR="00CB2E6A" w:rsidRPr="00BF4AB8" w:rsidRDefault="00CB2E6A" w:rsidP="00CB2E6A">
            <w:pPr>
              <w:tabs>
                <w:tab w:val="left" w:pos="567"/>
              </w:tabs>
              <w:autoSpaceDE w:val="0"/>
              <w:autoSpaceDN w:val="0"/>
              <w:adjustRightInd w:val="0"/>
              <w:jc w:val="center"/>
              <w:rPr>
                <w:sz w:val="22"/>
                <w:szCs w:val="22"/>
                <w:lang w:val="lt-LT"/>
              </w:rPr>
            </w:pPr>
          </w:p>
        </w:tc>
      </w:tr>
      <w:tr w:rsidR="0089190B" w:rsidRPr="00BF4AB8" w14:paraId="7F7B618A" w14:textId="77777777" w:rsidTr="003E7B06">
        <w:tc>
          <w:tcPr>
            <w:tcW w:w="1000" w:type="pct"/>
          </w:tcPr>
          <w:p w14:paraId="7E94E008" w14:textId="13FCF73C" w:rsidR="00CB2E6A" w:rsidRPr="00BF4AB8" w:rsidRDefault="00CB2E6A" w:rsidP="00CB2E6A">
            <w:pPr>
              <w:tabs>
                <w:tab w:val="left" w:pos="567"/>
              </w:tabs>
              <w:autoSpaceDE w:val="0"/>
              <w:autoSpaceDN w:val="0"/>
              <w:adjustRightInd w:val="0"/>
              <w:jc w:val="center"/>
              <w:rPr>
                <w:sz w:val="22"/>
                <w:szCs w:val="22"/>
                <w:lang w:val="lt-LT"/>
              </w:rPr>
            </w:pPr>
            <w:r w:rsidRPr="00BF4AB8">
              <w:rPr>
                <w:sz w:val="22"/>
                <w:szCs w:val="22"/>
                <w:lang w:val="lt-LT"/>
              </w:rPr>
              <w:t>Kraujagyslių sutrikimai</w:t>
            </w:r>
          </w:p>
        </w:tc>
        <w:tc>
          <w:tcPr>
            <w:tcW w:w="1000" w:type="pct"/>
          </w:tcPr>
          <w:p w14:paraId="306385EC" w14:textId="20603CF7" w:rsidR="00CB2E6A" w:rsidRPr="00BF4AB8" w:rsidRDefault="00CB2E6A" w:rsidP="00CB2E6A">
            <w:pPr>
              <w:tabs>
                <w:tab w:val="left" w:pos="567"/>
              </w:tabs>
              <w:autoSpaceDE w:val="0"/>
              <w:autoSpaceDN w:val="0"/>
              <w:adjustRightInd w:val="0"/>
              <w:jc w:val="center"/>
              <w:rPr>
                <w:sz w:val="22"/>
                <w:szCs w:val="22"/>
                <w:lang w:val="lt-LT"/>
              </w:rPr>
            </w:pPr>
            <w:r w:rsidRPr="00BF4AB8">
              <w:rPr>
                <w:sz w:val="22"/>
                <w:szCs w:val="22"/>
                <w:lang w:val="lt-LT"/>
              </w:rPr>
              <w:t>Kraujavimas</w:t>
            </w:r>
            <w:r w:rsidRPr="00BF4AB8">
              <w:rPr>
                <w:sz w:val="22"/>
                <w:szCs w:val="22"/>
                <w:vertAlign w:val="superscript"/>
                <w:lang w:val="lt-LT"/>
              </w:rPr>
              <w:t>1)</w:t>
            </w:r>
            <w:r w:rsidRPr="00BF4AB8">
              <w:rPr>
                <w:sz w:val="22"/>
                <w:szCs w:val="22"/>
                <w:lang w:val="lt-LT"/>
              </w:rPr>
              <w:t xml:space="preserve"> (žr. 4.4 skyrių)</w:t>
            </w:r>
          </w:p>
        </w:tc>
        <w:tc>
          <w:tcPr>
            <w:tcW w:w="1000" w:type="pct"/>
          </w:tcPr>
          <w:p w14:paraId="551CCCF9" w14:textId="7B3E7506" w:rsidR="00CB2E6A" w:rsidRPr="00BF4AB8" w:rsidRDefault="00CB2E6A" w:rsidP="00CB2E6A">
            <w:pPr>
              <w:tabs>
                <w:tab w:val="left" w:pos="567"/>
              </w:tabs>
              <w:autoSpaceDE w:val="0"/>
              <w:autoSpaceDN w:val="0"/>
              <w:adjustRightInd w:val="0"/>
              <w:jc w:val="center"/>
              <w:rPr>
                <w:sz w:val="22"/>
                <w:szCs w:val="22"/>
                <w:lang w:val="lt-LT"/>
              </w:rPr>
            </w:pPr>
            <w:r w:rsidRPr="00BF4AB8">
              <w:rPr>
                <w:sz w:val="22"/>
                <w:szCs w:val="22"/>
                <w:lang w:val="lt-LT"/>
              </w:rPr>
              <w:t>Venų tromboembolija</w:t>
            </w:r>
            <w:r w:rsidRPr="00BF4AB8">
              <w:rPr>
                <w:sz w:val="22"/>
                <w:szCs w:val="22"/>
                <w:vertAlign w:val="superscript"/>
                <w:lang w:val="lt-LT"/>
              </w:rPr>
              <w:t>3</w:t>
            </w:r>
            <w:r w:rsidR="008B6CC6" w:rsidRPr="00BF4AB8">
              <w:rPr>
                <w:sz w:val="22"/>
                <w:szCs w:val="22"/>
                <w:vertAlign w:val="superscript"/>
                <w:lang w:val="lt-LT"/>
              </w:rPr>
              <w:t>)</w:t>
            </w:r>
            <w:r w:rsidRPr="00BF4AB8">
              <w:rPr>
                <w:sz w:val="22"/>
                <w:szCs w:val="22"/>
                <w:lang w:val="lt-LT"/>
              </w:rPr>
              <w:t>, hipertenzija</w:t>
            </w:r>
          </w:p>
        </w:tc>
        <w:tc>
          <w:tcPr>
            <w:tcW w:w="1000" w:type="pct"/>
          </w:tcPr>
          <w:p w14:paraId="4CF04180" w14:textId="77777777" w:rsidR="00CB2E6A" w:rsidRPr="00BF4AB8" w:rsidRDefault="00CB2E6A" w:rsidP="00CB2E6A">
            <w:pPr>
              <w:tabs>
                <w:tab w:val="left" w:pos="567"/>
              </w:tabs>
              <w:autoSpaceDE w:val="0"/>
              <w:autoSpaceDN w:val="0"/>
              <w:adjustRightInd w:val="0"/>
              <w:jc w:val="center"/>
              <w:rPr>
                <w:sz w:val="22"/>
                <w:szCs w:val="22"/>
                <w:lang w:val="lt-LT"/>
              </w:rPr>
            </w:pPr>
          </w:p>
        </w:tc>
        <w:tc>
          <w:tcPr>
            <w:tcW w:w="1000" w:type="pct"/>
          </w:tcPr>
          <w:p w14:paraId="380DAB8F" w14:textId="27DF468D" w:rsidR="00CB2E6A" w:rsidRPr="00BF4AB8" w:rsidRDefault="00CB2E6A" w:rsidP="00CB2E6A">
            <w:pPr>
              <w:tabs>
                <w:tab w:val="left" w:pos="567"/>
              </w:tabs>
              <w:autoSpaceDE w:val="0"/>
              <w:autoSpaceDN w:val="0"/>
              <w:adjustRightInd w:val="0"/>
              <w:jc w:val="center"/>
              <w:rPr>
                <w:sz w:val="22"/>
                <w:szCs w:val="22"/>
                <w:lang w:val="lt-LT"/>
              </w:rPr>
            </w:pPr>
            <w:r w:rsidRPr="00BF4AB8">
              <w:rPr>
                <w:sz w:val="22"/>
                <w:szCs w:val="22"/>
                <w:lang w:val="lt-LT"/>
              </w:rPr>
              <w:t>Aneurizma ir arterijų atsisluoksniavimas</w:t>
            </w:r>
          </w:p>
        </w:tc>
      </w:tr>
      <w:tr w:rsidR="0089190B" w:rsidRPr="00BF4AB8" w14:paraId="7EB7DB41" w14:textId="77777777" w:rsidTr="003E7B06">
        <w:tc>
          <w:tcPr>
            <w:tcW w:w="1000" w:type="pct"/>
          </w:tcPr>
          <w:p w14:paraId="069E6692" w14:textId="77777777" w:rsidR="0089190B" w:rsidRPr="00BF4AB8" w:rsidRDefault="0089190B" w:rsidP="0089190B">
            <w:pPr>
              <w:tabs>
                <w:tab w:val="left" w:pos="567"/>
              </w:tabs>
              <w:autoSpaceDE w:val="0"/>
              <w:autoSpaceDN w:val="0"/>
              <w:adjustRightInd w:val="0"/>
              <w:jc w:val="center"/>
              <w:rPr>
                <w:sz w:val="22"/>
                <w:szCs w:val="22"/>
                <w:lang w:val="lt-LT"/>
              </w:rPr>
            </w:pPr>
            <w:r w:rsidRPr="00BF4AB8">
              <w:rPr>
                <w:sz w:val="22"/>
                <w:szCs w:val="22"/>
                <w:lang w:val="lt-LT"/>
              </w:rPr>
              <w:t>Virškinimo</w:t>
            </w:r>
          </w:p>
          <w:p w14:paraId="05D1A0F2" w14:textId="77777777" w:rsidR="0089190B" w:rsidRPr="00BF4AB8" w:rsidRDefault="0089190B" w:rsidP="0089190B">
            <w:pPr>
              <w:tabs>
                <w:tab w:val="left" w:pos="567"/>
              </w:tabs>
              <w:autoSpaceDE w:val="0"/>
              <w:autoSpaceDN w:val="0"/>
              <w:adjustRightInd w:val="0"/>
              <w:jc w:val="center"/>
              <w:rPr>
                <w:sz w:val="22"/>
                <w:szCs w:val="22"/>
                <w:lang w:val="lt-LT"/>
              </w:rPr>
            </w:pPr>
            <w:r w:rsidRPr="00BF4AB8">
              <w:rPr>
                <w:sz w:val="22"/>
                <w:szCs w:val="22"/>
                <w:lang w:val="lt-LT"/>
              </w:rPr>
              <w:t>trakto</w:t>
            </w:r>
          </w:p>
          <w:p w14:paraId="3B59EE1C" w14:textId="56181657" w:rsidR="00CB2E6A" w:rsidRPr="00BF4AB8" w:rsidRDefault="0089190B" w:rsidP="0089190B">
            <w:pPr>
              <w:tabs>
                <w:tab w:val="left" w:pos="567"/>
              </w:tabs>
              <w:autoSpaceDE w:val="0"/>
              <w:autoSpaceDN w:val="0"/>
              <w:adjustRightInd w:val="0"/>
              <w:jc w:val="center"/>
              <w:rPr>
                <w:sz w:val="22"/>
                <w:szCs w:val="22"/>
                <w:lang w:val="lt-LT"/>
              </w:rPr>
            </w:pPr>
            <w:r w:rsidRPr="00BF4AB8">
              <w:rPr>
                <w:sz w:val="22"/>
                <w:szCs w:val="22"/>
                <w:lang w:val="lt-LT"/>
              </w:rPr>
              <w:t>sutrikimai</w:t>
            </w:r>
          </w:p>
        </w:tc>
        <w:tc>
          <w:tcPr>
            <w:tcW w:w="1000" w:type="pct"/>
          </w:tcPr>
          <w:p w14:paraId="5D6C2A8F" w14:textId="4DB45C2E" w:rsidR="00CB2E6A" w:rsidRPr="00BF4AB8" w:rsidRDefault="0089190B" w:rsidP="0089190B">
            <w:pPr>
              <w:tabs>
                <w:tab w:val="left" w:pos="567"/>
              </w:tabs>
              <w:autoSpaceDE w:val="0"/>
              <w:autoSpaceDN w:val="0"/>
              <w:adjustRightInd w:val="0"/>
              <w:jc w:val="center"/>
              <w:rPr>
                <w:sz w:val="22"/>
                <w:szCs w:val="22"/>
                <w:lang w:val="lt-LT"/>
              </w:rPr>
            </w:pPr>
            <w:r w:rsidRPr="00BF4AB8">
              <w:rPr>
                <w:sz w:val="22"/>
                <w:szCs w:val="22"/>
                <w:lang w:val="lt-LT"/>
              </w:rPr>
              <w:t>Viduriavimas</w:t>
            </w:r>
            <w:r w:rsidR="00CB2E6A" w:rsidRPr="00BF4AB8">
              <w:rPr>
                <w:sz w:val="22"/>
                <w:szCs w:val="22"/>
                <w:lang w:val="lt-LT"/>
              </w:rPr>
              <w:t>,</w:t>
            </w:r>
            <w:r w:rsidRPr="00BF4AB8">
              <w:rPr>
                <w:sz w:val="22"/>
                <w:szCs w:val="22"/>
                <w:lang w:val="lt-LT"/>
              </w:rPr>
              <w:t xml:space="preserve"> vėmimas, pykinimas, pilvo skausmas</w:t>
            </w:r>
          </w:p>
        </w:tc>
        <w:tc>
          <w:tcPr>
            <w:tcW w:w="1000" w:type="pct"/>
          </w:tcPr>
          <w:p w14:paraId="19A9A72A" w14:textId="77777777" w:rsidR="00CB2E6A" w:rsidRPr="00BF4AB8" w:rsidRDefault="00CB2E6A" w:rsidP="00CB2E6A">
            <w:pPr>
              <w:tabs>
                <w:tab w:val="left" w:pos="567"/>
              </w:tabs>
              <w:autoSpaceDE w:val="0"/>
              <w:autoSpaceDN w:val="0"/>
              <w:adjustRightInd w:val="0"/>
              <w:jc w:val="center"/>
              <w:rPr>
                <w:sz w:val="22"/>
                <w:szCs w:val="22"/>
                <w:lang w:val="lt-LT"/>
              </w:rPr>
            </w:pPr>
          </w:p>
        </w:tc>
        <w:tc>
          <w:tcPr>
            <w:tcW w:w="1000" w:type="pct"/>
          </w:tcPr>
          <w:p w14:paraId="4234039E" w14:textId="3A28EE9D" w:rsidR="00CB2E6A" w:rsidRPr="00BF4AB8" w:rsidRDefault="00CB2E6A" w:rsidP="0089190B">
            <w:pPr>
              <w:tabs>
                <w:tab w:val="left" w:pos="567"/>
              </w:tabs>
              <w:autoSpaceDE w:val="0"/>
              <w:autoSpaceDN w:val="0"/>
              <w:adjustRightInd w:val="0"/>
              <w:jc w:val="center"/>
              <w:rPr>
                <w:sz w:val="22"/>
                <w:szCs w:val="22"/>
                <w:lang w:val="lt-LT"/>
              </w:rPr>
            </w:pPr>
            <w:r w:rsidRPr="00BF4AB8">
              <w:rPr>
                <w:sz w:val="22"/>
                <w:szCs w:val="22"/>
                <w:lang w:val="lt-LT"/>
              </w:rPr>
              <w:t>Perfora</w:t>
            </w:r>
            <w:r w:rsidR="0089190B" w:rsidRPr="00BF4AB8">
              <w:rPr>
                <w:sz w:val="22"/>
                <w:szCs w:val="22"/>
                <w:lang w:val="lt-LT"/>
              </w:rPr>
              <w:t>cija</w:t>
            </w:r>
            <w:r w:rsidRPr="00BF4AB8">
              <w:rPr>
                <w:sz w:val="22"/>
                <w:szCs w:val="22"/>
                <w:vertAlign w:val="superscript"/>
                <w:lang w:val="lt-LT"/>
              </w:rPr>
              <w:t>1)</w:t>
            </w:r>
            <w:r w:rsidR="0089190B" w:rsidRPr="00BF4AB8">
              <w:rPr>
                <w:sz w:val="22"/>
                <w:szCs w:val="22"/>
                <w:lang w:val="lt-LT"/>
              </w:rPr>
              <w:t>, pankreatitas</w:t>
            </w:r>
            <w:r w:rsidRPr="00BF4AB8">
              <w:rPr>
                <w:sz w:val="22"/>
                <w:szCs w:val="22"/>
                <w:vertAlign w:val="superscript"/>
                <w:lang w:val="lt-LT"/>
              </w:rPr>
              <w:t>2)</w:t>
            </w:r>
          </w:p>
        </w:tc>
        <w:tc>
          <w:tcPr>
            <w:tcW w:w="1000" w:type="pct"/>
          </w:tcPr>
          <w:p w14:paraId="607B8C07" w14:textId="41894D8E" w:rsidR="00CB2E6A" w:rsidRPr="00BF4AB8" w:rsidRDefault="00CB2E6A" w:rsidP="00CB2E6A">
            <w:pPr>
              <w:tabs>
                <w:tab w:val="left" w:pos="567"/>
              </w:tabs>
              <w:autoSpaceDE w:val="0"/>
              <w:autoSpaceDN w:val="0"/>
              <w:adjustRightInd w:val="0"/>
              <w:jc w:val="center"/>
              <w:rPr>
                <w:sz w:val="22"/>
                <w:szCs w:val="22"/>
                <w:lang w:val="lt-LT"/>
              </w:rPr>
            </w:pPr>
            <w:r w:rsidRPr="00BF4AB8">
              <w:rPr>
                <w:sz w:val="22"/>
                <w:szCs w:val="22"/>
                <w:lang w:val="lt-LT"/>
              </w:rPr>
              <w:t>Kolitas</w:t>
            </w:r>
          </w:p>
        </w:tc>
      </w:tr>
      <w:tr w:rsidR="0089190B" w:rsidRPr="00BF4AB8" w14:paraId="58299521" w14:textId="77777777" w:rsidTr="003E7B06">
        <w:tc>
          <w:tcPr>
            <w:tcW w:w="1000" w:type="pct"/>
          </w:tcPr>
          <w:p w14:paraId="6E635056" w14:textId="5FD74F3F" w:rsidR="00CB2E6A" w:rsidRPr="00BF4AB8" w:rsidRDefault="0089190B" w:rsidP="0089190B">
            <w:pPr>
              <w:tabs>
                <w:tab w:val="left" w:pos="567"/>
              </w:tabs>
              <w:autoSpaceDE w:val="0"/>
              <w:autoSpaceDN w:val="0"/>
              <w:adjustRightInd w:val="0"/>
              <w:jc w:val="center"/>
              <w:rPr>
                <w:sz w:val="22"/>
                <w:szCs w:val="22"/>
                <w:lang w:val="lt-LT"/>
              </w:rPr>
            </w:pPr>
            <w:r w:rsidRPr="00BF4AB8">
              <w:rPr>
                <w:sz w:val="22"/>
                <w:szCs w:val="22"/>
                <w:lang w:val="lt-LT"/>
              </w:rPr>
              <w:t>Kepenų, tulžies pūslės ir latakų sutrikimai</w:t>
            </w:r>
          </w:p>
        </w:tc>
        <w:tc>
          <w:tcPr>
            <w:tcW w:w="1000" w:type="pct"/>
          </w:tcPr>
          <w:p w14:paraId="25F670F1" w14:textId="555FB851" w:rsidR="00CB2E6A" w:rsidRPr="00BF4AB8" w:rsidRDefault="0089190B" w:rsidP="0089190B">
            <w:pPr>
              <w:tabs>
                <w:tab w:val="left" w:pos="567"/>
              </w:tabs>
              <w:autoSpaceDE w:val="0"/>
              <w:autoSpaceDN w:val="0"/>
              <w:adjustRightInd w:val="0"/>
              <w:jc w:val="center"/>
              <w:rPr>
                <w:sz w:val="22"/>
                <w:szCs w:val="22"/>
                <w:lang w:val="lt-LT"/>
              </w:rPr>
            </w:pPr>
            <w:r w:rsidRPr="00BF4AB8">
              <w:rPr>
                <w:sz w:val="22"/>
                <w:szCs w:val="22"/>
                <w:lang w:val="lt-LT"/>
              </w:rPr>
              <w:t xml:space="preserve">Alaninaminotransferazės (ALT) aktyvumo padidėjimas, aspartataminotransferazės (AST) aktyvumo padidėjimas, šarminės </w:t>
            </w:r>
            <w:proofErr w:type="spellStart"/>
            <w:r w:rsidRPr="00BF4AB8">
              <w:rPr>
                <w:sz w:val="22"/>
                <w:szCs w:val="22"/>
                <w:lang w:val="lt-LT"/>
              </w:rPr>
              <w:t>fosfatazės</w:t>
            </w:r>
            <w:proofErr w:type="spellEnd"/>
            <w:r w:rsidRPr="00BF4AB8">
              <w:rPr>
                <w:sz w:val="22"/>
                <w:szCs w:val="22"/>
                <w:lang w:val="lt-LT"/>
              </w:rPr>
              <w:t xml:space="preserve"> (ŠF) aktyvumo kraujyje padidėjimas</w:t>
            </w:r>
          </w:p>
        </w:tc>
        <w:tc>
          <w:tcPr>
            <w:tcW w:w="1000" w:type="pct"/>
          </w:tcPr>
          <w:p w14:paraId="3853B757" w14:textId="46042D23" w:rsidR="00CB2E6A" w:rsidRPr="00BF4AB8" w:rsidRDefault="0089190B" w:rsidP="0089190B">
            <w:pPr>
              <w:tabs>
                <w:tab w:val="left" w:pos="567"/>
              </w:tabs>
              <w:autoSpaceDE w:val="0"/>
              <w:autoSpaceDN w:val="0"/>
              <w:adjustRightInd w:val="0"/>
              <w:jc w:val="center"/>
              <w:rPr>
                <w:sz w:val="22"/>
                <w:szCs w:val="22"/>
                <w:lang w:val="lt-LT"/>
              </w:rPr>
            </w:pPr>
            <w:proofErr w:type="spellStart"/>
            <w:r w:rsidRPr="00BF4AB8">
              <w:rPr>
                <w:sz w:val="22"/>
                <w:szCs w:val="22"/>
                <w:lang w:val="lt-LT"/>
              </w:rPr>
              <w:t>Hiperbilirubinemija</w:t>
            </w:r>
            <w:proofErr w:type="spellEnd"/>
            <w:r w:rsidRPr="00BF4AB8">
              <w:rPr>
                <w:sz w:val="22"/>
                <w:szCs w:val="22"/>
                <w:lang w:val="lt-LT"/>
              </w:rPr>
              <w:t xml:space="preserve">, padidėjęs gama </w:t>
            </w:r>
            <w:proofErr w:type="spellStart"/>
            <w:r w:rsidRPr="00BF4AB8">
              <w:rPr>
                <w:sz w:val="22"/>
                <w:szCs w:val="22"/>
                <w:lang w:val="lt-LT"/>
              </w:rPr>
              <w:t>glutamiltransferazės</w:t>
            </w:r>
            <w:proofErr w:type="spellEnd"/>
            <w:r w:rsidRPr="00BF4AB8">
              <w:rPr>
                <w:sz w:val="22"/>
                <w:szCs w:val="22"/>
                <w:lang w:val="lt-LT"/>
              </w:rPr>
              <w:t xml:space="preserve"> (GGT) aktyvumas</w:t>
            </w:r>
          </w:p>
        </w:tc>
        <w:tc>
          <w:tcPr>
            <w:tcW w:w="1000" w:type="pct"/>
          </w:tcPr>
          <w:p w14:paraId="7EAD6376" w14:textId="61540F66" w:rsidR="00CB2E6A" w:rsidRPr="00BF4AB8" w:rsidRDefault="0089190B" w:rsidP="0089190B">
            <w:pPr>
              <w:tabs>
                <w:tab w:val="left" w:pos="567"/>
              </w:tabs>
              <w:autoSpaceDE w:val="0"/>
              <w:autoSpaceDN w:val="0"/>
              <w:adjustRightInd w:val="0"/>
              <w:jc w:val="center"/>
              <w:rPr>
                <w:sz w:val="22"/>
                <w:szCs w:val="22"/>
                <w:lang w:val="lt-LT"/>
              </w:rPr>
            </w:pPr>
            <w:r w:rsidRPr="00BF4AB8">
              <w:rPr>
                <w:sz w:val="22"/>
                <w:szCs w:val="22"/>
                <w:lang w:val="lt-LT"/>
              </w:rPr>
              <w:t>Vaistinių preparatų sukeltas kepenų pažeidimas</w:t>
            </w:r>
          </w:p>
        </w:tc>
        <w:tc>
          <w:tcPr>
            <w:tcW w:w="1000" w:type="pct"/>
          </w:tcPr>
          <w:p w14:paraId="5CCDA46B" w14:textId="77777777" w:rsidR="00CB2E6A" w:rsidRPr="00BF4AB8" w:rsidRDefault="00CB2E6A" w:rsidP="00CB2E6A">
            <w:pPr>
              <w:tabs>
                <w:tab w:val="left" w:pos="567"/>
              </w:tabs>
              <w:autoSpaceDE w:val="0"/>
              <w:autoSpaceDN w:val="0"/>
              <w:adjustRightInd w:val="0"/>
              <w:jc w:val="center"/>
              <w:rPr>
                <w:sz w:val="22"/>
                <w:szCs w:val="22"/>
                <w:lang w:val="lt-LT"/>
              </w:rPr>
            </w:pPr>
          </w:p>
        </w:tc>
      </w:tr>
      <w:tr w:rsidR="0089190B" w:rsidRPr="00BF4AB8" w14:paraId="4EE26ECE" w14:textId="77777777" w:rsidTr="003E7B06">
        <w:tc>
          <w:tcPr>
            <w:tcW w:w="1000" w:type="pct"/>
          </w:tcPr>
          <w:p w14:paraId="4E4B0148" w14:textId="369CE2A0" w:rsidR="00CB2E6A" w:rsidRPr="00BF4AB8" w:rsidRDefault="00DA50D1" w:rsidP="00DA50D1">
            <w:pPr>
              <w:tabs>
                <w:tab w:val="left" w:pos="567"/>
              </w:tabs>
              <w:autoSpaceDE w:val="0"/>
              <w:autoSpaceDN w:val="0"/>
              <w:adjustRightInd w:val="0"/>
              <w:jc w:val="center"/>
              <w:rPr>
                <w:sz w:val="22"/>
                <w:szCs w:val="22"/>
                <w:lang w:val="lt-LT"/>
              </w:rPr>
            </w:pPr>
            <w:r w:rsidRPr="00BF4AB8">
              <w:rPr>
                <w:sz w:val="22"/>
                <w:szCs w:val="22"/>
                <w:lang w:val="lt-LT"/>
              </w:rPr>
              <w:t>Odos ir poodinio audinio sutrikimai</w:t>
            </w:r>
          </w:p>
        </w:tc>
        <w:tc>
          <w:tcPr>
            <w:tcW w:w="1000" w:type="pct"/>
          </w:tcPr>
          <w:p w14:paraId="0DC70319" w14:textId="66E6D830" w:rsidR="00CB2E6A" w:rsidRPr="00BF4AB8" w:rsidRDefault="00DA50D1" w:rsidP="00DA50D1">
            <w:pPr>
              <w:tabs>
                <w:tab w:val="left" w:pos="567"/>
              </w:tabs>
              <w:autoSpaceDE w:val="0"/>
              <w:autoSpaceDN w:val="0"/>
              <w:adjustRightInd w:val="0"/>
              <w:jc w:val="center"/>
              <w:rPr>
                <w:sz w:val="22"/>
                <w:szCs w:val="22"/>
                <w:lang w:val="lt-LT"/>
              </w:rPr>
            </w:pPr>
            <w:proofErr w:type="spellStart"/>
            <w:r w:rsidRPr="00BF4AB8">
              <w:rPr>
                <w:sz w:val="22"/>
                <w:szCs w:val="22"/>
                <w:lang w:val="lt-LT"/>
              </w:rPr>
              <w:t>Mukozitas</w:t>
            </w:r>
            <w:proofErr w:type="spellEnd"/>
            <w:r w:rsidRPr="00BF4AB8">
              <w:rPr>
                <w:sz w:val="22"/>
                <w:szCs w:val="22"/>
                <w:lang w:val="lt-LT"/>
              </w:rPr>
              <w:t xml:space="preserve"> (įskaitant stomatitą), išbėrimas, </w:t>
            </w:r>
            <w:proofErr w:type="spellStart"/>
            <w:r w:rsidRPr="00BF4AB8">
              <w:rPr>
                <w:sz w:val="22"/>
                <w:szCs w:val="22"/>
                <w:lang w:val="lt-LT"/>
              </w:rPr>
              <w:t>alopecija</w:t>
            </w:r>
            <w:proofErr w:type="spellEnd"/>
            <w:r w:rsidRPr="00BF4AB8">
              <w:rPr>
                <w:sz w:val="22"/>
                <w:szCs w:val="22"/>
                <w:vertAlign w:val="superscript"/>
                <w:lang w:val="lt-LT"/>
              </w:rPr>
              <w:t xml:space="preserve"> </w:t>
            </w:r>
            <w:r w:rsidR="00CB2E6A" w:rsidRPr="00BF4AB8">
              <w:rPr>
                <w:sz w:val="22"/>
                <w:szCs w:val="22"/>
                <w:vertAlign w:val="superscript"/>
                <w:lang w:val="lt-LT"/>
              </w:rPr>
              <w:t>1)</w:t>
            </w:r>
          </w:p>
        </w:tc>
        <w:tc>
          <w:tcPr>
            <w:tcW w:w="1000" w:type="pct"/>
          </w:tcPr>
          <w:p w14:paraId="26CE9F83" w14:textId="212C704C" w:rsidR="00CB2E6A" w:rsidRPr="00BF4AB8" w:rsidRDefault="00DA50D1" w:rsidP="00CB2E6A">
            <w:pPr>
              <w:tabs>
                <w:tab w:val="left" w:pos="567"/>
              </w:tabs>
              <w:autoSpaceDE w:val="0"/>
              <w:autoSpaceDN w:val="0"/>
              <w:adjustRightInd w:val="0"/>
              <w:jc w:val="center"/>
              <w:rPr>
                <w:sz w:val="22"/>
                <w:szCs w:val="22"/>
                <w:lang w:val="lt-LT"/>
              </w:rPr>
            </w:pPr>
            <w:r w:rsidRPr="00BF4AB8">
              <w:rPr>
                <w:sz w:val="22"/>
                <w:szCs w:val="22"/>
                <w:lang w:val="lt-LT"/>
              </w:rPr>
              <w:t>Niežėjimas</w:t>
            </w:r>
          </w:p>
        </w:tc>
        <w:tc>
          <w:tcPr>
            <w:tcW w:w="1000" w:type="pct"/>
          </w:tcPr>
          <w:p w14:paraId="5FCA3EBA" w14:textId="77777777" w:rsidR="00CB2E6A" w:rsidRPr="00BF4AB8" w:rsidRDefault="00CB2E6A" w:rsidP="00CB2E6A">
            <w:pPr>
              <w:tabs>
                <w:tab w:val="left" w:pos="567"/>
              </w:tabs>
              <w:autoSpaceDE w:val="0"/>
              <w:autoSpaceDN w:val="0"/>
              <w:adjustRightInd w:val="0"/>
              <w:jc w:val="center"/>
              <w:rPr>
                <w:sz w:val="22"/>
                <w:szCs w:val="22"/>
                <w:lang w:val="lt-LT"/>
              </w:rPr>
            </w:pPr>
          </w:p>
        </w:tc>
        <w:tc>
          <w:tcPr>
            <w:tcW w:w="1000" w:type="pct"/>
          </w:tcPr>
          <w:p w14:paraId="6CD5531D" w14:textId="77777777" w:rsidR="00CB2E6A" w:rsidRPr="00BF4AB8" w:rsidRDefault="00CB2E6A" w:rsidP="00CB2E6A">
            <w:pPr>
              <w:tabs>
                <w:tab w:val="left" w:pos="567"/>
              </w:tabs>
              <w:autoSpaceDE w:val="0"/>
              <w:autoSpaceDN w:val="0"/>
              <w:adjustRightInd w:val="0"/>
              <w:jc w:val="center"/>
              <w:rPr>
                <w:sz w:val="22"/>
                <w:szCs w:val="22"/>
                <w:lang w:val="lt-LT"/>
              </w:rPr>
            </w:pPr>
          </w:p>
        </w:tc>
      </w:tr>
      <w:tr w:rsidR="0089190B" w:rsidRPr="00BF4AB8" w14:paraId="01067172" w14:textId="77777777" w:rsidTr="003E7B06">
        <w:tc>
          <w:tcPr>
            <w:tcW w:w="1000" w:type="pct"/>
          </w:tcPr>
          <w:p w14:paraId="5FC1A4A2" w14:textId="51A41151" w:rsidR="00CB2E6A" w:rsidRPr="00BF4AB8" w:rsidRDefault="00DA50D1" w:rsidP="00DA50D1">
            <w:pPr>
              <w:tabs>
                <w:tab w:val="left" w:pos="567"/>
              </w:tabs>
              <w:autoSpaceDE w:val="0"/>
              <w:autoSpaceDN w:val="0"/>
              <w:adjustRightInd w:val="0"/>
              <w:jc w:val="center"/>
              <w:rPr>
                <w:sz w:val="22"/>
                <w:szCs w:val="22"/>
                <w:lang w:val="lt-LT"/>
              </w:rPr>
            </w:pPr>
            <w:r w:rsidRPr="00BF4AB8">
              <w:rPr>
                <w:sz w:val="22"/>
                <w:szCs w:val="22"/>
                <w:lang w:val="lt-LT"/>
              </w:rPr>
              <w:t>Inkstų ir šlapimo takų sutrikimai</w:t>
            </w:r>
          </w:p>
        </w:tc>
        <w:tc>
          <w:tcPr>
            <w:tcW w:w="1000" w:type="pct"/>
          </w:tcPr>
          <w:p w14:paraId="22D5C5DA" w14:textId="77777777" w:rsidR="00CB2E6A" w:rsidRPr="00BF4AB8" w:rsidRDefault="00CB2E6A" w:rsidP="00CB2E6A">
            <w:pPr>
              <w:tabs>
                <w:tab w:val="left" w:pos="567"/>
              </w:tabs>
              <w:autoSpaceDE w:val="0"/>
              <w:autoSpaceDN w:val="0"/>
              <w:adjustRightInd w:val="0"/>
              <w:jc w:val="center"/>
              <w:rPr>
                <w:sz w:val="22"/>
                <w:szCs w:val="22"/>
                <w:lang w:val="lt-LT"/>
              </w:rPr>
            </w:pPr>
          </w:p>
        </w:tc>
        <w:tc>
          <w:tcPr>
            <w:tcW w:w="1000" w:type="pct"/>
          </w:tcPr>
          <w:p w14:paraId="7E13FE5B" w14:textId="1E392C84" w:rsidR="00CB2E6A" w:rsidRPr="00BF4AB8" w:rsidRDefault="00CB2E6A" w:rsidP="00CB2E6A">
            <w:pPr>
              <w:tabs>
                <w:tab w:val="left" w:pos="567"/>
              </w:tabs>
              <w:autoSpaceDE w:val="0"/>
              <w:autoSpaceDN w:val="0"/>
              <w:adjustRightInd w:val="0"/>
              <w:jc w:val="center"/>
              <w:rPr>
                <w:sz w:val="22"/>
                <w:szCs w:val="22"/>
                <w:lang w:val="lt-LT"/>
              </w:rPr>
            </w:pPr>
            <w:r w:rsidRPr="00BF4AB8">
              <w:rPr>
                <w:sz w:val="22"/>
                <w:szCs w:val="22"/>
                <w:lang w:val="lt-LT"/>
              </w:rPr>
              <w:t>Proteinuri</w:t>
            </w:r>
            <w:r w:rsidR="00DA50D1" w:rsidRPr="00BF4AB8">
              <w:rPr>
                <w:sz w:val="22"/>
                <w:szCs w:val="22"/>
                <w:lang w:val="lt-LT"/>
              </w:rPr>
              <w:t>j</w:t>
            </w:r>
            <w:r w:rsidRPr="00BF4AB8">
              <w:rPr>
                <w:sz w:val="22"/>
                <w:szCs w:val="22"/>
                <w:lang w:val="lt-LT"/>
              </w:rPr>
              <w:t>a</w:t>
            </w:r>
            <w:r w:rsidRPr="00BF4AB8">
              <w:rPr>
                <w:sz w:val="22"/>
                <w:szCs w:val="22"/>
                <w:vertAlign w:val="superscript"/>
                <w:lang w:val="lt-LT"/>
              </w:rPr>
              <w:t>1)</w:t>
            </w:r>
          </w:p>
        </w:tc>
        <w:tc>
          <w:tcPr>
            <w:tcW w:w="1000" w:type="pct"/>
          </w:tcPr>
          <w:p w14:paraId="6011D1CF" w14:textId="2CA1A506" w:rsidR="00CB2E6A" w:rsidRPr="00BF4AB8" w:rsidRDefault="00DA50D1" w:rsidP="00DA50D1">
            <w:pPr>
              <w:tabs>
                <w:tab w:val="left" w:pos="567"/>
              </w:tabs>
              <w:autoSpaceDE w:val="0"/>
              <w:autoSpaceDN w:val="0"/>
              <w:adjustRightInd w:val="0"/>
              <w:jc w:val="center"/>
              <w:rPr>
                <w:sz w:val="22"/>
                <w:szCs w:val="22"/>
                <w:lang w:val="lt-LT"/>
              </w:rPr>
            </w:pPr>
            <w:r w:rsidRPr="00BF4AB8">
              <w:rPr>
                <w:sz w:val="22"/>
                <w:szCs w:val="22"/>
                <w:lang w:val="lt-LT"/>
              </w:rPr>
              <w:t>Inkstų nepakankamumas (žr. 4.4 skyrių)</w:t>
            </w:r>
          </w:p>
        </w:tc>
        <w:tc>
          <w:tcPr>
            <w:tcW w:w="1000" w:type="pct"/>
          </w:tcPr>
          <w:p w14:paraId="26AAC9A4" w14:textId="77777777" w:rsidR="00CB2E6A" w:rsidRPr="00BF4AB8" w:rsidRDefault="00CB2E6A" w:rsidP="00CB2E6A">
            <w:pPr>
              <w:tabs>
                <w:tab w:val="left" w:pos="567"/>
              </w:tabs>
              <w:autoSpaceDE w:val="0"/>
              <w:autoSpaceDN w:val="0"/>
              <w:adjustRightInd w:val="0"/>
              <w:jc w:val="center"/>
              <w:rPr>
                <w:sz w:val="22"/>
                <w:szCs w:val="22"/>
                <w:lang w:val="lt-LT"/>
              </w:rPr>
            </w:pPr>
          </w:p>
        </w:tc>
      </w:tr>
    </w:tbl>
    <w:p w14:paraId="10F74EBC" w14:textId="2CA2B514" w:rsidR="00DA50D1" w:rsidRPr="00BF4AB8" w:rsidRDefault="00DA50D1" w:rsidP="00DA50D1">
      <w:pPr>
        <w:tabs>
          <w:tab w:val="left" w:pos="567"/>
        </w:tabs>
        <w:spacing w:line="260" w:lineRule="exact"/>
        <w:rPr>
          <w:iCs/>
          <w:snapToGrid w:val="0"/>
          <w:sz w:val="22"/>
          <w:szCs w:val="22"/>
          <w:lang w:eastAsia="lt-LT"/>
        </w:rPr>
      </w:pPr>
      <w:r w:rsidRPr="00BF4AB8">
        <w:rPr>
          <w:iCs/>
          <w:snapToGrid w:val="0"/>
          <w:sz w:val="22"/>
          <w:szCs w:val="22"/>
          <w:vertAlign w:val="superscript"/>
          <w:lang w:eastAsia="lt-LT"/>
        </w:rPr>
        <w:t>1)</w:t>
      </w:r>
      <w:r w:rsidRPr="00BF4AB8">
        <w:rPr>
          <w:iCs/>
          <w:snapToGrid w:val="0"/>
          <w:sz w:val="22"/>
          <w:szCs w:val="22"/>
          <w:lang w:eastAsia="lt-LT"/>
        </w:rPr>
        <w:t xml:space="preserve"> Klinikinių tyrimų metu pacientams, gydytiems </w:t>
      </w:r>
      <w:proofErr w:type="spellStart"/>
      <w:r w:rsidRPr="00BF4AB8">
        <w:rPr>
          <w:iCs/>
          <w:snapToGrid w:val="0"/>
          <w:sz w:val="22"/>
          <w:szCs w:val="22"/>
          <w:lang w:eastAsia="lt-LT"/>
        </w:rPr>
        <w:t>nintedanibo</w:t>
      </w:r>
      <w:proofErr w:type="spellEnd"/>
      <w:r w:rsidRPr="00BF4AB8">
        <w:rPr>
          <w:iCs/>
          <w:snapToGrid w:val="0"/>
          <w:sz w:val="22"/>
          <w:szCs w:val="22"/>
          <w:lang w:eastAsia="lt-LT"/>
        </w:rPr>
        <w:t xml:space="preserve"> ir </w:t>
      </w:r>
      <w:proofErr w:type="spellStart"/>
      <w:r w:rsidRPr="00BF4AB8">
        <w:rPr>
          <w:iCs/>
          <w:snapToGrid w:val="0"/>
          <w:sz w:val="22"/>
          <w:szCs w:val="22"/>
          <w:lang w:eastAsia="lt-LT"/>
        </w:rPr>
        <w:t>docetakselio</w:t>
      </w:r>
      <w:proofErr w:type="spellEnd"/>
      <w:r w:rsidRPr="00BF4AB8">
        <w:rPr>
          <w:iCs/>
          <w:snapToGrid w:val="0"/>
          <w:sz w:val="22"/>
          <w:szCs w:val="22"/>
          <w:lang w:eastAsia="lt-LT"/>
        </w:rPr>
        <w:t xml:space="preserve"> deriniu, dažnis nebuvo</w:t>
      </w:r>
      <w:r w:rsidR="00E93BCD" w:rsidRPr="00BF4AB8">
        <w:rPr>
          <w:iCs/>
          <w:snapToGrid w:val="0"/>
          <w:sz w:val="22"/>
          <w:szCs w:val="22"/>
          <w:lang w:eastAsia="lt-LT"/>
        </w:rPr>
        <w:t xml:space="preserve"> </w:t>
      </w:r>
      <w:r w:rsidRPr="00BF4AB8">
        <w:rPr>
          <w:iCs/>
          <w:snapToGrid w:val="0"/>
          <w:sz w:val="22"/>
          <w:szCs w:val="22"/>
          <w:lang w:eastAsia="lt-LT"/>
        </w:rPr>
        <w:t xml:space="preserve">didesnis nei gydytiems </w:t>
      </w:r>
      <w:proofErr w:type="spellStart"/>
      <w:r w:rsidRPr="00BF4AB8">
        <w:rPr>
          <w:iCs/>
          <w:snapToGrid w:val="0"/>
          <w:sz w:val="22"/>
          <w:szCs w:val="22"/>
          <w:lang w:eastAsia="lt-LT"/>
        </w:rPr>
        <w:t>placebo</w:t>
      </w:r>
      <w:proofErr w:type="spellEnd"/>
      <w:r w:rsidRPr="00BF4AB8">
        <w:rPr>
          <w:iCs/>
          <w:snapToGrid w:val="0"/>
          <w:sz w:val="22"/>
          <w:szCs w:val="22"/>
          <w:lang w:eastAsia="lt-LT"/>
        </w:rPr>
        <w:t xml:space="preserve"> ir </w:t>
      </w:r>
      <w:proofErr w:type="spellStart"/>
      <w:r w:rsidRPr="00BF4AB8">
        <w:rPr>
          <w:iCs/>
          <w:snapToGrid w:val="0"/>
          <w:sz w:val="22"/>
          <w:szCs w:val="22"/>
          <w:lang w:eastAsia="lt-LT"/>
        </w:rPr>
        <w:t>docetakselio</w:t>
      </w:r>
      <w:proofErr w:type="spellEnd"/>
      <w:r w:rsidRPr="00BF4AB8">
        <w:rPr>
          <w:iCs/>
          <w:snapToGrid w:val="0"/>
          <w:sz w:val="22"/>
          <w:szCs w:val="22"/>
          <w:lang w:eastAsia="lt-LT"/>
        </w:rPr>
        <w:t xml:space="preserve"> deriniu.</w:t>
      </w:r>
    </w:p>
    <w:p w14:paraId="266935DE" w14:textId="275D06BE" w:rsidR="00DA50D1" w:rsidRPr="00BF4AB8" w:rsidRDefault="00DA50D1" w:rsidP="00DA50D1">
      <w:pPr>
        <w:tabs>
          <w:tab w:val="left" w:pos="567"/>
        </w:tabs>
        <w:spacing w:line="260" w:lineRule="exact"/>
        <w:rPr>
          <w:iCs/>
          <w:snapToGrid w:val="0"/>
          <w:sz w:val="22"/>
          <w:szCs w:val="22"/>
          <w:lang w:eastAsia="lt-LT"/>
        </w:rPr>
      </w:pPr>
      <w:r w:rsidRPr="00BF4AB8">
        <w:rPr>
          <w:iCs/>
          <w:snapToGrid w:val="0"/>
          <w:sz w:val="22"/>
          <w:szCs w:val="22"/>
          <w:vertAlign w:val="superscript"/>
          <w:lang w:eastAsia="lt-LT"/>
        </w:rPr>
        <w:t>2)</w:t>
      </w:r>
      <w:r w:rsidRPr="00BF4AB8">
        <w:rPr>
          <w:iCs/>
          <w:snapToGrid w:val="0"/>
          <w:sz w:val="22"/>
          <w:szCs w:val="22"/>
          <w:lang w:eastAsia="lt-LT"/>
        </w:rPr>
        <w:t xml:space="preserve"> Buvo pranešta apie pankreatito reiškinius, nustatytus nuo IPF ir NSPV </w:t>
      </w:r>
      <w:bookmarkStart w:id="4" w:name="_Hlk151986921"/>
      <w:proofErr w:type="spellStart"/>
      <w:r w:rsidRPr="00BF4AB8">
        <w:rPr>
          <w:iCs/>
          <w:snapToGrid w:val="0"/>
          <w:sz w:val="22"/>
          <w:szCs w:val="22"/>
          <w:lang w:eastAsia="lt-LT"/>
        </w:rPr>
        <w:t>nintedanibu</w:t>
      </w:r>
      <w:proofErr w:type="spellEnd"/>
      <w:r w:rsidRPr="00BF4AB8">
        <w:rPr>
          <w:iCs/>
          <w:snapToGrid w:val="0"/>
          <w:sz w:val="22"/>
          <w:szCs w:val="22"/>
          <w:lang w:eastAsia="lt-LT"/>
        </w:rPr>
        <w:t xml:space="preserve"> </w:t>
      </w:r>
      <w:bookmarkEnd w:id="4"/>
      <w:r w:rsidRPr="00BF4AB8">
        <w:rPr>
          <w:iCs/>
          <w:snapToGrid w:val="0"/>
          <w:sz w:val="22"/>
          <w:szCs w:val="22"/>
          <w:lang w:eastAsia="lt-LT"/>
        </w:rPr>
        <w:t>gydytiems</w:t>
      </w:r>
      <w:r w:rsidR="00E93BCD" w:rsidRPr="00BF4AB8">
        <w:rPr>
          <w:iCs/>
          <w:snapToGrid w:val="0"/>
          <w:sz w:val="22"/>
          <w:szCs w:val="22"/>
          <w:lang w:eastAsia="lt-LT"/>
        </w:rPr>
        <w:t xml:space="preserve"> </w:t>
      </w:r>
      <w:r w:rsidRPr="00BF4AB8">
        <w:rPr>
          <w:iCs/>
          <w:snapToGrid w:val="0"/>
          <w:sz w:val="22"/>
          <w:szCs w:val="22"/>
          <w:lang w:eastAsia="lt-LT"/>
        </w:rPr>
        <w:t xml:space="preserve">pacientams. </w:t>
      </w:r>
      <w:r w:rsidRPr="00E53A48">
        <w:rPr>
          <w:iCs/>
          <w:snapToGrid w:val="0"/>
          <w:sz w:val="22"/>
          <w:szCs w:val="22"/>
          <w:lang w:eastAsia="lt-LT"/>
        </w:rPr>
        <w:t xml:space="preserve">Dauguma šių reiškinių pacientams nustatyta </w:t>
      </w:r>
      <w:proofErr w:type="spellStart"/>
      <w:r w:rsidR="00E53A48" w:rsidRPr="00BF4AB8">
        <w:rPr>
          <w:iCs/>
          <w:snapToGrid w:val="0"/>
          <w:sz w:val="22"/>
          <w:szCs w:val="22"/>
          <w:lang w:eastAsia="lt-LT"/>
        </w:rPr>
        <w:t>nintedanib</w:t>
      </w:r>
      <w:r w:rsidR="00E53A48">
        <w:rPr>
          <w:iCs/>
          <w:snapToGrid w:val="0"/>
          <w:sz w:val="22"/>
          <w:szCs w:val="22"/>
          <w:lang w:eastAsia="lt-LT"/>
        </w:rPr>
        <w:t>o</w:t>
      </w:r>
      <w:proofErr w:type="spellEnd"/>
      <w:r w:rsidR="00E53A48" w:rsidRPr="00BF4AB8">
        <w:rPr>
          <w:iCs/>
          <w:snapToGrid w:val="0"/>
          <w:sz w:val="22"/>
          <w:szCs w:val="22"/>
          <w:lang w:eastAsia="lt-LT"/>
        </w:rPr>
        <w:t xml:space="preserve"> </w:t>
      </w:r>
      <w:r w:rsidR="00E93BCD" w:rsidRPr="00E53A48">
        <w:rPr>
          <w:iCs/>
          <w:snapToGrid w:val="0"/>
          <w:sz w:val="22"/>
          <w:szCs w:val="22"/>
          <w:lang w:eastAsia="lt-LT"/>
        </w:rPr>
        <w:t>vartojant</w:t>
      </w:r>
      <w:r w:rsidRPr="00E53A48">
        <w:rPr>
          <w:iCs/>
          <w:snapToGrid w:val="0"/>
          <w:sz w:val="22"/>
          <w:szCs w:val="22"/>
          <w:lang w:eastAsia="lt-LT"/>
        </w:rPr>
        <w:t xml:space="preserve"> IPF indikacij</w:t>
      </w:r>
      <w:r w:rsidR="00E93BCD" w:rsidRPr="00E53A48">
        <w:rPr>
          <w:iCs/>
          <w:snapToGrid w:val="0"/>
          <w:sz w:val="22"/>
          <w:szCs w:val="22"/>
          <w:lang w:eastAsia="lt-LT"/>
        </w:rPr>
        <w:t>ai</w:t>
      </w:r>
      <w:r w:rsidRPr="00BF4AB8">
        <w:rPr>
          <w:iCs/>
          <w:snapToGrid w:val="0"/>
          <w:sz w:val="22"/>
          <w:szCs w:val="22"/>
          <w:lang w:eastAsia="lt-LT"/>
        </w:rPr>
        <w:t>.</w:t>
      </w:r>
    </w:p>
    <w:p w14:paraId="2D443EF8" w14:textId="77777777" w:rsidR="00DA50D1" w:rsidRPr="00BF4AB8" w:rsidRDefault="00DA50D1" w:rsidP="00DA50D1">
      <w:pPr>
        <w:tabs>
          <w:tab w:val="left" w:pos="567"/>
        </w:tabs>
        <w:spacing w:line="260" w:lineRule="exact"/>
        <w:rPr>
          <w:iCs/>
          <w:snapToGrid w:val="0"/>
          <w:sz w:val="22"/>
          <w:szCs w:val="22"/>
          <w:lang w:eastAsia="lt-LT"/>
        </w:rPr>
      </w:pPr>
      <w:r w:rsidRPr="00BF4AB8">
        <w:rPr>
          <w:iCs/>
          <w:snapToGrid w:val="0"/>
          <w:sz w:val="22"/>
          <w:szCs w:val="22"/>
          <w:vertAlign w:val="superscript"/>
          <w:lang w:eastAsia="lt-LT"/>
        </w:rPr>
        <w:t>3)</w:t>
      </w:r>
      <w:r w:rsidRPr="00BF4AB8">
        <w:rPr>
          <w:iCs/>
          <w:snapToGrid w:val="0"/>
          <w:sz w:val="22"/>
          <w:szCs w:val="22"/>
          <w:lang w:eastAsia="lt-LT"/>
        </w:rPr>
        <w:t xml:space="preserve"> Gauta pranešimų apie plaučių embolijos atvejus.</w:t>
      </w:r>
    </w:p>
    <w:p w14:paraId="2E308836" w14:textId="2858F83B" w:rsidR="00DA50D1" w:rsidRPr="00BF4AB8" w:rsidRDefault="00DA50D1" w:rsidP="00DA50D1">
      <w:pPr>
        <w:tabs>
          <w:tab w:val="left" w:pos="567"/>
        </w:tabs>
        <w:spacing w:line="260" w:lineRule="exact"/>
        <w:rPr>
          <w:iCs/>
          <w:snapToGrid w:val="0"/>
          <w:sz w:val="22"/>
          <w:szCs w:val="22"/>
          <w:lang w:eastAsia="lt-LT"/>
        </w:rPr>
      </w:pPr>
    </w:p>
    <w:p w14:paraId="16E64A79" w14:textId="77777777" w:rsidR="00DA50D1" w:rsidRPr="00BF4AB8" w:rsidRDefault="00DA50D1" w:rsidP="00DA50D1">
      <w:pPr>
        <w:tabs>
          <w:tab w:val="left" w:pos="567"/>
        </w:tabs>
        <w:spacing w:line="260" w:lineRule="exact"/>
        <w:rPr>
          <w:iCs/>
          <w:snapToGrid w:val="0"/>
          <w:sz w:val="22"/>
          <w:szCs w:val="22"/>
          <w:u w:val="single"/>
          <w:lang w:eastAsia="lt-LT"/>
        </w:rPr>
      </w:pPr>
      <w:r w:rsidRPr="00BF4AB8">
        <w:rPr>
          <w:iCs/>
          <w:snapToGrid w:val="0"/>
          <w:sz w:val="22"/>
          <w:szCs w:val="22"/>
          <w:u w:val="single"/>
          <w:lang w:eastAsia="lt-LT"/>
        </w:rPr>
        <w:t>Atrinktų nepageidaujamų reakcijų apibūdinimas</w:t>
      </w:r>
    </w:p>
    <w:p w14:paraId="1A719E0C" w14:textId="77777777" w:rsidR="00E93BCD" w:rsidRPr="00BF4AB8" w:rsidRDefault="00E93BCD" w:rsidP="00DA50D1">
      <w:pPr>
        <w:tabs>
          <w:tab w:val="left" w:pos="567"/>
        </w:tabs>
        <w:spacing w:line="260" w:lineRule="exact"/>
        <w:rPr>
          <w:iCs/>
          <w:snapToGrid w:val="0"/>
          <w:sz w:val="22"/>
          <w:szCs w:val="22"/>
          <w:lang w:eastAsia="lt-LT"/>
        </w:rPr>
      </w:pPr>
    </w:p>
    <w:p w14:paraId="1BC3C90B" w14:textId="55117991" w:rsidR="00DA50D1" w:rsidRPr="00BF4AB8" w:rsidRDefault="00DA50D1" w:rsidP="00DA50D1">
      <w:pPr>
        <w:tabs>
          <w:tab w:val="left" w:pos="567"/>
        </w:tabs>
        <w:spacing w:line="260" w:lineRule="exact"/>
        <w:rPr>
          <w:i/>
          <w:snapToGrid w:val="0"/>
          <w:sz w:val="22"/>
          <w:szCs w:val="22"/>
          <w:lang w:eastAsia="lt-LT"/>
        </w:rPr>
      </w:pPr>
      <w:r w:rsidRPr="00BF4AB8">
        <w:rPr>
          <w:i/>
          <w:snapToGrid w:val="0"/>
          <w:sz w:val="22"/>
          <w:szCs w:val="22"/>
          <w:lang w:eastAsia="lt-LT"/>
        </w:rPr>
        <w:t>Viduriavimas</w:t>
      </w:r>
    </w:p>
    <w:p w14:paraId="2CF06D09" w14:textId="2CB05CFE" w:rsidR="00DA50D1" w:rsidRPr="00BF4AB8" w:rsidRDefault="00DA50D1" w:rsidP="00DA50D1">
      <w:pPr>
        <w:tabs>
          <w:tab w:val="left" w:pos="567"/>
        </w:tabs>
        <w:spacing w:line="260" w:lineRule="exact"/>
        <w:rPr>
          <w:iCs/>
          <w:snapToGrid w:val="0"/>
          <w:sz w:val="22"/>
          <w:szCs w:val="22"/>
          <w:lang w:eastAsia="lt-LT"/>
        </w:rPr>
      </w:pPr>
      <w:r w:rsidRPr="00BF4AB8">
        <w:rPr>
          <w:iCs/>
          <w:snapToGrid w:val="0"/>
          <w:sz w:val="22"/>
          <w:szCs w:val="22"/>
          <w:lang w:eastAsia="lt-LT"/>
        </w:rPr>
        <w:t>Viduriavimas pasireiškė 43,4</w:t>
      </w:r>
      <w:r w:rsidR="00AC48E9" w:rsidRPr="00BF4AB8">
        <w:rPr>
          <w:iCs/>
          <w:snapToGrid w:val="0"/>
          <w:sz w:val="22"/>
          <w:szCs w:val="22"/>
          <w:lang w:eastAsia="lt-LT"/>
        </w:rPr>
        <w:t> %</w:t>
      </w:r>
      <w:r w:rsidRPr="00BF4AB8">
        <w:rPr>
          <w:iCs/>
          <w:snapToGrid w:val="0"/>
          <w:sz w:val="22"/>
          <w:szCs w:val="22"/>
          <w:lang w:eastAsia="lt-LT"/>
        </w:rPr>
        <w:t xml:space="preserve"> (≥</w:t>
      </w:r>
      <w:r w:rsidR="00E93BCD" w:rsidRPr="00BF4AB8">
        <w:rPr>
          <w:iCs/>
          <w:snapToGrid w:val="0"/>
          <w:sz w:val="22"/>
          <w:szCs w:val="22"/>
          <w:lang w:eastAsia="lt-LT"/>
        </w:rPr>
        <w:t> </w:t>
      </w:r>
      <w:r w:rsidRPr="00BF4AB8">
        <w:rPr>
          <w:iCs/>
          <w:snapToGrid w:val="0"/>
          <w:sz w:val="22"/>
          <w:szCs w:val="22"/>
          <w:lang w:eastAsia="lt-LT"/>
        </w:rPr>
        <w:t>3</w:t>
      </w:r>
      <w:r w:rsidR="00E93BCD" w:rsidRPr="00BF4AB8">
        <w:rPr>
          <w:iCs/>
          <w:snapToGrid w:val="0"/>
          <w:sz w:val="22"/>
          <w:szCs w:val="22"/>
          <w:lang w:eastAsia="lt-LT"/>
        </w:rPr>
        <w:t> </w:t>
      </w:r>
      <w:r w:rsidRPr="00BF4AB8">
        <w:rPr>
          <w:iCs/>
          <w:snapToGrid w:val="0"/>
          <w:sz w:val="22"/>
          <w:szCs w:val="22"/>
          <w:lang w:eastAsia="lt-LT"/>
        </w:rPr>
        <w:t>laipsnio: 6,3</w:t>
      </w:r>
      <w:r w:rsidR="00AC48E9" w:rsidRPr="00BF4AB8">
        <w:rPr>
          <w:iCs/>
          <w:snapToGrid w:val="0"/>
          <w:sz w:val="22"/>
          <w:szCs w:val="22"/>
          <w:lang w:eastAsia="lt-LT"/>
        </w:rPr>
        <w:t> %</w:t>
      </w:r>
      <w:r w:rsidRPr="00BF4AB8">
        <w:rPr>
          <w:iCs/>
          <w:snapToGrid w:val="0"/>
          <w:sz w:val="22"/>
          <w:szCs w:val="22"/>
          <w:lang w:eastAsia="lt-LT"/>
        </w:rPr>
        <w:t xml:space="preserve">) </w:t>
      </w:r>
      <w:proofErr w:type="spellStart"/>
      <w:r w:rsidRPr="00BF4AB8">
        <w:rPr>
          <w:iCs/>
          <w:snapToGrid w:val="0"/>
          <w:sz w:val="22"/>
          <w:szCs w:val="22"/>
          <w:lang w:eastAsia="lt-LT"/>
        </w:rPr>
        <w:t>adenokarcinoma</w:t>
      </w:r>
      <w:proofErr w:type="spellEnd"/>
      <w:r w:rsidRPr="00BF4AB8">
        <w:rPr>
          <w:iCs/>
          <w:snapToGrid w:val="0"/>
          <w:sz w:val="22"/>
          <w:szCs w:val="22"/>
          <w:lang w:eastAsia="lt-LT"/>
        </w:rPr>
        <w:t xml:space="preserve"> sergančių </w:t>
      </w:r>
      <w:proofErr w:type="spellStart"/>
      <w:r w:rsidR="00E93BCD" w:rsidRPr="00BF4AB8">
        <w:rPr>
          <w:iCs/>
          <w:snapToGrid w:val="0"/>
          <w:sz w:val="22"/>
          <w:szCs w:val="22"/>
          <w:lang w:eastAsia="lt-LT"/>
        </w:rPr>
        <w:t>nintedanibo</w:t>
      </w:r>
      <w:proofErr w:type="spellEnd"/>
      <w:r w:rsidR="00E93BCD" w:rsidRPr="00BF4AB8">
        <w:rPr>
          <w:iCs/>
          <w:snapToGrid w:val="0"/>
          <w:sz w:val="22"/>
          <w:szCs w:val="22"/>
          <w:lang w:eastAsia="lt-LT"/>
        </w:rPr>
        <w:t xml:space="preserve"> grupės </w:t>
      </w:r>
      <w:r w:rsidRPr="00BF4AB8">
        <w:rPr>
          <w:iCs/>
          <w:snapToGrid w:val="0"/>
          <w:sz w:val="22"/>
          <w:szCs w:val="22"/>
          <w:lang w:eastAsia="lt-LT"/>
        </w:rPr>
        <w:t>pacientų. Dauguma nepageidaujamų reakcijų laiko atžvilgiu buvo glaudžiai susijusios su</w:t>
      </w:r>
      <w:r w:rsidR="00E93BCD" w:rsidRPr="00BF4AB8">
        <w:rPr>
          <w:iCs/>
          <w:snapToGrid w:val="0"/>
          <w:sz w:val="22"/>
          <w:szCs w:val="22"/>
          <w:lang w:eastAsia="lt-LT"/>
        </w:rPr>
        <w:t xml:space="preserve"> </w:t>
      </w:r>
      <w:proofErr w:type="spellStart"/>
      <w:r w:rsidRPr="00BF4AB8">
        <w:rPr>
          <w:iCs/>
          <w:snapToGrid w:val="0"/>
          <w:sz w:val="22"/>
          <w:szCs w:val="22"/>
          <w:lang w:eastAsia="lt-LT"/>
        </w:rPr>
        <w:t>docetakselio</w:t>
      </w:r>
      <w:proofErr w:type="spellEnd"/>
      <w:r w:rsidRPr="00BF4AB8">
        <w:rPr>
          <w:iCs/>
          <w:snapToGrid w:val="0"/>
          <w:sz w:val="22"/>
          <w:szCs w:val="22"/>
          <w:lang w:eastAsia="lt-LT"/>
        </w:rPr>
        <w:t xml:space="preserve"> vartojimu. Daugumai pacientų viduriavimas </w:t>
      </w:r>
      <w:r w:rsidR="00E93BCD" w:rsidRPr="00BF4AB8">
        <w:rPr>
          <w:iCs/>
          <w:snapToGrid w:val="0"/>
          <w:sz w:val="22"/>
          <w:szCs w:val="22"/>
          <w:lang w:eastAsia="lt-LT"/>
        </w:rPr>
        <w:t>išnyko sustabdžius</w:t>
      </w:r>
      <w:r w:rsidRPr="00BF4AB8">
        <w:rPr>
          <w:iCs/>
          <w:snapToGrid w:val="0"/>
          <w:sz w:val="22"/>
          <w:szCs w:val="22"/>
          <w:lang w:eastAsia="lt-LT"/>
        </w:rPr>
        <w:t xml:space="preserve"> gydymą, skyrus gydymą</w:t>
      </w:r>
      <w:r w:rsidR="00E93BCD" w:rsidRPr="00BF4AB8">
        <w:rPr>
          <w:iCs/>
          <w:snapToGrid w:val="0"/>
          <w:sz w:val="22"/>
          <w:szCs w:val="22"/>
          <w:lang w:eastAsia="lt-LT"/>
        </w:rPr>
        <w:t xml:space="preserve"> </w:t>
      </w:r>
      <w:r w:rsidRPr="00BF4AB8">
        <w:rPr>
          <w:iCs/>
          <w:snapToGrid w:val="0"/>
          <w:sz w:val="22"/>
          <w:szCs w:val="22"/>
          <w:lang w:eastAsia="lt-LT"/>
        </w:rPr>
        <w:t xml:space="preserve">nuo viduriavimo ir sumažinus </w:t>
      </w:r>
      <w:proofErr w:type="spellStart"/>
      <w:r w:rsidRPr="00BF4AB8">
        <w:rPr>
          <w:iCs/>
          <w:snapToGrid w:val="0"/>
          <w:sz w:val="22"/>
          <w:szCs w:val="22"/>
          <w:lang w:eastAsia="lt-LT"/>
        </w:rPr>
        <w:t>nintedanibo</w:t>
      </w:r>
      <w:proofErr w:type="spellEnd"/>
      <w:r w:rsidRPr="00BF4AB8">
        <w:rPr>
          <w:iCs/>
          <w:snapToGrid w:val="0"/>
          <w:sz w:val="22"/>
          <w:szCs w:val="22"/>
          <w:lang w:eastAsia="lt-LT"/>
        </w:rPr>
        <w:t xml:space="preserve"> dozę.</w:t>
      </w:r>
    </w:p>
    <w:p w14:paraId="30B70237" w14:textId="77777777" w:rsidR="00E93BCD" w:rsidRPr="00BF4AB8" w:rsidRDefault="00E93BCD" w:rsidP="00DA50D1">
      <w:pPr>
        <w:tabs>
          <w:tab w:val="left" w:pos="567"/>
        </w:tabs>
        <w:spacing w:line="260" w:lineRule="exact"/>
        <w:rPr>
          <w:iCs/>
          <w:snapToGrid w:val="0"/>
          <w:sz w:val="22"/>
          <w:szCs w:val="22"/>
          <w:lang w:eastAsia="lt-LT"/>
        </w:rPr>
      </w:pPr>
    </w:p>
    <w:p w14:paraId="23B18663" w14:textId="168DFEB2" w:rsidR="00DA50D1" w:rsidRPr="00BF4AB8" w:rsidRDefault="00DA50D1" w:rsidP="00DA50D1">
      <w:pPr>
        <w:tabs>
          <w:tab w:val="left" w:pos="567"/>
        </w:tabs>
        <w:spacing w:line="260" w:lineRule="exact"/>
        <w:rPr>
          <w:iCs/>
          <w:snapToGrid w:val="0"/>
          <w:sz w:val="22"/>
          <w:szCs w:val="22"/>
          <w:lang w:eastAsia="lt-LT"/>
        </w:rPr>
      </w:pPr>
      <w:r w:rsidRPr="00BF4AB8">
        <w:rPr>
          <w:iCs/>
          <w:snapToGrid w:val="0"/>
          <w:sz w:val="22"/>
          <w:szCs w:val="22"/>
          <w:lang w:eastAsia="lt-LT"/>
        </w:rPr>
        <w:t>Rekomenduojamos priemonės ir dozės koregavimas viduriavimo atveju aprašyti atitinkamai 4.4 ir</w:t>
      </w:r>
      <w:r w:rsidR="00E93BCD" w:rsidRPr="00BF4AB8">
        <w:rPr>
          <w:iCs/>
          <w:snapToGrid w:val="0"/>
          <w:sz w:val="22"/>
          <w:szCs w:val="22"/>
          <w:lang w:eastAsia="lt-LT"/>
        </w:rPr>
        <w:t xml:space="preserve"> </w:t>
      </w:r>
      <w:r w:rsidRPr="00BF4AB8">
        <w:rPr>
          <w:iCs/>
          <w:snapToGrid w:val="0"/>
          <w:sz w:val="22"/>
          <w:szCs w:val="22"/>
          <w:lang w:eastAsia="lt-LT"/>
        </w:rPr>
        <w:t>4.2</w:t>
      </w:r>
      <w:r w:rsidR="00E93BCD" w:rsidRPr="00BF4AB8">
        <w:rPr>
          <w:iCs/>
          <w:snapToGrid w:val="0"/>
          <w:sz w:val="22"/>
          <w:szCs w:val="22"/>
          <w:lang w:eastAsia="lt-LT"/>
        </w:rPr>
        <w:t> </w:t>
      </w:r>
      <w:r w:rsidRPr="00BF4AB8">
        <w:rPr>
          <w:iCs/>
          <w:snapToGrid w:val="0"/>
          <w:sz w:val="22"/>
          <w:szCs w:val="22"/>
          <w:lang w:eastAsia="lt-LT"/>
        </w:rPr>
        <w:t>skyriuose.</w:t>
      </w:r>
    </w:p>
    <w:p w14:paraId="2DA7BCDB" w14:textId="77777777" w:rsidR="00E93BCD" w:rsidRPr="00BF4AB8" w:rsidRDefault="00E93BCD" w:rsidP="00DA50D1">
      <w:pPr>
        <w:tabs>
          <w:tab w:val="left" w:pos="567"/>
        </w:tabs>
        <w:spacing w:line="260" w:lineRule="exact"/>
        <w:rPr>
          <w:iCs/>
          <w:snapToGrid w:val="0"/>
          <w:sz w:val="22"/>
          <w:szCs w:val="22"/>
          <w:lang w:eastAsia="lt-LT"/>
        </w:rPr>
      </w:pPr>
    </w:p>
    <w:p w14:paraId="6C7D3770" w14:textId="6070BBF1" w:rsidR="00DA50D1" w:rsidRPr="00BF4AB8" w:rsidRDefault="00DA50D1" w:rsidP="00DA50D1">
      <w:pPr>
        <w:tabs>
          <w:tab w:val="left" w:pos="567"/>
        </w:tabs>
        <w:spacing w:line="260" w:lineRule="exact"/>
        <w:rPr>
          <w:i/>
          <w:snapToGrid w:val="0"/>
          <w:sz w:val="22"/>
          <w:szCs w:val="22"/>
          <w:lang w:eastAsia="lt-LT"/>
        </w:rPr>
      </w:pPr>
      <w:r w:rsidRPr="00BF4AB8">
        <w:rPr>
          <w:i/>
          <w:snapToGrid w:val="0"/>
          <w:sz w:val="22"/>
          <w:szCs w:val="22"/>
          <w:lang w:eastAsia="lt-LT"/>
        </w:rPr>
        <w:t xml:space="preserve">Kepenų fermentų aktyvumo padidėjimas ir </w:t>
      </w:r>
      <w:proofErr w:type="spellStart"/>
      <w:r w:rsidRPr="00BF4AB8">
        <w:rPr>
          <w:i/>
          <w:snapToGrid w:val="0"/>
          <w:sz w:val="22"/>
          <w:szCs w:val="22"/>
          <w:lang w:eastAsia="lt-LT"/>
        </w:rPr>
        <w:t>hiperbilirubinemija</w:t>
      </w:r>
      <w:proofErr w:type="spellEnd"/>
    </w:p>
    <w:p w14:paraId="2865E506" w14:textId="7BD0CC2F" w:rsidR="00DA50D1" w:rsidRPr="00BF4AB8" w:rsidRDefault="00E93BCD" w:rsidP="00DA50D1">
      <w:pPr>
        <w:tabs>
          <w:tab w:val="left" w:pos="567"/>
        </w:tabs>
        <w:spacing w:line="260" w:lineRule="exact"/>
        <w:rPr>
          <w:iCs/>
          <w:snapToGrid w:val="0"/>
          <w:sz w:val="22"/>
          <w:szCs w:val="22"/>
          <w:lang w:eastAsia="lt-LT"/>
        </w:rPr>
      </w:pPr>
      <w:r w:rsidRPr="00BF4AB8">
        <w:rPr>
          <w:iCs/>
          <w:snapToGrid w:val="0"/>
          <w:sz w:val="22"/>
          <w:szCs w:val="22"/>
          <w:lang w:eastAsia="lt-LT"/>
        </w:rPr>
        <w:t>Su kepenimis susijusios n</w:t>
      </w:r>
      <w:r w:rsidR="00DA50D1" w:rsidRPr="00BF4AB8">
        <w:rPr>
          <w:iCs/>
          <w:snapToGrid w:val="0"/>
          <w:sz w:val="22"/>
          <w:szCs w:val="22"/>
          <w:lang w:eastAsia="lt-LT"/>
        </w:rPr>
        <w:t>epageidaujamos reakcijos pasireiškė 42,8</w:t>
      </w:r>
      <w:r w:rsidR="00AC48E9" w:rsidRPr="00BF4AB8">
        <w:rPr>
          <w:iCs/>
          <w:snapToGrid w:val="0"/>
          <w:sz w:val="22"/>
          <w:szCs w:val="22"/>
          <w:lang w:eastAsia="lt-LT"/>
        </w:rPr>
        <w:t> %</w:t>
      </w:r>
      <w:r w:rsidR="00DA50D1" w:rsidRPr="00BF4AB8">
        <w:rPr>
          <w:iCs/>
          <w:snapToGrid w:val="0"/>
          <w:sz w:val="22"/>
          <w:szCs w:val="22"/>
          <w:lang w:eastAsia="lt-LT"/>
        </w:rPr>
        <w:t xml:space="preserve"> </w:t>
      </w:r>
      <w:proofErr w:type="spellStart"/>
      <w:r w:rsidR="00DA50D1" w:rsidRPr="00BF4AB8">
        <w:rPr>
          <w:iCs/>
          <w:snapToGrid w:val="0"/>
          <w:sz w:val="22"/>
          <w:szCs w:val="22"/>
          <w:lang w:eastAsia="lt-LT"/>
        </w:rPr>
        <w:t>nintedanibu</w:t>
      </w:r>
      <w:proofErr w:type="spellEnd"/>
      <w:r w:rsidR="00DA50D1" w:rsidRPr="00BF4AB8">
        <w:rPr>
          <w:iCs/>
          <w:snapToGrid w:val="0"/>
          <w:sz w:val="22"/>
          <w:szCs w:val="22"/>
          <w:lang w:eastAsia="lt-LT"/>
        </w:rPr>
        <w:t xml:space="preserve"> gyd</w:t>
      </w:r>
      <w:r w:rsidRPr="00BF4AB8">
        <w:rPr>
          <w:iCs/>
          <w:snapToGrid w:val="0"/>
          <w:sz w:val="22"/>
          <w:szCs w:val="22"/>
          <w:lang w:eastAsia="lt-LT"/>
        </w:rPr>
        <w:t>yt</w:t>
      </w:r>
      <w:r w:rsidR="00DA50D1" w:rsidRPr="00BF4AB8">
        <w:rPr>
          <w:iCs/>
          <w:snapToGrid w:val="0"/>
          <w:sz w:val="22"/>
          <w:szCs w:val="22"/>
          <w:lang w:eastAsia="lt-LT"/>
        </w:rPr>
        <w:t>ų</w:t>
      </w:r>
      <w:r w:rsidRPr="00BF4AB8">
        <w:rPr>
          <w:iCs/>
          <w:snapToGrid w:val="0"/>
          <w:sz w:val="22"/>
          <w:szCs w:val="22"/>
          <w:lang w:eastAsia="lt-LT"/>
        </w:rPr>
        <w:t xml:space="preserve"> </w:t>
      </w:r>
      <w:r w:rsidR="00DA50D1" w:rsidRPr="00BF4AB8">
        <w:rPr>
          <w:iCs/>
          <w:snapToGrid w:val="0"/>
          <w:sz w:val="22"/>
          <w:szCs w:val="22"/>
          <w:lang w:eastAsia="lt-LT"/>
        </w:rPr>
        <w:t>pacientų. Maždaug trečdaliui šių pacientų pasireiškė ≥</w:t>
      </w:r>
      <w:r w:rsidRPr="00BF4AB8">
        <w:rPr>
          <w:iCs/>
          <w:snapToGrid w:val="0"/>
          <w:sz w:val="22"/>
          <w:szCs w:val="22"/>
          <w:lang w:eastAsia="lt-LT"/>
        </w:rPr>
        <w:t> </w:t>
      </w:r>
      <w:r w:rsidR="00DA50D1" w:rsidRPr="00BF4AB8">
        <w:rPr>
          <w:iCs/>
          <w:snapToGrid w:val="0"/>
          <w:sz w:val="22"/>
          <w:szCs w:val="22"/>
          <w:lang w:eastAsia="lt-LT"/>
        </w:rPr>
        <w:t>3</w:t>
      </w:r>
      <w:r w:rsidRPr="00BF4AB8">
        <w:rPr>
          <w:iCs/>
          <w:snapToGrid w:val="0"/>
          <w:sz w:val="22"/>
          <w:szCs w:val="22"/>
          <w:lang w:eastAsia="lt-LT"/>
        </w:rPr>
        <w:t> </w:t>
      </w:r>
      <w:r w:rsidR="00DA50D1" w:rsidRPr="00BF4AB8">
        <w:rPr>
          <w:iCs/>
          <w:snapToGrid w:val="0"/>
          <w:sz w:val="22"/>
          <w:szCs w:val="22"/>
          <w:lang w:eastAsia="lt-LT"/>
        </w:rPr>
        <w:t>laipsnio sunkumo</w:t>
      </w:r>
      <w:r w:rsidRPr="00BF4AB8">
        <w:rPr>
          <w:iCs/>
          <w:snapToGrid w:val="0"/>
          <w:sz w:val="22"/>
          <w:szCs w:val="22"/>
          <w:lang w:eastAsia="lt-LT"/>
        </w:rPr>
        <w:t xml:space="preserve"> su kepenimis susijusios </w:t>
      </w:r>
      <w:r w:rsidR="00DA50D1" w:rsidRPr="00BF4AB8">
        <w:rPr>
          <w:iCs/>
          <w:snapToGrid w:val="0"/>
          <w:sz w:val="22"/>
          <w:szCs w:val="22"/>
          <w:lang w:eastAsia="lt-LT"/>
        </w:rPr>
        <w:t xml:space="preserve">nepageidaujamos reakcijos. Pacientams, kurių kepenų funkcijos </w:t>
      </w:r>
      <w:r w:rsidR="00D166F1" w:rsidRPr="00BF4AB8">
        <w:rPr>
          <w:iCs/>
          <w:snapToGrid w:val="0"/>
          <w:sz w:val="22"/>
          <w:szCs w:val="22"/>
          <w:lang w:eastAsia="lt-LT"/>
        </w:rPr>
        <w:t xml:space="preserve">sutrikimą rodantys </w:t>
      </w:r>
      <w:r w:rsidRPr="00BF4AB8">
        <w:rPr>
          <w:iCs/>
          <w:snapToGrid w:val="0"/>
          <w:sz w:val="22"/>
          <w:szCs w:val="22"/>
          <w:lang w:eastAsia="lt-LT"/>
        </w:rPr>
        <w:t>rodmenys</w:t>
      </w:r>
      <w:r w:rsidR="00DA50D1" w:rsidRPr="00BF4AB8">
        <w:rPr>
          <w:iCs/>
          <w:snapToGrid w:val="0"/>
          <w:sz w:val="22"/>
          <w:szCs w:val="22"/>
          <w:lang w:eastAsia="lt-LT"/>
        </w:rPr>
        <w:t xml:space="preserve"> padidėjo, tinkama</w:t>
      </w:r>
      <w:r w:rsidRPr="00BF4AB8">
        <w:rPr>
          <w:iCs/>
          <w:snapToGrid w:val="0"/>
          <w:sz w:val="22"/>
          <w:szCs w:val="22"/>
          <w:lang w:eastAsia="lt-LT"/>
        </w:rPr>
        <w:t xml:space="preserve"> tokio poveikio kontrolės </w:t>
      </w:r>
      <w:r w:rsidR="00DA50D1" w:rsidRPr="00BF4AB8">
        <w:rPr>
          <w:iCs/>
          <w:snapToGrid w:val="0"/>
          <w:sz w:val="22"/>
          <w:szCs w:val="22"/>
          <w:lang w:eastAsia="lt-LT"/>
        </w:rPr>
        <w:t xml:space="preserve">priemonė buvo laipsniškas dozės mažinimas pagal </w:t>
      </w:r>
      <w:r w:rsidR="00DA50D1" w:rsidRPr="00BF4AB8">
        <w:rPr>
          <w:iCs/>
          <w:snapToGrid w:val="0"/>
          <w:sz w:val="22"/>
          <w:szCs w:val="22"/>
          <w:lang w:eastAsia="lt-LT"/>
        </w:rPr>
        <w:lastRenderedPageBreak/>
        <w:t>nustatytą schemą, gydymą reikėjo nutraukti tik</w:t>
      </w:r>
      <w:r w:rsidRPr="00BF4AB8">
        <w:rPr>
          <w:iCs/>
          <w:snapToGrid w:val="0"/>
          <w:sz w:val="22"/>
          <w:szCs w:val="22"/>
          <w:lang w:eastAsia="lt-LT"/>
        </w:rPr>
        <w:t xml:space="preserve"> </w:t>
      </w:r>
      <w:r w:rsidR="00DA50D1" w:rsidRPr="00BF4AB8">
        <w:rPr>
          <w:iCs/>
          <w:snapToGrid w:val="0"/>
          <w:sz w:val="22"/>
          <w:szCs w:val="22"/>
          <w:lang w:eastAsia="lt-LT"/>
        </w:rPr>
        <w:t>2,2</w:t>
      </w:r>
      <w:r w:rsidR="00AC48E9" w:rsidRPr="00BF4AB8">
        <w:rPr>
          <w:iCs/>
          <w:snapToGrid w:val="0"/>
          <w:sz w:val="22"/>
          <w:szCs w:val="22"/>
          <w:lang w:eastAsia="lt-LT"/>
        </w:rPr>
        <w:t> %</w:t>
      </w:r>
      <w:r w:rsidR="00DA50D1" w:rsidRPr="00BF4AB8">
        <w:rPr>
          <w:iCs/>
          <w:snapToGrid w:val="0"/>
          <w:sz w:val="22"/>
          <w:szCs w:val="22"/>
          <w:lang w:eastAsia="lt-LT"/>
        </w:rPr>
        <w:t xml:space="preserve"> pacientų. Daugumai pacientų kepenų funkcijos</w:t>
      </w:r>
      <w:r w:rsidR="00D166F1" w:rsidRPr="00BF4AB8">
        <w:rPr>
          <w:iCs/>
          <w:snapToGrid w:val="0"/>
          <w:sz w:val="22"/>
          <w:szCs w:val="22"/>
          <w:lang w:eastAsia="lt-LT"/>
        </w:rPr>
        <w:t xml:space="preserve"> sutrikimą rodantis</w:t>
      </w:r>
      <w:r w:rsidR="00DA50D1" w:rsidRPr="00BF4AB8">
        <w:rPr>
          <w:iCs/>
          <w:snapToGrid w:val="0"/>
          <w:sz w:val="22"/>
          <w:szCs w:val="22"/>
          <w:lang w:eastAsia="lt-LT"/>
        </w:rPr>
        <w:t xml:space="preserve"> </w:t>
      </w:r>
      <w:r w:rsidRPr="00BF4AB8">
        <w:rPr>
          <w:iCs/>
          <w:snapToGrid w:val="0"/>
          <w:sz w:val="22"/>
          <w:szCs w:val="22"/>
          <w:lang w:eastAsia="lt-LT"/>
        </w:rPr>
        <w:t>rodmenų</w:t>
      </w:r>
      <w:r w:rsidR="00DA50D1" w:rsidRPr="00BF4AB8">
        <w:rPr>
          <w:iCs/>
          <w:snapToGrid w:val="0"/>
          <w:sz w:val="22"/>
          <w:szCs w:val="22"/>
          <w:lang w:eastAsia="lt-LT"/>
        </w:rPr>
        <w:t xml:space="preserve"> padidėjima</w:t>
      </w:r>
      <w:r w:rsidR="00D166F1" w:rsidRPr="00BF4AB8">
        <w:rPr>
          <w:iCs/>
          <w:snapToGrid w:val="0"/>
          <w:sz w:val="22"/>
          <w:szCs w:val="22"/>
          <w:lang w:eastAsia="lt-LT"/>
        </w:rPr>
        <w:t>s</w:t>
      </w:r>
      <w:r w:rsidR="00DA50D1" w:rsidRPr="00BF4AB8">
        <w:rPr>
          <w:iCs/>
          <w:snapToGrid w:val="0"/>
          <w:sz w:val="22"/>
          <w:szCs w:val="22"/>
          <w:lang w:eastAsia="lt-LT"/>
        </w:rPr>
        <w:t xml:space="preserve"> buvo laikin</w:t>
      </w:r>
      <w:r w:rsidR="00D166F1" w:rsidRPr="00BF4AB8">
        <w:rPr>
          <w:iCs/>
          <w:snapToGrid w:val="0"/>
          <w:sz w:val="22"/>
          <w:szCs w:val="22"/>
          <w:lang w:eastAsia="lt-LT"/>
        </w:rPr>
        <w:t>as</w:t>
      </w:r>
      <w:r w:rsidR="00DA50D1" w:rsidRPr="00BF4AB8">
        <w:rPr>
          <w:iCs/>
          <w:snapToGrid w:val="0"/>
          <w:sz w:val="22"/>
          <w:szCs w:val="22"/>
          <w:lang w:eastAsia="lt-LT"/>
        </w:rPr>
        <w:t>.</w:t>
      </w:r>
    </w:p>
    <w:p w14:paraId="07DA9AB9" w14:textId="77777777" w:rsidR="00E93BCD" w:rsidRPr="00BF4AB8" w:rsidRDefault="00E93BCD" w:rsidP="00DA50D1">
      <w:pPr>
        <w:tabs>
          <w:tab w:val="left" w:pos="567"/>
        </w:tabs>
        <w:spacing w:line="260" w:lineRule="exact"/>
        <w:rPr>
          <w:iCs/>
          <w:snapToGrid w:val="0"/>
          <w:sz w:val="22"/>
          <w:szCs w:val="22"/>
          <w:lang w:eastAsia="lt-LT"/>
        </w:rPr>
      </w:pPr>
    </w:p>
    <w:p w14:paraId="3B047ACD" w14:textId="1C62B700" w:rsidR="00DA50D1" w:rsidRPr="00BF4AB8" w:rsidRDefault="00DA50D1" w:rsidP="00D166F1">
      <w:pPr>
        <w:tabs>
          <w:tab w:val="left" w:pos="567"/>
        </w:tabs>
        <w:spacing w:line="260" w:lineRule="exact"/>
        <w:rPr>
          <w:iCs/>
          <w:snapToGrid w:val="0"/>
          <w:sz w:val="22"/>
          <w:szCs w:val="22"/>
          <w:lang w:eastAsia="lt-LT"/>
        </w:rPr>
      </w:pPr>
      <w:r w:rsidRPr="00BF4AB8">
        <w:rPr>
          <w:iCs/>
          <w:snapToGrid w:val="0"/>
          <w:sz w:val="22"/>
          <w:szCs w:val="22"/>
          <w:lang w:eastAsia="lt-LT"/>
        </w:rPr>
        <w:t xml:space="preserve">Informacijos apie </w:t>
      </w:r>
      <w:r w:rsidR="00D166F1" w:rsidRPr="00BF4AB8">
        <w:rPr>
          <w:iCs/>
          <w:snapToGrid w:val="0"/>
          <w:sz w:val="22"/>
          <w:szCs w:val="22"/>
          <w:lang w:eastAsia="lt-LT"/>
        </w:rPr>
        <w:t xml:space="preserve">specialias populiacijas, </w:t>
      </w:r>
      <w:r w:rsidRPr="00BF4AB8">
        <w:rPr>
          <w:iCs/>
          <w:snapToGrid w:val="0"/>
          <w:sz w:val="22"/>
          <w:szCs w:val="22"/>
          <w:lang w:eastAsia="lt-LT"/>
        </w:rPr>
        <w:t xml:space="preserve">rekomenduojamas priemones ir dozės koregavimą kepenų fermentų aktyvumo ir </w:t>
      </w:r>
      <w:proofErr w:type="spellStart"/>
      <w:r w:rsidRPr="00BF4AB8">
        <w:rPr>
          <w:iCs/>
          <w:snapToGrid w:val="0"/>
          <w:sz w:val="22"/>
          <w:szCs w:val="22"/>
          <w:lang w:eastAsia="lt-LT"/>
        </w:rPr>
        <w:t>bilirubino</w:t>
      </w:r>
      <w:proofErr w:type="spellEnd"/>
      <w:r w:rsidRPr="00BF4AB8">
        <w:rPr>
          <w:iCs/>
          <w:snapToGrid w:val="0"/>
          <w:sz w:val="22"/>
          <w:szCs w:val="22"/>
          <w:lang w:eastAsia="lt-LT"/>
        </w:rPr>
        <w:t xml:space="preserve"> kiekio padidėjimo kraujyje atvejais </w:t>
      </w:r>
      <w:r w:rsidR="00D166F1" w:rsidRPr="00BF4AB8">
        <w:rPr>
          <w:iCs/>
          <w:snapToGrid w:val="0"/>
          <w:sz w:val="22"/>
          <w:szCs w:val="22"/>
          <w:lang w:eastAsia="lt-LT"/>
        </w:rPr>
        <w:t>pateikiama atitinkamai 4.4 ir 4.2 skyriuose</w:t>
      </w:r>
      <w:r w:rsidRPr="00BF4AB8">
        <w:rPr>
          <w:iCs/>
          <w:snapToGrid w:val="0"/>
          <w:sz w:val="22"/>
          <w:szCs w:val="22"/>
          <w:lang w:eastAsia="lt-LT"/>
        </w:rPr>
        <w:t>.</w:t>
      </w:r>
    </w:p>
    <w:p w14:paraId="07BC4F89" w14:textId="77777777" w:rsidR="00D166F1" w:rsidRPr="00BF4AB8" w:rsidRDefault="00D166F1" w:rsidP="00D166F1">
      <w:pPr>
        <w:tabs>
          <w:tab w:val="left" w:pos="567"/>
        </w:tabs>
        <w:spacing w:line="260" w:lineRule="exact"/>
        <w:rPr>
          <w:iCs/>
          <w:snapToGrid w:val="0"/>
          <w:sz w:val="22"/>
          <w:szCs w:val="22"/>
          <w:lang w:eastAsia="lt-LT"/>
        </w:rPr>
      </w:pPr>
    </w:p>
    <w:p w14:paraId="35E7D8B3" w14:textId="77777777" w:rsidR="00DA50D1" w:rsidRPr="00BF4AB8" w:rsidRDefault="00DA50D1" w:rsidP="00DA50D1">
      <w:pPr>
        <w:tabs>
          <w:tab w:val="left" w:pos="567"/>
        </w:tabs>
        <w:spacing w:line="260" w:lineRule="exact"/>
        <w:rPr>
          <w:i/>
          <w:snapToGrid w:val="0"/>
          <w:sz w:val="22"/>
          <w:szCs w:val="22"/>
          <w:lang w:eastAsia="lt-LT"/>
        </w:rPr>
      </w:pPr>
      <w:proofErr w:type="spellStart"/>
      <w:r w:rsidRPr="00BF4AB8">
        <w:rPr>
          <w:i/>
          <w:snapToGrid w:val="0"/>
          <w:sz w:val="22"/>
          <w:szCs w:val="22"/>
          <w:lang w:eastAsia="lt-LT"/>
        </w:rPr>
        <w:t>Neutropenija</w:t>
      </w:r>
      <w:proofErr w:type="spellEnd"/>
      <w:r w:rsidRPr="00BF4AB8">
        <w:rPr>
          <w:i/>
          <w:snapToGrid w:val="0"/>
          <w:sz w:val="22"/>
          <w:szCs w:val="22"/>
          <w:lang w:eastAsia="lt-LT"/>
        </w:rPr>
        <w:t xml:space="preserve">, </w:t>
      </w:r>
      <w:proofErr w:type="spellStart"/>
      <w:r w:rsidRPr="00BF4AB8">
        <w:rPr>
          <w:i/>
          <w:snapToGrid w:val="0"/>
          <w:sz w:val="22"/>
          <w:szCs w:val="22"/>
          <w:lang w:eastAsia="lt-LT"/>
        </w:rPr>
        <w:t>febrilinė</w:t>
      </w:r>
      <w:proofErr w:type="spellEnd"/>
      <w:r w:rsidRPr="00BF4AB8">
        <w:rPr>
          <w:i/>
          <w:snapToGrid w:val="0"/>
          <w:sz w:val="22"/>
          <w:szCs w:val="22"/>
          <w:lang w:eastAsia="lt-LT"/>
        </w:rPr>
        <w:t xml:space="preserve"> </w:t>
      </w:r>
      <w:proofErr w:type="spellStart"/>
      <w:r w:rsidRPr="00BF4AB8">
        <w:rPr>
          <w:i/>
          <w:snapToGrid w:val="0"/>
          <w:sz w:val="22"/>
          <w:szCs w:val="22"/>
          <w:lang w:eastAsia="lt-LT"/>
        </w:rPr>
        <w:t>neutropenija</w:t>
      </w:r>
      <w:proofErr w:type="spellEnd"/>
      <w:r w:rsidRPr="00BF4AB8">
        <w:rPr>
          <w:i/>
          <w:snapToGrid w:val="0"/>
          <w:sz w:val="22"/>
          <w:szCs w:val="22"/>
          <w:lang w:eastAsia="lt-LT"/>
        </w:rPr>
        <w:t xml:space="preserve"> ir sepsis</w:t>
      </w:r>
    </w:p>
    <w:p w14:paraId="1E1F7DE5" w14:textId="0E2E0E60" w:rsidR="00DA50D1" w:rsidRPr="00BF4AB8" w:rsidRDefault="00D166F1" w:rsidP="00DA50D1">
      <w:pPr>
        <w:tabs>
          <w:tab w:val="left" w:pos="567"/>
        </w:tabs>
        <w:spacing w:line="260" w:lineRule="exact"/>
        <w:rPr>
          <w:iCs/>
          <w:snapToGrid w:val="0"/>
          <w:sz w:val="22"/>
          <w:szCs w:val="22"/>
          <w:lang w:eastAsia="lt-LT"/>
        </w:rPr>
      </w:pPr>
      <w:r w:rsidRPr="00BF4AB8">
        <w:rPr>
          <w:iCs/>
          <w:snapToGrid w:val="0"/>
          <w:sz w:val="22"/>
          <w:szCs w:val="22"/>
          <w:lang w:eastAsia="lt-LT"/>
        </w:rPr>
        <w:t xml:space="preserve">Gauta pranešimų apie sepsį ir </w:t>
      </w:r>
      <w:proofErr w:type="spellStart"/>
      <w:r w:rsidRPr="00BF4AB8">
        <w:rPr>
          <w:iCs/>
          <w:snapToGrid w:val="0"/>
          <w:sz w:val="22"/>
          <w:szCs w:val="22"/>
          <w:lang w:eastAsia="lt-LT"/>
        </w:rPr>
        <w:t>febrilinę</w:t>
      </w:r>
      <w:proofErr w:type="spellEnd"/>
      <w:r w:rsidRPr="00BF4AB8">
        <w:rPr>
          <w:iCs/>
          <w:snapToGrid w:val="0"/>
          <w:sz w:val="22"/>
          <w:szCs w:val="22"/>
          <w:lang w:eastAsia="lt-LT"/>
        </w:rPr>
        <w:t xml:space="preserve"> </w:t>
      </w:r>
      <w:proofErr w:type="spellStart"/>
      <w:r w:rsidRPr="00BF4AB8">
        <w:rPr>
          <w:iCs/>
          <w:snapToGrid w:val="0"/>
          <w:sz w:val="22"/>
          <w:szCs w:val="22"/>
          <w:lang w:eastAsia="lt-LT"/>
        </w:rPr>
        <w:t>neutropeniją</w:t>
      </w:r>
      <w:proofErr w:type="spellEnd"/>
      <w:r w:rsidRPr="00BF4AB8">
        <w:rPr>
          <w:iCs/>
          <w:snapToGrid w:val="0"/>
          <w:sz w:val="22"/>
          <w:szCs w:val="22"/>
          <w:lang w:eastAsia="lt-LT"/>
        </w:rPr>
        <w:t xml:space="preserve"> kaip </w:t>
      </w:r>
      <w:proofErr w:type="spellStart"/>
      <w:r w:rsidRPr="00BF4AB8">
        <w:rPr>
          <w:iCs/>
          <w:snapToGrid w:val="0"/>
          <w:sz w:val="22"/>
          <w:szCs w:val="22"/>
          <w:lang w:eastAsia="lt-LT"/>
        </w:rPr>
        <w:t>n</w:t>
      </w:r>
      <w:r w:rsidR="00DA50D1" w:rsidRPr="00BF4AB8">
        <w:rPr>
          <w:iCs/>
          <w:snapToGrid w:val="0"/>
          <w:sz w:val="22"/>
          <w:szCs w:val="22"/>
          <w:lang w:eastAsia="lt-LT"/>
        </w:rPr>
        <w:t>eutropenijos</w:t>
      </w:r>
      <w:proofErr w:type="spellEnd"/>
      <w:r w:rsidR="00DA50D1" w:rsidRPr="00BF4AB8">
        <w:rPr>
          <w:iCs/>
          <w:snapToGrid w:val="0"/>
          <w:sz w:val="22"/>
          <w:szCs w:val="22"/>
          <w:lang w:eastAsia="lt-LT"/>
        </w:rPr>
        <w:t xml:space="preserve"> komplikacij</w:t>
      </w:r>
      <w:r w:rsidRPr="00BF4AB8">
        <w:rPr>
          <w:iCs/>
          <w:snapToGrid w:val="0"/>
          <w:sz w:val="22"/>
          <w:szCs w:val="22"/>
          <w:lang w:eastAsia="lt-LT"/>
        </w:rPr>
        <w:t>as</w:t>
      </w:r>
      <w:r w:rsidR="00DA50D1" w:rsidRPr="00BF4AB8">
        <w:rPr>
          <w:iCs/>
          <w:snapToGrid w:val="0"/>
          <w:sz w:val="22"/>
          <w:szCs w:val="22"/>
          <w:lang w:eastAsia="lt-LT"/>
        </w:rPr>
        <w:t>. Sepsis (1,3</w:t>
      </w:r>
      <w:r w:rsidR="00AC48E9" w:rsidRPr="00BF4AB8">
        <w:rPr>
          <w:iCs/>
          <w:snapToGrid w:val="0"/>
          <w:sz w:val="22"/>
          <w:szCs w:val="22"/>
          <w:lang w:eastAsia="lt-LT"/>
        </w:rPr>
        <w:t> %</w:t>
      </w:r>
      <w:r w:rsidR="00DA50D1" w:rsidRPr="00BF4AB8">
        <w:rPr>
          <w:iCs/>
          <w:snapToGrid w:val="0"/>
          <w:sz w:val="22"/>
          <w:szCs w:val="22"/>
          <w:lang w:eastAsia="lt-LT"/>
        </w:rPr>
        <w:t xml:space="preserve">) ir </w:t>
      </w:r>
      <w:proofErr w:type="spellStart"/>
      <w:r w:rsidR="00DA50D1" w:rsidRPr="00BF4AB8">
        <w:rPr>
          <w:iCs/>
          <w:snapToGrid w:val="0"/>
          <w:sz w:val="22"/>
          <w:szCs w:val="22"/>
          <w:lang w:eastAsia="lt-LT"/>
        </w:rPr>
        <w:t>febrilinė</w:t>
      </w:r>
      <w:proofErr w:type="spellEnd"/>
      <w:r w:rsidRPr="00BF4AB8">
        <w:rPr>
          <w:iCs/>
          <w:snapToGrid w:val="0"/>
          <w:sz w:val="22"/>
          <w:szCs w:val="22"/>
          <w:lang w:eastAsia="lt-LT"/>
        </w:rPr>
        <w:t xml:space="preserve"> </w:t>
      </w:r>
      <w:proofErr w:type="spellStart"/>
      <w:r w:rsidR="00DA50D1" w:rsidRPr="00BF4AB8">
        <w:rPr>
          <w:iCs/>
          <w:snapToGrid w:val="0"/>
          <w:sz w:val="22"/>
          <w:szCs w:val="22"/>
          <w:lang w:eastAsia="lt-LT"/>
        </w:rPr>
        <w:t>neutropenija</w:t>
      </w:r>
      <w:proofErr w:type="spellEnd"/>
      <w:r w:rsidR="00DA50D1" w:rsidRPr="00BF4AB8">
        <w:rPr>
          <w:iCs/>
          <w:snapToGrid w:val="0"/>
          <w:sz w:val="22"/>
          <w:szCs w:val="22"/>
          <w:lang w:eastAsia="lt-LT"/>
        </w:rPr>
        <w:t xml:space="preserve"> (7,5</w:t>
      </w:r>
      <w:r w:rsidR="00AC48E9" w:rsidRPr="00BF4AB8">
        <w:rPr>
          <w:iCs/>
          <w:snapToGrid w:val="0"/>
          <w:sz w:val="22"/>
          <w:szCs w:val="22"/>
          <w:lang w:eastAsia="lt-LT"/>
        </w:rPr>
        <w:t> %</w:t>
      </w:r>
      <w:r w:rsidR="00DA50D1" w:rsidRPr="00BF4AB8">
        <w:rPr>
          <w:iCs/>
          <w:snapToGrid w:val="0"/>
          <w:sz w:val="22"/>
          <w:szCs w:val="22"/>
          <w:lang w:eastAsia="lt-LT"/>
        </w:rPr>
        <w:t xml:space="preserve">) dažniau pasireiškė </w:t>
      </w:r>
      <w:r w:rsidRPr="00BF4AB8">
        <w:rPr>
          <w:iCs/>
          <w:snapToGrid w:val="0"/>
          <w:sz w:val="22"/>
          <w:szCs w:val="22"/>
          <w:lang w:eastAsia="lt-LT"/>
        </w:rPr>
        <w:t xml:space="preserve">gydymo </w:t>
      </w:r>
      <w:proofErr w:type="spellStart"/>
      <w:r w:rsidR="00DA50D1" w:rsidRPr="00BF4AB8">
        <w:rPr>
          <w:iCs/>
          <w:snapToGrid w:val="0"/>
          <w:sz w:val="22"/>
          <w:szCs w:val="22"/>
          <w:lang w:eastAsia="lt-LT"/>
        </w:rPr>
        <w:t>nintedanibu</w:t>
      </w:r>
      <w:proofErr w:type="spellEnd"/>
      <w:r w:rsidR="00DA50D1" w:rsidRPr="00BF4AB8">
        <w:rPr>
          <w:iCs/>
          <w:snapToGrid w:val="0"/>
          <w:sz w:val="22"/>
          <w:szCs w:val="22"/>
          <w:lang w:eastAsia="lt-LT"/>
        </w:rPr>
        <w:t xml:space="preserve"> grupėje </w:t>
      </w:r>
      <w:r w:rsidRPr="00BF4AB8">
        <w:rPr>
          <w:iCs/>
          <w:snapToGrid w:val="0"/>
          <w:sz w:val="22"/>
          <w:szCs w:val="22"/>
          <w:lang w:eastAsia="lt-LT"/>
        </w:rPr>
        <w:t>nei</w:t>
      </w:r>
      <w:r w:rsidR="00DA50D1" w:rsidRPr="00BF4AB8">
        <w:rPr>
          <w:iCs/>
          <w:snapToGrid w:val="0"/>
          <w:sz w:val="22"/>
          <w:szCs w:val="22"/>
          <w:lang w:eastAsia="lt-LT"/>
        </w:rPr>
        <w:t xml:space="preserve"> </w:t>
      </w:r>
      <w:proofErr w:type="spellStart"/>
      <w:r w:rsidR="00DA50D1" w:rsidRPr="00BF4AB8">
        <w:rPr>
          <w:iCs/>
          <w:snapToGrid w:val="0"/>
          <w:sz w:val="22"/>
          <w:szCs w:val="22"/>
          <w:lang w:eastAsia="lt-LT"/>
        </w:rPr>
        <w:t>placeb</w:t>
      </w:r>
      <w:r w:rsidRPr="00BF4AB8">
        <w:rPr>
          <w:iCs/>
          <w:snapToGrid w:val="0"/>
          <w:sz w:val="22"/>
          <w:szCs w:val="22"/>
          <w:lang w:eastAsia="lt-LT"/>
        </w:rPr>
        <w:t>o</w:t>
      </w:r>
      <w:proofErr w:type="spellEnd"/>
      <w:r w:rsidRPr="00BF4AB8">
        <w:rPr>
          <w:iCs/>
          <w:snapToGrid w:val="0"/>
          <w:sz w:val="22"/>
          <w:szCs w:val="22"/>
          <w:lang w:eastAsia="lt-LT"/>
        </w:rPr>
        <w:t xml:space="preserve"> vartojimo grupėje</w:t>
      </w:r>
      <w:r w:rsidR="00DA50D1" w:rsidRPr="00BF4AB8">
        <w:rPr>
          <w:iCs/>
          <w:snapToGrid w:val="0"/>
          <w:sz w:val="22"/>
          <w:szCs w:val="22"/>
          <w:lang w:eastAsia="lt-LT"/>
        </w:rPr>
        <w:t>.</w:t>
      </w:r>
      <w:r w:rsidRPr="00BF4AB8">
        <w:rPr>
          <w:iCs/>
          <w:snapToGrid w:val="0"/>
          <w:sz w:val="22"/>
          <w:szCs w:val="22"/>
          <w:lang w:eastAsia="lt-LT"/>
        </w:rPr>
        <w:t xml:space="preserve"> </w:t>
      </w:r>
      <w:r w:rsidR="00DA50D1" w:rsidRPr="00BF4AB8">
        <w:rPr>
          <w:iCs/>
          <w:snapToGrid w:val="0"/>
          <w:sz w:val="22"/>
          <w:szCs w:val="22"/>
          <w:lang w:eastAsia="lt-LT"/>
        </w:rPr>
        <w:t>Gydymo</w:t>
      </w:r>
      <w:r w:rsidRPr="00BF4AB8">
        <w:rPr>
          <w:iCs/>
          <w:snapToGrid w:val="0"/>
          <w:sz w:val="22"/>
          <w:szCs w:val="22"/>
          <w:lang w:eastAsia="lt-LT"/>
        </w:rPr>
        <w:t xml:space="preserve"> metu (ypač kartu vartojant </w:t>
      </w:r>
      <w:proofErr w:type="spellStart"/>
      <w:r w:rsidR="00DA50D1" w:rsidRPr="00BF4AB8">
        <w:rPr>
          <w:iCs/>
          <w:snapToGrid w:val="0"/>
          <w:sz w:val="22"/>
          <w:szCs w:val="22"/>
          <w:lang w:eastAsia="lt-LT"/>
        </w:rPr>
        <w:t>docitakseli</w:t>
      </w:r>
      <w:r w:rsidRPr="00BF4AB8">
        <w:rPr>
          <w:iCs/>
          <w:snapToGrid w:val="0"/>
          <w:sz w:val="22"/>
          <w:szCs w:val="22"/>
          <w:lang w:eastAsia="lt-LT"/>
        </w:rPr>
        <w:t>o</w:t>
      </w:r>
      <w:proofErr w:type="spellEnd"/>
      <w:r w:rsidRPr="00BF4AB8">
        <w:rPr>
          <w:iCs/>
          <w:snapToGrid w:val="0"/>
          <w:sz w:val="22"/>
          <w:szCs w:val="22"/>
          <w:lang w:eastAsia="lt-LT"/>
        </w:rPr>
        <w:t>)</w:t>
      </w:r>
      <w:r w:rsidR="00DA50D1" w:rsidRPr="00BF4AB8">
        <w:rPr>
          <w:iCs/>
          <w:snapToGrid w:val="0"/>
          <w:sz w:val="22"/>
          <w:szCs w:val="22"/>
          <w:lang w:eastAsia="lt-LT"/>
        </w:rPr>
        <w:t xml:space="preserve"> svarbu </w:t>
      </w:r>
      <w:r w:rsidRPr="00BF4AB8">
        <w:rPr>
          <w:iCs/>
          <w:snapToGrid w:val="0"/>
          <w:sz w:val="22"/>
          <w:szCs w:val="22"/>
          <w:lang w:eastAsia="lt-LT"/>
        </w:rPr>
        <w:t>stebėti</w:t>
      </w:r>
      <w:r w:rsidR="00DA50D1" w:rsidRPr="00BF4AB8">
        <w:rPr>
          <w:iCs/>
          <w:snapToGrid w:val="0"/>
          <w:sz w:val="22"/>
          <w:szCs w:val="22"/>
          <w:lang w:eastAsia="lt-LT"/>
        </w:rPr>
        <w:t xml:space="preserve"> pacientų kraujo ląstelių kiekį (žr.</w:t>
      </w:r>
      <w:r w:rsidRPr="00BF4AB8">
        <w:rPr>
          <w:iCs/>
          <w:snapToGrid w:val="0"/>
          <w:sz w:val="22"/>
          <w:szCs w:val="22"/>
          <w:lang w:eastAsia="lt-LT"/>
        </w:rPr>
        <w:t xml:space="preserve"> </w:t>
      </w:r>
      <w:r w:rsidR="00DA50D1" w:rsidRPr="00BF4AB8">
        <w:rPr>
          <w:iCs/>
          <w:snapToGrid w:val="0"/>
          <w:sz w:val="22"/>
          <w:szCs w:val="22"/>
          <w:lang w:eastAsia="lt-LT"/>
        </w:rPr>
        <w:t>4.4</w:t>
      </w:r>
      <w:r w:rsidRPr="00BF4AB8">
        <w:rPr>
          <w:iCs/>
          <w:snapToGrid w:val="0"/>
          <w:sz w:val="22"/>
          <w:szCs w:val="22"/>
          <w:lang w:eastAsia="lt-LT"/>
        </w:rPr>
        <w:t> </w:t>
      </w:r>
      <w:r w:rsidR="00DA50D1" w:rsidRPr="00BF4AB8">
        <w:rPr>
          <w:iCs/>
          <w:snapToGrid w:val="0"/>
          <w:sz w:val="22"/>
          <w:szCs w:val="22"/>
          <w:lang w:eastAsia="lt-LT"/>
        </w:rPr>
        <w:t>skyrių).</w:t>
      </w:r>
    </w:p>
    <w:p w14:paraId="6F3D16E0" w14:textId="77777777" w:rsidR="00D166F1" w:rsidRPr="00BF4AB8" w:rsidRDefault="00D166F1" w:rsidP="00DA50D1">
      <w:pPr>
        <w:tabs>
          <w:tab w:val="left" w:pos="567"/>
        </w:tabs>
        <w:spacing w:line="260" w:lineRule="exact"/>
        <w:rPr>
          <w:iCs/>
          <w:snapToGrid w:val="0"/>
          <w:sz w:val="22"/>
          <w:szCs w:val="22"/>
          <w:lang w:eastAsia="lt-LT"/>
        </w:rPr>
      </w:pPr>
    </w:p>
    <w:p w14:paraId="392D7084" w14:textId="5E43EF38" w:rsidR="00DA50D1" w:rsidRPr="00BF4AB8" w:rsidRDefault="00DA50D1" w:rsidP="00DA50D1">
      <w:pPr>
        <w:tabs>
          <w:tab w:val="left" w:pos="567"/>
        </w:tabs>
        <w:spacing w:line="260" w:lineRule="exact"/>
        <w:rPr>
          <w:i/>
          <w:snapToGrid w:val="0"/>
          <w:sz w:val="22"/>
          <w:szCs w:val="22"/>
          <w:lang w:eastAsia="lt-LT"/>
        </w:rPr>
      </w:pPr>
      <w:r w:rsidRPr="00BF4AB8">
        <w:rPr>
          <w:i/>
          <w:snapToGrid w:val="0"/>
          <w:sz w:val="22"/>
          <w:szCs w:val="22"/>
          <w:lang w:eastAsia="lt-LT"/>
        </w:rPr>
        <w:t>Kraujavimas</w:t>
      </w:r>
    </w:p>
    <w:p w14:paraId="1484A2C6" w14:textId="09919403" w:rsidR="00135B95" w:rsidRPr="00BF4AB8" w:rsidRDefault="00135B95" w:rsidP="00135B95">
      <w:pPr>
        <w:tabs>
          <w:tab w:val="left" w:pos="567"/>
        </w:tabs>
        <w:spacing w:line="260" w:lineRule="exact"/>
        <w:rPr>
          <w:snapToGrid w:val="0"/>
          <w:sz w:val="22"/>
        </w:rPr>
      </w:pPr>
      <w:r w:rsidRPr="00BF4AB8">
        <w:rPr>
          <w:snapToGrid w:val="0"/>
          <w:sz w:val="22"/>
        </w:rPr>
        <w:t>Po vaistinio preparato pateikimo į rinką gauta pranešimų apie nesunkaus ir sunkaus kraujavimo reiškinius (kai kurie iš jų buvo mirtini), įskaitant atvejus pacientams, gydomiems antikoaguliantais ar kitais kraujavimą sukelti galinčiais vaistiniais preparatais arba jais negydomiems. Po vaistinio preparato pateikimo į rinką nustatyti kraujavimo atvejai apėmė (tuo neapsiribojant) virškinimo trakto, kvėpavimo ir centrinės nervų sistemos organus, dažniausiai pranešta apie kraujavimą iš kvėpavimo takų (taip pat žr. 4.4 skyrių).</w:t>
      </w:r>
    </w:p>
    <w:p w14:paraId="728E4F01" w14:textId="3F654F96" w:rsidR="00135B95" w:rsidRPr="00BF4AB8" w:rsidRDefault="00135B95" w:rsidP="00135B95">
      <w:pPr>
        <w:tabs>
          <w:tab w:val="left" w:pos="567"/>
        </w:tabs>
        <w:spacing w:line="260" w:lineRule="exact"/>
        <w:rPr>
          <w:snapToGrid w:val="0"/>
          <w:sz w:val="22"/>
        </w:rPr>
      </w:pPr>
    </w:p>
    <w:p w14:paraId="2D4933D1" w14:textId="5879DA3D" w:rsidR="00DA50D1" w:rsidRPr="00BF4AB8" w:rsidRDefault="00DA50D1" w:rsidP="00135B95">
      <w:pPr>
        <w:tabs>
          <w:tab w:val="left" w:pos="567"/>
        </w:tabs>
        <w:spacing w:line="260" w:lineRule="exact"/>
        <w:rPr>
          <w:i/>
          <w:snapToGrid w:val="0"/>
          <w:sz w:val="22"/>
          <w:szCs w:val="22"/>
          <w:lang w:eastAsia="lt-LT"/>
        </w:rPr>
      </w:pPr>
      <w:r w:rsidRPr="00BF4AB8">
        <w:rPr>
          <w:i/>
          <w:snapToGrid w:val="0"/>
          <w:sz w:val="22"/>
          <w:szCs w:val="22"/>
          <w:lang w:eastAsia="lt-LT"/>
        </w:rPr>
        <w:t>Perforacija</w:t>
      </w:r>
    </w:p>
    <w:p w14:paraId="2B622149" w14:textId="4C028489" w:rsidR="00DA50D1" w:rsidRPr="00BF4AB8" w:rsidRDefault="00DA50D1" w:rsidP="00DA50D1">
      <w:pPr>
        <w:tabs>
          <w:tab w:val="left" w:pos="567"/>
        </w:tabs>
        <w:spacing w:line="260" w:lineRule="exact"/>
        <w:rPr>
          <w:iCs/>
          <w:snapToGrid w:val="0"/>
          <w:sz w:val="22"/>
          <w:szCs w:val="22"/>
          <w:lang w:eastAsia="lt-LT"/>
        </w:rPr>
      </w:pPr>
      <w:r w:rsidRPr="00BF4AB8">
        <w:rPr>
          <w:iCs/>
          <w:snapToGrid w:val="0"/>
          <w:sz w:val="22"/>
          <w:szCs w:val="22"/>
          <w:lang w:eastAsia="lt-LT"/>
        </w:rPr>
        <w:t xml:space="preserve">Remiantis </w:t>
      </w:r>
      <w:proofErr w:type="spellStart"/>
      <w:r w:rsidRPr="00BF4AB8">
        <w:rPr>
          <w:iCs/>
          <w:snapToGrid w:val="0"/>
          <w:sz w:val="22"/>
          <w:szCs w:val="22"/>
          <w:lang w:eastAsia="lt-LT"/>
        </w:rPr>
        <w:t>nintedanibo</w:t>
      </w:r>
      <w:proofErr w:type="spellEnd"/>
      <w:r w:rsidRPr="00BF4AB8">
        <w:rPr>
          <w:iCs/>
          <w:snapToGrid w:val="0"/>
          <w:sz w:val="22"/>
          <w:szCs w:val="22"/>
          <w:lang w:eastAsia="lt-LT"/>
        </w:rPr>
        <w:t xml:space="preserve"> veikimo mechanizmu, </w:t>
      </w:r>
      <w:proofErr w:type="spellStart"/>
      <w:r w:rsidR="00135B95" w:rsidRPr="00BF4AB8">
        <w:rPr>
          <w:iCs/>
          <w:snapToGrid w:val="0"/>
          <w:sz w:val="22"/>
          <w:szCs w:val="22"/>
          <w:lang w:eastAsia="lt-LT"/>
        </w:rPr>
        <w:t>nintedanibu</w:t>
      </w:r>
      <w:proofErr w:type="spellEnd"/>
      <w:r w:rsidR="00135B95" w:rsidRPr="00BF4AB8">
        <w:rPr>
          <w:iCs/>
          <w:snapToGrid w:val="0"/>
          <w:sz w:val="22"/>
          <w:szCs w:val="22"/>
          <w:lang w:eastAsia="lt-LT"/>
        </w:rPr>
        <w:t xml:space="preserve"> gydomiems </w:t>
      </w:r>
      <w:r w:rsidRPr="00BF4AB8">
        <w:rPr>
          <w:iCs/>
          <w:snapToGrid w:val="0"/>
          <w:sz w:val="22"/>
          <w:szCs w:val="22"/>
          <w:lang w:eastAsia="lt-LT"/>
        </w:rPr>
        <w:t>pacientams gali</w:t>
      </w:r>
      <w:r w:rsidR="00135B95" w:rsidRPr="00BF4AB8">
        <w:rPr>
          <w:iCs/>
          <w:snapToGrid w:val="0"/>
          <w:sz w:val="22"/>
          <w:szCs w:val="22"/>
          <w:lang w:eastAsia="lt-LT"/>
        </w:rPr>
        <w:t xml:space="preserve"> įvykti </w:t>
      </w:r>
      <w:r w:rsidRPr="00BF4AB8">
        <w:rPr>
          <w:iCs/>
          <w:snapToGrid w:val="0"/>
          <w:sz w:val="22"/>
          <w:szCs w:val="22"/>
          <w:lang w:eastAsia="lt-LT"/>
        </w:rPr>
        <w:t>perforacija.</w:t>
      </w:r>
      <w:r w:rsidR="00135B95" w:rsidRPr="00BF4AB8">
        <w:rPr>
          <w:iCs/>
          <w:snapToGrid w:val="0"/>
          <w:sz w:val="22"/>
          <w:szCs w:val="22"/>
          <w:lang w:eastAsia="lt-LT"/>
        </w:rPr>
        <w:t xml:space="preserve"> </w:t>
      </w:r>
      <w:r w:rsidRPr="00BF4AB8">
        <w:rPr>
          <w:iCs/>
          <w:snapToGrid w:val="0"/>
          <w:sz w:val="22"/>
          <w:szCs w:val="22"/>
          <w:lang w:eastAsia="lt-LT"/>
        </w:rPr>
        <w:t>Vis dėlto virškinimo trakto perforacijos dažnis pacientams buvo mažas.</w:t>
      </w:r>
    </w:p>
    <w:p w14:paraId="4DC7FB35" w14:textId="77777777" w:rsidR="00135B95" w:rsidRPr="00BF4AB8" w:rsidRDefault="00135B95" w:rsidP="00DA50D1">
      <w:pPr>
        <w:tabs>
          <w:tab w:val="left" w:pos="567"/>
        </w:tabs>
        <w:spacing w:line="260" w:lineRule="exact"/>
        <w:rPr>
          <w:iCs/>
          <w:snapToGrid w:val="0"/>
          <w:sz w:val="22"/>
          <w:szCs w:val="22"/>
          <w:lang w:eastAsia="lt-LT"/>
        </w:rPr>
      </w:pPr>
    </w:p>
    <w:p w14:paraId="6EA3C34F" w14:textId="30E7F5A8" w:rsidR="00DA50D1" w:rsidRPr="00BF4AB8" w:rsidRDefault="00DA50D1" w:rsidP="00DA50D1">
      <w:pPr>
        <w:tabs>
          <w:tab w:val="left" w:pos="567"/>
        </w:tabs>
        <w:spacing w:line="260" w:lineRule="exact"/>
        <w:rPr>
          <w:i/>
          <w:snapToGrid w:val="0"/>
          <w:sz w:val="22"/>
          <w:szCs w:val="22"/>
          <w:lang w:eastAsia="lt-LT"/>
        </w:rPr>
      </w:pPr>
      <w:r w:rsidRPr="00BF4AB8">
        <w:rPr>
          <w:i/>
          <w:snapToGrid w:val="0"/>
          <w:sz w:val="22"/>
          <w:szCs w:val="22"/>
          <w:lang w:eastAsia="lt-LT"/>
        </w:rPr>
        <w:t>Periferinė neuropatija</w:t>
      </w:r>
    </w:p>
    <w:p w14:paraId="4613D732" w14:textId="77B4BF73" w:rsidR="00CB2E6A" w:rsidRPr="00BF4AB8" w:rsidRDefault="00DA50D1" w:rsidP="00DA50D1">
      <w:pPr>
        <w:tabs>
          <w:tab w:val="left" w:pos="567"/>
        </w:tabs>
        <w:spacing w:line="260" w:lineRule="exact"/>
        <w:rPr>
          <w:iCs/>
          <w:snapToGrid w:val="0"/>
          <w:sz w:val="22"/>
          <w:szCs w:val="22"/>
          <w:lang w:eastAsia="lt-LT"/>
        </w:rPr>
      </w:pPr>
      <w:r w:rsidRPr="00BF4AB8">
        <w:rPr>
          <w:iCs/>
          <w:snapToGrid w:val="0"/>
          <w:sz w:val="22"/>
          <w:szCs w:val="22"/>
          <w:lang w:eastAsia="lt-LT"/>
        </w:rPr>
        <w:t xml:space="preserve">Taip pat žinoma, kad gydant </w:t>
      </w:r>
      <w:proofErr w:type="spellStart"/>
      <w:r w:rsidRPr="00BF4AB8">
        <w:rPr>
          <w:iCs/>
          <w:snapToGrid w:val="0"/>
          <w:sz w:val="22"/>
          <w:szCs w:val="22"/>
          <w:lang w:eastAsia="lt-LT"/>
        </w:rPr>
        <w:t>docetakseliu</w:t>
      </w:r>
      <w:proofErr w:type="spellEnd"/>
      <w:r w:rsidRPr="00BF4AB8">
        <w:rPr>
          <w:iCs/>
          <w:snapToGrid w:val="0"/>
          <w:sz w:val="22"/>
          <w:szCs w:val="22"/>
          <w:lang w:eastAsia="lt-LT"/>
        </w:rPr>
        <w:t xml:space="preserve"> gali pasireikšti periferinė neuropatija. Periferinė neuropatija</w:t>
      </w:r>
      <w:r w:rsidR="00135B95" w:rsidRPr="00BF4AB8">
        <w:rPr>
          <w:iCs/>
          <w:snapToGrid w:val="0"/>
          <w:sz w:val="22"/>
          <w:szCs w:val="22"/>
          <w:lang w:eastAsia="lt-LT"/>
        </w:rPr>
        <w:t xml:space="preserve"> </w:t>
      </w:r>
      <w:r w:rsidRPr="00BF4AB8">
        <w:rPr>
          <w:iCs/>
          <w:snapToGrid w:val="0"/>
          <w:sz w:val="22"/>
          <w:szCs w:val="22"/>
          <w:lang w:eastAsia="lt-LT"/>
        </w:rPr>
        <w:t>buvo nustatyta 16,5</w:t>
      </w:r>
      <w:r w:rsidR="00AC48E9" w:rsidRPr="00BF4AB8">
        <w:rPr>
          <w:iCs/>
          <w:snapToGrid w:val="0"/>
          <w:sz w:val="22"/>
          <w:szCs w:val="22"/>
          <w:lang w:eastAsia="lt-LT"/>
        </w:rPr>
        <w:t> %</w:t>
      </w:r>
      <w:r w:rsidRPr="00BF4AB8">
        <w:rPr>
          <w:iCs/>
          <w:snapToGrid w:val="0"/>
          <w:sz w:val="22"/>
          <w:szCs w:val="22"/>
          <w:lang w:eastAsia="lt-LT"/>
        </w:rPr>
        <w:t xml:space="preserve"> pacientų </w:t>
      </w:r>
      <w:proofErr w:type="spellStart"/>
      <w:r w:rsidRPr="00BF4AB8">
        <w:rPr>
          <w:iCs/>
          <w:snapToGrid w:val="0"/>
          <w:sz w:val="22"/>
          <w:szCs w:val="22"/>
          <w:lang w:eastAsia="lt-LT"/>
        </w:rPr>
        <w:t>placeb</w:t>
      </w:r>
      <w:r w:rsidR="00135B95" w:rsidRPr="00BF4AB8">
        <w:rPr>
          <w:iCs/>
          <w:snapToGrid w:val="0"/>
          <w:sz w:val="22"/>
          <w:szCs w:val="22"/>
          <w:lang w:eastAsia="lt-LT"/>
        </w:rPr>
        <w:t>o</w:t>
      </w:r>
      <w:proofErr w:type="spellEnd"/>
      <w:r w:rsidR="00135B95" w:rsidRPr="00BF4AB8">
        <w:rPr>
          <w:iCs/>
          <w:snapToGrid w:val="0"/>
          <w:sz w:val="22"/>
          <w:szCs w:val="22"/>
          <w:lang w:eastAsia="lt-LT"/>
        </w:rPr>
        <w:t xml:space="preserve"> vartojimo</w:t>
      </w:r>
      <w:r w:rsidRPr="00BF4AB8">
        <w:rPr>
          <w:iCs/>
          <w:snapToGrid w:val="0"/>
          <w:sz w:val="22"/>
          <w:szCs w:val="22"/>
          <w:lang w:eastAsia="lt-LT"/>
        </w:rPr>
        <w:t xml:space="preserve"> grupėje ir 19,1</w:t>
      </w:r>
      <w:r w:rsidR="00AC48E9" w:rsidRPr="00BF4AB8">
        <w:rPr>
          <w:iCs/>
          <w:snapToGrid w:val="0"/>
          <w:sz w:val="22"/>
          <w:szCs w:val="22"/>
          <w:lang w:eastAsia="lt-LT"/>
        </w:rPr>
        <w:t> %</w:t>
      </w:r>
      <w:r w:rsidRPr="00BF4AB8">
        <w:rPr>
          <w:iCs/>
          <w:snapToGrid w:val="0"/>
          <w:sz w:val="22"/>
          <w:szCs w:val="22"/>
          <w:lang w:eastAsia="lt-LT"/>
        </w:rPr>
        <w:t xml:space="preserve"> pacientų </w:t>
      </w:r>
      <w:r w:rsidR="00135B95" w:rsidRPr="00BF4AB8">
        <w:rPr>
          <w:iCs/>
          <w:snapToGrid w:val="0"/>
          <w:sz w:val="22"/>
          <w:szCs w:val="22"/>
          <w:lang w:eastAsia="lt-LT"/>
        </w:rPr>
        <w:t xml:space="preserve">gydymo </w:t>
      </w:r>
      <w:proofErr w:type="spellStart"/>
      <w:r w:rsidRPr="00BF4AB8">
        <w:rPr>
          <w:iCs/>
          <w:snapToGrid w:val="0"/>
          <w:sz w:val="22"/>
          <w:szCs w:val="22"/>
          <w:lang w:eastAsia="lt-LT"/>
        </w:rPr>
        <w:t>nintedanibu</w:t>
      </w:r>
      <w:proofErr w:type="spellEnd"/>
      <w:r w:rsidRPr="00BF4AB8">
        <w:rPr>
          <w:iCs/>
          <w:snapToGrid w:val="0"/>
          <w:sz w:val="22"/>
          <w:szCs w:val="22"/>
          <w:lang w:eastAsia="lt-LT"/>
        </w:rPr>
        <w:t xml:space="preserve"> grupėje</w:t>
      </w:r>
      <w:r w:rsidR="00135B95" w:rsidRPr="00BF4AB8">
        <w:rPr>
          <w:iCs/>
          <w:snapToGrid w:val="0"/>
          <w:sz w:val="22"/>
          <w:szCs w:val="22"/>
          <w:lang w:eastAsia="lt-LT"/>
        </w:rPr>
        <w:t>.</w:t>
      </w:r>
    </w:p>
    <w:p w14:paraId="0CC3E889" w14:textId="77777777" w:rsidR="00CB2E6A" w:rsidRPr="00BF4AB8" w:rsidRDefault="00CB2E6A" w:rsidP="005D554B">
      <w:pPr>
        <w:tabs>
          <w:tab w:val="left" w:pos="567"/>
        </w:tabs>
        <w:spacing w:line="260" w:lineRule="exact"/>
        <w:rPr>
          <w:iCs/>
          <w:snapToGrid w:val="0"/>
          <w:sz w:val="22"/>
          <w:szCs w:val="22"/>
          <w:lang w:eastAsia="lt-LT"/>
        </w:rPr>
      </w:pPr>
    </w:p>
    <w:p w14:paraId="4668465B" w14:textId="77777777" w:rsidR="005D554B" w:rsidRPr="00BF4AB8" w:rsidRDefault="005D554B" w:rsidP="005D554B">
      <w:pPr>
        <w:tabs>
          <w:tab w:val="left" w:pos="567"/>
        </w:tabs>
        <w:autoSpaceDE w:val="0"/>
        <w:autoSpaceDN w:val="0"/>
        <w:adjustRightInd w:val="0"/>
        <w:spacing w:line="260" w:lineRule="exact"/>
        <w:jc w:val="both"/>
        <w:rPr>
          <w:snapToGrid w:val="0"/>
          <w:sz w:val="22"/>
          <w:szCs w:val="24"/>
          <w:u w:val="single"/>
        </w:rPr>
      </w:pPr>
      <w:r w:rsidRPr="00BF4AB8">
        <w:rPr>
          <w:snapToGrid w:val="0"/>
          <w:sz w:val="22"/>
          <w:szCs w:val="24"/>
          <w:u w:val="single"/>
        </w:rPr>
        <w:t>Pranešimas apie įtariamas nepageidaujamas reakcijas</w:t>
      </w:r>
    </w:p>
    <w:p w14:paraId="295FF816" w14:textId="77777777" w:rsidR="005D554B" w:rsidRPr="00BF4AB8" w:rsidRDefault="005D554B" w:rsidP="0092503F">
      <w:pPr>
        <w:tabs>
          <w:tab w:val="left" w:pos="567"/>
        </w:tabs>
        <w:autoSpaceDE w:val="0"/>
        <w:autoSpaceDN w:val="0"/>
        <w:adjustRightInd w:val="0"/>
        <w:spacing w:line="260" w:lineRule="exact"/>
        <w:rPr>
          <w:snapToGrid w:val="0"/>
          <w:sz w:val="22"/>
          <w:szCs w:val="24"/>
        </w:rPr>
      </w:pPr>
      <w:r w:rsidRPr="00BF4AB8">
        <w:rPr>
          <w:snapToGrid w:val="0"/>
          <w:sz w:val="22"/>
          <w:szCs w:val="24"/>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tiesiogiai užpildę pranešimo formą internetu Tarnybos Vaistinių preparatų informacinėje sistemoje </w:t>
      </w:r>
      <w:hyperlink r:id="rId8" w:history="1">
        <w:r w:rsidRPr="00BF4AB8">
          <w:rPr>
            <w:snapToGrid w:val="0"/>
            <w:color w:val="0000FF"/>
            <w:sz w:val="22"/>
            <w:szCs w:val="24"/>
            <w:u w:val="single"/>
          </w:rPr>
          <w:t>https://vapris.vvkt.lt/vvkt-web/public/nrvSpecialist</w:t>
        </w:r>
      </w:hyperlink>
      <w:r w:rsidRPr="00BF4AB8">
        <w:rPr>
          <w:snapToGrid w:val="0"/>
          <w:sz w:val="22"/>
          <w:szCs w:val="24"/>
        </w:rPr>
        <w:t xml:space="preserve"> arba užpildę Sveikatos priežiūros ar farmacijos specialisto pranešimo apie įtariamą nepageidaujamą reakciją (ĮNR) formą, kuri skelbiama </w:t>
      </w:r>
      <w:hyperlink r:id="rId9" w:history="1">
        <w:r w:rsidRPr="00BF4AB8">
          <w:rPr>
            <w:snapToGrid w:val="0"/>
            <w:color w:val="0000FF"/>
            <w:sz w:val="22"/>
            <w:szCs w:val="24"/>
            <w:u w:val="single"/>
          </w:rPr>
          <w:t>https://www.vvkt.lt/index.php?1399030386</w:t>
        </w:r>
      </w:hyperlink>
      <w:r w:rsidRPr="00BF4AB8">
        <w:rPr>
          <w:snapToGrid w:val="0"/>
          <w:sz w:val="22"/>
          <w:szCs w:val="24"/>
        </w:rPr>
        <w:t xml:space="preserve">, ir atsiųsti elektroniniu paštu (adresu </w:t>
      </w:r>
      <w:proofErr w:type="spellStart"/>
      <w:r w:rsidRPr="00BF4AB8">
        <w:rPr>
          <w:snapToGrid w:val="0"/>
          <w:sz w:val="22"/>
          <w:szCs w:val="24"/>
        </w:rPr>
        <w:t>NepageidaujamaR@vvkt.lt</w:t>
      </w:r>
      <w:proofErr w:type="spellEnd"/>
      <w:r w:rsidRPr="00BF4AB8">
        <w:rPr>
          <w:snapToGrid w:val="0"/>
          <w:sz w:val="22"/>
          <w:szCs w:val="24"/>
        </w:rPr>
        <w:t>).</w:t>
      </w:r>
    </w:p>
    <w:p w14:paraId="61BD3477" w14:textId="77777777" w:rsidR="005D554B" w:rsidRPr="00BF4AB8" w:rsidRDefault="005D554B" w:rsidP="005D554B">
      <w:pPr>
        <w:tabs>
          <w:tab w:val="left" w:pos="567"/>
        </w:tabs>
        <w:autoSpaceDE w:val="0"/>
        <w:autoSpaceDN w:val="0"/>
        <w:adjustRightInd w:val="0"/>
        <w:spacing w:line="260" w:lineRule="exact"/>
        <w:jc w:val="both"/>
        <w:rPr>
          <w:snapToGrid w:val="0"/>
          <w:sz w:val="22"/>
          <w:szCs w:val="24"/>
        </w:rPr>
      </w:pPr>
    </w:p>
    <w:p w14:paraId="32929638" w14:textId="77777777" w:rsidR="005D554B" w:rsidRPr="00BF4AB8" w:rsidRDefault="005D554B" w:rsidP="005D554B">
      <w:pPr>
        <w:tabs>
          <w:tab w:val="left" w:pos="567"/>
        </w:tabs>
        <w:spacing w:line="260" w:lineRule="exact"/>
        <w:rPr>
          <w:snapToGrid w:val="0"/>
          <w:sz w:val="22"/>
          <w:szCs w:val="24"/>
        </w:rPr>
      </w:pPr>
    </w:p>
    <w:p w14:paraId="3C99A5C8" w14:textId="77777777" w:rsidR="005D554B" w:rsidRPr="00BF4AB8" w:rsidRDefault="005D554B" w:rsidP="005D554B">
      <w:pPr>
        <w:keepNext/>
        <w:tabs>
          <w:tab w:val="left" w:pos="567"/>
        </w:tabs>
        <w:spacing w:line="260" w:lineRule="exact"/>
        <w:jc w:val="both"/>
        <w:outlineLvl w:val="3"/>
        <w:rPr>
          <w:b/>
          <w:bCs/>
          <w:snapToGrid w:val="0"/>
          <w:sz w:val="22"/>
          <w:szCs w:val="28"/>
          <w:lang w:eastAsia="x-none"/>
        </w:rPr>
      </w:pPr>
      <w:r w:rsidRPr="00BF4AB8">
        <w:rPr>
          <w:b/>
          <w:bCs/>
          <w:snapToGrid w:val="0"/>
          <w:sz w:val="22"/>
          <w:szCs w:val="28"/>
          <w:lang w:eastAsia="x-none"/>
        </w:rPr>
        <w:t>4.9</w:t>
      </w:r>
      <w:r w:rsidRPr="00BF4AB8">
        <w:rPr>
          <w:b/>
          <w:bCs/>
          <w:snapToGrid w:val="0"/>
          <w:sz w:val="22"/>
          <w:szCs w:val="28"/>
          <w:lang w:eastAsia="x-none"/>
        </w:rPr>
        <w:tab/>
        <w:t>Perdozavimas</w:t>
      </w:r>
    </w:p>
    <w:p w14:paraId="6D79AF69" w14:textId="77777777" w:rsidR="005D554B" w:rsidRPr="00BF4AB8" w:rsidRDefault="005D554B" w:rsidP="005D554B">
      <w:pPr>
        <w:tabs>
          <w:tab w:val="left" w:pos="567"/>
        </w:tabs>
        <w:spacing w:line="260" w:lineRule="exact"/>
        <w:rPr>
          <w:snapToGrid w:val="0"/>
          <w:sz w:val="22"/>
          <w:szCs w:val="24"/>
        </w:rPr>
      </w:pPr>
    </w:p>
    <w:p w14:paraId="704B5377" w14:textId="7966F86A" w:rsidR="005D554B" w:rsidRPr="00BF4AB8" w:rsidRDefault="00135B95" w:rsidP="00135B95">
      <w:pPr>
        <w:tabs>
          <w:tab w:val="left" w:pos="567"/>
        </w:tabs>
        <w:spacing w:line="260" w:lineRule="exact"/>
        <w:rPr>
          <w:snapToGrid w:val="0"/>
          <w:sz w:val="22"/>
          <w:szCs w:val="24"/>
        </w:rPr>
      </w:pPr>
      <w:r w:rsidRPr="00BF4AB8">
        <w:rPr>
          <w:snapToGrid w:val="0"/>
          <w:sz w:val="22"/>
        </w:rPr>
        <w:t xml:space="preserve">Perdozavus </w:t>
      </w:r>
      <w:proofErr w:type="spellStart"/>
      <w:r w:rsidRPr="00BF4AB8">
        <w:rPr>
          <w:snapToGrid w:val="0"/>
          <w:sz w:val="22"/>
        </w:rPr>
        <w:t>nintedanibo</w:t>
      </w:r>
      <w:proofErr w:type="spellEnd"/>
      <w:r w:rsidRPr="00BF4AB8">
        <w:rPr>
          <w:snapToGrid w:val="0"/>
          <w:sz w:val="22"/>
        </w:rPr>
        <w:t xml:space="preserve">, specifinio priešnuodžio ar gydymo nėra. Didžiausia vienkartinė </w:t>
      </w:r>
      <w:proofErr w:type="spellStart"/>
      <w:r w:rsidRPr="00BF4AB8">
        <w:rPr>
          <w:snapToGrid w:val="0"/>
          <w:sz w:val="22"/>
        </w:rPr>
        <w:t>nintedanibo</w:t>
      </w:r>
      <w:proofErr w:type="spellEnd"/>
      <w:r w:rsidRPr="00BF4AB8">
        <w:rPr>
          <w:snapToGrid w:val="0"/>
          <w:sz w:val="22"/>
        </w:rPr>
        <w:t xml:space="preserve"> dozė, vartota I fazės tyrimų metu, buvo 450</w:t>
      </w:r>
      <w:r w:rsidR="00AC48E9" w:rsidRPr="00BF4AB8">
        <w:rPr>
          <w:snapToGrid w:val="0"/>
          <w:sz w:val="22"/>
        </w:rPr>
        <w:t> mg</w:t>
      </w:r>
      <w:r w:rsidRPr="00BF4AB8">
        <w:rPr>
          <w:snapToGrid w:val="0"/>
          <w:sz w:val="22"/>
        </w:rPr>
        <w:t xml:space="preserve"> vieną kartą per parą. Be to, 2 pacientai vartojo per didelę dozę (ne daugiau kaip 600</w:t>
      </w:r>
      <w:r w:rsidR="00AC48E9" w:rsidRPr="00BF4AB8">
        <w:rPr>
          <w:snapToGrid w:val="0"/>
          <w:sz w:val="22"/>
        </w:rPr>
        <w:t> mg</w:t>
      </w:r>
      <w:r w:rsidRPr="00BF4AB8">
        <w:rPr>
          <w:snapToGrid w:val="0"/>
          <w:sz w:val="22"/>
        </w:rPr>
        <w:t xml:space="preserve"> du kartus per parą iki 8 dienų). Pastebėti nepageidaujami reiškiniai atitiko žinomą </w:t>
      </w:r>
      <w:proofErr w:type="spellStart"/>
      <w:r w:rsidRPr="00BF4AB8">
        <w:rPr>
          <w:snapToGrid w:val="0"/>
          <w:sz w:val="22"/>
        </w:rPr>
        <w:t>nintedanibo</w:t>
      </w:r>
      <w:proofErr w:type="spellEnd"/>
      <w:r w:rsidRPr="00BF4AB8">
        <w:rPr>
          <w:snapToGrid w:val="0"/>
          <w:sz w:val="22"/>
        </w:rPr>
        <w:t xml:space="preserve"> saugumo pobūdį, t. y., padidėjo kepenų fermentų aktyvumas kraujyje ir atsirado virškinimo trakto simptomų. Abiem pacientams šios nepageidaujamos reakcijos išnyko. Perdozavimo atveju reikia sustabdyti gydymą ir </w:t>
      </w:r>
      <w:r w:rsidR="00A044DC" w:rsidRPr="00BF4AB8">
        <w:rPr>
          <w:snapToGrid w:val="0"/>
          <w:sz w:val="22"/>
        </w:rPr>
        <w:t>skirti atitinkamas</w:t>
      </w:r>
      <w:r w:rsidRPr="00BF4AB8">
        <w:rPr>
          <w:snapToGrid w:val="0"/>
          <w:sz w:val="22"/>
        </w:rPr>
        <w:t xml:space="preserve"> </w:t>
      </w:r>
      <w:r w:rsidR="00A044DC" w:rsidRPr="00BF4AB8">
        <w:rPr>
          <w:snapToGrid w:val="0"/>
          <w:sz w:val="22"/>
        </w:rPr>
        <w:t>bendrąsias</w:t>
      </w:r>
      <w:r w:rsidRPr="00BF4AB8">
        <w:rPr>
          <w:snapToGrid w:val="0"/>
          <w:sz w:val="22"/>
        </w:rPr>
        <w:t xml:space="preserve"> palaikomąsias </w:t>
      </w:r>
      <w:r w:rsidR="00A044DC" w:rsidRPr="00BF4AB8">
        <w:rPr>
          <w:snapToGrid w:val="0"/>
          <w:sz w:val="22"/>
        </w:rPr>
        <w:t>p</w:t>
      </w:r>
      <w:r w:rsidRPr="00BF4AB8">
        <w:rPr>
          <w:snapToGrid w:val="0"/>
          <w:sz w:val="22"/>
        </w:rPr>
        <w:t>riemones.</w:t>
      </w:r>
    </w:p>
    <w:p w14:paraId="14CDF40B" w14:textId="77777777" w:rsidR="005D554B" w:rsidRPr="00BF4AB8" w:rsidRDefault="005D554B" w:rsidP="005D554B">
      <w:pPr>
        <w:tabs>
          <w:tab w:val="left" w:pos="567"/>
        </w:tabs>
        <w:spacing w:line="260" w:lineRule="exact"/>
        <w:rPr>
          <w:snapToGrid w:val="0"/>
          <w:sz w:val="22"/>
          <w:szCs w:val="24"/>
        </w:rPr>
      </w:pPr>
    </w:p>
    <w:p w14:paraId="3C180E8E" w14:textId="77777777" w:rsidR="005D554B" w:rsidRPr="00BF4AB8" w:rsidRDefault="005D554B" w:rsidP="005D554B">
      <w:pPr>
        <w:tabs>
          <w:tab w:val="left" w:pos="567"/>
        </w:tabs>
        <w:spacing w:line="260" w:lineRule="exact"/>
        <w:rPr>
          <w:snapToGrid w:val="0"/>
          <w:sz w:val="22"/>
          <w:szCs w:val="24"/>
        </w:rPr>
      </w:pPr>
    </w:p>
    <w:p w14:paraId="01F33F26" w14:textId="77777777" w:rsidR="005D554B" w:rsidRPr="00BF4AB8" w:rsidRDefault="005D554B" w:rsidP="005D554B">
      <w:pPr>
        <w:keepNext/>
        <w:keepLines/>
        <w:tabs>
          <w:tab w:val="left" w:pos="567"/>
        </w:tabs>
        <w:outlineLvl w:val="2"/>
        <w:rPr>
          <w:b/>
          <w:bCs/>
          <w:snapToGrid w:val="0"/>
          <w:sz w:val="22"/>
          <w:szCs w:val="26"/>
          <w:lang w:eastAsia="x-none"/>
        </w:rPr>
      </w:pPr>
      <w:r w:rsidRPr="00BF4AB8">
        <w:rPr>
          <w:b/>
          <w:bCs/>
          <w:snapToGrid w:val="0"/>
          <w:sz w:val="22"/>
          <w:szCs w:val="26"/>
          <w:lang w:eastAsia="x-none"/>
        </w:rPr>
        <w:t>5.</w:t>
      </w:r>
      <w:r w:rsidRPr="00BF4AB8">
        <w:rPr>
          <w:b/>
          <w:bCs/>
          <w:snapToGrid w:val="0"/>
          <w:sz w:val="22"/>
          <w:szCs w:val="26"/>
          <w:lang w:eastAsia="x-none"/>
        </w:rPr>
        <w:tab/>
        <w:t>FARMAKOLOGINĖS SAVYBĖS</w:t>
      </w:r>
    </w:p>
    <w:p w14:paraId="6BCA34F2" w14:textId="77777777" w:rsidR="005D554B" w:rsidRPr="00BF4AB8" w:rsidRDefault="005D554B" w:rsidP="005D554B">
      <w:pPr>
        <w:tabs>
          <w:tab w:val="left" w:pos="567"/>
        </w:tabs>
        <w:spacing w:line="260" w:lineRule="exact"/>
        <w:rPr>
          <w:snapToGrid w:val="0"/>
          <w:sz w:val="22"/>
          <w:szCs w:val="24"/>
        </w:rPr>
      </w:pPr>
    </w:p>
    <w:p w14:paraId="475E2532" w14:textId="77777777" w:rsidR="005D554B" w:rsidRPr="00BF4AB8" w:rsidRDefault="005D554B" w:rsidP="005D554B">
      <w:pPr>
        <w:keepNext/>
        <w:tabs>
          <w:tab w:val="left" w:pos="567"/>
        </w:tabs>
        <w:spacing w:line="260" w:lineRule="exact"/>
        <w:jc w:val="both"/>
        <w:outlineLvl w:val="3"/>
        <w:rPr>
          <w:b/>
          <w:bCs/>
          <w:snapToGrid w:val="0"/>
          <w:sz w:val="22"/>
          <w:szCs w:val="28"/>
          <w:lang w:eastAsia="x-none"/>
        </w:rPr>
      </w:pPr>
      <w:r w:rsidRPr="00BF4AB8">
        <w:rPr>
          <w:b/>
          <w:bCs/>
          <w:snapToGrid w:val="0"/>
          <w:sz w:val="22"/>
          <w:szCs w:val="28"/>
          <w:lang w:eastAsia="x-none"/>
        </w:rPr>
        <w:t>5.1</w:t>
      </w:r>
      <w:r w:rsidRPr="00BF4AB8">
        <w:rPr>
          <w:b/>
          <w:snapToGrid w:val="0"/>
          <w:sz w:val="22"/>
          <w:szCs w:val="24"/>
          <w:lang w:eastAsia="x-none"/>
        </w:rPr>
        <w:t xml:space="preserve"> </w:t>
      </w:r>
      <w:r w:rsidRPr="00BF4AB8">
        <w:rPr>
          <w:b/>
          <w:bCs/>
          <w:snapToGrid w:val="0"/>
          <w:sz w:val="22"/>
          <w:szCs w:val="28"/>
          <w:lang w:eastAsia="x-none"/>
        </w:rPr>
        <w:tab/>
      </w:r>
      <w:proofErr w:type="spellStart"/>
      <w:r w:rsidRPr="00BF4AB8">
        <w:rPr>
          <w:b/>
          <w:bCs/>
          <w:snapToGrid w:val="0"/>
          <w:sz w:val="22"/>
          <w:szCs w:val="28"/>
          <w:lang w:eastAsia="x-none"/>
        </w:rPr>
        <w:t>Farmakodinaminės</w:t>
      </w:r>
      <w:proofErr w:type="spellEnd"/>
      <w:r w:rsidRPr="00BF4AB8">
        <w:rPr>
          <w:b/>
          <w:bCs/>
          <w:snapToGrid w:val="0"/>
          <w:sz w:val="22"/>
          <w:szCs w:val="28"/>
          <w:lang w:eastAsia="x-none"/>
        </w:rPr>
        <w:t xml:space="preserve"> savybės</w:t>
      </w:r>
    </w:p>
    <w:p w14:paraId="01C5D4B2" w14:textId="77777777" w:rsidR="005D554B" w:rsidRPr="00BF4AB8" w:rsidRDefault="005D554B" w:rsidP="005D554B">
      <w:pPr>
        <w:tabs>
          <w:tab w:val="left" w:pos="567"/>
        </w:tabs>
        <w:spacing w:line="260" w:lineRule="exact"/>
        <w:rPr>
          <w:snapToGrid w:val="0"/>
          <w:sz w:val="22"/>
          <w:szCs w:val="24"/>
        </w:rPr>
      </w:pPr>
    </w:p>
    <w:p w14:paraId="1BAFD8BE" w14:textId="31976F54" w:rsidR="00227F5B" w:rsidRPr="00BF4AB8" w:rsidRDefault="00227F5B" w:rsidP="00227F5B">
      <w:pPr>
        <w:ind w:right="-142"/>
        <w:rPr>
          <w:snapToGrid w:val="0"/>
          <w:sz w:val="22"/>
          <w:szCs w:val="24"/>
        </w:rPr>
      </w:pPr>
      <w:proofErr w:type="spellStart"/>
      <w:r w:rsidRPr="00BF4AB8">
        <w:rPr>
          <w:snapToGrid w:val="0"/>
          <w:sz w:val="22"/>
          <w:szCs w:val="24"/>
        </w:rPr>
        <w:lastRenderedPageBreak/>
        <w:t>Farmakoterapinė</w:t>
      </w:r>
      <w:proofErr w:type="spellEnd"/>
      <w:r w:rsidRPr="00BF4AB8">
        <w:rPr>
          <w:snapToGrid w:val="0"/>
          <w:sz w:val="22"/>
          <w:szCs w:val="24"/>
        </w:rPr>
        <w:t xml:space="preserve"> grupė ‒ </w:t>
      </w:r>
      <w:proofErr w:type="spellStart"/>
      <w:r w:rsidRPr="00BF4AB8">
        <w:rPr>
          <w:snapToGrid w:val="0"/>
          <w:sz w:val="22"/>
          <w:szCs w:val="24"/>
        </w:rPr>
        <w:t>antinavikiniai</w:t>
      </w:r>
      <w:proofErr w:type="spellEnd"/>
      <w:r w:rsidRPr="00BF4AB8">
        <w:rPr>
          <w:snapToGrid w:val="0"/>
          <w:sz w:val="22"/>
          <w:szCs w:val="24"/>
        </w:rPr>
        <w:t xml:space="preserve"> vaistiniai preparatai, </w:t>
      </w:r>
      <w:proofErr w:type="spellStart"/>
      <w:r w:rsidRPr="00BF4AB8">
        <w:rPr>
          <w:snapToGrid w:val="0"/>
          <w:sz w:val="22"/>
          <w:szCs w:val="24"/>
        </w:rPr>
        <w:t>proteinkinazės</w:t>
      </w:r>
      <w:proofErr w:type="spellEnd"/>
      <w:r w:rsidRPr="00BF4AB8">
        <w:rPr>
          <w:snapToGrid w:val="0"/>
          <w:sz w:val="22"/>
          <w:szCs w:val="24"/>
        </w:rPr>
        <w:t xml:space="preserve"> inhibitoriai, ATC kodas ‒ L01EX09.</w:t>
      </w:r>
    </w:p>
    <w:p w14:paraId="4845B67E" w14:textId="77777777" w:rsidR="00227F5B" w:rsidRPr="00BF4AB8" w:rsidRDefault="00227F5B" w:rsidP="00227F5B">
      <w:pPr>
        <w:ind w:right="-142"/>
        <w:rPr>
          <w:snapToGrid w:val="0"/>
          <w:sz w:val="22"/>
          <w:szCs w:val="24"/>
        </w:rPr>
      </w:pPr>
    </w:p>
    <w:p w14:paraId="441ABF19" w14:textId="77777777" w:rsidR="00227F5B" w:rsidRPr="00BF4AB8" w:rsidRDefault="00227F5B" w:rsidP="00227F5B">
      <w:pPr>
        <w:ind w:right="-142"/>
        <w:rPr>
          <w:snapToGrid w:val="0"/>
          <w:sz w:val="22"/>
          <w:szCs w:val="24"/>
          <w:u w:val="single"/>
        </w:rPr>
      </w:pPr>
      <w:r w:rsidRPr="00BF4AB8">
        <w:rPr>
          <w:snapToGrid w:val="0"/>
          <w:sz w:val="22"/>
          <w:szCs w:val="24"/>
          <w:u w:val="single"/>
        </w:rPr>
        <w:t>Veikimo mechanizmas</w:t>
      </w:r>
    </w:p>
    <w:p w14:paraId="25314D0C" w14:textId="1B5F7CA8" w:rsidR="00227F5B" w:rsidRPr="00BF4AB8" w:rsidRDefault="00227F5B" w:rsidP="00227F5B">
      <w:pPr>
        <w:ind w:right="-142"/>
        <w:rPr>
          <w:snapToGrid w:val="0"/>
          <w:sz w:val="22"/>
          <w:szCs w:val="24"/>
        </w:rPr>
      </w:pPr>
      <w:proofErr w:type="spellStart"/>
      <w:r w:rsidRPr="00BF4AB8">
        <w:rPr>
          <w:snapToGrid w:val="0"/>
          <w:sz w:val="22"/>
          <w:szCs w:val="24"/>
        </w:rPr>
        <w:t>Nintedanibas</w:t>
      </w:r>
      <w:proofErr w:type="spellEnd"/>
      <w:r w:rsidRPr="00BF4AB8">
        <w:rPr>
          <w:snapToGrid w:val="0"/>
          <w:sz w:val="22"/>
          <w:szCs w:val="24"/>
        </w:rPr>
        <w:t xml:space="preserve"> yra </w:t>
      </w:r>
      <w:r w:rsidR="00037BA1" w:rsidRPr="00BF4AB8">
        <w:rPr>
          <w:snapToGrid w:val="0"/>
          <w:sz w:val="22"/>
          <w:szCs w:val="24"/>
        </w:rPr>
        <w:t>trigubo poveikio</w:t>
      </w:r>
      <w:r w:rsidRPr="00BF4AB8">
        <w:rPr>
          <w:snapToGrid w:val="0"/>
          <w:sz w:val="22"/>
          <w:szCs w:val="24"/>
        </w:rPr>
        <w:t xml:space="preserve"> </w:t>
      </w:r>
      <w:proofErr w:type="spellStart"/>
      <w:r w:rsidRPr="00BF4AB8">
        <w:rPr>
          <w:snapToGrid w:val="0"/>
          <w:sz w:val="22"/>
          <w:szCs w:val="24"/>
        </w:rPr>
        <w:t>angiokinazės</w:t>
      </w:r>
      <w:proofErr w:type="spellEnd"/>
      <w:r w:rsidRPr="00BF4AB8">
        <w:rPr>
          <w:snapToGrid w:val="0"/>
          <w:sz w:val="22"/>
          <w:szCs w:val="24"/>
        </w:rPr>
        <w:t xml:space="preserve"> inhibitorius, kuris blokuoja kraujagyslių </w:t>
      </w:r>
      <w:proofErr w:type="spellStart"/>
      <w:r w:rsidRPr="00BF4AB8">
        <w:rPr>
          <w:snapToGrid w:val="0"/>
          <w:sz w:val="22"/>
          <w:szCs w:val="24"/>
        </w:rPr>
        <w:t>endotelio</w:t>
      </w:r>
      <w:proofErr w:type="spellEnd"/>
      <w:r w:rsidRPr="00BF4AB8">
        <w:rPr>
          <w:snapToGrid w:val="0"/>
          <w:sz w:val="22"/>
          <w:szCs w:val="24"/>
        </w:rPr>
        <w:t xml:space="preserve"> augimo</w:t>
      </w:r>
      <w:r w:rsidR="00037BA1" w:rsidRPr="00BF4AB8">
        <w:rPr>
          <w:snapToGrid w:val="0"/>
          <w:sz w:val="22"/>
          <w:szCs w:val="24"/>
        </w:rPr>
        <w:t xml:space="preserve"> </w:t>
      </w:r>
      <w:r w:rsidRPr="00BF4AB8">
        <w:rPr>
          <w:snapToGrid w:val="0"/>
          <w:sz w:val="22"/>
          <w:szCs w:val="24"/>
        </w:rPr>
        <w:t>faktoriaus receptorių (KEAFR 1-3), trombocitų augimo faktoriaus receptorių (TAFR α ir ß) ir</w:t>
      </w:r>
      <w:r w:rsidR="00037BA1" w:rsidRPr="00BF4AB8">
        <w:rPr>
          <w:snapToGrid w:val="0"/>
          <w:sz w:val="22"/>
          <w:szCs w:val="24"/>
        </w:rPr>
        <w:t xml:space="preserve"> </w:t>
      </w:r>
      <w:r w:rsidRPr="00BF4AB8">
        <w:rPr>
          <w:snapToGrid w:val="0"/>
          <w:sz w:val="22"/>
          <w:szCs w:val="24"/>
        </w:rPr>
        <w:t xml:space="preserve">fibroblastų augimo faktoriaus receptorių (FAFR 1-3) </w:t>
      </w:r>
      <w:proofErr w:type="spellStart"/>
      <w:r w:rsidRPr="00BF4AB8">
        <w:rPr>
          <w:snapToGrid w:val="0"/>
          <w:sz w:val="22"/>
          <w:szCs w:val="24"/>
        </w:rPr>
        <w:t>kinazės</w:t>
      </w:r>
      <w:proofErr w:type="spellEnd"/>
      <w:r w:rsidRPr="00BF4AB8">
        <w:rPr>
          <w:snapToGrid w:val="0"/>
          <w:sz w:val="22"/>
          <w:szCs w:val="24"/>
        </w:rPr>
        <w:t xml:space="preserve"> aktyvumą. </w:t>
      </w:r>
      <w:proofErr w:type="spellStart"/>
      <w:r w:rsidRPr="00BF4AB8">
        <w:rPr>
          <w:snapToGrid w:val="0"/>
          <w:sz w:val="22"/>
          <w:szCs w:val="24"/>
        </w:rPr>
        <w:t>Nintedanibas</w:t>
      </w:r>
      <w:proofErr w:type="spellEnd"/>
      <w:r w:rsidRPr="00BF4AB8">
        <w:rPr>
          <w:snapToGrid w:val="0"/>
          <w:sz w:val="22"/>
          <w:szCs w:val="24"/>
        </w:rPr>
        <w:t xml:space="preserve"> konkurenciniu</w:t>
      </w:r>
      <w:r w:rsidR="00037BA1" w:rsidRPr="00BF4AB8">
        <w:rPr>
          <w:snapToGrid w:val="0"/>
          <w:sz w:val="22"/>
          <w:szCs w:val="24"/>
        </w:rPr>
        <w:t xml:space="preserve"> </w:t>
      </w:r>
      <w:r w:rsidRPr="00BF4AB8">
        <w:rPr>
          <w:snapToGrid w:val="0"/>
          <w:sz w:val="22"/>
          <w:szCs w:val="24"/>
        </w:rPr>
        <w:t xml:space="preserve">būdu prisijungia prie šių receptorių </w:t>
      </w:r>
      <w:proofErr w:type="spellStart"/>
      <w:r w:rsidRPr="00BF4AB8">
        <w:rPr>
          <w:snapToGrid w:val="0"/>
          <w:sz w:val="22"/>
          <w:szCs w:val="24"/>
        </w:rPr>
        <w:t>adenozintrifosfato</w:t>
      </w:r>
      <w:proofErr w:type="spellEnd"/>
      <w:r w:rsidRPr="00BF4AB8">
        <w:rPr>
          <w:snapToGrid w:val="0"/>
          <w:sz w:val="22"/>
          <w:szCs w:val="24"/>
        </w:rPr>
        <w:t xml:space="preserve"> (ATF) prisijungimo vietos ir užblokuoja ląstelės</w:t>
      </w:r>
      <w:r w:rsidR="00037BA1" w:rsidRPr="00BF4AB8">
        <w:rPr>
          <w:snapToGrid w:val="0"/>
          <w:sz w:val="22"/>
          <w:szCs w:val="24"/>
        </w:rPr>
        <w:t xml:space="preserve"> </w:t>
      </w:r>
      <w:r w:rsidRPr="00BF4AB8">
        <w:rPr>
          <w:snapToGrid w:val="0"/>
          <w:sz w:val="22"/>
          <w:szCs w:val="24"/>
        </w:rPr>
        <w:t xml:space="preserve">viduje signalų perdavimą, kuris yra būtinas </w:t>
      </w:r>
      <w:proofErr w:type="spellStart"/>
      <w:r w:rsidRPr="00BF4AB8">
        <w:rPr>
          <w:snapToGrid w:val="0"/>
          <w:sz w:val="22"/>
          <w:szCs w:val="24"/>
        </w:rPr>
        <w:t>endotelio</w:t>
      </w:r>
      <w:proofErr w:type="spellEnd"/>
      <w:r w:rsidRPr="00BF4AB8">
        <w:rPr>
          <w:snapToGrid w:val="0"/>
          <w:sz w:val="22"/>
          <w:szCs w:val="24"/>
        </w:rPr>
        <w:t xml:space="preserve"> ir </w:t>
      </w:r>
      <w:proofErr w:type="spellStart"/>
      <w:r w:rsidRPr="00BF4AB8">
        <w:rPr>
          <w:snapToGrid w:val="0"/>
          <w:sz w:val="22"/>
          <w:szCs w:val="24"/>
        </w:rPr>
        <w:t>perivaskulinių</w:t>
      </w:r>
      <w:proofErr w:type="spellEnd"/>
      <w:r w:rsidRPr="00BF4AB8">
        <w:rPr>
          <w:snapToGrid w:val="0"/>
          <w:sz w:val="22"/>
          <w:szCs w:val="24"/>
        </w:rPr>
        <w:t xml:space="preserve"> ląstelių (</w:t>
      </w:r>
      <w:proofErr w:type="spellStart"/>
      <w:r w:rsidRPr="00BF4AB8">
        <w:rPr>
          <w:snapToGrid w:val="0"/>
          <w:sz w:val="22"/>
          <w:szCs w:val="24"/>
        </w:rPr>
        <w:t>pericitų</w:t>
      </w:r>
      <w:proofErr w:type="spellEnd"/>
      <w:r w:rsidRPr="00BF4AB8">
        <w:rPr>
          <w:snapToGrid w:val="0"/>
          <w:sz w:val="22"/>
          <w:szCs w:val="24"/>
        </w:rPr>
        <w:t xml:space="preserve"> ir kraujagyslių</w:t>
      </w:r>
      <w:r w:rsidR="00037BA1" w:rsidRPr="00BF4AB8">
        <w:rPr>
          <w:snapToGrid w:val="0"/>
          <w:sz w:val="22"/>
          <w:szCs w:val="24"/>
        </w:rPr>
        <w:t xml:space="preserve"> </w:t>
      </w:r>
      <w:r w:rsidRPr="00BF4AB8">
        <w:rPr>
          <w:snapToGrid w:val="0"/>
          <w:sz w:val="22"/>
          <w:szCs w:val="24"/>
        </w:rPr>
        <w:t xml:space="preserve">lygiųjų raumenų ląstelių) </w:t>
      </w:r>
      <w:proofErr w:type="spellStart"/>
      <w:r w:rsidRPr="00BF4AB8">
        <w:rPr>
          <w:snapToGrid w:val="0"/>
          <w:sz w:val="22"/>
          <w:szCs w:val="24"/>
        </w:rPr>
        <w:t>proliferacijai</w:t>
      </w:r>
      <w:proofErr w:type="spellEnd"/>
      <w:r w:rsidRPr="00BF4AB8">
        <w:rPr>
          <w:snapToGrid w:val="0"/>
          <w:sz w:val="22"/>
          <w:szCs w:val="24"/>
        </w:rPr>
        <w:t xml:space="preserve"> ir išlikimui. Be to nuslopinamos į </w:t>
      </w:r>
      <w:proofErr w:type="spellStart"/>
      <w:r w:rsidRPr="00BF4AB8">
        <w:rPr>
          <w:snapToGrid w:val="0"/>
          <w:sz w:val="22"/>
          <w:szCs w:val="24"/>
        </w:rPr>
        <w:t>Fms</w:t>
      </w:r>
      <w:proofErr w:type="spellEnd"/>
      <w:r w:rsidRPr="00BF4AB8">
        <w:rPr>
          <w:snapToGrid w:val="0"/>
          <w:sz w:val="22"/>
          <w:szCs w:val="24"/>
        </w:rPr>
        <w:t xml:space="preserve"> panaši </w:t>
      </w:r>
      <w:proofErr w:type="spellStart"/>
      <w:r w:rsidRPr="00BF4AB8">
        <w:rPr>
          <w:snapToGrid w:val="0"/>
          <w:sz w:val="22"/>
          <w:szCs w:val="24"/>
        </w:rPr>
        <w:t>tirozin-proteinkinzė</w:t>
      </w:r>
      <w:proofErr w:type="spellEnd"/>
      <w:r w:rsidRPr="00BF4AB8">
        <w:rPr>
          <w:snapToGrid w:val="0"/>
          <w:sz w:val="22"/>
          <w:szCs w:val="24"/>
        </w:rPr>
        <w:t xml:space="preserve"> (</w:t>
      </w:r>
      <w:proofErr w:type="spellStart"/>
      <w:r w:rsidRPr="00BF4AB8">
        <w:rPr>
          <w:snapToGrid w:val="0"/>
          <w:sz w:val="22"/>
          <w:szCs w:val="24"/>
        </w:rPr>
        <w:t>Flt</w:t>
      </w:r>
      <w:proofErr w:type="spellEnd"/>
      <w:r w:rsidRPr="00BF4AB8">
        <w:rPr>
          <w:snapToGrid w:val="0"/>
          <w:sz w:val="22"/>
          <w:szCs w:val="24"/>
        </w:rPr>
        <w:t xml:space="preserve">)-3, specifinė limfocitų </w:t>
      </w:r>
      <w:proofErr w:type="spellStart"/>
      <w:r w:rsidRPr="00BF4AB8">
        <w:rPr>
          <w:snapToGrid w:val="0"/>
          <w:sz w:val="22"/>
          <w:szCs w:val="24"/>
        </w:rPr>
        <w:t>tirozin</w:t>
      </w:r>
      <w:proofErr w:type="spellEnd"/>
      <w:r w:rsidRPr="00BF4AB8">
        <w:rPr>
          <w:snapToGrid w:val="0"/>
          <w:sz w:val="22"/>
          <w:szCs w:val="24"/>
        </w:rPr>
        <w:t xml:space="preserve">- </w:t>
      </w:r>
      <w:proofErr w:type="spellStart"/>
      <w:r w:rsidRPr="00BF4AB8">
        <w:rPr>
          <w:snapToGrid w:val="0"/>
          <w:sz w:val="22"/>
          <w:szCs w:val="24"/>
        </w:rPr>
        <w:t>proteinkinazė</w:t>
      </w:r>
      <w:proofErr w:type="spellEnd"/>
      <w:r w:rsidRPr="00BF4AB8">
        <w:rPr>
          <w:snapToGrid w:val="0"/>
          <w:sz w:val="22"/>
          <w:szCs w:val="24"/>
        </w:rPr>
        <w:t xml:space="preserve"> (</w:t>
      </w:r>
      <w:proofErr w:type="spellStart"/>
      <w:r w:rsidRPr="00BF4AB8">
        <w:rPr>
          <w:snapToGrid w:val="0"/>
          <w:sz w:val="22"/>
          <w:szCs w:val="24"/>
        </w:rPr>
        <w:t>Lck</w:t>
      </w:r>
      <w:proofErr w:type="spellEnd"/>
      <w:r w:rsidRPr="00BF4AB8">
        <w:rPr>
          <w:snapToGrid w:val="0"/>
          <w:sz w:val="22"/>
          <w:szCs w:val="24"/>
        </w:rPr>
        <w:t>) ir proto-</w:t>
      </w:r>
      <w:proofErr w:type="spellStart"/>
      <w:r w:rsidRPr="00BF4AB8">
        <w:rPr>
          <w:snapToGrid w:val="0"/>
          <w:sz w:val="22"/>
          <w:szCs w:val="24"/>
        </w:rPr>
        <w:t>onkogeno</w:t>
      </w:r>
      <w:proofErr w:type="spellEnd"/>
      <w:r w:rsidRPr="00BF4AB8">
        <w:rPr>
          <w:snapToGrid w:val="0"/>
          <w:sz w:val="22"/>
          <w:szCs w:val="24"/>
        </w:rPr>
        <w:t xml:space="preserve"> </w:t>
      </w:r>
      <w:proofErr w:type="spellStart"/>
      <w:r w:rsidRPr="00BF4AB8">
        <w:rPr>
          <w:snapToGrid w:val="0"/>
          <w:sz w:val="22"/>
          <w:szCs w:val="24"/>
        </w:rPr>
        <w:t>tirozin-proteinkinazė</w:t>
      </w:r>
      <w:proofErr w:type="spellEnd"/>
      <w:r w:rsidRPr="00BF4AB8">
        <w:rPr>
          <w:snapToGrid w:val="0"/>
          <w:sz w:val="22"/>
          <w:szCs w:val="24"/>
        </w:rPr>
        <w:t xml:space="preserve"> </w:t>
      </w:r>
      <w:proofErr w:type="spellStart"/>
      <w:r w:rsidRPr="00BF4AB8">
        <w:rPr>
          <w:snapToGrid w:val="0"/>
          <w:sz w:val="22"/>
          <w:szCs w:val="24"/>
        </w:rPr>
        <w:t>Src</w:t>
      </w:r>
      <w:proofErr w:type="spellEnd"/>
      <w:r w:rsidRPr="00BF4AB8">
        <w:rPr>
          <w:snapToGrid w:val="0"/>
          <w:sz w:val="22"/>
          <w:szCs w:val="24"/>
        </w:rPr>
        <w:t xml:space="preserve"> (</w:t>
      </w:r>
      <w:proofErr w:type="spellStart"/>
      <w:r w:rsidRPr="00BF4AB8">
        <w:rPr>
          <w:snapToGrid w:val="0"/>
          <w:sz w:val="22"/>
          <w:szCs w:val="24"/>
        </w:rPr>
        <w:t>Src</w:t>
      </w:r>
      <w:proofErr w:type="spellEnd"/>
      <w:r w:rsidRPr="00BF4AB8">
        <w:rPr>
          <w:snapToGrid w:val="0"/>
          <w:sz w:val="22"/>
          <w:szCs w:val="24"/>
        </w:rPr>
        <w:t>).</w:t>
      </w:r>
    </w:p>
    <w:p w14:paraId="71CCBCD1" w14:textId="77777777" w:rsidR="00037BA1" w:rsidRPr="00BF4AB8" w:rsidRDefault="00037BA1" w:rsidP="00227F5B">
      <w:pPr>
        <w:ind w:right="-142"/>
        <w:rPr>
          <w:snapToGrid w:val="0"/>
          <w:sz w:val="22"/>
          <w:szCs w:val="24"/>
        </w:rPr>
      </w:pPr>
    </w:p>
    <w:p w14:paraId="6F658439" w14:textId="1E5D0670" w:rsidR="00227F5B" w:rsidRPr="00BF4AB8" w:rsidRDefault="00227F5B" w:rsidP="00227F5B">
      <w:pPr>
        <w:ind w:right="-142"/>
        <w:rPr>
          <w:snapToGrid w:val="0"/>
          <w:sz w:val="22"/>
          <w:szCs w:val="24"/>
          <w:u w:val="single"/>
        </w:rPr>
      </w:pPr>
      <w:proofErr w:type="spellStart"/>
      <w:r w:rsidRPr="00BF4AB8">
        <w:rPr>
          <w:snapToGrid w:val="0"/>
          <w:sz w:val="22"/>
          <w:szCs w:val="24"/>
          <w:u w:val="single"/>
        </w:rPr>
        <w:t>Farmakodinaminis</w:t>
      </w:r>
      <w:proofErr w:type="spellEnd"/>
      <w:r w:rsidRPr="00BF4AB8">
        <w:rPr>
          <w:snapToGrid w:val="0"/>
          <w:sz w:val="22"/>
          <w:szCs w:val="24"/>
          <w:u w:val="single"/>
        </w:rPr>
        <w:t xml:space="preserve"> poveikis</w:t>
      </w:r>
    </w:p>
    <w:p w14:paraId="748B2488" w14:textId="2DC2DAA5" w:rsidR="00227F5B" w:rsidRPr="00BF4AB8" w:rsidRDefault="00227F5B" w:rsidP="00227F5B">
      <w:pPr>
        <w:ind w:right="-142"/>
        <w:rPr>
          <w:snapToGrid w:val="0"/>
          <w:sz w:val="22"/>
          <w:szCs w:val="24"/>
        </w:rPr>
      </w:pPr>
      <w:r w:rsidRPr="00BF4AB8">
        <w:rPr>
          <w:snapToGrid w:val="0"/>
          <w:sz w:val="22"/>
          <w:szCs w:val="24"/>
        </w:rPr>
        <w:t xml:space="preserve">Naviko </w:t>
      </w:r>
      <w:proofErr w:type="spellStart"/>
      <w:r w:rsidRPr="00BF4AB8">
        <w:rPr>
          <w:snapToGrid w:val="0"/>
          <w:sz w:val="22"/>
          <w:szCs w:val="24"/>
        </w:rPr>
        <w:t>angiogenezė</w:t>
      </w:r>
      <w:proofErr w:type="spellEnd"/>
      <w:r w:rsidRPr="00BF4AB8">
        <w:rPr>
          <w:snapToGrid w:val="0"/>
          <w:sz w:val="22"/>
          <w:szCs w:val="24"/>
        </w:rPr>
        <w:t xml:space="preserve"> yra </w:t>
      </w:r>
      <w:r w:rsidR="00037BA1" w:rsidRPr="00BF4AB8">
        <w:rPr>
          <w:snapToGrid w:val="0"/>
          <w:sz w:val="22"/>
          <w:szCs w:val="24"/>
        </w:rPr>
        <w:t>pagrindinė</w:t>
      </w:r>
      <w:r w:rsidRPr="00BF4AB8">
        <w:rPr>
          <w:snapToGrid w:val="0"/>
          <w:sz w:val="22"/>
          <w:szCs w:val="24"/>
        </w:rPr>
        <w:t xml:space="preserve"> savybė, nuo kurios priklauso naviko augimas, progresavimas ir</w:t>
      </w:r>
      <w:r w:rsidR="00037BA1" w:rsidRPr="00BF4AB8">
        <w:rPr>
          <w:snapToGrid w:val="0"/>
          <w:sz w:val="22"/>
          <w:szCs w:val="24"/>
        </w:rPr>
        <w:t xml:space="preserve"> </w:t>
      </w:r>
      <w:r w:rsidRPr="00BF4AB8">
        <w:rPr>
          <w:snapToGrid w:val="0"/>
          <w:sz w:val="22"/>
          <w:szCs w:val="24"/>
        </w:rPr>
        <w:t xml:space="preserve">metastazių formavimasis. </w:t>
      </w:r>
      <w:proofErr w:type="spellStart"/>
      <w:r w:rsidRPr="00BF4AB8">
        <w:rPr>
          <w:snapToGrid w:val="0"/>
          <w:sz w:val="22"/>
          <w:szCs w:val="24"/>
        </w:rPr>
        <w:t>Angiogenezę</w:t>
      </w:r>
      <w:proofErr w:type="spellEnd"/>
      <w:r w:rsidRPr="00BF4AB8">
        <w:rPr>
          <w:snapToGrid w:val="0"/>
          <w:sz w:val="22"/>
          <w:szCs w:val="24"/>
        </w:rPr>
        <w:t xml:space="preserve"> daugiausiai sukelia atsipalaidavę </w:t>
      </w:r>
      <w:proofErr w:type="spellStart"/>
      <w:r w:rsidRPr="00BF4AB8">
        <w:rPr>
          <w:snapToGrid w:val="0"/>
          <w:sz w:val="22"/>
          <w:szCs w:val="24"/>
        </w:rPr>
        <w:t>proangiogeneziniai</w:t>
      </w:r>
      <w:proofErr w:type="spellEnd"/>
      <w:r w:rsidRPr="00BF4AB8">
        <w:rPr>
          <w:snapToGrid w:val="0"/>
          <w:sz w:val="22"/>
          <w:szCs w:val="24"/>
        </w:rPr>
        <w:t xml:space="preserve"> faktoriai,</w:t>
      </w:r>
      <w:r w:rsidR="00037BA1" w:rsidRPr="00BF4AB8">
        <w:rPr>
          <w:snapToGrid w:val="0"/>
          <w:sz w:val="22"/>
          <w:szCs w:val="24"/>
        </w:rPr>
        <w:t xml:space="preserve"> </w:t>
      </w:r>
      <w:r w:rsidRPr="00BF4AB8">
        <w:rPr>
          <w:snapToGrid w:val="0"/>
          <w:sz w:val="22"/>
          <w:szCs w:val="24"/>
        </w:rPr>
        <w:t xml:space="preserve">kuriuos išskiria naviko ląstelės (t. y. KEAF ir </w:t>
      </w:r>
      <w:proofErr w:type="spellStart"/>
      <w:r w:rsidRPr="00BF4AB8">
        <w:rPr>
          <w:snapToGrid w:val="0"/>
          <w:sz w:val="22"/>
          <w:szCs w:val="24"/>
        </w:rPr>
        <w:t>bFAF</w:t>
      </w:r>
      <w:proofErr w:type="spellEnd"/>
      <w:r w:rsidRPr="00BF4AB8">
        <w:rPr>
          <w:snapToGrid w:val="0"/>
          <w:sz w:val="22"/>
          <w:szCs w:val="24"/>
        </w:rPr>
        <w:t>)</w:t>
      </w:r>
      <w:r w:rsidR="00037BA1" w:rsidRPr="00BF4AB8">
        <w:rPr>
          <w:snapToGrid w:val="0"/>
          <w:sz w:val="22"/>
          <w:szCs w:val="24"/>
        </w:rPr>
        <w:t xml:space="preserve"> ir</w:t>
      </w:r>
      <w:r w:rsidRPr="00BF4AB8">
        <w:rPr>
          <w:snapToGrid w:val="0"/>
          <w:sz w:val="22"/>
          <w:szCs w:val="24"/>
        </w:rPr>
        <w:t xml:space="preserve"> kurie pritraukia šeimininko </w:t>
      </w:r>
      <w:proofErr w:type="spellStart"/>
      <w:r w:rsidRPr="00BF4AB8">
        <w:rPr>
          <w:snapToGrid w:val="0"/>
          <w:sz w:val="22"/>
          <w:szCs w:val="24"/>
        </w:rPr>
        <w:t>endotelio</w:t>
      </w:r>
      <w:proofErr w:type="spellEnd"/>
      <w:r w:rsidRPr="00BF4AB8">
        <w:rPr>
          <w:snapToGrid w:val="0"/>
          <w:sz w:val="22"/>
          <w:szCs w:val="24"/>
        </w:rPr>
        <w:t xml:space="preserve"> ir</w:t>
      </w:r>
      <w:r w:rsidR="00037BA1" w:rsidRPr="00BF4AB8">
        <w:rPr>
          <w:snapToGrid w:val="0"/>
          <w:sz w:val="22"/>
          <w:szCs w:val="24"/>
        </w:rPr>
        <w:t xml:space="preserve"> </w:t>
      </w:r>
      <w:proofErr w:type="spellStart"/>
      <w:r w:rsidRPr="00BF4AB8">
        <w:rPr>
          <w:snapToGrid w:val="0"/>
          <w:sz w:val="22"/>
          <w:szCs w:val="24"/>
        </w:rPr>
        <w:t>perivaskulines</w:t>
      </w:r>
      <w:proofErr w:type="spellEnd"/>
      <w:r w:rsidRPr="00BF4AB8">
        <w:rPr>
          <w:snapToGrid w:val="0"/>
          <w:sz w:val="22"/>
          <w:szCs w:val="24"/>
        </w:rPr>
        <w:t xml:space="preserve"> ląsteles, kad palengvintų deguonies ir maitinamųjų medžiagų pristatymą šeimininko</w:t>
      </w:r>
      <w:r w:rsidR="00037BA1" w:rsidRPr="00BF4AB8">
        <w:rPr>
          <w:snapToGrid w:val="0"/>
          <w:sz w:val="22"/>
          <w:szCs w:val="24"/>
        </w:rPr>
        <w:t xml:space="preserve"> </w:t>
      </w:r>
      <w:r w:rsidRPr="00BF4AB8">
        <w:rPr>
          <w:snapToGrid w:val="0"/>
          <w:sz w:val="22"/>
          <w:szCs w:val="24"/>
        </w:rPr>
        <w:t xml:space="preserve">kraujagyslių sistema. </w:t>
      </w:r>
      <w:proofErr w:type="spellStart"/>
      <w:r w:rsidRPr="00BF4AB8">
        <w:rPr>
          <w:snapToGrid w:val="0"/>
          <w:sz w:val="22"/>
          <w:szCs w:val="24"/>
        </w:rPr>
        <w:t>Ikiklinikiniuose</w:t>
      </w:r>
      <w:proofErr w:type="spellEnd"/>
      <w:r w:rsidRPr="00BF4AB8">
        <w:rPr>
          <w:snapToGrid w:val="0"/>
          <w:sz w:val="22"/>
          <w:szCs w:val="24"/>
        </w:rPr>
        <w:t xml:space="preserve"> ligos modeliuose </w:t>
      </w:r>
      <w:proofErr w:type="spellStart"/>
      <w:r w:rsidRPr="00BF4AB8">
        <w:rPr>
          <w:snapToGrid w:val="0"/>
          <w:sz w:val="22"/>
          <w:szCs w:val="24"/>
        </w:rPr>
        <w:t>nintedanibas</w:t>
      </w:r>
      <w:proofErr w:type="spellEnd"/>
      <w:r w:rsidRPr="00BF4AB8">
        <w:rPr>
          <w:snapToGrid w:val="0"/>
          <w:sz w:val="22"/>
          <w:szCs w:val="24"/>
        </w:rPr>
        <w:t>, kaip vienintelis vaistinis</w:t>
      </w:r>
      <w:r w:rsidR="00037BA1" w:rsidRPr="00BF4AB8">
        <w:rPr>
          <w:snapToGrid w:val="0"/>
          <w:sz w:val="22"/>
          <w:szCs w:val="24"/>
        </w:rPr>
        <w:t xml:space="preserve"> </w:t>
      </w:r>
      <w:r w:rsidRPr="00BF4AB8">
        <w:rPr>
          <w:snapToGrid w:val="0"/>
          <w:sz w:val="22"/>
          <w:szCs w:val="24"/>
        </w:rPr>
        <w:t>preparatas, veiksmingai trukdė naviko kraujagyslių sistemai susidaryti ir ją palaikyti, dėl to buvo</w:t>
      </w:r>
      <w:r w:rsidR="00037BA1" w:rsidRPr="00BF4AB8">
        <w:rPr>
          <w:snapToGrid w:val="0"/>
          <w:sz w:val="22"/>
          <w:szCs w:val="24"/>
        </w:rPr>
        <w:t xml:space="preserve"> </w:t>
      </w:r>
      <w:r w:rsidRPr="00BF4AB8">
        <w:rPr>
          <w:snapToGrid w:val="0"/>
          <w:sz w:val="22"/>
          <w:szCs w:val="24"/>
        </w:rPr>
        <w:t xml:space="preserve">slopinamas naviko augimas ir </w:t>
      </w:r>
      <w:r w:rsidR="00037BA1" w:rsidRPr="00BF4AB8">
        <w:rPr>
          <w:snapToGrid w:val="0"/>
          <w:sz w:val="22"/>
          <w:szCs w:val="24"/>
        </w:rPr>
        <w:t>atsirado jo stazė</w:t>
      </w:r>
      <w:r w:rsidRPr="00BF4AB8">
        <w:rPr>
          <w:snapToGrid w:val="0"/>
          <w:sz w:val="22"/>
          <w:szCs w:val="24"/>
        </w:rPr>
        <w:t xml:space="preserve">. Ypač </w:t>
      </w:r>
      <w:proofErr w:type="spellStart"/>
      <w:r w:rsidR="00037BA1" w:rsidRPr="00BF4AB8">
        <w:rPr>
          <w:snapToGrid w:val="0"/>
          <w:sz w:val="22"/>
          <w:szCs w:val="24"/>
        </w:rPr>
        <w:t>nintedanibu</w:t>
      </w:r>
      <w:proofErr w:type="spellEnd"/>
      <w:r w:rsidR="00037BA1" w:rsidRPr="00BF4AB8">
        <w:rPr>
          <w:snapToGrid w:val="0"/>
          <w:sz w:val="22"/>
          <w:szCs w:val="24"/>
        </w:rPr>
        <w:t xml:space="preserve"> veikiant</w:t>
      </w:r>
      <w:r w:rsidRPr="00BF4AB8">
        <w:rPr>
          <w:snapToGrid w:val="0"/>
          <w:sz w:val="22"/>
          <w:szCs w:val="24"/>
        </w:rPr>
        <w:t xml:space="preserve"> naviko </w:t>
      </w:r>
      <w:proofErr w:type="spellStart"/>
      <w:r w:rsidRPr="00BF4AB8">
        <w:rPr>
          <w:snapToGrid w:val="0"/>
          <w:sz w:val="22"/>
          <w:szCs w:val="24"/>
        </w:rPr>
        <w:t>ksenotransplantatus</w:t>
      </w:r>
      <w:proofErr w:type="spellEnd"/>
      <w:r w:rsidRPr="00BF4AB8">
        <w:rPr>
          <w:snapToGrid w:val="0"/>
          <w:sz w:val="22"/>
          <w:szCs w:val="24"/>
        </w:rPr>
        <w:t xml:space="preserve"> greitai sumažėjo naviko </w:t>
      </w:r>
      <w:proofErr w:type="spellStart"/>
      <w:r w:rsidRPr="00BF4AB8">
        <w:rPr>
          <w:snapToGrid w:val="0"/>
          <w:sz w:val="22"/>
          <w:szCs w:val="24"/>
        </w:rPr>
        <w:t>mikrokraujagyslių</w:t>
      </w:r>
      <w:proofErr w:type="spellEnd"/>
      <w:r w:rsidRPr="00BF4AB8">
        <w:rPr>
          <w:snapToGrid w:val="0"/>
          <w:sz w:val="22"/>
          <w:szCs w:val="24"/>
        </w:rPr>
        <w:t xml:space="preserve"> tankis, kraujagyslių </w:t>
      </w:r>
      <w:proofErr w:type="spellStart"/>
      <w:r w:rsidRPr="00BF4AB8">
        <w:rPr>
          <w:snapToGrid w:val="0"/>
          <w:sz w:val="22"/>
          <w:szCs w:val="24"/>
        </w:rPr>
        <w:t>pericitinis</w:t>
      </w:r>
      <w:proofErr w:type="spellEnd"/>
      <w:r w:rsidRPr="00BF4AB8">
        <w:rPr>
          <w:snapToGrid w:val="0"/>
          <w:sz w:val="22"/>
          <w:szCs w:val="24"/>
        </w:rPr>
        <w:t xml:space="preserve"> dangalas ir naviko </w:t>
      </w:r>
      <w:proofErr w:type="spellStart"/>
      <w:r w:rsidRPr="00BF4AB8">
        <w:rPr>
          <w:snapToGrid w:val="0"/>
          <w:sz w:val="22"/>
          <w:szCs w:val="24"/>
        </w:rPr>
        <w:t>perfuzija</w:t>
      </w:r>
      <w:proofErr w:type="spellEnd"/>
      <w:r w:rsidRPr="00BF4AB8">
        <w:rPr>
          <w:snapToGrid w:val="0"/>
          <w:sz w:val="22"/>
          <w:szCs w:val="24"/>
        </w:rPr>
        <w:t>.</w:t>
      </w:r>
    </w:p>
    <w:p w14:paraId="4AE677C9" w14:textId="77777777" w:rsidR="00037BA1" w:rsidRPr="00BF4AB8" w:rsidRDefault="00037BA1" w:rsidP="00227F5B">
      <w:pPr>
        <w:ind w:right="-142"/>
        <w:rPr>
          <w:snapToGrid w:val="0"/>
          <w:sz w:val="22"/>
          <w:szCs w:val="24"/>
        </w:rPr>
      </w:pPr>
    </w:p>
    <w:p w14:paraId="33293DBD" w14:textId="1BDB389C" w:rsidR="0072061D" w:rsidRPr="00BF4AB8" w:rsidRDefault="00227F5B" w:rsidP="00227F5B">
      <w:pPr>
        <w:ind w:right="-142"/>
        <w:rPr>
          <w:snapToGrid w:val="0"/>
          <w:sz w:val="22"/>
          <w:szCs w:val="24"/>
        </w:rPr>
      </w:pPr>
      <w:r w:rsidRPr="00BF4AB8">
        <w:rPr>
          <w:snapToGrid w:val="0"/>
          <w:sz w:val="22"/>
          <w:szCs w:val="24"/>
        </w:rPr>
        <w:t>Dinaminiu kontrastu sustiprinto magnetinio rezonanso tyrimo (</w:t>
      </w:r>
      <w:r w:rsidR="0072061D" w:rsidRPr="00BF4AB8">
        <w:rPr>
          <w:snapToGrid w:val="0"/>
          <w:sz w:val="22"/>
          <w:szCs w:val="24"/>
        </w:rPr>
        <w:t xml:space="preserve">angl. </w:t>
      </w:r>
      <w:proofErr w:type="spellStart"/>
      <w:r w:rsidR="0072061D" w:rsidRPr="00BF4AB8">
        <w:rPr>
          <w:i/>
          <w:iCs/>
          <w:snapToGrid w:val="0"/>
          <w:sz w:val="22"/>
          <w:szCs w:val="24"/>
        </w:rPr>
        <w:t>Dynamic</w:t>
      </w:r>
      <w:proofErr w:type="spellEnd"/>
      <w:r w:rsidR="0072061D" w:rsidRPr="00BF4AB8">
        <w:rPr>
          <w:i/>
          <w:iCs/>
          <w:snapToGrid w:val="0"/>
          <w:sz w:val="22"/>
          <w:szCs w:val="24"/>
        </w:rPr>
        <w:t xml:space="preserve"> </w:t>
      </w:r>
      <w:proofErr w:type="spellStart"/>
      <w:r w:rsidR="0072061D" w:rsidRPr="00BF4AB8">
        <w:rPr>
          <w:i/>
          <w:iCs/>
          <w:snapToGrid w:val="0"/>
          <w:sz w:val="22"/>
          <w:szCs w:val="24"/>
        </w:rPr>
        <w:t>contrast</w:t>
      </w:r>
      <w:proofErr w:type="spellEnd"/>
      <w:r w:rsidR="0072061D" w:rsidRPr="00BF4AB8">
        <w:rPr>
          <w:i/>
          <w:iCs/>
          <w:snapToGrid w:val="0"/>
          <w:sz w:val="22"/>
          <w:szCs w:val="24"/>
        </w:rPr>
        <w:t xml:space="preserve"> </w:t>
      </w:r>
      <w:proofErr w:type="spellStart"/>
      <w:r w:rsidR="0072061D" w:rsidRPr="00BF4AB8">
        <w:rPr>
          <w:i/>
          <w:iCs/>
          <w:snapToGrid w:val="0"/>
          <w:sz w:val="22"/>
          <w:szCs w:val="24"/>
        </w:rPr>
        <w:t>enhanced</w:t>
      </w:r>
      <w:proofErr w:type="spellEnd"/>
      <w:r w:rsidR="0072061D" w:rsidRPr="00BF4AB8">
        <w:rPr>
          <w:i/>
          <w:iCs/>
          <w:snapToGrid w:val="0"/>
          <w:sz w:val="22"/>
          <w:szCs w:val="24"/>
        </w:rPr>
        <w:t xml:space="preserve"> </w:t>
      </w:r>
      <w:proofErr w:type="spellStart"/>
      <w:r w:rsidR="0072061D" w:rsidRPr="00BF4AB8">
        <w:rPr>
          <w:i/>
          <w:iCs/>
          <w:snapToGrid w:val="0"/>
          <w:sz w:val="22"/>
          <w:szCs w:val="24"/>
        </w:rPr>
        <w:t>magnetic</w:t>
      </w:r>
      <w:proofErr w:type="spellEnd"/>
      <w:r w:rsidR="0072061D" w:rsidRPr="00BF4AB8">
        <w:rPr>
          <w:i/>
          <w:iCs/>
          <w:snapToGrid w:val="0"/>
          <w:sz w:val="22"/>
          <w:szCs w:val="24"/>
        </w:rPr>
        <w:t xml:space="preserve"> </w:t>
      </w:r>
      <w:proofErr w:type="spellStart"/>
      <w:r w:rsidR="0072061D" w:rsidRPr="00BF4AB8">
        <w:rPr>
          <w:i/>
          <w:iCs/>
          <w:snapToGrid w:val="0"/>
          <w:sz w:val="22"/>
          <w:szCs w:val="24"/>
        </w:rPr>
        <w:t>resonance</w:t>
      </w:r>
      <w:proofErr w:type="spellEnd"/>
      <w:r w:rsidR="0072061D" w:rsidRPr="00BF4AB8">
        <w:rPr>
          <w:i/>
          <w:iCs/>
          <w:snapToGrid w:val="0"/>
          <w:sz w:val="22"/>
          <w:szCs w:val="24"/>
        </w:rPr>
        <w:t xml:space="preserve"> </w:t>
      </w:r>
      <w:proofErr w:type="spellStart"/>
      <w:r w:rsidR="0072061D" w:rsidRPr="00BF4AB8">
        <w:rPr>
          <w:i/>
          <w:iCs/>
          <w:snapToGrid w:val="0"/>
          <w:sz w:val="22"/>
          <w:szCs w:val="24"/>
        </w:rPr>
        <w:t>imaging</w:t>
      </w:r>
      <w:proofErr w:type="spellEnd"/>
      <w:r w:rsidR="0072061D" w:rsidRPr="00BF4AB8">
        <w:rPr>
          <w:snapToGrid w:val="0"/>
          <w:sz w:val="22"/>
          <w:szCs w:val="24"/>
        </w:rPr>
        <w:t xml:space="preserve">, </w:t>
      </w:r>
      <w:r w:rsidRPr="00BF4AB8">
        <w:rPr>
          <w:snapToGrid w:val="0"/>
          <w:sz w:val="22"/>
          <w:szCs w:val="24"/>
        </w:rPr>
        <w:t>DCE-MRT) rezultatai rodo</w:t>
      </w:r>
      <w:r w:rsidR="0072061D" w:rsidRPr="00BF4AB8">
        <w:rPr>
          <w:snapToGrid w:val="0"/>
          <w:sz w:val="22"/>
          <w:szCs w:val="24"/>
        </w:rPr>
        <w:t xml:space="preserve"> </w:t>
      </w:r>
      <w:proofErr w:type="spellStart"/>
      <w:r w:rsidRPr="00BF4AB8">
        <w:rPr>
          <w:snapToGrid w:val="0"/>
          <w:sz w:val="22"/>
          <w:szCs w:val="24"/>
        </w:rPr>
        <w:t>antiangiogenezinį</w:t>
      </w:r>
      <w:proofErr w:type="spellEnd"/>
      <w:r w:rsidRPr="00BF4AB8">
        <w:rPr>
          <w:snapToGrid w:val="0"/>
          <w:sz w:val="22"/>
          <w:szCs w:val="24"/>
        </w:rPr>
        <w:t xml:space="preserve"> </w:t>
      </w:r>
      <w:proofErr w:type="spellStart"/>
      <w:r w:rsidRPr="00BF4AB8">
        <w:rPr>
          <w:snapToGrid w:val="0"/>
          <w:sz w:val="22"/>
          <w:szCs w:val="24"/>
        </w:rPr>
        <w:t>nintedanibo</w:t>
      </w:r>
      <w:proofErr w:type="spellEnd"/>
      <w:r w:rsidRPr="00BF4AB8">
        <w:rPr>
          <w:snapToGrid w:val="0"/>
          <w:sz w:val="22"/>
          <w:szCs w:val="24"/>
        </w:rPr>
        <w:t xml:space="preserve"> poveikį žmonėms. Jis nebuvo aiškiai priklausomas nuo dozės, bet</w:t>
      </w:r>
      <w:r w:rsidR="0072061D" w:rsidRPr="00BF4AB8">
        <w:rPr>
          <w:snapToGrid w:val="0"/>
          <w:sz w:val="22"/>
          <w:szCs w:val="24"/>
        </w:rPr>
        <w:t xml:space="preserve"> stipriausią atsaką sukėlė</w:t>
      </w:r>
      <w:r w:rsidRPr="00BF4AB8">
        <w:rPr>
          <w:snapToGrid w:val="0"/>
          <w:sz w:val="22"/>
          <w:szCs w:val="24"/>
        </w:rPr>
        <w:t xml:space="preserve"> ≥</w:t>
      </w:r>
      <w:r w:rsidR="0072061D" w:rsidRPr="00BF4AB8">
        <w:rPr>
          <w:snapToGrid w:val="0"/>
          <w:sz w:val="22"/>
          <w:szCs w:val="24"/>
        </w:rPr>
        <w:t> </w:t>
      </w:r>
      <w:r w:rsidRPr="00BF4AB8">
        <w:rPr>
          <w:snapToGrid w:val="0"/>
          <w:sz w:val="22"/>
          <w:szCs w:val="24"/>
        </w:rPr>
        <w:t>200</w:t>
      </w:r>
      <w:r w:rsidR="00AC48E9" w:rsidRPr="00BF4AB8">
        <w:rPr>
          <w:snapToGrid w:val="0"/>
          <w:sz w:val="22"/>
          <w:szCs w:val="24"/>
        </w:rPr>
        <w:t> mg</w:t>
      </w:r>
      <w:r w:rsidRPr="00BF4AB8">
        <w:rPr>
          <w:snapToGrid w:val="0"/>
          <w:sz w:val="22"/>
          <w:szCs w:val="24"/>
        </w:rPr>
        <w:t xml:space="preserve"> doz</w:t>
      </w:r>
      <w:r w:rsidR="0072061D" w:rsidRPr="00BF4AB8">
        <w:rPr>
          <w:snapToGrid w:val="0"/>
          <w:sz w:val="22"/>
          <w:szCs w:val="24"/>
        </w:rPr>
        <w:t>ės</w:t>
      </w:r>
      <w:r w:rsidRPr="00BF4AB8">
        <w:rPr>
          <w:snapToGrid w:val="0"/>
          <w:sz w:val="22"/>
          <w:szCs w:val="24"/>
        </w:rPr>
        <w:t>. Logistinė regresija atskleidė</w:t>
      </w:r>
      <w:r w:rsidR="0072061D" w:rsidRPr="00BF4AB8">
        <w:rPr>
          <w:snapToGrid w:val="0"/>
          <w:sz w:val="22"/>
          <w:szCs w:val="24"/>
        </w:rPr>
        <w:t xml:space="preserve"> </w:t>
      </w:r>
      <w:r w:rsidRPr="00BF4AB8">
        <w:rPr>
          <w:snapToGrid w:val="0"/>
          <w:sz w:val="22"/>
          <w:szCs w:val="24"/>
        </w:rPr>
        <w:t xml:space="preserve">statistiškai reikšmingą ryšį tarp </w:t>
      </w:r>
      <w:proofErr w:type="spellStart"/>
      <w:r w:rsidRPr="00BF4AB8">
        <w:rPr>
          <w:snapToGrid w:val="0"/>
          <w:sz w:val="22"/>
          <w:szCs w:val="24"/>
        </w:rPr>
        <w:t>antiangiogenezinio</w:t>
      </w:r>
      <w:proofErr w:type="spellEnd"/>
      <w:r w:rsidRPr="00BF4AB8">
        <w:rPr>
          <w:snapToGrid w:val="0"/>
          <w:sz w:val="22"/>
          <w:szCs w:val="24"/>
        </w:rPr>
        <w:t xml:space="preserve"> poveikio ir </w:t>
      </w:r>
      <w:proofErr w:type="spellStart"/>
      <w:r w:rsidRPr="00BF4AB8">
        <w:rPr>
          <w:snapToGrid w:val="0"/>
          <w:sz w:val="22"/>
          <w:szCs w:val="24"/>
        </w:rPr>
        <w:t>nintedanibo</w:t>
      </w:r>
      <w:proofErr w:type="spellEnd"/>
      <w:r w:rsidRPr="00BF4AB8">
        <w:rPr>
          <w:snapToGrid w:val="0"/>
          <w:sz w:val="22"/>
          <w:szCs w:val="24"/>
        </w:rPr>
        <w:t xml:space="preserve"> ekspozicijos. </w:t>
      </w:r>
      <w:r w:rsidR="0072061D" w:rsidRPr="00BF4AB8">
        <w:rPr>
          <w:snapToGrid w:val="0"/>
          <w:sz w:val="22"/>
          <w:szCs w:val="24"/>
        </w:rPr>
        <w:t>Naudojant</w:t>
      </w:r>
      <w:r w:rsidRPr="00BF4AB8">
        <w:rPr>
          <w:snapToGrid w:val="0"/>
          <w:sz w:val="22"/>
          <w:szCs w:val="24"/>
        </w:rPr>
        <w:t xml:space="preserve"> DCE</w:t>
      </w:r>
      <w:r w:rsidR="0072061D" w:rsidRPr="00BF4AB8">
        <w:rPr>
          <w:snapToGrid w:val="0"/>
          <w:sz w:val="22"/>
          <w:szCs w:val="24"/>
        </w:rPr>
        <w:noBreakHyphen/>
      </w:r>
      <w:r w:rsidRPr="00BF4AB8">
        <w:rPr>
          <w:snapToGrid w:val="0"/>
          <w:sz w:val="22"/>
          <w:szCs w:val="24"/>
        </w:rPr>
        <w:t>MRT, poveikis buvo matomas praėjus 24</w:t>
      </w:r>
      <w:r w:rsidR="0072061D" w:rsidRPr="00BF4AB8">
        <w:rPr>
          <w:snapToGrid w:val="0"/>
          <w:sz w:val="22"/>
          <w:szCs w:val="24"/>
        </w:rPr>
        <w:noBreakHyphen/>
      </w:r>
      <w:r w:rsidRPr="00BF4AB8">
        <w:rPr>
          <w:snapToGrid w:val="0"/>
          <w:sz w:val="22"/>
          <w:szCs w:val="24"/>
        </w:rPr>
        <w:t>48</w:t>
      </w:r>
      <w:r w:rsidR="0072061D" w:rsidRPr="00BF4AB8">
        <w:rPr>
          <w:snapToGrid w:val="0"/>
          <w:sz w:val="22"/>
          <w:szCs w:val="24"/>
        </w:rPr>
        <w:t> </w:t>
      </w:r>
      <w:r w:rsidRPr="00BF4AB8">
        <w:rPr>
          <w:snapToGrid w:val="0"/>
          <w:sz w:val="22"/>
          <w:szCs w:val="24"/>
        </w:rPr>
        <w:t>valandoms po pirmosios vaistinio preparato dozės</w:t>
      </w:r>
      <w:r w:rsidR="0072061D" w:rsidRPr="00BF4AB8">
        <w:rPr>
          <w:snapToGrid w:val="0"/>
          <w:sz w:val="22"/>
          <w:szCs w:val="24"/>
        </w:rPr>
        <w:t xml:space="preserve"> </w:t>
      </w:r>
      <w:r w:rsidRPr="00BF4AB8">
        <w:rPr>
          <w:snapToGrid w:val="0"/>
          <w:sz w:val="22"/>
          <w:szCs w:val="24"/>
        </w:rPr>
        <w:t>pavartojimo ir išliko arba net sustiprėjo tęsiant gydymą kelias savaites. Nebuvo nustatyta ryšio tarp</w:t>
      </w:r>
      <w:r w:rsidR="0072061D" w:rsidRPr="00BF4AB8">
        <w:rPr>
          <w:snapToGrid w:val="0"/>
          <w:sz w:val="22"/>
          <w:szCs w:val="24"/>
        </w:rPr>
        <w:t xml:space="preserve"> </w:t>
      </w:r>
      <w:r w:rsidRPr="00BF4AB8">
        <w:rPr>
          <w:snapToGrid w:val="0"/>
          <w:sz w:val="22"/>
          <w:szCs w:val="24"/>
        </w:rPr>
        <w:t xml:space="preserve">DCE-MRT atsako ir paskesnio kliniškai reikšmingo </w:t>
      </w:r>
      <w:r w:rsidR="0072061D" w:rsidRPr="00BF4AB8">
        <w:rPr>
          <w:snapToGrid w:val="0"/>
          <w:sz w:val="22"/>
          <w:szCs w:val="24"/>
        </w:rPr>
        <w:t xml:space="preserve">tikslinio </w:t>
      </w:r>
      <w:r w:rsidR="00ED1694" w:rsidRPr="00BF4AB8">
        <w:rPr>
          <w:snapToGrid w:val="0"/>
          <w:sz w:val="22"/>
          <w:szCs w:val="24"/>
        </w:rPr>
        <w:t xml:space="preserve">pažeidimo </w:t>
      </w:r>
      <w:r w:rsidRPr="00BF4AB8">
        <w:rPr>
          <w:snapToGrid w:val="0"/>
          <w:sz w:val="22"/>
          <w:szCs w:val="24"/>
        </w:rPr>
        <w:t>sumažėjimo, bet</w:t>
      </w:r>
      <w:r w:rsidR="00ED1694" w:rsidRPr="00BF4AB8">
        <w:rPr>
          <w:snapToGrid w:val="0"/>
          <w:sz w:val="22"/>
          <w:szCs w:val="24"/>
        </w:rPr>
        <w:t xml:space="preserve"> </w:t>
      </w:r>
      <w:r w:rsidRPr="00BF4AB8">
        <w:rPr>
          <w:snapToGrid w:val="0"/>
          <w:sz w:val="22"/>
          <w:szCs w:val="24"/>
        </w:rPr>
        <w:t>DCE-MRT atsakas buvo susijęs su ligos stabilizavimu.</w:t>
      </w:r>
    </w:p>
    <w:p w14:paraId="1F290E06" w14:textId="77777777" w:rsidR="005A4EB0" w:rsidRPr="00BF4AB8" w:rsidRDefault="005A4EB0" w:rsidP="00227F5B">
      <w:pPr>
        <w:ind w:right="-142"/>
        <w:rPr>
          <w:snapToGrid w:val="0"/>
          <w:sz w:val="22"/>
          <w:szCs w:val="24"/>
        </w:rPr>
      </w:pPr>
    </w:p>
    <w:p w14:paraId="0CB8EEC1" w14:textId="1D99DFBE" w:rsidR="00227F5B" w:rsidRPr="00BF4AB8" w:rsidRDefault="00227F5B" w:rsidP="00227F5B">
      <w:pPr>
        <w:ind w:right="-142"/>
        <w:rPr>
          <w:snapToGrid w:val="0"/>
          <w:sz w:val="22"/>
          <w:szCs w:val="24"/>
          <w:u w:val="single"/>
        </w:rPr>
      </w:pPr>
      <w:r w:rsidRPr="00BF4AB8">
        <w:rPr>
          <w:snapToGrid w:val="0"/>
          <w:sz w:val="22"/>
          <w:szCs w:val="24"/>
          <w:u w:val="single"/>
        </w:rPr>
        <w:t>Klinikinis veiksmingumas ir saugumas</w:t>
      </w:r>
    </w:p>
    <w:p w14:paraId="2DAC26F9" w14:textId="5298B0DD" w:rsidR="00227F5B" w:rsidRPr="00BF4AB8" w:rsidRDefault="00227F5B" w:rsidP="00227F5B">
      <w:pPr>
        <w:ind w:right="-142"/>
        <w:rPr>
          <w:i/>
          <w:iCs/>
          <w:snapToGrid w:val="0"/>
          <w:sz w:val="22"/>
          <w:szCs w:val="24"/>
        </w:rPr>
      </w:pPr>
      <w:r w:rsidRPr="00BF4AB8">
        <w:rPr>
          <w:i/>
          <w:iCs/>
          <w:snapToGrid w:val="0"/>
          <w:sz w:val="22"/>
          <w:szCs w:val="24"/>
        </w:rPr>
        <w:t>Veiksmingumas pagrindini</w:t>
      </w:r>
      <w:r w:rsidR="005467FB" w:rsidRPr="00BF4AB8">
        <w:rPr>
          <w:i/>
          <w:iCs/>
          <w:snapToGrid w:val="0"/>
          <w:sz w:val="22"/>
          <w:szCs w:val="24"/>
        </w:rPr>
        <w:t>o</w:t>
      </w:r>
      <w:r w:rsidRPr="00BF4AB8">
        <w:rPr>
          <w:i/>
          <w:iCs/>
          <w:snapToGrid w:val="0"/>
          <w:sz w:val="22"/>
          <w:szCs w:val="24"/>
        </w:rPr>
        <w:t xml:space="preserve"> </w:t>
      </w:r>
      <w:r w:rsidR="005467FB" w:rsidRPr="00BF4AB8">
        <w:rPr>
          <w:i/>
          <w:iCs/>
          <w:snapToGrid w:val="0"/>
          <w:sz w:val="22"/>
          <w:szCs w:val="24"/>
        </w:rPr>
        <w:t>3 </w:t>
      </w:r>
      <w:r w:rsidRPr="00BF4AB8">
        <w:rPr>
          <w:i/>
          <w:iCs/>
          <w:snapToGrid w:val="0"/>
          <w:sz w:val="22"/>
          <w:szCs w:val="24"/>
        </w:rPr>
        <w:t>fazės tyrim</w:t>
      </w:r>
      <w:r w:rsidR="005467FB" w:rsidRPr="00BF4AB8">
        <w:rPr>
          <w:i/>
          <w:iCs/>
          <w:snapToGrid w:val="0"/>
          <w:sz w:val="22"/>
          <w:szCs w:val="24"/>
        </w:rPr>
        <w:t>o</w:t>
      </w:r>
      <w:r w:rsidRPr="00BF4AB8">
        <w:rPr>
          <w:i/>
          <w:iCs/>
          <w:snapToGrid w:val="0"/>
          <w:sz w:val="22"/>
          <w:szCs w:val="24"/>
        </w:rPr>
        <w:t xml:space="preserve"> LUME-</w:t>
      </w:r>
      <w:proofErr w:type="spellStart"/>
      <w:r w:rsidRPr="00BF4AB8">
        <w:rPr>
          <w:i/>
          <w:iCs/>
          <w:snapToGrid w:val="0"/>
          <w:sz w:val="22"/>
          <w:szCs w:val="24"/>
        </w:rPr>
        <w:t>Lung</w:t>
      </w:r>
      <w:proofErr w:type="spellEnd"/>
      <w:r w:rsidR="005467FB" w:rsidRPr="00BF4AB8">
        <w:rPr>
          <w:i/>
          <w:iCs/>
          <w:snapToGrid w:val="0"/>
          <w:sz w:val="22"/>
          <w:szCs w:val="24"/>
        </w:rPr>
        <w:t> </w:t>
      </w:r>
      <w:r w:rsidRPr="00BF4AB8">
        <w:rPr>
          <w:i/>
          <w:iCs/>
          <w:snapToGrid w:val="0"/>
          <w:sz w:val="22"/>
          <w:szCs w:val="24"/>
        </w:rPr>
        <w:t>1</w:t>
      </w:r>
      <w:r w:rsidR="005467FB" w:rsidRPr="00BF4AB8">
        <w:rPr>
          <w:i/>
          <w:iCs/>
          <w:snapToGrid w:val="0"/>
          <w:sz w:val="22"/>
          <w:szCs w:val="24"/>
        </w:rPr>
        <w:t xml:space="preserve"> metu</w:t>
      </w:r>
    </w:p>
    <w:p w14:paraId="096CF7D4" w14:textId="5D8A9917" w:rsidR="00227F5B" w:rsidRPr="00BF4AB8" w:rsidRDefault="005467FB" w:rsidP="00227F5B">
      <w:pPr>
        <w:ind w:right="-142"/>
        <w:rPr>
          <w:snapToGrid w:val="0"/>
          <w:sz w:val="22"/>
          <w:szCs w:val="24"/>
        </w:rPr>
      </w:pPr>
      <w:proofErr w:type="spellStart"/>
      <w:r w:rsidRPr="00BF4AB8">
        <w:rPr>
          <w:snapToGrid w:val="0"/>
          <w:sz w:val="22"/>
          <w:szCs w:val="24"/>
        </w:rPr>
        <w:t>Nintedanibo</w:t>
      </w:r>
      <w:proofErr w:type="spellEnd"/>
      <w:r w:rsidR="00227F5B" w:rsidRPr="00BF4AB8">
        <w:rPr>
          <w:snapToGrid w:val="0"/>
          <w:sz w:val="22"/>
          <w:szCs w:val="24"/>
        </w:rPr>
        <w:t xml:space="preserve"> veiksmingumas ir saugumas buvo tirtas 1314</w:t>
      </w:r>
      <w:r w:rsidRPr="00BF4AB8">
        <w:rPr>
          <w:snapToGrid w:val="0"/>
          <w:sz w:val="22"/>
          <w:szCs w:val="24"/>
        </w:rPr>
        <w:t> </w:t>
      </w:r>
      <w:r w:rsidR="00227F5B" w:rsidRPr="00BF4AB8">
        <w:rPr>
          <w:snapToGrid w:val="0"/>
          <w:sz w:val="22"/>
          <w:szCs w:val="24"/>
        </w:rPr>
        <w:t xml:space="preserve">lokaliai progresavusiu, </w:t>
      </w:r>
      <w:proofErr w:type="spellStart"/>
      <w:r w:rsidRPr="00BF4AB8">
        <w:rPr>
          <w:snapToGrid w:val="0"/>
          <w:sz w:val="22"/>
          <w:szCs w:val="24"/>
        </w:rPr>
        <w:t>metastaziniu</w:t>
      </w:r>
      <w:proofErr w:type="spellEnd"/>
      <w:r w:rsidR="00227F5B" w:rsidRPr="00BF4AB8">
        <w:rPr>
          <w:snapToGrid w:val="0"/>
          <w:sz w:val="22"/>
          <w:szCs w:val="24"/>
        </w:rPr>
        <w:t xml:space="preserve"> ar</w:t>
      </w:r>
      <w:r w:rsidRPr="00BF4AB8">
        <w:rPr>
          <w:snapToGrid w:val="0"/>
          <w:sz w:val="22"/>
          <w:szCs w:val="24"/>
        </w:rPr>
        <w:t xml:space="preserve"> </w:t>
      </w:r>
      <w:r w:rsidR="00227F5B" w:rsidRPr="00BF4AB8">
        <w:rPr>
          <w:snapToGrid w:val="0"/>
          <w:sz w:val="22"/>
          <w:szCs w:val="24"/>
        </w:rPr>
        <w:t>recidy</w:t>
      </w:r>
      <w:r w:rsidRPr="00BF4AB8">
        <w:rPr>
          <w:snapToGrid w:val="0"/>
          <w:sz w:val="22"/>
          <w:szCs w:val="24"/>
        </w:rPr>
        <w:t xml:space="preserve">viniu </w:t>
      </w:r>
      <w:r w:rsidR="00227F5B" w:rsidRPr="00BF4AB8">
        <w:rPr>
          <w:snapToGrid w:val="0"/>
          <w:sz w:val="22"/>
          <w:szCs w:val="24"/>
        </w:rPr>
        <w:t>NSPV sergan</w:t>
      </w:r>
      <w:r w:rsidRPr="00BF4AB8">
        <w:rPr>
          <w:snapToGrid w:val="0"/>
          <w:sz w:val="22"/>
          <w:szCs w:val="24"/>
        </w:rPr>
        <w:t>čių</w:t>
      </w:r>
      <w:r w:rsidR="00227F5B" w:rsidRPr="00BF4AB8">
        <w:rPr>
          <w:snapToGrid w:val="0"/>
          <w:sz w:val="22"/>
          <w:szCs w:val="24"/>
        </w:rPr>
        <w:t xml:space="preserve"> suaugusi</w:t>
      </w:r>
      <w:r w:rsidRPr="00BF4AB8">
        <w:rPr>
          <w:snapToGrid w:val="0"/>
          <w:sz w:val="22"/>
          <w:szCs w:val="24"/>
        </w:rPr>
        <w:t>ų</w:t>
      </w:r>
      <w:r w:rsidR="00227F5B" w:rsidRPr="00BF4AB8">
        <w:rPr>
          <w:snapToGrid w:val="0"/>
          <w:sz w:val="22"/>
          <w:szCs w:val="24"/>
        </w:rPr>
        <w:t xml:space="preserve"> pacient</w:t>
      </w:r>
      <w:r w:rsidRPr="00BF4AB8">
        <w:rPr>
          <w:snapToGrid w:val="0"/>
          <w:sz w:val="22"/>
          <w:szCs w:val="24"/>
        </w:rPr>
        <w:t>ų</w:t>
      </w:r>
      <w:r w:rsidR="00227F5B" w:rsidRPr="00BF4AB8">
        <w:rPr>
          <w:snapToGrid w:val="0"/>
          <w:sz w:val="22"/>
          <w:szCs w:val="24"/>
        </w:rPr>
        <w:t xml:space="preserve"> po taikytos vienos chemoterapijos.</w:t>
      </w:r>
      <w:r w:rsidRPr="00BF4AB8">
        <w:rPr>
          <w:snapToGrid w:val="0"/>
          <w:sz w:val="22"/>
          <w:szCs w:val="24"/>
        </w:rPr>
        <w:t xml:space="preserve"> </w:t>
      </w:r>
      <w:r w:rsidR="00227F5B" w:rsidRPr="00BF4AB8">
        <w:rPr>
          <w:snapToGrid w:val="0"/>
          <w:sz w:val="22"/>
          <w:szCs w:val="24"/>
        </w:rPr>
        <w:t>Lokal</w:t>
      </w:r>
      <w:r w:rsidRPr="00BF4AB8">
        <w:rPr>
          <w:snapToGrid w:val="0"/>
          <w:sz w:val="22"/>
          <w:szCs w:val="24"/>
        </w:rPr>
        <w:t>us</w:t>
      </w:r>
      <w:r w:rsidR="00227F5B" w:rsidRPr="00BF4AB8">
        <w:rPr>
          <w:snapToGrid w:val="0"/>
          <w:sz w:val="22"/>
          <w:szCs w:val="24"/>
        </w:rPr>
        <w:t xml:space="preserve"> recidyv</w:t>
      </w:r>
      <w:r w:rsidRPr="00BF4AB8">
        <w:rPr>
          <w:snapToGrid w:val="0"/>
          <w:sz w:val="22"/>
          <w:szCs w:val="24"/>
        </w:rPr>
        <w:t>as</w:t>
      </w:r>
      <w:r w:rsidR="00227F5B" w:rsidRPr="00BF4AB8">
        <w:rPr>
          <w:snapToGrid w:val="0"/>
          <w:sz w:val="22"/>
          <w:szCs w:val="24"/>
        </w:rPr>
        <w:t xml:space="preserve"> reiškė, kad įtraukiant į tyrimą </w:t>
      </w:r>
      <w:r w:rsidRPr="00BF4AB8">
        <w:rPr>
          <w:snapToGrid w:val="0"/>
          <w:sz w:val="22"/>
          <w:szCs w:val="24"/>
        </w:rPr>
        <w:t xml:space="preserve">buvo nustatytas lokalus </w:t>
      </w:r>
      <w:r w:rsidR="00227F5B" w:rsidRPr="00BF4AB8">
        <w:rPr>
          <w:snapToGrid w:val="0"/>
          <w:sz w:val="22"/>
          <w:szCs w:val="24"/>
        </w:rPr>
        <w:t>recidy</w:t>
      </w:r>
      <w:r w:rsidRPr="00BF4AB8">
        <w:rPr>
          <w:snapToGrid w:val="0"/>
          <w:sz w:val="22"/>
          <w:szCs w:val="24"/>
        </w:rPr>
        <w:t>va</w:t>
      </w:r>
      <w:r w:rsidR="00227F5B" w:rsidRPr="00BF4AB8">
        <w:rPr>
          <w:snapToGrid w:val="0"/>
          <w:sz w:val="22"/>
          <w:szCs w:val="24"/>
        </w:rPr>
        <w:t>s be metastazių. Į</w:t>
      </w:r>
      <w:r w:rsidRPr="00BF4AB8">
        <w:rPr>
          <w:snapToGrid w:val="0"/>
          <w:sz w:val="22"/>
          <w:szCs w:val="24"/>
        </w:rPr>
        <w:t xml:space="preserve"> </w:t>
      </w:r>
      <w:r w:rsidR="00227F5B" w:rsidRPr="00BF4AB8">
        <w:rPr>
          <w:snapToGrid w:val="0"/>
          <w:sz w:val="22"/>
          <w:szCs w:val="24"/>
        </w:rPr>
        <w:t>tyrimą buvo įtraukti 658</w:t>
      </w:r>
      <w:r w:rsidRPr="00BF4AB8">
        <w:rPr>
          <w:snapToGrid w:val="0"/>
          <w:sz w:val="22"/>
          <w:szCs w:val="24"/>
        </w:rPr>
        <w:t> </w:t>
      </w:r>
      <w:r w:rsidR="00227F5B" w:rsidRPr="00BF4AB8">
        <w:rPr>
          <w:snapToGrid w:val="0"/>
          <w:sz w:val="22"/>
          <w:szCs w:val="24"/>
        </w:rPr>
        <w:t>pacientai (50,1</w:t>
      </w:r>
      <w:r w:rsidR="00AC48E9" w:rsidRPr="00BF4AB8">
        <w:rPr>
          <w:snapToGrid w:val="0"/>
          <w:sz w:val="22"/>
          <w:szCs w:val="24"/>
        </w:rPr>
        <w:t> %</w:t>
      </w:r>
      <w:r w:rsidR="00227F5B" w:rsidRPr="00BF4AB8">
        <w:rPr>
          <w:snapToGrid w:val="0"/>
          <w:sz w:val="22"/>
          <w:szCs w:val="24"/>
        </w:rPr>
        <w:t xml:space="preserve">), sergantys </w:t>
      </w:r>
      <w:proofErr w:type="spellStart"/>
      <w:r w:rsidR="00227F5B" w:rsidRPr="00BF4AB8">
        <w:rPr>
          <w:snapToGrid w:val="0"/>
          <w:sz w:val="22"/>
          <w:szCs w:val="24"/>
        </w:rPr>
        <w:t>adenokarcinoma</w:t>
      </w:r>
      <w:proofErr w:type="spellEnd"/>
      <w:r w:rsidR="00227F5B" w:rsidRPr="00BF4AB8">
        <w:rPr>
          <w:snapToGrid w:val="0"/>
          <w:sz w:val="22"/>
          <w:szCs w:val="24"/>
        </w:rPr>
        <w:t>, 555</w:t>
      </w:r>
      <w:r w:rsidRPr="00BF4AB8">
        <w:rPr>
          <w:snapToGrid w:val="0"/>
          <w:sz w:val="22"/>
          <w:szCs w:val="24"/>
        </w:rPr>
        <w:t> </w:t>
      </w:r>
      <w:r w:rsidR="00227F5B" w:rsidRPr="00BF4AB8">
        <w:rPr>
          <w:snapToGrid w:val="0"/>
          <w:sz w:val="22"/>
          <w:szCs w:val="24"/>
        </w:rPr>
        <w:t>pacientai (42,2</w:t>
      </w:r>
      <w:r w:rsidR="00AC48E9" w:rsidRPr="00BF4AB8">
        <w:rPr>
          <w:snapToGrid w:val="0"/>
          <w:sz w:val="22"/>
          <w:szCs w:val="24"/>
        </w:rPr>
        <w:t> %</w:t>
      </w:r>
      <w:r w:rsidR="00227F5B" w:rsidRPr="00BF4AB8">
        <w:rPr>
          <w:snapToGrid w:val="0"/>
          <w:sz w:val="22"/>
          <w:szCs w:val="24"/>
        </w:rPr>
        <w:t>),</w:t>
      </w:r>
      <w:r w:rsidRPr="00BF4AB8">
        <w:rPr>
          <w:snapToGrid w:val="0"/>
          <w:sz w:val="22"/>
          <w:szCs w:val="24"/>
        </w:rPr>
        <w:t xml:space="preserve"> </w:t>
      </w:r>
      <w:r w:rsidR="00227F5B" w:rsidRPr="00BF4AB8">
        <w:rPr>
          <w:snapToGrid w:val="0"/>
          <w:sz w:val="22"/>
          <w:szCs w:val="24"/>
        </w:rPr>
        <w:t xml:space="preserve">sergantys plokščiųjų ląstelių </w:t>
      </w:r>
      <w:proofErr w:type="spellStart"/>
      <w:r w:rsidR="00227F5B" w:rsidRPr="00BF4AB8">
        <w:rPr>
          <w:snapToGrid w:val="0"/>
          <w:sz w:val="22"/>
          <w:szCs w:val="24"/>
        </w:rPr>
        <w:t>karcinoma</w:t>
      </w:r>
      <w:proofErr w:type="spellEnd"/>
      <w:r w:rsidR="00227F5B" w:rsidRPr="00BF4AB8">
        <w:rPr>
          <w:snapToGrid w:val="0"/>
          <w:sz w:val="22"/>
          <w:szCs w:val="24"/>
        </w:rPr>
        <w:t>, ir 101</w:t>
      </w:r>
      <w:r w:rsidRPr="00BF4AB8">
        <w:rPr>
          <w:snapToGrid w:val="0"/>
          <w:sz w:val="22"/>
          <w:szCs w:val="24"/>
        </w:rPr>
        <w:t> </w:t>
      </w:r>
      <w:r w:rsidR="00227F5B" w:rsidRPr="00BF4AB8">
        <w:rPr>
          <w:snapToGrid w:val="0"/>
          <w:sz w:val="22"/>
          <w:szCs w:val="24"/>
        </w:rPr>
        <w:t>pacientas (7,7</w:t>
      </w:r>
      <w:r w:rsidR="00AC48E9" w:rsidRPr="00BF4AB8">
        <w:rPr>
          <w:snapToGrid w:val="0"/>
          <w:sz w:val="22"/>
          <w:szCs w:val="24"/>
        </w:rPr>
        <w:t> %</w:t>
      </w:r>
      <w:r w:rsidR="00227F5B" w:rsidRPr="00BF4AB8">
        <w:rPr>
          <w:snapToGrid w:val="0"/>
          <w:sz w:val="22"/>
          <w:szCs w:val="24"/>
        </w:rPr>
        <w:t>), kurio histologinis naviko tipas buvo</w:t>
      </w:r>
      <w:r w:rsidRPr="00BF4AB8">
        <w:rPr>
          <w:snapToGrid w:val="0"/>
          <w:sz w:val="22"/>
          <w:szCs w:val="24"/>
        </w:rPr>
        <w:t xml:space="preserve"> </w:t>
      </w:r>
      <w:r w:rsidR="00227F5B" w:rsidRPr="00BF4AB8">
        <w:rPr>
          <w:snapToGrid w:val="0"/>
          <w:sz w:val="22"/>
          <w:szCs w:val="24"/>
        </w:rPr>
        <w:t>kitoks.</w:t>
      </w:r>
    </w:p>
    <w:p w14:paraId="1DE4CDA3" w14:textId="77777777" w:rsidR="005467FB" w:rsidRPr="00BF4AB8" w:rsidRDefault="005467FB" w:rsidP="00227F5B">
      <w:pPr>
        <w:ind w:right="-142"/>
        <w:rPr>
          <w:snapToGrid w:val="0"/>
          <w:sz w:val="22"/>
          <w:szCs w:val="24"/>
        </w:rPr>
      </w:pPr>
    </w:p>
    <w:p w14:paraId="6E149998" w14:textId="6D62576A" w:rsidR="00227F5B" w:rsidRPr="00BF4AB8" w:rsidRDefault="00227F5B" w:rsidP="00227F5B">
      <w:pPr>
        <w:ind w:right="-142"/>
        <w:rPr>
          <w:snapToGrid w:val="0"/>
          <w:sz w:val="22"/>
          <w:szCs w:val="24"/>
        </w:rPr>
      </w:pPr>
      <w:r w:rsidRPr="00BF4AB8">
        <w:rPr>
          <w:snapToGrid w:val="0"/>
          <w:sz w:val="22"/>
          <w:szCs w:val="24"/>
        </w:rPr>
        <w:t xml:space="preserve">Pacientai atsitiktinių imčių būdu (1:1) </w:t>
      </w:r>
      <w:r w:rsidR="005467FB" w:rsidRPr="00BF4AB8">
        <w:rPr>
          <w:snapToGrid w:val="0"/>
          <w:sz w:val="22"/>
          <w:szCs w:val="24"/>
        </w:rPr>
        <w:t>buvo priskirti</w:t>
      </w:r>
      <w:r w:rsidRPr="00BF4AB8">
        <w:rPr>
          <w:snapToGrid w:val="0"/>
          <w:sz w:val="22"/>
          <w:szCs w:val="24"/>
        </w:rPr>
        <w:t xml:space="preserve"> vartoti 200</w:t>
      </w:r>
      <w:r w:rsidR="00AC48E9" w:rsidRPr="00BF4AB8">
        <w:rPr>
          <w:snapToGrid w:val="0"/>
          <w:sz w:val="22"/>
          <w:szCs w:val="24"/>
        </w:rPr>
        <w:t> mg</w:t>
      </w:r>
      <w:r w:rsidRPr="00BF4AB8">
        <w:rPr>
          <w:snapToGrid w:val="0"/>
          <w:sz w:val="22"/>
          <w:szCs w:val="24"/>
        </w:rPr>
        <w:t xml:space="preserve"> </w:t>
      </w:r>
      <w:proofErr w:type="spellStart"/>
      <w:r w:rsidRPr="00BF4AB8">
        <w:rPr>
          <w:snapToGrid w:val="0"/>
          <w:sz w:val="22"/>
          <w:szCs w:val="24"/>
        </w:rPr>
        <w:t>nintedanibo</w:t>
      </w:r>
      <w:proofErr w:type="spellEnd"/>
      <w:r w:rsidRPr="00BF4AB8">
        <w:rPr>
          <w:snapToGrid w:val="0"/>
          <w:sz w:val="22"/>
          <w:szCs w:val="24"/>
        </w:rPr>
        <w:t xml:space="preserve"> per burną du kartus per</w:t>
      </w:r>
      <w:r w:rsidR="00D35BA8" w:rsidRPr="00BF4AB8">
        <w:rPr>
          <w:snapToGrid w:val="0"/>
          <w:sz w:val="22"/>
          <w:szCs w:val="24"/>
        </w:rPr>
        <w:t xml:space="preserve"> </w:t>
      </w:r>
      <w:r w:rsidRPr="00BF4AB8">
        <w:rPr>
          <w:snapToGrid w:val="0"/>
          <w:sz w:val="22"/>
          <w:szCs w:val="24"/>
        </w:rPr>
        <w:t>parą ir 75</w:t>
      </w:r>
      <w:r w:rsidR="00AC48E9" w:rsidRPr="00BF4AB8">
        <w:rPr>
          <w:snapToGrid w:val="0"/>
          <w:sz w:val="22"/>
          <w:szCs w:val="24"/>
        </w:rPr>
        <w:t> mg</w:t>
      </w:r>
      <w:r w:rsidRPr="00BF4AB8">
        <w:rPr>
          <w:snapToGrid w:val="0"/>
          <w:sz w:val="22"/>
          <w:szCs w:val="24"/>
        </w:rPr>
        <w:t>/m</w:t>
      </w:r>
      <w:r w:rsidRPr="00BF4AB8">
        <w:rPr>
          <w:snapToGrid w:val="0"/>
          <w:sz w:val="22"/>
          <w:szCs w:val="24"/>
          <w:vertAlign w:val="superscript"/>
        </w:rPr>
        <w:t>2</w:t>
      </w:r>
      <w:r w:rsidRPr="00BF4AB8">
        <w:rPr>
          <w:snapToGrid w:val="0"/>
          <w:sz w:val="22"/>
          <w:szCs w:val="24"/>
        </w:rPr>
        <w:t xml:space="preserve"> </w:t>
      </w:r>
      <w:proofErr w:type="spellStart"/>
      <w:r w:rsidRPr="00BF4AB8">
        <w:rPr>
          <w:snapToGrid w:val="0"/>
          <w:sz w:val="22"/>
          <w:szCs w:val="24"/>
        </w:rPr>
        <w:t>docetakselio</w:t>
      </w:r>
      <w:proofErr w:type="spellEnd"/>
      <w:r w:rsidRPr="00BF4AB8">
        <w:rPr>
          <w:snapToGrid w:val="0"/>
          <w:sz w:val="22"/>
          <w:szCs w:val="24"/>
        </w:rPr>
        <w:t xml:space="preserve"> į veną kas 21</w:t>
      </w:r>
      <w:r w:rsidR="00D35BA8" w:rsidRPr="00BF4AB8">
        <w:rPr>
          <w:snapToGrid w:val="0"/>
          <w:sz w:val="22"/>
          <w:szCs w:val="24"/>
        </w:rPr>
        <w:t> </w:t>
      </w:r>
      <w:r w:rsidRPr="00BF4AB8">
        <w:rPr>
          <w:snapToGrid w:val="0"/>
          <w:sz w:val="22"/>
          <w:szCs w:val="24"/>
        </w:rPr>
        <w:t>dieną (n</w:t>
      </w:r>
      <w:r w:rsidR="00D35BA8" w:rsidRPr="00BF4AB8">
        <w:rPr>
          <w:snapToGrid w:val="0"/>
          <w:sz w:val="22"/>
          <w:szCs w:val="24"/>
        </w:rPr>
        <w:t>=</w:t>
      </w:r>
      <w:r w:rsidRPr="00BF4AB8">
        <w:rPr>
          <w:snapToGrid w:val="0"/>
          <w:sz w:val="22"/>
          <w:szCs w:val="24"/>
        </w:rPr>
        <w:t xml:space="preserve">655) arba </w:t>
      </w:r>
      <w:proofErr w:type="spellStart"/>
      <w:r w:rsidRPr="00BF4AB8">
        <w:rPr>
          <w:snapToGrid w:val="0"/>
          <w:sz w:val="22"/>
          <w:szCs w:val="24"/>
        </w:rPr>
        <w:t>placebo</w:t>
      </w:r>
      <w:proofErr w:type="spellEnd"/>
      <w:r w:rsidRPr="00BF4AB8">
        <w:rPr>
          <w:snapToGrid w:val="0"/>
          <w:sz w:val="22"/>
          <w:szCs w:val="24"/>
        </w:rPr>
        <w:t xml:space="preserve"> </w:t>
      </w:r>
      <w:r w:rsidR="00D35BA8" w:rsidRPr="00BF4AB8">
        <w:rPr>
          <w:snapToGrid w:val="0"/>
          <w:sz w:val="22"/>
          <w:szCs w:val="24"/>
        </w:rPr>
        <w:t xml:space="preserve">per burną </w:t>
      </w:r>
      <w:r w:rsidRPr="00BF4AB8">
        <w:rPr>
          <w:snapToGrid w:val="0"/>
          <w:sz w:val="22"/>
          <w:szCs w:val="24"/>
        </w:rPr>
        <w:t>du kartus per parą ir 75</w:t>
      </w:r>
      <w:r w:rsidR="00AC48E9" w:rsidRPr="00BF4AB8">
        <w:rPr>
          <w:snapToGrid w:val="0"/>
          <w:sz w:val="22"/>
          <w:szCs w:val="24"/>
        </w:rPr>
        <w:t> mg</w:t>
      </w:r>
      <w:r w:rsidRPr="00BF4AB8">
        <w:rPr>
          <w:snapToGrid w:val="0"/>
          <w:sz w:val="22"/>
          <w:szCs w:val="24"/>
        </w:rPr>
        <w:t>/m</w:t>
      </w:r>
      <w:r w:rsidRPr="00BF4AB8">
        <w:rPr>
          <w:snapToGrid w:val="0"/>
          <w:sz w:val="22"/>
          <w:szCs w:val="24"/>
          <w:vertAlign w:val="superscript"/>
        </w:rPr>
        <w:t>2</w:t>
      </w:r>
      <w:r w:rsidRPr="00BF4AB8">
        <w:rPr>
          <w:snapToGrid w:val="0"/>
          <w:sz w:val="22"/>
          <w:szCs w:val="24"/>
        </w:rPr>
        <w:t xml:space="preserve"> </w:t>
      </w:r>
      <w:proofErr w:type="spellStart"/>
      <w:r w:rsidRPr="00BF4AB8">
        <w:rPr>
          <w:snapToGrid w:val="0"/>
          <w:sz w:val="22"/>
          <w:szCs w:val="24"/>
        </w:rPr>
        <w:t>docetakselio</w:t>
      </w:r>
      <w:proofErr w:type="spellEnd"/>
      <w:r w:rsidRPr="00BF4AB8">
        <w:rPr>
          <w:snapToGrid w:val="0"/>
          <w:sz w:val="22"/>
          <w:szCs w:val="24"/>
        </w:rPr>
        <w:t xml:space="preserve"> į veną kas 21</w:t>
      </w:r>
      <w:r w:rsidR="00D35BA8" w:rsidRPr="00BF4AB8">
        <w:rPr>
          <w:snapToGrid w:val="0"/>
          <w:sz w:val="22"/>
          <w:szCs w:val="24"/>
        </w:rPr>
        <w:t> </w:t>
      </w:r>
      <w:r w:rsidRPr="00BF4AB8">
        <w:rPr>
          <w:snapToGrid w:val="0"/>
          <w:sz w:val="22"/>
          <w:szCs w:val="24"/>
        </w:rPr>
        <w:t>dieną (n</w:t>
      </w:r>
      <w:r w:rsidR="00D35BA8" w:rsidRPr="00BF4AB8">
        <w:rPr>
          <w:snapToGrid w:val="0"/>
          <w:sz w:val="22"/>
          <w:szCs w:val="24"/>
        </w:rPr>
        <w:t>=</w:t>
      </w:r>
      <w:r w:rsidRPr="00BF4AB8">
        <w:rPr>
          <w:snapToGrid w:val="0"/>
          <w:sz w:val="22"/>
          <w:szCs w:val="24"/>
        </w:rPr>
        <w:t xml:space="preserve">659). </w:t>
      </w:r>
      <w:r w:rsidR="00D35BA8" w:rsidRPr="00BF4AB8">
        <w:rPr>
          <w:snapToGrid w:val="0"/>
          <w:sz w:val="22"/>
          <w:szCs w:val="24"/>
        </w:rPr>
        <w:t>Priskyrimas atsitiktinėms imtims</w:t>
      </w:r>
      <w:r w:rsidRPr="00BF4AB8">
        <w:rPr>
          <w:snapToGrid w:val="0"/>
          <w:sz w:val="22"/>
          <w:szCs w:val="24"/>
        </w:rPr>
        <w:t xml:space="preserve"> buvo </w:t>
      </w:r>
      <w:proofErr w:type="spellStart"/>
      <w:r w:rsidRPr="00BF4AB8">
        <w:rPr>
          <w:snapToGrid w:val="0"/>
          <w:sz w:val="22"/>
          <w:szCs w:val="24"/>
        </w:rPr>
        <w:t>stratifikuojama</w:t>
      </w:r>
      <w:r w:rsidR="00D35BA8" w:rsidRPr="00BF4AB8">
        <w:rPr>
          <w:snapToGrid w:val="0"/>
          <w:sz w:val="22"/>
          <w:szCs w:val="24"/>
        </w:rPr>
        <w:t>s</w:t>
      </w:r>
      <w:proofErr w:type="spellEnd"/>
      <w:r w:rsidRPr="00BF4AB8">
        <w:rPr>
          <w:snapToGrid w:val="0"/>
          <w:sz w:val="22"/>
          <w:szCs w:val="24"/>
        </w:rPr>
        <w:t xml:space="preserve"> pagal</w:t>
      </w:r>
      <w:r w:rsidR="00D35BA8" w:rsidRPr="00BF4AB8">
        <w:rPr>
          <w:snapToGrid w:val="0"/>
          <w:sz w:val="22"/>
          <w:szCs w:val="24"/>
        </w:rPr>
        <w:t xml:space="preserve"> </w:t>
      </w:r>
      <w:r w:rsidRPr="00BF4AB8">
        <w:rPr>
          <w:snapToGrid w:val="0"/>
          <w:sz w:val="22"/>
          <w:szCs w:val="24"/>
        </w:rPr>
        <w:t>ECOG (</w:t>
      </w:r>
      <w:r w:rsidR="00D35BA8" w:rsidRPr="00BF4AB8">
        <w:rPr>
          <w:snapToGrid w:val="0"/>
          <w:sz w:val="22"/>
          <w:szCs w:val="24"/>
        </w:rPr>
        <w:t xml:space="preserve">Europos bendradarbiavimo onkologijos grupės, angl. </w:t>
      </w:r>
      <w:r w:rsidRPr="00BF4AB8">
        <w:rPr>
          <w:i/>
          <w:iCs/>
          <w:snapToGrid w:val="0"/>
          <w:sz w:val="22"/>
          <w:szCs w:val="24"/>
        </w:rPr>
        <w:t xml:space="preserve">Eastern </w:t>
      </w:r>
      <w:proofErr w:type="spellStart"/>
      <w:r w:rsidRPr="00BF4AB8">
        <w:rPr>
          <w:i/>
          <w:iCs/>
          <w:snapToGrid w:val="0"/>
          <w:sz w:val="22"/>
          <w:szCs w:val="24"/>
        </w:rPr>
        <w:t>Cooperative</w:t>
      </w:r>
      <w:proofErr w:type="spellEnd"/>
      <w:r w:rsidRPr="00BF4AB8">
        <w:rPr>
          <w:i/>
          <w:iCs/>
          <w:snapToGrid w:val="0"/>
          <w:sz w:val="22"/>
          <w:szCs w:val="24"/>
        </w:rPr>
        <w:t xml:space="preserve"> </w:t>
      </w:r>
      <w:proofErr w:type="spellStart"/>
      <w:r w:rsidRPr="00BF4AB8">
        <w:rPr>
          <w:i/>
          <w:iCs/>
          <w:snapToGrid w:val="0"/>
          <w:sz w:val="22"/>
          <w:szCs w:val="24"/>
        </w:rPr>
        <w:t>Oncology</w:t>
      </w:r>
      <w:proofErr w:type="spellEnd"/>
      <w:r w:rsidRPr="00BF4AB8">
        <w:rPr>
          <w:i/>
          <w:iCs/>
          <w:snapToGrid w:val="0"/>
          <w:sz w:val="22"/>
          <w:szCs w:val="24"/>
        </w:rPr>
        <w:t xml:space="preserve"> Group</w:t>
      </w:r>
      <w:r w:rsidRPr="00BF4AB8">
        <w:rPr>
          <w:snapToGrid w:val="0"/>
          <w:sz w:val="22"/>
          <w:szCs w:val="24"/>
        </w:rPr>
        <w:t xml:space="preserve">) būklę (0, palyginti su 1), </w:t>
      </w:r>
      <w:r w:rsidR="00DB5C6F">
        <w:rPr>
          <w:snapToGrid w:val="0"/>
          <w:sz w:val="22"/>
          <w:szCs w:val="24"/>
        </w:rPr>
        <w:t xml:space="preserve">metastazes galvos smegenyse (taip, palyginti su ne), </w:t>
      </w:r>
      <w:r w:rsidRPr="00BF4AB8">
        <w:rPr>
          <w:snapToGrid w:val="0"/>
          <w:sz w:val="22"/>
          <w:szCs w:val="24"/>
        </w:rPr>
        <w:t>prieš tai</w:t>
      </w:r>
      <w:r w:rsidR="00D35BA8" w:rsidRPr="00BF4AB8">
        <w:rPr>
          <w:snapToGrid w:val="0"/>
          <w:sz w:val="22"/>
          <w:szCs w:val="24"/>
        </w:rPr>
        <w:t xml:space="preserve"> </w:t>
      </w:r>
      <w:r w:rsidRPr="00BF4AB8">
        <w:rPr>
          <w:snapToGrid w:val="0"/>
          <w:sz w:val="22"/>
          <w:szCs w:val="24"/>
        </w:rPr>
        <w:t xml:space="preserve">taikytą gydymą </w:t>
      </w:r>
      <w:proofErr w:type="spellStart"/>
      <w:r w:rsidRPr="00BF4AB8">
        <w:rPr>
          <w:snapToGrid w:val="0"/>
          <w:sz w:val="22"/>
          <w:szCs w:val="24"/>
        </w:rPr>
        <w:t>bevacizumabu</w:t>
      </w:r>
      <w:proofErr w:type="spellEnd"/>
      <w:r w:rsidRPr="00BF4AB8">
        <w:rPr>
          <w:snapToGrid w:val="0"/>
          <w:sz w:val="22"/>
          <w:szCs w:val="24"/>
        </w:rPr>
        <w:t xml:space="preserve"> (taip, palyginti su ne) ir naviko </w:t>
      </w:r>
      <w:r w:rsidR="00D35BA8" w:rsidRPr="00BF4AB8">
        <w:rPr>
          <w:snapToGrid w:val="0"/>
          <w:sz w:val="22"/>
          <w:szCs w:val="24"/>
        </w:rPr>
        <w:t>histologin</w:t>
      </w:r>
      <w:r w:rsidR="002674AF">
        <w:rPr>
          <w:snapToGrid w:val="0"/>
          <w:sz w:val="22"/>
          <w:szCs w:val="24"/>
        </w:rPr>
        <w:t>ę</w:t>
      </w:r>
      <w:r w:rsidR="00D35BA8" w:rsidRPr="00BF4AB8">
        <w:rPr>
          <w:snapToGrid w:val="0"/>
          <w:sz w:val="22"/>
          <w:szCs w:val="24"/>
        </w:rPr>
        <w:t xml:space="preserve"> </w:t>
      </w:r>
      <w:r w:rsidRPr="00BF4AB8">
        <w:rPr>
          <w:snapToGrid w:val="0"/>
          <w:sz w:val="22"/>
          <w:szCs w:val="24"/>
        </w:rPr>
        <w:t>struktūrą (plokščiųjų ląstelių, palyginti</w:t>
      </w:r>
      <w:r w:rsidR="00D35BA8" w:rsidRPr="00BF4AB8">
        <w:rPr>
          <w:snapToGrid w:val="0"/>
          <w:sz w:val="22"/>
          <w:szCs w:val="24"/>
        </w:rPr>
        <w:t xml:space="preserve"> </w:t>
      </w:r>
      <w:r w:rsidRPr="00BF4AB8">
        <w:rPr>
          <w:snapToGrid w:val="0"/>
          <w:sz w:val="22"/>
          <w:szCs w:val="24"/>
        </w:rPr>
        <w:t xml:space="preserve">su neplokščiųjų ląstelių naviko </w:t>
      </w:r>
      <w:r w:rsidR="00D35BA8" w:rsidRPr="00BF4AB8">
        <w:rPr>
          <w:snapToGrid w:val="0"/>
          <w:sz w:val="22"/>
          <w:szCs w:val="24"/>
        </w:rPr>
        <w:t xml:space="preserve">histologine </w:t>
      </w:r>
      <w:r w:rsidRPr="00BF4AB8">
        <w:rPr>
          <w:snapToGrid w:val="0"/>
          <w:sz w:val="22"/>
          <w:szCs w:val="24"/>
        </w:rPr>
        <w:t>struktūra).</w:t>
      </w:r>
    </w:p>
    <w:p w14:paraId="27554D70" w14:textId="00F262B9" w:rsidR="00227F5B" w:rsidRPr="00BF4AB8" w:rsidRDefault="00227F5B" w:rsidP="00227F5B">
      <w:pPr>
        <w:ind w:right="-142"/>
        <w:rPr>
          <w:snapToGrid w:val="0"/>
          <w:sz w:val="22"/>
          <w:szCs w:val="24"/>
        </w:rPr>
      </w:pPr>
    </w:p>
    <w:p w14:paraId="128CF2D0" w14:textId="0249B871" w:rsidR="00227F5B" w:rsidRPr="00BF4AB8" w:rsidRDefault="00CB352D" w:rsidP="00227F5B">
      <w:pPr>
        <w:ind w:right="-142"/>
        <w:rPr>
          <w:snapToGrid w:val="0"/>
          <w:sz w:val="22"/>
          <w:szCs w:val="24"/>
        </w:rPr>
      </w:pPr>
      <w:r w:rsidRPr="00BF4AB8">
        <w:rPr>
          <w:snapToGrid w:val="0"/>
          <w:sz w:val="22"/>
          <w:szCs w:val="24"/>
        </w:rPr>
        <w:t>Bendrojoje</w:t>
      </w:r>
      <w:r w:rsidR="00227F5B" w:rsidRPr="00BF4AB8">
        <w:rPr>
          <w:snapToGrid w:val="0"/>
          <w:sz w:val="22"/>
          <w:szCs w:val="24"/>
        </w:rPr>
        <w:t xml:space="preserve"> pacientų populiacijo</w:t>
      </w:r>
      <w:r w:rsidRPr="00BF4AB8">
        <w:rPr>
          <w:snapToGrid w:val="0"/>
          <w:sz w:val="22"/>
          <w:szCs w:val="24"/>
        </w:rPr>
        <w:t xml:space="preserve">je </w:t>
      </w:r>
      <w:r w:rsidR="00227F5B" w:rsidRPr="00BF4AB8">
        <w:rPr>
          <w:snapToGrid w:val="0"/>
          <w:sz w:val="22"/>
          <w:szCs w:val="24"/>
        </w:rPr>
        <w:t>ir pagal histologinę struktūrą sudaryt</w:t>
      </w:r>
      <w:r w:rsidRPr="00BF4AB8">
        <w:rPr>
          <w:snapToGrid w:val="0"/>
          <w:sz w:val="22"/>
          <w:szCs w:val="24"/>
        </w:rPr>
        <w:t>uose</w:t>
      </w:r>
      <w:r w:rsidR="00227F5B" w:rsidRPr="00BF4AB8">
        <w:rPr>
          <w:snapToGrid w:val="0"/>
          <w:sz w:val="22"/>
          <w:szCs w:val="24"/>
        </w:rPr>
        <w:t xml:space="preserve"> pogrupi</w:t>
      </w:r>
      <w:r w:rsidRPr="00BF4AB8">
        <w:rPr>
          <w:snapToGrid w:val="0"/>
          <w:sz w:val="22"/>
          <w:szCs w:val="24"/>
        </w:rPr>
        <w:t>uose pacientų</w:t>
      </w:r>
      <w:r w:rsidR="00227F5B" w:rsidRPr="00BF4AB8">
        <w:rPr>
          <w:snapToGrid w:val="0"/>
          <w:sz w:val="22"/>
          <w:szCs w:val="24"/>
        </w:rPr>
        <w:t xml:space="preserve"> charakteristikos</w:t>
      </w:r>
      <w:r w:rsidRPr="00BF4AB8">
        <w:rPr>
          <w:snapToGrid w:val="0"/>
          <w:sz w:val="22"/>
          <w:szCs w:val="24"/>
        </w:rPr>
        <w:t xml:space="preserve"> </w:t>
      </w:r>
      <w:r w:rsidR="00227F5B" w:rsidRPr="00BF4AB8">
        <w:rPr>
          <w:snapToGrid w:val="0"/>
          <w:sz w:val="22"/>
          <w:szCs w:val="24"/>
        </w:rPr>
        <w:t>gyd</w:t>
      </w:r>
      <w:r w:rsidRPr="00BF4AB8">
        <w:rPr>
          <w:snapToGrid w:val="0"/>
          <w:sz w:val="22"/>
          <w:szCs w:val="24"/>
        </w:rPr>
        <w:t>ymo</w:t>
      </w:r>
      <w:r w:rsidR="00227F5B" w:rsidRPr="00BF4AB8">
        <w:rPr>
          <w:snapToGrid w:val="0"/>
          <w:sz w:val="22"/>
          <w:szCs w:val="24"/>
        </w:rPr>
        <w:t xml:space="preserve"> grupėse buvo panašios. Bendroje populiacijoje 72,7</w:t>
      </w:r>
      <w:r w:rsidR="00AC48E9" w:rsidRPr="00BF4AB8">
        <w:rPr>
          <w:snapToGrid w:val="0"/>
          <w:sz w:val="22"/>
          <w:szCs w:val="24"/>
        </w:rPr>
        <w:t> %</w:t>
      </w:r>
      <w:r w:rsidR="00227F5B" w:rsidRPr="00BF4AB8">
        <w:rPr>
          <w:snapToGrid w:val="0"/>
          <w:sz w:val="22"/>
          <w:szCs w:val="24"/>
        </w:rPr>
        <w:t xml:space="preserve"> pacientų buvo vyrai. Dauguma</w:t>
      </w:r>
      <w:r w:rsidRPr="00BF4AB8">
        <w:rPr>
          <w:snapToGrid w:val="0"/>
          <w:sz w:val="22"/>
          <w:szCs w:val="24"/>
        </w:rPr>
        <w:t xml:space="preserve"> </w:t>
      </w:r>
      <w:r w:rsidR="00227F5B" w:rsidRPr="00BF4AB8">
        <w:rPr>
          <w:snapToGrid w:val="0"/>
          <w:sz w:val="22"/>
          <w:szCs w:val="24"/>
        </w:rPr>
        <w:t>pacientų buvo ne azijiečiai (81,6</w:t>
      </w:r>
      <w:r w:rsidR="00AC48E9" w:rsidRPr="00BF4AB8">
        <w:rPr>
          <w:snapToGrid w:val="0"/>
          <w:sz w:val="22"/>
          <w:szCs w:val="24"/>
        </w:rPr>
        <w:t> %</w:t>
      </w:r>
      <w:r w:rsidR="00227F5B" w:rsidRPr="00BF4AB8">
        <w:rPr>
          <w:snapToGrid w:val="0"/>
          <w:sz w:val="22"/>
          <w:szCs w:val="24"/>
        </w:rPr>
        <w:t>), amži</w:t>
      </w:r>
      <w:r w:rsidRPr="00BF4AB8">
        <w:rPr>
          <w:snapToGrid w:val="0"/>
          <w:sz w:val="22"/>
          <w:szCs w:val="24"/>
        </w:rPr>
        <w:t>a</w:t>
      </w:r>
      <w:r w:rsidR="00227F5B" w:rsidRPr="00BF4AB8">
        <w:rPr>
          <w:snapToGrid w:val="0"/>
          <w:sz w:val="22"/>
          <w:szCs w:val="24"/>
        </w:rPr>
        <w:t xml:space="preserve">us </w:t>
      </w:r>
      <w:r w:rsidRPr="00BF4AB8">
        <w:rPr>
          <w:snapToGrid w:val="0"/>
          <w:sz w:val="22"/>
          <w:szCs w:val="24"/>
        </w:rPr>
        <w:t>mediana buvo</w:t>
      </w:r>
      <w:r w:rsidR="00227F5B" w:rsidRPr="00BF4AB8">
        <w:rPr>
          <w:snapToGrid w:val="0"/>
          <w:sz w:val="22"/>
          <w:szCs w:val="24"/>
        </w:rPr>
        <w:t xml:space="preserve"> 60</w:t>
      </w:r>
      <w:r w:rsidRPr="00BF4AB8">
        <w:rPr>
          <w:snapToGrid w:val="0"/>
          <w:sz w:val="22"/>
          <w:szCs w:val="24"/>
        </w:rPr>
        <w:t> </w:t>
      </w:r>
      <w:r w:rsidR="00227F5B" w:rsidRPr="00BF4AB8">
        <w:rPr>
          <w:snapToGrid w:val="0"/>
          <w:sz w:val="22"/>
          <w:szCs w:val="24"/>
        </w:rPr>
        <w:t xml:space="preserve">metų, </w:t>
      </w:r>
      <w:r w:rsidRPr="00BF4AB8">
        <w:rPr>
          <w:snapToGrid w:val="0"/>
          <w:sz w:val="22"/>
          <w:szCs w:val="24"/>
        </w:rPr>
        <w:t>pradinė</w:t>
      </w:r>
      <w:r w:rsidR="00227F5B" w:rsidRPr="00BF4AB8">
        <w:rPr>
          <w:snapToGrid w:val="0"/>
          <w:sz w:val="22"/>
          <w:szCs w:val="24"/>
        </w:rPr>
        <w:t xml:space="preserve"> </w:t>
      </w:r>
      <w:r w:rsidRPr="00BF4AB8">
        <w:rPr>
          <w:snapToGrid w:val="0"/>
          <w:sz w:val="22"/>
          <w:szCs w:val="24"/>
        </w:rPr>
        <w:t>funkcinė</w:t>
      </w:r>
      <w:r w:rsidR="00227F5B" w:rsidRPr="00BF4AB8">
        <w:rPr>
          <w:snapToGrid w:val="0"/>
          <w:sz w:val="22"/>
          <w:szCs w:val="24"/>
        </w:rPr>
        <w:t xml:space="preserve"> būklė </w:t>
      </w:r>
      <w:r w:rsidRPr="00BF4AB8">
        <w:rPr>
          <w:snapToGrid w:val="0"/>
          <w:sz w:val="22"/>
          <w:szCs w:val="24"/>
        </w:rPr>
        <w:t xml:space="preserve">pagal ECOG </w:t>
      </w:r>
      <w:r w:rsidR="00227F5B" w:rsidRPr="00BF4AB8">
        <w:rPr>
          <w:snapToGrid w:val="0"/>
          <w:sz w:val="22"/>
          <w:szCs w:val="24"/>
        </w:rPr>
        <w:t>buvo 0 (28,6</w:t>
      </w:r>
      <w:r w:rsidR="00AC48E9" w:rsidRPr="00BF4AB8">
        <w:rPr>
          <w:snapToGrid w:val="0"/>
          <w:sz w:val="22"/>
          <w:szCs w:val="24"/>
        </w:rPr>
        <w:t> %</w:t>
      </w:r>
      <w:r w:rsidR="00227F5B" w:rsidRPr="00BF4AB8">
        <w:rPr>
          <w:snapToGrid w:val="0"/>
          <w:sz w:val="22"/>
          <w:szCs w:val="24"/>
        </w:rPr>
        <w:t>) arba 1 (71,3</w:t>
      </w:r>
      <w:r w:rsidR="00AC48E9" w:rsidRPr="00BF4AB8">
        <w:rPr>
          <w:snapToGrid w:val="0"/>
          <w:sz w:val="22"/>
          <w:szCs w:val="24"/>
        </w:rPr>
        <w:t> %</w:t>
      </w:r>
      <w:r w:rsidR="00227F5B" w:rsidRPr="00BF4AB8">
        <w:rPr>
          <w:snapToGrid w:val="0"/>
          <w:sz w:val="22"/>
          <w:szCs w:val="24"/>
        </w:rPr>
        <w:t xml:space="preserve">); vieno paciento pradinė </w:t>
      </w:r>
      <w:r w:rsidRPr="00BF4AB8">
        <w:rPr>
          <w:snapToGrid w:val="0"/>
          <w:sz w:val="22"/>
          <w:szCs w:val="24"/>
        </w:rPr>
        <w:t xml:space="preserve">būklė pagal ECOG </w:t>
      </w:r>
      <w:r w:rsidR="00227F5B" w:rsidRPr="00BF4AB8">
        <w:rPr>
          <w:snapToGrid w:val="0"/>
          <w:sz w:val="22"/>
          <w:szCs w:val="24"/>
        </w:rPr>
        <w:t>buvo 2.</w:t>
      </w:r>
      <w:r w:rsidRPr="00BF4AB8">
        <w:rPr>
          <w:snapToGrid w:val="0"/>
          <w:sz w:val="22"/>
          <w:szCs w:val="24"/>
        </w:rPr>
        <w:t xml:space="preserve"> </w:t>
      </w:r>
      <w:r w:rsidR="00227F5B" w:rsidRPr="00BF4AB8">
        <w:rPr>
          <w:snapToGrid w:val="0"/>
          <w:sz w:val="22"/>
          <w:szCs w:val="24"/>
        </w:rPr>
        <w:t>Penki ir aštuonios dešimtosios procento (5,8</w:t>
      </w:r>
      <w:r w:rsidR="00AC48E9" w:rsidRPr="00BF4AB8">
        <w:rPr>
          <w:snapToGrid w:val="0"/>
          <w:sz w:val="22"/>
          <w:szCs w:val="24"/>
        </w:rPr>
        <w:t> %</w:t>
      </w:r>
      <w:r w:rsidR="00227F5B" w:rsidRPr="00BF4AB8">
        <w:rPr>
          <w:snapToGrid w:val="0"/>
          <w:sz w:val="22"/>
          <w:szCs w:val="24"/>
        </w:rPr>
        <w:t xml:space="preserve">) pacientų </w:t>
      </w:r>
      <w:r w:rsidRPr="00BF4AB8">
        <w:rPr>
          <w:snapToGrid w:val="0"/>
          <w:sz w:val="22"/>
          <w:szCs w:val="24"/>
        </w:rPr>
        <w:t>buvo nustatytos</w:t>
      </w:r>
      <w:r w:rsidR="00227F5B" w:rsidRPr="00BF4AB8">
        <w:rPr>
          <w:snapToGrid w:val="0"/>
          <w:sz w:val="22"/>
          <w:szCs w:val="24"/>
        </w:rPr>
        <w:t xml:space="preserve"> stabili</w:t>
      </w:r>
      <w:r w:rsidRPr="00BF4AB8">
        <w:rPr>
          <w:snapToGrid w:val="0"/>
          <w:sz w:val="22"/>
          <w:szCs w:val="24"/>
        </w:rPr>
        <w:t>o</w:t>
      </w:r>
      <w:r w:rsidR="00227F5B" w:rsidRPr="00BF4AB8">
        <w:rPr>
          <w:snapToGrid w:val="0"/>
          <w:sz w:val="22"/>
          <w:szCs w:val="24"/>
        </w:rPr>
        <w:t>s metastaz</w:t>
      </w:r>
      <w:r w:rsidRPr="00BF4AB8">
        <w:rPr>
          <w:snapToGrid w:val="0"/>
          <w:sz w:val="22"/>
          <w:szCs w:val="24"/>
        </w:rPr>
        <w:t>ė</w:t>
      </w:r>
      <w:r w:rsidR="00227F5B" w:rsidRPr="00BF4AB8">
        <w:rPr>
          <w:snapToGrid w:val="0"/>
          <w:sz w:val="22"/>
          <w:szCs w:val="24"/>
        </w:rPr>
        <w:t>s galvos smegenyse</w:t>
      </w:r>
      <w:r w:rsidRPr="00BF4AB8">
        <w:rPr>
          <w:snapToGrid w:val="0"/>
          <w:sz w:val="22"/>
          <w:szCs w:val="24"/>
        </w:rPr>
        <w:t xml:space="preserve"> </w:t>
      </w:r>
      <w:r w:rsidR="00227F5B" w:rsidRPr="00BF4AB8">
        <w:rPr>
          <w:snapToGrid w:val="0"/>
          <w:sz w:val="22"/>
          <w:szCs w:val="24"/>
        </w:rPr>
        <w:t xml:space="preserve">prieš juos </w:t>
      </w:r>
      <w:proofErr w:type="spellStart"/>
      <w:r w:rsidR="00227F5B" w:rsidRPr="00BF4AB8">
        <w:rPr>
          <w:snapToGrid w:val="0"/>
          <w:sz w:val="22"/>
          <w:szCs w:val="24"/>
        </w:rPr>
        <w:t>traukint</w:t>
      </w:r>
      <w:proofErr w:type="spellEnd"/>
      <w:r w:rsidR="00227F5B" w:rsidRPr="00BF4AB8">
        <w:rPr>
          <w:snapToGrid w:val="0"/>
          <w:sz w:val="22"/>
          <w:szCs w:val="24"/>
        </w:rPr>
        <w:t xml:space="preserve"> į tyrimą ir 3,8</w:t>
      </w:r>
      <w:r w:rsidR="00AC48E9" w:rsidRPr="00BF4AB8">
        <w:rPr>
          <w:snapToGrid w:val="0"/>
          <w:sz w:val="22"/>
          <w:szCs w:val="24"/>
        </w:rPr>
        <w:t> %</w:t>
      </w:r>
      <w:r w:rsidR="00227F5B" w:rsidRPr="00BF4AB8">
        <w:rPr>
          <w:snapToGrid w:val="0"/>
          <w:sz w:val="22"/>
          <w:szCs w:val="24"/>
        </w:rPr>
        <w:t xml:space="preserve"> pacientų </w:t>
      </w:r>
      <w:r w:rsidRPr="00BF4AB8">
        <w:rPr>
          <w:snapToGrid w:val="0"/>
          <w:sz w:val="22"/>
          <w:szCs w:val="24"/>
        </w:rPr>
        <w:t>jau</w:t>
      </w:r>
      <w:r w:rsidR="00227F5B" w:rsidRPr="00BF4AB8">
        <w:rPr>
          <w:snapToGrid w:val="0"/>
          <w:sz w:val="22"/>
          <w:szCs w:val="24"/>
        </w:rPr>
        <w:t xml:space="preserve"> buvo gydyti </w:t>
      </w:r>
      <w:proofErr w:type="spellStart"/>
      <w:r w:rsidR="00227F5B" w:rsidRPr="00BF4AB8">
        <w:rPr>
          <w:snapToGrid w:val="0"/>
          <w:sz w:val="22"/>
          <w:szCs w:val="24"/>
        </w:rPr>
        <w:t>bevacizumabu</w:t>
      </w:r>
      <w:proofErr w:type="spellEnd"/>
      <w:r w:rsidR="00227F5B" w:rsidRPr="00BF4AB8">
        <w:rPr>
          <w:snapToGrid w:val="0"/>
          <w:sz w:val="22"/>
          <w:szCs w:val="24"/>
        </w:rPr>
        <w:t>.</w:t>
      </w:r>
    </w:p>
    <w:p w14:paraId="34A1C3C8" w14:textId="10CFBEF2" w:rsidR="00227F5B" w:rsidRPr="00BF4AB8" w:rsidRDefault="00227F5B" w:rsidP="00227F5B">
      <w:pPr>
        <w:ind w:right="-142"/>
        <w:rPr>
          <w:snapToGrid w:val="0"/>
          <w:sz w:val="22"/>
          <w:szCs w:val="24"/>
        </w:rPr>
      </w:pPr>
      <w:r w:rsidRPr="00BF4AB8">
        <w:rPr>
          <w:snapToGrid w:val="0"/>
          <w:sz w:val="22"/>
          <w:szCs w:val="24"/>
        </w:rPr>
        <w:t xml:space="preserve">Ligos stadija diagnozavimo metu buvo nustatyta </w:t>
      </w:r>
      <w:r w:rsidR="00CB352D" w:rsidRPr="00BF4AB8">
        <w:rPr>
          <w:snapToGrid w:val="0"/>
          <w:sz w:val="22"/>
          <w:szCs w:val="24"/>
        </w:rPr>
        <w:t xml:space="preserve">naudojant </w:t>
      </w:r>
      <w:proofErr w:type="spellStart"/>
      <w:r w:rsidRPr="00BF4AB8">
        <w:rPr>
          <w:i/>
          <w:iCs/>
          <w:snapToGrid w:val="0"/>
          <w:sz w:val="22"/>
          <w:szCs w:val="24"/>
        </w:rPr>
        <w:t>Union</w:t>
      </w:r>
      <w:proofErr w:type="spellEnd"/>
      <w:r w:rsidRPr="00BF4AB8">
        <w:rPr>
          <w:i/>
          <w:iCs/>
          <w:snapToGrid w:val="0"/>
          <w:sz w:val="22"/>
          <w:szCs w:val="24"/>
        </w:rPr>
        <w:t xml:space="preserve"> </w:t>
      </w:r>
      <w:proofErr w:type="spellStart"/>
      <w:r w:rsidRPr="00BF4AB8">
        <w:rPr>
          <w:i/>
          <w:iCs/>
          <w:snapToGrid w:val="0"/>
          <w:sz w:val="22"/>
          <w:szCs w:val="24"/>
        </w:rPr>
        <w:t>Internationale</w:t>
      </w:r>
      <w:proofErr w:type="spellEnd"/>
      <w:r w:rsidRPr="00BF4AB8">
        <w:rPr>
          <w:i/>
          <w:iCs/>
          <w:snapToGrid w:val="0"/>
          <w:sz w:val="22"/>
          <w:szCs w:val="24"/>
        </w:rPr>
        <w:t xml:space="preserve"> </w:t>
      </w:r>
      <w:proofErr w:type="spellStart"/>
      <w:r w:rsidRPr="00BF4AB8">
        <w:rPr>
          <w:i/>
          <w:iCs/>
          <w:snapToGrid w:val="0"/>
          <w:sz w:val="22"/>
          <w:szCs w:val="24"/>
        </w:rPr>
        <w:t>Contre</w:t>
      </w:r>
      <w:proofErr w:type="spellEnd"/>
      <w:r w:rsidRPr="00BF4AB8">
        <w:rPr>
          <w:i/>
          <w:iCs/>
          <w:snapToGrid w:val="0"/>
          <w:sz w:val="22"/>
          <w:szCs w:val="24"/>
        </w:rPr>
        <w:t xml:space="preserve"> </w:t>
      </w:r>
      <w:proofErr w:type="spellStart"/>
      <w:r w:rsidRPr="00BF4AB8">
        <w:rPr>
          <w:i/>
          <w:iCs/>
          <w:snapToGrid w:val="0"/>
          <w:sz w:val="22"/>
          <w:szCs w:val="24"/>
        </w:rPr>
        <w:t>le</w:t>
      </w:r>
      <w:proofErr w:type="spellEnd"/>
      <w:r w:rsidR="00CB352D" w:rsidRPr="00BF4AB8">
        <w:rPr>
          <w:i/>
          <w:iCs/>
          <w:snapToGrid w:val="0"/>
          <w:sz w:val="22"/>
          <w:szCs w:val="24"/>
        </w:rPr>
        <w:t xml:space="preserve"> </w:t>
      </w:r>
      <w:proofErr w:type="spellStart"/>
      <w:r w:rsidRPr="00BF4AB8">
        <w:rPr>
          <w:i/>
          <w:iCs/>
          <w:snapToGrid w:val="0"/>
          <w:sz w:val="22"/>
          <w:szCs w:val="24"/>
        </w:rPr>
        <w:t>Cancer</w:t>
      </w:r>
      <w:proofErr w:type="spellEnd"/>
      <w:r w:rsidRPr="00BF4AB8">
        <w:rPr>
          <w:snapToGrid w:val="0"/>
          <w:sz w:val="22"/>
          <w:szCs w:val="24"/>
        </w:rPr>
        <w:t xml:space="preserve"> (UICC) / </w:t>
      </w:r>
      <w:r w:rsidRPr="00BF4AB8">
        <w:rPr>
          <w:i/>
          <w:iCs/>
          <w:snapToGrid w:val="0"/>
          <w:sz w:val="22"/>
          <w:szCs w:val="24"/>
        </w:rPr>
        <w:t xml:space="preserve">American </w:t>
      </w:r>
      <w:proofErr w:type="spellStart"/>
      <w:r w:rsidRPr="00BF4AB8">
        <w:rPr>
          <w:i/>
          <w:iCs/>
          <w:snapToGrid w:val="0"/>
          <w:sz w:val="22"/>
          <w:szCs w:val="24"/>
        </w:rPr>
        <w:t>Joint</w:t>
      </w:r>
      <w:proofErr w:type="spellEnd"/>
      <w:r w:rsidRPr="00BF4AB8">
        <w:rPr>
          <w:i/>
          <w:iCs/>
          <w:snapToGrid w:val="0"/>
          <w:sz w:val="22"/>
          <w:szCs w:val="24"/>
        </w:rPr>
        <w:t xml:space="preserve"> </w:t>
      </w:r>
      <w:proofErr w:type="spellStart"/>
      <w:r w:rsidRPr="00BF4AB8">
        <w:rPr>
          <w:i/>
          <w:iCs/>
          <w:snapToGrid w:val="0"/>
          <w:sz w:val="22"/>
          <w:szCs w:val="24"/>
        </w:rPr>
        <w:t>Committee</w:t>
      </w:r>
      <w:proofErr w:type="spellEnd"/>
      <w:r w:rsidRPr="00BF4AB8">
        <w:rPr>
          <w:i/>
          <w:iCs/>
          <w:snapToGrid w:val="0"/>
          <w:sz w:val="22"/>
          <w:szCs w:val="24"/>
        </w:rPr>
        <w:t xml:space="preserve"> </w:t>
      </w:r>
      <w:proofErr w:type="spellStart"/>
      <w:r w:rsidRPr="00BF4AB8">
        <w:rPr>
          <w:i/>
          <w:iCs/>
          <w:snapToGrid w:val="0"/>
          <w:sz w:val="22"/>
          <w:szCs w:val="24"/>
        </w:rPr>
        <w:t>on</w:t>
      </w:r>
      <w:proofErr w:type="spellEnd"/>
      <w:r w:rsidRPr="00BF4AB8">
        <w:rPr>
          <w:i/>
          <w:iCs/>
          <w:snapToGrid w:val="0"/>
          <w:sz w:val="22"/>
          <w:szCs w:val="24"/>
        </w:rPr>
        <w:t xml:space="preserve"> </w:t>
      </w:r>
      <w:proofErr w:type="spellStart"/>
      <w:r w:rsidRPr="00BF4AB8">
        <w:rPr>
          <w:i/>
          <w:iCs/>
          <w:snapToGrid w:val="0"/>
          <w:sz w:val="22"/>
          <w:szCs w:val="24"/>
        </w:rPr>
        <w:t>Cancer</w:t>
      </w:r>
      <w:proofErr w:type="spellEnd"/>
      <w:r w:rsidRPr="00BF4AB8">
        <w:rPr>
          <w:snapToGrid w:val="0"/>
          <w:sz w:val="22"/>
          <w:szCs w:val="24"/>
        </w:rPr>
        <w:t xml:space="preserve"> (AJCC) 6 ar 7 </w:t>
      </w:r>
      <w:r w:rsidR="00CB352D" w:rsidRPr="00BF4AB8">
        <w:rPr>
          <w:snapToGrid w:val="0"/>
          <w:sz w:val="22"/>
          <w:szCs w:val="24"/>
        </w:rPr>
        <w:t>versiją</w:t>
      </w:r>
      <w:r w:rsidRPr="00BF4AB8">
        <w:rPr>
          <w:snapToGrid w:val="0"/>
          <w:sz w:val="22"/>
          <w:szCs w:val="24"/>
        </w:rPr>
        <w:t>. Bendro</w:t>
      </w:r>
      <w:r w:rsidR="00CB352D" w:rsidRPr="00BF4AB8">
        <w:rPr>
          <w:snapToGrid w:val="0"/>
          <w:sz w:val="22"/>
          <w:szCs w:val="24"/>
        </w:rPr>
        <w:t>jo</w:t>
      </w:r>
      <w:r w:rsidRPr="00BF4AB8">
        <w:rPr>
          <w:snapToGrid w:val="0"/>
          <w:sz w:val="22"/>
          <w:szCs w:val="24"/>
        </w:rPr>
        <w:t>je</w:t>
      </w:r>
      <w:r w:rsidR="00CB352D" w:rsidRPr="00BF4AB8">
        <w:rPr>
          <w:snapToGrid w:val="0"/>
          <w:sz w:val="22"/>
          <w:szCs w:val="24"/>
        </w:rPr>
        <w:t xml:space="preserve"> </w:t>
      </w:r>
      <w:r w:rsidRPr="00BF4AB8">
        <w:rPr>
          <w:snapToGrid w:val="0"/>
          <w:sz w:val="22"/>
          <w:szCs w:val="24"/>
        </w:rPr>
        <w:t>populiacijoje 16,0</w:t>
      </w:r>
      <w:r w:rsidR="00AC48E9" w:rsidRPr="00BF4AB8">
        <w:rPr>
          <w:snapToGrid w:val="0"/>
          <w:sz w:val="22"/>
          <w:szCs w:val="24"/>
        </w:rPr>
        <w:t> %</w:t>
      </w:r>
      <w:r w:rsidRPr="00BF4AB8">
        <w:rPr>
          <w:snapToGrid w:val="0"/>
          <w:sz w:val="22"/>
          <w:szCs w:val="24"/>
        </w:rPr>
        <w:t xml:space="preserve"> pacientų ligos stadija buvo &lt;</w:t>
      </w:r>
      <w:r w:rsidR="00CB352D" w:rsidRPr="00BF4AB8">
        <w:rPr>
          <w:snapToGrid w:val="0"/>
          <w:sz w:val="22"/>
          <w:szCs w:val="24"/>
        </w:rPr>
        <w:t> </w:t>
      </w:r>
      <w:r w:rsidRPr="00BF4AB8">
        <w:rPr>
          <w:snapToGrid w:val="0"/>
          <w:sz w:val="22"/>
          <w:szCs w:val="24"/>
        </w:rPr>
        <w:t>IIIB/IV, 22,4</w:t>
      </w:r>
      <w:r w:rsidR="00AC48E9" w:rsidRPr="00BF4AB8">
        <w:rPr>
          <w:snapToGrid w:val="0"/>
          <w:sz w:val="22"/>
          <w:szCs w:val="24"/>
        </w:rPr>
        <w:t> %</w:t>
      </w:r>
      <w:r w:rsidRPr="00BF4AB8">
        <w:rPr>
          <w:snapToGrid w:val="0"/>
          <w:sz w:val="22"/>
          <w:szCs w:val="24"/>
        </w:rPr>
        <w:t xml:space="preserve"> pacientų ligos stadija buvo IIIB ir</w:t>
      </w:r>
      <w:r w:rsidR="00CB352D" w:rsidRPr="00BF4AB8">
        <w:rPr>
          <w:snapToGrid w:val="0"/>
          <w:sz w:val="22"/>
          <w:szCs w:val="24"/>
        </w:rPr>
        <w:t xml:space="preserve"> </w:t>
      </w:r>
      <w:r w:rsidRPr="00BF4AB8">
        <w:rPr>
          <w:snapToGrid w:val="0"/>
          <w:sz w:val="22"/>
          <w:szCs w:val="24"/>
        </w:rPr>
        <w:t>61,6</w:t>
      </w:r>
      <w:r w:rsidR="00AC48E9" w:rsidRPr="00BF4AB8">
        <w:rPr>
          <w:snapToGrid w:val="0"/>
          <w:sz w:val="22"/>
          <w:szCs w:val="24"/>
        </w:rPr>
        <w:t> %</w:t>
      </w:r>
      <w:r w:rsidRPr="00BF4AB8">
        <w:rPr>
          <w:snapToGrid w:val="0"/>
          <w:sz w:val="22"/>
          <w:szCs w:val="24"/>
        </w:rPr>
        <w:t xml:space="preserve"> pacientų ligos </w:t>
      </w:r>
      <w:r w:rsidRPr="00BF4AB8">
        <w:rPr>
          <w:snapToGrid w:val="0"/>
          <w:sz w:val="22"/>
          <w:szCs w:val="24"/>
        </w:rPr>
        <w:lastRenderedPageBreak/>
        <w:t>stadija buvo IV. 9,2</w:t>
      </w:r>
      <w:r w:rsidR="00AC48E9" w:rsidRPr="00BF4AB8">
        <w:rPr>
          <w:snapToGrid w:val="0"/>
          <w:sz w:val="22"/>
          <w:szCs w:val="24"/>
        </w:rPr>
        <w:t> %</w:t>
      </w:r>
      <w:r w:rsidRPr="00BF4AB8">
        <w:rPr>
          <w:snapToGrid w:val="0"/>
          <w:sz w:val="22"/>
          <w:szCs w:val="24"/>
        </w:rPr>
        <w:t xml:space="preserve"> </w:t>
      </w:r>
      <w:r w:rsidR="00CB352D" w:rsidRPr="00BF4AB8">
        <w:rPr>
          <w:snapToGrid w:val="0"/>
          <w:sz w:val="22"/>
          <w:szCs w:val="24"/>
        </w:rPr>
        <w:t xml:space="preserve">į tyrimą įtrauktų </w:t>
      </w:r>
      <w:r w:rsidRPr="00BF4AB8">
        <w:rPr>
          <w:snapToGrid w:val="0"/>
          <w:sz w:val="22"/>
          <w:szCs w:val="24"/>
        </w:rPr>
        <w:t xml:space="preserve">pacientų </w:t>
      </w:r>
      <w:r w:rsidR="00CB352D" w:rsidRPr="00BF4AB8">
        <w:rPr>
          <w:snapToGrid w:val="0"/>
          <w:sz w:val="22"/>
          <w:szCs w:val="24"/>
        </w:rPr>
        <w:t>buvo</w:t>
      </w:r>
      <w:r w:rsidRPr="00BF4AB8">
        <w:rPr>
          <w:snapToGrid w:val="0"/>
          <w:sz w:val="22"/>
          <w:szCs w:val="24"/>
        </w:rPr>
        <w:t xml:space="preserve"> lokalios recidyvinės ligos</w:t>
      </w:r>
      <w:r w:rsidR="00CB352D" w:rsidRPr="00BF4AB8">
        <w:rPr>
          <w:snapToGrid w:val="0"/>
          <w:sz w:val="22"/>
          <w:szCs w:val="24"/>
        </w:rPr>
        <w:t xml:space="preserve"> </w:t>
      </w:r>
      <w:r w:rsidRPr="00BF4AB8">
        <w:rPr>
          <w:snapToGrid w:val="0"/>
          <w:sz w:val="22"/>
          <w:szCs w:val="24"/>
        </w:rPr>
        <w:t xml:space="preserve">stadija, nustatyta tyrimo pradžioje. </w:t>
      </w:r>
      <w:r w:rsidR="00CB352D" w:rsidRPr="00BF4AB8">
        <w:rPr>
          <w:snapToGrid w:val="0"/>
          <w:sz w:val="22"/>
          <w:szCs w:val="24"/>
        </w:rPr>
        <w:t>Vertinant p</w:t>
      </w:r>
      <w:r w:rsidRPr="00BF4AB8">
        <w:rPr>
          <w:snapToGrid w:val="0"/>
          <w:sz w:val="22"/>
          <w:szCs w:val="24"/>
        </w:rPr>
        <w:t>acient</w:t>
      </w:r>
      <w:r w:rsidR="00CB352D" w:rsidRPr="00BF4AB8">
        <w:rPr>
          <w:snapToGrid w:val="0"/>
          <w:sz w:val="22"/>
          <w:szCs w:val="24"/>
        </w:rPr>
        <w:t>us</w:t>
      </w:r>
      <w:r w:rsidRPr="00BF4AB8">
        <w:rPr>
          <w:snapToGrid w:val="0"/>
          <w:sz w:val="22"/>
          <w:szCs w:val="24"/>
        </w:rPr>
        <w:t xml:space="preserve">, kurių histologinis naviko tipas buvo </w:t>
      </w:r>
      <w:proofErr w:type="spellStart"/>
      <w:r w:rsidRPr="00BF4AB8">
        <w:rPr>
          <w:snapToGrid w:val="0"/>
          <w:sz w:val="22"/>
          <w:szCs w:val="24"/>
        </w:rPr>
        <w:t>adenokarcinoma</w:t>
      </w:r>
      <w:proofErr w:type="spellEnd"/>
      <w:r w:rsidRPr="00BF4AB8">
        <w:rPr>
          <w:snapToGrid w:val="0"/>
          <w:sz w:val="22"/>
          <w:szCs w:val="24"/>
        </w:rPr>
        <w:t>,</w:t>
      </w:r>
      <w:r w:rsidR="00CB352D" w:rsidRPr="00BF4AB8">
        <w:rPr>
          <w:snapToGrid w:val="0"/>
          <w:sz w:val="22"/>
          <w:szCs w:val="24"/>
        </w:rPr>
        <w:t xml:space="preserve"> </w:t>
      </w:r>
      <w:r w:rsidRPr="00BF4AB8">
        <w:rPr>
          <w:snapToGrid w:val="0"/>
          <w:sz w:val="22"/>
          <w:szCs w:val="24"/>
        </w:rPr>
        <w:t>15,8</w:t>
      </w:r>
      <w:r w:rsidR="00AC48E9" w:rsidRPr="00BF4AB8">
        <w:rPr>
          <w:snapToGrid w:val="0"/>
          <w:sz w:val="22"/>
          <w:szCs w:val="24"/>
        </w:rPr>
        <w:t> %</w:t>
      </w:r>
      <w:r w:rsidRPr="00BF4AB8">
        <w:rPr>
          <w:snapToGrid w:val="0"/>
          <w:sz w:val="22"/>
          <w:szCs w:val="24"/>
        </w:rPr>
        <w:t xml:space="preserve"> atvejų ligos stadija buvo &lt;</w:t>
      </w:r>
      <w:r w:rsidR="00CB352D" w:rsidRPr="00BF4AB8">
        <w:rPr>
          <w:snapToGrid w:val="0"/>
          <w:sz w:val="22"/>
          <w:szCs w:val="24"/>
        </w:rPr>
        <w:t> </w:t>
      </w:r>
      <w:r w:rsidRPr="00BF4AB8">
        <w:rPr>
          <w:snapToGrid w:val="0"/>
          <w:sz w:val="22"/>
          <w:szCs w:val="24"/>
        </w:rPr>
        <w:t>IIIB/IV, 15,2</w:t>
      </w:r>
      <w:r w:rsidR="00AC48E9" w:rsidRPr="00BF4AB8">
        <w:rPr>
          <w:snapToGrid w:val="0"/>
          <w:sz w:val="22"/>
          <w:szCs w:val="24"/>
        </w:rPr>
        <w:t> %</w:t>
      </w:r>
      <w:r w:rsidRPr="00BF4AB8">
        <w:rPr>
          <w:snapToGrid w:val="0"/>
          <w:sz w:val="22"/>
          <w:szCs w:val="24"/>
        </w:rPr>
        <w:t xml:space="preserve"> atvejų ligos stadija buvo IIIB ir 69,0</w:t>
      </w:r>
      <w:r w:rsidR="00AC48E9" w:rsidRPr="00BF4AB8">
        <w:rPr>
          <w:snapToGrid w:val="0"/>
          <w:sz w:val="22"/>
          <w:szCs w:val="24"/>
        </w:rPr>
        <w:t> %</w:t>
      </w:r>
      <w:r w:rsidRPr="00BF4AB8">
        <w:rPr>
          <w:snapToGrid w:val="0"/>
          <w:sz w:val="22"/>
          <w:szCs w:val="24"/>
        </w:rPr>
        <w:t xml:space="preserve"> atvejų</w:t>
      </w:r>
      <w:r w:rsidR="00CB352D" w:rsidRPr="00BF4AB8">
        <w:rPr>
          <w:snapToGrid w:val="0"/>
          <w:sz w:val="22"/>
          <w:szCs w:val="24"/>
        </w:rPr>
        <w:t xml:space="preserve"> </w:t>
      </w:r>
      <w:r w:rsidRPr="00BF4AB8">
        <w:rPr>
          <w:snapToGrid w:val="0"/>
          <w:sz w:val="22"/>
          <w:szCs w:val="24"/>
        </w:rPr>
        <w:t>ligos stadija buvo IV.</w:t>
      </w:r>
      <w:r w:rsidR="00CB352D" w:rsidRPr="00BF4AB8">
        <w:rPr>
          <w:snapToGrid w:val="0"/>
          <w:sz w:val="22"/>
          <w:szCs w:val="24"/>
        </w:rPr>
        <w:t xml:space="preserve"> </w:t>
      </w:r>
      <w:r w:rsidRPr="00BF4AB8">
        <w:rPr>
          <w:snapToGrid w:val="0"/>
          <w:sz w:val="22"/>
          <w:szCs w:val="24"/>
        </w:rPr>
        <w:t>5,8</w:t>
      </w:r>
      <w:r w:rsidR="00AC48E9" w:rsidRPr="00BF4AB8">
        <w:rPr>
          <w:snapToGrid w:val="0"/>
          <w:sz w:val="22"/>
          <w:szCs w:val="24"/>
        </w:rPr>
        <w:t> %</w:t>
      </w:r>
      <w:r w:rsidRPr="00BF4AB8">
        <w:rPr>
          <w:snapToGrid w:val="0"/>
          <w:sz w:val="22"/>
          <w:szCs w:val="24"/>
        </w:rPr>
        <w:t xml:space="preserve"> </w:t>
      </w:r>
      <w:r w:rsidR="00CB352D" w:rsidRPr="00BF4AB8">
        <w:rPr>
          <w:snapToGrid w:val="0"/>
          <w:sz w:val="22"/>
          <w:szCs w:val="24"/>
        </w:rPr>
        <w:t xml:space="preserve">į tyrimą įtrauktų </w:t>
      </w:r>
      <w:proofErr w:type="spellStart"/>
      <w:r w:rsidRPr="00BF4AB8">
        <w:rPr>
          <w:snapToGrid w:val="0"/>
          <w:sz w:val="22"/>
          <w:szCs w:val="24"/>
        </w:rPr>
        <w:t>adenokarcinoma</w:t>
      </w:r>
      <w:proofErr w:type="spellEnd"/>
      <w:r w:rsidRPr="00BF4AB8">
        <w:rPr>
          <w:snapToGrid w:val="0"/>
          <w:sz w:val="22"/>
          <w:szCs w:val="24"/>
        </w:rPr>
        <w:t xml:space="preserve"> sergančių pacientų </w:t>
      </w:r>
      <w:r w:rsidR="00CB352D" w:rsidRPr="00BF4AB8">
        <w:rPr>
          <w:snapToGrid w:val="0"/>
          <w:sz w:val="22"/>
          <w:szCs w:val="24"/>
        </w:rPr>
        <w:t>buvo</w:t>
      </w:r>
      <w:r w:rsidRPr="00BF4AB8">
        <w:rPr>
          <w:snapToGrid w:val="0"/>
          <w:sz w:val="22"/>
          <w:szCs w:val="24"/>
        </w:rPr>
        <w:t xml:space="preserve"> lokalios recidyvinės ligos stadija,</w:t>
      </w:r>
      <w:r w:rsidR="00CB352D" w:rsidRPr="00BF4AB8">
        <w:rPr>
          <w:snapToGrid w:val="0"/>
          <w:sz w:val="22"/>
          <w:szCs w:val="24"/>
        </w:rPr>
        <w:t xml:space="preserve"> </w:t>
      </w:r>
      <w:r w:rsidRPr="00BF4AB8">
        <w:rPr>
          <w:snapToGrid w:val="0"/>
          <w:sz w:val="22"/>
          <w:szCs w:val="24"/>
        </w:rPr>
        <w:t>nustatyta tyrimo pradžioje.</w:t>
      </w:r>
    </w:p>
    <w:p w14:paraId="0FFF793F" w14:textId="77777777" w:rsidR="00CB352D" w:rsidRPr="00BF4AB8" w:rsidRDefault="00CB352D" w:rsidP="00227F5B">
      <w:pPr>
        <w:ind w:right="-142"/>
        <w:rPr>
          <w:snapToGrid w:val="0"/>
          <w:sz w:val="22"/>
          <w:szCs w:val="24"/>
        </w:rPr>
      </w:pPr>
    </w:p>
    <w:p w14:paraId="1038C7C7" w14:textId="18B83928" w:rsidR="00227F5B" w:rsidRPr="00BF4AB8" w:rsidRDefault="00E04F77" w:rsidP="00227F5B">
      <w:pPr>
        <w:ind w:right="-142"/>
        <w:rPr>
          <w:snapToGrid w:val="0"/>
          <w:sz w:val="22"/>
          <w:szCs w:val="24"/>
        </w:rPr>
      </w:pPr>
      <w:r w:rsidRPr="00BF4AB8">
        <w:rPr>
          <w:snapToGrid w:val="0"/>
          <w:sz w:val="22"/>
          <w:szCs w:val="24"/>
        </w:rPr>
        <w:t>Pagrindinė</w:t>
      </w:r>
      <w:r w:rsidR="00227F5B" w:rsidRPr="00BF4AB8">
        <w:rPr>
          <w:snapToGrid w:val="0"/>
          <w:sz w:val="22"/>
          <w:szCs w:val="24"/>
        </w:rPr>
        <w:t xml:space="preserve"> vertinamoji baigtis buvo </w:t>
      </w:r>
      <w:proofErr w:type="spellStart"/>
      <w:r w:rsidR="00227F5B" w:rsidRPr="00BF4AB8">
        <w:rPr>
          <w:snapToGrid w:val="0"/>
          <w:sz w:val="22"/>
          <w:szCs w:val="24"/>
        </w:rPr>
        <w:t>išgyvenamumas</w:t>
      </w:r>
      <w:proofErr w:type="spellEnd"/>
      <w:r w:rsidR="00227F5B" w:rsidRPr="00BF4AB8">
        <w:rPr>
          <w:snapToGrid w:val="0"/>
          <w:sz w:val="22"/>
          <w:szCs w:val="24"/>
        </w:rPr>
        <w:t xml:space="preserve"> be ligos progresavimo (IBLP), </w:t>
      </w:r>
      <w:r w:rsidRPr="00BF4AB8">
        <w:rPr>
          <w:snapToGrid w:val="0"/>
          <w:sz w:val="22"/>
          <w:szCs w:val="24"/>
        </w:rPr>
        <w:t xml:space="preserve">patvirtintas </w:t>
      </w:r>
      <w:r w:rsidR="00227F5B" w:rsidRPr="00BF4AB8">
        <w:rPr>
          <w:snapToGrid w:val="0"/>
          <w:sz w:val="22"/>
          <w:szCs w:val="24"/>
        </w:rPr>
        <w:t xml:space="preserve">nepriklausomos peržiūros komiteto (angl. </w:t>
      </w:r>
      <w:proofErr w:type="spellStart"/>
      <w:r w:rsidR="00227F5B" w:rsidRPr="00BF4AB8">
        <w:rPr>
          <w:i/>
          <w:iCs/>
          <w:snapToGrid w:val="0"/>
          <w:sz w:val="22"/>
          <w:szCs w:val="24"/>
        </w:rPr>
        <w:t>Independent</w:t>
      </w:r>
      <w:proofErr w:type="spellEnd"/>
      <w:r w:rsidR="00227F5B" w:rsidRPr="00BF4AB8">
        <w:rPr>
          <w:i/>
          <w:iCs/>
          <w:snapToGrid w:val="0"/>
          <w:sz w:val="22"/>
          <w:szCs w:val="24"/>
        </w:rPr>
        <w:t xml:space="preserve"> </w:t>
      </w:r>
      <w:proofErr w:type="spellStart"/>
      <w:r w:rsidR="00227F5B" w:rsidRPr="00BF4AB8">
        <w:rPr>
          <w:i/>
          <w:iCs/>
          <w:snapToGrid w:val="0"/>
          <w:sz w:val="22"/>
          <w:szCs w:val="24"/>
        </w:rPr>
        <w:t>Review</w:t>
      </w:r>
      <w:proofErr w:type="spellEnd"/>
      <w:r w:rsidR="00227F5B" w:rsidRPr="00BF4AB8">
        <w:rPr>
          <w:i/>
          <w:iCs/>
          <w:snapToGrid w:val="0"/>
          <w:sz w:val="22"/>
          <w:szCs w:val="24"/>
        </w:rPr>
        <w:t xml:space="preserve"> </w:t>
      </w:r>
      <w:proofErr w:type="spellStart"/>
      <w:r w:rsidR="00227F5B" w:rsidRPr="00BF4AB8">
        <w:rPr>
          <w:i/>
          <w:iCs/>
          <w:snapToGrid w:val="0"/>
          <w:sz w:val="22"/>
          <w:szCs w:val="24"/>
        </w:rPr>
        <w:t>Committee</w:t>
      </w:r>
      <w:proofErr w:type="spellEnd"/>
      <w:r w:rsidR="00227F5B" w:rsidRPr="00BF4AB8">
        <w:rPr>
          <w:snapToGrid w:val="0"/>
          <w:sz w:val="22"/>
          <w:szCs w:val="24"/>
        </w:rPr>
        <w:t>, IRC), remiantis gydyti</w:t>
      </w:r>
      <w:r w:rsidRPr="00BF4AB8">
        <w:rPr>
          <w:snapToGrid w:val="0"/>
          <w:sz w:val="22"/>
          <w:szCs w:val="24"/>
        </w:rPr>
        <w:t xml:space="preserve"> </w:t>
      </w:r>
      <w:r w:rsidR="00227F5B" w:rsidRPr="00BF4AB8">
        <w:rPr>
          <w:snapToGrid w:val="0"/>
          <w:sz w:val="22"/>
          <w:szCs w:val="24"/>
        </w:rPr>
        <w:t>numatyta (ang</w:t>
      </w:r>
      <w:r w:rsidRPr="00BF4AB8">
        <w:rPr>
          <w:snapToGrid w:val="0"/>
          <w:sz w:val="22"/>
          <w:szCs w:val="24"/>
        </w:rPr>
        <w:t>l</w:t>
      </w:r>
      <w:r w:rsidR="00227F5B" w:rsidRPr="00BF4AB8">
        <w:rPr>
          <w:snapToGrid w:val="0"/>
          <w:sz w:val="22"/>
          <w:szCs w:val="24"/>
        </w:rPr>
        <w:t xml:space="preserve">. </w:t>
      </w:r>
      <w:proofErr w:type="spellStart"/>
      <w:r w:rsidR="00227F5B" w:rsidRPr="00BF4AB8">
        <w:rPr>
          <w:i/>
          <w:iCs/>
          <w:snapToGrid w:val="0"/>
          <w:sz w:val="22"/>
          <w:szCs w:val="24"/>
        </w:rPr>
        <w:t>intent</w:t>
      </w:r>
      <w:proofErr w:type="spellEnd"/>
      <w:r w:rsidR="00227F5B" w:rsidRPr="00BF4AB8">
        <w:rPr>
          <w:i/>
          <w:iCs/>
          <w:snapToGrid w:val="0"/>
          <w:sz w:val="22"/>
          <w:szCs w:val="24"/>
        </w:rPr>
        <w:t xml:space="preserve">-to </w:t>
      </w:r>
      <w:proofErr w:type="spellStart"/>
      <w:r w:rsidR="00227F5B" w:rsidRPr="00BF4AB8">
        <w:rPr>
          <w:i/>
          <w:iCs/>
          <w:snapToGrid w:val="0"/>
          <w:sz w:val="22"/>
          <w:szCs w:val="24"/>
        </w:rPr>
        <w:t>treat</w:t>
      </w:r>
      <w:proofErr w:type="spellEnd"/>
      <w:r w:rsidR="00227F5B" w:rsidRPr="00BF4AB8">
        <w:rPr>
          <w:snapToGrid w:val="0"/>
          <w:sz w:val="22"/>
          <w:szCs w:val="24"/>
        </w:rPr>
        <w:t xml:space="preserve">, ITT) </w:t>
      </w:r>
      <w:r w:rsidRPr="00BF4AB8">
        <w:rPr>
          <w:snapToGrid w:val="0"/>
          <w:sz w:val="22"/>
          <w:szCs w:val="24"/>
        </w:rPr>
        <w:t xml:space="preserve">populiacija </w:t>
      </w:r>
      <w:r w:rsidR="00227F5B" w:rsidRPr="00BF4AB8">
        <w:rPr>
          <w:snapToGrid w:val="0"/>
          <w:sz w:val="22"/>
          <w:szCs w:val="24"/>
        </w:rPr>
        <w:t xml:space="preserve">ir patikrinta histologine struktūra. </w:t>
      </w:r>
      <w:r w:rsidRPr="00BF4AB8">
        <w:rPr>
          <w:snapToGrid w:val="0"/>
          <w:sz w:val="22"/>
          <w:szCs w:val="24"/>
        </w:rPr>
        <w:t>Svarbiausia antrinė</w:t>
      </w:r>
      <w:r w:rsidR="00227F5B" w:rsidRPr="00BF4AB8">
        <w:rPr>
          <w:snapToGrid w:val="0"/>
          <w:sz w:val="22"/>
          <w:szCs w:val="24"/>
        </w:rPr>
        <w:t xml:space="preserve"> vertinamoji baigtis buvo bendras </w:t>
      </w:r>
      <w:proofErr w:type="spellStart"/>
      <w:r w:rsidR="00227F5B" w:rsidRPr="00BF4AB8">
        <w:rPr>
          <w:snapToGrid w:val="0"/>
          <w:sz w:val="22"/>
          <w:szCs w:val="24"/>
        </w:rPr>
        <w:t>išgyvenamumas</w:t>
      </w:r>
      <w:proofErr w:type="spellEnd"/>
      <w:r w:rsidR="00227F5B" w:rsidRPr="00BF4AB8">
        <w:rPr>
          <w:snapToGrid w:val="0"/>
          <w:sz w:val="22"/>
          <w:szCs w:val="24"/>
        </w:rPr>
        <w:t xml:space="preserve"> (BI). Kit</w:t>
      </w:r>
      <w:r w:rsidRPr="00BF4AB8">
        <w:rPr>
          <w:snapToGrid w:val="0"/>
          <w:sz w:val="22"/>
          <w:szCs w:val="24"/>
        </w:rPr>
        <w:t>os</w:t>
      </w:r>
      <w:r w:rsidR="00227F5B" w:rsidRPr="00BF4AB8">
        <w:rPr>
          <w:snapToGrid w:val="0"/>
          <w:sz w:val="22"/>
          <w:szCs w:val="24"/>
        </w:rPr>
        <w:t xml:space="preserve"> veiksmingumo </w:t>
      </w:r>
      <w:r w:rsidRPr="00BF4AB8">
        <w:rPr>
          <w:snapToGrid w:val="0"/>
          <w:sz w:val="22"/>
          <w:szCs w:val="24"/>
        </w:rPr>
        <w:t>baigtys</w:t>
      </w:r>
      <w:r w:rsidR="00227F5B" w:rsidRPr="00BF4AB8">
        <w:rPr>
          <w:snapToGrid w:val="0"/>
          <w:sz w:val="22"/>
          <w:szCs w:val="24"/>
        </w:rPr>
        <w:t xml:space="preserve"> buvo</w:t>
      </w:r>
      <w:r w:rsidRPr="00BF4AB8">
        <w:rPr>
          <w:snapToGrid w:val="0"/>
          <w:sz w:val="22"/>
          <w:szCs w:val="24"/>
        </w:rPr>
        <w:t xml:space="preserve"> </w:t>
      </w:r>
      <w:r w:rsidR="00227F5B" w:rsidRPr="00BF4AB8">
        <w:rPr>
          <w:snapToGrid w:val="0"/>
          <w:sz w:val="22"/>
          <w:szCs w:val="24"/>
        </w:rPr>
        <w:t>objektyvus atsakas, ligos kontrolė, naviko dydžio pokytis ir su sveikatos būkle susijusi</w:t>
      </w:r>
      <w:r w:rsidRPr="00BF4AB8">
        <w:rPr>
          <w:snapToGrid w:val="0"/>
          <w:sz w:val="22"/>
          <w:szCs w:val="24"/>
        </w:rPr>
        <w:t xml:space="preserve"> </w:t>
      </w:r>
      <w:r w:rsidR="00227F5B" w:rsidRPr="00BF4AB8">
        <w:rPr>
          <w:snapToGrid w:val="0"/>
          <w:sz w:val="22"/>
          <w:szCs w:val="24"/>
        </w:rPr>
        <w:t>gyvenimo kokybė.</w:t>
      </w:r>
    </w:p>
    <w:p w14:paraId="77873806" w14:textId="77777777" w:rsidR="00E04F77" w:rsidRPr="00BF4AB8" w:rsidRDefault="00E04F77" w:rsidP="00227F5B">
      <w:pPr>
        <w:ind w:right="-142"/>
        <w:rPr>
          <w:snapToGrid w:val="0"/>
          <w:sz w:val="22"/>
          <w:szCs w:val="24"/>
        </w:rPr>
      </w:pPr>
    </w:p>
    <w:p w14:paraId="137D0EF2" w14:textId="760F18C4" w:rsidR="00227F5B" w:rsidRPr="00BF4AB8" w:rsidRDefault="00AE6455" w:rsidP="00227F5B">
      <w:pPr>
        <w:ind w:right="-142"/>
        <w:rPr>
          <w:snapToGrid w:val="0"/>
          <w:sz w:val="22"/>
          <w:szCs w:val="24"/>
        </w:rPr>
      </w:pPr>
      <w:r w:rsidRPr="00BF4AB8">
        <w:rPr>
          <w:snapToGrid w:val="0"/>
          <w:sz w:val="22"/>
          <w:szCs w:val="24"/>
        </w:rPr>
        <w:t>Nepriklausomas peržiūros komitetas nustatė, kad</w:t>
      </w:r>
      <w:r w:rsidR="004A2377" w:rsidRPr="00BF4AB8">
        <w:rPr>
          <w:snapToGrid w:val="0"/>
          <w:sz w:val="22"/>
          <w:szCs w:val="24"/>
        </w:rPr>
        <w:t>,</w:t>
      </w:r>
      <w:r w:rsidRPr="00BF4AB8">
        <w:rPr>
          <w:snapToGrid w:val="0"/>
          <w:sz w:val="22"/>
          <w:szCs w:val="24"/>
        </w:rPr>
        <w:t xml:space="preserve"> gydymą </w:t>
      </w:r>
      <w:proofErr w:type="spellStart"/>
      <w:r w:rsidRPr="00BF4AB8">
        <w:rPr>
          <w:snapToGrid w:val="0"/>
          <w:sz w:val="22"/>
          <w:szCs w:val="24"/>
        </w:rPr>
        <w:t>nintedanibu</w:t>
      </w:r>
      <w:proofErr w:type="spellEnd"/>
      <w:r w:rsidRPr="00BF4AB8">
        <w:rPr>
          <w:snapToGrid w:val="0"/>
          <w:sz w:val="22"/>
          <w:szCs w:val="24"/>
        </w:rPr>
        <w:t xml:space="preserve"> p</w:t>
      </w:r>
      <w:r w:rsidR="00227F5B" w:rsidRPr="00BF4AB8">
        <w:rPr>
          <w:snapToGrid w:val="0"/>
          <w:sz w:val="22"/>
          <w:szCs w:val="24"/>
        </w:rPr>
        <w:t xml:space="preserve">apildžius </w:t>
      </w:r>
      <w:proofErr w:type="spellStart"/>
      <w:r w:rsidR="00227F5B" w:rsidRPr="00BF4AB8">
        <w:rPr>
          <w:snapToGrid w:val="0"/>
          <w:sz w:val="22"/>
          <w:szCs w:val="24"/>
        </w:rPr>
        <w:t>docetakseliu</w:t>
      </w:r>
      <w:proofErr w:type="spellEnd"/>
      <w:r w:rsidR="00227F5B" w:rsidRPr="00BF4AB8">
        <w:rPr>
          <w:snapToGrid w:val="0"/>
          <w:sz w:val="22"/>
          <w:szCs w:val="24"/>
        </w:rPr>
        <w:t>, visoje</w:t>
      </w:r>
      <w:r w:rsidR="004A2377" w:rsidRPr="00BF4AB8">
        <w:rPr>
          <w:snapToGrid w:val="0"/>
          <w:sz w:val="22"/>
          <w:szCs w:val="24"/>
        </w:rPr>
        <w:t xml:space="preserve"> </w:t>
      </w:r>
      <w:r w:rsidR="00227F5B" w:rsidRPr="00BF4AB8">
        <w:rPr>
          <w:snapToGrid w:val="0"/>
          <w:sz w:val="22"/>
          <w:szCs w:val="24"/>
        </w:rPr>
        <w:t>populiacijoje statistiškai reikšmingai 21</w:t>
      </w:r>
      <w:r w:rsidR="00AC48E9" w:rsidRPr="00BF4AB8">
        <w:rPr>
          <w:snapToGrid w:val="0"/>
          <w:sz w:val="22"/>
          <w:szCs w:val="24"/>
        </w:rPr>
        <w:t> %</w:t>
      </w:r>
      <w:r w:rsidR="00227F5B" w:rsidRPr="00BF4AB8">
        <w:rPr>
          <w:snapToGrid w:val="0"/>
          <w:sz w:val="22"/>
          <w:szCs w:val="24"/>
        </w:rPr>
        <w:t xml:space="preserve"> sumažėjo ligos progresavimo ar mirties rizika ( rizikos</w:t>
      </w:r>
      <w:r w:rsidR="004A2377" w:rsidRPr="00BF4AB8">
        <w:rPr>
          <w:snapToGrid w:val="0"/>
          <w:sz w:val="22"/>
          <w:szCs w:val="24"/>
        </w:rPr>
        <w:t xml:space="preserve"> </w:t>
      </w:r>
      <w:r w:rsidR="00227F5B" w:rsidRPr="00BF4AB8">
        <w:rPr>
          <w:snapToGrid w:val="0"/>
          <w:sz w:val="22"/>
          <w:szCs w:val="24"/>
        </w:rPr>
        <w:t>santykis (RS) 0,79; 95</w:t>
      </w:r>
      <w:r w:rsidR="00AC48E9" w:rsidRPr="00BF4AB8">
        <w:rPr>
          <w:snapToGrid w:val="0"/>
          <w:sz w:val="22"/>
          <w:szCs w:val="24"/>
        </w:rPr>
        <w:t> %</w:t>
      </w:r>
      <w:r w:rsidR="00227F5B" w:rsidRPr="00BF4AB8">
        <w:rPr>
          <w:snapToGrid w:val="0"/>
          <w:sz w:val="22"/>
          <w:szCs w:val="24"/>
        </w:rPr>
        <w:t xml:space="preserve"> </w:t>
      </w:r>
      <w:proofErr w:type="spellStart"/>
      <w:r w:rsidR="00227F5B" w:rsidRPr="00BF4AB8">
        <w:rPr>
          <w:snapToGrid w:val="0"/>
          <w:sz w:val="22"/>
          <w:szCs w:val="24"/>
        </w:rPr>
        <w:t>pasikliautinasis</w:t>
      </w:r>
      <w:proofErr w:type="spellEnd"/>
      <w:r w:rsidR="00227F5B" w:rsidRPr="00BF4AB8">
        <w:rPr>
          <w:snapToGrid w:val="0"/>
          <w:sz w:val="22"/>
          <w:szCs w:val="24"/>
        </w:rPr>
        <w:t xml:space="preserve"> intervalas (PI): 0,68-0,92; p</w:t>
      </w:r>
      <w:r w:rsidR="00D35BA8" w:rsidRPr="00BF4AB8">
        <w:rPr>
          <w:snapToGrid w:val="0"/>
          <w:sz w:val="22"/>
          <w:szCs w:val="24"/>
        </w:rPr>
        <w:t>=</w:t>
      </w:r>
      <w:r w:rsidR="00227F5B" w:rsidRPr="00BF4AB8">
        <w:rPr>
          <w:snapToGrid w:val="0"/>
          <w:sz w:val="22"/>
          <w:szCs w:val="24"/>
        </w:rPr>
        <w:t>0,0019). Šį rezultatą patvirtino</w:t>
      </w:r>
      <w:r w:rsidR="004A2377" w:rsidRPr="00BF4AB8">
        <w:rPr>
          <w:snapToGrid w:val="0"/>
          <w:sz w:val="22"/>
          <w:szCs w:val="24"/>
        </w:rPr>
        <w:t xml:space="preserve"> vėlesnė</w:t>
      </w:r>
      <w:r w:rsidR="00227F5B" w:rsidRPr="00BF4AB8">
        <w:rPr>
          <w:snapToGrid w:val="0"/>
          <w:sz w:val="22"/>
          <w:szCs w:val="24"/>
        </w:rPr>
        <w:t xml:space="preserve"> IBLP analizė (RS: 0,85; 95</w:t>
      </w:r>
      <w:r w:rsidR="00AC48E9" w:rsidRPr="00BF4AB8">
        <w:rPr>
          <w:snapToGrid w:val="0"/>
          <w:sz w:val="22"/>
          <w:szCs w:val="24"/>
        </w:rPr>
        <w:t> %</w:t>
      </w:r>
      <w:r w:rsidR="00227F5B" w:rsidRPr="00BF4AB8">
        <w:rPr>
          <w:snapToGrid w:val="0"/>
          <w:sz w:val="22"/>
          <w:szCs w:val="24"/>
        </w:rPr>
        <w:t xml:space="preserve"> PI: 0,75–0,96; p</w:t>
      </w:r>
      <w:r w:rsidR="00D35BA8" w:rsidRPr="00BF4AB8">
        <w:rPr>
          <w:snapToGrid w:val="0"/>
          <w:sz w:val="22"/>
          <w:szCs w:val="24"/>
        </w:rPr>
        <w:t>=</w:t>
      </w:r>
      <w:r w:rsidR="00227F5B" w:rsidRPr="00BF4AB8">
        <w:rPr>
          <w:snapToGrid w:val="0"/>
          <w:sz w:val="22"/>
          <w:szCs w:val="24"/>
        </w:rPr>
        <w:t xml:space="preserve">0,007), </w:t>
      </w:r>
      <w:r w:rsidR="004A2377" w:rsidRPr="00BF4AB8">
        <w:rPr>
          <w:snapToGrid w:val="0"/>
          <w:sz w:val="22"/>
          <w:szCs w:val="24"/>
        </w:rPr>
        <w:t>kuri apėmė</w:t>
      </w:r>
      <w:r w:rsidR="00227F5B" w:rsidRPr="00BF4AB8">
        <w:rPr>
          <w:snapToGrid w:val="0"/>
          <w:sz w:val="22"/>
          <w:szCs w:val="24"/>
        </w:rPr>
        <w:t xml:space="preserve"> vis</w:t>
      </w:r>
      <w:r w:rsidR="004A2377" w:rsidRPr="00BF4AB8">
        <w:rPr>
          <w:snapToGrid w:val="0"/>
          <w:sz w:val="22"/>
          <w:szCs w:val="24"/>
        </w:rPr>
        <w:t>us</w:t>
      </w:r>
      <w:r w:rsidR="00227F5B" w:rsidRPr="00BF4AB8">
        <w:rPr>
          <w:snapToGrid w:val="0"/>
          <w:sz w:val="22"/>
          <w:szCs w:val="24"/>
        </w:rPr>
        <w:t xml:space="preserve"> reiškini</w:t>
      </w:r>
      <w:r w:rsidR="004A2377" w:rsidRPr="00BF4AB8">
        <w:rPr>
          <w:snapToGrid w:val="0"/>
          <w:sz w:val="22"/>
          <w:szCs w:val="24"/>
        </w:rPr>
        <w:t>us</w:t>
      </w:r>
      <w:r w:rsidR="00227F5B" w:rsidRPr="00BF4AB8">
        <w:rPr>
          <w:snapToGrid w:val="0"/>
          <w:sz w:val="22"/>
          <w:szCs w:val="24"/>
        </w:rPr>
        <w:t>,</w:t>
      </w:r>
      <w:r w:rsidR="004A2377" w:rsidRPr="00BF4AB8">
        <w:rPr>
          <w:snapToGrid w:val="0"/>
          <w:sz w:val="22"/>
          <w:szCs w:val="24"/>
        </w:rPr>
        <w:t xml:space="preserve"> informacija apie kuriuos buvo </w:t>
      </w:r>
      <w:r w:rsidR="00227F5B" w:rsidRPr="00BF4AB8">
        <w:rPr>
          <w:snapToGrid w:val="0"/>
          <w:sz w:val="22"/>
          <w:szCs w:val="24"/>
        </w:rPr>
        <w:t>surinkt</w:t>
      </w:r>
      <w:r w:rsidR="004A2377" w:rsidRPr="00BF4AB8">
        <w:rPr>
          <w:snapToGrid w:val="0"/>
          <w:sz w:val="22"/>
          <w:szCs w:val="24"/>
        </w:rPr>
        <w:t>a</w:t>
      </w:r>
      <w:r w:rsidR="00227F5B" w:rsidRPr="00BF4AB8">
        <w:rPr>
          <w:snapToGrid w:val="0"/>
          <w:sz w:val="22"/>
          <w:szCs w:val="24"/>
        </w:rPr>
        <w:t xml:space="preserve"> galutinės BI analizės laiku. Bendro</w:t>
      </w:r>
      <w:r w:rsidR="004A2377" w:rsidRPr="00BF4AB8">
        <w:rPr>
          <w:snapToGrid w:val="0"/>
          <w:sz w:val="22"/>
          <w:szCs w:val="24"/>
        </w:rPr>
        <w:t>jo</w:t>
      </w:r>
      <w:r w:rsidR="00227F5B" w:rsidRPr="00BF4AB8">
        <w:rPr>
          <w:snapToGrid w:val="0"/>
          <w:sz w:val="22"/>
          <w:szCs w:val="24"/>
        </w:rPr>
        <w:t>je pacientų populiacijoje atliktos iš anksto numatytos</w:t>
      </w:r>
      <w:r w:rsidR="004F5ACE" w:rsidRPr="00BF4AB8">
        <w:rPr>
          <w:snapToGrid w:val="0"/>
          <w:sz w:val="22"/>
          <w:szCs w:val="24"/>
        </w:rPr>
        <w:t xml:space="preserve"> </w:t>
      </w:r>
      <w:r w:rsidR="00227F5B" w:rsidRPr="00BF4AB8">
        <w:rPr>
          <w:snapToGrid w:val="0"/>
          <w:sz w:val="22"/>
          <w:szCs w:val="24"/>
        </w:rPr>
        <w:t>bendro</w:t>
      </w:r>
      <w:r w:rsidR="004F5ACE" w:rsidRPr="00BF4AB8">
        <w:rPr>
          <w:snapToGrid w:val="0"/>
          <w:sz w:val="22"/>
          <w:szCs w:val="24"/>
        </w:rPr>
        <w:t>jo</w:t>
      </w:r>
      <w:r w:rsidR="00227F5B" w:rsidRPr="00BF4AB8">
        <w:rPr>
          <w:snapToGrid w:val="0"/>
          <w:sz w:val="22"/>
          <w:szCs w:val="24"/>
        </w:rPr>
        <w:t xml:space="preserve"> </w:t>
      </w:r>
      <w:proofErr w:type="spellStart"/>
      <w:r w:rsidR="00227F5B" w:rsidRPr="00BF4AB8">
        <w:rPr>
          <w:snapToGrid w:val="0"/>
          <w:sz w:val="22"/>
          <w:szCs w:val="24"/>
        </w:rPr>
        <w:t>išgyvenamumo</w:t>
      </w:r>
      <w:proofErr w:type="spellEnd"/>
      <w:r w:rsidR="00227F5B" w:rsidRPr="00BF4AB8">
        <w:rPr>
          <w:snapToGrid w:val="0"/>
          <w:sz w:val="22"/>
          <w:szCs w:val="24"/>
        </w:rPr>
        <w:t xml:space="preserve"> analizės duomenys nebuvo statistiškai reikšmingi (RS 0,94; 95</w:t>
      </w:r>
      <w:r w:rsidR="00AC48E9" w:rsidRPr="00BF4AB8">
        <w:rPr>
          <w:snapToGrid w:val="0"/>
          <w:sz w:val="22"/>
          <w:szCs w:val="24"/>
        </w:rPr>
        <w:t> %</w:t>
      </w:r>
      <w:r w:rsidR="00227F5B" w:rsidRPr="00BF4AB8">
        <w:rPr>
          <w:snapToGrid w:val="0"/>
          <w:sz w:val="22"/>
          <w:szCs w:val="24"/>
        </w:rPr>
        <w:t xml:space="preserve"> PI:</w:t>
      </w:r>
      <w:r w:rsidR="004F5ACE" w:rsidRPr="00BF4AB8">
        <w:rPr>
          <w:snapToGrid w:val="0"/>
          <w:sz w:val="22"/>
          <w:szCs w:val="24"/>
        </w:rPr>
        <w:t xml:space="preserve"> </w:t>
      </w:r>
      <w:r w:rsidR="00227F5B" w:rsidRPr="00BF4AB8">
        <w:rPr>
          <w:snapToGrid w:val="0"/>
          <w:sz w:val="22"/>
          <w:szCs w:val="24"/>
        </w:rPr>
        <w:t>0,83-1,05).</w:t>
      </w:r>
    </w:p>
    <w:p w14:paraId="559F29C5" w14:textId="531DA5B4" w:rsidR="00227F5B" w:rsidRPr="00BF4AB8" w:rsidRDefault="00F73101" w:rsidP="00227F5B">
      <w:pPr>
        <w:ind w:right="-142"/>
        <w:rPr>
          <w:snapToGrid w:val="0"/>
          <w:sz w:val="22"/>
          <w:szCs w:val="24"/>
        </w:rPr>
      </w:pPr>
      <w:r w:rsidRPr="00BF4AB8">
        <w:rPr>
          <w:snapToGrid w:val="0"/>
          <w:sz w:val="22"/>
          <w:szCs w:val="24"/>
        </w:rPr>
        <w:t xml:space="preserve">Svarbu </w:t>
      </w:r>
      <w:r w:rsidR="00227F5B" w:rsidRPr="00BF4AB8">
        <w:rPr>
          <w:snapToGrid w:val="0"/>
          <w:sz w:val="22"/>
          <w:szCs w:val="24"/>
        </w:rPr>
        <w:t xml:space="preserve">paminėti, kad suplanuota histologinės struktūros analizė </w:t>
      </w:r>
      <w:r w:rsidRPr="00BF4AB8">
        <w:rPr>
          <w:snapToGrid w:val="0"/>
          <w:sz w:val="22"/>
          <w:szCs w:val="24"/>
        </w:rPr>
        <w:t>parodė statistiškai reikšmingą</w:t>
      </w:r>
      <w:r w:rsidR="00227F5B" w:rsidRPr="00BF4AB8">
        <w:rPr>
          <w:snapToGrid w:val="0"/>
          <w:sz w:val="22"/>
          <w:szCs w:val="24"/>
        </w:rPr>
        <w:t xml:space="preserve"> BI skirtum</w:t>
      </w:r>
      <w:r w:rsidRPr="00BF4AB8">
        <w:rPr>
          <w:snapToGrid w:val="0"/>
          <w:sz w:val="22"/>
          <w:szCs w:val="24"/>
        </w:rPr>
        <w:t xml:space="preserve">ą </w:t>
      </w:r>
      <w:r w:rsidR="00227F5B" w:rsidRPr="00BF4AB8">
        <w:rPr>
          <w:snapToGrid w:val="0"/>
          <w:sz w:val="22"/>
          <w:szCs w:val="24"/>
        </w:rPr>
        <w:t>lyginant gydymo grupes tik sergančių</w:t>
      </w:r>
      <w:r w:rsidRPr="00BF4AB8">
        <w:rPr>
          <w:snapToGrid w:val="0"/>
          <w:sz w:val="22"/>
          <w:szCs w:val="24"/>
        </w:rPr>
        <w:t>jų</w:t>
      </w:r>
      <w:r w:rsidR="00227F5B" w:rsidRPr="00BF4AB8">
        <w:rPr>
          <w:snapToGrid w:val="0"/>
          <w:sz w:val="22"/>
          <w:szCs w:val="24"/>
        </w:rPr>
        <w:t xml:space="preserve"> </w:t>
      </w:r>
      <w:proofErr w:type="spellStart"/>
      <w:r w:rsidR="00227F5B" w:rsidRPr="00BF4AB8">
        <w:rPr>
          <w:snapToGrid w:val="0"/>
          <w:sz w:val="22"/>
          <w:szCs w:val="24"/>
        </w:rPr>
        <w:t>adenokarcinoma</w:t>
      </w:r>
      <w:proofErr w:type="spellEnd"/>
      <w:r w:rsidR="00227F5B" w:rsidRPr="00BF4AB8">
        <w:rPr>
          <w:snapToGrid w:val="0"/>
          <w:sz w:val="22"/>
          <w:szCs w:val="24"/>
        </w:rPr>
        <w:t xml:space="preserve"> populiacijoje (4</w:t>
      </w:r>
      <w:r w:rsidRPr="00BF4AB8">
        <w:rPr>
          <w:snapToGrid w:val="0"/>
          <w:sz w:val="22"/>
          <w:szCs w:val="24"/>
        </w:rPr>
        <w:t> </w:t>
      </w:r>
      <w:r w:rsidR="00227F5B" w:rsidRPr="00BF4AB8">
        <w:rPr>
          <w:snapToGrid w:val="0"/>
          <w:sz w:val="22"/>
          <w:szCs w:val="24"/>
        </w:rPr>
        <w:t>lentelė).</w:t>
      </w:r>
    </w:p>
    <w:p w14:paraId="3C33DB70" w14:textId="7F7E7C8C" w:rsidR="00227F5B" w:rsidRPr="00BF4AB8" w:rsidRDefault="00227F5B" w:rsidP="00227F5B">
      <w:pPr>
        <w:ind w:right="-142"/>
        <w:rPr>
          <w:snapToGrid w:val="0"/>
          <w:sz w:val="22"/>
          <w:szCs w:val="24"/>
        </w:rPr>
      </w:pPr>
      <w:r w:rsidRPr="00BF4AB8">
        <w:rPr>
          <w:snapToGrid w:val="0"/>
          <w:sz w:val="22"/>
          <w:szCs w:val="24"/>
        </w:rPr>
        <w:t>Kaip parodyta 4</w:t>
      </w:r>
      <w:r w:rsidR="00F73101" w:rsidRPr="00BF4AB8">
        <w:rPr>
          <w:snapToGrid w:val="0"/>
          <w:sz w:val="22"/>
          <w:szCs w:val="24"/>
        </w:rPr>
        <w:t> </w:t>
      </w:r>
      <w:r w:rsidRPr="00BF4AB8">
        <w:rPr>
          <w:snapToGrid w:val="0"/>
          <w:sz w:val="22"/>
          <w:szCs w:val="24"/>
        </w:rPr>
        <w:t xml:space="preserve">lentelėje, gydymą </w:t>
      </w:r>
      <w:proofErr w:type="spellStart"/>
      <w:r w:rsidRPr="00BF4AB8">
        <w:rPr>
          <w:snapToGrid w:val="0"/>
          <w:sz w:val="22"/>
          <w:szCs w:val="24"/>
        </w:rPr>
        <w:t>docetakseliu</w:t>
      </w:r>
      <w:proofErr w:type="spellEnd"/>
      <w:r w:rsidRPr="00BF4AB8">
        <w:rPr>
          <w:snapToGrid w:val="0"/>
          <w:sz w:val="22"/>
          <w:szCs w:val="24"/>
        </w:rPr>
        <w:t xml:space="preserve"> </w:t>
      </w:r>
      <w:r w:rsidR="00F73101" w:rsidRPr="00BF4AB8">
        <w:rPr>
          <w:snapToGrid w:val="0"/>
          <w:sz w:val="22"/>
          <w:szCs w:val="24"/>
        </w:rPr>
        <w:t xml:space="preserve">papildžius </w:t>
      </w:r>
      <w:proofErr w:type="spellStart"/>
      <w:r w:rsidRPr="00BF4AB8">
        <w:rPr>
          <w:snapToGrid w:val="0"/>
          <w:sz w:val="22"/>
          <w:szCs w:val="24"/>
        </w:rPr>
        <w:t>nintedanibu</w:t>
      </w:r>
      <w:proofErr w:type="spellEnd"/>
      <w:r w:rsidRPr="00BF4AB8">
        <w:rPr>
          <w:snapToGrid w:val="0"/>
          <w:sz w:val="22"/>
          <w:szCs w:val="24"/>
        </w:rPr>
        <w:t>, sergančių</w:t>
      </w:r>
      <w:r w:rsidR="00F73101" w:rsidRPr="00BF4AB8">
        <w:rPr>
          <w:snapToGrid w:val="0"/>
          <w:sz w:val="22"/>
          <w:szCs w:val="24"/>
        </w:rPr>
        <w:t xml:space="preserve">jų </w:t>
      </w:r>
      <w:proofErr w:type="spellStart"/>
      <w:r w:rsidRPr="00BF4AB8">
        <w:rPr>
          <w:snapToGrid w:val="0"/>
          <w:sz w:val="22"/>
          <w:szCs w:val="24"/>
        </w:rPr>
        <w:t>adenokarcinoma</w:t>
      </w:r>
      <w:proofErr w:type="spellEnd"/>
      <w:r w:rsidRPr="00BF4AB8">
        <w:rPr>
          <w:snapToGrid w:val="0"/>
          <w:sz w:val="22"/>
          <w:szCs w:val="24"/>
        </w:rPr>
        <w:t xml:space="preserve"> populiacijoje statistiškai reikšmingai 23</w:t>
      </w:r>
      <w:r w:rsidR="00AC48E9" w:rsidRPr="00BF4AB8">
        <w:rPr>
          <w:snapToGrid w:val="0"/>
          <w:sz w:val="22"/>
          <w:szCs w:val="24"/>
        </w:rPr>
        <w:t> %</w:t>
      </w:r>
      <w:r w:rsidRPr="00BF4AB8">
        <w:rPr>
          <w:snapToGrid w:val="0"/>
          <w:sz w:val="22"/>
          <w:szCs w:val="24"/>
        </w:rPr>
        <w:t xml:space="preserve"> sumažėjo ligos progresavimo ar mirties</w:t>
      </w:r>
      <w:r w:rsidR="00F73101" w:rsidRPr="00BF4AB8">
        <w:rPr>
          <w:snapToGrid w:val="0"/>
          <w:sz w:val="22"/>
          <w:szCs w:val="24"/>
        </w:rPr>
        <w:t xml:space="preserve"> </w:t>
      </w:r>
      <w:r w:rsidRPr="00BF4AB8">
        <w:rPr>
          <w:snapToGrid w:val="0"/>
          <w:sz w:val="22"/>
          <w:szCs w:val="24"/>
        </w:rPr>
        <w:t>rizika (RS 0,77; 95</w:t>
      </w:r>
      <w:r w:rsidR="00AC48E9" w:rsidRPr="00BF4AB8">
        <w:rPr>
          <w:snapToGrid w:val="0"/>
          <w:sz w:val="22"/>
          <w:szCs w:val="24"/>
        </w:rPr>
        <w:t> %</w:t>
      </w:r>
      <w:r w:rsidRPr="00BF4AB8">
        <w:rPr>
          <w:snapToGrid w:val="0"/>
          <w:sz w:val="22"/>
          <w:szCs w:val="24"/>
        </w:rPr>
        <w:t xml:space="preserve"> PI: 0,62-0,96). Susijusios tyrimo vertinamosios baigtys </w:t>
      </w:r>
      <w:r w:rsidR="00F73101" w:rsidRPr="00BF4AB8">
        <w:rPr>
          <w:snapToGrid w:val="0"/>
          <w:sz w:val="22"/>
          <w:szCs w:val="24"/>
        </w:rPr>
        <w:t>(</w:t>
      </w:r>
      <w:r w:rsidRPr="00BF4AB8">
        <w:rPr>
          <w:snapToGrid w:val="0"/>
          <w:sz w:val="22"/>
          <w:szCs w:val="24"/>
        </w:rPr>
        <w:t>ligos kontrolė ir naviko</w:t>
      </w:r>
      <w:r w:rsidR="00F73101" w:rsidRPr="00BF4AB8">
        <w:rPr>
          <w:snapToGrid w:val="0"/>
          <w:sz w:val="22"/>
          <w:szCs w:val="24"/>
        </w:rPr>
        <w:t xml:space="preserve"> </w:t>
      </w:r>
      <w:r w:rsidRPr="00BF4AB8">
        <w:rPr>
          <w:snapToGrid w:val="0"/>
          <w:sz w:val="22"/>
          <w:szCs w:val="24"/>
        </w:rPr>
        <w:t>dydžio pokytis</w:t>
      </w:r>
      <w:r w:rsidR="00F73101" w:rsidRPr="00BF4AB8">
        <w:rPr>
          <w:snapToGrid w:val="0"/>
          <w:sz w:val="22"/>
          <w:szCs w:val="24"/>
        </w:rPr>
        <w:t>) atitinkamai</w:t>
      </w:r>
      <w:r w:rsidRPr="00BF4AB8">
        <w:rPr>
          <w:snapToGrid w:val="0"/>
          <w:sz w:val="22"/>
          <w:szCs w:val="24"/>
        </w:rPr>
        <w:t xml:space="preserve"> reikšmingai pagerėjo.</w:t>
      </w:r>
    </w:p>
    <w:p w14:paraId="12B4C612" w14:textId="77777777" w:rsidR="00F73101" w:rsidRPr="00BF4AB8" w:rsidRDefault="00F73101" w:rsidP="00227F5B">
      <w:pPr>
        <w:ind w:right="-142"/>
        <w:rPr>
          <w:snapToGrid w:val="0"/>
          <w:sz w:val="22"/>
          <w:szCs w:val="24"/>
        </w:rPr>
      </w:pPr>
    </w:p>
    <w:p w14:paraId="4E98CB3B" w14:textId="55C79FB7" w:rsidR="00227F5B" w:rsidRPr="00BF4AB8" w:rsidRDefault="00227F5B" w:rsidP="00964B89">
      <w:pPr>
        <w:ind w:left="1296" w:right="-142" w:hanging="1296"/>
        <w:rPr>
          <w:b/>
          <w:bCs/>
          <w:snapToGrid w:val="0"/>
          <w:sz w:val="22"/>
          <w:szCs w:val="24"/>
        </w:rPr>
      </w:pPr>
      <w:r w:rsidRPr="00BF4AB8">
        <w:rPr>
          <w:b/>
          <w:bCs/>
          <w:snapToGrid w:val="0"/>
          <w:sz w:val="22"/>
          <w:szCs w:val="24"/>
        </w:rPr>
        <w:t>4</w:t>
      </w:r>
      <w:r w:rsidR="00F73101" w:rsidRPr="00BF4AB8">
        <w:rPr>
          <w:b/>
          <w:bCs/>
          <w:snapToGrid w:val="0"/>
          <w:sz w:val="22"/>
          <w:szCs w:val="24"/>
        </w:rPr>
        <w:t> </w:t>
      </w:r>
      <w:r w:rsidRPr="00BF4AB8">
        <w:rPr>
          <w:b/>
          <w:bCs/>
          <w:snapToGrid w:val="0"/>
          <w:sz w:val="22"/>
          <w:szCs w:val="24"/>
        </w:rPr>
        <w:t>lentelė.</w:t>
      </w:r>
      <w:r w:rsidR="00F73101" w:rsidRPr="00BF4AB8">
        <w:rPr>
          <w:b/>
          <w:bCs/>
          <w:snapToGrid w:val="0"/>
          <w:sz w:val="22"/>
          <w:szCs w:val="24"/>
        </w:rPr>
        <w:tab/>
        <w:t>Tyrimo LUME-</w:t>
      </w:r>
      <w:proofErr w:type="spellStart"/>
      <w:r w:rsidR="00F73101" w:rsidRPr="00BF4AB8">
        <w:rPr>
          <w:b/>
          <w:bCs/>
          <w:snapToGrid w:val="0"/>
          <w:sz w:val="22"/>
          <w:szCs w:val="24"/>
        </w:rPr>
        <w:t>Lung</w:t>
      </w:r>
      <w:proofErr w:type="spellEnd"/>
      <w:r w:rsidR="00EF4988" w:rsidRPr="00BF4AB8">
        <w:rPr>
          <w:b/>
          <w:bCs/>
          <w:snapToGrid w:val="0"/>
          <w:sz w:val="22"/>
          <w:szCs w:val="24"/>
        </w:rPr>
        <w:t> </w:t>
      </w:r>
      <w:r w:rsidR="00F73101" w:rsidRPr="00BF4AB8">
        <w:rPr>
          <w:b/>
          <w:bCs/>
          <w:snapToGrid w:val="0"/>
          <w:sz w:val="22"/>
          <w:szCs w:val="24"/>
        </w:rPr>
        <w:t>1 v</w:t>
      </w:r>
      <w:r w:rsidRPr="00BF4AB8">
        <w:rPr>
          <w:b/>
          <w:bCs/>
          <w:snapToGrid w:val="0"/>
          <w:sz w:val="22"/>
          <w:szCs w:val="24"/>
        </w:rPr>
        <w:t xml:space="preserve">eiksmingumo rezultatai pacientams, kurių histologinis naviko tipas </w:t>
      </w:r>
      <w:r w:rsidR="00F73101" w:rsidRPr="00BF4AB8">
        <w:rPr>
          <w:b/>
          <w:bCs/>
          <w:snapToGrid w:val="0"/>
          <w:sz w:val="22"/>
          <w:szCs w:val="24"/>
        </w:rPr>
        <w:t>buvo</w:t>
      </w:r>
      <w:r w:rsidRPr="00BF4AB8">
        <w:rPr>
          <w:b/>
          <w:bCs/>
          <w:snapToGrid w:val="0"/>
          <w:sz w:val="22"/>
          <w:szCs w:val="24"/>
        </w:rPr>
        <w:t xml:space="preserve"> </w:t>
      </w:r>
      <w:proofErr w:type="spellStart"/>
      <w:r w:rsidRPr="00BF4AB8">
        <w:rPr>
          <w:b/>
          <w:bCs/>
          <w:snapToGrid w:val="0"/>
          <w:sz w:val="22"/>
          <w:szCs w:val="24"/>
        </w:rPr>
        <w:t>adenokarcinoma</w:t>
      </w:r>
      <w:proofErr w:type="spellEnd"/>
    </w:p>
    <w:p w14:paraId="21C5432D" w14:textId="77777777" w:rsidR="00F73101" w:rsidRPr="00BF4AB8" w:rsidRDefault="00F73101" w:rsidP="00227F5B">
      <w:pPr>
        <w:ind w:right="-142"/>
        <w:rPr>
          <w:snapToGrid w:val="0"/>
          <w:sz w:val="22"/>
          <w:szCs w:val="24"/>
        </w:rPr>
      </w:pPr>
    </w:p>
    <w:tbl>
      <w:tblPr>
        <w:tblStyle w:val="Lentelstinklelis"/>
        <w:tblW w:w="5000" w:type="pct"/>
        <w:tblLook w:val="04A0" w:firstRow="1" w:lastRow="0" w:firstColumn="1" w:lastColumn="0" w:noHBand="0" w:noVBand="1"/>
      </w:tblPr>
      <w:tblGrid>
        <w:gridCol w:w="4406"/>
        <w:gridCol w:w="2469"/>
        <w:gridCol w:w="2185"/>
      </w:tblGrid>
      <w:tr w:rsidR="00EF4988" w:rsidRPr="00EF4988" w14:paraId="63EE3A95" w14:textId="77777777" w:rsidTr="008533BD">
        <w:trPr>
          <w:tblHeader/>
        </w:trPr>
        <w:tc>
          <w:tcPr>
            <w:tcW w:w="2500" w:type="pct"/>
          </w:tcPr>
          <w:p w14:paraId="72934A5E" w14:textId="77777777" w:rsidR="00EF4988" w:rsidRPr="00EF4988" w:rsidRDefault="00EF4988" w:rsidP="00EF4988">
            <w:pPr>
              <w:tabs>
                <w:tab w:val="left" w:pos="567"/>
              </w:tabs>
              <w:outlineLvl w:val="0"/>
              <w:rPr>
                <w:sz w:val="22"/>
                <w:szCs w:val="22"/>
                <w:lang w:val="lt-LT"/>
              </w:rPr>
            </w:pPr>
          </w:p>
        </w:tc>
        <w:tc>
          <w:tcPr>
            <w:tcW w:w="1330" w:type="pct"/>
          </w:tcPr>
          <w:p w14:paraId="1798DEE1" w14:textId="711D098E" w:rsidR="00EF4988" w:rsidRPr="00EF4988" w:rsidRDefault="00EF4988" w:rsidP="00EF4988">
            <w:pPr>
              <w:tabs>
                <w:tab w:val="left" w:pos="567"/>
              </w:tabs>
              <w:ind w:left="-108" w:right="-106"/>
              <w:jc w:val="center"/>
              <w:outlineLvl w:val="0"/>
              <w:rPr>
                <w:sz w:val="22"/>
                <w:szCs w:val="22"/>
                <w:lang w:val="lt-LT"/>
              </w:rPr>
            </w:pPr>
            <w:proofErr w:type="spellStart"/>
            <w:r w:rsidRPr="00EF4988">
              <w:rPr>
                <w:sz w:val="22"/>
                <w:szCs w:val="22"/>
                <w:lang w:val="lt-LT"/>
              </w:rPr>
              <w:t>Nintedanib</w:t>
            </w:r>
            <w:r w:rsidRPr="00BF4AB8">
              <w:rPr>
                <w:sz w:val="22"/>
                <w:szCs w:val="22"/>
                <w:lang w:val="lt-LT"/>
              </w:rPr>
              <w:t>as</w:t>
            </w:r>
            <w:r w:rsidRPr="00EF4988">
              <w:rPr>
                <w:sz w:val="22"/>
                <w:szCs w:val="22"/>
                <w:lang w:val="lt-LT"/>
              </w:rPr>
              <w:t>+</w:t>
            </w:r>
            <w:r w:rsidRPr="00BF4AB8">
              <w:rPr>
                <w:sz w:val="22"/>
                <w:szCs w:val="22"/>
                <w:lang w:val="lt-LT"/>
              </w:rPr>
              <w:t>d</w:t>
            </w:r>
            <w:r w:rsidRPr="00EF4988">
              <w:rPr>
                <w:sz w:val="22"/>
                <w:szCs w:val="22"/>
                <w:lang w:val="lt-LT"/>
              </w:rPr>
              <w:t>oceta</w:t>
            </w:r>
            <w:r w:rsidRPr="00BF4AB8">
              <w:rPr>
                <w:sz w:val="22"/>
                <w:szCs w:val="22"/>
                <w:lang w:val="lt-LT"/>
              </w:rPr>
              <w:t>ks</w:t>
            </w:r>
            <w:r w:rsidRPr="00EF4988">
              <w:rPr>
                <w:sz w:val="22"/>
                <w:szCs w:val="22"/>
                <w:lang w:val="lt-LT"/>
              </w:rPr>
              <w:t>el</w:t>
            </w:r>
            <w:r w:rsidRPr="00BF4AB8">
              <w:rPr>
                <w:sz w:val="22"/>
                <w:szCs w:val="22"/>
                <w:lang w:val="lt-LT"/>
              </w:rPr>
              <w:t>is</w:t>
            </w:r>
            <w:proofErr w:type="spellEnd"/>
          </w:p>
        </w:tc>
        <w:tc>
          <w:tcPr>
            <w:tcW w:w="1170" w:type="pct"/>
          </w:tcPr>
          <w:p w14:paraId="5EAB1269" w14:textId="047FE8CA" w:rsidR="00EF4988" w:rsidRPr="00EF4988" w:rsidRDefault="00EF4988" w:rsidP="00EF4988">
            <w:pPr>
              <w:tabs>
                <w:tab w:val="left" w:pos="567"/>
              </w:tabs>
              <w:jc w:val="center"/>
              <w:outlineLvl w:val="0"/>
              <w:rPr>
                <w:sz w:val="22"/>
                <w:szCs w:val="22"/>
                <w:lang w:val="lt-LT"/>
              </w:rPr>
            </w:pPr>
            <w:proofErr w:type="spellStart"/>
            <w:r w:rsidRPr="00EF4988">
              <w:rPr>
                <w:sz w:val="22"/>
                <w:szCs w:val="22"/>
                <w:lang w:val="lt-LT"/>
              </w:rPr>
              <w:t>Placeb</w:t>
            </w:r>
            <w:r w:rsidRPr="00BF4AB8">
              <w:rPr>
                <w:sz w:val="22"/>
                <w:szCs w:val="22"/>
                <w:lang w:val="lt-LT"/>
              </w:rPr>
              <w:t>as</w:t>
            </w:r>
            <w:r w:rsidRPr="00EF4988">
              <w:rPr>
                <w:sz w:val="22"/>
                <w:szCs w:val="22"/>
                <w:lang w:val="lt-LT"/>
              </w:rPr>
              <w:t>+</w:t>
            </w:r>
            <w:r w:rsidRPr="00BF4AB8">
              <w:rPr>
                <w:sz w:val="22"/>
                <w:szCs w:val="22"/>
                <w:lang w:val="lt-LT"/>
              </w:rPr>
              <w:t>d</w:t>
            </w:r>
            <w:r w:rsidRPr="00EF4988">
              <w:rPr>
                <w:sz w:val="22"/>
                <w:szCs w:val="22"/>
                <w:lang w:val="lt-LT"/>
              </w:rPr>
              <w:t>oceta</w:t>
            </w:r>
            <w:r w:rsidRPr="00BF4AB8">
              <w:rPr>
                <w:sz w:val="22"/>
                <w:szCs w:val="22"/>
                <w:lang w:val="lt-LT"/>
              </w:rPr>
              <w:t>ks</w:t>
            </w:r>
            <w:r w:rsidRPr="00EF4988">
              <w:rPr>
                <w:sz w:val="22"/>
                <w:szCs w:val="22"/>
                <w:lang w:val="lt-LT"/>
              </w:rPr>
              <w:t>el</w:t>
            </w:r>
            <w:r w:rsidRPr="00BF4AB8">
              <w:rPr>
                <w:sz w:val="22"/>
                <w:szCs w:val="22"/>
                <w:lang w:val="lt-LT"/>
              </w:rPr>
              <w:t>is</w:t>
            </w:r>
            <w:proofErr w:type="spellEnd"/>
          </w:p>
        </w:tc>
      </w:tr>
      <w:tr w:rsidR="00EF4988" w:rsidRPr="00EF4988" w14:paraId="4E118CEB" w14:textId="77777777" w:rsidTr="008533BD">
        <w:tc>
          <w:tcPr>
            <w:tcW w:w="5000" w:type="pct"/>
            <w:gridSpan w:val="3"/>
          </w:tcPr>
          <w:p w14:paraId="454A4A4F" w14:textId="3350AE94" w:rsidR="00EF4988" w:rsidRPr="00EF4988" w:rsidRDefault="00EF4988" w:rsidP="00EF4988">
            <w:pPr>
              <w:tabs>
                <w:tab w:val="left" w:pos="567"/>
              </w:tabs>
              <w:outlineLvl w:val="0"/>
              <w:rPr>
                <w:b/>
                <w:sz w:val="22"/>
                <w:szCs w:val="22"/>
                <w:lang w:val="lt-LT"/>
              </w:rPr>
            </w:pPr>
            <w:proofErr w:type="spellStart"/>
            <w:r w:rsidRPr="00BF4AB8">
              <w:rPr>
                <w:b/>
                <w:sz w:val="22"/>
                <w:szCs w:val="22"/>
                <w:lang w:val="lt-LT"/>
              </w:rPr>
              <w:t>Išgyvenamumas</w:t>
            </w:r>
            <w:proofErr w:type="spellEnd"/>
            <w:r w:rsidRPr="00BF4AB8">
              <w:rPr>
                <w:b/>
                <w:sz w:val="22"/>
                <w:szCs w:val="22"/>
                <w:lang w:val="lt-LT"/>
              </w:rPr>
              <w:t xml:space="preserve"> be ligos progresavimo (IBLP</w:t>
            </w:r>
            <w:r w:rsidRPr="00EF4988">
              <w:rPr>
                <w:b/>
                <w:sz w:val="22"/>
                <w:szCs w:val="22"/>
                <w:lang w:val="lt-LT"/>
              </w:rPr>
              <w:t xml:space="preserve">)* - </w:t>
            </w:r>
            <w:r w:rsidRPr="00BF4AB8">
              <w:rPr>
                <w:b/>
                <w:sz w:val="22"/>
                <w:szCs w:val="22"/>
                <w:lang w:val="lt-LT"/>
              </w:rPr>
              <w:t>pagrindinė analizė</w:t>
            </w:r>
          </w:p>
        </w:tc>
      </w:tr>
      <w:tr w:rsidR="00EF4988" w:rsidRPr="00EF4988" w14:paraId="03C35EB1" w14:textId="77777777" w:rsidTr="008533BD">
        <w:tc>
          <w:tcPr>
            <w:tcW w:w="2500" w:type="pct"/>
          </w:tcPr>
          <w:p w14:paraId="1257F382" w14:textId="3F819288" w:rsidR="00EF4988" w:rsidRPr="00EF4988" w:rsidRDefault="00EF4988" w:rsidP="00EF4988">
            <w:pPr>
              <w:tabs>
                <w:tab w:val="left" w:pos="567"/>
              </w:tabs>
              <w:ind w:left="176"/>
              <w:outlineLvl w:val="0"/>
              <w:rPr>
                <w:sz w:val="22"/>
                <w:szCs w:val="22"/>
                <w:lang w:val="lt-LT"/>
              </w:rPr>
            </w:pPr>
            <w:r w:rsidRPr="00EF4988">
              <w:rPr>
                <w:sz w:val="22"/>
                <w:szCs w:val="22"/>
                <w:lang w:val="lt-LT"/>
              </w:rPr>
              <w:t>Pa</w:t>
            </w:r>
            <w:r w:rsidR="00BE5504" w:rsidRPr="00BF4AB8">
              <w:rPr>
                <w:sz w:val="22"/>
                <w:szCs w:val="22"/>
                <w:lang w:val="lt-LT"/>
              </w:rPr>
              <w:t>c</w:t>
            </w:r>
            <w:r w:rsidRPr="00EF4988">
              <w:rPr>
                <w:sz w:val="22"/>
                <w:szCs w:val="22"/>
                <w:lang w:val="lt-LT"/>
              </w:rPr>
              <w:t>ient</w:t>
            </w:r>
            <w:r w:rsidR="00BE5504" w:rsidRPr="00BF4AB8">
              <w:rPr>
                <w:sz w:val="22"/>
                <w:szCs w:val="22"/>
                <w:lang w:val="lt-LT"/>
              </w:rPr>
              <w:t>ai</w:t>
            </w:r>
            <w:r w:rsidRPr="00EF4988">
              <w:rPr>
                <w:sz w:val="22"/>
                <w:szCs w:val="22"/>
                <w:lang w:val="lt-LT"/>
              </w:rPr>
              <w:t>, n</w:t>
            </w:r>
          </w:p>
        </w:tc>
        <w:tc>
          <w:tcPr>
            <w:tcW w:w="1330" w:type="pct"/>
            <w:vAlign w:val="center"/>
          </w:tcPr>
          <w:p w14:paraId="5325776D" w14:textId="77777777" w:rsidR="00EF4988" w:rsidRPr="00EF4988" w:rsidRDefault="00EF4988" w:rsidP="00EF4988">
            <w:pPr>
              <w:tabs>
                <w:tab w:val="left" w:pos="567"/>
              </w:tabs>
              <w:jc w:val="center"/>
              <w:outlineLvl w:val="0"/>
              <w:rPr>
                <w:sz w:val="22"/>
                <w:szCs w:val="22"/>
                <w:lang w:val="lt-LT"/>
              </w:rPr>
            </w:pPr>
            <w:r w:rsidRPr="00EF4988">
              <w:rPr>
                <w:sz w:val="22"/>
                <w:szCs w:val="22"/>
                <w:lang w:val="lt-LT"/>
              </w:rPr>
              <w:t>277</w:t>
            </w:r>
          </w:p>
        </w:tc>
        <w:tc>
          <w:tcPr>
            <w:tcW w:w="1170" w:type="pct"/>
            <w:vAlign w:val="center"/>
          </w:tcPr>
          <w:p w14:paraId="5F636916" w14:textId="77777777" w:rsidR="00EF4988" w:rsidRPr="00EF4988" w:rsidRDefault="00EF4988" w:rsidP="00EF4988">
            <w:pPr>
              <w:tabs>
                <w:tab w:val="left" w:pos="567"/>
              </w:tabs>
              <w:jc w:val="center"/>
              <w:outlineLvl w:val="0"/>
              <w:rPr>
                <w:sz w:val="22"/>
                <w:szCs w:val="22"/>
                <w:lang w:val="lt-LT"/>
              </w:rPr>
            </w:pPr>
            <w:r w:rsidRPr="00EF4988">
              <w:rPr>
                <w:sz w:val="22"/>
                <w:szCs w:val="22"/>
                <w:lang w:val="lt-LT"/>
              </w:rPr>
              <w:t>285</w:t>
            </w:r>
          </w:p>
        </w:tc>
      </w:tr>
      <w:tr w:rsidR="00EF4988" w:rsidRPr="00EF4988" w14:paraId="5F84CA1E" w14:textId="77777777" w:rsidTr="008533BD">
        <w:tc>
          <w:tcPr>
            <w:tcW w:w="2500" w:type="pct"/>
          </w:tcPr>
          <w:p w14:paraId="79145CC7" w14:textId="7D19B3B7" w:rsidR="00EF4988" w:rsidRPr="00EF4988" w:rsidRDefault="00BE5504" w:rsidP="00BE5504">
            <w:pPr>
              <w:tabs>
                <w:tab w:val="left" w:pos="567"/>
              </w:tabs>
              <w:ind w:left="176"/>
              <w:outlineLvl w:val="0"/>
              <w:rPr>
                <w:sz w:val="22"/>
                <w:szCs w:val="22"/>
                <w:lang w:val="lt-LT"/>
              </w:rPr>
            </w:pPr>
            <w:r w:rsidRPr="00BF4AB8">
              <w:rPr>
                <w:sz w:val="22"/>
                <w:szCs w:val="22"/>
                <w:lang w:val="lt-LT"/>
              </w:rPr>
              <w:t>Mirčių ar ligos progresavimo atvejų skaičius</w:t>
            </w:r>
            <w:r w:rsidR="00EF4988" w:rsidRPr="00EF4988">
              <w:rPr>
                <w:sz w:val="22"/>
                <w:szCs w:val="22"/>
                <w:lang w:val="lt-LT"/>
              </w:rPr>
              <w:t>, n (</w:t>
            </w:r>
            <w:r w:rsidR="00AC48E9" w:rsidRPr="00BF4AB8">
              <w:rPr>
                <w:sz w:val="22"/>
                <w:szCs w:val="22"/>
                <w:lang w:val="lt-LT"/>
              </w:rPr>
              <w:t> %</w:t>
            </w:r>
            <w:r w:rsidR="00EF4988" w:rsidRPr="00EF4988">
              <w:rPr>
                <w:sz w:val="22"/>
                <w:szCs w:val="22"/>
                <w:lang w:val="lt-LT"/>
              </w:rPr>
              <w:t>)</w:t>
            </w:r>
          </w:p>
        </w:tc>
        <w:tc>
          <w:tcPr>
            <w:tcW w:w="1330" w:type="pct"/>
            <w:vAlign w:val="center"/>
          </w:tcPr>
          <w:p w14:paraId="1D382C24" w14:textId="085F0B00" w:rsidR="00EF4988" w:rsidRPr="00EF4988" w:rsidRDefault="00EF4988" w:rsidP="00EF4988">
            <w:pPr>
              <w:tabs>
                <w:tab w:val="left" w:pos="567"/>
              </w:tabs>
              <w:jc w:val="center"/>
              <w:outlineLvl w:val="0"/>
              <w:rPr>
                <w:sz w:val="22"/>
                <w:szCs w:val="22"/>
                <w:lang w:val="lt-LT"/>
              </w:rPr>
            </w:pPr>
            <w:r w:rsidRPr="00EF4988">
              <w:rPr>
                <w:sz w:val="22"/>
                <w:szCs w:val="22"/>
                <w:lang w:val="lt-LT"/>
              </w:rPr>
              <w:t>152 (54</w:t>
            </w:r>
            <w:r w:rsidR="00BE5504" w:rsidRPr="00BF4AB8">
              <w:rPr>
                <w:sz w:val="22"/>
                <w:szCs w:val="22"/>
                <w:lang w:val="lt-LT"/>
              </w:rPr>
              <w:t>,</w:t>
            </w:r>
            <w:r w:rsidRPr="00EF4988">
              <w:rPr>
                <w:sz w:val="22"/>
                <w:szCs w:val="22"/>
                <w:lang w:val="lt-LT"/>
              </w:rPr>
              <w:t>9)</w:t>
            </w:r>
          </w:p>
        </w:tc>
        <w:tc>
          <w:tcPr>
            <w:tcW w:w="1170" w:type="pct"/>
            <w:vAlign w:val="center"/>
          </w:tcPr>
          <w:p w14:paraId="0F021FA6" w14:textId="2B76172D" w:rsidR="00EF4988" w:rsidRPr="00EF4988" w:rsidRDefault="00EF4988" w:rsidP="00EF4988">
            <w:pPr>
              <w:tabs>
                <w:tab w:val="left" w:pos="567"/>
              </w:tabs>
              <w:jc w:val="center"/>
              <w:outlineLvl w:val="0"/>
              <w:rPr>
                <w:sz w:val="22"/>
                <w:szCs w:val="22"/>
                <w:lang w:val="lt-LT"/>
              </w:rPr>
            </w:pPr>
            <w:r w:rsidRPr="00EF4988">
              <w:rPr>
                <w:sz w:val="22"/>
                <w:szCs w:val="22"/>
                <w:lang w:val="lt-LT"/>
              </w:rPr>
              <w:t>180 (63</w:t>
            </w:r>
            <w:r w:rsidR="00636065">
              <w:rPr>
                <w:sz w:val="22"/>
                <w:szCs w:val="22"/>
                <w:lang w:val="lt-LT"/>
              </w:rPr>
              <w:t>,</w:t>
            </w:r>
            <w:r w:rsidRPr="00EF4988">
              <w:rPr>
                <w:sz w:val="22"/>
                <w:szCs w:val="22"/>
                <w:lang w:val="lt-LT"/>
              </w:rPr>
              <w:t>2)</w:t>
            </w:r>
          </w:p>
        </w:tc>
      </w:tr>
      <w:tr w:rsidR="00EF4988" w:rsidRPr="00EF4988" w14:paraId="2B03F29F" w14:textId="77777777" w:rsidTr="008533BD">
        <w:tc>
          <w:tcPr>
            <w:tcW w:w="2500" w:type="pct"/>
          </w:tcPr>
          <w:p w14:paraId="044ABE30" w14:textId="109FD36D" w:rsidR="00EF4988" w:rsidRPr="00EF4988" w:rsidRDefault="00BE5504" w:rsidP="00EF4988">
            <w:pPr>
              <w:tabs>
                <w:tab w:val="left" w:pos="567"/>
              </w:tabs>
              <w:ind w:left="176"/>
              <w:outlineLvl w:val="0"/>
              <w:rPr>
                <w:sz w:val="22"/>
                <w:szCs w:val="22"/>
                <w:lang w:val="lt-LT"/>
              </w:rPr>
            </w:pPr>
            <w:r w:rsidRPr="00BF4AB8">
              <w:rPr>
                <w:sz w:val="22"/>
                <w:szCs w:val="22"/>
                <w:lang w:val="lt-LT"/>
              </w:rPr>
              <w:t>IBLP mediana [mėnesiai</w:t>
            </w:r>
            <w:r w:rsidR="00EF4988" w:rsidRPr="00EF4988">
              <w:rPr>
                <w:sz w:val="22"/>
                <w:szCs w:val="22"/>
                <w:lang w:val="lt-LT"/>
              </w:rPr>
              <w:t>]</w:t>
            </w:r>
          </w:p>
        </w:tc>
        <w:tc>
          <w:tcPr>
            <w:tcW w:w="1330" w:type="pct"/>
            <w:vAlign w:val="center"/>
          </w:tcPr>
          <w:p w14:paraId="426EF062" w14:textId="43F5C507" w:rsidR="00EF4988" w:rsidRPr="00EF4988" w:rsidRDefault="00EF4988" w:rsidP="00EF4988">
            <w:pPr>
              <w:tabs>
                <w:tab w:val="left" w:pos="567"/>
              </w:tabs>
              <w:jc w:val="center"/>
              <w:outlineLvl w:val="0"/>
              <w:rPr>
                <w:sz w:val="22"/>
                <w:szCs w:val="22"/>
                <w:lang w:val="lt-LT"/>
              </w:rPr>
            </w:pPr>
            <w:r w:rsidRPr="00EF4988">
              <w:rPr>
                <w:sz w:val="22"/>
                <w:szCs w:val="22"/>
                <w:lang w:val="lt-LT"/>
              </w:rPr>
              <w:t>4</w:t>
            </w:r>
            <w:r w:rsidR="00BE5504" w:rsidRPr="00BF4AB8">
              <w:rPr>
                <w:sz w:val="22"/>
                <w:szCs w:val="22"/>
                <w:lang w:val="lt-LT"/>
              </w:rPr>
              <w:t>,</w:t>
            </w:r>
            <w:r w:rsidRPr="00EF4988">
              <w:rPr>
                <w:sz w:val="22"/>
                <w:szCs w:val="22"/>
                <w:lang w:val="lt-LT"/>
              </w:rPr>
              <w:t>0</w:t>
            </w:r>
          </w:p>
        </w:tc>
        <w:tc>
          <w:tcPr>
            <w:tcW w:w="1170" w:type="pct"/>
            <w:vAlign w:val="center"/>
          </w:tcPr>
          <w:p w14:paraId="3508BB3D" w14:textId="15F2F88B" w:rsidR="00EF4988" w:rsidRPr="00EF4988" w:rsidRDefault="00EF4988" w:rsidP="00EF4988">
            <w:pPr>
              <w:tabs>
                <w:tab w:val="left" w:pos="567"/>
              </w:tabs>
              <w:jc w:val="center"/>
              <w:outlineLvl w:val="0"/>
              <w:rPr>
                <w:sz w:val="22"/>
                <w:szCs w:val="22"/>
                <w:lang w:val="lt-LT"/>
              </w:rPr>
            </w:pPr>
            <w:r w:rsidRPr="00EF4988">
              <w:rPr>
                <w:sz w:val="22"/>
                <w:szCs w:val="22"/>
                <w:lang w:val="lt-LT"/>
              </w:rPr>
              <w:t>2</w:t>
            </w:r>
            <w:r w:rsidR="00636065">
              <w:rPr>
                <w:sz w:val="22"/>
                <w:szCs w:val="22"/>
                <w:lang w:val="lt-LT"/>
              </w:rPr>
              <w:t>,</w:t>
            </w:r>
            <w:r w:rsidRPr="00EF4988">
              <w:rPr>
                <w:sz w:val="22"/>
                <w:szCs w:val="22"/>
                <w:lang w:val="lt-LT"/>
              </w:rPr>
              <w:t>8</w:t>
            </w:r>
          </w:p>
        </w:tc>
      </w:tr>
      <w:tr w:rsidR="00EF4988" w:rsidRPr="00EF4988" w14:paraId="0CC45BD0" w14:textId="77777777" w:rsidTr="008533BD">
        <w:tc>
          <w:tcPr>
            <w:tcW w:w="2500" w:type="pct"/>
          </w:tcPr>
          <w:p w14:paraId="517F80F9" w14:textId="381053E0" w:rsidR="00EF4988" w:rsidRPr="00EF4988" w:rsidRDefault="00BE5504" w:rsidP="00EF4988">
            <w:pPr>
              <w:tabs>
                <w:tab w:val="left" w:pos="567"/>
              </w:tabs>
              <w:ind w:left="176"/>
              <w:outlineLvl w:val="0"/>
              <w:rPr>
                <w:sz w:val="22"/>
                <w:szCs w:val="22"/>
                <w:lang w:val="lt-LT"/>
              </w:rPr>
            </w:pPr>
            <w:r w:rsidRPr="00BF4AB8">
              <w:rPr>
                <w:sz w:val="22"/>
                <w:szCs w:val="22"/>
                <w:lang w:val="lt-LT"/>
              </w:rPr>
              <w:t>RS</w:t>
            </w:r>
            <w:r w:rsidR="00EF4988" w:rsidRPr="00EF4988">
              <w:rPr>
                <w:sz w:val="22"/>
                <w:szCs w:val="22"/>
                <w:lang w:val="lt-LT"/>
              </w:rPr>
              <w:t xml:space="preserve"> (95</w:t>
            </w:r>
            <w:r w:rsidR="00AC48E9" w:rsidRPr="00BF4AB8">
              <w:rPr>
                <w:sz w:val="22"/>
                <w:szCs w:val="22"/>
                <w:lang w:val="lt-LT"/>
              </w:rPr>
              <w:t> %</w:t>
            </w:r>
            <w:r w:rsidR="00EF4988" w:rsidRPr="00EF4988">
              <w:rPr>
                <w:sz w:val="22"/>
                <w:szCs w:val="22"/>
                <w:lang w:val="lt-LT"/>
              </w:rPr>
              <w:t> </w:t>
            </w:r>
            <w:r w:rsidRPr="00BF4AB8">
              <w:rPr>
                <w:sz w:val="22"/>
                <w:szCs w:val="22"/>
                <w:lang w:val="lt-LT"/>
              </w:rPr>
              <w:t>P</w:t>
            </w:r>
            <w:r w:rsidR="00EF4988" w:rsidRPr="00EF4988">
              <w:rPr>
                <w:sz w:val="22"/>
                <w:szCs w:val="22"/>
                <w:lang w:val="lt-LT"/>
              </w:rPr>
              <w:t>I)</w:t>
            </w:r>
          </w:p>
        </w:tc>
        <w:tc>
          <w:tcPr>
            <w:tcW w:w="2500" w:type="pct"/>
            <w:gridSpan w:val="2"/>
            <w:vAlign w:val="center"/>
          </w:tcPr>
          <w:p w14:paraId="2383A7AD" w14:textId="33EE1008" w:rsidR="00EF4988" w:rsidRPr="00EF4988" w:rsidRDefault="00EF4988" w:rsidP="00EF4988">
            <w:pPr>
              <w:tabs>
                <w:tab w:val="left" w:pos="567"/>
              </w:tabs>
              <w:jc w:val="center"/>
              <w:outlineLvl w:val="0"/>
              <w:rPr>
                <w:sz w:val="22"/>
                <w:szCs w:val="22"/>
                <w:lang w:val="lt-LT"/>
              </w:rPr>
            </w:pPr>
            <w:r w:rsidRPr="00EF4988">
              <w:rPr>
                <w:sz w:val="22"/>
                <w:szCs w:val="22"/>
                <w:lang w:val="lt-LT"/>
              </w:rPr>
              <w:t>0</w:t>
            </w:r>
            <w:r w:rsidR="00BE5504" w:rsidRPr="00BF4AB8">
              <w:rPr>
                <w:sz w:val="22"/>
                <w:szCs w:val="22"/>
                <w:lang w:val="lt-LT"/>
              </w:rPr>
              <w:t>,</w:t>
            </w:r>
            <w:r w:rsidRPr="00EF4988">
              <w:rPr>
                <w:sz w:val="22"/>
                <w:szCs w:val="22"/>
                <w:lang w:val="lt-LT"/>
              </w:rPr>
              <w:t>77 (0</w:t>
            </w:r>
            <w:r w:rsidR="00BE5504" w:rsidRPr="00BF4AB8">
              <w:rPr>
                <w:sz w:val="22"/>
                <w:szCs w:val="22"/>
                <w:lang w:val="lt-LT"/>
              </w:rPr>
              <w:t>,</w:t>
            </w:r>
            <w:r w:rsidRPr="00EF4988">
              <w:rPr>
                <w:sz w:val="22"/>
                <w:szCs w:val="22"/>
                <w:lang w:val="lt-LT"/>
              </w:rPr>
              <w:t>62; 0</w:t>
            </w:r>
            <w:r w:rsidR="00BE5504" w:rsidRPr="00BF4AB8">
              <w:rPr>
                <w:sz w:val="22"/>
                <w:szCs w:val="22"/>
                <w:lang w:val="lt-LT"/>
              </w:rPr>
              <w:t>,</w:t>
            </w:r>
            <w:r w:rsidRPr="00EF4988">
              <w:rPr>
                <w:sz w:val="22"/>
                <w:szCs w:val="22"/>
                <w:lang w:val="lt-LT"/>
              </w:rPr>
              <w:t>96)</w:t>
            </w:r>
          </w:p>
        </w:tc>
      </w:tr>
      <w:tr w:rsidR="00EF4988" w:rsidRPr="00EF4988" w14:paraId="3FD978D5" w14:textId="77777777" w:rsidTr="008533BD">
        <w:tc>
          <w:tcPr>
            <w:tcW w:w="2500" w:type="pct"/>
          </w:tcPr>
          <w:p w14:paraId="6402E45F" w14:textId="79B9515A" w:rsidR="00EF4988" w:rsidRPr="00EF4988" w:rsidRDefault="00BE5504" w:rsidP="00EF4988">
            <w:pPr>
              <w:tabs>
                <w:tab w:val="left" w:pos="567"/>
              </w:tabs>
              <w:ind w:left="176"/>
              <w:outlineLvl w:val="0"/>
              <w:rPr>
                <w:sz w:val="22"/>
                <w:szCs w:val="22"/>
                <w:lang w:val="lt-LT"/>
              </w:rPr>
            </w:pPr>
            <w:proofErr w:type="spellStart"/>
            <w:r w:rsidRPr="00BF4AB8">
              <w:rPr>
                <w:sz w:val="22"/>
                <w:szCs w:val="22"/>
                <w:lang w:val="lt-LT"/>
              </w:rPr>
              <w:t>Stratifikuoto</w:t>
            </w:r>
            <w:proofErr w:type="spellEnd"/>
            <w:r w:rsidR="00EF4988" w:rsidRPr="00EF4988">
              <w:rPr>
                <w:sz w:val="22"/>
                <w:szCs w:val="22"/>
                <w:lang w:val="lt-LT"/>
              </w:rPr>
              <w:t xml:space="preserve"> </w:t>
            </w:r>
            <w:proofErr w:type="spellStart"/>
            <w:r w:rsidR="00EF4988" w:rsidRPr="00EF4988">
              <w:rPr>
                <w:i/>
                <w:iCs/>
                <w:sz w:val="22"/>
                <w:szCs w:val="22"/>
                <w:lang w:val="lt-LT"/>
              </w:rPr>
              <w:t>Log-Rank</w:t>
            </w:r>
            <w:proofErr w:type="spellEnd"/>
            <w:r w:rsidR="00EF4988" w:rsidRPr="00EF4988">
              <w:rPr>
                <w:sz w:val="22"/>
                <w:szCs w:val="22"/>
                <w:lang w:val="lt-LT"/>
              </w:rPr>
              <w:t xml:space="preserve"> </w:t>
            </w:r>
            <w:r w:rsidRPr="00BF4AB8">
              <w:rPr>
                <w:sz w:val="22"/>
                <w:szCs w:val="22"/>
                <w:lang w:val="lt-LT"/>
              </w:rPr>
              <w:t>t</w:t>
            </w:r>
            <w:r w:rsidR="00EF4988" w:rsidRPr="00EF4988">
              <w:rPr>
                <w:sz w:val="22"/>
                <w:szCs w:val="22"/>
                <w:lang w:val="lt-LT"/>
              </w:rPr>
              <w:t>est</w:t>
            </w:r>
            <w:r w:rsidRPr="00BF4AB8">
              <w:rPr>
                <w:sz w:val="22"/>
                <w:szCs w:val="22"/>
                <w:lang w:val="lt-LT"/>
              </w:rPr>
              <w:t>o</w:t>
            </w:r>
            <w:r w:rsidR="00EF4988" w:rsidRPr="00EF4988">
              <w:rPr>
                <w:sz w:val="22"/>
                <w:szCs w:val="22"/>
                <w:lang w:val="lt-LT"/>
              </w:rPr>
              <w:t xml:space="preserve"> p</w:t>
            </w:r>
            <w:r w:rsidRPr="00BF4AB8">
              <w:rPr>
                <w:sz w:val="22"/>
                <w:szCs w:val="22"/>
                <w:lang w:val="lt-LT"/>
              </w:rPr>
              <w:t xml:space="preserve"> reikšmė</w:t>
            </w:r>
            <w:r w:rsidR="00EF4988" w:rsidRPr="00EF4988">
              <w:rPr>
                <w:sz w:val="22"/>
                <w:szCs w:val="22"/>
                <w:vertAlign w:val="superscript"/>
                <w:lang w:val="lt-LT"/>
              </w:rPr>
              <w:t>**</w:t>
            </w:r>
          </w:p>
        </w:tc>
        <w:tc>
          <w:tcPr>
            <w:tcW w:w="2500" w:type="pct"/>
            <w:gridSpan w:val="2"/>
            <w:vAlign w:val="center"/>
          </w:tcPr>
          <w:p w14:paraId="5DFFF7FC" w14:textId="792E8671" w:rsidR="00EF4988" w:rsidRPr="00EF4988" w:rsidRDefault="00EF4988" w:rsidP="00EF4988">
            <w:pPr>
              <w:tabs>
                <w:tab w:val="left" w:pos="567"/>
              </w:tabs>
              <w:jc w:val="center"/>
              <w:outlineLvl w:val="0"/>
              <w:rPr>
                <w:sz w:val="22"/>
                <w:szCs w:val="22"/>
                <w:lang w:val="lt-LT"/>
              </w:rPr>
            </w:pPr>
            <w:r w:rsidRPr="00EF4988">
              <w:rPr>
                <w:sz w:val="22"/>
                <w:szCs w:val="22"/>
                <w:lang w:val="lt-LT"/>
              </w:rPr>
              <w:t>0</w:t>
            </w:r>
            <w:r w:rsidR="00BE5504" w:rsidRPr="00BF4AB8">
              <w:rPr>
                <w:sz w:val="22"/>
                <w:szCs w:val="22"/>
                <w:lang w:val="lt-LT"/>
              </w:rPr>
              <w:t>,</w:t>
            </w:r>
            <w:r w:rsidRPr="00EF4988">
              <w:rPr>
                <w:sz w:val="22"/>
                <w:szCs w:val="22"/>
                <w:lang w:val="lt-LT"/>
              </w:rPr>
              <w:t>0193</w:t>
            </w:r>
          </w:p>
        </w:tc>
      </w:tr>
      <w:tr w:rsidR="00EF4988" w:rsidRPr="00EF4988" w14:paraId="53B22443" w14:textId="77777777" w:rsidTr="008533BD">
        <w:tc>
          <w:tcPr>
            <w:tcW w:w="5000" w:type="pct"/>
            <w:gridSpan w:val="3"/>
            <w:vAlign w:val="center"/>
          </w:tcPr>
          <w:p w14:paraId="14FD47A4" w14:textId="34A06626" w:rsidR="00EF4988" w:rsidRPr="00EF4988" w:rsidRDefault="00BE5504" w:rsidP="00EF4988">
            <w:pPr>
              <w:tabs>
                <w:tab w:val="left" w:pos="567"/>
              </w:tabs>
              <w:jc w:val="center"/>
              <w:outlineLvl w:val="0"/>
              <w:rPr>
                <w:b/>
                <w:sz w:val="22"/>
                <w:szCs w:val="22"/>
                <w:lang w:val="lt-LT"/>
              </w:rPr>
            </w:pPr>
            <w:proofErr w:type="spellStart"/>
            <w:r w:rsidRPr="00BF4AB8">
              <w:rPr>
                <w:b/>
                <w:sz w:val="22"/>
                <w:szCs w:val="22"/>
                <w:lang w:val="lt-LT"/>
              </w:rPr>
              <w:t>Išgyvenamumas</w:t>
            </w:r>
            <w:proofErr w:type="spellEnd"/>
            <w:r w:rsidRPr="00BF4AB8">
              <w:rPr>
                <w:b/>
                <w:sz w:val="22"/>
                <w:szCs w:val="22"/>
                <w:lang w:val="lt-LT"/>
              </w:rPr>
              <w:t xml:space="preserve"> be ligos progresavimo (IBLP</w:t>
            </w:r>
            <w:r w:rsidR="00EF4988" w:rsidRPr="00EF4988">
              <w:rPr>
                <w:b/>
                <w:sz w:val="22"/>
                <w:szCs w:val="22"/>
                <w:lang w:val="lt-LT"/>
              </w:rPr>
              <w:t xml:space="preserve">)*** - </w:t>
            </w:r>
            <w:r w:rsidRPr="00BF4AB8">
              <w:rPr>
                <w:b/>
                <w:sz w:val="22"/>
                <w:szCs w:val="22"/>
                <w:lang w:val="lt-LT"/>
              </w:rPr>
              <w:t>tolesnio stebėjimo analizė</w:t>
            </w:r>
          </w:p>
        </w:tc>
      </w:tr>
      <w:tr w:rsidR="00EF4988" w:rsidRPr="00EF4988" w14:paraId="7D651CDD" w14:textId="77777777" w:rsidTr="008533BD">
        <w:tc>
          <w:tcPr>
            <w:tcW w:w="2500" w:type="pct"/>
          </w:tcPr>
          <w:p w14:paraId="7425F554" w14:textId="60A6DE15" w:rsidR="00EF4988" w:rsidRPr="00EF4988" w:rsidRDefault="00BE5504" w:rsidP="00EF4988">
            <w:pPr>
              <w:tabs>
                <w:tab w:val="left" w:pos="567"/>
              </w:tabs>
              <w:ind w:left="176"/>
              <w:outlineLvl w:val="0"/>
              <w:rPr>
                <w:sz w:val="22"/>
                <w:szCs w:val="22"/>
                <w:lang w:val="lt-LT"/>
              </w:rPr>
            </w:pPr>
            <w:r w:rsidRPr="00EF4988">
              <w:rPr>
                <w:sz w:val="22"/>
                <w:szCs w:val="22"/>
                <w:lang w:val="lt-LT"/>
              </w:rPr>
              <w:t>Pa</w:t>
            </w:r>
            <w:r w:rsidRPr="00BF4AB8">
              <w:rPr>
                <w:sz w:val="22"/>
                <w:szCs w:val="22"/>
                <w:lang w:val="lt-LT"/>
              </w:rPr>
              <w:t>c</w:t>
            </w:r>
            <w:r w:rsidRPr="00EF4988">
              <w:rPr>
                <w:sz w:val="22"/>
                <w:szCs w:val="22"/>
                <w:lang w:val="lt-LT"/>
              </w:rPr>
              <w:t>ient</w:t>
            </w:r>
            <w:r w:rsidRPr="00BF4AB8">
              <w:rPr>
                <w:sz w:val="22"/>
                <w:szCs w:val="22"/>
                <w:lang w:val="lt-LT"/>
              </w:rPr>
              <w:t>ai</w:t>
            </w:r>
            <w:r w:rsidR="00EF4988" w:rsidRPr="00EF4988">
              <w:rPr>
                <w:sz w:val="22"/>
                <w:szCs w:val="22"/>
                <w:lang w:val="lt-LT"/>
              </w:rPr>
              <w:t>, n</w:t>
            </w:r>
          </w:p>
        </w:tc>
        <w:tc>
          <w:tcPr>
            <w:tcW w:w="1330" w:type="pct"/>
            <w:vAlign w:val="center"/>
          </w:tcPr>
          <w:p w14:paraId="6F41934B" w14:textId="77777777" w:rsidR="00EF4988" w:rsidRPr="00EF4988" w:rsidRDefault="00EF4988" w:rsidP="00EF4988">
            <w:pPr>
              <w:tabs>
                <w:tab w:val="left" w:pos="567"/>
              </w:tabs>
              <w:jc w:val="center"/>
              <w:outlineLvl w:val="0"/>
              <w:rPr>
                <w:sz w:val="22"/>
                <w:szCs w:val="22"/>
                <w:lang w:val="lt-LT"/>
              </w:rPr>
            </w:pPr>
            <w:r w:rsidRPr="00EF4988">
              <w:rPr>
                <w:sz w:val="22"/>
                <w:szCs w:val="22"/>
                <w:lang w:val="lt-LT"/>
              </w:rPr>
              <w:t>322</w:t>
            </w:r>
          </w:p>
        </w:tc>
        <w:tc>
          <w:tcPr>
            <w:tcW w:w="1170" w:type="pct"/>
            <w:vAlign w:val="center"/>
          </w:tcPr>
          <w:p w14:paraId="41BCA725" w14:textId="77777777" w:rsidR="00EF4988" w:rsidRPr="00EF4988" w:rsidRDefault="00EF4988" w:rsidP="00EF4988">
            <w:pPr>
              <w:tabs>
                <w:tab w:val="left" w:pos="567"/>
              </w:tabs>
              <w:jc w:val="center"/>
              <w:outlineLvl w:val="0"/>
              <w:rPr>
                <w:sz w:val="22"/>
                <w:szCs w:val="22"/>
                <w:lang w:val="lt-LT"/>
              </w:rPr>
            </w:pPr>
            <w:r w:rsidRPr="00EF4988">
              <w:rPr>
                <w:sz w:val="22"/>
                <w:szCs w:val="22"/>
                <w:lang w:val="lt-LT"/>
              </w:rPr>
              <w:t>336</w:t>
            </w:r>
          </w:p>
        </w:tc>
      </w:tr>
      <w:tr w:rsidR="00EF4988" w:rsidRPr="00EF4988" w14:paraId="4C7DBB40" w14:textId="77777777" w:rsidTr="008533BD">
        <w:tc>
          <w:tcPr>
            <w:tcW w:w="2500" w:type="pct"/>
          </w:tcPr>
          <w:p w14:paraId="2B11561A" w14:textId="5ACFDD79" w:rsidR="00EF4988" w:rsidRPr="00EF4988" w:rsidRDefault="00BE5504" w:rsidP="00BE5504">
            <w:pPr>
              <w:tabs>
                <w:tab w:val="left" w:pos="567"/>
              </w:tabs>
              <w:ind w:left="176"/>
              <w:outlineLvl w:val="0"/>
              <w:rPr>
                <w:sz w:val="22"/>
                <w:szCs w:val="22"/>
                <w:lang w:val="lt-LT"/>
              </w:rPr>
            </w:pPr>
            <w:r w:rsidRPr="00BF4AB8">
              <w:rPr>
                <w:sz w:val="22"/>
                <w:szCs w:val="22"/>
                <w:lang w:val="lt-LT"/>
              </w:rPr>
              <w:t>Mirčių ar ligos progresavimo atvejų skaičius</w:t>
            </w:r>
            <w:r w:rsidR="00EF4988" w:rsidRPr="00EF4988">
              <w:rPr>
                <w:sz w:val="22"/>
                <w:szCs w:val="22"/>
                <w:lang w:val="lt-LT"/>
              </w:rPr>
              <w:t>, n (</w:t>
            </w:r>
            <w:r w:rsidR="00AC48E9" w:rsidRPr="00BF4AB8">
              <w:rPr>
                <w:sz w:val="22"/>
                <w:szCs w:val="22"/>
                <w:lang w:val="lt-LT"/>
              </w:rPr>
              <w:t> %</w:t>
            </w:r>
            <w:r w:rsidR="00EF4988" w:rsidRPr="00EF4988">
              <w:rPr>
                <w:sz w:val="22"/>
                <w:szCs w:val="22"/>
                <w:lang w:val="lt-LT"/>
              </w:rPr>
              <w:t>)</w:t>
            </w:r>
          </w:p>
        </w:tc>
        <w:tc>
          <w:tcPr>
            <w:tcW w:w="1330" w:type="pct"/>
            <w:vAlign w:val="center"/>
          </w:tcPr>
          <w:p w14:paraId="5320FB2F" w14:textId="5B3C8285" w:rsidR="00EF4988" w:rsidRPr="00EF4988" w:rsidRDefault="00EF4988" w:rsidP="00EF4988">
            <w:pPr>
              <w:tabs>
                <w:tab w:val="left" w:pos="567"/>
              </w:tabs>
              <w:jc w:val="center"/>
              <w:outlineLvl w:val="0"/>
              <w:rPr>
                <w:sz w:val="22"/>
                <w:szCs w:val="22"/>
                <w:lang w:val="lt-LT"/>
              </w:rPr>
            </w:pPr>
            <w:r w:rsidRPr="00EF4988">
              <w:rPr>
                <w:sz w:val="22"/>
                <w:szCs w:val="22"/>
                <w:lang w:val="lt-LT"/>
              </w:rPr>
              <w:t>255 (79</w:t>
            </w:r>
            <w:r w:rsidR="00BE5504" w:rsidRPr="00BF4AB8">
              <w:rPr>
                <w:sz w:val="22"/>
                <w:szCs w:val="22"/>
                <w:lang w:val="lt-LT"/>
              </w:rPr>
              <w:t>,</w:t>
            </w:r>
            <w:r w:rsidRPr="00EF4988">
              <w:rPr>
                <w:sz w:val="22"/>
                <w:szCs w:val="22"/>
                <w:lang w:val="lt-LT"/>
              </w:rPr>
              <w:t>2)</w:t>
            </w:r>
          </w:p>
        </w:tc>
        <w:tc>
          <w:tcPr>
            <w:tcW w:w="1170" w:type="pct"/>
            <w:vAlign w:val="center"/>
          </w:tcPr>
          <w:p w14:paraId="33512ED0" w14:textId="50AA966D" w:rsidR="00EF4988" w:rsidRPr="00EF4988" w:rsidRDefault="00EF4988" w:rsidP="00EF4988">
            <w:pPr>
              <w:tabs>
                <w:tab w:val="left" w:pos="567"/>
              </w:tabs>
              <w:jc w:val="center"/>
              <w:outlineLvl w:val="0"/>
              <w:rPr>
                <w:sz w:val="22"/>
                <w:szCs w:val="22"/>
                <w:lang w:val="lt-LT"/>
              </w:rPr>
            </w:pPr>
            <w:r w:rsidRPr="00EF4988">
              <w:rPr>
                <w:sz w:val="22"/>
                <w:szCs w:val="22"/>
                <w:lang w:val="lt-LT"/>
              </w:rPr>
              <w:t>267 (79</w:t>
            </w:r>
            <w:r w:rsidR="00636065">
              <w:rPr>
                <w:sz w:val="22"/>
                <w:szCs w:val="22"/>
                <w:lang w:val="lt-LT"/>
              </w:rPr>
              <w:t>,</w:t>
            </w:r>
            <w:r w:rsidRPr="00EF4988">
              <w:rPr>
                <w:sz w:val="22"/>
                <w:szCs w:val="22"/>
                <w:lang w:val="lt-LT"/>
              </w:rPr>
              <w:t>5)</w:t>
            </w:r>
          </w:p>
        </w:tc>
      </w:tr>
      <w:tr w:rsidR="00EF4988" w:rsidRPr="00EF4988" w14:paraId="647F100C" w14:textId="77777777" w:rsidTr="008533BD">
        <w:tc>
          <w:tcPr>
            <w:tcW w:w="2500" w:type="pct"/>
          </w:tcPr>
          <w:p w14:paraId="0E85705A" w14:textId="56229197" w:rsidR="00EF4988" w:rsidRPr="00EF4988" w:rsidRDefault="00BE5504" w:rsidP="00EF4988">
            <w:pPr>
              <w:tabs>
                <w:tab w:val="left" w:pos="567"/>
              </w:tabs>
              <w:ind w:left="176"/>
              <w:outlineLvl w:val="0"/>
              <w:rPr>
                <w:sz w:val="22"/>
                <w:szCs w:val="22"/>
                <w:lang w:val="lt-LT"/>
              </w:rPr>
            </w:pPr>
            <w:r w:rsidRPr="00BF4AB8">
              <w:rPr>
                <w:sz w:val="22"/>
                <w:szCs w:val="22"/>
                <w:lang w:val="lt-LT"/>
              </w:rPr>
              <w:t>IBLP mediana [mėnesiai</w:t>
            </w:r>
            <w:r w:rsidR="00EF4988" w:rsidRPr="00EF4988">
              <w:rPr>
                <w:sz w:val="22"/>
                <w:szCs w:val="22"/>
                <w:lang w:val="lt-LT"/>
              </w:rPr>
              <w:t>]</w:t>
            </w:r>
          </w:p>
        </w:tc>
        <w:tc>
          <w:tcPr>
            <w:tcW w:w="1330" w:type="pct"/>
            <w:vAlign w:val="center"/>
          </w:tcPr>
          <w:p w14:paraId="3033E7F7" w14:textId="213E5DA9" w:rsidR="00EF4988" w:rsidRPr="00EF4988" w:rsidRDefault="00EF4988" w:rsidP="00EF4988">
            <w:pPr>
              <w:tabs>
                <w:tab w:val="left" w:pos="567"/>
              </w:tabs>
              <w:jc w:val="center"/>
              <w:outlineLvl w:val="0"/>
              <w:rPr>
                <w:sz w:val="22"/>
                <w:szCs w:val="22"/>
                <w:lang w:val="lt-LT"/>
              </w:rPr>
            </w:pPr>
            <w:r w:rsidRPr="00EF4988">
              <w:rPr>
                <w:sz w:val="22"/>
                <w:szCs w:val="22"/>
                <w:lang w:val="lt-LT"/>
              </w:rPr>
              <w:t>4</w:t>
            </w:r>
            <w:r w:rsidR="00BE5504" w:rsidRPr="00BF4AB8">
              <w:rPr>
                <w:sz w:val="22"/>
                <w:szCs w:val="22"/>
                <w:lang w:val="lt-LT"/>
              </w:rPr>
              <w:t>,</w:t>
            </w:r>
            <w:r w:rsidRPr="00EF4988">
              <w:rPr>
                <w:sz w:val="22"/>
                <w:szCs w:val="22"/>
                <w:lang w:val="lt-LT"/>
              </w:rPr>
              <w:t>2</w:t>
            </w:r>
          </w:p>
        </w:tc>
        <w:tc>
          <w:tcPr>
            <w:tcW w:w="1170" w:type="pct"/>
            <w:vAlign w:val="center"/>
          </w:tcPr>
          <w:p w14:paraId="5256BC35" w14:textId="3CDFE9CE" w:rsidR="00EF4988" w:rsidRPr="00EF4988" w:rsidRDefault="00EF4988" w:rsidP="00EF4988">
            <w:pPr>
              <w:tabs>
                <w:tab w:val="left" w:pos="567"/>
              </w:tabs>
              <w:jc w:val="center"/>
              <w:outlineLvl w:val="0"/>
              <w:rPr>
                <w:sz w:val="22"/>
                <w:szCs w:val="22"/>
                <w:lang w:val="lt-LT"/>
              </w:rPr>
            </w:pPr>
            <w:r w:rsidRPr="00EF4988">
              <w:rPr>
                <w:sz w:val="22"/>
                <w:szCs w:val="22"/>
                <w:lang w:val="lt-LT"/>
              </w:rPr>
              <w:t>2</w:t>
            </w:r>
            <w:r w:rsidR="00636065">
              <w:rPr>
                <w:sz w:val="22"/>
                <w:szCs w:val="22"/>
                <w:lang w:val="lt-LT"/>
              </w:rPr>
              <w:t>,</w:t>
            </w:r>
            <w:r w:rsidRPr="00EF4988">
              <w:rPr>
                <w:sz w:val="22"/>
                <w:szCs w:val="22"/>
                <w:lang w:val="lt-LT"/>
              </w:rPr>
              <w:t>8</w:t>
            </w:r>
          </w:p>
        </w:tc>
      </w:tr>
      <w:tr w:rsidR="00EF4988" w:rsidRPr="00EF4988" w14:paraId="0975FC16" w14:textId="77777777" w:rsidTr="008533BD">
        <w:tc>
          <w:tcPr>
            <w:tcW w:w="2500" w:type="pct"/>
          </w:tcPr>
          <w:p w14:paraId="7997918B" w14:textId="39534682" w:rsidR="00EF4988" w:rsidRPr="00EF4988" w:rsidRDefault="00BE5504" w:rsidP="00EF4988">
            <w:pPr>
              <w:tabs>
                <w:tab w:val="left" w:pos="567"/>
              </w:tabs>
              <w:ind w:left="176"/>
              <w:outlineLvl w:val="0"/>
              <w:rPr>
                <w:sz w:val="22"/>
                <w:szCs w:val="22"/>
                <w:lang w:val="lt-LT"/>
              </w:rPr>
            </w:pPr>
            <w:r w:rsidRPr="00BF4AB8">
              <w:rPr>
                <w:sz w:val="22"/>
                <w:szCs w:val="22"/>
                <w:lang w:val="lt-LT"/>
              </w:rPr>
              <w:t>RS</w:t>
            </w:r>
            <w:r w:rsidRPr="00EF4988">
              <w:rPr>
                <w:sz w:val="22"/>
                <w:szCs w:val="22"/>
                <w:lang w:val="lt-LT"/>
              </w:rPr>
              <w:t xml:space="preserve"> (95</w:t>
            </w:r>
            <w:r w:rsidR="00AC48E9" w:rsidRPr="00BF4AB8">
              <w:rPr>
                <w:sz w:val="22"/>
                <w:szCs w:val="22"/>
                <w:lang w:val="lt-LT"/>
              </w:rPr>
              <w:t> %</w:t>
            </w:r>
            <w:r w:rsidRPr="00EF4988">
              <w:rPr>
                <w:sz w:val="22"/>
                <w:szCs w:val="22"/>
                <w:lang w:val="lt-LT"/>
              </w:rPr>
              <w:t> </w:t>
            </w:r>
            <w:r w:rsidRPr="00BF4AB8">
              <w:rPr>
                <w:sz w:val="22"/>
                <w:szCs w:val="22"/>
                <w:lang w:val="lt-LT"/>
              </w:rPr>
              <w:t>P</w:t>
            </w:r>
            <w:r w:rsidRPr="00EF4988">
              <w:rPr>
                <w:sz w:val="22"/>
                <w:szCs w:val="22"/>
                <w:lang w:val="lt-LT"/>
              </w:rPr>
              <w:t>I)</w:t>
            </w:r>
          </w:p>
        </w:tc>
        <w:tc>
          <w:tcPr>
            <w:tcW w:w="2500" w:type="pct"/>
            <w:gridSpan w:val="2"/>
            <w:vAlign w:val="center"/>
          </w:tcPr>
          <w:p w14:paraId="46B784FF" w14:textId="425F886E" w:rsidR="00EF4988" w:rsidRPr="00EF4988" w:rsidRDefault="00EF4988" w:rsidP="00EF4988">
            <w:pPr>
              <w:tabs>
                <w:tab w:val="left" w:pos="567"/>
              </w:tabs>
              <w:jc w:val="center"/>
              <w:outlineLvl w:val="0"/>
              <w:rPr>
                <w:sz w:val="22"/>
                <w:szCs w:val="22"/>
                <w:lang w:val="lt-LT"/>
              </w:rPr>
            </w:pPr>
            <w:r w:rsidRPr="00EF4988">
              <w:rPr>
                <w:sz w:val="22"/>
                <w:szCs w:val="22"/>
                <w:lang w:val="lt-LT"/>
              </w:rPr>
              <w:t>0</w:t>
            </w:r>
            <w:r w:rsidR="00BE5504" w:rsidRPr="00BF4AB8">
              <w:rPr>
                <w:sz w:val="22"/>
                <w:szCs w:val="22"/>
                <w:lang w:val="lt-LT"/>
              </w:rPr>
              <w:t>,</w:t>
            </w:r>
            <w:r w:rsidRPr="00EF4988">
              <w:rPr>
                <w:sz w:val="22"/>
                <w:szCs w:val="22"/>
                <w:lang w:val="lt-LT"/>
              </w:rPr>
              <w:t>84 (0</w:t>
            </w:r>
            <w:r w:rsidR="00BE5504" w:rsidRPr="00BF4AB8">
              <w:rPr>
                <w:sz w:val="22"/>
                <w:szCs w:val="22"/>
                <w:lang w:val="lt-LT"/>
              </w:rPr>
              <w:t>,</w:t>
            </w:r>
            <w:r w:rsidRPr="00EF4988">
              <w:rPr>
                <w:sz w:val="22"/>
                <w:szCs w:val="22"/>
                <w:lang w:val="lt-LT"/>
              </w:rPr>
              <w:t>71; 1</w:t>
            </w:r>
            <w:r w:rsidR="00BE5504" w:rsidRPr="00BF4AB8">
              <w:rPr>
                <w:sz w:val="22"/>
                <w:szCs w:val="22"/>
                <w:lang w:val="lt-LT"/>
              </w:rPr>
              <w:t>,</w:t>
            </w:r>
            <w:r w:rsidRPr="00EF4988">
              <w:rPr>
                <w:sz w:val="22"/>
                <w:szCs w:val="22"/>
                <w:lang w:val="lt-LT"/>
              </w:rPr>
              <w:t>00)</w:t>
            </w:r>
          </w:p>
        </w:tc>
      </w:tr>
      <w:tr w:rsidR="00EF4988" w:rsidRPr="00EF4988" w14:paraId="30258B46" w14:textId="77777777" w:rsidTr="008533BD">
        <w:tc>
          <w:tcPr>
            <w:tcW w:w="2500" w:type="pct"/>
          </w:tcPr>
          <w:p w14:paraId="0E549C7B" w14:textId="54F558F2" w:rsidR="00EF4988" w:rsidRPr="00EF4988" w:rsidRDefault="00BE5504" w:rsidP="00EF4988">
            <w:pPr>
              <w:tabs>
                <w:tab w:val="left" w:pos="567"/>
              </w:tabs>
              <w:ind w:left="176"/>
              <w:outlineLvl w:val="0"/>
              <w:rPr>
                <w:sz w:val="22"/>
                <w:szCs w:val="22"/>
                <w:lang w:val="lt-LT"/>
              </w:rPr>
            </w:pPr>
            <w:proofErr w:type="spellStart"/>
            <w:r w:rsidRPr="00BF4AB8">
              <w:rPr>
                <w:sz w:val="22"/>
                <w:szCs w:val="22"/>
                <w:lang w:val="lt-LT"/>
              </w:rPr>
              <w:t>Stratifikuoto</w:t>
            </w:r>
            <w:proofErr w:type="spellEnd"/>
            <w:r w:rsidRPr="00EF4988">
              <w:rPr>
                <w:sz w:val="22"/>
                <w:szCs w:val="22"/>
                <w:lang w:val="lt-LT"/>
              </w:rPr>
              <w:t xml:space="preserve"> </w:t>
            </w:r>
            <w:proofErr w:type="spellStart"/>
            <w:r w:rsidRPr="00EF4988">
              <w:rPr>
                <w:i/>
                <w:iCs/>
                <w:sz w:val="22"/>
                <w:szCs w:val="22"/>
                <w:lang w:val="lt-LT"/>
              </w:rPr>
              <w:t>Log-Rank</w:t>
            </w:r>
            <w:proofErr w:type="spellEnd"/>
            <w:r w:rsidRPr="00EF4988">
              <w:rPr>
                <w:sz w:val="22"/>
                <w:szCs w:val="22"/>
                <w:lang w:val="lt-LT"/>
              </w:rPr>
              <w:t xml:space="preserve"> </w:t>
            </w:r>
            <w:r w:rsidRPr="00BF4AB8">
              <w:rPr>
                <w:sz w:val="22"/>
                <w:szCs w:val="22"/>
                <w:lang w:val="lt-LT"/>
              </w:rPr>
              <w:t>t</w:t>
            </w:r>
            <w:r w:rsidRPr="00EF4988">
              <w:rPr>
                <w:sz w:val="22"/>
                <w:szCs w:val="22"/>
                <w:lang w:val="lt-LT"/>
              </w:rPr>
              <w:t>est</w:t>
            </w:r>
            <w:r w:rsidRPr="00BF4AB8">
              <w:rPr>
                <w:sz w:val="22"/>
                <w:szCs w:val="22"/>
                <w:lang w:val="lt-LT"/>
              </w:rPr>
              <w:t>o</w:t>
            </w:r>
            <w:r w:rsidRPr="00EF4988">
              <w:rPr>
                <w:sz w:val="22"/>
                <w:szCs w:val="22"/>
                <w:lang w:val="lt-LT"/>
              </w:rPr>
              <w:t xml:space="preserve"> p</w:t>
            </w:r>
            <w:r w:rsidRPr="00BF4AB8">
              <w:rPr>
                <w:sz w:val="22"/>
                <w:szCs w:val="22"/>
                <w:lang w:val="lt-LT"/>
              </w:rPr>
              <w:t xml:space="preserve"> reikšmė</w:t>
            </w:r>
            <w:r w:rsidRPr="00BF4AB8">
              <w:rPr>
                <w:sz w:val="22"/>
                <w:szCs w:val="22"/>
                <w:vertAlign w:val="superscript"/>
                <w:lang w:val="lt-LT"/>
              </w:rPr>
              <w:t xml:space="preserve"> </w:t>
            </w:r>
            <w:r w:rsidR="00EF4988" w:rsidRPr="00EF4988">
              <w:rPr>
                <w:sz w:val="22"/>
                <w:szCs w:val="22"/>
                <w:vertAlign w:val="superscript"/>
                <w:lang w:val="lt-LT"/>
              </w:rPr>
              <w:t>**</w:t>
            </w:r>
          </w:p>
        </w:tc>
        <w:tc>
          <w:tcPr>
            <w:tcW w:w="2500" w:type="pct"/>
            <w:gridSpan w:val="2"/>
            <w:vAlign w:val="center"/>
          </w:tcPr>
          <w:p w14:paraId="5F03CEE8" w14:textId="6D95DF3A" w:rsidR="00EF4988" w:rsidRPr="00EF4988" w:rsidRDefault="00EF4988" w:rsidP="00EF4988">
            <w:pPr>
              <w:tabs>
                <w:tab w:val="left" w:pos="567"/>
              </w:tabs>
              <w:jc w:val="center"/>
              <w:outlineLvl w:val="0"/>
              <w:rPr>
                <w:sz w:val="22"/>
                <w:szCs w:val="22"/>
                <w:lang w:val="lt-LT"/>
              </w:rPr>
            </w:pPr>
            <w:r w:rsidRPr="00EF4988">
              <w:rPr>
                <w:sz w:val="22"/>
                <w:szCs w:val="22"/>
                <w:lang w:val="lt-LT"/>
              </w:rPr>
              <w:t>0</w:t>
            </w:r>
            <w:r w:rsidR="00BE5504" w:rsidRPr="00BF4AB8">
              <w:rPr>
                <w:sz w:val="22"/>
                <w:szCs w:val="22"/>
                <w:lang w:val="lt-LT"/>
              </w:rPr>
              <w:t>,</w:t>
            </w:r>
            <w:r w:rsidRPr="00EF4988">
              <w:rPr>
                <w:sz w:val="22"/>
                <w:szCs w:val="22"/>
                <w:lang w:val="lt-LT"/>
              </w:rPr>
              <w:t>0485</w:t>
            </w:r>
          </w:p>
        </w:tc>
      </w:tr>
      <w:tr w:rsidR="00EF4988" w:rsidRPr="00EF4988" w14:paraId="7C248A06" w14:textId="77777777" w:rsidTr="008533BD">
        <w:tc>
          <w:tcPr>
            <w:tcW w:w="2500" w:type="pct"/>
          </w:tcPr>
          <w:p w14:paraId="2B5CD2F9" w14:textId="79D830B5" w:rsidR="00EF4988" w:rsidRPr="00EF4988" w:rsidRDefault="00BE5504" w:rsidP="00EF4988">
            <w:pPr>
              <w:tabs>
                <w:tab w:val="left" w:pos="567"/>
              </w:tabs>
              <w:outlineLvl w:val="0"/>
              <w:rPr>
                <w:sz w:val="22"/>
                <w:szCs w:val="22"/>
                <w:lang w:val="lt-LT"/>
              </w:rPr>
            </w:pPr>
            <w:r w:rsidRPr="00BF4AB8">
              <w:rPr>
                <w:sz w:val="22"/>
                <w:szCs w:val="22"/>
                <w:lang w:val="lt-LT"/>
              </w:rPr>
              <w:t>Ligos kontrolė</w:t>
            </w:r>
            <w:r w:rsidR="00EF4988" w:rsidRPr="00EF4988">
              <w:rPr>
                <w:sz w:val="22"/>
                <w:szCs w:val="22"/>
                <w:lang w:val="lt-LT"/>
              </w:rPr>
              <w:t xml:space="preserve"> [</w:t>
            </w:r>
            <w:r w:rsidR="00AC48E9" w:rsidRPr="00BF4AB8">
              <w:rPr>
                <w:sz w:val="22"/>
                <w:szCs w:val="22"/>
                <w:lang w:val="lt-LT"/>
              </w:rPr>
              <w:t> %</w:t>
            </w:r>
            <w:r w:rsidR="00EF4988" w:rsidRPr="00EF4988">
              <w:rPr>
                <w:sz w:val="22"/>
                <w:szCs w:val="22"/>
                <w:lang w:val="lt-LT"/>
              </w:rPr>
              <w:t>]</w:t>
            </w:r>
          </w:p>
        </w:tc>
        <w:tc>
          <w:tcPr>
            <w:tcW w:w="1330" w:type="pct"/>
            <w:vAlign w:val="center"/>
          </w:tcPr>
          <w:p w14:paraId="23166C6E" w14:textId="385D57E8" w:rsidR="00EF4988" w:rsidRPr="00EF4988" w:rsidRDefault="00EF4988" w:rsidP="00EF4988">
            <w:pPr>
              <w:tabs>
                <w:tab w:val="left" w:pos="567"/>
              </w:tabs>
              <w:jc w:val="center"/>
              <w:outlineLvl w:val="0"/>
              <w:rPr>
                <w:sz w:val="22"/>
                <w:szCs w:val="22"/>
                <w:lang w:val="lt-LT"/>
              </w:rPr>
            </w:pPr>
            <w:r w:rsidRPr="00EF4988">
              <w:rPr>
                <w:sz w:val="22"/>
                <w:szCs w:val="22"/>
                <w:lang w:val="lt-LT"/>
              </w:rPr>
              <w:t>60</w:t>
            </w:r>
            <w:r w:rsidR="00BE5504" w:rsidRPr="00BF4AB8">
              <w:rPr>
                <w:sz w:val="22"/>
                <w:szCs w:val="22"/>
                <w:lang w:val="lt-LT"/>
              </w:rPr>
              <w:t>,</w:t>
            </w:r>
            <w:r w:rsidRPr="00EF4988">
              <w:rPr>
                <w:sz w:val="22"/>
                <w:szCs w:val="22"/>
                <w:lang w:val="lt-LT"/>
              </w:rPr>
              <w:t>2</w:t>
            </w:r>
          </w:p>
        </w:tc>
        <w:tc>
          <w:tcPr>
            <w:tcW w:w="1170" w:type="pct"/>
            <w:vAlign w:val="center"/>
          </w:tcPr>
          <w:p w14:paraId="2E4A86DD" w14:textId="4A64994A" w:rsidR="00EF4988" w:rsidRPr="00EF4988" w:rsidRDefault="00EF4988" w:rsidP="00EF4988">
            <w:pPr>
              <w:tabs>
                <w:tab w:val="left" w:pos="567"/>
              </w:tabs>
              <w:jc w:val="center"/>
              <w:outlineLvl w:val="0"/>
              <w:rPr>
                <w:sz w:val="22"/>
                <w:szCs w:val="22"/>
                <w:lang w:val="lt-LT"/>
              </w:rPr>
            </w:pPr>
            <w:r w:rsidRPr="00EF4988">
              <w:rPr>
                <w:sz w:val="22"/>
                <w:szCs w:val="22"/>
                <w:lang w:val="lt-LT"/>
              </w:rPr>
              <w:t>44</w:t>
            </w:r>
            <w:r w:rsidR="00636065">
              <w:rPr>
                <w:sz w:val="22"/>
                <w:szCs w:val="22"/>
                <w:lang w:val="lt-LT"/>
              </w:rPr>
              <w:t>,</w:t>
            </w:r>
            <w:r w:rsidRPr="00EF4988">
              <w:rPr>
                <w:sz w:val="22"/>
                <w:szCs w:val="22"/>
                <w:lang w:val="lt-LT"/>
              </w:rPr>
              <w:t>0</w:t>
            </w:r>
          </w:p>
        </w:tc>
      </w:tr>
      <w:tr w:rsidR="00EF4988" w:rsidRPr="00EF4988" w14:paraId="7C46DE0E" w14:textId="77777777" w:rsidTr="008533BD">
        <w:tc>
          <w:tcPr>
            <w:tcW w:w="2500" w:type="pct"/>
          </w:tcPr>
          <w:p w14:paraId="20CFFBCC" w14:textId="00F75980" w:rsidR="00EF4988" w:rsidRPr="00EF4988" w:rsidRDefault="00BE5504" w:rsidP="00EF4988">
            <w:pPr>
              <w:tabs>
                <w:tab w:val="left" w:pos="567"/>
              </w:tabs>
              <w:outlineLvl w:val="0"/>
              <w:rPr>
                <w:sz w:val="22"/>
                <w:szCs w:val="22"/>
                <w:lang w:val="lt-LT"/>
              </w:rPr>
            </w:pPr>
            <w:r w:rsidRPr="00BF4AB8">
              <w:rPr>
                <w:sz w:val="22"/>
                <w:szCs w:val="22"/>
                <w:lang w:val="lt-LT"/>
              </w:rPr>
              <w:t>Šansų santykis</w:t>
            </w:r>
            <w:r w:rsidR="00EF4988" w:rsidRPr="00EF4988">
              <w:rPr>
                <w:sz w:val="22"/>
                <w:szCs w:val="22"/>
                <w:lang w:val="lt-LT"/>
              </w:rPr>
              <w:t xml:space="preserve"> (95</w:t>
            </w:r>
            <w:r w:rsidR="00AC48E9" w:rsidRPr="00BF4AB8">
              <w:rPr>
                <w:sz w:val="22"/>
                <w:szCs w:val="22"/>
                <w:lang w:val="lt-LT"/>
              </w:rPr>
              <w:t> %</w:t>
            </w:r>
            <w:r w:rsidR="00EF4988" w:rsidRPr="00EF4988">
              <w:rPr>
                <w:sz w:val="22"/>
                <w:szCs w:val="22"/>
                <w:lang w:val="lt-LT"/>
              </w:rPr>
              <w:t> </w:t>
            </w:r>
            <w:r w:rsidRPr="00BF4AB8">
              <w:rPr>
                <w:sz w:val="22"/>
                <w:szCs w:val="22"/>
                <w:lang w:val="lt-LT"/>
              </w:rPr>
              <w:t>P</w:t>
            </w:r>
            <w:r w:rsidR="00EF4988" w:rsidRPr="00EF4988">
              <w:rPr>
                <w:sz w:val="22"/>
                <w:szCs w:val="22"/>
                <w:lang w:val="lt-LT"/>
              </w:rPr>
              <w:t>I)</w:t>
            </w:r>
            <w:r w:rsidR="00EF4988" w:rsidRPr="00EF4988">
              <w:rPr>
                <w:sz w:val="22"/>
                <w:szCs w:val="22"/>
                <w:vertAlign w:val="superscript"/>
                <w:lang w:val="lt-LT"/>
              </w:rPr>
              <w:t>+</w:t>
            </w:r>
          </w:p>
        </w:tc>
        <w:tc>
          <w:tcPr>
            <w:tcW w:w="2500" w:type="pct"/>
            <w:gridSpan w:val="2"/>
            <w:vAlign w:val="center"/>
          </w:tcPr>
          <w:p w14:paraId="65FB7F13" w14:textId="3CD2CB58" w:rsidR="00EF4988" w:rsidRPr="00EF4988" w:rsidRDefault="00EF4988" w:rsidP="00EF4988">
            <w:pPr>
              <w:tabs>
                <w:tab w:val="left" w:pos="567"/>
              </w:tabs>
              <w:jc w:val="center"/>
              <w:outlineLvl w:val="0"/>
              <w:rPr>
                <w:sz w:val="22"/>
                <w:szCs w:val="22"/>
                <w:lang w:val="lt-LT"/>
              </w:rPr>
            </w:pPr>
            <w:r w:rsidRPr="00EF4988">
              <w:rPr>
                <w:sz w:val="22"/>
                <w:szCs w:val="22"/>
                <w:lang w:val="lt-LT"/>
              </w:rPr>
              <w:t>1</w:t>
            </w:r>
            <w:r w:rsidR="00BE5504" w:rsidRPr="00BF4AB8">
              <w:rPr>
                <w:sz w:val="22"/>
                <w:szCs w:val="22"/>
                <w:lang w:val="lt-LT"/>
              </w:rPr>
              <w:t>,</w:t>
            </w:r>
            <w:r w:rsidRPr="00EF4988">
              <w:rPr>
                <w:sz w:val="22"/>
                <w:szCs w:val="22"/>
                <w:lang w:val="lt-LT"/>
              </w:rPr>
              <w:t>93 (1</w:t>
            </w:r>
            <w:r w:rsidR="00BE5504" w:rsidRPr="00BF4AB8">
              <w:rPr>
                <w:sz w:val="22"/>
                <w:szCs w:val="22"/>
                <w:lang w:val="lt-LT"/>
              </w:rPr>
              <w:t>,</w:t>
            </w:r>
            <w:r w:rsidRPr="00EF4988">
              <w:rPr>
                <w:sz w:val="22"/>
                <w:szCs w:val="22"/>
                <w:lang w:val="lt-LT"/>
              </w:rPr>
              <w:t>42; 2</w:t>
            </w:r>
            <w:r w:rsidR="00BE5504" w:rsidRPr="00BF4AB8">
              <w:rPr>
                <w:sz w:val="22"/>
                <w:szCs w:val="22"/>
                <w:lang w:val="lt-LT"/>
              </w:rPr>
              <w:t>,</w:t>
            </w:r>
            <w:r w:rsidRPr="00EF4988">
              <w:rPr>
                <w:sz w:val="22"/>
                <w:szCs w:val="22"/>
                <w:lang w:val="lt-LT"/>
              </w:rPr>
              <w:t>64)</w:t>
            </w:r>
          </w:p>
        </w:tc>
      </w:tr>
      <w:tr w:rsidR="00EF4988" w:rsidRPr="00EF4988" w14:paraId="1C3F7EB1" w14:textId="77777777" w:rsidTr="008533BD">
        <w:tc>
          <w:tcPr>
            <w:tcW w:w="2500" w:type="pct"/>
          </w:tcPr>
          <w:p w14:paraId="45C1BD57" w14:textId="71317693" w:rsidR="00EF4988" w:rsidRPr="00EF4988" w:rsidRDefault="00BE5504" w:rsidP="00EF4988">
            <w:pPr>
              <w:tabs>
                <w:tab w:val="left" w:pos="567"/>
              </w:tabs>
              <w:outlineLvl w:val="0"/>
              <w:rPr>
                <w:sz w:val="22"/>
                <w:szCs w:val="22"/>
                <w:lang w:val="lt-LT"/>
              </w:rPr>
            </w:pPr>
            <w:r w:rsidRPr="00BF4AB8">
              <w:rPr>
                <w:sz w:val="22"/>
                <w:szCs w:val="22"/>
                <w:lang w:val="lt-LT"/>
              </w:rPr>
              <w:t>p reikšmė</w:t>
            </w:r>
            <w:r w:rsidR="00EF4988" w:rsidRPr="00EF4988">
              <w:rPr>
                <w:sz w:val="22"/>
                <w:szCs w:val="22"/>
                <w:vertAlign w:val="superscript"/>
                <w:lang w:val="lt-LT"/>
              </w:rPr>
              <w:t>+</w:t>
            </w:r>
          </w:p>
        </w:tc>
        <w:tc>
          <w:tcPr>
            <w:tcW w:w="2500" w:type="pct"/>
            <w:gridSpan w:val="2"/>
            <w:vAlign w:val="center"/>
          </w:tcPr>
          <w:p w14:paraId="34898EFE" w14:textId="278B3C8C" w:rsidR="00EF4988" w:rsidRPr="00EF4988" w:rsidRDefault="00EF4988" w:rsidP="00EF4988">
            <w:pPr>
              <w:tabs>
                <w:tab w:val="left" w:pos="567"/>
              </w:tabs>
              <w:jc w:val="center"/>
              <w:outlineLvl w:val="0"/>
              <w:rPr>
                <w:sz w:val="22"/>
                <w:szCs w:val="22"/>
                <w:lang w:val="lt-LT"/>
              </w:rPr>
            </w:pPr>
            <w:r w:rsidRPr="00EF4988">
              <w:rPr>
                <w:sz w:val="22"/>
                <w:szCs w:val="22"/>
                <w:lang w:val="lt-LT"/>
              </w:rPr>
              <w:t>&lt;0</w:t>
            </w:r>
            <w:r w:rsidR="00BE5504" w:rsidRPr="00BF4AB8">
              <w:rPr>
                <w:sz w:val="22"/>
                <w:szCs w:val="22"/>
                <w:lang w:val="lt-LT"/>
              </w:rPr>
              <w:t>,</w:t>
            </w:r>
            <w:r w:rsidRPr="00EF4988">
              <w:rPr>
                <w:sz w:val="22"/>
                <w:szCs w:val="22"/>
                <w:lang w:val="lt-LT"/>
              </w:rPr>
              <w:t>0001</w:t>
            </w:r>
          </w:p>
        </w:tc>
      </w:tr>
      <w:tr w:rsidR="00EF4988" w:rsidRPr="00EF4988" w14:paraId="08E7955E" w14:textId="77777777" w:rsidTr="008533BD">
        <w:tc>
          <w:tcPr>
            <w:tcW w:w="2500" w:type="pct"/>
          </w:tcPr>
          <w:p w14:paraId="4AEC0CAA" w14:textId="7664AE82" w:rsidR="00EF4988" w:rsidRPr="00EF4988" w:rsidRDefault="00B25831" w:rsidP="00EF4988">
            <w:pPr>
              <w:tabs>
                <w:tab w:val="left" w:pos="567"/>
              </w:tabs>
              <w:outlineLvl w:val="0"/>
              <w:rPr>
                <w:sz w:val="22"/>
                <w:szCs w:val="22"/>
                <w:lang w:val="lt-LT"/>
              </w:rPr>
            </w:pPr>
            <w:r w:rsidRPr="00BF4AB8">
              <w:rPr>
                <w:sz w:val="22"/>
                <w:szCs w:val="22"/>
                <w:lang w:val="lt-LT"/>
              </w:rPr>
              <w:t xml:space="preserve">Objektyvus atsakas </w:t>
            </w:r>
            <w:r w:rsidR="00EF4988" w:rsidRPr="00EF4988">
              <w:rPr>
                <w:sz w:val="22"/>
                <w:szCs w:val="22"/>
                <w:lang w:val="lt-LT"/>
              </w:rPr>
              <w:t>[</w:t>
            </w:r>
            <w:r w:rsidR="00AC48E9" w:rsidRPr="00BF4AB8">
              <w:rPr>
                <w:sz w:val="22"/>
                <w:szCs w:val="22"/>
                <w:lang w:val="lt-LT"/>
              </w:rPr>
              <w:t> %</w:t>
            </w:r>
            <w:r w:rsidR="00EF4988" w:rsidRPr="00EF4988">
              <w:rPr>
                <w:sz w:val="22"/>
                <w:szCs w:val="22"/>
                <w:lang w:val="lt-LT"/>
              </w:rPr>
              <w:t>]</w:t>
            </w:r>
          </w:p>
        </w:tc>
        <w:tc>
          <w:tcPr>
            <w:tcW w:w="1330" w:type="pct"/>
            <w:vAlign w:val="center"/>
          </w:tcPr>
          <w:p w14:paraId="5CAEB0B8" w14:textId="1218834C" w:rsidR="00EF4988" w:rsidRPr="00EF4988" w:rsidRDefault="00EF4988" w:rsidP="00EF4988">
            <w:pPr>
              <w:tabs>
                <w:tab w:val="left" w:pos="567"/>
              </w:tabs>
              <w:jc w:val="center"/>
              <w:outlineLvl w:val="0"/>
              <w:rPr>
                <w:sz w:val="22"/>
                <w:szCs w:val="22"/>
                <w:lang w:val="lt-LT"/>
              </w:rPr>
            </w:pPr>
            <w:r w:rsidRPr="00EF4988">
              <w:rPr>
                <w:sz w:val="22"/>
                <w:szCs w:val="22"/>
                <w:lang w:val="lt-LT"/>
              </w:rPr>
              <w:t>4</w:t>
            </w:r>
            <w:r w:rsidR="00BE5504" w:rsidRPr="00BF4AB8">
              <w:rPr>
                <w:sz w:val="22"/>
                <w:szCs w:val="22"/>
                <w:lang w:val="lt-LT"/>
              </w:rPr>
              <w:t>,</w:t>
            </w:r>
            <w:r w:rsidRPr="00EF4988">
              <w:rPr>
                <w:sz w:val="22"/>
                <w:szCs w:val="22"/>
                <w:lang w:val="lt-LT"/>
              </w:rPr>
              <w:t>7</w:t>
            </w:r>
          </w:p>
        </w:tc>
        <w:tc>
          <w:tcPr>
            <w:tcW w:w="1170" w:type="pct"/>
            <w:vAlign w:val="center"/>
          </w:tcPr>
          <w:p w14:paraId="34BE7051" w14:textId="37636742" w:rsidR="00EF4988" w:rsidRPr="00EF4988" w:rsidRDefault="00EF4988" w:rsidP="00EF4988">
            <w:pPr>
              <w:tabs>
                <w:tab w:val="left" w:pos="567"/>
              </w:tabs>
              <w:jc w:val="center"/>
              <w:outlineLvl w:val="0"/>
              <w:rPr>
                <w:sz w:val="22"/>
                <w:szCs w:val="22"/>
                <w:lang w:val="lt-LT"/>
              </w:rPr>
            </w:pPr>
            <w:r w:rsidRPr="00EF4988">
              <w:rPr>
                <w:sz w:val="22"/>
                <w:szCs w:val="22"/>
                <w:lang w:val="lt-LT"/>
              </w:rPr>
              <w:t>3</w:t>
            </w:r>
            <w:r w:rsidR="00636065">
              <w:rPr>
                <w:sz w:val="22"/>
                <w:szCs w:val="22"/>
                <w:lang w:val="lt-LT"/>
              </w:rPr>
              <w:t>,</w:t>
            </w:r>
            <w:r w:rsidRPr="00EF4988">
              <w:rPr>
                <w:sz w:val="22"/>
                <w:szCs w:val="22"/>
                <w:lang w:val="lt-LT"/>
              </w:rPr>
              <w:t>6</w:t>
            </w:r>
          </w:p>
        </w:tc>
      </w:tr>
      <w:tr w:rsidR="00EF4988" w:rsidRPr="00EF4988" w14:paraId="6504CD3E" w14:textId="77777777" w:rsidTr="008533BD">
        <w:tc>
          <w:tcPr>
            <w:tcW w:w="2500" w:type="pct"/>
          </w:tcPr>
          <w:p w14:paraId="3759E4A1" w14:textId="63626E2C" w:rsidR="00EF4988" w:rsidRPr="00EF4988" w:rsidRDefault="00B25831" w:rsidP="00EF4988">
            <w:pPr>
              <w:tabs>
                <w:tab w:val="left" w:pos="567"/>
              </w:tabs>
              <w:outlineLvl w:val="0"/>
              <w:rPr>
                <w:sz w:val="22"/>
                <w:szCs w:val="22"/>
                <w:lang w:val="lt-LT"/>
              </w:rPr>
            </w:pPr>
            <w:r w:rsidRPr="00BF4AB8">
              <w:rPr>
                <w:sz w:val="22"/>
                <w:szCs w:val="22"/>
                <w:lang w:val="lt-LT"/>
              </w:rPr>
              <w:t>Šansų santykis</w:t>
            </w:r>
            <w:r w:rsidRPr="00EF4988">
              <w:rPr>
                <w:sz w:val="22"/>
                <w:szCs w:val="22"/>
                <w:lang w:val="lt-LT"/>
              </w:rPr>
              <w:t xml:space="preserve"> (95</w:t>
            </w:r>
            <w:r w:rsidR="00AC48E9" w:rsidRPr="00BF4AB8">
              <w:rPr>
                <w:sz w:val="22"/>
                <w:szCs w:val="22"/>
                <w:lang w:val="lt-LT"/>
              </w:rPr>
              <w:t> %</w:t>
            </w:r>
            <w:r w:rsidRPr="00EF4988">
              <w:rPr>
                <w:sz w:val="22"/>
                <w:szCs w:val="22"/>
                <w:lang w:val="lt-LT"/>
              </w:rPr>
              <w:t> </w:t>
            </w:r>
            <w:r w:rsidRPr="00BF4AB8">
              <w:rPr>
                <w:sz w:val="22"/>
                <w:szCs w:val="22"/>
                <w:lang w:val="lt-LT"/>
              </w:rPr>
              <w:t>P</w:t>
            </w:r>
            <w:r w:rsidRPr="00EF4988">
              <w:rPr>
                <w:sz w:val="22"/>
                <w:szCs w:val="22"/>
                <w:lang w:val="lt-LT"/>
              </w:rPr>
              <w:t>I)</w:t>
            </w:r>
            <w:r w:rsidR="00EF4988" w:rsidRPr="00EF4988">
              <w:rPr>
                <w:sz w:val="22"/>
                <w:szCs w:val="22"/>
                <w:vertAlign w:val="superscript"/>
                <w:lang w:val="lt-LT"/>
              </w:rPr>
              <w:t>+</w:t>
            </w:r>
          </w:p>
        </w:tc>
        <w:tc>
          <w:tcPr>
            <w:tcW w:w="2500" w:type="pct"/>
            <w:gridSpan w:val="2"/>
            <w:vAlign w:val="center"/>
          </w:tcPr>
          <w:p w14:paraId="0EA4D825" w14:textId="5467AA4E" w:rsidR="00EF4988" w:rsidRPr="00EF4988" w:rsidRDefault="00EF4988" w:rsidP="00EF4988">
            <w:pPr>
              <w:tabs>
                <w:tab w:val="left" w:pos="567"/>
              </w:tabs>
              <w:jc w:val="center"/>
              <w:outlineLvl w:val="0"/>
              <w:rPr>
                <w:sz w:val="22"/>
                <w:szCs w:val="22"/>
                <w:lang w:val="lt-LT"/>
              </w:rPr>
            </w:pPr>
            <w:r w:rsidRPr="00EF4988">
              <w:rPr>
                <w:sz w:val="22"/>
                <w:szCs w:val="22"/>
                <w:lang w:val="lt-LT"/>
              </w:rPr>
              <w:t>1</w:t>
            </w:r>
            <w:r w:rsidR="00BE5504" w:rsidRPr="00BF4AB8">
              <w:rPr>
                <w:sz w:val="22"/>
                <w:szCs w:val="22"/>
                <w:lang w:val="lt-LT"/>
              </w:rPr>
              <w:t>,</w:t>
            </w:r>
            <w:r w:rsidRPr="00EF4988">
              <w:rPr>
                <w:sz w:val="22"/>
                <w:szCs w:val="22"/>
                <w:lang w:val="lt-LT"/>
              </w:rPr>
              <w:t>32 (0</w:t>
            </w:r>
            <w:r w:rsidR="00BE5504" w:rsidRPr="00BF4AB8">
              <w:rPr>
                <w:sz w:val="22"/>
                <w:szCs w:val="22"/>
                <w:lang w:val="lt-LT"/>
              </w:rPr>
              <w:t>,</w:t>
            </w:r>
            <w:r w:rsidRPr="00EF4988">
              <w:rPr>
                <w:sz w:val="22"/>
                <w:szCs w:val="22"/>
                <w:lang w:val="lt-LT"/>
              </w:rPr>
              <w:t>61; 2</w:t>
            </w:r>
            <w:r w:rsidR="00BE5504" w:rsidRPr="00BF4AB8">
              <w:rPr>
                <w:sz w:val="22"/>
                <w:szCs w:val="22"/>
                <w:lang w:val="lt-LT"/>
              </w:rPr>
              <w:t>,</w:t>
            </w:r>
            <w:r w:rsidRPr="00EF4988">
              <w:rPr>
                <w:sz w:val="22"/>
                <w:szCs w:val="22"/>
                <w:lang w:val="lt-LT"/>
              </w:rPr>
              <w:t>93)</w:t>
            </w:r>
          </w:p>
        </w:tc>
      </w:tr>
      <w:tr w:rsidR="00EF4988" w:rsidRPr="00EF4988" w14:paraId="1CB2C29E" w14:textId="77777777" w:rsidTr="008533BD">
        <w:tc>
          <w:tcPr>
            <w:tcW w:w="2500" w:type="pct"/>
          </w:tcPr>
          <w:p w14:paraId="0442C082" w14:textId="50049752" w:rsidR="00EF4988" w:rsidRPr="00EF4988" w:rsidRDefault="00B25831" w:rsidP="00EF4988">
            <w:pPr>
              <w:tabs>
                <w:tab w:val="left" w:pos="567"/>
              </w:tabs>
              <w:outlineLvl w:val="0"/>
              <w:rPr>
                <w:sz w:val="22"/>
                <w:szCs w:val="22"/>
                <w:lang w:val="lt-LT"/>
              </w:rPr>
            </w:pPr>
            <w:r w:rsidRPr="00BF4AB8">
              <w:rPr>
                <w:sz w:val="22"/>
                <w:szCs w:val="22"/>
                <w:lang w:val="lt-LT"/>
              </w:rPr>
              <w:t>p reikšmė</w:t>
            </w:r>
            <w:r w:rsidR="00EF4988" w:rsidRPr="00EF4988">
              <w:rPr>
                <w:sz w:val="22"/>
                <w:szCs w:val="22"/>
                <w:vertAlign w:val="superscript"/>
                <w:lang w:val="lt-LT"/>
              </w:rPr>
              <w:t>+</w:t>
            </w:r>
          </w:p>
        </w:tc>
        <w:tc>
          <w:tcPr>
            <w:tcW w:w="2500" w:type="pct"/>
            <w:gridSpan w:val="2"/>
            <w:vAlign w:val="center"/>
          </w:tcPr>
          <w:p w14:paraId="0FDFEDCE" w14:textId="3F5F7DFB" w:rsidR="00EF4988" w:rsidRPr="00EF4988" w:rsidRDefault="00EF4988" w:rsidP="00EF4988">
            <w:pPr>
              <w:tabs>
                <w:tab w:val="left" w:pos="567"/>
              </w:tabs>
              <w:jc w:val="center"/>
              <w:outlineLvl w:val="0"/>
              <w:rPr>
                <w:sz w:val="22"/>
                <w:szCs w:val="22"/>
                <w:lang w:val="lt-LT"/>
              </w:rPr>
            </w:pPr>
            <w:r w:rsidRPr="00EF4988">
              <w:rPr>
                <w:sz w:val="22"/>
                <w:szCs w:val="22"/>
                <w:lang w:val="lt-LT"/>
              </w:rPr>
              <w:t>0</w:t>
            </w:r>
            <w:r w:rsidR="00BE5504" w:rsidRPr="00BF4AB8">
              <w:rPr>
                <w:sz w:val="22"/>
                <w:szCs w:val="22"/>
                <w:lang w:val="lt-LT"/>
              </w:rPr>
              <w:t>,</w:t>
            </w:r>
            <w:r w:rsidRPr="00EF4988">
              <w:rPr>
                <w:sz w:val="22"/>
                <w:szCs w:val="22"/>
                <w:lang w:val="lt-LT"/>
              </w:rPr>
              <w:t>4770</w:t>
            </w:r>
          </w:p>
        </w:tc>
      </w:tr>
      <w:tr w:rsidR="00EF4988" w:rsidRPr="00EF4988" w14:paraId="1084FEC5" w14:textId="77777777" w:rsidTr="008533BD">
        <w:tc>
          <w:tcPr>
            <w:tcW w:w="2500" w:type="pct"/>
          </w:tcPr>
          <w:p w14:paraId="10E0E584" w14:textId="1A1EF437" w:rsidR="00EF4988" w:rsidRPr="00EF4988" w:rsidRDefault="00B25831" w:rsidP="00EF4988">
            <w:pPr>
              <w:tabs>
                <w:tab w:val="left" w:pos="567"/>
              </w:tabs>
              <w:outlineLvl w:val="0"/>
              <w:rPr>
                <w:sz w:val="22"/>
                <w:szCs w:val="22"/>
                <w:lang w:val="lt-LT"/>
              </w:rPr>
            </w:pPr>
            <w:r w:rsidRPr="00BF4AB8">
              <w:rPr>
                <w:sz w:val="22"/>
                <w:szCs w:val="22"/>
                <w:lang w:val="lt-LT"/>
              </w:rPr>
              <w:t xml:space="preserve">Naviko sumažėjimas </w:t>
            </w:r>
            <w:r w:rsidR="00EF4988" w:rsidRPr="00EF4988">
              <w:rPr>
                <w:sz w:val="22"/>
                <w:szCs w:val="22"/>
                <w:lang w:val="lt-LT"/>
              </w:rPr>
              <w:t>[</w:t>
            </w:r>
            <w:r w:rsidR="00AC48E9" w:rsidRPr="00BF4AB8">
              <w:rPr>
                <w:sz w:val="22"/>
                <w:szCs w:val="22"/>
                <w:lang w:val="lt-LT"/>
              </w:rPr>
              <w:t> %</w:t>
            </w:r>
            <w:r w:rsidR="00EF4988" w:rsidRPr="00EF4988">
              <w:rPr>
                <w:sz w:val="22"/>
                <w:szCs w:val="22"/>
                <w:lang w:val="lt-LT"/>
              </w:rPr>
              <w:t>]°</w:t>
            </w:r>
          </w:p>
        </w:tc>
        <w:tc>
          <w:tcPr>
            <w:tcW w:w="1330" w:type="pct"/>
            <w:vAlign w:val="center"/>
          </w:tcPr>
          <w:p w14:paraId="1ED1C2AF" w14:textId="7CD968A9" w:rsidR="00EF4988" w:rsidRPr="00EF4988" w:rsidRDefault="00EF4988" w:rsidP="00EF4988">
            <w:pPr>
              <w:tabs>
                <w:tab w:val="left" w:pos="567"/>
              </w:tabs>
              <w:jc w:val="center"/>
              <w:outlineLvl w:val="0"/>
              <w:rPr>
                <w:sz w:val="22"/>
                <w:szCs w:val="22"/>
                <w:lang w:val="lt-LT"/>
              </w:rPr>
            </w:pPr>
            <w:r w:rsidRPr="00EF4988">
              <w:rPr>
                <w:sz w:val="22"/>
                <w:szCs w:val="22"/>
                <w:lang w:val="lt-LT"/>
              </w:rPr>
              <w:t>-7</w:t>
            </w:r>
            <w:r w:rsidR="00BE5504" w:rsidRPr="00BF4AB8">
              <w:rPr>
                <w:sz w:val="22"/>
                <w:szCs w:val="22"/>
                <w:lang w:val="lt-LT"/>
              </w:rPr>
              <w:t>,</w:t>
            </w:r>
            <w:r w:rsidRPr="00EF4988">
              <w:rPr>
                <w:sz w:val="22"/>
                <w:szCs w:val="22"/>
                <w:lang w:val="lt-LT"/>
              </w:rPr>
              <w:t>76</w:t>
            </w:r>
          </w:p>
        </w:tc>
        <w:tc>
          <w:tcPr>
            <w:tcW w:w="1170" w:type="pct"/>
            <w:vAlign w:val="center"/>
          </w:tcPr>
          <w:p w14:paraId="70268338" w14:textId="12A0C3FF" w:rsidR="00EF4988" w:rsidRPr="00EF4988" w:rsidRDefault="00EF4988" w:rsidP="00EF4988">
            <w:pPr>
              <w:tabs>
                <w:tab w:val="left" w:pos="567"/>
              </w:tabs>
              <w:jc w:val="center"/>
              <w:outlineLvl w:val="0"/>
              <w:rPr>
                <w:sz w:val="22"/>
                <w:szCs w:val="22"/>
                <w:lang w:val="lt-LT"/>
              </w:rPr>
            </w:pPr>
            <w:r w:rsidRPr="00EF4988">
              <w:rPr>
                <w:sz w:val="22"/>
                <w:szCs w:val="22"/>
                <w:lang w:val="lt-LT"/>
              </w:rPr>
              <w:t>-0</w:t>
            </w:r>
            <w:r w:rsidR="00636065">
              <w:rPr>
                <w:sz w:val="22"/>
                <w:szCs w:val="22"/>
                <w:lang w:val="lt-LT"/>
              </w:rPr>
              <w:t>,</w:t>
            </w:r>
            <w:r w:rsidRPr="00EF4988">
              <w:rPr>
                <w:sz w:val="22"/>
                <w:szCs w:val="22"/>
                <w:lang w:val="lt-LT"/>
              </w:rPr>
              <w:t>97</w:t>
            </w:r>
          </w:p>
        </w:tc>
      </w:tr>
      <w:tr w:rsidR="00EF4988" w:rsidRPr="00EF4988" w14:paraId="5C0DD1D5" w14:textId="77777777" w:rsidTr="008533BD">
        <w:tc>
          <w:tcPr>
            <w:tcW w:w="2500" w:type="pct"/>
          </w:tcPr>
          <w:p w14:paraId="592E961E" w14:textId="7F7D8034" w:rsidR="00EF4988" w:rsidRPr="00EF4988" w:rsidRDefault="00B25831" w:rsidP="00EF4988">
            <w:pPr>
              <w:tabs>
                <w:tab w:val="left" w:pos="567"/>
              </w:tabs>
              <w:outlineLvl w:val="0"/>
              <w:rPr>
                <w:sz w:val="22"/>
                <w:szCs w:val="22"/>
                <w:lang w:val="lt-LT"/>
              </w:rPr>
            </w:pPr>
            <w:r w:rsidRPr="00BF4AB8">
              <w:rPr>
                <w:sz w:val="22"/>
                <w:szCs w:val="22"/>
                <w:lang w:val="lt-LT"/>
              </w:rPr>
              <w:t>p reikšmė</w:t>
            </w:r>
            <w:r w:rsidR="00EF4988" w:rsidRPr="00EF4988">
              <w:rPr>
                <w:sz w:val="22"/>
                <w:szCs w:val="22"/>
                <w:lang w:val="lt-LT"/>
              </w:rPr>
              <w:t>°</w:t>
            </w:r>
          </w:p>
        </w:tc>
        <w:tc>
          <w:tcPr>
            <w:tcW w:w="2500" w:type="pct"/>
            <w:gridSpan w:val="2"/>
            <w:vAlign w:val="center"/>
          </w:tcPr>
          <w:p w14:paraId="6B41F2D5" w14:textId="4897916F" w:rsidR="00EF4988" w:rsidRPr="00EF4988" w:rsidRDefault="00EF4988" w:rsidP="00EF4988">
            <w:pPr>
              <w:tabs>
                <w:tab w:val="left" w:pos="567"/>
              </w:tabs>
              <w:jc w:val="center"/>
              <w:outlineLvl w:val="0"/>
              <w:rPr>
                <w:sz w:val="22"/>
                <w:szCs w:val="22"/>
                <w:lang w:val="lt-LT"/>
              </w:rPr>
            </w:pPr>
            <w:r w:rsidRPr="00EF4988">
              <w:rPr>
                <w:sz w:val="22"/>
                <w:szCs w:val="22"/>
                <w:lang w:val="lt-LT"/>
              </w:rPr>
              <w:t>0</w:t>
            </w:r>
            <w:r w:rsidR="00BE5504" w:rsidRPr="00BF4AB8">
              <w:rPr>
                <w:sz w:val="22"/>
                <w:szCs w:val="22"/>
                <w:lang w:val="lt-LT"/>
              </w:rPr>
              <w:t>,</w:t>
            </w:r>
            <w:r w:rsidRPr="00EF4988">
              <w:rPr>
                <w:sz w:val="22"/>
                <w:szCs w:val="22"/>
                <w:lang w:val="lt-LT"/>
              </w:rPr>
              <w:t>0002</w:t>
            </w:r>
          </w:p>
        </w:tc>
      </w:tr>
      <w:tr w:rsidR="00EF4988" w:rsidRPr="00EF4988" w14:paraId="0CCD7134" w14:textId="77777777" w:rsidTr="008533BD">
        <w:tc>
          <w:tcPr>
            <w:tcW w:w="5000" w:type="pct"/>
            <w:gridSpan w:val="3"/>
          </w:tcPr>
          <w:p w14:paraId="1937CD58" w14:textId="1CECC3BC" w:rsidR="00EF4988" w:rsidRPr="00EF4988" w:rsidRDefault="00B25831" w:rsidP="00EF4988">
            <w:pPr>
              <w:tabs>
                <w:tab w:val="left" w:pos="567"/>
              </w:tabs>
              <w:outlineLvl w:val="0"/>
              <w:rPr>
                <w:b/>
                <w:sz w:val="22"/>
                <w:szCs w:val="22"/>
                <w:lang w:val="lt-LT"/>
              </w:rPr>
            </w:pPr>
            <w:r w:rsidRPr="00BF4AB8">
              <w:rPr>
                <w:b/>
                <w:sz w:val="22"/>
                <w:szCs w:val="22"/>
                <w:lang w:val="lt-LT"/>
              </w:rPr>
              <w:t xml:space="preserve">Bendrasis </w:t>
            </w:r>
            <w:proofErr w:type="spellStart"/>
            <w:r w:rsidRPr="00BF4AB8">
              <w:rPr>
                <w:b/>
                <w:sz w:val="22"/>
                <w:szCs w:val="22"/>
                <w:lang w:val="lt-LT"/>
              </w:rPr>
              <w:t>išgyvenamumas</w:t>
            </w:r>
            <w:proofErr w:type="spellEnd"/>
            <w:r w:rsidR="00EF4988" w:rsidRPr="00EF4988">
              <w:rPr>
                <w:b/>
                <w:sz w:val="22"/>
                <w:szCs w:val="22"/>
                <w:lang w:val="lt-LT"/>
              </w:rPr>
              <w:t xml:space="preserve"> (</w:t>
            </w:r>
            <w:r w:rsidRPr="00BF4AB8">
              <w:rPr>
                <w:b/>
                <w:sz w:val="22"/>
                <w:szCs w:val="22"/>
                <w:lang w:val="lt-LT"/>
              </w:rPr>
              <w:t>BI</w:t>
            </w:r>
            <w:r w:rsidR="00EF4988" w:rsidRPr="00EF4988">
              <w:rPr>
                <w:b/>
                <w:sz w:val="22"/>
                <w:szCs w:val="22"/>
                <w:lang w:val="lt-LT"/>
              </w:rPr>
              <w:t>)***</w:t>
            </w:r>
          </w:p>
        </w:tc>
      </w:tr>
      <w:tr w:rsidR="00EF4988" w:rsidRPr="00EF4988" w14:paraId="5777AEFB" w14:textId="77777777" w:rsidTr="008533BD">
        <w:tc>
          <w:tcPr>
            <w:tcW w:w="2500" w:type="pct"/>
          </w:tcPr>
          <w:p w14:paraId="407C8F43" w14:textId="10FB23E2" w:rsidR="00EF4988" w:rsidRPr="00EF4988" w:rsidRDefault="00BE5504" w:rsidP="00EF4988">
            <w:pPr>
              <w:tabs>
                <w:tab w:val="left" w:pos="567"/>
              </w:tabs>
              <w:outlineLvl w:val="0"/>
              <w:rPr>
                <w:sz w:val="22"/>
                <w:szCs w:val="22"/>
                <w:lang w:val="lt-LT"/>
              </w:rPr>
            </w:pPr>
            <w:r w:rsidRPr="00BF4AB8">
              <w:rPr>
                <w:sz w:val="22"/>
                <w:szCs w:val="22"/>
                <w:lang w:val="lt-LT"/>
              </w:rPr>
              <w:t>Pacientai</w:t>
            </w:r>
            <w:r w:rsidR="00EF4988" w:rsidRPr="00EF4988">
              <w:rPr>
                <w:sz w:val="22"/>
                <w:szCs w:val="22"/>
                <w:lang w:val="lt-LT"/>
              </w:rPr>
              <w:t>, n</w:t>
            </w:r>
          </w:p>
        </w:tc>
        <w:tc>
          <w:tcPr>
            <w:tcW w:w="1330" w:type="pct"/>
            <w:vAlign w:val="center"/>
          </w:tcPr>
          <w:p w14:paraId="0590E019" w14:textId="77777777" w:rsidR="00EF4988" w:rsidRPr="00EF4988" w:rsidRDefault="00EF4988" w:rsidP="00EF4988">
            <w:pPr>
              <w:tabs>
                <w:tab w:val="left" w:pos="567"/>
              </w:tabs>
              <w:jc w:val="center"/>
              <w:outlineLvl w:val="0"/>
              <w:rPr>
                <w:sz w:val="22"/>
                <w:szCs w:val="22"/>
                <w:lang w:val="lt-LT"/>
              </w:rPr>
            </w:pPr>
            <w:r w:rsidRPr="00EF4988">
              <w:rPr>
                <w:sz w:val="22"/>
                <w:szCs w:val="22"/>
                <w:lang w:val="lt-LT"/>
              </w:rPr>
              <w:t>322</w:t>
            </w:r>
          </w:p>
        </w:tc>
        <w:tc>
          <w:tcPr>
            <w:tcW w:w="1170" w:type="pct"/>
            <w:vAlign w:val="center"/>
          </w:tcPr>
          <w:p w14:paraId="21F1E1FF" w14:textId="77777777" w:rsidR="00EF4988" w:rsidRPr="00EF4988" w:rsidRDefault="00EF4988" w:rsidP="00EF4988">
            <w:pPr>
              <w:tabs>
                <w:tab w:val="left" w:pos="567"/>
              </w:tabs>
              <w:jc w:val="center"/>
              <w:outlineLvl w:val="0"/>
              <w:rPr>
                <w:sz w:val="22"/>
                <w:szCs w:val="22"/>
                <w:lang w:val="lt-LT"/>
              </w:rPr>
            </w:pPr>
            <w:r w:rsidRPr="00EF4988">
              <w:rPr>
                <w:sz w:val="22"/>
                <w:szCs w:val="22"/>
                <w:lang w:val="lt-LT"/>
              </w:rPr>
              <w:t>336</w:t>
            </w:r>
          </w:p>
        </w:tc>
      </w:tr>
      <w:tr w:rsidR="00EF4988" w:rsidRPr="00EF4988" w14:paraId="0F58BE1F" w14:textId="77777777" w:rsidTr="008533BD">
        <w:tc>
          <w:tcPr>
            <w:tcW w:w="2500" w:type="pct"/>
          </w:tcPr>
          <w:p w14:paraId="2580A7A1" w14:textId="766755DF" w:rsidR="00EF4988" w:rsidRPr="00EF4988" w:rsidRDefault="00BE5504" w:rsidP="00EF4988">
            <w:pPr>
              <w:tabs>
                <w:tab w:val="left" w:pos="567"/>
              </w:tabs>
              <w:outlineLvl w:val="0"/>
              <w:rPr>
                <w:sz w:val="22"/>
                <w:szCs w:val="22"/>
                <w:lang w:val="lt-LT"/>
              </w:rPr>
            </w:pPr>
            <w:r w:rsidRPr="00BF4AB8">
              <w:rPr>
                <w:sz w:val="22"/>
                <w:szCs w:val="22"/>
                <w:lang w:val="lt-LT"/>
              </w:rPr>
              <w:t>Mirčių skaičius</w:t>
            </w:r>
            <w:r w:rsidR="00EF4988" w:rsidRPr="00EF4988">
              <w:rPr>
                <w:sz w:val="22"/>
                <w:szCs w:val="22"/>
                <w:lang w:val="lt-LT"/>
              </w:rPr>
              <w:t>, n (</w:t>
            </w:r>
            <w:r w:rsidR="00AC48E9" w:rsidRPr="00BF4AB8">
              <w:rPr>
                <w:sz w:val="22"/>
                <w:szCs w:val="22"/>
                <w:lang w:val="lt-LT"/>
              </w:rPr>
              <w:t> %</w:t>
            </w:r>
            <w:r w:rsidR="00EF4988" w:rsidRPr="00EF4988">
              <w:rPr>
                <w:sz w:val="22"/>
                <w:szCs w:val="22"/>
                <w:lang w:val="lt-LT"/>
              </w:rPr>
              <w:t>)</w:t>
            </w:r>
          </w:p>
        </w:tc>
        <w:tc>
          <w:tcPr>
            <w:tcW w:w="1330" w:type="pct"/>
            <w:vAlign w:val="center"/>
          </w:tcPr>
          <w:p w14:paraId="53AB9A2A" w14:textId="67CC329C" w:rsidR="00EF4988" w:rsidRPr="00EF4988" w:rsidRDefault="00EF4988" w:rsidP="00EF4988">
            <w:pPr>
              <w:tabs>
                <w:tab w:val="left" w:pos="567"/>
              </w:tabs>
              <w:jc w:val="center"/>
              <w:outlineLvl w:val="0"/>
              <w:rPr>
                <w:sz w:val="22"/>
                <w:szCs w:val="22"/>
                <w:lang w:val="lt-LT"/>
              </w:rPr>
            </w:pPr>
            <w:r w:rsidRPr="00EF4988">
              <w:rPr>
                <w:sz w:val="22"/>
                <w:szCs w:val="22"/>
                <w:lang w:val="lt-LT"/>
              </w:rPr>
              <w:t>259 (80</w:t>
            </w:r>
            <w:r w:rsidR="00BE5504" w:rsidRPr="00BF4AB8">
              <w:rPr>
                <w:sz w:val="22"/>
                <w:szCs w:val="22"/>
                <w:lang w:val="lt-LT"/>
              </w:rPr>
              <w:t>,</w:t>
            </w:r>
            <w:r w:rsidRPr="00EF4988">
              <w:rPr>
                <w:sz w:val="22"/>
                <w:szCs w:val="22"/>
                <w:lang w:val="lt-LT"/>
              </w:rPr>
              <w:t>4)</w:t>
            </w:r>
          </w:p>
        </w:tc>
        <w:tc>
          <w:tcPr>
            <w:tcW w:w="1170" w:type="pct"/>
            <w:vAlign w:val="center"/>
          </w:tcPr>
          <w:p w14:paraId="79460C74" w14:textId="3951CF00" w:rsidR="00EF4988" w:rsidRPr="00EF4988" w:rsidRDefault="00EF4988" w:rsidP="00EF4988">
            <w:pPr>
              <w:tabs>
                <w:tab w:val="left" w:pos="567"/>
              </w:tabs>
              <w:jc w:val="center"/>
              <w:outlineLvl w:val="0"/>
              <w:rPr>
                <w:sz w:val="22"/>
                <w:szCs w:val="22"/>
                <w:lang w:val="lt-LT"/>
              </w:rPr>
            </w:pPr>
            <w:r w:rsidRPr="00EF4988">
              <w:rPr>
                <w:sz w:val="22"/>
                <w:szCs w:val="22"/>
                <w:lang w:val="lt-LT"/>
              </w:rPr>
              <w:t>276 (82</w:t>
            </w:r>
            <w:r w:rsidR="00636065">
              <w:rPr>
                <w:sz w:val="22"/>
                <w:szCs w:val="22"/>
                <w:lang w:val="lt-LT"/>
              </w:rPr>
              <w:t>,</w:t>
            </w:r>
            <w:r w:rsidRPr="00EF4988">
              <w:rPr>
                <w:sz w:val="22"/>
                <w:szCs w:val="22"/>
                <w:lang w:val="lt-LT"/>
              </w:rPr>
              <w:t>1)</w:t>
            </w:r>
          </w:p>
        </w:tc>
      </w:tr>
      <w:tr w:rsidR="00EF4988" w:rsidRPr="00EF4988" w14:paraId="7F7A966E" w14:textId="77777777" w:rsidTr="008533BD">
        <w:tc>
          <w:tcPr>
            <w:tcW w:w="2500" w:type="pct"/>
          </w:tcPr>
          <w:p w14:paraId="5A826807" w14:textId="1F275AEF" w:rsidR="00EF4988" w:rsidRPr="00EF4988" w:rsidRDefault="00BE5504" w:rsidP="00EF4988">
            <w:pPr>
              <w:tabs>
                <w:tab w:val="left" w:pos="567"/>
              </w:tabs>
              <w:outlineLvl w:val="0"/>
              <w:rPr>
                <w:sz w:val="22"/>
                <w:szCs w:val="22"/>
                <w:lang w:val="lt-LT"/>
              </w:rPr>
            </w:pPr>
            <w:r w:rsidRPr="00BF4AB8">
              <w:rPr>
                <w:sz w:val="22"/>
                <w:szCs w:val="22"/>
                <w:lang w:val="lt-LT"/>
              </w:rPr>
              <w:t>BI mediana [mėnesiai</w:t>
            </w:r>
            <w:r w:rsidR="00EF4988" w:rsidRPr="00EF4988">
              <w:rPr>
                <w:sz w:val="22"/>
                <w:szCs w:val="22"/>
                <w:lang w:val="lt-LT"/>
              </w:rPr>
              <w:t>]</w:t>
            </w:r>
          </w:p>
        </w:tc>
        <w:tc>
          <w:tcPr>
            <w:tcW w:w="1330" w:type="pct"/>
            <w:vAlign w:val="center"/>
          </w:tcPr>
          <w:p w14:paraId="57DDBA4B" w14:textId="6B024F22" w:rsidR="00EF4988" w:rsidRPr="00EF4988" w:rsidRDefault="00EF4988" w:rsidP="00EF4988">
            <w:pPr>
              <w:tabs>
                <w:tab w:val="left" w:pos="567"/>
              </w:tabs>
              <w:jc w:val="center"/>
              <w:outlineLvl w:val="0"/>
              <w:rPr>
                <w:sz w:val="22"/>
                <w:szCs w:val="22"/>
                <w:lang w:val="lt-LT"/>
              </w:rPr>
            </w:pPr>
            <w:r w:rsidRPr="00EF4988">
              <w:rPr>
                <w:sz w:val="22"/>
                <w:szCs w:val="22"/>
                <w:lang w:val="lt-LT"/>
              </w:rPr>
              <w:t>12</w:t>
            </w:r>
            <w:r w:rsidR="00BE5504" w:rsidRPr="00BF4AB8">
              <w:rPr>
                <w:sz w:val="22"/>
                <w:szCs w:val="22"/>
                <w:lang w:val="lt-LT"/>
              </w:rPr>
              <w:t>,</w:t>
            </w:r>
            <w:r w:rsidRPr="00EF4988">
              <w:rPr>
                <w:sz w:val="22"/>
                <w:szCs w:val="22"/>
                <w:lang w:val="lt-LT"/>
              </w:rPr>
              <w:t>6</w:t>
            </w:r>
          </w:p>
        </w:tc>
        <w:tc>
          <w:tcPr>
            <w:tcW w:w="1170" w:type="pct"/>
            <w:vAlign w:val="center"/>
          </w:tcPr>
          <w:p w14:paraId="7040C2B5" w14:textId="3EAA932E" w:rsidR="00EF4988" w:rsidRPr="00EF4988" w:rsidRDefault="00EF4988" w:rsidP="00EF4988">
            <w:pPr>
              <w:tabs>
                <w:tab w:val="left" w:pos="567"/>
              </w:tabs>
              <w:jc w:val="center"/>
              <w:outlineLvl w:val="0"/>
              <w:rPr>
                <w:sz w:val="22"/>
                <w:szCs w:val="22"/>
                <w:lang w:val="lt-LT"/>
              </w:rPr>
            </w:pPr>
            <w:r w:rsidRPr="00EF4988">
              <w:rPr>
                <w:sz w:val="22"/>
                <w:szCs w:val="22"/>
                <w:lang w:val="lt-LT"/>
              </w:rPr>
              <w:t>10</w:t>
            </w:r>
            <w:r w:rsidR="00636065">
              <w:rPr>
                <w:sz w:val="22"/>
                <w:szCs w:val="22"/>
                <w:lang w:val="lt-LT"/>
              </w:rPr>
              <w:t>,</w:t>
            </w:r>
            <w:r w:rsidRPr="00EF4988">
              <w:rPr>
                <w:sz w:val="22"/>
                <w:szCs w:val="22"/>
                <w:lang w:val="lt-LT"/>
              </w:rPr>
              <w:t>3</w:t>
            </w:r>
          </w:p>
        </w:tc>
      </w:tr>
      <w:tr w:rsidR="00EF4988" w:rsidRPr="00EF4988" w14:paraId="61C8CBB9" w14:textId="77777777" w:rsidTr="008533BD">
        <w:tc>
          <w:tcPr>
            <w:tcW w:w="2500" w:type="pct"/>
          </w:tcPr>
          <w:p w14:paraId="1CEA03C2" w14:textId="0852675A" w:rsidR="00EF4988" w:rsidRPr="00EF4988" w:rsidRDefault="00BE5504" w:rsidP="00EF4988">
            <w:pPr>
              <w:tabs>
                <w:tab w:val="left" w:pos="567"/>
              </w:tabs>
              <w:outlineLvl w:val="0"/>
              <w:rPr>
                <w:sz w:val="22"/>
                <w:szCs w:val="22"/>
                <w:lang w:val="lt-LT"/>
              </w:rPr>
            </w:pPr>
            <w:r w:rsidRPr="00BF4AB8">
              <w:rPr>
                <w:sz w:val="22"/>
                <w:szCs w:val="22"/>
                <w:lang w:val="lt-LT"/>
              </w:rPr>
              <w:lastRenderedPageBreak/>
              <w:t>RS</w:t>
            </w:r>
            <w:r w:rsidRPr="00EF4988">
              <w:rPr>
                <w:sz w:val="22"/>
                <w:szCs w:val="22"/>
                <w:lang w:val="lt-LT"/>
              </w:rPr>
              <w:t xml:space="preserve"> (95</w:t>
            </w:r>
            <w:r w:rsidR="00AC48E9" w:rsidRPr="00BF4AB8">
              <w:rPr>
                <w:sz w:val="22"/>
                <w:szCs w:val="22"/>
                <w:lang w:val="lt-LT"/>
              </w:rPr>
              <w:t> %</w:t>
            </w:r>
            <w:r w:rsidRPr="00EF4988">
              <w:rPr>
                <w:sz w:val="22"/>
                <w:szCs w:val="22"/>
                <w:lang w:val="lt-LT"/>
              </w:rPr>
              <w:t> </w:t>
            </w:r>
            <w:r w:rsidRPr="00BF4AB8">
              <w:rPr>
                <w:sz w:val="22"/>
                <w:szCs w:val="22"/>
                <w:lang w:val="lt-LT"/>
              </w:rPr>
              <w:t>P</w:t>
            </w:r>
            <w:r w:rsidRPr="00EF4988">
              <w:rPr>
                <w:sz w:val="22"/>
                <w:szCs w:val="22"/>
                <w:lang w:val="lt-LT"/>
              </w:rPr>
              <w:t>I)</w:t>
            </w:r>
          </w:p>
        </w:tc>
        <w:tc>
          <w:tcPr>
            <w:tcW w:w="2500" w:type="pct"/>
            <w:gridSpan w:val="2"/>
            <w:vAlign w:val="center"/>
          </w:tcPr>
          <w:p w14:paraId="589EDE73" w14:textId="3949B905" w:rsidR="00EF4988" w:rsidRPr="00EF4988" w:rsidRDefault="00EF4988" w:rsidP="00EF4988">
            <w:pPr>
              <w:tabs>
                <w:tab w:val="left" w:pos="567"/>
              </w:tabs>
              <w:jc w:val="center"/>
              <w:outlineLvl w:val="0"/>
              <w:rPr>
                <w:sz w:val="22"/>
                <w:szCs w:val="22"/>
                <w:lang w:val="lt-LT"/>
              </w:rPr>
            </w:pPr>
            <w:r w:rsidRPr="00EF4988">
              <w:rPr>
                <w:sz w:val="22"/>
                <w:szCs w:val="22"/>
                <w:lang w:val="lt-LT"/>
              </w:rPr>
              <w:t>0</w:t>
            </w:r>
            <w:r w:rsidR="00BE5504" w:rsidRPr="00BF4AB8">
              <w:rPr>
                <w:sz w:val="22"/>
                <w:szCs w:val="22"/>
                <w:lang w:val="lt-LT"/>
              </w:rPr>
              <w:t>,</w:t>
            </w:r>
            <w:r w:rsidRPr="00EF4988">
              <w:rPr>
                <w:sz w:val="22"/>
                <w:szCs w:val="22"/>
                <w:lang w:val="lt-LT"/>
              </w:rPr>
              <w:t>83 (0</w:t>
            </w:r>
            <w:r w:rsidR="00BE5504" w:rsidRPr="00BF4AB8">
              <w:rPr>
                <w:sz w:val="22"/>
                <w:szCs w:val="22"/>
                <w:lang w:val="lt-LT"/>
              </w:rPr>
              <w:t>,</w:t>
            </w:r>
            <w:r w:rsidRPr="00EF4988">
              <w:rPr>
                <w:sz w:val="22"/>
                <w:szCs w:val="22"/>
                <w:lang w:val="lt-LT"/>
              </w:rPr>
              <w:t>70; 0</w:t>
            </w:r>
            <w:r w:rsidR="00BE5504" w:rsidRPr="00BF4AB8">
              <w:rPr>
                <w:sz w:val="22"/>
                <w:szCs w:val="22"/>
                <w:lang w:val="lt-LT"/>
              </w:rPr>
              <w:t>,</w:t>
            </w:r>
            <w:r w:rsidRPr="00EF4988">
              <w:rPr>
                <w:sz w:val="22"/>
                <w:szCs w:val="22"/>
                <w:lang w:val="lt-LT"/>
              </w:rPr>
              <w:t>99)</w:t>
            </w:r>
          </w:p>
        </w:tc>
      </w:tr>
      <w:tr w:rsidR="00EF4988" w:rsidRPr="00EF4988" w14:paraId="61FDB147" w14:textId="77777777" w:rsidTr="008533BD">
        <w:tc>
          <w:tcPr>
            <w:tcW w:w="2500" w:type="pct"/>
          </w:tcPr>
          <w:p w14:paraId="6F3C7243" w14:textId="0917CAA9" w:rsidR="00EF4988" w:rsidRPr="00EF4988" w:rsidRDefault="00BE5504" w:rsidP="00EF4988">
            <w:pPr>
              <w:tabs>
                <w:tab w:val="left" w:pos="567"/>
              </w:tabs>
              <w:outlineLvl w:val="0"/>
              <w:rPr>
                <w:sz w:val="22"/>
                <w:szCs w:val="22"/>
                <w:lang w:val="lt-LT"/>
              </w:rPr>
            </w:pPr>
            <w:proofErr w:type="spellStart"/>
            <w:r w:rsidRPr="00BF4AB8">
              <w:rPr>
                <w:sz w:val="22"/>
                <w:szCs w:val="22"/>
                <w:lang w:val="lt-LT"/>
              </w:rPr>
              <w:t>Stratifikuoto</w:t>
            </w:r>
            <w:proofErr w:type="spellEnd"/>
            <w:r w:rsidRPr="00EF4988">
              <w:rPr>
                <w:sz w:val="22"/>
                <w:szCs w:val="22"/>
                <w:lang w:val="lt-LT"/>
              </w:rPr>
              <w:t xml:space="preserve"> </w:t>
            </w:r>
            <w:proofErr w:type="spellStart"/>
            <w:r w:rsidRPr="00EF4988">
              <w:rPr>
                <w:i/>
                <w:iCs/>
                <w:sz w:val="22"/>
                <w:szCs w:val="22"/>
                <w:lang w:val="lt-LT"/>
              </w:rPr>
              <w:t>Log-Rank</w:t>
            </w:r>
            <w:proofErr w:type="spellEnd"/>
            <w:r w:rsidRPr="00EF4988">
              <w:rPr>
                <w:sz w:val="22"/>
                <w:szCs w:val="22"/>
                <w:lang w:val="lt-LT"/>
              </w:rPr>
              <w:t xml:space="preserve"> </w:t>
            </w:r>
            <w:r w:rsidRPr="00BF4AB8">
              <w:rPr>
                <w:sz w:val="22"/>
                <w:szCs w:val="22"/>
                <w:lang w:val="lt-LT"/>
              </w:rPr>
              <w:t>t</w:t>
            </w:r>
            <w:r w:rsidRPr="00EF4988">
              <w:rPr>
                <w:sz w:val="22"/>
                <w:szCs w:val="22"/>
                <w:lang w:val="lt-LT"/>
              </w:rPr>
              <w:t>est</w:t>
            </w:r>
            <w:r w:rsidRPr="00BF4AB8">
              <w:rPr>
                <w:sz w:val="22"/>
                <w:szCs w:val="22"/>
                <w:lang w:val="lt-LT"/>
              </w:rPr>
              <w:t>o</w:t>
            </w:r>
            <w:r w:rsidRPr="00EF4988">
              <w:rPr>
                <w:sz w:val="22"/>
                <w:szCs w:val="22"/>
                <w:lang w:val="lt-LT"/>
              </w:rPr>
              <w:t xml:space="preserve"> p</w:t>
            </w:r>
            <w:r w:rsidRPr="00BF4AB8">
              <w:rPr>
                <w:sz w:val="22"/>
                <w:szCs w:val="22"/>
                <w:lang w:val="lt-LT"/>
              </w:rPr>
              <w:t xml:space="preserve"> reikšmė</w:t>
            </w:r>
            <w:r w:rsidRPr="00BF4AB8">
              <w:rPr>
                <w:sz w:val="22"/>
                <w:szCs w:val="22"/>
                <w:vertAlign w:val="superscript"/>
                <w:lang w:val="lt-LT"/>
              </w:rPr>
              <w:t xml:space="preserve"> </w:t>
            </w:r>
            <w:r w:rsidR="00EF4988" w:rsidRPr="00EF4988">
              <w:rPr>
                <w:sz w:val="22"/>
                <w:szCs w:val="22"/>
                <w:vertAlign w:val="superscript"/>
                <w:lang w:val="lt-LT"/>
              </w:rPr>
              <w:t>*</w:t>
            </w:r>
          </w:p>
        </w:tc>
        <w:tc>
          <w:tcPr>
            <w:tcW w:w="2500" w:type="pct"/>
            <w:gridSpan w:val="2"/>
            <w:vAlign w:val="center"/>
          </w:tcPr>
          <w:p w14:paraId="7CF8706B" w14:textId="61A5E753" w:rsidR="00EF4988" w:rsidRPr="00EF4988" w:rsidRDefault="00EF4988" w:rsidP="00EF4988">
            <w:pPr>
              <w:tabs>
                <w:tab w:val="left" w:pos="567"/>
              </w:tabs>
              <w:jc w:val="center"/>
              <w:outlineLvl w:val="0"/>
              <w:rPr>
                <w:sz w:val="22"/>
                <w:szCs w:val="22"/>
                <w:lang w:val="lt-LT"/>
              </w:rPr>
            </w:pPr>
            <w:r w:rsidRPr="00EF4988">
              <w:rPr>
                <w:sz w:val="22"/>
                <w:szCs w:val="22"/>
                <w:lang w:val="lt-LT"/>
              </w:rPr>
              <w:t>0</w:t>
            </w:r>
            <w:r w:rsidR="00BE5504" w:rsidRPr="00BF4AB8">
              <w:rPr>
                <w:sz w:val="22"/>
                <w:szCs w:val="22"/>
                <w:lang w:val="lt-LT"/>
              </w:rPr>
              <w:t>,</w:t>
            </w:r>
            <w:r w:rsidRPr="00EF4988">
              <w:rPr>
                <w:sz w:val="22"/>
                <w:szCs w:val="22"/>
                <w:lang w:val="lt-LT"/>
              </w:rPr>
              <w:t>0359</w:t>
            </w:r>
          </w:p>
        </w:tc>
      </w:tr>
    </w:tbl>
    <w:p w14:paraId="656C5338" w14:textId="77777777" w:rsidR="00227F5B" w:rsidRPr="00BF4AB8" w:rsidRDefault="00227F5B" w:rsidP="00227F5B">
      <w:pPr>
        <w:ind w:right="-142"/>
        <w:rPr>
          <w:snapToGrid w:val="0"/>
          <w:sz w:val="22"/>
          <w:szCs w:val="24"/>
        </w:rPr>
      </w:pPr>
      <w:r w:rsidRPr="00BF4AB8">
        <w:rPr>
          <w:snapToGrid w:val="0"/>
          <w:sz w:val="22"/>
          <w:szCs w:val="24"/>
        </w:rPr>
        <w:t xml:space="preserve">RS: rizikos santykis; PI: </w:t>
      </w:r>
      <w:proofErr w:type="spellStart"/>
      <w:r w:rsidRPr="00BF4AB8">
        <w:rPr>
          <w:snapToGrid w:val="0"/>
          <w:sz w:val="22"/>
          <w:szCs w:val="24"/>
        </w:rPr>
        <w:t>pasikliautinasis</w:t>
      </w:r>
      <w:proofErr w:type="spellEnd"/>
      <w:r w:rsidRPr="00BF4AB8">
        <w:rPr>
          <w:snapToGrid w:val="0"/>
          <w:sz w:val="22"/>
          <w:szCs w:val="24"/>
        </w:rPr>
        <w:t xml:space="preserve"> intervalas</w:t>
      </w:r>
    </w:p>
    <w:p w14:paraId="22F73ADE" w14:textId="1C1094FB" w:rsidR="00227F5B" w:rsidRPr="00BF4AB8" w:rsidRDefault="00227F5B" w:rsidP="00227F5B">
      <w:pPr>
        <w:ind w:right="-142"/>
        <w:rPr>
          <w:snapToGrid w:val="0"/>
          <w:sz w:val="20"/>
        </w:rPr>
      </w:pPr>
      <w:r w:rsidRPr="00BF4AB8">
        <w:rPr>
          <w:snapToGrid w:val="0"/>
          <w:sz w:val="20"/>
        </w:rPr>
        <w:t xml:space="preserve">* </w:t>
      </w:r>
      <w:r w:rsidR="00B25831" w:rsidRPr="00BF4AB8">
        <w:rPr>
          <w:snapToGrid w:val="0"/>
          <w:sz w:val="20"/>
        </w:rPr>
        <w:t>Pagrindinė</w:t>
      </w:r>
      <w:r w:rsidRPr="00BF4AB8">
        <w:rPr>
          <w:snapToGrid w:val="0"/>
          <w:sz w:val="20"/>
        </w:rPr>
        <w:t xml:space="preserve"> IBLP analizė atlikta tada, kai remiantis NPK vertinimu nustatytas 713 IBLP </w:t>
      </w:r>
      <w:r w:rsidR="00B25831" w:rsidRPr="00BF4AB8">
        <w:rPr>
          <w:snapToGrid w:val="0"/>
          <w:sz w:val="20"/>
        </w:rPr>
        <w:t xml:space="preserve">reiškinys </w:t>
      </w:r>
      <w:r w:rsidRPr="00BF4AB8">
        <w:rPr>
          <w:snapToGrid w:val="0"/>
          <w:sz w:val="20"/>
        </w:rPr>
        <w:t xml:space="preserve">bendroje </w:t>
      </w:r>
      <w:r w:rsidRPr="00BF4AB8">
        <w:rPr>
          <w:i/>
          <w:iCs/>
          <w:snapToGrid w:val="0"/>
          <w:sz w:val="20"/>
        </w:rPr>
        <w:t>ITT</w:t>
      </w:r>
      <w:r w:rsidRPr="00BF4AB8">
        <w:rPr>
          <w:snapToGrid w:val="0"/>
          <w:sz w:val="20"/>
        </w:rPr>
        <w:t xml:space="preserve"> populiacijoje (332 </w:t>
      </w:r>
      <w:r w:rsidR="00B25831" w:rsidRPr="00BF4AB8">
        <w:rPr>
          <w:snapToGrid w:val="0"/>
          <w:sz w:val="20"/>
        </w:rPr>
        <w:t>reiškiniai</w:t>
      </w:r>
      <w:r w:rsidRPr="00BF4AB8">
        <w:rPr>
          <w:snapToGrid w:val="0"/>
          <w:sz w:val="20"/>
        </w:rPr>
        <w:t xml:space="preserve"> </w:t>
      </w:r>
      <w:proofErr w:type="spellStart"/>
      <w:r w:rsidRPr="00BF4AB8">
        <w:rPr>
          <w:snapToGrid w:val="0"/>
          <w:sz w:val="20"/>
        </w:rPr>
        <w:t>adenokarcinoma</w:t>
      </w:r>
      <w:proofErr w:type="spellEnd"/>
      <w:r w:rsidRPr="00BF4AB8">
        <w:rPr>
          <w:snapToGrid w:val="0"/>
          <w:sz w:val="20"/>
        </w:rPr>
        <w:t xml:space="preserve"> sergan</w:t>
      </w:r>
      <w:r w:rsidR="00B25831" w:rsidRPr="00BF4AB8">
        <w:rPr>
          <w:snapToGrid w:val="0"/>
          <w:sz w:val="20"/>
        </w:rPr>
        <w:t>tiems</w:t>
      </w:r>
      <w:r w:rsidRPr="00BF4AB8">
        <w:rPr>
          <w:snapToGrid w:val="0"/>
          <w:sz w:val="20"/>
        </w:rPr>
        <w:t xml:space="preserve"> pacient</w:t>
      </w:r>
      <w:r w:rsidR="00B25831" w:rsidRPr="00BF4AB8">
        <w:rPr>
          <w:snapToGrid w:val="0"/>
          <w:sz w:val="20"/>
        </w:rPr>
        <w:t>ams</w:t>
      </w:r>
      <w:r w:rsidRPr="00BF4AB8">
        <w:rPr>
          <w:snapToGrid w:val="0"/>
          <w:sz w:val="20"/>
        </w:rPr>
        <w:t>).</w:t>
      </w:r>
    </w:p>
    <w:p w14:paraId="0F43AB20" w14:textId="27DD1A53" w:rsidR="00227F5B" w:rsidRPr="00BF4AB8" w:rsidRDefault="00227F5B" w:rsidP="00227F5B">
      <w:pPr>
        <w:ind w:right="-142"/>
        <w:rPr>
          <w:snapToGrid w:val="0"/>
          <w:sz w:val="20"/>
        </w:rPr>
      </w:pPr>
      <w:r w:rsidRPr="00BF4AB8">
        <w:rPr>
          <w:snapToGrid w:val="0"/>
          <w:sz w:val="20"/>
        </w:rPr>
        <w:t xml:space="preserve">** </w:t>
      </w:r>
      <w:proofErr w:type="spellStart"/>
      <w:r w:rsidRPr="00BF4AB8">
        <w:rPr>
          <w:snapToGrid w:val="0"/>
          <w:sz w:val="20"/>
        </w:rPr>
        <w:t>Stratifikuota</w:t>
      </w:r>
      <w:proofErr w:type="spellEnd"/>
      <w:r w:rsidRPr="00BF4AB8">
        <w:rPr>
          <w:snapToGrid w:val="0"/>
          <w:sz w:val="20"/>
        </w:rPr>
        <w:t xml:space="preserve"> pagal pradinį ECOG PS (0, palyginti su 1), metastazių buvimą galvos smegenyse</w:t>
      </w:r>
      <w:r w:rsidR="00B25831" w:rsidRPr="00BF4AB8">
        <w:rPr>
          <w:snapToGrid w:val="0"/>
          <w:sz w:val="20"/>
        </w:rPr>
        <w:t xml:space="preserve"> </w:t>
      </w:r>
      <w:r w:rsidRPr="00BF4AB8">
        <w:rPr>
          <w:snapToGrid w:val="0"/>
          <w:sz w:val="20"/>
        </w:rPr>
        <w:t xml:space="preserve">tyrimo pradžioje (taip, palyginti su ne) ir ankstesnį gydymą </w:t>
      </w:r>
      <w:proofErr w:type="spellStart"/>
      <w:r w:rsidRPr="00BF4AB8">
        <w:rPr>
          <w:snapToGrid w:val="0"/>
          <w:sz w:val="20"/>
        </w:rPr>
        <w:t>bevacizumabu</w:t>
      </w:r>
      <w:proofErr w:type="spellEnd"/>
      <w:r w:rsidRPr="00BF4AB8">
        <w:rPr>
          <w:snapToGrid w:val="0"/>
          <w:sz w:val="20"/>
        </w:rPr>
        <w:t xml:space="preserve"> (taip, palyginti su ne).</w:t>
      </w:r>
    </w:p>
    <w:p w14:paraId="10F9595D" w14:textId="58E77801" w:rsidR="00227F5B" w:rsidRPr="00BF4AB8" w:rsidRDefault="00227F5B" w:rsidP="00227F5B">
      <w:pPr>
        <w:ind w:right="-142"/>
        <w:rPr>
          <w:snapToGrid w:val="0"/>
          <w:sz w:val="20"/>
        </w:rPr>
      </w:pPr>
      <w:r w:rsidRPr="00BF4AB8">
        <w:rPr>
          <w:snapToGrid w:val="0"/>
          <w:sz w:val="20"/>
        </w:rPr>
        <w:t xml:space="preserve">*** BI analizė ir tolesnio stebėjimo IBLP analizė atliktos, kai bendroje </w:t>
      </w:r>
      <w:r w:rsidRPr="00BF4AB8">
        <w:rPr>
          <w:i/>
          <w:iCs/>
          <w:snapToGrid w:val="0"/>
          <w:sz w:val="20"/>
        </w:rPr>
        <w:t>ITT</w:t>
      </w:r>
      <w:r w:rsidRPr="00BF4AB8">
        <w:rPr>
          <w:snapToGrid w:val="0"/>
          <w:sz w:val="20"/>
        </w:rPr>
        <w:t xml:space="preserve"> populiacijoje buvo</w:t>
      </w:r>
      <w:r w:rsidR="00B25831" w:rsidRPr="00BF4AB8">
        <w:rPr>
          <w:snapToGrid w:val="0"/>
          <w:sz w:val="20"/>
        </w:rPr>
        <w:t xml:space="preserve"> </w:t>
      </w:r>
      <w:r w:rsidRPr="00BF4AB8">
        <w:rPr>
          <w:snapToGrid w:val="0"/>
          <w:sz w:val="20"/>
        </w:rPr>
        <w:t>nustatyt</w:t>
      </w:r>
      <w:r w:rsidR="00B25831" w:rsidRPr="00BF4AB8">
        <w:rPr>
          <w:snapToGrid w:val="0"/>
          <w:sz w:val="20"/>
        </w:rPr>
        <w:t>as</w:t>
      </w:r>
      <w:r w:rsidRPr="00BF4AB8">
        <w:rPr>
          <w:snapToGrid w:val="0"/>
          <w:sz w:val="20"/>
        </w:rPr>
        <w:t xml:space="preserve"> 1121</w:t>
      </w:r>
      <w:r w:rsidR="00B25831" w:rsidRPr="00BF4AB8">
        <w:rPr>
          <w:snapToGrid w:val="0"/>
          <w:sz w:val="20"/>
        </w:rPr>
        <w:t> </w:t>
      </w:r>
      <w:r w:rsidRPr="00BF4AB8">
        <w:rPr>
          <w:snapToGrid w:val="0"/>
          <w:sz w:val="20"/>
        </w:rPr>
        <w:t>mirties atvej</w:t>
      </w:r>
      <w:r w:rsidR="00B25831" w:rsidRPr="00BF4AB8">
        <w:rPr>
          <w:snapToGrid w:val="0"/>
          <w:sz w:val="20"/>
        </w:rPr>
        <w:t>is</w:t>
      </w:r>
      <w:r w:rsidRPr="00BF4AB8">
        <w:rPr>
          <w:snapToGrid w:val="0"/>
          <w:sz w:val="20"/>
        </w:rPr>
        <w:t xml:space="preserve"> (535</w:t>
      </w:r>
      <w:r w:rsidR="00B25831" w:rsidRPr="00BF4AB8">
        <w:rPr>
          <w:snapToGrid w:val="0"/>
          <w:sz w:val="20"/>
        </w:rPr>
        <w:t> </w:t>
      </w:r>
      <w:r w:rsidRPr="00BF4AB8">
        <w:rPr>
          <w:snapToGrid w:val="0"/>
          <w:sz w:val="20"/>
        </w:rPr>
        <w:t xml:space="preserve">atvejai </w:t>
      </w:r>
      <w:proofErr w:type="spellStart"/>
      <w:r w:rsidRPr="00BF4AB8">
        <w:rPr>
          <w:snapToGrid w:val="0"/>
          <w:sz w:val="20"/>
        </w:rPr>
        <w:t>adenokarcinoma</w:t>
      </w:r>
      <w:proofErr w:type="spellEnd"/>
      <w:r w:rsidRPr="00BF4AB8">
        <w:rPr>
          <w:snapToGrid w:val="0"/>
          <w:sz w:val="20"/>
        </w:rPr>
        <w:t xml:space="preserve"> </w:t>
      </w:r>
      <w:r w:rsidR="00B25831" w:rsidRPr="00BF4AB8">
        <w:rPr>
          <w:snapToGrid w:val="0"/>
          <w:sz w:val="20"/>
        </w:rPr>
        <w:t>sergantiems pacientams</w:t>
      </w:r>
      <w:r w:rsidRPr="00BF4AB8">
        <w:rPr>
          <w:snapToGrid w:val="0"/>
          <w:sz w:val="20"/>
        </w:rPr>
        <w:t>).</w:t>
      </w:r>
    </w:p>
    <w:p w14:paraId="37B01841" w14:textId="2F3BB2D2" w:rsidR="00227F5B" w:rsidRPr="00BF4AB8" w:rsidRDefault="00227F5B" w:rsidP="00227F5B">
      <w:pPr>
        <w:ind w:right="-142"/>
        <w:rPr>
          <w:snapToGrid w:val="0"/>
          <w:sz w:val="20"/>
        </w:rPr>
      </w:pPr>
      <w:r w:rsidRPr="00BF4AB8">
        <w:rPr>
          <w:snapToGrid w:val="0"/>
          <w:sz w:val="20"/>
        </w:rPr>
        <w:t xml:space="preserve">+ Šansų santykis ir p reikšmė gauti </w:t>
      </w:r>
      <w:r w:rsidR="00B25831" w:rsidRPr="00BF4AB8">
        <w:rPr>
          <w:snapToGrid w:val="0"/>
          <w:sz w:val="20"/>
        </w:rPr>
        <w:t>naudojant</w:t>
      </w:r>
      <w:r w:rsidRPr="00BF4AB8">
        <w:rPr>
          <w:snapToGrid w:val="0"/>
          <w:sz w:val="20"/>
        </w:rPr>
        <w:t xml:space="preserve"> logistinės regresijos </w:t>
      </w:r>
      <w:r w:rsidRPr="002451BE">
        <w:rPr>
          <w:snapToGrid w:val="0"/>
          <w:sz w:val="20"/>
        </w:rPr>
        <w:t>model</w:t>
      </w:r>
      <w:r w:rsidR="002451BE">
        <w:rPr>
          <w:snapToGrid w:val="0"/>
          <w:sz w:val="20"/>
        </w:rPr>
        <w:t>į</w:t>
      </w:r>
      <w:r w:rsidRPr="002451BE">
        <w:rPr>
          <w:snapToGrid w:val="0"/>
          <w:sz w:val="20"/>
        </w:rPr>
        <w:t xml:space="preserve">, </w:t>
      </w:r>
      <w:r w:rsidR="00B25831" w:rsidRPr="002451BE">
        <w:rPr>
          <w:snapToGrid w:val="0"/>
          <w:sz w:val="20"/>
        </w:rPr>
        <w:t>koreguotą</w:t>
      </w:r>
      <w:r w:rsidR="00B25831" w:rsidRPr="00BF4AB8">
        <w:rPr>
          <w:snapToGrid w:val="0"/>
          <w:sz w:val="20"/>
        </w:rPr>
        <w:t xml:space="preserve"> </w:t>
      </w:r>
      <w:r w:rsidRPr="00BF4AB8">
        <w:rPr>
          <w:snapToGrid w:val="0"/>
          <w:sz w:val="20"/>
        </w:rPr>
        <w:t xml:space="preserve">pagal pradinį ECOG </w:t>
      </w:r>
      <w:r w:rsidR="00B25831" w:rsidRPr="00BF4AB8">
        <w:rPr>
          <w:snapToGrid w:val="0"/>
          <w:sz w:val="20"/>
        </w:rPr>
        <w:t xml:space="preserve">funkcinės </w:t>
      </w:r>
      <w:r w:rsidRPr="00BF4AB8">
        <w:rPr>
          <w:snapToGrid w:val="0"/>
          <w:sz w:val="20"/>
        </w:rPr>
        <w:t xml:space="preserve">būklės </w:t>
      </w:r>
      <w:r w:rsidR="00B25831" w:rsidRPr="00BF4AB8">
        <w:rPr>
          <w:snapToGrid w:val="0"/>
          <w:sz w:val="20"/>
        </w:rPr>
        <w:t>į</w:t>
      </w:r>
      <w:r w:rsidRPr="00BF4AB8">
        <w:rPr>
          <w:snapToGrid w:val="0"/>
          <w:sz w:val="20"/>
        </w:rPr>
        <w:t>vertinim</w:t>
      </w:r>
      <w:r w:rsidR="00B25831" w:rsidRPr="00BF4AB8">
        <w:rPr>
          <w:snapToGrid w:val="0"/>
          <w:sz w:val="20"/>
        </w:rPr>
        <w:t>ą</w:t>
      </w:r>
      <w:r w:rsidRPr="00BF4AB8">
        <w:rPr>
          <w:snapToGrid w:val="0"/>
          <w:sz w:val="20"/>
        </w:rPr>
        <w:t xml:space="preserve"> (0, palyginti su 1).</w:t>
      </w:r>
    </w:p>
    <w:p w14:paraId="78F6D004" w14:textId="0361ED18" w:rsidR="00227F5B" w:rsidRPr="00BF4AB8" w:rsidRDefault="00227F5B" w:rsidP="00227F5B">
      <w:pPr>
        <w:ind w:right="-142"/>
        <w:rPr>
          <w:snapToGrid w:val="0"/>
          <w:sz w:val="20"/>
        </w:rPr>
      </w:pPr>
      <w:r w:rsidRPr="00BF4AB8">
        <w:rPr>
          <w:snapToGrid w:val="0"/>
          <w:sz w:val="20"/>
        </w:rPr>
        <w:t xml:space="preserve">° </w:t>
      </w:r>
      <w:r w:rsidR="00B25831" w:rsidRPr="00BF4AB8">
        <w:rPr>
          <w:snapToGrid w:val="0"/>
          <w:sz w:val="20"/>
        </w:rPr>
        <w:t>K</w:t>
      </w:r>
      <w:r w:rsidRPr="00BF4AB8">
        <w:rPr>
          <w:snapToGrid w:val="0"/>
          <w:sz w:val="20"/>
        </w:rPr>
        <w:t>oreguotas geriausio</w:t>
      </w:r>
      <w:r w:rsidR="00AC48E9" w:rsidRPr="00BF4AB8">
        <w:rPr>
          <w:snapToGrid w:val="0"/>
          <w:sz w:val="20"/>
        </w:rPr>
        <w:t> %</w:t>
      </w:r>
      <w:r w:rsidRPr="00BF4AB8">
        <w:rPr>
          <w:snapToGrid w:val="0"/>
          <w:sz w:val="20"/>
        </w:rPr>
        <w:t xml:space="preserve"> pokyčio nuo pradinės reikšmės vidurkis ir p reikšmė gauti </w:t>
      </w:r>
      <w:r w:rsidR="00B25831" w:rsidRPr="00BF4AB8">
        <w:rPr>
          <w:snapToGrid w:val="0"/>
          <w:sz w:val="20"/>
        </w:rPr>
        <w:t>naudojant</w:t>
      </w:r>
      <w:r w:rsidRPr="00BF4AB8">
        <w:rPr>
          <w:snapToGrid w:val="0"/>
          <w:sz w:val="20"/>
        </w:rPr>
        <w:t xml:space="preserve"> ANOVA</w:t>
      </w:r>
      <w:r w:rsidR="00B25831" w:rsidRPr="00BF4AB8">
        <w:rPr>
          <w:snapToGrid w:val="0"/>
          <w:sz w:val="20"/>
        </w:rPr>
        <w:t xml:space="preserve"> </w:t>
      </w:r>
      <w:r w:rsidRPr="00BF4AB8">
        <w:rPr>
          <w:snapToGrid w:val="0"/>
          <w:sz w:val="20"/>
        </w:rPr>
        <w:t>model</w:t>
      </w:r>
      <w:r w:rsidR="00B25831" w:rsidRPr="00BF4AB8">
        <w:rPr>
          <w:snapToGrid w:val="0"/>
          <w:sz w:val="20"/>
        </w:rPr>
        <w:t>į</w:t>
      </w:r>
      <w:r w:rsidRPr="00BF4AB8">
        <w:rPr>
          <w:snapToGrid w:val="0"/>
          <w:sz w:val="20"/>
        </w:rPr>
        <w:t xml:space="preserve">, </w:t>
      </w:r>
      <w:r w:rsidR="00B25831" w:rsidRPr="00BF4AB8">
        <w:rPr>
          <w:snapToGrid w:val="0"/>
          <w:sz w:val="20"/>
        </w:rPr>
        <w:t xml:space="preserve">koreguotą pagal </w:t>
      </w:r>
      <w:r w:rsidRPr="00BF4AB8">
        <w:rPr>
          <w:snapToGrid w:val="0"/>
          <w:sz w:val="20"/>
        </w:rPr>
        <w:t xml:space="preserve">pradinį ECOG būklės </w:t>
      </w:r>
      <w:r w:rsidR="00B25831" w:rsidRPr="00BF4AB8">
        <w:rPr>
          <w:snapToGrid w:val="0"/>
          <w:sz w:val="20"/>
        </w:rPr>
        <w:t>įvertinimą</w:t>
      </w:r>
      <w:r w:rsidRPr="00BF4AB8">
        <w:rPr>
          <w:snapToGrid w:val="0"/>
          <w:sz w:val="20"/>
        </w:rPr>
        <w:t xml:space="preserve"> (0, palyginti su 1), metastazių</w:t>
      </w:r>
      <w:r w:rsidR="00B25831" w:rsidRPr="00BF4AB8">
        <w:rPr>
          <w:snapToGrid w:val="0"/>
          <w:sz w:val="20"/>
        </w:rPr>
        <w:t xml:space="preserve"> </w:t>
      </w:r>
      <w:r w:rsidRPr="00BF4AB8">
        <w:rPr>
          <w:snapToGrid w:val="0"/>
          <w:sz w:val="20"/>
        </w:rPr>
        <w:t>buvimą galvos smegenyse tyrimo pradžioje (taip, palyginti su ne) ir ankstesnį gydymą</w:t>
      </w:r>
      <w:r w:rsidR="00B25831" w:rsidRPr="00BF4AB8">
        <w:rPr>
          <w:snapToGrid w:val="0"/>
          <w:sz w:val="20"/>
        </w:rPr>
        <w:t xml:space="preserve"> </w:t>
      </w:r>
      <w:proofErr w:type="spellStart"/>
      <w:r w:rsidRPr="00BF4AB8">
        <w:rPr>
          <w:snapToGrid w:val="0"/>
          <w:sz w:val="20"/>
        </w:rPr>
        <w:t>bevacizumabu</w:t>
      </w:r>
      <w:proofErr w:type="spellEnd"/>
      <w:r w:rsidRPr="00BF4AB8">
        <w:rPr>
          <w:snapToGrid w:val="0"/>
          <w:sz w:val="20"/>
        </w:rPr>
        <w:t xml:space="preserve"> (taip, palyginti su ne).</w:t>
      </w:r>
    </w:p>
    <w:p w14:paraId="08D71D28" w14:textId="77777777" w:rsidR="00B25831" w:rsidRPr="00BF4AB8" w:rsidRDefault="00B25831" w:rsidP="00227F5B">
      <w:pPr>
        <w:ind w:right="-142"/>
        <w:rPr>
          <w:snapToGrid w:val="0"/>
          <w:sz w:val="22"/>
          <w:szCs w:val="24"/>
        </w:rPr>
      </w:pPr>
    </w:p>
    <w:p w14:paraId="240D7A70" w14:textId="14362B1A" w:rsidR="00227F5B" w:rsidRPr="00BF4AB8" w:rsidRDefault="00227F5B" w:rsidP="00227F5B">
      <w:pPr>
        <w:ind w:right="-142"/>
        <w:rPr>
          <w:snapToGrid w:val="0"/>
          <w:sz w:val="22"/>
          <w:szCs w:val="24"/>
        </w:rPr>
      </w:pPr>
      <w:r w:rsidRPr="00BF4AB8">
        <w:rPr>
          <w:snapToGrid w:val="0"/>
          <w:sz w:val="22"/>
          <w:szCs w:val="24"/>
        </w:rPr>
        <w:t xml:space="preserve">Gydant </w:t>
      </w:r>
      <w:proofErr w:type="spellStart"/>
      <w:r w:rsidRPr="00BF4AB8">
        <w:rPr>
          <w:snapToGrid w:val="0"/>
          <w:sz w:val="22"/>
          <w:szCs w:val="24"/>
        </w:rPr>
        <w:t>nintedanibo</w:t>
      </w:r>
      <w:proofErr w:type="spellEnd"/>
      <w:r w:rsidRPr="00BF4AB8">
        <w:rPr>
          <w:snapToGrid w:val="0"/>
          <w:sz w:val="22"/>
          <w:szCs w:val="24"/>
        </w:rPr>
        <w:t xml:space="preserve"> ir </w:t>
      </w:r>
      <w:proofErr w:type="spellStart"/>
      <w:r w:rsidRPr="00BF4AB8">
        <w:rPr>
          <w:snapToGrid w:val="0"/>
          <w:sz w:val="22"/>
          <w:szCs w:val="24"/>
        </w:rPr>
        <w:t>docetakselio</w:t>
      </w:r>
      <w:proofErr w:type="spellEnd"/>
      <w:r w:rsidRPr="00BF4AB8">
        <w:rPr>
          <w:snapToGrid w:val="0"/>
          <w:sz w:val="22"/>
          <w:szCs w:val="24"/>
        </w:rPr>
        <w:t xml:space="preserve"> deriniu, statistiškai reikšmingas BI pagerėjimas ir mirties</w:t>
      </w:r>
      <w:r w:rsidR="007746D3" w:rsidRPr="00BF4AB8">
        <w:rPr>
          <w:snapToGrid w:val="0"/>
          <w:sz w:val="22"/>
          <w:szCs w:val="24"/>
        </w:rPr>
        <w:t xml:space="preserve"> </w:t>
      </w:r>
      <w:r w:rsidRPr="00BF4AB8">
        <w:rPr>
          <w:snapToGrid w:val="0"/>
          <w:sz w:val="22"/>
          <w:szCs w:val="24"/>
        </w:rPr>
        <w:t xml:space="preserve">rizikos sumažėjimas </w:t>
      </w:r>
      <w:r w:rsidR="007746D3" w:rsidRPr="00BF4AB8">
        <w:rPr>
          <w:snapToGrid w:val="0"/>
          <w:sz w:val="22"/>
          <w:szCs w:val="24"/>
        </w:rPr>
        <w:t>17</w:t>
      </w:r>
      <w:r w:rsidR="00AC48E9" w:rsidRPr="00BF4AB8">
        <w:rPr>
          <w:snapToGrid w:val="0"/>
          <w:sz w:val="22"/>
          <w:szCs w:val="24"/>
        </w:rPr>
        <w:t> %</w:t>
      </w:r>
      <w:r w:rsidR="007746D3" w:rsidRPr="00BF4AB8">
        <w:rPr>
          <w:snapToGrid w:val="0"/>
          <w:sz w:val="22"/>
          <w:szCs w:val="24"/>
        </w:rPr>
        <w:t xml:space="preserve"> </w:t>
      </w:r>
      <w:r w:rsidRPr="00BF4AB8">
        <w:rPr>
          <w:snapToGrid w:val="0"/>
          <w:sz w:val="22"/>
          <w:szCs w:val="24"/>
        </w:rPr>
        <w:t>(RS 0,83; p</w:t>
      </w:r>
      <w:r w:rsidR="00D35BA8" w:rsidRPr="00BF4AB8">
        <w:rPr>
          <w:snapToGrid w:val="0"/>
          <w:sz w:val="22"/>
          <w:szCs w:val="24"/>
        </w:rPr>
        <w:t>=</w:t>
      </w:r>
      <w:r w:rsidRPr="00BF4AB8">
        <w:rPr>
          <w:snapToGrid w:val="0"/>
          <w:sz w:val="22"/>
          <w:szCs w:val="24"/>
        </w:rPr>
        <w:t xml:space="preserve">0,0359) buvo nustatytas </w:t>
      </w:r>
      <w:proofErr w:type="spellStart"/>
      <w:r w:rsidR="007746D3" w:rsidRPr="00BF4AB8">
        <w:rPr>
          <w:snapToGrid w:val="0"/>
          <w:sz w:val="22"/>
          <w:szCs w:val="24"/>
        </w:rPr>
        <w:t>adenokarcinoma</w:t>
      </w:r>
      <w:proofErr w:type="spellEnd"/>
      <w:r w:rsidR="007746D3" w:rsidRPr="00BF4AB8">
        <w:rPr>
          <w:snapToGrid w:val="0"/>
          <w:sz w:val="22"/>
          <w:szCs w:val="24"/>
        </w:rPr>
        <w:t xml:space="preserve"> sergantiems </w:t>
      </w:r>
      <w:r w:rsidRPr="00BF4AB8">
        <w:rPr>
          <w:snapToGrid w:val="0"/>
          <w:sz w:val="22"/>
          <w:szCs w:val="24"/>
        </w:rPr>
        <w:t>pacientams</w:t>
      </w:r>
      <w:r w:rsidR="007746D3" w:rsidRPr="00BF4AB8">
        <w:rPr>
          <w:snapToGrid w:val="0"/>
          <w:sz w:val="22"/>
          <w:szCs w:val="24"/>
        </w:rPr>
        <w:t xml:space="preserve">, </w:t>
      </w:r>
      <w:r w:rsidRPr="00BF4AB8">
        <w:rPr>
          <w:snapToGrid w:val="0"/>
          <w:sz w:val="22"/>
          <w:szCs w:val="24"/>
        </w:rPr>
        <w:t xml:space="preserve">BI </w:t>
      </w:r>
      <w:r w:rsidR="007746D3" w:rsidRPr="00BF4AB8">
        <w:rPr>
          <w:snapToGrid w:val="0"/>
          <w:sz w:val="22"/>
          <w:szCs w:val="24"/>
        </w:rPr>
        <w:t>mediana pailgėjo</w:t>
      </w:r>
      <w:r w:rsidRPr="00BF4AB8">
        <w:rPr>
          <w:snapToGrid w:val="0"/>
          <w:sz w:val="22"/>
          <w:szCs w:val="24"/>
        </w:rPr>
        <w:t xml:space="preserve"> 2,3</w:t>
      </w:r>
      <w:r w:rsidR="007746D3" w:rsidRPr="00BF4AB8">
        <w:rPr>
          <w:snapToGrid w:val="0"/>
          <w:sz w:val="22"/>
          <w:szCs w:val="24"/>
        </w:rPr>
        <w:t> </w:t>
      </w:r>
      <w:r w:rsidRPr="00BF4AB8">
        <w:rPr>
          <w:snapToGrid w:val="0"/>
          <w:sz w:val="22"/>
          <w:szCs w:val="24"/>
        </w:rPr>
        <w:t>mėnesio (10,3</w:t>
      </w:r>
      <w:r w:rsidR="007746D3" w:rsidRPr="00BF4AB8">
        <w:rPr>
          <w:snapToGrid w:val="0"/>
          <w:sz w:val="22"/>
          <w:szCs w:val="24"/>
        </w:rPr>
        <w:t> </w:t>
      </w:r>
      <w:r w:rsidRPr="00BF4AB8">
        <w:rPr>
          <w:snapToGrid w:val="0"/>
          <w:sz w:val="22"/>
          <w:szCs w:val="24"/>
        </w:rPr>
        <w:t>mėnesio, palyginti su 12,6</w:t>
      </w:r>
      <w:r w:rsidR="007746D3" w:rsidRPr="00BF4AB8">
        <w:rPr>
          <w:snapToGrid w:val="0"/>
          <w:sz w:val="22"/>
          <w:szCs w:val="24"/>
        </w:rPr>
        <w:t> </w:t>
      </w:r>
      <w:r w:rsidRPr="00BF4AB8">
        <w:rPr>
          <w:snapToGrid w:val="0"/>
          <w:sz w:val="22"/>
          <w:szCs w:val="24"/>
        </w:rPr>
        <w:t>mėnesio, 1</w:t>
      </w:r>
      <w:r w:rsidR="007746D3" w:rsidRPr="00BF4AB8">
        <w:rPr>
          <w:snapToGrid w:val="0"/>
          <w:sz w:val="22"/>
          <w:szCs w:val="24"/>
        </w:rPr>
        <w:t> </w:t>
      </w:r>
      <w:r w:rsidRPr="00BF4AB8">
        <w:rPr>
          <w:snapToGrid w:val="0"/>
          <w:sz w:val="22"/>
          <w:szCs w:val="24"/>
        </w:rPr>
        <w:t>pav</w:t>
      </w:r>
      <w:r w:rsidR="007746D3" w:rsidRPr="00BF4AB8">
        <w:rPr>
          <w:snapToGrid w:val="0"/>
          <w:sz w:val="22"/>
          <w:szCs w:val="24"/>
        </w:rPr>
        <w:t>eikslas</w:t>
      </w:r>
      <w:r w:rsidRPr="00BF4AB8">
        <w:rPr>
          <w:snapToGrid w:val="0"/>
          <w:sz w:val="22"/>
          <w:szCs w:val="24"/>
        </w:rPr>
        <w:t>).</w:t>
      </w:r>
    </w:p>
    <w:p w14:paraId="341EEC96" w14:textId="5E8EBAD9" w:rsidR="00227F5B" w:rsidRPr="00BF4AB8" w:rsidRDefault="00227F5B" w:rsidP="00227F5B">
      <w:pPr>
        <w:ind w:right="-142"/>
        <w:rPr>
          <w:snapToGrid w:val="0"/>
          <w:sz w:val="22"/>
          <w:szCs w:val="24"/>
        </w:rPr>
      </w:pPr>
    </w:p>
    <w:p w14:paraId="073B5D77" w14:textId="5931E437" w:rsidR="00227F5B" w:rsidRPr="00BF4AB8" w:rsidRDefault="00227F5B" w:rsidP="00FF66DF">
      <w:pPr>
        <w:ind w:left="1296" w:right="-142" w:hanging="1296"/>
        <w:rPr>
          <w:b/>
          <w:bCs/>
          <w:snapToGrid w:val="0"/>
          <w:sz w:val="22"/>
          <w:szCs w:val="24"/>
        </w:rPr>
      </w:pPr>
      <w:r w:rsidRPr="00BF4AB8">
        <w:rPr>
          <w:b/>
          <w:bCs/>
          <w:snapToGrid w:val="0"/>
          <w:sz w:val="22"/>
          <w:szCs w:val="24"/>
        </w:rPr>
        <w:t>1</w:t>
      </w:r>
      <w:r w:rsidR="00FF66DF" w:rsidRPr="00BF4AB8">
        <w:rPr>
          <w:b/>
          <w:bCs/>
          <w:snapToGrid w:val="0"/>
          <w:sz w:val="22"/>
          <w:szCs w:val="24"/>
        </w:rPr>
        <w:t> </w:t>
      </w:r>
      <w:r w:rsidRPr="00BF4AB8">
        <w:rPr>
          <w:b/>
          <w:bCs/>
          <w:snapToGrid w:val="0"/>
          <w:sz w:val="22"/>
          <w:szCs w:val="24"/>
        </w:rPr>
        <w:t>pav</w:t>
      </w:r>
      <w:r w:rsidR="00FF66DF" w:rsidRPr="00BF4AB8">
        <w:rPr>
          <w:b/>
          <w:bCs/>
          <w:snapToGrid w:val="0"/>
          <w:sz w:val="22"/>
          <w:szCs w:val="24"/>
        </w:rPr>
        <w:t>eikslas.</w:t>
      </w:r>
      <w:r w:rsidR="00FF66DF" w:rsidRPr="00BF4AB8">
        <w:rPr>
          <w:b/>
          <w:bCs/>
          <w:snapToGrid w:val="0"/>
          <w:sz w:val="22"/>
          <w:szCs w:val="24"/>
        </w:rPr>
        <w:tab/>
      </w:r>
      <w:r w:rsidRPr="00BF4AB8">
        <w:rPr>
          <w:b/>
          <w:bCs/>
          <w:snapToGrid w:val="0"/>
          <w:sz w:val="22"/>
          <w:szCs w:val="24"/>
        </w:rPr>
        <w:t xml:space="preserve">Pacientų, </w:t>
      </w:r>
      <w:r w:rsidR="00FF66DF" w:rsidRPr="00BF4AB8">
        <w:rPr>
          <w:b/>
          <w:bCs/>
          <w:snapToGrid w:val="0"/>
          <w:sz w:val="22"/>
          <w:szCs w:val="24"/>
        </w:rPr>
        <w:t>kurių</w:t>
      </w:r>
      <w:r w:rsidRPr="00BF4AB8">
        <w:rPr>
          <w:b/>
          <w:bCs/>
          <w:snapToGrid w:val="0"/>
          <w:sz w:val="22"/>
          <w:szCs w:val="24"/>
        </w:rPr>
        <w:t xml:space="preserve"> navik</w:t>
      </w:r>
      <w:r w:rsidR="00FF66DF" w:rsidRPr="00BF4AB8">
        <w:rPr>
          <w:b/>
          <w:bCs/>
          <w:snapToGrid w:val="0"/>
          <w:sz w:val="22"/>
          <w:szCs w:val="24"/>
        </w:rPr>
        <w:t>o histologinė struktūra yra</w:t>
      </w:r>
      <w:r w:rsidRPr="00BF4AB8">
        <w:rPr>
          <w:b/>
          <w:bCs/>
          <w:snapToGrid w:val="0"/>
          <w:sz w:val="22"/>
          <w:szCs w:val="24"/>
        </w:rPr>
        <w:t xml:space="preserve"> </w:t>
      </w:r>
      <w:proofErr w:type="spellStart"/>
      <w:r w:rsidRPr="00BF4AB8">
        <w:rPr>
          <w:b/>
          <w:bCs/>
          <w:snapToGrid w:val="0"/>
          <w:sz w:val="22"/>
          <w:szCs w:val="24"/>
        </w:rPr>
        <w:t>adenokarcinom</w:t>
      </w:r>
      <w:r w:rsidR="00FF66DF" w:rsidRPr="00BF4AB8">
        <w:rPr>
          <w:b/>
          <w:bCs/>
          <w:snapToGrid w:val="0"/>
          <w:sz w:val="22"/>
          <w:szCs w:val="24"/>
        </w:rPr>
        <w:t>a</w:t>
      </w:r>
      <w:proofErr w:type="spellEnd"/>
      <w:r w:rsidRPr="00BF4AB8">
        <w:rPr>
          <w:b/>
          <w:bCs/>
          <w:snapToGrid w:val="0"/>
          <w:sz w:val="22"/>
          <w:szCs w:val="24"/>
        </w:rPr>
        <w:t>, bendro</w:t>
      </w:r>
      <w:r w:rsidR="00FF66DF" w:rsidRPr="00BF4AB8">
        <w:rPr>
          <w:b/>
          <w:bCs/>
          <w:snapToGrid w:val="0"/>
          <w:sz w:val="22"/>
          <w:szCs w:val="24"/>
        </w:rPr>
        <w:t>jo</w:t>
      </w:r>
      <w:r w:rsidRPr="00BF4AB8">
        <w:rPr>
          <w:b/>
          <w:bCs/>
          <w:snapToGrid w:val="0"/>
          <w:sz w:val="22"/>
          <w:szCs w:val="24"/>
        </w:rPr>
        <w:t xml:space="preserve"> </w:t>
      </w:r>
      <w:proofErr w:type="spellStart"/>
      <w:r w:rsidRPr="00BF4AB8">
        <w:rPr>
          <w:b/>
          <w:bCs/>
          <w:snapToGrid w:val="0"/>
          <w:sz w:val="22"/>
          <w:szCs w:val="24"/>
        </w:rPr>
        <w:t>išgyvenamumo</w:t>
      </w:r>
      <w:proofErr w:type="spellEnd"/>
      <w:r w:rsidR="00FF66DF" w:rsidRPr="00BF4AB8">
        <w:rPr>
          <w:b/>
          <w:bCs/>
          <w:snapToGrid w:val="0"/>
          <w:sz w:val="22"/>
          <w:szCs w:val="24"/>
        </w:rPr>
        <w:t xml:space="preserve"> </w:t>
      </w:r>
      <w:proofErr w:type="spellStart"/>
      <w:r w:rsidRPr="00BF4AB8">
        <w:rPr>
          <w:b/>
          <w:bCs/>
          <w:i/>
          <w:iCs/>
          <w:snapToGrid w:val="0"/>
          <w:sz w:val="22"/>
          <w:szCs w:val="24"/>
        </w:rPr>
        <w:t>Kaplan-Meier</w:t>
      </w:r>
      <w:proofErr w:type="spellEnd"/>
      <w:r w:rsidRPr="00BF4AB8">
        <w:rPr>
          <w:b/>
          <w:bCs/>
          <w:snapToGrid w:val="0"/>
          <w:sz w:val="22"/>
          <w:szCs w:val="24"/>
        </w:rPr>
        <w:t xml:space="preserve"> kreivė pagal gydymo grupę LUME-</w:t>
      </w:r>
      <w:proofErr w:type="spellStart"/>
      <w:r w:rsidRPr="00BF4AB8">
        <w:rPr>
          <w:b/>
          <w:bCs/>
          <w:snapToGrid w:val="0"/>
          <w:sz w:val="22"/>
          <w:szCs w:val="24"/>
        </w:rPr>
        <w:t>Lung</w:t>
      </w:r>
      <w:proofErr w:type="spellEnd"/>
      <w:r w:rsidR="00FF66DF" w:rsidRPr="00BF4AB8">
        <w:rPr>
          <w:b/>
          <w:bCs/>
          <w:snapToGrid w:val="0"/>
          <w:sz w:val="22"/>
          <w:szCs w:val="24"/>
        </w:rPr>
        <w:t> </w:t>
      </w:r>
      <w:r w:rsidRPr="00BF4AB8">
        <w:rPr>
          <w:b/>
          <w:bCs/>
          <w:snapToGrid w:val="0"/>
          <w:sz w:val="22"/>
          <w:szCs w:val="24"/>
        </w:rPr>
        <w:t>1 tyrimo metu</w:t>
      </w:r>
    </w:p>
    <w:p w14:paraId="4AB6B490" w14:textId="77777777" w:rsidR="00FF66DF" w:rsidRPr="00BF4AB8" w:rsidRDefault="00FF66DF" w:rsidP="00227F5B">
      <w:pPr>
        <w:ind w:right="-142"/>
        <w:rPr>
          <w:snapToGrid w:val="0"/>
          <w:sz w:val="22"/>
          <w:szCs w:val="24"/>
        </w:rPr>
      </w:pPr>
    </w:p>
    <w:p w14:paraId="69432ABA" w14:textId="65C630A0" w:rsidR="00FF66DF" w:rsidRPr="00BF4AB8" w:rsidRDefault="005E563A" w:rsidP="00227F5B">
      <w:pPr>
        <w:ind w:right="-142"/>
        <w:rPr>
          <w:snapToGrid w:val="0"/>
          <w:sz w:val="22"/>
          <w:szCs w:val="24"/>
        </w:rPr>
      </w:pPr>
      <w:r w:rsidRPr="00BF4AB8">
        <w:rPr>
          <w:noProof/>
          <w:lang w:eastAsia="lt-LT"/>
        </w:rPr>
        <w:drawing>
          <wp:inline distT="0" distB="0" distL="0" distR="0" wp14:anchorId="7F446022" wp14:editId="5D4F35CC">
            <wp:extent cx="6031230" cy="4921250"/>
            <wp:effectExtent l="0" t="0" r="7620" b="0"/>
            <wp:docPr id="2078141462" name="Picture 1" descr="A graph of the number of patien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8141462" name="Picture 1" descr="A graph of the number of patients&#10;&#10;Description automatically generated"/>
                    <pic:cNvPicPr/>
                  </pic:nvPicPr>
                  <pic:blipFill>
                    <a:blip r:embed="rId10"/>
                    <a:stretch>
                      <a:fillRect/>
                    </a:stretch>
                  </pic:blipFill>
                  <pic:spPr>
                    <a:xfrm>
                      <a:off x="0" y="0"/>
                      <a:ext cx="6031230" cy="4921250"/>
                    </a:xfrm>
                    <a:prstGeom prst="rect">
                      <a:avLst/>
                    </a:prstGeom>
                  </pic:spPr>
                </pic:pic>
              </a:graphicData>
            </a:graphic>
          </wp:inline>
        </w:drawing>
      </w:r>
    </w:p>
    <w:p w14:paraId="1BDE5A7A" w14:textId="77777777" w:rsidR="00FF66DF" w:rsidRPr="00BF4AB8" w:rsidRDefault="00FF66DF" w:rsidP="00227F5B">
      <w:pPr>
        <w:ind w:right="-142"/>
        <w:rPr>
          <w:snapToGrid w:val="0"/>
          <w:sz w:val="22"/>
          <w:szCs w:val="24"/>
        </w:rPr>
      </w:pPr>
    </w:p>
    <w:p w14:paraId="1511D088" w14:textId="13EFC435" w:rsidR="00227F5B" w:rsidRPr="00BF4AB8" w:rsidRDefault="00227F5B" w:rsidP="00227F5B">
      <w:pPr>
        <w:ind w:right="-142"/>
        <w:rPr>
          <w:snapToGrid w:val="0"/>
          <w:sz w:val="22"/>
          <w:szCs w:val="24"/>
        </w:rPr>
      </w:pPr>
      <w:r w:rsidRPr="00BF4AB8">
        <w:rPr>
          <w:snapToGrid w:val="0"/>
          <w:sz w:val="22"/>
          <w:szCs w:val="24"/>
        </w:rPr>
        <w:t xml:space="preserve">Iš anksto numatyti vertinimai buvo atlikti </w:t>
      </w:r>
      <w:proofErr w:type="spellStart"/>
      <w:r w:rsidRPr="00BF4AB8">
        <w:rPr>
          <w:snapToGrid w:val="0"/>
          <w:sz w:val="22"/>
          <w:szCs w:val="24"/>
        </w:rPr>
        <w:t>adenokarcinoma</w:t>
      </w:r>
      <w:proofErr w:type="spellEnd"/>
      <w:r w:rsidRPr="00BF4AB8">
        <w:rPr>
          <w:snapToGrid w:val="0"/>
          <w:sz w:val="22"/>
          <w:szCs w:val="24"/>
        </w:rPr>
        <w:t xml:space="preserve"> sergantiems pacientams, kuriems</w:t>
      </w:r>
      <w:r w:rsidR="0097474F" w:rsidRPr="00BF4AB8">
        <w:rPr>
          <w:snapToGrid w:val="0"/>
          <w:sz w:val="22"/>
          <w:szCs w:val="24"/>
        </w:rPr>
        <w:t xml:space="preserve"> tyrimo pradžioje </w:t>
      </w:r>
      <w:r w:rsidRPr="00BF4AB8">
        <w:rPr>
          <w:snapToGrid w:val="0"/>
          <w:sz w:val="22"/>
          <w:szCs w:val="24"/>
        </w:rPr>
        <w:t>buvo nustatyta ypač prasta gydymo prognozė, būtent tiems pacientams, kuriems liga</w:t>
      </w:r>
      <w:r w:rsidR="0097474F" w:rsidRPr="00BF4AB8">
        <w:rPr>
          <w:snapToGrid w:val="0"/>
          <w:sz w:val="22"/>
          <w:szCs w:val="24"/>
        </w:rPr>
        <w:t xml:space="preserve"> </w:t>
      </w:r>
      <w:r w:rsidRPr="00BF4AB8">
        <w:rPr>
          <w:snapToGrid w:val="0"/>
          <w:sz w:val="22"/>
          <w:szCs w:val="24"/>
        </w:rPr>
        <w:lastRenderedPageBreak/>
        <w:t>progresavo pirmaeilio gydymo metu ar netrukus po šio gydymo</w:t>
      </w:r>
      <w:r w:rsidR="0097474F" w:rsidRPr="00BF4AB8">
        <w:rPr>
          <w:snapToGrid w:val="0"/>
          <w:sz w:val="22"/>
          <w:szCs w:val="24"/>
        </w:rPr>
        <w:t xml:space="preserve"> </w:t>
      </w:r>
      <w:r w:rsidRPr="00BF4AB8">
        <w:rPr>
          <w:snapToGrid w:val="0"/>
          <w:sz w:val="22"/>
          <w:szCs w:val="24"/>
        </w:rPr>
        <w:t>prieš įtraukiant į tyrimą. Ši</w:t>
      </w:r>
      <w:r w:rsidR="0097474F" w:rsidRPr="00BF4AB8">
        <w:rPr>
          <w:snapToGrid w:val="0"/>
          <w:sz w:val="22"/>
          <w:szCs w:val="24"/>
        </w:rPr>
        <w:t xml:space="preserve"> </w:t>
      </w:r>
      <w:r w:rsidRPr="00BF4AB8">
        <w:rPr>
          <w:snapToGrid w:val="0"/>
          <w:sz w:val="22"/>
          <w:szCs w:val="24"/>
        </w:rPr>
        <w:t xml:space="preserve">populiacija apėmė tuos </w:t>
      </w:r>
      <w:proofErr w:type="spellStart"/>
      <w:r w:rsidRPr="00BF4AB8">
        <w:rPr>
          <w:snapToGrid w:val="0"/>
          <w:sz w:val="22"/>
          <w:szCs w:val="24"/>
        </w:rPr>
        <w:t>adenokarcinoma</w:t>
      </w:r>
      <w:proofErr w:type="spellEnd"/>
      <w:r w:rsidRPr="00BF4AB8">
        <w:rPr>
          <w:snapToGrid w:val="0"/>
          <w:sz w:val="22"/>
          <w:szCs w:val="24"/>
        </w:rPr>
        <w:t xml:space="preserve"> sergančius pacientus, kuriems ligos progresavimas buvo</w:t>
      </w:r>
      <w:r w:rsidR="0097474F" w:rsidRPr="00BF4AB8">
        <w:rPr>
          <w:snapToGrid w:val="0"/>
          <w:sz w:val="22"/>
          <w:szCs w:val="24"/>
        </w:rPr>
        <w:t xml:space="preserve"> </w:t>
      </w:r>
      <w:r w:rsidRPr="00BF4AB8">
        <w:rPr>
          <w:snapToGrid w:val="0"/>
          <w:sz w:val="22"/>
          <w:szCs w:val="24"/>
        </w:rPr>
        <w:t>nustatytas prieš pradedant tyrimą ir kurie į tyrimą buvo įtraukti praėjus mažiau nei 9</w:t>
      </w:r>
      <w:r w:rsidR="0097474F" w:rsidRPr="00BF4AB8">
        <w:rPr>
          <w:snapToGrid w:val="0"/>
          <w:sz w:val="22"/>
          <w:szCs w:val="24"/>
        </w:rPr>
        <w:t> </w:t>
      </w:r>
      <w:r w:rsidRPr="00BF4AB8">
        <w:rPr>
          <w:snapToGrid w:val="0"/>
          <w:sz w:val="22"/>
          <w:szCs w:val="24"/>
        </w:rPr>
        <w:t>mėnesiams nuo</w:t>
      </w:r>
      <w:r w:rsidR="0097474F" w:rsidRPr="00BF4AB8">
        <w:rPr>
          <w:snapToGrid w:val="0"/>
          <w:sz w:val="22"/>
          <w:szCs w:val="24"/>
        </w:rPr>
        <w:t xml:space="preserve"> </w:t>
      </w:r>
      <w:r w:rsidRPr="00BF4AB8">
        <w:rPr>
          <w:snapToGrid w:val="0"/>
          <w:sz w:val="22"/>
          <w:szCs w:val="24"/>
        </w:rPr>
        <w:t xml:space="preserve">pirmaeilio gydymo pradžios. Šiems pacientams gydymas </w:t>
      </w:r>
      <w:proofErr w:type="spellStart"/>
      <w:r w:rsidRPr="00BF4AB8">
        <w:rPr>
          <w:snapToGrid w:val="0"/>
          <w:sz w:val="22"/>
          <w:szCs w:val="24"/>
        </w:rPr>
        <w:t>nintedanibo</w:t>
      </w:r>
      <w:proofErr w:type="spellEnd"/>
      <w:r w:rsidRPr="00BF4AB8">
        <w:rPr>
          <w:snapToGrid w:val="0"/>
          <w:sz w:val="22"/>
          <w:szCs w:val="24"/>
        </w:rPr>
        <w:t xml:space="preserve"> ir </w:t>
      </w:r>
      <w:proofErr w:type="spellStart"/>
      <w:r w:rsidRPr="00BF4AB8">
        <w:rPr>
          <w:snapToGrid w:val="0"/>
          <w:sz w:val="22"/>
          <w:szCs w:val="24"/>
        </w:rPr>
        <w:t>docetakselio</w:t>
      </w:r>
      <w:proofErr w:type="spellEnd"/>
      <w:r w:rsidRPr="00BF4AB8">
        <w:rPr>
          <w:snapToGrid w:val="0"/>
          <w:sz w:val="22"/>
          <w:szCs w:val="24"/>
        </w:rPr>
        <w:t xml:space="preserve"> deriniu mirties</w:t>
      </w:r>
      <w:r w:rsidR="0097474F" w:rsidRPr="00BF4AB8">
        <w:rPr>
          <w:snapToGrid w:val="0"/>
          <w:sz w:val="22"/>
          <w:szCs w:val="24"/>
        </w:rPr>
        <w:t xml:space="preserve"> </w:t>
      </w:r>
      <w:r w:rsidRPr="00BF4AB8">
        <w:rPr>
          <w:snapToGrid w:val="0"/>
          <w:sz w:val="22"/>
          <w:szCs w:val="24"/>
        </w:rPr>
        <w:t>riziką sumažino 25</w:t>
      </w:r>
      <w:r w:rsidR="00AC48E9" w:rsidRPr="00BF4AB8">
        <w:rPr>
          <w:snapToGrid w:val="0"/>
          <w:sz w:val="22"/>
          <w:szCs w:val="24"/>
        </w:rPr>
        <w:t> %</w:t>
      </w:r>
      <w:r w:rsidRPr="00BF4AB8">
        <w:rPr>
          <w:snapToGrid w:val="0"/>
          <w:sz w:val="22"/>
          <w:szCs w:val="24"/>
        </w:rPr>
        <w:t xml:space="preserve">, palyginti su gydymu </w:t>
      </w:r>
      <w:proofErr w:type="spellStart"/>
      <w:r w:rsidRPr="00BF4AB8">
        <w:rPr>
          <w:snapToGrid w:val="0"/>
          <w:sz w:val="22"/>
          <w:szCs w:val="24"/>
        </w:rPr>
        <w:t>placebo</w:t>
      </w:r>
      <w:proofErr w:type="spellEnd"/>
      <w:r w:rsidRPr="00BF4AB8">
        <w:rPr>
          <w:snapToGrid w:val="0"/>
          <w:sz w:val="22"/>
          <w:szCs w:val="24"/>
        </w:rPr>
        <w:t xml:space="preserve"> ir </w:t>
      </w:r>
      <w:proofErr w:type="spellStart"/>
      <w:r w:rsidRPr="00BF4AB8">
        <w:rPr>
          <w:snapToGrid w:val="0"/>
          <w:sz w:val="22"/>
          <w:szCs w:val="24"/>
        </w:rPr>
        <w:t>docetakselio</w:t>
      </w:r>
      <w:proofErr w:type="spellEnd"/>
      <w:r w:rsidRPr="00BF4AB8">
        <w:rPr>
          <w:snapToGrid w:val="0"/>
          <w:sz w:val="22"/>
          <w:szCs w:val="24"/>
        </w:rPr>
        <w:t xml:space="preserve"> deriniu (RS: 0,75; 95</w:t>
      </w:r>
      <w:r w:rsidR="00AC48E9" w:rsidRPr="00BF4AB8">
        <w:rPr>
          <w:snapToGrid w:val="0"/>
          <w:sz w:val="22"/>
          <w:szCs w:val="24"/>
        </w:rPr>
        <w:t> %</w:t>
      </w:r>
      <w:r w:rsidRPr="00BF4AB8">
        <w:rPr>
          <w:snapToGrid w:val="0"/>
          <w:sz w:val="22"/>
          <w:szCs w:val="24"/>
        </w:rPr>
        <w:t xml:space="preserve"> PI: 0,6</w:t>
      </w:r>
      <w:r w:rsidR="0097474F" w:rsidRPr="00BF4AB8">
        <w:rPr>
          <w:snapToGrid w:val="0"/>
          <w:sz w:val="22"/>
          <w:szCs w:val="24"/>
        </w:rPr>
        <w:noBreakHyphen/>
      </w:r>
      <w:r w:rsidRPr="00BF4AB8">
        <w:rPr>
          <w:snapToGrid w:val="0"/>
          <w:sz w:val="22"/>
          <w:szCs w:val="24"/>
        </w:rPr>
        <w:t>0,92; p</w:t>
      </w:r>
      <w:r w:rsidR="00D35BA8" w:rsidRPr="00BF4AB8">
        <w:rPr>
          <w:snapToGrid w:val="0"/>
          <w:sz w:val="22"/>
          <w:szCs w:val="24"/>
        </w:rPr>
        <w:t>=</w:t>
      </w:r>
      <w:r w:rsidRPr="00BF4AB8">
        <w:rPr>
          <w:snapToGrid w:val="0"/>
          <w:sz w:val="22"/>
          <w:szCs w:val="24"/>
        </w:rPr>
        <w:t xml:space="preserve">0,0073). BI mediana </w:t>
      </w:r>
      <w:r w:rsidR="0097474F" w:rsidRPr="00BF4AB8">
        <w:rPr>
          <w:snapToGrid w:val="0"/>
          <w:sz w:val="22"/>
          <w:szCs w:val="24"/>
        </w:rPr>
        <w:t>pailgėjo</w:t>
      </w:r>
      <w:r w:rsidRPr="00BF4AB8">
        <w:rPr>
          <w:snapToGrid w:val="0"/>
          <w:sz w:val="22"/>
          <w:szCs w:val="24"/>
        </w:rPr>
        <w:t xml:space="preserve"> 3</w:t>
      </w:r>
      <w:r w:rsidR="0097474F" w:rsidRPr="00BF4AB8">
        <w:rPr>
          <w:snapToGrid w:val="0"/>
          <w:sz w:val="22"/>
          <w:szCs w:val="24"/>
        </w:rPr>
        <w:t> </w:t>
      </w:r>
      <w:r w:rsidRPr="00BF4AB8">
        <w:rPr>
          <w:snapToGrid w:val="0"/>
          <w:sz w:val="22"/>
          <w:szCs w:val="24"/>
        </w:rPr>
        <w:t>mėnesiais (</w:t>
      </w:r>
      <w:proofErr w:type="spellStart"/>
      <w:r w:rsidRPr="00BF4AB8">
        <w:rPr>
          <w:snapToGrid w:val="0"/>
          <w:sz w:val="22"/>
          <w:szCs w:val="24"/>
        </w:rPr>
        <w:t>nintedanib</w:t>
      </w:r>
      <w:r w:rsidR="0097474F" w:rsidRPr="00BF4AB8">
        <w:rPr>
          <w:snapToGrid w:val="0"/>
          <w:sz w:val="22"/>
          <w:szCs w:val="24"/>
        </w:rPr>
        <w:t>o</w:t>
      </w:r>
      <w:proofErr w:type="spellEnd"/>
      <w:r w:rsidRPr="00BF4AB8">
        <w:rPr>
          <w:snapToGrid w:val="0"/>
          <w:sz w:val="22"/>
          <w:szCs w:val="24"/>
        </w:rPr>
        <w:t xml:space="preserve"> </w:t>
      </w:r>
      <w:r w:rsidR="0097474F" w:rsidRPr="00BF4AB8">
        <w:rPr>
          <w:snapToGrid w:val="0"/>
          <w:sz w:val="22"/>
          <w:szCs w:val="24"/>
        </w:rPr>
        <w:t xml:space="preserve">vartojusiųjų </w:t>
      </w:r>
      <w:r w:rsidRPr="00BF4AB8">
        <w:rPr>
          <w:snapToGrid w:val="0"/>
          <w:sz w:val="22"/>
          <w:szCs w:val="24"/>
        </w:rPr>
        <w:t>grupė: 10,9</w:t>
      </w:r>
      <w:r w:rsidR="0097474F" w:rsidRPr="00BF4AB8">
        <w:rPr>
          <w:snapToGrid w:val="0"/>
          <w:sz w:val="22"/>
          <w:szCs w:val="24"/>
        </w:rPr>
        <w:t> </w:t>
      </w:r>
      <w:r w:rsidRPr="00BF4AB8">
        <w:rPr>
          <w:snapToGrid w:val="0"/>
          <w:sz w:val="22"/>
          <w:szCs w:val="24"/>
        </w:rPr>
        <w:t>mėnesio;</w:t>
      </w:r>
      <w:r w:rsidR="0097474F" w:rsidRPr="00BF4AB8">
        <w:rPr>
          <w:snapToGrid w:val="0"/>
          <w:sz w:val="22"/>
          <w:szCs w:val="24"/>
        </w:rPr>
        <w:t xml:space="preserve"> </w:t>
      </w:r>
      <w:proofErr w:type="spellStart"/>
      <w:r w:rsidRPr="00BF4AB8">
        <w:rPr>
          <w:snapToGrid w:val="0"/>
          <w:sz w:val="22"/>
          <w:szCs w:val="24"/>
        </w:rPr>
        <w:t>placebo</w:t>
      </w:r>
      <w:proofErr w:type="spellEnd"/>
      <w:r w:rsidRPr="00BF4AB8">
        <w:rPr>
          <w:snapToGrid w:val="0"/>
          <w:sz w:val="22"/>
          <w:szCs w:val="24"/>
        </w:rPr>
        <w:t xml:space="preserve"> vartojusių</w:t>
      </w:r>
      <w:r w:rsidR="0097474F" w:rsidRPr="00BF4AB8">
        <w:rPr>
          <w:snapToGrid w:val="0"/>
          <w:sz w:val="22"/>
          <w:szCs w:val="24"/>
        </w:rPr>
        <w:t>jų</w:t>
      </w:r>
      <w:r w:rsidRPr="00BF4AB8">
        <w:rPr>
          <w:snapToGrid w:val="0"/>
          <w:sz w:val="22"/>
          <w:szCs w:val="24"/>
        </w:rPr>
        <w:t xml:space="preserve"> grupė: 7,9</w:t>
      </w:r>
      <w:r w:rsidR="0097474F" w:rsidRPr="00BF4AB8">
        <w:rPr>
          <w:snapToGrid w:val="0"/>
          <w:sz w:val="22"/>
          <w:szCs w:val="24"/>
        </w:rPr>
        <w:t> </w:t>
      </w:r>
      <w:r w:rsidRPr="00BF4AB8">
        <w:rPr>
          <w:snapToGrid w:val="0"/>
          <w:sz w:val="22"/>
          <w:szCs w:val="24"/>
        </w:rPr>
        <w:t xml:space="preserve">mėnesio). </w:t>
      </w:r>
      <w:proofErr w:type="spellStart"/>
      <w:r w:rsidRPr="00BF4AB8">
        <w:rPr>
          <w:snapToGrid w:val="0"/>
          <w:sz w:val="22"/>
          <w:szCs w:val="24"/>
        </w:rPr>
        <w:t>Adenokarcinoma</w:t>
      </w:r>
      <w:proofErr w:type="spellEnd"/>
      <w:r w:rsidRPr="00BF4AB8">
        <w:rPr>
          <w:snapToGrid w:val="0"/>
          <w:sz w:val="22"/>
          <w:szCs w:val="24"/>
        </w:rPr>
        <w:t xml:space="preserve"> sergančių pacientų, kuriems ligos</w:t>
      </w:r>
      <w:r w:rsidR="0097474F" w:rsidRPr="00BF4AB8">
        <w:rPr>
          <w:snapToGrid w:val="0"/>
          <w:sz w:val="22"/>
          <w:szCs w:val="24"/>
        </w:rPr>
        <w:t xml:space="preserve"> </w:t>
      </w:r>
      <w:r w:rsidRPr="00BF4AB8">
        <w:rPr>
          <w:snapToGrid w:val="0"/>
          <w:sz w:val="22"/>
          <w:szCs w:val="24"/>
        </w:rPr>
        <w:t xml:space="preserve">progresavimas buvo nustatytas prieš pradedant tyrimą ir kurie į tyrimą buvo įtraukti </w:t>
      </w:r>
      <w:r w:rsidR="0097474F" w:rsidRPr="00BF4AB8">
        <w:rPr>
          <w:snapToGrid w:val="0"/>
          <w:sz w:val="22"/>
          <w:szCs w:val="24"/>
        </w:rPr>
        <w:t>praėjus</w:t>
      </w:r>
      <w:r w:rsidRPr="00BF4AB8">
        <w:rPr>
          <w:snapToGrid w:val="0"/>
          <w:sz w:val="22"/>
          <w:szCs w:val="24"/>
        </w:rPr>
        <w:t xml:space="preserve"> ≥</w:t>
      </w:r>
      <w:r w:rsidR="0097474F" w:rsidRPr="00BF4AB8">
        <w:rPr>
          <w:snapToGrid w:val="0"/>
          <w:sz w:val="22"/>
          <w:szCs w:val="24"/>
        </w:rPr>
        <w:t> </w:t>
      </w:r>
      <w:r w:rsidRPr="00BF4AB8">
        <w:rPr>
          <w:snapToGrid w:val="0"/>
          <w:sz w:val="22"/>
          <w:szCs w:val="24"/>
        </w:rPr>
        <w:t>9</w:t>
      </w:r>
      <w:r w:rsidR="0097474F" w:rsidRPr="00BF4AB8">
        <w:rPr>
          <w:snapToGrid w:val="0"/>
          <w:sz w:val="22"/>
          <w:szCs w:val="24"/>
        </w:rPr>
        <w:t> </w:t>
      </w:r>
      <w:r w:rsidRPr="00BF4AB8">
        <w:rPr>
          <w:snapToGrid w:val="0"/>
          <w:sz w:val="22"/>
          <w:szCs w:val="24"/>
        </w:rPr>
        <w:t>mėnesi</w:t>
      </w:r>
      <w:r w:rsidR="0097474F" w:rsidRPr="00BF4AB8">
        <w:rPr>
          <w:snapToGrid w:val="0"/>
          <w:sz w:val="22"/>
          <w:szCs w:val="24"/>
        </w:rPr>
        <w:t>ams po</w:t>
      </w:r>
      <w:r w:rsidRPr="00BF4AB8">
        <w:rPr>
          <w:snapToGrid w:val="0"/>
          <w:sz w:val="22"/>
          <w:szCs w:val="24"/>
        </w:rPr>
        <w:t xml:space="preserve"> pirmaeilio gydymo pradžios, </w:t>
      </w:r>
      <w:proofErr w:type="spellStart"/>
      <w:r w:rsidRPr="00BF4AB8">
        <w:rPr>
          <w:i/>
          <w:iCs/>
          <w:snapToGrid w:val="0"/>
          <w:sz w:val="22"/>
          <w:szCs w:val="24"/>
        </w:rPr>
        <w:t>post-hoc</w:t>
      </w:r>
      <w:proofErr w:type="spellEnd"/>
      <w:r w:rsidRPr="00BF4AB8">
        <w:rPr>
          <w:snapToGrid w:val="0"/>
          <w:sz w:val="22"/>
          <w:szCs w:val="24"/>
        </w:rPr>
        <w:t xml:space="preserve"> analizės </w:t>
      </w:r>
      <w:r w:rsidR="0097474F" w:rsidRPr="00BF4AB8">
        <w:rPr>
          <w:snapToGrid w:val="0"/>
          <w:sz w:val="22"/>
          <w:szCs w:val="24"/>
        </w:rPr>
        <w:t>metu nustatytas</w:t>
      </w:r>
      <w:r w:rsidRPr="00BF4AB8">
        <w:rPr>
          <w:snapToGrid w:val="0"/>
          <w:sz w:val="22"/>
          <w:szCs w:val="24"/>
        </w:rPr>
        <w:t xml:space="preserve"> skirtumas nebuvo statistiškai</w:t>
      </w:r>
      <w:r w:rsidR="0097474F" w:rsidRPr="00BF4AB8">
        <w:rPr>
          <w:snapToGrid w:val="0"/>
          <w:sz w:val="22"/>
          <w:szCs w:val="24"/>
        </w:rPr>
        <w:t xml:space="preserve"> </w:t>
      </w:r>
      <w:r w:rsidRPr="00BF4AB8">
        <w:rPr>
          <w:snapToGrid w:val="0"/>
          <w:sz w:val="22"/>
          <w:szCs w:val="24"/>
        </w:rPr>
        <w:t>reikšmingas (RS BI:0,89, 95</w:t>
      </w:r>
      <w:r w:rsidR="00AC48E9" w:rsidRPr="00BF4AB8">
        <w:rPr>
          <w:snapToGrid w:val="0"/>
          <w:sz w:val="22"/>
          <w:szCs w:val="24"/>
        </w:rPr>
        <w:t> %</w:t>
      </w:r>
      <w:r w:rsidRPr="00BF4AB8">
        <w:rPr>
          <w:snapToGrid w:val="0"/>
          <w:sz w:val="22"/>
          <w:szCs w:val="24"/>
        </w:rPr>
        <w:t xml:space="preserve"> PI 95, 1,19).</w:t>
      </w:r>
    </w:p>
    <w:p w14:paraId="474ECA3C" w14:textId="35A79232" w:rsidR="00227F5B" w:rsidRPr="00BF4AB8" w:rsidRDefault="00227F5B" w:rsidP="00227F5B">
      <w:pPr>
        <w:ind w:right="-142"/>
        <w:rPr>
          <w:snapToGrid w:val="0"/>
          <w:sz w:val="22"/>
          <w:szCs w:val="24"/>
        </w:rPr>
      </w:pPr>
      <w:r w:rsidRPr="00BF4AB8">
        <w:rPr>
          <w:snapToGrid w:val="0"/>
          <w:sz w:val="22"/>
          <w:szCs w:val="24"/>
        </w:rPr>
        <w:t xml:space="preserve">Tyrime 1193.13 </w:t>
      </w:r>
      <w:proofErr w:type="spellStart"/>
      <w:r w:rsidRPr="00BF4AB8">
        <w:rPr>
          <w:snapToGrid w:val="0"/>
          <w:sz w:val="22"/>
          <w:szCs w:val="24"/>
        </w:rPr>
        <w:t>adenokarcinoma</w:t>
      </w:r>
      <w:proofErr w:type="spellEnd"/>
      <w:r w:rsidRPr="00BF4AB8">
        <w:rPr>
          <w:snapToGrid w:val="0"/>
          <w:sz w:val="22"/>
          <w:szCs w:val="24"/>
        </w:rPr>
        <w:t xml:space="preserve"> sergančių pacientų, kurių ligos stadija </w:t>
      </w:r>
      <w:r w:rsidR="0097474F" w:rsidRPr="00BF4AB8">
        <w:rPr>
          <w:snapToGrid w:val="0"/>
          <w:sz w:val="22"/>
          <w:szCs w:val="24"/>
        </w:rPr>
        <w:t xml:space="preserve">diagnozės nustatymo metu </w:t>
      </w:r>
      <w:r w:rsidRPr="00BF4AB8">
        <w:rPr>
          <w:snapToGrid w:val="0"/>
          <w:sz w:val="22"/>
          <w:szCs w:val="24"/>
        </w:rPr>
        <w:t>buvo &lt;</w:t>
      </w:r>
      <w:r w:rsidR="0097474F" w:rsidRPr="00BF4AB8">
        <w:rPr>
          <w:snapToGrid w:val="0"/>
          <w:sz w:val="22"/>
          <w:szCs w:val="24"/>
        </w:rPr>
        <w:t> </w:t>
      </w:r>
      <w:r w:rsidRPr="00BF4AB8">
        <w:rPr>
          <w:snapToGrid w:val="0"/>
          <w:sz w:val="22"/>
          <w:szCs w:val="24"/>
        </w:rPr>
        <w:t xml:space="preserve">IIIB/IV, dalis </w:t>
      </w:r>
      <w:r w:rsidR="0097474F" w:rsidRPr="00BF4AB8">
        <w:rPr>
          <w:snapToGrid w:val="0"/>
          <w:sz w:val="22"/>
          <w:szCs w:val="24"/>
        </w:rPr>
        <w:t xml:space="preserve">gydymo grupėse </w:t>
      </w:r>
      <w:r w:rsidRPr="00BF4AB8">
        <w:rPr>
          <w:snapToGrid w:val="0"/>
          <w:sz w:val="22"/>
          <w:szCs w:val="24"/>
        </w:rPr>
        <w:t xml:space="preserve">buvo maža ir </w:t>
      </w:r>
      <w:r w:rsidR="0097474F" w:rsidRPr="00BF4AB8">
        <w:rPr>
          <w:snapToGrid w:val="0"/>
          <w:sz w:val="22"/>
          <w:szCs w:val="24"/>
        </w:rPr>
        <w:t>panaši</w:t>
      </w:r>
      <w:r w:rsidRPr="00BF4AB8">
        <w:rPr>
          <w:snapToGrid w:val="0"/>
          <w:sz w:val="22"/>
          <w:szCs w:val="24"/>
        </w:rPr>
        <w:t xml:space="preserve"> (</w:t>
      </w:r>
      <w:proofErr w:type="spellStart"/>
      <w:r w:rsidRPr="00BF4AB8">
        <w:rPr>
          <w:snapToGrid w:val="0"/>
          <w:sz w:val="22"/>
          <w:szCs w:val="24"/>
        </w:rPr>
        <w:t>placebo</w:t>
      </w:r>
      <w:proofErr w:type="spellEnd"/>
      <w:r w:rsidRPr="00BF4AB8">
        <w:rPr>
          <w:snapToGrid w:val="0"/>
          <w:sz w:val="22"/>
          <w:szCs w:val="24"/>
        </w:rPr>
        <w:t xml:space="preserve"> </w:t>
      </w:r>
      <w:r w:rsidR="0097474F" w:rsidRPr="00BF4AB8">
        <w:rPr>
          <w:snapToGrid w:val="0"/>
          <w:sz w:val="22"/>
          <w:szCs w:val="24"/>
        </w:rPr>
        <w:t xml:space="preserve">vartojusiųjų </w:t>
      </w:r>
      <w:r w:rsidRPr="00BF4AB8">
        <w:rPr>
          <w:snapToGrid w:val="0"/>
          <w:sz w:val="22"/>
          <w:szCs w:val="24"/>
        </w:rPr>
        <w:t>grupėje 54</w:t>
      </w:r>
      <w:r w:rsidR="0097474F" w:rsidRPr="00BF4AB8">
        <w:rPr>
          <w:snapToGrid w:val="0"/>
          <w:sz w:val="22"/>
          <w:szCs w:val="24"/>
        </w:rPr>
        <w:t> </w:t>
      </w:r>
      <w:r w:rsidRPr="00BF4AB8">
        <w:rPr>
          <w:snapToGrid w:val="0"/>
          <w:sz w:val="22"/>
          <w:szCs w:val="24"/>
        </w:rPr>
        <w:t>pacientai (16,1</w:t>
      </w:r>
      <w:r w:rsidR="00AC48E9" w:rsidRPr="00BF4AB8">
        <w:rPr>
          <w:snapToGrid w:val="0"/>
          <w:sz w:val="22"/>
          <w:szCs w:val="24"/>
        </w:rPr>
        <w:t> %</w:t>
      </w:r>
      <w:r w:rsidRPr="00BF4AB8">
        <w:rPr>
          <w:snapToGrid w:val="0"/>
          <w:sz w:val="22"/>
          <w:szCs w:val="24"/>
        </w:rPr>
        <w:t>);</w:t>
      </w:r>
      <w:r w:rsidR="0097474F" w:rsidRPr="00BF4AB8">
        <w:rPr>
          <w:snapToGrid w:val="0"/>
          <w:sz w:val="22"/>
          <w:szCs w:val="24"/>
        </w:rPr>
        <w:t xml:space="preserve"> </w:t>
      </w:r>
      <w:proofErr w:type="spellStart"/>
      <w:r w:rsidRPr="00BF4AB8">
        <w:rPr>
          <w:snapToGrid w:val="0"/>
          <w:sz w:val="22"/>
          <w:szCs w:val="24"/>
        </w:rPr>
        <w:t>nintedanibo</w:t>
      </w:r>
      <w:proofErr w:type="spellEnd"/>
      <w:r w:rsidRPr="00BF4AB8">
        <w:rPr>
          <w:snapToGrid w:val="0"/>
          <w:sz w:val="22"/>
          <w:szCs w:val="24"/>
        </w:rPr>
        <w:t xml:space="preserve"> </w:t>
      </w:r>
      <w:r w:rsidR="0097474F" w:rsidRPr="00BF4AB8">
        <w:rPr>
          <w:snapToGrid w:val="0"/>
          <w:sz w:val="22"/>
          <w:szCs w:val="24"/>
        </w:rPr>
        <w:t xml:space="preserve">vartojusiųjų </w:t>
      </w:r>
      <w:r w:rsidRPr="00BF4AB8">
        <w:rPr>
          <w:snapToGrid w:val="0"/>
          <w:sz w:val="22"/>
          <w:szCs w:val="24"/>
        </w:rPr>
        <w:t>grupėje 50</w:t>
      </w:r>
      <w:r w:rsidR="0097474F" w:rsidRPr="00BF4AB8">
        <w:rPr>
          <w:snapToGrid w:val="0"/>
          <w:sz w:val="22"/>
          <w:szCs w:val="24"/>
        </w:rPr>
        <w:t> </w:t>
      </w:r>
      <w:r w:rsidRPr="00BF4AB8">
        <w:rPr>
          <w:snapToGrid w:val="0"/>
          <w:sz w:val="22"/>
          <w:szCs w:val="24"/>
        </w:rPr>
        <w:t>pacientų (15,5</w:t>
      </w:r>
      <w:r w:rsidR="00AC48E9" w:rsidRPr="00BF4AB8">
        <w:rPr>
          <w:snapToGrid w:val="0"/>
          <w:sz w:val="22"/>
          <w:szCs w:val="24"/>
        </w:rPr>
        <w:t> %</w:t>
      </w:r>
      <w:r w:rsidRPr="00BF4AB8">
        <w:rPr>
          <w:snapToGrid w:val="0"/>
          <w:sz w:val="22"/>
          <w:szCs w:val="24"/>
        </w:rPr>
        <w:t>). Šių pacientų IBLP ir BI RS buvo atitinkamai 1,24 (95</w:t>
      </w:r>
      <w:r w:rsidR="00AC48E9" w:rsidRPr="00BF4AB8">
        <w:rPr>
          <w:snapToGrid w:val="0"/>
          <w:sz w:val="22"/>
          <w:szCs w:val="24"/>
        </w:rPr>
        <w:t> %</w:t>
      </w:r>
      <w:r w:rsidRPr="00BF4AB8">
        <w:rPr>
          <w:snapToGrid w:val="0"/>
          <w:sz w:val="22"/>
          <w:szCs w:val="24"/>
        </w:rPr>
        <w:t xml:space="preserve"> PI:</w:t>
      </w:r>
      <w:r w:rsidR="0097474F" w:rsidRPr="00BF4AB8">
        <w:rPr>
          <w:snapToGrid w:val="0"/>
          <w:sz w:val="22"/>
          <w:szCs w:val="24"/>
        </w:rPr>
        <w:t xml:space="preserve"> </w:t>
      </w:r>
      <w:r w:rsidRPr="00BF4AB8">
        <w:rPr>
          <w:snapToGrid w:val="0"/>
          <w:sz w:val="22"/>
          <w:szCs w:val="24"/>
        </w:rPr>
        <w:t>0,68, 2,28) ir 1,09 (95</w:t>
      </w:r>
      <w:r w:rsidR="00AC48E9" w:rsidRPr="00BF4AB8">
        <w:rPr>
          <w:snapToGrid w:val="0"/>
          <w:sz w:val="22"/>
          <w:szCs w:val="24"/>
        </w:rPr>
        <w:t> %</w:t>
      </w:r>
      <w:r w:rsidRPr="00BF4AB8">
        <w:rPr>
          <w:snapToGrid w:val="0"/>
          <w:sz w:val="22"/>
          <w:szCs w:val="24"/>
        </w:rPr>
        <w:t xml:space="preserve"> PI: 0,70, 1,70). </w:t>
      </w:r>
      <w:r w:rsidR="0097474F" w:rsidRPr="00BF4AB8">
        <w:rPr>
          <w:snapToGrid w:val="0"/>
          <w:sz w:val="22"/>
          <w:szCs w:val="24"/>
        </w:rPr>
        <w:t>Vis dėlto</w:t>
      </w:r>
      <w:r w:rsidRPr="00BF4AB8">
        <w:rPr>
          <w:snapToGrid w:val="0"/>
          <w:sz w:val="22"/>
          <w:szCs w:val="24"/>
        </w:rPr>
        <w:t xml:space="preserve"> imties dydis buvo mažas, reikšmingos</w:t>
      </w:r>
      <w:r w:rsidR="0097474F" w:rsidRPr="00BF4AB8">
        <w:rPr>
          <w:snapToGrid w:val="0"/>
          <w:sz w:val="22"/>
          <w:szCs w:val="24"/>
        </w:rPr>
        <w:t xml:space="preserve"> </w:t>
      </w:r>
      <w:r w:rsidRPr="00BF4AB8">
        <w:rPr>
          <w:snapToGrid w:val="0"/>
          <w:sz w:val="22"/>
          <w:szCs w:val="24"/>
        </w:rPr>
        <w:t>sąveikos</w:t>
      </w:r>
      <w:r w:rsidR="0097474F" w:rsidRPr="00BF4AB8">
        <w:rPr>
          <w:snapToGrid w:val="0"/>
          <w:sz w:val="22"/>
          <w:szCs w:val="24"/>
        </w:rPr>
        <w:t xml:space="preserve"> nebuvo</w:t>
      </w:r>
      <w:r w:rsidRPr="00BF4AB8">
        <w:rPr>
          <w:snapToGrid w:val="0"/>
          <w:sz w:val="22"/>
          <w:szCs w:val="24"/>
        </w:rPr>
        <w:t xml:space="preserve">, PI buvo platus ir apėmė visos </w:t>
      </w:r>
      <w:proofErr w:type="spellStart"/>
      <w:r w:rsidRPr="00BF4AB8">
        <w:rPr>
          <w:snapToGrid w:val="0"/>
          <w:sz w:val="22"/>
          <w:szCs w:val="24"/>
        </w:rPr>
        <w:t>adenokarcinoma</w:t>
      </w:r>
      <w:proofErr w:type="spellEnd"/>
      <w:r w:rsidRPr="00BF4AB8">
        <w:rPr>
          <w:snapToGrid w:val="0"/>
          <w:sz w:val="22"/>
          <w:szCs w:val="24"/>
        </w:rPr>
        <w:t xml:space="preserve"> sergančių</w:t>
      </w:r>
      <w:r w:rsidR="0097474F" w:rsidRPr="00BF4AB8">
        <w:rPr>
          <w:snapToGrid w:val="0"/>
          <w:sz w:val="22"/>
          <w:szCs w:val="24"/>
        </w:rPr>
        <w:t>jų</w:t>
      </w:r>
      <w:r w:rsidRPr="00BF4AB8">
        <w:rPr>
          <w:snapToGrid w:val="0"/>
          <w:sz w:val="22"/>
          <w:szCs w:val="24"/>
        </w:rPr>
        <w:t xml:space="preserve"> populiacijos BI RS.</w:t>
      </w:r>
    </w:p>
    <w:p w14:paraId="0FC56951" w14:textId="77777777" w:rsidR="0007776F" w:rsidRPr="00BF4AB8" w:rsidRDefault="0007776F" w:rsidP="00227F5B">
      <w:pPr>
        <w:ind w:right="-142"/>
        <w:rPr>
          <w:snapToGrid w:val="0"/>
          <w:sz w:val="22"/>
          <w:szCs w:val="24"/>
        </w:rPr>
      </w:pPr>
    </w:p>
    <w:p w14:paraId="34B14B8B" w14:textId="33F9C348" w:rsidR="00227F5B" w:rsidRPr="00BF4AB8" w:rsidRDefault="00227F5B" w:rsidP="00227F5B">
      <w:pPr>
        <w:ind w:right="-142"/>
        <w:rPr>
          <w:snapToGrid w:val="0"/>
          <w:sz w:val="22"/>
          <w:szCs w:val="24"/>
          <w:u w:val="single"/>
        </w:rPr>
      </w:pPr>
      <w:r w:rsidRPr="00BF4AB8">
        <w:rPr>
          <w:snapToGrid w:val="0"/>
          <w:sz w:val="22"/>
          <w:szCs w:val="24"/>
          <w:u w:val="single"/>
        </w:rPr>
        <w:t>Gyvenimo kokybė</w:t>
      </w:r>
    </w:p>
    <w:p w14:paraId="713E02F6" w14:textId="17B1ACFA" w:rsidR="00227F5B" w:rsidRPr="00BF4AB8" w:rsidRDefault="00227F5B" w:rsidP="00227F5B">
      <w:pPr>
        <w:ind w:right="-142"/>
        <w:rPr>
          <w:snapToGrid w:val="0"/>
          <w:sz w:val="22"/>
          <w:szCs w:val="24"/>
        </w:rPr>
      </w:pPr>
      <w:r w:rsidRPr="00BF4AB8">
        <w:rPr>
          <w:snapToGrid w:val="0"/>
          <w:sz w:val="22"/>
          <w:szCs w:val="24"/>
        </w:rPr>
        <w:t xml:space="preserve">Gydymas </w:t>
      </w:r>
      <w:proofErr w:type="spellStart"/>
      <w:r w:rsidRPr="00BF4AB8">
        <w:rPr>
          <w:snapToGrid w:val="0"/>
          <w:sz w:val="22"/>
          <w:szCs w:val="24"/>
        </w:rPr>
        <w:t>nintedanibu</w:t>
      </w:r>
      <w:proofErr w:type="spellEnd"/>
      <w:r w:rsidRPr="00BF4AB8">
        <w:rPr>
          <w:snapToGrid w:val="0"/>
          <w:sz w:val="22"/>
          <w:szCs w:val="24"/>
        </w:rPr>
        <w:t xml:space="preserve"> reikšmingai nepakeitė laiko iki iš anksto apibrėžtų simptomų </w:t>
      </w:r>
      <w:r w:rsidR="0097474F" w:rsidRPr="00BF4AB8">
        <w:rPr>
          <w:snapToGrid w:val="0"/>
          <w:sz w:val="22"/>
          <w:szCs w:val="24"/>
        </w:rPr>
        <w:t>(</w:t>
      </w:r>
      <w:r w:rsidRPr="00BF4AB8">
        <w:rPr>
          <w:snapToGrid w:val="0"/>
          <w:sz w:val="22"/>
          <w:szCs w:val="24"/>
        </w:rPr>
        <w:t>kosulio, dusulio</w:t>
      </w:r>
      <w:r w:rsidR="0097474F" w:rsidRPr="00BF4AB8">
        <w:rPr>
          <w:snapToGrid w:val="0"/>
          <w:sz w:val="22"/>
          <w:szCs w:val="24"/>
        </w:rPr>
        <w:t xml:space="preserve"> </w:t>
      </w:r>
      <w:r w:rsidRPr="00BF4AB8">
        <w:rPr>
          <w:snapToGrid w:val="0"/>
          <w:sz w:val="22"/>
          <w:szCs w:val="24"/>
        </w:rPr>
        <w:t>ir skausmo</w:t>
      </w:r>
      <w:r w:rsidR="0097474F" w:rsidRPr="00BF4AB8">
        <w:rPr>
          <w:snapToGrid w:val="0"/>
          <w:sz w:val="22"/>
          <w:szCs w:val="24"/>
        </w:rPr>
        <w:t>)</w:t>
      </w:r>
      <w:r w:rsidRPr="00BF4AB8">
        <w:rPr>
          <w:snapToGrid w:val="0"/>
          <w:sz w:val="22"/>
          <w:szCs w:val="24"/>
        </w:rPr>
        <w:t xml:space="preserve"> pasunkėjimo, tačiau </w:t>
      </w:r>
      <w:r w:rsidR="0097474F" w:rsidRPr="00BF4AB8">
        <w:rPr>
          <w:snapToGrid w:val="0"/>
          <w:sz w:val="22"/>
          <w:szCs w:val="24"/>
        </w:rPr>
        <w:t>sukėlė</w:t>
      </w:r>
      <w:r w:rsidRPr="00BF4AB8">
        <w:rPr>
          <w:snapToGrid w:val="0"/>
          <w:sz w:val="22"/>
          <w:szCs w:val="24"/>
        </w:rPr>
        <w:t xml:space="preserve"> reikšmingą viduriavimo simptomų </w:t>
      </w:r>
      <w:r w:rsidR="0097474F" w:rsidRPr="00BF4AB8">
        <w:rPr>
          <w:snapToGrid w:val="0"/>
          <w:sz w:val="22"/>
          <w:szCs w:val="24"/>
        </w:rPr>
        <w:t>skalės įvertinimo</w:t>
      </w:r>
      <w:r w:rsidRPr="00BF4AB8">
        <w:rPr>
          <w:snapToGrid w:val="0"/>
          <w:sz w:val="22"/>
          <w:szCs w:val="24"/>
        </w:rPr>
        <w:t xml:space="preserve"> pablogėjimą.</w:t>
      </w:r>
      <w:r w:rsidR="0097474F" w:rsidRPr="00BF4AB8">
        <w:rPr>
          <w:snapToGrid w:val="0"/>
          <w:sz w:val="22"/>
          <w:szCs w:val="24"/>
        </w:rPr>
        <w:t xml:space="preserve"> </w:t>
      </w:r>
      <w:r w:rsidRPr="00BF4AB8">
        <w:rPr>
          <w:snapToGrid w:val="0"/>
          <w:sz w:val="22"/>
          <w:szCs w:val="24"/>
        </w:rPr>
        <w:t xml:space="preserve">Nepaisant to, buvo nustatyta bendra gydymo </w:t>
      </w:r>
      <w:proofErr w:type="spellStart"/>
      <w:r w:rsidRPr="00BF4AB8">
        <w:rPr>
          <w:snapToGrid w:val="0"/>
          <w:sz w:val="22"/>
          <w:szCs w:val="24"/>
        </w:rPr>
        <w:t>nintedanibu</w:t>
      </w:r>
      <w:proofErr w:type="spellEnd"/>
      <w:r w:rsidRPr="00BF4AB8">
        <w:rPr>
          <w:snapToGrid w:val="0"/>
          <w:sz w:val="22"/>
          <w:szCs w:val="24"/>
        </w:rPr>
        <w:t xml:space="preserve"> nauda be nepalankaus poveikio gyvenimo</w:t>
      </w:r>
      <w:r w:rsidR="0097474F" w:rsidRPr="00BF4AB8">
        <w:rPr>
          <w:snapToGrid w:val="0"/>
          <w:sz w:val="22"/>
          <w:szCs w:val="24"/>
        </w:rPr>
        <w:t xml:space="preserve"> </w:t>
      </w:r>
      <w:r w:rsidRPr="00BF4AB8">
        <w:rPr>
          <w:snapToGrid w:val="0"/>
          <w:sz w:val="22"/>
          <w:szCs w:val="24"/>
        </w:rPr>
        <w:t>kokybei</w:t>
      </w:r>
      <w:r w:rsidR="0097474F" w:rsidRPr="00BF4AB8">
        <w:rPr>
          <w:snapToGrid w:val="0"/>
          <w:sz w:val="22"/>
          <w:szCs w:val="24"/>
        </w:rPr>
        <w:t xml:space="preserve"> (remiantis paties paciento vertinimu)</w:t>
      </w:r>
      <w:r w:rsidRPr="00BF4AB8">
        <w:rPr>
          <w:snapToGrid w:val="0"/>
          <w:sz w:val="22"/>
          <w:szCs w:val="24"/>
        </w:rPr>
        <w:t>.</w:t>
      </w:r>
    </w:p>
    <w:p w14:paraId="73047B8B" w14:textId="2165E9BB" w:rsidR="00227F5B" w:rsidRPr="00BF4AB8" w:rsidRDefault="00227F5B" w:rsidP="00227F5B">
      <w:pPr>
        <w:ind w:right="-142"/>
        <w:rPr>
          <w:snapToGrid w:val="0"/>
          <w:sz w:val="22"/>
          <w:szCs w:val="24"/>
        </w:rPr>
      </w:pPr>
    </w:p>
    <w:p w14:paraId="0E047E28" w14:textId="77777777" w:rsidR="00227F5B" w:rsidRPr="00BF4AB8" w:rsidRDefault="00227F5B" w:rsidP="00227F5B">
      <w:pPr>
        <w:ind w:right="-142"/>
        <w:rPr>
          <w:snapToGrid w:val="0"/>
          <w:sz w:val="22"/>
          <w:szCs w:val="24"/>
          <w:u w:val="single"/>
        </w:rPr>
      </w:pPr>
      <w:r w:rsidRPr="00BF4AB8">
        <w:rPr>
          <w:snapToGrid w:val="0"/>
          <w:sz w:val="22"/>
          <w:szCs w:val="24"/>
          <w:u w:val="single"/>
        </w:rPr>
        <w:t>Poveikis QT intervalui</w:t>
      </w:r>
    </w:p>
    <w:p w14:paraId="37FCD603" w14:textId="07A3A0F9" w:rsidR="00227F5B" w:rsidRPr="00BF4AB8" w:rsidRDefault="00227F5B" w:rsidP="00791C2E">
      <w:pPr>
        <w:ind w:right="-142"/>
        <w:rPr>
          <w:snapToGrid w:val="0"/>
          <w:sz w:val="22"/>
          <w:szCs w:val="24"/>
        </w:rPr>
      </w:pPr>
      <w:r w:rsidRPr="00BF4AB8">
        <w:rPr>
          <w:snapToGrid w:val="0"/>
          <w:sz w:val="22"/>
          <w:szCs w:val="24"/>
        </w:rPr>
        <w:t>QT/</w:t>
      </w:r>
      <w:proofErr w:type="spellStart"/>
      <w:r w:rsidRPr="00BF4AB8">
        <w:rPr>
          <w:snapToGrid w:val="0"/>
          <w:sz w:val="22"/>
          <w:szCs w:val="24"/>
        </w:rPr>
        <w:t>QTc</w:t>
      </w:r>
      <w:proofErr w:type="spellEnd"/>
      <w:r w:rsidRPr="00BF4AB8">
        <w:rPr>
          <w:snapToGrid w:val="0"/>
          <w:sz w:val="22"/>
          <w:szCs w:val="24"/>
        </w:rPr>
        <w:t xml:space="preserve"> matavimai buvo įrašyti į ir analizuoti iš tyrimo, skirto </w:t>
      </w:r>
      <w:proofErr w:type="spellStart"/>
      <w:r w:rsidRPr="00BF4AB8">
        <w:rPr>
          <w:snapToGrid w:val="0"/>
          <w:sz w:val="22"/>
          <w:szCs w:val="24"/>
        </w:rPr>
        <w:t>monoterepijos</w:t>
      </w:r>
      <w:proofErr w:type="spellEnd"/>
      <w:r w:rsidRPr="00BF4AB8">
        <w:rPr>
          <w:snapToGrid w:val="0"/>
          <w:sz w:val="22"/>
          <w:szCs w:val="24"/>
        </w:rPr>
        <w:t xml:space="preserve"> </w:t>
      </w:r>
      <w:proofErr w:type="spellStart"/>
      <w:r w:rsidRPr="00BF4AB8">
        <w:rPr>
          <w:snapToGrid w:val="0"/>
          <w:sz w:val="22"/>
          <w:szCs w:val="24"/>
        </w:rPr>
        <w:t>nintedanibu</w:t>
      </w:r>
      <w:proofErr w:type="spellEnd"/>
      <w:r w:rsidR="00A91B07" w:rsidRPr="00BF4AB8">
        <w:rPr>
          <w:snapToGrid w:val="0"/>
          <w:sz w:val="22"/>
          <w:szCs w:val="24"/>
        </w:rPr>
        <w:t xml:space="preserve"> </w:t>
      </w:r>
      <w:r w:rsidRPr="00BF4AB8">
        <w:rPr>
          <w:snapToGrid w:val="0"/>
          <w:sz w:val="22"/>
          <w:szCs w:val="24"/>
        </w:rPr>
        <w:t xml:space="preserve">palyginimui su </w:t>
      </w:r>
      <w:proofErr w:type="spellStart"/>
      <w:r w:rsidRPr="00BF4AB8">
        <w:rPr>
          <w:snapToGrid w:val="0"/>
          <w:sz w:val="22"/>
          <w:szCs w:val="24"/>
        </w:rPr>
        <w:t>monoterapija</w:t>
      </w:r>
      <w:proofErr w:type="spellEnd"/>
      <w:r w:rsidRPr="00BF4AB8">
        <w:rPr>
          <w:snapToGrid w:val="0"/>
          <w:sz w:val="22"/>
          <w:szCs w:val="24"/>
        </w:rPr>
        <w:t xml:space="preserve"> </w:t>
      </w:r>
      <w:proofErr w:type="spellStart"/>
      <w:r w:rsidRPr="00BF4AB8">
        <w:rPr>
          <w:snapToGrid w:val="0"/>
          <w:sz w:val="22"/>
          <w:szCs w:val="24"/>
        </w:rPr>
        <w:t>sunitinibu</w:t>
      </w:r>
      <w:proofErr w:type="spellEnd"/>
      <w:r w:rsidRPr="00BF4AB8">
        <w:rPr>
          <w:snapToGrid w:val="0"/>
          <w:sz w:val="22"/>
          <w:szCs w:val="24"/>
        </w:rPr>
        <w:t xml:space="preserve"> pacientams, sergantiems inkstų ląstelių </w:t>
      </w:r>
      <w:proofErr w:type="spellStart"/>
      <w:r w:rsidRPr="00BF4AB8">
        <w:rPr>
          <w:snapToGrid w:val="0"/>
          <w:sz w:val="22"/>
          <w:szCs w:val="24"/>
        </w:rPr>
        <w:t>karcinoma</w:t>
      </w:r>
      <w:proofErr w:type="spellEnd"/>
      <w:r w:rsidRPr="00BF4AB8">
        <w:rPr>
          <w:snapToGrid w:val="0"/>
          <w:sz w:val="22"/>
          <w:szCs w:val="24"/>
        </w:rPr>
        <w:t>. Šio tyrimo</w:t>
      </w:r>
      <w:r w:rsidR="00791C2E" w:rsidRPr="00BF4AB8">
        <w:rPr>
          <w:snapToGrid w:val="0"/>
          <w:sz w:val="22"/>
          <w:szCs w:val="24"/>
        </w:rPr>
        <w:t xml:space="preserve"> </w:t>
      </w:r>
      <w:r w:rsidRPr="00BF4AB8">
        <w:rPr>
          <w:snapToGrid w:val="0"/>
          <w:sz w:val="22"/>
          <w:szCs w:val="24"/>
        </w:rPr>
        <w:t>metu vienkartinė per burną pavartota 200</w:t>
      </w:r>
      <w:r w:rsidR="00AC48E9" w:rsidRPr="00BF4AB8">
        <w:rPr>
          <w:snapToGrid w:val="0"/>
          <w:sz w:val="22"/>
          <w:szCs w:val="24"/>
        </w:rPr>
        <w:t> mg</w:t>
      </w:r>
      <w:r w:rsidRPr="00BF4AB8">
        <w:rPr>
          <w:snapToGrid w:val="0"/>
          <w:sz w:val="22"/>
          <w:szCs w:val="24"/>
        </w:rPr>
        <w:t xml:space="preserve"> </w:t>
      </w:r>
      <w:proofErr w:type="spellStart"/>
      <w:r w:rsidRPr="00BF4AB8">
        <w:rPr>
          <w:snapToGrid w:val="0"/>
          <w:sz w:val="22"/>
          <w:szCs w:val="24"/>
        </w:rPr>
        <w:t>nintedanibo</w:t>
      </w:r>
      <w:proofErr w:type="spellEnd"/>
      <w:r w:rsidRPr="00BF4AB8">
        <w:rPr>
          <w:snapToGrid w:val="0"/>
          <w:sz w:val="22"/>
          <w:szCs w:val="24"/>
        </w:rPr>
        <w:t xml:space="preserve"> dozė ir 15</w:t>
      </w:r>
      <w:r w:rsidR="00791C2E" w:rsidRPr="00BF4AB8">
        <w:rPr>
          <w:snapToGrid w:val="0"/>
          <w:sz w:val="22"/>
          <w:szCs w:val="24"/>
        </w:rPr>
        <w:t xml:space="preserve"> dienų </w:t>
      </w:r>
      <w:r w:rsidRPr="00BF4AB8">
        <w:rPr>
          <w:snapToGrid w:val="0"/>
          <w:sz w:val="22"/>
          <w:szCs w:val="24"/>
        </w:rPr>
        <w:t>2</w:t>
      </w:r>
      <w:r w:rsidR="00791C2E" w:rsidRPr="00BF4AB8">
        <w:rPr>
          <w:snapToGrid w:val="0"/>
          <w:sz w:val="22"/>
          <w:szCs w:val="24"/>
        </w:rPr>
        <w:t> </w:t>
      </w:r>
      <w:r w:rsidRPr="00BF4AB8">
        <w:rPr>
          <w:snapToGrid w:val="0"/>
          <w:sz w:val="22"/>
          <w:szCs w:val="24"/>
        </w:rPr>
        <w:t>kartus per parą</w:t>
      </w:r>
      <w:r w:rsidR="00791C2E" w:rsidRPr="00BF4AB8">
        <w:rPr>
          <w:snapToGrid w:val="0"/>
          <w:sz w:val="22"/>
          <w:szCs w:val="24"/>
        </w:rPr>
        <w:t xml:space="preserve"> per burną</w:t>
      </w:r>
      <w:r w:rsidRPr="00BF4AB8">
        <w:rPr>
          <w:snapToGrid w:val="0"/>
          <w:sz w:val="22"/>
          <w:szCs w:val="24"/>
        </w:rPr>
        <w:t xml:space="preserve"> vartojamos </w:t>
      </w:r>
      <w:r w:rsidR="00791C2E" w:rsidRPr="00BF4AB8">
        <w:rPr>
          <w:snapToGrid w:val="0"/>
          <w:sz w:val="22"/>
          <w:szCs w:val="24"/>
        </w:rPr>
        <w:t xml:space="preserve">kartotinės </w:t>
      </w:r>
      <w:r w:rsidRPr="00BF4AB8">
        <w:rPr>
          <w:snapToGrid w:val="0"/>
          <w:sz w:val="22"/>
          <w:szCs w:val="24"/>
        </w:rPr>
        <w:t>200</w:t>
      </w:r>
      <w:r w:rsidR="00AC48E9" w:rsidRPr="00BF4AB8">
        <w:rPr>
          <w:snapToGrid w:val="0"/>
          <w:sz w:val="22"/>
          <w:szCs w:val="24"/>
        </w:rPr>
        <w:t> mg</w:t>
      </w:r>
      <w:r w:rsidRPr="00BF4AB8">
        <w:rPr>
          <w:snapToGrid w:val="0"/>
          <w:sz w:val="22"/>
          <w:szCs w:val="24"/>
        </w:rPr>
        <w:t xml:space="preserve"> </w:t>
      </w:r>
      <w:proofErr w:type="spellStart"/>
      <w:r w:rsidRPr="00BF4AB8">
        <w:rPr>
          <w:snapToGrid w:val="0"/>
          <w:sz w:val="22"/>
          <w:szCs w:val="24"/>
        </w:rPr>
        <w:t>nintedanibo</w:t>
      </w:r>
      <w:proofErr w:type="spellEnd"/>
      <w:r w:rsidRPr="00BF4AB8">
        <w:rPr>
          <w:snapToGrid w:val="0"/>
          <w:sz w:val="22"/>
          <w:szCs w:val="24"/>
        </w:rPr>
        <w:t xml:space="preserve"> dozės </w:t>
      </w:r>
      <w:proofErr w:type="spellStart"/>
      <w:r w:rsidRPr="00580308">
        <w:rPr>
          <w:snapToGrid w:val="0"/>
          <w:sz w:val="22"/>
          <w:szCs w:val="24"/>
        </w:rPr>
        <w:t>QTcF</w:t>
      </w:r>
      <w:proofErr w:type="spellEnd"/>
      <w:r w:rsidRPr="00BF4AB8">
        <w:rPr>
          <w:snapToGrid w:val="0"/>
          <w:sz w:val="22"/>
          <w:szCs w:val="24"/>
        </w:rPr>
        <w:t xml:space="preserve"> intervalo nepailgino. Vis dėlto </w:t>
      </w:r>
      <w:r w:rsidR="00791C2E" w:rsidRPr="00BF4AB8">
        <w:rPr>
          <w:snapToGrid w:val="0"/>
          <w:sz w:val="22"/>
          <w:szCs w:val="24"/>
        </w:rPr>
        <w:t xml:space="preserve">išsamus gydymo </w:t>
      </w:r>
      <w:proofErr w:type="spellStart"/>
      <w:r w:rsidR="00791C2E" w:rsidRPr="00BF4AB8">
        <w:rPr>
          <w:snapToGrid w:val="0"/>
          <w:sz w:val="22"/>
          <w:szCs w:val="24"/>
        </w:rPr>
        <w:t>nintedanibo</w:t>
      </w:r>
      <w:proofErr w:type="spellEnd"/>
      <w:r w:rsidR="00791C2E" w:rsidRPr="00BF4AB8">
        <w:rPr>
          <w:snapToGrid w:val="0"/>
          <w:sz w:val="22"/>
          <w:szCs w:val="24"/>
        </w:rPr>
        <w:t xml:space="preserve"> ir </w:t>
      </w:r>
      <w:proofErr w:type="spellStart"/>
      <w:r w:rsidR="00791C2E" w:rsidRPr="00BF4AB8">
        <w:rPr>
          <w:snapToGrid w:val="0"/>
          <w:sz w:val="22"/>
          <w:szCs w:val="24"/>
        </w:rPr>
        <w:t>docetakselio</w:t>
      </w:r>
      <w:proofErr w:type="spellEnd"/>
      <w:r w:rsidR="00791C2E" w:rsidRPr="00BF4AB8">
        <w:rPr>
          <w:snapToGrid w:val="0"/>
          <w:sz w:val="22"/>
          <w:szCs w:val="24"/>
        </w:rPr>
        <w:t xml:space="preserve"> deriniu poveikio </w:t>
      </w:r>
      <w:r w:rsidRPr="00BF4AB8">
        <w:rPr>
          <w:snapToGrid w:val="0"/>
          <w:sz w:val="22"/>
          <w:szCs w:val="24"/>
        </w:rPr>
        <w:t>QT interval</w:t>
      </w:r>
      <w:r w:rsidR="00791C2E" w:rsidRPr="00BF4AB8">
        <w:rPr>
          <w:snapToGrid w:val="0"/>
          <w:sz w:val="22"/>
          <w:szCs w:val="24"/>
        </w:rPr>
        <w:t>ui</w:t>
      </w:r>
      <w:r w:rsidRPr="00BF4AB8">
        <w:rPr>
          <w:snapToGrid w:val="0"/>
          <w:sz w:val="22"/>
          <w:szCs w:val="24"/>
        </w:rPr>
        <w:t xml:space="preserve"> tyrimas </w:t>
      </w:r>
      <w:r w:rsidR="00791C2E" w:rsidRPr="00BF4AB8">
        <w:rPr>
          <w:snapToGrid w:val="0"/>
          <w:sz w:val="22"/>
          <w:szCs w:val="24"/>
        </w:rPr>
        <w:t>nebuvo atliktas</w:t>
      </w:r>
      <w:r w:rsidRPr="00BF4AB8">
        <w:rPr>
          <w:snapToGrid w:val="0"/>
          <w:sz w:val="22"/>
          <w:szCs w:val="24"/>
        </w:rPr>
        <w:t>.</w:t>
      </w:r>
    </w:p>
    <w:p w14:paraId="0830FCEE" w14:textId="77777777" w:rsidR="00A91B07" w:rsidRPr="00BF4AB8" w:rsidRDefault="00A91B07" w:rsidP="00227F5B">
      <w:pPr>
        <w:ind w:right="-142"/>
        <w:rPr>
          <w:snapToGrid w:val="0"/>
          <w:sz w:val="22"/>
          <w:szCs w:val="24"/>
        </w:rPr>
      </w:pPr>
    </w:p>
    <w:p w14:paraId="79AB0C33" w14:textId="035C54E1" w:rsidR="00227F5B" w:rsidRPr="00BF4AB8" w:rsidRDefault="00227F5B" w:rsidP="00227F5B">
      <w:pPr>
        <w:ind w:right="-142"/>
        <w:rPr>
          <w:snapToGrid w:val="0"/>
          <w:sz w:val="22"/>
          <w:szCs w:val="24"/>
          <w:u w:val="single"/>
        </w:rPr>
      </w:pPr>
      <w:r w:rsidRPr="00BF4AB8">
        <w:rPr>
          <w:snapToGrid w:val="0"/>
          <w:sz w:val="22"/>
          <w:szCs w:val="24"/>
          <w:u w:val="single"/>
        </w:rPr>
        <w:t>Vaikų populiacija</w:t>
      </w:r>
    </w:p>
    <w:p w14:paraId="394C9591" w14:textId="5A5FD4EB" w:rsidR="00227F5B" w:rsidRPr="00BF4AB8" w:rsidRDefault="00227F5B" w:rsidP="00227F5B">
      <w:pPr>
        <w:ind w:right="-142"/>
        <w:rPr>
          <w:snapToGrid w:val="0"/>
          <w:sz w:val="22"/>
          <w:szCs w:val="24"/>
        </w:rPr>
      </w:pPr>
      <w:r w:rsidRPr="00BF4AB8">
        <w:rPr>
          <w:snapToGrid w:val="0"/>
          <w:sz w:val="22"/>
          <w:szCs w:val="24"/>
        </w:rPr>
        <w:t xml:space="preserve">Europos vaistų agentūra atidėjo įpareigojimą pateikti </w:t>
      </w:r>
      <w:r w:rsidR="00791C2E" w:rsidRPr="00BF4AB8">
        <w:rPr>
          <w:snapToGrid w:val="0"/>
          <w:sz w:val="22"/>
          <w:szCs w:val="24"/>
        </w:rPr>
        <w:t xml:space="preserve">referencinio vaistinio preparato, kurio sudėtyje yra </w:t>
      </w:r>
      <w:proofErr w:type="spellStart"/>
      <w:r w:rsidR="00791C2E" w:rsidRPr="00BF4AB8">
        <w:rPr>
          <w:snapToGrid w:val="0"/>
          <w:sz w:val="22"/>
          <w:szCs w:val="24"/>
        </w:rPr>
        <w:t>nintedanibo</w:t>
      </w:r>
      <w:proofErr w:type="spellEnd"/>
      <w:r w:rsidR="00791C2E" w:rsidRPr="00BF4AB8">
        <w:rPr>
          <w:snapToGrid w:val="0"/>
          <w:sz w:val="22"/>
          <w:szCs w:val="24"/>
        </w:rPr>
        <w:t>,</w:t>
      </w:r>
      <w:r w:rsidRPr="00BF4AB8">
        <w:rPr>
          <w:snapToGrid w:val="0"/>
          <w:sz w:val="22"/>
          <w:szCs w:val="24"/>
        </w:rPr>
        <w:t xml:space="preserve"> tyrimų su </w:t>
      </w:r>
      <w:r w:rsidR="00791C2E" w:rsidRPr="00BF4AB8">
        <w:rPr>
          <w:snapToGrid w:val="0"/>
          <w:sz w:val="22"/>
          <w:szCs w:val="24"/>
        </w:rPr>
        <w:t>visais</w:t>
      </w:r>
      <w:r w:rsidRPr="00BF4AB8">
        <w:rPr>
          <w:snapToGrid w:val="0"/>
          <w:sz w:val="22"/>
          <w:szCs w:val="24"/>
        </w:rPr>
        <w:t xml:space="preserve"> vaikų</w:t>
      </w:r>
      <w:r w:rsidR="00791C2E" w:rsidRPr="00BF4AB8">
        <w:rPr>
          <w:snapToGrid w:val="0"/>
          <w:sz w:val="22"/>
          <w:szCs w:val="24"/>
        </w:rPr>
        <w:t xml:space="preserve"> </w:t>
      </w:r>
      <w:r w:rsidRPr="00BF4AB8">
        <w:rPr>
          <w:snapToGrid w:val="0"/>
          <w:sz w:val="22"/>
          <w:szCs w:val="24"/>
        </w:rPr>
        <w:t>populiacijos pogrupi</w:t>
      </w:r>
      <w:r w:rsidR="00791C2E" w:rsidRPr="00BF4AB8">
        <w:rPr>
          <w:snapToGrid w:val="0"/>
          <w:sz w:val="22"/>
          <w:szCs w:val="24"/>
        </w:rPr>
        <w:t>ais</w:t>
      </w:r>
      <w:r w:rsidRPr="00BF4AB8">
        <w:rPr>
          <w:snapToGrid w:val="0"/>
          <w:sz w:val="22"/>
          <w:szCs w:val="24"/>
        </w:rPr>
        <w:t xml:space="preserve"> duomenis </w:t>
      </w:r>
      <w:proofErr w:type="spellStart"/>
      <w:r w:rsidRPr="00BF4AB8">
        <w:rPr>
          <w:snapToGrid w:val="0"/>
          <w:sz w:val="22"/>
          <w:szCs w:val="24"/>
        </w:rPr>
        <w:t>nesmulkialąstelinio</w:t>
      </w:r>
      <w:proofErr w:type="spellEnd"/>
      <w:r w:rsidRPr="00BF4AB8">
        <w:rPr>
          <w:snapToGrid w:val="0"/>
          <w:sz w:val="22"/>
          <w:szCs w:val="24"/>
        </w:rPr>
        <w:t xml:space="preserve"> plaučių vėžio gydymo indikacijai (vartojimo</w:t>
      </w:r>
      <w:r w:rsidR="00791C2E" w:rsidRPr="00BF4AB8">
        <w:rPr>
          <w:snapToGrid w:val="0"/>
          <w:sz w:val="22"/>
          <w:szCs w:val="24"/>
        </w:rPr>
        <w:t xml:space="preserve"> </w:t>
      </w:r>
      <w:r w:rsidRPr="00BF4AB8">
        <w:rPr>
          <w:snapToGrid w:val="0"/>
          <w:sz w:val="22"/>
          <w:szCs w:val="24"/>
        </w:rPr>
        <w:t>vaikams informacija pateikiama 4.2</w:t>
      </w:r>
      <w:r w:rsidR="00791C2E" w:rsidRPr="00BF4AB8">
        <w:rPr>
          <w:snapToGrid w:val="0"/>
          <w:sz w:val="22"/>
          <w:szCs w:val="24"/>
        </w:rPr>
        <w:t> </w:t>
      </w:r>
      <w:r w:rsidRPr="00BF4AB8">
        <w:rPr>
          <w:snapToGrid w:val="0"/>
          <w:sz w:val="22"/>
          <w:szCs w:val="24"/>
        </w:rPr>
        <w:t>skyriuje).</w:t>
      </w:r>
    </w:p>
    <w:p w14:paraId="60206EEB" w14:textId="77777777" w:rsidR="005D554B" w:rsidRPr="00BF4AB8" w:rsidRDefault="005D554B" w:rsidP="005D554B">
      <w:pPr>
        <w:rPr>
          <w:snapToGrid w:val="0"/>
          <w:sz w:val="22"/>
          <w:szCs w:val="24"/>
        </w:rPr>
      </w:pPr>
    </w:p>
    <w:p w14:paraId="574C27F4" w14:textId="77777777" w:rsidR="005D554B" w:rsidRPr="00BF4AB8" w:rsidRDefault="005D554B" w:rsidP="005D554B">
      <w:pPr>
        <w:keepNext/>
        <w:tabs>
          <w:tab w:val="left" w:pos="567"/>
        </w:tabs>
        <w:spacing w:line="260" w:lineRule="exact"/>
        <w:jc w:val="both"/>
        <w:outlineLvl w:val="3"/>
        <w:rPr>
          <w:b/>
          <w:bCs/>
          <w:snapToGrid w:val="0"/>
          <w:sz w:val="22"/>
          <w:szCs w:val="28"/>
          <w:lang w:eastAsia="x-none"/>
        </w:rPr>
      </w:pPr>
      <w:r w:rsidRPr="00BF4AB8">
        <w:rPr>
          <w:b/>
          <w:bCs/>
          <w:snapToGrid w:val="0"/>
          <w:sz w:val="22"/>
          <w:szCs w:val="28"/>
          <w:lang w:eastAsia="x-none"/>
        </w:rPr>
        <w:t>5.2</w:t>
      </w:r>
      <w:r w:rsidRPr="00BF4AB8">
        <w:rPr>
          <w:b/>
          <w:bCs/>
          <w:snapToGrid w:val="0"/>
          <w:sz w:val="22"/>
          <w:szCs w:val="28"/>
          <w:lang w:eastAsia="x-none"/>
        </w:rPr>
        <w:tab/>
      </w:r>
      <w:proofErr w:type="spellStart"/>
      <w:r w:rsidRPr="00BF4AB8">
        <w:rPr>
          <w:b/>
          <w:bCs/>
          <w:snapToGrid w:val="0"/>
          <w:sz w:val="22"/>
          <w:szCs w:val="28"/>
          <w:lang w:eastAsia="x-none"/>
        </w:rPr>
        <w:t>Farmakokinetinės</w:t>
      </w:r>
      <w:proofErr w:type="spellEnd"/>
      <w:r w:rsidRPr="00BF4AB8">
        <w:rPr>
          <w:b/>
          <w:bCs/>
          <w:snapToGrid w:val="0"/>
          <w:sz w:val="22"/>
          <w:szCs w:val="28"/>
          <w:lang w:eastAsia="x-none"/>
        </w:rPr>
        <w:t xml:space="preserve"> savybės</w:t>
      </w:r>
    </w:p>
    <w:p w14:paraId="1FA59BC7" w14:textId="77777777" w:rsidR="005D554B" w:rsidRPr="00BF4AB8" w:rsidRDefault="005D554B" w:rsidP="005D554B">
      <w:pPr>
        <w:rPr>
          <w:snapToGrid w:val="0"/>
          <w:sz w:val="22"/>
          <w:szCs w:val="24"/>
        </w:rPr>
      </w:pPr>
    </w:p>
    <w:p w14:paraId="2BF10346" w14:textId="77777777" w:rsidR="00AC48E9" w:rsidRPr="00BF4AB8" w:rsidRDefault="00AC48E9" w:rsidP="00AC48E9">
      <w:pPr>
        <w:tabs>
          <w:tab w:val="left" w:pos="567"/>
        </w:tabs>
        <w:contextualSpacing/>
        <w:outlineLvl w:val="0"/>
        <w:rPr>
          <w:snapToGrid w:val="0"/>
          <w:sz w:val="22"/>
          <w:u w:val="single"/>
        </w:rPr>
      </w:pPr>
      <w:r w:rsidRPr="00BF4AB8">
        <w:rPr>
          <w:snapToGrid w:val="0"/>
          <w:sz w:val="22"/>
          <w:u w:val="single"/>
        </w:rPr>
        <w:t>Absorbcija</w:t>
      </w:r>
    </w:p>
    <w:p w14:paraId="42F58B6A" w14:textId="392557BA" w:rsidR="00AC48E9" w:rsidRPr="00BF4AB8" w:rsidRDefault="00AC48E9" w:rsidP="00AC48E9">
      <w:pPr>
        <w:tabs>
          <w:tab w:val="left" w:pos="567"/>
        </w:tabs>
        <w:contextualSpacing/>
        <w:outlineLvl w:val="0"/>
        <w:rPr>
          <w:snapToGrid w:val="0"/>
          <w:sz w:val="22"/>
        </w:rPr>
      </w:pPr>
      <w:r w:rsidRPr="00BF4AB8">
        <w:rPr>
          <w:snapToGrid w:val="0"/>
          <w:sz w:val="22"/>
        </w:rPr>
        <w:t xml:space="preserve">Per burną pavartojus </w:t>
      </w:r>
      <w:proofErr w:type="spellStart"/>
      <w:r w:rsidRPr="00BF4AB8">
        <w:rPr>
          <w:snapToGrid w:val="0"/>
          <w:sz w:val="22"/>
        </w:rPr>
        <w:t>nintedanibo</w:t>
      </w:r>
      <w:proofErr w:type="spellEnd"/>
      <w:r w:rsidRPr="00BF4AB8">
        <w:rPr>
          <w:snapToGrid w:val="0"/>
          <w:sz w:val="22"/>
        </w:rPr>
        <w:t xml:space="preserve"> minkštąją želatinos kapsulę pavalgius, didžiausia koncentracija kraujo plazmoje susidaro maždaug po 2</w:t>
      </w:r>
      <w:r w:rsidRPr="00BF4AB8">
        <w:rPr>
          <w:snapToGrid w:val="0"/>
          <w:sz w:val="22"/>
        </w:rPr>
        <w:noBreakHyphen/>
        <w:t>4 val. (svyravimo ribos: 0,5</w:t>
      </w:r>
      <w:r w:rsidRPr="00BF4AB8">
        <w:rPr>
          <w:snapToGrid w:val="0"/>
          <w:sz w:val="22"/>
        </w:rPr>
        <w:noBreakHyphen/>
        <w:t>8 val.). Sveikų savanorių</w:t>
      </w:r>
      <w:r w:rsidRPr="00BF4AB8">
        <w:rPr>
          <w:snapToGrid w:val="0"/>
          <w:sz w:val="22"/>
        </w:rPr>
        <w:cr/>
        <w:t xml:space="preserve">organizme 100 mg dozės absoliutus biologinis prieinamumas buvo 4,69 % (90 % PI: 3,615-6,078). Absorbcija ir biologinis prieinamumas sumažėja dėl pernašos poveikio ir žymaus metabolizmo pirmo prasiskverbimo per kepenis metu. </w:t>
      </w:r>
      <w:proofErr w:type="spellStart"/>
      <w:r w:rsidRPr="00BF4AB8">
        <w:rPr>
          <w:snapToGrid w:val="0"/>
          <w:sz w:val="22"/>
        </w:rPr>
        <w:t>Nintedanibo</w:t>
      </w:r>
      <w:proofErr w:type="spellEnd"/>
      <w:r w:rsidRPr="00BF4AB8">
        <w:rPr>
          <w:snapToGrid w:val="0"/>
          <w:sz w:val="22"/>
        </w:rPr>
        <w:t xml:space="preserve"> ekspozicija didėjo proporcingai dozei, kai vartotos dozės buvo 50-450 mg vieną kartą per parą ir 150-300 mg du kartus per parą. </w:t>
      </w:r>
      <w:proofErr w:type="spellStart"/>
      <w:r w:rsidRPr="00BF4AB8">
        <w:rPr>
          <w:snapToGrid w:val="0"/>
          <w:sz w:val="22"/>
        </w:rPr>
        <w:t>Pusiausvyrinė</w:t>
      </w:r>
      <w:proofErr w:type="spellEnd"/>
      <w:r w:rsidRPr="00BF4AB8">
        <w:rPr>
          <w:snapToGrid w:val="0"/>
          <w:sz w:val="22"/>
        </w:rPr>
        <w:t xml:space="preserve"> koncentracija kraujo plazmoje atsirado ne vėliau kaip per vieną savaitę nuo dozavimo pradžios.</w:t>
      </w:r>
    </w:p>
    <w:p w14:paraId="30CFDE50" w14:textId="77777777" w:rsidR="001920A9" w:rsidRPr="00BF4AB8" w:rsidRDefault="001920A9" w:rsidP="00AC48E9">
      <w:pPr>
        <w:tabs>
          <w:tab w:val="left" w:pos="567"/>
        </w:tabs>
        <w:contextualSpacing/>
        <w:outlineLvl w:val="0"/>
        <w:rPr>
          <w:snapToGrid w:val="0"/>
          <w:sz w:val="22"/>
        </w:rPr>
      </w:pPr>
    </w:p>
    <w:p w14:paraId="79CACA0F" w14:textId="7073905E" w:rsidR="00AC48E9" w:rsidRPr="00BF4AB8" w:rsidRDefault="00AC48E9" w:rsidP="001920A9">
      <w:pPr>
        <w:tabs>
          <w:tab w:val="left" w:pos="567"/>
        </w:tabs>
        <w:contextualSpacing/>
        <w:outlineLvl w:val="0"/>
        <w:rPr>
          <w:snapToGrid w:val="0"/>
          <w:sz w:val="22"/>
        </w:rPr>
      </w:pPr>
      <w:r w:rsidRPr="00BF4AB8">
        <w:rPr>
          <w:snapToGrid w:val="0"/>
          <w:sz w:val="22"/>
        </w:rPr>
        <w:t xml:space="preserve">Po valgio pavartoto </w:t>
      </w:r>
      <w:proofErr w:type="spellStart"/>
      <w:r w:rsidRPr="00BF4AB8">
        <w:rPr>
          <w:snapToGrid w:val="0"/>
          <w:sz w:val="22"/>
        </w:rPr>
        <w:t>nintedanibo</w:t>
      </w:r>
      <w:proofErr w:type="spellEnd"/>
      <w:r w:rsidRPr="00BF4AB8">
        <w:rPr>
          <w:snapToGrid w:val="0"/>
          <w:sz w:val="22"/>
        </w:rPr>
        <w:t xml:space="preserve"> ekspozicija padidėjo maždaug 20 %, palyginti su ekspozicija po</w:t>
      </w:r>
      <w:r w:rsidR="001920A9" w:rsidRPr="00BF4AB8">
        <w:rPr>
          <w:snapToGrid w:val="0"/>
          <w:sz w:val="22"/>
        </w:rPr>
        <w:t xml:space="preserve"> </w:t>
      </w:r>
      <w:r w:rsidRPr="00BF4AB8">
        <w:rPr>
          <w:snapToGrid w:val="0"/>
          <w:sz w:val="22"/>
        </w:rPr>
        <w:t>pavartojimo nevalgius (PI: 95,3-152,5 %)</w:t>
      </w:r>
      <w:r w:rsidR="001920A9" w:rsidRPr="00BF4AB8">
        <w:rPr>
          <w:snapToGrid w:val="0"/>
          <w:sz w:val="22"/>
        </w:rPr>
        <w:t xml:space="preserve"> ir</w:t>
      </w:r>
      <w:r w:rsidRPr="00BF4AB8">
        <w:rPr>
          <w:snapToGrid w:val="0"/>
          <w:sz w:val="22"/>
        </w:rPr>
        <w:t xml:space="preserve"> absorbcija buvo uždelsta (</w:t>
      </w:r>
      <w:proofErr w:type="spellStart"/>
      <w:r w:rsidR="001920A9" w:rsidRPr="00BF4AB8">
        <w:rPr>
          <w:snapToGrid w:val="0"/>
          <w:sz w:val="22"/>
        </w:rPr>
        <w:t>t</w:t>
      </w:r>
      <w:r w:rsidR="001920A9" w:rsidRPr="00BF4AB8">
        <w:rPr>
          <w:snapToGrid w:val="0"/>
          <w:sz w:val="22"/>
          <w:vertAlign w:val="subscript"/>
        </w:rPr>
        <w:t>max</w:t>
      </w:r>
      <w:proofErr w:type="spellEnd"/>
      <w:r w:rsidR="001920A9" w:rsidRPr="00BF4AB8">
        <w:rPr>
          <w:snapToGrid w:val="0"/>
          <w:sz w:val="22"/>
        </w:rPr>
        <w:t xml:space="preserve"> mediana </w:t>
      </w:r>
      <w:r w:rsidRPr="00BF4AB8">
        <w:rPr>
          <w:snapToGrid w:val="0"/>
          <w:sz w:val="22"/>
        </w:rPr>
        <w:t xml:space="preserve">po pavartojimo nevalgius </w:t>
      </w:r>
      <w:r w:rsidR="001920A9" w:rsidRPr="00BF4AB8">
        <w:rPr>
          <w:snapToGrid w:val="0"/>
          <w:sz w:val="22"/>
        </w:rPr>
        <w:t xml:space="preserve">‒ </w:t>
      </w:r>
      <w:r w:rsidRPr="00BF4AB8">
        <w:rPr>
          <w:snapToGrid w:val="0"/>
          <w:sz w:val="22"/>
        </w:rPr>
        <w:t>2</w:t>
      </w:r>
      <w:r w:rsidR="001920A9" w:rsidRPr="00BF4AB8">
        <w:rPr>
          <w:snapToGrid w:val="0"/>
          <w:sz w:val="22"/>
        </w:rPr>
        <w:t> </w:t>
      </w:r>
      <w:r w:rsidRPr="00BF4AB8">
        <w:rPr>
          <w:snapToGrid w:val="0"/>
          <w:sz w:val="22"/>
        </w:rPr>
        <w:t>val., po pavartojimo pavalgius ‒ 3,98</w:t>
      </w:r>
      <w:r w:rsidR="001920A9" w:rsidRPr="00BF4AB8">
        <w:rPr>
          <w:snapToGrid w:val="0"/>
          <w:sz w:val="22"/>
        </w:rPr>
        <w:t> </w:t>
      </w:r>
      <w:r w:rsidRPr="00BF4AB8">
        <w:rPr>
          <w:snapToGrid w:val="0"/>
          <w:sz w:val="22"/>
        </w:rPr>
        <w:t>val.).</w:t>
      </w:r>
    </w:p>
    <w:p w14:paraId="31906719" w14:textId="77777777" w:rsidR="00AC48E9" w:rsidRPr="00BF4AB8" w:rsidRDefault="00AC48E9" w:rsidP="00AC48E9">
      <w:pPr>
        <w:tabs>
          <w:tab w:val="left" w:pos="567"/>
        </w:tabs>
        <w:contextualSpacing/>
        <w:outlineLvl w:val="0"/>
        <w:rPr>
          <w:snapToGrid w:val="0"/>
          <w:sz w:val="22"/>
        </w:rPr>
      </w:pPr>
    </w:p>
    <w:p w14:paraId="5C17D166" w14:textId="01E2EDD6" w:rsidR="00AC48E9" w:rsidRPr="00BF4AB8" w:rsidRDefault="00AC48E9" w:rsidP="00AC48E9">
      <w:pPr>
        <w:tabs>
          <w:tab w:val="left" w:pos="567"/>
        </w:tabs>
        <w:contextualSpacing/>
        <w:outlineLvl w:val="0"/>
        <w:rPr>
          <w:snapToGrid w:val="0"/>
          <w:sz w:val="22"/>
          <w:u w:val="single"/>
        </w:rPr>
      </w:pPr>
      <w:r w:rsidRPr="00BF4AB8">
        <w:rPr>
          <w:snapToGrid w:val="0"/>
          <w:sz w:val="22"/>
          <w:u w:val="single"/>
        </w:rPr>
        <w:t>Pasiskirstymas</w:t>
      </w:r>
    </w:p>
    <w:p w14:paraId="4DA5FBA0" w14:textId="585EA6C9" w:rsidR="00AC48E9" w:rsidRPr="00BF4AB8" w:rsidRDefault="00AC48E9" w:rsidP="00AC48E9">
      <w:pPr>
        <w:tabs>
          <w:tab w:val="left" w:pos="567"/>
        </w:tabs>
        <w:contextualSpacing/>
        <w:outlineLvl w:val="0"/>
        <w:rPr>
          <w:snapToGrid w:val="0"/>
          <w:sz w:val="22"/>
        </w:rPr>
      </w:pPr>
      <w:proofErr w:type="spellStart"/>
      <w:r w:rsidRPr="00BF4AB8">
        <w:rPr>
          <w:snapToGrid w:val="0"/>
          <w:sz w:val="22"/>
        </w:rPr>
        <w:t>Nintedanibo</w:t>
      </w:r>
      <w:proofErr w:type="spellEnd"/>
      <w:r w:rsidRPr="00BF4AB8">
        <w:rPr>
          <w:snapToGrid w:val="0"/>
          <w:sz w:val="22"/>
        </w:rPr>
        <w:t xml:space="preserve"> pasiskirstymo kinetika yra </w:t>
      </w:r>
      <w:r w:rsidR="00646943" w:rsidRPr="00BF4AB8">
        <w:rPr>
          <w:snapToGrid w:val="0"/>
          <w:sz w:val="22"/>
        </w:rPr>
        <w:t xml:space="preserve">bent jau </w:t>
      </w:r>
      <w:proofErr w:type="spellStart"/>
      <w:r w:rsidRPr="00BF4AB8">
        <w:rPr>
          <w:snapToGrid w:val="0"/>
          <w:sz w:val="22"/>
        </w:rPr>
        <w:t>dvifazė</w:t>
      </w:r>
      <w:proofErr w:type="spellEnd"/>
      <w:r w:rsidRPr="00BF4AB8">
        <w:rPr>
          <w:snapToGrid w:val="0"/>
          <w:sz w:val="22"/>
        </w:rPr>
        <w:t>. Po intraveninės infuzijos buvo nustatytas</w:t>
      </w:r>
      <w:r w:rsidR="00646943" w:rsidRPr="00BF4AB8">
        <w:rPr>
          <w:snapToGrid w:val="0"/>
          <w:sz w:val="22"/>
        </w:rPr>
        <w:t xml:space="preserve"> </w:t>
      </w:r>
      <w:r w:rsidRPr="00BF4AB8">
        <w:rPr>
          <w:snapToGrid w:val="0"/>
          <w:sz w:val="22"/>
        </w:rPr>
        <w:t>didelis pasiskirstymo tūris (</w:t>
      </w:r>
      <w:proofErr w:type="spellStart"/>
      <w:r w:rsidRPr="00BF4AB8">
        <w:rPr>
          <w:snapToGrid w:val="0"/>
          <w:sz w:val="22"/>
        </w:rPr>
        <w:t>V</w:t>
      </w:r>
      <w:r w:rsidRPr="00BF4AB8">
        <w:rPr>
          <w:snapToGrid w:val="0"/>
          <w:sz w:val="22"/>
          <w:vertAlign w:val="subscript"/>
        </w:rPr>
        <w:t>ss</w:t>
      </w:r>
      <w:proofErr w:type="spellEnd"/>
      <w:r w:rsidRPr="00BF4AB8">
        <w:rPr>
          <w:snapToGrid w:val="0"/>
          <w:sz w:val="22"/>
        </w:rPr>
        <w:t>: 1</w:t>
      </w:r>
      <w:r w:rsidR="00364B14" w:rsidRPr="00BF4AB8">
        <w:rPr>
          <w:snapToGrid w:val="0"/>
          <w:sz w:val="22"/>
        </w:rPr>
        <w:t> </w:t>
      </w:r>
      <w:r w:rsidRPr="00BF4AB8">
        <w:rPr>
          <w:snapToGrid w:val="0"/>
          <w:sz w:val="22"/>
        </w:rPr>
        <w:t>050</w:t>
      </w:r>
      <w:r w:rsidR="00364B14" w:rsidRPr="00BF4AB8">
        <w:rPr>
          <w:snapToGrid w:val="0"/>
          <w:sz w:val="22"/>
        </w:rPr>
        <w:t> </w:t>
      </w:r>
      <w:r w:rsidRPr="00BF4AB8">
        <w:rPr>
          <w:snapToGrid w:val="0"/>
          <w:sz w:val="22"/>
        </w:rPr>
        <w:t xml:space="preserve">l, </w:t>
      </w:r>
      <w:proofErr w:type="spellStart"/>
      <w:r w:rsidRPr="00BF4AB8">
        <w:rPr>
          <w:snapToGrid w:val="0"/>
          <w:sz w:val="22"/>
        </w:rPr>
        <w:t>genotipinis</w:t>
      </w:r>
      <w:proofErr w:type="spellEnd"/>
      <w:r w:rsidRPr="00BF4AB8">
        <w:rPr>
          <w:snapToGrid w:val="0"/>
          <w:sz w:val="22"/>
        </w:rPr>
        <w:t xml:space="preserve"> variacijos koeficientas, </w:t>
      </w:r>
      <w:proofErr w:type="spellStart"/>
      <w:r w:rsidRPr="00BF4AB8">
        <w:rPr>
          <w:snapToGrid w:val="0"/>
          <w:sz w:val="22"/>
        </w:rPr>
        <w:t>gVK</w:t>
      </w:r>
      <w:proofErr w:type="spellEnd"/>
      <w:r w:rsidRPr="00BF4AB8">
        <w:rPr>
          <w:snapToGrid w:val="0"/>
          <w:sz w:val="22"/>
        </w:rPr>
        <w:t xml:space="preserve"> ‒ 45 %).</w:t>
      </w:r>
    </w:p>
    <w:p w14:paraId="0BD0013A" w14:textId="77777777" w:rsidR="00646943" w:rsidRPr="00BF4AB8" w:rsidRDefault="00646943" w:rsidP="00AC48E9">
      <w:pPr>
        <w:tabs>
          <w:tab w:val="left" w:pos="567"/>
        </w:tabs>
        <w:contextualSpacing/>
        <w:outlineLvl w:val="0"/>
        <w:rPr>
          <w:snapToGrid w:val="0"/>
          <w:sz w:val="22"/>
        </w:rPr>
      </w:pPr>
    </w:p>
    <w:p w14:paraId="7598C8AB" w14:textId="7B48B58D" w:rsidR="00AC48E9" w:rsidRPr="00BF4AB8" w:rsidRDefault="00AC48E9" w:rsidP="00AC48E9">
      <w:pPr>
        <w:tabs>
          <w:tab w:val="left" w:pos="567"/>
        </w:tabs>
        <w:contextualSpacing/>
        <w:outlineLvl w:val="0"/>
        <w:rPr>
          <w:snapToGrid w:val="0"/>
          <w:sz w:val="22"/>
        </w:rPr>
      </w:pPr>
      <w:proofErr w:type="spellStart"/>
      <w:r w:rsidRPr="00BF4AB8">
        <w:rPr>
          <w:i/>
          <w:iCs/>
          <w:snapToGrid w:val="0"/>
          <w:sz w:val="22"/>
        </w:rPr>
        <w:t>In</w:t>
      </w:r>
      <w:proofErr w:type="spellEnd"/>
      <w:r w:rsidRPr="00BF4AB8">
        <w:rPr>
          <w:i/>
          <w:iCs/>
          <w:snapToGrid w:val="0"/>
          <w:sz w:val="22"/>
        </w:rPr>
        <w:t xml:space="preserve"> </w:t>
      </w:r>
      <w:proofErr w:type="spellStart"/>
      <w:r w:rsidRPr="00BF4AB8">
        <w:rPr>
          <w:i/>
          <w:iCs/>
          <w:snapToGrid w:val="0"/>
          <w:sz w:val="22"/>
        </w:rPr>
        <w:t>vitro</w:t>
      </w:r>
      <w:proofErr w:type="spellEnd"/>
      <w:r w:rsidRPr="00BF4AB8">
        <w:rPr>
          <w:snapToGrid w:val="0"/>
          <w:sz w:val="22"/>
        </w:rPr>
        <w:t xml:space="preserve"> </w:t>
      </w:r>
      <w:r w:rsidR="00646943" w:rsidRPr="00BF4AB8">
        <w:rPr>
          <w:snapToGrid w:val="0"/>
          <w:sz w:val="22"/>
        </w:rPr>
        <w:t>didelė dalis</w:t>
      </w:r>
      <w:r w:rsidRPr="00BF4AB8">
        <w:rPr>
          <w:snapToGrid w:val="0"/>
          <w:sz w:val="22"/>
        </w:rPr>
        <w:t xml:space="preserve"> </w:t>
      </w:r>
      <w:proofErr w:type="spellStart"/>
      <w:r w:rsidRPr="00BF4AB8">
        <w:rPr>
          <w:snapToGrid w:val="0"/>
          <w:sz w:val="22"/>
        </w:rPr>
        <w:t>nintedanibo</w:t>
      </w:r>
      <w:proofErr w:type="spellEnd"/>
      <w:r w:rsidRPr="00BF4AB8">
        <w:rPr>
          <w:snapToGrid w:val="0"/>
          <w:sz w:val="22"/>
        </w:rPr>
        <w:t xml:space="preserve"> prisijungė prie kraujo plazmos baltymų, prisijungusios frakcijos buvo</w:t>
      </w:r>
      <w:r w:rsidR="00646943" w:rsidRPr="00BF4AB8">
        <w:rPr>
          <w:snapToGrid w:val="0"/>
          <w:sz w:val="22"/>
        </w:rPr>
        <w:t xml:space="preserve"> </w:t>
      </w:r>
      <w:r w:rsidRPr="00BF4AB8">
        <w:rPr>
          <w:snapToGrid w:val="0"/>
          <w:sz w:val="22"/>
        </w:rPr>
        <w:t>97,8 %. Svarbiausias baltymas, prie kurio prisijungia</w:t>
      </w:r>
      <w:r w:rsidR="00646943" w:rsidRPr="00BF4AB8">
        <w:rPr>
          <w:snapToGrid w:val="0"/>
          <w:sz w:val="22"/>
        </w:rPr>
        <w:t>ma</w:t>
      </w:r>
      <w:r w:rsidRPr="00BF4AB8">
        <w:rPr>
          <w:snapToGrid w:val="0"/>
          <w:sz w:val="22"/>
        </w:rPr>
        <w:t xml:space="preserve">, yra </w:t>
      </w:r>
      <w:r w:rsidR="00646943" w:rsidRPr="00BF4AB8">
        <w:rPr>
          <w:snapToGrid w:val="0"/>
          <w:sz w:val="22"/>
        </w:rPr>
        <w:t xml:space="preserve">kraujo </w:t>
      </w:r>
      <w:r w:rsidRPr="00BF4AB8">
        <w:rPr>
          <w:snapToGrid w:val="0"/>
          <w:sz w:val="22"/>
        </w:rPr>
        <w:t xml:space="preserve">serumo </w:t>
      </w:r>
      <w:proofErr w:type="spellStart"/>
      <w:r w:rsidRPr="00BF4AB8">
        <w:rPr>
          <w:snapToGrid w:val="0"/>
          <w:sz w:val="22"/>
        </w:rPr>
        <w:t>albuminas</w:t>
      </w:r>
      <w:proofErr w:type="spellEnd"/>
      <w:r w:rsidRPr="00BF4AB8">
        <w:rPr>
          <w:snapToGrid w:val="0"/>
          <w:sz w:val="22"/>
        </w:rPr>
        <w:t xml:space="preserve">. </w:t>
      </w:r>
      <w:proofErr w:type="spellStart"/>
      <w:r w:rsidRPr="00BF4AB8">
        <w:rPr>
          <w:snapToGrid w:val="0"/>
          <w:sz w:val="22"/>
        </w:rPr>
        <w:t>Nintedanibas</w:t>
      </w:r>
      <w:proofErr w:type="spellEnd"/>
      <w:r w:rsidRPr="00BF4AB8">
        <w:rPr>
          <w:snapToGrid w:val="0"/>
          <w:sz w:val="22"/>
        </w:rPr>
        <w:t xml:space="preserve"> </w:t>
      </w:r>
      <w:r w:rsidR="00646943" w:rsidRPr="00BF4AB8">
        <w:rPr>
          <w:snapToGrid w:val="0"/>
          <w:sz w:val="22"/>
        </w:rPr>
        <w:t xml:space="preserve">daugiausia </w:t>
      </w:r>
      <w:r w:rsidRPr="00BF4AB8">
        <w:rPr>
          <w:snapToGrid w:val="0"/>
          <w:sz w:val="22"/>
        </w:rPr>
        <w:t>pasiskirsto kraujo plazmoje, pasiskirstymo kraujyje ir kraujo plazmoje santykis yra 0,869.</w:t>
      </w:r>
    </w:p>
    <w:p w14:paraId="0A51763F" w14:textId="77777777" w:rsidR="00646943" w:rsidRPr="00BF4AB8" w:rsidRDefault="00646943" w:rsidP="00AC48E9">
      <w:pPr>
        <w:tabs>
          <w:tab w:val="left" w:pos="567"/>
        </w:tabs>
        <w:contextualSpacing/>
        <w:outlineLvl w:val="0"/>
        <w:rPr>
          <w:snapToGrid w:val="0"/>
          <w:sz w:val="22"/>
        </w:rPr>
      </w:pPr>
    </w:p>
    <w:p w14:paraId="01574987" w14:textId="2F69D65D" w:rsidR="00AC48E9" w:rsidRPr="00BF4AB8" w:rsidRDefault="00AC48E9" w:rsidP="00AC48E9">
      <w:pPr>
        <w:tabs>
          <w:tab w:val="left" w:pos="567"/>
        </w:tabs>
        <w:contextualSpacing/>
        <w:outlineLvl w:val="0"/>
        <w:rPr>
          <w:snapToGrid w:val="0"/>
          <w:sz w:val="22"/>
          <w:u w:val="single"/>
        </w:rPr>
      </w:pPr>
      <w:proofErr w:type="spellStart"/>
      <w:r w:rsidRPr="00BF4AB8">
        <w:rPr>
          <w:snapToGrid w:val="0"/>
          <w:sz w:val="22"/>
          <w:u w:val="single"/>
        </w:rPr>
        <w:t>Biotransformacija</w:t>
      </w:r>
      <w:proofErr w:type="spellEnd"/>
    </w:p>
    <w:p w14:paraId="6F7A34CA" w14:textId="77777777" w:rsidR="00AC48E9" w:rsidRPr="00BF4AB8" w:rsidRDefault="00F35E6B" w:rsidP="00AC48E9">
      <w:pPr>
        <w:tabs>
          <w:tab w:val="left" w:pos="567"/>
        </w:tabs>
        <w:contextualSpacing/>
        <w:outlineLvl w:val="0"/>
        <w:rPr>
          <w:snapToGrid w:val="0"/>
          <w:sz w:val="22"/>
        </w:rPr>
      </w:pPr>
      <w:r w:rsidRPr="00BF4AB8">
        <w:rPr>
          <w:snapToGrid w:val="0"/>
          <w:sz w:val="22"/>
        </w:rPr>
        <w:t>Dominuojanti</w:t>
      </w:r>
      <w:r w:rsidR="00AC48E9" w:rsidRPr="00BF4AB8">
        <w:rPr>
          <w:snapToGrid w:val="0"/>
          <w:sz w:val="22"/>
        </w:rPr>
        <w:t xml:space="preserve"> </w:t>
      </w:r>
      <w:proofErr w:type="spellStart"/>
      <w:r w:rsidR="00AC48E9" w:rsidRPr="00BF4AB8">
        <w:rPr>
          <w:snapToGrid w:val="0"/>
          <w:sz w:val="22"/>
        </w:rPr>
        <w:t>nintedanibo</w:t>
      </w:r>
      <w:proofErr w:type="spellEnd"/>
      <w:r w:rsidR="00AC48E9" w:rsidRPr="00BF4AB8">
        <w:rPr>
          <w:snapToGrid w:val="0"/>
          <w:sz w:val="22"/>
        </w:rPr>
        <w:t xml:space="preserve"> metabolizmo reakcija yra </w:t>
      </w:r>
      <w:r w:rsidRPr="00BF4AB8">
        <w:rPr>
          <w:snapToGrid w:val="0"/>
          <w:sz w:val="22"/>
        </w:rPr>
        <w:t xml:space="preserve">dalyvaujant </w:t>
      </w:r>
      <w:proofErr w:type="spellStart"/>
      <w:r w:rsidRPr="00BF4AB8">
        <w:rPr>
          <w:snapToGrid w:val="0"/>
          <w:sz w:val="22"/>
        </w:rPr>
        <w:t>esterazėms</w:t>
      </w:r>
      <w:proofErr w:type="spellEnd"/>
      <w:r w:rsidR="00AC48E9" w:rsidRPr="00BF4AB8">
        <w:rPr>
          <w:snapToGrid w:val="0"/>
          <w:sz w:val="22"/>
        </w:rPr>
        <w:t xml:space="preserve"> </w:t>
      </w:r>
      <w:r w:rsidRPr="00BF4AB8">
        <w:rPr>
          <w:snapToGrid w:val="0"/>
          <w:sz w:val="22"/>
        </w:rPr>
        <w:t>vykstantis</w:t>
      </w:r>
      <w:r w:rsidR="00AC48E9" w:rsidRPr="00BF4AB8">
        <w:rPr>
          <w:snapToGrid w:val="0"/>
          <w:sz w:val="22"/>
        </w:rPr>
        <w:t xml:space="preserve"> </w:t>
      </w:r>
      <w:proofErr w:type="spellStart"/>
      <w:r w:rsidR="00AC48E9" w:rsidRPr="00BF4AB8">
        <w:rPr>
          <w:snapToGrid w:val="0"/>
          <w:sz w:val="22"/>
        </w:rPr>
        <w:t>hidrolizinis</w:t>
      </w:r>
      <w:proofErr w:type="spellEnd"/>
      <w:r w:rsidR="00AC48E9" w:rsidRPr="00BF4AB8">
        <w:rPr>
          <w:snapToGrid w:val="0"/>
          <w:sz w:val="22"/>
        </w:rPr>
        <w:t xml:space="preserve"> skaldymas,</w:t>
      </w:r>
      <w:r w:rsidRPr="00BF4AB8">
        <w:rPr>
          <w:snapToGrid w:val="0"/>
          <w:sz w:val="22"/>
        </w:rPr>
        <w:t xml:space="preserve"> susidarant</w:t>
      </w:r>
      <w:r w:rsidR="00AC48E9" w:rsidRPr="00BF4AB8">
        <w:rPr>
          <w:snapToGrid w:val="0"/>
          <w:sz w:val="22"/>
        </w:rPr>
        <w:t xml:space="preserve"> laisvos rūgšties liekan</w:t>
      </w:r>
      <w:r w:rsidRPr="00BF4AB8">
        <w:rPr>
          <w:snapToGrid w:val="0"/>
          <w:sz w:val="22"/>
        </w:rPr>
        <w:t>ai</w:t>
      </w:r>
      <w:r w:rsidR="00AC48E9" w:rsidRPr="00BF4AB8">
        <w:rPr>
          <w:snapToGrid w:val="0"/>
          <w:sz w:val="22"/>
        </w:rPr>
        <w:t xml:space="preserve"> BIBF 1202. </w:t>
      </w:r>
      <w:r w:rsidRPr="00BF4AB8">
        <w:rPr>
          <w:snapToGrid w:val="0"/>
          <w:sz w:val="22"/>
        </w:rPr>
        <w:t xml:space="preserve">Po to vyksta </w:t>
      </w:r>
      <w:r w:rsidR="00AC48E9" w:rsidRPr="00BF4AB8">
        <w:rPr>
          <w:snapToGrid w:val="0"/>
          <w:sz w:val="22"/>
        </w:rPr>
        <w:t xml:space="preserve">BIBF 1202 </w:t>
      </w:r>
      <w:proofErr w:type="spellStart"/>
      <w:r w:rsidR="00AC48E9" w:rsidRPr="00BF4AB8">
        <w:rPr>
          <w:snapToGrid w:val="0"/>
          <w:sz w:val="22"/>
        </w:rPr>
        <w:t>gliukuroninim</w:t>
      </w:r>
      <w:r w:rsidRPr="00BF4AB8">
        <w:rPr>
          <w:snapToGrid w:val="0"/>
          <w:sz w:val="22"/>
        </w:rPr>
        <w:t>as</w:t>
      </w:r>
      <w:proofErr w:type="spellEnd"/>
      <w:r w:rsidRPr="00BF4AB8">
        <w:rPr>
          <w:snapToGrid w:val="0"/>
          <w:sz w:val="22"/>
        </w:rPr>
        <w:t xml:space="preserve"> dalyvaujant </w:t>
      </w:r>
      <w:r w:rsidR="00AC48E9" w:rsidRPr="00BF4AB8">
        <w:rPr>
          <w:snapToGrid w:val="0"/>
          <w:sz w:val="22"/>
        </w:rPr>
        <w:t>UGT</w:t>
      </w:r>
      <w:r w:rsidRPr="00BF4AB8">
        <w:rPr>
          <w:snapToGrid w:val="0"/>
          <w:sz w:val="22"/>
        </w:rPr>
        <w:t xml:space="preserve"> </w:t>
      </w:r>
      <w:r w:rsidR="00AC48E9" w:rsidRPr="00BF4AB8">
        <w:rPr>
          <w:snapToGrid w:val="0"/>
          <w:sz w:val="22"/>
        </w:rPr>
        <w:t>ferment</w:t>
      </w:r>
      <w:r w:rsidRPr="00BF4AB8">
        <w:rPr>
          <w:snapToGrid w:val="0"/>
          <w:sz w:val="22"/>
        </w:rPr>
        <w:t>ams</w:t>
      </w:r>
      <w:r w:rsidR="00AC48E9" w:rsidRPr="00BF4AB8">
        <w:rPr>
          <w:snapToGrid w:val="0"/>
          <w:sz w:val="22"/>
        </w:rPr>
        <w:t xml:space="preserve">, t. y. UGT 1A1, UGT 1A7, UGT 1A8 ir UGT 1A10, </w:t>
      </w:r>
      <w:r w:rsidRPr="00BF4AB8">
        <w:rPr>
          <w:snapToGrid w:val="0"/>
          <w:sz w:val="22"/>
        </w:rPr>
        <w:t>ir susidarant</w:t>
      </w:r>
      <w:r w:rsidR="00AC48E9" w:rsidRPr="00BF4AB8">
        <w:rPr>
          <w:snapToGrid w:val="0"/>
          <w:sz w:val="22"/>
        </w:rPr>
        <w:t xml:space="preserve"> BIBF 1202</w:t>
      </w:r>
      <w:r w:rsidRPr="00BF4AB8">
        <w:rPr>
          <w:snapToGrid w:val="0"/>
          <w:sz w:val="22"/>
        </w:rPr>
        <w:t xml:space="preserve"> </w:t>
      </w:r>
      <w:proofErr w:type="spellStart"/>
      <w:r w:rsidR="00AC48E9" w:rsidRPr="00BF4AB8">
        <w:rPr>
          <w:snapToGrid w:val="0"/>
          <w:sz w:val="22"/>
        </w:rPr>
        <w:t>gliukuronidu</w:t>
      </w:r>
      <w:r w:rsidRPr="00BF4AB8">
        <w:rPr>
          <w:snapToGrid w:val="0"/>
          <w:sz w:val="22"/>
        </w:rPr>
        <w:t>i</w:t>
      </w:r>
      <w:proofErr w:type="spellEnd"/>
      <w:r w:rsidR="00AC48E9" w:rsidRPr="00BF4AB8">
        <w:rPr>
          <w:snapToGrid w:val="0"/>
          <w:sz w:val="22"/>
        </w:rPr>
        <w:t>.</w:t>
      </w:r>
    </w:p>
    <w:p w14:paraId="45CBCB10" w14:textId="77777777" w:rsidR="00F35E6B" w:rsidRPr="00BF4AB8" w:rsidRDefault="00F35E6B" w:rsidP="00AC48E9">
      <w:pPr>
        <w:tabs>
          <w:tab w:val="left" w:pos="567"/>
        </w:tabs>
        <w:contextualSpacing/>
        <w:outlineLvl w:val="0"/>
        <w:rPr>
          <w:snapToGrid w:val="0"/>
          <w:sz w:val="22"/>
        </w:rPr>
      </w:pPr>
    </w:p>
    <w:p w14:paraId="0E379680" w14:textId="10CAE799" w:rsidR="00AC48E9" w:rsidRPr="00BF4AB8" w:rsidRDefault="00AC48E9" w:rsidP="00AC48E9">
      <w:pPr>
        <w:tabs>
          <w:tab w:val="left" w:pos="567"/>
        </w:tabs>
        <w:contextualSpacing/>
        <w:outlineLvl w:val="0"/>
        <w:rPr>
          <w:snapToGrid w:val="0"/>
          <w:sz w:val="22"/>
        </w:rPr>
      </w:pPr>
      <w:r w:rsidRPr="00BF4AB8">
        <w:rPr>
          <w:snapToGrid w:val="0"/>
          <w:sz w:val="22"/>
        </w:rPr>
        <w:t xml:space="preserve">Tik maža </w:t>
      </w:r>
      <w:proofErr w:type="spellStart"/>
      <w:r w:rsidRPr="00BF4AB8">
        <w:rPr>
          <w:snapToGrid w:val="0"/>
          <w:sz w:val="22"/>
        </w:rPr>
        <w:t>nintedanibo</w:t>
      </w:r>
      <w:proofErr w:type="spellEnd"/>
      <w:r w:rsidRPr="00BF4AB8">
        <w:rPr>
          <w:snapToGrid w:val="0"/>
          <w:sz w:val="22"/>
        </w:rPr>
        <w:t xml:space="preserve"> dalis </w:t>
      </w:r>
      <w:proofErr w:type="spellStart"/>
      <w:r w:rsidRPr="00BF4AB8">
        <w:rPr>
          <w:snapToGrid w:val="0"/>
          <w:sz w:val="22"/>
        </w:rPr>
        <w:t>biotransformuojama</w:t>
      </w:r>
      <w:proofErr w:type="spellEnd"/>
      <w:r w:rsidRPr="00BF4AB8">
        <w:rPr>
          <w:snapToGrid w:val="0"/>
          <w:sz w:val="22"/>
        </w:rPr>
        <w:t xml:space="preserve"> veikiant CYP fermentams</w:t>
      </w:r>
      <w:r w:rsidR="00B86EBF" w:rsidRPr="00BF4AB8">
        <w:rPr>
          <w:snapToGrid w:val="0"/>
          <w:sz w:val="22"/>
        </w:rPr>
        <w:t xml:space="preserve"> (dominuojantis</w:t>
      </w:r>
      <w:r w:rsidRPr="00BF4AB8">
        <w:rPr>
          <w:snapToGrid w:val="0"/>
          <w:sz w:val="22"/>
        </w:rPr>
        <w:t xml:space="preserve"> metabolizme</w:t>
      </w:r>
      <w:r w:rsidR="00B86EBF" w:rsidRPr="00BF4AB8">
        <w:rPr>
          <w:snapToGrid w:val="0"/>
          <w:sz w:val="22"/>
        </w:rPr>
        <w:t xml:space="preserve"> </w:t>
      </w:r>
      <w:r w:rsidRPr="00BF4AB8">
        <w:rPr>
          <w:snapToGrid w:val="0"/>
          <w:sz w:val="22"/>
        </w:rPr>
        <w:t>dalyvaujantis fermentas yra CYP 3A4</w:t>
      </w:r>
      <w:r w:rsidR="00B86EBF" w:rsidRPr="00BF4AB8">
        <w:rPr>
          <w:snapToGrid w:val="0"/>
          <w:sz w:val="22"/>
        </w:rPr>
        <w:t>)</w:t>
      </w:r>
      <w:r w:rsidRPr="00BF4AB8">
        <w:rPr>
          <w:snapToGrid w:val="0"/>
          <w:sz w:val="22"/>
        </w:rPr>
        <w:t>. ADME tyrimo metu žmonių kraujo plazmoje pagrindinio nuo</w:t>
      </w:r>
      <w:r w:rsidR="00B86EBF" w:rsidRPr="00BF4AB8">
        <w:rPr>
          <w:snapToGrid w:val="0"/>
          <w:sz w:val="22"/>
        </w:rPr>
        <w:t xml:space="preserve"> </w:t>
      </w:r>
      <w:r w:rsidRPr="00BF4AB8">
        <w:rPr>
          <w:snapToGrid w:val="0"/>
          <w:sz w:val="22"/>
        </w:rPr>
        <w:t xml:space="preserve">CYP priklausomo metabolito neaptikta. </w:t>
      </w:r>
      <w:proofErr w:type="spellStart"/>
      <w:r w:rsidRPr="00BF4AB8">
        <w:rPr>
          <w:i/>
          <w:iCs/>
          <w:snapToGrid w:val="0"/>
          <w:sz w:val="22"/>
        </w:rPr>
        <w:t>In</w:t>
      </w:r>
      <w:proofErr w:type="spellEnd"/>
      <w:r w:rsidRPr="00BF4AB8">
        <w:rPr>
          <w:i/>
          <w:iCs/>
          <w:snapToGrid w:val="0"/>
          <w:sz w:val="22"/>
        </w:rPr>
        <w:t xml:space="preserve"> </w:t>
      </w:r>
      <w:proofErr w:type="spellStart"/>
      <w:r w:rsidRPr="00BF4AB8">
        <w:rPr>
          <w:i/>
          <w:iCs/>
          <w:snapToGrid w:val="0"/>
          <w:sz w:val="22"/>
        </w:rPr>
        <w:t>vitro</w:t>
      </w:r>
      <w:proofErr w:type="spellEnd"/>
      <w:r w:rsidRPr="00BF4AB8">
        <w:rPr>
          <w:snapToGrid w:val="0"/>
          <w:sz w:val="22"/>
        </w:rPr>
        <w:t xml:space="preserve"> nuo CYP priklausomas metabolizmas sudarė apie 5 %,</w:t>
      </w:r>
      <w:r w:rsidR="00B86EBF" w:rsidRPr="00BF4AB8">
        <w:rPr>
          <w:snapToGrid w:val="0"/>
          <w:sz w:val="22"/>
        </w:rPr>
        <w:t xml:space="preserve"> </w:t>
      </w:r>
      <w:r w:rsidRPr="00BF4AB8">
        <w:rPr>
          <w:snapToGrid w:val="0"/>
          <w:sz w:val="22"/>
        </w:rPr>
        <w:t>palyginti su maždaug 25 % esterio ska</w:t>
      </w:r>
      <w:r w:rsidR="00B86EBF" w:rsidRPr="00BF4AB8">
        <w:rPr>
          <w:snapToGrid w:val="0"/>
          <w:sz w:val="22"/>
        </w:rPr>
        <w:t>i</w:t>
      </w:r>
      <w:r w:rsidRPr="00BF4AB8">
        <w:rPr>
          <w:snapToGrid w:val="0"/>
          <w:sz w:val="22"/>
        </w:rPr>
        <w:t>dymu.</w:t>
      </w:r>
    </w:p>
    <w:p w14:paraId="3639F91C" w14:textId="6FC48F42" w:rsidR="00AC48E9" w:rsidRPr="00BF4AB8" w:rsidRDefault="00AC48E9" w:rsidP="00AC48E9">
      <w:pPr>
        <w:tabs>
          <w:tab w:val="left" w:pos="567"/>
        </w:tabs>
        <w:contextualSpacing/>
        <w:outlineLvl w:val="0"/>
        <w:rPr>
          <w:snapToGrid w:val="0"/>
          <w:sz w:val="22"/>
        </w:rPr>
      </w:pPr>
      <w:proofErr w:type="spellStart"/>
      <w:r w:rsidRPr="00BF4AB8">
        <w:rPr>
          <w:snapToGrid w:val="0"/>
          <w:sz w:val="22"/>
        </w:rPr>
        <w:t>Ikiklinikinių</w:t>
      </w:r>
      <w:proofErr w:type="spellEnd"/>
      <w:r w:rsidRPr="00BF4AB8">
        <w:rPr>
          <w:snapToGrid w:val="0"/>
          <w:sz w:val="22"/>
        </w:rPr>
        <w:t xml:space="preserve"> tyrimų </w:t>
      </w:r>
      <w:proofErr w:type="spellStart"/>
      <w:r w:rsidRPr="00BF4AB8">
        <w:rPr>
          <w:i/>
          <w:iCs/>
          <w:snapToGrid w:val="0"/>
          <w:sz w:val="22"/>
        </w:rPr>
        <w:t>in</w:t>
      </w:r>
      <w:proofErr w:type="spellEnd"/>
      <w:r w:rsidRPr="00BF4AB8">
        <w:rPr>
          <w:i/>
          <w:iCs/>
          <w:snapToGrid w:val="0"/>
          <w:sz w:val="22"/>
        </w:rPr>
        <w:t xml:space="preserve"> </w:t>
      </w:r>
      <w:proofErr w:type="spellStart"/>
      <w:r w:rsidRPr="00BF4AB8">
        <w:rPr>
          <w:i/>
          <w:iCs/>
          <w:snapToGrid w:val="0"/>
          <w:sz w:val="22"/>
        </w:rPr>
        <w:t>vivo</w:t>
      </w:r>
      <w:proofErr w:type="spellEnd"/>
      <w:r w:rsidRPr="00BF4AB8">
        <w:rPr>
          <w:snapToGrid w:val="0"/>
          <w:sz w:val="22"/>
        </w:rPr>
        <w:t xml:space="preserve"> metu BIBF 1202 buvo neveiksmingas</w:t>
      </w:r>
      <w:r w:rsidR="005C4D79">
        <w:rPr>
          <w:snapToGrid w:val="0"/>
          <w:sz w:val="22"/>
        </w:rPr>
        <w:t>,</w:t>
      </w:r>
      <w:r w:rsidRPr="00BF4AB8">
        <w:rPr>
          <w:snapToGrid w:val="0"/>
          <w:sz w:val="22"/>
        </w:rPr>
        <w:t xml:space="preserve"> nepaisant jo aktyvumo tikslinių</w:t>
      </w:r>
      <w:r w:rsidR="00B86EBF" w:rsidRPr="00BF4AB8">
        <w:rPr>
          <w:snapToGrid w:val="0"/>
          <w:sz w:val="22"/>
        </w:rPr>
        <w:t xml:space="preserve"> </w:t>
      </w:r>
      <w:r w:rsidRPr="00BF4AB8">
        <w:rPr>
          <w:snapToGrid w:val="0"/>
          <w:sz w:val="22"/>
        </w:rPr>
        <w:t>medžiagos receptorių</w:t>
      </w:r>
      <w:r w:rsidR="00B86EBF" w:rsidRPr="00BF4AB8">
        <w:rPr>
          <w:snapToGrid w:val="0"/>
          <w:sz w:val="22"/>
        </w:rPr>
        <w:t xml:space="preserve"> atžvilgiu</w:t>
      </w:r>
      <w:r w:rsidRPr="00BF4AB8">
        <w:rPr>
          <w:snapToGrid w:val="0"/>
          <w:sz w:val="22"/>
        </w:rPr>
        <w:t>.</w:t>
      </w:r>
    </w:p>
    <w:p w14:paraId="691667E8" w14:textId="77777777" w:rsidR="009F6BE1" w:rsidRPr="00BF4AB8" w:rsidRDefault="009F6BE1" w:rsidP="00AC48E9">
      <w:pPr>
        <w:tabs>
          <w:tab w:val="left" w:pos="567"/>
        </w:tabs>
        <w:contextualSpacing/>
        <w:outlineLvl w:val="0"/>
        <w:rPr>
          <w:snapToGrid w:val="0"/>
          <w:sz w:val="22"/>
        </w:rPr>
      </w:pPr>
    </w:p>
    <w:p w14:paraId="41A2C1C1" w14:textId="62CA8405" w:rsidR="00AC48E9" w:rsidRPr="00BF4AB8" w:rsidRDefault="00AC48E9" w:rsidP="00AC48E9">
      <w:pPr>
        <w:tabs>
          <w:tab w:val="left" w:pos="567"/>
        </w:tabs>
        <w:contextualSpacing/>
        <w:outlineLvl w:val="0"/>
        <w:rPr>
          <w:snapToGrid w:val="0"/>
          <w:sz w:val="22"/>
          <w:u w:val="single"/>
        </w:rPr>
      </w:pPr>
      <w:r w:rsidRPr="00BF4AB8">
        <w:rPr>
          <w:snapToGrid w:val="0"/>
          <w:sz w:val="22"/>
          <w:u w:val="single"/>
        </w:rPr>
        <w:t>Eliminacija</w:t>
      </w:r>
    </w:p>
    <w:p w14:paraId="14832FA6" w14:textId="77777777" w:rsidR="00CF13B3" w:rsidRPr="00BF4AB8" w:rsidRDefault="00AC48E9" w:rsidP="00AC48E9">
      <w:pPr>
        <w:tabs>
          <w:tab w:val="left" w:pos="567"/>
        </w:tabs>
        <w:contextualSpacing/>
        <w:outlineLvl w:val="0"/>
        <w:rPr>
          <w:snapToGrid w:val="0"/>
          <w:sz w:val="22"/>
        </w:rPr>
      </w:pPr>
      <w:r w:rsidRPr="00BF4AB8">
        <w:rPr>
          <w:snapToGrid w:val="0"/>
          <w:sz w:val="22"/>
        </w:rPr>
        <w:t>Bendras klirensas kraujo plazmoje po infuzijos į veną buvo didelis (</w:t>
      </w:r>
      <w:proofErr w:type="spellStart"/>
      <w:r w:rsidRPr="00BF4AB8">
        <w:rPr>
          <w:snapToGrid w:val="0"/>
          <w:sz w:val="22"/>
        </w:rPr>
        <w:t>Kl</w:t>
      </w:r>
      <w:proofErr w:type="spellEnd"/>
      <w:r w:rsidRPr="00BF4AB8">
        <w:rPr>
          <w:snapToGrid w:val="0"/>
          <w:sz w:val="22"/>
        </w:rPr>
        <w:t>: 1</w:t>
      </w:r>
      <w:r w:rsidR="00CF13B3" w:rsidRPr="00BF4AB8">
        <w:rPr>
          <w:snapToGrid w:val="0"/>
          <w:sz w:val="22"/>
        </w:rPr>
        <w:t> </w:t>
      </w:r>
      <w:r w:rsidRPr="00BF4AB8">
        <w:rPr>
          <w:snapToGrid w:val="0"/>
          <w:sz w:val="22"/>
        </w:rPr>
        <w:t>390</w:t>
      </w:r>
      <w:r w:rsidR="00CF13B3" w:rsidRPr="00BF4AB8">
        <w:rPr>
          <w:snapToGrid w:val="0"/>
          <w:sz w:val="22"/>
        </w:rPr>
        <w:t> </w:t>
      </w:r>
      <w:r w:rsidRPr="00BF4AB8">
        <w:rPr>
          <w:snapToGrid w:val="0"/>
          <w:sz w:val="22"/>
        </w:rPr>
        <w:t>ml/min</w:t>
      </w:r>
      <w:r w:rsidR="00CF13B3" w:rsidRPr="00BF4AB8">
        <w:rPr>
          <w:snapToGrid w:val="0"/>
          <w:sz w:val="22"/>
        </w:rPr>
        <w:t>.</w:t>
      </w:r>
      <w:r w:rsidRPr="00BF4AB8">
        <w:rPr>
          <w:snapToGrid w:val="0"/>
          <w:sz w:val="22"/>
        </w:rPr>
        <w:t xml:space="preserve">, </w:t>
      </w:r>
      <w:proofErr w:type="spellStart"/>
      <w:r w:rsidRPr="00BF4AB8">
        <w:rPr>
          <w:snapToGrid w:val="0"/>
          <w:sz w:val="22"/>
        </w:rPr>
        <w:t>gVK</w:t>
      </w:r>
      <w:proofErr w:type="spellEnd"/>
      <w:r w:rsidRPr="00BF4AB8">
        <w:rPr>
          <w:snapToGrid w:val="0"/>
          <w:sz w:val="22"/>
        </w:rPr>
        <w:t xml:space="preserve"> ‒ 28,8 %).</w:t>
      </w:r>
      <w:r w:rsidR="00CF13B3" w:rsidRPr="00BF4AB8">
        <w:rPr>
          <w:snapToGrid w:val="0"/>
          <w:sz w:val="22"/>
        </w:rPr>
        <w:t xml:space="preserve"> </w:t>
      </w:r>
      <w:r w:rsidRPr="00BF4AB8">
        <w:rPr>
          <w:snapToGrid w:val="0"/>
          <w:sz w:val="22"/>
        </w:rPr>
        <w:t>Per 48</w:t>
      </w:r>
      <w:r w:rsidR="00CF13B3" w:rsidRPr="00BF4AB8">
        <w:rPr>
          <w:snapToGrid w:val="0"/>
          <w:sz w:val="22"/>
        </w:rPr>
        <w:t> </w:t>
      </w:r>
      <w:r w:rsidRPr="00BF4AB8">
        <w:rPr>
          <w:snapToGrid w:val="0"/>
          <w:sz w:val="22"/>
        </w:rPr>
        <w:t>valandas su šlapimu nepakitusios veikliosios medžiagos pavidalu išsiskyrė maždaug 0,05 % per</w:t>
      </w:r>
      <w:r w:rsidR="00CF13B3" w:rsidRPr="00BF4AB8">
        <w:rPr>
          <w:snapToGrid w:val="0"/>
          <w:sz w:val="22"/>
        </w:rPr>
        <w:t xml:space="preserve"> </w:t>
      </w:r>
      <w:r w:rsidRPr="00BF4AB8">
        <w:rPr>
          <w:snapToGrid w:val="0"/>
          <w:sz w:val="22"/>
        </w:rPr>
        <w:t>burną pavartotos dozės (</w:t>
      </w:r>
      <w:proofErr w:type="spellStart"/>
      <w:r w:rsidRPr="00BF4AB8">
        <w:rPr>
          <w:snapToGrid w:val="0"/>
          <w:sz w:val="22"/>
        </w:rPr>
        <w:t>gVK</w:t>
      </w:r>
      <w:proofErr w:type="spellEnd"/>
      <w:r w:rsidRPr="00BF4AB8">
        <w:rPr>
          <w:snapToGrid w:val="0"/>
          <w:sz w:val="22"/>
        </w:rPr>
        <w:t>: 31,5 %) ir maždaug 1,4 % į veną suleistos dozės (</w:t>
      </w:r>
      <w:proofErr w:type="spellStart"/>
      <w:r w:rsidRPr="00BF4AB8">
        <w:rPr>
          <w:snapToGrid w:val="0"/>
          <w:sz w:val="22"/>
        </w:rPr>
        <w:t>gVK</w:t>
      </w:r>
      <w:proofErr w:type="spellEnd"/>
      <w:r w:rsidRPr="00BF4AB8">
        <w:rPr>
          <w:snapToGrid w:val="0"/>
          <w:sz w:val="22"/>
        </w:rPr>
        <w:t>: 24,2 %); inkstų</w:t>
      </w:r>
      <w:r w:rsidR="00CF13B3" w:rsidRPr="00BF4AB8">
        <w:rPr>
          <w:snapToGrid w:val="0"/>
          <w:sz w:val="22"/>
        </w:rPr>
        <w:t xml:space="preserve"> </w:t>
      </w:r>
      <w:r w:rsidRPr="00BF4AB8">
        <w:rPr>
          <w:snapToGrid w:val="0"/>
          <w:sz w:val="22"/>
        </w:rPr>
        <w:t>klirensas buvo 20</w:t>
      </w:r>
      <w:r w:rsidR="00CF13B3" w:rsidRPr="00BF4AB8">
        <w:rPr>
          <w:snapToGrid w:val="0"/>
          <w:sz w:val="22"/>
        </w:rPr>
        <w:t> </w:t>
      </w:r>
      <w:r w:rsidRPr="00BF4AB8">
        <w:rPr>
          <w:snapToGrid w:val="0"/>
          <w:sz w:val="22"/>
        </w:rPr>
        <w:t>ml/min</w:t>
      </w:r>
      <w:r w:rsidR="00CF13B3" w:rsidRPr="00BF4AB8">
        <w:rPr>
          <w:snapToGrid w:val="0"/>
          <w:sz w:val="22"/>
        </w:rPr>
        <w:t>.</w:t>
      </w:r>
      <w:r w:rsidRPr="00BF4AB8">
        <w:rPr>
          <w:snapToGrid w:val="0"/>
          <w:sz w:val="22"/>
        </w:rPr>
        <w:t xml:space="preserve"> (</w:t>
      </w:r>
      <w:proofErr w:type="spellStart"/>
      <w:r w:rsidRPr="00BF4AB8">
        <w:rPr>
          <w:snapToGrid w:val="0"/>
          <w:sz w:val="22"/>
        </w:rPr>
        <w:t>gVK</w:t>
      </w:r>
      <w:proofErr w:type="spellEnd"/>
      <w:r w:rsidRPr="00BF4AB8">
        <w:rPr>
          <w:snapToGrid w:val="0"/>
          <w:sz w:val="22"/>
        </w:rPr>
        <w:t>: 32,6 % ). Per burną pavartojus [14</w:t>
      </w:r>
      <w:r w:rsidRPr="00BF4AB8">
        <w:rPr>
          <w:snapToGrid w:val="0"/>
          <w:sz w:val="22"/>
          <w:vertAlign w:val="superscript"/>
        </w:rPr>
        <w:t>C</w:t>
      </w:r>
      <w:r w:rsidRPr="00BF4AB8">
        <w:rPr>
          <w:snapToGrid w:val="0"/>
          <w:sz w:val="22"/>
        </w:rPr>
        <w:t xml:space="preserve">] </w:t>
      </w:r>
      <w:proofErr w:type="spellStart"/>
      <w:r w:rsidRPr="00BF4AB8">
        <w:rPr>
          <w:snapToGrid w:val="0"/>
          <w:sz w:val="22"/>
        </w:rPr>
        <w:t>nintedanibo</w:t>
      </w:r>
      <w:proofErr w:type="spellEnd"/>
      <w:r w:rsidRPr="00BF4AB8">
        <w:rPr>
          <w:snapToGrid w:val="0"/>
          <w:sz w:val="22"/>
        </w:rPr>
        <w:t>, su vaistiniu</w:t>
      </w:r>
      <w:r w:rsidR="00CF13B3" w:rsidRPr="00BF4AB8">
        <w:rPr>
          <w:snapToGrid w:val="0"/>
          <w:sz w:val="22"/>
        </w:rPr>
        <w:t xml:space="preserve"> </w:t>
      </w:r>
      <w:r w:rsidRPr="00BF4AB8">
        <w:rPr>
          <w:snapToGrid w:val="0"/>
          <w:sz w:val="22"/>
        </w:rPr>
        <w:t>preparatu susijusio radioaktyvumo pagrindinis eliminacijos būdas buvo išsiskyrimas su išmatomis /</w:t>
      </w:r>
      <w:r w:rsidR="00CF13B3" w:rsidRPr="00BF4AB8">
        <w:rPr>
          <w:snapToGrid w:val="0"/>
          <w:sz w:val="22"/>
        </w:rPr>
        <w:t xml:space="preserve"> </w:t>
      </w:r>
      <w:r w:rsidRPr="00BF4AB8">
        <w:rPr>
          <w:snapToGrid w:val="0"/>
          <w:sz w:val="22"/>
        </w:rPr>
        <w:t xml:space="preserve">tulžimi (93,4 % dozės, </w:t>
      </w:r>
      <w:proofErr w:type="spellStart"/>
      <w:r w:rsidRPr="00BF4AB8">
        <w:rPr>
          <w:snapToGrid w:val="0"/>
          <w:sz w:val="22"/>
        </w:rPr>
        <w:t>gVK</w:t>
      </w:r>
      <w:proofErr w:type="spellEnd"/>
      <w:r w:rsidRPr="00BF4AB8">
        <w:rPr>
          <w:snapToGrid w:val="0"/>
          <w:sz w:val="22"/>
        </w:rPr>
        <w:t xml:space="preserve"> ‒ 2,61 %).</w:t>
      </w:r>
    </w:p>
    <w:p w14:paraId="41119362" w14:textId="02194675" w:rsidR="00AC48E9" w:rsidRPr="00BF4AB8" w:rsidRDefault="00CF13B3" w:rsidP="00AC48E9">
      <w:pPr>
        <w:tabs>
          <w:tab w:val="left" w:pos="567"/>
        </w:tabs>
        <w:contextualSpacing/>
        <w:outlineLvl w:val="0"/>
        <w:rPr>
          <w:snapToGrid w:val="0"/>
          <w:sz w:val="22"/>
        </w:rPr>
      </w:pPr>
      <w:proofErr w:type="spellStart"/>
      <w:r w:rsidRPr="00BF4AB8">
        <w:rPr>
          <w:snapToGrid w:val="0"/>
          <w:sz w:val="22"/>
        </w:rPr>
        <w:t>Ekskrecija</w:t>
      </w:r>
      <w:proofErr w:type="spellEnd"/>
      <w:r w:rsidRPr="00BF4AB8">
        <w:rPr>
          <w:snapToGrid w:val="0"/>
          <w:sz w:val="22"/>
        </w:rPr>
        <w:t xml:space="preserve"> </w:t>
      </w:r>
      <w:r w:rsidR="00AC48E9" w:rsidRPr="00BF4AB8">
        <w:rPr>
          <w:snapToGrid w:val="0"/>
          <w:sz w:val="22"/>
        </w:rPr>
        <w:t>pro inkstus</w:t>
      </w:r>
      <w:r w:rsidRPr="00BF4AB8">
        <w:rPr>
          <w:snapToGrid w:val="0"/>
          <w:sz w:val="22"/>
        </w:rPr>
        <w:t xml:space="preserve"> sudarė nedidelę bendrojo klirenso dalį</w:t>
      </w:r>
      <w:r w:rsidR="00AC48E9" w:rsidRPr="00BF4AB8">
        <w:rPr>
          <w:snapToGrid w:val="0"/>
          <w:sz w:val="22"/>
        </w:rPr>
        <w:t xml:space="preserve"> (0,649 % dozės, </w:t>
      </w:r>
      <w:proofErr w:type="spellStart"/>
      <w:r w:rsidR="00AC48E9" w:rsidRPr="00BF4AB8">
        <w:rPr>
          <w:snapToGrid w:val="0"/>
          <w:sz w:val="22"/>
        </w:rPr>
        <w:t>gVK</w:t>
      </w:r>
      <w:proofErr w:type="spellEnd"/>
      <w:r w:rsidR="00AC48E9" w:rsidRPr="00BF4AB8">
        <w:rPr>
          <w:snapToGrid w:val="0"/>
          <w:sz w:val="22"/>
        </w:rPr>
        <w:t xml:space="preserve"> ‒ 26,3 %).</w:t>
      </w:r>
      <w:r w:rsidR="00AC48E9" w:rsidRPr="00BF4AB8">
        <w:rPr>
          <w:snapToGrid w:val="0"/>
          <w:sz w:val="22"/>
        </w:rPr>
        <w:cr/>
        <w:t xml:space="preserve">Bendras išsiskyrimas buvo vertinamas </w:t>
      </w:r>
      <w:r w:rsidRPr="00BF4AB8">
        <w:rPr>
          <w:snapToGrid w:val="0"/>
          <w:sz w:val="22"/>
        </w:rPr>
        <w:t>kaip visiškas</w:t>
      </w:r>
      <w:r w:rsidR="00AC48E9" w:rsidRPr="00BF4AB8">
        <w:rPr>
          <w:snapToGrid w:val="0"/>
          <w:sz w:val="22"/>
        </w:rPr>
        <w:t xml:space="preserve"> (virš 90 %) 4</w:t>
      </w:r>
      <w:r w:rsidRPr="00BF4AB8">
        <w:rPr>
          <w:snapToGrid w:val="0"/>
          <w:sz w:val="22"/>
        </w:rPr>
        <w:t> dienų laikotarpiu</w:t>
      </w:r>
      <w:r w:rsidR="00AC48E9" w:rsidRPr="00BF4AB8">
        <w:rPr>
          <w:snapToGrid w:val="0"/>
          <w:sz w:val="22"/>
        </w:rPr>
        <w:t xml:space="preserve"> po pavartojimo. </w:t>
      </w:r>
      <w:proofErr w:type="spellStart"/>
      <w:r w:rsidR="00AC48E9" w:rsidRPr="00BF4AB8">
        <w:rPr>
          <w:snapToGrid w:val="0"/>
          <w:sz w:val="22"/>
        </w:rPr>
        <w:t>Nintedanibo</w:t>
      </w:r>
      <w:proofErr w:type="spellEnd"/>
      <w:r w:rsidRPr="00BF4AB8">
        <w:rPr>
          <w:snapToGrid w:val="0"/>
          <w:sz w:val="22"/>
        </w:rPr>
        <w:t xml:space="preserve"> g</w:t>
      </w:r>
      <w:r w:rsidR="00AC48E9" w:rsidRPr="00BF4AB8">
        <w:rPr>
          <w:snapToGrid w:val="0"/>
          <w:sz w:val="22"/>
        </w:rPr>
        <w:t>alutinės pusinės eliminacijos laikas buvo tarp 10 ir 15</w:t>
      </w:r>
      <w:r w:rsidRPr="00BF4AB8">
        <w:rPr>
          <w:snapToGrid w:val="0"/>
          <w:sz w:val="22"/>
        </w:rPr>
        <w:t> </w:t>
      </w:r>
      <w:r w:rsidR="00AC48E9" w:rsidRPr="00BF4AB8">
        <w:rPr>
          <w:snapToGrid w:val="0"/>
          <w:sz w:val="22"/>
        </w:rPr>
        <w:t>val. (</w:t>
      </w:r>
      <w:proofErr w:type="spellStart"/>
      <w:r w:rsidR="00AC48E9" w:rsidRPr="00BF4AB8">
        <w:rPr>
          <w:snapToGrid w:val="0"/>
          <w:sz w:val="22"/>
        </w:rPr>
        <w:t>gVK</w:t>
      </w:r>
      <w:proofErr w:type="spellEnd"/>
      <w:r w:rsidR="00AC48E9" w:rsidRPr="00BF4AB8">
        <w:rPr>
          <w:snapToGrid w:val="0"/>
          <w:sz w:val="22"/>
        </w:rPr>
        <w:t>: maždaug 50 %).</w:t>
      </w:r>
    </w:p>
    <w:p w14:paraId="7C16A11A" w14:textId="77777777" w:rsidR="00CF13B3" w:rsidRPr="00BF4AB8" w:rsidRDefault="00CF13B3" w:rsidP="00AC48E9">
      <w:pPr>
        <w:tabs>
          <w:tab w:val="left" w:pos="567"/>
        </w:tabs>
        <w:contextualSpacing/>
        <w:outlineLvl w:val="0"/>
        <w:rPr>
          <w:snapToGrid w:val="0"/>
          <w:sz w:val="22"/>
        </w:rPr>
      </w:pPr>
    </w:p>
    <w:p w14:paraId="5A4FDC22" w14:textId="1EB0B4D9" w:rsidR="00AC48E9" w:rsidRPr="00BF4AB8" w:rsidRDefault="00AC48E9" w:rsidP="00AC48E9">
      <w:pPr>
        <w:tabs>
          <w:tab w:val="left" w:pos="567"/>
        </w:tabs>
        <w:contextualSpacing/>
        <w:outlineLvl w:val="0"/>
        <w:rPr>
          <w:snapToGrid w:val="0"/>
          <w:sz w:val="22"/>
          <w:u w:val="single"/>
        </w:rPr>
      </w:pPr>
      <w:r w:rsidRPr="00BF4AB8">
        <w:rPr>
          <w:snapToGrid w:val="0"/>
          <w:sz w:val="22"/>
          <w:u w:val="single"/>
        </w:rPr>
        <w:t>Tiesinis / netiesinis pobūdis</w:t>
      </w:r>
    </w:p>
    <w:p w14:paraId="3E991875" w14:textId="77777777" w:rsidR="00AC48E9" w:rsidRPr="00BF4AB8" w:rsidRDefault="00AC48E9" w:rsidP="00AC48E9">
      <w:pPr>
        <w:tabs>
          <w:tab w:val="left" w:pos="567"/>
        </w:tabs>
        <w:contextualSpacing/>
        <w:outlineLvl w:val="0"/>
        <w:rPr>
          <w:snapToGrid w:val="0"/>
          <w:sz w:val="22"/>
        </w:rPr>
      </w:pPr>
      <w:proofErr w:type="spellStart"/>
      <w:r w:rsidRPr="00BF4AB8">
        <w:rPr>
          <w:snapToGrid w:val="0"/>
          <w:sz w:val="22"/>
        </w:rPr>
        <w:t>Nintedanibo</w:t>
      </w:r>
      <w:proofErr w:type="spellEnd"/>
      <w:r w:rsidRPr="00BF4AB8">
        <w:rPr>
          <w:snapToGrid w:val="0"/>
          <w:sz w:val="22"/>
        </w:rPr>
        <w:t xml:space="preserve"> </w:t>
      </w:r>
      <w:proofErr w:type="spellStart"/>
      <w:r w:rsidRPr="00BF4AB8">
        <w:rPr>
          <w:snapToGrid w:val="0"/>
          <w:sz w:val="22"/>
        </w:rPr>
        <w:t>farmakokinetika</w:t>
      </w:r>
      <w:proofErr w:type="spellEnd"/>
      <w:r w:rsidRPr="00BF4AB8">
        <w:rPr>
          <w:snapToGrid w:val="0"/>
          <w:sz w:val="22"/>
        </w:rPr>
        <w:t xml:space="preserve"> gali būti laikoma tiesine atsižvelgiant į laiką (t. y. vienkartinės dozės</w:t>
      </w:r>
      <w:r w:rsidR="00CF13B3" w:rsidRPr="00BF4AB8">
        <w:rPr>
          <w:snapToGrid w:val="0"/>
          <w:sz w:val="22"/>
        </w:rPr>
        <w:t xml:space="preserve"> </w:t>
      </w:r>
      <w:r w:rsidRPr="00BF4AB8">
        <w:rPr>
          <w:snapToGrid w:val="0"/>
          <w:sz w:val="22"/>
        </w:rPr>
        <w:t xml:space="preserve">duomenys gali būti </w:t>
      </w:r>
      <w:proofErr w:type="spellStart"/>
      <w:r w:rsidRPr="00BF4AB8">
        <w:rPr>
          <w:snapToGrid w:val="0"/>
          <w:sz w:val="22"/>
        </w:rPr>
        <w:t>ekstrapoliuoti</w:t>
      </w:r>
      <w:proofErr w:type="spellEnd"/>
      <w:r w:rsidRPr="00BF4AB8">
        <w:rPr>
          <w:snapToGrid w:val="0"/>
          <w:sz w:val="22"/>
        </w:rPr>
        <w:t xml:space="preserve"> į daugkartinių dozių duomenis). Kaupimasis po daugkartinių</w:t>
      </w:r>
      <w:r w:rsidR="00CF13B3" w:rsidRPr="00BF4AB8">
        <w:rPr>
          <w:snapToGrid w:val="0"/>
          <w:sz w:val="22"/>
        </w:rPr>
        <w:t xml:space="preserve"> </w:t>
      </w:r>
      <w:r w:rsidRPr="00BF4AB8">
        <w:rPr>
          <w:snapToGrid w:val="0"/>
          <w:sz w:val="22"/>
        </w:rPr>
        <w:t xml:space="preserve">pavartojimų buvo toks: </w:t>
      </w:r>
      <w:proofErr w:type="spellStart"/>
      <w:r w:rsidRPr="00BF4AB8">
        <w:rPr>
          <w:snapToGrid w:val="0"/>
          <w:sz w:val="22"/>
        </w:rPr>
        <w:t>C</w:t>
      </w:r>
      <w:r w:rsidRPr="00BF4AB8">
        <w:rPr>
          <w:snapToGrid w:val="0"/>
          <w:sz w:val="22"/>
          <w:vertAlign w:val="subscript"/>
        </w:rPr>
        <w:t>max</w:t>
      </w:r>
      <w:proofErr w:type="spellEnd"/>
      <w:r w:rsidRPr="00BF4AB8">
        <w:rPr>
          <w:snapToGrid w:val="0"/>
          <w:sz w:val="22"/>
          <w:vertAlign w:val="subscript"/>
        </w:rPr>
        <w:t xml:space="preserve"> </w:t>
      </w:r>
      <w:r w:rsidRPr="00BF4AB8">
        <w:rPr>
          <w:snapToGrid w:val="0"/>
          <w:sz w:val="22"/>
        </w:rPr>
        <w:t>padidėjo 1,04</w:t>
      </w:r>
      <w:r w:rsidR="00CF13B3" w:rsidRPr="00BF4AB8">
        <w:rPr>
          <w:snapToGrid w:val="0"/>
          <w:sz w:val="22"/>
        </w:rPr>
        <w:t> </w:t>
      </w:r>
      <w:r w:rsidRPr="00BF4AB8">
        <w:rPr>
          <w:snapToGrid w:val="0"/>
          <w:sz w:val="22"/>
        </w:rPr>
        <w:t xml:space="preserve">karto, </w:t>
      </w:r>
      <w:proofErr w:type="spellStart"/>
      <w:r w:rsidRPr="00BF4AB8">
        <w:rPr>
          <w:snapToGrid w:val="0"/>
          <w:sz w:val="22"/>
        </w:rPr>
        <w:t>AUCτ</w:t>
      </w:r>
      <w:proofErr w:type="spellEnd"/>
      <w:r w:rsidRPr="00BF4AB8">
        <w:rPr>
          <w:snapToGrid w:val="0"/>
          <w:sz w:val="22"/>
        </w:rPr>
        <w:t xml:space="preserve"> – 1,38</w:t>
      </w:r>
      <w:r w:rsidR="00CF13B3" w:rsidRPr="00BF4AB8">
        <w:rPr>
          <w:snapToGrid w:val="0"/>
          <w:sz w:val="22"/>
        </w:rPr>
        <w:t> </w:t>
      </w:r>
      <w:r w:rsidRPr="00BF4AB8">
        <w:rPr>
          <w:snapToGrid w:val="0"/>
          <w:sz w:val="22"/>
        </w:rPr>
        <w:t xml:space="preserve">karto. </w:t>
      </w:r>
      <w:proofErr w:type="spellStart"/>
      <w:r w:rsidRPr="00BF4AB8">
        <w:rPr>
          <w:snapToGrid w:val="0"/>
          <w:sz w:val="22"/>
        </w:rPr>
        <w:t>Nintedanibo</w:t>
      </w:r>
      <w:proofErr w:type="spellEnd"/>
      <w:r w:rsidRPr="00BF4AB8">
        <w:rPr>
          <w:snapToGrid w:val="0"/>
          <w:sz w:val="22"/>
        </w:rPr>
        <w:t xml:space="preserve"> mažiausia</w:t>
      </w:r>
      <w:r w:rsidR="00CF13B3" w:rsidRPr="00BF4AB8">
        <w:rPr>
          <w:snapToGrid w:val="0"/>
          <w:sz w:val="22"/>
        </w:rPr>
        <w:t xml:space="preserve"> </w:t>
      </w:r>
      <w:r w:rsidRPr="00BF4AB8">
        <w:rPr>
          <w:snapToGrid w:val="0"/>
          <w:sz w:val="22"/>
        </w:rPr>
        <w:t>koncentracija išliko pastovi ilgiau nei vienerius metus.</w:t>
      </w:r>
    </w:p>
    <w:p w14:paraId="1B9D2D17" w14:textId="77777777" w:rsidR="00CF13B3" w:rsidRPr="00BF4AB8" w:rsidRDefault="00CF13B3" w:rsidP="00AC48E9">
      <w:pPr>
        <w:tabs>
          <w:tab w:val="left" w:pos="567"/>
        </w:tabs>
        <w:contextualSpacing/>
        <w:outlineLvl w:val="0"/>
        <w:rPr>
          <w:snapToGrid w:val="0"/>
          <w:sz w:val="22"/>
        </w:rPr>
      </w:pPr>
    </w:p>
    <w:p w14:paraId="1FE0AA3B" w14:textId="279C9F54" w:rsidR="00AC48E9" w:rsidRPr="00BF4AB8" w:rsidRDefault="00AC48E9" w:rsidP="00AC48E9">
      <w:pPr>
        <w:tabs>
          <w:tab w:val="left" w:pos="567"/>
        </w:tabs>
        <w:contextualSpacing/>
        <w:outlineLvl w:val="0"/>
        <w:rPr>
          <w:snapToGrid w:val="0"/>
          <w:sz w:val="22"/>
          <w:u w:val="single"/>
        </w:rPr>
      </w:pPr>
      <w:r w:rsidRPr="00BF4AB8">
        <w:rPr>
          <w:snapToGrid w:val="0"/>
          <w:sz w:val="22"/>
          <w:u w:val="single"/>
        </w:rPr>
        <w:t>Kita informacija apie vaistinių preparatų tarpusavio sąveiką</w:t>
      </w:r>
    </w:p>
    <w:p w14:paraId="0A2E8F94" w14:textId="77777777" w:rsidR="00CF13B3" w:rsidRPr="00BF4AB8" w:rsidRDefault="00CF13B3" w:rsidP="00AC48E9">
      <w:pPr>
        <w:tabs>
          <w:tab w:val="left" w:pos="567"/>
        </w:tabs>
        <w:contextualSpacing/>
        <w:outlineLvl w:val="0"/>
        <w:rPr>
          <w:snapToGrid w:val="0"/>
          <w:sz w:val="22"/>
        </w:rPr>
      </w:pPr>
    </w:p>
    <w:p w14:paraId="08EF4EDC" w14:textId="124C0A29" w:rsidR="00AC48E9" w:rsidRPr="00BF4AB8" w:rsidRDefault="00AC48E9" w:rsidP="00AC48E9">
      <w:pPr>
        <w:tabs>
          <w:tab w:val="left" w:pos="567"/>
        </w:tabs>
        <w:contextualSpacing/>
        <w:outlineLvl w:val="0"/>
        <w:rPr>
          <w:i/>
          <w:iCs/>
          <w:snapToGrid w:val="0"/>
          <w:sz w:val="22"/>
        </w:rPr>
      </w:pPr>
      <w:r w:rsidRPr="00BF4AB8">
        <w:rPr>
          <w:i/>
          <w:iCs/>
          <w:snapToGrid w:val="0"/>
          <w:sz w:val="22"/>
        </w:rPr>
        <w:t>Metabolizmas</w:t>
      </w:r>
    </w:p>
    <w:p w14:paraId="5FB114F4" w14:textId="3B70CC8C" w:rsidR="00AC48E9" w:rsidRPr="00BF4AB8" w:rsidRDefault="00AC48E9" w:rsidP="00AC48E9">
      <w:pPr>
        <w:tabs>
          <w:tab w:val="left" w:pos="567"/>
        </w:tabs>
        <w:contextualSpacing/>
        <w:outlineLvl w:val="0"/>
        <w:rPr>
          <w:snapToGrid w:val="0"/>
          <w:sz w:val="22"/>
        </w:rPr>
      </w:pPr>
      <w:proofErr w:type="spellStart"/>
      <w:r w:rsidRPr="00BF4AB8">
        <w:rPr>
          <w:snapToGrid w:val="0"/>
          <w:sz w:val="22"/>
        </w:rPr>
        <w:t>Nintedanibo</w:t>
      </w:r>
      <w:proofErr w:type="spellEnd"/>
      <w:r w:rsidRPr="00BF4AB8">
        <w:rPr>
          <w:snapToGrid w:val="0"/>
          <w:sz w:val="22"/>
        </w:rPr>
        <w:t xml:space="preserve"> ir CYP substratų, CYP inhibitorių ar CYP </w:t>
      </w:r>
      <w:proofErr w:type="spellStart"/>
      <w:r w:rsidRPr="00BF4AB8">
        <w:rPr>
          <w:snapToGrid w:val="0"/>
          <w:sz w:val="22"/>
        </w:rPr>
        <w:t>induktorių</w:t>
      </w:r>
      <w:proofErr w:type="spellEnd"/>
      <w:r w:rsidRPr="00BF4AB8">
        <w:rPr>
          <w:snapToGrid w:val="0"/>
          <w:sz w:val="22"/>
        </w:rPr>
        <w:t xml:space="preserve"> tarpusavio sąveika nėra tikėtina,</w:t>
      </w:r>
      <w:r w:rsidR="00577665" w:rsidRPr="00BF4AB8">
        <w:rPr>
          <w:snapToGrid w:val="0"/>
          <w:sz w:val="22"/>
        </w:rPr>
        <w:t xml:space="preserve"> </w:t>
      </w:r>
      <w:r w:rsidRPr="00BF4AB8">
        <w:rPr>
          <w:snapToGrid w:val="0"/>
          <w:sz w:val="22"/>
        </w:rPr>
        <w:t xml:space="preserve">kadangi </w:t>
      </w:r>
      <w:proofErr w:type="spellStart"/>
      <w:r w:rsidRPr="00BF4AB8">
        <w:rPr>
          <w:snapToGrid w:val="0"/>
          <w:sz w:val="22"/>
        </w:rPr>
        <w:t>ikiklinikinių</w:t>
      </w:r>
      <w:proofErr w:type="spellEnd"/>
      <w:r w:rsidRPr="00BF4AB8">
        <w:rPr>
          <w:snapToGrid w:val="0"/>
          <w:sz w:val="22"/>
        </w:rPr>
        <w:t xml:space="preserve"> tyrimų metu </w:t>
      </w:r>
      <w:proofErr w:type="spellStart"/>
      <w:r w:rsidRPr="00BF4AB8">
        <w:rPr>
          <w:snapToGrid w:val="0"/>
          <w:sz w:val="22"/>
        </w:rPr>
        <w:t>nintedanibas</w:t>
      </w:r>
      <w:proofErr w:type="spellEnd"/>
      <w:r w:rsidRPr="00BF4AB8">
        <w:rPr>
          <w:snapToGrid w:val="0"/>
          <w:sz w:val="22"/>
        </w:rPr>
        <w:t xml:space="preserve">, BIBF 1202 ir BIBF 1202 </w:t>
      </w:r>
      <w:proofErr w:type="spellStart"/>
      <w:r w:rsidRPr="00BF4AB8">
        <w:rPr>
          <w:snapToGrid w:val="0"/>
          <w:sz w:val="22"/>
        </w:rPr>
        <w:t>gliukuronidas</w:t>
      </w:r>
      <w:proofErr w:type="spellEnd"/>
      <w:r w:rsidRPr="00BF4AB8">
        <w:rPr>
          <w:snapToGrid w:val="0"/>
          <w:sz w:val="22"/>
        </w:rPr>
        <w:t xml:space="preserve"> CYP fermentų</w:t>
      </w:r>
      <w:r w:rsidR="00577665" w:rsidRPr="00BF4AB8">
        <w:rPr>
          <w:snapToGrid w:val="0"/>
          <w:sz w:val="22"/>
        </w:rPr>
        <w:t xml:space="preserve"> </w:t>
      </w:r>
      <w:r w:rsidRPr="00BF4AB8">
        <w:rPr>
          <w:snapToGrid w:val="0"/>
          <w:sz w:val="22"/>
        </w:rPr>
        <w:t>neslopino ir neindukavo</w:t>
      </w:r>
      <w:r w:rsidR="00577665" w:rsidRPr="00BF4AB8">
        <w:rPr>
          <w:snapToGrid w:val="0"/>
          <w:sz w:val="22"/>
        </w:rPr>
        <w:t xml:space="preserve">, o </w:t>
      </w:r>
      <w:r w:rsidRPr="00BF4AB8">
        <w:rPr>
          <w:snapToGrid w:val="0"/>
          <w:sz w:val="22"/>
        </w:rPr>
        <w:t xml:space="preserve">reikšmingo </w:t>
      </w:r>
      <w:proofErr w:type="spellStart"/>
      <w:r w:rsidRPr="00BF4AB8">
        <w:rPr>
          <w:snapToGrid w:val="0"/>
          <w:sz w:val="22"/>
        </w:rPr>
        <w:t>nintedanibo</w:t>
      </w:r>
      <w:proofErr w:type="spellEnd"/>
      <w:r w:rsidRPr="00BF4AB8">
        <w:rPr>
          <w:snapToGrid w:val="0"/>
          <w:sz w:val="22"/>
        </w:rPr>
        <w:t xml:space="preserve"> </w:t>
      </w:r>
      <w:r w:rsidR="00577665" w:rsidRPr="00BF4AB8">
        <w:rPr>
          <w:snapToGrid w:val="0"/>
          <w:sz w:val="22"/>
        </w:rPr>
        <w:t xml:space="preserve">metabolizmo dalyvaujant </w:t>
      </w:r>
      <w:r w:rsidRPr="00BF4AB8">
        <w:rPr>
          <w:snapToGrid w:val="0"/>
          <w:sz w:val="22"/>
        </w:rPr>
        <w:t>CYP fermenta</w:t>
      </w:r>
      <w:r w:rsidR="00577665" w:rsidRPr="00BF4AB8">
        <w:rPr>
          <w:snapToGrid w:val="0"/>
          <w:sz w:val="22"/>
        </w:rPr>
        <w:t>ms nepasireiškė</w:t>
      </w:r>
      <w:r w:rsidRPr="00BF4AB8">
        <w:rPr>
          <w:snapToGrid w:val="0"/>
          <w:sz w:val="22"/>
        </w:rPr>
        <w:t>.</w:t>
      </w:r>
    </w:p>
    <w:p w14:paraId="2319F8F6" w14:textId="77777777" w:rsidR="00577665" w:rsidRPr="00BF4AB8" w:rsidRDefault="00577665" w:rsidP="00AC48E9">
      <w:pPr>
        <w:tabs>
          <w:tab w:val="left" w:pos="567"/>
        </w:tabs>
        <w:contextualSpacing/>
        <w:outlineLvl w:val="0"/>
        <w:rPr>
          <w:snapToGrid w:val="0"/>
          <w:sz w:val="22"/>
        </w:rPr>
      </w:pPr>
    </w:p>
    <w:p w14:paraId="277DB5F9" w14:textId="77777777" w:rsidR="00AC48E9" w:rsidRPr="00BF4AB8" w:rsidRDefault="00AC48E9" w:rsidP="00AC48E9">
      <w:pPr>
        <w:tabs>
          <w:tab w:val="left" w:pos="567"/>
        </w:tabs>
        <w:contextualSpacing/>
        <w:outlineLvl w:val="0"/>
        <w:rPr>
          <w:i/>
          <w:iCs/>
          <w:snapToGrid w:val="0"/>
          <w:sz w:val="22"/>
        </w:rPr>
      </w:pPr>
      <w:r w:rsidRPr="00BF4AB8">
        <w:rPr>
          <w:i/>
          <w:iCs/>
          <w:snapToGrid w:val="0"/>
          <w:sz w:val="22"/>
        </w:rPr>
        <w:t>Pernaša</w:t>
      </w:r>
    </w:p>
    <w:p w14:paraId="114B572D" w14:textId="2B072855" w:rsidR="00AC48E9" w:rsidRPr="00BF4AB8" w:rsidRDefault="00AC48E9" w:rsidP="00AC48E9">
      <w:pPr>
        <w:tabs>
          <w:tab w:val="left" w:pos="567"/>
        </w:tabs>
        <w:contextualSpacing/>
        <w:outlineLvl w:val="0"/>
        <w:rPr>
          <w:snapToGrid w:val="0"/>
          <w:sz w:val="22"/>
        </w:rPr>
      </w:pPr>
      <w:proofErr w:type="spellStart"/>
      <w:r w:rsidRPr="00BF4AB8">
        <w:rPr>
          <w:snapToGrid w:val="0"/>
          <w:sz w:val="22"/>
        </w:rPr>
        <w:t>Nintedanibas</w:t>
      </w:r>
      <w:proofErr w:type="spellEnd"/>
      <w:r w:rsidRPr="00BF4AB8">
        <w:rPr>
          <w:snapToGrid w:val="0"/>
          <w:sz w:val="22"/>
        </w:rPr>
        <w:t xml:space="preserve"> yra P-</w:t>
      </w:r>
      <w:proofErr w:type="spellStart"/>
      <w:r w:rsidRPr="00BF4AB8">
        <w:rPr>
          <w:snapToGrid w:val="0"/>
          <w:sz w:val="22"/>
        </w:rPr>
        <w:t>gp</w:t>
      </w:r>
      <w:proofErr w:type="spellEnd"/>
      <w:r w:rsidRPr="00BF4AB8">
        <w:rPr>
          <w:snapToGrid w:val="0"/>
          <w:sz w:val="22"/>
        </w:rPr>
        <w:t xml:space="preserve"> substratas. Apie galimą </w:t>
      </w:r>
      <w:proofErr w:type="spellStart"/>
      <w:r w:rsidRPr="00BF4AB8">
        <w:rPr>
          <w:snapToGrid w:val="0"/>
          <w:sz w:val="22"/>
        </w:rPr>
        <w:t>nintedanibo</w:t>
      </w:r>
      <w:proofErr w:type="spellEnd"/>
      <w:r w:rsidRPr="00BF4AB8">
        <w:rPr>
          <w:snapToGrid w:val="0"/>
          <w:sz w:val="22"/>
        </w:rPr>
        <w:t xml:space="preserve"> sąveiką su šiuo nešikliu žr. 4.5</w:t>
      </w:r>
      <w:r w:rsidR="000C5668" w:rsidRPr="00BF4AB8">
        <w:rPr>
          <w:snapToGrid w:val="0"/>
          <w:sz w:val="22"/>
        </w:rPr>
        <w:t> </w:t>
      </w:r>
      <w:r w:rsidRPr="00BF4AB8">
        <w:rPr>
          <w:snapToGrid w:val="0"/>
          <w:sz w:val="22"/>
        </w:rPr>
        <w:t>skyriuje.</w:t>
      </w:r>
      <w:r w:rsidR="000C5668" w:rsidRPr="00BF4AB8">
        <w:rPr>
          <w:snapToGrid w:val="0"/>
          <w:sz w:val="22"/>
        </w:rPr>
        <w:t xml:space="preserve"> </w:t>
      </w:r>
      <w:r w:rsidRPr="00BF4AB8">
        <w:rPr>
          <w:snapToGrid w:val="0"/>
          <w:sz w:val="22"/>
        </w:rPr>
        <w:t xml:space="preserve">Buvo </w:t>
      </w:r>
      <w:proofErr w:type="spellStart"/>
      <w:r w:rsidR="000C5668" w:rsidRPr="00BF4AB8">
        <w:rPr>
          <w:snapToGrid w:val="0"/>
          <w:sz w:val="22"/>
        </w:rPr>
        <w:t>nustayta</w:t>
      </w:r>
      <w:proofErr w:type="spellEnd"/>
      <w:r w:rsidRPr="00BF4AB8">
        <w:rPr>
          <w:snapToGrid w:val="0"/>
          <w:sz w:val="22"/>
        </w:rPr>
        <w:t xml:space="preserve">, kad </w:t>
      </w:r>
      <w:proofErr w:type="spellStart"/>
      <w:r w:rsidRPr="00BF4AB8">
        <w:rPr>
          <w:i/>
          <w:iCs/>
          <w:snapToGrid w:val="0"/>
          <w:sz w:val="22"/>
        </w:rPr>
        <w:t>in</w:t>
      </w:r>
      <w:proofErr w:type="spellEnd"/>
      <w:r w:rsidRPr="00BF4AB8">
        <w:rPr>
          <w:i/>
          <w:iCs/>
          <w:snapToGrid w:val="0"/>
          <w:sz w:val="22"/>
        </w:rPr>
        <w:t xml:space="preserve"> </w:t>
      </w:r>
      <w:proofErr w:type="spellStart"/>
      <w:r w:rsidRPr="00BF4AB8">
        <w:rPr>
          <w:i/>
          <w:iCs/>
          <w:snapToGrid w:val="0"/>
          <w:sz w:val="22"/>
        </w:rPr>
        <w:t>vitro</w:t>
      </w:r>
      <w:proofErr w:type="spellEnd"/>
      <w:r w:rsidRPr="00BF4AB8">
        <w:rPr>
          <w:snapToGrid w:val="0"/>
          <w:sz w:val="22"/>
        </w:rPr>
        <w:t xml:space="preserve"> </w:t>
      </w:r>
      <w:proofErr w:type="spellStart"/>
      <w:r w:rsidRPr="00BF4AB8">
        <w:rPr>
          <w:snapToGrid w:val="0"/>
          <w:sz w:val="22"/>
        </w:rPr>
        <w:t>nintedanibas</w:t>
      </w:r>
      <w:proofErr w:type="spellEnd"/>
      <w:r w:rsidRPr="00BF4AB8">
        <w:rPr>
          <w:snapToGrid w:val="0"/>
          <w:sz w:val="22"/>
        </w:rPr>
        <w:t xml:space="preserve"> nėra OATP-1B1, OATP-1B3, OATP-2B1, OCT-2 ar MRP-2</w:t>
      </w:r>
      <w:r w:rsidR="000C5668" w:rsidRPr="00BF4AB8">
        <w:rPr>
          <w:snapToGrid w:val="0"/>
          <w:sz w:val="22"/>
        </w:rPr>
        <w:t xml:space="preserve"> </w:t>
      </w:r>
      <w:r w:rsidRPr="00BF4AB8">
        <w:rPr>
          <w:snapToGrid w:val="0"/>
          <w:sz w:val="22"/>
        </w:rPr>
        <w:t xml:space="preserve">substratas ar inhibitorius. </w:t>
      </w:r>
      <w:proofErr w:type="spellStart"/>
      <w:r w:rsidRPr="00BF4AB8">
        <w:rPr>
          <w:snapToGrid w:val="0"/>
          <w:sz w:val="22"/>
        </w:rPr>
        <w:t>Nintedanibas</w:t>
      </w:r>
      <w:proofErr w:type="spellEnd"/>
      <w:r w:rsidRPr="00BF4AB8">
        <w:rPr>
          <w:snapToGrid w:val="0"/>
          <w:sz w:val="22"/>
        </w:rPr>
        <w:t xml:space="preserve"> taip pat nėra BCRP substratas. </w:t>
      </w:r>
      <w:proofErr w:type="spellStart"/>
      <w:r w:rsidRPr="00BF4AB8">
        <w:rPr>
          <w:i/>
          <w:iCs/>
          <w:snapToGrid w:val="0"/>
          <w:sz w:val="22"/>
        </w:rPr>
        <w:t>In</w:t>
      </w:r>
      <w:proofErr w:type="spellEnd"/>
      <w:r w:rsidRPr="00BF4AB8">
        <w:rPr>
          <w:i/>
          <w:iCs/>
          <w:snapToGrid w:val="0"/>
          <w:sz w:val="22"/>
        </w:rPr>
        <w:t xml:space="preserve"> </w:t>
      </w:r>
      <w:proofErr w:type="spellStart"/>
      <w:r w:rsidRPr="00BF4AB8">
        <w:rPr>
          <w:i/>
          <w:iCs/>
          <w:snapToGrid w:val="0"/>
          <w:sz w:val="22"/>
        </w:rPr>
        <w:t>vitro</w:t>
      </w:r>
      <w:proofErr w:type="spellEnd"/>
      <w:r w:rsidRPr="00BF4AB8">
        <w:rPr>
          <w:snapToGrid w:val="0"/>
          <w:sz w:val="22"/>
        </w:rPr>
        <w:t xml:space="preserve"> buvo nustatyta tik</w:t>
      </w:r>
      <w:r w:rsidR="000C5668" w:rsidRPr="00BF4AB8">
        <w:rPr>
          <w:snapToGrid w:val="0"/>
          <w:sz w:val="22"/>
        </w:rPr>
        <w:t xml:space="preserve"> </w:t>
      </w:r>
      <w:r w:rsidRPr="00BF4AB8">
        <w:rPr>
          <w:snapToGrid w:val="0"/>
          <w:sz w:val="22"/>
        </w:rPr>
        <w:t>silpna</w:t>
      </w:r>
      <w:r w:rsidR="000C5668" w:rsidRPr="00BF4AB8">
        <w:rPr>
          <w:snapToGrid w:val="0"/>
          <w:sz w:val="22"/>
        </w:rPr>
        <w:t>s</w:t>
      </w:r>
      <w:r w:rsidRPr="00BF4AB8">
        <w:rPr>
          <w:snapToGrid w:val="0"/>
          <w:sz w:val="22"/>
        </w:rPr>
        <w:t xml:space="preserve"> OCT-1, BCRP ir P-</w:t>
      </w:r>
      <w:proofErr w:type="spellStart"/>
      <w:r w:rsidRPr="00BF4AB8">
        <w:rPr>
          <w:snapToGrid w:val="0"/>
          <w:sz w:val="22"/>
        </w:rPr>
        <w:t>gp</w:t>
      </w:r>
      <w:proofErr w:type="spellEnd"/>
      <w:r w:rsidR="000C5668" w:rsidRPr="00BF4AB8">
        <w:rPr>
          <w:snapToGrid w:val="0"/>
          <w:sz w:val="22"/>
        </w:rPr>
        <w:t xml:space="preserve"> slopinamasis potencialas</w:t>
      </w:r>
      <w:r w:rsidRPr="00BF4AB8">
        <w:rPr>
          <w:snapToGrid w:val="0"/>
          <w:sz w:val="22"/>
        </w:rPr>
        <w:t>, kuri</w:t>
      </w:r>
      <w:r w:rsidR="000C5668" w:rsidRPr="00BF4AB8">
        <w:rPr>
          <w:snapToGrid w:val="0"/>
          <w:sz w:val="22"/>
        </w:rPr>
        <w:t>s yra</w:t>
      </w:r>
      <w:r w:rsidRPr="00BF4AB8">
        <w:rPr>
          <w:snapToGrid w:val="0"/>
          <w:sz w:val="22"/>
        </w:rPr>
        <w:t xml:space="preserve"> laikoma</w:t>
      </w:r>
      <w:r w:rsidR="000C5668" w:rsidRPr="00BF4AB8">
        <w:rPr>
          <w:snapToGrid w:val="0"/>
          <w:sz w:val="22"/>
        </w:rPr>
        <w:t>s</w:t>
      </w:r>
      <w:r w:rsidRPr="00BF4AB8">
        <w:rPr>
          <w:snapToGrid w:val="0"/>
          <w:sz w:val="22"/>
        </w:rPr>
        <w:t xml:space="preserve"> kliniškai nereikšming</w:t>
      </w:r>
      <w:r w:rsidR="000C5668" w:rsidRPr="00BF4AB8">
        <w:rPr>
          <w:snapToGrid w:val="0"/>
          <w:sz w:val="22"/>
        </w:rPr>
        <w:t>u</w:t>
      </w:r>
      <w:r w:rsidRPr="00BF4AB8">
        <w:rPr>
          <w:snapToGrid w:val="0"/>
          <w:sz w:val="22"/>
        </w:rPr>
        <w:t xml:space="preserve">. Tai </w:t>
      </w:r>
      <w:r w:rsidR="000C5668" w:rsidRPr="00BF4AB8">
        <w:rPr>
          <w:snapToGrid w:val="0"/>
          <w:sz w:val="22"/>
        </w:rPr>
        <w:t xml:space="preserve">taikytina ir </w:t>
      </w:r>
      <w:proofErr w:type="spellStart"/>
      <w:r w:rsidRPr="00BF4AB8">
        <w:rPr>
          <w:snapToGrid w:val="0"/>
          <w:sz w:val="22"/>
        </w:rPr>
        <w:t>nintedanib</w:t>
      </w:r>
      <w:r w:rsidR="000C5668" w:rsidRPr="00BF4AB8">
        <w:rPr>
          <w:snapToGrid w:val="0"/>
          <w:sz w:val="22"/>
        </w:rPr>
        <w:t>ui</w:t>
      </w:r>
      <w:proofErr w:type="spellEnd"/>
      <w:r w:rsidR="000C5668" w:rsidRPr="00BF4AB8">
        <w:rPr>
          <w:snapToGrid w:val="0"/>
          <w:sz w:val="22"/>
        </w:rPr>
        <w:t xml:space="preserve"> kaip</w:t>
      </w:r>
      <w:r w:rsidRPr="00BF4AB8">
        <w:rPr>
          <w:snapToGrid w:val="0"/>
          <w:sz w:val="22"/>
        </w:rPr>
        <w:t xml:space="preserve"> OCT-1 substratu</w:t>
      </w:r>
      <w:r w:rsidR="000C5668" w:rsidRPr="00BF4AB8">
        <w:rPr>
          <w:snapToGrid w:val="0"/>
          <w:sz w:val="22"/>
        </w:rPr>
        <w:t>i</w:t>
      </w:r>
      <w:r w:rsidRPr="00BF4AB8">
        <w:rPr>
          <w:snapToGrid w:val="0"/>
          <w:sz w:val="22"/>
        </w:rPr>
        <w:t>.</w:t>
      </w:r>
    </w:p>
    <w:p w14:paraId="77D77DDB" w14:textId="77777777" w:rsidR="000C5668" w:rsidRPr="00BF4AB8" w:rsidRDefault="000C5668" w:rsidP="00AC48E9">
      <w:pPr>
        <w:tabs>
          <w:tab w:val="left" w:pos="567"/>
        </w:tabs>
        <w:contextualSpacing/>
        <w:outlineLvl w:val="0"/>
        <w:rPr>
          <w:snapToGrid w:val="0"/>
          <w:sz w:val="22"/>
        </w:rPr>
      </w:pPr>
    </w:p>
    <w:p w14:paraId="4999B784" w14:textId="2E1907C2" w:rsidR="00AC48E9" w:rsidRPr="00BF4AB8" w:rsidRDefault="00AC48E9" w:rsidP="00AC48E9">
      <w:pPr>
        <w:tabs>
          <w:tab w:val="left" w:pos="567"/>
        </w:tabs>
        <w:contextualSpacing/>
        <w:outlineLvl w:val="0"/>
        <w:rPr>
          <w:snapToGrid w:val="0"/>
          <w:sz w:val="22"/>
          <w:u w:val="single"/>
        </w:rPr>
      </w:pPr>
      <w:r w:rsidRPr="00BF4AB8">
        <w:rPr>
          <w:snapToGrid w:val="0"/>
          <w:sz w:val="22"/>
          <w:u w:val="single"/>
        </w:rPr>
        <w:t xml:space="preserve">Santykis tarp </w:t>
      </w:r>
      <w:proofErr w:type="spellStart"/>
      <w:r w:rsidRPr="00BF4AB8">
        <w:rPr>
          <w:snapToGrid w:val="0"/>
          <w:sz w:val="22"/>
          <w:u w:val="single"/>
        </w:rPr>
        <w:t>farmakokinetikos</w:t>
      </w:r>
      <w:proofErr w:type="spellEnd"/>
      <w:r w:rsidRPr="00BF4AB8">
        <w:rPr>
          <w:snapToGrid w:val="0"/>
          <w:sz w:val="22"/>
          <w:u w:val="single"/>
        </w:rPr>
        <w:t xml:space="preserve"> ir farmakodinamikos</w:t>
      </w:r>
    </w:p>
    <w:p w14:paraId="5364F385" w14:textId="1BEBF543" w:rsidR="00AC48E9" w:rsidRPr="00BF4AB8" w:rsidRDefault="00AC48E9" w:rsidP="00AC48E9">
      <w:pPr>
        <w:tabs>
          <w:tab w:val="left" w:pos="567"/>
        </w:tabs>
        <w:contextualSpacing/>
        <w:outlineLvl w:val="0"/>
        <w:rPr>
          <w:snapToGrid w:val="0"/>
          <w:sz w:val="22"/>
        </w:rPr>
      </w:pPr>
      <w:r w:rsidRPr="00BF4AB8">
        <w:rPr>
          <w:snapToGrid w:val="0"/>
          <w:sz w:val="22"/>
        </w:rPr>
        <w:t>Žvalgomo</w:t>
      </w:r>
      <w:r w:rsidR="0090482C" w:rsidRPr="00BF4AB8">
        <w:rPr>
          <w:snapToGrid w:val="0"/>
          <w:sz w:val="22"/>
        </w:rPr>
        <w:t>ji</w:t>
      </w:r>
      <w:r w:rsidRPr="00BF4AB8">
        <w:rPr>
          <w:snapToGrid w:val="0"/>
          <w:sz w:val="22"/>
        </w:rPr>
        <w:t xml:space="preserve"> </w:t>
      </w:r>
      <w:proofErr w:type="spellStart"/>
      <w:r w:rsidRPr="00BF4AB8">
        <w:rPr>
          <w:snapToGrid w:val="0"/>
          <w:sz w:val="22"/>
        </w:rPr>
        <w:t>farmakokinetikos</w:t>
      </w:r>
      <w:proofErr w:type="spellEnd"/>
      <w:r w:rsidRPr="00BF4AB8">
        <w:rPr>
          <w:snapToGrid w:val="0"/>
          <w:sz w:val="22"/>
        </w:rPr>
        <w:t xml:space="preserve"> nepageidaujamų reiškinių analizė rodo</w:t>
      </w:r>
      <w:r w:rsidR="0090482C" w:rsidRPr="00BF4AB8">
        <w:rPr>
          <w:snapToGrid w:val="0"/>
          <w:sz w:val="22"/>
        </w:rPr>
        <w:t xml:space="preserve"> tendenciją</w:t>
      </w:r>
      <w:r w:rsidRPr="00BF4AB8">
        <w:rPr>
          <w:snapToGrid w:val="0"/>
          <w:sz w:val="22"/>
        </w:rPr>
        <w:t>, kad didesnė</w:t>
      </w:r>
      <w:r w:rsidR="0090482C" w:rsidRPr="00BF4AB8">
        <w:rPr>
          <w:snapToGrid w:val="0"/>
          <w:sz w:val="22"/>
        </w:rPr>
        <w:t xml:space="preserve"> </w:t>
      </w:r>
      <w:proofErr w:type="spellStart"/>
      <w:r w:rsidRPr="00BF4AB8">
        <w:rPr>
          <w:snapToGrid w:val="0"/>
          <w:sz w:val="22"/>
        </w:rPr>
        <w:t>nintedanibo</w:t>
      </w:r>
      <w:proofErr w:type="spellEnd"/>
      <w:r w:rsidRPr="00BF4AB8">
        <w:rPr>
          <w:snapToGrid w:val="0"/>
          <w:sz w:val="22"/>
        </w:rPr>
        <w:t xml:space="preserve"> ekspozicija </w:t>
      </w:r>
      <w:r w:rsidR="0090482C" w:rsidRPr="00BF4AB8">
        <w:rPr>
          <w:snapToGrid w:val="0"/>
          <w:sz w:val="22"/>
        </w:rPr>
        <w:t>gali</w:t>
      </w:r>
      <w:r w:rsidRPr="00BF4AB8">
        <w:rPr>
          <w:snapToGrid w:val="0"/>
          <w:sz w:val="22"/>
        </w:rPr>
        <w:t xml:space="preserve"> būti susijusi su kepenų fermentų </w:t>
      </w:r>
      <w:r w:rsidR="0090482C" w:rsidRPr="00BF4AB8">
        <w:rPr>
          <w:snapToGrid w:val="0"/>
          <w:sz w:val="22"/>
        </w:rPr>
        <w:t>aktyvumo</w:t>
      </w:r>
      <w:r w:rsidRPr="00BF4AB8">
        <w:rPr>
          <w:snapToGrid w:val="0"/>
          <w:sz w:val="22"/>
        </w:rPr>
        <w:t xml:space="preserve"> padidėjimu, bet ne su</w:t>
      </w:r>
      <w:r w:rsidR="0090482C" w:rsidRPr="00BF4AB8">
        <w:rPr>
          <w:snapToGrid w:val="0"/>
          <w:sz w:val="22"/>
        </w:rPr>
        <w:t xml:space="preserve"> </w:t>
      </w:r>
      <w:r w:rsidRPr="00BF4AB8">
        <w:rPr>
          <w:snapToGrid w:val="0"/>
          <w:sz w:val="22"/>
        </w:rPr>
        <w:t>virškinimo trakto nepageidaujamais reiškiniais.</w:t>
      </w:r>
    </w:p>
    <w:p w14:paraId="210424BC" w14:textId="77777777" w:rsidR="00AC48E9" w:rsidRPr="00BF4AB8" w:rsidRDefault="00AC48E9" w:rsidP="00AC48E9">
      <w:pPr>
        <w:tabs>
          <w:tab w:val="left" w:pos="567"/>
        </w:tabs>
        <w:contextualSpacing/>
        <w:outlineLvl w:val="0"/>
        <w:rPr>
          <w:snapToGrid w:val="0"/>
          <w:sz w:val="22"/>
        </w:rPr>
      </w:pPr>
      <w:r w:rsidRPr="00BF4AB8">
        <w:rPr>
          <w:snapToGrid w:val="0"/>
          <w:sz w:val="22"/>
        </w:rPr>
        <w:t xml:space="preserve">Klinikinėms vertinamosioms baigtims </w:t>
      </w:r>
      <w:proofErr w:type="spellStart"/>
      <w:r w:rsidRPr="00BF4AB8">
        <w:rPr>
          <w:snapToGrid w:val="0"/>
          <w:sz w:val="22"/>
        </w:rPr>
        <w:t>farmakokinetikos</w:t>
      </w:r>
      <w:proofErr w:type="spellEnd"/>
      <w:r w:rsidRPr="00BF4AB8">
        <w:rPr>
          <w:snapToGrid w:val="0"/>
          <w:sz w:val="22"/>
        </w:rPr>
        <w:t xml:space="preserve"> (FK)</w:t>
      </w:r>
      <w:r w:rsidR="0090482C" w:rsidRPr="00BF4AB8">
        <w:rPr>
          <w:snapToGrid w:val="0"/>
          <w:sz w:val="22"/>
        </w:rPr>
        <w:t>-</w:t>
      </w:r>
      <w:r w:rsidRPr="00BF4AB8">
        <w:rPr>
          <w:snapToGrid w:val="0"/>
          <w:sz w:val="22"/>
        </w:rPr>
        <w:t>veiksmingumo</w:t>
      </w:r>
      <w:r w:rsidR="0090482C" w:rsidRPr="00BF4AB8">
        <w:rPr>
          <w:snapToGrid w:val="0"/>
          <w:sz w:val="22"/>
        </w:rPr>
        <w:t xml:space="preserve"> </w:t>
      </w:r>
      <w:r w:rsidRPr="00BF4AB8">
        <w:rPr>
          <w:snapToGrid w:val="0"/>
          <w:sz w:val="22"/>
        </w:rPr>
        <w:t>analizės</w:t>
      </w:r>
      <w:r w:rsidR="0090482C" w:rsidRPr="00BF4AB8">
        <w:rPr>
          <w:snapToGrid w:val="0"/>
          <w:sz w:val="22"/>
        </w:rPr>
        <w:t xml:space="preserve"> nebuvo atliekamos</w:t>
      </w:r>
      <w:r w:rsidRPr="00BF4AB8">
        <w:rPr>
          <w:snapToGrid w:val="0"/>
          <w:sz w:val="22"/>
        </w:rPr>
        <w:t xml:space="preserve">. Logistinė regresija </w:t>
      </w:r>
      <w:r w:rsidR="0090482C" w:rsidRPr="00BF4AB8">
        <w:rPr>
          <w:snapToGrid w:val="0"/>
          <w:sz w:val="22"/>
        </w:rPr>
        <w:t>parodė</w:t>
      </w:r>
      <w:r w:rsidRPr="00BF4AB8">
        <w:rPr>
          <w:snapToGrid w:val="0"/>
          <w:sz w:val="22"/>
        </w:rPr>
        <w:t xml:space="preserve"> statistiškai reikšmingą ryšį tarp </w:t>
      </w:r>
      <w:proofErr w:type="spellStart"/>
      <w:r w:rsidRPr="00BF4AB8">
        <w:rPr>
          <w:snapToGrid w:val="0"/>
          <w:sz w:val="22"/>
        </w:rPr>
        <w:t>nintedanibo</w:t>
      </w:r>
      <w:proofErr w:type="spellEnd"/>
      <w:r w:rsidR="0090482C" w:rsidRPr="00BF4AB8">
        <w:rPr>
          <w:snapToGrid w:val="0"/>
          <w:sz w:val="22"/>
        </w:rPr>
        <w:t xml:space="preserve"> </w:t>
      </w:r>
      <w:r w:rsidRPr="00BF4AB8">
        <w:rPr>
          <w:snapToGrid w:val="0"/>
          <w:sz w:val="22"/>
        </w:rPr>
        <w:t xml:space="preserve">ekspozicijos ir DCE-MRT </w:t>
      </w:r>
      <w:r w:rsidR="0090482C" w:rsidRPr="00BF4AB8">
        <w:rPr>
          <w:snapToGrid w:val="0"/>
          <w:sz w:val="22"/>
        </w:rPr>
        <w:t>nustatomo</w:t>
      </w:r>
      <w:r w:rsidRPr="00BF4AB8">
        <w:rPr>
          <w:snapToGrid w:val="0"/>
          <w:sz w:val="22"/>
        </w:rPr>
        <w:t xml:space="preserve"> atsako.</w:t>
      </w:r>
    </w:p>
    <w:p w14:paraId="441AEA44" w14:textId="77777777" w:rsidR="0090482C" w:rsidRPr="00BF4AB8" w:rsidRDefault="0090482C" w:rsidP="00AC48E9">
      <w:pPr>
        <w:tabs>
          <w:tab w:val="left" w:pos="567"/>
        </w:tabs>
        <w:contextualSpacing/>
        <w:outlineLvl w:val="0"/>
        <w:rPr>
          <w:snapToGrid w:val="0"/>
          <w:sz w:val="22"/>
        </w:rPr>
      </w:pPr>
    </w:p>
    <w:p w14:paraId="3702029C" w14:textId="77777777" w:rsidR="00AC48E9" w:rsidRPr="00BF4AB8" w:rsidRDefault="00AC48E9" w:rsidP="00AC48E9">
      <w:pPr>
        <w:tabs>
          <w:tab w:val="left" w:pos="567"/>
        </w:tabs>
        <w:contextualSpacing/>
        <w:outlineLvl w:val="0"/>
        <w:rPr>
          <w:snapToGrid w:val="0"/>
          <w:sz w:val="22"/>
          <w:u w:val="single"/>
        </w:rPr>
      </w:pPr>
      <w:r w:rsidRPr="00BF4AB8">
        <w:rPr>
          <w:snapToGrid w:val="0"/>
          <w:sz w:val="22"/>
          <w:u w:val="single"/>
        </w:rPr>
        <w:t xml:space="preserve">Populiacijos </w:t>
      </w:r>
      <w:proofErr w:type="spellStart"/>
      <w:r w:rsidRPr="00BF4AB8">
        <w:rPr>
          <w:snapToGrid w:val="0"/>
          <w:sz w:val="22"/>
          <w:u w:val="single"/>
        </w:rPr>
        <w:t>farmakokinetikos</w:t>
      </w:r>
      <w:proofErr w:type="spellEnd"/>
      <w:r w:rsidRPr="00BF4AB8">
        <w:rPr>
          <w:snapToGrid w:val="0"/>
          <w:sz w:val="22"/>
          <w:u w:val="single"/>
        </w:rPr>
        <w:t xml:space="preserve"> analizė ypatingose populiacijose</w:t>
      </w:r>
    </w:p>
    <w:p w14:paraId="39B4B887" w14:textId="2D378B44" w:rsidR="00AC48E9" w:rsidRPr="00BF4AB8" w:rsidRDefault="00AC48E9" w:rsidP="00AC48E9">
      <w:pPr>
        <w:tabs>
          <w:tab w:val="left" w:pos="567"/>
        </w:tabs>
        <w:contextualSpacing/>
        <w:outlineLvl w:val="0"/>
        <w:rPr>
          <w:snapToGrid w:val="0"/>
          <w:sz w:val="22"/>
        </w:rPr>
      </w:pPr>
      <w:proofErr w:type="spellStart"/>
      <w:r w:rsidRPr="00BF4AB8">
        <w:rPr>
          <w:snapToGrid w:val="0"/>
          <w:sz w:val="22"/>
        </w:rPr>
        <w:t>Nintedanibo</w:t>
      </w:r>
      <w:proofErr w:type="spellEnd"/>
      <w:r w:rsidRPr="00BF4AB8">
        <w:rPr>
          <w:snapToGrid w:val="0"/>
          <w:sz w:val="22"/>
        </w:rPr>
        <w:t xml:space="preserve"> </w:t>
      </w:r>
      <w:proofErr w:type="spellStart"/>
      <w:r w:rsidRPr="00BF4AB8">
        <w:rPr>
          <w:snapToGrid w:val="0"/>
          <w:sz w:val="22"/>
        </w:rPr>
        <w:t>farmakokinetinės</w:t>
      </w:r>
      <w:proofErr w:type="spellEnd"/>
      <w:r w:rsidRPr="00BF4AB8">
        <w:rPr>
          <w:snapToGrid w:val="0"/>
          <w:sz w:val="22"/>
        </w:rPr>
        <w:t xml:space="preserve"> savybės buvo panašios sveikų savanorių, vėžių sergančių pacientų ir</w:t>
      </w:r>
      <w:r w:rsidRPr="00BF4AB8">
        <w:rPr>
          <w:snapToGrid w:val="0"/>
          <w:sz w:val="22"/>
        </w:rPr>
        <w:cr/>
        <w:t xml:space="preserve">tikslinės populiacijos pacientų organizme. </w:t>
      </w:r>
      <w:r w:rsidR="00EC1314" w:rsidRPr="00BF4AB8">
        <w:rPr>
          <w:snapToGrid w:val="0"/>
          <w:sz w:val="22"/>
        </w:rPr>
        <w:t>L</w:t>
      </w:r>
      <w:r w:rsidRPr="00BF4AB8">
        <w:rPr>
          <w:snapToGrid w:val="0"/>
          <w:sz w:val="22"/>
        </w:rPr>
        <w:t>ytis (</w:t>
      </w:r>
      <w:r w:rsidR="00EC1314" w:rsidRPr="00BF4AB8">
        <w:rPr>
          <w:snapToGrid w:val="0"/>
          <w:sz w:val="22"/>
        </w:rPr>
        <w:t xml:space="preserve">koreguojant pagal </w:t>
      </w:r>
      <w:r w:rsidRPr="00BF4AB8">
        <w:rPr>
          <w:snapToGrid w:val="0"/>
          <w:sz w:val="22"/>
        </w:rPr>
        <w:t>kūno svor</w:t>
      </w:r>
      <w:r w:rsidR="00EC1314" w:rsidRPr="00BF4AB8">
        <w:rPr>
          <w:snapToGrid w:val="0"/>
          <w:sz w:val="22"/>
        </w:rPr>
        <w:t>į</w:t>
      </w:r>
      <w:r w:rsidRPr="00BF4AB8">
        <w:rPr>
          <w:snapToGrid w:val="0"/>
          <w:sz w:val="22"/>
        </w:rPr>
        <w:t xml:space="preserve">), lengvas ar vidutinio </w:t>
      </w:r>
      <w:r w:rsidRPr="00BF4AB8">
        <w:rPr>
          <w:snapToGrid w:val="0"/>
          <w:sz w:val="22"/>
        </w:rPr>
        <w:lastRenderedPageBreak/>
        <w:t xml:space="preserve">sunkumo inkstų funkcijos sutrikimas (vertinamas pagal </w:t>
      </w:r>
      <w:proofErr w:type="spellStart"/>
      <w:r w:rsidRPr="00BF4AB8">
        <w:rPr>
          <w:snapToGrid w:val="0"/>
          <w:sz w:val="22"/>
        </w:rPr>
        <w:t>kreatinino</w:t>
      </w:r>
      <w:proofErr w:type="spellEnd"/>
      <w:r w:rsidR="00EC1314" w:rsidRPr="00BF4AB8">
        <w:rPr>
          <w:snapToGrid w:val="0"/>
          <w:sz w:val="22"/>
        </w:rPr>
        <w:t xml:space="preserve"> </w:t>
      </w:r>
      <w:r w:rsidRPr="00BF4AB8">
        <w:rPr>
          <w:snapToGrid w:val="0"/>
          <w:sz w:val="22"/>
        </w:rPr>
        <w:t xml:space="preserve">klirensą), metastazės kepenyse, ECOG </w:t>
      </w:r>
      <w:r w:rsidR="00EC1314" w:rsidRPr="00BF4AB8">
        <w:rPr>
          <w:snapToGrid w:val="0"/>
          <w:sz w:val="22"/>
        </w:rPr>
        <w:t>funkcinės būklės įvertinimas</w:t>
      </w:r>
      <w:r w:rsidRPr="00BF4AB8">
        <w:rPr>
          <w:snapToGrid w:val="0"/>
          <w:sz w:val="22"/>
        </w:rPr>
        <w:t>, alkoholio vartojimas ir P-</w:t>
      </w:r>
      <w:proofErr w:type="spellStart"/>
      <w:r w:rsidRPr="00BF4AB8">
        <w:rPr>
          <w:snapToGrid w:val="0"/>
          <w:sz w:val="22"/>
        </w:rPr>
        <w:t>gp</w:t>
      </w:r>
      <w:proofErr w:type="spellEnd"/>
      <w:r w:rsidRPr="00BF4AB8">
        <w:rPr>
          <w:snapToGrid w:val="0"/>
          <w:sz w:val="22"/>
        </w:rPr>
        <w:t xml:space="preserve"> genotipas</w:t>
      </w:r>
      <w:r w:rsidR="00EC1314" w:rsidRPr="00BF4AB8">
        <w:rPr>
          <w:snapToGrid w:val="0"/>
          <w:sz w:val="22"/>
        </w:rPr>
        <w:t xml:space="preserve"> įtakos </w:t>
      </w:r>
      <w:proofErr w:type="spellStart"/>
      <w:r w:rsidR="00EC1314" w:rsidRPr="00BF4AB8">
        <w:rPr>
          <w:snapToGrid w:val="0"/>
          <w:sz w:val="22"/>
        </w:rPr>
        <w:t>nintedanibo</w:t>
      </w:r>
      <w:proofErr w:type="spellEnd"/>
      <w:r w:rsidR="00EC1314" w:rsidRPr="00BF4AB8">
        <w:rPr>
          <w:snapToGrid w:val="0"/>
          <w:sz w:val="22"/>
        </w:rPr>
        <w:t xml:space="preserve"> ekspozicijai nedarė</w:t>
      </w:r>
      <w:r w:rsidRPr="00BF4AB8">
        <w:rPr>
          <w:snapToGrid w:val="0"/>
          <w:sz w:val="22"/>
        </w:rPr>
        <w:t>.</w:t>
      </w:r>
    </w:p>
    <w:p w14:paraId="632AEAFE" w14:textId="77777777" w:rsidR="0090482C" w:rsidRPr="00BF4AB8" w:rsidRDefault="0090482C" w:rsidP="00AC48E9">
      <w:pPr>
        <w:tabs>
          <w:tab w:val="left" w:pos="567"/>
        </w:tabs>
        <w:contextualSpacing/>
        <w:outlineLvl w:val="0"/>
        <w:rPr>
          <w:snapToGrid w:val="0"/>
          <w:sz w:val="22"/>
        </w:rPr>
      </w:pPr>
    </w:p>
    <w:p w14:paraId="615A921C" w14:textId="2279C889" w:rsidR="00AC48E9" w:rsidRPr="00BF4AB8" w:rsidRDefault="00AC48E9" w:rsidP="00AC48E9">
      <w:pPr>
        <w:tabs>
          <w:tab w:val="left" w:pos="567"/>
        </w:tabs>
        <w:contextualSpacing/>
        <w:outlineLvl w:val="0"/>
        <w:rPr>
          <w:snapToGrid w:val="0"/>
          <w:sz w:val="22"/>
        </w:rPr>
      </w:pPr>
      <w:r w:rsidRPr="00BF4AB8">
        <w:rPr>
          <w:snapToGrid w:val="0"/>
          <w:sz w:val="22"/>
        </w:rPr>
        <w:t xml:space="preserve">Populiacijos FK analizės parodė </w:t>
      </w:r>
      <w:r w:rsidR="00EC1314" w:rsidRPr="00BF4AB8">
        <w:rPr>
          <w:snapToGrid w:val="0"/>
          <w:sz w:val="22"/>
        </w:rPr>
        <w:t>vidutinio stiprumo</w:t>
      </w:r>
      <w:r w:rsidRPr="00BF4AB8">
        <w:rPr>
          <w:snapToGrid w:val="0"/>
          <w:sz w:val="22"/>
        </w:rPr>
        <w:t xml:space="preserve"> poveikį </w:t>
      </w:r>
      <w:proofErr w:type="spellStart"/>
      <w:r w:rsidRPr="00BF4AB8">
        <w:rPr>
          <w:snapToGrid w:val="0"/>
          <w:sz w:val="22"/>
        </w:rPr>
        <w:t>nintedanibo</w:t>
      </w:r>
      <w:proofErr w:type="spellEnd"/>
      <w:r w:rsidRPr="00BF4AB8">
        <w:rPr>
          <w:snapToGrid w:val="0"/>
          <w:sz w:val="22"/>
        </w:rPr>
        <w:t xml:space="preserve"> ekspozicijai</w:t>
      </w:r>
      <w:r w:rsidR="00EC1314" w:rsidRPr="00BF4AB8">
        <w:rPr>
          <w:snapToGrid w:val="0"/>
          <w:sz w:val="22"/>
        </w:rPr>
        <w:t xml:space="preserve"> priklausomai </w:t>
      </w:r>
      <w:r w:rsidRPr="00BF4AB8">
        <w:rPr>
          <w:snapToGrid w:val="0"/>
          <w:sz w:val="22"/>
        </w:rPr>
        <w:t>nuo amžiaus,</w:t>
      </w:r>
      <w:r w:rsidR="00EC1314" w:rsidRPr="00BF4AB8">
        <w:rPr>
          <w:snapToGrid w:val="0"/>
          <w:sz w:val="22"/>
        </w:rPr>
        <w:t xml:space="preserve"> k</w:t>
      </w:r>
      <w:r w:rsidRPr="00BF4AB8">
        <w:rPr>
          <w:snapToGrid w:val="0"/>
          <w:sz w:val="22"/>
        </w:rPr>
        <w:t xml:space="preserve">ūno </w:t>
      </w:r>
      <w:r w:rsidR="00EC1314" w:rsidRPr="00BF4AB8">
        <w:rPr>
          <w:snapToGrid w:val="0"/>
          <w:sz w:val="22"/>
        </w:rPr>
        <w:t>svorio</w:t>
      </w:r>
      <w:r w:rsidRPr="00BF4AB8">
        <w:rPr>
          <w:snapToGrid w:val="0"/>
          <w:sz w:val="22"/>
        </w:rPr>
        <w:t xml:space="preserve"> ir rasės (žr. toliau). </w:t>
      </w:r>
      <w:r w:rsidR="00EC1314" w:rsidRPr="00BF4AB8">
        <w:rPr>
          <w:snapToGrid w:val="0"/>
          <w:sz w:val="22"/>
        </w:rPr>
        <w:t xml:space="preserve">Atsižvelgiant į didelius ekspozicijos skirtumus skirtingų pacientų organizme </w:t>
      </w:r>
      <w:r w:rsidRPr="00BF4AB8">
        <w:rPr>
          <w:snapToGrid w:val="0"/>
          <w:sz w:val="22"/>
        </w:rPr>
        <w:t xml:space="preserve">klinikinio </w:t>
      </w:r>
      <w:r w:rsidR="00EC1314" w:rsidRPr="00BF4AB8">
        <w:rPr>
          <w:snapToGrid w:val="0"/>
          <w:sz w:val="22"/>
        </w:rPr>
        <w:t xml:space="preserve">tyrimo </w:t>
      </w:r>
      <w:r w:rsidRPr="00BF4AB8">
        <w:rPr>
          <w:snapToGrid w:val="0"/>
          <w:sz w:val="22"/>
        </w:rPr>
        <w:t>LUME-Lung-1</w:t>
      </w:r>
      <w:r w:rsidR="00EC1314" w:rsidRPr="00BF4AB8">
        <w:rPr>
          <w:snapToGrid w:val="0"/>
          <w:sz w:val="22"/>
        </w:rPr>
        <w:t> </w:t>
      </w:r>
      <w:r w:rsidRPr="00BF4AB8">
        <w:rPr>
          <w:snapToGrid w:val="0"/>
          <w:sz w:val="22"/>
        </w:rPr>
        <w:t>metu, manoma, kad šis poveikis nėra kliniškai reikšmingas. Vis dėlto</w:t>
      </w:r>
      <w:r w:rsidR="00EC1314" w:rsidRPr="00BF4AB8">
        <w:rPr>
          <w:snapToGrid w:val="0"/>
          <w:sz w:val="22"/>
        </w:rPr>
        <w:t xml:space="preserve"> </w:t>
      </w:r>
      <w:r w:rsidRPr="00BF4AB8">
        <w:rPr>
          <w:snapToGrid w:val="0"/>
          <w:sz w:val="22"/>
        </w:rPr>
        <w:t xml:space="preserve">pacientus, turinčius kelis iš šių rizikos veiksnių, </w:t>
      </w:r>
      <w:r w:rsidR="00EC1314" w:rsidRPr="00BF4AB8">
        <w:rPr>
          <w:snapToGrid w:val="0"/>
          <w:sz w:val="22"/>
        </w:rPr>
        <w:t>rekomenduojama</w:t>
      </w:r>
      <w:r w:rsidRPr="00BF4AB8">
        <w:rPr>
          <w:snapToGrid w:val="0"/>
          <w:sz w:val="22"/>
        </w:rPr>
        <w:t xml:space="preserve"> atidžiai stebėti (žr. 4.4</w:t>
      </w:r>
      <w:r w:rsidR="00EC1314" w:rsidRPr="00BF4AB8">
        <w:rPr>
          <w:snapToGrid w:val="0"/>
          <w:sz w:val="22"/>
        </w:rPr>
        <w:t> </w:t>
      </w:r>
      <w:r w:rsidRPr="00BF4AB8">
        <w:rPr>
          <w:snapToGrid w:val="0"/>
          <w:sz w:val="22"/>
        </w:rPr>
        <w:t>skyrių).</w:t>
      </w:r>
    </w:p>
    <w:p w14:paraId="008607B1" w14:textId="77777777" w:rsidR="0090482C" w:rsidRPr="00BF4AB8" w:rsidRDefault="0090482C" w:rsidP="00AC48E9">
      <w:pPr>
        <w:tabs>
          <w:tab w:val="left" w:pos="567"/>
        </w:tabs>
        <w:contextualSpacing/>
        <w:outlineLvl w:val="0"/>
        <w:rPr>
          <w:snapToGrid w:val="0"/>
          <w:sz w:val="22"/>
        </w:rPr>
      </w:pPr>
    </w:p>
    <w:p w14:paraId="615A0B90" w14:textId="6517E935" w:rsidR="00AC48E9" w:rsidRPr="00BF4AB8" w:rsidRDefault="00AC48E9" w:rsidP="00AC48E9">
      <w:pPr>
        <w:tabs>
          <w:tab w:val="left" w:pos="567"/>
        </w:tabs>
        <w:contextualSpacing/>
        <w:outlineLvl w:val="0"/>
        <w:rPr>
          <w:i/>
          <w:iCs/>
          <w:snapToGrid w:val="0"/>
          <w:sz w:val="22"/>
        </w:rPr>
      </w:pPr>
      <w:r w:rsidRPr="00BF4AB8">
        <w:rPr>
          <w:i/>
          <w:iCs/>
          <w:snapToGrid w:val="0"/>
          <w:sz w:val="22"/>
        </w:rPr>
        <w:t>Amžius</w:t>
      </w:r>
    </w:p>
    <w:p w14:paraId="122F17BD" w14:textId="6096E974" w:rsidR="00AC48E9" w:rsidRPr="00BF4AB8" w:rsidRDefault="00AC48E9" w:rsidP="00AC48E9">
      <w:pPr>
        <w:tabs>
          <w:tab w:val="left" w:pos="567"/>
        </w:tabs>
        <w:contextualSpacing/>
        <w:outlineLvl w:val="0"/>
        <w:rPr>
          <w:snapToGrid w:val="0"/>
          <w:sz w:val="22"/>
        </w:rPr>
      </w:pPr>
      <w:proofErr w:type="spellStart"/>
      <w:r w:rsidRPr="00BF4AB8">
        <w:rPr>
          <w:snapToGrid w:val="0"/>
          <w:sz w:val="22"/>
        </w:rPr>
        <w:t>Nintedanibo</w:t>
      </w:r>
      <w:proofErr w:type="spellEnd"/>
      <w:r w:rsidRPr="00BF4AB8">
        <w:rPr>
          <w:snapToGrid w:val="0"/>
          <w:sz w:val="22"/>
        </w:rPr>
        <w:t xml:space="preserve"> ekspozicija </w:t>
      </w:r>
      <w:r w:rsidR="00574A33" w:rsidRPr="00BF4AB8">
        <w:rPr>
          <w:snapToGrid w:val="0"/>
          <w:sz w:val="22"/>
        </w:rPr>
        <w:t>senstant</w:t>
      </w:r>
      <w:r w:rsidRPr="00BF4AB8">
        <w:rPr>
          <w:snapToGrid w:val="0"/>
          <w:sz w:val="22"/>
        </w:rPr>
        <w:t xml:space="preserve"> didėja tiesiniu </w:t>
      </w:r>
      <w:r w:rsidR="00574A33" w:rsidRPr="00BF4AB8">
        <w:rPr>
          <w:snapToGrid w:val="0"/>
          <w:sz w:val="22"/>
        </w:rPr>
        <w:t>pobūdžiu</w:t>
      </w:r>
      <w:r w:rsidRPr="00BF4AB8">
        <w:rPr>
          <w:snapToGrid w:val="0"/>
          <w:sz w:val="22"/>
        </w:rPr>
        <w:t>. Palyginti su pacientais, kurių amžiaus</w:t>
      </w:r>
      <w:r w:rsidR="00574A33" w:rsidRPr="00BF4AB8">
        <w:rPr>
          <w:snapToGrid w:val="0"/>
          <w:sz w:val="22"/>
        </w:rPr>
        <w:t xml:space="preserve"> mediana buvo</w:t>
      </w:r>
      <w:r w:rsidRPr="00BF4AB8">
        <w:rPr>
          <w:snapToGrid w:val="0"/>
          <w:sz w:val="22"/>
        </w:rPr>
        <w:t xml:space="preserve"> 62</w:t>
      </w:r>
      <w:r w:rsidR="00574A33" w:rsidRPr="00BF4AB8">
        <w:rPr>
          <w:snapToGrid w:val="0"/>
          <w:sz w:val="22"/>
        </w:rPr>
        <w:t> </w:t>
      </w:r>
      <w:r w:rsidRPr="00BF4AB8">
        <w:rPr>
          <w:snapToGrid w:val="0"/>
          <w:sz w:val="22"/>
        </w:rPr>
        <w:t>metai, 45</w:t>
      </w:r>
      <w:r w:rsidR="00574A33" w:rsidRPr="00BF4AB8">
        <w:rPr>
          <w:snapToGrid w:val="0"/>
          <w:sz w:val="22"/>
        </w:rPr>
        <w:t> </w:t>
      </w:r>
      <w:r w:rsidRPr="00BF4AB8">
        <w:rPr>
          <w:snapToGrid w:val="0"/>
          <w:sz w:val="22"/>
        </w:rPr>
        <w:t xml:space="preserve">metų pacientų organizme </w:t>
      </w:r>
      <w:proofErr w:type="spellStart"/>
      <w:r w:rsidRPr="00BF4AB8">
        <w:rPr>
          <w:snapToGrid w:val="0"/>
          <w:sz w:val="22"/>
        </w:rPr>
        <w:t>AUC</w:t>
      </w:r>
      <w:r w:rsidRPr="00BF4AB8">
        <w:rPr>
          <w:snapToGrid w:val="0"/>
          <w:sz w:val="22"/>
          <w:vertAlign w:val="subscript"/>
        </w:rPr>
        <w:t>τ,ss</w:t>
      </w:r>
      <w:proofErr w:type="spellEnd"/>
      <w:r w:rsidRPr="00BF4AB8">
        <w:rPr>
          <w:snapToGrid w:val="0"/>
          <w:sz w:val="22"/>
        </w:rPr>
        <w:t xml:space="preserve"> </w:t>
      </w:r>
      <w:r w:rsidR="00574A33" w:rsidRPr="00BF4AB8">
        <w:rPr>
          <w:snapToGrid w:val="0"/>
          <w:sz w:val="22"/>
        </w:rPr>
        <w:t xml:space="preserve">buvo </w:t>
      </w:r>
      <w:r w:rsidRPr="00BF4AB8">
        <w:rPr>
          <w:snapToGrid w:val="0"/>
          <w:sz w:val="22"/>
        </w:rPr>
        <w:t>mažesnis 16 % (5</w:t>
      </w:r>
      <w:r w:rsidR="00574A33" w:rsidRPr="00BF4AB8">
        <w:rPr>
          <w:snapToGrid w:val="0"/>
          <w:sz w:val="22"/>
        </w:rPr>
        <w:t> </w:t>
      </w:r>
      <w:proofErr w:type="spellStart"/>
      <w:r w:rsidRPr="00BF4AB8">
        <w:rPr>
          <w:snapToGrid w:val="0"/>
          <w:sz w:val="22"/>
        </w:rPr>
        <w:t>procentilė</w:t>
      </w:r>
      <w:proofErr w:type="spellEnd"/>
      <w:r w:rsidRPr="00BF4AB8">
        <w:rPr>
          <w:snapToGrid w:val="0"/>
          <w:sz w:val="22"/>
        </w:rPr>
        <w:t>), o 76</w:t>
      </w:r>
      <w:r w:rsidR="00574A33" w:rsidRPr="00BF4AB8">
        <w:rPr>
          <w:snapToGrid w:val="0"/>
          <w:sz w:val="22"/>
        </w:rPr>
        <w:t> </w:t>
      </w:r>
      <w:r w:rsidRPr="00BF4AB8">
        <w:rPr>
          <w:snapToGrid w:val="0"/>
          <w:sz w:val="22"/>
        </w:rPr>
        <w:t>metų</w:t>
      </w:r>
      <w:r w:rsidR="00574A33" w:rsidRPr="00BF4AB8">
        <w:rPr>
          <w:snapToGrid w:val="0"/>
          <w:sz w:val="22"/>
        </w:rPr>
        <w:t xml:space="preserve"> </w:t>
      </w:r>
      <w:r w:rsidRPr="00BF4AB8">
        <w:rPr>
          <w:snapToGrid w:val="0"/>
          <w:sz w:val="22"/>
        </w:rPr>
        <w:t xml:space="preserve">pacientų organizme </w:t>
      </w:r>
      <w:r w:rsidR="00574A33" w:rsidRPr="00BF4AB8">
        <w:rPr>
          <w:snapToGrid w:val="0"/>
          <w:sz w:val="22"/>
        </w:rPr>
        <w:t>buvo didesnis</w:t>
      </w:r>
      <w:r w:rsidRPr="00BF4AB8">
        <w:rPr>
          <w:snapToGrid w:val="0"/>
          <w:sz w:val="22"/>
        </w:rPr>
        <w:t xml:space="preserve"> 13 % (95</w:t>
      </w:r>
      <w:r w:rsidR="00574A33" w:rsidRPr="00BF4AB8">
        <w:rPr>
          <w:snapToGrid w:val="0"/>
          <w:sz w:val="22"/>
        </w:rPr>
        <w:t> </w:t>
      </w:r>
      <w:proofErr w:type="spellStart"/>
      <w:r w:rsidRPr="00BF4AB8">
        <w:rPr>
          <w:snapToGrid w:val="0"/>
          <w:sz w:val="22"/>
        </w:rPr>
        <w:t>procentilė</w:t>
      </w:r>
      <w:proofErr w:type="spellEnd"/>
      <w:r w:rsidRPr="00BF4AB8">
        <w:rPr>
          <w:snapToGrid w:val="0"/>
          <w:sz w:val="22"/>
        </w:rPr>
        <w:t>). Analizė apėmė 29</w:t>
      </w:r>
      <w:r w:rsidR="00574A33" w:rsidRPr="00BF4AB8">
        <w:rPr>
          <w:snapToGrid w:val="0"/>
          <w:sz w:val="22"/>
        </w:rPr>
        <w:noBreakHyphen/>
      </w:r>
      <w:r w:rsidRPr="00BF4AB8">
        <w:rPr>
          <w:snapToGrid w:val="0"/>
          <w:sz w:val="22"/>
        </w:rPr>
        <w:t>85</w:t>
      </w:r>
      <w:r w:rsidR="00574A33" w:rsidRPr="00BF4AB8">
        <w:rPr>
          <w:snapToGrid w:val="0"/>
          <w:sz w:val="22"/>
        </w:rPr>
        <w:t> </w:t>
      </w:r>
      <w:r w:rsidRPr="00BF4AB8">
        <w:rPr>
          <w:snapToGrid w:val="0"/>
          <w:sz w:val="22"/>
        </w:rPr>
        <w:t>metų pacientus,</w:t>
      </w:r>
      <w:r w:rsidR="00574A33" w:rsidRPr="00BF4AB8">
        <w:rPr>
          <w:snapToGrid w:val="0"/>
          <w:sz w:val="22"/>
        </w:rPr>
        <w:t xml:space="preserve"> </w:t>
      </w:r>
      <w:r w:rsidRPr="00BF4AB8">
        <w:rPr>
          <w:snapToGrid w:val="0"/>
          <w:sz w:val="22"/>
        </w:rPr>
        <w:t xml:space="preserve">maždaug 5 % populiacijos buvo </w:t>
      </w:r>
      <w:r w:rsidR="00574A33" w:rsidRPr="00BF4AB8">
        <w:rPr>
          <w:snapToGrid w:val="0"/>
          <w:sz w:val="22"/>
        </w:rPr>
        <w:t>vyresni</w:t>
      </w:r>
      <w:r w:rsidRPr="00BF4AB8">
        <w:rPr>
          <w:snapToGrid w:val="0"/>
          <w:sz w:val="22"/>
        </w:rPr>
        <w:t xml:space="preserve"> nei 75</w:t>
      </w:r>
      <w:r w:rsidR="00574A33" w:rsidRPr="00BF4AB8">
        <w:rPr>
          <w:snapToGrid w:val="0"/>
          <w:sz w:val="22"/>
        </w:rPr>
        <w:t> </w:t>
      </w:r>
      <w:r w:rsidRPr="00BF4AB8">
        <w:rPr>
          <w:snapToGrid w:val="0"/>
          <w:sz w:val="22"/>
        </w:rPr>
        <w:t>metų.</w:t>
      </w:r>
    </w:p>
    <w:p w14:paraId="30E1B69E" w14:textId="77777777" w:rsidR="00574A33" w:rsidRPr="00BF4AB8" w:rsidRDefault="00574A33" w:rsidP="00AC48E9">
      <w:pPr>
        <w:tabs>
          <w:tab w:val="left" w:pos="567"/>
        </w:tabs>
        <w:contextualSpacing/>
        <w:outlineLvl w:val="0"/>
        <w:rPr>
          <w:snapToGrid w:val="0"/>
          <w:sz w:val="22"/>
        </w:rPr>
      </w:pPr>
    </w:p>
    <w:p w14:paraId="31E560E7" w14:textId="3F3FEB35" w:rsidR="00AC48E9" w:rsidRPr="00BF4AB8" w:rsidRDefault="00AC48E9" w:rsidP="00AC48E9">
      <w:pPr>
        <w:tabs>
          <w:tab w:val="left" w:pos="567"/>
        </w:tabs>
        <w:contextualSpacing/>
        <w:outlineLvl w:val="0"/>
        <w:rPr>
          <w:i/>
          <w:iCs/>
          <w:snapToGrid w:val="0"/>
          <w:sz w:val="22"/>
        </w:rPr>
      </w:pPr>
      <w:r w:rsidRPr="00BF4AB8">
        <w:rPr>
          <w:i/>
          <w:iCs/>
          <w:snapToGrid w:val="0"/>
          <w:sz w:val="22"/>
        </w:rPr>
        <w:t>Kūno svoris</w:t>
      </w:r>
    </w:p>
    <w:p w14:paraId="47C33FDB" w14:textId="5BC2B492" w:rsidR="00AC48E9" w:rsidRPr="00BF4AB8" w:rsidRDefault="00AC48E9" w:rsidP="00AC48E9">
      <w:pPr>
        <w:tabs>
          <w:tab w:val="left" w:pos="567"/>
        </w:tabs>
        <w:contextualSpacing/>
        <w:outlineLvl w:val="0"/>
        <w:rPr>
          <w:snapToGrid w:val="0"/>
          <w:sz w:val="22"/>
        </w:rPr>
      </w:pPr>
      <w:r w:rsidRPr="00BF4AB8">
        <w:rPr>
          <w:snapToGrid w:val="0"/>
          <w:sz w:val="22"/>
        </w:rPr>
        <w:t xml:space="preserve">Nustatytas atvirkštinis ryšys tarp kūno svorio ir </w:t>
      </w:r>
      <w:proofErr w:type="spellStart"/>
      <w:r w:rsidRPr="00BF4AB8">
        <w:rPr>
          <w:snapToGrid w:val="0"/>
          <w:sz w:val="22"/>
        </w:rPr>
        <w:t>nintedanibo</w:t>
      </w:r>
      <w:proofErr w:type="spellEnd"/>
      <w:r w:rsidRPr="00BF4AB8">
        <w:rPr>
          <w:snapToGrid w:val="0"/>
          <w:sz w:val="22"/>
        </w:rPr>
        <w:t xml:space="preserve"> ekspozicijos. Palyginti su pacientais, kurių</w:t>
      </w:r>
      <w:r w:rsidR="00663A56" w:rsidRPr="00BF4AB8">
        <w:rPr>
          <w:snapToGrid w:val="0"/>
          <w:sz w:val="22"/>
        </w:rPr>
        <w:t xml:space="preserve"> </w:t>
      </w:r>
      <w:r w:rsidRPr="00BF4AB8">
        <w:rPr>
          <w:snapToGrid w:val="0"/>
          <w:sz w:val="22"/>
        </w:rPr>
        <w:t>kūno svori</w:t>
      </w:r>
      <w:r w:rsidR="00663A56" w:rsidRPr="00BF4AB8">
        <w:rPr>
          <w:snapToGrid w:val="0"/>
          <w:sz w:val="22"/>
        </w:rPr>
        <w:t>o mediana buvo</w:t>
      </w:r>
      <w:r w:rsidRPr="00BF4AB8">
        <w:rPr>
          <w:snapToGrid w:val="0"/>
          <w:sz w:val="22"/>
        </w:rPr>
        <w:t xml:space="preserve"> 71,5</w:t>
      </w:r>
      <w:r w:rsidR="00663A56" w:rsidRPr="00BF4AB8">
        <w:rPr>
          <w:snapToGrid w:val="0"/>
          <w:sz w:val="22"/>
        </w:rPr>
        <w:t> </w:t>
      </w:r>
      <w:r w:rsidRPr="00BF4AB8">
        <w:rPr>
          <w:snapToGrid w:val="0"/>
          <w:sz w:val="22"/>
        </w:rPr>
        <w:t>kg, 50</w:t>
      </w:r>
      <w:r w:rsidR="00663A56" w:rsidRPr="00BF4AB8">
        <w:rPr>
          <w:snapToGrid w:val="0"/>
          <w:sz w:val="22"/>
        </w:rPr>
        <w:t> </w:t>
      </w:r>
      <w:r w:rsidRPr="00BF4AB8">
        <w:rPr>
          <w:snapToGrid w:val="0"/>
          <w:sz w:val="22"/>
        </w:rPr>
        <w:t xml:space="preserve">kg sveriančių pacientų organizme </w:t>
      </w:r>
      <w:proofErr w:type="spellStart"/>
      <w:r w:rsidRPr="00BF4AB8">
        <w:rPr>
          <w:snapToGrid w:val="0"/>
          <w:sz w:val="22"/>
        </w:rPr>
        <w:t>AUC</w:t>
      </w:r>
      <w:r w:rsidRPr="00BF4AB8">
        <w:rPr>
          <w:snapToGrid w:val="0"/>
          <w:sz w:val="22"/>
          <w:vertAlign w:val="subscript"/>
        </w:rPr>
        <w:t>τ,ss</w:t>
      </w:r>
      <w:proofErr w:type="spellEnd"/>
      <w:r w:rsidRPr="00BF4AB8">
        <w:rPr>
          <w:snapToGrid w:val="0"/>
          <w:sz w:val="22"/>
        </w:rPr>
        <w:t xml:space="preserve"> </w:t>
      </w:r>
      <w:r w:rsidR="00663A56" w:rsidRPr="00BF4AB8">
        <w:rPr>
          <w:snapToGrid w:val="0"/>
          <w:sz w:val="22"/>
        </w:rPr>
        <w:t xml:space="preserve">buvo </w:t>
      </w:r>
      <w:r w:rsidRPr="00BF4AB8">
        <w:rPr>
          <w:snapToGrid w:val="0"/>
          <w:sz w:val="22"/>
        </w:rPr>
        <w:t>didesnis 25 % (5</w:t>
      </w:r>
      <w:r w:rsidR="00663A56" w:rsidRPr="00BF4AB8">
        <w:rPr>
          <w:snapToGrid w:val="0"/>
          <w:sz w:val="22"/>
        </w:rPr>
        <w:t> </w:t>
      </w:r>
      <w:proofErr w:type="spellStart"/>
      <w:r w:rsidRPr="00BF4AB8">
        <w:rPr>
          <w:snapToGrid w:val="0"/>
          <w:sz w:val="22"/>
        </w:rPr>
        <w:t>procentilė</w:t>
      </w:r>
      <w:proofErr w:type="spellEnd"/>
      <w:r w:rsidRPr="00BF4AB8">
        <w:rPr>
          <w:snapToGrid w:val="0"/>
          <w:sz w:val="22"/>
        </w:rPr>
        <w:t>), o</w:t>
      </w:r>
      <w:r w:rsidR="00663A56" w:rsidRPr="00BF4AB8">
        <w:rPr>
          <w:snapToGrid w:val="0"/>
          <w:sz w:val="22"/>
        </w:rPr>
        <w:t xml:space="preserve"> </w:t>
      </w:r>
      <w:r w:rsidRPr="00BF4AB8">
        <w:rPr>
          <w:snapToGrid w:val="0"/>
          <w:sz w:val="22"/>
        </w:rPr>
        <w:t>100</w:t>
      </w:r>
      <w:r w:rsidR="00663A56" w:rsidRPr="00BF4AB8">
        <w:rPr>
          <w:snapToGrid w:val="0"/>
          <w:sz w:val="22"/>
        </w:rPr>
        <w:t> </w:t>
      </w:r>
      <w:r w:rsidRPr="00BF4AB8">
        <w:rPr>
          <w:snapToGrid w:val="0"/>
          <w:sz w:val="22"/>
        </w:rPr>
        <w:t xml:space="preserve">kg sveriančių pacientų organizme </w:t>
      </w:r>
      <w:r w:rsidR="00663A56" w:rsidRPr="00BF4AB8">
        <w:rPr>
          <w:snapToGrid w:val="0"/>
          <w:sz w:val="22"/>
        </w:rPr>
        <w:t>buvo</w:t>
      </w:r>
      <w:r w:rsidRPr="00BF4AB8">
        <w:rPr>
          <w:snapToGrid w:val="0"/>
          <w:sz w:val="22"/>
        </w:rPr>
        <w:t xml:space="preserve"> </w:t>
      </w:r>
      <w:r w:rsidR="00663A56" w:rsidRPr="00BF4AB8">
        <w:rPr>
          <w:snapToGrid w:val="0"/>
          <w:sz w:val="22"/>
        </w:rPr>
        <w:t xml:space="preserve">mažesnis </w:t>
      </w:r>
      <w:r w:rsidRPr="00BF4AB8">
        <w:rPr>
          <w:snapToGrid w:val="0"/>
          <w:sz w:val="22"/>
        </w:rPr>
        <w:t>19 % (95</w:t>
      </w:r>
      <w:r w:rsidR="00663A56" w:rsidRPr="00BF4AB8">
        <w:rPr>
          <w:snapToGrid w:val="0"/>
          <w:sz w:val="22"/>
        </w:rPr>
        <w:t> </w:t>
      </w:r>
      <w:proofErr w:type="spellStart"/>
      <w:r w:rsidRPr="00BF4AB8">
        <w:rPr>
          <w:snapToGrid w:val="0"/>
          <w:sz w:val="22"/>
        </w:rPr>
        <w:t>procentilė</w:t>
      </w:r>
      <w:proofErr w:type="spellEnd"/>
      <w:r w:rsidRPr="00BF4AB8">
        <w:rPr>
          <w:snapToGrid w:val="0"/>
          <w:sz w:val="22"/>
        </w:rPr>
        <w:t>).</w:t>
      </w:r>
    </w:p>
    <w:p w14:paraId="227B6794" w14:textId="77777777" w:rsidR="00C51535" w:rsidRPr="00BF4AB8" w:rsidRDefault="00C51535" w:rsidP="00AC48E9">
      <w:pPr>
        <w:tabs>
          <w:tab w:val="left" w:pos="567"/>
        </w:tabs>
        <w:contextualSpacing/>
        <w:outlineLvl w:val="0"/>
        <w:rPr>
          <w:snapToGrid w:val="0"/>
          <w:sz w:val="22"/>
        </w:rPr>
      </w:pPr>
    </w:p>
    <w:p w14:paraId="28758868" w14:textId="417E39C7" w:rsidR="00AC48E9" w:rsidRPr="00BF4AB8" w:rsidRDefault="00AC48E9" w:rsidP="00AC48E9">
      <w:pPr>
        <w:tabs>
          <w:tab w:val="left" w:pos="567"/>
        </w:tabs>
        <w:contextualSpacing/>
        <w:outlineLvl w:val="0"/>
        <w:rPr>
          <w:i/>
          <w:iCs/>
          <w:snapToGrid w:val="0"/>
          <w:sz w:val="22"/>
        </w:rPr>
      </w:pPr>
      <w:r w:rsidRPr="00BF4AB8">
        <w:rPr>
          <w:i/>
          <w:iCs/>
          <w:snapToGrid w:val="0"/>
          <w:sz w:val="22"/>
        </w:rPr>
        <w:t>Rasė</w:t>
      </w:r>
    </w:p>
    <w:p w14:paraId="0BE1F815" w14:textId="755F5FFA" w:rsidR="00AC48E9" w:rsidRPr="00BF4AB8" w:rsidRDefault="00AC48E9" w:rsidP="00AC48E9">
      <w:pPr>
        <w:tabs>
          <w:tab w:val="left" w:pos="567"/>
        </w:tabs>
        <w:contextualSpacing/>
        <w:outlineLvl w:val="0"/>
        <w:rPr>
          <w:snapToGrid w:val="0"/>
          <w:sz w:val="22"/>
        </w:rPr>
      </w:pPr>
      <w:r w:rsidRPr="00BF4AB8">
        <w:rPr>
          <w:snapToGrid w:val="0"/>
          <w:sz w:val="22"/>
        </w:rPr>
        <w:t xml:space="preserve">Palyginti su europidais, pacientų kinų, taivaniečių ir indų organizme populiacijos </w:t>
      </w:r>
      <w:proofErr w:type="spellStart"/>
      <w:r w:rsidRPr="00BF4AB8">
        <w:rPr>
          <w:snapToGrid w:val="0"/>
          <w:sz w:val="22"/>
        </w:rPr>
        <w:t>nintedanibo</w:t>
      </w:r>
      <w:proofErr w:type="spellEnd"/>
      <w:r w:rsidR="006A10F6" w:rsidRPr="00BF4AB8">
        <w:rPr>
          <w:snapToGrid w:val="0"/>
          <w:sz w:val="22"/>
        </w:rPr>
        <w:t xml:space="preserve"> </w:t>
      </w:r>
      <w:r w:rsidRPr="00BF4AB8">
        <w:rPr>
          <w:snapToGrid w:val="0"/>
          <w:sz w:val="22"/>
        </w:rPr>
        <w:t>ekspozicijos vidurkis buvo 33-50 % didesnis, pacientų japonų organizme – 16 % didesnis, o korėjiečių</w:t>
      </w:r>
      <w:r w:rsidR="006A10F6" w:rsidRPr="00BF4AB8">
        <w:rPr>
          <w:snapToGrid w:val="0"/>
          <w:sz w:val="22"/>
        </w:rPr>
        <w:t xml:space="preserve"> </w:t>
      </w:r>
      <w:r w:rsidRPr="00BF4AB8">
        <w:rPr>
          <w:snapToGrid w:val="0"/>
          <w:sz w:val="22"/>
        </w:rPr>
        <w:t>organizme ‒ 16</w:t>
      </w:r>
      <w:r w:rsidR="006A10F6" w:rsidRPr="00BF4AB8">
        <w:rPr>
          <w:snapToGrid w:val="0"/>
          <w:sz w:val="22"/>
        </w:rPr>
        <w:noBreakHyphen/>
      </w:r>
      <w:r w:rsidRPr="00BF4AB8">
        <w:rPr>
          <w:snapToGrid w:val="0"/>
          <w:sz w:val="22"/>
        </w:rPr>
        <w:t>22 % mažesnis (</w:t>
      </w:r>
      <w:r w:rsidR="006A10F6" w:rsidRPr="00BF4AB8">
        <w:rPr>
          <w:snapToGrid w:val="0"/>
          <w:sz w:val="22"/>
        </w:rPr>
        <w:t>koreguojant pagal kūno svorį</w:t>
      </w:r>
      <w:r w:rsidRPr="00BF4AB8">
        <w:rPr>
          <w:snapToGrid w:val="0"/>
          <w:sz w:val="22"/>
        </w:rPr>
        <w:t xml:space="preserve">). </w:t>
      </w:r>
      <w:r w:rsidR="006A10F6" w:rsidRPr="00BF4AB8">
        <w:rPr>
          <w:snapToGrid w:val="0"/>
          <w:sz w:val="22"/>
        </w:rPr>
        <w:t>Atsižvelgiant į didelius ekspozicijos skirtumus skirtingų pacientų organizme, manoma, kad šis poveikis nėra kliniškai reikšmingas</w:t>
      </w:r>
      <w:r w:rsidRPr="00BF4AB8">
        <w:rPr>
          <w:snapToGrid w:val="0"/>
          <w:sz w:val="22"/>
        </w:rPr>
        <w:t>. Juodaodžių</w:t>
      </w:r>
      <w:r w:rsidR="006A10F6" w:rsidRPr="00BF4AB8">
        <w:rPr>
          <w:snapToGrid w:val="0"/>
          <w:sz w:val="22"/>
        </w:rPr>
        <w:t xml:space="preserve"> </w:t>
      </w:r>
      <w:r w:rsidRPr="00BF4AB8">
        <w:rPr>
          <w:snapToGrid w:val="0"/>
          <w:sz w:val="22"/>
        </w:rPr>
        <w:t xml:space="preserve">asmenų duomenys buvo labai riboti, </w:t>
      </w:r>
      <w:r w:rsidR="006A10F6" w:rsidRPr="00BF4AB8">
        <w:rPr>
          <w:snapToGrid w:val="0"/>
          <w:sz w:val="22"/>
        </w:rPr>
        <w:t>tačiau atitiko europidams nustatytas ribas</w:t>
      </w:r>
      <w:r w:rsidRPr="00BF4AB8">
        <w:rPr>
          <w:snapToGrid w:val="0"/>
          <w:sz w:val="22"/>
        </w:rPr>
        <w:t>.</w:t>
      </w:r>
    </w:p>
    <w:p w14:paraId="5E279068" w14:textId="77777777" w:rsidR="00C51535" w:rsidRPr="00BF4AB8" w:rsidRDefault="00C51535" w:rsidP="00AC48E9">
      <w:pPr>
        <w:tabs>
          <w:tab w:val="left" w:pos="567"/>
        </w:tabs>
        <w:contextualSpacing/>
        <w:outlineLvl w:val="0"/>
        <w:rPr>
          <w:snapToGrid w:val="0"/>
          <w:sz w:val="22"/>
        </w:rPr>
      </w:pPr>
    </w:p>
    <w:p w14:paraId="2A5B91B5" w14:textId="79173F3D" w:rsidR="00AC48E9" w:rsidRPr="00BF4AB8" w:rsidRDefault="00AC48E9" w:rsidP="00AC48E9">
      <w:pPr>
        <w:tabs>
          <w:tab w:val="left" w:pos="567"/>
        </w:tabs>
        <w:contextualSpacing/>
        <w:outlineLvl w:val="0"/>
        <w:rPr>
          <w:i/>
          <w:iCs/>
          <w:snapToGrid w:val="0"/>
          <w:sz w:val="22"/>
        </w:rPr>
      </w:pPr>
      <w:r w:rsidRPr="00BF4AB8">
        <w:rPr>
          <w:i/>
          <w:iCs/>
          <w:snapToGrid w:val="0"/>
          <w:sz w:val="22"/>
        </w:rPr>
        <w:t>Sutrikusi kepenų funkcija</w:t>
      </w:r>
    </w:p>
    <w:p w14:paraId="0A6E8310" w14:textId="400C300E" w:rsidR="00AC48E9" w:rsidRPr="00BF4AB8" w:rsidRDefault="00D22FDC" w:rsidP="00AC48E9">
      <w:pPr>
        <w:tabs>
          <w:tab w:val="left" w:pos="567"/>
        </w:tabs>
        <w:contextualSpacing/>
        <w:outlineLvl w:val="0"/>
        <w:rPr>
          <w:snapToGrid w:val="0"/>
          <w:sz w:val="22"/>
        </w:rPr>
      </w:pPr>
      <w:r w:rsidRPr="00BF4AB8">
        <w:rPr>
          <w:snapToGrid w:val="0"/>
          <w:sz w:val="22"/>
        </w:rPr>
        <w:t>Tam skirt</w:t>
      </w:r>
      <w:r w:rsidR="0045728B" w:rsidRPr="00BF4AB8">
        <w:rPr>
          <w:snapToGrid w:val="0"/>
          <w:sz w:val="22"/>
        </w:rPr>
        <w:t>o</w:t>
      </w:r>
      <w:r w:rsidRPr="00BF4AB8">
        <w:rPr>
          <w:snapToGrid w:val="0"/>
          <w:sz w:val="22"/>
        </w:rPr>
        <w:t xml:space="preserve"> 1 </w:t>
      </w:r>
      <w:r w:rsidR="00AC48E9" w:rsidRPr="00BF4AB8">
        <w:rPr>
          <w:snapToGrid w:val="0"/>
          <w:sz w:val="22"/>
        </w:rPr>
        <w:t>fazės vienkartinės dozės tyrim</w:t>
      </w:r>
      <w:r w:rsidR="0045728B" w:rsidRPr="00BF4AB8">
        <w:rPr>
          <w:snapToGrid w:val="0"/>
          <w:sz w:val="22"/>
        </w:rPr>
        <w:t>o metu</w:t>
      </w:r>
      <w:r w:rsidR="00AC48E9" w:rsidRPr="00BF4AB8">
        <w:rPr>
          <w:snapToGrid w:val="0"/>
          <w:sz w:val="22"/>
        </w:rPr>
        <w:t xml:space="preserve"> savanoriams, kuriems buvo lengvas kepenų funkcijos sutrikimas</w:t>
      </w:r>
      <w:r w:rsidR="005F08FC" w:rsidRPr="00BF4AB8">
        <w:rPr>
          <w:snapToGrid w:val="0"/>
          <w:sz w:val="22"/>
        </w:rPr>
        <w:t xml:space="preserve"> </w:t>
      </w:r>
      <w:r w:rsidR="00AC48E9" w:rsidRPr="00BF4AB8">
        <w:rPr>
          <w:snapToGrid w:val="0"/>
          <w:sz w:val="22"/>
        </w:rPr>
        <w:t>(</w:t>
      </w:r>
      <w:proofErr w:type="spellStart"/>
      <w:r w:rsidR="00AC48E9" w:rsidRPr="00BF4AB8">
        <w:rPr>
          <w:i/>
          <w:iCs/>
          <w:snapToGrid w:val="0"/>
          <w:sz w:val="22"/>
        </w:rPr>
        <w:t>Child</w:t>
      </w:r>
      <w:proofErr w:type="spellEnd"/>
      <w:r w:rsidR="00AC48E9" w:rsidRPr="00BF4AB8">
        <w:rPr>
          <w:i/>
          <w:iCs/>
          <w:snapToGrid w:val="0"/>
          <w:sz w:val="22"/>
        </w:rPr>
        <w:t xml:space="preserve"> </w:t>
      </w:r>
      <w:proofErr w:type="spellStart"/>
      <w:r w:rsidR="00AC48E9" w:rsidRPr="00BF4AB8">
        <w:rPr>
          <w:i/>
          <w:iCs/>
          <w:snapToGrid w:val="0"/>
          <w:sz w:val="22"/>
        </w:rPr>
        <w:t>Pugh</w:t>
      </w:r>
      <w:proofErr w:type="spellEnd"/>
      <w:r w:rsidR="00AC48E9" w:rsidRPr="00BF4AB8">
        <w:rPr>
          <w:snapToGrid w:val="0"/>
          <w:sz w:val="22"/>
        </w:rPr>
        <w:t xml:space="preserve"> A), </w:t>
      </w:r>
      <w:proofErr w:type="spellStart"/>
      <w:r w:rsidR="00AC48E9" w:rsidRPr="00BF4AB8">
        <w:rPr>
          <w:snapToGrid w:val="0"/>
          <w:sz w:val="22"/>
        </w:rPr>
        <w:t>nintedanibo</w:t>
      </w:r>
      <w:proofErr w:type="spellEnd"/>
      <w:r w:rsidR="00AC48E9" w:rsidRPr="00BF4AB8">
        <w:rPr>
          <w:snapToGrid w:val="0"/>
          <w:sz w:val="22"/>
        </w:rPr>
        <w:t xml:space="preserve"> ekspozicija </w:t>
      </w:r>
      <w:r w:rsidRPr="00BF4AB8">
        <w:rPr>
          <w:snapToGrid w:val="0"/>
          <w:sz w:val="22"/>
        </w:rPr>
        <w:t>remiantis</w:t>
      </w:r>
      <w:r w:rsidR="00AC48E9" w:rsidRPr="00BF4AB8">
        <w:rPr>
          <w:snapToGrid w:val="0"/>
          <w:sz w:val="22"/>
        </w:rPr>
        <w:t xml:space="preserve"> </w:t>
      </w:r>
      <w:proofErr w:type="spellStart"/>
      <w:r w:rsidR="00AC48E9" w:rsidRPr="00BF4AB8">
        <w:rPr>
          <w:snapToGrid w:val="0"/>
          <w:sz w:val="22"/>
        </w:rPr>
        <w:t>C</w:t>
      </w:r>
      <w:r w:rsidR="00AC48E9" w:rsidRPr="00BF4AB8">
        <w:rPr>
          <w:snapToGrid w:val="0"/>
          <w:sz w:val="22"/>
          <w:vertAlign w:val="subscript"/>
        </w:rPr>
        <w:t>max</w:t>
      </w:r>
      <w:proofErr w:type="spellEnd"/>
      <w:r w:rsidR="00AC48E9" w:rsidRPr="00BF4AB8">
        <w:rPr>
          <w:snapToGrid w:val="0"/>
          <w:sz w:val="22"/>
        </w:rPr>
        <w:t xml:space="preserve"> ir AUC buvo 2,2</w:t>
      </w:r>
      <w:r w:rsidRPr="00BF4AB8">
        <w:rPr>
          <w:snapToGrid w:val="0"/>
          <w:sz w:val="22"/>
        </w:rPr>
        <w:t> </w:t>
      </w:r>
      <w:r w:rsidR="00AC48E9" w:rsidRPr="00BF4AB8">
        <w:rPr>
          <w:snapToGrid w:val="0"/>
          <w:sz w:val="22"/>
        </w:rPr>
        <w:t xml:space="preserve">karto didesnė </w:t>
      </w:r>
      <w:r w:rsidRPr="00BF4AB8">
        <w:rPr>
          <w:snapToGrid w:val="0"/>
          <w:sz w:val="22"/>
        </w:rPr>
        <w:t>nei nustatyta</w:t>
      </w:r>
      <w:r w:rsidR="00AC48E9" w:rsidRPr="00BF4AB8">
        <w:rPr>
          <w:snapToGrid w:val="0"/>
          <w:sz w:val="22"/>
        </w:rPr>
        <w:t xml:space="preserve"> </w:t>
      </w:r>
      <w:r w:rsidRPr="00BF4AB8">
        <w:rPr>
          <w:snapToGrid w:val="0"/>
          <w:sz w:val="22"/>
        </w:rPr>
        <w:t>sveikiems</w:t>
      </w:r>
      <w:r w:rsidR="00AC48E9" w:rsidRPr="00BF4AB8">
        <w:rPr>
          <w:snapToGrid w:val="0"/>
          <w:sz w:val="22"/>
        </w:rPr>
        <w:t xml:space="preserve"> asmenimis (90 % PI atitinkamai </w:t>
      </w:r>
      <w:proofErr w:type="spellStart"/>
      <w:r w:rsidR="00AC48E9" w:rsidRPr="00BF4AB8">
        <w:rPr>
          <w:snapToGrid w:val="0"/>
          <w:sz w:val="22"/>
        </w:rPr>
        <w:t>C</w:t>
      </w:r>
      <w:r w:rsidR="00AC48E9" w:rsidRPr="00BF4AB8">
        <w:rPr>
          <w:snapToGrid w:val="0"/>
          <w:sz w:val="22"/>
          <w:vertAlign w:val="subscript"/>
        </w:rPr>
        <w:t>max</w:t>
      </w:r>
      <w:proofErr w:type="spellEnd"/>
      <w:r w:rsidR="00AC48E9" w:rsidRPr="00BF4AB8">
        <w:rPr>
          <w:snapToGrid w:val="0"/>
          <w:sz w:val="22"/>
        </w:rPr>
        <w:t xml:space="preserve"> 1,3–3,7 ir AUC 1,2–3,8). Savanoriams, kuriems buvo</w:t>
      </w:r>
      <w:r w:rsidR="005F08FC" w:rsidRPr="00BF4AB8">
        <w:rPr>
          <w:snapToGrid w:val="0"/>
          <w:sz w:val="22"/>
        </w:rPr>
        <w:t xml:space="preserve"> </w:t>
      </w:r>
      <w:r w:rsidR="00AC48E9" w:rsidRPr="00BF4AB8">
        <w:rPr>
          <w:snapToGrid w:val="0"/>
          <w:sz w:val="22"/>
        </w:rPr>
        <w:t>vidutinio sunkumo kepenų funkcijos sutrikimas (</w:t>
      </w:r>
      <w:proofErr w:type="spellStart"/>
      <w:r w:rsidR="00AC48E9" w:rsidRPr="00BF4AB8">
        <w:rPr>
          <w:i/>
          <w:iCs/>
          <w:snapToGrid w:val="0"/>
          <w:sz w:val="22"/>
        </w:rPr>
        <w:t>Child</w:t>
      </w:r>
      <w:proofErr w:type="spellEnd"/>
      <w:r w:rsidR="00AC48E9" w:rsidRPr="00BF4AB8">
        <w:rPr>
          <w:i/>
          <w:iCs/>
          <w:snapToGrid w:val="0"/>
          <w:sz w:val="22"/>
        </w:rPr>
        <w:t xml:space="preserve"> </w:t>
      </w:r>
      <w:proofErr w:type="spellStart"/>
      <w:r w:rsidR="00AC48E9" w:rsidRPr="00BF4AB8">
        <w:rPr>
          <w:i/>
          <w:iCs/>
          <w:snapToGrid w:val="0"/>
          <w:sz w:val="22"/>
        </w:rPr>
        <w:t>Pugh</w:t>
      </w:r>
      <w:proofErr w:type="spellEnd"/>
      <w:r w:rsidR="00AC48E9" w:rsidRPr="00BF4AB8">
        <w:rPr>
          <w:snapToGrid w:val="0"/>
          <w:sz w:val="22"/>
        </w:rPr>
        <w:t xml:space="preserve"> B), ekspozicija</w:t>
      </w:r>
      <w:r w:rsidR="0045728B" w:rsidRPr="00BF4AB8">
        <w:rPr>
          <w:snapToGrid w:val="0"/>
          <w:sz w:val="22"/>
        </w:rPr>
        <w:t>,</w:t>
      </w:r>
      <w:r w:rsidR="00AC48E9" w:rsidRPr="00BF4AB8">
        <w:rPr>
          <w:snapToGrid w:val="0"/>
          <w:sz w:val="22"/>
        </w:rPr>
        <w:t xml:space="preserve"> lyginant su </w:t>
      </w:r>
      <w:r w:rsidR="0045728B" w:rsidRPr="00BF4AB8">
        <w:rPr>
          <w:snapToGrid w:val="0"/>
          <w:sz w:val="22"/>
        </w:rPr>
        <w:t xml:space="preserve">nustatyta </w:t>
      </w:r>
      <w:r w:rsidR="00AC48E9" w:rsidRPr="00BF4AB8">
        <w:rPr>
          <w:snapToGrid w:val="0"/>
          <w:sz w:val="22"/>
        </w:rPr>
        <w:t>sveik</w:t>
      </w:r>
      <w:r w:rsidR="0045728B" w:rsidRPr="00BF4AB8">
        <w:rPr>
          <w:snapToGrid w:val="0"/>
          <w:sz w:val="22"/>
        </w:rPr>
        <w:t>iems</w:t>
      </w:r>
      <w:r w:rsidR="005F08FC" w:rsidRPr="00BF4AB8">
        <w:rPr>
          <w:snapToGrid w:val="0"/>
          <w:sz w:val="22"/>
        </w:rPr>
        <w:t xml:space="preserve"> </w:t>
      </w:r>
      <w:r w:rsidR="00AC48E9" w:rsidRPr="00BF4AB8">
        <w:rPr>
          <w:snapToGrid w:val="0"/>
          <w:sz w:val="22"/>
        </w:rPr>
        <w:t>savanoria</w:t>
      </w:r>
      <w:r w:rsidR="0045728B" w:rsidRPr="00BF4AB8">
        <w:rPr>
          <w:snapToGrid w:val="0"/>
          <w:sz w:val="22"/>
        </w:rPr>
        <w:t>m</w:t>
      </w:r>
      <w:r w:rsidR="00AC48E9" w:rsidRPr="00BF4AB8">
        <w:rPr>
          <w:snapToGrid w:val="0"/>
          <w:sz w:val="22"/>
        </w:rPr>
        <w:t>s</w:t>
      </w:r>
      <w:r w:rsidR="0045728B" w:rsidRPr="00BF4AB8">
        <w:rPr>
          <w:snapToGrid w:val="0"/>
          <w:sz w:val="22"/>
        </w:rPr>
        <w:t>,</w:t>
      </w:r>
      <w:r w:rsidR="00AC48E9" w:rsidRPr="00BF4AB8">
        <w:rPr>
          <w:snapToGrid w:val="0"/>
          <w:sz w:val="22"/>
        </w:rPr>
        <w:t xml:space="preserve"> </w:t>
      </w:r>
      <w:r w:rsidR="0045728B" w:rsidRPr="00BF4AB8">
        <w:rPr>
          <w:snapToGrid w:val="0"/>
          <w:sz w:val="22"/>
        </w:rPr>
        <w:t>remiantis</w:t>
      </w:r>
      <w:r w:rsidR="00AC48E9" w:rsidRPr="00BF4AB8">
        <w:rPr>
          <w:snapToGrid w:val="0"/>
          <w:sz w:val="22"/>
        </w:rPr>
        <w:t xml:space="preserve"> </w:t>
      </w:r>
      <w:proofErr w:type="spellStart"/>
      <w:r w:rsidR="00AC48E9" w:rsidRPr="00BF4AB8">
        <w:rPr>
          <w:snapToGrid w:val="0"/>
          <w:sz w:val="22"/>
        </w:rPr>
        <w:t>C</w:t>
      </w:r>
      <w:r w:rsidR="00AC48E9" w:rsidRPr="00BF4AB8">
        <w:rPr>
          <w:snapToGrid w:val="0"/>
          <w:sz w:val="22"/>
          <w:vertAlign w:val="subscript"/>
        </w:rPr>
        <w:t>max</w:t>
      </w:r>
      <w:proofErr w:type="spellEnd"/>
      <w:r w:rsidR="00AC48E9" w:rsidRPr="00BF4AB8">
        <w:rPr>
          <w:snapToGrid w:val="0"/>
          <w:sz w:val="22"/>
        </w:rPr>
        <w:t xml:space="preserve"> buvo 7,6</w:t>
      </w:r>
      <w:r w:rsidR="0045728B" w:rsidRPr="00BF4AB8">
        <w:rPr>
          <w:snapToGrid w:val="0"/>
          <w:sz w:val="22"/>
        </w:rPr>
        <w:t> </w:t>
      </w:r>
      <w:r w:rsidR="00AC48E9" w:rsidRPr="00BF4AB8">
        <w:rPr>
          <w:snapToGrid w:val="0"/>
          <w:sz w:val="22"/>
        </w:rPr>
        <w:t xml:space="preserve">karto didesnė (90 % PI 4,4–13,2), o </w:t>
      </w:r>
      <w:r w:rsidR="0045728B" w:rsidRPr="00BF4AB8">
        <w:rPr>
          <w:snapToGrid w:val="0"/>
          <w:sz w:val="22"/>
        </w:rPr>
        <w:t>remiantis</w:t>
      </w:r>
      <w:r w:rsidR="00AC48E9" w:rsidRPr="00BF4AB8">
        <w:rPr>
          <w:snapToGrid w:val="0"/>
          <w:sz w:val="22"/>
        </w:rPr>
        <w:t xml:space="preserve"> AUC – 8,7</w:t>
      </w:r>
      <w:r w:rsidR="0045728B" w:rsidRPr="00BF4AB8">
        <w:rPr>
          <w:snapToGrid w:val="0"/>
          <w:sz w:val="22"/>
        </w:rPr>
        <w:t> </w:t>
      </w:r>
      <w:r w:rsidR="00AC48E9" w:rsidRPr="00BF4AB8">
        <w:rPr>
          <w:snapToGrid w:val="0"/>
          <w:sz w:val="22"/>
        </w:rPr>
        <w:t>karto</w:t>
      </w:r>
      <w:r w:rsidR="005F08FC" w:rsidRPr="00BF4AB8">
        <w:rPr>
          <w:snapToGrid w:val="0"/>
          <w:sz w:val="22"/>
        </w:rPr>
        <w:t xml:space="preserve"> </w:t>
      </w:r>
      <w:r w:rsidR="00AC48E9" w:rsidRPr="00BF4AB8">
        <w:rPr>
          <w:snapToGrid w:val="0"/>
          <w:sz w:val="22"/>
        </w:rPr>
        <w:t xml:space="preserve">didesnė (90 % PI 5,7–13,1). </w:t>
      </w:r>
      <w:r w:rsidRPr="00BF4AB8">
        <w:rPr>
          <w:snapToGrid w:val="0"/>
          <w:sz w:val="22"/>
        </w:rPr>
        <w:t>Tyrimų su asmenimis</w:t>
      </w:r>
      <w:r w:rsidR="00AC48E9" w:rsidRPr="00BF4AB8">
        <w:rPr>
          <w:snapToGrid w:val="0"/>
          <w:sz w:val="22"/>
        </w:rPr>
        <w:t>, kuriems buvo sunkus kepenų funkcijos sutrikimas (</w:t>
      </w:r>
      <w:proofErr w:type="spellStart"/>
      <w:r w:rsidR="00AC48E9" w:rsidRPr="00BF4AB8">
        <w:rPr>
          <w:i/>
          <w:iCs/>
          <w:snapToGrid w:val="0"/>
          <w:sz w:val="22"/>
        </w:rPr>
        <w:t>Child</w:t>
      </w:r>
      <w:proofErr w:type="spellEnd"/>
      <w:r w:rsidR="005F08FC" w:rsidRPr="00BF4AB8">
        <w:rPr>
          <w:i/>
          <w:iCs/>
          <w:snapToGrid w:val="0"/>
          <w:sz w:val="22"/>
        </w:rPr>
        <w:t xml:space="preserve"> </w:t>
      </w:r>
      <w:proofErr w:type="spellStart"/>
      <w:r w:rsidR="00AC48E9" w:rsidRPr="00BF4AB8">
        <w:rPr>
          <w:i/>
          <w:iCs/>
          <w:snapToGrid w:val="0"/>
          <w:sz w:val="22"/>
        </w:rPr>
        <w:t>Pugh</w:t>
      </w:r>
      <w:proofErr w:type="spellEnd"/>
      <w:r w:rsidR="00AC48E9" w:rsidRPr="00BF4AB8">
        <w:rPr>
          <w:snapToGrid w:val="0"/>
          <w:sz w:val="22"/>
        </w:rPr>
        <w:t xml:space="preserve"> C), </w:t>
      </w:r>
      <w:r w:rsidRPr="00BF4AB8">
        <w:rPr>
          <w:snapToGrid w:val="0"/>
          <w:sz w:val="22"/>
        </w:rPr>
        <w:t>neatlikta</w:t>
      </w:r>
      <w:r w:rsidR="00AC48E9" w:rsidRPr="00BF4AB8">
        <w:rPr>
          <w:snapToGrid w:val="0"/>
          <w:sz w:val="22"/>
        </w:rPr>
        <w:t>.</w:t>
      </w:r>
    </w:p>
    <w:p w14:paraId="2EDBD64A" w14:textId="77777777" w:rsidR="00C51535" w:rsidRPr="00BF4AB8" w:rsidRDefault="00C51535" w:rsidP="00AC48E9">
      <w:pPr>
        <w:tabs>
          <w:tab w:val="left" w:pos="567"/>
        </w:tabs>
        <w:contextualSpacing/>
        <w:outlineLvl w:val="0"/>
        <w:rPr>
          <w:snapToGrid w:val="0"/>
          <w:sz w:val="22"/>
        </w:rPr>
      </w:pPr>
    </w:p>
    <w:p w14:paraId="72154C73" w14:textId="71738DE3" w:rsidR="00AC48E9" w:rsidRPr="00BF4AB8" w:rsidRDefault="00C51535" w:rsidP="00AC48E9">
      <w:pPr>
        <w:tabs>
          <w:tab w:val="left" w:pos="567"/>
        </w:tabs>
        <w:contextualSpacing/>
        <w:outlineLvl w:val="0"/>
        <w:rPr>
          <w:i/>
          <w:iCs/>
          <w:snapToGrid w:val="0"/>
          <w:sz w:val="22"/>
        </w:rPr>
      </w:pPr>
      <w:r w:rsidRPr="00BF4AB8">
        <w:rPr>
          <w:i/>
          <w:iCs/>
          <w:snapToGrid w:val="0"/>
          <w:sz w:val="22"/>
        </w:rPr>
        <w:t>Tuo pat metu vartojami</w:t>
      </w:r>
      <w:r w:rsidR="00AC48E9" w:rsidRPr="00BF4AB8">
        <w:rPr>
          <w:i/>
          <w:iCs/>
          <w:snapToGrid w:val="0"/>
          <w:sz w:val="22"/>
        </w:rPr>
        <w:t xml:space="preserve"> geriam</w:t>
      </w:r>
      <w:r w:rsidRPr="00BF4AB8">
        <w:rPr>
          <w:i/>
          <w:iCs/>
          <w:snapToGrid w:val="0"/>
          <w:sz w:val="22"/>
        </w:rPr>
        <w:t>ieji</w:t>
      </w:r>
      <w:r w:rsidR="00AC48E9" w:rsidRPr="00BF4AB8">
        <w:rPr>
          <w:i/>
          <w:iCs/>
          <w:snapToGrid w:val="0"/>
          <w:sz w:val="22"/>
        </w:rPr>
        <w:t xml:space="preserve"> hormoniniai kontraceptikai</w:t>
      </w:r>
    </w:p>
    <w:p w14:paraId="0F528FCE" w14:textId="264D21EF" w:rsidR="005D554B" w:rsidRPr="00BF4AB8" w:rsidRDefault="0045728B" w:rsidP="00AC48E9">
      <w:pPr>
        <w:tabs>
          <w:tab w:val="left" w:pos="567"/>
        </w:tabs>
        <w:contextualSpacing/>
        <w:outlineLvl w:val="0"/>
        <w:rPr>
          <w:snapToGrid w:val="0"/>
          <w:color w:val="000000"/>
          <w:sz w:val="22"/>
        </w:rPr>
      </w:pPr>
      <w:r w:rsidRPr="00580308">
        <w:rPr>
          <w:snapToGrid w:val="0"/>
          <w:sz w:val="22"/>
        </w:rPr>
        <w:t>Tam skirt</w:t>
      </w:r>
      <w:r w:rsidR="00580308">
        <w:rPr>
          <w:snapToGrid w:val="0"/>
          <w:sz w:val="22"/>
        </w:rPr>
        <w:t>o</w:t>
      </w:r>
      <w:r w:rsidRPr="00580308">
        <w:rPr>
          <w:snapToGrid w:val="0"/>
          <w:sz w:val="22"/>
        </w:rPr>
        <w:t xml:space="preserve"> </w:t>
      </w:r>
      <w:proofErr w:type="spellStart"/>
      <w:r w:rsidR="00AC48E9" w:rsidRPr="00580308">
        <w:rPr>
          <w:snapToGrid w:val="0"/>
          <w:sz w:val="22"/>
        </w:rPr>
        <w:t>farmakokinetikos</w:t>
      </w:r>
      <w:proofErr w:type="spellEnd"/>
      <w:r w:rsidR="00AC48E9" w:rsidRPr="00580308">
        <w:rPr>
          <w:snapToGrid w:val="0"/>
          <w:sz w:val="22"/>
        </w:rPr>
        <w:t xml:space="preserve"> tyrimo metu</w:t>
      </w:r>
      <w:r w:rsidR="00AC48E9" w:rsidRPr="00BF4AB8">
        <w:rPr>
          <w:snapToGrid w:val="0"/>
          <w:sz w:val="22"/>
        </w:rPr>
        <w:t xml:space="preserve"> </w:t>
      </w:r>
      <w:r w:rsidRPr="00BF4AB8">
        <w:rPr>
          <w:snapToGrid w:val="0"/>
          <w:sz w:val="22"/>
        </w:rPr>
        <w:t xml:space="preserve">su </w:t>
      </w:r>
      <w:proofErr w:type="spellStart"/>
      <w:r w:rsidRPr="00BF4AB8">
        <w:rPr>
          <w:snapToGrid w:val="0"/>
          <w:sz w:val="22"/>
        </w:rPr>
        <w:t>sklerodermija</w:t>
      </w:r>
      <w:proofErr w:type="spellEnd"/>
      <w:r w:rsidRPr="00BF4AB8">
        <w:rPr>
          <w:snapToGrid w:val="0"/>
          <w:sz w:val="22"/>
        </w:rPr>
        <w:t xml:space="preserve"> susijusia </w:t>
      </w:r>
      <w:proofErr w:type="spellStart"/>
      <w:r w:rsidRPr="00BF4AB8">
        <w:rPr>
          <w:snapToGrid w:val="0"/>
          <w:sz w:val="22"/>
        </w:rPr>
        <w:t>intersticine</w:t>
      </w:r>
      <w:proofErr w:type="spellEnd"/>
      <w:r w:rsidRPr="00BF4AB8">
        <w:rPr>
          <w:snapToGrid w:val="0"/>
          <w:sz w:val="22"/>
        </w:rPr>
        <w:t xml:space="preserve"> plaučių liga (SS-IPL) sergančioms pacientėms</w:t>
      </w:r>
      <w:r w:rsidR="00957502" w:rsidRPr="00BF4AB8">
        <w:rPr>
          <w:snapToGrid w:val="0"/>
          <w:sz w:val="22"/>
        </w:rPr>
        <w:t xml:space="preserve"> </w:t>
      </w:r>
      <w:r w:rsidR="00957502" w:rsidRPr="00580308">
        <w:rPr>
          <w:snapToGrid w:val="0"/>
          <w:sz w:val="22"/>
        </w:rPr>
        <w:t xml:space="preserve">vienkartinė 30 µg </w:t>
      </w:r>
      <w:proofErr w:type="spellStart"/>
      <w:r w:rsidR="00957502" w:rsidRPr="00580308">
        <w:rPr>
          <w:snapToGrid w:val="0"/>
          <w:sz w:val="22"/>
        </w:rPr>
        <w:t>etinilestradiolio</w:t>
      </w:r>
      <w:proofErr w:type="spellEnd"/>
      <w:r w:rsidR="00957502" w:rsidRPr="00580308">
        <w:rPr>
          <w:snapToGrid w:val="0"/>
          <w:sz w:val="22"/>
        </w:rPr>
        <w:t xml:space="preserve"> ir 150 µg </w:t>
      </w:r>
      <w:proofErr w:type="spellStart"/>
      <w:r w:rsidR="00957502" w:rsidRPr="00580308">
        <w:rPr>
          <w:snapToGrid w:val="0"/>
          <w:sz w:val="22"/>
        </w:rPr>
        <w:t>levonorgestrelio</w:t>
      </w:r>
      <w:proofErr w:type="spellEnd"/>
      <w:r w:rsidR="00957502" w:rsidRPr="00580308">
        <w:rPr>
          <w:snapToGrid w:val="0"/>
          <w:sz w:val="22"/>
        </w:rPr>
        <w:t xml:space="preserve"> derinio dozė</w:t>
      </w:r>
      <w:r w:rsidRPr="00580308">
        <w:rPr>
          <w:snapToGrid w:val="0"/>
          <w:sz w:val="22"/>
        </w:rPr>
        <w:t xml:space="preserve"> buvo </w:t>
      </w:r>
      <w:r w:rsidR="00580308">
        <w:rPr>
          <w:snapToGrid w:val="0"/>
          <w:sz w:val="22"/>
        </w:rPr>
        <w:t xml:space="preserve">skiriama </w:t>
      </w:r>
      <w:r w:rsidR="00AC48E9" w:rsidRPr="00580308">
        <w:rPr>
          <w:snapToGrid w:val="0"/>
          <w:sz w:val="22"/>
        </w:rPr>
        <w:t xml:space="preserve">prieš </w:t>
      </w:r>
      <w:r w:rsidR="00957502" w:rsidRPr="00580308">
        <w:rPr>
          <w:snapToGrid w:val="0"/>
          <w:sz w:val="22"/>
        </w:rPr>
        <w:t xml:space="preserve">150 mg </w:t>
      </w:r>
      <w:proofErr w:type="spellStart"/>
      <w:r w:rsidR="00957502" w:rsidRPr="00580308">
        <w:rPr>
          <w:snapToGrid w:val="0"/>
          <w:sz w:val="22"/>
        </w:rPr>
        <w:t>nintedanibo</w:t>
      </w:r>
      <w:proofErr w:type="spellEnd"/>
      <w:r w:rsidR="00957502" w:rsidRPr="00580308">
        <w:rPr>
          <w:snapToGrid w:val="0"/>
          <w:sz w:val="22"/>
        </w:rPr>
        <w:t xml:space="preserve"> dozės vartojimą du kartus per parą </w:t>
      </w:r>
      <w:r w:rsidR="00AC48E9" w:rsidRPr="00580308">
        <w:rPr>
          <w:snapToGrid w:val="0"/>
          <w:sz w:val="22"/>
        </w:rPr>
        <w:t>bent 10</w:t>
      </w:r>
      <w:r w:rsidR="00957502" w:rsidRPr="00580308">
        <w:rPr>
          <w:snapToGrid w:val="0"/>
          <w:sz w:val="22"/>
        </w:rPr>
        <w:t> </w:t>
      </w:r>
      <w:r w:rsidR="00AC48E9" w:rsidRPr="00580308">
        <w:rPr>
          <w:snapToGrid w:val="0"/>
          <w:sz w:val="22"/>
        </w:rPr>
        <w:t xml:space="preserve">dienų </w:t>
      </w:r>
      <w:r w:rsidR="00957502" w:rsidRPr="00580308">
        <w:rPr>
          <w:snapToGrid w:val="0"/>
          <w:sz w:val="22"/>
        </w:rPr>
        <w:t>ir po jo</w:t>
      </w:r>
      <w:r w:rsidR="00AC48E9" w:rsidRPr="00BF4AB8">
        <w:rPr>
          <w:snapToGrid w:val="0"/>
          <w:sz w:val="22"/>
        </w:rPr>
        <w:t xml:space="preserve">. </w:t>
      </w:r>
      <w:r w:rsidR="00957502" w:rsidRPr="00BF4AB8">
        <w:rPr>
          <w:snapToGrid w:val="0"/>
          <w:sz w:val="22"/>
        </w:rPr>
        <w:t>K</w:t>
      </w:r>
      <w:r w:rsidR="00AC48E9" w:rsidRPr="00BF4AB8">
        <w:rPr>
          <w:snapToGrid w:val="0"/>
          <w:sz w:val="22"/>
        </w:rPr>
        <w:t>oreguot</w:t>
      </w:r>
      <w:r w:rsidR="00957502" w:rsidRPr="00BF4AB8">
        <w:rPr>
          <w:snapToGrid w:val="0"/>
          <w:sz w:val="22"/>
        </w:rPr>
        <w:t>as</w:t>
      </w:r>
      <w:r w:rsidR="00AC48E9" w:rsidRPr="00BF4AB8">
        <w:rPr>
          <w:snapToGrid w:val="0"/>
          <w:sz w:val="22"/>
        </w:rPr>
        <w:t xml:space="preserve"> geometrini</w:t>
      </w:r>
      <w:r w:rsidR="00957502" w:rsidRPr="00BF4AB8">
        <w:rPr>
          <w:snapToGrid w:val="0"/>
          <w:sz w:val="22"/>
        </w:rPr>
        <w:t>o</w:t>
      </w:r>
      <w:r w:rsidR="005F08FC" w:rsidRPr="00BF4AB8">
        <w:rPr>
          <w:snapToGrid w:val="0"/>
          <w:sz w:val="22"/>
        </w:rPr>
        <w:t xml:space="preserve"> </w:t>
      </w:r>
      <w:r w:rsidR="00AC48E9" w:rsidRPr="00BF4AB8">
        <w:rPr>
          <w:snapToGrid w:val="0"/>
          <w:sz w:val="22"/>
        </w:rPr>
        <w:t>vidurki</w:t>
      </w:r>
      <w:r w:rsidR="00957502" w:rsidRPr="00BF4AB8">
        <w:rPr>
          <w:snapToGrid w:val="0"/>
          <w:sz w:val="22"/>
        </w:rPr>
        <w:t xml:space="preserve">o santykis </w:t>
      </w:r>
      <w:r w:rsidR="00AC48E9" w:rsidRPr="00BF4AB8">
        <w:rPr>
          <w:snapToGrid w:val="0"/>
          <w:sz w:val="22"/>
        </w:rPr>
        <w:t xml:space="preserve">(90 % </w:t>
      </w:r>
      <w:proofErr w:type="spellStart"/>
      <w:r w:rsidR="00AC48E9" w:rsidRPr="00BF4AB8">
        <w:rPr>
          <w:snapToGrid w:val="0"/>
          <w:sz w:val="22"/>
        </w:rPr>
        <w:t>pasikliautinasis</w:t>
      </w:r>
      <w:proofErr w:type="spellEnd"/>
      <w:r w:rsidR="00AC48E9" w:rsidRPr="00BF4AB8">
        <w:rPr>
          <w:snapToGrid w:val="0"/>
          <w:sz w:val="22"/>
        </w:rPr>
        <w:t xml:space="preserve"> intervalas (PI)) buvo </w:t>
      </w:r>
      <w:r w:rsidR="00957502" w:rsidRPr="00BF4AB8">
        <w:rPr>
          <w:snapToGrid w:val="0"/>
          <w:sz w:val="22"/>
        </w:rPr>
        <w:t xml:space="preserve">atitinkamai </w:t>
      </w:r>
      <w:r w:rsidR="00AC48E9" w:rsidRPr="00BF4AB8">
        <w:rPr>
          <w:snapToGrid w:val="0"/>
          <w:sz w:val="22"/>
        </w:rPr>
        <w:t>117 % (108</w:t>
      </w:r>
      <w:r w:rsidR="00957502" w:rsidRPr="00BF4AB8">
        <w:rPr>
          <w:snapToGrid w:val="0"/>
          <w:sz w:val="22"/>
        </w:rPr>
        <w:noBreakHyphen/>
      </w:r>
      <w:r w:rsidR="00AC48E9" w:rsidRPr="00BF4AB8">
        <w:rPr>
          <w:snapToGrid w:val="0"/>
          <w:sz w:val="22"/>
        </w:rPr>
        <w:t xml:space="preserve">127 %; </w:t>
      </w:r>
      <w:proofErr w:type="spellStart"/>
      <w:r w:rsidR="00AC48E9" w:rsidRPr="00BF4AB8">
        <w:rPr>
          <w:snapToGrid w:val="0"/>
          <w:sz w:val="22"/>
        </w:rPr>
        <w:t>C</w:t>
      </w:r>
      <w:r w:rsidR="00AC48E9" w:rsidRPr="00BF4AB8">
        <w:rPr>
          <w:snapToGrid w:val="0"/>
          <w:sz w:val="22"/>
          <w:vertAlign w:val="subscript"/>
        </w:rPr>
        <w:t>max</w:t>
      </w:r>
      <w:proofErr w:type="spellEnd"/>
      <w:r w:rsidR="00AC48E9" w:rsidRPr="00BF4AB8">
        <w:rPr>
          <w:snapToGrid w:val="0"/>
          <w:sz w:val="22"/>
        </w:rPr>
        <w:t>) ir 101 %</w:t>
      </w:r>
      <w:r w:rsidR="005F08FC" w:rsidRPr="00BF4AB8">
        <w:rPr>
          <w:snapToGrid w:val="0"/>
          <w:sz w:val="22"/>
        </w:rPr>
        <w:t xml:space="preserve"> </w:t>
      </w:r>
      <w:r w:rsidR="00AC48E9" w:rsidRPr="00BF4AB8">
        <w:rPr>
          <w:snapToGrid w:val="0"/>
          <w:sz w:val="22"/>
        </w:rPr>
        <w:t>(93</w:t>
      </w:r>
      <w:r w:rsidR="00957502" w:rsidRPr="00BF4AB8">
        <w:rPr>
          <w:snapToGrid w:val="0"/>
          <w:sz w:val="22"/>
        </w:rPr>
        <w:noBreakHyphen/>
      </w:r>
      <w:r w:rsidR="00AC48E9" w:rsidRPr="00BF4AB8">
        <w:rPr>
          <w:snapToGrid w:val="0"/>
          <w:sz w:val="22"/>
        </w:rPr>
        <w:t>111 %; AUC</w:t>
      </w:r>
      <w:r w:rsidR="00AC48E9" w:rsidRPr="00BF4AB8">
        <w:rPr>
          <w:snapToGrid w:val="0"/>
          <w:sz w:val="22"/>
          <w:vertAlign w:val="subscript"/>
        </w:rPr>
        <w:t>0-tz</w:t>
      </w:r>
      <w:r w:rsidR="00AC48E9" w:rsidRPr="00BF4AB8">
        <w:rPr>
          <w:snapToGrid w:val="0"/>
          <w:sz w:val="22"/>
        </w:rPr>
        <w:t>)</w:t>
      </w:r>
      <w:r w:rsidR="00957502" w:rsidRPr="00BF4AB8">
        <w:rPr>
          <w:snapToGrid w:val="0"/>
          <w:sz w:val="22"/>
        </w:rPr>
        <w:t xml:space="preserve"> </w:t>
      </w:r>
      <w:proofErr w:type="spellStart"/>
      <w:r w:rsidR="00957502" w:rsidRPr="00BF4AB8">
        <w:rPr>
          <w:snapToGrid w:val="0"/>
          <w:sz w:val="22"/>
        </w:rPr>
        <w:t>etinilestradioliui</w:t>
      </w:r>
      <w:proofErr w:type="spellEnd"/>
      <w:r w:rsidR="00957502" w:rsidRPr="00BF4AB8">
        <w:rPr>
          <w:snapToGrid w:val="0"/>
          <w:sz w:val="22"/>
        </w:rPr>
        <w:t xml:space="preserve"> bei </w:t>
      </w:r>
      <w:r w:rsidR="00AC48E9" w:rsidRPr="00BF4AB8">
        <w:rPr>
          <w:snapToGrid w:val="0"/>
          <w:sz w:val="22"/>
        </w:rPr>
        <w:t>101 % (90</w:t>
      </w:r>
      <w:r w:rsidR="00957502" w:rsidRPr="00BF4AB8">
        <w:rPr>
          <w:snapToGrid w:val="0"/>
          <w:sz w:val="22"/>
        </w:rPr>
        <w:noBreakHyphen/>
      </w:r>
      <w:r w:rsidR="00AC48E9" w:rsidRPr="00BF4AB8">
        <w:rPr>
          <w:snapToGrid w:val="0"/>
          <w:sz w:val="22"/>
        </w:rPr>
        <w:t xml:space="preserve">113 %; </w:t>
      </w:r>
      <w:proofErr w:type="spellStart"/>
      <w:r w:rsidR="00AC48E9" w:rsidRPr="00BF4AB8">
        <w:rPr>
          <w:snapToGrid w:val="0"/>
          <w:sz w:val="22"/>
        </w:rPr>
        <w:t>C</w:t>
      </w:r>
      <w:r w:rsidR="00AC48E9" w:rsidRPr="00BF4AB8">
        <w:rPr>
          <w:snapToGrid w:val="0"/>
          <w:sz w:val="22"/>
          <w:vertAlign w:val="subscript"/>
        </w:rPr>
        <w:t>max</w:t>
      </w:r>
      <w:proofErr w:type="spellEnd"/>
      <w:r w:rsidR="00AC48E9" w:rsidRPr="00BF4AB8">
        <w:rPr>
          <w:snapToGrid w:val="0"/>
          <w:sz w:val="22"/>
        </w:rPr>
        <w:t>) ir 96 %</w:t>
      </w:r>
      <w:r w:rsidR="005F08FC" w:rsidRPr="00BF4AB8">
        <w:rPr>
          <w:snapToGrid w:val="0"/>
          <w:sz w:val="22"/>
        </w:rPr>
        <w:t xml:space="preserve"> </w:t>
      </w:r>
      <w:r w:rsidR="00AC48E9" w:rsidRPr="00BF4AB8">
        <w:rPr>
          <w:snapToGrid w:val="0"/>
          <w:sz w:val="22"/>
        </w:rPr>
        <w:t>(91</w:t>
      </w:r>
      <w:r w:rsidR="00957502" w:rsidRPr="00BF4AB8">
        <w:rPr>
          <w:snapToGrid w:val="0"/>
          <w:sz w:val="22"/>
        </w:rPr>
        <w:noBreakHyphen/>
      </w:r>
      <w:r w:rsidR="00AC48E9" w:rsidRPr="00BF4AB8">
        <w:rPr>
          <w:snapToGrid w:val="0"/>
          <w:sz w:val="22"/>
        </w:rPr>
        <w:t>102 %; AUC</w:t>
      </w:r>
      <w:r w:rsidR="00AC48E9" w:rsidRPr="00BF4AB8">
        <w:rPr>
          <w:snapToGrid w:val="0"/>
          <w:sz w:val="22"/>
          <w:vertAlign w:val="subscript"/>
        </w:rPr>
        <w:t>0-tz</w:t>
      </w:r>
      <w:r w:rsidR="00AC48E9" w:rsidRPr="00BF4AB8">
        <w:rPr>
          <w:snapToGrid w:val="0"/>
          <w:sz w:val="22"/>
        </w:rPr>
        <w:t xml:space="preserve">) </w:t>
      </w:r>
      <w:proofErr w:type="spellStart"/>
      <w:r w:rsidR="00957502" w:rsidRPr="00BF4AB8">
        <w:rPr>
          <w:snapToGrid w:val="0"/>
          <w:sz w:val="22"/>
        </w:rPr>
        <w:t>levonorgestreliui</w:t>
      </w:r>
      <w:proofErr w:type="spellEnd"/>
      <w:r w:rsidR="00957502" w:rsidRPr="00BF4AB8">
        <w:rPr>
          <w:snapToGrid w:val="0"/>
          <w:sz w:val="22"/>
        </w:rPr>
        <w:t xml:space="preserve"> </w:t>
      </w:r>
      <w:r w:rsidR="00AC48E9" w:rsidRPr="00BF4AB8">
        <w:rPr>
          <w:snapToGrid w:val="0"/>
          <w:sz w:val="22"/>
        </w:rPr>
        <w:t xml:space="preserve">(n = 15), ir tai rodo, kad kartu vartojamas </w:t>
      </w:r>
      <w:proofErr w:type="spellStart"/>
      <w:r w:rsidR="00AC48E9" w:rsidRPr="00BF4AB8">
        <w:rPr>
          <w:snapToGrid w:val="0"/>
          <w:sz w:val="22"/>
        </w:rPr>
        <w:t>nintedanibas</w:t>
      </w:r>
      <w:proofErr w:type="spellEnd"/>
      <w:r w:rsidR="00AC48E9" w:rsidRPr="00BF4AB8">
        <w:rPr>
          <w:snapToGrid w:val="0"/>
          <w:sz w:val="22"/>
        </w:rPr>
        <w:t xml:space="preserve"> reikšming</w:t>
      </w:r>
      <w:r w:rsidR="00957502" w:rsidRPr="00BF4AB8">
        <w:rPr>
          <w:snapToGrid w:val="0"/>
          <w:sz w:val="22"/>
        </w:rPr>
        <w:t>o</w:t>
      </w:r>
      <w:r w:rsidR="00AC48E9" w:rsidRPr="00BF4AB8">
        <w:rPr>
          <w:snapToGrid w:val="0"/>
          <w:sz w:val="22"/>
        </w:rPr>
        <w:t xml:space="preserve"> </w:t>
      </w:r>
      <w:r w:rsidR="00957502" w:rsidRPr="00BF4AB8">
        <w:rPr>
          <w:snapToGrid w:val="0"/>
          <w:sz w:val="22"/>
        </w:rPr>
        <w:t>poveikio</w:t>
      </w:r>
      <w:r w:rsidR="005F08FC" w:rsidRPr="00BF4AB8">
        <w:rPr>
          <w:snapToGrid w:val="0"/>
          <w:sz w:val="22"/>
        </w:rPr>
        <w:t xml:space="preserve"> </w:t>
      </w:r>
      <w:proofErr w:type="spellStart"/>
      <w:r w:rsidR="00AC48E9" w:rsidRPr="00BF4AB8">
        <w:rPr>
          <w:snapToGrid w:val="0"/>
          <w:sz w:val="22"/>
        </w:rPr>
        <w:t>etinilestradiolio</w:t>
      </w:r>
      <w:proofErr w:type="spellEnd"/>
      <w:r w:rsidR="00AC48E9" w:rsidRPr="00BF4AB8">
        <w:rPr>
          <w:snapToGrid w:val="0"/>
          <w:sz w:val="22"/>
        </w:rPr>
        <w:t xml:space="preserve"> ir </w:t>
      </w:r>
      <w:proofErr w:type="spellStart"/>
      <w:r w:rsidR="00AC48E9" w:rsidRPr="00BF4AB8">
        <w:rPr>
          <w:snapToGrid w:val="0"/>
          <w:sz w:val="22"/>
        </w:rPr>
        <w:t>levonorgestrelio</w:t>
      </w:r>
      <w:proofErr w:type="spellEnd"/>
      <w:r w:rsidR="00AC48E9" w:rsidRPr="00BF4AB8">
        <w:rPr>
          <w:snapToGrid w:val="0"/>
          <w:sz w:val="22"/>
        </w:rPr>
        <w:t xml:space="preserve"> ekspozicij</w:t>
      </w:r>
      <w:r w:rsidR="00957502" w:rsidRPr="00BF4AB8">
        <w:rPr>
          <w:snapToGrid w:val="0"/>
          <w:sz w:val="22"/>
        </w:rPr>
        <w:t>ai kraujo</w:t>
      </w:r>
      <w:r w:rsidR="00AC48E9" w:rsidRPr="00BF4AB8">
        <w:rPr>
          <w:snapToGrid w:val="0"/>
          <w:sz w:val="22"/>
        </w:rPr>
        <w:t xml:space="preserve"> plazmoje</w:t>
      </w:r>
      <w:r w:rsidR="00957502" w:rsidRPr="00BF4AB8">
        <w:rPr>
          <w:snapToGrid w:val="0"/>
          <w:sz w:val="22"/>
        </w:rPr>
        <w:t xml:space="preserve"> nedaro</w:t>
      </w:r>
      <w:r w:rsidR="00AC48E9" w:rsidRPr="00BF4AB8">
        <w:rPr>
          <w:snapToGrid w:val="0"/>
          <w:sz w:val="22"/>
        </w:rPr>
        <w:t>.</w:t>
      </w:r>
    </w:p>
    <w:p w14:paraId="6D638DC7" w14:textId="77777777" w:rsidR="005D554B" w:rsidRPr="00BF4AB8" w:rsidRDefault="005D554B" w:rsidP="005D554B">
      <w:pPr>
        <w:keepNext/>
        <w:tabs>
          <w:tab w:val="left" w:pos="567"/>
        </w:tabs>
        <w:spacing w:line="260" w:lineRule="exact"/>
        <w:jc w:val="both"/>
        <w:outlineLvl w:val="3"/>
        <w:rPr>
          <w:snapToGrid w:val="0"/>
          <w:sz w:val="22"/>
          <w:szCs w:val="22"/>
        </w:rPr>
      </w:pPr>
    </w:p>
    <w:p w14:paraId="1F42F11F" w14:textId="77777777" w:rsidR="005D554B" w:rsidRPr="00BF4AB8" w:rsidRDefault="005D554B" w:rsidP="005D554B">
      <w:pPr>
        <w:keepNext/>
        <w:tabs>
          <w:tab w:val="left" w:pos="567"/>
        </w:tabs>
        <w:spacing w:line="260" w:lineRule="exact"/>
        <w:jc w:val="both"/>
        <w:outlineLvl w:val="3"/>
        <w:rPr>
          <w:b/>
          <w:bCs/>
          <w:snapToGrid w:val="0"/>
          <w:sz w:val="22"/>
          <w:szCs w:val="28"/>
          <w:lang w:eastAsia="x-none"/>
        </w:rPr>
      </w:pPr>
      <w:r w:rsidRPr="00BF4AB8">
        <w:rPr>
          <w:b/>
          <w:bCs/>
          <w:snapToGrid w:val="0"/>
          <w:sz w:val="22"/>
          <w:szCs w:val="28"/>
          <w:lang w:eastAsia="x-none"/>
        </w:rPr>
        <w:t>5.3</w:t>
      </w:r>
      <w:r w:rsidRPr="00BF4AB8">
        <w:rPr>
          <w:b/>
          <w:bCs/>
          <w:snapToGrid w:val="0"/>
          <w:sz w:val="22"/>
          <w:szCs w:val="28"/>
          <w:lang w:eastAsia="x-none"/>
        </w:rPr>
        <w:tab/>
      </w:r>
      <w:proofErr w:type="spellStart"/>
      <w:r w:rsidRPr="00BF4AB8">
        <w:rPr>
          <w:b/>
          <w:bCs/>
          <w:snapToGrid w:val="0"/>
          <w:sz w:val="22"/>
          <w:szCs w:val="28"/>
          <w:lang w:eastAsia="x-none"/>
        </w:rPr>
        <w:t>Ikiklinikinių</w:t>
      </w:r>
      <w:proofErr w:type="spellEnd"/>
      <w:r w:rsidRPr="00BF4AB8">
        <w:rPr>
          <w:b/>
          <w:bCs/>
          <w:snapToGrid w:val="0"/>
          <w:sz w:val="22"/>
          <w:szCs w:val="28"/>
          <w:lang w:eastAsia="x-none"/>
        </w:rPr>
        <w:t xml:space="preserve"> saugumo tyrimų duomenys</w:t>
      </w:r>
    </w:p>
    <w:p w14:paraId="66290667" w14:textId="77777777" w:rsidR="005D554B" w:rsidRPr="00BF4AB8" w:rsidRDefault="005D554B" w:rsidP="005D554B">
      <w:pPr>
        <w:rPr>
          <w:snapToGrid w:val="0"/>
          <w:sz w:val="22"/>
          <w:szCs w:val="24"/>
        </w:rPr>
      </w:pPr>
    </w:p>
    <w:p w14:paraId="2600EE80" w14:textId="0C435885" w:rsidR="0017784C" w:rsidRPr="00E96276" w:rsidRDefault="0017784C" w:rsidP="0017784C">
      <w:pPr>
        <w:tabs>
          <w:tab w:val="left" w:pos="567"/>
        </w:tabs>
        <w:rPr>
          <w:snapToGrid w:val="0"/>
          <w:sz w:val="22"/>
          <w:szCs w:val="24"/>
          <w:u w:val="single"/>
        </w:rPr>
      </w:pPr>
      <w:r w:rsidRPr="00E96276">
        <w:rPr>
          <w:snapToGrid w:val="0"/>
          <w:sz w:val="22"/>
          <w:szCs w:val="24"/>
          <w:u w:val="single"/>
        </w:rPr>
        <w:t>Bendrasis toksinis poveikis</w:t>
      </w:r>
    </w:p>
    <w:p w14:paraId="15140927" w14:textId="42314642" w:rsidR="0017784C" w:rsidRPr="00BF4AB8" w:rsidRDefault="0017784C" w:rsidP="0017784C">
      <w:pPr>
        <w:tabs>
          <w:tab w:val="left" w:pos="567"/>
        </w:tabs>
        <w:rPr>
          <w:snapToGrid w:val="0"/>
          <w:sz w:val="22"/>
          <w:szCs w:val="24"/>
        </w:rPr>
      </w:pPr>
      <w:r w:rsidRPr="00580308">
        <w:rPr>
          <w:snapToGrid w:val="0"/>
          <w:sz w:val="22"/>
          <w:szCs w:val="24"/>
        </w:rPr>
        <w:t xml:space="preserve">Vienkartinės dozės toksinio poveikio tyrimų su žiurkėmis ir pelėmis metu </w:t>
      </w:r>
      <w:proofErr w:type="spellStart"/>
      <w:r w:rsidRPr="00580308">
        <w:rPr>
          <w:snapToGrid w:val="0"/>
          <w:sz w:val="22"/>
          <w:szCs w:val="24"/>
        </w:rPr>
        <w:t>nintedanibo</w:t>
      </w:r>
      <w:proofErr w:type="spellEnd"/>
      <w:r w:rsidRPr="00580308">
        <w:rPr>
          <w:snapToGrid w:val="0"/>
          <w:sz w:val="22"/>
          <w:szCs w:val="24"/>
        </w:rPr>
        <w:t xml:space="preserve"> ūminio toksinio poveikio pasireiškimo potencialas</w:t>
      </w:r>
      <w:r w:rsidR="00580308" w:rsidRPr="00580308">
        <w:rPr>
          <w:snapToGrid w:val="0"/>
          <w:sz w:val="22"/>
          <w:szCs w:val="24"/>
        </w:rPr>
        <w:t xml:space="preserve"> </w:t>
      </w:r>
      <w:r w:rsidR="00580308">
        <w:rPr>
          <w:snapToGrid w:val="0"/>
          <w:sz w:val="22"/>
          <w:szCs w:val="24"/>
        </w:rPr>
        <w:t xml:space="preserve">buvo </w:t>
      </w:r>
      <w:r w:rsidR="00580308" w:rsidRPr="00580308">
        <w:rPr>
          <w:snapToGrid w:val="0"/>
          <w:sz w:val="22"/>
          <w:szCs w:val="24"/>
        </w:rPr>
        <w:t>mažas</w:t>
      </w:r>
      <w:r w:rsidRPr="00BF4AB8">
        <w:rPr>
          <w:snapToGrid w:val="0"/>
          <w:sz w:val="22"/>
          <w:szCs w:val="24"/>
        </w:rPr>
        <w:t xml:space="preserve">. Kartotinių dozių toksinio poveikio tyrimų su žiurkėmis metu nustatyti nepageidaujami reiškiniai (pvz., epifizių plokštelių sustorėjimas, </w:t>
      </w:r>
      <w:r w:rsidR="00695FA6">
        <w:rPr>
          <w:snapToGrid w:val="0"/>
          <w:sz w:val="22"/>
          <w:szCs w:val="24"/>
        </w:rPr>
        <w:t>kandžių (priekinių</w:t>
      </w:r>
      <w:r w:rsidR="00695FA6" w:rsidRPr="00BF4AB8">
        <w:rPr>
          <w:snapToGrid w:val="0"/>
          <w:sz w:val="22"/>
          <w:szCs w:val="24"/>
        </w:rPr>
        <w:t xml:space="preserve"> </w:t>
      </w:r>
      <w:r w:rsidRPr="00BF4AB8">
        <w:rPr>
          <w:snapToGrid w:val="0"/>
          <w:sz w:val="22"/>
          <w:szCs w:val="24"/>
        </w:rPr>
        <w:t>dantų</w:t>
      </w:r>
      <w:r w:rsidR="00695FA6">
        <w:rPr>
          <w:snapToGrid w:val="0"/>
          <w:sz w:val="22"/>
          <w:szCs w:val="24"/>
        </w:rPr>
        <w:t>)</w:t>
      </w:r>
      <w:r w:rsidRPr="00BF4AB8">
        <w:rPr>
          <w:snapToGrid w:val="0"/>
          <w:sz w:val="22"/>
          <w:szCs w:val="24"/>
        </w:rPr>
        <w:t xml:space="preserve"> pažeidimai) daugiausia buvo susiję su </w:t>
      </w:r>
      <w:proofErr w:type="spellStart"/>
      <w:r w:rsidRPr="00BF4AB8">
        <w:rPr>
          <w:snapToGrid w:val="0"/>
          <w:sz w:val="22"/>
          <w:szCs w:val="24"/>
        </w:rPr>
        <w:t>nintedanibo</w:t>
      </w:r>
      <w:proofErr w:type="spellEnd"/>
      <w:r w:rsidRPr="00BF4AB8">
        <w:rPr>
          <w:snapToGrid w:val="0"/>
          <w:sz w:val="22"/>
          <w:szCs w:val="24"/>
        </w:rPr>
        <w:t xml:space="preserve"> veikimo mechanizmu (t. y., KEAFR-2 slopinimu). Yra žinoma, kad tokius pokyčius sukelia ir kiti KEAFR-2 inhibitoriai ir tai yra grupei būdingas poveikis.</w:t>
      </w:r>
    </w:p>
    <w:p w14:paraId="42B89146" w14:textId="77777777" w:rsidR="0017784C" w:rsidRPr="00BF4AB8" w:rsidRDefault="0017784C" w:rsidP="0017784C">
      <w:pPr>
        <w:tabs>
          <w:tab w:val="left" w:pos="567"/>
        </w:tabs>
        <w:rPr>
          <w:snapToGrid w:val="0"/>
          <w:sz w:val="22"/>
          <w:szCs w:val="24"/>
        </w:rPr>
      </w:pPr>
    </w:p>
    <w:p w14:paraId="43D50E38" w14:textId="3C88A03A" w:rsidR="0017784C" w:rsidRPr="00BF4AB8" w:rsidRDefault="0017784C" w:rsidP="0017784C">
      <w:pPr>
        <w:tabs>
          <w:tab w:val="left" w:pos="567"/>
        </w:tabs>
        <w:rPr>
          <w:snapToGrid w:val="0"/>
          <w:sz w:val="22"/>
          <w:szCs w:val="24"/>
        </w:rPr>
      </w:pPr>
      <w:r w:rsidRPr="00BF4AB8">
        <w:rPr>
          <w:snapToGrid w:val="0"/>
          <w:sz w:val="22"/>
          <w:szCs w:val="24"/>
        </w:rPr>
        <w:lastRenderedPageBreak/>
        <w:t>Toksinio poveikio tyrimų su ne</w:t>
      </w:r>
      <w:r w:rsidR="00095016">
        <w:rPr>
          <w:snapToGrid w:val="0"/>
          <w:sz w:val="22"/>
          <w:szCs w:val="24"/>
        </w:rPr>
        <w:t xml:space="preserve"> </w:t>
      </w:r>
      <w:r w:rsidRPr="00BF4AB8">
        <w:rPr>
          <w:snapToGrid w:val="0"/>
          <w:sz w:val="22"/>
          <w:szCs w:val="24"/>
        </w:rPr>
        <w:t>graužikais metu pasireiškė viduriavimas ir vėmimas kartu su suvartojamo ėdalo kiekio ir kūno svorio sumažėjimu.</w:t>
      </w:r>
    </w:p>
    <w:p w14:paraId="3DAA13B4" w14:textId="77777777" w:rsidR="0017784C" w:rsidRPr="00BF4AB8" w:rsidRDefault="0017784C" w:rsidP="0017784C">
      <w:pPr>
        <w:tabs>
          <w:tab w:val="left" w:pos="567"/>
        </w:tabs>
        <w:rPr>
          <w:snapToGrid w:val="0"/>
          <w:sz w:val="22"/>
          <w:szCs w:val="24"/>
        </w:rPr>
      </w:pPr>
    </w:p>
    <w:p w14:paraId="52198C02" w14:textId="6254CA9C" w:rsidR="0017784C" w:rsidRPr="00BF4AB8" w:rsidRDefault="0017784C" w:rsidP="0017784C">
      <w:pPr>
        <w:tabs>
          <w:tab w:val="left" w:pos="567"/>
        </w:tabs>
        <w:rPr>
          <w:snapToGrid w:val="0"/>
          <w:sz w:val="22"/>
          <w:szCs w:val="24"/>
        </w:rPr>
      </w:pPr>
      <w:r w:rsidRPr="00BF4AB8">
        <w:rPr>
          <w:snapToGrid w:val="0"/>
          <w:sz w:val="22"/>
          <w:szCs w:val="24"/>
        </w:rPr>
        <w:t xml:space="preserve">Žiurkėms, šunims ir </w:t>
      </w:r>
      <w:proofErr w:type="spellStart"/>
      <w:r w:rsidRPr="00BF4AB8">
        <w:rPr>
          <w:i/>
          <w:iCs/>
          <w:snapToGrid w:val="0"/>
          <w:sz w:val="22"/>
          <w:szCs w:val="24"/>
        </w:rPr>
        <w:t>Cynomolgus</w:t>
      </w:r>
      <w:proofErr w:type="spellEnd"/>
      <w:r w:rsidRPr="00BF4AB8">
        <w:rPr>
          <w:snapToGrid w:val="0"/>
          <w:sz w:val="22"/>
          <w:szCs w:val="24"/>
        </w:rPr>
        <w:t xml:space="preserve"> beždžionėms kepenų fermentų </w:t>
      </w:r>
      <w:r w:rsidR="00E42506" w:rsidRPr="00BF4AB8">
        <w:rPr>
          <w:snapToGrid w:val="0"/>
          <w:sz w:val="22"/>
          <w:szCs w:val="24"/>
        </w:rPr>
        <w:t>aktyvumo</w:t>
      </w:r>
      <w:r w:rsidRPr="00BF4AB8">
        <w:rPr>
          <w:snapToGrid w:val="0"/>
          <w:sz w:val="22"/>
          <w:szCs w:val="24"/>
        </w:rPr>
        <w:t xml:space="preserve"> padidėjimo </w:t>
      </w:r>
      <w:r w:rsidR="00E42506" w:rsidRPr="00BF4AB8">
        <w:rPr>
          <w:snapToGrid w:val="0"/>
          <w:sz w:val="22"/>
          <w:szCs w:val="24"/>
        </w:rPr>
        <w:t>nenustatyta</w:t>
      </w:r>
      <w:r w:rsidRPr="00BF4AB8">
        <w:rPr>
          <w:snapToGrid w:val="0"/>
          <w:sz w:val="22"/>
          <w:szCs w:val="24"/>
        </w:rPr>
        <w:t xml:space="preserve">. </w:t>
      </w:r>
      <w:r w:rsidR="00E42506" w:rsidRPr="00BF4AB8">
        <w:rPr>
          <w:snapToGrid w:val="0"/>
          <w:sz w:val="22"/>
          <w:szCs w:val="24"/>
        </w:rPr>
        <w:t>N</w:t>
      </w:r>
      <w:r w:rsidRPr="00BF4AB8">
        <w:rPr>
          <w:snapToGrid w:val="0"/>
          <w:sz w:val="22"/>
          <w:szCs w:val="24"/>
        </w:rPr>
        <w:t>edidelis</w:t>
      </w:r>
      <w:r w:rsidR="00E42506" w:rsidRPr="00BF4AB8">
        <w:rPr>
          <w:snapToGrid w:val="0"/>
          <w:sz w:val="22"/>
          <w:szCs w:val="24"/>
        </w:rPr>
        <w:t xml:space="preserve"> </w:t>
      </w:r>
      <w:r w:rsidRPr="00BF4AB8">
        <w:rPr>
          <w:snapToGrid w:val="0"/>
          <w:sz w:val="22"/>
          <w:szCs w:val="24"/>
        </w:rPr>
        <w:t xml:space="preserve">kepenų fermentų </w:t>
      </w:r>
      <w:r w:rsidR="00E42506" w:rsidRPr="00BF4AB8">
        <w:rPr>
          <w:snapToGrid w:val="0"/>
          <w:sz w:val="22"/>
          <w:szCs w:val="24"/>
        </w:rPr>
        <w:t>aktyvumo</w:t>
      </w:r>
      <w:r w:rsidRPr="00BF4AB8">
        <w:rPr>
          <w:snapToGrid w:val="0"/>
          <w:sz w:val="22"/>
          <w:szCs w:val="24"/>
        </w:rPr>
        <w:t xml:space="preserve"> padidėjimas, </w:t>
      </w:r>
      <w:r w:rsidR="00E42506" w:rsidRPr="00580308">
        <w:rPr>
          <w:snapToGrid w:val="0"/>
          <w:sz w:val="22"/>
          <w:szCs w:val="24"/>
        </w:rPr>
        <w:t xml:space="preserve">nesusijęs su </w:t>
      </w:r>
      <w:r w:rsidRPr="00580308">
        <w:rPr>
          <w:snapToGrid w:val="0"/>
          <w:sz w:val="22"/>
          <w:szCs w:val="24"/>
        </w:rPr>
        <w:t>sunk</w:t>
      </w:r>
      <w:r w:rsidR="00E42506" w:rsidRPr="00580308">
        <w:rPr>
          <w:snapToGrid w:val="0"/>
          <w:sz w:val="22"/>
          <w:szCs w:val="24"/>
        </w:rPr>
        <w:t>iu</w:t>
      </w:r>
      <w:r w:rsidRPr="00BF4AB8">
        <w:rPr>
          <w:snapToGrid w:val="0"/>
          <w:sz w:val="22"/>
          <w:szCs w:val="24"/>
        </w:rPr>
        <w:t xml:space="preserve"> nepageidaujam</w:t>
      </w:r>
      <w:r w:rsidR="00E42506" w:rsidRPr="00BF4AB8">
        <w:rPr>
          <w:snapToGrid w:val="0"/>
          <w:sz w:val="22"/>
          <w:szCs w:val="24"/>
        </w:rPr>
        <w:t>u</w:t>
      </w:r>
      <w:r w:rsidRPr="00BF4AB8">
        <w:rPr>
          <w:snapToGrid w:val="0"/>
          <w:sz w:val="22"/>
          <w:szCs w:val="24"/>
        </w:rPr>
        <w:t xml:space="preserve"> poveiki</w:t>
      </w:r>
      <w:r w:rsidR="00E42506" w:rsidRPr="00BF4AB8">
        <w:rPr>
          <w:snapToGrid w:val="0"/>
          <w:sz w:val="22"/>
          <w:szCs w:val="24"/>
        </w:rPr>
        <w:t>u</w:t>
      </w:r>
      <w:r w:rsidRPr="00BF4AB8">
        <w:rPr>
          <w:snapToGrid w:val="0"/>
          <w:sz w:val="22"/>
          <w:szCs w:val="24"/>
        </w:rPr>
        <w:t>, pvz., viduriavim</w:t>
      </w:r>
      <w:r w:rsidR="00E42506" w:rsidRPr="00BF4AB8">
        <w:rPr>
          <w:snapToGrid w:val="0"/>
          <w:sz w:val="22"/>
          <w:szCs w:val="24"/>
        </w:rPr>
        <w:t>u</w:t>
      </w:r>
      <w:r w:rsidRPr="00BF4AB8">
        <w:rPr>
          <w:snapToGrid w:val="0"/>
          <w:sz w:val="22"/>
          <w:szCs w:val="24"/>
        </w:rPr>
        <w:t xml:space="preserve">, </w:t>
      </w:r>
      <w:r w:rsidR="00E42506" w:rsidRPr="00BF4AB8">
        <w:rPr>
          <w:snapToGrid w:val="0"/>
          <w:sz w:val="22"/>
          <w:szCs w:val="24"/>
        </w:rPr>
        <w:t xml:space="preserve">buvo pastebėtas tik </w:t>
      </w:r>
      <w:proofErr w:type="spellStart"/>
      <w:r w:rsidR="00E42506" w:rsidRPr="00BF4AB8">
        <w:rPr>
          <w:snapToGrid w:val="0"/>
          <w:sz w:val="22"/>
          <w:szCs w:val="24"/>
        </w:rPr>
        <w:t>Rezus</w:t>
      </w:r>
      <w:proofErr w:type="spellEnd"/>
      <w:r w:rsidR="00E42506" w:rsidRPr="00BF4AB8">
        <w:rPr>
          <w:snapToGrid w:val="0"/>
          <w:sz w:val="22"/>
          <w:szCs w:val="24"/>
        </w:rPr>
        <w:t xml:space="preserve"> beždžionėms</w:t>
      </w:r>
      <w:r w:rsidRPr="00BF4AB8">
        <w:rPr>
          <w:snapToGrid w:val="0"/>
          <w:sz w:val="22"/>
          <w:szCs w:val="24"/>
        </w:rPr>
        <w:t>.</w:t>
      </w:r>
    </w:p>
    <w:p w14:paraId="40C2C219" w14:textId="77777777" w:rsidR="0017784C" w:rsidRPr="00BF4AB8" w:rsidRDefault="0017784C" w:rsidP="0017784C">
      <w:pPr>
        <w:tabs>
          <w:tab w:val="left" w:pos="567"/>
        </w:tabs>
        <w:rPr>
          <w:snapToGrid w:val="0"/>
          <w:sz w:val="22"/>
          <w:szCs w:val="24"/>
        </w:rPr>
      </w:pPr>
    </w:p>
    <w:p w14:paraId="6C57AB39" w14:textId="0EA7B00D" w:rsidR="0017784C" w:rsidRPr="00BF4AB8" w:rsidRDefault="0017784C" w:rsidP="0017784C">
      <w:pPr>
        <w:tabs>
          <w:tab w:val="left" w:pos="567"/>
        </w:tabs>
        <w:rPr>
          <w:snapToGrid w:val="0"/>
          <w:sz w:val="22"/>
          <w:szCs w:val="24"/>
          <w:u w:val="single"/>
        </w:rPr>
      </w:pPr>
      <w:r w:rsidRPr="00BF4AB8">
        <w:rPr>
          <w:snapToGrid w:val="0"/>
          <w:sz w:val="22"/>
          <w:szCs w:val="24"/>
          <w:u w:val="single"/>
        </w:rPr>
        <w:t>Toksinis poveikis reprodukcijai</w:t>
      </w:r>
    </w:p>
    <w:p w14:paraId="01823931" w14:textId="7898D3F1" w:rsidR="0017784C" w:rsidRPr="00BF4AB8" w:rsidRDefault="0017784C" w:rsidP="0017784C">
      <w:pPr>
        <w:tabs>
          <w:tab w:val="left" w:pos="567"/>
        </w:tabs>
        <w:rPr>
          <w:snapToGrid w:val="0"/>
          <w:sz w:val="22"/>
          <w:szCs w:val="24"/>
        </w:rPr>
      </w:pPr>
      <w:r w:rsidRPr="00BF4AB8">
        <w:rPr>
          <w:snapToGrid w:val="0"/>
          <w:sz w:val="22"/>
          <w:szCs w:val="24"/>
        </w:rPr>
        <w:t>Patinų vaisingumo ir ankstyvo</w:t>
      </w:r>
      <w:r w:rsidR="00A11B4B" w:rsidRPr="00BF4AB8">
        <w:rPr>
          <w:snapToGrid w:val="0"/>
          <w:sz w:val="22"/>
          <w:szCs w:val="24"/>
        </w:rPr>
        <w:t>jo</w:t>
      </w:r>
      <w:r w:rsidRPr="00BF4AB8">
        <w:rPr>
          <w:snapToGrid w:val="0"/>
          <w:sz w:val="22"/>
          <w:szCs w:val="24"/>
        </w:rPr>
        <w:t xml:space="preserve"> embriono vystymosi iki implantacijos tyrim</w:t>
      </w:r>
      <w:r w:rsidR="00A11B4B" w:rsidRPr="00BF4AB8">
        <w:rPr>
          <w:snapToGrid w:val="0"/>
          <w:sz w:val="22"/>
          <w:szCs w:val="24"/>
        </w:rPr>
        <w:t xml:space="preserve">ų </w:t>
      </w:r>
      <w:r w:rsidRPr="00BF4AB8">
        <w:rPr>
          <w:snapToGrid w:val="0"/>
          <w:sz w:val="22"/>
          <w:szCs w:val="24"/>
        </w:rPr>
        <w:t>su</w:t>
      </w:r>
      <w:r w:rsidR="00E42506" w:rsidRPr="00BF4AB8">
        <w:rPr>
          <w:snapToGrid w:val="0"/>
          <w:sz w:val="22"/>
          <w:szCs w:val="24"/>
        </w:rPr>
        <w:t xml:space="preserve"> </w:t>
      </w:r>
      <w:r w:rsidRPr="00BF4AB8">
        <w:rPr>
          <w:snapToGrid w:val="0"/>
          <w:sz w:val="22"/>
          <w:szCs w:val="24"/>
        </w:rPr>
        <w:t>žiurkėmis</w:t>
      </w:r>
      <w:r w:rsidR="00A11B4B" w:rsidRPr="00BF4AB8">
        <w:rPr>
          <w:snapToGrid w:val="0"/>
          <w:sz w:val="22"/>
          <w:szCs w:val="24"/>
        </w:rPr>
        <w:t xml:space="preserve"> metu</w:t>
      </w:r>
      <w:r w:rsidRPr="00BF4AB8">
        <w:rPr>
          <w:snapToGrid w:val="0"/>
          <w:sz w:val="22"/>
          <w:szCs w:val="24"/>
        </w:rPr>
        <w:t xml:space="preserve"> poveikio patin</w:t>
      </w:r>
      <w:r w:rsidR="00A11B4B" w:rsidRPr="00BF4AB8">
        <w:rPr>
          <w:snapToGrid w:val="0"/>
          <w:sz w:val="22"/>
          <w:szCs w:val="24"/>
        </w:rPr>
        <w:t>ų</w:t>
      </w:r>
      <w:r w:rsidRPr="00BF4AB8">
        <w:rPr>
          <w:snapToGrid w:val="0"/>
          <w:sz w:val="22"/>
          <w:szCs w:val="24"/>
        </w:rPr>
        <w:t xml:space="preserve"> </w:t>
      </w:r>
      <w:r w:rsidR="00A11B4B" w:rsidRPr="00BF4AB8">
        <w:rPr>
          <w:snapToGrid w:val="0"/>
          <w:sz w:val="22"/>
          <w:szCs w:val="24"/>
        </w:rPr>
        <w:t>reprodukciniams</w:t>
      </w:r>
      <w:r w:rsidRPr="00BF4AB8">
        <w:rPr>
          <w:snapToGrid w:val="0"/>
          <w:sz w:val="22"/>
          <w:szCs w:val="24"/>
        </w:rPr>
        <w:t xml:space="preserve"> organams ir </w:t>
      </w:r>
      <w:r w:rsidR="00A11B4B" w:rsidRPr="00BF4AB8">
        <w:rPr>
          <w:snapToGrid w:val="0"/>
          <w:sz w:val="22"/>
          <w:szCs w:val="24"/>
        </w:rPr>
        <w:t>vislumui nenustatyta</w:t>
      </w:r>
      <w:r w:rsidRPr="00BF4AB8">
        <w:rPr>
          <w:snapToGrid w:val="0"/>
          <w:sz w:val="22"/>
          <w:szCs w:val="24"/>
        </w:rPr>
        <w:t>.</w:t>
      </w:r>
    </w:p>
    <w:p w14:paraId="7BD8BDE0" w14:textId="5CFE7787" w:rsidR="00E42506" w:rsidRPr="00BF4AB8" w:rsidRDefault="00E42506" w:rsidP="0017784C">
      <w:pPr>
        <w:tabs>
          <w:tab w:val="left" w:pos="567"/>
        </w:tabs>
        <w:rPr>
          <w:snapToGrid w:val="0"/>
          <w:sz w:val="22"/>
          <w:szCs w:val="24"/>
        </w:rPr>
      </w:pPr>
    </w:p>
    <w:p w14:paraId="0A9D0D88" w14:textId="7D44C416" w:rsidR="0017784C" w:rsidRPr="00BF4AB8" w:rsidRDefault="0017784C" w:rsidP="0017784C">
      <w:pPr>
        <w:tabs>
          <w:tab w:val="left" w:pos="567"/>
        </w:tabs>
        <w:rPr>
          <w:snapToGrid w:val="0"/>
          <w:sz w:val="22"/>
          <w:szCs w:val="24"/>
        </w:rPr>
      </w:pPr>
      <w:r w:rsidRPr="00BF4AB8">
        <w:rPr>
          <w:snapToGrid w:val="0"/>
          <w:sz w:val="22"/>
          <w:szCs w:val="24"/>
        </w:rPr>
        <w:t>Žiurkėms embrion</w:t>
      </w:r>
      <w:r w:rsidR="00027D96" w:rsidRPr="00BF4AB8">
        <w:rPr>
          <w:snapToGrid w:val="0"/>
          <w:sz w:val="22"/>
          <w:szCs w:val="24"/>
        </w:rPr>
        <w:t>o</w:t>
      </w:r>
      <w:r w:rsidRPr="00BF4AB8">
        <w:rPr>
          <w:snapToGrid w:val="0"/>
          <w:sz w:val="22"/>
          <w:szCs w:val="24"/>
        </w:rPr>
        <w:t xml:space="preserve"> ir vaisi</w:t>
      </w:r>
      <w:r w:rsidR="00027D96" w:rsidRPr="00BF4AB8">
        <w:rPr>
          <w:snapToGrid w:val="0"/>
          <w:sz w:val="22"/>
          <w:szCs w:val="24"/>
        </w:rPr>
        <w:t>aus</w:t>
      </w:r>
      <w:r w:rsidRPr="00BF4AB8">
        <w:rPr>
          <w:snapToGrid w:val="0"/>
          <w:sz w:val="22"/>
          <w:szCs w:val="24"/>
        </w:rPr>
        <w:t xml:space="preserve"> žuvimas </w:t>
      </w:r>
      <w:r w:rsidR="00A11B4B" w:rsidRPr="00BF4AB8">
        <w:rPr>
          <w:snapToGrid w:val="0"/>
          <w:sz w:val="22"/>
          <w:szCs w:val="24"/>
        </w:rPr>
        <w:t>bei</w:t>
      </w:r>
      <w:r w:rsidRPr="00BF4AB8">
        <w:rPr>
          <w:snapToGrid w:val="0"/>
          <w:sz w:val="22"/>
          <w:szCs w:val="24"/>
        </w:rPr>
        <w:t xml:space="preserve"> </w:t>
      </w:r>
      <w:proofErr w:type="spellStart"/>
      <w:r w:rsidRPr="00BF4AB8">
        <w:rPr>
          <w:snapToGrid w:val="0"/>
          <w:sz w:val="22"/>
          <w:szCs w:val="24"/>
        </w:rPr>
        <w:t>teratogeninis</w:t>
      </w:r>
      <w:proofErr w:type="spellEnd"/>
      <w:r w:rsidRPr="00BF4AB8">
        <w:rPr>
          <w:snapToGrid w:val="0"/>
          <w:sz w:val="22"/>
          <w:szCs w:val="24"/>
        </w:rPr>
        <w:t xml:space="preserve"> poveikis </w:t>
      </w:r>
      <w:r w:rsidR="00A11B4B" w:rsidRPr="00BF4AB8">
        <w:rPr>
          <w:snapToGrid w:val="0"/>
          <w:sz w:val="22"/>
          <w:szCs w:val="24"/>
        </w:rPr>
        <w:t xml:space="preserve">buvo nustatyti </w:t>
      </w:r>
      <w:r w:rsidRPr="00BF4AB8">
        <w:rPr>
          <w:snapToGrid w:val="0"/>
          <w:sz w:val="22"/>
          <w:szCs w:val="24"/>
        </w:rPr>
        <w:t>esant mažesnei ekspozicijai</w:t>
      </w:r>
      <w:r w:rsidR="00E42506" w:rsidRPr="00BF4AB8">
        <w:rPr>
          <w:snapToGrid w:val="0"/>
          <w:sz w:val="22"/>
          <w:szCs w:val="24"/>
        </w:rPr>
        <w:t xml:space="preserve"> </w:t>
      </w:r>
      <w:r w:rsidR="00A11B4B" w:rsidRPr="00BF4AB8">
        <w:rPr>
          <w:snapToGrid w:val="0"/>
          <w:sz w:val="22"/>
          <w:szCs w:val="24"/>
        </w:rPr>
        <w:t xml:space="preserve">nei būna </w:t>
      </w:r>
      <w:r w:rsidRPr="00BF4AB8">
        <w:rPr>
          <w:snapToGrid w:val="0"/>
          <w:sz w:val="22"/>
          <w:szCs w:val="24"/>
        </w:rPr>
        <w:t>vartojant didžiausią rekomenduojamą dozę žmogui (DRDŽ), t. y. 200</w:t>
      </w:r>
      <w:r w:rsidR="00A11B4B" w:rsidRPr="00BF4AB8">
        <w:rPr>
          <w:snapToGrid w:val="0"/>
          <w:sz w:val="22"/>
          <w:szCs w:val="24"/>
        </w:rPr>
        <w:t> </w:t>
      </w:r>
      <w:r w:rsidRPr="00BF4AB8">
        <w:rPr>
          <w:snapToGrid w:val="0"/>
          <w:sz w:val="22"/>
          <w:szCs w:val="24"/>
        </w:rPr>
        <w:t>mg du kartus</w:t>
      </w:r>
      <w:r w:rsidR="00E42506" w:rsidRPr="00BF4AB8">
        <w:rPr>
          <w:snapToGrid w:val="0"/>
          <w:sz w:val="22"/>
          <w:szCs w:val="24"/>
        </w:rPr>
        <w:t xml:space="preserve"> </w:t>
      </w:r>
      <w:r w:rsidRPr="00BF4AB8">
        <w:rPr>
          <w:snapToGrid w:val="0"/>
          <w:sz w:val="22"/>
          <w:szCs w:val="24"/>
        </w:rPr>
        <w:t xml:space="preserve">per parą. </w:t>
      </w:r>
      <w:r w:rsidR="00A11B4B" w:rsidRPr="00BF4AB8">
        <w:rPr>
          <w:snapToGrid w:val="0"/>
          <w:sz w:val="22"/>
          <w:szCs w:val="24"/>
        </w:rPr>
        <w:t>P</w:t>
      </w:r>
      <w:r w:rsidRPr="00BF4AB8">
        <w:rPr>
          <w:snapToGrid w:val="0"/>
          <w:sz w:val="22"/>
          <w:szCs w:val="24"/>
        </w:rPr>
        <w:t xml:space="preserve">oveikis ašinio skeleto </w:t>
      </w:r>
      <w:r w:rsidR="00A11B4B" w:rsidRPr="00BF4AB8">
        <w:rPr>
          <w:snapToGrid w:val="0"/>
          <w:sz w:val="22"/>
          <w:szCs w:val="24"/>
        </w:rPr>
        <w:t xml:space="preserve">vystymuisi </w:t>
      </w:r>
      <w:r w:rsidRPr="00BF4AB8">
        <w:rPr>
          <w:snapToGrid w:val="0"/>
          <w:sz w:val="22"/>
          <w:szCs w:val="24"/>
        </w:rPr>
        <w:t xml:space="preserve">ir didžiųjų arterijų vystymuisi </w:t>
      </w:r>
      <w:r w:rsidR="00695FA6">
        <w:rPr>
          <w:snapToGrid w:val="0"/>
          <w:sz w:val="22"/>
          <w:szCs w:val="24"/>
        </w:rPr>
        <w:t xml:space="preserve">taip pat </w:t>
      </w:r>
      <w:r w:rsidRPr="00BF4AB8">
        <w:rPr>
          <w:snapToGrid w:val="0"/>
          <w:sz w:val="22"/>
          <w:szCs w:val="24"/>
        </w:rPr>
        <w:t>buvo pastebėtas</w:t>
      </w:r>
      <w:r w:rsidR="00E42506" w:rsidRPr="00BF4AB8">
        <w:rPr>
          <w:snapToGrid w:val="0"/>
          <w:sz w:val="22"/>
          <w:szCs w:val="24"/>
        </w:rPr>
        <w:t xml:space="preserve"> </w:t>
      </w:r>
      <w:r w:rsidRPr="00BF4AB8">
        <w:rPr>
          <w:snapToGrid w:val="0"/>
          <w:sz w:val="22"/>
          <w:szCs w:val="24"/>
        </w:rPr>
        <w:t>esant</w:t>
      </w:r>
      <w:r w:rsidR="00A11B4B" w:rsidRPr="00BF4AB8">
        <w:rPr>
          <w:snapToGrid w:val="0"/>
          <w:sz w:val="22"/>
          <w:szCs w:val="24"/>
        </w:rPr>
        <w:t xml:space="preserve"> mažesnei nei terapinė </w:t>
      </w:r>
      <w:r w:rsidRPr="00BF4AB8">
        <w:rPr>
          <w:snapToGrid w:val="0"/>
          <w:sz w:val="22"/>
          <w:szCs w:val="24"/>
        </w:rPr>
        <w:t>ekspozicijai.</w:t>
      </w:r>
    </w:p>
    <w:p w14:paraId="44F9399B" w14:textId="3607024D" w:rsidR="00E42506" w:rsidRPr="00BF4AB8" w:rsidRDefault="00E42506" w:rsidP="0017784C">
      <w:pPr>
        <w:tabs>
          <w:tab w:val="left" w:pos="567"/>
        </w:tabs>
        <w:rPr>
          <w:snapToGrid w:val="0"/>
          <w:sz w:val="22"/>
          <w:szCs w:val="24"/>
        </w:rPr>
      </w:pPr>
    </w:p>
    <w:p w14:paraId="461CC2B8" w14:textId="4CB39ABF" w:rsidR="0017784C" w:rsidRPr="00BF4AB8" w:rsidRDefault="0017784C" w:rsidP="0017784C">
      <w:pPr>
        <w:tabs>
          <w:tab w:val="left" w:pos="567"/>
        </w:tabs>
        <w:rPr>
          <w:snapToGrid w:val="0"/>
          <w:sz w:val="22"/>
          <w:szCs w:val="24"/>
        </w:rPr>
      </w:pPr>
      <w:r w:rsidRPr="00BF4AB8">
        <w:rPr>
          <w:snapToGrid w:val="0"/>
          <w:sz w:val="22"/>
          <w:szCs w:val="24"/>
        </w:rPr>
        <w:t>Esant maždaug 8</w:t>
      </w:r>
      <w:r w:rsidR="001E7865" w:rsidRPr="00BF4AB8">
        <w:rPr>
          <w:snapToGrid w:val="0"/>
          <w:sz w:val="22"/>
          <w:szCs w:val="24"/>
        </w:rPr>
        <w:t> </w:t>
      </w:r>
      <w:r w:rsidRPr="00BF4AB8">
        <w:rPr>
          <w:snapToGrid w:val="0"/>
          <w:sz w:val="22"/>
          <w:szCs w:val="24"/>
        </w:rPr>
        <w:t xml:space="preserve">kartus didesnei ekspozicijai </w:t>
      </w:r>
      <w:r w:rsidR="00027D96" w:rsidRPr="00BF4AB8">
        <w:rPr>
          <w:snapToGrid w:val="0"/>
          <w:sz w:val="22"/>
          <w:szCs w:val="24"/>
        </w:rPr>
        <w:t>nei būna</w:t>
      </w:r>
      <w:r w:rsidRPr="00BF4AB8">
        <w:rPr>
          <w:snapToGrid w:val="0"/>
          <w:sz w:val="22"/>
          <w:szCs w:val="24"/>
        </w:rPr>
        <w:t xml:space="preserve"> vartojant DRDŽ, triušiams pasireiškė</w:t>
      </w:r>
      <w:r w:rsidR="00E42506" w:rsidRPr="00BF4AB8">
        <w:rPr>
          <w:snapToGrid w:val="0"/>
          <w:sz w:val="22"/>
          <w:szCs w:val="24"/>
        </w:rPr>
        <w:t xml:space="preserve"> </w:t>
      </w:r>
      <w:r w:rsidRPr="00BF4AB8">
        <w:rPr>
          <w:snapToGrid w:val="0"/>
          <w:sz w:val="22"/>
          <w:szCs w:val="24"/>
        </w:rPr>
        <w:t>embrion</w:t>
      </w:r>
      <w:r w:rsidR="00027D96" w:rsidRPr="00BF4AB8">
        <w:rPr>
          <w:snapToGrid w:val="0"/>
          <w:sz w:val="22"/>
          <w:szCs w:val="24"/>
        </w:rPr>
        <w:t>o</w:t>
      </w:r>
      <w:r w:rsidRPr="00BF4AB8">
        <w:rPr>
          <w:snapToGrid w:val="0"/>
          <w:sz w:val="22"/>
          <w:szCs w:val="24"/>
        </w:rPr>
        <w:t xml:space="preserve"> ir vaisi</w:t>
      </w:r>
      <w:r w:rsidR="00027D96" w:rsidRPr="00BF4AB8">
        <w:rPr>
          <w:snapToGrid w:val="0"/>
          <w:sz w:val="22"/>
          <w:szCs w:val="24"/>
        </w:rPr>
        <w:t>aus</w:t>
      </w:r>
      <w:r w:rsidRPr="00BF4AB8">
        <w:rPr>
          <w:snapToGrid w:val="0"/>
          <w:sz w:val="22"/>
          <w:szCs w:val="24"/>
        </w:rPr>
        <w:t xml:space="preserve"> žuvimas </w:t>
      </w:r>
      <w:r w:rsidR="00027D96" w:rsidRPr="00BF4AB8">
        <w:rPr>
          <w:snapToGrid w:val="0"/>
          <w:sz w:val="22"/>
          <w:szCs w:val="24"/>
        </w:rPr>
        <w:t>bei</w:t>
      </w:r>
      <w:r w:rsidRPr="00BF4AB8">
        <w:rPr>
          <w:snapToGrid w:val="0"/>
          <w:sz w:val="22"/>
          <w:szCs w:val="24"/>
        </w:rPr>
        <w:t xml:space="preserve"> </w:t>
      </w:r>
      <w:proofErr w:type="spellStart"/>
      <w:r w:rsidRPr="00BF4AB8">
        <w:rPr>
          <w:snapToGrid w:val="0"/>
          <w:sz w:val="22"/>
          <w:szCs w:val="24"/>
        </w:rPr>
        <w:t>teratogeninis</w:t>
      </w:r>
      <w:proofErr w:type="spellEnd"/>
      <w:r w:rsidRPr="00BF4AB8">
        <w:rPr>
          <w:snapToGrid w:val="0"/>
          <w:sz w:val="22"/>
          <w:szCs w:val="24"/>
        </w:rPr>
        <w:t xml:space="preserve"> poveikis. Esant 4</w:t>
      </w:r>
      <w:r w:rsidR="00027D96" w:rsidRPr="00BF4AB8">
        <w:rPr>
          <w:snapToGrid w:val="0"/>
          <w:sz w:val="22"/>
          <w:szCs w:val="24"/>
        </w:rPr>
        <w:t> </w:t>
      </w:r>
      <w:r w:rsidRPr="00BF4AB8">
        <w:rPr>
          <w:snapToGrid w:val="0"/>
          <w:sz w:val="22"/>
          <w:szCs w:val="24"/>
        </w:rPr>
        <w:t xml:space="preserve">kartus </w:t>
      </w:r>
      <w:r w:rsidR="00027D96" w:rsidRPr="00BF4AB8">
        <w:rPr>
          <w:snapToGrid w:val="0"/>
          <w:sz w:val="22"/>
          <w:szCs w:val="24"/>
        </w:rPr>
        <w:t xml:space="preserve">didesnei ekspozicijai nei būna vartojant DRDŽ, </w:t>
      </w:r>
      <w:r w:rsidRPr="00BF4AB8">
        <w:rPr>
          <w:snapToGrid w:val="0"/>
          <w:sz w:val="22"/>
          <w:szCs w:val="24"/>
        </w:rPr>
        <w:t xml:space="preserve">pasireiškė </w:t>
      </w:r>
      <w:proofErr w:type="spellStart"/>
      <w:r w:rsidRPr="00BF4AB8">
        <w:rPr>
          <w:snapToGrid w:val="0"/>
          <w:sz w:val="22"/>
          <w:szCs w:val="24"/>
        </w:rPr>
        <w:t>teratogeninis</w:t>
      </w:r>
      <w:proofErr w:type="spellEnd"/>
      <w:r w:rsidRPr="00BF4AB8">
        <w:rPr>
          <w:snapToGrid w:val="0"/>
          <w:sz w:val="22"/>
          <w:szCs w:val="24"/>
        </w:rPr>
        <w:t xml:space="preserve"> poveikis aortos lankui, širdžiai ir </w:t>
      </w:r>
      <w:proofErr w:type="spellStart"/>
      <w:r w:rsidRPr="00BF4AB8">
        <w:rPr>
          <w:snapToGrid w:val="0"/>
          <w:sz w:val="22"/>
          <w:szCs w:val="24"/>
        </w:rPr>
        <w:t>urogenitalinei</w:t>
      </w:r>
      <w:proofErr w:type="spellEnd"/>
      <w:r w:rsidR="00E42506" w:rsidRPr="00BF4AB8">
        <w:rPr>
          <w:snapToGrid w:val="0"/>
          <w:sz w:val="22"/>
          <w:szCs w:val="24"/>
        </w:rPr>
        <w:t xml:space="preserve"> </w:t>
      </w:r>
      <w:r w:rsidRPr="00BF4AB8">
        <w:rPr>
          <w:snapToGrid w:val="0"/>
          <w:sz w:val="22"/>
          <w:szCs w:val="24"/>
        </w:rPr>
        <w:t>sistemai, o esant 3</w:t>
      </w:r>
      <w:r w:rsidR="00027D96" w:rsidRPr="00BF4AB8">
        <w:rPr>
          <w:snapToGrid w:val="0"/>
          <w:sz w:val="22"/>
          <w:szCs w:val="24"/>
        </w:rPr>
        <w:t> kartus didesnei ekspozicijai nei būna vartojant DRDŽ</w:t>
      </w:r>
      <w:r w:rsidRPr="00BF4AB8">
        <w:rPr>
          <w:snapToGrid w:val="0"/>
          <w:sz w:val="22"/>
          <w:szCs w:val="24"/>
        </w:rPr>
        <w:t>, pasireiškė</w:t>
      </w:r>
      <w:r w:rsidR="00E42506" w:rsidRPr="00BF4AB8">
        <w:rPr>
          <w:snapToGrid w:val="0"/>
          <w:sz w:val="22"/>
          <w:szCs w:val="24"/>
        </w:rPr>
        <w:t xml:space="preserve"> </w:t>
      </w:r>
      <w:proofErr w:type="spellStart"/>
      <w:r w:rsidRPr="00BF4AB8">
        <w:rPr>
          <w:snapToGrid w:val="0"/>
          <w:sz w:val="22"/>
          <w:szCs w:val="24"/>
        </w:rPr>
        <w:t>teratogeninis</w:t>
      </w:r>
      <w:proofErr w:type="spellEnd"/>
      <w:r w:rsidRPr="00BF4AB8">
        <w:rPr>
          <w:snapToGrid w:val="0"/>
          <w:sz w:val="22"/>
          <w:szCs w:val="24"/>
        </w:rPr>
        <w:t xml:space="preserve"> poveikis embrion</w:t>
      </w:r>
      <w:r w:rsidR="00027D96" w:rsidRPr="00BF4AB8">
        <w:rPr>
          <w:snapToGrid w:val="0"/>
          <w:sz w:val="22"/>
          <w:szCs w:val="24"/>
        </w:rPr>
        <w:t>o</w:t>
      </w:r>
      <w:r w:rsidRPr="00BF4AB8">
        <w:rPr>
          <w:snapToGrid w:val="0"/>
          <w:sz w:val="22"/>
          <w:szCs w:val="24"/>
        </w:rPr>
        <w:t xml:space="preserve"> ir vaisi</w:t>
      </w:r>
      <w:r w:rsidR="00027D96" w:rsidRPr="00BF4AB8">
        <w:rPr>
          <w:snapToGrid w:val="0"/>
          <w:sz w:val="22"/>
          <w:szCs w:val="24"/>
        </w:rPr>
        <w:t>aus</w:t>
      </w:r>
      <w:r w:rsidRPr="00BF4AB8">
        <w:rPr>
          <w:snapToGrid w:val="0"/>
          <w:sz w:val="22"/>
          <w:szCs w:val="24"/>
        </w:rPr>
        <w:t xml:space="preserve"> ašinio skeleto </w:t>
      </w:r>
      <w:r w:rsidR="00027D96" w:rsidRPr="00BF4AB8">
        <w:rPr>
          <w:snapToGrid w:val="0"/>
          <w:sz w:val="22"/>
          <w:szCs w:val="24"/>
        </w:rPr>
        <w:t>vystymuisi</w:t>
      </w:r>
      <w:r w:rsidRPr="00BF4AB8">
        <w:rPr>
          <w:snapToGrid w:val="0"/>
          <w:sz w:val="22"/>
          <w:szCs w:val="24"/>
        </w:rPr>
        <w:t>.</w:t>
      </w:r>
    </w:p>
    <w:p w14:paraId="5462DB75" w14:textId="7230AFBF" w:rsidR="00BD0307" w:rsidRPr="00BF4AB8" w:rsidRDefault="00BD0307" w:rsidP="0017784C">
      <w:pPr>
        <w:tabs>
          <w:tab w:val="left" w:pos="567"/>
        </w:tabs>
        <w:rPr>
          <w:snapToGrid w:val="0"/>
          <w:sz w:val="22"/>
          <w:szCs w:val="24"/>
        </w:rPr>
      </w:pPr>
    </w:p>
    <w:p w14:paraId="5866DC0B" w14:textId="77777777" w:rsidR="0017784C" w:rsidRPr="00BF4AB8" w:rsidRDefault="0017784C" w:rsidP="0017784C">
      <w:pPr>
        <w:tabs>
          <w:tab w:val="left" w:pos="567"/>
        </w:tabs>
        <w:rPr>
          <w:snapToGrid w:val="0"/>
          <w:sz w:val="22"/>
          <w:szCs w:val="24"/>
        </w:rPr>
      </w:pPr>
      <w:r w:rsidRPr="00BF4AB8">
        <w:rPr>
          <w:snapToGrid w:val="0"/>
          <w:sz w:val="22"/>
          <w:szCs w:val="24"/>
        </w:rPr>
        <w:t xml:space="preserve">Žiurkėms į pieną išsiskyrė nedidelis kiekis radioaktyviaisiais izotopais žymėto </w:t>
      </w:r>
      <w:proofErr w:type="spellStart"/>
      <w:r w:rsidRPr="00BF4AB8">
        <w:rPr>
          <w:snapToGrid w:val="0"/>
          <w:sz w:val="22"/>
          <w:szCs w:val="24"/>
        </w:rPr>
        <w:t>nintedanibo</w:t>
      </w:r>
      <w:proofErr w:type="spellEnd"/>
      <w:r w:rsidRPr="00BF4AB8">
        <w:rPr>
          <w:snapToGrid w:val="0"/>
          <w:sz w:val="22"/>
          <w:szCs w:val="24"/>
        </w:rPr>
        <w:t xml:space="preserve"> ir (arba) jo</w:t>
      </w:r>
      <w:r w:rsidR="00BD0307" w:rsidRPr="00BF4AB8">
        <w:rPr>
          <w:snapToGrid w:val="0"/>
          <w:sz w:val="22"/>
          <w:szCs w:val="24"/>
        </w:rPr>
        <w:t xml:space="preserve"> </w:t>
      </w:r>
      <w:r w:rsidRPr="00BF4AB8">
        <w:rPr>
          <w:snapToGrid w:val="0"/>
          <w:sz w:val="22"/>
          <w:szCs w:val="24"/>
        </w:rPr>
        <w:t>metabolitų (≤</w:t>
      </w:r>
      <w:r w:rsidR="00027D96" w:rsidRPr="00BF4AB8">
        <w:rPr>
          <w:snapToGrid w:val="0"/>
          <w:sz w:val="22"/>
          <w:szCs w:val="24"/>
        </w:rPr>
        <w:t> </w:t>
      </w:r>
      <w:r w:rsidRPr="00BF4AB8">
        <w:rPr>
          <w:snapToGrid w:val="0"/>
          <w:sz w:val="22"/>
          <w:szCs w:val="24"/>
        </w:rPr>
        <w:t>0,5</w:t>
      </w:r>
      <w:r w:rsidR="00027D96" w:rsidRPr="00BF4AB8">
        <w:rPr>
          <w:snapToGrid w:val="0"/>
          <w:sz w:val="22"/>
          <w:szCs w:val="24"/>
        </w:rPr>
        <w:t> </w:t>
      </w:r>
      <w:r w:rsidRPr="00BF4AB8">
        <w:rPr>
          <w:snapToGrid w:val="0"/>
          <w:sz w:val="22"/>
          <w:szCs w:val="24"/>
        </w:rPr>
        <w:t xml:space="preserve">% </w:t>
      </w:r>
      <w:r w:rsidR="00027D96" w:rsidRPr="00BF4AB8">
        <w:rPr>
          <w:snapToGrid w:val="0"/>
          <w:sz w:val="22"/>
          <w:szCs w:val="24"/>
        </w:rPr>
        <w:t>skirtos</w:t>
      </w:r>
      <w:r w:rsidRPr="00BF4AB8">
        <w:rPr>
          <w:snapToGrid w:val="0"/>
          <w:sz w:val="22"/>
          <w:szCs w:val="24"/>
        </w:rPr>
        <w:t xml:space="preserve"> dozės).</w:t>
      </w:r>
    </w:p>
    <w:p w14:paraId="2855256A" w14:textId="69BDB916" w:rsidR="00BD0307" w:rsidRPr="00BF4AB8" w:rsidRDefault="00BD0307" w:rsidP="0017784C">
      <w:pPr>
        <w:tabs>
          <w:tab w:val="left" w:pos="567"/>
        </w:tabs>
        <w:rPr>
          <w:snapToGrid w:val="0"/>
          <w:sz w:val="22"/>
          <w:szCs w:val="24"/>
        </w:rPr>
      </w:pPr>
    </w:p>
    <w:p w14:paraId="7D146B9B" w14:textId="77777777" w:rsidR="005D554B" w:rsidRPr="00BF4AB8" w:rsidRDefault="0017784C" w:rsidP="0017784C">
      <w:pPr>
        <w:tabs>
          <w:tab w:val="left" w:pos="567"/>
        </w:tabs>
        <w:rPr>
          <w:snapToGrid w:val="0"/>
          <w:sz w:val="22"/>
          <w:szCs w:val="24"/>
        </w:rPr>
      </w:pPr>
      <w:proofErr w:type="spellStart"/>
      <w:r w:rsidRPr="00BF4AB8">
        <w:rPr>
          <w:snapToGrid w:val="0"/>
          <w:sz w:val="22"/>
          <w:szCs w:val="24"/>
        </w:rPr>
        <w:t>Genotoksiškumo</w:t>
      </w:r>
      <w:proofErr w:type="spellEnd"/>
      <w:r w:rsidRPr="00BF4AB8">
        <w:rPr>
          <w:snapToGrid w:val="0"/>
          <w:sz w:val="22"/>
          <w:szCs w:val="24"/>
        </w:rPr>
        <w:t xml:space="preserve"> tyrimai neparodė jokio </w:t>
      </w:r>
      <w:r w:rsidR="00027D96" w:rsidRPr="00BF4AB8">
        <w:rPr>
          <w:snapToGrid w:val="0"/>
          <w:sz w:val="22"/>
          <w:szCs w:val="24"/>
        </w:rPr>
        <w:t xml:space="preserve">galimo </w:t>
      </w:r>
      <w:proofErr w:type="spellStart"/>
      <w:r w:rsidRPr="00BF4AB8">
        <w:rPr>
          <w:snapToGrid w:val="0"/>
          <w:sz w:val="22"/>
          <w:szCs w:val="24"/>
        </w:rPr>
        <w:t>mutageninio</w:t>
      </w:r>
      <w:proofErr w:type="spellEnd"/>
      <w:r w:rsidRPr="00BF4AB8">
        <w:rPr>
          <w:snapToGrid w:val="0"/>
          <w:sz w:val="22"/>
          <w:szCs w:val="24"/>
        </w:rPr>
        <w:t xml:space="preserve"> </w:t>
      </w:r>
      <w:proofErr w:type="spellStart"/>
      <w:r w:rsidRPr="00BF4AB8">
        <w:rPr>
          <w:snapToGrid w:val="0"/>
          <w:sz w:val="22"/>
          <w:szCs w:val="24"/>
        </w:rPr>
        <w:t>nintedanibo</w:t>
      </w:r>
      <w:proofErr w:type="spellEnd"/>
      <w:r w:rsidRPr="00BF4AB8">
        <w:rPr>
          <w:snapToGrid w:val="0"/>
          <w:sz w:val="22"/>
          <w:szCs w:val="24"/>
        </w:rPr>
        <w:t xml:space="preserve"> poveikio.</w:t>
      </w:r>
    </w:p>
    <w:p w14:paraId="6F89F815" w14:textId="77777777" w:rsidR="005D554B" w:rsidRPr="00BF4AB8" w:rsidRDefault="005D554B" w:rsidP="005D554B">
      <w:pPr>
        <w:rPr>
          <w:snapToGrid w:val="0"/>
          <w:sz w:val="22"/>
          <w:szCs w:val="24"/>
        </w:rPr>
      </w:pPr>
    </w:p>
    <w:p w14:paraId="1AFF4301" w14:textId="77777777" w:rsidR="005D554B" w:rsidRPr="00BF4AB8" w:rsidRDefault="005D554B" w:rsidP="005D554B">
      <w:pPr>
        <w:rPr>
          <w:snapToGrid w:val="0"/>
          <w:sz w:val="22"/>
          <w:szCs w:val="24"/>
        </w:rPr>
      </w:pPr>
    </w:p>
    <w:p w14:paraId="4DBA3D20" w14:textId="77777777" w:rsidR="005D554B" w:rsidRPr="00BF4AB8" w:rsidRDefault="005D554B" w:rsidP="005D554B">
      <w:pPr>
        <w:keepNext/>
        <w:keepLines/>
        <w:tabs>
          <w:tab w:val="left" w:pos="567"/>
        </w:tabs>
        <w:outlineLvl w:val="2"/>
        <w:rPr>
          <w:b/>
          <w:bCs/>
          <w:snapToGrid w:val="0"/>
          <w:sz w:val="22"/>
          <w:szCs w:val="26"/>
          <w:lang w:eastAsia="x-none"/>
        </w:rPr>
      </w:pPr>
      <w:r w:rsidRPr="00BF4AB8">
        <w:rPr>
          <w:b/>
          <w:bCs/>
          <w:snapToGrid w:val="0"/>
          <w:sz w:val="22"/>
          <w:szCs w:val="26"/>
          <w:lang w:eastAsia="x-none"/>
        </w:rPr>
        <w:t>6.</w:t>
      </w:r>
      <w:r w:rsidRPr="00BF4AB8">
        <w:rPr>
          <w:b/>
          <w:bCs/>
          <w:snapToGrid w:val="0"/>
          <w:sz w:val="22"/>
          <w:szCs w:val="26"/>
          <w:lang w:eastAsia="x-none"/>
        </w:rPr>
        <w:tab/>
        <w:t>FARMACINĖ INFORMACIJA</w:t>
      </w:r>
    </w:p>
    <w:p w14:paraId="7CC7E491" w14:textId="77777777" w:rsidR="005D554B" w:rsidRPr="00BF4AB8" w:rsidRDefault="005D554B" w:rsidP="005D554B">
      <w:pPr>
        <w:rPr>
          <w:snapToGrid w:val="0"/>
          <w:sz w:val="22"/>
          <w:szCs w:val="24"/>
        </w:rPr>
      </w:pPr>
    </w:p>
    <w:p w14:paraId="1B9876C1" w14:textId="77777777" w:rsidR="005D554B" w:rsidRPr="00BF4AB8" w:rsidRDefault="005D554B" w:rsidP="005D554B">
      <w:pPr>
        <w:keepNext/>
        <w:tabs>
          <w:tab w:val="left" w:pos="567"/>
        </w:tabs>
        <w:spacing w:line="260" w:lineRule="exact"/>
        <w:jc w:val="both"/>
        <w:outlineLvl w:val="3"/>
        <w:rPr>
          <w:b/>
          <w:bCs/>
          <w:snapToGrid w:val="0"/>
          <w:sz w:val="22"/>
          <w:szCs w:val="28"/>
          <w:lang w:eastAsia="x-none"/>
        </w:rPr>
      </w:pPr>
      <w:r w:rsidRPr="00BF4AB8">
        <w:rPr>
          <w:b/>
          <w:bCs/>
          <w:snapToGrid w:val="0"/>
          <w:sz w:val="22"/>
          <w:szCs w:val="28"/>
          <w:lang w:eastAsia="x-none"/>
        </w:rPr>
        <w:t>6.1</w:t>
      </w:r>
      <w:r w:rsidRPr="00BF4AB8">
        <w:rPr>
          <w:b/>
          <w:bCs/>
          <w:snapToGrid w:val="0"/>
          <w:sz w:val="22"/>
          <w:szCs w:val="28"/>
          <w:lang w:eastAsia="x-none"/>
        </w:rPr>
        <w:tab/>
        <w:t>Pagalbinių medžiagų sąrašas</w:t>
      </w:r>
    </w:p>
    <w:p w14:paraId="43108921" w14:textId="77777777" w:rsidR="005D554B" w:rsidRPr="00BF4AB8" w:rsidRDefault="005D554B" w:rsidP="005D554B">
      <w:pPr>
        <w:rPr>
          <w:snapToGrid w:val="0"/>
          <w:sz w:val="22"/>
          <w:szCs w:val="24"/>
        </w:rPr>
      </w:pPr>
    </w:p>
    <w:p w14:paraId="6678B89A" w14:textId="77777777" w:rsidR="00CD0CC6" w:rsidRPr="00CD0CC6" w:rsidRDefault="00CD0CC6" w:rsidP="00CD0CC6">
      <w:pPr>
        <w:keepNext/>
        <w:keepLines/>
        <w:tabs>
          <w:tab w:val="left" w:pos="567"/>
        </w:tabs>
        <w:rPr>
          <w:iCs/>
          <w:sz w:val="22"/>
          <w:u w:val="single"/>
        </w:rPr>
      </w:pPr>
      <w:proofErr w:type="spellStart"/>
      <w:r w:rsidRPr="00CD0CC6">
        <w:rPr>
          <w:iCs/>
          <w:sz w:val="22"/>
          <w:u w:val="single"/>
        </w:rPr>
        <w:t>Nytyka</w:t>
      </w:r>
      <w:proofErr w:type="spellEnd"/>
      <w:r w:rsidRPr="00CD0CC6">
        <w:rPr>
          <w:iCs/>
          <w:sz w:val="22"/>
          <w:u w:val="single"/>
        </w:rPr>
        <w:t xml:space="preserve"> 100 mg minkštosios kapsulės</w:t>
      </w:r>
    </w:p>
    <w:p w14:paraId="2BC4EA15" w14:textId="77777777" w:rsidR="000D4DBF" w:rsidRPr="00BF4AB8" w:rsidRDefault="000D4DBF" w:rsidP="000D4DBF">
      <w:pPr>
        <w:rPr>
          <w:snapToGrid w:val="0"/>
          <w:sz w:val="22"/>
          <w:szCs w:val="24"/>
          <w:u w:val="single"/>
        </w:rPr>
      </w:pPr>
      <w:r w:rsidRPr="00BF4AB8">
        <w:rPr>
          <w:snapToGrid w:val="0"/>
          <w:sz w:val="22"/>
          <w:szCs w:val="24"/>
          <w:u w:val="single"/>
        </w:rPr>
        <w:t>Kapsulės turinys</w:t>
      </w:r>
    </w:p>
    <w:p w14:paraId="3C54FF98" w14:textId="67C64C7B" w:rsidR="000D4DBF" w:rsidRPr="00BF4AB8" w:rsidRDefault="007E5877" w:rsidP="000D4DBF">
      <w:pPr>
        <w:rPr>
          <w:snapToGrid w:val="0"/>
          <w:sz w:val="22"/>
          <w:szCs w:val="24"/>
        </w:rPr>
      </w:pPr>
      <w:r>
        <w:rPr>
          <w:snapToGrid w:val="0"/>
          <w:sz w:val="22"/>
          <w:szCs w:val="24"/>
        </w:rPr>
        <w:t xml:space="preserve">Vidutinės grandinės </w:t>
      </w:r>
      <w:proofErr w:type="spellStart"/>
      <w:r>
        <w:rPr>
          <w:snapToGrid w:val="0"/>
          <w:sz w:val="22"/>
          <w:szCs w:val="24"/>
        </w:rPr>
        <w:t>t</w:t>
      </w:r>
      <w:r w:rsidR="000D4DBF" w:rsidRPr="00BF4AB8">
        <w:rPr>
          <w:snapToGrid w:val="0"/>
          <w:sz w:val="22"/>
          <w:szCs w:val="24"/>
        </w:rPr>
        <w:t>rigliceridai</w:t>
      </w:r>
      <w:proofErr w:type="spellEnd"/>
    </w:p>
    <w:p w14:paraId="3B5F3D7F" w14:textId="77777777" w:rsidR="000D4DBF" w:rsidRPr="00BF4AB8" w:rsidRDefault="000D4DBF" w:rsidP="000D4DBF">
      <w:pPr>
        <w:rPr>
          <w:snapToGrid w:val="0"/>
          <w:sz w:val="22"/>
          <w:szCs w:val="24"/>
        </w:rPr>
      </w:pPr>
      <w:r w:rsidRPr="00BF4AB8">
        <w:rPr>
          <w:snapToGrid w:val="0"/>
          <w:sz w:val="22"/>
          <w:szCs w:val="24"/>
        </w:rPr>
        <w:t>Kietieji riebalai</w:t>
      </w:r>
    </w:p>
    <w:p w14:paraId="137122CE" w14:textId="77777777" w:rsidR="000D4DBF" w:rsidRPr="00BF4AB8" w:rsidRDefault="000D4DBF" w:rsidP="000D4DBF">
      <w:pPr>
        <w:rPr>
          <w:snapToGrid w:val="0"/>
          <w:sz w:val="22"/>
          <w:szCs w:val="24"/>
        </w:rPr>
      </w:pPr>
      <w:r w:rsidRPr="00BF4AB8">
        <w:rPr>
          <w:snapToGrid w:val="0"/>
          <w:sz w:val="22"/>
          <w:szCs w:val="24"/>
        </w:rPr>
        <w:t>Poligliceril-3-dioleatas</w:t>
      </w:r>
    </w:p>
    <w:p w14:paraId="1E9BB16C" w14:textId="77777777" w:rsidR="000D4DBF" w:rsidRPr="00BF4AB8" w:rsidRDefault="000D4DBF" w:rsidP="000D4DBF">
      <w:pPr>
        <w:rPr>
          <w:snapToGrid w:val="0"/>
          <w:sz w:val="22"/>
          <w:szCs w:val="24"/>
        </w:rPr>
      </w:pPr>
    </w:p>
    <w:p w14:paraId="224FF4D4" w14:textId="77777777" w:rsidR="000D4DBF" w:rsidRPr="00BF4AB8" w:rsidRDefault="000D4DBF" w:rsidP="000D4DBF">
      <w:pPr>
        <w:rPr>
          <w:snapToGrid w:val="0"/>
          <w:sz w:val="22"/>
          <w:szCs w:val="24"/>
          <w:u w:val="single"/>
        </w:rPr>
      </w:pPr>
      <w:r w:rsidRPr="00BF4AB8">
        <w:rPr>
          <w:snapToGrid w:val="0"/>
          <w:sz w:val="22"/>
          <w:szCs w:val="24"/>
          <w:u w:val="single"/>
        </w:rPr>
        <w:t>Kapsulės korpusas</w:t>
      </w:r>
    </w:p>
    <w:p w14:paraId="70702DDF" w14:textId="5861A0BB" w:rsidR="000D4DBF" w:rsidRPr="00BF4AB8" w:rsidRDefault="000D4DBF" w:rsidP="000D4DBF">
      <w:pPr>
        <w:rPr>
          <w:snapToGrid w:val="0"/>
          <w:sz w:val="22"/>
          <w:szCs w:val="24"/>
        </w:rPr>
      </w:pPr>
      <w:r w:rsidRPr="00BF4AB8">
        <w:rPr>
          <w:snapToGrid w:val="0"/>
          <w:sz w:val="22"/>
          <w:szCs w:val="24"/>
        </w:rPr>
        <w:t>Želatina</w:t>
      </w:r>
    </w:p>
    <w:p w14:paraId="7650F84C" w14:textId="77777777" w:rsidR="000D4DBF" w:rsidRPr="00BF4AB8" w:rsidRDefault="000D4DBF" w:rsidP="000D4DBF">
      <w:pPr>
        <w:rPr>
          <w:snapToGrid w:val="0"/>
          <w:sz w:val="22"/>
          <w:szCs w:val="24"/>
        </w:rPr>
      </w:pPr>
      <w:proofErr w:type="spellStart"/>
      <w:r w:rsidRPr="00BF4AB8">
        <w:rPr>
          <w:snapToGrid w:val="0"/>
          <w:sz w:val="22"/>
          <w:szCs w:val="24"/>
        </w:rPr>
        <w:t>Glicerolis</w:t>
      </w:r>
      <w:proofErr w:type="spellEnd"/>
    </w:p>
    <w:p w14:paraId="1B52760B" w14:textId="3D70FC5A" w:rsidR="000D4DBF" w:rsidRPr="00BF4AB8" w:rsidRDefault="000D4DBF" w:rsidP="000D4DBF">
      <w:pPr>
        <w:rPr>
          <w:snapToGrid w:val="0"/>
          <w:sz w:val="22"/>
          <w:szCs w:val="24"/>
        </w:rPr>
      </w:pPr>
      <w:r w:rsidRPr="00BF4AB8">
        <w:rPr>
          <w:snapToGrid w:val="0"/>
          <w:sz w:val="22"/>
          <w:szCs w:val="24"/>
        </w:rPr>
        <w:t>Titano dioksidas (E171)</w:t>
      </w:r>
    </w:p>
    <w:p w14:paraId="5A0547BD" w14:textId="328DD13A" w:rsidR="000D4DBF" w:rsidRPr="00BF4AB8" w:rsidRDefault="000D4DBF" w:rsidP="000D4DBF">
      <w:pPr>
        <w:rPr>
          <w:snapToGrid w:val="0"/>
          <w:sz w:val="22"/>
          <w:szCs w:val="24"/>
        </w:rPr>
      </w:pPr>
      <w:r w:rsidRPr="00BF4AB8">
        <w:rPr>
          <w:snapToGrid w:val="0"/>
          <w:sz w:val="22"/>
          <w:szCs w:val="24"/>
        </w:rPr>
        <w:t>Raudonasis geležies oksidas (E172)</w:t>
      </w:r>
    </w:p>
    <w:p w14:paraId="45875658" w14:textId="05A07152" w:rsidR="000D4DBF" w:rsidRPr="00BF4AB8" w:rsidRDefault="000D4DBF" w:rsidP="000D4DBF">
      <w:pPr>
        <w:rPr>
          <w:snapToGrid w:val="0"/>
          <w:sz w:val="22"/>
          <w:szCs w:val="24"/>
        </w:rPr>
      </w:pPr>
      <w:r w:rsidRPr="00BF4AB8">
        <w:rPr>
          <w:snapToGrid w:val="0"/>
          <w:sz w:val="22"/>
          <w:szCs w:val="24"/>
        </w:rPr>
        <w:t>Geltonasis geležies oksidas (E172)</w:t>
      </w:r>
    </w:p>
    <w:p w14:paraId="74083958" w14:textId="77777777" w:rsidR="000D4DBF" w:rsidRPr="00BF4AB8" w:rsidRDefault="000D4DBF" w:rsidP="000D4DBF">
      <w:pPr>
        <w:rPr>
          <w:snapToGrid w:val="0"/>
          <w:sz w:val="22"/>
          <w:szCs w:val="24"/>
        </w:rPr>
      </w:pPr>
      <w:r w:rsidRPr="00BF4AB8">
        <w:rPr>
          <w:snapToGrid w:val="0"/>
          <w:sz w:val="22"/>
          <w:szCs w:val="24"/>
        </w:rPr>
        <w:t>Išgrynintas vanduo</w:t>
      </w:r>
    </w:p>
    <w:p w14:paraId="227D378E" w14:textId="77777777" w:rsidR="000D4DBF" w:rsidRPr="00343D76" w:rsidRDefault="000D4DBF" w:rsidP="000D4DBF">
      <w:pPr>
        <w:rPr>
          <w:snapToGrid w:val="0"/>
          <w:sz w:val="16"/>
          <w:szCs w:val="16"/>
        </w:rPr>
      </w:pPr>
    </w:p>
    <w:p w14:paraId="1A9CC172" w14:textId="149AC547" w:rsidR="000D4DBF" w:rsidRPr="00BF4AB8" w:rsidRDefault="00A65543" w:rsidP="000D4DBF">
      <w:pPr>
        <w:rPr>
          <w:snapToGrid w:val="0"/>
          <w:sz w:val="22"/>
          <w:szCs w:val="24"/>
          <w:u w:val="single"/>
        </w:rPr>
      </w:pPr>
      <w:r w:rsidRPr="00BF4AB8">
        <w:rPr>
          <w:snapToGrid w:val="0"/>
          <w:sz w:val="22"/>
          <w:szCs w:val="24"/>
          <w:u w:val="single"/>
        </w:rPr>
        <w:t>Spaustuvinis rašalas</w:t>
      </w:r>
    </w:p>
    <w:p w14:paraId="0F8A623C" w14:textId="77777777" w:rsidR="000D4DBF" w:rsidRPr="00BF4AB8" w:rsidRDefault="000D4DBF" w:rsidP="000D4DBF">
      <w:pPr>
        <w:rPr>
          <w:snapToGrid w:val="0"/>
          <w:sz w:val="22"/>
          <w:szCs w:val="24"/>
        </w:rPr>
      </w:pPr>
      <w:proofErr w:type="spellStart"/>
      <w:r w:rsidRPr="00BF4AB8">
        <w:rPr>
          <w:snapToGrid w:val="0"/>
          <w:sz w:val="22"/>
          <w:szCs w:val="24"/>
        </w:rPr>
        <w:t>Šelakas</w:t>
      </w:r>
      <w:proofErr w:type="spellEnd"/>
    </w:p>
    <w:p w14:paraId="7A8CDAD4" w14:textId="772802B2" w:rsidR="00A65543" w:rsidRPr="00BF4AB8" w:rsidRDefault="00A65543" w:rsidP="000D4DBF">
      <w:pPr>
        <w:rPr>
          <w:snapToGrid w:val="0"/>
          <w:sz w:val="22"/>
          <w:szCs w:val="24"/>
        </w:rPr>
      </w:pPr>
      <w:proofErr w:type="spellStart"/>
      <w:r w:rsidRPr="00BF4AB8">
        <w:rPr>
          <w:snapToGrid w:val="0"/>
          <w:sz w:val="22"/>
          <w:szCs w:val="24"/>
        </w:rPr>
        <w:t>Karminas</w:t>
      </w:r>
      <w:proofErr w:type="spellEnd"/>
      <w:r w:rsidRPr="00BF4AB8">
        <w:rPr>
          <w:snapToGrid w:val="0"/>
          <w:sz w:val="22"/>
          <w:szCs w:val="24"/>
        </w:rPr>
        <w:t xml:space="preserve"> (E120)</w:t>
      </w:r>
    </w:p>
    <w:p w14:paraId="6C69879C" w14:textId="54FC5170" w:rsidR="005D554B" w:rsidRPr="00BF4AB8" w:rsidRDefault="000D4DBF" w:rsidP="000D4DBF">
      <w:pPr>
        <w:rPr>
          <w:snapToGrid w:val="0"/>
          <w:sz w:val="22"/>
          <w:szCs w:val="24"/>
        </w:rPr>
      </w:pPr>
      <w:proofErr w:type="spellStart"/>
      <w:r w:rsidRPr="00BF4AB8">
        <w:rPr>
          <w:snapToGrid w:val="0"/>
          <w:sz w:val="22"/>
          <w:szCs w:val="24"/>
        </w:rPr>
        <w:t>Propilenglikolis</w:t>
      </w:r>
      <w:proofErr w:type="spellEnd"/>
      <w:r w:rsidRPr="00BF4AB8">
        <w:rPr>
          <w:snapToGrid w:val="0"/>
          <w:sz w:val="22"/>
          <w:szCs w:val="24"/>
        </w:rPr>
        <w:t xml:space="preserve"> (E1520)</w:t>
      </w:r>
    </w:p>
    <w:p w14:paraId="7F93563B" w14:textId="163AF070" w:rsidR="00A65543" w:rsidRDefault="00A65543" w:rsidP="000D4DBF">
      <w:pPr>
        <w:rPr>
          <w:snapToGrid w:val="0"/>
          <w:sz w:val="22"/>
          <w:szCs w:val="24"/>
        </w:rPr>
      </w:pPr>
      <w:proofErr w:type="spellStart"/>
      <w:r w:rsidRPr="00BF4AB8">
        <w:rPr>
          <w:snapToGrid w:val="0"/>
          <w:sz w:val="22"/>
          <w:szCs w:val="24"/>
        </w:rPr>
        <w:t>Simetikonas</w:t>
      </w:r>
      <w:proofErr w:type="spellEnd"/>
    </w:p>
    <w:p w14:paraId="69C0EE04" w14:textId="77777777" w:rsidR="00CD0CC6" w:rsidRDefault="00CD0CC6" w:rsidP="000D4DBF">
      <w:pPr>
        <w:rPr>
          <w:snapToGrid w:val="0"/>
          <w:sz w:val="22"/>
          <w:szCs w:val="24"/>
        </w:rPr>
      </w:pPr>
    </w:p>
    <w:p w14:paraId="584DEAD0" w14:textId="50225130" w:rsidR="00CD0CC6" w:rsidRPr="00CD0CC6" w:rsidRDefault="00CD0CC6" w:rsidP="00CD0CC6">
      <w:pPr>
        <w:keepNext/>
        <w:keepLines/>
        <w:tabs>
          <w:tab w:val="left" w:pos="567"/>
        </w:tabs>
        <w:rPr>
          <w:iCs/>
          <w:sz w:val="22"/>
          <w:u w:val="single"/>
        </w:rPr>
      </w:pPr>
      <w:proofErr w:type="spellStart"/>
      <w:r w:rsidRPr="00CD0CC6">
        <w:rPr>
          <w:iCs/>
          <w:sz w:val="22"/>
          <w:u w:val="single"/>
        </w:rPr>
        <w:t>Nytyka</w:t>
      </w:r>
      <w:proofErr w:type="spellEnd"/>
      <w:r w:rsidRPr="00CD0CC6">
        <w:rPr>
          <w:iCs/>
          <w:sz w:val="22"/>
          <w:u w:val="single"/>
        </w:rPr>
        <w:t xml:space="preserve"> 1</w:t>
      </w:r>
      <w:r>
        <w:rPr>
          <w:iCs/>
          <w:sz w:val="22"/>
          <w:u w:val="single"/>
        </w:rPr>
        <w:t>5</w:t>
      </w:r>
      <w:r w:rsidRPr="00CD0CC6">
        <w:rPr>
          <w:iCs/>
          <w:sz w:val="22"/>
          <w:u w:val="single"/>
        </w:rPr>
        <w:t>0 mg minkštosios kapsulės</w:t>
      </w:r>
    </w:p>
    <w:p w14:paraId="1200ADB3" w14:textId="77777777" w:rsidR="00CD0CC6" w:rsidRPr="00BF4AB8" w:rsidRDefault="00CD0CC6" w:rsidP="00CD0CC6">
      <w:pPr>
        <w:rPr>
          <w:snapToGrid w:val="0"/>
          <w:sz w:val="22"/>
          <w:szCs w:val="24"/>
          <w:u w:val="single"/>
        </w:rPr>
      </w:pPr>
      <w:r w:rsidRPr="00BF4AB8">
        <w:rPr>
          <w:snapToGrid w:val="0"/>
          <w:sz w:val="22"/>
          <w:szCs w:val="24"/>
          <w:u w:val="single"/>
        </w:rPr>
        <w:t>Kapsulės turinys</w:t>
      </w:r>
    </w:p>
    <w:p w14:paraId="3F145FF4" w14:textId="77777777" w:rsidR="00CD0CC6" w:rsidRPr="00BF4AB8" w:rsidRDefault="00CD0CC6" w:rsidP="00CD0CC6">
      <w:pPr>
        <w:rPr>
          <w:snapToGrid w:val="0"/>
          <w:sz w:val="22"/>
          <w:szCs w:val="24"/>
        </w:rPr>
      </w:pPr>
      <w:r>
        <w:rPr>
          <w:snapToGrid w:val="0"/>
          <w:sz w:val="22"/>
          <w:szCs w:val="24"/>
        </w:rPr>
        <w:t xml:space="preserve">Vidutinės grandinės </w:t>
      </w:r>
      <w:proofErr w:type="spellStart"/>
      <w:r>
        <w:rPr>
          <w:snapToGrid w:val="0"/>
          <w:sz w:val="22"/>
          <w:szCs w:val="24"/>
        </w:rPr>
        <w:t>t</w:t>
      </w:r>
      <w:r w:rsidRPr="00BF4AB8">
        <w:rPr>
          <w:snapToGrid w:val="0"/>
          <w:sz w:val="22"/>
          <w:szCs w:val="24"/>
        </w:rPr>
        <w:t>rigliceridai</w:t>
      </w:r>
      <w:proofErr w:type="spellEnd"/>
    </w:p>
    <w:p w14:paraId="0BB1E8C3" w14:textId="77777777" w:rsidR="00CD0CC6" w:rsidRPr="00BF4AB8" w:rsidRDefault="00CD0CC6" w:rsidP="00CD0CC6">
      <w:pPr>
        <w:rPr>
          <w:snapToGrid w:val="0"/>
          <w:sz w:val="22"/>
          <w:szCs w:val="24"/>
        </w:rPr>
      </w:pPr>
      <w:r w:rsidRPr="00BF4AB8">
        <w:rPr>
          <w:snapToGrid w:val="0"/>
          <w:sz w:val="22"/>
          <w:szCs w:val="24"/>
        </w:rPr>
        <w:t>Kietieji riebalai</w:t>
      </w:r>
    </w:p>
    <w:p w14:paraId="433B4181" w14:textId="77777777" w:rsidR="00CD0CC6" w:rsidRPr="00BF4AB8" w:rsidRDefault="00CD0CC6" w:rsidP="00CD0CC6">
      <w:pPr>
        <w:rPr>
          <w:snapToGrid w:val="0"/>
          <w:sz w:val="22"/>
          <w:szCs w:val="24"/>
        </w:rPr>
      </w:pPr>
      <w:r w:rsidRPr="00BF4AB8">
        <w:rPr>
          <w:snapToGrid w:val="0"/>
          <w:sz w:val="22"/>
          <w:szCs w:val="24"/>
        </w:rPr>
        <w:t>Poligliceril-3-dioleatas</w:t>
      </w:r>
    </w:p>
    <w:p w14:paraId="534CC256" w14:textId="77777777" w:rsidR="00CD0CC6" w:rsidRPr="00BF4AB8" w:rsidRDefault="00CD0CC6" w:rsidP="00CD0CC6">
      <w:pPr>
        <w:rPr>
          <w:snapToGrid w:val="0"/>
          <w:sz w:val="22"/>
          <w:szCs w:val="24"/>
        </w:rPr>
      </w:pPr>
    </w:p>
    <w:p w14:paraId="42C83A3A" w14:textId="77777777" w:rsidR="00CD0CC6" w:rsidRPr="00BF4AB8" w:rsidRDefault="00CD0CC6" w:rsidP="00CD0CC6">
      <w:pPr>
        <w:rPr>
          <w:snapToGrid w:val="0"/>
          <w:sz w:val="22"/>
          <w:szCs w:val="24"/>
          <w:u w:val="single"/>
        </w:rPr>
      </w:pPr>
      <w:r w:rsidRPr="00BF4AB8">
        <w:rPr>
          <w:snapToGrid w:val="0"/>
          <w:sz w:val="22"/>
          <w:szCs w:val="24"/>
          <w:u w:val="single"/>
        </w:rPr>
        <w:t>Kapsulės korpusas</w:t>
      </w:r>
    </w:p>
    <w:p w14:paraId="166EACDF" w14:textId="77777777" w:rsidR="00CD0CC6" w:rsidRPr="00BF4AB8" w:rsidRDefault="00CD0CC6" w:rsidP="00CD0CC6">
      <w:pPr>
        <w:rPr>
          <w:snapToGrid w:val="0"/>
          <w:sz w:val="22"/>
          <w:szCs w:val="24"/>
        </w:rPr>
      </w:pPr>
      <w:r w:rsidRPr="00BF4AB8">
        <w:rPr>
          <w:snapToGrid w:val="0"/>
          <w:sz w:val="22"/>
          <w:szCs w:val="24"/>
        </w:rPr>
        <w:t>Želatina</w:t>
      </w:r>
    </w:p>
    <w:p w14:paraId="2EEAACC5" w14:textId="77777777" w:rsidR="00CD0CC6" w:rsidRPr="00BF4AB8" w:rsidRDefault="00CD0CC6" w:rsidP="00CD0CC6">
      <w:pPr>
        <w:rPr>
          <w:snapToGrid w:val="0"/>
          <w:sz w:val="22"/>
          <w:szCs w:val="24"/>
        </w:rPr>
      </w:pPr>
      <w:proofErr w:type="spellStart"/>
      <w:r w:rsidRPr="00BF4AB8">
        <w:rPr>
          <w:snapToGrid w:val="0"/>
          <w:sz w:val="22"/>
          <w:szCs w:val="24"/>
        </w:rPr>
        <w:t>Glicerolis</w:t>
      </w:r>
      <w:proofErr w:type="spellEnd"/>
    </w:p>
    <w:p w14:paraId="7BF2DF86" w14:textId="77777777" w:rsidR="00CD0CC6" w:rsidRPr="00BF4AB8" w:rsidRDefault="00CD0CC6" w:rsidP="00CD0CC6">
      <w:pPr>
        <w:rPr>
          <w:snapToGrid w:val="0"/>
          <w:sz w:val="22"/>
          <w:szCs w:val="24"/>
        </w:rPr>
      </w:pPr>
      <w:r w:rsidRPr="00BF4AB8">
        <w:rPr>
          <w:snapToGrid w:val="0"/>
          <w:sz w:val="22"/>
          <w:szCs w:val="24"/>
        </w:rPr>
        <w:t>Titano dioksidas (E171)</w:t>
      </w:r>
    </w:p>
    <w:p w14:paraId="2F760F57" w14:textId="77777777" w:rsidR="00CD0CC6" w:rsidRPr="00BF4AB8" w:rsidRDefault="00CD0CC6" w:rsidP="00CD0CC6">
      <w:pPr>
        <w:rPr>
          <w:snapToGrid w:val="0"/>
          <w:sz w:val="22"/>
          <w:szCs w:val="24"/>
        </w:rPr>
      </w:pPr>
      <w:r w:rsidRPr="00BF4AB8">
        <w:rPr>
          <w:snapToGrid w:val="0"/>
          <w:sz w:val="22"/>
          <w:szCs w:val="24"/>
        </w:rPr>
        <w:t>Raudonasis geležies oksidas (E172)</w:t>
      </w:r>
    </w:p>
    <w:p w14:paraId="5F375997" w14:textId="77777777" w:rsidR="00CD0CC6" w:rsidRPr="00BF4AB8" w:rsidRDefault="00CD0CC6" w:rsidP="00CD0CC6">
      <w:pPr>
        <w:rPr>
          <w:snapToGrid w:val="0"/>
          <w:sz w:val="22"/>
          <w:szCs w:val="24"/>
        </w:rPr>
      </w:pPr>
      <w:r w:rsidRPr="00BF4AB8">
        <w:rPr>
          <w:snapToGrid w:val="0"/>
          <w:sz w:val="22"/>
          <w:szCs w:val="24"/>
        </w:rPr>
        <w:t>Geltonasis geležies oksidas (E172)</w:t>
      </w:r>
    </w:p>
    <w:p w14:paraId="6974DFA7" w14:textId="77777777" w:rsidR="00CD0CC6" w:rsidRPr="00BF4AB8" w:rsidRDefault="00CD0CC6" w:rsidP="00CD0CC6">
      <w:pPr>
        <w:rPr>
          <w:snapToGrid w:val="0"/>
          <w:sz w:val="22"/>
          <w:szCs w:val="24"/>
        </w:rPr>
      </w:pPr>
      <w:r w:rsidRPr="00BF4AB8">
        <w:rPr>
          <w:snapToGrid w:val="0"/>
          <w:sz w:val="22"/>
          <w:szCs w:val="24"/>
        </w:rPr>
        <w:t>Išgrynintas vanduo</w:t>
      </w:r>
    </w:p>
    <w:p w14:paraId="43B4F5CA" w14:textId="77777777" w:rsidR="00CD0CC6" w:rsidRPr="00343D76" w:rsidRDefault="00CD0CC6" w:rsidP="00CD0CC6">
      <w:pPr>
        <w:rPr>
          <w:snapToGrid w:val="0"/>
          <w:sz w:val="16"/>
          <w:szCs w:val="16"/>
        </w:rPr>
      </w:pPr>
    </w:p>
    <w:p w14:paraId="10462459" w14:textId="77777777" w:rsidR="00CD0CC6" w:rsidRPr="00BF4AB8" w:rsidRDefault="00CD0CC6" w:rsidP="00CD0CC6">
      <w:pPr>
        <w:rPr>
          <w:snapToGrid w:val="0"/>
          <w:sz w:val="22"/>
          <w:szCs w:val="24"/>
          <w:u w:val="single"/>
        </w:rPr>
      </w:pPr>
      <w:r w:rsidRPr="00BF4AB8">
        <w:rPr>
          <w:snapToGrid w:val="0"/>
          <w:sz w:val="22"/>
          <w:szCs w:val="24"/>
          <w:u w:val="single"/>
        </w:rPr>
        <w:t>Spaustuvinis rašalas</w:t>
      </w:r>
    </w:p>
    <w:p w14:paraId="6DED1543" w14:textId="77777777" w:rsidR="00CD0CC6" w:rsidRPr="00BF4AB8" w:rsidRDefault="00CD0CC6" w:rsidP="00CD0CC6">
      <w:pPr>
        <w:rPr>
          <w:snapToGrid w:val="0"/>
          <w:sz w:val="22"/>
          <w:szCs w:val="24"/>
        </w:rPr>
      </w:pPr>
      <w:proofErr w:type="spellStart"/>
      <w:r w:rsidRPr="00BF4AB8">
        <w:rPr>
          <w:snapToGrid w:val="0"/>
          <w:sz w:val="22"/>
          <w:szCs w:val="24"/>
        </w:rPr>
        <w:t>Šelakas</w:t>
      </w:r>
      <w:proofErr w:type="spellEnd"/>
    </w:p>
    <w:p w14:paraId="2CC0BB92" w14:textId="4928415F" w:rsidR="00CD0CC6" w:rsidRDefault="00CD0CC6" w:rsidP="00CD0CC6">
      <w:pPr>
        <w:rPr>
          <w:snapToGrid w:val="0"/>
          <w:sz w:val="22"/>
          <w:szCs w:val="24"/>
        </w:rPr>
      </w:pPr>
      <w:r>
        <w:rPr>
          <w:snapToGrid w:val="0"/>
          <w:sz w:val="22"/>
          <w:szCs w:val="24"/>
        </w:rPr>
        <w:t>Juodasis</w:t>
      </w:r>
      <w:r w:rsidRPr="00CD0CC6">
        <w:rPr>
          <w:snapToGrid w:val="0"/>
          <w:sz w:val="22"/>
          <w:szCs w:val="24"/>
        </w:rPr>
        <w:t xml:space="preserve"> geležies oksidas (E172)</w:t>
      </w:r>
    </w:p>
    <w:p w14:paraId="61189FDD" w14:textId="338C69B9" w:rsidR="00CD0CC6" w:rsidRPr="00BF4AB8" w:rsidRDefault="00CD0CC6" w:rsidP="00CD0CC6">
      <w:pPr>
        <w:rPr>
          <w:snapToGrid w:val="0"/>
          <w:sz w:val="22"/>
          <w:szCs w:val="24"/>
        </w:rPr>
      </w:pPr>
      <w:proofErr w:type="spellStart"/>
      <w:r w:rsidRPr="00BF4AB8">
        <w:rPr>
          <w:snapToGrid w:val="0"/>
          <w:sz w:val="22"/>
          <w:szCs w:val="24"/>
        </w:rPr>
        <w:t>Propilenglikolis</w:t>
      </w:r>
      <w:proofErr w:type="spellEnd"/>
      <w:r w:rsidRPr="00BF4AB8">
        <w:rPr>
          <w:snapToGrid w:val="0"/>
          <w:sz w:val="22"/>
          <w:szCs w:val="24"/>
        </w:rPr>
        <w:t xml:space="preserve"> (E1520)</w:t>
      </w:r>
    </w:p>
    <w:p w14:paraId="10E78FA9" w14:textId="77777777" w:rsidR="00CD0CC6" w:rsidRPr="00BF4AB8" w:rsidRDefault="00CD0CC6" w:rsidP="000D4DBF">
      <w:pPr>
        <w:rPr>
          <w:snapToGrid w:val="0"/>
          <w:sz w:val="22"/>
          <w:szCs w:val="24"/>
        </w:rPr>
      </w:pPr>
    </w:p>
    <w:p w14:paraId="27845699" w14:textId="77777777" w:rsidR="005D554B" w:rsidRPr="00BF4AB8" w:rsidRDefault="005D554B" w:rsidP="005D554B">
      <w:pPr>
        <w:rPr>
          <w:snapToGrid w:val="0"/>
          <w:sz w:val="22"/>
          <w:szCs w:val="24"/>
        </w:rPr>
      </w:pPr>
    </w:p>
    <w:p w14:paraId="1AFAE6DA" w14:textId="77777777" w:rsidR="005D554B" w:rsidRPr="00BF4AB8" w:rsidRDefault="005D554B" w:rsidP="005D554B">
      <w:pPr>
        <w:keepNext/>
        <w:tabs>
          <w:tab w:val="left" w:pos="567"/>
        </w:tabs>
        <w:spacing w:line="260" w:lineRule="exact"/>
        <w:jc w:val="both"/>
        <w:outlineLvl w:val="3"/>
        <w:rPr>
          <w:b/>
          <w:bCs/>
          <w:snapToGrid w:val="0"/>
          <w:sz w:val="22"/>
          <w:szCs w:val="28"/>
          <w:lang w:eastAsia="x-none"/>
        </w:rPr>
      </w:pPr>
      <w:r w:rsidRPr="00BF4AB8">
        <w:rPr>
          <w:b/>
          <w:bCs/>
          <w:snapToGrid w:val="0"/>
          <w:sz w:val="22"/>
          <w:szCs w:val="28"/>
          <w:lang w:eastAsia="x-none"/>
        </w:rPr>
        <w:t>6.2</w:t>
      </w:r>
      <w:r w:rsidRPr="00BF4AB8">
        <w:rPr>
          <w:b/>
          <w:bCs/>
          <w:snapToGrid w:val="0"/>
          <w:sz w:val="22"/>
          <w:szCs w:val="28"/>
          <w:lang w:eastAsia="x-none"/>
        </w:rPr>
        <w:tab/>
        <w:t>Nesuderinamumas</w:t>
      </w:r>
    </w:p>
    <w:p w14:paraId="267706AC" w14:textId="77777777" w:rsidR="005D554B" w:rsidRPr="00343D76" w:rsidRDefault="005D554B" w:rsidP="005D554B">
      <w:pPr>
        <w:rPr>
          <w:snapToGrid w:val="0"/>
          <w:sz w:val="16"/>
          <w:szCs w:val="16"/>
        </w:rPr>
      </w:pPr>
    </w:p>
    <w:p w14:paraId="3F47C748" w14:textId="630DFF37" w:rsidR="009F0B16" w:rsidRPr="00BF4AB8" w:rsidRDefault="005D554B" w:rsidP="009F0B16">
      <w:pPr>
        <w:rPr>
          <w:snapToGrid w:val="0"/>
          <w:sz w:val="22"/>
          <w:szCs w:val="24"/>
        </w:rPr>
      </w:pPr>
      <w:r w:rsidRPr="00BF4AB8">
        <w:rPr>
          <w:snapToGrid w:val="0"/>
          <w:sz w:val="22"/>
          <w:szCs w:val="24"/>
        </w:rPr>
        <w:t>Duomenys nebūtini</w:t>
      </w:r>
    </w:p>
    <w:p w14:paraId="68385AA3" w14:textId="77777777" w:rsidR="005D554B" w:rsidRPr="00BF4AB8" w:rsidRDefault="005D554B" w:rsidP="005D554B">
      <w:pPr>
        <w:rPr>
          <w:snapToGrid w:val="0"/>
          <w:sz w:val="22"/>
          <w:szCs w:val="24"/>
        </w:rPr>
      </w:pPr>
    </w:p>
    <w:p w14:paraId="54FA0FD5" w14:textId="77777777" w:rsidR="005D554B" w:rsidRPr="00BF4AB8" w:rsidRDefault="005D554B" w:rsidP="005D554B">
      <w:pPr>
        <w:keepNext/>
        <w:tabs>
          <w:tab w:val="left" w:pos="567"/>
        </w:tabs>
        <w:spacing w:line="260" w:lineRule="exact"/>
        <w:jc w:val="both"/>
        <w:outlineLvl w:val="3"/>
        <w:rPr>
          <w:b/>
          <w:bCs/>
          <w:snapToGrid w:val="0"/>
          <w:sz w:val="22"/>
          <w:szCs w:val="28"/>
          <w:lang w:eastAsia="x-none"/>
        </w:rPr>
      </w:pPr>
      <w:r w:rsidRPr="00BF4AB8">
        <w:rPr>
          <w:b/>
          <w:bCs/>
          <w:snapToGrid w:val="0"/>
          <w:sz w:val="22"/>
          <w:szCs w:val="28"/>
          <w:lang w:eastAsia="x-none"/>
        </w:rPr>
        <w:t>6.3</w:t>
      </w:r>
      <w:r w:rsidRPr="00BF4AB8">
        <w:rPr>
          <w:b/>
          <w:bCs/>
          <w:snapToGrid w:val="0"/>
          <w:sz w:val="22"/>
          <w:szCs w:val="28"/>
          <w:lang w:eastAsia="x-none"/>
        </w:rPr>
        <w:tab/>
        <w:t>Tinkamumo laikas</w:t>
      </w:r>
    </w:p>
    <w:p w14:paraId="183E3872" w14:textId="77777777" w:rsidR="005D554B" w:rsidRPr="00343D76" w:rsidRDefault="005D554B" w:rsidP="005D554B">
      <w:pPr>
        <w:rPr>
          <w:snapToGrid w:val="0"/>
          <w:sz w:val="16"/>
          <w:szCs w:val="16"/>
        </w:rPr>
      </w:pPr>
    </w:p>
    <w:p w14:paraId="26082DA1" w14:textId="1E45147C" w:rsidR="005D554B" w:rsidRPr="00BF4AB8" w:rsidRDefault="005D554B" w:rsidP="005D554B">
      <w:pPr>
        <w:rPr>
          <w:snapToGrid w:val="0"/>
          <w:sz w:val="22"/>
          <w:szCs w:val="24"/>
        </w:rPr>
      </w:pPr>
      <w:r w:rsidRPr="00BF4AB8">
        <w:rPr>
          <w:snapToGrid w:val="0"/>
          <w:sz w:val="22"/>
          <w:szCs w:val="24"/>
        </w:rPr>
        <w:t>3</w:t>
      </w:r>
      <w:r w:rsidR="009D7D56">
        <w:rPr>
          <w:snapToGrid w:val="0"/>
          <w:sz w:val="22"/>
          <w:szCs w:val="24"/>
        </w:rPr>
        <w:t>0 mėnesių</w:t>
      </w:r>
      <w:r w:rsidR="009F0B16" w:rsidRPr="00BF4AB8">
        <w:rPr>
          <w:snapToGrid w:val="0"/>
          <w:sz w:val="22"/>
          <w:szCs w:val="24"/>
        </w:rPr>
        <w:t>.</w:t>
      </w:r>
    </w:p>
    <w:p w14:paraId="22CB4684" w14:textId="77777777" w:rsidR="005D554B" w:rsidRPr="00BF4AB8" w:rsidRDefault="005D554B" w:rsidP="005D554B">
      <w:pPr>
        <w:rPr>
          <w:snapToGrid w:val="0"/>
          <w:sz w:val="22"/>
          <w:szCs w:val="24"/>
        </w:rPr>
      </w:pPr>
    </w:p>
    <w:p w14:paraId="6B5D054D" w14:textId="77777777" w:rsidR="005D554B" w:rsidRPr="00BF4AB8" w:rsidRDefault="005D554B" w:rsidP="005D554B">
      <w:pPr>
        <w:keepNext/>
        <w:tabs>
          <w:tab w:val="left" w:pos="567"/>
        </w:tabs>
        <w:spacing w:line="260" w:lineRule="exact"/>
        <w:jc w:val="both"/>
        <w:outlineLvl w:val="3"/>
        <w:rPr>
          <w:b/>
          <w:bCs/>
          <w:snapToGrid w:val="0"/>
          <w:sz w:val="22"/>
          <w:szCs w:val="28"/>
          <w:lang w:eastAsia="x-none"/>
        </w:rPr>
      </w:pPr>
      <w:r w:rsidRPr="00BF4AB8">
        <w:rPr>
          <w:b/>
          <w:bCs/>
          <w:snapToGrid w:val="0"/>
          <w:sz w:val="22"/>
          <w:szCs w:val="28"/>
          <w:lang w:eastAsia="x-none"/>
        </w:rPr>
        <w:t>6.4</w:t>
      </w:r>
      <w:r w:rsidRPr="00BF4AB8">
        <w:rPr>
          <w:b/>
          <w:bCs/>
          <w:snapToGrid w:val="0"/>
          <w:sz w:val="22"/>
          <w:szCs w:val="28"/>
          <w:lang w:eastAsia="x-none"/>
        </w:rPr>
        <w:tab/>
        <w:t>Specialios laikymo sąlygos</w:t>
      </w:r>
    </w:p>
    <w:p w14:paraId="6AA14285" w14:textId="77777777" w:rsidR="005D554B" w:rsidRPr="00BF4AB8" w:rsidRDefault="005D554B" w:rsidP="005D554B">
      <w:pPr>
        <w:rPr>
          <w:snapToGrid w:val="0"/>
          <w:sz w:val="22"/>
          <w:szCs w:val="24"/>
        </w:rPr>
      </w:pPr>
    </w:p>
    <w:p w14:paraId="4781E9B8" w14:textId="65407C1A" w:rsidR="005D554B" w:rsidRPr="00BF4AB8" w:rsidRDefault="009F0B16" w:rsidP="005D554B">
      <w:pPr>
        <w:rPr>
          <w:snapToGrid w:val="0"/>
          <w:color w:val="0D0D0D"/>
          <w:sz w:val="22"/>
          <w:szCs w:val="24"/>
        </w:rPr>
      </w:pPr>
      <w:r w:rsidRPr="00BF4AB8">
        <w:rPr>
          <w:snapToGrid w:val="0"/>
          <w:color w:val="0D0D0D"/>
          <w:sz w:val="22"/>
          <w:szCs w:val="24"/>
        </w:rPr>
        <w:t>Šiam vaistiniam preparatui specialių laikymo sąlygų nereikia.</w:t>
      </w:r>
    </w:p>
    <w:p w14:paraId="5DF005EB" w14:textId="77777777" w:rsidR="005D554B" w:rsidRPr="00BF4AB8" w:rsidRDefault="005D554B" w:rsidP="005D554B">
      <w:pPr>
        <w:rPr>
          <w:snapToGrid w:val="0"/>
          <w:sz w:val="22"/>
          <w:szCs w:val="24"/>
        </w:rPr>
      </w:pPr>
    </w:p>
    <w:p w14:paraId="5C1FEC8D" w14:textId="3AEB9C08" w:rsidR="005D554B" w:rsidRPr="00BF4AB8" w:rsidRDefault="005D554B" w:rsidP="005D554B">
      <w:pPr>
        <w:keepNext/>
        <w:tabs>
          <w:tab w:val="left" w:pos="567"/>
        </w:tabs>
        <w:spacing w:line="260" w:lineRule="exact"/>
        <w:jc w:val="both"/>
        <w:outlineLvl w:val="3"/>
        <w:rPr>
          <w:b/>
          <w:bCs/>
          <w:snapToGrid w:val="0"/>
          <w:sz w:val="22"/>
          <w:szCs w:val="28"/>
          <w:lang w:eastAsia="x-none"/>
        </w:rPr>
      </w:pPr>
      <w:r w:rsidRPr="00BF4AB8">
        <w:rPr>
          <w:b/>
          <w:bCs/>
          <w:snapToGrid w:val="0"/>
          <w:sz w:val="22"/>
          <w:szCs w:val="28"/>
          <w:lang w:eastAsia="x-none"/>
        </w:rPr>
        <w:t>6.5</w:t>
      </w:r>
      <w:r w:rsidRPr="00BF4AB8">
        <w:rPr>
          <w:b/>
          <w:bCs/>
          <w:snapToGrid w:val="0"/>
          <w:sz w:val="22"/>
          <w:szCs w:val="28"/>
          <w:lang w:eastAsia="x-none"/>
        </w:rPr>
        <w:tab/>
      </w:r>
      <w:proofErr w:type="spellStart"/>
      <w:r w:rsidRPr="00BF4AB8">
        <w:rPr>
          <w:b/>
          <w:bCs/>
          <w:snapToGrid w:val="0"/>
          <w:sz w:val="22"/>
          <w:szCs w:val="28"/>
          <w:lang w:eastAsia="x-none"/>
        </w:rPr>
        <w:t>Talpyklės</w:t>
      </w:r>
      <w:proofErr w:type="spellEnd"/>
      <w:r w:rsidRPr="00BF4AB8">
        <w:rPr>
          <w:b/>
          <w:bCs/>
          <w:snapToGrid w:val="0"/>
          <w:sz w:val="22"/>
          <w:szCs w:val="28"/>
          <w:lang w:eastAsia="x-none"/>
        </w:rPr>
        <w:t xml:space="preserve"> pobūdis ir jos turinys</w:t>
      </w:r>
    </w:p>
    <w:p w14:paraId="4FC2B171" w14:textId="77777777" w:rsidR="005D554B" w:rsidRPr="00BF4AB8" w:rsidRDefault="005D554B" w:rsidP="005D554B">
      <w:pPr>
        <w:rPr>
          <w:snapToGrid w:val="0"/>
          <w:sz w:val="22"/>
          <w:szCs w:val="24"/>
        </w:rPr>
      </w:pPr>
    </w:p>
    <w:p w14:paraId="3DD89D13" w14:textId="67E6BCFA" w:rsidR="001761A2" w:rsidRPr="00BF4AB8" w:rsidRDefault="001761A2" w:rsidP="001761A2">
      <w:pPr>
        <w:rPr>
          <w:snapToGrid w:val="0"/>
          <w:sz w:val="22"/>
          <w:szCs w:val="24"/>
          <w:u w:val="single"/>
        </w:rPr>
      </w:pPr>
      <w:proofErr w:type="spellStart"/>
      <w:r w:rsidRPr="00BF4AB8">
        <w:rPr>
          <w:snapToGrid w:val="0"/>
          <w:sz w:val="22"/>
          <w:szCs w:val="24"/>
          <w:u w:val="single"/>
        </w:rPr>
        <w:t>Nytyka</w:t>
      </w:r>
      <w:proofErr w:type="spellEnd"/>
      <w:r w:rsidRPr="00BF4AB8">
        <w:rPr>
          <w:snapToGrid w:val="0"/>
          <w:sz w:val="22"/>
          <w:szCs w:val="24"/>
          <w:u w:val="single"/>
        </w:rPr>
        <w:t xml:space="preserve"> 100 mg minkštosios kapsulės</w:t>
      </w:r>
    </w:p>
    <w:p w14:paraId="3A0EA976" w14:textId="7A2994A5" w:rsidR="001761A2" w:rsidRPr="00BF4AB8" w:rsidRDefault="001761A2" w:rsidP="001761A2">
      <w:pPr>
        <w:rPr>
          <w:snapToGrid w:val="0"/>
          <w:sz w:val="22"/>
          <w:szCs w:val="24"/>
        </w:rPr>
      </w:pPr>
      <w:r w:rsidRPr="00BF4AB8">
        <w:rPr>
          <w:snapToGrid w:val="0"/>
          <w:sz w:val="22"/>
          <w:szCs w:val="24"/>
        </w:rPr>
        <w:t xml:space="preserve">60 x 1 minkštoji kapsulė OPA/aliuminio/PVC aliuminio perforuotose </w:t>
      </w:r>
      <w:proofErr w:type="spellStart"/>
      <w:r w:rsidRPr="00BF4AB8">
        <w:rPr>
          <w:snapToGrid w:val="0"/>
          <w:sz w:val="22"/>
          <w:szCs w:val="24"/>
        </w:rPr>
        <w:t>dalomosiose</w:t>
      </w:r>
      <w:proofErr w:type="spellEnd"/>
      <w:r w:rsidRPr="00BF4AB8">
        <w:rPr>
          <w:snapToGrid w:val="0"/>
          <w:sz w:val="22"/>
          <w:szCs w:val="24"/>
        </w:rPr>
        <w:t xml:space="preserve"> lizdinėse plokštelėse</w:t>
      </w:r>
      <w:r w:rsidR="007E5877">
        <w:rPr>
          <w:snapToGrid w:val="0"/>
          <w:sz w:val="22"/>
          <w:szCs w:val="24"/>
        </w:rPr>
        <w:t>.</w:t>
      </w:r>
    </w:p>
    <w:p w14:paraId="5F87D940" w14:textId="77777777" w:rsidR="001761A2" w:rsidRPr="00BF4AB8" w:rsidRDefault="001761A2" w:rsidP="001761A2">
      <w:pPr>
        <w:rPr>
          <w:snapToGrid w:val="0"/>
          <w:sz w:val="22"/>
          <w:szCs w:val="24"/>
        </w:rPr>
      </w:pPr>
    </w:p>
    <w:p w14:paraId="2A381038" w14:textId="1121E647" w:rsidR="001761A2" w:rsidRPr="00BF4AB8" w:rsidRDefault="001761A2" w:rsidP="001761A2">
      <w:pPr>
        <w:rPr>
          <w:snapToGrid w:val="0"/>
          <w:sz w:val="22"/>
          <w:szCs w:val="24"/>
          <w:u w:val="single"/>
        </w:rPr>
      </w:pPr>
      <w:proofErr w:type="spellStart"/>
      <w:r w:rsidRPr="00BF4AB8">
        <w:rPr>
          <w:snapToGrid w:val="0"/>
          <w:sz w:val="22"/>
          <w:szCs w:val="24"/>
          <w:u w:val="single"/>
        </w:rPr>
        <w:t>Nytyka</w:t>
      </w:r>
      <w:proofErr w:type="spellEnd"/>
      <w:r w:rsidRPr="00BF4AB8">
        <w:rPr>
          <w:snapToGrid w:val="0"/>
          <w:sz w:val="22"/>
          <w:szCs w:val="24"/>
          <w:u w:val="single"/>
        </w:rPr>
        <w:t xml:space="preserve"> 150 mg minkštosios kapsulės</w:t>
      </w:r>
    </w:p>
    <w:p w14:paraId="02277DCD" w14:textId="2EACBD3F" w:rsidR="001761A2" w:rsidRPr="00BF4AB8" w:rsidRDefault="001761A2" w:rsidP="001761A2">
      <w:pPr>
        <w:rPr>
          <w:snapToGrid w:val="0"/>
          <w:sz w:val="22"/>
          <w:szCs w:val="24"/>
        </w:rPr>
      </w:pPr>
      <w:r w:rsidRPr="00BF4AB8">
        <w:rPr>
          <w:snapToGrid w:val="0"/>
          <w:sz w:val="22"/>
          <w:szCs w:val="24"/>
        </w:rPr>
        <w:t xml:space="preserve">30 x 1 minkštoji kapsulė OPA/aliuminio/PVC aliuminio perforuotose </w:t>
      </w:r>
      <w:proofErr w:type="spellStart"/>
      <w:r w:rsidRPr="00BF4AB8">
        <w:rPr>
          <w:snapToGrid w:val="0"/>
          <w:sz w:val="22"/>
          <w:szCs w:val="24"/>
        </w:rPr>
        <w:t>dalomosiose</w:t>
      </w:r>
      <w:proofErr w:type="spellEnd"/>
      <w:r w:rsidRPr="00BF4AB8">
        <w:rPr>
          <w:snapToGrid w:val="0"/>
          <w:sz w:val="22"/>
          <w:szCs w:val="24"/>
        </w:rPr>
        <w:t xml:space="preserve"> lizdinėse plokštelėse</w:t>
      </w:r>
      <w:r w:rsidR="007E5877">
        <w:rPr>
          <w:snapToGrid w:val="0"/>
          <w:sz w:val="22"/>
          <w:szCs w:val="24"/>
        </w:rPr>
        <w:t>.</w:t>
      </w:r>
    </w:p>
    <w:p w14:paraId="4011C151" w14:textId="08A381F7" w:rsidR="001761A2" w:rsidRPr="00BF4AB8" w:rsidRDefault="001761A2" w:rsidP="001761A2">
      <w:pPr>
        <w:rPr>
          <w:snapToGrid w:val="0"/>
          <w:sz w:val="22"/>
          <w:szCs w:val="24"/>
        </w:rPr>
      </w:pPr>
      <w:r w:rsidRPr="00BF4AB8">
        <w:rPr>
          <w:snapToGrid w:val="0"/>
          <w:sz w:val="22"/>
          <w:szCs w:val="24"/>
        </w:rPr>
        <w:t xml:space="preserve">60 x 1 minkštoji kapsulė OPA/aliuminio/PVC aliuminio perforuotose </w:t>
      </w:r>
      <w:proofErr w:type="spellStart"/>
      <w:r w:rsidRPr="00BF4AB8">
        <w:rPr>
          <w:snapToGrid w:val="0"/>
          <w:sz w:val="22"/>
          <w:szCs w:val="24"/>
        </w:rPr>
        <w:t>dalomosiose</w:t>
      </w:r>
      <w:proofErr w:type="spellEnd"/>
      <w:r w:rsidRPr="00BF4AB8">
        <w:rPr>
          <w:snapToGrid w:val="0"/>
          <w:sz w:val="22"/>
          <w:szCs w:val="24"/>
        </w:rPr>
        <w:t xml:space="preserve"> lizdinėse plokštelėse</w:t>
      </w:r>
      <w:r w:rsidR="007E5877">
        <w:rPr>
          <w:snapToGrid w:val="0"/>
          <w:sz w:val="22"/>
          <w:szCs w:val="24"/>
        </w:rPr>
        <w:t>.</w:t>
      </w:r>
    </w:p>
    <w:p w14:paraId="4BAC40A0" w14:textId="77777777" w:rsidR="001761A2" w:rsidRPr="00BF4AB8" w:rsidRDefault="001761A2" w:rsidP="001761A2">
      <w:pPr>
        <w:rPr>
          <w:snapToGrid w:val="0"/>
          <w:sz w:val="22"/>
          <w:szCs w:val="24"/>
        </w:rPr>
      </w:pPr>
    </w:p>
    <w:p w14:paraId="7B1E1C2E" w14:textId="5C8BED49" w:rsidR="005D554B" w:rsidRPr="00BF4AB8" w:rsidRDefault="005D554B" w:rsidP="001761A2">
      <w:pPr>
        <w:rPr>
          <w:snapToGrid w:val="0"/>
          <w:sz w:val="22"/>
          <w:szCs w:val="24"/>
        </w:rPr>
      </w:pPr>
      <w:r w:rsidRPr="00BF4AB8">
        <w:rPr>
          <w:snapToGrid w:val="0"/>
          <w:sz w:val="22"/>
          <w:szCs w:val="24"/>
        </w:rPr>
        <w:t>Gali būti tiekiamos ne visų dydžių pakuotės.</w:t>
      </w:r>
    </w:p>
    <w:p w14:paraId="4D2C12A3" w14:textId="77777777" w:rsidR="005D554B" w:rsidRPr="00BF4AB8" w:rsidRDefault="005D554B" w:rsidP="005D554B">
      <w:pPr>
        <w:rPr>
          <w:snapToGrid w:val="0"/>
          <w:sz w:val="22"/>
          <w:szCs w:val="24"/>
        </w:rPr>
      </w:pPr>
    </w:p>
    <w:p w14:paraId="2ED3CFDB" w14:textId="6ECD0961" w:rsidR="005D554B" w:rsidRPr="00BF4AB8" w:rsidRDefault="005D554B" w:rsidP="005D554B">
      <w:pPr>
        <w:keepNext/>
        <w:tabs>
          <w:tab w:val="left" w:pos="567"/>
        </w:tabs>
        <w:spacing w:line="260" w:lineRule="exact"/>
        <w:jc w:val="both"/>
        <w:outlineLvl w:val="3"/>
        <w:rPr>
          <w:b/>
          <w:bCs/>
          <w:snapToGrid w:val="0"/>
          <w:sz w:val="22"/>
          <w:szCs w:val="28"/>
          <w:lang w:eastAsia="x-none"/>
        </w:rPr>
      </w:pPr>
      <w:bookmarkStart w:id="5" w:name="OLE_LINK1"/>
      <w:r w:rsidRPr="00BF4AB8">
        <w:rPr>
          <w:b/>
          <w:bCs/>
          <w:snapToGrid w:val="0"/>
          <w:sz w:val="22"/>
          <w:szCs w:val="28"/>
          <w:lang w:eastAsia="x-none"/>
        </w:rPr>
        <w:t>6.6</w:t>
      </w:r>
      <w:r w:rsidRPr="00BF4AB8">
        <w:rPr>
          <w:b/>
          <w:bCs/>
          <w:snapToGrid w:val="0"/>
          <w:sz w:val="22"/>
          <w:szCs w:val="28"/>
          <w:lang w:eastAsia="x-none"/>
        </w:rPr>
        <w:tab/>
        <w:t xml:space="preserve">Specialūs reikalavimai atliekoms tvarkyti </w:t>
      </w:r>
    </w:p>
    <w:bookmarkEnd w:id="5"/>
    <w:p w14:paraId="0ED9D9D5" w14:textId="77777777" w:rsidR="005D554B" w:rsidRPr="00BF4AB8" w:rsidRDefault="005D554B" w:rsidP="005D554B">
      <w:pPr>
        <w:rPr>
          <w:snapToGrid w:val="0"/>
          <w:sz w:val="22"/>
          <w:szCs w:val="24"/>
        </w:rPr>
      </w:pPr>
    </w:p>
    <w:p w14:paraId="14764A41" w14:textId="4232AB8A" w:rsidR="001C1EBB" w:rsidRPr="00BF4AB8" w:rsidRDefault="001C1EBB" w:rsidP="001C1EBB">
      <w:pPr>
        <w:rPr>
          <w:snapToGrid w:val="0"/>
          <w:sz w:val="22"/>
          <w:szCs w:val="24"/>
        </w:rPr>
      </w:pPr>
      <w:r w:rsidRPr="00BF4AB8">
        <w:rPr>
          <w:snapToGrid w:val="0"/>
          <w:sz w:val="22"/>
          <w:szCs w:val="24"/>
        </w:rPr>
        <w:t>Prisilietus prie kapsulės turinio, rankas reikia nedelsiant nuplauti gausiu vandens kiekiu (žr. 4.2 skyrių).</w:t>
      </w:r>
    </w:p>
    <w:p w14:paraId="7CCF6E9F" w14:textId="77777777" w:rsidR="001C1EBB" w:rsidRPr="00BF4AB8" w:rsidRDefault="001C1EBB" w:rsidP="005D554B">
      <w:pPr>
        <w:rPr>
          <w:snapToGrid w:val="0"/>
          <w:sz w:val="22"/>
          <w:szCs w:val="24"/>
        </w:rPr>
      </w:pPr>
    </w:p>
    <w:p w14:paraId="6B5AB003" w14:textId="24D250A7" w:rsidR="005D554B" w:rsidRPr="00BF4AB8" w:rsidRDefault="005D554B" w:rsidP="005D554B">
      <w:pPr>
        <w:rPr>
          <w:snapToGrid w:val="0"/>
          <w:sz w:val="22"/>
          <w:szCs w:val="24"/>
        </w:rPr>
      </w:pPr>
      <w:r w:rsidRPr="00BF4AB8">
        <w:rPr>
          <w:snapToGrid w:val="0"/>
          <w:sz w:val="22"/>
          <w:szCs w:val="24"/>
        </w:rPr>
        <w:t>Nesuvartotą vaistinį preparatą ar atliekas reikia tvarkyti laikantis vietinių reikalavimų.</w:t>
      </w:r>
    </w:p>
    <w:p w14:paraId="111F40AE" w14:textId="77777777" w:rsidR="005D554B" w:rsidRPr="00BF4AB8" w:rsidRDefault="005D554B" w:rsidP="005D554B">
      <w:pPr>
        <w:rPr>
          <w:snapToGrid w:val="0"/>
          <w:sz w:val="22"/>
          <w:szCs w:val="24"/>
        </w:rPr>
      </w:pPr>
    </w:p>
    <w:p w14:paraId="770101BD" w14:textId="77777777" w:rsidR="005D554B" w:rsidRPr="00BF4AB8" w:rsidRDefault="005D554B" w:rsidP="005D554B">
      <w:pPr>
        <w:rPr>
          <w:snapToGrid w:val="0"/>
          <w:sz w:val="22"/>
          <w:szCs w:val="24"/>
        </w:rPr>
      </w:pPr>
    </w:p>
    <w:p w14:paraId="7CACA824" w14:textId="77777777" w:rsidR="005D554B" w:rsidRPr="00BF4AB8" w:rsidRDefault="005D554B" w:rsidP="005D554B">
      <w:pPr>
        <w:keepNext/>
        <w:keepLines/>
        <w:tabs>
          <w:tab w:val="left" w:pos="567"/>
        </w:tabs>
        <w:outlineLvl w:val="2"/>
        <w:rPr>
          <w:b/>
          <w:bCs/>
          <w:snapToGrid w:val="0"/>
          <w:sz w:val="22"/>
          <w:szCs w:val="26"/>
          <w:lang w:eastAsia="x-none"/>
        </w:rPr>
      </w:pPr>
      <w:r w:rsidRPr="00BF4AB8">
        <w:rPr>
          <w:b/>
          <w:bCs/>
          <w:snapToGrid w:val="0"/>
          <w:sz w:val="22"/>
          <w:szCs w:val="26"/>
          <w:lang w:eastAsia="x-none"/>
        </w:rPr>
        <w:t>7.</w:t>
      </w:r>
      <w:r w:rsidRPr="00BF4AB8">
        <w:rPr>
          <w:b/>
          <w:bCs/>
          <w:snapToGrid w:val="0"/>
          <w:sz w:val="22"/>
          <w:szCs w:val="26"/>
          <w:lang w:eastAsia="x-none"/>
        </w:rPr>
        <w:tab/>
        <w:t>REGISTRUOTOJAS</w:t>
      </w:r>
    </w:p>
    <w:p w14:paraId="06BB7048" w14:textId="77777777" w:rsidR="005D554B" w:rsidRPr="00BF4AB8" w:rsidRDefault="005D554B" w:rsidP="005D554B">
      <w:pPr>
        <w:rPr>
          <w:snapToGrid w:val="0"/>
          <w:sz w:val="22"/>
          <w:szCs w:val="24"/>
        </w:rPr>
      </w:pPr>
    </w:p>
    <w:p w14:paraId="7EABC876" w14:textId="77777777" w:rsidR="00BF4AB8" w:rsidRPr="00BF4AB8" w:rsidRDefault="00BF4AB8" w:rsidP="00BF4AB8">
      <w:pPr>
        <w:rPr>
          <w:snapToGrid w:val="0"/>
          <w:sz w:val="22"/>
          <w:szCs w:val="24"/>
        </w:rPr>
      </w:pPr>
      <w:r w:rsidRPr="00BF4AB8">
        <w:rPr>
          <w:snapToGrid w:val="0"/>
          <w:sz w:val="22"/>
          <w:szCs w:val="24"/>
        </w:rPr>
        <w:t xml:space="preserve">UAB </w:t>
      </w:r>
      <w:proofErr w:type="spellStart"/>
      <w:r w:rsidRPr="00BF4AB8">
        <w:rPr>
          <w:snapToGrid w:val="0"/>
          <w:sz w:val="22"/>
          <w:szCs w:val="24"/>
        </w:rPr>
        <w:t>Norameda</w:t>
      </w:r>
      <w:proofErr w:type="spellEnd"/>
    </w:p>
    <w:p w14:paraId="1F366143" w14:textId="77777777" w:rsidR="00BF4AB8" w:rsidRPr="00BF4AB8" w:rsidRDefault="00BF4AB8" w:rsidP="00BF4AB8">
      <w:pPr>
        <w:rPr>
          <w:snapToGrid w:val="0"/>
          <w:sz w:val="22"/>
          <w:szCs w:val="24"/>
        </w:rPr>
      </w:pPr>
      <w:r w:rsidRPr="00BF4AB8">
        <w:rPr>
          <w:snapToGrid w:val="0"/>
          <w:sz w:val="22"/>
          <w:szCs w:val="24"/>
        </w:rPr>
        <w:t>Meistrų 8A,</w:t>
      </w:r>
    </w:p>
    <w:p w14:paraId="043E0DB4" w14:textId="77777777" w:rsidR="00BF4AB8" w:rsidRPr="00BF4AB8" w:rsidRDefault="00BF4AB8" w:rsidP="00BF4AB8">
      <w:pPr>
        <w:rPr>
          <w:snapToGrid w:val="0"/>
          <w:sz w:val="22"/>
          <w:szCs w:val="24"/>
        </w:rPr>
      </w:pPr>
      <w:r w:rsidRPr="00BF4AB8">
        <w:rPr>
          <w:snapToGrid w:val="0"/>
          <w:sz w:val="22"/>
          <w:szCs w:val="24"/>
        </w:rPr>
        <w:t>LT-02189 Vilnius,</w:t>
      </w:r>
    </w:p>
    <w:p w14:paraId="22AC4C4A" w14:textId="5BA05502" w:rsidR="005D554B" w:rsidRPr="00BF4AB8" w:rsidRDefault="00BF4AB8" w:rsidP="00BF4AB8">
      <w:pPr>
        <w:rPr>
          <w:snapToGrid w:val="0"/>
          <w:sz w:val="22"/>
          <w:szCs w:val="24"/>
        </w:rPr>
      </w:pPr>
      <w:r w:rsidRPr="00BF4AB8">
        <w:rPr>
          <w:snapToGrid w:val="0"/>
          <w:sz w:val="22"/>
          <w:szCs w:val="24"/>
        </w:rPr>
        <w:t>Lietuva</w:t>
      </w:r>
    </w:p>
    <w:p w14:paraId="1CB85CC8" w14:textId="77777777" w:rsidR="00BF4AB8" w:rsidRPr="00BF4AB8" w:rsidRDefault="00BF4AB8" w:rsidP="00BF4AB8">
      <w:pPr>
        <w:rPr>
          <w:snapToGrid w:val="0"/>
          <w:sz w:val="22"/>
          <w:szCs w:val="24"/>
        </w:rPr>
      </w:pPr>
    </w:p>
    <w:p w14:paraId="46F77D5D" w14:textId="77777777" w:rsidR="005D554B" w:rsidRPr="00BF4AB8" w:rsidRDefault="005D554B" w:rsidP="005D554B">
      <w:pPr>
        <w:rPr>
          <w:snapToGrid w:val="0"/>
          <w:sz w:val="22"/>
          <w:szCs w:val="24"/>
        </w:rPr>
      </w:pPr>
    </w:p>
    <w:p w14:paraId="1F912165" w14:textId="77777777" w:rsidR="005D554B" w:rsidRPr="00BF4AB8" w:rsidRDefault="005D554B" w:rsidP="005D554B">
      <w:pPr>
        <w:keepNext/>
        <w:keepLines/>
        <w:tabs>
          <w:tab w:val="left" w:pos="567"/>
        </w:tabs>
        <w:outlineLvl w:val="2"/>
        <w:rPr>
          <w:b/>
          <w:bCs/>
          <w:snapToGrid w:val="0"/>
          <w:sz w:val="22"/>
          <w:szCs w:val="26"/>
          <w:lang w:eastAsia="x-none"/>
        </w:rPr>
      </w:pPr>
      <w:r w:rsidRPr="00BF4AB8">
        <w:rPr>
          <w:b/>
          <w:bCs/>
          <w:snapToGrid w:val="0"/>
          <w:sz w:val="22"/>
          <w:szCs w:val="26"/>
          <w:lang w:eastAsia="x-none"/>
        </w:rPr>
        <w:lastRenderedPageBreak/>
        <w:t>8.</w:t>
      </w:r>
      <w:r w:rsidRPr="00BF4AB8">
        <w:rPr>
          <w:b/>
          <w:bCs/>
          <w:snapToGrid w:val="0"/>
          <w:sz w:val="22"/>
          <w:szCs w:val="26"/>
          <w:lang w:eastAsia="x-none"/>
        </w:rPr>
        <w:tab/>
        <w:t xml:space="preserve">REGISTRACIJOS </w:t>
      </w:r>
      <w:r w:rsidRPr="00BF4AB8">
        <w:rPr>
          <w:b/>
          <w:bCs/>
          <w:snapToGrid w:val="0"/>
          <w:sz w:val="22"/>
          <w:szCs w:val="22"/>
          <w:lang w:eastAsia="x-none"/>
        </w:rPr>
        <w:t>PAŽYMĖJIMO</w:t>
      </w:r>
      <w:r w:rsidRPr="00BF4AB8">
        <w:rPr>
          <w:b/>
          <w:bCs/>
          <w:snapToGrid w:val="0"/>
          <w:sz w:val="22"/>
          <w:szCs w:val="26"/>
          <w:lang w:eastAsia="x-none"/>
        </w:rPr>
        <w:t xml:space="preserve"> NUMERIS (-IAI) </w:t>
      </w:r>
    </w:p>
    <w:p w14:paraId="1DBAD38B" w14:textId="77777777" w:rsidR="005D554B" w:rsidRDefault="005D554B" w:rsidP="005D554B">
      <w:pPr>
        <w:rPr>
          <w:snapToGrid w:val="0"/>
          <w:sz w:val="22"/>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343D76" w14:paraId="1FEAF092" w14:textId="77777777" w:rsidTr="00343D76">
        <w:tc>
          <w:tcPr>
            <w:tcW w:w="4530" w:type="dxa"/>
          </w:tcPr>
          <w:p w14:paraId="3015DC95" w14:textId="77777777" w:rsidR="00343D76" w:rsidRPr="00343D76" w:rsidRDefault="00343D76" w:rsidP="005D554B">
            <w:pPr>
              <w:rPr>
                <w:snapToGrid w:val="0"/>
                <w:sz w:val="22"/>
                <w:szCs w:val="24"/>
                <w:u w:val="single"/>
              </w:rPr>
            </w:pPr>
            <w:r w:rsidRPr="00343D76">
              <w:rPr>
                <w:snapToGrid w:val="0"/>
                <w:sz w:val="22"/>
                <w:szCs w:val="24"/>
                <w:u w:val="single"/>
              </w:rPr>
              <w:t>100 mg</w:t>
            </w:r>
          </w:p>
          <w:p w14:paraId="4E4B34C8" w14:textId="7D399DF0" w:rsidR="00343D76" w:rsidRDefault="00343D76" w:rsidP="005D554B">
            <w:pPr>
              <w:rPr>
                <w:snapToGrid w:val="0"/>
                <w:sz w:val="22"/>
                <w:szCs w:val="24"/>
              </w:rPr>
            </w:pPr>
            <w:r>
              <w:rPr>
                <w:szCs w:val="24"/>
              </w:rPr>
              <w:t>LT/1/24/5319/001</w:t>
            </w:r>
          </w:p>
        </w:tc>
        <w:tc>
          <w:tcPr>
            <w:tcW w:w="4530" w:type="dxa"/>
          </w:tcPr>
          <w:p w14:paraId="2AD4C271" w14:textId="77777777" w:rsidR="00343D76" w:rsidRPr="00343D76" w:rsidRDefault="00343D76" w:rsidP="005D554B">
            <w:pPr>
              <w:rPr>
                <w:snapToGrid w:val="0"/>
                <w:sz w:val="22"/>
                <w:szCs w:val="24"/>
                <w:u w:val="single"/>
              </w:rPr>
            </w:pPr>
            <w:r w:rsidRPr="00343D76">
              <w:rPr>
                <w:snapToGrid w:val="0"/>
                <w:sz w:val="22"/>
                <w:szCs w:val="24"/>
                <w:u w:val="single"/>
              </w:rPr>
              <w:t>150 mg</w:t>
            </w:r>
          </w:p>
          <w:p w14:paraId="764A8875" w14:textId="77777777" w:rsidR="00343D76" w:rsidRPr="00343D76" w:rsidRDefault="00343D76" w:rsidP="00343D76">
            <w:pPr>
              <w:rPr>
                <w:snapToGrid w:val="0"/>
                <w:sz w:val="22"/>
                <w:szCs w:val="24"/>
              </w:rPr>
            </w:pPr>
            <w:r w:rsidRPr="00343D76">
              <w:rPr>
                <w:snapToGrid w:val="0"/>
                <w:sz w:val="22"/>
                <w:szCs w:val="24"/>
              </w:rPr>
              <w:t xml:space="preserve">LT/1/24/5320/001 </w:t>
            </w:r>
            <w:r w:rsidRPr="00343D76">
              <w:rPr>
                <w:rFonts w:eastAsia="Times New Roman" w:hint="eastAsia"/>
                <w:snapToGrid w:val="0"/>
                <w:sz w:val="22"/>
                <w:szCs w:val="24"/>
              </w:rPr>
              <w:t>–</w:t>
            </w:r>
            <w:r w:rsidRPr="00343D76">
              <w:rPr>
                <w:rFonts w:eastAsia="Times New Roman"/>
                <w:snapToGrid w:val="0"/>
                <w:sz w:val="22"/>
                <w:szCs w:val="24"/>
              </w:rPr>
              <w:t xml:space="preserve"> </w:t>
            </w:r>
            <w:r w:rsidRPr="00343D76">
              <w:rPr>
                <w:snapToGrid w:val="0"/>
                <w:sz w:val="22"/>
                <w:szCs w:val="24"/>
              </w:rPr>
              <w:t>N30x1</w:t>
            </w:r>
          </w:p>
          <w:p w14:paraId="3634BAB1" w14:textId="2461D98E" w:rsidR="00343D76" w:rsidRDefault="00343D76" w:rsidP="00343D76">
            <w:pPr>
              <w:rPr>
                <w:snapToGrid w:val="0"/>
                <w:sz w:val="22"/>
                <w:szCs w:val="24"/>
              </w:rPr>
            </w:pPr>
            <w:r w:rsidRPr="00343D76">
              <w:rPr>
                <w:snapToGrid w:val="0"/>
                <w:sz w:val="22"/>
                <w:szCs w:val="24"/>
              </w:rPr>
              <w:t xml:space="preserve">LT/1/24/5320/002 </w:t>
            </w:r>
            <w:r w:rsidRPr="00343D76">
              <w:rPr>
                <w:rFonts w:eastAsia="Times New Roman" w:hint="eastAsia"/>
                <w:snapToGrid w:val="0"/>
                <w:sz w:val="22"/>
                <w:szCs w:val="24"/>
              </w:rPr>
              <w:t>–</w:t>
            </w:r>
            <w:r w:rsidRPr="00343D76">
              <w:rPr>
                <w:rFonts w:eastAsia="Times New Roman"/>
                <w:snapToGrid w:val="0"/>
                <w:sz w:val="22"/>
                <w:szCs w:val="24"/>
              </w:rPr>
              <w:t xml:space="preserve"> </w:t>
            </w:r>
            <w:r w:rsidRPr="00343D76">
              <w:rPr>
                <w:snapToGrid w:val="0"/>
                <w:sz w:val="22"/>
                <w:szCs w:val="24"/>
              </w:rPr>
              <w:t>N60x1</w:t>
            </w:r>
          </w:p>
        </w:tc>
      </w:tr>
    </w:tbl>
    <w:p w14:paraId="006D0B4E" w14:textId="77777777" w:rsidR="00343D76" w:rsidRPr="00BF4AB8" w:rsidRDefault="00343D76" w:rsidP="005D554B">
      <w:pPr>
        <w:rPr>
          <w:snapToGrid w:val="0"/>
          <w:sz w:val="22"/>
          <w:szCs w:val="24"/>
        </w:rPr>
      </w:pPr>
    </w:p>
    <w:p w14:paraId="235249A6" w14:textId="77777777" w:rsidR="005D554B" w:rsidRPr="00BF4AB8" w:rsidRDefault="005D554B" w:rsidP="005D554B">
      <w:pPr>
        <w:rPr>
          <w:snapToGrid w:val="0"/>
          <w:sz w:val="22"/>
          <w:szCs w:val="24"/>
        </w:rPr>
      </w:pPr>
    </w:p>
    <w:p w14:paraId="26E02A17" w14:textId="77777777" w:rsidR="005D554B" w:rsidRPr="00BF4AB8" w:rsidRDefault="005D554B" w:rsidP="005D554B">
      <w:pPr>
        <w:keepNext/>
        <w:keepLines/>
        <w:tabs>
          <w:tab w:val="left" w:pos="567"/>
        </w:tabs>
        <w:outlineLvl w:val="2"/>
        <w:rPr>
          <w:b/>
          <w:bCs/>
          <w:snapToGrid w:val="0"/>
          <w:sz w:val="22"/>
          <w:szCs w:val="26"/>
          <w:lang w:eastAsia="x-none"/>
        </w:rPr>
      </w:pPr>
      <w:r w:rsidRPr="00BF4AB8">
        <w:rPr>
          <w:b/>
          <w:bCs/>
          <w:snapToGrid w:val="0"/>
          <w:sz w:val="22"/>
          <w:szCs w:val="26"/>
          <w:lang w:eastAsia="x-none"/>
        </w:rPr>
        <w:t>9.</w:t>
      </w:r>
      <w:r w:rsidRPr="00BF4AB8">
        <w:rPr>
          <w:b/>
          <w:bCs/>
          <w:snapToGrid w:val="0"/>
          <w:sz w:val="22"/>
          <w:szCs w:val="26"/>
          <w:lang w:eastAsia="x-none"/>
        </w:rPr>
        <w:tab/>
        <w:t>REGISTRAVIMO / PERREGISTRAVIMO DATA</w:t>
      </w:r>
    </w:p>
    <w:p w14:paraId="00BB8475" w14:textId="77777777" w:rsidR="005D554B" w:rsidRPr="00BF4AB8" w:rsidRDefault="005D554B" w:rsidP="005D554B">
      <w:pPr>
        <w:rPr>
          <w:snapToGrid w:val="0"/>
          <w:sz w:val="22"/>
          <w:szCs w:val="24"/>
        </w:rPr>
      </w:pPr>
    </w:p>
    <w:p w14:paraId="34D536A6" w14:textId="3907EDC4" w:rsidR="005D554B" w:rsidRPr="00BF4AB8" w:rsidRDefault="005D554B" w:rsidP="005D554B">
      <w:pPr>
        <w:rPr>
          <w:snapToGrid w:val="0"/>
          <w:sz w:val="22"/>
          <w:szCs w:val="24"/>
        </w:rPr>
      </w:pPr>
      <w:r w:rsidRPr="00BF4AB8">
        <w:rPr>
          <w:snapToGrid w:val="0"/>
          <w:sz w:val="22"/>
          <w:szCs w:val="24"/>
        </w:rPr>
        <w:t xml:space="preserve">Registravimo data </w:t>
      </w:r>
      <w:r w:rsidR="00343D76">
        <w:rPr>
          <w:snapToGrid w:val="0"/>
          <w:sz w:val="22"/>
          <w:szCs w:val="24"/>
        </w:rPr>
        <w:t>2024 m. sausio 5 d.</w:t>
      </w:r>
    </w:p>
    <w:p w14:paraId="3F6363B8" w14:textId="77777777" w:rsidR="005D554B" w:rsidRPr="00BF4AB8" w:rsidRDefault="005D554B" w:rsidP="005D554B">
      <w:pPr>
        <w:rPr>
          <w:snapToGrid w:val="0"/>
          <w:sz w:val="22"/>
        </w:rPr>
      </w:pPr>
    </w:p>
    <w:p w14:paraId="62F561BC" w14:textId="77777777" w:rsidR="005D554B" w:rsidRPr="00BF4AB8" w:rsidRDefault="005D554B" w:rsidP="005D554B">
      <w:pPr>
        <w:tabs>
          <w:tab w:val="left" w:pos="567"/>
        </w:tabs>
        <w:rPr>
          <w:snapToGrid w:val="0"/>
          <w:sz w:val="22"/>
        </w:rPr>
      </w:pPr>
    </w:p>
    <w:p w14:paraId="7AB3459B" w14:textId="77777777" w:rsidR="005D554B" w:rsidRPr="00BF4AB8" w:rsidRDefault="005D554B" w:rsidP="005D554B">
      <w:pPr>
        <w:keepNext/>
        <w:keepLines/>
        <w:tabs>
          <w:tab w:val="left" w:pos="567"/>
        </w:tabs>
        <w:outlineLvl w:val="2"/>
        <w:rPr>
          <w:b/>
          <w:bCs/>
          <w:snapToGrid w:val="0"/>
          <w:sz w:val="22"/>
          <w:szCs w:val="26"/>
          <w:lang w:eastAsia="x-none"/>
        </w:rPr>
      </w:pPr>
      <w:r w:rsidRPr="00BF4AB8">
        <w:rPr>
          <w:b/>
          <w:bCs/>
          <w:snapToGrid w:val="0"/>
          <w:sz w:val="22"/>
          <w:szCs w:val="26"/>
          <w:lang w:eastAsia="x-none"/>
        </w:rPr>
        <w:t>10.</w:t>
      </w:r>
      <w:r w:rsidRPr="00BF4AB8">
        <w:rPr>
          <w:b/>
          <w:bCs/>
          <w:snapToGrid w:val="0"/>
          <w:sz w:val="22"/>
          <w:szCs w:val="26"/>
          <w:lang w:eastAsia="x-none"/>
        </w:rPr>
        <w:tab/>
        <w:t>TEKSTO PERŽIŪROS DATA</w:t>
      </w:r>
    </w:p>
    <w:p w14:paraId="4A82431E" w14:textId="77777777" w:rsidR="005D554B" w:rsidRDefault="005D554B" w:rsidP="005D554B">
      <w:pPr>
        <w:rPr>
          <w:snapToGrid w:val="0"/>
          <w:sz w:val="22"/>
          <w:szCs w:val="24"/>
        </w:rPr>
      </w:pPr>
    </w:p>
    <w:p w14:paraId="355E948A" w14:textId="77777777" w:rsidR="00B60941" w:rsidRDefault="00B60941" w:rsidP="005D554B">
      <w:pPr>
        <w:rPr>
          <w:noProof/>
          <w:snapToGrid w:val="0"/>
          <w:sz w:val="22"/>
          <w:szCs w:val="24"/>
        </w:rPr>
      </w:pPr>
      <w:r>
        <w:rPr>
          <w:noProof/>
          <w:snapToGrid w:val="0"/>
          <w:sz w:val="22"/>
          <w:szCs w:val="24"/>
        </w:rPr>
        <w:t>2025 m. vasario 7 d.</w:t>
      </w:r>
    </w:p>
    <w:p w14:paraId="70AEA608" w14:textId="14801F59" w:rsidR="007E5877" w:rsidRDefault="007E5877" w:rsidP="005D554B">
      <w:pPr>
        <w:rPr>
          <w:snapToGrid w:val="0"/>
          <w:sz w:val="22"/>
          <w:szCs w:val="24"/>
        </w:rPr>
      </w:pPr>
    </w:p>
    <w:p w14:paraId="6325D74C" w14:textId="77777777" w:rsidR="002152A6" w:rsidRPr="00BF4AB8" w:rsidRDefault="002152A6" w:rsidP="005D554B">
      <w:pPr>
        <w:rPr>
          <w:snapToGrid w:val="0"/>
          <w:sz w:val="22"/>
          <w:szCs w:val="24"/>
        </w:rPr>
      </w:pPr>
    </w:p>
    <w:p w14:paraId="2F01195D" w14:textId="77777777" w:rsidR="005D554B" w:rsidRPr="00BF4AB8" w:rsidRDefault="005D554B" w:rsidP="005D554B">
      <w:pPr>
        <w:rPr>
          <w:snapToGrid w:val="0"/>
          <w:sz w:val="22"/>
          <w:szCs w:val="24"/>
        </w:rPr>
      </w:pPr>
    </w:p>
    <w:p w14:paraId="5836C167" w14:textId="59998EA7" w:rsidR="005D554B" w:rsidRPr="00BF4AB8" w:rsidRDefault="005D554B" w:rsidP="005D554B">
      <w:pPr>
        <w:tabs>
          <w:tab w:val="left" w:pos="5954"/>
          <w:tab w:val="left" w:pos="6237"/>
          <w:tab w:val="left" w:pos="6663"/>
          <w:tab w:val="left" w:pos="6946"/>
        </w:tabs>
        <w:rPr>
          <w:rFonts w:eastAsia="SimSun"/>
          <w:sz w:val="22"/>
          <w:szCs w:val="22"/>
        </w:rPr>
      </w:pPr>
      <w:r w:rsidRPr="00BF4AB8">
        <w:rPr>
          <w:rFonts w:eastAsia="SimSun"/>
          <w:sz w:val="22"/>
          <w:szCs w:val="22"/>
        </w:rPr>
        <w:t>Išsami informacija apie šį vaistinį preparatą pateikiama Valstybinės vaistų kontrolės tarnybos prie Lietuvos Respublikos sveikatos apsaugos ministerijos tinklalapyje</w:t>
      </w:r>
      <w:r w:rsidRPr="00BF4AB8">
        <w:rPr>
          <w:rFonts w:eastAsia="SimSun"/>
          <w:i/>
          <w:sz w:val="22"/>
          <w:szCs w:val="22"/>
        </w:rPr>
        <w:t xml:space="preserve"> </w:t>
      </w:r>
      <w:hyperlink r:id="rId11" w:history="1">
        <w:r w:rsidRPr="00BF4AB8">
          <w:rPr>
            <w:rFonts w:eastAsia="SimSun"/>
            <w:color w:val="0000FF"/>
            <w:sz w:val="22"/>
            <w:szCs w:val="22"/>
            <w:u w:val="single"/>
          </w:rPr>
          <w:t>http://www.vvkt.lt</w:t>
        </w:r>
      </w:hyperlink>
    </w:p>
    <w:p w14:paraId="47A6643C" w14:textId="77777777" w:rsidR="005D554B" w:rsidRPr="00BF4AB8" w:rsidRDefault="005D554B" w:rsidP="005D554B">
      <w:pPr>
        <w:tabs>
          <w:tab w:val="left" w:pos="5954"/>
          <w:tab w:val="left" w:pos="6237"/>
          <w:tab w:val="left" w:pos="6663"/>
          <w:tab w:val="left" w:pos="6946"/>
        </w:tabs>
        <w:jc w:val="center"/>
        <w:rPr>
          <w:rFonts w:eastAsia="SimSun"/>
          <w:sz w:val="20"/>
        </w:rPr>
      </w:pPr>
    </w:p>
    <w:p w14:paraId="360E93A8" w14:textId="77777777" w:rsidR="001605E5" w:rsidRPr="00BF4AB8" w:rsidRDefault="001605E5" w:rsidP="005D554B">
      <w:pPr>
        <w:tabs>
          <w:tab w:val="left" w:pos="5954"/>
          <w:tab w:val="left" w:pos="6237"/>
          <w:tab w:val="left" w:pos="6663"/>
          <w:tab w:val="left" w:pos="6946"/>
        </w:tabs>
        <w:jc w:val="center"/>
        <w:rPr>
          <w:rFonts w:eastAsia="SimSun"/>
          <w:sz w:val="20"/>
        </w:rPr>
        <w:sectPr w:rsidR="001605E5" w:rsidRPr="00BF4AB8" w:rsidSect="00E96276">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1134" w:right="1418" w:bottom="1134" w:left="1418" w:header="737" w:footer="737" w:gutter="0"/>
          <w:pgNumType w:start="1" w:chapStyle="1"/>
          <w:cols w:space="1296"/>
          <w:titlePg/>
          <w:docGrid w:linePitch="360"/>
        </w:sectPr>
      </w:pPr>
    </w:p>
    <w:p w14:paraId="3B6E4D13" w14:textId="77777777" w:rsidR="005D554B" w:rsidRPr="00BF4AB8" w:rsidRDefault="005D554B" w:rsidP="005D554B">
      <w:pPr>
        <w:tabs>
          <w:tab w:val="left" w:pos="567"/>
        </w:tabs>
        <w:spacing w:line="260" w:lineRule="exact"/>
        <w:rPr>
          <w:snapToGrid w:val="0"/>
          <w:sz w:val="22"/>
          <w:szCs w:val="24"/>
        </w:rPr>
      </w:pPr>
    </w:p>
    <w:p w14:paraId="118FA2E7" w14:textId="77777777" w:rsidR="005D554B" w:rsidRPr="00BF4AB8" w:rsidRDefault="005D554B" w:rsidP="005D554B">
      <w:pPr>
        <w:tabs>
          <w:tab w:val="left" w:pos="567"/>
        </w:tabs>
        <w:spacing w:line="260" w:lineRule="exact"/>
        <w:rPr>
          <w:snapToGrid w:val="0"/>
          <w:sz w:val="22"/>
          <w:szCs w:val="24"/>
        </w:rPr>
      </w:pPr>
    </w:p>
    <w:p w14:paraId="4E6938F5" w14:textId="77777777" w:rsidR="005D554B" w:rsidRPr="00BF4AB8" w:rsidRDefault="005D554B" w:rsidP="005D554B">
      <w:pPr>
        <w:tabs>
          <w:tab w:val="left" w:pos="567"/>
        </w:tabs>
        <w:spacing w:line="260" w:lineRule="exact"/>
        <w:rPr>
          <w:snapToGrid w:val="0"/>
          <w:sz w:val="22"/>
          <w:szCs w:val="24"/>
        </w:rPr>
      </w:pPr>
    </w:p>
    <w:p w14:paraId="35BADBF5" w14:textId="77777777" w:rsidR="005D554B" w:rsidRPr="00BF4AB8" w:rsidRDefault="005D554B" w:rsidP="005D554B">
      <w:pPr>
        <w:tabs>
          <w:tab w:val="left" w:pos="567"/>
        </w:tabs>
        <w:spacing w:line="260" w:lineRule="exact"/>
        <w:rPr>
          <w:snapToGrid w:val="0"/>
          <w:sz w:val="22"/>
          <w:szCs w:val="24"/>
        </w:rPr>
      </w:pPr>
    </w:p>
    <w:p w14:paraId="5C950E62" w14:textId="77777777" w:rsidR="005D554B" w:rsidRPr="00BF4AB8" w:rsidRDefault="005D554B" w:rsidP="005D554B">
      <w:pPr>
        <w:tabs>
          <w:tab w:val="left" w:pos="567"/>
        </w:tabs>
        <w:spacing w:line="260" w:lineRule="exact"/>
        <w:rPr>
          <w:snapToGrid w:val="0"/>
          <w:sz w:val="22"/>
          <w:szCs w:val="24"/>
        </w:rPr>
      </w:pPr>
    </w:p>
    <w:p w14:paraId="5D55B146" w14:textId="77777777" w:rsidR="005D554B" w:rsidRPr="00BF4AB8" w:rsidRDefault="005D554B" w:rsidP="005D554B">
      <w:pPr>
        <w:tabs>
          <w:tab w:val="left" w:pos="567"/>
        </w:tabs>
        <w:spacing w:line="260" w:lineRule="exact"/>
        <w:rPr>
          <w:snapToGrid w:val="0"/>
          <w:sz w:val="22"/>
          <w:szCs w:val="24"/>
        </w:rPr>
      </w:pPr>
    </w:p>
    <w:p w14:paraId="3B7EA4F2" w14:textId="77777777" w:rsidR="005D554B" w:rsidRPr="00BF4AB8" w:rsidRDefault="005D554B" w:rsidP="005D554B">
      <w:pPr>
        <w:tabs>
          <w:tab w:val="left" w:pos="567"/>
        </w:tabs>
        <w:spacing w:line="260" w:lineRule="exact"/>
        <w:rPr>
          <w:snapToGrid w:val="0"/>
          <w:sz w:val="22"/>
          <w:szCs w:val="24"/>
        </w:rPr>
      </w:pPr>
    </w:p>
    <w:p w14:paraId="048A9B94" w14:textId="77777777" w:rsidR="005D554B" w:rsidRPr="00BF4AB8" w:rsidRDefault="005D554B" w:rsidP="005D554B">
      <w:pPr>
        <w:tabs>
          <w:tab w:val="left" w:pos="567"/>
        </w:tabs>
        <w:spacing w:line="260" w:lineRule="exact"/>
        <w:rPr>
          <w:snapToGrid w:val="0"/>
          <w:sz w:val="22"/>
          <w:szCs w:val="24"/>
        </w:rPr>
      </w:pPr>
    </w:p>
    <w:p w14:paraId="547F3111" w14:textId="77777777" w:rsidR="005D554B" w:rsidRPr="00BF4AB8" w:rsidRDefault="005D554B" w:rsidP="005D554B">
      <w:pPr>
        <w:tabs>
          <w:tab w:val="left" w:pos="567"/>
        </w:tabs>
        <w:spacing w:line="260" w:lineRule="exact"/>
        <w:rPr>
          <w:snapToGrid w:val="0"/>
          <w:sz w:val="22"/>
          <w:szCs w:val="24"/>
        </w:rPr>
      </w:pPr>
    </w:p>
    <w:p w14:paraId="2E8A2AC6" w14:textId="77777777" w:rsidR="005D554B" w:rsidRPr="00BF4AB8" w:rsidRDefault="005D554B" w:rsidP="005D554B">
      <w:pPr>
        <w:tabs>
          <w:tab w:val="left" w:pos="567"/>
        </w:tabs>
        <w:spacing w:line="260" w:lineRule="exact"/>
        <w:rPr>
          <w:snapToGrid w:val="0"/>
          <w:sz w:val="22"/>
          <w:szCs w:val="24"/>
        </w:rPr>
      </w:pPr>
    </w:p>
    <w:p w14:paraId="0597C05B" w14:textId="77777777" w:rsidR="005D554B" w:rsidRPr="00BF4AB8" w:rsidRDefault="005D554B" w:rsidP="005D554B">
      <w:pPr>
        <w:tabs>
          <w:tab w:val="left" w:pos="567"/>
        </w:tabs>
        <w:spacing w:line="260" w:lineRule="exact"/>
        <w:rPr>
          <w:snapToGrid w:val="0"/>
          <w:sz w:val="22"/>
          <w:szCs w:val="24"/>
        </w:rPr>
      </w:pPr>
    </w:p>
    <w:p w14:paraId="29BB0F0B" w14:textId="77777777" w:rsidR="005D554B" w:rsidRPr="00BF4AB8" w:rsidRDefault="005D554B" w:rsidP="005D554B">
      <w:pPr>
        <w:tabs>
          <w:tab w:val="left" w:pos="567"/>
        </w:tabs>
        <w:spacing w:line="260" w:lineRule="exact"/>
        <w:rPr>
          <w:snapToGrid w:val="0"/>
          <w:sz w:val="22"/>
          <w:szCs w:val="24"/>
        </w:rPr>
      </w:pPr>
    </w:p>
    <w:p w14:paraId="083CE461" w14:textId="77777777" w:rsidR="005D554B" w:rsidRPr="00BF4AB8" w:rsidRDefault="005D554B" w:rsidP="005D554B">
      <w:pPr>
        <w:tabs>
          <w:tab w:val="left" w:pos="567"/>
        </w:tabs>
        <w:spacing w:line="260" w:lineRule="exact"/>
        <w:rPr>
          <w:snapToGrid w:val="0"/>
          <w:sz w:val="22"/>
          <w:szCs w:val="24"/>
        </w:rPr>
      </w:pPr>
    </w:p>
    <w:p w14:paraId="23120660" w14:textId="77777777" w:rsidR="005D554B" w:rsidRPr="00BF4AB8" w:rsidRDefault="005D554B" w:rsidP="005D554B">
      <w:pPr>
        <w:tabs>
          <w:tab w:val="left" w:pos="567"/>
        </w:tabs>
        <w:spacing w:line="260" w:lineRule="exact"/>
        <w:jc w:val="center"/>
        <w:rPr>
          <w:b/>
          <w:snapToGrid w:val="0"/>
          <w:sz w:val="22"/>
        </w:rPr>
      </w:pPr>
      <w:r w:rsidRPr="00BF4AB8">
        <w:rPr>
          <w:b/>
          <w:snapToGrid w:val="0"/>
          <w:sz w:val="22"/>
        </w:rPr>
        <w:t>II PRIEDAS</w:t>
      </w:r>
    </w:p>
    <w:p w14:paraId="058B6001" w14:textId="77777777" w:rsidR="005D554B" w:rsidRPr="00BF4AB8" w:rsidRDefault="005D554B" w:rsidP="005D554B">
      <w:pPr>
        <w:tabs>
          <w:tab w:val="left" w:pos="567"/>
        </w:tabs>
        <w:spacing w:line="260" w:lineRule="exact"/>
        <w:ind w:left="1701" w:right="1416" w:hanging="567"/>
        <w:rPr>
          <w:snapToGrid w:val="0"/>
          <w:sz w:val="22"/>
        </w:rPr>
      </w:pPr>
    </w:p>
    <w:p w14:paraId="4EEEB2A5" w14:textId="77777777" w:rsidR="005D554B" w:rsidRPr="00BF4AB8" w:rsidRDefault="005D554B" w:rsidP="005D554B">
      <w:pPr>
        <w:tabs>
          <w:tab w:val="left" w:pos="567"/>
        </w:tabs>
        <w:spacing w:line="260" w:lineRule="exact"/>
        <w:jc w:val="center"/>
        <w:rPr>
          <w:i/>
          <w:snapToGrid w:val="0"/>
          <w:sz w:val="22"/>
        </w:rPr>
      </w:pPr>
      <w:r w:rsidRPr="00BF4AB8">
        <w:rPr>
          <w:b/>
          <w:snapToGrid w:val="0"/>
          <w:sz w:val="22"/>
        </w:rPr>
        <w:t>REGISTRACIJOS SĄLYGOS</w:t>
      </w:r>
    </w:p>
    <w:p w14:paraId="36484B32" w14:textId="77777777" w:rsidR="005D554B" w:rsidRPr="00BF4AB8" w:rsidRDefault="005D554B" w:rsidP="005D554B">
      <w:pPr>
        <w:tabs>
          <w:tab w:val="left" w:pos="567"/>
        </w:tabs>
        <w:spacing w:line="260" w:lineRule="exact"/>
        <w:rPr>
          <w:snapToGrid w:val="0"/>
          <w:sz w:val="22"/>
        </w:rPr>
      </w:pPr>
    </w:p>
    <w:p w14:paraId="0E797C2F" w14:textId="72050F1C" w:rsidR="005D554B" w:rsidRPr="00BF4AB8" w:rsidRDefault="005D554B" w:rsidP="005D554B">
      <w:pPr>
        <w:tabs>
          <w:tab w:val="left" w:pos="1701"/>
        </w:tabs>
        <w:spacing w:line="260" w:lineRule="exact"/>
        <w:ind w:left="1701" w:right="567" w:hanging="567"/>
        <w:rPr>
          <w:b/>
          <w:snapToGrid w:val="0"/>
          <w:sz w:val="22"/>
          <w:szCs w:val="24"/>
        </w:rPr>
      </w:pPr>
      <w:r w:rsidRPr="00BF4AB8">
        <w:rPr>
          <w:b/>
          <w:snapToGrid w:val="0"/>
          <w:sz w:val="22"/>
          <w:szCs w:val="24"/>
        </w:rPr>
        <w:t>A.</w:t>
      </w:r>
      <w:r w:rsidRPr="00BF4AB8">
        <w:rPr>
          <w:b/>
          <w:snapToGrid w:val="0"/>
          <w:sz w:val="22"/>
          <w:szCs w:val="24"/>
        </w:rPr>
        <w:tab/>
        <w:t>GAMINTOJAS (-AI), ATSAKINGAS (-I) UŽ SERIJŲ IŠLEIDIMĄ</w:t>
      </w:r>
    </w:p>
    <w:p w14:paraId="659DC155" w14:textId="77777777" w:rsidR="005D554B" w:rsidRPr="00BF4AB8" w:rsidRDefault="005D554B" w:rsidP="005D554B">
      <w:pPr>
        <w:tabs>
          <w:tab w:val="left" w:pos="1701"/>
        </w:tabs>
        <w:spacing w:line="260" w:lineRule="exact"/>
        <w:ind w:left="567" w:right="567" w:hanging="567"/>
        <w:rPr>
          <w:snapToGrid w:val="0"/>
          <w:sz w:val="22"/>
          <w:szCs w:val="24"/>
        </w:rPr>
      </w:pPr>
    </w:p>
    <w:p w14:paraId="700EC4CD" w14:textId="77777777" w:rsidR="005D554B" w:rsidRPr="00BF4AB8" w:rsidRDefault="005D554B" w:rsidP="005D554B">
      <w:pPr>
        <w:tabs>
          <w:tab w:val="left" w:pos="1701"/>
        </w:tabs>
        <w:spacing w:line="260" w:lineRule="exact"/>
        <w:ind w:left="1701" w:right="567" w:hanging="567"/>
        <w:rPr>
          <w:b/>
          <w:snapToGrid w:val="0"/>
          <w:sz w:val="22"/>
        </w:rPr>
      </w:pPr>
      <w:r w:rsidRPr="00BF4AB8">
        <w:rPr>
          <w:b/>
          <w:snapToGrid w:val="0"/>
          <w:sz w:val="22"/>
        </w:rPr>
        <w:t>B.</w:t>
      </w:r>
      <w:r w:rsidRPr="00BF4AB8">
        <w:rPr>
          <w:b/>
          <w:snapToGrid w:val="0"/>
          <w:sz w:val="22"/>
        </w:rPr>
        <w:tab/>
        <w:t>TIEKIMO IR VARTOJIMO SĄLYGOS AR APRIBOJIMAI</w:t>
      </w:r>
    </w:p>
    <w:p w14:paraId="4875C1CC" w14:textId="77777777" w:rsidR="005D554B" w:rsidRPr="00BF4AB8" w:rsidRDefault="005D554B" w:rsidP="005D554B">
      <w:pPr>
        <w:tabs>
          <w:tab w:val="left" w:pos="567"/>
        </w:tabs>
        <w:spacing w:line="260" w:lineRule="exact"/>
        <w:ind w:right="-1"/>
        <w:rPr>
          <w:snapToGrid w:val="0"/>
          <w:sz w:val="22"/>
        </w:rPr>
      </w:pPr>
    </w:p>
    <w:p w14:paraId="68988666" w14:textId="47218C6C" w:rsidR="005D554B" w:rsidRPr="00BF4AB8" w:rsidRDefault="005D554B" w:rsidP="005D554B">
      <w:pPr>
        <w:tabs>
          <w:tab w:val="left" w:pos="567"/>
        </w:tabs>
        <w:spacing w:line="260" w:lineRule="exact"/>
        <w:ind w:left="567" w:hanging="567"/>
        <w:rPr>
          <w:b/>
          <w:snapToGrid w:val="0"/>
          <w:sz w:val="22"/>
          <w:szCs w:val="24"/>
        </w:rPr>
      </w:pPr>
      <w:r w:rsidRPr="00BF4AB8">
        <w:rPr>
          <w:snapToGrid w:val="0"/>
          <w:sz w:val="22"/>
        </w:rPr>
        <w:br w:type="page"/>
      </w:r>
      <w:r w:rsidRPr="00BF4AB8">
        <w:rPr>
          <w:b/>
          <w:snapToGrid w:val="0"/>
          <w:sz w:val="22"/>
        </w:rPr>
        <w:lastRenderedPageBreak/>
        <w:t>A.</w:t>
      </w:r>
      <w:r w:rsidRPr="00BF4AB8">
        <w:rPr>
          <w:b/>
          <w:snapToGrid w:val="0"/>
          <w:sz w:val="22"/>
          <w:szCs w:val="24"/>
        </w:rPr>
        <w:tab/>
      </w:r>
      <w:r w:rsidRPr="00BF4AB8">
        <w:rPr>
          <w:b/>
          <w:snapToGrid w:val="0"/>
          <w:sz w:val="22"/>
        </w:rPr>
        <w:t>GAMINTOJAS (-AI), ATSAKINGAS (-I) UŽ SERIJŲ IŠLEIDIMĄ</w:t>
      </w:r>
    </w:p>
    <w:p w14:paraId="3E68E859" w14:textId="77777777" w:rsidR="005D554B" w:rsidRPr="00BF4AB8" w:rsidRDefault="005D554B" w:rsidP="005D554B">
      <w:pPr>
        <w:tabs>
          <w:tab w:val="left" w:pos="567"/>
        </w:tabs>
        <w:spacing w:line="260" w:lineRule="exact"/>
        <w:rPr>
          <w:snapToGrid w:val="0"/>
          <w:sz w:val="22"/>
          <w:szCs w:val="24"/>
        </w:rPr>
      </w:pPr>
    </w:p>
    <w:p w14:paraId="437B52B9" w14:textId="77777777" w:rsidR="005D554B" w:rsidRPr="00BF4AB8" w:rsidRDefault="005D554B" w:rsidP="005D554B">
      <w:pPr>
        <w:tabs>
          <w:tab w:val="left" w:pos="567"/>
        </w:tabs>
        <w:jc w:val="both"/>
        <w:rPr>
          <w:snapToGrid w:val="0"/>
          <w:sz w:val="22"/>
          <w:szCs w:val="24"/>
        </w:rPr>
      </w:pPr>
      <w:r w:rsidRPr="00BF4AB8">
        <w:rPr>
          <w:snapToGrid w:val="0"/>
          <w:sz w:val="22"/>
          <w:szCs w:val="24"/>
          <w:u w:val="single"/>
        </w:rPr>
        <w:t>Gamintojo (-ų), atsakingo (-ų) už serijų išleidimą, pavadinimas (-ai) ir adresas (-ai)</w:t>
      </w:r>
    </w:p>
    <w:p w14:paraId="6D216EF4" w14:textId="77777777" w:rsidR="005D554B" w:rsidRPr="00BF4AB8" w:rsidRDefault="005D554B" w:rsidP="005D554B">
      <w:pPr>
        <w:tabs>
          <w:tab w:val="left" w:pos="567"/>
        </w:tabs>
        <w:spacing w:line="260" w:lineRule="exact"/>
        <w:rPr>
          <w:snapToGrid w:val="0"/>
          <w:sz w:val="22"/>
          <w:szCs w:val="24"/>
        </w:rPr>
      </w:pPr>
    </w:p>
    <w:p w14:paraId="48CF6E66" w14:textId="77777777" w:rsidR="00BF4AB8" w:rsidRPr="00BF4AB8" w:rsidRDefault="00BF4AB8" w:rsidP="00BF4AB8">
      <w:pPr>
        <w:tabs>
          <w:tab w:val="left" w:pos="0"/>
        </w:tabs>
        <w:ind w:right="-2"/>
        <w:rPr>
          <w:snapToGrid w:val="0"/>
          <w:sz w:val="22"/>
        </w:rPr>
      </w:pPr>
      <w:proofErr w:type="spellStart"/>
      <w:r w:rsidRPr="00BF4AB8">
        <w:rPr>
          <w:snapToGrid w:val="0"/>
          <w:sz w:val="22"/>
        </w:rPr>
        <w:t>Pharmadox</w:t>
      </w:r>
      <w:proofErr w:type="spellEnd"/>
      <w:r w:rsidRPr="00BF4AB8">
        <w:rPr>
          <w:snapToGrid w:val="0"/>
          <w:sz w:val="22"/>
        </w:rPr>
        <w:t xml:space="preserve"> </w:t>
      </w:r>
      <w:proofErr w:type="spellStart"/>
      <w:r w:rsidRPr="00BF4AB8">
        <w:rPr>
          <w:snapToGrid w:val="0"/>
          <w:sz w:val="22"/>
        </w:rPr>
        <w:t>Healthcare</w:t>
      </w:r>
      <w:proofErr w:type="spellEnd"/>
      <w:r w:rsidRPr="00BF4AB8">
        <w:rPr>
          <w:snapToGrid w:val="0"/>
          <w:sz w:val="22"/>
        </w:rPr>
        <w:t xml:space="preserve"> </w:t>
      </w:r>
      <w:proofErr w:type="spellStart"/>
      <w:r w:rsidRPr="00BF4AB8">
        <w:rPr>
          <w:snapToGrid w:val="0"/>
          <w:sz w:val="22"/>
        </w:rPr>
        <w:t>Limited</w:t>
      </w:r>
      <w:proofErr w:type="spellEnd"/>
    </w:p>
    <w:p w14:paraId="58CB1F69" w14:textId="77777777" w:rsidR="00BF4AB8" w:rsidRPr="00BF4AB8" w:rsidRDefault="00BF4AB8" w:rsidP="00BF4AB8">
      <w:pPr>
        <w:tabs>
          <w:tab w:val="left" w:pos="0"/>
        </w:tabs>
        <w:ind w:right="-2"/>
        <w:rPr>
          <w:snapToGrid w:val="0"/>
          <w:sz w:val="22"/>
        </w:rPr>
      </w:pPr>
      <w:r w:rsidRPr="00BF4AB8">
        <w:rPr>
          <w:snapToGrid w:val="0"/>
          <w:sz w:val="22"/>
        </w:rPr>
        <w:t xml:space="preserve">KW20A </w:t>
      </w:r>
      <w:proofErr w:type="spellStart"/>
      <w:r w:rsidRPr="00BF4AB8">
        <w:rPr>
          <w:snapToGrid w:val="0"/>
          <w:sz w:val="22"/>
        </w:rPr>
        <w:t>Kordin</w:t>
      </w:r>
      <w:proofErr w:type="spellEnd"/>
      <w:r w:rsidRPr="00BF4AB8">
        <w:rPr>
          <w:snapToGrid w:val="0"/>
          <w:sz w:val="22"/>
        </w:rPr>
        <w:t xml:space="preserve"> </w:t>
      </w:r>
      <w:proofErr w:type="spellStart"/>
      <w:r w:rsidRPr="00BF4AB8">
        <w:rPr>
          <w:snapToGrid w:val="0"/>
          <w:sz w:val="22"/>
        </w:rPr>
        <w:t>Industrial</w:t>
      </w:r>
      <w:proofErr w:type="spellEnd"/>
      <w:r w:rsidRPr="00BF4AB8">
        <w:rPr>
          <w:snapToGrid w:val="0"/>
          <w:sz w:val="22"/>
        </w:rPr>
        <w:t xml:space="preserve"> </w:t>
      </w:r>
      <w:proofErr w:type="spellStart"/>
      <w:r w:rsidRPr="00BF4AB8">
        <w:rPr>
          <w:snapToGrid w:val="0"/>
          <w:sz w:val="22"/>
        </w:rPr>
        <w:t>Park</w:t>
      </w:r>
      <w:proofErr w:type="spellEnd"/>
    </w:p>
    <w:p w14:paraId="0380EF9E" w14:textId="77777777" w:rsidR="00BF4AB8" w:rsidRPr="00BF4AB8" w:rsidRDefault="00BF4AB8" w:rsidP="00BF4AB8">
      <w:pPr>
        <w:tabs>
          <w:tab w:val="left" w:pos="0"/>
        </w:tabs>
        <w:ind w:right="-2"/>
        <w:rPr>
          <w:snapToGrid w:val="0"/>
          <w:sz w:val="22"/>
        </w:rPr>
      </w:pPr>
      <w:proofErr w:type="spellStart"/>
      <w:r w:rsidRPr="00BF4AB8">
        <w:rPr>
          <w:snapToGrid w:val="0"/>
          <w:sz w:val="22"/>
        </w:rPr>
        <w:t>Paola</w:t>
      </w:r>
      <w:proofErr w:type="spellEnd"/>
      <w:r w:rsidRPr="00BF4AB8">
        <w:rPr>
          <w:snapToGrid w:val="0"/>
          <w:sz w:val="22"/>
        </w:rPr>
        <w:t xml:space="preserve"> PLA 3000</w:t>
      </w:r>
    </w:p>
    <w:p w14:paraId="0475262B" w14:textId="77777777" w:rsidR="00BF4AB8" w:rsidRPr="00BF4AB8" w:rsidRDefault="00BF4AB8" w:rsidP="00BF4AB8">
      <w:pPr>
        <w:tabs>
          <w:tab w:val="left" w:pos="0"/>
        </w:tabs>
        <w:ind w:right="-2"/>
        <w:rPr>
          <w:snapToGrid w:val="0"/>
          <w:sz w:val="22"/>
        </w:rPr>
      </w:pPr>
      <w:r w:rsidRPr="00BF4AB8">
        <w:rPr>
          <w:snapToGrid w:val="0"/>
          <w:sz w:val="22"/>
        </w:rPr>
        <w:t>Malta</w:t>
      </w:r>
    </w:p>
    <w:p w14:paraId="1D45E1B7" w14:textId="77777777" w:rsidR="00BF4AB8" w:rsidRDefault="00BF4AB8" w:rsidP="00BF4AB8">
      <w:pPr>
        <w:tabs>
          <w:tab w:val="left" w:pos="0"/>
        </w:tabs>
        <w:ind w:right="-2"/>
        <w:rPr>
          <w:snapToGrid w:val="0"/>
          <w:sz w:val="22"/>
        </w:rPr>
      </w:pPr>
    </w:p>
    <w:p w14:paraId="32438D66" w14:textId="2DB4C070" w:rsidR="007E5877" w:rsidRDefault="007E5877" w:rsidP="00BF4AB8">
      <w:pPr>
        <w:tabs>
          <w:tab w:val="left" w:pos="0"/>
        </w:tabs>
        <w:ind w:right="-2"/>
        <w:rPr>
          <w:snapToGrid w:val="0"/>
          <w:sz w:val="22"/>
        </w:rPr>
      </w:pPr>
      <w:r>
        <w:rPr>
          <w:snapToGrid w:val="0"/>
          <w:sz w:val="22"/>
        </w:rPr>
        <w:t>arba</w:t>
      </w:r>
    </w:p>
    <w:p w14:paraId="1A17DAA0" w14:textId="77777777" w:rsidR="007E5877" w:rsidRPr="00BF4AB8" w:rsidRDefault="007E5877" w:rsidP="00BF4AB8">
      <w:pPr>
        <w:tabs>
          <w:tab w:val="left" w:pos="0"/>
        </w:tabs>
        <w:ind w:right="-2"/>
        <w:rPr>
          <w:snapToGrid w:val="0"/>
          <w:sz w:val="22"/>
        </w:rPr>
      </w:pPr>
    </w:p>
    <w:p w14:paraId="1CF0F5C3" w14:textId="77777777" w:rsidR="00BF4AB8" w:rsidRPr="00BF4AB8" w:rsidRDefault="00BF4AB8" w:rsidP="00BF4AB8">
      <w:pPr>
        <w:tabs>
          <w:tab w:val="left" w:pos="0"/>
        </w:tabs>
        <w:ind w:right="-2"/>
        <w:rPr>
          <w:snapToGrid w:val="0"/>
          <w:sz w:val="22"/>
        </w:rPr>
      </w:pPr>
      <w:proofErr w:type="spellStart"/>
      <w:r w:rsidRPr="00BF4AB8">
        <w:rPr>
          <w:snapToGrid w:val="0"/>
          <w:sz w:val="22"/>
        </w:rPr>
        <w:t>Adalvo</w:t>
      </w:r>
      <w:proofErr w:type="spellEnd"/>
      <w:r w:rsidRPr="00BF4AB8">
        <w:rPr>
          <w:snapToGrid w:val="0"/>
          <w:sz w:val="22"/>
        </w:rPr>
        <w:t xml:space="preserve"> </w:t>
      </w:r>
      <w:proofErr w:type="spellStart"/>
      <w:r w:rsidRPr="00BF4AB8">
        <w:rPr>
          <w:snapToGrid w:val="0"/>
          <w:sz w:val="22"/>
        </w:rPr>
        <w:t>Limited</w:t>
      </w:r>
      <w:proofErr w:type="spellEnd"/>
    </w:p>
    <w:p w14:paraId="6310E9DE" w14:textId="77777777" w:rsidR="00BF4AB8" w:rsidRPr="00BF4AB8" w:rsidRDefault="00BF4AB8" w:rsidP="00BF4AB8">
      <w:pPr>
        <w:tabs>
          <w:tab w:val="left" w:pos="0"/>
        </w:tabs>
        <w:ind w:right="-2"/>
        <w:rPr>
          <w:snapToGrid w:val="0"/>
          <w:sz w:val="22"/>
        </w:rPr>
      </w:pPr>
      <w:r w:rsidRPr="00BF4AB8">
        <w:rPr>
          <w:snapToGrid w:val="0"/>
          <w:sz w:val="22"/>
        </w:rPr>
        <w:t xml:space="preserve">Malta </w:t>
      </w:r>
      <w:proofErr w:type="spellStart"/>
      <w:r w:rsidRPr="00BF4AB8">
        <w:rPr>
          <w:snapToGrid w:val="0"/>
          <w:sz w:val="22"/>
        </w:rPr>
        <w:t>Life</w:t>
      </w:r>
      <w:proofErr w:type="spellEnd"/>
      <w:r w:rsidRPr="00BF4AB8">
        <w:rPr>
          <w:snapToGrid w:val="0"/>
          <w:sz w:val="22"/>
        </w:rPr>
        <w:t xml:space="preserve"> </w:t>
      </w:r>
      <w:proofErr w:type="spellStart"/>
      <w:r w:rsidRPr="00BF4AB8">
        <w:rPr>
          <w:snapToGrid w:val="0"/>
          <w:sz w:val="22"/>
        </w:rPr>
        <w:t>Sciences</w:t>
      </w:r>
      <w:proofErr w:type="spellEnd"/>
      <w:r w:rsidRPr="00BF4AB8">
        <w:rPr>
          <w:snapToGrid w:val="0"/>
          <w:sz w:val="22"/>
        </w:rPr>
        <w:t xml:space="preserve"> </w:t>
      </w:r>
      <w:proofErr w:type="spellStart"/>
      <w:r w:rsidRPr="00BF4AB8">
        <w:rPr>
          <w:snapToGrid w:val="0"/>
          <w:sz w:val="22"/>
        </w:rPr>
        <w:t>Park</w:t>
      </w:r>
      <w:proofErr w:type="spellEnd"/>
      <w:r w:rsidRPr="00BF4AB8">
        <w:rPr>
          <w:snapToGrid w:val="0"/>
          <w:sz w:val="22"/>
        </w:rPr>
        <w:t xml:space="preserve"> </w:t>
      </w:r>
      <w:proofErr w:type="spellStart"/>
      <w:r w:rsidRPr="00BF4AB8">
        <w:rPr>
          <w:snapToGrid w:val="0"/>
          <w:sz w:val="22"/>
        </w:rPr>
        <w:t>Building</w:t>
      </w:r>
      <w:proofErr w:type="spellEnd"/>
      <w:r w:rsidRPr="00BF4AB8">
        <w:rPr>
          <w:snapToGrid w:val="0"/>
          <w:sz w:val="22"/>
        </w:rPr>
        <w:t xml:space="preserve"> 1 </w:t>
      </w:r>
      <w:proofErr w:type="spellStart"/>
      <w:r w:rsidRPr="00BF4AB8">
        <w:rPr>
          <w:snapToGrid w:val="0"/>
          <w:sz w:val="22"/>
        </w:rPr>
        <w:t>Level</w:t>
      </w:r>
      <w:proofErr w:type="spellEnd"/>
      <w:r w:rsidRPr="00BF4AB8">
        <w:rPr>
          <w:snapToGrid w:val="0"/>
          <w:sz w:val="22"/>
        </w:rPr>
        <w:t xml:space="preserve"> 4</w:t>
      </w:r>
    </w:p>
    <w:p w14:paraId="1AE8D40D" w14:textId="77777777" w:rsidR="00BF4AB8" w:rsidRPr="00BF4AB8" w:rsidRDefault="00BF4AB8" w:rsidP="00BF4AB8">
      <w:pPr>
        <w:tabs>
          <w:tab w:val="left" w:pos="0"/>
        </w:tabs>
        <w:ind w:right="-2"/>
        <w:rPr>
          <w:snapToGrid w:val="0"/>
          <w:sz w:val="22"/>
        </w:rPr>
      </w:pPr>
      <w:proofErr w:type="spellStart"/>
      <w:r w:rsidRPr="00BF4AB8">
        <w:rPr>
          <w:snapToGrid w:val="0"/>
          <w:sz w:val="22"/>
        </w:rPr>
        <w:t>Sir</w:t>
      </w:r>
      <w:proofErr w:type="spellEnd"/>
      <w:r w:rsidRPr="00BF4AB8">
        <w:rPr>
          <w:snapToGrid w:val="0"/>
          <w:sz w:val="22"/>
        </w:rPr>
        <w:t xml:space="preserve"> </w:t>
      </w:r>
      <w:proofErr w:type="spellStart"/>
      <w:r w:rsidRPr="00BF4AB8">
        <w:rPr>
          <w:snapToGrid w:val="0"/>
          <w:sz w:val="22"/>
        </w:rPr>
        <w:t>Temi</w:t>
      </w:r>
      <w:proofErr w:type="spellEnd"/>
      <w:r w:rsidRPr="00BF4AB8">
        <w:rPr>
          <w:snapToGrid w:val="0"/>
          <w:sz w:val="22"/>
        </w:rPr>
        <w:t xml:space="preserve"> </w:t>
      </w:r>
      <w:proofErr w:type="spellStart"/>
      <w:r w:rsidRPr="00BF4AB8">
        <w:rPr>
          <w:snapToGrid w:val="0"/>
          <w:sz w:val="22"/>
        </w:rPr>
        <w:t>Zammit</w:t>
      </w:r>
      <w:proofErr w:type="spellEnd"/>
      <w:r w:rsidRPr="00BF4AB8">
        <w:rPr>
          <w:snapToGrid w:val="0"/>
          <w:sz w:val="22"/>
        </w:rPr>
        <w:t xml:space="preserve"> </w:t>
      </w:r>
      <w:proofErr w:type="spellStart"/>
      <w:r w:rsidRPr="00BF4AB8">
        <w:rPr>
          <w:snapToGrid w:val="0"/>
          <w:sz w:val="22"/>
        </w:rPr>
        <w:t>Buildings</w:t>
      </w:r>
      <w:proofErr w:type="spellEnd"/>
    </w:p>
    <w:p w14:paraId="711BA780" w14:textId="77777777" w:rsidR="00BF4AB8" w:rsidRPr="00BF4AB8" w:rsidRDefault="00BF4AB8" w:rsidP="00BF4AB8">
      <w:pPr>
        <w:tabs>
          <w:tab w:val="left" w:pos="0"/>
        </w:tabs>
        <w:ind w:right="-2"/>
        <w:rPr>
          <w:snapToGrid w:val="0"/>
          <w:sz w:val="22"/>
        </w:rPr>
      </w:pPr>
      <w:r w:rsidRPr="00BF4AB8">
        <w:rPr>
          <w:snapToGrid w:val="0"/>
          <w:sz w:val="22"/>
        </w:rPr>
        <w:t xml:space="preserve">San </w:t>
      </w:r>
      <w:proofErr w:type="spellStart"/>
      <w:r w:rsidRPr="00BF4AB8">
        <w:rPr>
          <w:snapToGrid w:val="0"/>
          <w:sz w:val="22"/>
        </w:rPr>
        <w:t>Gwann</w:t>
      </w:r>
      <w:proofErr w:type="spellEnd"/>
      <w:r w:rsidRPr="00BF4AB8">
        <w:rPr>
          <w:snapToGrid w:val="0"/>
          <w:sz w:val="22"/>
        </w:rPr>
        <w:t xml:space="preserve"> </w:t>
      </w:r>
      <w:proofErr w:type="spellStart"/>
      <w:r w:rsidRPr="00BF4AB8">
        <w:rPr>
          <w:snapToGrid w:val="0"/>
          <w:sz w:val="22"/>
        </w:rPr>
        <w:t>Industrial</w:t>
      </w:r>
      <w:proofErr w:type="spellEnd"/>
      <w:r w:rsidRPr="00BF4AB8">
        <w:rPr>
          <w:snapToGrid w:val="0"/>
          <w:sz w:val="22"/>
        </w:rPr>
        <w:t xml:space="preserve"> </w:t>
      </w:r>
      <w:proofErr w:type="spellStart"/>
      <w:r w:rsidRPr="00BF4AB8">
        <w:rPr>
          <w:snapToGrid w:val="0"/>
          <w:sz w:val="22"/>
        </w:rPr>
        <w:t>Estate</w:t>
      </w:r>
      <w:proofErr w:type="spellEnd"/>
      <w:r w:rsidRPr="00BF4AB8">
        <w:rPr>
          <w:snapToGrid w:val="0"/>
          <w:sz w:val="22"/>
        </w:rPr>
        <w:t>, SGN 3000</w:t>
      </w:r>
    </w:p>
    <w:p w14:paraId="4CF5BCDB" w14:textId="77777777" w:rsidR="00BF4AB8" w:rsidRPr="00BF4AB8" w:rsidRDefault="00BF4AB8" w:rsidP="00BF4AB8">
      <w:pPr>
        <w:tabs>
          <w:tab w:val="left" w:pos="0"/>
        </w:tabs>
        <w:ind w:right="-2"/>
        <w:rPr>
          <w:snapToGrid w:val="0"/>
          <w:sz w:val="22"/>
        </w:rPr>
      </w:pPr>
      <w:r w:rsidRPr="00BF4AB8">
        <w:rPr>
          <w:snapToGrid w:val="0"/>
          <w:sz w:val="22"/>
        </w:rPr>
        <w:t>Malta</w:t>
      </w:r>
    </w:p>
    <w:p w14:paraId="0A5AF202" w14:textId="77777777" w:rsidR="00BF4AB8" w:rsidRDefault="00BF4AB8" w:rsidP="00BF4AB8">
      <w:pPr>
        <w:tabs>
          <w:tab w:val="left" w:pos="0"/>
        </w:tabs>
        <w:ind w:right="-2"/>
        <w:rPr>
          <w:snapToGrid w:val="0"/>
          <w:sz w:val="22"/>
        </w:rPr>
      </w:pPr>
    </w:p>
    <w:p w14:paraId="28DAC2D7" w14:textId="079A4C26" w:rsidR="007E5877" w:rsidRDefault="007E5877" w:rsidP="00BF4AB8">
      <w:pPr>
        <w:tabs>
          <w:tab w:val="left" w:pos="0"/>
        </w:tabs>
        <w:ind w:right="-2"/>
        <w:rPr>
          <w:snapToGrid w:val="0"/>
          <w:sz w:val="22"/>
        </w:rPr>
      </w:pPr>
      <w:r>
        <w:rPr>
          <w:snapToGrid w:val="0"/>
          <w:sz w:val="22"/>
        </w:rPr>
        <w:t>arba</w:t>
      </w:r>
    </w:p>
    <w:p w14:paraId="7AACFEEF" w14:textId="77777777" w:rsidR="007E5877" w:rsidRPr="00BF4AB8" w:rsidRDefault="007E5877" w:rsidP="00BF4AB8">
      <w:pPr>
        <w:tabs>
          <w:tab w:val="left" w:pos="0"/>
        </w:tabs>
        <w:ind w:right="-2"/>
        <w:rPr>
          <w:snapToGrid w:val="0"/>
          <w:sz w:val="22"/>
        </w:rPr>
      </w:pPr>
    </w:p>
    <w:p w14:paraId="5E02DF09" w14:textId="77777777" w:rsidR="00BF4AB8" w:rsidRPr="00BF4AB8" w:rsidRDefault="00BF4AB8" w:rsidP="00BF4AB8">
      <w:pPr>
        <w:tabs>
          <w:tab w:val="left" w:pos="0"/>
        </w:tabs>
        <w:ind w:right="-2"/>
        <w:rPr>
          <w:snapToGrid w:val="0"/>
          <w:sz w:val="22"/>
        </w:rPr>
      </w:pPr>
      <w:r w:rsidRPr="00BF4AB8">
        <w:rPr>
          <w:snapToGrid w:val="0"/>
          <w:sz w:val="22"/>
        </w:rPr>
        <w:t>QUALIMETRIX S.A.</w:t>
      </w:r>
    </w:p>
    <w:p w14:paraId="2F3351D5" w14:textId="77777777" w:rsidR="00BF4AB8" w:rsidRPr="00BF4AB8" w:rsidRDefault="00BF4AB8" w:rsidP="00BF4AB8">
      <w:pPr>
        <w:tabs>
          <w:tab w:val="left" w:pos="0"/>
        </w:tabs>
        <w:ind w:right="-2"/>
        <w:rPr>
          <w:snapToGrid w:val="0"/>
          <w:sz w:val="22"/>
        </w:rPr>
      </w:pPr>
      <w:r w:rsidRPr="00BF4AB8">
        <w:rPr>
          <w:snapToGrid w:val="0"/>
          <w:sz w:val="22"/>
        </w:rPr>
        <w:t>579 MESOGEION AVENUE AGIA PARASKEVI,</w:t>
      </w:r>
    </w:p>
    <w:p w14:paraId="5ED731FE" w14:textId="77777777" w:rsidR="00BF4AB8" w:rsidRPr="00BF4AB8" w:rsidRDefault="00BF4AB8" w:rsidP="00BF4AB8">
      <w:pPr>
        <w:tabs>
          <w:tab w:val="left" w:pos="0"/>
        </w:tabs>
        <w:ind w:right="-2"/>
        <w:rPr>
          <w:snapToGrid w:val="0"/>
          <w:sz w:val="22"/>
        </w:rPr>
      </w:pPr>
      <w:proofErr w:type="spellStart"/>
      <w:r w:rsidRPr="00BF4AB8">
        <w:rPr>
          <w:snapToGrid w:val="0"/>
          <w:sz w:val="22"/>
        </w:rPr>
        <w:t>Athens</w:t>
      </w:r>
      <w:proofErr w:type="spellEnd"/>
      <w:r w:rsidRPr="00BF4AB8">
        <w:rPr>
          <w:snapToGrid w:val="0"/>
          <w:sz w:val="22"/>
        </w:rPr>
        <w:t>, 15343, Graikija</w:t>
      </w:r>
    </w:p>
    <w:p w14:paraId="4269533D" w14:textId="77777777" w:rsidR="005D554B" w:rsidRPr="00BF4AB8" w:rsidRDefault="005D554B" w:rsidP="005D554B">
      <w:pPr>
        <w:tabs>
          <w:tab w:val="left" w:pos="567"/>
        </w:tabs>
        <w:spacing w:line="260" w:lineRule="exact"/>
        <w:rPr>
          <w:snapToGrid w:val="0"/>
          <w:sz w:val="22"/>
          <w:szCs w:val="24"/>
        </w:rPr>
      </w:pPr>
    </w:p>
    <w:p w14:paraId="5DAB2D2A" w14:textId="71D3152B" w:rsidR="005D554B" w:rsidRPr="00BF4AB8" w:rsidRDefault="005D554B" w:rsidP="005D554B">
      <w:pPr>
        <w:tabs>
          <w:tab w:val="left" w:pos="567"/>
        </w:tabs>
        <w:jc w:val="both"/>
        <w:rPr>
          <w:snapToGrid w:val="0"/>
          <w:sz w:val="22"/>
          <w:szCs w:val="24"/>
        </w:rPr>
      </w:pPr>
      <w:r w:rsidRPr="00BF4AB8">
        <w:rPr>
          <w:snapToGrid w:val="0"/>
          <w:sz w:val="22"/>
          <w:szCs w:val="24"/>
        </w:rPr>
        <w:t>Su pakuote pateikiamame lapelyje nurodomas gamintojo, atsakingo už konkrečios serijos išleidimą, pavadinimas ir adresas.</w:t>
      </w:r>
    </w:p>
    <w:p w14:paraId="0AF09494" w14:textId="77777777" w:rsidR="005D554B" w:rsidRPr="00BF4AB8" w:rsidRDefault="005D554B" w:rsidP="005D554B">
      <w:pPr>
        <w:tabs>
          <w:tab w:val="left" w:pos="567"/>
        </w:tabs>
        <w:spacing w:line="260" w:lineRule="exact"/>
        <w:rPr>
          <w:snapToGrid w:val="0"/>
          <w:sz w:val="22"/>
          <w:szCs w:val="24"/>
        </w:rPr>
      </w:pPr>
    </w:p>
    <w:p w14:paraId="4A80AFF5" w14:textId="77777777" w:rsidR="005D554B" w:rsidRPr="00BF4AB8" w:rsidRDefault="005D554B" w:rsidP="005D554B">
      <w:pPr>
        <w:tabs>
          <w:tab w:val="left" w:pos="567"/>
        </w:tabs>
        <w:spacing w:line="260" w:lineRule="exact"/>
        <w:rPr>
          <w:snapToGrid w:val="0"/>
          <w:sz w:val="22"/>
          <w:szCs w:val="24"/>
        </w:rPr>
      </w:pPr>
    </w:p>
    <w:p w14:paraId="45EB1AB4" w14:textId="77777777" w:rsidR="005D554B" w:rsidRPr="00BF4AB8" w:rsidRDefault="005D554B" w:rsidP="005D554B">
      <w:pPr>
        <w:tabs>
          <w:tab w:val="left" w:pos="567"/>
        </w:tabs>
        <w:ind w:left="567" w:hanging="567"/>
        <w:rPr>
          <w:snapToGrid w:val="0"/>
          <w:sz w:val="22"/>
          <w:szCs w:val="24"/>
        </w:rPr>
      </w:pPr>
      <w:r w:rsidRPr="00BF4AB8">
        <w:rPr>
          <w:b/>
          <w:snapToGrid w:val="0"/>
          <w:sz w:val="22"/>
          <w:szCs w:val="24"/>
        </w:rPr>
        <w:t>B.</w:t>
      </w:r>
      <w:r w:rsidRPr="00BF4AB8">
        <w:rPr>
          <w:b/>
          <w:snapToGrid w:val="0"/>
          <w:sz w:val="22"/>
          <w:szCs w:val="24"/>
        </w:rPr>
        <w:tab/>
        <w:t>TIEKIMO IR VARTOJIMO SĄLYGOS AR APRIBOJIMAI</w:t>
      </w:r>
    </w:p>
    <w:p w14:paraId="676C36EB" w14:textId="77777777" w:rsidR="005D554B" w:rsidRPr="00BF4AB8" w:rsidRDefault="005D554B" w:rsidP="005D554B">
      <w:pPr>
        <w:tabs>
          <w:tab w:val="left" w:pos="567"/>
        </w:tabs>
        <w:spacing w:line="260" w:lineRule="exact"/>
        <w:rPr>
          <w:snapToGrid w:val="0"/>
          <w:sz w:val="22"/>
          <w:szCs w:val="24"/>
        </w:rPr>
      </w:pPr>
    </w:p>
    <w:p w14:paraId="3D83B2CF" w14:textId="36FEBB65" w:rsidR="005D554B" w:rsidRPr="00BF4AB8" w:rsidRDefault="005D554B" w:rsidP="005D554B">
      <w:pPr>
        <w:tabs>
          <w:tab w:val="left" w:pos="567"/>
        </w:tabs>
        <w:spacing w:line="260" w:lineRule="exact"/>
        <w:rPr>
          <w:snapToGrid w:val="0"/>
          <w:sz w:val="22"/>
          <w:szCs w:val="24"/>
        </w:rPr>
      </w:pPr>
      <w:r w:rsidRPr="00BF4AB8">
        <w:rPr>
          <w:snapToGrid w:val="0"/>
          <w:sz w:val="22"/>
        </w:rPr>
        <w:t>Receptinis vaistinis preparatas.</w:t>
      </w:r>
    </w:p>
    <w:p w14:paraId="43A24870" w14:textId="77777777" w:rsidR="005D554B" w:rsidRPr="00BF4AB8" w:rsidRDefault="005D554B" w:rsidP="005D554B">
      <w:pPr>
        <w:tabs>
          <w:tab w:val="left" w:pos="567"/>
        </w:tabs>
        <w:spacing w:line="260" w:lineRule="exact"/>
        <w:rPr>
          <w:snapToGrid w:val="0"/>
          <w:sz w:val="22"/>
        </w:rPr>
      </w:pPr>
    </w:p>
    <w:p w14:paraId="32202E49" w14:textId="2107C282" w:rsidR="005D554B" w:rsidRPr="00BF4AB8" w:rsidRDefault="005D554B" w:rsidP="00D35FC0">
      <w:pPr>
        <w:tabs>
          <w:tab w:val="left" w:pos="4962"/>
        </w:tabs>
        <w:ind w:firstLine="4962"/>
        <w:rPr>
          <w:rFonts w:ascii="Courier New" w:eastAsia="SimSun" w:hAnsi="Courier New"/>
          <w:color w:val="000000"/>
          <w:sz w:val="22"/>
          <w:szCs w:val="22"/>
        </w:rPr>
      </w:pPr>
      <w:r w:rsidRPr="00BF4AB8">
        <w:rPr>
          <w:rFonts w:ascii="Courier New" w:eastAsia="SimSun" w:hAnsi="Courier New"/>
          <w:b/>
          <w:sz w:val="20"/>
          <w:szCs w:val="24"/>
        </w:rPr>
        <w:br w:type="page"/>
      </w:r>
    </w:p>
    <w:p w14:paraId="179C652A" w14:textId="77777777" w:rsidR="005D554B" w:rsidRPr="00BF4AB8" w:rsidRDefault="005D554B" w:rsidP="005D554B">
      <w:pPr>
        <w:tabs>
          <w:tab w:val="left" w:pos="4962"/>
        </w:tabs>
        <w:rPr>
          <w:rFonts w:ascii="Courier New" w:eastAsia="SimSun" w:hAnsi="Courier New"/>
          <w:sz w:val="22"/>
          <w:szCs w:val="22"/>
        </w:rPr>
      </w:pPr>
    </w:p>
    <w:p w14:paraId="65E1AA09" w14:textId="77777777" w:rsidR="005D554B" w:rsidRPr="00BF4AB8" w:rsidRDefault="005D554B" w:rsidP="005D554B">
      <w:pPr>
        <w:tabs>
          <w:tab w:val="left" w:pos="567"/>
        </w:tabs>
        <w:spacing w:line="260" w:lineRule="exact"/>
        <w:rPr>
          <w:snapToGrid w:val="0"/>
          <w:sz w:val="22"/>
        </w:rPr>
      </w:pPr>
    </w:p>
    <w:p w14:paraId="1D451ACD" w14:textId="77777777" w:rsidR="005D554B" w:rsidRPr="00BF4AB8" w:rsidRDefault="005D554B" w:rsidP="005D554B">
      <w:pPr>
        <w:tabs>
          <w:tab w:val="left" w:pos="567"/>
        </w:tabs>
        <w:spacing w:line="260" w:lineRule="exact"/>
        <w:rPr>
          <w:snapToGrid w:val="0"/>
          <w:sz w:val="22"/>
        </w:rPr>
      </w:pPr>
    </w:p>
    <w:p w14:paraId="7F21E3CA" w14:textId="77777777" w:rsidR="005D554B" w:rsidRPr="00BF4AB8" w:rsidRDefault="005D554B" w:rsidP="005D554B">
      <w:pPr>
        <w:tabs>
          <w:tab w:val="left" w:pos="567"/>
        </w:tabs>
        <w:spacing w:line="260" w:lineRule="exact"/>
        <w:rPr>
          <w:snapToGrid w:val="0"/>
          <w:sz w:val="22"/>
        </w:rPr>
      </w:pPr>
    </w:p>
    <w:p w14:paraId="522CBADC" w14:textId="77777777" w:rsidR="005D554B" w:rsidRPr="00BF4AB8" w:rsidRDefault="005D554B" w:rsidP="005D554B">
      <w:pPr>
        <w:tabs>
          <w:tab w:val="left" w:pos="567"/>
        </w:tabs>
        <w:spacing w:line="260" w:lineRule="exact"/>
        <w:rPr>
          <w:snapToGrid w:val="0"/>
          <w:sz w:val="22"/>
        </w:rPr>
      </w:pPr>
    </w:p>
    <w:p w14:paraId="19097B24" w14:textId="77777777" w:rsidR="005D554B" w:rsidRPr="00BF4AB8" w:rsidRDefault="005D554B" w:rsidP="005D554B">
      <w:pPr>
        <w:tabs>
          <w:tab w:val="left" w:pos="567"/>
        </w:tabs>
        <w:spacing w:line="260" w:lineRule="exact"/>
        <w:rPr>
          <w:snapToGrid w:val="0"/>
          <w:sz w:val="22"/>
        </w:rPr>
      </w:pPr>
    </w:p>
    <w:p w14:paraId="1BC5D92A" w14:textId="77777777" w:rsidR="005D554B" w:rsidRPr="00BF4AB8" w:rsidRDefault="005D554B" w:rsidP="005D554B">
      <w:pPr>
        <w:tabs>
          <w:tab w:val="left" w:pos="567"/>
        </w:tabs>
        <w:spacing w:line="260" w:lineRule="exact"/>
        <w:rPr>
          <w:snapToGrid w:val="0"/>
          <w:sz w:val="22"/>
        </w:rPr>
      </w:pPr>
    </w:p>
    <w:p w14:paraId="1028E5DF" w14:textId="77777777" w:rsidR="005D554B" w:rsidRPr="00BF4AB8" w:rsidRDefault="005D554B" w:rsidP="005D554B">
      <w:pPr>
        <w:tabs>
          <w:tab w:val="left" w:pos="567"/>
        </w:tabs>
        <w:spacing w:line="260" w:lineRule="exact"/>
        <w:rPr>
          <w:snapToGrid w:val="0"/>
          <w:sz w:val="22"/>
        </w:rPr>
      </w:pPr>
    </w:p>
    <w:p w14:paraId="0C0745AD" w14:textId="77777777" w:rsidR="005D554B" w:rsidRPr="00BF4AB8" w:rsidRDefault="005D554B" w:rsidP="005D554B">
      <w:pPr>
        <w:tabs>
          <w:tab w:val="left" w:pos="567"/>
        </w:tabs>
        <w:spacing w:line="260" w:lineRule="exact"/>
        <w:rPr>
          <w:snapToGrid w:val="0"/>
          <w:sz w:val="22"/>
        </w:rPr>
      </w:pPr>
    </w:p>
    <w:p w14:paraId="0E08B107" w14:textId="77777777" w:rsidR="005D554B" w:rsidRPr="00BF4AB8" w:rsidRDefault="005D554B" w:rsidP="005D554B">
      <w:pPr>
        <w:tabs>
          <w:tab w:val="left" w:pos="567"/>
        </w:tabs>
        <w:spacing w:line="260" w:lineRule="exact"/>
        <w:rPr>
          <w:snapToGrid w:val="0"/>
          <w:sz w:val="22"/>
        </w:rPr>
      </w:pPr>
    </w:p>
    <w:p w14:paraId="7E7C0F57" w14:textId="77777777" w:rsidR="005D554B" w:rsidRPr="00BF4AB8" w:rsidRDefault="005D554B" w:rsidP="005D554B">
      <w:pPr>
        <w:tabs>
          <w:tab w:val="left" w:pos="567"/>
        </w:tabs>
        <w:spacing w:line="260" w:lineRule="exact"/>
        <w:rPr>
          <w:snapToGrid w:val="0"/>
          <w:sz w:val="22"/>
        </w:rPr>
      </w:pPr>
    </w:p>
    <w:p w14:paraId="7865667A" w14:textId="77777777" w:rsidR="005D554B" w:rsidRPr="00BF4AB8" w:rsidRDefault="005D554B" w:rsidP="005D554B">
      <w:pPr>
        <w:tabs>
          <w:tab w:val="left" w:pos="567"/>
        </w:tabs>
        <w:spacing w:line="260" w:lineRule="exact"/>
        <w:rPr>
          <w:snapToGrid w:val="0"/>
          <w:sz w:val="22"/>
        </w:rPr>
      </w:pPr>
    </w:p>
    <w:p w14:paraId="6519497C" w14:textId="77777777" w:rsidR="005D554B" w:rsidRPr="00BF4AB8" w:rsidRDefault="005D554B" w:rsidP="005D554B">
      <w:pPr>
        <w:tabs>
          <w:tab w:val="left" w:pos="567"/>
        </w:tabs>
        <w:spacing w:line="260" w:lineRule="exact"/>
        <w:rPr>
          <w:snapToGrid w:val="0"/>
          <w:sz w:val="22"/>
        </w:rPr>
      </w:pPr>
    </w:p>
    <w:p w14:paraId="1624FAEF" w14:textId="77777777" w:rsidR="005D554B" w:rsidRPr="00BF4AB8" w:rsidRDefault="005D554B" w:rsidP="005D554B">
      <w:pPr>
        <w:tabs>
          <w:tab w:val="left" w:pos="567"/>
        </w:tabs>
        <w:spacing w:line="260" w:lineRule="exact"/>
        <w:rPr>
          <w:snapToGrid w:val="0"/>
          <w:sz w:val="22"/>
        </w:rPr>
      </w:pPr>
    </w:p>
    <w:p w14:paraId="23BB50FB" w14:textId="77777777" w:rsidR="005D554B" w:rsidRPr="00BF4AB8" w:rsidRDefault="005D554B" w:rsidP="005D554B">
      <w:pPr>
        <w:tabs>
          <w:tab w:val="left" w:pos="567"/>
        </w:tabs>
        <w:spacing w:line="260" w:lineRule="exact"/>
        <w:rPr>
          <w:snapToGrid w:val="0"/>
          <w:sz w:val="22"/>
        </w:rPr>
      </w:pPr>
    </w:p>
    <w:p w14:paraId="641E82D3" w14:textId="77777777" w:rsidR="005D554B" w:rsidRPr="00BF4AB8" w:rsidRDefault="005D554B" w:rsidP="005D554B">
      <w:pPr>
        <w:tabs>
          <w:tab w:val="left" w:pos="567"/>
        </w:tabs>
        <w:spacing w:line="260" w:lineRule="exact"/>
        <w:rPr>
          <w:snapToGrid w:val="0"/>
          <w:sz w:val="22"/>
        </w:rPr>
      </w:pPr>
    </w:p>
    <w:p w14:paraId="018DCA19" w14:textId="77777777" w:rsidR="005D554B" w:rsidRPr="00BF4AB8" w:rsidRDefault="005D554B" w:rsidP="005D554B">
      <w:pPr>
        <w:tabs>
          <w:tab w:val="left" w:pos="567"/>
        </w:tabs>
        <w:spacing w:line="260" w:lineRule="exact"/>
        <w:rPr>
          <w:snapToGrid w:val="0"/>
          <w:sz w:val="22"/>
        </w:rPr>
      </w:pPr>
    </w:p>
    <w:p w14:paraId="378ED4B5" w14:textId="77777777" w:rsidR="005D554B" w:rsidRPr="00BF4AB8" w:rsidRDefault="005D554B" w:rsidP="005D554B">
      <w:pPr>
        <w:tabs>
          <w:tab w:val="left" w:pos="567"/>
        </w:tabs>
        <w:spacing w:line="260" w:lineRule="exact"/>
        <w:outlineLvl w:val="0"/>
        <w:rPr>
          <w:b/>
          <w:snapToGrid w:val="0"/>
          <w:sz w:val="22"/>
        </w:rPr>
      </w:pPr>
    </w:p>
    <w:p w14:paraId="7D83035C" w14:textId="77777777" w:rsidR="005D554B" w:rsidRPr="00BF4AB8" w:rsidRDefault="005D554B" w:rsidP="005D554B">
      <w:pPr>
        <w:tabs>
          <w:tab w:val="left" w:pos="567"/>
        </w:tabs>
        <w:spacing w:line="260" w:lineRule="exact"/>
        <w:outlineLvl w:val="0"/>
        <w:rPr>
          <w:b/>
          <w:snapToGrid w:val="0"/>
          <w:sz w:val="22"/>
        </w:rPr>
      </w:pPr>
    </w:p>
    <w:p w14:paraId="2624E366" w14:textId="77777777" w:rsidR="005D554B" w:rsidRPr="00BF4AB8" w:rsidRDefault="005D554B" w:rsidP="005D554B">
      <w:pPr>
        <w:tabs>
          <w:tab w:val="left" w:pos="567"/>
        </w:tabs>
        <w:spacing w:line="260" w:lineRule="exact"/>
        <w:outlineLvl w:val="0"/>
        <w:rPr>
          <w:b/>
          <w:snapToGrid w:val="0"/>
          <w:sz w:val="22"/>
        </w:rPr>
      </w:pPr>
    </w:p>
    <w:p w14:paraId="70348702" w14:textId="77777777" w:rsidR="005D554B" w:rsidRPr="00BF4AB8" w:rsidRDefault="005D554B" w:rsidP="005D554B">
      <w:pPr>
        <w:tabs>
          <w:tab w:val="left" w:pos="567"/>
        </w:tabs>
        <w:spacing w:line="260" w:lineRule="exact"/>
        <w:outlineLvl w:val="0"/>
        <w:rPr>
          <w:b/>
          <w:snapToGrid w:val="0"/>
          <w:sz w:val="22"/>
        </w:rPr>
      </w:pPr>
    </w:p>
    <w:p w14:paraId="2A2C5874" w14:textId="77777777" w:rsidR="005D554B" w:rsidRPr="00BF4AB8" w:rsidRDefault="005D554B" w:rsidP="005D554B">
      <w:pPr>
        <w:tabs>
          <w:tab w:val="left" w:pos="567"/>
        </w:tabs>
        <w:spacing w:line="260" w:lineRule="exact"/>
        <w:outlineLvl w:val="0"/>
        <w:rPr>
          <w:b/>
          <w:snapToGrid w:val="0"/>
          <w:sz w:val="22"/>
        </w:rPr>
      </w:pPr>
    </w:p>
    <w:p w14:paraId="024A3662" w14:textId="77777777" w:rsidR="005D554B" w:rsidRPr="00BF4AB8" w:rsidRDefault="005D554B" w:rsidP="005D554B">
      <w:pPr>
        <w:tabs>
          <w:tab w:val="left" w:pos="567"/>
        </w:tabs>
        <w:spacing w:line="260" w:lineRule="exact"/>
        <w:outlineLvl w:val="0"/>
        <w:rPr>
          <w:b/>
          <w:snapToGrid w:val="0"/>
          <w:sz w:val="22"/>
        </w:rPr>
      </w:pPr>
    </w:p>
    <w:p w14:paraId="7414F1B7" w14:textId="77777777" w:rsidR="005D554B" w:rsidRPr="00BF4AB8" w:rsidRDefault="005D554B" w:rsidP="005D554B">
      <w:pPr>
        <w:keepNext/>
        <w:tabs>
          <w:tab w:val="left" w:pos="567"/>
        </w:tabs>
        <w:jc w:val="center"/>
        <w:outlineLvl w:val="1"/>
        <w:rPr>
          <w:b/>
          <w:snapToGrid w:val="0"/>
          <w:sz w:val="22"/>
          <w:szCs w:val="24"/>
          <w:lang w:eastAsia="x-none"/>
        </w:rPr>
      </w:pPr>
      <w:r w:rsidRPr="00BF4AB8">
        <w:rPr>
          <w:b/>
          <w:bCs/>
          <w:iCs/>
          <w:snapToGrid w:val="0"/>
          <w:sz w:val="22"/>
          <w:szCs w:val="28"/>
          <w:lang w:eastAsia="x-none"/>
        </w:rPr>
        <w:t>III PRIEDAS</w:t>
      </w:r>
    </w:p>
    <w:p w14:paraId="6289E873" w14:textId="77777777" w:rsidR="005D554B" w:rsidRPr="00BF4AB8" w:rsidRDefault="005D554B" w:rsidP="005D554B">
      <w:pPr>
        <w:tabs>
          <w:tab w:val="left" w:pos="567"/>
        </w:tabs>
        <w:spacing w:line="260" w:lineRule="exact"/>
        <w:rPr>
          <w:snapToGrid w:val="0"/>
          <w:sz w:val="22"/>
          <w:szCs w:val="24"/>
        </w:rPr>
      </w:pPr>
    </w:p>
    <w:p w14:paraId="5FA774FE" w14:textId="77777777" w:rsidR="005D554B" w:rsidRPr="00BF4AB8" w:rsidRDefault="005D554B" w:rsidP="005D554B">
      <w:pPr>
        <w:keepNext/>
        <w:tabs>
          <w:tab w:val="left" w:pos="567"/>
        </w:tabs>
        <w:jc w:val="center"/>
        <w:outlineLvl w:val="1"/>
        <w:rPr>
          <w:b/>
          <w:snapToGrid w:val="0"/>
          <w:sz w:val="22"/>
          <w:szCs w:val="24"/>
          <w:lang w:eastAsia="x-none"/>
        </w:rPr>
      </w:pPr>
      <w:r w:rsidRPr="00BF4AB8">
        <w:rPr>
          <w:b/>
          <w:bCs/>
          <w:iCs/>
          <w:snapToGrid w:val="0"/>
          <w:sz w:val="22"/>
          <w:szCs w:val="28"/>
          <w:lang w:eastAsia="x-none"/>
        </w:rPr>
        <w:t>ŽENKLINIMAS IR PAKUOTĖS LAPELIS</w:t>
      </w:r>
    </w:p>
    <w:p w14:paraId="36401FB9" w14:textId="77777777" w:rsidR="005D554B" w:rsidRPr="00BF4AB8" w:rsidRDefault="005D554B" w:rsidP="005D554B">
      <w:pPr>
        <w:tabs>
          <w:tab w:val="left" w:pos="567"/>
        </w:tabs>
        <w:spacing w:line="260" w:lineRule="exact"/>
        <w:rPr>
          <w:snapToGrid w:val="0"/>
          <w:sz w:val="22"/>
          <w:szCs w:val="24"/>
        </w:rPr>
      </w:pPr>
      <w:r w:rsidRPr="00BF4AB8">
        <w:rPr>
          <w:snapToGrid w:val="0"/>
          <w:sz w:val="22"/>
          <w:szCs w:val="24"/>
        </w:rPr>
        <w:br w:type="page"/>
      </w:r>
    </w:p>
    <w:p w14:paraId="550DC1D1" w14:textId="77777777" w:rsidR="005D554B" w:rsidRPr="00BF4AB8" w:rsidRDefault="005D554B" w:rsidP="005D554B">
      <w:pPr>
        <w:tabs>
          <w:tab w:val="left" w:pos="567"/>
        </w:tabs>
        <w:spacing w:line="260" w:lineRule="exact"/>
        <w:rPr>
          <w:snapToGrid w:val="0"/>
          <w:sz w:val="22"/>
          <w:szCs w:val="24"/>
        </w:rPr>
      </w:pPr>
    </w:p>
    <w:p w14:paraId="0BD13EF4" w14:textId="77777777" w:rsidR="005D554B" w:rsidRPr="00BF4AB8" w:rsidRDefault="005D554B" w:rsidP="005D554B">
      <w:pPr>
        <w:tabs>
          <w:tab w:val="left" w:pos="567"/>
        </w:tabs>
        <w:spacing w:line="260" w:lineRule="exact"/>
        <w:rPr>
          <w:snapToGrid w:val="0"/>
          <w:sz w:val="22"/>
          <w:szCs w:val="24"/>
        </w:rPr>
      </w:pPr>
    </w:p>
    <w:p w14:paraId="7568C9D0" w14:textId="77777777" w:rsidR="005D554B" w:rsidRPr="00BF4AB8" w:rsidRDefault="005D554B" w:rsidP="005D554B">
      <w:pPr>
        <w:tabs>
          <w:tab w:val="left" w:pos="567"/>
        </w:tabs>
        <w:spacing w:line="260" w:lineRule="exact"/>
        <w:rPr>
          <w:snapToGrid w:val="0"/>
          <w:sz w:val="22"/>
          <w:szCs w:val="24"/>
        </w:rPr>
      </w:pPr>
    </w:p>
    <w:p w14:paraId="50133316" w14:textId="77777777" w:rsidR="005D554B" w:rsidRPr="00BF4AB8" w:rsidRDefault="005D554B" w:rsidP="005D554B">
      <w:pPr>
        <w:tabs>
          <w:tab w:val="left" w:pos="567"/>
        </w:tabs>
        <w:spacing w:line="260" w:lineRule="exact"/>
        <w:rPr>
          <w:snapToGrid w:val="0"/>
          <w:sz w:val="22"/>
          <w:szCs w:val="24"/>
        </w:rPr>
      </w:pPr>
    </w:p>
    <w:p w14:paraId="0B9BBD05" w14:textId="77777777" w:rsidR="005D554B" w:rsidRPr="00BF4AB8" w:rsidRDefault="005D554B" w:rsidP="005D554B">
      <w:pPr>
        <w:tabs>
          <w:tab w:val="left" w:pos="567"/>
        </w:tabs>
        <w:spacing w:line="260" w:lineRule="exact"/>
        <w:rPr>
          <w:snapToGrid w:val="0"/>
          <w:sz w:val="22"/>
          <w:szCs w:val="24"/>
        </w:rPr>
      </w:pPr>
    </w:p>
    <w:p w14:paraId="70AF1D1D" w14:textId="77777777" w:rsidR="005D554B" w:rsidRPr="00BF4AB8" w:rsidRDefault="005D554B" w:rsidP="005D554B">
      <w:pPr>
        <w:tabs>
          <w:tab w:val="left" w:pos="567"/>
        </w:tabs>
        <w:spacing w:line="260" w:lineRule="exact"/>
        <w:rPr>
          <w:snapToGrid w:val="0"/>
          <w:sz w:val="22"/>
          <w:szCs w:val="24"/>
        </w:rPr>
      </w:pPr>
    </w:p>
    <w:p w14:paraId="08FCD980" w14:textId="77777777" w:rsidR="005D554B" w:rsidRPr="00BF4AB8" w:rsidRDefault="005D554B" w:rsidP="005D554B">
      <w:pPr>
        <w:tabs>
          <w:tab w:val="left" w:pos="567"/>
        </w:tabs>
        <w:spacing w:line="260" w:lineRule="exact"/>
        <w:rPr>
          <w:snapToGrid w:val="0"/>
          <w:sz w:val="22"/>
          <w:szCs w:val="24"/>
        </w:rPr>
      </w:pPr>
    </w:p>
    <w:p w14:paraId="6730AFA1" w14:textId="77777777" w:rsidR="005D554B" w:rsidRPr="00BF4AB8" w:rsidRDefault="005D554B" w:rsidP="005D554B">
      <w:pPr>
        <w:tabs>
          <w:tab w:val="left" w:pos="567"/>
        </w:tabs>
        <w:spacing w:line="260" w:lineRule="exact"/>
        <w:rPr>
          <w:snapToGrid w:val="0"/>
          <w:sz w:val="22"/>
          <w:szCs w:val="24"/>
        </w:rPr>
      </w:pPr>
    </w:p>
    <w:p w14:paraId="51CEB32A" w14:textId="77777777" w:rsidR="005D554B" w:rsidRPr="00BF4AB8" w:rsidRDefault="005D554B" w:rsidP="005D554B">
      <w:pPr>
        <w:tabs>
          <w:tab w:val="left" w:pos="567"/>
        </w:tabs>
        <w:spacing w:line="260" w:lineRule="exact"/>
        <w:rPr>
          <w:snapToGrid w:val="0"/>
          <w:sz w:val="22"/>
          <w:szCs w:val="24"/>
        </w:rPr>
      </w:pPr>
    </w:p>
    <w:p w14:paraId="01BC3FE2" w14:textId="77777777" w:rsidR="005D554B" w:rsidRPr="00BF4AB8" w:rsidRDefault="005D554B" w:rsidP="005D554B">
      <w:pPr>
        <w:tabs>
          <w:tab w:val="left" w:pos="567"/>
        </w:tabs>
        <w:spacing w:line="260" w:lineRule="exact"/>
        <w:rPr>
          <w:snapToGrid w:val="0"/>
          <w:sz w:val="22"/>
          <w:szCs w:val="24"/>
        </w:rPr>
      </w:pPr>
    </w:p>
    <w:p w14:paraId="2DEB6A9D" w14:textId="77777777" w:rsidR="005D554B" w:rsidRPr="00BF4AB8" w:rsidRDefault="005D554B" w:rsidP="005D554B">
      <w:pPr>
        <w:tabs>
          <w:tab w:val="left" w:pos="567"/>
        </w:tabs>
        <w:spacing w:line="260" w:lineRule="exact"/>
        <w:rPr>
          <w:snapToGrid w:val="0"/>
          <w:sz w:val="22"/>
          <w:szCs w:val="24"/>
        </w:rPr>
      </w:pPr>
    </w:p>
    <w:p w14:paraId="3B65D4A4" w14:textId="77777777" w:rsidR="005D554B" w:rsidRPr="00BF4AB8" w:rsidRDefault="005D554B" w:rsidP="005D554B">
      <w:pPr>
        <w:tabs>
          <w:tab w:val="left" w:pos="567"/>
        </w:tabs>
        <w:spacing w:line="260" w:lineRule="exact"/>
        <w:rPr>
          <w:snapToGrid w:val="0"/>
          <w:sz w:val="22"/>
          <w:szCs w:val="24"/>
        </w:rPr>
      </w:pPr>
    </w:p>
    <w:p w14:paraId="4C9B6C9F" w14:textId="77777777" w:rsidR="005D554B" w:rsidRPr="00BF4AB8" w:rsidRDefault="005D554B" w:rsidP="005D554B">
      <w:pPr>
        <w:tabs>
          <w:tab w:val="left" w:pos="567"/>
        </w:tabs>
        <w:spacing w:line="260" w:lineRule="exact"/>
        <w:rPr>
          <w:snapToGrid w:val="0"/>
          <w:sz w:val="22"/>
          <w:szCs w:val="24"/>
        </w:rPr>
      </w:pPr>
    </w:p>
    <w:p w14:paraId="01A2EFD3" w14:textId="77777777" w:rsidR="005D554B" w:rsidRPr="00BF4AB8" w:rsidRDefault="005D554B" w:rsidP="005D554B">
      <w:pPr>
        <w:tabs>
          <w:tab w:val="left" w:pos="567"/>
        </w:tabs>
        <w:spacing w:line="260" w:lineRule="exact"/>
        <w:rPr>
          <w:snapToGrid w:val="0"/>
          <w:sz w:val="22"/>
          <w:szCs w:val="24"/>
        </w:rPr>
      </w:pPr>
    </w:p>
    <w:p w14:paraId="62D71FE2" w14:textId="77777777" w:rsidR="005D554B" w:rsidRPr="00BF4AB8" w:rsidRDefault="005D554B" w:rsidP="005D554B">
      <w:pPr>
        <w:tabs>
          <w:tab w:val="left" w:pos="567"/>
        </w:tabs>
        <w:spacing w:line="260" w:lineRule="exact"/>
        <w:rPr>
          <w:snapToGrid w:val="0"/>
          <w:sz w:val="22"/>
          <w:szCs w:val="24"/>
        </w:rPr>
      </w:pPr>
    </w:p>
    <w:p w14:paraId="71EEFDB6" w14:textId="77777777" w:rsidR="005D554B" w:rsidRPr="00BF4AB8" w:rsidRDefault="005D554B" w:rsidP="005D554B">
      <w:pPr>
        <w:tabs>
          <w:tab w:val="left" w:pos="567"/>
        </w:tabs>
        <w:spacing w:line="260" w:lineRule="exact"/>
        <w:rPr>
          <w:snapToGrid w:val="0"/>
          <w:sz w:val="22"/>
          <w:szCs w:val="24"/>
        </w:rPr>
      </w:pPr>
    </w:p>
    <w:p w14:paraId="788827E6" w14:textId="77777777" w:rsidR="005D554B" w:rsidRPr="00BF4AB8" w:rsidRDefault="005D554B" w:rsidP="005D554B">
      <w:pPr>
        <w:tabs>
          <w:tab w:val="left" w:pos="567"/>
        </w:tabs>
        <w:spacing w:line="260" w:lineRule="exact"/>
        <w:rPr>
          <w:snapToGrid w:val="0"/>
          <w:sz w:val="22"/>
          <w:szCs w:val="24"/>
        </w:rPr>
      </w:pPr>
    </w:p>
    <w:p w14:paraId="1A6F9B44" w14:textId="77777777" w:rsidR="005D554B" w:rsidRPr="00BF4AB8" w:rsidRDefault="005D554B" w:rsidP="005D554B">
      <w:pPr>
        <w:tabs>
          <w:tab w:val="left" w:pos="567"/>
        </w:tabs>
        <w:spacing w:line="260" w:lineRule="exact"/>
        <w:rPr>
          <w:snapToGrid w:val="0"/>
          <w:sz w:val="22"/>
          <w:szCs w:val="24"/>
        </w:rPr>
      </w:pPr>
    </w:p>
    <w:p w14:paraId="46A44B28" w14:textId="77777777" w:rsidR="005D554B" w:rsidRPr="00BF4AB8" w:rsidRDefault="005D554B" w:rsidP="005D554B">
      <w:pPr>
        <w:tabs>
          <w:tab w:val="left" w:pos="567"/>
        </w:tabs>
        <w:spacing w:line="260" w:lineRule="exact"/>
        <w:rPr>
          <w:snapToGrid w:val="0"/>
          <w:sz w:val="22"/>
          <w:szCs w:val="24"/>
        </w:rPr>
      </w:pPr>
    </w:p>
    <w:p w14:paraId="27E41400" w14:textId="77777777" w:rsidR="005D554B" w:rsidRPr="00BF4AB8" w:rsidRDefault="005D554B" w:rsidP="005D554B">
      <w:pPr>
        <w:tabs>
          <w:tab w:val="left" w:pos="567"/>
        </w:tabs>
        <w:spacing w:line="260" w:lineRule="exact"/>
        <w:rPr>
          <w:snapToGrid w:val="0"/>
          <w:sz w:val="22"/>
          <w:szCs w:val="24"/>
        </w:rPr>
      </w:pPr>
    </w:p>
    <w:p w14:paraId="73E00F00" w14:textId="77777777" w:rsidR="005D554B" w:rsidRPr="00BF4AB8" w:rsidRDefault="005D554B" w:rsidP="005D554B">
      <w:pPr>
        <w:tabs>
          <w:tab w:val="left" w:pos="567"/>
        </w:tabs>
        <w:spacing w:line="260" w:lineRule="exact"/>
        <w:rPr>
          <w:snapToGrid w:val="0"/>
          <w:sz w:val="22"/>
          <w:szCs w:val="24"/>
        </w:rPr>
      </w:pPr>
    </w:p>
    <w:p w14:paraId="75AC6C62" w14:textId="77777777" w:rsidR="005D554B" w:rsidRPr="00BF4AB8" w:rsidRDefault="005D554B" w:rsidP="005D554B">
      <w:pPr>
        <w:tabs>
          <w:tab w:val="left" w:pos="567"/>
        </w:tabs>
        <w:spacing w:line="260" w:lineRule="exact"/>
        <w:rPr>
          <w:snapToGrid w:val="0"/>
          <w:sz w:val="22"/>
          <w:szCs w:val="24"/>
        </w:rPr>
      </w:pPr>
    </w:p>
    <w:p w14:paraId="72C6CF54" w14:textId="77777777" w:rsidR="005D554B" w:rsidRPr="00BF4AB8" w:rsidRDefault="005D554B" w:rsidP="005D554B">
      <w:pPr>
        <w:keepNext/>
        <w:tabs>
          <w:tab w:val="left" w:pos="567"/>
        </w:tabs>
        <w:jc w:val="center"/>
        <w:outlineLvl w:val="1"/>
        <w:rPr>
          <w:b/>
          <w:snapToGrid w:val="0"/>
          <w:sz w:val="22"/>
          <w:szCs w:val="24"/>
          <w:lang w:eastAsia="x-none"/>
        </w:rPr>
      </w:pPr>
      <w:r w:rsidRPr="00BF4AB8">
        <w:rPr>
          <w:b/>
          <w:bCs/>
          <w:iCs/>
          <w:snapToGrid w:val="0"/>
          <w:sz w:val="22"/>
          <w:szCs w:val="28"/>
          <w:lang w:eastAsia="x-none"/>
        </w:rPr>
        <w:t>A. ŽENKLINIMAS</w:t>
      </w:r>
    </w:p>
    <w:p w14:paraId="500CC0BA" w14:textId="77777777" w:rsidR="005D554B" w:rsidRPr="00BF4AB8" w:rsidRDefault="005D554B" w:rsidP="005D554B">
      <w:pPr>
        <w:tabs>
          <w:tab w:val="left" w:pos="567"/>
        </w:tabs>
        <w:spacing w:line="260" w:lineRule="exact"/>
        <w:rPr>
          <w:snapToGrid w:val="0"/>
          <w:sz w:val="22"/>
          <w:szCs w:val="24"/>
        </w:rPr>
      </w:pPr>
      <w:r w:rsidRPr="00BF4AB8">
        <w:rPr>
          <w:snapToGrid w:val="0"/>
          <w:sz w:val="22"/>
          <w:szCs w:val="24"/>
        </w:rPr>
        <w:br w:type="page"/>
      </w:r>
    </w:p>
    <w:p w14:paraId="144A791D" w14:textId="6BFC410D" w:rsidR="005D554B" w:rsidRPr="00BF4AB8" w:rsidRDefault="005D554B" w:rsidP="005D554B">
      <w:pPr>
        <w:pBdr>
          <w:top w:val="single" w:sz="4" w:space="1" w:color="auto"/>
          <w:left w:val="single" w:sz="4" w:space="4" w:color="auto"/>
          <w:bottom w:val="single" w:sz="4" w:space="1" w:color="auto"/>
          <w:right w:val="single" w:sz="4" w:space="4" w:color="auto"/>
        </w:pBdr>
        <w:tabs>
          <w:tab w:val="left" w:pos="567"/>
        </w:tabs>
        <w:rPr>
          <w:b/>
          <w:snapToGrid w:val="0"/>
          <w:sz w:val="22"/>
          <w:szCs w:val="24"/>
        </w:rPr>
      </w:pPr>
      <w:r w:rsidRPr="00BF4AB8">
        <w:rPr>
          <w:b/>
          <w:snapToGrid w:val="0"/>
          <w:sz w:val="22"/>
          <w:szCs w:val="24"/>
        </w:rPr>
        <w:lastRenderedPageBreak/>
        <w:t>INFORMACIJA ANT IŠORINĖS PAKUOTĖS</w:t>
      </w:r>
    </w:p>
    <w:p w14:paraId="08150356" w14:textId="77777777" w:rsidR="005D554B" w:rsidRPr="00BF4AB8" w:rsidRDefault="005D554B" w:rsidP="005D554B">
      <w:pPr>
        <w:pBdr>
          <w:top w:val="single" w:sz="4" w:space="1" w:color="auto"/>
          <w:left w:val="single" w:sz="4" w:space="4" w:color="auto"/>
          <w:bottom w:val="single" w:sz="4" w:space="1" w:color="auto"/>
          <w:right w:val="single" w:sz="4" w:space="4" w:color="auto"/>
        </w:pBdr>
        <w:tabs>
          <w:tab w:val="left" w:pos="567"/>
        </w:tabs>
        <w:ind w:left="567" w:hanging="567"/>
        <w:rPr>
          <w:b/>
          <w:snapToGrid w:val="0"/>
          <w:sz w:val="22"/>
          <w:szCs w:val="24"/>
        </w:rPr>
      </w:pPr>
    </w:p>
    <w:p w14:paraId="292DBDC1" w14:textId="1B2FAC9F" w:rsidR="005D554B" w:rsidRPr="00BF4AB8" w:rsidRDefault="00D35FC0" w:rsidP="005D554B">
      <w:pPr>
        <w:pBdr>
          <w:top w:val="single" w:sz="4" w:space="1" w:color="auto"/>
          <w:left w:val="single" w:sz="4" w:space="4" w:color="auto"/>
          <w:bottom w:val="single" w:sz="4" w:space="1" w:color="auto"/>
          <w:right w:val="single" w:sz="4" w:space="4" w:color="auto"/>
        </w:pBdr>
        <w:tabs>
          <w:tab w:val="left" w:pos="567"/>
        </w:tabs>
        <w:rPr>
          <w:b/>
          <w:snapToGrid w:val="0"/>
          <w:sz w:val="22"/>
          <w:szCs w:val="24"/>
        </w:rPr>
      </w:pPr>
      <w:r w:rsidRPr="00BF4AB8">
        <w:rPr>
          <w:b/>
          <w:snapToGrid w:val="0"/>
          <w:sz w:val="22"/>
          <w:szCs w:val="24"/>
        </w:rPr>
        <w:t>IŠORINĖ DĖŽUTĖ</w:t>
      </w:r>
    </w:p>
    <w:p w14:paraId="5AD561D7" w14:textId="77777777" w:rsidR="005D554B" w:rsidRPr="00BF4AB8" w:rsidRDefault="005D554B" w:rsidP="005D554B">
      <w:pPr>
        <w:tabs>
          <w:tab w:val="left" w:pos="567"/>
        </w:tabs>
        <w:spacing w:line="260" w:lineRule="exact"/>
        <w:rPr>
          <w:snapToGrid w:val="0"/>
          <w:sz w:val="22"/>
          <w:szCs w:val="24"/>
        </w:rPr>
      </w:pPr>
    </w:p>
    <w:p w14:paraId="47174EF2" w14:textId="77777777" w:rsidR="005D554B" w:rsidRPr="00BF4AB8" w:rsidRDefault="005D554B" w:rsidP="005D554B">
      <w:pPr>
        <w:tabs>
          <w:tab w:val="left" w:pos="567"/>
        </w:tabs>
        <w:spacing w:line="260" w:lineRule="exact"/>
        <w:rPr>
          <w:snapToGrid w:val="0"/>
          <w:sz w:val="22"/>
          <w:szCs w:val="24"/>
        </w:rPr>
      </w:pPr>
    </w:p>
    <w:p w14:paraId="643C6B96" w14:textId="77777777" w:rsidR="005D554B" w:rsidRPr="00BF4AB8" w:rsidRDefault="005D554B" w:rsidP="005D554B">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BF4AB8">
        <w:rPr>
          <w:b/>
          <w:snapToGrid w:val="0"/>
          <w:sz w:val="22"/>
          <w:szCs w:val="24"/>
        </w:rPr>
        <w:t>1.</w:t>
      </w:r>
      <w:r w:rsidRPr="00BF4AB8">
        <w:rPr>
          <w:b/>
          <w:snapToGrid w:val="0"/>
          <w:sz w:val="22"/>
          <w:szCs w:val="24"/>
        </w:rPr>
        <w:tab/>
      </w:r>
      <w:r w:rsidRPr="00BF4AB8">
        <w:rPr>
          <w:b/>
          <w:caps/>
          <w:snapToGrid w:val="0"/>
          <w:sz w:val="22"/>
          <w:szCs w:val="24"/>
        </w:rPr>
        <w:t>VAISTINIO</w:t>
      </w:r>
      <w:r w:rsidRPr="00BF4AB8">
        <w:rPr>
          <w:b/>
          <w:snapToGrid w:val="0"/>
          <w:sz w:val="22"/>
          <w:szCs w:val="24"/>
        </w:rPr>
        <w:t xml:space="preserve"> PREPARATO PAVADINIMAS</w:t>
      </w:r>
    </w:p>
    <w:p w14:paraId="7CF832E1" w14:textId="77777777" w:rsidR="005D554B" w:rsidRPr="00BF4AB8" w:rsidRDefault="005D554B" w:rsidP="005D554B">
      <w:pPr>
        <w:tabs>
          <w:tab w:val="left" w:pos="567"/>
        </w:tabs>
        <w:spacing w:line="260" w:lineRule="exact"/>
        <w:rPr>
          <w:snapToGrid w:val="0"/>
          <w:sz w:val="22"/>
          <w:szCs w:val="24"/>
        </w:rPr>
      </w:pPr>
    </w:p>
    <w:p w14:paraId="67F6A1DB" w14:textId="77777777" w:rsidR="00D35FC0" w:rsidRPr="00BF4AB8" w:rsidRDefault="00D35FC0" w:rsidP="00D35FC0">
      <w:pPr>
        <w:rPr>
          <w:sz w:val="22"/>
          <w:szCs w:val="22"/>
        </w:rPr>
      </w:pPr>
      <w:proofErr w:type="spellStart"/>
      <w:r w:rsidRPr="00BF4AB8">
        <w:rPr>
          <w:sz w:val="22"/>
          <w:szCs w:val="22"/>
        </w:rPr>
        <w:t>Nytyka</w:t>
      </w:r>
      <w:proofErr w:type="spellEnd"/>
      <w:r w:rsidRPr="00BF4AB8">
        <w:rPr>
          <w:sz w:val="22"/>
          <w:szCs w:val="22"/>
        </w:rPr>
        <w:t xml:space="preserve"> 100 mg minkštosios kapsulės</w:t>
      </w:r>
    </w:p>
    <w:p w14:paraId="453045E8" w14:textId="2A2D609D" w:rsidR="00D35FC0" w:rsidRPr="00BF1262" w:rsidRDefault="00D35FC0" w:rsidP="005D554B">
      <w:pPr>
        <w:tabs>
          <w:tab w:val="left" w:pos="567"/>
        </w:tabs>
        <w:spacing w:line="260" w:lineRule="exact"/>
        <w:rPr>
          <w:i/>
          <w:iCs/>
          <w:snapToGrid w:val="0"/>
          <w:sz w:val="22"/>
          <w:szCs w:val="24"/>
        </w:rPr>
      </w:pPr>
      <w:proofErr w:type="spellStart"/>
      <w:r w:rsidRPr="00BF1262">
        <w:rPr>
          <w:i/>
          <w:iCs/>
          <w:snapToGrid w:val="0"/>
          <w:sz w:val="22"/>
          <w:szCs w:val="24"/>
        </w:rPr>
        <w:t>nintedanib</w:t>
      </w:r>
      <w:r w:rsidR="00A56261" w:rsidRPr="00BF1262">
        <w:rPr>
          <w:i/>
          <w:iCs/>
          <w:snapToGrid w:val="0"/>
          <w:sz w:val="22"/>
          <w:szCs w:val="24"/>
        </w:rPr>
        <w:t>um</w:t>
      </w:r>
      <w:proofErr w:type="spellEnd"/>
    </w:p>
    <w:p w14:paraId="39B6F95A" w14:textId="77777777" w:rsidR="00D35FC0" w:rsidRPr="00BF4AB8" w:rsidRDefault="00D35FC0" w:rsidP="005D554B">
      <w:pPr>
        <w:tabs>
          <w:tab w:val="left" w:pos="567"/>
        </w:tabs>
        <w:spacing w:line="260" w:lineRule="exact"/>
        <w:rPr>
          <w:snapToGrid w:val="0"/>
          <w:sz w:val="22"/>
          <w:szCs w:val="24"/>
        </w:rPr>
      </w:pPr>
    </w:p>
    <w:p w14:paraId="4C7EFACD" w14:textId="77777777" w:rsidR="00D35FC0" w:rsidRPr="00BF4AB8" w:rsidRDefault="00D35FC0" w:rsidP="005D554B">
      <w:pPr>
        <w:tabs>
          <w:tab w:val="left" w:pos="567"/>
        </w:tabs>
        <w:spacing w:line="260" w:lineRule="exact"/>
        <w:rPr>
          <w:snapToGrid w:val="0"/>
          <w:sz w:val="22"/>
          <w:szCs w:val="24"/>
        </w:rPr>
      </w:pPr>
    </w:p>
    <w:p w14:paraId="1B365543" w14:textId="77777777" w:rsidR="005D554B" w:rsidRPr="00BF4AB8" w:rsidRDefault="005D554B" w:rsidP="005D554B">
      <w:pPr>
        <w:pBdr>
          <w:top w:val="single" w:sz="4" w:space="1" w:color="auto"/>
          <w:left w:val="single" w:sz="4" w:space="4" w:color="auto"/>
          <w:bottom w:val="single" w:sz="4" w:space="1" w:color="auto"/>
          <w:right w:val="single" w:sz="4" w:space="4" w:color="auto"/>
        </w:pBdr>
        <w:tabs>
          <w:tab w:val="left" w:pos="567"/>
        </w:tabs>
        <w:ind w:left="567" w:hanging="567"/>
        <w:outlineLvl w:val="0"/>
        <w:rPr>
          <w:b/>
          <w:snapToGrid w:val="0"/>
          <w:sz w:val="22"/>
          <w:szCs w:val="24"/>
        </w:rPr>
      </w:pPr>
      <w:r w:rsidRPr="00BF4AB8">
        <w:rPr>
          <w:b/>
          <w:snapToGrid w:val="0"/>
          <w:sz w:val="22"/>
          <w:szCs w:val="24"/>
        </w:rPr>
        <w:t>2.</w:t>
      </w:r>
      <w:r w:rsidRPr="00BF4AB8">
        <w:rPr>
          <w:b/>
          <w:snapToGrid w:val="0"/>
          <w:sz w:val="22"/>
          <w:szCs w:val="24"/>
        </w:rPr>
        <w:tab/>
        <w:t>VEIKLIOJI (-IOS) MEDŽIAGA (-OS) IR JOS (-Ų) KIEKIS (-IAI)</w:t>
      </w:r>
    </w:p>
    <w:p w14:paraId="0E719A9F" w14:textId="77777777" w:rsidR="005D554B" w:rsidRPr="00BF4AB8" w:rsidRDefault="005D554B" w:rsidP="005D554B">
      <w:pPr>
        <w:tabs>
          <w:tab w:val="left" w:pos="567"/>
        </w:tabs>
        <w:spacing w:line="260" w:lineRule="exact"/>
        <w:rPr>
          <w:snapToGrid w:val="0"/>
          <w:sz w:val="22"/>
          <w:szCs w:val="24"/>
        </w:rPr>
      </w:pPr>
    </w:p>
    <w:p w14:paraId="2C764228" w14:textId="77777777" w:rsidR="00D35FC0" w:rsidRPr="00BF4AB8" w:rsidRDefault="00D35FC0" w:rsidP="00D35FC0">
      <w:pPr>
        <w:tabs>
          <w:tab w:val="left" w:pos="567"/>
        </w:tabs>
        <w:rPr>
          <w:sz w:val="22"/>
        </w:rPr>
      </w:pPr>
      <w:r w:rsidRPr="00BF4AB8">
        <w:rPr>
          <w:sz w:val="22"/>
        </w:rPr>
        <w:t xml:space="preserve">Kiekvienoje kapsulėje yra 100 mg </w:t>
      </w:r>
      <w:proofErr w:type="spellStart"/>
      <w:r w:rsidRPr="00BF4AB8">
        <w:rPr>
          <w:sz w:val="22"/>
        </w:rPr>
        <w:t>nintedanibo</w:t>
      </w:r>
      <w:proofErr w:type="spellEnd"/>
      <w:r w:rsidRPr="00BF4AB8">
        <w:rPr>
          <w:sz w:val="22"/>
        </w:rPr>
        <w:t xml:space="preserve"> (</w:t>
      </w:r>
      <w:proofErr w:type="spellStart"/>
      <w:r w:rsidRPr="00BF4AB8">
        <w:rPr>
          <w:sz w:val="22"/>
        </w:rPr>
        <w:t>esilato</w:t>
      </w:r>
      <w:proofErr w:type="spellEnd"/>
      <w:r w:rsidRPr="00BF4AB8">
        <w:rPr>
          <w:sz w:val="22"/>
        </w:rPr>
        <w:t xml:space="preserve"> forma)</w:t>
      </w:r>
    </w:p>
    <w:p w14:paraId="30B4796A" w14:textId="77777777" w:rsidR="00D35FC0" w:rsidRPr="00BF4AB8" w:rsidRDefault="00D35FC0" w:rsidP="00D35FC0">
      <w:pPr>
        <w:tabs>
          <w:tab w:val="left" w:pos="567"/>
        </w:tabs>
        <w:rPr>
          <w:sz w:val="22"/>
        </w:rPr>
      </w:pPr>
    </w:p>
    <w:p w14:paraId="374590D7" w14:textId="77777777" w:rsidR="005D554B" w:rsidRPr="00BF4AB8" w:rsidRDefault="005D554B" w:rsidP="005D554B">
      <w:pPr>
        <w:tabs>
          <w:tab w:val="left" w:pos="567"/>
        </w:tabs>
        <w:spacing w:line="260" w:lineRule="exact"/>
        <w:rPr>
          <w:snapToGrid w:val="0"/>
          <w:sz w:val="22"/>
          <w:szCs w:val="24"/>
        </w:rPr>
      </w:pPr>
    </w:p>
    <w:p w14:paraId="02D26219" w14:textId="77777777" w:rsidR="005D554B" w:rsidRPr="00BF4AB8" w:rsidRDefault="005D554B" w:rsidP="005D554B">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BF4AB8">
        <w:rPr>
          <w:b/>
          <w:snapToGrid w:val="0"/>
          <w:sz w:val="22"/>
          <w:szCs w:val="24"/>
        </w:rPr>
        <w:t>3.</w:t>
      </w:r>
      <w:r w:rsidRPr="00BF4AB8">
        <w:rPr>
          <w:b/>
          <w:snapToGrid w:val="0"/>
          <w:sz w:val="22"/>
          <w:szCs w:val="24"/>
        </w:rPr>
        <w:tab/>
        <w:t>PAGALBINIŲ MEDŽIAGŲ SĄRAŠAS</w:t>
      </w:r>
    </w:p>
    <w:p w14:paraId="5C0A1253" w14:textId="77777777" w:rsidR="005D554B" w:rsidRPr="00BF4AB8" w:rsidRDefault="005D554B" w:rsidP="005D554B">
      <w:pPr>
        <w:tabs>
          <w:tab w:val="left" w:pos="567"/>
        </w:tabs>
        <w:spacing w:line="260" w:lineRule="exact"/>
        <w:rPr>
          <w:snapToGrid w:val="0"/>
          <w:sz w:val="22"/>
          <w:szCs w:val="24"/>
        </w:rPr>
      </w:pPr>
    </w:p>
    <w:p w14:paraId="2F787EBD" w14:textId="77777777" w:rsidR="00D35FC0" w:rsidRPr="00BF4AB8" w:rsidRDefault="00D35FC0" w:rsidP="005D554B">
      <w:pPr>
        <w:tabs>
          <w:tab w:val="left" w:pos="567"/>
        </w:tabs>
        <w:spacing w:line="260" w:lineRule="exact"/>
        <w:rPr>
          <w:snapToGrid w:val="0"/>
          <w:sz w:val="22"/>
          <w:szCs w:val="24"/>
        </w:rPr>
      </w:pPr>
    </w:p>
    <w:p w14:paraId="4EF3B010" w14:textId="77777777" w:rsidR="00D35FC0" w:rsidRPr="00BF4AB8" w:rsidRDefault="00D35FC0" w:rsidP="005D554B">
      <w:pPr>
        <w:tabs>
          <w:tab w:val="left" w:pos="567"/>
        </w:tabs>
        <w:spacing w:line="260" w:lineRule="exact"/>
        <w:rPr>
          <w:snapToGrid w:val="0"/>
          <w:sz w:val="22"/>
          <w:szCs w:val="24"/>
        </w:rPr>
      </w:pPr>
    </w:p>
    <w:p w14:paraId="59DCECBC" w14:textId="77777777" w:rsidR="005D554B" w:rsidRPr="00BF4AB8" w:rsidRDefault="005D554B" w:rsidP="005D554B">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BF4AB8">
        <w:rPr>
          <w:b/>
          <w:snapToGrid w:val="0"/>
          <w:sz w:val="22"/>
          <w:szCs w:val="24"/>
        </w:rPr>
        <w:t>4.</w:t>
      </w:r>
      <w:r w:rsidRPr="00BF4AB8">
        <w:rPr>
          <w:b/>
          <w:snapToGrid w:val="0"/>
          <w:sz w:val="22"/>
          <w:szCs w:val="24"/>
        </w:rPr>
        <w:tab/>
        <w:t>FARMACINĖ FORMA IR KIEKIS PAKUOTĖJE</w:t>
      </w:r>
    </w:p>
    <w:p w14:paraId="0B72CA4E" w14:textId="77777777" w:rsidR="005D554B" w:rsidRPr="00BF4AB8" w:rsidRDefault="005D554B" w:rsidP="005D554B">
      <w:pPr>
        <w:tabs>
          <w:tab w:val="left" w:pos="567"/>
        </w:tabs>
        <w:spacing w:line="260" w:lineRule="exact"/>
        <w:rPr>
          <w:snapToGrid w:val="0"/>
          <w:sz w:val="22"/>
          <w:szCs w:val="24"/>
        </w:rPr>
      </w:pPr>
    </w:p>
    <w:p w14:paraId="3EF9A96A" w14:textId="77777777" w:rsidR="00D35FC0" w:rsidRPr="00BF4AB8" w:rsidRDefault="00D35FC0" w:rsidP="00D35FC0">
      <w:pPr>
        <w:tabs>
          <w:tab w:val="left" w:pos="567"/>
        </w:tabs>
        <w:spacing w:line="260" w:lineRule="exact"/>
        <w:rPr>
          <w:snapToGrid w:val="0"/>
          <w:sz w:val="22"/>
          <w:szCs w:val="24"/>
        </w:rPr>
      </w:pPr>
      <w:r w:rsidRPr="00BF4AB8">
        <w:rPr>
          <w:snapToGrid w:val="0"/>
          <w:sz w:val="22"/>
          <w:szCs w:val="24"/>
        </w:rPr>
        <w:t>60 x 1 kapsulė</w:t>
      </w:r>
    </w:p>
    <w:p w14:paraId="4E4BF5DE" w14:textId="77777777" w:rsidR="00D35FC0" w:rsidRPr="00BF4AB8" w:rsidRDefault="00D35FC0" w:rsidP="005D554B">
      <w:pPr>
        <w:tabs>
          <w:tab w:val="left" w:pos="567"/>
        </w:tabs>
        <w:spacing w:line="260" w:lineRule="exact"/>
        <w:rPr>
          <w:snapToGrid w:val="0"/>
          <w:sz w:val="22"/>
          <w:szCs w:val="24"/>
        </w:rPr>
      </w:pPr>
    </w:p>
    <w:p w14:paraId="2D823CF1" w14:textId="77777777" w:rsidR="00D35FC0" w:rsidRPr="00BF4AB8" w:rsidRDefault="00D35FC0" w:rsidP="005D554B">
      <w:pPr>
        <w:tabs>
          <w:tab w:val="left" w:pos="567"/>
        </w:tabs>
        <w:spacing w:line="260" w:lineRule="exact"/>
        <w:rPr>
          <w:snapToGrid w:val="0"/>
          <w:sz w:val="22"/>
          <w:szCs w:val="24"/>
        </w:rPr>
      </w:pPr>
    </w:p>
    <w:p w14:paraId="075AE771" w14:textId="77777777" w:rsidR="005D554B" w:rsidRPr="00BF4AB8" w:rsidRDefault="005D554B" w:rsidP="005D554B">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BF4AB8">
        <w:rPr>
          <w:b/>
          <w:snapToGrid w:val="0"/>
          <w:sz w:val="22"/>
          <w:szCs w:val="24"/>
        </w:rPr>
        <w:t>5.</w:t>
      </w:r>
      <w:r w:rsidRPr="00BF4AB8">
        <w:rPr>
          <w:b/>
          <w:snapToGrid w:val="0"/>
          <w:sz w:val="22"/>
          <w:szCs w:val="24"/>
        </w:rPr>
        <w:tab/>
        <w:t>VARTOJIMO METODAS IR BŪDAS (-AI)</w:t>
      </w:r>
    </w:p>
    <w:p w14:paraId="456D8463" w14:textId="77777777" w:rsidR="005D554B" w:rsidRPr="00BF4AB8" w:rsidRDefault="005D554B" w:rsidP="005D554B">
      <w:pPr>
        <w:tabs>
          <w:tab w:val="left" w:pos="567"/>
        </w:tabs>
        <w:spacing w:line="260" w:lineRule="exact"/>
        <w:rPr>
          <w:snapToGrid w:val="0"/>
          <w:sz w:val="22"/>
          <w:szCs w:val="24"/>
        </w:rPr>
      </w:pPr>
    </w:p>
    <w:p w14:paraId="07AC34BC" w14:textId="77777777" w:rsidR="00D35FC0" w:rsidRPr="00BF4AB8" w:rsidRDefault="00D35FC0" w:rsidP="00D35FC0">
      <w:pPr>
        <w:tabs>
          <w:tab w:val="left" w:pos="567"/>
        </w:tabs>
        <w:spacing w:line="260" w:lineRule="exact"/>
        <w:rPr>
          <w:snapToGrid w:val="0"/>
          <w:sz w:val="22"/>
          <w:szCs w:val="24"/>
        </w:rPr>
      </w:pPr>
      <w:r w:rsidRPr="00BF4AB8">
        <w:rPr>
          <w:snapToGrid w:val="0"/>
          <w:sz w:val="22"/>
          <w:szCs w:val="24"/>
          <w:highlight w:val="lightGray"/>
        </w:rPr>
        <w:t>Vartoti per burną.</w:t>
      </w:r>
    </w:p>
    <w:p w14:paraId="157C957F" w14:textId="77777777" w:rsidR="005D554B" w:rsidRPr="00BF4AB8" w:rsidRDefault="005D554B" w:rsidP="005D554B">
      <w:pPr>
        <w:tabs>
          <w:tab w:val="left" w:pos="567"/>
        </w:tabs>
        <w:spacing w:line="260" w:lineRule="exact"/>
        <w:rPr>
          <w:snapToGrid w:val="0"/>
          <w:sz w:val="22"/>
          <w:szCs w:val="24"/>
        </w:rPr>
      </w:pPr>
      <w:r w:rsidRPr="00BF4AB8">
        <w:rPr>
          <w:snapToGrid w:val="0"/>
          <w:sz w:val="22"/>
          <w:szCs w:val="24"/>
        </w:rPr>
        <w:t>Prieš vartojimą perskaitykite pakuotės lapelį.</w:t>
      </w:r>
    </w:p>
    <w:p w14:paraId="677FE035" w14:textId="77777777" w:rsidR="005D554B" w:rsidRPr="00BF4AB8" w:rsidRDefault="005D554B" w:rsidP="005D554B">
      <w:pPr>
        <w:tabs>
          <w:tab w:val="left" w:pos="567"/>
        </w:tabs>
        <w:spacing w:line="260" w:lineRule="exact"/>
        <w:rPr>
          <w:snapToGrid w:val="0"/>
          <w:sz w:val="22"/>
          <w:szCs w:val="24"/>
        </w:rPr>
      </w:pPr>
    </w:p>
    <w:p w14:paraId="2FC93E80" w14:textId="77777777" w:rsidR="005D554B" w:rsidRPr="00BF4AB8" w:rsidRDefault="005D554B" w:rsidP="005D554B">
      <w:pPr>
        <w:tabs>
          <w:tab w:val="left" w:pos="567"/>
        </w:tabs>
        <w:spacing w:line="260" w:lineRule="exact"/>
        <w:rPr>
          <w:snapToGrid w:val="0"/>
          <w:sz w:val="22"/>
          <w:szCs w:val="24"/>
        </w:rPr>
      </w:pPr>
    </w:p>
    <w:p w14:paraId="566F87E5" w14:textId="77777777" w:rsidR="005D554B" w:rsidRPr="00BF4AB8" w:rsidRDefault="005D554B" w:rsidP="005D554B">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BF4AB8">
        <w:rPr>
          <w:b/>
          <w:snapToGrid w:val="0"/>
          <w:sz w:val="22"/>
          <w:szCs w:val="24"/>
        </w:rPr>
        <w:t>6.</w:t>
      </w:r>
      <w:r w:rsidRPr="00BF4AB8">
        <w:rPr>
          <w:b/>
          <w:snapToGrid w:val="0"/>
          <w:sz w:val="22"/>
          <w:szCs w:val="24"/>
        </w:rPr>
        <w:tab/>
        <w:t>SPECIALUS ĮSPĖJIMAS, KAD VAISTINĮ PREPARATĄ BŪTINA LAIKYTI VAIKAMS NEPASTEBIMOJE IR  NEPASIEKIAMOJE VIETOJE</w:t>
      </w:r>
    </w:p>
    <w:p w14:paraId="0FBD3C67" w14:textId="77777777" w:rsidR="005D554B" w:rsidRPr="00BF4AB8" w:rsidRDefault="005D554B" w:rsidP="005D554B">
      <w:pPr>
        <w:tabs>
          <w:tab w:val="left" w:pos="567"/>
        </w:tabs>
        <w:spacing w:line="260" w:lineRule="exact"/>
        <w:rPr>
          <w:snapToGrid w:val="0"/>
          <w:sz w:val="22"/>
          <w:szCs w:val="24"/>
        </w:rPr>
      </w:pPr>
    </w:p>
    <w:p w14:paraId="69C2F795" w14:textId="77777777" w:rsidR="005D554B" w:rsidRPr="00BF4AB8" w:rsidRDefault="005D554B" w:rsidP="005D554B">
      <w:pPr>
        <w:tabs>
          <w:tab w:val="left" w:pos="567"/>
        </w:tabs>
        <w:spacing w:line="260" w:lineRule="exact"/>
        <w:rPr>
          <w:snapToGrid w:val="0"/>
          <w:sz w:val="22"/>
          <w:szCs w:val="24"/>
        </w:rPr>
      </w:pPr>
      <w:r w:rsidRPr="00BF4AB8">
        <w:rPr>
          <w:snapToGrid w:val="0"/>
          <w:sz w:val="22"/>
          <w:szCs w:val="24"/>
        </w:rPr>
        <w:t>Laikyti vaikams nepastebimoje ir nepasiekiamoje vietoje.</w:t>
      </w:r>
    </w:p>
    <w:p w14:paraId="77A109DC" w14:textId="77777777" w:rsidR="005D554B" w:rsidRPr="00BF4AB8" w:rsidRDefault="005D554B" w:rsidP="005D554B">
      <w:pPr>
        <w:tabs>
          <w:tab w:val="left" w:pos="567"/>
        </w:tabs>
        <w:spacing w:line="260" w:lineRule="exact"/>
        <w:rPr>
          <w:snapToGrid w:val="0"/>
          <w:sz w:val="22"/>
          <w:szCs w:val="24"/>
        </w:rPr>
      </w:pPr>
    </w:p>
    <w:p w14:paraId="78042AFD" w14:textId="77777777" w:rsidR="005D554B" w:rsidRPr="00BF4AB8" w:rsidRDefault="005D554B" w:rsidP="005D554B">
      <w:pPr>
        <w:tabs>
          <w:tab w:val="left" w:pos="567"/>
        </w:tabs>
        <w:spacing w:line="260" w:lineRule="exact"/>
        <w:rPr>
          <w:snapToGrid w:val="0"/>
          <w:sz w:val="22"/>
          <w:szCs w:val="24"/>
        </w:rPr>
      </w:pPr>
    </w:p>
    <w:p w14:paraId="52F225AB" w14:textId="77777777" w:rsidR="005D554B" w:rsidRPr="00BF4AB8" w:rsidRDefault="005D554B" w:rsidP="005D554B">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BF4AB8">
        <w:rPr>
          <w:b/>
          <w:snapToGrid w:val="0"/>
          <w:sz w:val="22"/>
          <w:szCs w:val="24"/>
        </w:rPr>
        <w:t>7.</w:t>
      </w:r>
      <w:r w:rsidRPr="00BF4AB8">
        <w:rPr>
          <w:b/>
          <w:snapToGrid w:val="0"/>
          <w:sz w:val="22"/>
          <w:szCs w:val="24"/>
        </w:rPr>
        <w:tab/>
        <w:t>KITAS (-I) SPECIALUS (-ŪS) ĮSPĖJIMAS (-AI) (JEI REIKIA)</w:t>
      </w:r>
    </w:p>
    <w:p w14:paraId="2E9BF168" w14:textId="77777777" w:rsidR="005D554B" w:rsidRPr="00BF4AB8" w:rsidRDefault="005D554B" w:rsidP="005D554B">
      <w:pPr>
        <w:tabs>
          <w:tab w:val="left" w:pos="567"/>
        </w:tabs>
        <w:spacing w:line="260" w:lineRule="exact"/>
        <w:rPr>
          <w:snapToGrid w:val="0"/>
          <w:sz w:val="22"/>
          <w:szCs w:val="24"/>
        </w:rPr>
      </w:pPr>
    </w:p>
    <w:p w14:paraId="2F88E5EB" w14:textId="77777777" w:rsidR="005D554B" w:rsidRPr="00BF4AB8" w:rsidRDefault="005D554B" w:rsidP="005D554B">
      <w:pPr>
        <w:tabs>
          <w:tab w:val="left" w:pos="567"/>
        </w:tabs>
        <w:spacing w:line="260" w:lineRule="exact"/>
        <w:rPr>
          <w:snapToGrid w:val="0"/>
          <w:sz w:val="22"/>
          <w:szCs w:val="24"/>
        </w:rPr>
      </w:pPr>
    </w:p>
    <w:p w14:paraId="31E9389F" w14:textId="77777777" w:rsidR="005D554B" w:rsidRPr="00BF4AB8" w:rsidRDefault="005D554B" w:rsidP="005D554B">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BF4AB8">
        <w:rPr>
          <w:b/>
          <w:snapToGrid w:val="0"/>
          <w:sz w:val="22"/>
          <w:szCs w:val="24"/>
        </w:rPr>
        <w:t>8.</w:t>
      </w:r>
      <w:r w:rsidRPr="00BF4AB8">
        <w:rPr>
          <w:b/>
          <w:snapToGrid w:val="0"/>
          <w:sz w:val="22"/>
          <w:szCs w:val="24"/>
        </w:rPr>
        <w:tab/>
        <w:t>TINKAMUMO LAIKAS</w:t>
      </w:r>
    </w:p>
    <w:p w14:paraId="5B2DF3D7" w14:textId="77777777" w:rsidR="005D554B" w:rsidRPr="00BF4AB8" w:rsidRDefault="005D554B" w:rsidP="005D554B">
      <w:pPr>
        <w:tabs>
          <w:tab w:val="left" w:pos="567"/>
        </w:tabs>
        <w:spacing w:line="260" w:lineRule="exact"/>
        <w:rPr>
          <w:snapToGrid w:val="0"/>
          <w:sz w:val="22"/>
          <w:szCs w:val="24"/>
        </w:rPr>
      </w:pPr>
    </w:p>
    <w:p w14:paraId="7FCF9CB2" w14:textId="505A3875" w:rsidR="005D554B" w:rsidRPr="00BF4AB8" w:rsidRDefault="005D554B" w:rsidP="005D554B">
      <w:pPr>
        <w:tabs>
          <w:tab w:val="left" w:pos="567"/>
        </w:tabs>
        <w:spacing w:line="260" w:lineRule="exact"/>
        <w:rPr>
          <w:snapToGrid w:val="0"/>
          <w:sz w:val="22"/>
        </w:rPr>
      </w:pPr>
      <w:r w:rsidRPr="00BF4AB8">
        <w:rPr>
          <w:snapToGrid w:val="0"/>
          <w:sz w:val="22"/>
        </w:rPr>
        <w:t>EXP</w:t>
      </w:r>
      <w:r w:rsidR="007E5877">
        <w:rPr>
          <w:snapToGrid w:val="0"/>
          <w:sz w:val="22"/>
        </w:rPr>
        <w:t>: {mm/MMMM}</w:t>
      </w:r>
    </w:p>
    <w:p w14:paraId="5ABB678D" w14:textId="77777777" w:rsidR="005D554B" w:rsidRPr="00BF4AB8" w:rsidRDefault="005D554B" w:rsidP="005D554B">
      <w:pPr>
        <w:tabs>
          <w:tab w:val="left" w:pos="567"/>
        </w:tabs>
        <w:spacing w:line="260" w:lineRule="exact"/>
        <w:rPr>
          <w:snapToGrid w:val="0"/>
          <w:sz w:val="22"/>
          <w:szCs w:val="24"/>
        </w:rPr>
      </w:pPr>
    </w:p>
    <w:p w14:paraId="6280750C" w14:textId="77777777" w:rsidR="005D554B" w:rsidRPr="00BF4AB8" w:rsidRDefault="005D554B" w:rsidP="005D554B">
      <w:pPr>
        <w:tabs>
          <w:tab w:val="left" w:pos="567"/>
        </w:tabs>
        <w:spacing w:line="260" w:lineRule="exact"/>
        <w:rPr>
          <w:snapToGrid w:val="0"/>
          <w:sz w:val="22"/>
          <w:szCs w:val="24"/>
        </w:rPr>
      </w:pPr>
    </w:p>
    <w:p w14:paraId="75172B9E" w14:textId="77777777" w:rsidR="005D554B" w:rsidRPr="00BF4AB8" w:rsidRDefault="005D554B" w:rsidP="005D554B">
      <w:pPr>
        <w:keepNext/>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BF4AB8">
        <w:rPr>
          <w:b/>
          <w:snapToGrid w:val="0"/>
          <w:sz w:val="22"/>
          <w:szCs w:val="24"/>
        </w:rPr>
        <w:t>9.</w:t>
      </w:r>
      <w:r w:rsidRPr="00BF4AB8">
        <w:rPr>
          <w:b/>
          <w:snapToGrid w:val="0"/>
          <w:sz w:val="22"/>
          <w:szCs w:val="24"/>
        </w:rPr>
        <w:tab/>
        <w:t>SPECIALIOS LAIKYMO SĄLYGOS</w:t>
      </w:r>
    </w:p>
    <w:p w14:paraId="14F13992" w14:textId="77777777" w:rsidR="005D554B" w:rsidRPr="00BF4AB8" w:rsidRDefault="005D554B" w:rsidP="005D554B">
      <w:pPr>
        <w:tabs>
          <w:tab w:val="left" w:pos="567"/>
        </w:tabs>
        <w:spacing w:line="260" w:lineRule="exact"/>
        <w:rPr>
          <w:snapToGrid w:val="0"/>
          <w:sz w:val="22"/>
          <w:szCs w:val="24"/>
        </w:rPr>
      </w:pPr>
    </w:p>
    <w:p w14:paraId="053A628B" w14:textId="77777777" w:rsidR="005D554B" w:rsidRPr="00BF4AB8" w:rsidRDefault="005D554B" w:rsidP="005D554B">
      <w:pPr>
        <w:tabs>
          <w:tab w:val="left" w:pos="567"/>
        </w:tabs>
        <w:spacing w:line="260" w:lineRule="exact"/>
        <w:rPr>
          <w:snapToGrid w:val="0"/>
          <w:sz w:val="22"/>
          <w:szCs w:val="24"/>
        </w:rPr>
      </w:pPr>
    </w:p>
    <w:p w14:paraId="2BE3336F" w14:textId="77777777" w:rsidR="005D554B" w:rsidRPr="00BF4AB8" w:rsidRDefault="005D554B" w:rsidP="005D554B">
      <w:pPr>
        <w:pBdr>
          <w:top w:val="single" w:sz="4" w:space="1" w:color="auto"/>
          <w:left w:val="single" w:sz="4" w:space="4" w:color="auto"/>
          <w:bottom w:val="single" w:sz="4" w:space="1" w:color="auto"/>
          <w:right w:val="single" w:sz="4" w:space="4" w:color="auto"/>
        </w:pBdr>
        <w:tabs>
          <w:tab w:val="left" w:pos="567"/>
        </w:tabs>
        <w:outlineLvl w:val="0"/>
        <w:rPr>
          <w:b/>
          <w:snapToGrid w:val="0"/>
          <w:sz w:val="22"/>
          <w:szCs w:val="24"/>
        </w:rPr>
      </w:pPr>
      <w:r w:rsidRPr="00BF4AB8">
        <w:rPr>
          <w:b/>
          <w:snapToGrid w:val="0"/>
          <w:sz w:val="22"/>
          <w:szCs w:val="24"/>
        </w:rPr>
        <w:t>10.</w:t>
      </w:r>
      <w:r w:rsidRPr="00BF4AB8">
        <w:rPr>
          <w:b/>
          <w:snapToGrid w:val="0"/>
          <w:sz w:val="22"/>
          <w:szCs w:val="24"/>
        </w:rPr>
        <w:tab/>
        <w:t>SPECIALIOS ATSARGUMO PRIEMONĖS DĖL NESUVARTOTO VAISTINIO PREPARATO AR JO ATLIEKŲ TVARKYMO (JEI REIKIA)</w:t>
      </w:r>
    </w:p>
    <w:p w14:paraId="4638E0FF" w14:textId="77777777" w:rsidR="005D554B" w:rsidRPr="00BF4AB8" w:rsidRDefault="005D554B" w:rsidP="005D554B">
      <w:pPr>
        <w:tabs>
          <w:tab w:val="left" w:pos="567"/>
        </w:tabs>
        <w:spacing w:line="260" w:lineRule="exact"/>
        <w:rPr>
          <w:snapToGrid w:val="0"/>
          <w:sz w:val="22"/>
          <w:szCs w:val="24"/>
        </w:rPr>
      </w:pPr>
    </w:p>
    <w:p w14:paraId="0F1C6EE8" w14:textId="77777777" w:rsidR="005D554B" w:rsidRPr="00BF4AB8" w:rsidRDefault="005D554B" w:rsidP="005D554B">
      <w:pPr>
        <w:tabs>
          <w:tab w:val="left" w:pos="567"/>
        </w:tabs>
        <w:spacing w:line="260" w:lineRule="exact"/>
        <w:rPr>
          <w:snapToGrid w:val="0"/>
          <w:sz w:val="22"/>
          <w:szCs w:val="24"/>
        </w:rPr>
      </w:pPr>
    </w:p>
    <w:p w14:paraId="50D76CB5" w14:textId="77777777" w:rsidR="005D554B" w:rsidRPr="00BF4AB8" w:rsidRDefault="005D554B" w:rsidP="005D554B">
      <w:pPr>
        <w:pBdr>
          <w:top w:val="single" w:sz="4" w:space="1" w:color="auto"/>
          <w:left w:val="single" w:sz="4" w:space="4" w:color="auto"/>
          <w:bottom w:val="single" w:sz="4" w:space="1" w:color="auto"/>
          <w:right w:val="single" w:sz="4" w:space="4" w:color="auto"/>
        </w:pBdr>
        <w:tabs>
          <w:tab w:val="left" w:pos="567"/>
        </w:tabs>
        <w:outlineLvl w:val="0"/>
        <w:rPr>
          <w:b/>
          <w:snapToGrid w:val="0"/>
          <w:sz w:val="22"/>
          <w:szCs w:val="24"/>
        </w:rPr>
      </w:pPr>
      <w:r w:rsidRPr="00BF4AB8">
        <w:rPr>
          <w:b/>
          <w:snapToGrid w:val="0"/>
          <w:sz w:val="22"/>
          <w:szCs w:val="24"/>
        </w:rPr>
        <w:t>11.</w:t>
      </w:r>
      <w:r w:rsidRPr="00BF4AB8">
        <w:rPr>
          <w:b/>
          <w:snapToGrid w:val="0"/>
          <w:sz w:val="22"/>
          <w:szCs w:val="24"/>
        </w:rPr>
        <w:tab/>
      </w:r>
      <w:r w:rsidRPr="00BF4AB8">
        <w:rPr>
          <w:b/>
          <w:caps/>
          <w:snapToGrid w:val="0"/>
          <w:sz w:val="22"/>
          <w:szCs w:val="24"/>
        </w:rPr>
        <w:t xml:space="preserve"> REGISTRUOTOJO PAVADINIMAS IR ADRESAS</w:t>
      </w:r>
    </w:p>
    <w:p w14:paraId="73723EF5" w14:textId="77777777" w:rsidR="005D554B" w:rsidRPr="00BF4AB8" w:rsidRDefault="005D554B" w:rsidP="005D554B">
      <w:pPr>
        <w:tabs>
          <w:tab w:val="left" w:pos="567"/>
        </w:tabs>
        <w:spacing w:line="260" w:lineRule="exact"/>
        <w:rPr>
          <w:snapToGrid w:val="0"/>
          <w:sz w:val="22"/>
          <w:szCs w:val="24"/>
        </w:rPr>
      </w:pPr>
    </w:p>
    <w:p w14:paraId="03BE7161" w14:textId="2C7EAD2C" w:rsidR="00BF4AB8" w:rsidRPr="00BF4AB8" w:rsidRDefault="00BF4AB8" w:rsidP="00BF4AB8">
      <w:pPr>
        <w:tabs>
          <w:tab w:val="left" w:pos="567"/>
        </w:tabs>
        <w:spacing w:line="260" w:lineRule="exact"/>
        <w:rPr>
          <w:snapToGrid w:val="0"/>
          <w:sz w:val="22"/>
          <w:szCs w:val="24"/>
        </w:rPr>
      </w:pPr>
      <w:r w:rsidRPr="00BF4AB8">
        <w:rPr>
          <w:snapToGrid w:val="0"/>
          <w:sz w:val="22"/>
          <w:szCs w:val="24"/>
        </w:rPr>
        <w:t xml:space="preserve">UAB </w:t>
      </w:r>
      <w:proofErr w:type="spellStart"/>
      <w:r w:rsidRPr="00BF4AB8">
        <w:rPr>
          <w:snapToGrid w:val="0"/>
          <w:sz w:val="22"/>
          <w:szCs w:val="24"/>
        </w:rPr>
        <w:t>Norameda</w:t>
      </w:r>
      <w:proofErr w:type="spellEnd"/>
      <w:r w:rsidR="009F2626">
        <w:rPr>
          <w:snapToGrid w:val="0"/>
          <w:sz w:val="22"/>
          <w:szCs w:val="24"/>
        </w:rPr>
        <w:t>,</w:t>
      </w:r>
    </w:p>
    <w:p w14:paraId="3C1054A7" w14:textId="12C63399" w:rsidR="00BF4AB8" w:rsidRPr="00BF4AB8" w:rsidRDefault="00BF4AB8" w:rsidP="00BF4AB8">
      <w:pPr>
        <w:tabs>
          <w:tab w:val="left" w:pos="567"/>
        </w:tabs>
        <w:spacing w:line="260" w:lineRule="exact"/>
        <w:rPr>
          <w:snapToGrid w:val="0"/>
          <w:sz w:val="22"/>
          <w:szCs w:val="24"/>
        </w:rPr>
      </w:pPr>
      <w:r w:rsidRPr="00BF4AB8">
        <w:rPr>
          <w:snapToGrid w:val="0"/>
          <w:sz w:val="22"/>
          <w:szCs w:val="24"/>
        </w:rPr>
        <w:t>Meistrų 8A</w:t>
      </w:r>
      <w:r w:rsidR="009F2626">
        <w:rPr>
          <w:snapToGrid w:val="0"/>
          <w:sz w:val="22"/>
          <w:szCs w:val="24"/>
        </w:rPr>
        <w:t>,</w:t>
      </w:r>
    </w:p>
    <w:p w14:paraId="598C7045" w14:textId="58B63A6A" w:rsidR="00BF4AB8" w:rsidRPr="00BF4AB8" w:rsidRDefault="00BF4AB8" w:rsidP="00BF4AB8">
      <w:pPr>
        <w:tabs>
          <w:tab w:val="left" w:pos="567"/>
        </w:tabs>
        <w:spacing w:line="260" w:lineRule="exact"/>
        <w:rPr>
          <w:snapToGrid w:val="0"/>
          <w:sz w:val="22"/>
          <w:szCs w:val="24"/>
        </w:rPr>
      </w:pPr>
      <w:r w:rsidRPr="00BF4AB8">
        <w:rPr>
          <w:snapToGrid w:val="0"/>
          <w:sz w:val="22"/>
          <w:szCs w:val="24"/>
        </w:rPr>
        <w:t>LT-02189 Vilnius</w:t>
      </w:r>
      <w:r w:rsidR="009F2626">
        <w:rPr>
          <w:snapToGrid w:val="0"/>
          <w:sz w:val="22"/>
          <w:szCs w:val="24"/>
        </w:rPr>
        <w:t>,</w:t>
      </w:r>
    </w:p>
    <w:p w14:paraId="3DF1D64F" w14:textId="7BBBEC97" w:rsidR="005D554B" w:rsidRPr="00BF4AB8" w:rsidRDefault="00BF4AB8" w:rsidP="00BF4AB8">
      <w:pPr>
        <w:tabs>
          <w:tab w:val="left" w:pos="567"/>
        </w:tabs>
        <w:spacing w:line="260" w:lineRule="exact"/>
        <w:rPr>
          <w:snapToGrid w:val="0"/>
          <w:sz w:val="22"/>
          <w:szCs w:val="24"/>
        </w:rPr>
      </w:pPr>
      <w:r w:rsidRPr="00BF4AB8">
        <w:rPr>
          <w:snapToGrid w:val="0"/>
          <w:sz w:val="22"/>
          <w:szCs w:val="24"/>
        </w:rPr>
        <w:t>Lietuva</w:t>
      </w:r>
    </w:p>
    <w:p w14:paraId="01B76A6C" w14:textId="77777777" w:rsidR="005D554B" w:rsidRPr="00BF4AB8" w:rsidRDefault="005D554B" w:rsidP="005D554B">
      <w:pPr>
        <w:tabs>
          <w:tab w:val="left" w:pos="567"/>
        </w:tabs>
        <w:spacing w:line="260" w:lineRule="exact"/>
        <w:rPr>
          <w:snapToGrid w:val="0"/>
          <w:sz w:val="22"/>
          <w:szCs w:val="24"/>
        </w:rPr>
      </w:pPr>
    </w:p>
    <w:p w14:paraId="747A5CEA" w14:textId="77777777" w:rsidR="005D554B" w:rsidRPr="00BF4AB8" w:rsidRDefault="005D554B" w:rsidP="005D554B">
      <w:pPr>
        <w:tabs>
          <w:tab w:val="left" w:pos="567"/>
        </w:tabs>
        <w:spacing w:line="260" w:lineRule="exact"/>
        <w:rPr>
          <w:snapToGrid w:val="0"/>
          <w:sz w:val="22"/>
          <w:szCs w:val="24"/>
        </w:rPr>
      </w:pPr>
    </w:p>
    <w:p w14:paraId="154B793F" w14:textId="77777777" w:rsidR="005D554B" w:rsidRPr="00BF4AB8" w:rsidRDefault="005D554B" w:rsidP="005D554B">
      <w:pPr>
        <w:pBdr>
          <w:top w:val="single" w:sz="4" w:space="1" w:color="auto"/>
          <w:left w:val="single" w:sz="4" w:space="4" w:color="auto"/>
          <w:bottom w:val="single" w:sz="4" w:space="1" w:color="auto"/>
          <w:right w:val="single" w:sz="4" w:space="4" w:color="auto"/>
        </w:pBdr>
        <w:tabs>
          <w:tab w:val="left" w:pos="567"/>
        </w:tabs>
        <w:outlineLvl w:val="0"/>
        <w:rPr>
          <w:snapToGrid w:val="0"/>
          <w:sz w:val="22"/>
          <w:szCs w:val="24"/>
        </w:rPr>
      </w:pPr>
      <w:r w:rsidRPr="00BF4AB8">
        <w:rPr>
          <w:b/>
          <w:snapToGrid w:val="0"/>
          <w:sz w:val="22"/>
          <w:szCs w:val="24"/>
        </w:rPr>
        <w:t>12.</w:t>
      </w:r>
      <w:r w:rsidRPr="00BF4AB8">
        <w:rPr>
          <w:b/>
          <w:snapToGrid w:val="0"/>
          <w:sz w:val="22"/>
          <w:szCs w:val="24"/>
        </w:rPr>
        <w:tab/>
        <w:t xml:space="preserve">REGISTRACIJOS PAŽYMĖJIMO NUMERIS (-IAI) </w:t>
      </w:r>
    </w:p>
    <w:p w14:paraId="0B77103A" w14:textId="77777777" w:rsidR="005D554B" w:rsidRPr="00BF4AB8" w:rsidRDefault="005D554B" w:rsidP="005D554B">
      <w:pPr>
        <w:tabs>
          <w:tab w:val="left" w:pos="567"/>
        </w:tabs>
        <w:spacing w:line="260" w:lineRule="exact"/>
        <w:rPr>
          <w:snapToGrid w:val="0"/>
          <w:sz w:val="22"/>
          <w:szCs w:val="24"/>
        </w:rPr>
      </w:pPr>
    </w:p>
    <w:p w14:paraId="7EFDD539" w14:textId="1C1E24C4" w:rsidR="00343D76" w:rsidRDefault="00343D76" w:rsidP="00343D76">
      <w:pPr>
        <w:tabs>
          <w:tab w:val="left" w:pos="567"/>
        </w:tabs>
        <w:spacing w:line="260" w:lineRule="exact"/>
        <w:rPr>
          <w:snapToGrid w:val="0"/>
          <w:sz w:val="22"/>
          <w:szCs w:val="24"/>
        </w:rPr>
      </w:pPr>
      <w:r w:rsidRPr="00343D76">
        <w:rPr>
          <w:snapToGrid w:val="0"/>
          <w:sz w:val="22"/>
          <w:szCs w:val="24"/>
        </w:rPr>
        <w:t>LT/1/24/5319/001</w:t>
      </w:r>
    </w:p>
    <w:p w14:paraId="2BC4131E" w14:textId="77777777" w:rsidR="00343D76" w:rsidRDefault="00343D76" w:rsidP="00343D76">
      <w:pPr>
        <w:tabs>
          <w:tab w:val="left" w:pos="567"/>
        </w:tabs>
        <w:spacing w:line="260" w:lineRule="exact"/>
        <w:rPr>
          <w:snapToGrid w:val="0"/>
          <w:sz w:val="22"/>
          <w:szCs w:val="24"/>
        </w:rPr>
      </w:pPr>
    </w:p>
    <w:p w14:paraId="4C9A29C1" w14:textId="77777777" w:rsidR="005D554B" w:rsidRPr="00BF4AB8" w:rsidRDefault="005D554B" w:rsidP="005D554B">
      <w:pPr>
        <w:tabs>
          <w:tab w:val="left" w:pos="567"/>
        </w:tabs>
        <w:spacing w:line="260" w:lineRule="exact"/>
        <w:rPr>
          <w:snapToGrid w:val="0"/>
          <w:sz w:val="22"/>
          <w:szCs w:val="24"/>
        </w:rPr>
      </w:pPr>
    </w:p>
    <w:p w14:paraId="5140AB8D" w14:textId="77777777" w:rsidR="005D554B" w:rsidRPr="00BF4AB8" w:rsidRDefault="005D554B" w:rsidP="005D554B">
      <w:pPr>
        <w:pBdr>
          <w:top w:val="single" w:sz="4" w:space="1" w:color="auto"/>
          <w:left w:val="single" w:sz="4" w:space="4" w:color="auto"/>
          <w:bottom w:val="single" w:sz="4" w:space="1" w:color="auto"/>
          <w:right w:val="single" w:sz="4" w:space="4" w:color="auto"/>
        </w:pBdr>
        <w:tabs>
          <w:tab w:val="left" w:pos="567"/>
        </w:tabs>
        <w:outlineLvl w:val="0"/>
        <w:rPr>
          <w:snapToGrid w:val="0"/>
          <w:sz w:val="22"/>
          <w:szCs w:val="24"/>
        </w:rPr>
      </w:pPr>
      <w:r w:rsidRPr="00BF4AB8">
        <w:rPr>
          <w:b/>
          <w:snapToGrid w:val="0"/>
          <w:sz w:val="22"/>
          <w:szCs w:val="24"/>
        </w:rPr>
        <w:t>13.</w:t>
      </w:r>
      <w:r w:rsidRPr="00BF4AB8">
        <w:rPr>
          <w:b/>
          <w:snapToGrid w:val="0"/>
          <w:sz w:val="22"/>
          <w:szCs w:val="24"/>
        </w:rPr>
        <w:tab/>
        <w:t xml:space="preserve">SERIJOS NUMERIS </w:t>
      </w:r>
    </w:p>
    <w:p w14:paraId="39022347" w14:textId="77777777" w:rsidR="005D554B" w:rsidRPr="00BF4AB8" w:rsidRDefault="005D554B" w:rsidP="005D554B">
      <w:pPr>
        <w:tabs>
          <w:tab w:val="left" w:pos="567"/>
        </w:tabs>
        <w:spacing w:line="260" w:lineRule="exact"/>
        <w:rPr>
          <w:snapToGrid w:val="0"/>
          <w:sz w:val="22"/>
        </w:rPr>
      </w:pPr>
    </w:p>
    <w:p w14:paraId="637DB3FC" w14:textId="2E573DDE" w:rsidR="005D554B" w:rsidRPr="00BF4AB8" w:rsidRDefault="005D554B" w:rsidP="005D554B">
      <w:pPr>
        <w:tabs>
          <w:tab w:val="left" w:pos="567"/>
        </w:tabs>
        <w:spacing w:line="260" w:lineRule="exact"/>
        <w:rPr>
          <w:snapToGrid w:val="0"/>
          <w:sz w:val="22"/>
        </w:rPr>
      </w:pPr>
      <w:proofErr w:type="spellStart"/>
      <w:r w:rsidRPr="00BF4AB8">
        <w:rPr>
          <w:snapToGrid w:val="0"/>
          <w:sz w:val="22"/>
        </w:rPr>
        <w:t>Lot</w:t>
      </w:r>
      <w:proofErr w:type="spellEnd"/>
    </w:p>
    <w:p w14:paraId="686EC6DA" w14:textId="77777777" w:rsidR="005D554B" w:rsidRPr="00BF4AB8" w:rsidRDefault="005D554B" w:rsidP="005D554B">
      <w:pPr>
        <w:tabs>
          <w:tab w:val="left" w:pos="567"/>
        </w:tabs>
        <w:spacing w:line="260" w:lineRule="exact"/>
        <w:rPr>
          <w:snapToGrid w:val="0"/>
          <w:sz w:val="22"/>
          <w:szCs w:val="24"/>
        </w:rPr>
      </w:pPr>
    </w:p>
    <w:p w14:paraId="7CCF8025" w14:textId="77777777" w:rsidR="005D554B" w:rsidRPr="00BF4AB8" w:rsidRDefault="005D554B" w:rsidP="005D554B">
      <w:pPr>
        <w:tabs>
          <w:tab w:val="left" w:pos="567"/>
        </w:tabs>
        <w:spacing w:line="260" w:lineRule="exact"/>
        <w:rPr>
          <w:snapToGrid w:val="0"/>
          <w:sz w:val="22"/>
          <w:szCs w:val="24"/>
        </w:rPr>
      </w:pPr>
    </w:p>
    <w:p w14:paraId="3F73FB4F" w14:textId="77777777" w:rsidR="005D554B" w:rsidRPr="00BF4AB8" w:rsidRDefault="005D554B" w:rsidP="005D554B">
      <w:pPr>
        <w:pBdr>
          <w:top w:val="single" w:sz="4" w:space="1" w:color="auto"/>
          <w:left w:val="single" w:sz="4" w:space="4" w:color="auto"/>
          <w:bottom w:val="single" w:sz="4" w:space="1" w:color="auto"/>
          <w:right w:val="single" w:sz="4" w:space="4" w:color="auto"/>
        </w:pBdr>
        <w:tabs>
          <w:tab w:val="left" w:pos="567"/>
        </w:tabs>
        <w:outlineLvl w:val="0"/>
        <w:rPr>
          <w:snapToGrid w:val="0"/>
          <w:sz w:val="22"/>
          <w:szCs w:val="24"/>
        </w:rPr>
      </w:pPr>
      <w:r w:rsidRPr="00BF4AB8">
        <w:rPr>
          <w:b/>
          <w:snapToGrid w:val="0"/>
          <w:sz w:val="22"/>
          <w:szCs w:val="24"/>
        </w:rPr>
        <w:t>14.</w:t>
      </w:r>
      <w:r w:rsidRPr="00BF4AB8">
        <w:rPr>
          <w:b/>
          <w:snapToGrid w:val="0"/>
          <w:sz w:val="22"/>
          <w:szCs w:val="24"/>
        </w:rPr>
        <w:tab/>
        <w:t>PARDAVIMO (IŠDAVIMO) TVARKA</w:t>
      </w:r>
    </w:p>
    <w:p w14:paraId="5F7CE6E1" w14:textId="77777777" w:rsidR="005D554B" w:rsidRDefault="005D554B" w:rsidP="005D554B">
      <w:pPr>
        <w:tabs>
          <w:tab w:val="left" w:pos="567"/>
        </w:tabs>
        <w:spacing w:line="260" w:lineRule="exact"/>
        <w:rPr>
          <w:snapToGrid w:val="0"/>
          <w:sz w:val="22"/>
          <w:szCs w:val="24"/>
        </w:rPr>
      </w:pPr>
    </w:p>
    <w:p w14:paraId="2B91FB6D" w14:textId="73B1DF0D" w:rsidR="004B770C" w:rsidRDefault="004B770C" w:rsidP="005D554B">
      <w:pPr>
        <w:tabs>
          <w:tab w:val="left" w:pos="567"/>
        </w:tabs>
        <w:spacing w:line="260" w:lineRule="exact"/>
        <w:rPr>
          <w:snapToGrid w:val="0"/>
          <w:sz w:val="22"/>
          <w:szCs w:val="24"/>
        </w:rPr>
      </w:pPr>
      <w:r>
        <w:rPr>
          <w:snapToGrid w:val="0"/>
          <w:sz w:val="22"/>
          <w:szCs w:val="24"/>
        </w:rPr>
        <w:t>Receptinis vaistas</w:t>
      </w:r>
    </w:p>
    <w:p w14:paraId="30420EA9" w14:textId="77777777" w:rsidR="004B770C" w:rsidRPr="00BF4AB8" w:rsidRDefault="004B770C" w:rsidP="005D554B">
      <w:pPr>
        <w:tabs>
          <w:tab w:val="left" w:pos="567"/>
        </w:tabs>
        <w:spacing w:line="260" w:lineRule="exact"/>
        <w:rPr>
          <w:snapToGrid w:val="0"/>
          <w:sz w:val="22"/>
          <w:szCs w:val="24"/>
        </w:rPr>
      </w:pPr>
    </w:p>
    <w:p w14:paraId="0309C687" w14:textId="77777777" w:rsidR="005D554B" w:rsidRPr="00BF4AB8" w:rsidRDefault="005D554B" w:rsidP="005D554B">
      <w:pPr>
        <w:tabs>
          <w:tab w:val="left" w:pos="567"/>
        </w:tabs>
        <w:spacing w:line="260" w:lineRule="exact"/>
        <w:rPr>
          <w:snapToGrid w:val="0"/>
          <w:sz w:val="22"/>
          <w:szCs w:val="24"/>
        </w:rPr>
      </w:pPr>
    </w:p>
    <w:p w14:paraId="2911DC98" w14:textId="77777777" w:rsidR="005D554B" w:rsidRPr="00BF4AB8" w:rsidRDefault="005D554B" w:rsidP="005D554B">
      <w:pPr>
        <w:pBdr>
          <w:top w:val="single" w:sz="4" w:space="2" w:color="auto"/>
          <w:left w:val="single" w:sz="4" w:space="4" w:color="auto"/>
          <w:bottom w:val="single" w:sz="4" w:space="1" w:color="auto"/>
          <w:right w:val="single" w:sz="4" w:space="4" w:color="auto"/>
        </w:pBdr>
        <w:tabs>
          <w:tab w:val="left" w:pos="567"/>
        </w:tabs>
        <w:outlineLvl w:val="0"/>
        <w:rPr>
          <w:snapToGrid w:val="0"/>
          <w:sz w:val="22"/>
          <w:szCs w:val="24"/>
        </w:rPr>
      </w:pPr>
      <w:r w:rsidRPr="00BF4AB8">
        <w:rPr>
          <w:b/>
          <w:snapToGrid w:val="0"/>
          <w:sz w:val="22"/>
          <w:szCs w:val="24"/>
        </w:rPr>
        <w:t>15.</w:t>
      </w:r>
      <w:r w:rsidRPr="00BF4AB8">
        <w:rPr>
          <w:b/>
          <w:snapToGrid w:val="0"/>
          <w:sz w:val="22"/>
          <w:szCs w:val="24"/>
        </w:rPr>
        <w:tab/>
        <w:t>VARTOJIMO INSTRUKCIJA</w:t>
      </w:r>
    </w:p>
    <w:p w14:paraId="2D488BDD" w14:textId="77777777" w:rsidR="005D554B" w:rsidRPr="00BF4AB8" w:rsidRDefault="005D554B" w:rsidP="005D554B">
      <w:pPr>
        <w:tabs>
          <w:tab w:val="left" w:pos="567"/>
        </w:tabs>
        <w:spacing w:line="260" w:lineRule="exact"/>
        <w:rPr>
          <w:snapToGrid w:val="0"/>
          <w:sz w:val="22"/>
          <w:szCs w:val="24"/>
        </w:rPr>
      </w:pPr>
    </w:p>
    <w:p w14:paraId="532A6331" w14:textId="77777777" w:rsidR="005D554B" w:rsidRPr="00BF4AB8" w:rsidRDefault="005D554B" w:rsidP="005D554B">
      <w:pPr>
        <w:tabs>
          <w:tab w:val="left" w:pos="567"/>
        </w:tabs>
        <w:spacing w:line="260" w:lineRule="exact"/>
        <w:rPr>
          <w:snapToGrid w:val="0"/>
          <w:sz w:val="22"/>
          <w:szCs w:val="24"/>
        </w:rPr>
      </w:pPr>
    </w:p>
    <w:p w14:paraId="1C2C3AB3" w14:textId="77777777" w:rsidR="005D554B" w:rsidRPr="00BF4AB8" w:rsidRDefault="005D554B" w:rsidP="005D554B">
      <w:pPr>
        <w:pBdr>
          <w:top w:val="single" w:sz="4" w:space="1" w:color="auto"/>
          <w:left w:val="single" w:sz="4" w:space="4" w:color="auto"/>
          <w:bottom w:val="single" w:sz="4" w:space="0" w:color="auto"/>
          <w:right w:val="single" w:sz="4" w:space="4" w:color="auto"/>
        </w:pBdr>
        <w:tabs>
          <w:tab w:val="left" w:pos="567"/>
        </w:tabs>
        <w:rPr>
          <w:snapToGrid w:val="0"/>
          <w:color w:val="008000"/>
          <w:sz w:val="22"/>
          <w:szCs w:val="24"/>
        </w:rPr>
      </w:pPr>
      <w:r w:rsidRPr="00BF4AB8">
        <w:rPr>
          <w:b/>
          <w:snapToGrid w:val="0"/>
          <w:sz w:val="22"/>
          <w:szCs w:val="24"/>
        </w:rPr>
        <w:t>16.</w:t>
      </w:r>
      <w:r w:rsidRPr="00BF4AB8">
        <w:rPr>
          <w:b/>
          <w:snapToGrid w:val="0"/>
          <w:sz w:val="22"/>
          <w:szCs w:val="24"/>
        </w:rPr>
        <w:tab/>
        <w:t>INFORMACIJA BRAILIO RAŠTU</w:t>
      </w:r>
    </w:p>
    <w:p w14:paraId="67D4AE15" w14:textId="77777777" w:rsidR="005D554B" w:rsidRPr="00BF4AB8" w:rsidRDefault="005D554B" w:rsidP="005D554B">
      <w:pPr>
        <w:tabs>
          <w:tab w:val="left" w:pos="567"/>
        </w:tabs>
        <w:spacing w:line="260" w:lineRule="exact"/>
        <w:rPr>
          <w:snapToGrid w:val="0"/>
          <w:sz w:val="22"/>
          <w:szCs w:val="24"/>
        </w:rPr>
      </w:pPr>
    </w:p>
    <w:p w14:paraId="2CCDA7AC" w14:textId="63ED3521" w:rsidR="005D554B" w:rsidRPr="00BF4AB8" w:rsidRDefault="00D35FC0" w:rsidP="005D554B">
      <w:pPr>
        <w:tabs>
          <w:tab w:val="left" w:pos="567"/>
        </w:tabs>
        <w:spacing w:line="260" w:lineRule="exact"/>
        <w:rPr>
          <w:snapToGrid w:val="0"/>
          <w:sz w:val="22"/>
          <w:szCs w:val="24"/>
        </w:rPr>
      </w:pPr>
      <w:proofErr w:type="spellStart"/>
      <w:r w:rsidRPr="00BF4AB8">
        <w:rPr>
          <w:sz w:val="22"/>
          <w:szCs w:val="22"/>
        </w:rPr>
        <w:t>Nytyka</w:t>
      </w:r>
      <w:proofErr w:type="spellEnd"/>
      <w:r w:rsidRPr="00BF4AB8">
        <w:rPr>
          <w:sz w:val="22"/>
          <w:szCs w:val="22"/>
        </w:rPr>
        <w:t xml:space="preserve"> 100 mg</w:t>
      </w:r>
    </w:p>
    <w:p w14:paraId="68A63884" w14:textId="77777777" w:rsidR="005D554B" w:rsidRDefault="005D554B" w:rsidP="005D554B">
      <w:pPr>
        <w:tabs>
          <w:tab w:val="left" w:pos="567"/>
        </w:tabs>
        <w:spacing w:line="260" w:lineRule="exact"/>
        <w:rPr>
          <w:sz w:val="22"/>
          <w:szCs w:val="22"/>
          <w:shd w:val="clear" w:color="auto" w:fill="CCCCCC"/>
        </w:rPr>
      </w:pPr>
    </w:p>
    <w:p w14:paraId="1D014A13" w14:textId="77777777" w:rsidR="004B770C" w:rsidRPr="00BF4AB8" w:rsidRDefault="004B770C" w:rsidP="005D554B">
      <w:pPr>
        <w:tabs>
          <w:tab w:val="left" w:pos="567"/>
        </w:tabs>
        <w:spacing w:line="260" w:lineRule="exact"/>
        <w:rPr>
          <w:sz w:val="22"/>
          <w:szCs w:val="22"/>
          <w:shd w:val="clear" w:color="auto" w:fill="CCCCCC"/>
        </w:rPr>
      </w:pPr>
    </w:p>
    <w:p w14:paraId="4BD30149" w14:textId="77777777" w:rsidR="005D554B" w:rsidRPr="00BF4AB8" w:rsidRDefault="005D554B" w:rsidP="005D554B">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snapToGrid w:val="0"/>
          <w:sz w:val="22"/>
          <w:szCs w:val="24"/>
        </w:rPr>
      </w:pPr>
      <w:r w:rsidRPr="00BF4AB8">
        <w:rPr>
          <w:b/>
          <w:snapToGrid w:val="0"/>
          <w:sz w:val="22"/>
        </w:rPr>
        <w:t>17.</w:t>
      </w:r>
      <w:r w:rsidRPr="00BF4AB8">
        <w:rPr>
          <w:b/>
          <w:snapToGrid w:val="0"/>
          <w:sz w:val="22"/>
        </w:rPr>
        <w:tab/>
        <w:t>UNIKALUS IDENTIFIKATORIUS – 2D BRŪKŠNINIS KODAS</w:t>
      </w:r>
    </w:p>
    <w:p w14:paraId="78E5257B" w14:textId="77777777" w:rsidR="005D554B" w:rsidRPr="00BF4AB8" w:rsidRDefault="005D554B" w:rsidP="005D554B">
      <w:pPr>
        <w:tabs>
          <w:tab w:val="left" w:pos="567"/>
        </w:tabs>
        <w:spacing w:line="260" w:lineRule="exact"/>
        <w:rPr>
          <w:snapToGrid w:val="0"/>
          <w:sz w:val="22"/>
        </w:rPr>
      </w:pPr>
    </w:p>
    <w:p w14:paraId="09DBE955" w14:textId="36C89FCF" w:rsidR="005D554B" w:rsidRPr="00BF4AB8" w:rsidRDefault="005D554B" w:rsidP="005D554B">
      <w:pPr>
        <w:tabs>
          <w:tab w:val="left" w:pos="567"/>
        </w:tabs>
        <w:spacing w:line="260" w:lineRule="exact"/>
        <w:rPr>
          <w:snapToGrid w:val="0"/>
          <w:sz w:val="22"/>
          <w:szCs w:val="22"/>
          <w:shd w:val="clear" w:color="auto" w:fill="CCCCCC"/>
        </w:rPr>
      </w:pPr>
      <w:r w:rsidRPr="00BF4AB8">
        <w:rPr>
          <w:snapToGrid w:val="0"/>
          <w:sz w:val="22"/>
          <w:highlight w:val="lightGray"/>
        </w:rPr>
        <w:t>2D brūkšninis kodas su nurodytu unikaliu identifikatoriumi.</w:t>
      </w:r>
    </w:p>
    <w:p w14:paraId="549308EA" w14:textId="77777777" w:rsidR="005D554B" w:rsidRPr="00BF4AB8" w:rsidRDefault="005D554B" w:rsidP="005D554B">
      <w:pPr>
        <w:tabs>
          <w:tab w:val="left" w:pos="567"/>
        </w:tabs>
        <w:spacing w:line="260" w:lineRule="exact"/>
        <w:rPr>
          <w:snapToGrid w:val="0"/>
          <w:sz w:val="22"/>
          <w:szCs w:val="22"/>
          <w:shd w:val="clear" w:color="auto" w:fill="CCCCCC"/>
        </w:rPr>
      </w:pPr>
    </w:p>
    <w:p w14:paraId="2040BCB8" w14:textId="77777777" w:rsidR="005D554B" w:rsidRPr="00BF4AB8" w:rsidRDefault="005D554B" w:rsidP="005D554B">
      <w:pPr>
        <w:tabs>
          <w:tab w:val="left" w:pos="567"/>
        </w:tabs>
        <w:spacing w:line="260" w:lineRule="exact"/>
        <w:rPr>
          <w:snapToGrid w:val="0"/>
          <w:sz w:val="22"/>
        </w:rPr>
      </w:pPr>
    </w:p>
    <w:p w14:paraId="6E94B3BC" w14:textId="77777777" w:rsidR="005D554B" w:rsidRPr="00BF4AB8" w:rsidRDefault="005D554B" w:rsidP="005D554B">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snapToGrid w:val="0"/>
          <w:sz w:val="22"/>
        </w:rPr>
      </w:pPr>
      <w:r w:rsidRPr="00BF4AB8">
        <w:rPr>
          <w:b/>
          <w:snapToGrid w:val="0"/>
          <w:sz w:val="22"/>
        </w:rPr>
        <w:t>18.</w:t>
      </w:r>
      <w:r w:rsidRPr="00BF4AB8">
        <w:rPr>
          <w:b/>
          <w:snapToGrid w:val="0"/>
          <w:sz w:val="22"/>
        </w:rPr>
        <w:tab/>
        <w:t>UNIKALUS IDENTIFIKATORIUS – ŽMONĖMS SUPRANTAMI DUOMENYS</w:t>
      </w:r>
    </w:p>
    <w:p w14:paraId="59C02BC8" w14:textId="77777777" w:rsidR="005D554B" w:rsidRPr="00BF4AB8" w:rsidRDefault="005D554B" w:rsidP="005D554B">
      <w:pPr>
        <w:tabs>
          <w:tab w:val="left" w:pos="567"/>
        </w:tabs>
        <w:spacing w:line="260" w:lineRule="exact"/>
        <w:rPr>
          <w:snapToGrid w:val="0"/>
          <w:sz w:val="22"/>
        </w:rPr>
      </w:pPr>
    </w:p>
    <w:p w14:paraId="0AB6FF8F" w14:textId="77777777" w:rsidR="00D35FC0" w:rsidRPr="00BF4AB8" w:rsidRDefault="005D554B" w:rsidP="005D554B">
      <w:pPr>
        <w:tabs>
          <w:tab w:val="left" w:pos="567"/>
        </w:tabs>
        <w:spacing w:line="260" w:lineRule="exact"/>
        <w:rPr>
          <w:snapToGrid w:val="0"/>
          <w:sz w:val="22"/>
        </w:rPr>
      </w:pPr>
      <w:r w:rsidRPr="00BF4AB8">
        <w:rPr>
          <w:snapToGrid w:val="0"/>
          <w:sz w:val="22"/>
        </w:rPr>
        <w:t>PC</w:t>
      </w:r>
    </w:p>
    <w:p w14:paraId="4E48C506" w14:textId="77777777" w:rsidR="00D35FC0" w:rsidRPr="00BF4AB8" w:rsidRDefault="005D554B" w:rsidP="005D554B">
      <w:pPr>
        <w:tabs>
          <w:tab w:val="left" w:pos="567"/>
        </w:tabs>
        <w:spacing w:line="260" w:lineRule="exact"/>
        <w:rPr>
          <w:snapToGrid w:val="0"/>
          <w:sz w:val="22"/>
        </w:rPr>
      </w:pPr>
      <w:r w:rsidRPr="00BF4AB8">
        <w:rPr>
          <w:snapToGrid w:val="0"/>
          <w:sz w:val="22"/>
        </w:rPr>
        <w:t>SN</w:t>
      </w:r>
    </w:p>
    <w:p w14:paraId="28111C9B" w14:textId="77777777" w:rsidR="00D35FC0" w:rsidRPr="00BF4AB8" w:rsidRDefault="005D554B" w:rsidP="005D554B">
      <w:pPr>
        <w:tabs>
          <w:tab w:val="left" w:pos="567"/>
        </w:tabs>
        <w:spacing w:line="260" w:lineRule="exact"/>
        <w:rPr>
          <w:snapToGrid w:val="0"/>
          <w:sz w:val="22"/>
        </w:rPr>
      </w:pPr>
      <w:r w:rsidRPr="00BF4AB8">
        <w:rPr>
          <w:snapToGrid w:val="0"/>
          <w:sz w:val="22"/>
        </w:rPr>
        <w:t>NN</w:t>
      </w:r>
    </w:p>
    <w:p w14:paraId="19383B16" w14:textId="77777777" w:rsidR="00C710D9" w:rsidRPr="00BF4AB8" w:rsidRDefault="00C710D9" w:rsidP="00C710D9">
      <w:pPr>
        <w:tabs>
          <w:tab w:val="left" w:pos="567"/>
        </w:tabs>
        <w:spacing w:line="260" w:lineRule="exact"/>
        <w:rPr>
          <w:snapToGrid w:val="0"/>
          <w:sz w:val="22"/>
          <w:szCs w:val="24"/>
        </w:rPr>
      </w:pPr>
      <w:r w:rsidRPr="00BF4AB8">
        <w:rPr>
          <w:snapToGrid w:val="0"/>
          <w:sz w:val="22"/>
          <w:szCs w:val="24"/>
        </w:rPr>
        <w:br w:type="page"/>
      </w:r>
    </w:p>
    <w:p w14:paraId="1D3F85A0" w14:textId="77777777" w:rsidR="00C710D9" w:rsidRPr="00BF4AB8" w:rsidRDefault="00C710D9" w:rsidP="00C710D9">
      <w:pPr>
        <w:pBdr>
          <w:top w:val="single" w:sz="4" w:space="1" w:color="auto"/>
          <w:left w:val="single" w:sz="4" w:space="4" w:color="auto"/>
          <w:bottom w:val="single" w:sz="4" w:space="1" w:color="auto"/>
          <w:right w:val="single" w:sz="4" w:space="4" w:color="auto"/>
        </w:pBdr>
        <w:tabs>
          <w:tab w:val="left" w:pos="567"/>
        </w:tabs>
        <w:rPr>
          <w:b/>
          <w:snapToGrid w:val="0"/>
          <w:sz w:val="22"/>
          <w:szCs w:val="24"/>
        </w:rPr>
      </w:pPr>
      <w:r w:rsidRPr="00BF4AB8">
        <w:rPr>
          <w:b/>
          <w:snapToGrid w:val="0"/>
          <w:sz w:val="22"/>
          <w:szCs w:val="24"/>
        </w:rPr>
        <w:lastRenderedPageBreak/>
        <w:t>INFORMACIJA ANT IŠORINĖS PAKUOTĖS</w:t>
      </w:r>
    </w:p>
    <w:p w14:paraId="28F5FB4E" w14:textId="77777777" w:rsidR="00C710D9" w:rsidRPr="00BF4AB8" w:rsidRDefault="00C710D9" w:rsidP="00C710D9">
      <w:pPr>
        <w:pBdr>
          <w:top w:val="single" w:sz="4" w:space="1" w:color="auto"/>
          <w:left w:val="single" w:sz="4" w:space="4" w:color="auto"/>
          <w:bottom w:val="single" w:sz="4" w:space="1" w:color="auto"/>
          <w:right w:val="single" w:sz="4" w:space="4" w:color="auto"/>
        </w:pBdr>
        <w:tabs>
          <w:tab w:val="left" w:pos="567"/>
        </w:tabs>
        <w:ind w:left="567" w:hanging="567"/>
        <w:rPr>
          <w:b/>
          <w:snapToGrid w:val="0"/>
          <w:sz w:val="22"/>
          <w:szCs w:val="24"/>
        </w:rPr>
      </w:pPr>
    </w:p>
    <w:p w14:paraId="7FB6B14E" w14:textId="77777777" w:rsidR="00C710D9" w:rsidRPr="00BF4AB8" w:rsidRDefault="00C710D9" w:rsidP="00C710D9">
      <w:pPr>
        <w:pBdr>
          <w:top w:val="single" w:sz="4" w:space="1" w:color="auto"/>
          <w:left w:val="single" w:sz="4" w:space="4" w:color="auto"/>
          <w:bottom w:val="single" w:sz="4" w:space="1" w:color="auto"/>
          <w:right w:val="single" w:sz="4" w:space="4" w:color="auto"/>
        </w:pBdr>
        <w:tabs>
          <w:tab w:val="left" w:pos="567"/>
        </w:tabs>
        <w:rPr>
          <w:b/>
          <w:snapToGrid w:val="0"/>
          <w:sz w:val="22"/>
          <w:szCs w:val="24"/>
        </w:rPr>
      </w:pPr>
      <w:r w:rsidRPr="00BF4AB8">
        <w:rPr>
          <w:b/>
          <w:snapToGrid w:val="0"/>
          <w:sz w:val="22"/>
          <w:szCs w:val="24"/>
        </w:rPr>
        <w:t>IŠORINĖ DĖŽUTĖ</w:t>
      </w:r>
    </w:p>
    <w:p w14:paraId="1EBCF29A" w14:textId="77777777" w:rsidR="00C710D9" w:rsidRPr="00BF4AB8" w:rsidRDefault="00C710D9" w:rsidP="00C710D9">
      <w:pPr>
        <w:tabs>
          <w:tab w:val="left" w:pos="567"/>
        </w:tabs>
        <w:spacing w:line="260" w:lineRule="exact"/>
        <w:rPr>
          <w:snapToGrid w:val="0"/>
          <w:sz w:val="22"/>
          <w:szCs w:val="24"/>
        </w:rPr>
      </w:pPr>
    </w:p>
    <w:p w14:paraId="51B3BBC3" w14:textId="77777777" w:rsidR="00C710D9" w:rsidRPr="00BF4AB8" w:rsidRDefault="00C710D9" w:rsidP="00C710D9">
      <w:pPr>
        <w:tabs>
          <w:tab w:val="left" w:pos="567"/>
        </w:tabs>
        <w:spacing w:line="260" w:lineRule="exact"/>
        <w:rPr>
          <w:snapToGrid w:val="0"/>
          <w:sz w:val="22"/>
          <w:szCs w:val="24"/>
        </w:rPr>
      </w:pPr>
    </w:p>
    <w:p w14:paraId="7736FC0E" w14:textId="77777777" w:rsidR="00C710D9" w:rsidRPr="00BF4AB8" w:rsidRDefault="00C710D9" w:rsidP="00C710D9">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BF4AB8">
        <w:rPr>
          <w:b/>
          <w:snapToGrid w:val="0"/>
          <w:sz w:val="22"/>
          <w:szCs w:val="24"/>
        </w:rPr>
        <w:t>1.</w:t>
      </w:r>
      <w:r w:rsidRPr="00BF4AB8">
        <w:rPr>
          <w:b/>
          <w:snapToGrid w:val="0"/>
          <w:sz w:val="22"/>
          <w:szCs w:val="24"/>
        </w:rPr>
        <w:tab/>
      </w:r>
      <w:r w:rsidRPr="00BF4AB8">
        <w:rPr>
          <w:b/>
          <w:caps/>
          <w:snapToGrid w:val="0"/>
          <w:sz w:val="22"/>
          <w:szCs w:val="24"/>
        </w:rPr>
        <w:t>VAISTINIO</w:t>
      </w:r>
      <w:r w:rsidRPr="00BF4AB8">
        <w:rPr>
          <w:b/>
          <w:snapToGrid w:val="0"/>
          <w:sz w:val="22"/>
          <w:szCs w:val="24"/>
        </w:rPr>
        <w:t xml:space="preserve"> PREPARATO PAVADINIMAS</w:t>
      </w:r>
    </w:p>
    <w:p w14:paraId="1370AB96" w14:textId="77777777" w:rsidR="00C710D9" w:rsidRPr="00BF4AB8" w:rsidRDefault="00C710D9" w:rsidP="00C710D9">
      <w:pPr>
        <w:tabs>
          <w:tab w:val="left" w:pos="567"/>
        </w:tabs>
        <w:spacing w:line="260" w:lineRule="exact"/>
        <w:rPr>
          <w:snapToGrid w:val="0"/>
          <w:sz w:val="22"/>
          <w:szCs w:val="24"/>
        </w:rPr>
      </w:pPr>
    </w:p>
    <w:p w14:paraId="64734EC4" w14:textId="29D5F02E" w:rsidR="00C710D9" w:rsidRPr="00BF4AB8" w:rsidRDefault="00C710D9" w:rsidP="00C710D9">
      <w:pPr>
        <w:rPr>
          <w:sz w:val="22"/>
          <w:szCs w:val="22"/>
        </w:rPr>
      </w:pPr>
      <w:proofErr w:type="spellStart"/>
      <w:r w:rsidRPr="00BF4AB8">
        <w:rPr>
          <w:sz w:val="22"/>
          <w:szCs w:val="22"/>
        </w:rPr>
        <w:t>Nytyka</w:t>
      </w:r>
      <w:proofErr w:type="spellEnd"/>
      <w:r w:rsidRPr="00BF4AB8">
        <w:rPr>
          <w:sz w:val="22"/>
          <w:szCs w:val="22"/>
        </w:rPr>
        <w:t xml:space="preserve"> 150 mg minkštosios kapsulės</w:t>
      </w:r>
    </w:p>
    <w:p w14:paraId="36A194AA" w14:textId="2A2407E0" w:rsidR="00C710D9" w:rsidRPr="00C425CB" w:rsidRDefault="00C710D9" w:rsidP="00C710D9">
      <w:pPr>
        <w:tabs>
          <w:tab w:val="left" w:pos="567"/>
        </w:tabs>
        <w:spacing w:line="260" w:lineRule="exact"/>
        <w:rPr>
          <w:i/>
          <w:iCs/>
          <w:snapToGrid w:val="0"/>
          <w:sz w:val="22"/>
          <w:szCs w:val="24"/>
        </w:rPr>
      </w:pPr>
      <w:proofErr w:type="spellStart"/>
      <w:r w:rsidRPr="00C425CB">
        <w:rPr>
          <w:i/>
          <w:iCs/>
          <w:snapToGrid w:val="0"/>
          <w:sz w:val="22"/>
          <w:szCs w:val="24"/>
        </w:rPr>
        <w:t>nintedanib</w:t>
      </w:r>
      <w:r w:rsidR="00C425CB">
        <w:rPr>
          <w:i/>
          <w:iCs/>
          <w:snapToGrid w:val="0"/>
          <w:sz w:val="22"/>
          <w:szCs w:val="24"/>
        </w:rPr>
        <w:t>um</w:t>
      </w:r>
      <w:proofErr w:type="spellEnd"/>
    </w:p>
    <w:p w14:paraId="6FD100F7" w14:textId="77777777" w:rsidR="00C710D9" w:rsidRPr="00BF4AB8" w:rsidRDefault="00C710D9" w:rsidP="00C710D9">
      <w:pPr>
        <w:tabs>
          <w:tab w:val="left" w:pos="567"/>
        </w:tabs>
        <w:spacing w:line="260" w:lineRule="exact"/>
        <w:rPr>
          <w:snapToGrid w:val="0"/>
          <w:sz w:val="22"/>
          <w:szCs w:val="24"/>
        </w:rPr>
      </w:pPr>
    </w:p>
    <w:p w14:paraId="401F0150" w14:textId="77777777" w:rsidR="00C710D9" w:rsidRPr="00BF4AB8" w:rsidRDefault="00C710D9" w:rsidP="00C710D9">
      <w:pPr>
        <w:tabs>
          <w:tab w:val="left" w:pos="567"/>
        </w:tabs>
        <w:spacing w:line="260" w:lineRule="exact"/>
        <w:rPr>
          <w:snapToGrid w:val="0"/>
          <w:sz w:val="22"/>
          <w:szCs w:val="24"/>
        </w:rPr>
      </w:pPr>
    </w:p>
    <w:p w14:paraId="00821E07" w14:textId="77777777" w:rsidR="00C710D9" w:rsidRPr="00BF4AB8" w:rsidRDefault="00C710D9" w:rsidP="00C710D9">
      <w:pPr>
        <w:pBdr>
          <w:top w:val="single" w:sz="4" w:space="1" w:color="auto"/>
          <w:left w:val="single" w:sz="4" w:space="4" w:color="auto"/>
          <w:bottom w:val="single" w:sz="4" w:space="1" w:color="auto"/>
          <w:right w:val="single" w:sz="4" w:space="4" w:color="auto"/>
        </w:pBdr>
        <w:tabs>
          <w:tab w:val="left" w:pos="567"/>
        </w:tabs>
        <w:ind w:left="567" w:hanging="567"/>
        <w:outlineLvl w:val="0"/>
        <w:rPr>
          <w:b/>
          <w:snapToGrid w:val="0"/>
          <w:sz w:val="22"/>
          <w:szCs w:val="24"/>
        </w:rPr>
      </w:pPr>
      <w:r w:rsidRPr="00BF4AB8">
        <w:rPr>
          <w:b/>
          <w:snapToGrid w:val="0"/>
          <w:sz w:val="22"/>
          <w:szCs w:val="24"/>
        </w:rPr>
        <w:t>2.</w:t>
      </w:r>
      <w:r w:rsidRPr="00BF4AB8">
        <w:rPr>
          <w:b/>
          <w:snapToGrid w:val="0"/>
          <w:sz w:val="22"/>
          <w:szCs w:val="24"/>
        </w:rPr>
        <w:tab/>
        <w:t>VEIKLIOJI (-IOS) MEDŽIAGA (-OS) IR JOS (-Ų) KIEKIS (-IAI)</w:t>
      </w:r>
    </w:p>
    <w:p w14:paraId="1AC69C5B" w14:textId="77777777" w:rsidR="00C710D9" w:rsidRPr="00BF4AB8" w:rsidRDefault="00C710D9" w:rsidP="00C710D9">
      <w:pPr>
        <w:tabs>
          <w:tab w:val="left" w:pos="567"/>
        </w:tabs>
        <w:spacing w:line="260" w:lineRule="exact"/>
        <w:rPr>
          <w:snapToGrid w:val="0"/>
          <w:sz w:val="22"/>
          <w:szCs w:val="24"/>
        </w:rPr>
      </w:pPr>
    </w:p>
    <w:p w14:paraId="5069102C" w14:textId="37D9E95B" w:rsidR="00C710D9" w:rsidRPr="00BF4AB8" w:rsidRDefault="00C710D9" w:rsidP="00C710D9">
      <w:pPr>
        <w:tabs>
          <w:tab w:val="left" w:pos="567"/>
        </w:tabs>
        <w:rPr>
          <w:sz w:val="22"/>
        </w:rPr>
      </w:pPr>
      <w:r w:rsidRPr="00BF4AB8">
        <w:rPr>
          <w:sz w:val="22"/>
        </w:rPr>
        <w:t xml:space="preserve">Kiekvienoje kapsulėje yra 150 mg </w:t>
      </w:r>
      <w:proofErr w:type="spellStart"/>
      <w:r w:rsidRPr="00BF4AB8">
        <w:rPr>
          <w:sz w:val="22"/>
        </w:rPr>
        <w:t>nintedanibo</w:t>
      </w:r>
      <w:proofErr w:type="spellEnd"/>
      <w:r w:rsidRPr="00BF4AB8">
        <w:rPr>
          <w:sz w:val="22"/>
        </w:rPr>
        <w:t xml:space="preserve"> (</w:t>
      </w:r>
      <w:proofErr w:type="spellStart"/>
      <w:r w:rsidRPr="00BF4AB8">
        <w:rPr>
          <w:sz w:val="22"/>
        </w:rPr>
        <w:t>esilato</w:t>
      </w:r>
      <w:proofErr w:type="spellEnd"/>
      <w:r w:rsidRPr="00BF4AB8">
        <w:rPr>
          <w:sz w:val="22"/>
        </w:rPr>
        <w:t xml:space="preserve"> forma)</w:t>
      </w:r>
    </w:p>
    <w:p w14:paraId="699E4767" w14:textId="77777777" w:rsidR="00C710D9" w:rsidRPr="00BF4AB8" w:rsidRDefault="00C710D9" w:rsidP="00C710D9">
      <w:pPr>
        <w:tabs>
          <w:tab w:val="left" w:pos="567"/>
        </w:tabs>
        <w:rPr>
          <w:sz w:val="22"/>
        </w:rPr>
      </w:pPr>
    </w:p>
    <w:p w14:paraId="782633A6" w14:textId="77777777" w:rsidR="00C710D9" w:rsidRPr="00BF4AB8" w:rsidRDefault="00C710D9" w:rsidP="00C710D9">
      <w:pPr>
        <w:tabs>
          <w:tab w:val="left" w:pos="567"/>
        </w:tabs>
        <w:spacing w:line="260" w:lineRule="exact"/>
        <w:rPr>
          <w:snapToGrid w:val="0"/>
          <w:sz w:val="22"/>
          <w:szCs w:val="24"/>
        </w:rPr>
      </w:pPr>
    </w:p>
    <w:p w14:paraId="6C986375" w14:textId="77777777" w:rsidR="00C710D9" w:rsidRPr="00BF4AB8" w:rsidRDefault="00C710D9" w:rsidP="00C710D9">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BF4AB8">
        <w:rPr>
          <w:b/>
          <w:snapToGrid w:val="0"/>
          <w:sz w:val="22"/>
          <w:szCs w:val="24"/>
        </w:rPr>
        <w:t>3.</w:t>
      </w:r>
      <w:r w:rsidRPr="00BF4AB8">
        <w:rPr>
          <w:b/>
          <w:snapToGrid w:val="0"/>
          <w:sz w:val="22"/>
          <w:szCs w:val="24"/>
        </w:rPr>
        <w:tab/>
        <w:t>PAGALBINIŲ MEDŽIAGŲ SĄRAŠAS</w:t>
      </w:r>
    </w:p>
    <w:p w14:paraId="2D2C7EF5" w14:textId="77777777" w:rsidR="00C710D9" w:rsidRPr="00BF4AB8" w:rsidRDefault="00C710D9" w:rsidP="00C710D9">
      <w:pPr>
        <w:tabs>
          <w:tab w:val="left" w:pos="567"/>
        </w:tabs>
        <w:spacing w:line="260" w:lineRule="exact"/>
        <w:rPr>
          <w:snapToGrid w:val="0"/>
          <w:sz w:val="22"/>
          <w:szCs w:val="24"/>
        </w:rPr>
      </w:pPr>
    </w:p>
    <w:p w14:paraId="1F0F55CC" w14:textId="77777777" w:rsidR="00C710D9" w:rsidRPr="00BF4AB8" w:rsidRDefault="00C710D9" w:rsidP="00C710D9">
      <w:pPr>
        <w:tabs>
          <w:tab w:val="left" w:pos="567"/>
        </w:tabs>
        <w:spacing w:line="260" w:lineRule="exact"/>
        <w:rPr>
          <w:snapToGrid w:val="0"/>
          <w:sz w:val="22"/>
          <w:szCs w:val="24"/>
        </w:rPr>
      </w:pPr>
    </w:p>
    <w:p w14:paraId="2A5B2FF4" w14:textId="77777777" w:rsidR="00C710D9" w:rsidRPr="00BF4AB8" w:rsidRDefault="00C710D9" w:rsidP="00C710D9">
      <w:pPr>
        <w:tabs>
          <w:tab w:val="left" w:pos="567"/>
        </w:tabs>
        <w:spacing w:line="260" w:lineRule="exact"/>
        <w:rPr>
          <w:snapToGrid w:val="0"/>
          <w:sz w:val="22"/>
          <w:szCs w:val="24"/>
        </w:rPr>
      </w:pPr>
    </w:p>
    <w:p w14:paraId="074B6A01" w14:textId="77777777" w:rsidR="00C710D9" w:rsidRPr="00BF4AB8" w:rsidRDefault="00C710D9" w:rsidP="00C710D9">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BF4AB8">
        <w:rPr>
          <w:b/>
          <w:snapToGrid w:val="0"/>
          <w:sz w:val="22"/>
          <w:szCs w:val="24"/>
        </w:rPr>
        <w:t>4.</w:t>
      </w:r>
      <w:r w:rsidRPr="00BF4AB8">
        <w:rPr>
          <w:b/>
          <w:snapToGrid w:val="0"/>
          <w:sz w:val="22"/>
          <w:szCs w:val="24"/>
        </w:rPr>
        <w:tab/>
        <w:t>FARMACINĖ FORMA IR KIEKIS PAKUOTĖJE</w:t>
      </w:r>
    </w:p>
    <w:p w14:paraId="732E4AFA" w14:textId="77777777" w:rsidR="00C710D9" w:rsidRPr="00BF4AB8" w:rsidRDefault="00C710D9" w:rsidP="00C710D9">
      <w:pPr>
        <w:tabs>
          <w:tab w:val="left" w:pos="567"/>
        </w:tabs>
        <w:spacing w:line="260" w:lineRule="exact"/>
        <w:rPr>
          <w:snapToGrid w:val="0"/>
          <w:sz w:val="22"/>
          <w:szCs w:val="24"/>
        </w:rPr>
      </w:pPr>
    </w:p>
    <w:p w14:paraId="3F68DDE3" w14:textId="05E56048" w:rsidR="00C710D9" w:rsidRPr="00BF4AB8" w:rsidRDefault="00C710D9" w:rsidP="00C710D9">
      <w:pPr>
        <w:tabs>
          <w:tab w:val="left" w:pos="567"/>
        </w:tabs>
        <w:spacing w:line="260" w:lineRule="exact"/>
        <w:rPr>
          <w:snapToGrid w:val="0"/>
          <w:sz w:val="22"/>
          <w:szCs w:val="24"/>
        </w:rPr>
      </w:pPr>
      <w:r w:rsidRPr="00BF4AB8">
        <w:rPr>
          <w:snapToGrid w:val="0"/>
          <w:sz w:val="22"/>
          <w:szCs w:val="24"/>
        </w:rPr>
        <w:t>30 x 1 kapsulė</w:t>
      </w:r>
    </w:p>
    <w:p w14:paraId="51FF55E0" w14:textId="77777777" w:rsidR="00C710D9" w:rsidRPr="00BF4AB8" w:rsidRDefault="00C710D9" w:rsidP="00C710D9">
      <w:pPr>
        <w:tabs>
          <w:tab w:val="left" w:pos="567"/>
        </w:tabs>
        <w:spacing w:line="260" w:lineRule="exact"/>
        <w:rPr>
          <w:snapToGrid w:val="0"/>
          <w:sz w:val="22"/>
          <w:szCs w:val="24"/>
        </w:rPr>
      </w:pPr>
      <w:r w:rsidRPr="00BF4AB8">
        <w:rPr>
          <w:snapToGrid w:val="0"/>
          <w:sz w:val="22"/>
          <w:szCs w:val="24"/>
          <w:highlight w:val="lightGray"/>
        </w:rPr>
        <w:t>60 x 1 kapsulė</w:t>
      </w:r>
    </w:p>
    <w:p w14:paraId="4B8E525C" w14:textId="77777777" w:rsidR="00C710D9" w:rsidRPr="00BF4AB8" w:rsidRDefault="00C710D9" w:rsidP="00C710D9">
      <w:pPr>
        <w:tabs>
          <w:tab w:val="left" w:pos="567"/>
        </w:tabs>
        <w:spacing w:line="260" w:lineRule="exact"/>
        <w:rPr>
          <w:snapToGrid w:val="0"/>
          <w:sz w:val="22"/>
          <w:szCs w:val="24"/>
        </w:rPr>
      </w:pPr>
    </w:p>
    <w:p w14:paraId="2DFA610D" w14:textId="77777777" w:rsidR="00C710D9" w:rsidRPr="00BF4AB8" w:rsidRDefault="00C710D9" w:rsidP="00C710D9">
      <w:pPr>
        <w:tabs>
          <w:tab w:val="left" w:pos="567"/>
        </w:tabs>
        <w:spacing w:line="260" w:lineRule="exact"/>
        <w:rPr>
          <w:snapToGrid w:val="0"/>
          <w:sz w:val="22"/>
          <w:szCs w:val="24"/>
        </w:rPr>
      </w:pPr>
    </w:p>
    <w:p w14:paraId="7969EA17" w14:textId="77777777" w:rsidR="00C710D9" w:rsidRPr="00BF4AB8" w:rsidRDefault="00C710D9" w:rsidP="00C710D9">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BF4AB8">
        <w:rPr>
          <w:b/>
          <w:snapToGrid w:val="0"/>
          <w:sz w:val="22"/>
          <w:szCs w:val="24"/>
        </w:rPr>
        <w:t>5.</w:t>
      </w:r>
      <w:r w:rsidRPr="00BF4AB8">
        <w:rPr>
          <w:b/>
          <w:snapToGrid w:val="0"/>
          <w:sz w:val="22"/>
          <w:szCs w:val="24"/>
        </w:rPr>
        <w:tab/>
        <w:t>VARTOJIMO METODAS IR BŪDAS (-AI)</w:t>
      </w:r>
    </w:p>
    <w:p w14:paraId="6F46614C" w14:textId="77777777" w:rsidR="00C710D9" w:rsidRPr="00BF4AB8" w:rsidRDefault="00C710D9" w:rsidP="00C710D9">
      <w:pPr>
        <w:tabs>
          <w:tab w:val="left" w:pos="567"/>
        </w:tabs>
        <w:spacing w:line="260" w:lineRule="exact"/>
        <w:rPr>
          <w:snapToGrid w:val="0"/>
          <w:sz w:val="22"/>
          <w:szCs w:val="24"/>
        </w:rPr>
      </w:pPr>
    </w:p>
    <w:p w14:paraId="7A0FA501" w14:textId="77777777" w:rsidR="00C710D9" w:rsidRPr="00BF4AB8" w:rsidRDefault="00C710D9" w:rsidP="00C710D9">
      <w:pPr>
        <w:tabs>
          <w:tab w:val="left" w:pos="567"/>
        </w:tabs>
        <w:spacing w:line="260" w:lineRule="exact"/>
        <w:rPr>
          <w:snapToGrid w:val="0"/>
          <w:sz w:val="22"/>
          <w:szCs w:val="24"/>
        </w:rPr>
      </w:pPr>
      <w:r w:rsidRPr="00BF4AB8">
        <w:rPr>
          <w:snapToGrid w:val="0"/>
          <w:sz w:val="22"/>
          <w:szCs w:val="24"/>
          <w:highlight w:val="lightGray"/>
        </w:rPr>
        <w:t>Vartoti per burną.</w:t>
      </w:r>
    </w:p>
    <w:p w14:paraId="453A1611" w14:textId="77777777" w:rsidR="00C710D9" w:rsidRPr="00BF4AB8" w:rsidRDefault="00C710D9" w:rsidP="00C710D9">
      <w:pPr>
        <w:tabs>
          <w:tab w:val="left" w:pos="567"/>
        </w:tabs>
        <w:spacing w:line="260" w:lineRule="exact"/>
        <w:rPr>
          <w:snapToGrid w:val="0"/>
          <w:sz w:val="22"/>
          <w:szCs w:val="24"/>
        </w:rPr>
      </w:pPr>
      <w:r w:rsidRPr="00BF4AB8">
        <w:rPr>
          <w:snapToGrid w:val="0"/>
          <w:sz w:val="22"/>
          <w:szCs w:val="24"/>
        </w:rPr>
        <w:t>Prieš vartojimą perskaitykite pakuotės lapelį.</w:t>
      </w:r>
    </w:p>
    <w:p w14:paraId="606D6A02" w14:textId="77777777" w:rsidR="00C710D9" w:rsidRPr="00BF4AB8" w:rsidRDefault="00C710D9" w:rsidP="00C710D9">
      <w:pPr>
        <w:tabs>
          <w:tab w:val="left" w:pos="567"/>
        </w:tabs>
        <w:spacing w:line="260" w:lineRule="exact"/>
        <w:rPr>
          <w:snapToGrid w:val="0"/>
          <w:sz w:val="22"/>
          <w:szCs w:val="24"/>
        </w:rPr>
      </w:pPr>
    </w:p>
    <w:p w14:paraId="6088B4C7" w14:textId="77777777" w:rsidR="00C710D9" w:rsidRPr="00BF4AB8" w:rsidRDefault="00C710D9" w:rsidP="00C710D9">
      <w:pPr>
        <w:tabs>
          <w:tab w:val="left" w:pos="567"/>
        </w:tabs>
        <w:spacing w:line="260" w:lineRule="exact"/>
        <w:rPr>
          <w:snapToGrid w:val="0"/>
          <w:sz w:val="22"/>
          <w:szCs w:val="24"/>
        </w:rPr>
      </w:pPr>
    </w:p>
    <w:p w14:paraId="778C1F44" w14:textId="77777777" w:rsidR="00C710D9" w:rsidRPr="00BF4AB8" w:rsidRDefault="00C710D9" w:rsidP="00C710D9">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BF4AB8">
        <w:rPr>
          <w:b/>
          <w:snapToGrid w:val="0"/>
          <w:sz w:val="22"/>
          <w:szCs w:val="24"/>
        </w:rPr>
        <w:t>6.</w:t>
      </w:r>
      <w:r w:rsidRPr="00BF4AB8">
        <w:rPr>
          <w:b/>
          <w:snapToGrid w:val="0"/>
          <w:sz w:val="22"/>
          <w:szCs w:val="24"/>
        </w:rPr>
        <w:tab/>
        <w:t>SPECIALUS ĮSPĖJIMAS, KAD VAISTINĮ PREPARATĄ BŪTINA LAIKYTI VAIKAMS NEPASTEBIMOJE IR  NEPASIEKIAMOJE VIETOJE</w:t>
      </w:r>
    </w:p>
    <w:p w14:paraId="55985FE6" w14:textId="77777777" w:rsidR="00C710D9" w:rsidRPr="00BF4AB8" w:rsidRDefault="00C710D9" w:rsidP="00C710D9">
      <w:pPr>
        <w:tabs>
          <w:tab w:val="left" w:pos="567"/>
        </w:tabs>
        <w:spacing w:line="260" w:lineRule="exact"/>
        <w:rPr>
          <w:snapToGrid w:val="0"/>
          <w:sz w:val="22"/>
          <w:szCs w:val="24"/>
        </w:rPr>
      </w:pPr>
    </w:p>
    <w:p w14:paraId="51A3DF7B" w14:textId="77777777" w:rsidR="00C710D9" w:rsidRPr="00BF4AB8" w:rsidRDefault="00C710D9" w:rsidP="00C710D9">
      <w:pPr>
        <w:tabs>
          <w:tab w:val="left" w:pos="567"/>
        </w:tabs>
        <w:spacing w:line="260" w:lineRule="exact"/>
        <w:rPr>
          <w:snapToGrid w:val="0"/>
          <w:sz w:val="22"/>
          <w:szCs w:val="24"/>
        </w:rPr>
      </w:pPr>
      <w:r w:rsidRPr="00BF4AB8">
        <w:rPr>
          <w:snapToGrid w:val="0"/>
          <w:sz w:val="22"/>
          <w:szCs w:val="24"/>
        </w:rPr>
        <w:t>Laikyti vaikams nepastebimoje ir nepasiekiamoje vietoje.</w:t>
      </w:r>
    </w:p>
    <w:p w14:paraId="16C1653A" w14:textId="77777777" w:rsidR="00C710D9" w:rsidRPr="00BF4AB8" w:rsidRDefault="00C710D9" w:rsidP="00C710D9">
      <w:pPr>
        <w:tabs>
          <w:tab w:val="left" w:pos="567"/>
        </w:tabs>
        <w:spacing w:line="260" w:lineRule="exact"/>
        <w:rPr>
          <w:snapToGrid w:val="0"/>
          <w:sz w:val="22"/>
          <w:szCs w:val="24"/>
        </w:rPr>
      </w:pPr>
    </w:p>
    <w:p w14:paraId="145518FF" w14:textId="77777777" w:rsidR="00C710D9" w:rsidRPr="00BF4AB8" w:rsidRDefault="00C710D9" w:rsidP="00C710D9">
      <w:pPr>
        <w:tabs>
          <w:tab w:val="left" w:pos="567"/>
        </w:tabs>
        <w:spacing w:line="260" w:lineRule="exact"/>
        <w:rPr>
          <w:snapToGrid w:val="0"/>
          <w:sz w:val="22"/>
          <w:szCs w:val="24"/>
        </w:rPr>
      </w:pPr>
    </w:p>
    <w:p w14:paraId="1FACA796" w14:textId="77777777" w:rsidR="00C710D9" w:rsidRPr="00BF4AB8" w:rsidRDefault="00C710D9" w:rsidP="00C710D9">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BF4AB8">
        <w:rPr>
          <w:b/>
          <w:snapToGrid w:val="0"/>
          <w:sz w:val="22"/>
          <w:szCs w:val="24"/>
        </w:rPr>
        <w:t>7.</w:t>
      </w:r>
      <w:r w:rsidRPr="00BF4AB8">
        <w:rPr>
          <w:b/>
          <w:snapToGrid w:val="0"/>
          <w:sz w:val="22"/>
          <w:szCs w:val="24"/>
        </w:rPr>
        <w:tab/>
        <w:t>KITAS (-I) SPECIALUS (-ŪS) ĮSPĖJIMAS (-AI) (JEI REIKIA)</w:t>
      </w:r>
    </w:p>
    <w:p w14:paraId="3DA5DAC4" w14:textId="77777777" w:rsidR="00C710D9" w:rsidRPr="00BF4AB8" w:rsidRDefault="00C710D9" w:rsidP="00C710D9">
      <w:pPr>
        <w:tabs>
          <w:tab w:val="left" w:pos="567"/>
        </w:tabs>
        <w:spacing w:line="260" w:lineRule="exact"/>
        <w:rPr>
          <w:snapToGrid w:val="0"/>
          <w:sz w:val="22"/>
          <w:szCs w:val="24"/>
        </w:rPr>
      </w:pPr>
    </w:p>
    <w:p w14:paraId="1EC670AA" w14:textId="77777777" w:rsidR="00C710D9" w:rsidRPr="00BF4AB8" w:rsidRDefault="00C710D9" w:rsidP="00C710D9">
      <w:pPr>
        <w:tabs>
          <w:tab w:val="left" w:pos="567"/>
        </w:tabs>
        <w:spacing w:line="260" w:lineRule="exact"/>
        <w:rPr>
          <w:snapToGrid w:val="0"/>
          <w:sz w:val="22"/>
          <w:szCs w:val="24"/>
        </w:rPr>
      </w:pPr>
    </w:p>
    <w:p w14:paraId="3DDCECF8" w14:textId="77777777" w:rsidR="00C710D9" w:rsidRPr="00BF4AB8" w:rsidRDefault="00C710D9" w:rsidP="00C710D9">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BF4AB8">
        <w:rPr>
          <w:b/>
          <w:snapToGrid w:val="0"/>
          <w:sz w:val="22"/>
          <w:szCs w:val="24"/>
        </w:rPr>
        <w:t>8.</w:t>
      </w:r>
      <w:r w:rsidRPr="00BF4AB8">
        <w:rPr>
          <w:b/>
          <w:snapToGrid w:val="0"/>
          <w:sz w:val="22"/>
          <w:szCs w:val="24"/>
        </w:rPr>
        <w:tab/>
        <w:t>TINKAMUMO LAIKAS</w:t>
      </w:r>
    </w:p>
    <w:p w14:paraId="5F7BBD4F" w14:textId="77777777" w:rsidR="00C710D9" w:rsidRPr="00BF4AB8" w:rsidRDefault="00C710D9" w:rsidP="00C710D9">
      <w:pPr>
        <w:tabs>
          <w:tab w:val="left" w:pos="567"/>
        </w:tabs>
        <w:spacing w:line="260" w:lineRule="exact"/>
        <w:rPr>
          <w:snapToGrid w:val="0"/>
          <w:sz w:val="22"/>
          <w:szCs w:val="24"/>
        </w:rPr>
      </w:pPr>
    </w:p>
    <w:p w14:paraId="291A6A06" w14:textId="4C3F6846" w:rsidR="00C710D9" w:rsidRPr="00BF4AB8" w:rsidRDefault="00C710D9" w:rsidP="00C710D9">
      <w:pPr>
        <w:tabs>
          <w:tab w:val="left" w:pos="567"/>
        </w:tabs>
        <w:spacing w:line="260" w:lineRule="exact"/>
        <w:rPr>
          <w:snapToGrid w:val="0"/>
          <w:sz w:val="22"/>
        </w:rPr>
      </w:pPr>
      <w:r w:rsidRPr="00BF4AB8">
        <w:rPr>
          <w:snapToGrid w:val="0"/>
          <w:sz w:val="22"/>
        </w:rPr>
        <w:t>EXP</w:t>
      </w:r>
      <w:r w:rsidR="004B770C">
        <w:rPr>
          <w:snapToGrid w:val="0"/>
          <w:sz w:val="22"/>
        </w:rPr>
        <w:t>: {mm/MMMM}</w:t>
      </w:r>
    </w:p>
    <w:p w14:paraId="7562385A" w14:textId="77777777" w:rsidR="00C710D9" w:rsidRPr="00BF4AB8" w:rsidRDefault="00C710D9" w:rsidP="00C710D9">
      <w:pPr>
        <w:tabs>
          <w:tab w:val="left" w:pos="567"/>
        </w:tabs>
        <w:spacing w:line="260" w:lineRule="exact"/>
        <w:rPr>
          <w:snapToGrid w:val="0"/>
          <w:sz w:val="22"/>
          <w:szCs w:val="24"/>
        </w:rPr>
      </w:pPr>
    </w:p>
    <w:p w14:paraId="5418BC2C" w14:textId="77777777" w:rsidR="00C710D9" w:rsidRPr="00BF4AB8" w:rsidRDefault="00C710D9" w:rsidP="00C710D9">
      <w:pPr>
        <w:tabs>
          <w:tab w:val="left" w:pos="567"/>
        </w:tabs>
        <w:spacing w:line="260" w:lineRule="exact"/>
        <w:rPr>
          <w:snapToGrid w:val="0"/>
          <w:sz w:val="22"/>
          <w:szCs w:val="24"/>
        </w:rPr>
      </w:pPr>
    </w:p>
    <w:p w14:paraId="53F7B7FA" w14:textId="77777777" w:rsidR="00C710D9" w:rsidRPr="00BF4AB8" w:rsidRDefault="00C710D9" w:rsidP="00C710D9">
      <w:pPr>
        <w:keepNext/>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BF4AB8">
        <w:rPr>
          <w:b/>
          <w:snapToGrid w:val="0"/>
          <w:sz w:val="22"/>
          <w:szCs w:val="24"/>
        </w:rPr>
        <w:t>9.</w:t>
      </w:r>
      <w:r w:rsidRPr="00BF4AB8">
        <w:rPr>
          <w:b/>
          <w:snapToGrid w:val="0"/>
          <w:sz w:val="22"/>
          <w:szCs w:val="24"/>
        </w:rPr>
        <w:tab/>
        <w:t>SPECIALIOS LAIKYMO SĄLYGOS</w:t>
      </w:r>
    </w:p>
    <w:p w14:paraId="6159E369" w14:textId="77777777" w:rsidR="00C710D9" w:rsidRPr="00BF4AB8" w:rsidRDefault="00C710D9" w:rsidP="00C710D9">
      <w:pPr>
        <w:tabs>
          <w:tab w:val="left" w:pos="567"/>
        </w:tabs>
        <w:spacing w:line="260" w:lineRule="exact"/>
        <w:rPr>
          <w:snapToGrid w:val="0"/>
          <w:sz w:val="22"/>
          <w:szCs w:val="24"/>
        </w:rPr>
      </w:pPr>
    </w:p>
    <w:p w14:paraId="50761B12" w14:textId="77777777" w:rsidR="00C710D9" w:rsidRPr="00BF4AB8" w:rsidRDefault="00C710D9" w:rsidP="00C710D9">
      <w:pPr>
        <w:tabs>
          <w:tab w:val="left" w:pos="567"/>
        </w:tabs>
        <w:spacing w:line="260" w:lineRule="exact"/>
        <w:rPr>
          <w:snapToGrid w:val="0"/>
          <w:sz w:val="22"/>
          <w:szCs w:val="24"/>
        </w:rPr>
      </w:pPr>
    </w:p>
    <w:p w14:paraId="5DF958E7" w14:textId="77777777" w:rsidR="00C710D9" w:rsidRPr="00BF4AB8" w:rsidRDefault="00C710D9" w:rsidP="00C710D9">
      <w:pPr>
        <w:pBdr>
          <w:top w:val="single" w:sz="4" w:space="1" w:color="auto"/>
          <w:left w:val="single" w:sz="4" w:space="4" w:color="auto"/>
          <w:bottom w:val="single" w:sz="4" w:space="1" w:color="auto"/>
          <w:right w:val="single" w:sz="4" w:space="4" w:color="auto"/>
        </w:pBdr>
        <w:tabs>
          <w:tab w:val="left" w:pos="567"/>
        </w:tabs>
        <w:outlineLvl w:val="0"/>
        <w:rPr>
          <w:b/>
          <w:snapToGrid w:val="0"/>
          <w:sz w:val="22"/>
          <w:szCs w:val="24"/>
        </w:rPr>
      </w:pPr>
      <w:r w:rsidRPr="00BF4AB8">
        <w:rPr>
          <w:b/>
          <w:snapToGrid w:val="0"/>
          <w:sz w:val="22"/>
          <w:szCs w:val="24"/>
        </w:rPr>
        <w:t>10.</w:t>
      </w:r>
      <w:r w:rsidRPr="00BF4AB8">
        <w:rPr>
          <w:b/>
          <w:snapToGrid w:val="0"/>
          <w:sz w:val="22"/>
          <w:szCs w:val="24"/>
        </w:rPr>
        <w:tab/>
        <w:t>SPECIALIOS ATSARGUMO PRIEMONĖS DĖL NESUVARTOTO VAISTINIO PREPARATO AR JO ATLIEKŲ TVARKYMO (JEI REIKIA)</w:t>
      </w:r>
    </w:p>
    <w:p w14:paraId="41D48E2E" w14:textId="77777777" w:rsidR="00C710D9" w:rsidRPr="00BF4AB8" w:rsidRDefault="00C710D9" w:rsidP="00C710D9">
      <w:pPr>
        <w:tabs>
          <w:tab w:val="left" w:pos="567"/>
        </w:tabs>
        <w:spacing w:line="260" w:lineRule="exact"/>
        <w:rPr>
          <w:snapToGrid w:val="0"/>
          <w:sz w:val="22"/>
          <w:szCs w:val="24"/>
        </w:rPr>
      </w:pPr>
    </w:p>
    <w:p w14:paraId="125F42A5" w14:textId="77777777" w:rsidR="00C710D9" w:rsidRPr="00BF4AB8" w:rsidRDefault="00C710D9" w:rsidP="00C710D9">
      <w:pPr>
        <w:tabs>
          <w:tab w:val="left" w:pos="567"/>
        </w:tabs>
        <w:spacing w:line="260" w:lineRule="exact"/>
        <w:rPr>
          <w:snapToGrid w:val="0"/>
          <w:sz w:val="22"/>
          <w:szCs w:val="24"/>
        </w:rPr>
      </w:pPr>
    </w:p>
    <w:p w14:paraId="6B8C75CD" w14:textId="77777777" w:rsidR="00C710D9" w:rsidRPr="00BF4AB8" w:rsidRDefault="00C710D9" w:rsidP="00C710D9">
      <w:pPr>
        <w:pBdr>
          <w:top w:val="single" w:sz="4" w:space="1" w:color="auto"/>
          <w:left w:val="single" w:sz="4" w:space="4" w:color="auto"/>
          <w:bottom w:val="single" w:sz="4" w:space="1" w:color="auto"/>
          <w:right w:val="single" w:sz="4" w:space="4" w:color="auto"/>
        </w:pBdr>
        <w:tabs>
          <w:tab w:val="left" w:pos="567"/>
        </w:tabs>
        <w:outlineLvl w:val="0"/>
        <w:rPr>
          <w:b/>
          <w:snapToGrid w:val="0"/>
          <w:sz w:val="22"/>
          <w:szCs w:val="24"/>
        </w:rPr>
      </w:pPr>
      <w:r w:rsidRPr="00BF4AB8">
        <w:rPr>
          <w:b/>
          <w:snapToGrid w:val="0"/>
          <w:sz w:val="22"/>
          <w:szCs w:val="24"/>
        </w:rPr>
        <w:lastRenderedPageBreak/>
        <w:t>11.</w:t>
      </w:r>
      <w:r w:rsidRPr="00BF4AB8">
        <w:rPr>
          <w:b/>
          <w:snapToGrid w:val="0"/>
          <w:sz w:val="22"/>
          <w:szCs w:val="24"/>
        </w:rPr>
        <w:tab/>
      </w:r>
      <w:r w:rsidRPr="00BF4AB8">
        <w:rPr>
          <w:b/>
          <w:caps/>
          <w:snapToGrid w:val="0"/>
          <w:sz w:val="22"/>
          <w:szCs w:val="24"/>
        </w:rPr>
        <w:t xml:space="preserve"> REGISTRUOTOJO PAVADINIMAS IR ADRESAS</w:t>
      </w:r>
    </w:p>
    <w:p w14:paraId="06902CB7" w14:textId="77777777" w:rsidR="00C710D9" w:rsidRPr="00BF4AB8" w:rsidRDefault="00C710D9" w:rsidP="00C710D9">
      <w:pPr>
        <w:tabs>
          <w:tab w:val="left" w:pos="567"/>
        </w:tabs>
        <w:spacing w:line="260" w:lineRule="exact"/>
        <w:rPr>
          <w:snapToGrid w:val="0"/>
          <w:sz w:val="22"/>
          <w:szCs w:val="24"/>
        </w:rPr>
      </w:pPr>
    </w:p>
    <w:p w14:paraId="7967C559" w14:textId="77777777" w:rsidR="00BF4AB8" w:rsidRPr="00BF4AB8" w:rsidRDefault="00BF4AB8" w:rsidP="00BF4AB8">
      <w:pPr>
        <w:tabs>
          <w:tab w:val="left" w:pos="567"/>
        </w:tabs>
        <w:spacing w:line="260" w:lineRule="exact"/>
        <w:rPr>
          <w:snapToGrid w:val="0"/>
          <w:sz w:val="22"/>
          <w:szCs w:val="24"/>
        </w:rPr>
      </w:pPr>
      <w:r w:rsidRPr="00BF4AB8">
        <w:rPr>
          <w:snapToGrid w:val="0"/>
          <w:sz w:val="22"/>
          <w:szCs w:val="24"/>
        </w:rPr>
        <w:t xml:space="preserve">UAB </w:t>
      </w:r>
      <w:proofErr w:type="spellStart"/>
      <w:r w:rsidRPr="00BF4AB8">
        <w:rPr>
          <w:snapToGrid w:val="0"/>
          <w:sz w:val="22"/>
          <w:szCs w:val="24"/>
        </w:rPr>
        <w:t>Norameda</w:t>
      </w:r>
      <w:proofErr w:type="spellEnd"/>
    </w:p>
    <w:p w14:paraId="1D0AE6A3" w14:textId="77777777" w:rsidR="00BF4AB8" w:rsidRPr="00BF4AB8" w:rsidRDefault="00BF4AB8" w:rsidP="00BF4AB8">
      <w:pPr>
        <w:tabs>
          <w:tab w:val="left" w:pos="567"/>
        </w:tabs>
        <w:spacing w:line="260" w:lineRule="exact"/>
        <w:rPr>
          <w:snapToGrid w:val="0"/>
          <w:sz w:val="22"/>
          <w:szCs w:val="24"/>
        </w:rPr>
      </w:pPr>
      <w:r w:rsidRPr="00BF4AB8">
        <w:rPr>
          <w:snapToGrid w:val="0"/>
          <w:sz w:val="22"/>
          <w:szCs w:val="24"/>
        </w:rPr>
        <w:t>Meistrų 8A,</w:t>
      </w:r>
    </w:p>
    <w:p w14:paraId="463EC611" w14:textId="77777777" w:rsidR="00BF4AB8" w:rsidRPr="00BF4AB8" w:rsidRDefault="00BF4AB8" w:rsidP="00BF4AB8">
      <w:pPr>
        <w:tabs>
          <w:tab w:val="left" w:pos="567"/>
        </w:tabs>
        <w:spacing w:line="260" w:lineRule="exact"/>
        <w:rPr>
          <w:snapToGrid w:val="0"/>
          <w:sz w:val="22"/>
          <w:szCs w:val="24"/>
        </w:rPr>
      </w:pPr>
      <w:r w:rsidRPr="00BF4AB8">
        <w:rPr>
          <w:snapToGrid w:val="0"/>
          <w:sz w:val="22"/>
          <w:szCs w:val="24"/>
        </w:rPr>
        <w:t>LT-02189 Vilnius,</w:t>
      </w:r>
    </w:p>
    <w:p w14:paraId="534F1581" w14:textId="7141659F" w:rsidR="00C710D9" w:rsidRPr="00BF4AB8" w:rsidRDefault="00BF4AB8" w:rsidP="00BF4AB8">
      <w:pPr>
        <w:tabs>
          <w:tab w:val="left" w:pos="567"/>
        </w:tabs>
        <w:spacing w:line="260" w:lineRule="exact"/>
        <w:rPr>
          <w:snapToGrid w:val="0"/>
          <w:sz w:val="22"/>
          <w:szCs w:val="24"/>
        </w:rPr>
      </w:pPr>
      <w:r w:rsidRPr="00BF4AB8">
        <w:rPr>
          <w:snapToGrid w:val="0"/>
          <w:sz w:val="22"/>
          <w:szCs w:val="24"/>
        </w:rPr>
        <w:t>Lietuva</w:t>
      </w:r>
    </w:p>
    <w:p w14:paraId="1BF8DE17" w14:textId="77777777" w:rsidR="00C710D9" w:rsidRPr="00BF4AB8" w:rsidRDefault="00C710D9" w:rsidP="00C710D9">
      <w:pPr>
        <w:tabs>
          <w:tab w:val="left" w:pos="567"/>
        </w:tabs>
        <w:spacing w:line="260" w:lineRule="exact"/>
        <w:rPr>
          <w:snapToGrid w:val="0"/>
          <w:sz w:val="22"/>
          <w:szCs w:val="24"/>
        </w:rPr>
      </w:pPr>
    </w:p>
    <w:p w14:paraId="356CE53C" w14:textId="77777777" w:rsidR="00C710D9" w:rsidRPr="00BF4AB8" w:rsidRDefault="00C710D9" w:rsidP="00C710D9">
      <w:pPr>
        <w:tabs>
          <w:tab w:val="left" w:pos="567"/>
        </w:tabs>
        <w:spacing w:line="260" w:lineRule="exact"/>
        <w:rPr>
          <w:snapToGrid w:val="0"/>
          <w:sz w:val="22"/>
          <w:szCs w:val="24"/>
        </w:rPr>
      </w:pPr>
    </w:p>
    <w:p w14:paraId="2DA2F036" w14:textId="77777777" w:rsidR="00C710D9" w:rsidRPr="00BF4AB8" w:rsidRDefault="00C710D9" w:rsidP="00C710D9">
      <w:pPr>
        <w:pBdr>
          <w:top w:val="single" w:sz="4" w:space="1" w:color="auto"/>
          <w:left w:val="single" w:sz="4" w:space="4" w:color="auto"/>
          <w:bottom w:val="single" w:sz="4" w:space="1" w:color="auto"/>
          <w:right w:val="single" w:sz="4" w:space="4" w:color="auto"/>
        </w:pBdr>
        <w:tabs>
          <w:tab w:val="left" w:pos="567"/>
        </w:tabs>
        <w:outlineLvl w:val="0"/>
        <w:rPr>
          <w:snapToGrid w:val="0"/>
          <w:sz w:val="22"/>
          <w:szCs w:val="24"/>
        </w:rPr>
      </w:pPr>
      <w:r w:rsidRPr="00BF4AB8">
        <w:rPr>
          <w:b/>
          <w:snapToGrid w:val="0"/>
          <w:sz w:val="22"/>
          <w:szCs w:val="24"/>
        </w:rPr>
        <w:t>12.</w:t>
      </w:r>
      <w:r w:rsidRPr="00BF4AB8">
        <w:rPr>
          <w:b/>
          <w:snapToGrid w:val="0"/>
          <w:sz w:val="22"/>
          <w:szCs w:val="24"/>
        </w:rPr>
        <w:tab/>
        <w:t xml:space="preserve">REGISTRACIJOS PAŽYMĖJIMO NUMERIS (-IAI) </w:t>
      </w:r>
    </w:p>
    <w:p w14:paraId="5EE6110C" w14:textId="77777777" w:rsidR="00C710D9" w:rsidRPr="00BF4AB8" w:rsidRDefault="00C710D9" w:rsidP="00C710D9">
      <w:pPr>
        <w:tabs>
          <w:tab w:val="left" w:pos="567"/>
        </w:tabs>
        <w:spacing w:line="260" w:lineRule="exact"/>
        <w:rPr>
          <w:snapToGrid w:val="0"/>
          <w:sz w:val="22"/>
          <w:szCs w:val="24"/>
        </w:rPr>
      </w:pPr>
    </w:p>
    <w:p w14:paraId="0C4C116B" w14:textId="77777777" w:rsidR="00AD1EE8" w:rsidRPr="00343D76" w:rsidRDefault="00AD1EE8" w:rsidP="00AD1EE8">
      <w:pPr>
        <w:tabs>
          <w:tab w:val="left" w:pos="567"/>
        </w:tabs>
        <w:spacing w:line="260" w:lineRule="exact"/>
        <w:rPr>
          <w:snapToGrid w:val="0"/>
          <w:sz w:val="22"/>
          <w:szCs w:val="24"/>
          <w:shd w:val="clear" w:color="auto" w:fill="F2F2F2" w:themeFill="background1" w:themeFillShade="F2"/>
        </w:rPr>
      </w:pPr>
      <w:r w:rsidRPr="00343D76">
        <w:rPr>
          <w:snapToGrid w:val="0"/>
          <w:sz w:val="22"/>
          <w:szCs w:val="24"/>
        </w:rPr>
        <w:t xml:space="preserve">LT/1/24/5320/001 </w:t>
      </w:r>
      <w:r w:rsidRPr="00343D76">
        <w:rPr>
          <w:snapToGrid w:val="0"/>
          <w:sz w:val="22"/>
          <w:szCs w:val="24"/>
          <w:shd w:val="clear" w:color="auto" w:fill="F2F2F2" w:themeFill="background1" w:themeFillShade="F2"/>
        </w:rPr>
        <w:t>– N30x1</w:t>
      </w:r>
    </w:p>
    <w:p w14:paraId="5D44F482" w14:textId="77777777" w:rsidR="00AD1EE8" w:rsidRPr="00343D76" w:rsidRDefault="00AD1EE8" w:rsidP="00AD1EE8">
      <w:pPr>
        <w:tabs>
          <w:tab w:val="left" w:pos="567"/>
        </w:tabs>
        <w:spacing w:line="260" w:lineRule="exact"/>
        <w:rPr>
          <w:snapToGrid w:val="0"/>
          <w:sz w:val="22"/>
          <w:szCs w:val="24"/>
          <w:shd w:val="clear" w:color="auto" w:fill="F2F2F2" w:themeFill="background1" w:themeFillShade="F2"/>
        </w:rPr>
      </w:pPr>
      <w:r w:rsidRPr="00343D76">
        <w:rPr>
          <w:snapToGrid w:val="0"/>
          <w:sz w:val="22"/>
          <w:szCs w:val="24"/>
          <w:shd w:val="clear" w:color="auto" w:fill="F2F2F2" w:themeFill="background1" w:themeFillShade="F2"/>
        </w:rPr>
        <w:t>LT/1/24/5320/002 – N60x1</w:t>
      </w:r>
    </w:p>
    <w:p w14:paraId="28469CAF" w14:textId="77777777" w:rsidR="00C710D9" w:rsidRPr="00BF4AB8" w:rsidRDefault="00C710D9" w:rsidP="00C710D9">
      <w:pPr>
        <w:tabs>
          <w:tab w:val="left" w:pos="567"/>
        </w:tabs>
        <w:spacing w:line="260" w:lineRule="exact"/>
        <w:rPr>
          <w:snapToGrid w:val="0"/>
          <w:sz w:val="22"/>
          <w:szCs w:val="24"/>
        </w:rPr>
      </w:pPr>
    </w:p>
    <w:p w14:paraId="37F5AE7B" w14:textId="77777777" w:rsidR="00C710D9" w:rsidRPr="00BF4AB8" w:rsidRDefault="00C710D9" w:rsidP="00C710D9">
      <w:pPr>
        <w:tabs>
          <w:tab w:val="left" w:pos="567"/>
        </w:tabs>
        <w:spacing w:line="260" w:lineRule="exact"/>
        <w:rPr>
          <w:snapToGrid w:val="0"/>
          <w:sz w:val="22"/>
          <w:szCs w:val="24"/>
        </w:rPr>
      </w:pPr>
    </w:p>
    <w:p w14:paraId="67337468" w14:textId="77777777" w:rsidR="00C710D9" w:rsidRPr="00BF4AB8" w:rsidRDefault="00C710D9" w:rsidP="00C710D9">
      <w:pPr>
        <w:pBdr>
          <w:top w:val="single" w:sz="4" w:space="1" w:color="auto"/>
          <w:left w:val="single" w:sz="4" w:space="4" w:color="auto"/>
          <w:bottom w:val="single" w:sz="4" w:space="1" w:color="auto"/>
          <w:right w:val="single" w:sz="4" w:space="4" w:color="auto"/>
        </w:pBdr>
        <w:tabs>
          <w:tab w:val="left" w:pos="567"/>
        </w:tabs>
        <w:outlineLvl w:val="0"/>
        <w:rPr>
          <w:snapToGrid w:val="0"/>
          <w:sz w:val="22"/>
          <w:szCs w:val="24"/>
        </w:rPr>
      </w:pPr>
      <w:r w:rsidRPr="00BF4AB8">
        <w:rPr>
          <w:b/>
          <w:snapToGrid w:val="0"/>
          <w:sz w:val="22"/>
          <w:szCs w:val="24"/>
        </w:rPr>
        <w:t>13.</w:t>
      </w:r>
      <w:r w:rsidRPr="00BF4AB8">
        <w:rPr>
          <w:b/>
          <w:snapToGrid w:val="0"/>
          <w:sz w:val="22"/>
          <w:szCs w:val="24"/>
        </w:rPr>
        <w:tab/>
        <w:t xml:space="preserve">SERIJOS NUMERIS </w:t>
      </w:r>
    </w:p>
    <w:p w14:paraId="3C059DD0" w14:textId="77777777" w:rsidR="00C710D9" w:rsidRPr="00BF4AB8" w:rsidRDefault="00C710D9" w:rsidP="00C710D9">
      <w:pPr>
        <w:tabs>
          <w:tab w:val="left" w:pos="567"/>
        </w:tabs>
        <w:spacing w:line="260" w:lineRule="exact"/>
        <w:rPr>
          <w:snapToGrid w:val="0"/>
          <w:sz w:val="22"/>
        </w:rPr>
      </w:pPr>
    </w:p>
    <w:p w14:paraId="3E83FAD8" w14:textId="77777777" w:rsidR="00C710D9" w:rsidRPr="00BF4AB8" w:rsidRDefault="00C710D9" w:rsidP="00C710D9">
      <w:pPr>
        <w:tabs>
          <w:tab w:val="left" w:pos="567"/>
        </w:tabs>
        <w:spacing w:line="260" w:lineRule="exact"/>
        <w:rPr>
          <w:snapToGrid w:val="0"/>
          <w:sz w:val="22"/>
        </w:rPr>
      </w:pPr>
      <w:proofErr w:type="spellStart"/>
      <w:r w:rsidRPr="00BF4AB8">
        <w:rPr>
          <w:snapToGrid w:val="0"/>
          <w:sz w:val="22"/>
        </w:rPr>
        <w:t>Lot</w:t>
      </w:r>
      <w:proofErr w:type="spellEnd"/>
    </w:p>
    <w:p w14:paraId="683B18D7" w14:textId="77777777" w:rsidR="00C710D9" w:rsidRPr="00BF4AB8" w:rsidRDefault="00C710D9" w:rsidP="00C710D9">
      <w:pPr>
        <w:tabs>
          <w:tab w:val="left" w:pos="567"/>
        </w:tabs>
        <w:spacing w:line="260" w:lineRule="exact"/>
        <w:rPr>
          <w:snapToGrid w:val="0"/>
          <w:sz w:val="22"/>
          <w:szCs w:val="24"/>
        </w:rPr>
      </w:pPr>
    </w:p>
    <w:p w14:paraId="3E34F148" w14:textId="77777777" w:rsidR="00C710D9" w:rsidRPr="00BF4AB8" w:rsidRDefault="00C710D9" w:rsidP="00C710D9">
      <w:pPr>
        <w:tabs>
          <w:tab w:val="left" w:pos="567"/>
        </w:tabs>
        <w:spacing w:line="260" w:lineRule="exact"/>
        <w:rPr>
          <w:snapToGrid w:val="0"/>
          <w:sz w:val="22"/>
          <w:szCs w:val="24"/>
        </w:rPr>
      </w:pPr>
    </w:p>
    <w:p w14:paraId="101936B1" w14:textId="77777777" w:rsidR="00C710D9" w:rsidRPr="00BF4AB8" w:rsidRDefault="00C710D9" w:rsidP="00C710D9">
      <w:pPr>
        <w:pBdr>
          <w:top w:val="single" w:sz="4" w:space="1" w:color="auto"/>
          <w:left w:val="single" w:sz="4" w:space="4" w:color="auto"/>
          <w:bottom w:val="single" w:sz="4" w:space="1" w:color="auto"/>
          <w:right w:val="single" w:sz="4" w:space="4" w:color="auto"/>
        </w:pBdr>
        <w:tabs>
          <w:tab w:val="left" w:pos="567"/>
        </w:tabs>
        <w:outlineLvl w:val="0"/>
        <w:rPr>
          <w:snapToGrid w:val="0"/>
          <w:sz w:val="22"/>
          <w:szCs w:val="24"/>
        </w:rPr>
      </w:pPr>
      <w:r w:rsidRPr="00BF4AB8">
        <w:rPr>
          <w:b/>
          <w:snapToGrid w:val="0"/>
          <w:sz w:val="22"/>
          <w:szCs w:val="24"/>
        </w:rPr>
        <w:t>14.</w:t>
      </w:r>
      <w:r w:rsidRPr="00BF4AB8">
        <w:rPr>
          <w:b/>
          <w:snapToGrid w:val="0"/>
          <w:sz w:val="22"/>
          <w:szCs w:val="24"/>
        </w:rPr>
        <w:tab/>
        <w:t>PARDAVIMO (IŠDAVIMO) TVARKA</w:t>
      </w:r>
    </w:p>
    <w:p w14:paraId="3253EE7B" w14:textId="77777777" w:rsidR="00C710D9" w:rsidRPr="00BF4AB8" w:rsidRDefault="00C710D9" w:rsidP="00C710D9">
      <w:pPr>
        <w:tabs>
          <w:tab w:val="left" w:pos="567"/>
        </w:tabs>
        <w:spacing w:line="260" w:lineRule="exact"/>
        <w:rPr>
          <w:snapToGrid w:val="0"/>
          <w:sz w:val="22"/>
          <w:szCs w:val="24"/>
        </w:rPr>
      </w:pPr>
    </w:p>
    <w:p w14:paraId="58F0B7C7" w14:textId="6C28592B" w:rsidR="00C710D9" w:rsidRDefault="004B770C" w:rsidP="00C710D9">
      <w:pPr>
        <w:tabs>
          <w:tab w:val="left" w:pos="567"/>
        </w:tabs>
        <w:spacing w:line="260" w:lineRule="exact"/>
        <w:rPr>
          <w:snapToGrid w:val="0"/>
          <w:sz w:val="22"/>
          <w:szCs w:val="24"/>
        </w:rPr>
      </w:pPr>
      <w:r>
        <w:rPr>
          <w:snapToGrid w:val="0"/>
          <w:sz w:val="22"/>
          <w:szCs w:val="24"/>
        </w:rPr>
        <w:t>Receptinis vaistas</w:t>
      </w:r>
    </w:p>
    <w:p w14:paraId="2A963051" w14:textId="77777777" w:rsidR="004B770C" w:rsidRDefault="004B770C" w:rsidP="00C710D9">
      <w:pPr>
        <w:tabs>
          <w:tab w:val="left" w:pos="567"/>
        </w:tabs>
        <w:spacing w:line="260" w:lineRule="exact"/>
        <w:rPr>
          <w:snapToGrid w:val="0"/>
          <w:sz w:val="22"/>
          <w:szCs w:val="24"/>
        </w:rPr>
      </w:pPr>
    </w:p>
    <w:p w14:paraId="4D8BBB0B" w14:textId="77777777" w:rsidR="004B770C" w:rsidRPr="00BF4AB8" w:rsidRDefault="004B770C" w:rsidP="00C710D9">
      <w:pPr>
        <w:tabs>
          <w:tab w:val="left" w:pos="567"/>
        </w:tabs>
        <w:spacing w:line="260" w:lineRule="exact"/>
        <w:rPr>
          <w:snapToGrid w:val="0"/>
          <w:sz w:val="22"/>
          <w:szCs w:val="24"/>
        </w:rPr>
      </w:pPr>
    </w:p>
    <w:p w14:paraId="25C737FE" w14:textId="77777777" w:rsidR="00C710D9" w:rsidRPr="00BF4AB8" w:rsidRDefault="00C710D9" w:rsidP="00C710D9">
      <w:pPr>
        <w:pBdr>
          <w:top w:val="single" w:sz="4" w:space="2" w:color="auto"/>
          <w:left w:val="single" w:sz="4" w:space="4" w:color="auto"/>
          <w:bottom w:val="single" w:sz="4" w:space="1" w:color="auto"/>
          <w:right w:val="single" w:sz="4" w:space="4" w:color="auto"/>
        </w:pBdr>
        <w:tabs>
          <w:tab w:val="left" w:pos="567"/>
        </w:tabs>
        <w:outlineLvl w:val="0"/>
        <w:rPr>
          <w:snapToGrid w:val="0"/>
          <w:sz w:val="22"/>
          <w:szCs w:val="24"/>
        </w:rPr>
      </w:pPr>
      <w:r w:rsidRPr="00BF4AB8">
        <w:rPr>
          <w:b/>
          <w:snapToGrid w:val="0"/>
          <w:sz w:val="22"/>
          <w:szCs w:val="24"/>
        </w:rPr>
        <w:t>15.</w:t>
      </w:r>
      <w:r w:rsidRPr="00BF4AB8">
        <w:rPr>
          <w:b/>
          <w:snapToGrid w:val="0"/>
          <w:sz w:val="22"/>
          <w:szCs w:val="24"/>
        </w:rPr>
        <w:tab/>
        <w:t>VARTOJIMO INSTRUKCIJA</w:t>
      </w:r>
    </w:p>
    <w:p w14:paraId="66BBD7EC" w14:textId="77777777" w:rsidR="00C710D9" w:rsidRPr="00BF4AB8" w:rsidRDefault="00C710D9" w:rsidP="00C710D9">
      <w:pPr>
        <w:tabs>
          <w:tab w:val="left" w:pos="567"/>
        </w:tabs>
        <w:spacing w:line="260" w:lineRule="exact"/>
        <w:rPr>
          <w:snapToGrid w:val="0"/>
          <w:sz w:val="22"/>
          <w:szCs w:val="24"/>
        </w:rPr>
      </w:pPr>
    </w:p>
    <w:p w14:paraId="4F5771F8" w14:textId="77777777" w:rsidR="00C710D9" w:rsidRPr="00BF4AB8" w:rsidRDefault="00C710D9" w:rsidP="00C710D9">
      <w:pPr>
        <w:tabs>
          <w:tab w:val="left" w:pos="567"/>
        </w:tabs>
        <w:spacing w:line="260" w:lineRule="exact"/>
        <w:rPr>
          <w:snapToGrid w:val="0"/>
          <w:sz w:val="22"/>
          <w:szCs w:val="24"/>
        </w:rPr>
      </w:pPr>
    </w:p>
    <w:p w14:paraId="68BC0CE2" w14:textId="77777777" w:rsidR="00C710D9" w:rsidRPr="00BF4AB8" w:rsidRDefault="00C710D9" w:rsidP="00C710D9">
      <w:pPr>
        <w:pBdr>
          <w:top w:val="single" w:sz="4" w:space="1" w:color="auto"/>
          <w:left w:val="single" w:sz="4" w:space="4" w:color="auto"/>
          <w:bottom w:val="single" w:sz="4" w:space="0" w:color="auto"/>
          <w:right w:val="single" w:sz="4" w:space="4" w:color="auto"/>
        </w:pBdr>
        <w:tabs>
          <w:tab w:val="left" w:pos="567"/>
        </w:tabs>
        <w:rPr>
          <w:snapToGrid w:val="0"/>
          <w:color w:val="008000"/>
          <w:sz w:val="22"/>
          <w:szCs w:val="24"/>
        </w:rPr>
      </w:pPr>
      <w:r w:rsidRPr="00BF4AB8">
        <w:rPr>
          <w:b/>
          <w:snapToGrid w:val="0"/>
          <w:sz w:val="22"/>
          <w:szCs w:val="24"/>
        </w:rPr>
        <w:t>16.</w:t>
      </w:r>
      <w:r w:rsidRPr="00BF4AB8">
        <w:rPr>
          <w:b/>
          <w:snapToGrid w:val="0"/>
          <w:sz w:val="22"/>
          <w:szCs w:val="24"/>
        </w:rPr>
        <w:tab/>
        <w:t>INFORMACIJA BRAILIO RAŠTU</w:t>
      </w:r>
    </w:p>
    <w:p w14:paraId="1147397C" w14:textId="77777777" w:rsidR="00C710D9" w:rsidRPr="00BF4AB8" w:rsidRDefault="00C710D9" w:rsidP="00C710D9">
      <w:pPr>
        <w:tabs>
          <w:tab w:val="left" w:pos="567"/>
        </w:tabs>
        <w:spacing w:line="260" w:lineRule="exact"/>
        <w:rPr>
          <w:snapToGrid w:val="0"/>
          <w:sz w:val="22"/>
          <w:szCs w:val="24"/>
        </w:rPr>
      </w:pPr>
    </w:p>
    <w:p w14:paraId="7474F56D" w14:textId="082B41EA" w:rsidR="00C710D9" w:rsidRDefault="00C710D9" w:rsidP="00C710D9">
      <w:pPr>
        <w:tabs>
          <w:tab w:val="left" w:pos="567"/>
        </w:tabs>
        <w:spacing w:line="260" w:lineRule="exact"/>
        <w:rPr>
          <w:sz w:val="22"/>
          <w:szCs w:val="22"/>
        </w:rPr>
      </w:pPr>
      <w:proofErr w:type="spellStart"/>
      <w:r w:rsidRPr="00BF4AB8">
        <w:rPr>
          <w:sz w:val="22"/>
          <w:szCs w:val="22"/>
        </w:rPr>
        <w:t>Nytyka</w:t>
      </w:r>
      <w:proofErr w:type="spellEnd"/>
      <w:r w:rsidRPr="00BF4AB8">
        <w:rPr>
          <w:sz w:val="22"/>
          <w:szCs w:val="22"/>
        </w:rPr>
        <w:t xml:space="preserve"> 150 mg</w:t>
      </w:r>
    </w:p>
    <w:p w14:paraId="1BBE95CD" w14:textId="77777777" w:rsidR="00761679" w:rsidRPr="00BF4AB8" w:rsidRDefault="00761679" w:rsidP="00C710D9">
      <w:pPr>
        <w:tabs>
          <w:tab w:val="left" w:pos="567"/>
        </w:tabs>
        <w:spacing w:line="260" w:lineRule="exact"/>
        <w:rPr>
          <w:snapToGrid w:val="0"/>
          <w:sz w:val="22"/>
          <w:szCs w:val="24"/>
        </w:rPr>
      </w:pPr>
    </w:p>
    <w:p w14:paraId="45F85D52" w14:textId="77777777" w:rsidR="00C710D9" w:rsidRPr="00BF4AB8" w:rsidRDefault="00C710D9" w:rsidP="00C710D9">
      <w:pPr>
        <w:tabs>
          <w:tab w:val="left" w:pos="567"/>
        </w:tabs>
        <w:spacing w:line="260" w:lineRule="exact"/>
        <w:rPr>
          <w:sz w:val="22"/>
          <w:szCs w:val="22"/>
          <w:shd w:val="clear" w:color="auto" w:fill="CCCCCC"/>
        </w:rPr>
      </w:pPr>
    </w:p>
    <w:p w14:paraId="6420DD0B" w14:textId="77777777" w:rsidR="00C710D9" w:rsidRPr="00BF4AB8" w:rsidRDefault="00C710D9" w:rsidP="00C710D9">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snapToGrid w:val="0"/>
          <w:sz w:val="22"/>
          <w:szCs w:val="24"/>
        </w:rPr>
      </w:pPr>
      <w:r w:rsidRPr="00BF4AB8">
        <w:rPr>
          <w:b/>
          <w:snapToGrid w:val="0"/>
          <w:sz w:val="22"/>
        </w:rPr>
        <w:t>17.</w:t>
      </w:r>
      <w:r w:rsidRPr="00BF4AB8">
        <w:rPr>
          <w:b/>
          <w:snapToGrid w:val="0"/>
          <w:sz w:val="22"/>
        </w:rPr>
        <w:tab/>
        <w:t>UNIKALUS IDENTIFIKATORIUS – 2D BRŪKŠNINIS KODAS</w:t>
      </w:r>
    </w:p>
    <w:p w14:paraId="5BCCC90F" w14:textId="77777777" w:rsidR="00C710D9" w:rsidRPr="00BF4AB8" w:rsidRDefault="00C710D9" w:rsidP="00C710D9">
      <w:pPr>
        <w:tabs>
          <w:tab w:val="left" w:pos="567"/>
        </w:tabs>
        <w:spacing w:line="260" w:lineRule="exact"/>
        <w:rPr>
          <w:snapToGrid w:val="0"/>
          <w:sz w:val="22"/>
        </w:rPr>
      </w:pPr>
    </w:p>
    <w:p w14:paraId="5A4A2B06" w14:textId="77777777" w:rsidR="00C710D9" w:rsidRPr="00BF4AB8" w:rsidRDefault="00C710D9" w:rsidP="00C710D9">
      <w:pPr>
        <w:tabs>
          <w:tab w:val="left" w:pos="567"/>
        </w:tabs>
        <w:spacing w:line="260" w:lineRule="exact"/>
        <w:rPr>
          <w:snapToGrid w:val="0"/>
          <w:sz w:val="22"/>
          <w:szCs w:val="22"/>
          <w:shd w:val="clear" w:color="auto" w:fill="CCCCCC"/>
        </w:rPr>
      </w:pPr>
      <w:r w:rsidRPr="00BF4AB8">
        <w:rPr>
          <w:snapToGrid w:val="0"/>
          <w:sz w:val="22"/>
          <w:highlight w:val="lightGray"/>
        </w:rPr>
        <w:t>2D brūkšninis kodas su nurodytu unikaliu identifikatoriumi.</w:t>
      </w:r>
    </w:p>
    <w:p w14:paraId="6A617891" w14:textId="77777777" w:rsidR="00C710D9" w:rsidRPr="00BF4AB8" w:rsidRDefault="00C710D9" w:rsidP="00C710D9">
      <w:pPr>
        <w:tabs>
          <w:tab w:val="left" w:pos="567"/>
        </w:tabs>
        <w:spacing w:line="260" w:lineRule="exact"/>
        <w:rPr>
          <w:snapToGrid w:val="0"/>
          <w:sz w:val="22"/>
          <w:szCs w:val="22"/>
          <w:shd w:val="clear" w:color="auto" w:fill="CCCCCC"/>
        </w:rPr>
      </w:pPr>
    </w:p>
    <w:p w14:paraId="385B4864" w14:textId="77777777" w:rsidR="00C710D9" w:rsidRPr="00BF4AB8" w:rsidRDefault="00C710D9" w:rsidP="00C710D9">
      <w:pPr>
        <w:tabs>
          <w:tab w:val="left" w:pos="567"/>
        </w:tabs>
        <w:spacing w:line="260" w:lineRule="exact"/>
        <w:rPr>
          <w:snapToGrid w:val="0"/>
          <w:sz w:val="22"/>
        </w:rPr>
      </w:pPr>
    </w:p>
    <w:p w14:paraId="20F4E585" w14:textId="77777777" w:rsidR="00C710D9" w:rsidRPr="00BF4AB8" w:rsidRDefault="00C710D9" w:rsidP="00C710D9">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snapToGrid w:val="0"/>
          <w:sz w:val="22"/>
        </w:rPr>
      </w:pPr>
      <w:r w:rsidRPr="00BF4AB8">
        <w:rPr>
          <w:b/>
          <w:snapToGrid w:val="0"/>
          <w:sz w:val="22"/>
        </w:rPr>
        <w:t>18.</w:t>
      </w:r>
      <w:r w:rsidRPr="00BF4AB8">
        <w:rPr>
          <w:b/>
          <w:snapToGrid w:val="0"/>
          <w:sz w:val="22"/>
        </w:rPr>
        <w:tab/>
        <w:t>UNIKALUS IDENTIFIKATORIUS – ŽMONĖMS SUPRANTAMI DUOMENYS</w:t>
      </w:r>
    </w:p>
    <w:p w14:paraId="6E15D3D7" w14:textId="77777777" w:rsidR="00C710D9" w:rsidRPr="00BF4AB8" w:rsidRDefault="00C710D9" w:rsidP="00C710D9">
      <w:pPr>
        <w:tabs>
          <w:tab w:val="left" w:pos="567"/>
        </w:tabs>
        <w:spacing w:line="260" w:lineRule="exact"/>
        <w:rPr>
          <w:snapToGrid w:val="0"/>
          <w:sz w:val="22"/>
        </w:rPr>
      </w:pPr>
    </w:p>
    <w:p w14:paraId="566CC59B" w14:textId="77777777" w:rsidR="00C710D9" w:rsidRPr="00BF4AB8" w:rsidRDefault="00C710D9" w:rsidP="00C710D9">
      <w:pPr>
        <w:tabs>
          <w:tab w:val="left" w:pos="567"/>
        </w:tabs>
        <w:spacing w:line="260" w:lineRule="exact"/>
        <w:rPr>
          <w:snapToGrid w:val="0"/>
          <w:sz w:val="22"/>
        </w:rPr>
      </w:pPr>
      <w:r w:rsidRPr="00BF4AB8">
        <w:rPr>
          <w:snapToGrid w:val="0"/>
          <w:sz w:val="22"/>
        </w:rPr>
        <w:t>PC</w:t>
      </w:r>
    </w:p>
    <w:p w14:paraId="25E5B7BB" w14:textId="77777777" w:rsidR="00C710D9" w:rsidRPr="00BF4AB8" w:rsidRDefault="00C710D9" w:rsidP="00C710D9">
      <w:pPr>
        <w:tabs>
          <w:tab w:val="left" w:pos="567"/>
        </w:tabs>
        <w:spacing w:line="260" w:lineRule="exact"/>
        <w:rPr>
          <w:snapToGrid w:val="0"/>
          <w:sz w:val="22"/>
        </w:rPr>
      </w:pPr>
      <w:r w:rsidRPr="00BF4AB8">
        <w:rPr>
          <w:snapToGrid w:val="0"/>
          <w:sz w:val="22"/>
        </w:rPr>
        <w:t>SN</w:t>
      </w:r>
    </w:p>
    <w:p w14:paraId="78C65467" w14:textId="77777777" w:rsidR="00C710D9" w:rsidRPr="00BF4AB8" w:rsidRDefault="00C710D9" w:rsidP="00C710D9">
      <w:pPr>
        <w:tabs>
          <w:tab w:val="left" w:pos="567"/>
        </w:tabs>
        <w:spacing w:line="260" w:lineRule="exact"/>
        <w:rPr>
          <w:snapToGrid w:val="0"/>
          <w:sz w:val="22"/>
        </w:rPr>
      </w:pPr>
      <w:r w:rsidRPr="00BF4AB8">
        <w:rPr>
          <w:snapToGrid w:val="0"/>
          <w:sz w:val="22"/>
        </w:rPr>
        <w:t>NN</w:t>
      </w:r>
    </w:p>
    <w:p w14:paraId="6BA0DA98" w14:textId="77777777" w:rsidR="00C710D9" w:rsidRPr="00BF4AB8" w:rsidRDefault="00C710D9" w:rsidP="00C710D9">
      <w:pPr>
        <w:tabs>
          <w:tab w:val="left" w:pos="567"/>
        </w:tabs>
        <w:spacing w:line="260" w:lineRule="exact"/>
        <w:rPr>
          <w:snapToGrid w:val="0"/>
          <w:sz w:val="22"/>
          <w:szCs w:val="24"/>
        </w:rPr>
      </w:pPr>
    </w:p>
    <w:p w14:paraId="134A53FB" w14:textId="77777777" w:rsidR="005D554B" w:rsidRPr="00BF4AB8" w:rsidRDefault="005D554B" w:rsidP="005D554B">
      <w:pPr>
        <w:tabs>
          <w:tab w:val="left" w:pos="567"/>
        </w:tabs>
        <w:spacing w:line="260" w:lineRule="exact"/>
        <w:rPr>
          <w:snapToGrid w:val="0"/>
          <w:sz w:val="22"/>
          <w:szCs w:val="24"/>
        </w:rPr>
      </w:pPr>
    </w:p>
    <w:p w14:paraId="2584727E" w14:textId="77777777" w:rsidR="005D554B" w:rsidRPr="00BF4AB8" w:rsidRDefault="005D554B" w:rsidP="005D554B">
      <w:pPr>
        <w:tabs>
          <w:tab w:val="left" w:pos="567"/>
        </w:tabs>
        <w:spacing w:line="260" w:lineRule="exact"/>
        <w:rPr>
          <w:snapToGrid w:val="0"/>
          <w:sz w:val="22"/>
          <w:szCs w:val="24"/>
        </w:rPr>
      </w:pPr>
      <w:r w:rsidRPr="00BF4AB8">
        <w:rPr>
          <w:snapToGrid w:val="0"/>
          <w:sz w:val="22"/>
          <w:szCs w:val="24"/>
        </w:rPr>
        <w:br w:type="page"/>
      </w:r>
    </w:p>
    <w:p w14:paraId="652908FD" w14:textId="77777777" w:rsidR="005D554B" w:rsidRPr="00BF4AB8" w:rsidRDefault="005D554B" w:rsidP="00C710D9">
      <w:pPr>
        <w:pBdr>
          <w:top w:val="single" w:sz="4" w:space="1" w:color="auto"/>
          <w:left w:val="single" w:sz="4" w:space="4" w:color="auto"/>
          <w:bottom w:val="single" w:sz="4" w:space="1" w:color="auto"/>
          <w:right w:val="single" w:sz="4" w:space="4" w:color="auto"/>
        </w:pBdr>
        <w:spacing w:line="260" w:lineRule="exact"/>
        <w:rPr>
          <w:b/>
          <w:snapToGrid w:val="0"/>
          <w:sz w:val="22"/>
          <w:szCs w:val="24"/>
        </w:rPr>
      </w:pPr>
      <w:r w:rsidRPr="00BF4AB8">
        <w:rPr>
          <w:b/>
          <w:snapToGrid w:val="0"/>
          <w:sz w:val="22"/>
          <w:szCs w:val="24"/>
        </w:rPr>
        <w:lastRenderedPageBreak/>
        <w:t>MINIMALI INFORMACIJA ANT LIZDINIŲ PLOKŠTELIŲ ARBA DVISLUOKSNIŲ JUOSTELIŲ</w:t>
      </w:r>
    </w:p>
    <w:p w14:paraId="724ABB1B" w14:textId="77777777" w:rsidR="005D554B" w:rsidRPr="00BF4AB8" w:rsidRDefault="005D554B" w:rsidP="005D554B">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snapToGrid w:val="0"/>
          <w:sz w:val="22"/>
          <w:szCs w:val="24"/>
        </w:rPr>
      </w:pPr>
    </w:p>
    <w:p w14:paraId="37F8FBE9" w14:textId="42E57791" w:rsidR="005D554B" w:rsidRPr="00BF4AB8" w:rsidRDefault="00C710D9" w:rsidP="005D554B">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snapToGrid w:val="0"/>
          <w:sz w:val="22"/>
        </w:rPr>
      </w:pPr>
      <w:r w:rsidRPr="00BF4AB8">
        <w:rPr>
          <w:b/>
          <w:snapToGrid w:val="0"/>
          <w:sz w:val="22"/>
        </w:rPr>
        <w:t>PERFORUOTA DALOMOJI LIZDINĖ PLOKŠTELĖ</w:t>
      </w:r>
    </w:p>
    <w:p w14:paraId="65E4F248" w14:textId="77777777" w:rsidR="005D554B" w:rsidRPr="00BF4AB8" w:rsidRDefault="005D554B" w:rsidP="005D554B">
      <w:pPr>
        <w:tabs>
          <w:tab w:val="left" w:pos="567"/>
        </w:tabs>
        <w:spacing w:line="260" w:lineRule="exact"/>
        <w:rPr>
          <w:snapToGrid w:val="0"/>
          <w:sz w:val="22"/>
        </w:rPr>
      </w:pPr>
    </w:p>
    <w:p w14:paraId="1B2FAFCA" w14:textId="77777777" w:rsidR="005D554B" w:rsidRPr="00BF4AB8" w:rsidRDefault="005D554B" w:rsidP="005D554B">
      <w:pPr>
        <w:tabs>
          <w:tab w:val="left" w:pos="567"/>
        </w:tabs>
        <w:spacing w:line="260" w:lineRule="exact"/>
        <w:rPr>
          <w:snapToGrid w:val="0"/>
          <w:sz w:val="22"/>
          <w:szCs w:val="24"/>
        </w:rPr>
      </w:pPr>
    </w:p>
    <w:p w14:paraId="0F77A6FC" w14:textId="77777777" w:rsidR="005D554B" w:rsidRPr="00BF4AB8" w:rsidRDefault="005D554B" w:rsidP="005D554B">
      <w:pPr>
        <w:pBdr>
          <w:top w:val="single" w:sz="4" w:space="1" w:color="auto"/>
          <w:left w:val="single" w:sz="4" w:space="4" w:color="auto"/>
          <w:bottom w:val="single" w:sz="4" w:space="1" w:color="auto"/>
          <w:right w:val="single" w:sz="4" w:space="4" w:color="auto"/>
        </w:pBdr>
        <w:tabs>
          <w:tab w:val="left" w:pos="567"/>
        </w:tabs>
        <w:outlineLvl w:val="0"/>
        <w:rPr>
          <w:b/>
          <w:snapToGrid w:val="0"/>
          <w:sz w:val="22"/>
          <w:szCs w:val="24"/>
        </w:rPr>
      </w:pPr>
      <w:r w:rsidRPr="00BF4AB8">
        <w:rPr>
          <w:b/>
          <w:snapToGrid w:val="0"/>
          <w:sz w:val="22"/>
          <w:szCs w:val="24"/>
        </w:rPr>
        <w:t>1.</w:t>
      </w:r>
      <w:r w:rsidRPr="00BF4AB8">
        <w:rPr>
          <w:b/>
          <w:snapToGrid w:val="0"/>
          <w:sz w:val="22"/>
          <w:szCs w:val="24"/>
        </w:rPr>
        <w:tab/>
      </w:r>
      <w:r w:rsidRPr="00BF4AB8">
        <w:rPr>
          <w:b/>
          <w:caps/>
          <w:snapToGrid w:val="0"/>
          <w:sz w:val="22"/>
          <w:szCs w:val="24"/>
        </w:rPr>
        <w:t>VAISTINIO</w:t>
      </w:r>
      <w:r w:rsidRPr="00BF4AB8">
        <w:rPr>
          <w:b/>
          <w:snapToGrid w:val="0"/>
          <w:sz w:val="22"/>
          <w:szCs w:val="24"/>
        </w:rPr>
        <w:t xml:space="preserve"> PREPARATO PAVADINIMAS</w:t>
      </w:r>
    </w:p>
    <w:p w14:paraId="7C4DD9C6" w14:textId="77777777" w:rsidR="005D554B" w:rsidRPr="00BF4AB8" w:rsidRDefault="005D554B" w:rsidP="005D554B">
      <w:pPr>
        <w:tabs>
          <w:tab w:val="left" w:pos="567"/>
        </w:tabs>
        <w:spacing w:line="260" w:lineRule="exact"/>
        <w:rPr>
          <w:snapToGrid w:val="0"/>
          <w:sz w:val="22"/>
          <w:szCs w:val="24"/>
        </w:rPr>
      </w:pPr>
    </w:p>
    <w:p w14:paraId="38D42AFA" w14:textId="2F09C44A" w:rsidR="00C710D9" w:rsidRPr="00BF4AB8" w:rsidRDefault="00C710D9" w:rsidP="00C710D9">
      <w:pPr>
        <w:rPr>
          <w:sz w:val="22"/>
          <w:szCs w:val="22"/>
        </w:rPr>
      </w:pPr>
      <w:proofErr w:type="spellStart"/>
      <w:r w:rsidRPr="00BF4AB8">
        <w:rPr>
          <w:sz w:val="22"/>
          <w:szCs w:val="22"/>
        </w:rPr>
        <w:t>Nytyka</w:t>
      </w:r>
      <w:proofErr w:type="spellEnd"/>
      <w:r w:rsidRPr="00BF4AB8">
        <w:rPr>
          <w:sz w:val="22"/>
          <w:szCs w:val="22"/>
        </w:rPr>
        <w:t xml:space="preserve"> 100 mg minkštosios kapsulės</w:t>
      </w:r>
    </w:p>
    <w:p w14:paraId="3E8178CF" w14:textId="0A91D479" w:rsidR="00C710D9" w:rsidRPr="00C425CB" w:rsidRDefault="00C710D9" w:rsidP="00C710D9">
      <w:pPr>
        <w:tabs>
          <w:tab w:val="left" w:pos="567"/>
        </w:tabs>
        <w:spacing w:line="260" w:lineRule="exact"/>
        <w:rPr>
          <w:i/>
          <w:iCs/>
          <w:snapToGrid w:val="0"/>
          <w:sz w:val="22"/>
          <w:szCs w:val="24"/>
        </w:rPr>
      </w:pPr>
      <w:proofErr w:type="spellStart"/>
      <w:r w:rsidRPr="00C425CB">
        <w:rPr>
          <w:i/>
          <w:iCs/>
          <w:snapToGrid w:val="0"/>
          <w:sz w:val="22"/>
          <w:szCs w:val="24"/>
        </w:rPr>
        <w:t>nintedanib</w:t>
      </w:r>
      <w:r w:rsidR="00C425CB">
        <w:rPr>
          <w:i/>
          <w:iCs/>
          <w:snapToGrid w:val="0"/>
          <w:sz w:val="22"/>
          <w:szCs w:val="24"/>
        </w:rPr>
        <w:t>um</w:t>
      </w:r>
      <w:proofErr w:type="spellEnd"/>
    </w:p>
    <w:p w14:paraId="43266CC1" w14:textId="77777777" w:rsidR="005D554B" w:rsidRPr="00BF4AB8" w:rsidRDefault="005D554B" w:rsidP="005D554B">
      <w:pPr>
        <w:tabs>
          <w:tab w:val="left" w:pos="567"/>
        </w:tabs>
        <w:spacing w:line="260" w:lineRule="exact"/>
        <w:rPr>
          <w:snapToGrid w:val="0"/>
          <w:sz w:val="22"/>
          <w:szCs w:val="24"/>
        </w:rPr>
      </w:pPr>
    </w:p>
    <w:p w14:paraId="342705B3" w14:textId="77777777" w:rsidR="005D554B" w:rsidRPr="00BF4AB8" w:rsidRDefault="005D554B" w:rsidP="005D554B">
      <w:pPr>
        <w:tabs>
          <w:tab w:val="left" w:pos="567"/>
        </w:tabs>
        <w:spacing w:line="260" w:lineRule="exact"/>
        <w:rPr>
          <w:snapToGrid w:val="0"/>
          <w:sz w:val="22"/>
          <w:szCs w:val="24"/>
        </w:rPr>
      </w:pPr>
    </w:p>
    <w:p w14:paraId="581278D8" w14:textId="77777777" w:rsidR="005D554B" w:rsidRPr="00BF4AB8" w:rsidRDefault="005D554B" w:rsidP="005D554B">
      <w:pPr>
        <w:pBdr>
          <w:top w:val="single" w:sz="4" w:space="1" w:color="auto"/>
          <w:left w:val="single" w:sz="4" w:space="4" w:color="auto"/>
          <w:bottom w:val="single" w:sz="4" w:space="1" w:color="auto"/>
          <w:right w:val="single" w:sz="4" w:space="4" w:color="auto"/>
        </w:pBdr>
        <w:tabs>
          <w:tab w:val="left" w:pos="567"/>
        </w:tabs>
        <w:outlineLvl w:val="0"/>
        <w:rPr>
          <w:b/>
          <w:snapToGrid w:val="0"/>
          <w:sz w:val="22"/>
          <w:szCs w:val="24"/>
        </w:rPr>
      </w:pPr>
      <w:r w:rsidRPr="00BF4AB8">
        <w:rPr>
          <w:b/>
          <w:snapToGrid w:val="0"/>
          <w:sz w:val="22"/>
          <w:szCs w:val="24"/>
        </w:rPr>
        <w:t>2.</w:t>
      </w:r>
      <w:r w:rsidRPr="00BF4AB8">
        <w:rPr>
          <w:b/>
          <w:snapToGrid w:val="0"/>
          <w:sz w:val="22"/>
          <w:szCs w:val="24"/>
        </w:rPr>
        <w:tab/>
      </w:r>
      <w:r w:rsidRPr="00BF4AB8">
        <w:rPr>
          <w:b/>
          <w:caps/>
          <w:snapToGrid w:val="0"/>
          <w:sz w:val="22"/>
          <w:szCs w:val="24"/>
        </w:rPr>
        <w:t>REGISTRUOTOJO pavadinimas</w:t>
      </w:r>
    </w:p>
    <w:p w14:paraId="57B2E7FC" w14:textId="77777777" w:rsidR="005D554B" w:rsidRPr="00BF4AB8" w:rsidRDefault="005D554B" w:rsidP="005D554B">
      <w:pPr>
        <w:tabs>
          <w:tab w:val="left" w:pos="567"/>
        </w:tabs>
        <w:spacing w:line="260" w:lineRule="exact"/>
        <w:rPr>
          <w:snapToGrid w:val="0"/>
          <w:sz w:val="22"/>
          <w:szCs w:val="24"/>
        </w:rPr>
      </w:pPr>
    </w:p>
    <w:p w14:paraId="057A8F82" w14:textId="6B5CC8AE" w:rsidR="005D554B" w:rsidRPr="00BF4AB8" w:rsidRDefault="00BF4AB8" w:rsidP="005D554B">
      <w:pPr>
        <w:tabs>
          <w:tab w:val="left" w:pos="567"/>
        </w:tabs>
        <w:spacing w:line="260" w:lineRule="exact"/>
        <w:rPr>
          <w:snapToGrid w:val="0"/>
          <w:sz w:val="22"/>
          <w:szCs w:val="24"/>
        </w:rPr>
      </w:pPr>
      <w:proofErr w:type="spellStart"/>
      <w:r w:rsidRPr="00BF4AB8">
        <w:rPr>
          <w:snapToGrid w:val="0"/>
          <w:sz w:val="22"/>
          <w:szCs w:val="24"/>
        </w:rPr>
        <w:t>Norameda</w:t>
      </w:r>
      <w:proofErr w:type="spellEnd"/>
    </w:p>
    <w:p w14:paraId="49E0235A" w14:textId="77777777" w:rsidR="005D554B" w:rsidRPr="00BF4AB8" w:rsidRDefault="005D554B" w:rsidP="005D554B">
      <w:pPr>
        <w:tabs>
          <w:tab w:val="left" w:pos="567"/>
        </w:tabs>
        <w:spacing w:line="260" w:lineRule="exact"/>
        <w:rPr>
          <w:snapToGrid w:val="0"/>
          <w:sz w:val="22"/>
          <w:szCs w:val="24"/>
        </w:rPr>
      </w:pPr>
    </w:p>
    <w:p w14:paraId="36B90538" w14:textId="77777777" w:rsidR="005D554B" w:rsidRPr="00BF4AB8" w:rsidRDefault="005D554B" w:rsidP="005D554B">
      <w:pPr>
        <w:tabs>
          <w:tab w:val="left" w:pos="567"/>
        </w:tabs>
        <w:spacing w:line="260" w:lineRule="exact"/>
        <w:rPr>
          <w:snapToGrid w:val="0"/>
          <w:sz w:val="22"/>
          <w:szCs w:val="24"/>
        </w:rPr>
      </w:pPr>
    </w:p>
    <w:p w14:paraId="730A00CB" w14:textId="77777777" w:rsidR="005D554B" w:rsidRPr="00BF4AB8" w:rsidRDefault="005D554B" w:rsidP="005D554B">
      <w:pPr>
        <w:pBdr>
          <w:top w:val="single" w:sz="4" w:space="1" w:color="auto"/>
          <w:left w:val="single" w:sz="4" w:space="4" w:color="auto"/>
          <w:bottom w:val="single" w:sz="4" w:space="2" w:color="auto"/>
          <w:right w:val="single" w:sz="4" w:space="4" w:color="auto"/>
        </w:pBdr>
        <w:tabs>
          <w:tab w:val="left" w:pos="567"/>
        </w:tabs>
        <w:outlineLvl w:val="0"/>
        <w:rPr>
          <w:b/>
          <w:snapToGrid w:val="0"/>
          <w:sz w:val="22"/>
          <w:szCs w:val="24"/>
        </w:rPr>
      </w:pPr>
      <w:r w:rsidRPr="00BF4AB8">
        <w:rPr>
          <w:b/>
          <w:snapToGrid w:val="0"/>
          <w:sz w:val="22"/>
          <w:szCs w:val="24"/>
        </w:rPr>
        <w:t>3.</w:t>
      </w:r>
      <w:r w:rsidRPr="00BF4AB8">
        <w:rPr>
          <w:b/>
          <w:snapToGrid w:val="0"/>
          <w:sz w:val="22"/>
          <w:szCs w:val="24"/>
        </w:rPr>
        <w:tab/>
        <w:t>TINKAMUMO LAIKAS</w:t>
      </w:r>
    </w:p>
    <w:p w14:paraId="61CD6893" w14:textId="77777777" w:rsidR="005D554B" w:rsidRPr="00BF4AB8" w:rsidRDefault="005D554B" w:rsidP="005D554B">
      <w:pPr>
        <w:tabs>
          <w:tab w:val="left" w:pos="567"/>
        </w:tabs>
        <w:spacing w:line="260" w:lineRule="exact"/>
        <w:rPr>
          <w:snapToGrid w:val="0"/>
          <w:sz w:val="22"/>
          <w:szCs w:val="24"/>
        </w:rPr>
      </w:pPr>
    </w:p>
    <w:p w14:paraId="2031C0EC" w14:textId="7D529A8F" w:rsidR="005D554B" w:rsidRPr="00BF4AB8" w:rsidRDefault="005D554B" w:rsidP="005D554B">
      <w:pPr>
        <w:tabs>
          <w:tab w:val="left" w:pos="567"/>
        </w:tabs>
        <w:spacing w:line="260" w:lineRule="exact"/>
        <w:rPr>
          <w:snapToGrid w:val="0"/>
          <w:sz w:val="22"/>
        </w:rPr>
      </w:pPr>
      <w:r w:rsidRPr="00BF4AB8">
        <w:rPr>
          <w:snapToGrid w:val="0"/>
          <w:sz w:val="22"/>
        </w:rPr>
        <w:t>EXP</w:t>
      </w:r>
      <w:r w:rsidR="004B770C">
        <w:rPr>
          <w:snapToGrid w:val="0"/>
          <w:sz w:val="22"/>
        </w:rPr>
        <w:t>: {mm/MMMM}</w:t>
      </w:r>
    </w:p>
    <w:p w14:paraId="2FC2D854" w14:textId="77777777" w:rsidR="005D554B" w:rsidRPr="00BF4AB8" w:rsidRDefault="005D554B" w:rsidP="005D554B">
      <w:pPr>
        <w:tabs>
          <w:tab w:val="left" w:pos="567"/>
        </w:tabs>
        <w:spacing w:line="260" w:lineRule="exact"/>
        <w:rPr>
          <w:snapToGrid w:val="0"/>
          <w:sz w:val="22"/>
        </w:rPr>
      </w:pPr>
    </w:p>
    <w:p w14:paraId="60F1EA00" w14:textId="77777777" w:rsidR="005D554B" w:rsidRPr="00BF4AB8" w:rsidRDefault="005D554B" w:rsidP="005D554B">
      <w:pPr>
        <w:tabs>
          <w:tab w:val="left" w:pos="567"/>
        </w:tabs>
        <w:spacing w:line="260" w:lineRule="exact"/>
        <w:rPr>
          <w:snapToGrid w:val="0"/>
          <w:sz w:val="22"/>
        </w:rPr>
      </w:pPr>
    </w:p>
    <w:p w14:paraId="3BAAF9E3" w14:textId="77777777" w:rsidR="005D554B" w:rsidRPr="00BF4AB8" w:rsidRDefault="005D554B" w:rsidP="005D554B">
      <w:pPr>
        <w:suppressLineNumbers/>
        <w:pBdr>
          <w:top w:val="single" w:sz="4" w:space="1" w:color="auto"/>
          <w:left w:val="single" w:sz="4" w:space="4" w:color="auto"/>
          <w:bottom w:val="single" w:sz="4" w:space="1" w:color="auto"/>
          <w:right w:val="single" w:sz="4" w:space="4" w:color="auto"/>
        </w:pBdr>
        <w:tabs>
          <w:tab w:val="left" w:pos="567"/>
        </w:tabs>
        <w:outlineLvl w:val="0"/>
        <w:rPr>
          <w:b/>
          <w:snapToGrid w:val="0"/>
          <w:sz w:val="22"/>
          <w:szCs w:val="24"/>
        </w:rPr>
      </w:pPr>
      <w:r w:rsidRPr="00BF4AB8">
        <w:rPr>
          <w:b/>
          <w:snapToGrid w:val="0"/>
          <w:sz w:val="22"/>
          <w:szCs w:val="24"/>
        </w:rPr>
        <w:t>4.</w:t>
      </w:r>
      <w:r w:rsidRPr="00BF4AB8">
        <w:rPr>
          <w:b/>
          <w:snapToGrid w:val="0"/>
          <w:sz w:val="22"/>
          <w:szCs w:val="24"/>
        </w:rPr>
        <w:tab/>
        <w:t>SERIJOS NUMERIS</w:t>
      </w:r>
    </w:p>
    <w:p w14:paraId="294144EB" w14:textId="77777777" w:rsidR="005D554B" w:rsidRPr="00BF4AB8" w:rsidRDefault="005D554B" w:rsidP="005D554B">
      <w:pPr>
        <w:tabs>
          <w:tab w:val="left" w:pos="567"/>
        </w:tabs>
        <w:spacing w:line="260" w:lineRule="exact"/>
        <w:rPr>
          <w:snapToGrid w:val="0"/>
          <w:sz w:val="22"/>
        </w:rPr>
      </w:pPr>
    </w:p>
    <w:p w14:paraId="47FDC1D7" w14:textId="2FD5E876" w:rsidR="005D554B" w:rsidRPr="00BF4AB8" w:rsidRDefault="005D554B" w:rsidP="005D554B">
      <w:pPr>
        <w:tabs>
          <w:tab w:val="left" w:pos="567"/>
        </w:tabs>
        <w:outlineLvl w:val="0"/>
        <w:rPr>
          <w:b/>
          <w:snapToGrid w:val="0"/>
          <w:sz w:val="22"/>
        </w:rPr>
      </w:pPr>
      <w:proofErr w:type="spellStart"/>
      <w:r w:rsidRPr="00BF4AB8">
        <w:rPr>
          <w:snapToGrid w:val="0"/>
          <w:sz w:val="22"/>
        </w:rPr>
        <w:t>Lot</w:t>
      </w:r>
      <w:proofErr w:type="spellEnd"/>
    </w:p>
    <w:p w14:paraId="6D02201B" w14:textId="77777777" w:rsidR="005D554B" w:rsidRPr="00BF4AB8" w:rsidRDefault="005D554B" w:rsidP="005D554B">
      <w:pPr>
        <w:tabs>
          <w:tab w:val="left" w:pos="567"/>
        </w:tabs>
        <w:spacing w:line="260" w:lineRule="exact"/>
        <w:rPr>
          <w:snapToGrid w:val="0"/>
          <w:sz w:val="22"/>
          <w:szCs w:val="24"/>
        </w:rPr>
      </w:pPr>
    </w:p>
    <w:p w14:paraId="0596A532" w14:textId="77777777" w:rsidR="005D554B" w:rsidRPr="00BF4AB8" w:rsidRDefault="005D554B" w:rsidP="005D554B">
      <w:pPr>
        <w:tabs>
          <w:tab w:val="left" w:pos="567"/>
        </w:tabs>
        <w:spacing w:line="260" w:lineRule="exact"/>
        <w:rPr>
          <w:snapToGrid w:val="0"/>
          <w:sz w:val="22"/>
          <w:szCs w:val="24"/>
        </w:rPr>
      </w:pPr>
    </w:p>
    <w:p w14:paraId="7F4C2C87" w14:textId="77777777" w:rsidR="005D554B" w:rsidRPr="00BF4AB8" w:rsidRDefault="005D554B" w:rsidP="005D554B">
      <w:pPr>
        <w:pBdr>
          <w:top w:val="single" w:sz="4" w:space="1" w:color="auto"/>
          <w:left w:val="single" w:sz="4" w:space="4" w:color="auto"/>
          <w:bottom w:val="single" w:sz="4" w:space="1" w:color="auto"/>
          <w:right w:val="single" w:sz="4" w:space="4" w:color="auto"/>
        </w:pBdr>
        <w:tabs>
          <w:tab w:val="left" w:pos="567"/>
        </w:tabs>
        <w:outlineLvl w:val="0"/>
        <w:rPr>
          <w:b/>
          <w:snapToGrid w:val="0"/>
          <w:sz w:val="22"/>
          <w:szCs w:val="24"/>
        </w:rPr>
      </w:pPr>
      <w:r w:rsidRPr="00BF4AB8">
        <w:rPr>
          <w:b/>
          <w:snapToGrid w:val="0"/>
          <w:sz w:val="22"/>
          <w:szCs w:val="24"/>
        </w:rPr>
        <w:t>5.</w:t>
      </w:r>
      <w:r w:rsidRPr="00BF4AB8">
        <w:rPr>
          <w:b/>
          <w:snapToGrid w:val="0"/>
          <w:sz w:val="22"/>
          <w:szCs w:val="24"/>
        </w:rPr>
        <w:tab/>
        <w:t>KITA</w:t>
      </w:r>
    </w:p>
    <w:p w14:paraId="28552E2E" w14:textId="77777777" w:rsidR="005D554B" w:rsidRPr="00BF4AB8" w:rsidRDefault="005D554B" w:rsidP="005D554B">
      <w:pPr>
        <w:tabs>
          <w:tab w:val="left" w:pos="567"/>
        </w:tabs>
        <w:spacing w:line="260" w:lineRule="exact"/>
        <w:rPr>
          <w:snapToGrid w:val="0"/>
          <w:sz w:val="22"/>
          <w:szCs w:val="24"/>
        </w:rPr>
      </w:pPr>
    </w:p>
    <w:p w14:paraId="5C75A52F" w14:textId="77777777" w:rsidR="00C710D9" w:rsidRPr="00BF4AB8" w:rsidRDefault="00C710D9" w:rsidP="00C710D9">
      <w:pPr>
        <w:tabs>
          <w:tab w:val="left" w:pos="567"/>
        </w:tabs>
        <w:spacing w:line="260" w:lineRule="exact"/>
        <w:rPr>
          <w:snapToGrid w:val="0"/>
          <w:sz w:val="22"/>
          <w:szCs w:val="24"/>
        </w:rPr>
      </w:pPr>
      <w:r w:rsidRPr="00BF4AB8">
        <w:rPr>
          <w:snapToGrid w:val="0"/>
          <w:sz w:val="22"/>
          <w:szCs w:val="24"/>
        </w:rPr>
        <w:br w:type="page"/>
      </w:r>
    </w:p>
    <w:p w14:paraId="284EEE57" w14:textId="77777777" w:rsidR="00C710D9" w:rsidRPr="00BF4AB8" w:rsidRDefault="00C710D9" w:rsidP="00C710D9">
      <w:pPr>
        <w:pBdr>
          <w:top w:val="single" w:sz="4" w:space="1" w:color="auto"/>
          <w:left w:val="single" w:sz="4" w:space="4" w:color="auto"/>
          <w:bottom w:val="single" w:sz="4" w:space="1" w:color="auto"/>
          <w:right w:val="single" w:sz="4" w:space="4" w:color="auto"/>
        </w:pBdr>
        <w:spacing w:line="260" w:lineRule="exact"/>
        <w:rPr>
          <w:b/>
          <w:snapToGrid w:val="0"/>
          <w:sz w:val="22"/>
          <w:szCs w:val="24"/>
        </w:rPr>
      </w:pPr>
      <w:r w:rsidRPr="00BF4AB8">
        <w:rPr>
          <w:b/>
          <w:snapToGrid w:val="0"/>
          <w:sz w:val="22"/>
          <w:szCs w:val="24"/>
        </w:rPr>
        <w:lastRenderedPageBreak/>
        <w:t>MINIMALI INFORMACIJA ANT LIZDINIŲ PLOKŠTELIŲ ARBA DVISLUOKSNIŲ JUOSTELIŲ</w:t>
      </w:r>
    </w:p>
    <w:p w14:paraId="771A5984" w14:textId="77777777" w:rsidR="00C710D9" w:rsidRPr="00BF4AB8" w:rsidRDefault="00C710D9" w:rsidP="00C710D9">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snapToGrid w:val="0"/>
          <w:sz w:val="22"/>
          <w:szCs w:val="24"/>
        </w:rPr>
      </w:pPr>
    </w:p>
    <w:p w14:paraId="48E91BF5" w14:textId="77777777" w:rsidR="00C710D9" w:rsidRPr="00BF4AB8" w:rsidRDefault="00C710D9" w:rsidP="00C710D9">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snapToGrid w:val="0"/>
          <w:sz w:val="22"/>
        </w:rPr>
      </w:pPr>
      <w:r w:rsidRPr="00BF4AB8">
        <w:rPr>
          <w:b/>
          <w:snapToGrid w:val="0"/>
          <w:sz w:val="22"/>
        </w:rPr>
        <w:t>PERFORUOTA DALOMOJI LIZDINĖ PLOKŠTELĖ</w:t>
      </w:r>
    </w:p>
    <w:p w14:paraId="31E25B59" w14:textId="77777777" w:rsidR="00C710D9" w:rsidRPr="00BF4AB8" w:rsidRDefault="00C710D9" w:rsidP="00C710D9">
      <w:pPr>
        <w:tabs>
          <w:tab w:val="left" w:pos="567"/>
        </w:tabs>
        <w:spacing w:line="260" w:lineRule="exact"/>
        <w:rPr>
          <w:snapToGrid w:val="0"/>
          <w:sz w:val="22"/>
        </w:rPr>
      </w:pPr>
    </w:p>
    <w:p w14:paraId="53D73AE6" w14:textId="77777777" w:rsidR="00C710D9" w:rsidRPr="00BF4AB8" w:rsidRDefault="00C710D9" w:rsidP="00C710D9">
      <w:pPr>
        <w:tabs>
          <w:tab w:val="left" w:pos="567"/>
        </w:tabs>
        <w:spacing w:line="260" w:lineRule="exact"/>
        <w:rPr>
          <w:snapToGrid w:val="0"/>
          <w:sz w:val="22"/>
          <w:szCs w:val="24"/>
        </w:rPr>
      </w:pPr>
    </w:p>
    <w:p w14:paraId="02FB7408" w14:textId="77777777" w:rsidR="00C710D9" w:rsidRPr="00BF4AB8" w:rsidRDefault="00C710D9" w:rsidP="00C710D9">
      <w:pPr>
        <w:pBdr>
          <w:top w:val="single" w:sz="4" w:space="1" w:color="auto"/>
          <w:left w:val="single" w:sz="4" w:space="4" w:color="auto"/>
          <w:bottom w:val="single" w:sz="4" w:space="1" w:color="auto"/>
          <w:right w:val="single" w:sz="4" w:space="4" w:color="auto"/>
        </w:pBdr>
        <w:tabs>
          <w:tab w:val="left" w:pos="567"/>
        </w:tabs>
        <w:outlineLvl w:val="0"/>
        <w:rPr>
          <w:b/>
          <w:snapToGrid w:val="0"/>
          <w:sz w:val="22"/>
          <w:szCs w:val="24"/>
        </w:rPr>
      </w:pPr>
      <w:r w:rsidRPr="00BF4AB8">
        <w:rPr>
          <w:b/>
          <w:snapToGrid w:val="0"/>
          <w:sz w:val="22"/>
          <w:szCs w:val="24"/>
        </w:rPr>
        <w:t>1.</w:t>
      </w:r>
      <w:r w:rsidRPr="00BF4AB8">
        <w:rPr>
          <w:b/>
          <w:snapToGrid w:val="0"/>
          <w:sz w:val="22"/>
          <w:szCs w:val="24"/>
        </w:rPr>
        <w:tab/>
      </w:r>
      <w:r w:rsidRPr="00BF4AB8">
        <w:rPr>
          <w:b/>
          <w:caps/>
          <w:snapToGrid w:val="0"/>
          <w:sz w:val="22"/>
          <w:szCs w:val="24"/>
        </w:rPr>
        <w:t>VAISTINIO</w:t>
      </w:r>
      <w:r w:rsidRPr="00BF4AB8">
        <w:rPr>
          <w:b/>
          <w:snapToGrid w:val="0"/>
          <w:sz w:val="22"/>
          <w:szCs w:val="24"/>
        </w:rPr>
        <w:t xml:space="preserve"> PREPARATO PAVADINIMAS</w:t>
      </w:r>
    </w:p>
    <w:p w14:paraId="039F0EA8" w14:textId="77777777" w:rsidR="00C710D9" w:rsidRPr="00BF4AB8" w:rsidRDefault="00C710D9" w:rsidP="00C710D9">
      <w:pPr>
        <w:tabs>
          <w:tab w:val="left" w:pos="567"/>
        </w:tabs>
        <w:spacing w:line="260" w:lineRule="exact"/>
        <w:rPr>
          <w:snapToGrid w:val="0"/>
          <w:sz w:val="22"/>
          <w:szCs w:val="24"/>
        </w:rPr>
      </w:pPr>
    </w:p>
    <w:p w14:paraId="0801FBE8" w14:textId="479B693C" w:rsidR="00C710D9" w:rsidRPr="00BF4AB8" w:rsidRDefault="00C710D9" w:rsidP="00C710D9">
      <w:pPr>
        <w:rPr>
          <w:sz w:val="22"/>
          <w:szCs w:val="22"/>
        </w:rPr>
      </w:pPr>
      <w:proofErr w:type="spellStart"/>
      <w:r w:rsidRPr="00BF4AB8">
        <w:rPr>
          <w:sz w:val="22"/>
          <w:szCs w:val="22"/>
        </w:rPr>
        <w:t>Nytyka</w:t>
      </w:r>
      <w:proofErr w:type="spellEnd"/>
      <w:r w:rsidRPr="00BF4AB8">
        <w:rPr>
          <w:sz w:val="22"/>
          <w:szCs w:val="22"/>
        </w:rPr>
        <w:t xml:space="preserve"> 150 mg minkštosios kapsulės</w:t>
      </w:r>
    </w:p>
    <w:p w14:paraId="4F29B894" w14:textId="2A2C870C" w:rsidR="00C710D9" w:rsidRPr="00C425CB" w:rsidRDefault="00C710D9" w:rsidP="00C710D9">
      <w:pPr>
        <w:tabs>
          <w:tab w:val="left" w:pos="567"/>
        </w:tabs>
        <w:spacing w:line="260" w:lineRule="exact"/>
        <w:rPr>
          <w:i/>
          <w:iCs/>
          <w:snapToGrid w:val="0"/>
          <w:sz w:val="22"/>
          <w:szCs w:val="24"/>
        </w:rPr>
      </w:pPr>
      <w:proofErr w:type="spellStart"/>
      <w:r w:rsidRPr="00C425CB">
        <w:rPr>
          <w:i/>
          <w:iCs/>
          <w:snapToGrid w:val="0"/>
          <w:sz w:val="22"/>
          <w:szCs w:val="24"/>
        </w:rPr>
        <w:t>nintedanib</w:t>
      </w:r>
      <w:r w:rsidR="00C425CB">
        <w:rPr>
          <w:i/>
          <w:iCs/>
          <w:snapToGrid w:val="0"/>
          <w:sz w:val="22"/>
          <w:szCs w:val="24"/>
        </w:rPr>
        <w:t>um</w:t>
      </w:r>
      <w:proofErr w:type="spellEnd"/>
    </w:p>
    <w:p w14:paraId="0E9AF763" w14:textId="77777777" w:rsidR="00C710D9" w:rsidRPr="00BF4AB8" w:rsidRDefault="00C710D9" w:rsidP="00C710D9">
      <w:pPr>
        <w:tabs>
          <w:tab w:val="left" w:pos="567"/>
        </w:tabs>
        <w:spacing w:line="260" w:lineRule="exact"/>
        <w:rPr>
          <w:snapToGrid w:val="0"/>
          <w:sz w:val="22"/>
          <w:szCs w:val="24"/>
        </w:rPr>
      </w:pPr>
    </w:p>
    <w:p w14:paraId="6A1159F1" w14:textId="77777777" w:rsidR="00C710D9" w:rsidRPr="00BF4AB8" w:rsidRDefault="00C710D9" w:rsidP="00C710D9">
      <w:pPr>
        <w:tabs>
          <w:tab w:val="left" w:pos="567"/>
        </w:tabs>
        <w:spacing w:line="260" w:lineRule="exact"/>
        <w:rPr>
          <w:snapToGrid w:val="0"/>
          <w:sz w:val="22"/>
          <w:szCs w:val="24"/>
        </w:rPr>
      </w:pPr>
    </w:p>
    <w:p w14:paraId="36B46F9B" w14:textId="77777777" w:rsidR="00C710D9" w:rsidRPr="00BF4AB8" w:rsidRDefault="00C710D9" w:rsidP="00C710D9">
      <w:pPr>
        <w:pBdr>
          <w:top w:val="single" w:sz="4" w:space="1" w:color="auto"/>
          <w:left w:val="single" w:sz="4" w:space="4" w:color="auto"/>
          <w:bottom w:val="single" w:sz="4" w:space="1" w:color="auto"/>
          <w:right w:val="single" w:sz="4" w:space="4" w:color="auto"/>
        </w:pBdr>
        <w:tabs>
          <w:tab w:val="left" w:pos="567"/>
        </w:tabs>
        <w:outlineLvl w:val="0"/>
        <w:rPr>
          <w:b/>
          <w:snapToGrid w:val="0"/>
          <w:sz w:val="22"/>
          <w:szCs w:val="24"/>
        </w:rPr>
      </w:pPr>
      <w:r w:rsidRPr="00BF4AB8">
        <w:rPr>
          <w:b/>
          <w:snapToGrid w:val="0"/>
          <w:sz w:val="22"/>
          <w:szCs w:val="24"/>
        </w:rPr>
        <w:t>2.</w:t>
      </w:r>
      <w:r w:rsidRPr="00BF4AB8">
        <w:rPr>
          <w:b/>
          <w:snapToGrid w:val="0"/>
          <w:sz w:val="22"/>
          <w:szCs w:val="24"/>
        </w:rPr>
        <w:tab/>
      </w:r>
      <w:r w:rsidRPr="00BF4AB8">
        <w:rPr>
          <w:b/>
          <w:caps/>
          <w:snapToGrid w:val="0"/>
          <w:sz w:val="22"/>
          <w:szCs w:val="24"/>
        </w:rPr>
        <w:t>REGISTRUOTOJO pavadinimas</w:t>
      </w:r>
    </w:p>
    <w:p w14:paraId="432A6D38" w14:textId="77777777" w:rsidR="00C710D9" w:rsidRPr="00BF4AB8" w:rsidRDefault="00C710D9" w:rsidP="00C710D9">
      <w:pPr>
        <w:tabs>
          <w:tab w:val="left" w:pos="567"/>
        </w:tabs>
        <w:spacing w:line="260" w:lineRule="exact"/>
        <w:rPr>
          <w:snapToGrid w:val="0"/>
          <w:sz w:val="22"/>
          <w:szCs w:val="24"/>
        </w:rPr>
      </w:pPr>
    </w:p>
    <w:p w14:paraId="4DACC400" w14:textId="648BA8B7" w:rsidR="00C710D9" w:rsidRPr="00BF4AB8" w:rsidRDefault="00BF4AB8" w:rsidP="00C710D9">
      <w:pPr>
        <w:tabs>
          <w:tab w:val="left" w:pos="567"/>
        </w:tabs>
        <w:spacing w:line="260" w:lineRule="exact"/>
        <w:rPr>
          <w:snapToGrid w:val="0"/>
          <w:sz w:val="22"/>
          <w:szCs w:val="24"/>
        </w:rPr>
      </w:pPr>
      <w:proofErr w:type="spellStart"/>
      <w:r w:rsidRPr="00BF4AB8">
        <w:rPr>
          <w:snapToGrid w:val="0"/>
          <w:sz w:val="22"/>
          <w:szCs w:val="24"/>
        </w:rPr>
        <w:t>Norameda</w:t>
      </w:r>
      <w:proofErr w:type="spellEnd"/>
    </w:p>
    <w:p w14:paraId="77E818DA" w14:textId="77777777" w:rsidR="00C710D9" w:rsidRPr="00BF4AB8" w:rsidRDefault="00C710D9" w:rsidP="00C710D9">
      <w:pPr>
        <w:tabs>
          <w:tab w:val="left" w:pos="567"/>
        </w:tabs>
        <w:spacing w:line="260" w:lineRule="exact"/>
        <w:rPr>
          <w:snapToGrid w:val="0"/>
          <w:sz w:val="22"/>
          <w:szCs w:val="24"/>
        </w:rPr>
      </w:pPr>
    </w:p>
    <w:p w14:paraId="1E0E4FC5" w14:textId="77777777" w:rsidR="00C710D9" w:rsidRPr="00BF4AB8" w:rsidRDefault="00C710D9" w:rsidP="00C710D9">
      <w:pPr>
        <w:tabs>
          <w:tab w:val="left" w:pos="567"/>
        </w:tabs>
        <w:spacing w:line="260" w:lineRule="exact"/>
        <w:rPr>
          <w:snapToGrid w:val="0"/>
          <w:sz w:val="22"/>
          <w:szCs w:val="24"/>
        </w:rPr>
      </w:pPr>
    </w:p>
    <w:p w14:paraId="2616F3B0" w14:textId="77777777" w:rsidR="00C710D9" w:rsidRPr="00BF4AB8" w:rsidRDefault="00C710D9" w:rsidP="00C710D9">
      <w:pPr>
        <w:pBdr>
          <w:top w:val="single" w:sz="4" w:space="1" w:color="auto"/>
          <w:left w:val="single" w:sz="4" w:space="4" w:color="auto"/>
          <w:bottom w:val="single" w:sz="4" w:space="2" w:color="auto"/>
          <w:right w:val="single" w:sz="4" w:space="4" w:color="auto"/>
        </w:pBdr>
        <w:tabs>
          <w:tab w:val="left" w:pos="567"/>
        </w:tabs>
        <w:outlineLvl w:val="0"/>
        <w:rPr>
          <w:b/>
          <w:snapToGrid w:val="0"/>
          <w:sz w:val="22"/>
          <w:szCs w:val="24"/>
        </w:rPr>
      </w:pPr>
      <w:r w:rsidRPr="00BF4AB8">
        <w:rPr>
          <w:b/>
          <w:snapToGrid w:val="0"/>
          <w:sz w:val="22"/>
          <w:szCs w:val="24"/>
        </w:rPr>
        <w:t>3.</w:t>
      </w:r>
      <w:r w:rsidRPr="00BF4AB8">
        <w:rPr>
          <w:b/>
          <w:snapToGrid w:val="0"/>
          <w:sz w:val="22"/>
          <w:szCs w:val="24"/>
        </w:rPr>
        <w:tab/>
        <w:t>TINKAMUMO LAIKAS</w:t>
      </w:r>
    </w:p>
    <w:p w14:paraId="598F667A" w14:textId="77777777" w:rsidR="00C710D9" w:rsidRPr="00BF4AB8" w:rsidRDefault="00C710D9" w:rsidP="00C710D9">
      <w:pPr>
        <w:tabs>
          <w:tab w:val="left" w:pos="567"/>
        </w:tabs>
        <w:spacing w:line="260" w:lineRule="exact"/>
        <w:rPr>
          <w:snapToGrid w:val="0"/>
          <w:sz w:val="22"/>
          <w:szCs w:val="24"/>
        </w:rPr>
      </w:pPr>
    </w:p>
    <w:p w14:paraId="6D5B315B" w14:textId="04B0D579" w:rsidR="00C710D9" w:rsidRPr="00BF4AB8" w:rsidRDefault="00C710D9" w:rsidP="00C710D9">
      <w:pPr>
        <w:tabs>
          <w:tab w:val="left" w:pos="567"/>
        </w:tabs>
        <w:spacing w:line="260" w:lineRule="exact"/>
        <w:rPr>
          <w:snapToGrid w:val="0"/>
          <w:sz w:val="22"/>
        </w:rPr>
      </w:pPr>
      <w:r w:rsidRPr="00BF4AB8">
        <w:rPr>
          <w:snapToGrid w:val="0"/>
          <w:sz w:val="22"/>
        </w:rPr>
        <w:t>EXP</w:t>
      </w:r>
      <w:r w:rsidR="004B770C">
        <w:rPr>
          <w:snapToGrid w:val="0"/>
          <w:sz w:val="22"/>
        </w:rPr>
        <w:t>: {mm/MMMM}</w:t>
      </w:r>
    </w:p>
    <w:p w14:paraId="5E81647F" w14:textId="77777777" w:rsidR="00C710D9" w:rsidRPr="00BF4AB8" w:rsidRDefault="00C710D9" w:rsidP="00C710D9">
      <w:pPr>
        <w:tabs>
          <w:tab w:val="left" w:pos="567"/>
        </w:tabs>
        <w:spacing w:line="260" w:lineRule="exact"/>
        <w:rPr>
          <w:snapToGrid w:val="0"/>
          <w:sz w:val="22"/>
        </w:rPr>
      </w:pPr>
    </w:p>
    <w:p w14:paraId="24F94078" w14:textId="77777777" w:rsidR="00C710D9" w:rsidRPr="00BF4AB8" w:rsidRDefault="00C710D9" w:rsidP="00C710D9">
      <w:pPr>
        <w:tabs>
          <w:tab w:val="left" w:pos="567"/>
        </w:tabs>
        <w:spacing w:line="260" w:lineRule="exact"/>
        <w:rPr>
          <w:snapToGrid w:val="0"/>
          <w:sz w:val="22"/>
        </w:rPr>
      </w:pPr>
    </w:p>
    <w:p w14:paraId="092AF764" w14:textId="77777777" w:rsidR="00C710D9" w:rsidRPr="00BF4AB8" w:rsidRDefault="00C710D9" w:rsidP="00C710D9">
      <w:pPr>
        <w:suppressLineNumbers/>
        <w:pBdr>
          <w:top w:val="single" w:sz="4" w:space="1" w:color="auto"/>
          <w:left w:val="single" w:sz="4" w:space="4" w:color="auto"/>
          <w:bottom w:val="single" w:sz="4" w:space="1" w:color="auto"/>
          <w:right w:val="single" w:sz="4" w:space="4" w:color="auto"/>
        </w:pBdr>
        <w:tabs>
          <w:tab w:val="left" w:pos="567"/>
        </w:tabs>
        <w:outlineLvl w:val="0"/>
        <w:rPr>
          <w:b/>
          <w:snapToGrid w:val="0"/>
          <w:sz w:val="22"/>
          <w:szCs w:val="24"/>
        </w:rPr>
      </w:pPr>
      <w:r w:rsidRPr="00BF4AB8">
        <w:rPr>
          <w:b/>
          <w:snapToGrid w:val="0"/>
          <w:sz w:val="22"/>
          <w:szCs w:val="24"/>
        </w:rPr>
        <w:t>4.</w:t>
      </w:r>
      <w:r w:rsidRPr="00BF4AB8">
        <w:rPr>
          <w:b/>
          <w:snapToGrid w:val="0"/>
          <w:sz w:val="22"/>
          <w:szCs w:val="24"/>
        </w:rPr>
        <w:tab/>
        <w:t>SERIJOS NUMERIS</w:t>
      </w:r>
    </w:p>
    <w:p w14:paraId="506168DB" w14:textId="77777777" w:rsidR="00C710D9" w:rsidRPr="00BF4AB8" w:rsidRDefault="00C710D9" w:rsidP="00C710D9">
      <w:pPr>
        <w:tabs>
          <w:tab w:val="left" w:pos="567"/>
        </w:tabs>
        <w:spacing w:line="260" w:lineRule="exact"/>
        <w:rPr>
          <w:snapToGrid w:val="0"/>
          <w:sz w:val="22"/>
        </w:rPr>
      </w:pPr>
    </w:p>
    <w:p w14:paraId="440075DF" w14:textId="77777777" w:rsidR="00C710D9" w:rsidRPr="00BF4AB8" w:rsidRDefault="00C710D9" w:rsidP="00C710D9">
      <w:pPr>
        <w:tabs>
          <w:tab w:val="left" w:pos="567"/>
        </w:tabs>
        <w:outlineLvl w:val="0"/>
        <w:rPr>
          <w:b/>
          <w:snapToGrid w:val="0"/>
          <w:sz w:val="22"/>
        </w:rPr>
      </w:pPr>
      <w:proofErr w:type="spellStart"/>
      <w:r w:rsidRPr="00BF4AB8">
        <w:rPr>
          <w:snapToGrid w:val="0"/>
          <w:sz w:val="22"/>
        </w:rPr>
        <w:t>Lot</w:t>
      </w:r>
      <w:proofErr w:type="spellEnd"/>
    </w:p>
    <w:p w14:paraId="60B6BD75" w14:textId="77777777" w:rsidR="00C710D9" w:rsidRPr="00BF4AB8" w:rsidRDefault="00C710D9" w:rsidP="00C710D9">
      <w:pPr>
        <w:tabs>
          <w:tab w:val="left" w:pos="567"/>
        </w:tabs>
        <w:spacing w:line="260" w:lineRule="exact"/>
        <w:rPr>
          <w:snapToGrid w:val="0"/>
          <w:sz w:val="22"/>
          <w:szCs w:val="24"/>
        </w:rPr>
      </w:pPr>
    </w:p>
    <w:p w14:paraId="5D8F1C5A" w14:textId="77777777" w:rsidR="00C710D9" w:rsidRPr="00BF4AB8" w:rsidRDefault="00C710D9" w:rsidP="00C710D9">
      <w:pPr>
        <w:tabs>
          <w:tab w:val="left" w:pos="567"/>
        </w:tabs>
        <w:spacing w:line="260" w:lineRule="exact"/>
        <w:rPr>
          <w:snapToGrid w:val="0"/>
          <w:sz w:val="22"/>
          <w:szCs w:val="24"/>
        </w:rPr>
      </w:pPr>
    </w:p>
    <w:p w14:paraId="563F8348" w14:textId="77777777" w:rsidR="00C710D9" w:rsidRPr="00BF4AB8" w:rsidRDefault="00C710D9" w:rsidP="00C710D9">
      <w:pPr>
        <w:pBdr>
          <w:top w:val="single" w:sz="4" w:space="1" w:color="auto"/>
          <w:left w:val="single" w:sz="4" w:space="4" w:color="auto"/>
          <w:bottom w:val="single" w:sz="4" w:space="1" w:color="auto"/>
          <w:right w:val="single" w:sz="4" w:space="4" w:color="auto"/>
        </w:pBdr>
        <w:tabs>
          <w:tab w:val="left" w:pos="567"/>
        </w:tabs>
        <w:outlineLvl w:val="0"/>
        <w:rPr>
          <w:b/>
          <w:snapToGrid w:val="0"/>
          <w:sz w:val="22"/>
          <w:szCs w:val="24"/>
        </w:rPr>
      </w:pPr>
      <w:r w:rsidRPr="00BF4AB8">
        <w:rPr>
          <w:b/>
          <w:snapToGrid w:val="0"/>
          <w:sz w:val="22"/>
          <w:szCs w:val="24"/>
        </w:rPr>
        <w:t>5.</w:t>
      </w:r>
      <w:r w:rsidRPr="00BF4AB8">
        <w:rPr>
          <w:b/>
          <w:snapToGrid w:val="0"/>
          <w:sz w:val="22"/>
          <w:szCs w:val="24"/>
        </w:rPr>
        <w:tab/>
        <w:t>KITA</w:t>
      </w:r>
    </w:p>
    <w:p w14:paraId="5D9C5226" w14:textId="77777777" w:rsidR="00C710D9" w:rsidRPr="00BF4AB8" w:rsidRDefault="00C710D9" w:rsidP="00C710D9">
      <w:pPr>
        <w:tabs>
          <w:tab w:val="left" w:pos="567"/>
        </w:tabs>
        <w:spacing w:line="260" w:lineRule="exact"/>
        <w:rPr>
          <w:snapToGrid w:val="0"/>
          <w:sz w:val="22"/>
          <w:szCs w:val="24"/>
        </w:rPr>
      </w:pPr>
    </w:p>
    <w:p w14:paraId="51085259" w14:textId="77777777" w:rsidR="00C710D9" w:rsidRPr="00BF4AB8" w:rsidRDefault="00C710D9" w:rsidP="00C710D9">
      <w:pPr>
        <w:tabs>
          <w:tab w:val="left" w:pos="567"/>
        </w:tabs>
        <w:spacing w:line="260" w:lineRule="exact"/>
        <w:rPr>
          <w:snapToGrid w:val="0"/>
          <w:sz w:val="22"/>
          <w:szCs w:val="24"/>
        </w:rPr>
      </w:pPr>
    </w:p>
    <w:p w14:paraId="4BD22CA4" w14:textId="77777777" w:rsidR="00C710D9" w:rsidRPr="00BF4AB8" w:rsidRDefault="00C710D9" w:rsidP="00C710D9">
      <w:pPr>
        <w:tabs>
          <w:tab w:val="left" w:pos="567"/>
        </w:tabs>
        <w:spacing w:line="260" w:lineRule="exact"/>
        <w:rPr>
          <w:snapToGrid w:val="0"/>
          <w:sz w:val="22"/>
          <w:szCs w:val="24"/>
        </w:rPr>
      </w:pPr>
      <w:r w:rsidRPr="00BF4AB8">
        <w:rPr>
          <w:snapToGrid w:val="0"/>
          <w:sz w:val="22"/>
          <w:szCs w:val="24"/>
        </w:rPr>
        <w:br w:type="page"/>
      </w:r>
    </w:p>
    <w:p w14:paraId="59075E7A" w14:textId="77777777" w:rsidR="00C710D9" w:rsidRPr="00BF4AB8" w:rsidRDefault="00C710D9" w:rsidP="00C710D9">
      <w:pPr>
        <w:pBdr>
          <w:top w:val="single" w:sz="4" w:space="1" w:color="auto"/>
          <w:left w:val="single" w:sz="4" w:space="4" w:color="auto"/>
          <w:bottom w:val="single" w:sz="4" w:space="1" w:color="auto"/>
          <w:right w:val="single" w:sz="4" w:space="4" w:color="auto"/>
        </w:pBdr>
        <w:tabs>
          <w:tab w:val="left" w:pos="567"/>
        </w:tabs>
        <w:rPr>
          <w:b/>
          <w:snapToGrid w:val="0"/>
          <w:sz w:val="22"/>
          <w:szCs w:val="24"/>
        </w:rPr>
      </w:pPr>
      <w:r w:rsidRPr="00BF4AB8">
        <w:rPr>
          <w:b/>
          <w:snapToGrid w:val="0"/>
          <w:sz w:val="22"/>
          <w:szCs w:val="24"/>
        </w:rPr>
        <w:lastRenderedPageBreak/>
        <w:t>INFORMACIJA ANT IŠORINĖS PAKUOTĖS</w:t>
      </w:r>
    </w:p>
    <w:p w14:paraId="0AC0526E" w14:textId="77777777" w:rsidR="00C710D9" w:rsidRPr="00BF4AB8" w:rsidRDefault="00C710D9" w:rsidP="00C710D9">
      <w:pPr>
        <w:pBdr>
          <w:top w:val="single" w:sz="4" w:space="1" w:color="auto"/>
          <w:left w:val="single" w:sz="4" w:space="4" w:color="auto"/>
          <w:bottom w:val="single" w:sz="4" w:space="1" w:color="auto"/>
          <w:right w:val="single" w:sz="4" w:space="4" w:color="auto"/>
        </w:pBdr>
        <w:tabs>
          <w:tab w:val="left" w:pos="567"/>
        </w:tabs>
        <w:ind w:left="567" w:hanging="567"/>
        <w:rPr>
          <w:b/>
          <w:snapToGrid w:val="0"/>
          <w:sz w:val="22"/>
          <w:szCs w:val="24"/>
        </w:rPr>
      </w:pPr>
    </w:p>
    <w:p w14:paraId="0F26ECDA" w14:textId="1C4D0F5F" w:rsidR="00C710D9" w:rsidRPr="00BF4AB8" w:rsidRDefault="00C710D9" w:rsidP="00C710D9">
      <w:pPr>
        <w:pBdr>
          <w:top w:val="single" w:sz="4" w:space="1" w:color="auto"/>
          <w:left w:val="single" w:sz="4" w:space="4" w:color="auto"/>
          <w:bottom w:val="single" w:sz="4" w:space="1" w:color="auto"/>
          <w:right w:val="single" w:sz="4" w:space="4" w:color="auto"/>
        </w:pBdr>
        <w:tabs>
          <w:tab w:val="left" w:pos="567"/>
        </w:tabs>
        <w:rPr>
          <w:b/>
          <w:snapToGrid w:val="0"/>
          <w:sz w:val="22"/>
          <w:szCs w:val="24"/>
        </w:rPr>
      </w:pPr>
      <w:r w:rsidRPr="00BF4AB8">
        <w:rPr>
          <w:b/>
          <w:snapToGrid w:val="0"/>
          <w:sz w:val="22"/>
          <w:szCs w:val="24"/>
        </w:rPr>
        <w:t>SUDĖTINĖS PAKUOTĖS IŠORINĖ ETIKETĖ (ĮSKAITANT MĖLYNĄ KVADRATĄ)</w:t>
      </w:r>
    </w:p>
    <w:p w14:paraId="63592516" w14:textId="77777777" w:rsidR="00C710D9" w:rsidRPr="00BF4AB8" w:rsidRDefault="00C710D9" w:rsidP="00C710D9">
      <w:pPr>
        <w:tabs>
          <w:tab w:val="left" w:pos="567"/>
        </w:tabs>
        <w:spacing w:line="260" w:lineRule="exact"/>
        <w:rPr>
          <w:snapToGrid w:val="0"/>
          <w:sz w:val="22"/>
          <w:szCs w:val="24"/>
        </w:rPr>
      </w:pPr>
    </w:p>
    <w:p w14:paraId="6DF0982D" w14:textId="77777777" w:rsidR="00C710D9" w:rsidRPr="00BF4AB8" w:rsidRDefault="00C710D9" w:rsidP="00C710D9">
      <w:pPr>
        <w:tabs>
          <w:tab w:val="left" w:pos="567"/>
        </w:tabs>
        <w:spacing w:line="260" w:lineRule="exact"/>
        <w:rPr>
          <w:snapToGrid w:val="0"/>
          <w:sz w:val="22"/>
          <w:szCs w:val="24"/>
        </w:rPr>
      </w:pPr>
    </w:p>
    <w:p w14:paraId="420AF8B9" w14:textId="77777777" w:rsidR="00C710D9" w:rsidRPr="00BF4AB8" w:rsidRDefault="00C710D9" w:rsidP="00C710D9">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BF4AB8">
        <w:rPr>
          <w:b/>
          <w:snapToGrid w:val="0"/>
          <w:sz w:val="22"/>
          <w:szCs w:val="24"/>
        </w:rPr>
        <w:t>1.</w:t>
      </w:r>
      <w:r w:rsidRPr="00BF4AB8">
        <w:rPr>
          <w:b/>
          <w:snapToGrid w:val="0"/>
          <w:sz w:val="22"/>
          <w:szCs w:val="24"/>
        </w:rPr>
        <w:tab/>
      </w:r>
      <w:r w:rsidRPr="00BF4AB8">
        <w:rPr>
          <w:b/>
          <w:caps/>
          <w:snapToGrid w:val="0"/>
          <w:sz w:val="22"/>
          <w:szCs w:val="24"/>
        </w:rPr>
        <w:t>VAISTINIO</w:t>
      </w:r>
      <w:r w:rsidRPr="00BF4AB8">
        <w:rPr>
          <w:b/>
          <w:snapToGrid w:val="0"/>
          <w:sz w:val="22"/>
          <w:szCs w:val="24"/>
        </w:rPr>
        <w:t xml:space="preserve"> PREPARATO PAVADINIMAS</w:t>
      </w:r>
    </w:p>
    <w:p w14:paraId="39F4AD25" w14:textId="77777777" w:rsidR="00C710D9" w:rsidRPr="00BF4AB8" w:rsidRDefault="00C710D9" w:rsidP="00C710D9">
      <w:pPr>
        <w:tabs>
          <w:tab w:val="left" w:pos="567"/>
        </w:tabs>
        <w:spacing w:line="260" w:lineRule="exact"/>
        <w:rPr>
          <w:snapToGrid w:val="0"/>
          <w:sz w:val="22"/>
          <w:szCs w:val="24"/>
        </w:rPr>
      </w:pPr>
    </w:p>
    <w:p w14:paraId="7AA33968" w14:textId="40D877C8" w:rsidR="00C710D9" w:rsidRPr="00BF4AB8" w:rsidRDefault="00C710D9" w:rsidP="00C710D9">
      <w:pPr>
        <w:rPr>
          <w:sz w:val="22"/>
          <w:szCs w:val="22"/>
        </w:rPr>
      </w:pPr>
      <w:proofErr w:type="spellStart"/>
      <w:r w:rsidRPr="00BF4AB8">
        <w:rPr>
          <w:sz w:val="22"/>
          <w:szCs w:val="22"/>
        </w:rPr>
        <w:t>Nytyka</w:t>
      </w:r>
      <w:proofErr w:type="spellEnd"/>
      <w:r w:rsidRPr="00BF4AB8">
        <w:rPr>
          <w:sz w:val="22"/>
          <w:szCs w:val="22"/>
        </w:rPr>
        <w:t xml:space="preserve"> 100 mg minkštosios kapsulės</w:t>
      </w:r>
    </w:p>
    <w:p w14:paraId="62DE4A3C" w14:textId="4C8AD0D2" w:rsidR="00C710D9" w:rsidRPr="00C425CB" w:rsidRDefault="00C710D9" w:rsidP="00C710D9">
      <w:pPr>
        <w:tabs>
          <w:tab w:val="left" w:pos="567"/>
        </w:tabs>
        <w:spacing w:line="260" w:lineRule="exact"/>
        <w:rPr>
          <w:i/>
          <w:iCs/>
          <w:snapToGrid w:val="0"/>
          <w:sz w:val="22"/>
          <w:szCs w:val="24"/>
        </w:rPr>
      </w:pPr>
      <w:proofErr w:type="spellStart"/>
      <w:r w:rsidRPr="00C425CB">
        <w:rPr>
          <w:i/>
          <w:iCs/>
          <w:snapToGrid w:val="0"/>
          <w:sz w:val="22"/>
          <w:szCs w:val="24"/>
        </w:rPr>
        <w:t>nintedanib</w:t>
      </w:r>
      <w:r w:rsidR="00C425CB">
        <w:rPr>
          <w:i/>
          <w:iCs/>
          <w:snapToGrid w:val="0"/>
          <w:sz w:val="22"/>
          <w:szCs w:val="24"/>
        </w:rPr>
        <w:t>um</w:t>
      </w:r>
      <w:proofErr w:type="spellEnd"/>
    </w:p>
    <w:p w14:paraId="04D2B897" w14:textId="77777777" w:rsidR="00C710D9" w:rsidRPr="00BF4AB8" w:rsidRDefault="00C710D9" w:rsidP="00C710D9">
      <w:pPr>
        <w:tabs>
          <w:tab w:val="left" w:pos="567"/>
        </w:tabs>
        <w:spacing w:line="260" w:lineRule="exact"/>
        <w:rPr>
          <w:snapToGrid w:val="0"/>
          <w:sz w:val="22"/>
          <w:szCs w:val="24"/>
        </w:rPr>
      </w:pPr>
    </w:p>
    <w:p w14:paraId="230035B3" w14:textId="77777777" w:rsidR="00C710D9" w:rsidRPr="00BF4AB8" w:rsidRDefault="00C710D9" w:rsidP="00C710D9">
      <w:pPr>
        <w:tabs>
          <w:tab w:val="left" w:pos="567"/>
        </w:tabs>
        <w:spacing w:line="260" w:lineRule="exact"/>
        <w:rPr>
          <w:snapToGrid w:val="0"/>
          <w:sz w:val="22"/>
          <w:szCs w:val="24"/>
        </w:rPr>
      </w:pPr>
    </w:p>
    <w:p w14:paraId="5A18DA62" w14:textId="77777777" w:rsidR="00C710D9" w:rsidRPr="00BF4AB8" w:rsidRDefault="00C710D9" w:rsidP="00C710D9">
      <w:pPr>
        <w:pBdr>
          <w:top w:val="single" w:sz="4" w:space="1" w:color="auto"/>
          <w:left w:val="single" w:sz="4" w:space="4" w:color="auto"/>
          <w:bottom w:val="single" w:sz="4" w:space="1" w:color="auto"/>
          <w:right w:val="single" w:sz="4" w:space="4" w:color="auto"/>
        </w:pBdr>
        <w:tabs>
          <w:tab w:val="left" w:pos="567"/>
        </w:tabs>
        <w:ind w:left="567" w:hanging="567"/>
        <w:outlineLvl w:val="0"/>
        <w:rPr>
          <w:b/>
          <w:snapToGrid w:val="0"/>
          <w:sz w:val="22"/>
          <w:szCs w:val="24"/>
        </w:rPr>
      </w:pPr>
      <w:r w:rsidRPr="00BF4AB8">
        <w:rPr>
          <w:b/>
          <w:snapToGrid w:val="0"/>
          <w:sz w:val="22"/>
          <w:szCs w:val="24"/>
        </w:rPr>
        <w:t>2.</w:t>
      </w:r>
      <w:r w:rsidRPr="00BF4AB8">
        <w:rPr>
          <w:b/>
          <w:snapToGrid w:val="0"/>
          <w:sz w:val="22"/>
          <w:szCs w:val="24"/>
        </w:rPr>
        <w:tab/>
        <w:t>VEIKLIOJI (-IOS) MEDŽIAGA (-OS) IR JOS (-Ų) KIEKIS (-IAI)</w:t>
      </w:r>
    </w:p>
    <w:p w14:paraId="067ED0F3" w14:textId="77777777" w:rsidR="00C710D9" w:rsidRPr="00BF4AB8" w:rsidRDefault="00C710D9" w:rsidP="00C710D9">
      <w:pPr>
        <w:tabs>
          <w:tab w:val="left" w:pos="567"/>
        </w:tabs>
        <w:spacing w:line="260" w:lineRule="exact"/>
        <w:rPr>
          <w:snapToGrid w:val="0"/>
          <w:sz w:val="22"/>
          <w:szCs w:val="24"/>
        </w:rPr>
      </w:pPr>
    </w:p>
    <w:p w14:paraId="4A22AA9B" w14:textId="56997F18" w:rsidR="00C710D9" w:rsidRPr="00BF4AB8" w:rsidRDefault="00C710D9" w:rsidP="00C710D9">
      <w:pPr>
        <w:tabs>
          <w:tab w:val="left" w:pos="567"/>
        </w:tabs>
        <w:rPr>
          <w:sz w:val="22"/>
        </w:rPr>
      </w:pPr>
      <w:r w:rsidRPr="00BF4AB8">
        <w:rPr>
          <w:sz w:val="22"/>
        </w:rPr>
        <w:t xml:space="preserve">Kiekvienoje kapsulėje yra 100 mg </w:t>
      </w:r>
      <w:proofErr w:type="spellStart"/>
      <w:r w:rsidRPr="00BF4AB8">
        <w:rPr>
          <w:sz w:val="22"/>
        </w:rPr>
        <w:t>nintedanibo</w:t>
      </w:r>
      <w:proofErr w:type="spellEnd"/>
      <w:r w:rsidRPr="00BF4AB8">
        <w:rPr>
          <w:sz w:val="22"/>
        </w:rPr>
        <w:t xml:space="preserve"> (</w:t>
      </w:r>
      <w:proofErr w:type="spellStart"/>
      <w:r w:rsidRPr="00BF4AB8">
        <w:rPr>
          <w:sz w:val="22"/>
        </w:rPr>
        <w:t>esilato</w:t>
      </w:r>
      <w:proofErr w:type="spellEnd"/>
      <w:r w:rsidRPr="00BF4AB8">
        <w:rPr>
          <w:sz w:val="22"/>
        </w:rPr>
        <w:t xml:space="preserve"> forma)</w:t>
      </w:r>
    </w:p>
    <w:p w14:paraId="2EF7DC38" w14:textId="77777777" w:rsidR="00C710D9" w:rsidRPr="00BF4AB8" w:rsidRDefault="00C710D9" w:rsidP="00C710D9">
      <w:pPr>
        <w:tabs>
          <w:tab w:val="left" w:pos="567"/>
        </w:tabs>
        <w:rPr>
          <w:sz w:val="22"/>
        </w:rPr>
      </w:pPr>
    </w:p>
    <w:p w14:paraId="75C81700" w14:textId="77777777" w:rsidR="00C710D9" w:rsidRPr="00BF4AB8" w:rsidRDefault="00C710D9" w:rsidP="00C710D9">
      <w:pPr>
        <w:tabs>
          <w:tab w:val="left" w:pos="567"/>
        </w:tabs>
        <w:spacing w:line="260" w:lineRule="exact"/>
        <w:rPr>
          <w:snapToGrid w:val="0"/>
          <w:sz w:val="22"/>
          <w:szCs w:val="24"/>
        </w:rPr>
      </w:pPr>
    </w:p>
    <w:p w14:paraId="18273FDB" w14:textId="77777777" w:rsidR="00C710D9" w:rsidRPr="00BF4AB8" w:rsidRDefault="00C710D9" w:rsidP="00C710D9">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BF4AB8">
        <w:rPr>
          <w:b/>
          <w:snapToGrid w:val="0"/>
          <w:sz w:val="22"/>
          <w:szCs w:val="24"/>
        </w:rPr>
        <w:t>3.</w:t>
      </w:r>
      <w:r w:rsidRPr="00BF4AB8">
        <w:rPr>
          <w:b/>
          <w:snapToGrid w:val="0"/>
          <w:sz w:val="22"/>
          <w:szCs w:val="24"/>
        </w:rPr>
        <w:tab/>
        <w:t>PAGALBINIŲ MEDŽIAGŲ SĄRAŠAS</w:t>
      </w:r>
    </w:p>
    <w:p w14:paraId="34C97AEB" w14:textId="77777777" w:rsidR="00C710D9" w:rsidRPr="00BF4AB8" w:rsidRDefault="00C710D9" w:rsidP="00C710D9">
      <w:pPr>
        <w:tabs>
          <w:tab w:val="left" w:pos="567"/>
        </w:tabs>
        <w:spacing w:line="260" w:lineRule="exact"/>
        <w:rPr>
          <w:snapToGrid w:val="0"/>
          <w:sz w:val="22"/>
          <w:szCs w:val="24"/>
        </w:rPr>
      </w:pPr>
    </w:p>
    <w:p w14:paraId="307D525A" w14:textId="77777777" w:rsidR="00C710D9" w:rsidRPr="00BF4AB8" w:rsidRDefault="00C710D9" w:rsidP="00C710D9">
      <w:pPr>
        <w:tabs>
          <w:tab w:val="left" w:pos="567"/>
        </w:tabs>
        <w:spacing w:line="260" w:lineRule="exact"/>
        <w:rPr>
          <w:snapToGrid w:val="0"/>
          <w:sz w:val="22"/>
          <w:szCs w:val="24"/>
        </w:rPr>
      </w:pPr>
    </w:p>
    <w:p w14:paraId="52CD1D63" w14:textId="77777777" w:rsidR="00C710D9" w:rsidRPr="00BF4AB8" w:rsidRDefault="00C710D9" w:rsidP="00C710D9">
      <w:pPr>
        <w:tabs>
          <w:tab w:val="left" w:pos="567"/>
        </w:tabs>
        <w:spacing w:line="260" w:lineRule="exact"/>
        <w:rPr>
          <w:snapToGrid w:val="0"/>
          <w:sz w:val="22"/>
          <w:szCs w:val="24"/>
        </w:rPr>
      </w:pPr>
    </w:p>
    <w:p w14:paraId="21ED3EE0" w14:textId="77777777" w:rsidR="00C710D9" w:rsidRPr="00BF4AB8" w:rsidRDefault="00C710D9" w:rsidP="00C710D9">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BF4AB8">
        <w:rPr>
          <w:b/>
          <w:snapToGrid w:val="0"/>
          <w:sz w:val="22"/>
          <w:szCs w:val="24"/>
        </w:rPr>
        <w:t>4.</w:t>
      </w:r>
      <w:r w:rsidRPr="00BF4AB8">
        <w:rPr>
          <w:b/>
          <w:snapToGrid w:val="0"/>
          <w:sz w:val="22"/>
          <w:szCs w:val="24"/>
        </w:rPr>
        <w:tab/>
        <w:t>FARMACINĖ FORMA IR KIEKIS PAKUOTĖJE</w:t>
      </w:r>
    </w:p>
    <w:p w14:paraId="2591DE09" w14:textId="77777777" w:rsidR="00C710D9" w:rsidRPr="00BF4AB8" w:rsidRDefault="00C710D9" w:rsidP="00C710D9">
      <w:pPr>
        <w:tabs>
          <w:tab w:val="left" w:pos="567"/>
        </w:tabs>
        <w:spacing w:line="260" w:lineRule="exact"/>
        <w:rPr>
          <w:snapToGrid w:val="0"/>
          <w:sz w:val="22"/>
          <w:szCs w:val="24"/>
        </w:rPr>
      </w:pPr>
    </w:p>
    <w:p w14:paraId="67FFBDC2" w14:textId="46A50B20" w:rsidR="00C710D9" w:rsidRPr="00BF4AB8" w:rsidRDefault="00C710D9" w:rsidP="00C710D9">
      <w:pPr>
        <w:tabs>
          <w:tab w:val="left" w:pos="567"/>
        </w:tabs>
        <w:spacing w:line="260" w:lineRule="exact"/>
        <w:rPr>
          <w:snapToGrid w:val="0"/>
          <w:sz w:val="22"/>
          <w:szCs w:val="24"/>
        </w:rPr>
      </w:pPr>
      <w:r w:rsidRPr="00BF4AB8">
        <w:rPr>
          <w:snapToGrid w:val="0"/>
          <w:sz w:val="22"/>
          <w:szCs w:val="24"/>
        </w:rPr>
        <w:t>Sudėtinė pakuotė: 120 x 1 (2 pakuotės po 60 x 1) kapsulė</w:t>
      </w:r>
    </w:p>
    <w:p w14:paraId="4E0FFF23" w14:textId="77777777" w:rsidR="00C710D9" w:rsidRPr="00BF4AB8" w:rsidRDefault="00C710D9" w:rsidP="00C710D9">
      <w:pPr>
        <w:tabs>
          <w:tab w:val="left" w:pos="567"/>
        </w:tabs>
        <w:spacing w:line="260" w:lineRule="exact"/>
        <w:rPr>
          <w:snapToGrid w:val="0"/>
          <w:sz w:val="22"/>
          <w:szCs w:val="24"/>
        </w:rPr>
      </w:pPr>
    </w:p>
    <w:p w14:paraId="15EDCD11" w14:textId="77777777" w:rsidR="00C710D9" w:rsidRPr="00BF4AB8" w:rsidRDefault="00C710D9" w:rsidP="00C710D9">
      <w:pPr>
        <w:tabs>
          <w:tab w:val="left" w:pos="567"/>
        </w:tabs>
        <w:spacing w:line="260" w:lineRule="exact"/>
        <w:rPr>
          <w:snapToGrid w:val="0"/>
          <w:sz w:val="22"/>
          <w:szCs w:val="24"/>
        </w:rPr>
      </w:pPr>
    </w:p>
    <w:p w14:paraId="56BBC0DF" w14:textId="77777777" w:rsidR="00C710D9" w:rsidRPr="00BF4AB8" w:rsidRDefault="00C710D9" w:rsidP="00C710D9">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BF4AB8">
        <w:rPr>
          <w:b/>
          <w:snapToGrid w:val="0"/>
          <w:sz w:val="22"/>
          <w:szCs w:val="24"/>
        </w:rPr>
        <w:t>5.</w:t>
      </w:r>
      <w:r w:rsidRPr="00BF4AB8">
        <w:rPr>
          <w:b/>
          <w:snapToGrid w:val="0"/>
          <w:sz w:val="22"/>
          <w:szCs w:val="24"/>
        </w:rPr>
        <w:tab/>
        <w:t>VARTOJIMO METODAS IR BŪDAS (-AI)</w:t>
      </w:r>
    </w:p>
    <w:p w14:paraId="7BE31F13" w14:textId="77777777" w:rsidR="00C710D9" w:rsidRPr="00BF4AB8" w:rsidRDefault="00C710D9" w:rsidP="00C710D9">
      <w:pPr>
        <w:tabs>
          <w:tab w:val="left" w:pos="567"/>
        </w:tabs>
        <w:spacing w:line="260" w:lineRule="exact"/>
        <w:rPr>
          <w:snapToGrid w:val="0"/>
          <w:sz w:val="22"/>
          <w:szCs w:val="24"/>
        </w:rPr>
      </w:pPr>
    </w:p>
    <w:p w14:paraId="5A9313C5" w14:textId="77777777" w:rsidR="00C710D9" w:rsidRPr="00BF4AB8" w:rsidRDefault="00C710D9" w:rsidP="00C710D9">
      <w:pPr>
        <w:tabs>
          <w:tab w:val="left" w:pos="567"/>
        </w:tabs>
        <w:spacing w:line="260" w:lineRule="exact"/>
        <w:rPr>
          <w:snapToGrid w:val="0"/>
          <w:sz w:val="22"/>
          <w:szCs w:val="24"/>
        </w:rPr>
      </w:pPr>
      <w:r w:rsidRPr="00BF4AB8">
        <w:rPr>
          <w:snapToGrid w:val="0"/>
          <w:sz w:val="22"/>
          <w:szCs w:val="24"/>
        </w:rPr>
        <w:t>Prieš vartojimą perskaitykite pakuotės lapelį.</w:t>
      </w:r>
    </w:p>
    <w:p w14:paraId="6E1BDCBB" w14:textId="77777777" w:rsidR="00C710D9" w:rsidRPr="00BF4AB8" w:rsidRDefault="00C710D9" w:rsidP="00C710D9">
      <w:pPr>
        <w:tabs>
          <w:tab w:val="left" w:pos="567"/>
        </w:tabs>
        <w:spacing w:line="260" w:lineRule="exact"/>
        <w:rPr>
          <w:snapToGrid w:val="0"/>
          <w:sz w:val="22"/>
          <w:szCs w:val="24"/>
        </w:rPr>
      </w:pPr>
      <w:r w:rsidRPr="00BF4AB8">
        <w:rPr>
          <w:snapToGrid w:val="0"/>
          <w:sz w:val="22"/>
          <w:szCs w:val="24"/>
          <w:highlight w:val="lightGray"/>
        </w:rPr>
        <w:t>Vartoti per burną.</w:t>
      </w:r>
    </w:p>
    <w:p w14:paraId="576A4AD3" w14:textId="77777777" w:rsidR="00C710D9" w:rsidRPr="00BF4AB8" w:rsidRDefault="00C710D9" w:rsidP="00C710D9">
      <w:pPr>
        <w:tabs>
          <w:tab w:val="left" w:pos="567"/>
        </w:tabs>
        <w:spacing w:line="260" w:lineRule="exact"/>
        <w:rPr>
          <w:snapToGrid w:val="0"/>
          <w:sz w:val="22"/>
          <w:szCs w:val="24"/>
        </w:rPr>
      </w:pPr>
    </w:p>
    <w:p w14:paraId="23C56DD3" w14:textId="77777777" w:rsidR="00C710D9" w:rsidRPr="00BF4AB8" w:rsidRDefault="00C710D9" w:rsidP="00C710D9">
      <w:pPr>
        <w:tabs>
          <w:tab w:val="left" w:pos="567"/>
        </w:tabs>
        <w:spacing w:line="260" w:lineRule="exact"/>
        <w:rPr>
          <w:snapToGrid w:val="0"/>
          <w:sz w:val="22"/>
          <w:szCs w:val="24"/>
        </w:rPr>
      </w:pPr>
    </w:p>
    <w:p w14:paraId="68130414" w14:textId="77777777" w:rsidR="00C710D9" w:rsidRPr="00BF4AB8" w:rsidRDefault="00C710D9" w:rsidP="00C710D9">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BF4AB8">
        <w:rPr>
          <w:b/>
          <w:snapToGrid w:val="0"/>
          <w:sz w:val="22"/>
          <w:szCs w:val="24"/>
        </w:rPr>
        <w:t>6.</w:t>
      </w:r>
      <w:r w:rsidRPr="00BF4AB8">
        <w:rPr>
          <w:b/>
          <w:snapToGrid w:val="0"/>
          <w:sz w:val="22"/>
          <w:szCs w:val="24"/>
        </w:rPr>
        <w:tab/>
        <w:t>SPECIALUS ĮSPĖJIMAS, KAD VAISTINĮ PREPARATĄ BŪTINA LAIKYTI VAIKAMS NEPASTEBIMOJE IR  NEPASIEKIAMOJE VIETOJE</w:t>
      </w:r>
    </w:p>
    <w:p w14:paraId="3C905798" w14:textId="77777777" w:rsidR="00C710D9" w:rsidRPr="00BF4AB8" w:rsidRDefault="00C710D9" w:rsidP="00C710D9">
      <w:pPr>
        <w:tabs>
          <w:tab w:val="left" w:pos="567"/>
        </w:tabs>
        <w:spacing w:line="260" w:lineRule="exact"/>
        <w:rPr>
          <w:snapToGrid w:val="0"/>
          <w:sz w:val="22"/>
          <w:szCs w:val="24"/>
        </w:rPr>
      </w:pPr>
    </w:p>
    <w:p w14:paraId="087D4461" w14:textId="77777777" w:rsidR="00C710D9" w:rsidRPr="00BF4AB8" w:rsidRDefault="00C710D9" w:rsidP="00C710D9">
      <w:pPr>
        <w:tabs>
          <w:tab w:val="left" w:pos="567"/>
        </w:tabs>
        <w:spacing w:line="260" w:lineRule="exact"/>
        <w:rPr>
          <w:snapToGrid w:val="0"/>
          <w:sz w:val="22"/>
          <w:szCs w:val="24"/>
        </w:rPr>
      </w:pPr>
      <w:r w:rsidRPr="00BF4AB8">
        <w:rPr>
          <w:snapToGrid w:val="0"/>
          <w:sz w:val="22"/>
          <w:szCs w:val="24"/>
        </w:rPr>
        <w:t>Laikyti vaikams nepastebimoje ir nepasiekiamoje vietoje.</w:t>
      </w:r>
    </w:p>
    <w:p w14:paraId="48B4EEC4" w14:textId="77777777" w:rsidR="00C710D9" w:rsidRPr="00BF4AB8" w:rsidRDefault="00C710D9" w:rsidP="00C710D9">
      <w:pPr>
        <w:tabs>
          <w:tab w:val="left" w:pos="567"/>
        </w:tabs>
        <w:spacing w:line="260" w:lineRule="exact"/>
        <w:rPr>
          <w:snapToGrid w:val="0"/>
          <w:sz w:val="22"/>
          <w:szCs w:val="24"/>
        </w:rPr>
      </w:pPr>
    </w:p>
    <w:p w14:paraId="6038B183" w14:textId="77777777" w:rsidR="00C710D9" w:rsidRPr="00BF4AB8" w:rsidRDefault="00C710D9" w:rsidP="00C710D9">
      <w:pPr>
        <w:tabs>
          <w:tab w:val="left" w:pos="567"/>
        </w:tabs>
        <w:spacing w:line="260" w:lineRule="exact"/>
        <w:rPr>
          <w:snapToGrid w:val="0"/>
          <w:sz w:val="22"/>
          <w:szCs w:val="24"/>
        </w:rPr>
      </w:pPr>
    </w:p>
    <w:p w14:paraId="79FEE666" w14:textId="77777777" w:rsidR="00C710D9" w:rsidRPr="00BF4AB8" w:rsidRDefault="00C710D9" w:rsidP="00C710D9">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BF4AB8">
        <w:rPr>
          <w:b/>
          <w:snapToGrid w:val="0"/>
          <w:sz w:val="22"/>
          <w:szCs w:val="24"/>
        </w:rPr>
        <w:t>7.</w:t>
      </w:r>
      <w:r w:rsidRPr="00BF4AB8">
        <w:rPr>
          <w:b/>
          <w:snapToGrid w:val="0"/>
          <w:sz w:val="22"/>
          <w:szCs w:val="24"/>
        </w:rPr>
        <w:tab/>
        <w:t>KITAS (-I) SPECIALUS (-ŪS) ĮSPĖJIMAS (-AI) (JEI REIKIA)</w:t>
      </w:r>
    </w:p>
    <w:p w14:paraId="42D9C1E7" w14:textId="77777777" w:rsidR="00C710D9" w:rsidRPr="00BF4AB8" w:rsidRDefault="00C710D9" w:rsidP="00C710D9">
      <w:pPr>
        <w:tabs>
          <w:tab w:val="left" w:pos="567"/>
        </w:tabs>
        <w:spacing w:line="260" w:lineRule="exact"/>
        <w:rPr>
          <w:snapToGrid w:val="0"/>
          <w:sz w:val="22"/>
          <w:szCs w:val="24"/>
        </w:rPr>
      </w:pPr>
    </w:p>
    <w:p w14:paraId="36F095A8" w14:textId="77777777" w:rsidR="00C710D9" w:rsidRPr="00BF4AB8" w:rsidRDefault="00C710D9" w:rsidP="00C710D9">
      <w:pPr>
        <w:tabs>
          <w:tab w:val="left" w:pos="567"/>
        </w:tabs>
        <w:spacing w:line="260" w:lineRule="exact"/>
        <w:rPr>
          <w:snapToGrid w:val="0"/>
          <w:sz w:val="22"/>
          <w:szCs w:val="24"/>
        </w:rPr>
      </w:pPr>
    </w:p>
    <w:p w14:paraId="46AA2699" w14:textId="77777777" w:rsidR="00C710D9" w:rsidRPr="00BF4AB8" w:rsidRDefault="00C710D9" w:rsidP="00C710D9">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BF4AB8">
        <w:rPr>
          <w:b/>
          <w:snapToGrid w:val="0"/>
          <w:sz w:val="22"/>
          <w:szCs w:val="24"/>
        </w:rPr>
        <w:t>8.</w:t>
      </w:r>
      <w:r w:rsidRPr="00BF4AB8">
        <w:rPr>
          <w:b/>
          <w:snapToGrid w:val="0"/>
          <w:sz w:val="22"/>
          <w:szCs w:val="24"/>
        </w:rPr>
        <w:tab/>
        <w:t>TINKAMUMO LAIKAS</w:t>
      </w:r>
    </w:p>
    <w:p w14:paraId="089789E3" w14:textId="77777777" w:rsidR="00C710D9" w:rsidRPr="00BF4AB8" w:rsidRDefault="00C710D9" w:rsidP="00C710D9">
      <w:pPr>
        <w:tabs>
          <w:tab w:val="left" w:pos="567"/>
        </w:tabs>
        <w:spacing w:line="260" w:lineRule="exact"/>
        <w:rPr>
          <w:snapToGrid w:val="0"/>
          <w:sz w:val="22"/>
          <w:szCs w:val="24"/>
        </w:rPr>
      </w:pPr>
    </w:p>
    <w:p w14:paraId="389175D3" w14:textId="1B18E095" w:rsidR="00C710D9" w:rsidRPr="00BF4AB8" w:rsidRDefault="00C710D9" w:rsidP="00C710D9">
      <w:pPr>
        <w:tabs>
          <w:tab w:val="left" w:pos="567"/>
        </w:tabs>
        <w:spacing w:line="260" w:lineRule="exact"/>
        <w:rPr>
          <w:snapToGrid w:val="0"/>
          <w:sz w:val="22"/>
        </w:rPr>
      </w:pPr>
      <w:r w:rsidRPr="00BF4AB8">
        <w:rPr>
          <w:snapToGrid w:val="0"/>
          <w:sz w:val="22"/>
        </w:rPr>
        <w:t>EXP</w:t>
      </w:r>
      <w:r w:rsidR="004B770C">
        <w:rPr>
          <w:snapToGrid w:val="0"/>
          <w:sz w:val="22"/>
        </w:rPr>
        <w:t>: {mm/MMMM}</w:t>
      </w:r>
    </w:p>
    <w:p w14:paraId="3F61E782" w14:textId="77777777" w:rsidR="00C710D9" w:rsidRPr="00BF4AB8" w:rsidRDefault="00C710D9" w:rsidP="00C710D9">
      <w:pPr>
        <w:tabs>
          <w:tab w:val="left" w:pos="567"/>
        </w:tabs>
        <w:spacing w:line="260" w:lineRule="exact"/>
        <w:rPr>
          <w:snapToGrid w:val="0"/>
          <w:sz w:val="22"/>
          <w:szCs w:val="24"/>
        </w:rPr>
      </w:pPr>
    </w:p>
    <w:p w14:paraId="29FB477C" w14:textId="77777777" w:rsidR="00C710D9" w:rsidRPr="00BF4AB8" w:rsidRDefault="00C710D9" w:rsidP="00C710D9">
      <w:pPr>
        <w:tabs>
          <w:tab w:val="left" w:pos="567"/>
        </w:tabs>
        <w:spacing w:line="260" w:lineRule="exact"/>
        <w:rPr>
          <w:snapToGrid w:val="0"/>
          <w:sz w:val="22"/>
          <w:szCs w:val="24"/>
        </w:rPr>
      </w:pPr>
    </w:p>
    <w:p w14:paraId="27F2310C" w14:textId="77777777" w:rsidR="00C710D9" w:rsidRPr="00BF4AB8" w:rsidRDefault="00C710D9" w:rsidP="00C710D9">
      <w:pPr>
        <w:keepNext/>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BF4AB8">
        <w:rPr>
          <w:b/>
          <w:snapToGrid w:val="0"/>
          <w:sz w:val="22"/>
          <w:szCs w:val="24"/>
        </w:rPr>
        <w:t>9.</w:t>
      </w:r>
      <w:r w:rsidRPr="00BF4AB8">
        <w:rPr>
          <w:b/>
          <w:snapToGrid w:val="0"/>
          <w:sz w:val="22"/>
          <w:szCs w:val="24"/>
        </w:rPr>
        <w:tab/>
        <w:t>SPECIALIOS LAIKYMO SĄLYGOS</w:t>
      </w:r>
    </w:p>
    <w:p w14:paraId="11505A66" w14:textId="77777777" w:rsidR="00C710D9" w:rsidRPr="00BF4AB8" w:rsidRDefault="00C710D9" w:rsidP="00C710D9">
      <w:pPr>
        <w:tabs>
          <w:tab w:val="left" w:pos="567"/>
        </w:tabs>
        <w:spacing w:line="260" w:lineRule="exact"/>
        <w:rPr>
          <w:snapToGrid w:val="0"/>
          <w:sz w:val="22"/>
          <w:szCs w:val="24"/>
        </w:rPr>
      </w:pPr>
    </w:p>
    <w:p w14:paraId="52A8C801" w14:textId="77777777" w:rsidR="00C710D9" w:rsidRPr="00BF4AB8" w:rsidRDefault="00C710D9" w:rsidP="00C710D9">
      <w:pPr>
        <w:tabs>
          <w:tab w:val="left" w:pos="567"/>
        </w:tabs>
        <w:spacing w:line="260" w:lineRule="exact"/>
        <w:rPr>
          <w:snapToGrid w:val="0"/>
          <w:sz w:val="22"/>
          <w:szCs w:val="24"/>
        </w:rPr>
      </w:pPr>
    </w:p>
    <w:p w14:paraId="300DBD1C" w14:textId="77777777" w:rsidR="00C710D9" w:rsidRPr="00BF4AB8" w:rsidRDefault="00C710D9" w:rsidP="00C710D9">
      <w:pPr>
        <w:pBdr>
          <w:top w:val="single" w:sz="4" w:space="1" w:color="auto"/>
          <w:left w:val="single" w:sz="4" w:space="4" w:color="auto"/>
          <w:bottom w:val="single" w:sz="4" w:space="1" w:color="auto"/>
          <w:right w:val="single" w:sz="4" w:space="4" w:color="auto"/>
        </w:pBdr>
        <w:tabs>
          <w:tab w:val="left" w:pos="567"/>
        </w:tabs>
        <w:outlineLvl w:val="0"/>
        <w:rPr>
          <w:b/>
          <w:snapToGrid w:val="0"/>
          <w:sz w:val="22"/>
          <w:szCs w:val="24"/>
        </w:rPr>
      </w:pPr>
      <w:r w:rsidRPr="00BF4AB8">
        <w:rPr>
          <w:b/>
          <w:snapToGrid w:val="0"/>
          <w:sz w:val="22"/>
          <w:szCs w:val="24"/>
        </w:rPr>
        <w:t>10.</w:t>
      </w:r>
      <w:r w:rsidRPr="00BF4AB8">
        <w:rPr>
          <w:b/>
          <w:snapToGrid w:val="0"/>
          <w:sz w:val="22"/>
          <w:szCs w:val="24"/>
        </w:rPr>
        <w:tab/>
        <w:t>SPECIALIOS ATSARGUMO PRIEMONĖS DĖL NESUVARTOTO VAISTINIO PREPARATO AR JO ATLIEKŲ TVARKYMO (JEI REIKIA)</w:t>
      </w:r>
    </w:p>
    <w:p w14:paraId="1A1CA07C" w14:textId="77777777" w:rsidR="00C710D9" w:rsidRPr="00BF4AB8" w:rsidRDefault="00C710D9" w:rsidP="00C710D9">
      <w:pPr>
        <w:tabs>
          <w:tab w:val="left" w:pos="567"/>
        </w:tabs>
        <w:spacing w:line="260" w:lineRule="exact"/>
        <w:rPr>
          <w:snapToGrid w:val="0"/>
          <w:sz w:val="22"/>
          <w:szCs w:val="24"/>
        </w:rPr>
      </w:pPr>
    </w:p>
    <w:p w14:paraId="57456932" w14:textId="77777777" w:rsidR="00C710D9" w:rsidRPr="00BF4AB8" w:rsidRDefault="00C710D9" w:rsidP="00C710D9">
      <w:pPr>
        <w:tabs>
          <w:tab w:val="left" w:pos="567"/>
        </w:tabs>
        <w:spacing w:line="260" w:lineRule="exact"/>
        <w:rPr>
          <w:snapToGrid w:val="0"/>
          <w:sz w:val="22"/>
          <w:szCs w:val="24"/>
        </w:rPr>
      </w:pPr>
    </w:p>
    <w:p w14:paraId="1CE18D31" w14:textId="77777777" w:rsidR="00C710D9" w:rsidRPr="00BF4AB8" w:rsidRDefault="00C710D9" w:rsidP="00C710D9">
      <w:pPr>
        <w:pBdr>
          <w:top w:val="single" w:sz="4" w:space="1" w:color="auto"/>
          <w:left w:val="single" w:sz="4" w:space="4" w:color="auto"/>
          <w:bottom w:val="single" w:sz="4" w:space="1" w:color="auto"/>
          <w:right w:val="single" w:sz="4" w:space="4" w:color="auto"/>
        </w:pBdr>
        <w:tabs>
          <w:tab w:val="left" w:pos="567"/>
        </w:tabs>
        <w:outlineLvl w:val="0"/>
        <w:rPr>
          <w:b/>
          <w:snapToGrid w:val="0"/>
          <w:sz w:val="22"/>
          <w:szCs w:val="24"/>
        </w:rPr>
      </w:pPr>
      <w:r w:rsidRPr="00BF4AB8">
        <w:rPr>
          <w:b/>
          <w:snapToGrid w:val="0"/>
          <w:sz w:val="22"/>
          <w:szCs w:val="24"/>
        </w:rPr>
        <w:t>11.</w:t>
      </w:r>
      <w:r w:rsidRPr="00BF4AB8">
        <w:rPr>
          <w:b/>
          <w:snapToGrid w:val="0"/>
          <w:sz w:val="22"/>
          <w:szCs w:val="24"/>
        </w:rPr>
        <w:tab/>
      </w:r>
      <w:r w:rsidRPr="00BF4AB8">
        <w:rPr>
          <w:b/>
          <w:caps/>
          <w:snapToGrid w:val="0"/>
          <w:sz w:val="22"/>
          <w:szCs w:val="24"/>
        </w:rPr>
        <w:t xml:space="preserve"> REGISTRUOTOJO PAVADINIMAS IR ADRESAS</w:t>
      </w:r>
    </w:p>
    <w:p w14:paraId="13F2451B" w14:textId="77777777" w:rsidR="00C710D9" w:rsidRPr="00BF4AB8" w:rsidRDefault="00C710D9" w:rsidP="00C710D9">
      <w:pPr>
        <w:tabs>
          <w:tab w:val="left" w:pos="567"/>
        </w:tabs>
        <w:spacing w:line="260" w:lineRule="exact"/>
        <w:rPr>
          <w:snapToGrid w:val="0"/>
          <w:sz w:val="22"/>
          <w:szCs w:val="24"/>
        </w:rPr>
      </w:pPr>
    </w:p>
    <w:p w14:paraId="23D8D35C" w14:textId="77777777" w:rsidR="00BF4AB8" w:rsidRPr="00BF4AB8" w:rsidRDefault="00BF4AB8" w:rsidP="00BF4AB8">
      <w:pPr>
        <w:tabs>
          <w:tab w:val="left" w:pos="567"/>
        </w:tabs>
        <w:spacing w:line="260" w:lineRule="exact"/>
        <w:rPr>
          <w:snapToGrid w:val="0"/>
          <w:sz w:val="22"/>
          <w:szCs w:val="24"/>
        </w:rPr>
      </w:pPr>
      <w:r w:rsidRPr="00BF4AB8">
        <w:rPr>
          <w:snapToGrid w:val="0"/>
          <w:sz w:val="22"/>
          <w:szCs w:val="24"/>
        </w:rPr>
        <w:t xml:space="preserve">UAB </w:t>
      </w:r>
      <w:proofErr w:type="spellStart"/>
      <w:r w:rsidRPr="00BF4AB8">
        <w:rPr>
          <w:snapToGrid w:val="0"/>
          <w:sz w:val="22"/>
          <w:szCs w:val="24"/>
        </w:rPr>
        <w:t>Norameda</w:t>
      </w:r>
      <w:proofErr w:type="spellEnd"/>
    </w:p>
    <w:p w14:paraId="50313BA6" w14:textId="77777777" w:rsidR="00BF4AB8" w:rsidRPr="00BF4AB8" w:rsidRDefault="00BF4AB8" w:rsidP="00BF4AB8">
      <w:pPr>
        <w:tabs>
          <w:tab w:val="left" w:pos="567"/>
        </w:tabs>
        <w:spacing w:line="260" w:lineRule="exact"/>
        <w:rPr>
          <w:snapToGrid w:val="0"/>
          <w:sz w:val="22"/>
          <w:szCs w:val="24"/>
        </w:rPr>
      </w:pPr>
      <w:r w:rsidRPr="00BF4AB8">
        <w:rPr>
          <w:snapToGrid w:val="0"/>
          <w:sz w:val="22"/>
          <w:szCs w:val="24"/>
        </w:rPr>
        <w:t>Meistrų 8A,</w:t>
      </w:r>
    </w:p>
    <w:p w14:paraId="0BCA373C" w14:textId="77777777" w:rsidR="00BF4AB8" w:rsidRPr="00BF4AB8" w:rsidRDefault="00BF4AB8" w:rsidP="00BF4AB8">
      <w:pPr>
        <w:tabs>
          <w:tab w:val="left" w:pos="567"/>
        </w:tabs>
        <w:spacing w:line="260" w:lineRule="exact"/>
        <w:rPr>
          <w:snapToGrid w:val="0"/>
          <w:sz w:val="22"/>
          <w:szCs w:val="24"/>
        </w:rPr>
      </w:pPr>
      <w:r w:rsidRPr="00BF4AB8">
        <w:rPr>
          <w:snapToGrid w:val="0"/>
          <w:sz w:val="22"/>
          <w:szCs w:val="24"/>
        </w:rPr>
        <w:t>LT-02189 Vilnius,</w:t>
      </w:r>
    </w:p>
    <w:p w14:paraId="7FDFDECB" w14:textId="67B5A9CC" w:rsidR="00C710D9" w:rsidRPr="00BF4AB8" w:rsidRDefault="00BF4AB8" w:rsidP="00BF4AB8">
      <w:pPr>
        <w:tabs>
          <w:tab w:val="left" w:pos="567"/>
        </w:tabs>
        <w:spacing w:line="260" w:lineRule="exact"/>
        <w:rPr>
          <w:snapToGrid w:val="0"/>
          <w:sz w:val="22"/>
          <w:szCs w:val="24"/>
        </w:rPr>
      </w:pPr>
      <w:r w:rsidRPr="00BF4AB8">
        <w:rPr>
          <w:snapToGrid w:val="0"/>
          <w:sz w:val="22"/>
          <w:szCs w:val="24"/>
        </w:rPr>
        <w:t>Lietuva</w:t>
      </w:r>
    </w:p>
    <w:p w14:paraId="4A730E94" w14:textId="77777777" w:rsidR="00C710D9" w:rsidRPr="00BF4AB8" w:rsidRDefault="00C710D9" w:rsidP="00C710D9">
      <w:pPr>
        <w:tabs>
          <w:tab w:val="left" w:pos="567"/>
        </w:tabs>
        <w:spacing w:line="260" w:lineRule="exact"/>
        <w:rPr>
          <w:snapToGrid w:val="0"/>
          <w:sz w:val="22"/>
          <w:szCs w:val="24"/>
        </w:rPr>
      </w:pPr>
    </w:p>
    <w:p w14:paraId="3B030EEB" w14:textId="77777777" w:rsidR="00C710D9" w:rsidRPr="00BF4AB8" w:rsidRDefault="00C710D9" w:rsidP="00C710D9">
      <w:pPr>
        <w:tabs>
          <w:tab w:val="left" w:pos="567"/>
        </w:tabs>
        <w:spacing w:line="260" w:lineRule="exact"/>
        <w:rPr>
          <w:snapToGrid w:val="0"/>
          <w:sz w:val="22"/>
          <w:szCs w:val="24"/>
        </w:rPr>
      </w:pPr>
    </w:p>
    <w:p w14:paraId="7F602E53" w14:textId="77777777" w:rsidR="00C710D9" w:rsidRPr="00BF4AB8" w:rsidRDefault="00C710D9" w:rsidP="00C710D9">
      <w:pPr>
        <w:pBdr>
          <w:top w:val="single" w:sz="4" w:space="1" w:color="auto"/>
          <w:left w:val="single" w:sz="4" w:space="4" w:color="auto"/>
          <w:bottom w:val="single" w:sz="4" w:space="1" w:color="auto"/>
          <w:right w:val="single" w:sz="4" w:space="4" w:color="auto"/>
        </w:pBdr>
        <w:tabs>
          <w:tab w:val="left" w:pos="567"/>
        </w:tabs>
        <w:outlineLvl w:val="0"/>
        <w:rPr>
          <w:snapToGrid w:val="0"/>
          <w:sz w:val="22"/>
          <w:szCs w:val="24"/>
        </w:rPr>
      </w:pPr>
      <w:r w:rsidRPr="00BF4AB8">
        <w:rPr>
          <w:b/>
          <w:snapToGrid w:val="0"/>
          <w:sz w:val="22"/>
          <w:szCs w:val="24"/>
        </w:rPr>
        <w:t>12.</w:t>
      </w:r>
      <w:r w:rsidRPr="00BF4AB8">
        <w:rPr>
          <w:b/>
          <w:snapToGrid w:val="0"/>
          <w:sz w:val="22"/>
          <w:szCs w:val="24"/>
        </w:rPr>
        <w:tab/>
        <w:t xml:space="preserve">REGISTRACIJOS PAŽYMĖJIMO NUMERIS (-IAI) </w:t>
      </w:r>
    </w:p>
    <w:p w14:paraId="27DE2801" w14:textId="77777777" w:rsidR="00C710D9" w:rsidRPr="00BF4AB8" w:rsidRDefault="00C710D9" w:rsidP="00C710D9">
      <w:pPr>
        <w:tabs>
          <w:tab w:val="left" w:pos="567"/>
        </w:tabs>
        <w:spacing w:line="260" w:lineRule="exact"/>
        <w:rPr>
          <w:snapToGrid w:val="0"/>
          <w:sz w:val="22"/>
          <w:szCs w:val="24"/>
        </w:rPr>
      </w:pPr>
    </w:p>
    <w:p w14:paraId="10B17FF7" w14:textId="77777777" w:rsidR="00C710D9" w:rsidRPr="00BF4AB8" w:rsidRDefault="00C710D9" w:rsidP="00C710D9">
      <w:pPr>
        <w:tabs>
          <w:tab w:val="left" w:pos="567"/>
        </w:tabs>
        <w:spacing w:line="260" w:lineRule="exact"/>
        <w:rPr>
          <w:snapToGrid w:val="0"/>
          <w:sz w:val="22"/>
        </w:rPr>
      </w:pPr>
      <w:r w:rsidRPr="00BF4AB8">
        <w:rPr>
          <w:snapToGrid w:val="0"/>
          <w:sz w:val="22"/>
        </w:rPr>
        <w:t>LT/1/00/000/000</w:t>
      </w:r>
      <w:r w:rsidRPr="00BF4AB8">
        <w:rPr>
          <w:snapToGrid w:val="0"/>
          <w:sz w:val="22"/>
          <w:szCs w:val="24"/>
        </w:rPr>
        <w:t xml:space="preserve"> </w:t>
      </w:r>
    </w:p>
    <w:p w14:paraId="0486D2CB" w14:textId="77777777" w:rsidR="00C710D9" w:rsidRPr="00BF4AB8" w:rsidRDefault="00C710D9" w:rsidP="00C710D9">
      <w:pPr>
        <w:tabs>
          <w:tab w:val="left" w:pos="567"/>
        </w:tabs>
        <w:spacing w:line="260" w:lineRule="exact"/>
        <w:rPr>
          <w:snapToGrid w:val="0"/>
          <w:sz w:val="22"/>
          <w:szCs w:val="24"/>
        </w:rPr>
      </w:pPr>
    </w:p>
    <w:p w14:paraId="435161BB" w14:textId="77777777" w:rsidR="00C710D9" w:rsidRPr="00BF4AB8" w:rsidRDefault="00C710D9" w:rsidP="00C710D9">
      <w:pPr>
        <w:tabs>
          <w:tab w:val="left" w:pos="567"/>
        </w:tabs>
        <w:spacing w:line="260" w:lineRule="exact"/>
        <w:rPr>
          <w:snapToGrid w:val="0"/>
          <w:sz w:val="22"/>
          <w:szCs w:val="24"/>
        </w:rPr>
      </w:pPr>
    </w:p>
    <w:p w14:paraId="241F0E50" w14:textId="77777777" w:rsidR="00C710D9" w:rsidRPr="00BF4AB8" w:rsidRDefault="00C710D9" w:rsidP="00C710D9">
      <w:pPr>
        <w:pBdr>
          <w:top w:val="single" w:sz="4" w:space="1" w:color="auto"/>
          <w:left w:val="single" w:sz="4" w:space="4" w:color="auto"/>
          <w:bottom w:val="single" w:sz="4" w:space="1" w:color="auto"/>
          <w:right w:val="single" w:sz="4" w:space="4" w:color="auto"/>
        </w:pBdr>
        <w:tabs>
          <w:tab w:val="left" w:pos="567"/>
        </w:tabs>
        <w:outlineLvl w:val="0"/>
        <w:rPr>
          <w:snapToGrid w:val="0"/>
          <w:sz w:val="22"/>
          <w:szCs w:val="24"/>
        </w:rPr>
      </w:pPr>
      <w:r w:rsidRPr="00BF4AB8">
        <w:rPr>
          <w:b/>
          <w:snapToGrid w:val="0"/>
          <w:sz w:val="22"/>
          <w:szCs w:val="24"/>
        </w:rPr>
        <w:t>13.</w:t>
      </w:r>
      <w:r w:rsidRPr="00BF4AB8">
        <w:rPr>
          <w:b/>
          <w:snapToGrid w:val="0"/>
          <w:sz w:val="22"/>
          <w:szCs w:val="24"/>
        </w:rPr>
        <w:tab/>
        <w:t xml:space="preserve">SERIJOS NUMERIS </w:t>
      </w:r>
    </w:p>
    <w:p w14:paraId="5674E28F" w14:textId="77777777" w:rsidR="00C710D9" w:rsidRPr="00BF4AB8" w:rsidRDefault="00C710D9" w:rsidP="00C710D9">
      <w:pPr>
        <w:tabs>
          <w:tab w:val="left" w:pos="567"/>
        </w:tabs>
        <w:spacing w:line="260" w:lineRule="exact"/>
        <w:rPr>
          <w:snapToGrid w:val="0"/>
          <w:sz w:val="22"/>
        </w:rPr>
      </w:pPr>
    </w:p>
    <w:p w14:paraId="5D247D6F" w14:textId="77777777" w:rsidR="00C710D9" w:rsidRPr="00BF4AB8" w:rsidRDefault="00C710D9" w:rsidP="00C710D9">
      <w:pPr>
        <w:tabs>
          <w:tab w:val="left" w:pos="567"/>
        </w:tabs>
        <w:spacing w:line="260" w:lineRule="exact"/>
        <w:rPr>
          <w:snapToGrid w:val="0"/>
          <w:sz w:val="22"/>
        </w:rPr>
      </w:pPr>
      <w:proofErr w:type="spellStart"/>
      <w:r w:rsidRPr="00BF4AB8">
        <w:rPr>
          <w:snapToGrid w:val="0"/>
          <w:sz w:val="22"/>
        </w:rPr>
        <w:t>Lot</w:t>
      </w:r>
      <w:proofErr w:type="spellEnd"/>
    </w:p>
    <w:p w14:paraId="5BED0455" w14:textId="77777777" w:rsidR="00C710D9" w:rsidRPr="00BF4AB8" w:rsidRDefault="00C710D9" w:rsidP="00C710D9">
      <w:pPr>
        <w:tabs>
          <w:tab w:val="left" w:pos="567"/>
        </w:tabs>
        <w:spacing w:line="260" w:lineRule="exact"/>
        <w:rPr>
          <w:snapToGrid w:val="0"/>
          <w:sz w:val="22"/>
          <w:szCs w:val="24"/>
        </w:rPr>
      </w:pPr>
    </w:p>
    <w:p w14:paraId="2ECC1822" w14:textId="77777777" w:rsidR="00C710D9" w:rsidRPr="00BF4AB8" w:rsidRDefault="00C710D9" w:rsidP="00C710D9">
      <w:pPr>
        <w:tabs>
          <w:tab w:val="left" w:pos="567"/>
        </w:tabs>
        <w:spacing w:line="260" w:lineRule="exact"/>
        <w:rPr>
          <w:snapToGrid w:val="0"/>
          <w:sz w:val="22"/>
          <w:szCs w:val="24"/>
        </w:rPr>
      </w:pPr>
    </w:p>
    <w:p w14:paraId="66C68F5D" w14:textId="77777777" w:rsidR="00C710D9" w:rsidRPr="00BF4AB8" w:rsidRDefault="00C710D9" w:rsidP="00C710D9">
      <w:pPr>
        <w:pBdr>
          <w:top w:val="single" w:sz="4" w:space="1" w:color="auto"/>
          <w:left w:val="single" w:sz="4" w:space="4" w:color="auto"/>
          <w:bottom w:val="single" w:sz="4" w:space="1" w:color="auto"/>
          <w:right w:val="single" w:sz="4" w:space="4" w:color="auto"/>
        </w:pBdr>
        <w:tabs>
          <w:tab w:val="left" w:pos="567"/>
        </w:tabs>
        <w:outlineLvl w:val="0"/>
        <w:rPr>
          <w:snapToGrid w:val="0"/>
          <w:sz w:val="22"/>
          <w:szCs w:val="24"/>
        </w:rPr>
      </w:pPr>
      <w:r w:rsidRPr="00BF4AB8">
        <w:rPr>
          <w:b/>
          <w:snapToGrid w:val="0"/>
          <w:sz w:val="22"/>
          <w:szCs w:val="24"/>
        </w:rPr>
        <w:t>14.</w:t>
      </w:r>
      <w:r w:rsidRPr="00BF4AB8">
        <w:rPr>
          <w:b/>
          <w:snapToGrid w:val="0"/>
          <w:sz w:val="22"/>
          <w:szCs w:val="24"/>
        </w:rPr>
        <w:tab/>
        <w:t>PARDAVIMO (IŠDAVIMO) TVARKA</w:t>
      </w:r>
    </w:p>
    <w:p w14:paraId="6A76D9C5" w14:textId="77777777" w:rsidR="00C710D9" w:rsidRDefault="00C710D9" w:rsidP="00C710D9">
      <w:pPr>
        <w:tabs>
          <w:tab w:val="left" w:pos="567"/>
        </w:tabs>
        <w:spacing w:line="260" w:lineRule="exact"/>
        <w:rPr>
          <w:snapToGrid w:val="0"/>
          <w:sz w:val="22"/>
          <w:szCs w:val="24"/>
        </w:rPr>
      </w:pPr>
    </w:p>
    <w:p w14:paraId="72166050" w14:textId="25634CDB" w:rsidR="004B770C" w:rsidRDefault="004B770C" w:rsidP="00C710D9">
      <w:pPr>
        <w:tabs>
          <w:tab w:val="left" w:pos="567"/>
        </w:tabs>
        <w:spacing w:line="260" w:lineRule="exact"/>
        <w:rPr>
          <w:snapToGrid w:val="0"/>
          <w:sz w:val="22"/>
          <w:szCs w:val="24"/>
        </w:rPr>
      </w:pPr>
      <w:r>
        <w:rPr>
          <w:snapToGrid w:val="0"/>
          <w:sz w:val="22"/>
          <w:szCs w:val="24"/>
        </w:rPr>
        <w:t>Receptinis vaistas</w:t>
      </w:r>
    </w:p>
    <w:p w14:paraId="487D4B82" w14:textId="77777777" w:rsidR="004B770C" w:rsidRPr="00BF4AB8" w:rsidRDefault="004B770C" w:rsidP="00C710D9">
      <w:pPr>
        <w:tabs>
          <w:tab w:val="left" w:pos="567"/>
        </w:tabs>
        <w:spacing w:line="260" w:lineRule="exact"/>
        <w:rPr>
          <w:snapToGrid w:val="0"/>
          <w:sz w:val="22"/>
          <w:szCs w:val="24"/>
        </w:rPr>
      </w:pPr>
    </w:p>
    <w:p w14:paraId="6C8D457D" w14:textId="77777777" w:rsidR="00C710D9" w:rsidRPr="00BF4AB8" w:rsidRDefault="00C710D9" w:rsidP="00C710D9">
      <w:pPr>
        <w:tabs>
          <w:tab w:val="left" w:pos="567"/>
        </w:tabs>
        <w:spacing w:line="260" w:lineRule="exact"/>
        <w:rPr>
          <w:snapToGrid w:val="0"/>
          <w:sz w:val="22"/>
          <w:szCs w:val="24"/>
        </w:rPr>
      </w:pPr>
    </w:p>
    <w:p w14:paraId="02AFADF9" w14:textId="77777777" w:rsidR="00C710D9" w:rsidRPr="00BF4AB8" w:rsidRDefault="00C710D9" w:rsidP="00C710D9">
      <w:pPr>
        <w:pBdr>
          <w:top w:val="single" w:sz="4" w:space="2" w:color="auto"/>
          <w:left w:val="single" w:sz="4" w:space="4" w:color="auto"/>
          <w:bottom w:val="single" w:sz="4" w:space="1" w:color="auto"/>
          <w:right w:val="single" w:sz="4" w:space="4" w:color="auto"/>
        </w:pBdr>
        <w:tabs>
          <w:tab w:val="left" w:pos="567"/>
        </w:tabs>
        <w:outlineLvl w:val="0"/>
        <w:rPr>
          <w:snapToGrid w:val="0"/>
          <w:sz w:val="22"/>
          <w:szCs w:val="24"/>
        </w:rPr>
      </w:pPr>
      <w:r w:rsidRPr="00BF4AB8">
        <w:rPr>
          <w:b/>
          <w:snapToGrid w:val="0"/>
          <w:sz w:val="22"/>
          <w:szCs w:val="24"/>
        </w:rPr>
        <w:t>15.</w:t>
      </w:r>
      <w:r w:rsidRPr="00BF4AB8">
        <w:rPr>
          <w:b/>
          <w:snapToGrid w:val="0"/>
          <w:sz w:val="22"/>
          <w:szCs w:val="24"/>
        </w:rPr>
        <w:tab/>
        <w:t>VARTOJIMO INSTRUKCIJA</w:t>
      </w:r>
    </w:p>
    <w:p w14:paraId="28B1C9C1" w14:textId="77777777" w:rsidR="00C710D9" w:rsidRPr="00BF4AB8" w:rsidRDefault="00C710D9" w:rsidP="00C710D9">
      <w:pPr>
        <w:tabs>
          <w:tab w:val="left" w:pos="567"/>
        </w:tabs>
        <w:spacing w:line="260" w:lineRule="exact"/>
        <w:rPr>
          <w:snapToGrid w:val="0"/>
          <w:sz w:val="22"/>
          <w:szCs w:val="24"/>
        </w:rPr>
      </w:pPr>
    </w:p>
    <w:p w14:paraId="4795AF9B" w14:textId="77777777" w:rsidR="00C710D9" w:rsidRPr="00BF4AB8" w:rsidRDefault="00C710D9" w:rsidP="00C710D9">
      <w:pPr>
        <w:tabs>
          <w:tab w:val="left" w:pos="567"/>
        </w:tabs>
        <w:spacing w:line="260" w:lineRule="exact"/>
        <w:rPr>
          <w:snapToGrid w:val="0"/>
          <w:sz w:val="22"/>
          <w:szCs w:val="24"/>
        </w:rPr>
      </w:pPr>
    </w:p>
    <w:p w14:paraId="547EAA85" w14:textId="77777777" w:rsidR="00C710D9" w:rsidRPr="00BF4AB8" w:rsidRDefault="00C710D9" w:rsidP="00C710D9">
      <w:pPr>
        <w:pBdr>
          <w:top w:val="single" w:sz="4" w:space="1" w:color="auto"/>
          <w:left w:val="single" w:sz="4" w:space="4" w:color="auto"/>
          <w:bottom w:val="single" w:sz="4" w:space="0" w:color="auto"/>
          <w:right w:val="single" w:sz="4" w:space="4" w:color="auto"/>
        </w:pBdr>
        <w:tabs>
          <w:tab w:val="left" w:pos="567"/>
        </w:tabs>
        <w:rPr>
          <w:snapToGrid w:val="0"/>
          <w:color w:val="008000"/>
          <w:sz w:val="22"/>
          <w:szCs w:val="24"/>
        </w:rPr>
      </w:pPr>
      <w:r w:rsidRPr="00BF4AB8">
        <w:rPr>
          <w:b/>
          <w:snapToGrid w:val="0"/>
          <w:sz w:val="22"/>
          <w:szCs w:val="24"/>
        </w:rPr>
        <w:t>16.</w:t>
      </w:r>
      <w:r w:rsidRPr="00BF4AB8">
        <w:rPr>
          <w:b/>
          <w:snapToGrid w:val="0"/>
          <w:sz w:val="22"/>
          <w:szCs w:val="24"/>
        </w:rPr>
        <w:tab/>
        <w:t>INFORMACIJA BRAILIO RAŠTU</w:t>
      </w:r>
    </w:p>
    <w:p w14:paraId="1A6088A9" w14:textId="77777777" w:rsidR="00C710D9" w:rsidRPr="00BF4AB8" w:rsidRDefault="00C710D9" w:rsidP="00C710D9">
      <w:pPr>
        <w:tabs>
          <w:tab w:val="left" w:pos="567"/>
        </w:tabs>
        <w:spacing w:line="260" w:lineRule="exact"/>
        <w:rPr>
          <w:snapToGrid w:val="0"/>
          <w:sz w:val="22"/>
          <w:szCs w:val="24"/>
        </w:rPr>
      </w:pPr>
    </w:p>
    <w:p w14:paraId="046774CB" w14:textId="77777777" w:rsidR="00C710D9" w:rsidRDefault="00C710D9" w:rsidP="00C710D9">
      <w:pPr>
        <w:tabs>
          <w:tab w:val="left" w:pos="567"/>
        </w:tabs>
        <w:spacing w:line="260" w:lineRule="exact"/>
        <w:rPr>
          <w:sz w:val="22"/>
          <w:szCs w:val="22"/>
        </w:rPr>
      </w:pPr>
      <w:proofErr w:type="spellStart"/>
      <w:r w:rsidRPr="00BF4AB8">
        <w:rPr>
          <w:sz w:val="22"/>
          <w:szCs w:val="22"/>
        </w:rPr>
        <w:t>Nytyka</w:t>
      </w:r>
      <w:proofErr w:type="spellEnd"/>
      <w:r w:rsidRPr="00BF4AB8">
        <w:rPr>
          <w:sz w:val="22"/>
          <w:szCs w:val="22"/>
        </w:rPr>
        <w:t xml:space="preserve"> 150 mg</w:t>
      </w:r>
    </w:p>
    <w:p w14:paraId="233FA16C" w14:textId="77777777" w:rsidR="00853EA8" w:rsidRPr="00BF4AB8" w:rsidRDefault="00853EA8" w:rsidP="00C710D9">
      <w:pPr>
        <w:tabs>
          <w:tab w:val="left" w:pos="567"/>
        </w:tabs>
        <w:spacing w:line="260" w:lineRule="exact"/>
        <w:rPr>
          <w:snapToGrid w:val="0"/>
          <w:sz w:val="22"/>
          <w:szCs w:val="24"/>
        </w:rPr>
      </w:pPr>
    </w:p>
    <w:p w14:paraId="0FF84878" w14:textId="77777777" w:rsidR="00C710D9" w:rsidRPr="00BF4AB8" w:rsidRDefault="00C710D9" w:rsidP="00C710D9">
      <w:pPr>
        <w:tabs>
          <w:tab w:val="left" w:pos="567"/>
        </w:tabs>
        <w:spacing w:line="260" w:lineRule="exact"/>
        <w:rPr>
          <w:sz w:val="22"/>
          <w:szCs w:val="22"/>
          <w:shd w:val="clear" w:color="auto" w:fill="CCCCCC"/>
        </w:rPr>
      </w:pPr>
    </w:p>
    <w:p w14:paraId="4300EA54" w14:textId="77777777" w:rsidR="00C710D9" w:rsidRPr="00BF4AB8" w:rsidRDefault="00C710D9" w:rsidP="00C710D9">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snapToGrid w:val="0"/>
          <w:sz w:val="22"/>
          <w:szCs w:val="24"/>
        </w:rPr>
      </w:pPr>
      <w:r w:rsidRPr="00BF4AB8">
        <w:rPr>
          <w:b/>
          <w:snapToGrid w:val="0"/>
          <w:sz w:val="22"/>
        </w:rPr>
        <w:t>17.</w:t>
      </w:r>
      <w:r w:rsidRPr="00BF4AB8">
        <w:rPr>
          <w:b/>
          <w:snapToGrid w:val="0"/>
          <w:sz w:val="22"/>
        </w:rPr>
        <w:tab/>
        <w:t>UNIKALUS IDENTIFIKATORIUS – 2D BRŪKŠNINIS KODAS</w:t>
      </w:r>
    </w:p>
    <w:p w14:paraId="152A5DFA" w14:textId="77777777" w:rsidR="00C710D9" w:rsidRPr="00BF4AB8" w:rsidRDefault="00C710D9" w:rsidP="00C710D9">
      <w:pPr>
        <w:tabs>
          <w:tab w:val="left" w:pos="567"/>
        </w:tabs>
        <w:spacing w:line="260" w:lineRule="exact"/>
        <w:rPr>
          <w:snapToGrid w:val="0"/>
          <w:sz w:val="22"/>
        </w:rPr>
      </w:pPr>
    </w:p>
    <w:p w14:paraId="156401E9" w14:textId="77777777" w:rsidR="00C710D9" w:rsidRPr="00BF4AB8" w:rsidRDefault="00C710D9" w:rsidP="00C710D9">
      <w:pPr>
        <w:tabs>
          <w:tab w:val="left" w:pos="567"/>
        </w:tabs>
        <w:spacing w:line="260" w:lineRule="exact"/>
        <w:rPr>
          <w:snapToGrid w:val="0"/>
          <w:sz w:val="22"/>
          <w:szCs w:val="22"/>
          <w:shd w:val="clear" w:color="auto" w:fill="CCCCCC"/>
        </w:rPr>
      </w:pPr>
      <w:r w:rsidRPr="00BF4AB8">
        <w:rPr>
          <w:snapToGrid w:val="0"/>
          <w:sz w:val="22"/>
          <w:highlight w:val="lightGray"/>
        </w:rPr>
        <w:t>2D brūkšninis kodas su nurodytu unikaliu identifikatoriumi.</w:t>
      </w:r>
    </w:p>
    <w:p w14:paraId="38AA0310" w14:textId="77777777" w:rsidR="00C710D9" w:rsidRPr="00BF4AB8" w:rsidRDefault="00C710D9" w:rsidP="00C710D9">
      <w:pPr>
        <w:tabs>
          <w:tab w:val="left" w:pos="567"/>
        </w:tabs>
        <w:spacing w:line="260" w:lineRule="exact"/>
        <w:rPr>
          <w:snapToGrid w:val="0"/>
          <w:sz w:val="22"/>
          <w:szCs w:val="22"/>
          <w:shd w:val="clear" w:color="auto" w:fill="CCCCCC"/>
        </w:rPr>
      </w:pPr>
    </w:p>
    <w:p w14:paraId="6D445839" w14:textId="77777777" w:rsidR="00C710D9" w:rsidRPr="00BF4AB8" w:rsidRDefault="00C710D9" w:rsidP="00C710D9">
      <w:pPr>
        <w:tabs>
          <w:tab w:val="left" w:pos="567"/>
        </w:tabs>
        <w:spacing w:line="260" w:lineRule="exact"/>
        <w:rPr>
          <w:snapToGrid w:val="0"/>
          <w:sz w:val="22"/>
        </w:rPr>
      </w:pPr>
    </w:p>
    <w:p w14:paraId="71F9739F" w14:textId="77777777" w:rsidR="00C710D9" w:rsidRPr="00BF4AB8" w:rsidRDefault="00C710D9" w:rsidP="00C710D9">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snapToGrid w:val="0"/>
          <w:sz w:val="22"/>
        </w:rPr>
      </w:pPr>
      <w:r w:rsidRPr="00BF4AB8">
        <w:rPr>
          <w:b/>
          <w:snapToGrid w:val="0"/>
          <w:sz w:val="22"/>
        </w:rPr>
        <w:t>18.</w:t>
      </w:r>
      <w:r w:rsidRPr="00BF4AB8">
        <w:rPr>
          <w:b/>
          <w:snapToGrid w:val="0"/>
          <w:sz w:val="22"/>
        </w:rPr>
        <w:tab/>
        <w:t>UNIKALUS IDENTIFIKATORIUS – ŽMONĖMS SUPRANTAMI DUOMENYS</w:t>
      </w:r>
    </w:p>
    <w:p w14:paraId="09D590C7" w14:textId="77777777" w:rsidR="00C710D9" w:rsidRPr="00BF4AB8" w:rsidRDefault="00C710D9" w:rsidP="00C710D9">
      <w:pPr>
        <w:tabs>
          <w:tab w:val="left" w:pos="567"/>
        </w:tabs>
        <w:spacing w:line="260" w:lineRule="exact"/>
        <w:rPr>
          <w:snapToGrid w:val="0"/>
          <w:sz w:val="22"/>
        </w:rPr>
      </w:pPr>
    </w:p>
    <w:p w14:paraId="611FD910" w14:textId="77777777" w:rsidR="00C710D9" w:rsidRPr="00BF4AB8" w:rsidRDefault="00C710D9" w:rsidP="00C710D9">
      <w:pPr>
        <w:tabs>
          <w:tab w:val="left" w:pos="567"/>
        </w:tabs>
        <w:spacing w:line="260" w:lineRule="exact"/>
        <w:rPr>
          <w:snapToGrid w:val="0"/>
          <w:sz w:val="22"/>
        </w:rPr>
      </w:pPr>
      <w:r w:rsidRPr="00BF4AB8">
        <w:rPr>
          <w:snapToGrid w:val="0"/>
          <w:sz w:val="22"/>
        </w:rPr>
        <w:t>PC</w:t>
      </w:r>
    </w:p>
    <w:p w14:paraId="1DD7328D" w14:textId="77777777" w:rsidR="00C710D9" w:rsidRPr="00BF4AB8" w:rsidRDefault="00C710D9" w:rsidP="00C710D9">
      <w:pPr>
        <w:tabs>
          <w:tab w:val="left" w:pos="567"/>
        </w:tabs>
        <w:spacing w:line="260" w:lineRule="exact"/>
        <w:rPr>
          <w:snapToGrid w:val="0"/>
          <w:sz w:val="22"/>
        </w:rPr>
      </w:pPr>
      <w:r w:rsidRPr="00BF4AB8">
        <w:rPr>
          <w:snapToGrid w:val="0"/>
          <w:sz w:val="22"/>
        </w:rPr>
        <w:t>SN</w:t>
      </w:r>
    </w:p>
    <w:p w14:paraId="63BB08BD" w14:textId="77777777" w:rsidR="00C710D9" w:rsidRPr="00BF4AB8" w:rsidRDefault="00C710D9" w:rsidP="00C710D9">
      <w:pPr>
        <w:tabs>
          <w:tab w:val="left" w:pos="567"/>
        </w:tabs>
        <w:spacing w:line="260" w:lineRule="exact"/>
        <w:rPr>
          <w:snapToGrid w:val="0"/>
          <w:sz w:val="22"/>
        </w:rPr>
      </w:pPr>
      <w:r w:rsidRPr="00BF4AB8">
        <w:rPr>
          <w:snapToGrid w:val="0"/>
          <w:sz w:val="22"/>
        </w:rPr>
        <w:t>NN</w:t>
      </w:r>
    </w:p>
    <w:p w14:paraId="194B195F" w14:textId="77777777" w:rsidR="00C710D9" w:rsidRPr="00BF4AB8" w:rsidRDefault="00C710D9" w:rsidP="00C710D9">
      <w:pPr>
        <w:tabs>
          <w:tab w:val="left" w:pos="567"/>
        </w:tabs>
        <w:spacing w:line="260" w:lineRule="exact"/>
        <w:rPr>
          <w:snapToGrid w:val="0"/>
          <w:sz w:val="22"/>
          <w:szCs w:val="24"/>
        </w:rPr>
      </w:pPr>
    </w:p>
    <w:p w14:paraId="41418832" w14:textId="77777777" w:rsidR="005D554B" w:rsidRPr="00BF4AB8" w:rsidRDefault="005D554B" w:rsidP="005D554B">
      <w:pPr>
        <w:tabs>
          <w:tab w:val="left" w:pos="567"/>
        </w:tabs>
        <w:spacing w:line="260" w:lineRule="exact"/>
        <w:outlineLvl w:val="0"/>
        <w:rPr>
          <w:snapToGrid w:val="0"/>
          <w:sz w:val="22"/>
        </w:rPr>
      </w:pPr>
      <w:r w:rsidRPr="00BF4AB8">
        <w:rPr>
          <w:snapToGrid w:val="0"/>
          <w:sz w:val="22"/>
        </w:rPr>
        <w:br w:type="page"/>
      </w:r>
    </w:p>
    <w:p w14:paraId="0A12B1BB" w14:textId="77777777" w:rsidR="005D554B" w:rsidRPr="00BF4AB8" w:rsidRDefault="005D554B" w:rsidP="005D554B">
      <w:pPr>
        <w:tabs>
          <w:tab w:val="left" w:pos="567"/>
        </w:tabs>
        <w:spacing w:line="260" w:lineRule="exact"/>
        <w:outlineLvl w:val="0"/>
        <w:rPr>
          <w:snapToGrid w:val="0"/>
          <w:sz w:val="22"/>
        </w:rPr>
      </w:pPr>
    </w:p>
    <w:p w14:paraId="0A3909B6" w14:textId="77777777" w:rsidR="005D554B" w:rsidRPr="00BF4AB8" w:rsidRDefault="005D554B" w:rsidP="005D554B">
      <w:pPr>
        <w:tabs>
          <w:tab w:val="left" w:pos="567"/>
        </w:tabs>
        <w:spacing w:line="260" w:lineRule="exact"/>
        <w:outlineLvl w:val="0"/>
        <w:rPr>
          <w:snapToGrid w:val="0"/>
          <w:sz w:val="22"/>
        </w:rPr>
      </w:pPr>
    </w:p>
    <w:p w14:paraId="49363620" w14:textId="77777777" w:rsidR="005D554B" w:rsidRPr="00BF4AB8" w:rsidRDefault="005D554B" w:rsidP="005D554B">
      <w:pPr>
        <w:tabs>
          <w:tab w:val="left" w:pos="567"/>
        </w:tabs>
        <w:spacing w:line="260" w:lineRule="exact"/>
        <w:outlineLvl w:val="0"/>
        <w:rPr>
          <w:snapToGrid w:val="0"/>
          <w:sz w:val="22"/>
        </w:rPr>
      </w:pPr>
    </w:p>
    <w:p w14:paraId="3FC74D81" w14:textId="77777777" w:rsidR="005D554B" w:rsidRPr="00BF4AB8" w:rsidRDefault="005D554B" w:rsidP="005D554B">
      <w:pPr>
        <w:tabs>
          <w:tab w:val="left" w:pos="567"/>
        </w:tabs>
        <w:spacing w:line="260" w:lineRule="exact"/>
        <w:outlineLvl w:val="0"/>
        <w:rPr>
          <w:snapToGrid w:val="0"/>
          <w:sz w:val="22"/>
        </w:rPr>
      </w:pPr>
    </w:p>
    <w:p w14:paraId="5BF52C92" w14:textId="77777777" w:rsidR="005D554B" w:rsidRPr="00BF4AB8" w:rsidRDefault="005D554B" w:rsidP="005D554B">
      <w:pPr>
        <w:tabs>
          <w:tab w:val="left" w:pos="567"/>
        </w:tabs>
        <w:spacing w:line="260" w:lineRule="exact"/>
        <w:outlineLvl w:val="0"/>
        <w:rPr>
          <w:snapToGrid w:val="0"/>
          <w:sz w:val="22"/>
        </w:rPr>
      </w:pPr>
    </w:p>
    <w:p w14:paraId="67BBCDA7" w14:textId="77777777" w:rsidR="005D554B" w:rsidRPr="00BF4AB8" w:rsidRDefault="005D554B" w:rsidP="005D554B">
      <w:pPr>
        <w:tabs>
          <w:tab w:val="left" w:pos="567"/>
        </w:tabs>
        <w:spacing w:line="260" w:lineRule="exact"/>
        <w:outlineLvl w:val="0"/>
        <w:rPr>
          <w:snapToGrid w:val="0"/>
          <w:sz w:val="22"/>
        </w:rPr>
      </w:pPr>
    </w:p>
    <w:p w14:paraId="2ACD8019" w14:textId="77777777" w:rsidR="005D554B" w:rsidRPr="00BF4AB8" w:rsidRDefault="005D554B" w:rsidP="005D554B">
      <w:pPr>
        <w:tabs>
          <w:tab w:val="left" w:pos="567"/>
        </w:tabs>
        <w:spacing w:line="260" w:lineRule="exact"/>
        <w:outlineLvl w:val="0"/>
        <w:rPr>
          <w:snapToGrid w:val="0"/>
          <w:sz w:val="22"/>
        </w:rPr>
      </w:pPr>
    </w:p>
    <w:p w14:paraId="28B7FF4C" w14:textId="77777777" w:rsidR="005D554B" w:rsidRPr="00BF4AB8" w:rsidRDefault="005D554B" w:rsidP="005D554B">
      <w:pPr>
        <w:tabs>
          <w:tab w:val="left" w:pos="567"/>
        </w:tabs>
        <w:spacing w:line="260" w:lineRule="exact"/>
        <w:outlineLvl w:val="0"/>
        <w:rPr>
          <w:snapToGrid w:val="0"/>
          <w:sz w:val="22"/>
        </w:rPr>
      </w:pPr>
    </w:p>
    <w:p w14:paraId="35C9D3A3" w14:textId="77777777" w:rsidR="005D554B" w:rsidRPr="00BF4AB8" w:rsidRDefault="005D554B" w:rsidP="005D554B">
      <w:pPr>
        <w:tabs>
          <w:tab w:val="left" w:pos="567"/>
        </w:tabs>
        <w:spacing w:line="260" w:lineRule="exact"/>
        <w:outlineLvl w:val="0"/>
        <w:rPr>
          <w:snapToGrid w:val="0"/>
          <w:sz w:val="22"/>
        </w:rPr>
      </w:pPr>
    </w:p>
    <w:p w14:paraId="1AC8E391" w14:textId="77777777" w:rsidR="005D554B" w:rsidRPr="00BF4AB8" w:rsidRDefault="005D554B" w:rsidP="005D554B">
      <w:pPr>
        <w:tabs>
          <w:tab w:val="left" w:pos="567"/>
        </w:tabs>
        <w:spacing w:line="260" w:lineRule="exact"/>
        <w:outlineLvl w:val="0"/>
        <w:rPr>
          <w:snapToGrid w:val="0"/>
          <w:sz w:val="22"/>
        </w:rPr>
      </w:pPr>
    </w:p>
    <w:p w14:paraId="27CEF2DD" w14:textId="77777777" w:rsidR="005D554B" w:rsidRPr="00BF4AB8" w:rsidRDefault="005D554B" w:rsidP="005D554B">
      <w:pPr>
        <w:tabs>
          <w:tab w:val="left" w:pos="567"/>
        </w:tabs>
        <w:spacing w:line="260" w:lineRule="exact"/>
        <w:outlineLvl w:val="0"/>
        <w:rPr>
          <w:snapToGrid w:val="0"/>
          <w:sz w:val="22"/>
        </w:rPr>
      </w:pPr>
    </w:p>
    <w:p w14:paraId="4947E32C" w14:textId="77777777" w:rsidR="005D554B" w:rsidRPr="00BF4AB8" w:rsidRDefault="005D554B" w:rsidP="005D554B">
      <w:pPr>
        <w:tabs>
          <w:tab w:val="left" w:pos="567"/>
        </w:tabs>
        <w:spacing w:line="260" w:lineRule="exact"/>
        <w:outlineLvl w:val="0"/>
        <w:rPr>
          <w:snapToGrid w:val="0"/>
          <w:sz w:val="22"/>
        </w:rPr>
      </w:pPr>
    </w:p>
    <w:p w14:paraId="65E2F57C" w14:textId="77777777" w:rsidR="005D554B" w:rsidRPr="00BF4AB8" w:rsidRDefault="005D554B" w:rsidP="005D554B">
      <w:pPr>
        <w:tabs>
          <w:tab w:val="left" w:pos="567"/>
        </w:tabs>
        <w:spacing w:line="260" w:lineRule="exact"/>
        <w:outlineLvl w:val="0"/>
        <w:rPr>
          <w:snapToGrid w:val="0"/>
          <w:sz w:val="22"/>
        </w:rPr>
      </w:pPr>
    </w:p>
    <w:p w14:paraId="4EF08278" w14:textId="77777777" w:rsidR="005D554B" w:rsidRPr="00BF4AB8" w:rsidRDefault="005D554B" w:rsidP="005D554B">
      <w:pPr>
        <w:tabs>
          <w:tab w:val="left" w:pos="567"/>
        </w:tabs>
        <w:spacing w:line="260" w:lineRule="exact"/>
        <w:outlineLvl w:val="0"/>
        <w:rPr>
          <w:snapToGrid w:val="0"/>
          <w:sz w:val="22"/>
        </w:rPr>
      </w:pPr>
    </w:p>
    <w:p w14:paraId="7BCA090F" w14:textId="77777777" w:rsidR="005D554B" w:rsidRPr="00BF4AB8" w:rsidRDefault="005D554B" w:rsidP="005D554B">
      <w:pPr>
        <w:tabs>
          <w:tab w:val="left" w:pos="567"/>
        </w:tabs>
        <w:spacing w:line="260" w:lineRule="exact"/>
        <w:outlineLvl w:val="0"/>
        <w:rPr>
          <w:snapToGrid w:val="0"/>
          <w:sz w:val="22"/>
        </w:rPr>
      </w:pPr>
    </w:p>
    <w:p w14:paraId="10CA91FE" w14:textId="77777777" w:rsidR="005D554B" w:rsidRPr="00BF4AB8" w:rsidRDefault="005D554B" w:rsidP="005D554B">
      <w:pPr>
        <w:tabs>
          <w:tab w:val="left" w:pos="567"/>
        </w:tabs>
        <w:spacing w:line="260" w:lineRule="exact"/>
        <w:outlineLvl w:val="0"/>
        <w:rPr>
          <w:snapToGrid w:val="0"/>
          <w:sz w:val="22"/>
        </w:rPr>
      </w:pPr>
    </w:p>
    <w:p w14:paraId="464F7565" w14:textId="77777777" w:rsidR="005D554B" w:rsidRPr="00BF4AB8" w:rsidRDefault="005D554B" w:rsidP="005D554B">
      <w:pPr>
        <w:tabs>
          <w:tab w:val="left" w:pos="567"/>
        </w:tabs>
        <w:spacing w:line="260" w:lineRule="exact"/>
        <w:outlineLvl w:val="0"/>
        <w:rPr>
          <w:snapToGrid w:val="0"/>
          <w:sz w:val="22"/>
        </w:rPr>
      </w:pPr>
    </w:p>
    <w:p w14:paraId="71577F67" w14:textId="77777777" w:rsidR="005D554B" w:rsidRPr="00BF4AB8" w:rsidRDefault="005D554B" w:rsidP="005D554B">
      <w:pPr>
        <w:tabs>
          <w:tab w:val="left" w:pos="567"/>
        </w:tabs>
        <w:spacing w:line="260" w:lineRule="exact"/>
        <w:outlineLvl w:val="0"/>
        <w:rPr>
          <w:snapToGrid w:val="0"/>
          <w:sz w:val="22"/>
        </w:rPr>
      </w:pPr>
    </w:p>
    <w:p w14:paraId="44BF78D8" w14:textId="77777777" w:rsidR="005D554B" w:rsidRPr="00BF4AB8" w:rsidRDefault="005D554B" w:rsidP="005D554B">
      <w:pPr>
        <w:tabs>
          <w:tab w:val="left" w:pos="567"/>
        </w:tabs>
        <w:spacing w:line="260" w:lineRule="exact"/>
        <w:outlineLvl w:val="0"/>
        <w:rPr>
          <w:snapToGrid w:val="0"/>
          <w:sz w:val="22"/>
        </w:rPr>
      </w:pPr>
    </w:p>
    <w:p w14:paraId="008BDC00" w14:textId="77777777" w:rsidR="005D554B" w:rsidRPr="00BF4AB8" w:rsidRDefault="005D554B" w:rsidP="005D554B">
      <w:pPr>
        <w:tabs>
          <w:tab w:val="left" w:pos="567"/>
        </w:tabs>
        <w:spacing w:line="260" w:lineRule="exact"/>
        <w:outlineLvl w:val="0"/>
        <w:rPr>
          <w:snapToGrid w:val="0"/>
          <w:sz w:val="22"/>
        </w:rPr>
      </w:pPr>
    </w:p>
    <w:p w14:paraId="1083A433" w14:textId="77777777" w:rsidR="005D554B" w:rsidRPr="00BF4AB8" w:rsidRDefault="005D554B" w:rsidP="005D554B">
      <w:pPr>
        <w:tabs>
          <w:tab w:val="left" w:pos="567"/>
        </w:tabs>
        <w:spacing w:line="260" w:lineRule="exact"/>
        <w:outlineLvl w:val="0"/>
        <w:rPr>
          <w:snapToGrid w:val="0"/>
          <w:sz w:val="22"/>
        </w:rPr>
      </w:pPr>
    </w:p>
    <w:p w14:paraId="253EF4D9" w14:textId="77777777" w:rsidR="005D554B" w:rsidRPr="00BF4AB8" w:rsidRDefault="005D554B" w:rsidP="005D554B">
      <w:pPr>
        <w:tabs>
          <w:tab w:val="left" w:pos="567"/>
        </w:tabs>
        <w:spacing w:line="260" w:lineRule="exact"/>
        <w:outlineLvl w:val="0"/>
        <w:rPr>
          <w:snapToGrid w:val="0"/>
          <w:sz w:val="22"/>
        </w:rPr>
      </w:pPr>
    </w:p>
    <w:p w14:paraId="7B43F046" w14:textId="77777777" w:rsidR="005D554B" w:rsidRPr="00BF4AB8" w:rsidRDefault="005D554B" w:rsidP="005D554B">
      <w:pPr>
        <w:tabs>
          <w:tab w:val="left" w:pos="567"/>
        </w:tabs>
        <w:spacing w:line="260" w:lineRule="exact"/>
        <w:jc w:val="center"/>
        <w:outlineLvl w:val="0"/>
        <w:rPr>
          <w:b/>
          <w:snapToGrid w:val="0"/>
          <w:sz w:val="22"/>
        </w:rPr>
      </w:pPr>
      <w:r w:rsidRPr="00BF4AB8">
        <w:rPr>
          <w:b/>
          <w:snapToGrid w:val="0"/>
          <w:sz w:val="22"/>
        </w:rPr>
        <w:t>B. PAKUOTĖS LAPELIS</w:t>
      </w:r>
    </w:p>
    <w:p w14:paraId="7865A1E7" w14:textId="36A5176E" w:rsidR="005D554B" w:rsidRPr="00BF4AB8" w:rsidRDefault="005D554B" w:rsidP="005D554B">
      <w:pPr>
        <w:keepNext/>
        <w:tabs>
          <w:tab w:val="left" w:pos="567"/>
        </w:tabs>
        <w:jc w:val="center"/>
        <w:outlineLvl w:val="1"/>
        <w:rPr>
          <w:b/>
          <w:snapToGrid w:val="0"/>
          <w:sz w:val="22"/>
          <w:szCs w:val="24"/>
          <w:lang w:eastAsia="x-none"/>
        </w:rPr>
      </w:pPr>
      <w:r w:rsidRPr="00BF4AB8">
        <w:rPr>
          <w:b/>
          <w:bCs/>
          <w:iCs/>
          <w:snapToGrid w:val="0"/>
          <w:sz w:val="22"/>
          <w:szCs w:val="28"/>
          <w:lang w:eastAsia="x-none"/>
        </w:rPr>
        <w:br w:type="page"/>
      </w:r>
      <w:r w:rsidRPr="00BF4AB8">
        <w:rPr>
          <w:b/>
          <w:bCs/>
          <w:iCs/>
          <w:snapToGrid w:val="0"/>
          <w:sz w:val="22"/>
          <w:szCs w:val="28"/>
          <w:lang w:eastAsia="x-none"/>
        </w:rPr>
        <w:lastRenderedPageBreak/>
        <w:t>Pakuotės lapelis:</w:t>
      </w:r>
      <w:r w:rsidRPr="00BF4AB8">
        <w:rPr>
          <w:b/>
          <w:snapToGrid w:val="0"/>
          <w:sz w:val="22"/>
          <w:szCs w:val="24"/>
          <w:lang w:eastAsia="x-none"/>
        </w:rPr>
        <w:t xml:space="preserve"> </w:t>
      </w:r>
      <w:r w:rsidRPr="00BF4AB8">
        <w:rPr>
          <w:b/>
          <w:bCs/>
          <w:iCs/>
          <w:snapToGrid w:val="0"/>
          <w:sz w:val="22"/>
          <w:szCs w:val="28"/>
          <w:lang w:eastAsia="x-none"/>
        </w:rPr>
        <w:t>informacija pacientui</w:t>
      </w:r>
    </w:p>
    <w:p w14:paraId="6E0115DF" w14:textId="77777777" w:rsidR="005D554B" w:rsidRPr="00BF4AB8" w:rsidRDefault="005D554B" w:rsidP="005D554B">
      <w:pPr>
        <w:numPr>
          <w:ilvl w:val="12"/>
          <w:numId w:val="0"/>
        </w:numPr>
        <w:shd w:val="clear" w:color="auto" w:fill="FFFFFF"/>
        <w:jc w:val="center"/>
        <w:rPr>
          <w:snapToGrid w:val="0"/>
          <w:sz w:val="22"/>
          <w:szCs w:val="24"/>
        </w:rPr>
      </w:pPr>
    </w:p>
    <w:p w14:paraId="1014EFE6" w14:textId="226864DE" w:rsidR="00C710D9" w:rsidRPr="00C710D9" w:rsidRDefault="00C710D9" w:rsidP="00C710D9">
      <w:pPr>
        <w:jc w:val="center"/>
        <w:rPr>
          <w:b/>
          <w:snapToGrid w:val="0"/>
          <w:sz w:val="22"/>
          <w:szCs w:val="24"/>
        </w:rPr>
      </w:pPr>
      <w:proofErr w:type="spellStart"/>
      <w:r w:rsidRPr="00C710D9">
        <w:rPr>
          <w:b/>
          <w:snapToGrid w:val="0"/>
          <w:sz w:val="22"/>
          <w:szCs w:val="24"/>
        </w:rPr>
        <w:t>Nytyka</w:t>
      </w:r>
      <w:proofErr w:type="spellEnd"/>
      <w:r w:rsidRPr="00C710D9">
        <w:rPr>
          <w:b/>
          <w:snapToGrid w:val="0"/>
          <w:sz w:val="22"/>
          <w:szCs w:val="24"/>
        </w:rPr>
        <w:t xml:space="preserve"> 1</w:t>
      </w:r>
      <w:r w:rsidR="00892F95">
        <w:rPr>
          <w:b/>
          <w:snapToGrid w:val="0"/>
          <w:sz w:val="22"/>
          <w:szCs w:val="24"/>
        </w:rPr>
        <w:t>0</w:t>
      </w:r>
      <w:r w:rsidRPr="00C710D9">
        <w:rPr>
          <w:b/>
          <w:snapToGrid w:val="0"/>
          <w:sz w:val="22"/>
          <w:szCs w:val="24"/>
        </w:rPr>
        <w:t>0 mg minkštosios kapsulės</w:t>
      </w:r>
    </w:p>
    <w:p w14:paraId="0E43FF9B" w14:textId="77777777" w:rsidR="00C710D9" w:rsidRPr="00C710D9" w:rsidRDefault="00C710D9" w:rsidP="00C710D9">
      <w:pPr>
        <w:jc w:val="center"/>
        <w:rPr>
          <w:bCs/>
          <w:snapToGrid w:val="0"/>
          <w:sz w:val="22"/>
          <w:szCs w:val="24"/>
        </w:rPr>
      </w:pPr>
      <w:proofErr w:type="spellStart"/>
      <w:r w:rsidRPr="00C710D9">
        <w:rPr>
          <w:bCs/>
          <w:snapToGrid w:val="0"/>
          <w:sz w:val="22"/>
          <w:szCs w:val="24"/>
        </w:rPr>
        <w:t>nintedanibas</w:t>
      </w:r>
      <w:proofErr w:type="spellEnd"/>
    </w:p>
    <w:p w14:paraId="1055B0D4" w14:textId="77777777" w:rsidR="005D554B" w:rsidRPr="00BF4AB8" w:rsidRDefault="005D554B" w:rsidP="005D554B">
      <w:pPr>
        <w:rPr>
          <w:snapToGrid w:val="0"/>
          <w:sz w:val="22"/>
          <w:szCs w:val="24"/>
        </w:rPr>
      </w:pPr>
    </w:p>
    <w:p w14:paraId="426D6DBD" w14:textId="310558C9" w:rsidR="005D554B" w:rsidRPr="00BF4AB8" w:rsidRDefault="005D554B" w:rsidP="005D554B">
      <w:pPr>
        <w:suppressAutoHyphens/>
        <w:ind w:left="142" w:hanging="142"/>
        <w:rPr>
          <w:snapToGrid w:val="0"/>
          <w:sz w:val="22"/>
          <w:szCs w:val="24"/>
        </w:rPr>
      </w:pPr>
      <w:r w:rsidRPr="00BF4AB8">
        <w:rPr>
          <w:b/>
          <w:snapToGrid w:val="0"/>
          <w:sz w:val="22"/>
          <w:szCs w:val="24"/>
        </w:rPr>
        <w:t>Atidžiai perskaitykite visą šį lapelį, prieš pradėdami vartoti vaistą, nes jame pateikiama Jums svarbi informacija.</w:t>
      </w:r>
    </w:p>
    <w:p w14:paraId="7B17B264" w14:textId="77777777" w:rsidR="005D554B" w:rsidRPr="00BF4AB8" w:rsidRDefault="005D554B" w:rsidP="005D554B">
      <w:pPr>
        <w:numPr>
          <w:ilvl w:val="0"/>
          <w:numId w:val="3"/>
        </w:numPr>
        <w:tabs>
          <w:tab w:val="left" w:pos="567"/>
        </w:tabs>
        <w:spacing w:line="260" w:lineRule="exact"/>
        <w:ind w:left="567" w:right="-2" w:hanging="567"/>
        <w:rPr>
          <w:snapToGrid w:val="0"/>
          <w:sz w:val="22"/>
          <w:szCs w:val="24"/>
        </w:rPr>
      </w:pPr>
      <w:r w:rsidRPr="00BF4AB8">
        <w:rPr>
          <w:snapToGrid w:val="0"/>
          <w:sz w:val="22"/>
          <w:szCs w:val="24"/>
        </w:rPr>
        <w:t xml:space="preserve">Neišmeskite šio lapelio, nes vėl gali prireikti jį perskaityti. </w:t>
      </w:r>
    </w:p>
    <w:p w14:paraId="57239226" w14:textId="36491413" w:rsidR="005D554B" w:rsidRPr="00BF4AB8" w:rsidRDefault="005D554B" w:rsidP="005D554B">
      <w:pPr>
        <w:numPr>
          <w:ilvl w:val="0"/>
          <w:numId w:val="3"/>
        </w:numPr>
        <w:tabs>
          <w:tab w:val="left" w:pos="567"/>
        </w:tabs>
        <w:spacing w:line="260" w:lineRule="exact"/>
        <w:ind w:left="567" w:right="-2" w:hanging="567"/>
        <w:rPr>
          <w:snapToGrid w:val="0"/>
          <w:sz w:val="22"/>
          <w:szCs w:val="24"/>
        </w:rPr>
      </w:pPr>
      <w:r w:rsidRPr="00BF4AB8">
        <w:rPr>
          <w:snapToGrid w:val="0"/>
          <w:sz w:val="22"/>
          <w:szCs w:val="24"/>
        </w:rPr>
        <w:t>Jeigu kiltų daugiau klausimų, kreipkitės į gydytoją</w:t>
      </w:r>
      <w:r w:rsidR="00C710D9" w:rsidRPr="00BF4AB8">
        <w:rPr>
          <w:snapToGrid w:val="0"/>
          <w:sz w:val="22"/>
          <w:szCs w:val="24"/>
        </w:rPr>
        <w:t xml:space="preserve"> </w:t>
      </w:r>
      <w:r w:rsidRPr="00BF4AB8">
        <w:rPr>
          <w:snapToGrid w:val="0"/>
          <w:sz w:val="22"/>
          <w:szCs w:val="24"/>
        </w:rPr>
        <w:t>arba</w:t>
      </w:r>
      <w:r w:rsidR="00C710D9" w:rsidRPr="00BF4AB8">
        <w:rPr>
          <w:snapToGrid w:val="0"/>
          <w:sz w:val="22"/>
          <w:szCs w:val="24"/>
        </w:rPr>
        <w:t xml:space="preserve"> </w:t>
      </w:r>
      <w:r w:rsidRPr="00BF4AB8">
        <w:rPr>
          <w:snapToGrid w:val="0"/>
          <w:sz w:val="22"/>
          <w:szCs w:val="24"/>
        </w:rPr>
        <w:t>vaistininką.</w:t>
      </w:r>
    </w:p>
    <w:p w14:paraId="0AAAA455" w14:textId="3D834443" w:rsidR="005D554B" w:rsidRPr="00BF4AB8" w:rsidRDefault="005D554B" w:rsidP="005D554B">
      <w:pPr>
        <w:tabs>
          <w:tab w:val="left" w:pos="567"/>
        </w:tabs>
        <w:ind w:left="567" w:right="-2" w:hanging="567"/>
        <w:rPr>
          <w:snapToGrid w:val="0"/>
          <w:sz w:val="22"/>
          <w:szCs w:val="24"/>
        </w:rPr>
      </w:pPr>
      <w:r w:rsidRPr="00BF4AB8">
        <w:rPr>
          <w:snapToGrid w:val="0"/>
          <w:sz w:val="22"/>
          <w:szCs w:val="24"/>
        </w:rPr>
        <w:t>-</w:t>
      </w:r>
      <w:r w:rsidRPr="00BF4AB8">
        <w:rPr>
          <w:snapToGrid w:val="0"/>
          <w:sz w:val="22"/>
          <w:szCs w:val="24"/>
        </w:rPr>
        <w:tab/>
        <w:t>Šis vaistas skirtas tik Jums, todėl kitiems žmonėms jo duoti negalima. Vaistas gali jiems pakenkti (net tiems, kurių ligos požymiai yra tokie patys kaip Jūsų).</w:t>
      </w:r>
    </w:p>
    <w:p w14:paraId="4F6F1344" w14:textId="3FFECFFF" w:rsidR="005D554B" w:rsidRPr="00BF4AB8" w:rsidRDefault="005D554B" w:rsidP="005D554B">
      <w:pPr>
        <w:numPr>
          <w:ilvl w:val="0"/>
          <w:numId w:val="3"/>
        </w:numPr>
        <w:tabs>
          <w:tab w:val="left" w:pos="567"/>
        </w:tabs>
        <w:spacing w:line="260" w:lineRule="exact"/>
        <w:ind w:left="567" w:hanging="567"/>
        <w:rPr>
          <w:snapToGrid w:val="0"/>
          <w:sz w:val="22"/>
          <w:szCs w:val="24"/>
        </w:rPr>
      </w:pPr>
      <w:r w:rsidRPr="00BF4AB8">
        <w:rPr>
          <w:snapToGrid w:val="0"/>
          <w:sz w:val="22"/>
          <w:szCs w:val="24"/>
        </w:rPr>
        <w:t xml:space="preserve">Jeigu pasireiškė šalutinis poveikis (net jeigu jis šiame lapelyje nenurodytas), kreipkitės į </w:t>
      </w:r>
      <w:r w:rsidR="00C710D9" w:rsidRPr="00BF4AB8">
        <w:rPr>
          <w:snapToGrid w:val="0"/>
          <w:sz w:val="22"/>
          <w:szCs w:val="24"/>
        </w:rPr>
        <w:t>gydytoją arba vaistininką</w:t>
      </w:r>
      <w:r w:rsidRPr="00BF4AB8">
        <w:rPr>
          <w:snapToGrid w:val="0"/>
          <w:sz w:val="22"/>
          <w:szCs w:val="24"/>
        </w:rPr>
        <w:t>. Žr. 4</w:t>
      </w:r>
      <w:r w:rsidR="00C710D9" w:rsidRPr="00BF4AB8">
        <w:rPr>
          <w:snapToGrid w:val="0"/>
          <w:sz w:val="22"/>
          <w:szCs w:val="24"/>
        </w:rPr>
        <w:t> </w:t>
      </w:r>
      <w:r w:rsidRPr="00BF4AB8">
        <w:rPr>
          <w:snapToGrid w:val="0"/>
          <w:sz w:val="22"/>
          <w:szCs w:val="24"/>
        </w:rPr>
        <w:t>skyrių.</w:t>
      </w:r>
    </w:p>
    <w:p w14:paraId="0762EB6D" w14:textId="77777777" w:rsidR="005D554B" w:rsidRPr="00BF4AB8" w:rsidRDefault="005D554B" w:rsidP="005D554B">
      <w:pPr>
        <w:ind w:right="-2"/>
        <w:rPr>
          <w:snapToGrid w:val="0"/>
          <w:sz w:val="22"/>
          <w:szCs w:val="24"/>
        </w:rPr>
      </w:pPr>
    </w:p>
    <w:p w14:paraId="78EE6FB7" w14:textId="77777777" w:rsidR="005D554B" w:rsidRPr="00BF4AB8" w:rsidRDefault="005D554B" w:rsidP="005D554B">
      <w:pPr>
        <w:keepNext/>
        <w:tabs>
          <w:tab w:val="left" w:pos="567"/>
        </w:tabs>
        <w:spacing w:line="260" w:lineRule="exact"/>
        <w:jc w:val="both"/>
        <w:outlineLvl w:val="3"/>
        <w:rPr>
          <w:b/>
          <w:bCs/>
          <w:snapToGrid w:val="0"/>
          <w:sz w:val="22"/>
          <w:szCs w:val="28"/>
          <w:lang w:eastAsia="x-none"/>
        </w:rPr>
      </w:pPr>
      <w:r w:rsidRPr="00BF4AB8">
        <w:rPr>
          <w:b/>
          <w:bCs/>
          <w:snapToGrid w:val="0"/>
          <w:sz w:val="22"/>
          <w:szCs w:val="28"/>
          <w:lang w:eastAsia="x-none"/>
        </w:rPr>
        <w:t>Apie ką rašoma šiame lapelyje?</w:t>
      </w:r>
    </w:p>
    <w:p w14:paraId="6E40A561" w14:textId="77777777" w:rsidR="005D554B" w:rsidRPr="00BF4AB8" w:rsidRDefault="005D554B" w:rsidP="005D554B">
      <w:pPr>
        <w:numPr>
          <w:ilvl w:val="12"/>
          <w:numId w:val="0"/>
        </w:numPr>
        <w:ind w:left="284" w:right="-2"/>
        <w:rPr>
          <w:snapToGrid w:val="0"/>
          <w:sz w:val="22"/>
          <w:szCs w:val="24"/>
        </w:rPr>
      </w:pPr>
    </w:p>
    <w:p w14:paraId="41157BA4" w14:textId="3624596B" w:rsidR="005D554B" w:rsidRPr="00BF4AB8" w:rsidRDefault="005D554B" w:rsidP="005D554B">
      <w:pPr>
        <w:numPr>
          <w:ilvl w:val="12"/>
          <w:numId w:val="0"/>
        </w:numPr>
        <w:tabs>
          <w:tab w:val="left" w:pos="709"/>
        </w:tabs>
        <w:ind w:right="-2"/>
        <w:rPr>
          <w:snapToGrid w:val="0"/>
          <w:sz w:val="22"/>
          <w:szCs w:val="24"/>
        </w:rPr>
      </w:pPr>
      <w:r w:rsidRPr="00BF4AB8">
        <w:rPr>
          <w:snapToGrid w:val="0"/>
          <w:sz w:val="22"/>
          <w:szCs w:val="24"/>
        </w:rPr>
        <w:t>1.</w:t>
      </w:r>
      <w:r w:rsidRPr="00BF4AB8">
        <w:rPr>
          <w:snapToGrid w:val="0"/>
          <w:sz w:val="22"/>
          <w:szCs w:val="24"/>
        </w:rPr>
        <w:tab/>
      </w:r>
      <w:r w:rsidRPr="00BF4AB8">
        <w:rPr>
          <w:snapToGrid w:val="0"/>
          <w:sz w:val="22"/>
        </w:rPr>
        <w:t xml:space="preserve">Kas yra </w:t>
      </w:r>
      <w:proofErr w:type="spellStart"/>
      <w:r w:rsidR="00C710D9" w:rsidRPr="00BF4AB8">
        <w:rPr>
          <w:snapToGrid w:val="0"/>
          <w:sz w:val="22"/>
        </w:rPr>
        <w:t>Nytyka</w:t>
      </w:r>
      <w:proofErr w:type="spellEnd"/>
      <w:r w:rsidRPr="00BF4AB8">
        <w:rPr>
          <w:snapToGrid w:val="0"/>
          <w:sz w:val="22"/>
        </w:rPr>
        <w:t xml:space="preserve"> ir kam jis vartojamas</w:t>
      </w:r>
      <w:r w:rsidRPr="00BF4AB8">
        <w:rPr>
          <w:snapToGrid w:val="0"/>
          <w:sz w:val="22"/>
          <w:szCs w:val="24"/>
        </w:rPr>
        <w:t xml:space="preserve"> </w:t>
      </w:r>
    </w:p>
    <w:p w14:paraId="703510BA" w14:textId="2E02E0EC" w:rsidR="005D554B" w:rsidRPr="00BF4AB8" w:rsidRDefault="005D554B" w:rsidP="005D554B">
      <w:pPr>
        <w:numPr>
          <w:ilvl w:val="12"/>
          <w:numId w:val="0"/>
        </w:numPr>
        <w:tabs>
          <w:tab w:val="left" w:pos="709"/>
        </w:tabs>
        <w:ind w:right="-2"/>
        <w:rPr>
          <w:snapToGrid w:val="0"/>
          <w:sz w:val="22"/>
          <w:szCs w:val="24"/>
        </w:rPr>
      </w:pPr>
      <w:r w:rsidRPr="00BF4AB8">
        <w:rPr>
          <w:snapToGrid w:val="0"/>
          <w:sz w:val="22"/>
          <w:szCs w:val="24"/>
        </w:rPr>
        <w:t>2.</w:t>
      </w:r>
      <w:r w:rsidRPr="00BF4AB8">
        <w:rPr>
          <w:snapToGrid w:val="0"/>
          <w:sz w:val="22"/>
          <w:szCs w:val="24"/>
        </w:rPr>
        <w:tab/>
        <w:t xml:space="preserve">Kas žinotina prieš vartojant </w:t>
      </w:r>
      <w:proofErr w:type="spellStart"/>
      <w:r w:rsidR="00C710D9" w:rsidRPr="00BF4AB8">
        <w:rPr>
          <w:snapToGrid w:val="0"/>
          <w:sz w:val="22"/>
        </w:rPr>
        <w:t>Nytyka</w:t>
      </w:r>
      <w:proofErr w:type="spellEnd"/>
    </w:p>
    <w:p w14:paraId="3ECF9AB8" w14:textId="0033F974" w:rsidR="005D554B" w:rsidRPr="00BF4AB8" w:rsidRDefault="005D554B" w:rsidP="005D554B">
      <w:pPr>
        <w:numPr>
          <w:ilvl w:val="12"/>
          <w:numId w:val="0"/>
        </w:numPr>
        <w:tabs>
          <w:tab w:val="left" w:pos="709"/>
        </w:tabs>
        <w:ind w:right="-2"/>
        <w:rPr>
          <w:snapToGrid w:val="0"/>
          <w:sz w:val="22"/>
          <w:szCs w:val="24"/>
        </w:rPr>
      </w:pPr>
      <w:r w:rsidRPr="00BF4AB8">
        <w:rPr>
          <w:snapToGrid w:val="0"/>
          <w:sz w:val="22"/>
          <w:szCs w:val="24"/>
        </w:rPr>
        <w:t>3.</w:t>
      </w:r>
      <w:r w:rsidRPr="00BF4AB8">
        <w:rPr>
          <w:snapToGrid w:val="0"/>
          <w:sz w:val="22"/>
          <w:szCs w:val="24"/>
        </w:rPr>
        <w:tab/>
        <w:t xml:space="preserve">Kaip vartoti </w:t>
      </w:r>
      <w:proofErr w:type="spellStart"/>
      <w:r w:rsidR="00C710D9" w:rsidRPr="00BF4AB8">
        <w:rPr>
          <w:snapToGrid w:val="0"/>
          <w:sz w:val="22"/>
        </w:rPr>
        <w:t>Nytyka</w:t>
      </w:r>
      <w:proofErr w:type="spellEnd"/>
    </w:p>
    <w:p w14:paraId="3D6F5518" w14:textId="77777777" w:rsidR="005D554B" w:rsidRPr="00BF4AB8" w:rsidRDefault="005D554B" w:rsidP="005D554B">
      <w:pPr>
        <w:numPr>
          <w:ilvl w:val="12"/>
          <w:numId w:val="0"/>
        </w:numPr>
        <w:tabs>
          <w:tab w:val="left" w:pos="709"/>
        </w:tabs>
        <w:ind w:right="-2"/>
        <w:rPr>
          <w:snapToGrid w:val="0"/>
          <w:sz w:val="22"/>
          <w:szCs w:val="24"/>
        </w:rPr>
      </w:pPr>
      <w:r w:rsidRPr="00BF4AB8">
        <w:rPr>
          <w:snapToGrid w:val="0"/>
          <w:sz w:val="22"/>
          <w:szCs w:val="24"/>
        </w:rPr>
        <w:t>4.</w:t>
      </w:r>
      <w:r w:rsidRPr="00BF4AB8">
        <w:rPr>
          <w:snapToGrid w:val="0"/>
          <w:sz w:val="22"/>
          <w:szCs w:val="24"/>
        </w:rPr>
        <w:tab/>
      </w:r>
      <w:r w:rsidRPr="00BF4AB8">
        <w:rPr>
          <w:snapToGrid w:val="0"/>
          <w:sz w:val="22"/>
        </w:rPr>
        <w:t>Galimas šalutinis poveikis</w:t>
      </w:r>
      <w:r w:rsidRPr="00BF4AB8">
        <w:rPr>
          <w:snapToGrid w:val="0"/>
          <w:sz w:val="22"/>
          <w:szCs w:val="24"/>
        </w:rPr>
        <w:t xml:space="preserve"> </w:t>
      </w:r>
    </w:p>
    <w:p w14:paraId="732041CC" w14:textId="3B047EE0" w:rsidR="005D554B" w:rsidRPr="00BF4AB8" w:rsidRDefault="005D554B" w:rsidP="005D554B">
      <w:pPr>
        <w:numPr>
          <w:ilvl w:val="12"/>
          <w:numId w:val="0"/>
        </w:numPr>
        <w:tabs>
          <w:tab w:val="left" w:pos="709"/>
        </w:tabs>
        <w:ind w:right="-2"/>
        <w:rPr>
          <w:snapToGrid w:val="0"/>
          <w:sz w:val="22"/>
          <w:szCs w:val="24"/>
        </w:rPr>
      </w:pPr>
      <w:r w:rsidRPr="00BF4AB8">
        <w:rPr>
          <w:snapToGrid w:val="0"/>
          <w:sz w:val="22"/>
          <w:szCs w:val="24"/>
        </w:rPr>
        <w:t>5.</w:t>
      </w:r>
      <w:r w:rsidRPr="00BF4AB8">
        <w:rPr>
          <w:snapToGrid w:val="0"/>
          <w:sz w:val="22"/>
          <w:szCs w:val="24"/>
        </w:rPr>
        <w:tab/>
      </w:r>
      <w:r w:rsidRPr="00BF4AB8">
        <w:rPr>
          <w:snapToGrid w:val="0"/>
          <w:sz w:val="22"/>
        </w:rPr>
        <w:t xml:space="preserve">Kaip laikyti </w:t>
      </w:r>
      <w:proofErr w:type="spellStart"/>
      <w:r w:rsidR="00C710D9" w:rsidRPr="00BF4AB8">
        <w:rPr>
          <w:snapToGrid w:val="0"/>
          <w:sz w:val="22"/>
        </w:rPr>
        <w:t>Nytyka</w:t>
      </w:r>
      <w:proofErr w:type="spellEnd"/>
    </w:p>
    <w:p w14:paraId="37892546" w14:textId="77777777" w:rsidR="005D554B" w:rsidRPr="00BF4AB8" w:rsidRDefault="005D554B" w:rsidP="005D554B">
      <w:pPr>
        <w:numPr>
          <w:ilvl w:val="12"/>
          <w:numId w:val="0"/>
        </w:numPr>
        <w:tabs>
          <w:tab w:val="left" w:pos="709"/>
        </w:tabs>
        <w:ind w:right="-2"/>
        <w:rPr>
          <w:snapToGrid w:val="0"/>
          <w:sz w:val="22"/>
          <w:szCs w:val="24"/>
        </w:rPr>
      </w:pPr>
      <w:r w:rsidRPr="00BF4AB8">
        <w:rPr>
          <w:snapToGrid w:val="0"/>
          <w:sz w:val="22"/>
          <w:szCs w:val="24"/>
        </w:rPr>
        <w:t>6.</w:t>
      </w:r>
      <w:r w:rsidRPr="00BF4AB8">
        <w:rPr>
          <w:snapToGrid w:val="0"/>
          <w:sz w:val="22"/>
          <w:szCs w:val="24"/>
        </w:rPr>
        <w:tab/>
        <w:t>Pakuotės turinys ir kita informacija</w:t>
      </w:r>
    </w:p>
    <w:p w14:paraId="2367B324" w14:textId="77777777" w:rsidR="005D554B" w:rsidRPr="00BF4AB8" w:rsidRDefault="005D554B" w:rsidP="005D554B">
      <w:pPr>
        <w:numPr>
          <w:ilvl w:val="12"/>
          <w:numId w:val="0"/>
        </w:numPr>
        <w:ind w:right="-2"/>
        <w:rPr>
          <w:snapToGrid w:val="0"/>
          <w:sz w:val="22"/>
          <w:szCs w:val="24"/>
        </w:rPr>
      </w:pPr>
    </w:p>
    <w:p w14:paraId="5C503535" w14:textId="77777777" w:rsidR="005D554B" w:rsidRPr="00BF4AB8" w:rsidRDefault="005D554B" w:rsidP="005D554B">
      <w:pPr>
        <w:numPr>
          <w:ilvl w:val="12"/>
          <w:numId w:val="0"/>
        </w:numPr>
        <w:ind w:right="-2"/>
        <w:rPr>
          <w:snapToGrid w:val="0"/>
          <w:sz w:val="22"/>
          <w:szCs w:val="24"/>
        </w:rPr>
      </w:pPr>
    </w:p>
    <w:p w14:paraId="0C1616E3" w14:textId="7E73394B" w:rsidR="005D554B" w:rsidRPr="00BF4AB8" w:rsidRDefault="005D554B" w:rsidP="005D554B">
      <w:pPr>
        <w:keepNext/>
        <w:tabs>
          <w:tab w:val="left" w:pos="567"/>
        </w:tabs>
        <w:spacing w:line="260" w:lineRule="exact"/>
        <w:jc w:val="both"/>
        <w:outlineLvl w:val="3"/>
        <w:rPr>
          <w:b/>
          <w:bCs/>
          <w:snapToGrid w:val="0"/>
          <w:sz w:val="22"/>
          <w:szCs w:val="28"/>
          <w:lang w:eastAsia="x-none"/>
        </w:rPr>
      </w:pPr>
      <w:r w:rsidRPr="00BF4AB8">
        <w:rPr>
          <w:b/>
          <w:bCs/>
          <w:snapToGrid w:val="0"/>
          <w:sz w:val="22"/>
          <w:szCs w:val="28"/>
          <w:lang w:eastAsia="x-none"/>
        </w:rPr>
        <w:t>1.</w:t>
      </w:r>
      <w:r w:rsidRPr="00BF4AB8">
        <w:rPr>
          <w:b/>
          <w:bCs/>
          <w:snapToGrid w:val="0"/>
          <w:sz w:val="22"/>
          <w:szCs w:val="28"/>
          <w:lang w:eastAsia="x-none"/>
        </w:rPr>
        <w:tab/>
        <w:t xml:space="preserve">Kas yra </w:t>
      </w:r>
      <w:proofErr w:type="spellStart"/>
      <w:r w:rsidR="00C710D9" w:rsidRPr="00BF4AB8">
        <w:rPr>
          <w:b/>
          <w:bCs/>
          <w:snapToGrid w:val="0"/>
          <w:sz w:val="22"/>
          <w:szCs w:val="28"/>
          <w:lang w:eastAsia="x-none"/>
        </w:rPr>
        <w:t>Nytyka</w:t>
      </w:r>
      <w:proofErr w:type="spellEnd"/>
      <w:r w:rsidRPr="00BF4AB8">
        <w:rPr>
          <w:b/>
          <w:bCs/>
          <w:snapToGrid w:val="0"/>
          <w:sz w:val="22"/>
          <w:szCs w:val="28"/>
          <w:lang w:eastAsia="x-none"/>
        </w:rPr>
        <w:t xml:space="preserve"> ir kam jis vartojamas</w:t>
      </w:r>
    </w:p>
    <w:p w14:paraId="4678B3C5" w14:textId="77777777" w:rsidR="005D554B" w:rsidRPr="00BF4AB8" w:rsidRDefault="005D554B" w:rsidP="005D554B">
      <w:pPr>
        <w:numPr>
          <w:ilvl w:val="12"/>
          <w:numId w:val="0"/>
        </w:numPr>
        <w:ind w:right="-2"/>
        <w:rPr>
          <w:snapToGrid w:val="0"/>
          <w:sz w:val="22"/>
          <w:szCs w:val="24"/>
        </w:rPr>
      </w:pPr>
    </w:p>
    <w:p w14:paraId="3EC35545" w14:textId="1185F875" w:rsidR="005F0B0B" w:rsidRPr="00BF4AB8" w:rsidRDefault="005F0B0B" w:rsidP="005F0B0B">
      <w:pPr>
        <w:numPr>
          <w:ilvl w:val="12"/>
          <w:numId w:val="0"/>
        </w:numPr>
        <w:ind w:right="-2"/>
        <w:rPr>
          <w:snapToGrid w:val="0"/>
          <w:sz w:val="22"/>
        </w:rPr>
      </w:pPr>
      <w:proofErr w:type="spellStart"/>
      <w:r w:rsidRPr="00BF4AB8">
        <w:rPr>
          <w:snapToGrid w:val="0"/>
          <w:sz w:val="22"/>
        </w:rPr>
        <w:t>Nytyka</w:t>
      </w:r>
      <w:proofErr w:type="spellEnd"/>
      <w:r w:rsidRPr="00BF4AB8">
        <w:rPr>
          <w:snapToGrid w:val="0"/>
          <w:sz w:val="22"/>
        </w:rPr>
        <w:t xml:space="preserve"> kapsulių veiklioji medžiaga yra </w:t>
      </w:r>
      <w:proofErr w:type="spellStart"/>
      <w:r w:rsidRPr="00BF4AB8">
        <w:rPr>
          <w:snapToGrid w:val="0"/>
          <w:sz w:val="22"/>
        </w:rPr>
        <w:t>nintedanibas</w:t>
      </w:r>
      <w:proofErr w:type="spellEnd"/>
      <w:r w:rsidRPr="00BF4AB8">
        <w:rPr>
          <w:snapToGrid w:val="0"/>
          <w:sz w:val="22"/>
        </w:rPr>
        <w:t xml:space="preserve">. </w:t>
      </w:r>
      <w:proofErr w:type="spellStart"/>
      <w:r w:rsidRPr="00BF4AB8">
        <w:rPr>
          <w:snapToGrid w:val="0"/>
          <w:sz w:val="22"/>
        </w:rPr>
        <w:t>Nintedanibas</w:t>
      </w:r>
      <w:proofErr w:type="spellEnd"/>
      <w:r w:rsidRPr="00BF4AB8">
        <w:rPr>
          <w:snapToGrid w:val="0"/>
          <w:sz w:val="22"/>
        </w:rPr>
        <w:t xml:space="preserve"> slopina grupės baltymų, dalyvaujančių susidarant naujoms kraujagyslėms, kurios reikalingos vėžio ląstelėms aprūpinti maistu ir deguonimi, aktyvumą. Slopindamas šių baltymų aktyvumą, </w:t>
      </w:r>
      <w:proofErr w:type="spellStart"/>
      <w:r w:rsidRPr="00BF4AB8">
        <w:rPr>
          <w:snapToGrid w:val="0"/>
          <w:sz w:val="22"/>
        </w:rPr>
        <w:t>nintedanibas</w:t>
      </w:r>
      <w:proofErr w:type="spellEnd"/>
      <w:r w:rsidRPr="00BF4AB8">
        <w:rPr>
          <w:snapToGrid w:val="0"/>
          <w:sz w:val="22"/>
        </w:rPr>
        <w:t xml:space="preserve"> gali padėti sustabdyti vėžio augimą ir plitimą.</w:t>
      </w:r>
    </w:p>
    <w:p w14:paraId="1AF4D8A6" w14:textId="158E368D" w:rsidR="005F0B0B" w:rsidRPr="00BF4AB8" w:rsidRDefault="005F0B0B" w:rsidP="005F0B0B">
      <w:pPr>
        <w:numPr>
          <w:ilvl w:val="12"/>
          <w:numId w:val="0"/>
        </w:numPr>
        <w:ind w:right="-2"/>
        <w:rPr>
          <w:snapToGrid w:val="0"/>
          <w:sz w:val="22"/>
        </w:rPr>
      </w:pPr>
    </w:p>
    <w:p w14:paraId="337CAE81" w14:textId="77777777" w:rsidR="005D554B" w:rsidRPr="00BF4AB8" w:rsidRDefault="005F0B0B" w:rsidP="005F0B0B">
      <w:pPr>
        <w:numPr>
          <w:ilvl w:val="12"/>
          <w:numId w:val="0"/>
        </w:numPr>
        <w:ind w:right="-2"/>
        <w:rPr>
          <w:snapToGrid w:val="0"/>
          <w:sz w:val="22"/>
        </w:rPr>
      </w:pPr>
      <w:r w:rsidRPr="00BF4AB8">
        <w:rPr>
          <w:snapToGrid w:val="0"/>
          <w:sz w:val="22"/>
        </w:rPr>
        <w:t xml:space="preserve">Šis vaistas vartojamas kartu su kitu vaistu nuo vėžio </w:t>
      </w:r>
      <w:proofErr w:type="spellStart"/>
      <w:r w:rsidRPr="00BF4AB8">
        <w:rPr>
          <w:snapToGrid w:val="0"/>
          <w:sz w:val="22"/>
        </w:rPr>
        <w:t>docetakseliu</w:t>
      </w:r>
      <w:proofErr w:type="spellEnd"/>
      <w:r w:rsidRPr="00BF4AB8">
        <w:rPr>
          <w:snapToGrid w:val="0"/>
          <w:sz w:val="22"/>
        </w:rPr>
        <w:t xml:space="preserve"> gydyti tam tikrą plaučių vėžį, kuris yra vadinamas </w:t>
      </w:r>
      <w:proofErr w:type="spellStart"/>
      <w:r w:rsidRPr="00BF4AB8">
        <w:rPr>
          <w:snapToGrid w:val="0"/>
          <w:sz w:val="22"/>
        </w:rPr>
        <w:t>nesmulkialąsteliniu</w:t>
      </w:r>
      <w:proofErr w:type="spellEnd"/>
      <w:r w:rsidRPr="00BF4AB8">
        <w:rPr>
          <w:snapToGrid w:val="0"/>
          <w:sz w:val="22"/>
        </w:rPr>
        <w:t xml:space="preserve"> plaučių vėžiu (NSPV). Vaistas yra skiriamas suaugusiems pacientams, kurių NSPV yra tam tikro tipo (</w:t>
      </w:r>
      <w:proofErr w:type="spellStart"/>
      <w:r w:rsidRPr="00BF4AB8">
        <w:rPr>
          <w:snapToGrid w:val="0"/>
          <w:sz w:val="22"/>
        </w:rPr>
        <w:t>adenokarcinoma</w:t>
      </w:r>
      <w:proofErr w:type="spellEnd"/>
      <w:r w:rsidRPr="00BF4AB8">
        <w:rPr>
          <w:snapToGrid w:val="0"/>
          <w:sz w:val="22"/>
        </w:rPr>
        <w:t>) ir kuriems jau buvo skirtas vienas šio vėžio gydymas, bet navikas vėl pradėjo augti.</w:t>
      </w:r>
    </w:p>
    <w:p w14:paraId="3252F8F9" w14:textId="77777777" w:rsidR="005F0B0B" w:rsidRPr="00BF4AB8" w:rsidRDefault="005F0B0B" w:rsidP="005F0B0B">
      <w:pPr>
        <w:numPr>
          <w:ilvl w:val="12"/>
          <w:numId w:val="0"/>
        </w:numPr>
        <w:ind w:right="-2"/>
        <w:rPr>
          <w:snapToGrid w:val="0"/>
          <w:sz w:val="22"/>
          <w:szCs w:val="24"/>
        </w:rPr>
      </w:pPr>
    </w:p>
    <w:p w14:paraId="66AAFB6D" w14:textId="77777777" w:rsidR="005D554B" w:rsidRPr="00BF4AB8" w:rsidRDefault="005D554B" w:rsidP="005D554B">
      <w:pPr>
        <w:numPr>
          <w:ilvl w:val="12"/>
          <w:numId w:val="0"/>
        </w:numPr>
        <w:ind w:right="-2"/>
        <w:rPr>
          <w:snapToGrid w:val="0"/>
          <w:sz w:val="22"/>
          <w:szCs w:val="24"/>
        </w:rPr>
      </w:pPr>
    </w:p>
    <w:p w14:paraId="487C69C0" w14:textId="4BDE426A" w:rsidR="005D554B" w:rsidRPr="00BF4AB8" w:rsidRDefault="005D554B" w:rsidP="005D554B">
      <w:pPr>
        <w:keepNext/>
        <w:tabs>
          <w:tab w:val="left" w:pos="567"/>
        </w:tabs>
        <w:spacing w:line="260" w:lineRule="exact"/>
        <w:jc w:val="both"/>
        <w:outlineLvl w:val="3"/>
        <w:rPr>
          <w:b/>
          <w:bCs/>
          <w:snapToGrid w:val="0"/>
          <w:sz w:val="22"/>
          <w:szCs w:val="28"/>
          <w:lang w:eastAsia="x-none"/>
        </w:rPr>
      </w:pPr>
      <w:r w:rsidRPr="00BF4AB8">
        <w:rPr>
          <w:b/>
          <w:bCs/>
          <w:snapToGrid w:val="0"/>
          <w:sz w:val="22"/>
          <w:szCs w:val="28"/>
          <w:lang w:eastAsia="x-none"/>
        </w:rPr>
        <w:t>2.</w:t>
      </w:r>
      <w:r w:rsidRPr="00BF4AB8">
        <w:rPr>
          <w:b/>
          <w:bCs/>
          <w:snapToGrid w:val="0"/>
          <w:sz w:val="22"/>
          <w:szCs w:val="28"/>
          <w:lang w:eastAsia="x-none"/>
        </w:rPr>
        <w:tab/>
        <w:t xml:space="preserve">Kas žinotina prieš vartojant </w:t>
      </w:r>
      <w:proofErr w:type="spellStart"/>
      <w:r w:rsidR="00C710D9" w:rsidRPr="00BF4AB8">
        <w:rPr>
          <w:b/>
          <w:bCs/>
          <w:snapToGrid w:val="0"/>
          <w:sz w:val="22"/>
          <w:szCs w:val="28"/>
          <w:lang w:eastAsia="x-none"/>
        </w:rPr>
        <w:t>Nytyka</w:t>
      </w:r>
      <w:proofErr w:type="spellEnd"/>
    </w:p>
    <w:p w14:paraId="67F1CCD4" w14:textId="77777777" w:rsidR="005D554B" w:rsidRPr="00BF4AB8" w:rsidRDefault="005D554B" w:rsidP="005D554B">
      <w:pPr>
        <w:numPr>
          <w:ilvl w:val="12"/>
          <w:numId w:val="0"/>
        </w:numPr>
        <w:ind w:right="-2"/>
        <w:rPr>
          <w:snapToGrid w:val="0"/>
          <w:sz w:val="22"/>
          <w:szCs w:val="24"/>
        </w:rPr>
      </w:pPr>
    </w:p>
    <w:p w14:paraId="424BD84D" w14:textId="25935B2C" w:rsidR="005D554B" w:rsidRPr="00BF4AB8" w:rsidRDefault="00C710D9" w:rsidP="005D554B">
      <w:pPr>
        <w:keepNext/>
        <w:tabs>
          <w:tab w:val="left" w:pos="567"/>
        </w:tabs>
        <w:spacing w:line="260" w:lineRule="exact"/>
        <w:jc w:val="both"/>
        <w:outlineLvl w:val="3"/>
        <w:rPr>
          <w:b/>
          <w:bCs/>
          <w:snapToGrid w:val="0"/>
          <w:sz w:val="22"/>
          <w:szCs w:val="22"/>
          <w:lang w:eastAsia="x-none"/>
        </w:rPr>
      </w:pPr>
      <w:proofErr w:type="spellStart"/>
      <w:r w:rsidRPr="00BF4AB8">
        <w:rPr>
          <w:b/>
          <w:bCs/>
          <w:snapToGrid w:val="0"/>
          <w:sz w:val="22"/>
          <w:szCs w:val="22"/>
          <w:lang w:eastAsia="x-none"/>
        </w:rPr>
        <w:t>Nytyka</w:t>
      </w:r>
      <w:proofErr w:type="spellEnd"/>
      <w:r w:rsidR="005D554B" w:rsidRPr="00BF4AB8">
        <w:rPr>
          <w:b/>
          <w:bCs/>
          <w:snapToGrid w:val="0"/>
          <w:sz w:val="22"/>
          <w:szCs w:val="22"/>
          <w:lang w:eastAsia="x-none"/>
        </w:rPr>
        <w:t xml:space="preserve"> vartoti draudžiama</w:t>
      </w:r>
    </w:p>
    <w:p w14:paraId="72B5E267" w14:textId="7B6927D4" w:rsidR="005D554B" w:rsidRPr="00BF4AB8" w:rsidRDefault="005D554B" w:rsidP="005D554B">
      <w:pPr>
        <w:numPr>
          <w:ilvl w:val="12"/>
          <w:numId w:val="0"/>
        </w:numPr>
        <w:tabs>
          <w:tab w:val="left" w:pos="567"/>
        </w:tabs>
        <w:ind w:left="567" w:hanging="567"/>
        <w:rPr>
          <w:snapToGrid w:val="0"/>
          <w:sz w:val="22"/>
          <w:szCs w:val="24"/>
        </w:rPr>
      </w:pPr>
      <w:r w:rsidRPr="00BF4AB8">
        <w:rPr>
          <w:snapToGrid w:val="0"/>
          <w:sz w:val="22"/>
          <w:szCs w:val="24"/>
        </w:rPr>
        <w:t>-</w:t>
      </w:r>
      <w:r w:rsidRPr="00BF4AB8">
        <w:rPr>
          <w:snapToGrid w:val="0"/>
          <w:sz w:val="22"/>
          <w:szCs w:val="24"/>
        </w:rPr>
        <w:tab/>
        <w:t xml:space="preserve">jeigu yra alergija </w:t>
      </w:r>
      <w:proofErr w:type="spellStart"/>
      <w:r w:rsidR="005F0B0B" w:rsidRPr="00BF4AB8">
        <w:rPr>
          <w:snapToGrid w:val="0"/>
          <w:sz w:val="22"/>
          <w:szCs w:val="24"/>
        </w:rPr>
        <w:t>nintedanibui</w:t>
      </w:r>
      <w:proofErr w:type="spellEnd"/>
      <w:r w:rsidR="005F0B0B" w:rsidRPr="00BF4AB8">
        <w:rPr>
          <w:snapToGrid w:val="0"/>
          <w:sz w:val="22"/>
          <w:szCs w:val="24"/>
        </w:rPr>
        <w:t xml:space="preserve"> </w:t>
      </w:r>
      <w:r w:rsidRPr="00BF4AB8">
        <w:rPr>
          <w:snapToGrid w:val="0"/>
          <w:sz w:val="22"/>
          <w:szCs w:val="24"/>
        </w:rPr>
        <w:t>arba bet kuriai pagalbinei šio vaisto medžiagai (jos išvardytos 6</w:t>
      </w:r>
      <w:r w:rsidR="005F0B0B" w:rsidRPr="00BF4AB8">
        <w:rPr>
          <w:snapToGrid w:val="0"/>
          <w:sz w:val="22"/>
          <w:szCs w:val="24"/>
        </w:rPr>
        <w:t> </w:t>
      </w:r>
      <w:r w:rsidRPr="00BF4AB8">
        <w:rPr>
          <w:snapToGrid w:val="0"/>
          <w:sz w:val="22"/>
          <w:szCs w:val="24"/>
        </w:rPr>
        <w:t>skyriuje).</w:t>
      </w:r>
    </w:p>
    <w:p w14:paraId="46BB80DB" w14:textId="77777777" w:rsidR="005D554B" w:rsidRPr="00BF4AB8" w:rsidRDefault="005D554B" w:rsidP="005D554B">
      <w:pPr>
        <w:numPr>
          <w:ilvl w:val="12"/>
          <w:numId w:val="0"/>
        </w:numPr>
        <w:ind w:right="-2"/>
        <w:rPr>
          <w:snapToGrid w:val="0"/>
          <w:sz w:val="22"/>
          <w:szCs w:val="24"/>
        </w:rPr>
      </w:pPr>
    </w:p>
    <w:p w14:paraId="224B19B7" w14:textId="77777777" w:rsidR="005D554B" w:rsidRPr="00BF4AB8" w:rsidRDefault="005D554B" w:rsidP="005D554B">
      <w:pPr>
        <w:keepNext/>
        <w:tabs>
          <w:tab w:val="left" w:pos="567"/>
        </w:tabs>
        <w:spacing w:line="260" w:lineRule="exact"/>
        <w:jc w:val="both"/>
        <w:outlineLvl w:val="3"/>
        <w:rPr>
          <w:b/>
          <w:bCs/>
          <w:snapToGrid w:val="0"/>
          <w:sz w:val="22"/>
          <w:szCs w:val="28"/>
          <w:lang w:eastAsia="x-none"/>
        </w:rPr>
      </w:pPr>
      <w:r w:rsidRPr="00BF4AB8">
        <w:rPr>
          <w:b/>
          <w:bCs/>
          <w:snapToGrid w:val="0"/>
          <w:sz w:val="22"/>
          <w:szCs w:val="28"/>
          <w:lang w:eastAsia="x-none"/>
        </w:rPr>
        <w:t xml:space="preserve">Įspėjimai ir atsargumo priemonės </w:t>
      </w:r>
    </w:p>
    <w:p w14:paraId="36265840" w14:textId="20ADA1CF" w:rsidR="005D554B" w:rsidRPr="00BF4AB8" w:rsidRDefault="005D554B" w:rsidP="005D554B">
      <w:pPr>
        <w:numPr>
          <w:ilvl w:val="12"/>
          <w:numId w:val="0"/>
        </w:numPr>
        <w:ind w:right="-2"/>
        <w:rPr>
          <w:snapToGrid w:val="0"/>
          <w:sz w:val="22"/>
          <w:szCs w:val="24"/>
        </w:rPr>
      </w:pPr>
      <w:r w:rsidRPr="00BF4AB8">
        <w:rPr>
          <w:snapToGrid w:val="0"/>
          <w:sz w:val="22"/>
          <w:szCs w:val="24"/>
        </w:rPr>
        <w:t>Pasitarkite su gydytoju arba</w:t>
      </w:r>
      <w:r w:rsidR="0014133D" w:rsidRPr="00BF4AB8">
        <w:rPr>
          <w:snapToGrid w:val="0"/>
          <w:sz w:val="22"/>
          <w:szCs w:val="24"/>
        </w:rPr>
        <w:t xml:space="preserve"> </w:t>
      </w:r>
      <w:r w:rsidRPr="00BF4AB8">
        <w:rPr>
          <w:snapToGrid w:val="0"/>
          <w:sz w:val="22"/>
          <w:szCs w:val="24"/>
        </w:rPr>
        <w:t xml:space="preserve">vaistininku, prieš pradėdami vartoti </w:t>
      </w:r>
      <w:proofErr w:type="spellStart"/>
      <w:r w:rsidR="00B03281">
        <w:rPr>
          <w:snapToGrid w:val="0"/>
          <w:sz w:val="22"/>
          <w:szCs w:val="24"/>
        </w:rPr>
        <w:t>Nytyka</w:t>
      </w:r>
      <w:proofErr w:type="spellEnd"/>
      <w:r w:rsidR="0014133D" w:rsidRPr="00BF4AB8">
        <w:rPr>
          <w:snapToGrid w:val="0"/>
          <w:sz w:val="22"/>
          <w:szCs w:val="24"/>
        </w:rPr>
        <w:t>:</w:t>
      </w:r>
    </w:p>
    <w:p w14:paraId="053C761F" w14:textId="405D1FB6" w:rsidR="0014133D" w:rsidRPr="00BF4AB8" w:rsidRDefault="0014133D" w:rsidP="0014133D">
      <w:pPr>
        <w:pStyle w:val="Sraopastraipa"/>
        <w:numPr>
          <w:ilvl w:val="0"/>
          <w:numId w:val="6"/>
        </w:numPr>
        <w:ind w:left="567" w:right="-2" w:hanging="567"/>
        <w:rPr>
          <w:snapToGrid w:val="0"/>
          <w:sz w:val="22"/>
          <w:szCs w:val="24"/>
        </w:rPr>
      </w:pPr>
      <w:r w:rsidRPr="00BF4AB8">
        <w:rPr>
          <w:snapToGrid w:val="0"/>
          <w:sz w:val="22"/>
          <w:szCs w:val="24"/>
        </w:rPr>
        <w:t>jeigu sergate arba sirgote kepenų liga, yra ar buvo kraujavimo sutrikimų, ypač jei neseniai kraujavote iš plaučių;</w:t>
      </w:r>
    </w:p>
    <w:p w14:paraId="4B36F830" w14:textId="74DEE712" w:rsidR="0014133D" w:rsidRPr="00BF4AB8" w:rsidRDefault="0014133D" w:rsidP="00D10ECC">
      <w:pPr>
        <w:pStyle w:val="Sraopastraipa"/>
        <w:numPr>
          <w:ilvl w:val="0"/>
          <w:numId w:val="6"/>
        </w:numPr>
        <w:ind w:left="567" w:right="-2" w:hanging="567"/>
        <w:rPr>
          <w:snapToGrid w:val="0"/>
          <w:sz w:val="22"/>
          <w:szCs w:val="24"/>
        </w:rPr>
      </w:pPr>
      <w:r w:rsidRPr="00BF4AB8">
        <w:rPr>
          <w:snapToGrid w:val="0"/>
          <w:sz w:val="22"/>
          <w:szCs w:val="24"/>
        </w:rPr>
        <w:t>jeigu sergate arba sirgote inkstų liga arba jeigu Jūsų šlapime buvo nustatytas padidėjęs baltymų kiekis;</w:t>
      </w:r>
    </w:p>
    <w:p w14:paraId="640B4687" w14:textId="399EAC34" w:rsidR="0014133D" w:rsidRPr="00BF4AB8" w:rsidRDefault="0014133D" w:rsidP="00497DC1">
      <w:pPr>
        <w:pStyle w:val="Sraopastraipa"/>
        <w:numPr>
          <w:ilvl w:val="0"/>
          <w:numId w:val="6"/>
        </w:numPr>
        <w:ind w:left="567" w:right="-2" w:hanging="567"/>
        <w:rPr>
          <w:snapToGrid w:val="0"/>
          <w:sz w:val="22"/>
          <w:szCs w:val="24"/>
        </w:rPr>
      </w:pPr>
      <w:r w:rsidRPr="00BF4AB8">
        <w:rPr>
          <w:snapToGrid w:val="0"/>
          <w:sz w:val="22"/>
          <w:szCs w:val="24"/>
        </w:rPr>
        <w:t xml:space="preserve">jeigu vartojate kraują skystinančių vaistų (pvz., </w:t>
      </w:r>
      <w:proofErr w:type="spellStart"/>
      <w:r w:rsidRPr="00BF4AB8">
        <w:rPr>
          <w:snapToGrid w:val="0"/>
          <w:sz w:val="22"/>
          <w:szCs w:val="24"/>
        </w:rPr>
        <w:t>varfarino</w:t>
      </w:r>
      <w:proofErr w:type="spellEnd"/>
      <w:r w:rsidRPr="00BF4AB8">
        <w:rPr>
          <w:snapToGrid w:val="0"/>
          <w:sz w:val="22"/>
          <w:szCs w:val="24"/>
        </w:rPr>
        <w:t xml:space="preserve">, </w:t>
      </w:r>
      <w:proofErr w:type="spellStart"/>
      <w:r w:rsidRPr="00BF4AB8">
        <w:rPr>
          <w:snapToGrid w:val="0"/>
          <w:sz w:val="22"/>
          <w:szCs w:val="24"/>
        </w:rPr>
        <w:t>fenprokumono</w:t>
      </w:r>
      <w:proofErr w:type="spellEnd"/>
      <w:r w:rsidRPr="00BF4AB8">
        <w:rPr>
          <w:snapToGrid w:val="0"/>
          <w:sz w:val="22"/>
          <w:szCs w:val="24"/>
        </w:rPr>
        <w:t xml:space="preserve">, heparino ar </w:t>
      </w:r>
      <w:proofErr w:type="spellStart"/>
      <w:r w:rsidRPr="00BF4AB8">
        <w:rPr>
          <w:snapToGrid w:val="0"/>
          <w:sz w:val="22"/>
          <w:szCs w:val="24"/>
        </w:rPr>
        <w:t>acetilsalicilo</w:t>
      </w:r>
      <w:proofErr w:type="spellEnd"/>
      <w:r w:rsidRPr="00BF4AB8">
        <w:rPr>
          <w:snapToGrid w:val="0"/>
          <w:sz w:val="22"/>
          <w:szCs w:val="24"/>
        </w:rPr>
        <w:t xml:space="preserve"> rūgšties) kraujo krešėjimui slopinti. Gydymas </w:t>
      </w:r>
      <w:proofErr w:type="spellStart"/>
      <w:r w:rsidRPr="00BF4AB8">
        <w:rPr>
          <w:snapToGrid w:val="0"/>
          <w:sz w:val="22"/>
          <w:szCs w:val="24"/>
        </w:rPr>
        <w:t>Nytyka</w:t>
      </w:r>
      <w:proofErr w:type="spellEnd"/>
      <w:r w:rsidRPr="00BF4AB8">
        <w:rPr>
          <w:snapToGrid w:val="0"/>
          <w:sz w:val="22"/>
          <w:szCs w:val="24"/>
        </w:rPr>
        <w:t xml:space="preserve"> gali padidinti kraujavimo riziką;</w:t>
      </w:r>
    </w:p>
    <w:p w14:paraId="1FE218D0" w14:textId="187A89D9" w:rsidR="0014133D" w:rsidRPr="00BF4AB8" w:rsidRDefault="0014133D" w:rsidP="00F053A8">
      <w:pPr>
        <w:pStyle w:val="Sraopastraipa"/>
        <w:numPr>
          <w:ilvl w:val="0"/>
          <w:numId w:val="6"/>
        </w:numPr>
        <w:ind w:left="567" w:right="-2" w:hanging="567"/>
        <w:rPr>
          <w:snapToGrid w:val="0"/>
          <w:sz w:val="22"/>
          <w:szCs w:val="24"/>
        </w:rPr>
      </w:pPr>
      <w:r w:rsidRPr="00BF4AB8">
        <w:rPr>
          <w:snapToGrid w:val="0"/>
          <w:sz w:val="22"/>
          <w:szCs w:val="24"/>
        </w:rPr>
        <w:t xml:space="preserve">jeigu neseniai buvo atlikta arba planuojama operacija. </w:t>
      </w:r>
      <w:proofErr w:type="spellStart"/>
      <w:r w:rsidRPr="00BF4AB8">
        <w:rPr>
          <w:snapToGrid w:val="0"/>
          <w:sz w:val="22"/>
          <w:szCs w:val="24"/>
        </w:rPr>
        <w:t>Nintedanibas</w:t>
      </w:r>
      <w:proofErr w:type="spellEnd"/>
      <w:r w:rsidRPr="00BF4AB8">
        <w:rPr>
          <w:snapToGrid w:val="0"/>
          <w:sz w:val="22"/>
          <w:szCs w:val="24"/>
        </w:rPr>
        <w:t xml:space="preserve"> gali veikti žaizdos gijimą. Dėl to, jei Jums atliekama operacija, gydymas </w:t>
      </w:r>
      <w:proofErr w:type="spellStart"/>
      <w:r w:rsidRPr="00BF4AB8">
        <w:rPr>
          <w:snapToGrid w:val="0"/>
          <w:sz w:val="22"/>
          <w:szCs w:val="24"/>
        </w:rPr>
        <w:t>Nytyka</w:t>
      </w:r>
      <w:proofErr w:type="spellEnd"/>
      <w:r w:rsidRPr="00BF4AB8">
        <w:rPr>
          <w:snapToGrid w:val="0"/>
          <w:sz w:val="22"/>
          <w:szCs w:val="24"/>
        </w:rPr>
        <w:t xml:space="preserve"> paprastai sustabdomas. Jūsų gydytojas nuspręs, kada gydymą šiuo vaistu galima atnaujinti;</w:t>
      </w:r>
    </w:p>
    <w:p w14:paraId="3FDEB59C" w14:textId="1CC51E23" w:rsidR="0014133D" w:rsidRPr="00BF4AB8" w:rsidRDefault="0014133D" w:rsidP="0014133D">
      <w:pPr>
        <w:pStyle w:val="Sraopastraipa"/>
        <w:numPr>
          <w:ilvl w:val="0"/>
          <w:numId w:val="6"/>
        </w:numPr>
        <w:ind w:left="567" w:right="-2" w:hanging="567"/>
        <w:rPr>
          <w:snapToGrid w:val="0"/>
          <w:sz w:val="22"/>
          <w:szCs w:val="24"/>
        </w:rPr>
      </w:pPr>
      <w:r w:rsidRPr="00BF4AB8">
        <w:rPr>
          <w:snapToGrid w:val="0"/>
          <w:sz w:val="22"/>
          <w:szCs w:val="24"/>
        </w:rPr>
        <w:t>jeigu sergate vėžiu, kuris išplito į galvos smegenis;</w:t>
      </w:r>
    </w:p>
    <w:p w14:paraId="5DE9F78A" w14:textId="4BA382B6" w:rsidR="0014133D" w:rsidRPr="00BF4AB8" w:rsidRDefault="0014133D" w:rsidP="0014133D">
      <w:pPr>
        <w:pStyle w:val="Sraopastraipa"/>
        <w:numPr>
          <w:ilvl w:val="0"/>
          <w:numId w:val="6"/>
        </w:numPr>
        <w:ind w:left="567" w:right="-2" w:hanging="567"/>
        <w:rPr>
          <w:snapToGrid w:val="0"/>
          <w:sz w:val="22"/>
          <w:szCs w:val="24"/>
        </w:rPr>
      </w:pPr>
      <w:r w:rsidRPr="00BF4AB8">
        <w:rPr>
          <w:snapToGrid w:val="0"/>
          <w:sz w:val="22"/>
          <w:szCs w:val="24"/>
        </w:rPr>
        <w:t>jeigu yra padidėjęs kraujospūdis;</w:t>
      </w:r>
    </w:p>
    <w:p w14:paraId="3263D186" w14:textId="09B7918E" w:rsidR="0014133D" w:rsidRPr="00BF4AB8" w:rsidRDefault="0014133D" w:rsidP="001E58A6">
      <w:pPr>
        <w:pStyle w:val="Sraopastraipa"/>
        <w:numPr>
          <w:ilvl w:val="0"/>
          <w:numId w:val="6"/>
        </w:numPr>
        <w:ind w:left="567" w:right="-2" w:hanging="567"/>
        <w:rPr>
          <w:snapToGrid w:val="0"/>
          <w:sz w:val="22"/>
          <w:szCs w:val="24"/>
        </w:rPr>
      </w:pPr>
      <w:r w:rsidRPr="00BF4AB8">
        <w:rPr>
          <w:snapToGrid w:val="0"/>
          <w:sz w:val="22"/>
          <w:szCs w:val="24"/>
        </w:rPr>
        <w:lastRenderedPageBreak/>
        <w:t>jeigu šiuo metu arba praeityje buvo diagnozuota aneurizma (kraujagyslės sienelės išsipūtimas ir susilpnėjimas) arba kraujagyslės sienelės įplyšimas.</w:t>
      </w:r>
    </w:p>
    <w:p w14:paraId="240D0704" w14:textId="77777777" w:rsidR="0014133D" w:rsidRPr="00BF4AB8" w:rsidRDefault="0014133D" w:rsidP="0014133D">
      <w:pPr>
        <w:numPr>
          <w:ilvl w:val="12"/>
          <w:numId w:val="0"/>
        </w:numPr>
        <w:ind w:right="-2"/>
        <w:rPr>
          <w:snapToGrid w:val="0"/>
          <w:sz w:val="22"/>
          <w:szCs w:val="24"/>
        </w:rPr>
      </w:pPr>
    </w:p>
    <w:p w14:paraId="3A69E26A" w14:textId="6606C8CE" w:rsidR="0014133D" w:rsidRPr="00BF4AB8" w:rsidRDefault="0014133D" w:rsidP="0014133D">
      <w:pPr>
        <w:numPr>
          <w:ilvl w:val="12"/>
          <w:numId w:val="0"/>
        </w:numPr>
        <w:ind w:right="-2"/>
        <w:rPr>
          <w:snapToGrid w:val="0"/>
          <w:sz w:val="22"/>
          <w:szCs w:val="24"/>
        </w:rPr>
      </w:pPr>
      <w:r w:rsidRPr="00BF4AB8">
        <w:rPr>
          <w:snapToGrid w:val="0"/>
          <w:sz w:val="22"/>
          <w:szCs w:val="24"/>
        </w:rPr>
        <w:t>Remdamasis šia informacija, gydytojas gali atlikti tam tikrus kraujo tyrimus, pavyzdžiui, patikrinti Jūsų kepenų funkciją ir nustatyti, kaip greitai gali krešėti kraujas. Šių tyrimų rezultatus gydytojas aptars su Jumis ir nuspręs, ar galima skirti šį vaistą.</w:t>
      </w:r>
    </w:p>
    <w:p w14:paraId="502AB24A" w14:textId="77777777" w:rsidR="0014133D" w:rsidRPr="00BF4AB8" w:rsidRDefault="0014133D" w:rsidP="0014133D">
      <w:pPr>
        <w:numPr>
          <w:ilvl w:val="12"/>
          <w:numId w:val="0"/>
        </w:numPr>
        <w:ind w:right="-2"/>
        <w:rPr>
          <w:snapToGrid w:val="0"/>
          <w:sz w:val="22"/>
          <w:szCs w:val="24"/>
        </w:rPr>
      </w:pPr>
    </w:p>
    <w:p w14:paraId="0B1FC318" w14:textId="789D1EEF" w:rsidR="0014133D" w:rsidRPr="00BF4AB8" w:rsidRDefault="0014133D" w:rsidP="0014133D">
      <w:pPr>
        <w:numPr>
          <w:ilvl w:val="12"/>
          <w:numId w:val="0"/>
        </w:numPr>
        <w:ind w:right="-2"/>
        <w:rPr>
          <w:snapToGrid w:val="0"/>
          <w:sz w:val="22"/>
          <w:szCs w:val="24"/>
        </w:rPr>
      </w:pPr>
      <w:r w:rsidRPr="00BF4AB8">
        <w:rPr>
          <w:snapToGrid w:val="0"/>
          <w:sz w:val="22"/>
          <w:szCs w:val="24"/>
        </w:rPr>
        <w:t>Vartodami šį vaistą</w:t>
      </w:r>
      <w:r w:rsidR="006242D1" w:rsidRPr="00BF4AB8">
        <w:rPr>
          <w:snapToGrid w:val="0"/>
          <w:sz w:val="22"/>
          <w:szCs w:val="24"/>
        </w:rPr>
        <w:t>,</w:t>
      </w:r>
      <w:r w:rsidRPr="00BF4AB8">
        <w:rPr>
          <w:snapToGrid w:val="0"/>
          <w:sz w:val="22"/>
          <w:szCs w:val="24"/>
        </w:rPr>
        <w:t xml:space="preserve"> nedelsdami praneškite savo gydytojui</w:t>
      </w:r>
      <w:r w:rsidR="006242D1" w:rsidRPr="00BF4AB8">
        <w:rPr>
          <w:snapToGrid w:val="0"/>
          <w:sz w:val="22"/>
          <w:szCs w:val="24"/>
        </w:rPr>
        <w:t>, jeigu</w:t>
      </w:r>
      <w:r w:rsidRPr="00BF4AB8">
        <w:rPr>
          <w:snapToGrid w:val="0"/>
          <w:sz w:val="22"/>
          <w:szCs w:val="24"/>
        </w:rPr>
        <w:t>:</w:t>
      </w:r>
    </w:p>
    <w:p w14:paraId="07CA3FDB" w14:textId="545A0777" w:rsidR="0014133D" w:rsidRPr="00BF4AB8" w:rsidRDefault="0014133D" w:rsidP="007802E9">
      <w:pPr>
        <w:pStyle w:val="Sraopastraipa"/>
        <w:numPr>
          <w:ilvl w:val="0"/>
          <w:numId w:val="7"/>
        </w:numPr>
        <w:ind w:left="567" w:right="-2" w:hanging="567"/>
        <w:rPr>
          <w:snapToGrid w:val="0"/>
          <w:sz w:val="22"/>
          <w:szCs w:val="24"/>
        </w:rPr>
      </w:pPr>
      <w:r w:rsidRPr="00BF4AB8">
        <w:rPr>
          <w:snapToGrid w:val="0"/>
          <w:sz w:val="22"/>
          <w:szCs w:val="24"/>
        </w:rPr>
        <w:t>pradėjote viduriuoti. Viduriavimą svarbu pradėti gydyti nuo pirmųjų požymių atsiradimo (žr.</w:t>
      </w:r>
      <w:r w:rsidR="006242D1" w:rsidRPr="00BF4AB8">
        <w:rPr>
          <w:snapToGrid w:val="0"/>
          <w:sz w:val="22"/>
          <w:szCs w:val="24"/>
        </w:rPr>
        <w:t xml:space="preserve"> </w:t>
      </w:r>
      <w:r w:rsidRPr="00BF4AB8">
        <w:rPr>
          <w:snapToGrid w:val="0"/>
          <w:sz w:val="22"/>
          <w:szCs w:val="24"/>
        </w:rPr>
        <w:t>4</w:t>
      </w:r>
      <w:r w:rsidR="006242D1" w:rsidRPr="00BF4AB8">
        <w:rPr>
          <w:snapToGrid w:val="0"/>
          <w:sz w:val="22"/>
          <w:szCs w:val="24"/>
        </w:rPr>
        <w:t> </w:t>
      </w:r>
      <w:r w:rsidRPr="00BF4AB8">
        <w:rPr>
          <w:snapToGrid w:val="0"/>
          <w:sz w:val="22"/>
          <w:szCs w:val="24"/>
        </w:rPr>
        <w:t>skyrių);</w:t>
      </w:r>
    </w:p>
    <w:p w14:paraId="75006F39" w14:textId="7F36B23B" w:rsidR="0014133D" w:rsidRPr="00BF4AB8" w:rsidRDefault="006242D1" w:rsidP="006242D1">
      <w:pPr>
        <w:pStyle w:val="Sraopastraipa"/>
        <w:numPr>
          <w:ilvl w:val="0"/>
          <w:numId w:val="7"/>
        </w:numPr>
        <w:ind w:left="567" w:right="-2" w:hanging="567"/>
        <w:rPr>
          <w:snapToGrid w:val="0"/>
          <w:sz w:val="22"/>
          <w:szCs w:val="24"/>
        </w:rPr>
      </w:pPr>
      <w:r w:rsidRPr="00BF4AB8">
        <w:rPr>
          <w:snapToGrid w:val="0"/>
          <w:sz w:val="22"/>
          <w:szCs w:val="24"/>
        </w:rPr>
        <w:t>pradėjote vemti</w:t>
      </w:r>
      <w:r w:rsidR="0014133D" w:rsidRPr="00BF4AB8">
        <w:rPr>
          <w:snapToGrid w:val="0"/>
          <w:sz w:val="22"/>
          <w:szCs w:val="24"/>
        </w:rPr>
        <w:t xml:space="preserve"> ar</w:t>
      </w:r>
      <w:r w:rsidRPr="00BF4AB8">
        <w:rPr>
          <w:snapToGrid w:val="0"/>
          <w:sz w:val="22"/>
          <w:szCs w:val="24"/>
        </w:rPr>
        <w:t>ba</w:t>
      </w:r>
      <w:r w:rsidR="0014133D" w:rsidRPr="00BF4AB8">
        <w:rPr>
          <w:snapToGrid w:val="0"/>
          <w:sz w:val="22"/>
          <w:szCs w:val="24"/>
        </w:rPr>
        <w:t xml:space="preserve"> Jus pykina</w:t>
      </w:r>
      <w:r w:rsidRPr="00BF4AB8">
        <w:rPr>
          <w:snapToGrid w:val="0"/>
          <w:sz w:val="22"/>
          <w:szCs w:val="24"/>
        </w:rPr>
        <w:t xml:space="preserve"> (jaučiate šleikštulį)</w:t>
      </w:r>
      <w:r w:rsidR="0014133D" w:rsidRPr="00BF4AB8">
        <w:rPr>
          <w:snapToGrid w:val="0"/>
          <w:sz w:val="22"/>
          <w:szCs w:val="24"/>
        </w:rPr>
        <w:t>;</w:t>
      </w:r>
    </w:p>
    <w:p w14:paraId="06027441" w14:textId="5B0B628D" w:rsidR="0014133D" w:rsidRPr="00BF4AB8" w:rsidRDefault="0014133D" w:rsidP="005B6141">
      <w:pPr>
        <w:pStyle w:val="Sraopastraipa"/>
        <w:numPr>
          <w:ilvl w:val="0"/>
          <w:numId w:val="7"/>
        </w:numPr>
        <w:ind w:left="567" w:right="-2" w:hanging="567"/>
        <w:rPr>
          <w:snapToGrid w:val="0"/>
          <w:sz w:val="22"/>
          <w:szCs w:val="24"/>
        </w:rPr>
      </w:pPr>
      <w:r w:rsidRPr="00BF4AB8">
        <w:rPr>
          <w:snapToGrid w:val="0"/>
          <w:sz w:val="22"/>
          <w:szCs w:val="24"/>
        </w:rPr>
        <w:t>atsirado nepaaiškinamų simptomų, pvz., pagelto oda arba akių baltymai (gelta), šlapimas patamsėjo arba tapo rudas (</w:t>
      </w:r>
      <w:r w:rsidR="006242D1" w:rsidRPr="00BF4AB8">
        <w:rPr>
          <w:snapToGrid w:val="0"/>
          <w:sz w:val="22"/>
          <w:szCs w:val="24"/>
        </w:rPr>
        <w:t>arbatos spalvos</w:t>
      </w:r>
      <w:r w:rsidRPr="00BF4AB8">
        <w:rPr>
          <w:snapToGrid w:val="0"/>
          <w:sz w:val="22"/>
          <w:szCs w:val="24"/>
        </w:rPr>
        <w:t>), skauda viršutinę dešinę pilvo sritį (pilvą),</w:t>
      </w:r>
      <w:r w:rsidR="006242D1" w:rsidRPr="00BF4AB8">
        <w:rPr>
          <w:snapToGrid w:val="0"/>
          <w:sz w:val="22"/>
          <w:szCs w:val="24"/>
        </w:rPr>
        <w:t xml:space="preserve"> </w:t>
      </w:r>
      <w:r w:rsidRPr="00BF4AB8">
        <w:rPr>
          <w:snapToGrid w:val="0"/>
          <w:sz w:val="22"/>
          <w:szCs w:val="24"/>
        </w:rPr>
        <w:t xml:space="preserve">lengviau nei įprastai </w:t>
      </w:r>
      <w:r w:rsidR="006242D1" w:rsidRPr="00BF4AB8">
        <w:rPr>
          <w:snapToGrid w:val="0"/>
          <w:sz w:val="22"/>
          <w:szCs w:val="24"/>
        </w:rPr>
        <w:t>pradedate</w:t>
      </w:r>
      <w:r w:rsidRPr="00BF4AB8">
        <w:rPr>
          <w:snapToGrid w:val="0"/>
          <w:sz w:val="22"/>
          <w:szCs w:val="24"/>
        </w:rPr>
        <w:t xml:space="preserve"> kraujuoti ar atsiranda mėlynių arba jaučiate nuovargį. Tai gali būti</w:t>
      </w:r>
      <w:r w:rsidR="006242D1" w:rsidRPr="00BF4AB8">
        <w:rPr>
          <w:snapToGrid w:val="0"/>
          <w:sz w:val="22"/>
          <w:szCs w:val="24"/>
        </w:rPr>
        <w:t xml:space="preserve"> </w:t>
      </w:r>
      <w:r w:rsidRPr="00BF4AB8">
        <w:rPr>
          <w:snapToGrid w:val="0"/>
          <w:sz w:val="22"/>
          <w:szCs w:val="24"/>
        </w:rPr>
        <w:t>sunkių kepenų veiklos sutrikimų simptomai;</w:t>
      </w:r>
    </w:p>
    <w:p w14:paraId="5B1B3EB0" w14:textId="76A33D8A" w:rsidR="0014133D" w:rsidRPr="00BF4AB8" w:rsidRDefault="0014133D" w:rsidP="009C13C8">
      <w:pPr>
        <w:pStyle w:val="Sraopastraipa"/>
        <w:numPr>
          <w:ilvl w:val="0"/>
          <w:numId w:val="7"/>
        </w:numPr>
        <w:ind w:left="567" w:right="-2" w:hanging="567"/>
        <w:rPr>
          <w:snapToGrid w:val="0"/>
          <w:sz w:val="22"/>
          <w:szCs w:val="24"/>
        </w:rPr>
      </w:pPr>
      <w:r w:rsidRPr="00BF4AB8">
        <w:rPr>
          <w:snapToGrid w:val="0"/>
          <w:sz w:val="22"/>
          <w:szCs w:val="24"/>
        </w:rPr>
        <w:t>pradėjote karščiuoti, ėmė krėsti šaltis, padažnėjo kvėpavimas arba ėmė dažnai plakti širdis</w:t>
      </w:r>
      <w:r w:rsidR="006242D1" w:rsidRPr="00BF4AB8">
        <w:rPr>
          <w:snapToGrid w:val="0"/>
          <w:sz w:val="22"/>
          <w:szCs w:val="24"/>
        </w:rPr>
        <w:t>. T</w:t>
      </w:r>
      <w:r w:rsidRPr="00BF4AB8">
        <w:rPr>
          <w:snapToGrid w:val="0"/>
          <w:sz w:val="22"/>
          <w:szCs w:val="24"/>
        </w:rPr>
        <w:t>ai gali būti infekcinės ligos arba kraujo užkrėtimo (sepsio) požymiai (žr. 4</w:t>
      </w:r>
      <w:r w:rsidR="006242D1" w:rsidRPr="00BF4AB8">
        <w:rPr>
          <w:snapToGrid w:val="0"/>
          <w:sz w:val="22"/>
          <w:szCs w:val="24"/>
        </w:rPr>
        <w:t> </w:t>
      </w:r>
      <w:r w:rsidRPr="00BF4AB8">
        <w:rPr>
          <w:snapToGrid w:val="0"/>
          <w:sz w:val="22"/>
          <w:szCs w:val="24"/>
        </w:rPr>
        <w:t>skyrių);</w:t>
      </w:r>
    </w:p>
    <w:p w14:paraId="15C5808F" w14:textId="71AEBCE9" w:rsidR="0014133D" w:rsidRPr="00BF4AB8" w:rsidRDefault="0014133D" w:rsidP="006242D1">
      <w:pPr>
        <w:pStyle w:val="Sraopastraipa"/>
        <w:numPr>
          <w:ilvl w:val="0"/>
          <w:numId w:val="7"/>
        </w:numPr>
        <w:ind w:left="567" w:right="-2" w:hanging="567"/>
        <w:rPr>
          <w:snapToGrid w:val="0"/>
          <w:sz w:val="22"/>
          <w:szCs w:val="24"/>
        </w:rPr>
      </w:pPr>
      <w:r w:rsidRPr="00BF4AB8">
        <w:rPr>
          <w:snapToGrid w:val="0"/>
          <w:sz w:val="22"/>
          <w:szCs w:val="24"/>
        </w:rPr>
        <w:t>stipr</w:t>
      </w:r>
      <w:r w:rsidR="006242D1" w:rsidRPr="00BF4AB8">
        <w:rPr>
          <w:snapToGrid w:val="0"/>
          <w:sz w:val="22"/>
          <w:szCs w:val="24"/>
        </w:rPr>
        <w:t xml:space="preserve">iai skauda </w:t>
      </w:r>
      <w:r w:rsidRPr="00BF4AB8">
        <w:rPr>
          <w:snapToGrid w:val="0"/>
          <w:sz w:val="22"/>
          <w:szCs w:val="24"/>
        </w:rPr>
        <w:t>skrandžio plot</w:t>
      </w:r>
      <w:r w:rsidR="006242D1" w:rsidRPr="00BF4AB8">
        <w:rPr>
          <w:snapToGrid w:val="0"/>
          <w:sz w:val="22"/>
          <w:szCs w:val="24"/>
        </w:rPr>
        <w:t>e</w:t>
      </w:r>
      <w:r w:rsidRPr="00BF4AB8">
        <w:rPr>
          <w:snapToGrid w:val="0"/>
          <w:sz w:val="22"/>
          <w:szCs w:val="24"/>
        </w:rPr>
        <w:t xml:space="preserve">, </w:t>
      </w:r>
      <w:r w:rsidR="006242D1" w:rsidRPr="00BF4AB8">
        <w:rPr>
          <w:snapToGrid w:val="0"/>
          <w:sz w:val="22"/>
          <w:szCs w:val="24"/>
        </w:rPr>
        <w:t>karščiuojate</w:t>
      </w:r>
      <w:r w:rsidRPr="00BF4AB8">
        <w:rPr>
          <w:snapToGrid w:val="0"/>
          <w:sz w:val="22"/>
          <w:szCs w:val="24"/>
        </w:rPr>
        <w:t xml:space="preserve">, </w:t>
      </w:r>
      <w:r w:rsidR="006242D1" w:rsidRPr="00BF4AB8">
        <w:rPr>
          <w:snapToGrid w:val="0"/>
          <w:sz w:val="22"/>
          <w:szCs w:val="24"/>
        </w:rPr>
        <w:t>ėmė krėsti šaltis</w:t>
      </w:r>
      <w:r w:rsidRPr="00BF4AB8">
        <w:rPr>
          <w:snapToGrid w:val="0"/>
          <w:sz w:val="22"/>
          <w:szCs w:val="24"/>
        </w:rPr>
        <w:t>, pykin</w:t>
      </w:r>
      <w:r w:rsidR="006242D1" w:rsidRPr="00BF4AB8">
        <w:rPr>
          <w:snapToGrid w:val="0"/>
          <w:sz w:val="22"/>
          <w:szCs w:val="24"/>
        </w:rPr>
        <w:t>a</w:t>
      </w:r>
      <w:r w:rsidRPr="00BF4AB8">
        <w:rPr>
          <w:snapToGrid w:val="0"/>
          <w:sz w:val="22"/>
          <w:szCs w:val="24"/>
        </w:rPr>
        <w:t xml:space="preserve">, </w:t>
      </w:r>
      <w:r w:rsidR="006242D1" w:rsidRPr="00BF4AB8">
        <w:rPr>
          <w:snapToGrid w:val="0"/>
          <w:sz w:val="22"/>
          <w:szCs w:val="24"/>
        </w:rPr>
        <w:t xml:space="preserve">vemiate, </w:t>
      </w:r>
      <w:r w:rsidRPr="00BF4AB8">
        <w:rPr>
          <w:snapToGrid w:val="0"/>
          <w:sz w:val="22"/>
          <w:szCs w:val="24"/>
        </w:rPr>
        <w:t>pilv</w:t>
      </w:r>
      <w:r w:rsidR="006242D1" w:rsidRPr="00BF4AB8">
        <w:rPr>
          <w:snapToGrid w:val="0"/>
          <w:sz w:val="22"/>
          <w:szCs w:val="24"/>
        </w:rPr>
        <w:t>as</w:t>
      </w:r>
      <w:r w:rsidRPr="00BF4AB8">
        <w:rPr>
          <w:snapToGrid w:val="0"/>
          <w:sz w:val="22"/>
          <w:szCs w:val="24"/>
        </w:rPr>
        <w:t xml:space="preserve"> </w:t>
      </w:r>
      <w:r w:rsidR="006242D1" w:rsidRPr="00BF4AB8">
        <w:rPr>
          <w:snapToGrid w:val="0"/>
          <w:sz w:val="22"/>
          <w:szCs w:val="24"/>
        </w:rPr>
        <w:t>tapo kietas arba išpūstas</w:t>
      </w:r>
      <w:r w:rsidRPr="00BF4AB8">
        <w:rPr>
          <w:snapToGrid w:val="0"/>
          <w:sz w:val="22"/>
          <w:szCs w:val="24"/>
        </w:rPr>
        <w:t xml:space="preserve">, nes tai gali būti žarnos </w:t>
      </w:r>
      <w:r w:rsidR="006242D1" w:rsidRPr="00BF4AB8">
        <w:rPr>
          <w:snapToGrid w:val="0"/>
          <w:sz w:val="22"/>
          <w:szCs w:val="24"/>
        </w:rPr>
        <w:t xml:space="preserve">sienelės </w:t>
      </w:r>
      <w:r w:rsidRPr="00BF4AB8">
        <w:rPr>
          <w:snapToGrid w:val="0"/>
          <w:sz w:val="22"/>
          <w:szCs w:val="24"/>
        </w:rPr>
        <w:t>prakiurimo (virškinimo trakto</w:t>
      </w:r>
      <w:r w:rsidR="006242D1" w:rsidRPr="00BF4AB8">
        <w:rPr>
          <w:snapToGrid w:val="0"/>
          <w:sz w:val="22"/>
          <w:szCs w:val="24"/>
        </w:rPr>
        <w:t xml:space="preserve"> </w:t>
      </w:r>
      <w:r w:rsidRPr="00BF4AB8">
        <w:rPr>
          <w:snapToGrid w:val="0"/>
          <w:sz w:val="22"/>
          <w:szCs w:val="24"/>
        </w:rPr>
        <w:t>perforacijos) simptomai;</w:t>
      </w:r>
    </w:p>
    <w:p w14:paraId="0A6CEC10" w14:textId="53F5190C" w:rsidR="0014133D" w:rsidRPr="00BF4AB8" w:rsidRDefault="0014133D" w:rsidP="00563119">
      <w:pPr>
        <w:pStyle w:val="Sraopastraipa"/>
        <w:numPr>
          <w:ilvl w:val="0"/>
          <w:numId w:val="7"/>
        </w:numPr>
        <w:ind w:left="567" w:right="-2" w:hanging="567"/>
        <w:rPr>
          <w:snapToGrid w:val="0"/>
          <w:sz w:val="22"/>
          <w:szCs w:val="24"/>
        </w:rPr>
      </w:pPr>
      <w:r w:rsidRPr="00BF4AB8">
        <w:rPr>
          <w:snapToGrid w:val="0"/>
          <w:sz w:val="22"/>
          <w:szCs w:val="24"/>
        </w:rPr>
        <w:t>tuo pat metu patiriate kai kuriuos arba visus iš toliau išvardytų simptomų: staigus</w:t>
      </w:r>
      <w:r w:rsidR="006242D1" w:rsidRPr="00BF4AB8">
        <w:rPr>
          <w:snapToGrid w:val="0"/>
          <w:sz w:val="22"/>
          <w:szCs w:val="24"/>
        </w:rPr>
        <w:t xml:space="preserve"> </w:t>
      </w:r>
      <w:r w:rsidRPr="00BF4AB8">
        <w:rPr>
          <w:snapToGrid w:val="0"/>
          <w:sz w:val="22"/>
          <w:szCs w:val="24"/>
        </w:rPr>
        <w:t>stiprus pilvo skausmas arba spazmai, raudonas kraujas išmatose, viduriavimas arba vidurių</w:t>
      </w:r>
      <w:r w:rsidR="006242D1" w:rsidRPr="00BF4AB8">
        <w:rPr>
          <w:snapToGrid w:val="0"/>
          <w:sz w:val="22"/>
          <w:szCs w:val="24"/>
        </w:rPr>
        <w:t xml:space="preserve"> </w:t>
      </w:r>
      <w:r w:rsidRPr="00BF4AB8">
        <w:rPr>
          <w:snapToGrid w:val="0"/>
          <w:sz w:val="22"/>
          <w:szCs w:val="24"/>
        </w:rPr>
        <w:t xml:space="preserve">užkietėjimas, pykinimas ir vėmimas, nes tai gali būti žarnyno uždegimo dėl </w:t>
      </w:r>
      <w:r w:rsidR="006242D1" w:rsidRPr="00BF4AB8">
        <w:rPr>
          <w:snapToGrid w:val="0"/>
          <w:sz w:val="22"/>
          <w:szCs w:val="24"/>
        </w:rPr>
        <w:t xml:space="preserve">sumažėjusios </w:t>
      </w:r>
      <w:r w:rsidRPr="00BF4AB8">
        <w:rPr>
          <w:snapToGrid w:val="0"/>
          <w:sz w:val="22"/>
          <w:szCs w:val="24"/>
        </w:rPr>
        <w:t>kraujotakos (išeminio kolito) simptomai;</w:t>
      </w:r>
    </w:p>
    <w:p w14:paraId="59A9B976" w14:textId="399F9F56" w:rsidR="0014133D" w:rsidRPr="00BF4AB8" w:rsidRDefault="0014133D" w:rsidP="00193164">
      <w:pPr>
        <w:pStyle w:val="Sraopastraipa"/>
        <w:numPr>
          <w:ilvl w:val="0"/>
          <w:numId w:val="7"/>
        </w:numPr>
        <w:ind w:left="567" w:right="-2" w:hanging="567"/>
        <w:rPr>
          <w:snapToGrid w:val="0"/>
          <w:sz w:val="22"/>
          <w:szCs w:val="24"/>
        </w:rPr>
      </w:pPr>
      <w:r w:rsidRPr="00BF4AB8">
        <w:rPr>
          <w:snapToGrid w:val="0"/>
          <w:sz w:val="22"/>
          <w:szCs w:val="24"/>
        </w:rPr>
        <w:t>skauda, patino, paraudo, šyla galūnė arba jeigu jaučiate skausmą krūtinėje ir sunku kvėpuoti,</w:t>
      </w:r>
      <w:r w:rsidR="006242D1" w:rsidRPr="00BF4AB8">
        <w:rPr>
          <w:snapToGrid w:val="0"/>
          <w:sz w:val="22"/>
          <w:szCs w:val="24"/>
        </w:rPr>
        <w:t xml:space="preserve"> </w:t>
      </w:r>
      <w:r w:rsidRPr="00BF4AB8">
        <w:rPr>
          <w:snapToGrid w:val="0"/>
          <w:sz w:val="22"/>
          <w:szCs w:val="24"/>
        </w:rPr>
        <w:t xml:space="preserve">nes tai gali būti </w:t>
      </w:r>
      <w:r w:rsidR="006242D1" w:rsidRPr="00BF4AB8">
        <w:rPr>
          <w:snapToGrid w:val="0"/>
          <w:sz w:val="22"/>
          <w:szCs w:val="24"/>
        </w:rPr>
        <w:t xml:space="preserve">kraujo krešulio susidarymo </w:t>
      </w:r>
      <w:r w:rsidRPr="00BF4AB8">
        <w:rPr>
          <w:snapToGrid w:val="0"/>
          <w:sz w:val="22"/>
          <w:szCs w:val="24"/>
        </w:rPr>
        <w:t>vieno</w:t>
      </w:r>
      <w:r w:rsidR="006242D1" w:rsidRPr="00BF4AB8">
        <w:rPr>
          <w:snapToGrid w:val="0"/>
          <w:sz w:val="22"/>
          <w:szCs w:val="24"/>
        </w:rPr>
        <w:t>je</w:t>
      </w:r>
      <w:r w:rsidRPr="00BF4AB8">
        <w:rPr>
          <w:snapToGrid w:val="0"/>
          <w:sz w:val="22"/>
          <w:szCs w:val="24"/>
        </w:rPr>
        <w:t xml:space="preserve"> Jūsų veno</w:t>
      </w:r>
      <w:r w:rsidR="006242D1" w:rsidRPr="00BF4AB8">
        <w:rPr>
          <w:snapToGrid w:val="0"/>
          <w:sz w:val="22"/>
          <w:szCs w:val="24"/>
        </w:rPr>
        <w:t>je</w:t>
      </w:r>
      <w:r w:rsidRPr="00BF4AB8">
        <w:rPr>
          <w:snapToGrid w:val="0"/>
          <w:sz w:val="22"/>
          <w:szCs w:val="24"/>
        </w:rPr>
        <w:t xml:space="preserve"> simptomai;</w:t>
      </w:r>
    </w:p>
    <w:p w14:paraId="5F3CC56C" w14:textId="3E7DD8ED" w:rsidR="0014133D" w:rsidRPr="00BF4AB8" w:rsidRDefault="006242D1" w:rsidP="006242D1">
      <w:pPr>
        <w:pStyle w:val="Sraopastraipa"/>
        <w:numPr>
          <w:ilvl w:val="0"/>
          <w:numId w:val="7"/>
        </w:numPr>
        <w:ind w:left="567" w:right="-2" w:hanging="567"/>
        <w:rPr>
          <w:snapToGrid w:val="0"/>
          <w:sz w:val="22"/>
          <w:szCs w:val="24"/>
        </w:rPr>
      </w:pPr>
      <w:r w:rsidRPr="00BF4AB8">
        <w:rPr>
          <w:snapToGrid w:val="0"/>
          <w:sz w:val="22"/>
          <w:szCs w:val="24"/>
        </w:rPr>
        <w:t>pasireiškia bet koks sunkus kraujavimas</w:t>
      </w:r>
      <w:r w:rsidR="0014133D" w:rsidRPr="00BF4AB8">
        <w:rPr>
          <w:snapToGrid w:val="0"/>
          <w:sz w:val="22"/>
          <w:szCs w:val="24"/>
        </w:rPr>
        <w:t>;</w:t>
      </w:r>
    </w:p>
    <w:p w14:paraId="52759D05" w14:textId="04CDB8BC" w:rsidR="0014133D" w:rsidRPr="00BF4AB8" w:rsidRDefault="0014133D" w:rsidP="00973F92">
      <w:pPr>
        <w:pStyle w:val="Sraopastraipa"/>
        <w:numPr>
          <w:ilvl w:val="0"/>
          <w:numId w:val="7"/>
        </w:numPr>
        <w:ind w:left="567" w:right="-2" w:hanging="567"/>
        <w:rPr>
          <w:snapToGrid w:val="0"/>
          <w:sz w:val="22"/>
          <w:szCs w:val="24"/>
        </w:rPr>
      </w:pPr>
      <w:r w:rsidRPr="00BF4AB8">
        <w:rPr>
          <w:snapToGrid w:val="0"/>
          <w:sz w:val="22"/>
          <w:szCs w:val="24"/>
        </w:rPr>
        <w:t>spaudžia ar skauda krūtinę, paprastai kairėje pusėje, skauda kaklą, apatinį žandikaulį, petį ar</w:t>
      </w:r>
      <w:r w:rsidR="006242D1" w:rsidRPr="00BF4AB8">
        <w:rPr>
          <w:snapToGrid w:val="0"/>
          <w:sz w:val="22"/>
          <w:szCs w:val="24"/>
        </w:rPr>
        <w:t xml:space="preserve"> </w:t>
      </w:r>
      <w:r w:rsidRPr="00BF4AB8">
        <w:rPr>
          <w:snapToGrid w:val="0"/>
          <w:sz w:val="22"/>
          <w:szCs w:val="24"/>
        </w:rPr>
        <w:t xml:space="preserve">ranką, greitai plaka širdis, trūksta oro, pykina ar vemiate, nes tai gali būti </w:t>
      </w:r>
      <w:r w:rsidR="006242D1" w:rsidRPr="00BF4AB8">
        <w:rPr>
          <w:snapToGrid w:val="0"/>
          <w:sz w:val="22"/>
          <w:szCs w:val="24"/>
        </w:rPr>
        <w:t xml:space="preserve">širdies priepuolio </w:t>
      </w:r>
      <w:r w:rsidRPr="00BF4AB8">
        <w:rPr>
          <w:snapToGrid w:val="0"/>
          <w:sz w:val="22"/>
          <w:szCs w:val="24"/>
        </w:rPr>
        <w:t>simptomai;</w:t>
      </w:r>
    </w:p>
    <w:p w14:paraId="78144FC3" w14:textId="6223B611" w:rsidR="005D554B" w:rsidRPr="00BF4AB8" w:rsidRDefault="0014133D" w:rsidP="006242D1">
      <w:pPr>
        <w:pStyle w:val="Sraopastraipa"/>
        <w:numPr>
          <w:ilvl w:val="0"/>
          <w:numId w:val="7"/>
        </w:numPr>
        <w:ind w:left="567" w:right="-2" w:hanging="567"/>
        <w:rPr>
          <w:snapToGrid w:val="0"/>
          <w:sz w:val="22"/>
          <w:szCs w:val="24"/>
        </w:rPr>
      </w:pPr>
      <w:r w:rsidRPr="00BF4AB8">
        <w:rPr>
          <w:snapToGrid w:val="0"/>
          <w:sz w:val="22"/>
          <w:szCs w:val="24"/>
        </w:rPr>
        <w:t>bet kuris Jums pasireiškęs šalutinis poveikis (žr. 4</w:t>
      </w:r>
      <w:r w:rsidR="006242D1" w:rsidRPr="00BF4AB8">
        <w:rPr>
          <w:snapToGrid w:val="0"/>
          <w:sz w:val="22"/>
          <w:szCs w:val="24"/>
        </w:rPr>
        <w:t> </w:t>
      </w:r>
      <w:r w:rsidRPr="00BF4AB8">
        <w:rPr>
          <w:snapToGrid w:val="0"/>
          <w:sz w:val="22"/>
          <w:szCs w:val="24"/>
        </w:rPr>
        <w:t xml:space="preserve">skyrių) </w:t>
      </w:r>
      <w:r w:rsidR="006242D1" w:rsidRPr="00BF4AB8">
        <w:rPr>
          <w:snapToGrid w:val="0"/>
          <w:sz w:val="22"/>
          <w:szCs w:val="24"/>
        </w:rPr>
        <w:t>tampa sunkus</w:t>
      </w:r>
      <w:r w:rsidRPr="00BF4AB8">
        <w:rPr>
          <w:snapToGrid w:val="0"/>
          <w:sz w:val="22"/>
          <w:szCs w:val="24"/>
        </w:rPr>
        <w:t>.</w:t>
      </w:r>
    </w:p>
    <w:p w14:paraId="2346EED5" w14:textId="77777777" w:rsidR="0014133D" w:rsidRPr="00BF4AB8" w:rsidRDefault="0014133D" w:rsidP="0014133D">
      <w:pPr>
        <w:numPr>
          <w:ilvl w:val="12"/>
          <w:numId w:val="0"/>
        </w:numPr>
        <w:ind w:right="-2"/>
        <w:rPr>
          <w:snapToGrid w:val="0"/>
          <w:sz w:val="22"/>
          <w:szCs w:val="24"/>
        </w:rPr>
      </w:pPr>
    </w:p>
    <w:p w14:paraId="3E44D4BD" w14:textId="3B1F757F" w:rsidR="005D554B" w:rsidRPr="00BF4AB8" w:rsidRDefault="005D554B" w:rsidP="005D554B">
      <w:pPr>
        <w:keepNext/>
        <w:tabs>
          <w:tab w:val="left" w:pos="567"/>
        </w:tabs>
        <w:spacing w:line="260" w:lineRule="exact"/>
        <w:jc w:val="both"/>
        <w:outlineLvl w:val="3"/>
        <w:rPr>
          <w:b/>
          <w:bCs/>
          <w:snapToGrid w:val="0"/>
          <w:sz w:val="22"/>
          <w:szCs w:val="28"/>
          <w:lang w:eastAsia="x-none"/>
        </w:rPr>
      </w:pPr>
      <w:r w:rsidRPr="00BF4AB8">
        <w:rPr>
          <w:b/>
          <w:bCs/>
          <w:snapToGrid w:val="0"/>
          <w:sz w:val="22"/>
          <w:szCs w:val="28"/>
          <w:lang w:eastAsia="x-none"/>
        </w:rPr>
        <w:t>Vaikams ir paaugliams</w:t>
      </w:r>
    </w:p>
    <w:p w14:paraId="71A23BE3" w14:textId="5498971F" w:rsidR="005D554B" w:rsidRPr="00BF4AB8" w:rsidRDefault="00B51D38" w:rsidP="005D554B">
      <w:pPr>
        <w:numPr>
          <w:ilvl w:val="12"/>
          <w:numId w:val="0"/>
        </w:numPr>
        <w:rPr>
          <w:snapToGrid w:val="0"/>
          <w:sz w:val="22"/>
          <w:szCs w:val="24"/>
        </w:rPr>
      </w:pPr>
      <w:r w:rsidRPr="00BF4AB8">
        <w:rPr>
          <w:snapToGrid w:val="0"/>
          <w:sz w:val="22"/>
          <w:szCs w:val="24"/>
        </w:rPr>
        <w:t>Šio vaisto poveikis gydant plaučių vėžį (NSPV) vaikams ir paaugliams netirtas, todėl jaunesniems kaip 18 metų vaikams ir paaugliams jo vartoti negalima.</w:t>
      </w:r>
    </w:p>
    <w:p w14:paraId="2182FF85" w14:textId="77777777" w:rsidR="00B51D38" w:rsidRPr="00BF4AB8" w:rsidRDefault="00B51D38" w:rsidP="005D554B">
      <w:pPr>
        <w:numPr>
          <w:ilvl w:val="12"/>
          <w:numId w:val="0"/>
        </w:numPr>
        <w:rPr>
          <w:snapToGrid w:val="0"/>
          <w:sz w:val="22"/>
          <w:szCs w:val="24"/>
        </w:rPr>
      </w:pPr>
    </w:p>
    <w:p w14:paraId="77E05C83" w14:textId="002830B0" w:rsidR="005D554B" w:rsidRPr="00BF4AB8" w:rsidRDefault="005D554B" w:rsidP="005D554B">
      <w:pPr>
        <w:keepNext/>
        <w:tabs>
          <w:tab w:val="left" w:pos="567"/>
        </w:tabs>
        <w:spacing w:line="260" w:lineRule="exact"/>
        <w:jc w:val="both"/>
        <w:outlineLvl w:val="3"/>
        <w:rPr>
          <w:b/>
          <w:bCs/>
          <w:snapToGrid w:val="0"/>
          <w:sz w:val="22"/>
          <w:szCs w:val="28"/>
          <w:lang w:eastAsia="x-none"/>
        </w:rPr>
      </w:pPr>
      <w:r w:rsidRPr="00BF4AB8">
        <w:rPr>
          <w:b/>
          <w:bCs/>
          <w:snapToGrid w:val="0"/>
          <w:sz w:val="22"/>
          <w:szCs w:val="28"/>
          <w:lang w:eastAsia="x-none"/>
        </w:rPr>
        <w:t xml:space="preserve">Kiti vaistai ir </w:t>
      </w:r>
      <w:proofErr w:type="spellStart"/>
      <w:r w:rsidR="00C710D9" w:rsidRPr="00BF4AB8">
        <w:rPr>
          <w:b/>
          <w:bCs/>
          <w:snapToGrid w:val="0"/>
          <w:sz w:val="22"/>
          <w:szCs w:val="28"/>
          <w:lang w:eastAsia="x-none"/>
        </w:rPr>
        <w:t>Nytyka</w:t>
      </w:r>
      <w:proofErr w:type="spellEnd"/>
    </w:p>
    <w:p w14:paraId="754A00E7" w14:textId="5EED2636" w:rsidR="005D554B" w:rsidRPr="00BF4AB8" w:rsidRDefault="005D554B" w:rsidP="005D554B">
      <w:pPr>
        <w:numPr>
          <w:ilvl w:val="12"/>
          <w:numId w:val="0"/>
        </w:numPr>
        <w:ind w:right="-2"/>
        <w:rPr>
          <w:snapToGrid w:val="0"/>
          <w:sz w:val="22"/>
          <w:szCs w:val="24"/>
        </w:rPr>
      </w:pPr>
      <w:r w:rsidRPr="00BF4AB8">
        <w:rPr>
          <w:snapToGrid w:val="0"/>
          <w:sz w:val="22"/>
          <w:szCs w:val="24"/>
        </w:rPr>
        <w:t>Jeigu vartojate ar neseniai vartojote kitų vaistų</w:t>
      </w:r>
      <w:r w:rsidR="00720723" w:rsidRPr="00BF4AB8">
        <w:rPr>
          <w:snapToGrid w:val="0"/>
          <w:sz w:val="22"/>
          <w:szCs w:val="24"/>
        </w:rPr>
        <w:t>,</w:t>
      </w:r>
      <w:r w:rsidRPr="00BF4AB8">
        <w:rPr>
          <w:snapToGrid w:val="0"/>
          <w:sz w:val="22"/>
          <w:szCs w:val="24"/>
        </w:rPr>
        <w:t xml:space="preserve"> </w:t>
      </w:r>
      <w:r w:rsidR="00720723" w:rsidRPr="00BF4AB8">
        <w:rPr>
          <w:snapToGrid w:val="0"/>
          <w:sz w:val="22"/>
          <w:szCs w:val="24"/>
        </w:rPr>
        <w:t xml:space="preserve">įskaitant augalinius ir nereceptinius vaistus, </w:t>
      </w:r>
      <w:r w:rsidRPr="00BF4AB8">
        <w:rPr>
          <w:snapToGrid w:val="0"/>
          <w:sz w:val="22"/>
          <w:szCs w:val="24"/>
        </w:rPr>
        <w:t>arba dėl to nesate tikri, apie tai pasakykite gydytojui</w:t>
      </w:r>
      <w:r w:rsidR="00720723" w:rsidRPr="00BF4AB8">
        <w:rPr>
          <w:snapToGrid w:val="0"/>
          <w:sz w:val="22"/>
          <w:szCs w:val="24"/>
        </w:rPr>
        <w:t xml:space="preserve"> </w:t>
      </w:r>
      <w:r w:rsidRPr="00BF4AB8">
        <w:rPr>
          <w:snapToGrid w:val="0"/>
          <w:sz w:val="22"/>
          <w:szCs w:val="24"/>
        </w:rPr>
        <w:t>arba</w:t>
      </w:r>
      <w:r w:rsidR="00720723" w:rsidRPr="00BF4AB8">
        <w:rPr>
          <w:snapToGrid w:val="0"/>
          <w:sz w:val="22"/>
          <w:szCs w:val="24"/>
        </w:rPr>
        <w:t xml:space="preserve"> </w:t>
      </w:r>
      <w:r w:rsidRPr="00BF4AB8">
        <w:rPr>
          <w:snapToGrid w:val="0"/>
          <w:sz w:val="22"/>
          <w:szCs w:val="24"/>
        </w:rPr>
        <w:t>vaistininkui</w:t>
      </w:r>
      <w:r w:rsidR="00720723" w:rsidRPr="00BF4AB8">
        <w:rPr>
          <w:snapToGrid w:val="0"/>
          <w:sz w:val="22"/>
          <w:szCs w:val="24"/>
        </w:rPr>
        <w:t>.</w:t>
      </w:r>
    </w:p>
    <w:p w14:paraId="33118CBD" w14:textId="77777777" w:rsidR="005D554B" w:rsidRPr="00BF4AB8" w:rsidRDefault="005D554B" w:rsidP="005D554B">
      <w:pPr>
        <w:numPr>
          <w:ilvl w:val="12"/>
          <w:numId w:val="0"/>
        </w:numPr>
        <w:ind w:right="-2"/>
        <w:rPr>
          <w:snapToGrid w:val="0"/>
          <w:sz w:val="22"/>
          <w:szCs w:val="24"/>
        </w:rPr>
      </w:pPr>
    </w:p>
    <w:p w14:paraId="69AB90D3" w14:textId="6C8F5D84" w:rsidR="00720723" w:rsidRPr="00BF4AB8" w:rsidRDefault="00720723" w:rsidP="00720723">
      <w:pPr>
        <w:numPr>
          <w:ilvl w:val="12"/>
          <w:numId w:val="0"/>
        </w:numPr>
        <w:ind w:right="-2"/>
        <w:rPr>
          <w:snapToGrid w:val="0"/>
          <w:sz w:val="22"/>
          <w:szCs w:val="24"/>
        </w:rPr>
      </w:pPr>
      <w:r w:rsidRPr="00BF4AB8">
        <w:rPr>
          <w:snapToGrid w:val="0"/>
          <w:sz w:val="22"/>
          <w:szCs w:val="24"/>
        </w:rPr>
        <w:t xml:space="preserve">Yra galima šio vaisto ir kitų vaistų sąveika. Toliau išvardyti vaistai gali padidinti veikliosios </w:t>
      </w:r>
      <w:proofErr w:type="spellStart"/>
      <w:r w:rsidRPr="00BF4AB8">
        <w:rPr>
          <w:snapToGrid w:val="0"/>
          <w:sz w:val="22"/>
          <w:szCs w:val="24"/>
        </w:rPr>
        <w:t>Nytyka</w:t>
      </w:r>
      <w:proofErr w:type="spellEnd"/>
      <w:r w:rsidRPr="00BF4AB8">
        <w:rPr>
          <w:snapToGrid w:val="0"/>
          <w:sz w:val="22"/>
          <w:szCs w:val="24"/>
        </w:rPr>
        <w:t xml:space="preserve"> medžiagos </w:t>
      </w:r>
      <w:proofErr w:type="spellStart"/>
      <w:r w:rsidRPr="00BF4AB8">
        <w:rPr>
          <w:snapToGrid w:val="0"/>
          <w:sz w:val="22"/>
          <w:szCs w:val="24"/>
        </w:rPr>
        <w:t>nintedanibo</w:t>
      </w:r>
      <w:proofErr w:type="spellEnd"/>
      <w:r w:rsidRPr="00BF4AB8">
        <w:rPr>
          <w:snapToGrid w:val="0"/>
          <w:sz w:val="22"/>
          <w:szCs w:val="24"/>
        </w:rPr>
        <w:t xml:space="preserve"> kiekį kraujyje ir todėl gali padidėti šalutinio poveikio rizika (žr. 4 skyrių):</w:t>
      </w:r>
    </w:p>
    <w:p w14:paraId="513F59B0" w14:textId="77777777" w:rsidR="00720723" w:rsidRPr="00BF4AB8" w:rsidRDefault="00720723" w:rsidP="00720723">
      <w:pPr>
        <w:pStyle w:val="Sraopastraipa"/>
        <w:numPr>
          <w:ilvl w:val="0"/>
          <w:numId w:val="7"/>
        </w:numPr>
        <w:ind w:left="567" w:right="-2" w:hanging="567"/>
        <w:rPr>
          <w:snapToGrid w:val="0"/>
          <w:sz w:val="22"/>
          <w:szCs w:val="24"/>
        </w:rPr>
      </w:pPr>
      <w:proofErr w:type="spellStart"/>
      <w:r w:rsidRPr="00BF4AB8">
        <w:rPr>
          <w:snapToGrid w:val="0"/>
          <w:sz w:val="22"/>
          <w:szCs w:val="24"/>
        </w:rPr>
        <w:t>ketokonazolas</w:t>
      </w:r>
      <w:proofErr w:type="spellEnd"/>
      <w:r w:rsidRPr="00BF4AB8">
        <w:rPr>
          <w:snapToGrid w:val="0"/>
          <w:sz w:val="22"/>
          <w:szCs w:val="24"/>
        </w:rPr>
        <w:t xml:space="preserve"> (vartojamas grybelinėms infekcinėms ligoms gydyti);</w:t>
      </w:r>
    </w:p>
    <w:p w14:paraId="75DFE0D7" w14:textId="638377CD" w:rsidR="00720723" w:rsidRPr="00BF4AB8" w:rsidRDefault="00720723" w:rsidP="00720723">
      <w:pPr>
        <w:pStyle w:val="Sraopastraipa"/>
        <w:numPr>
          <w:ilvl w:val="0"/>
          <w:numId w:val="7"/>
        </w:numPr>
        <w:ind w:left="567" w:right="-2" w:hanging="567"/>
        <w:rPr>
          <w:snapToGrid w:val="0"/>
          <w:sz w:val="22"/>
          <w:szCs w:val="24"/>
        </w:rPr>
      </w:pPr>
      <w:proofErr w:type="spellStart"/>
      <w:r w:rsidRPr="00BF4AB8">
        <w:rPr>
          <w:snapToGrid w:val="0"/>
          <w:sz w:val="22"/>
          <w:szCs w:val="24"/>
        </w:rPr>
        <w:t>eritromicinas</w:t>
      </w:r>
      <w:proofErr w:type="spellEnd"/>
      <w:r w:rsidRPr="00BF4AB8">
        <w:rPr>
          <w:snapToGrid w:val="0"/>
          <w:sz w:val="22"/>
          <w:szCs w:val="24"/>
        </w:rPr>
        <w:t xml:space="preserve"> (vartojamas bakterinėms infekcinėms ligoms gydyti).</w:t>
      </w:r>
    </w:p>
    <w:p w14:paraId="0168EC62" w14:textId="77777777" w:rsidR="00720723" w:rsidRPr="00BF4AB8" w:rsidRDefault="00720723" w:rsidP="00720723">
      <w:pPr>
        <w:ind w:right="-2"/>
        <w:rPr>
          <w:snapToGrid w:val="0"/>
          <w:sz w:val="22"/>
          <w:szCs w:val="24"/>
        </w:rPr>
      </w:pPr>
    </w:p>
    <w:p w14:paraId="24F46C59" w14:textId="1A83A292" w:rsidR="00720723" w:rsidRPr="00BF4AB8" w:rsidRDefault="00720723" w:rsidP="00720723">
      <w:pPr>
        <w:ind w:right="-2"/>
        <w:rPr>
          <w:snapToGrid w:val="0"/>
          <w:sz w:val="22"/>
          <w:szCs w:val="24"/>
        </w:rPr>
      </w:pPr>
      <w:r w:rsidRPr="00BF4AB8">
        <w:rPr>
          <w:snapToGrid w:val="0"/>
          <w:sz w:val="22"/>
          <w:szCs w:val="24"/>
        </w:rPr>
        <w:t xml:space="preserve">Toliau išvardyti vaistai gali sumažinti </w:t>
      </w:r>
      <w:proofErr w:type="spellStart"/>
      <w:r w:rsidRPr="00BF4AB8">
        <w:rPr>
          <w:snapToGrid w:val="0"/>
          <w:sz w:val="22"/>
          <w:szCs w:val="24"/>
        </w:rPr>
        <w:t>nintedanibo</w:t>
      </w:r>
      <w:proofErr w:type="spellEnd"/>
      <w:r w:rsidRPr="00BF4AB8">
        <w:rPr>
          <w:snapToGrid w:val="0"/>
          <w:sz w:val="22"/>
          <w:szCs w:val="24"/>
        </w:rPr>
        <w:t xml:space="preserve"> kiekį kraujyje ir todėl gali sumažėti </w:t>
      </w:r>
      <w:proofErr w:type="spellStart"/>
      <w:r w:rsidRPr="00BF4AB8">
        <w:rPr>
          <w:snapToGrid w:val="0"/>
          <w:sz w:val="22"/>
          <w:szCs w:val="24"/>
        </w:rPr>
        <w:t>Nytyka</w:t>
      </w:r>
      <w:proofErr w:type="spellEnd"/>
      <w:r w:rsidRPr="00BF4AB8">
        <w:rPr>
          <w:snapToGrid w:val="0"/>
          <w:sz w:val="22"/>
          <w:szCs w:val="24"/>
        </w:rPr>
        <w:t xml:space="preserve"> veiksmingumas:</w:t>
      </w:r>
    </w:p>
    <w:p w14:paraId="06609214" w14:textId="77777777" w:rsidR="00720723" w:rsidRPr="00BF4AB8" w:rsidRDefault="00720723" w:rsidP="00720723">
      <w:pPr>
        <w:pStyle w:val="Sraopastraipa"/>
        <w:numPr>
          <w:ilvl w:val="0"/>
          <w:numId w:val="7"/>
        </w:numPr>
        <w:ind w:left="567" w:right="-2" w:hanging="567"/>
        <w:rPr>
          <w:snapToGrid w:val="0"/>
          <w:sz w:val="22"/>
          <w:szCs w:val="24"/>
        </w:rPr>
      </w:pPr>
      <w:proofErr w:type="spellStart"/>
      <w:r w:rsidRPr="00BF4AB8">
        <w:rPr>
          <w:snapToGrid w:val="0"/>
          <w:sz w:val="22"/>
          <w:szCs w:val="24"/>
        </w:rPr>
        <w:t>rifampicinas</w:t>
      </w:r>
      <w:proofErr w:type="spellEnd"/>
      <w:r w:rsidRPr="00BF4AB8">
        <w:rPr>
          <w:snapToGrid w:val="0"/>
          <w:sz w:val="22"/>
          <w:szCs w:val="24"/>
        </w:rPr>
        <w:t xml:space="preserve"> (antibiotikas, vartojamas tuberkuliozei gydyti);</w:t>
      </w:r>
    </w:p>
    <w:p w14:paraId="4FED47D5" w14:textId="7B5F58CA" w:rsidR="00720723" w:rsidRPr="00BF4AB8" w:rsidRDefault="00720723" w:rsidP="00720723">
      <w:pPr>
        <w:pStyle w:val="Sraopastraipa"/>
        <w:numPr>
          <w:ilvl w:val="0"/>
          <w:numId w:val="7"/>
        </w:numPr>
        <w:ind w:left="567" w:right="-2" w:hanging="567"/>
        <w:rPr>
          <w:snapToGrid w:val="0"/>
          <w:sz w:val="22"/>
          <w:szCs w:val="24"/>
        </w:rPr>
      </w:pPr>
      <w:proofErr w:type="spellStart"/>
      <w:r w:rsidRPr="00BF4AB8">
        <w:rPr>
          <w:snapToGrid w:val="0"/>
          <w:sz w:val="22"/>
          <w:szCs w:val="24"/>
        </w:rPr>
        <w:t>karbamazepinas</w:t>
      </w:r>
      <w:proofErr w:type="spellEnd"/>
      <w:r w:rsidRPr="00BF4AB8">
        <w:rPr>
          <w:snapToGrid w:val="0"/>
          <w:sz w:val="22"/>
          <w:szCs w:val="24"/>
        </w:rPr>
        <w:t xml:space="preserve">, </w:t>
      </w:r>
      <w:proofErr w:type="spellStart"/>
      <w:r w:rsidRPr="00BF4AB8">
        <w:rPr>
          <w:snapToGrid w:val="0"/>
          <w:sz w:val="22"/>
          <w:szCs w:val="24"/>
        </w:rPr>
        <w:t>fenitoinas</w:t>
      </w:r>
      <w:proofErr w:type="spellEnd"/>
      <w:r w:rsidRPr="00BF4AB8">
        <w:rPr>
          <w:snapToGrid w:val="0"/>
          <w:sz w:val="22"/>
          <w:szCs w:val="24"/>
        </w:rPr>
        <w:t xml:space="preserve"> (vartojami traukuliams gydyti);</w:t>
      </w:r>
    </w:p>
    <w:p w14:paraId="08AECFEA" w14:textId="6C9A9FD7" w:rsidR="00720723" w:rsidRPr="00BF4AB8" w:rsidRDefault="00720723" w:rsidP="00720723">
      <w:pPr>
        <w:pStyle w:val="Sraopastraipa"/>
        <w:numPr>
          <w:ilvl w:val="0"/>
          <w:numId w:val="7"/>
        </w:numPr>
        <w:ind w:left="567" w:right="-2" w:hanging="567"/>
        <w:rPr>
          <w:snapToGrid w:val="0"/>
          <w:sz w:val="22"/>
          <w:szCs w:val="24"/>
        </w:rPr>
      </w:pPr>
      <w:r w:rsidRPr="00BF4AB8">
        <w:rPr>
          <w:snapToGrid w:val="0"/>
          <w:sz w:val="22"/>
          <w:szCs w:val="24"/>
        </w:rPr>
        <w:t>paprastųjų jonažolių preparatai (augaliniai vaistai, vartojami depresijai gydyti).</w:t>
      </w:r>
    </w:p>
    <w:p w14:paraId="65E407DA" w14:textId="77777777" w:rsidR="00720723" w:rsidRPr="00BF4AB8" w:rsidRDefault="00720723" w:rsidP="005D554B">
      <w:pPr>
        <w:numPr>
          <w:ilvl w:val="12"/>
          <w:numId w:val="0"/>
        </w:numPr>
        <w:ind w:right="-2"/>
        <w:rPr>
          <w:snapToGrid w:val="0"/>
          <w:sz w:val="22"/>
          <w:szCs w:val="24"/>
        </w:rPr>
      </w:pPr>
    </w:p>
    <w:p w14:paraId="51B8450E" w14:textId="0FC39792" w:rsidR="005D554B" w:rsidRPr="00BF4AB8" w:rsidRDefault="005D554B" w:rsidP="005D554B">
      <w:pPr>
        <w:keepNext/>
        <w:tabs>
          <w:tab w:val="left" w:pos="567"/>
        </w:tabs>
        <w:spacing w:line="260" w:lineRule="exact"/>
        <w:jc w:val="both"/>
        <w:outlineLvl w:val="3"/>
        <w:rPr>
          <w:b/>
          <w:bCs/>
          <w:snapToGrid w:val="0"/>
          <w:sz w:val="22"/>
          <w:szCs w:val="28"/>
          <w:lang w:eastAsia="x-none"/>
        </w:rPr>
      </w:pPr>
      <w:r w:rsidRPr="00BF4AB8">
        <w:rPr>
          <w:b/>
          <w:bCs/>
          <w:snapToGrid w:val="0"/>
          <w:sz w:val="22"/>
          <w:szCs w:val="28"/>
          <w:lang w:eastAsia="x-none"/>
        </w:rPr>
        <w:t>Nėštumas ir žindymo laikotarpis</w:t>
      </w:r>
    </w:p>
    <w:p w14:paraId="0ACA606A" w14:textId="52D3E71B" w:rsidR="00720723" w:rsidRPr="00BF4AB8" w:rsidRDefault="00720723" w:rsidP="00720723">
      <w:pPr>
        <w:numPr>
          <w:ilvl w:val="12"/>
          <w:numId w:val="0"/>
        </w:numPr>
        <w:rPr>
          <w:snapToGrid w:val="0"/>
          <w:sz w:val="22"/>
          <w:szCs w:val="24"/>
        </w:rPr>
      </w:pPr>
      <w:r w:rsidRPr="00BF4AB8">
        <w:rPr>
          <w:snapToGrid w:val="0"/>
          <w:sz w:val="22"/>
          <w:szCs w:val="24"/>
        </w:rPr>
        <w:t>Jeigu esate nėščia, žindote kūdikį, manote, kad galbūt esate nėščia arba planuojate pastoti, tai prieš vartodama šį vaistą pasitarkite su gydytoju arba vaistininku.</w:t>
      </w:r>
    </w:p>
    <w:p w14:paraId="04B2AF94" w14:textId="77777777" w:rsidR="00720723" w:rsidRPr="00BF4AB8" w:rsidRDefault="00720723" w:rsidP="00720723">
      <w:pPr>
        <w:numPr>
          <w:ilvl w:val="12"/>
          <w:numId w:val="0"/>
        </w:numPr>
        <w:rPr>
          <w:snapToGrid w:val="0"/>
          <w:sz w:val="22"/>
          <w:szCs w:val="24"/>
        </w:rPr>
      </w:pPr>
    </w:p>
    <w:p w14:paraId="41D0B446" w14:textId="77777777" w:rsidR="00720723" w:rsidRPr="00BF4AB8" w:rsidRDefault="00720723" w:rsidP="00720723">
      <w:pPr>
        <w:numPr>
          <w:ilvl w:val="12"/>
          <w:numId w:val="0"/>
        </w:numPr>
        <w:rPr>
          <w:snapToGrid w:val="0"/>
          <w:sz w:val="22"/>
          <w:szCs w:val="24"/>
          <w:u w:val="single"/>
        </w:rPr>
      </w:pPr>
      <w:r w:rsidRPr="00BF4AB8">
        <w:rPr>
          <w:snapToGrid w:val="0"/>
          <w:sz w:val="22"/>
          <w:szCs w:val="24"/>
          <w:u w:val="single"/>
        </w:rPr>
        <w:t>Nėštumas</w:t>
      </w:r>
    </w:p>
    <w:p w14:paraId="660E1A55" w14:textId="77777777" w:rsidR="00720723" w:rsidRPr="00BF4AB8" w:rsidRDefault="00720723" w:rsidP="00720723">
      <w:pPr>
        <w:numPr>
          <w:ilvl w:val="12"/>
          <w:numId w:val="0"/>
        </w:numPr>
        <w:rPr>
          <w:snapToGrid w:val="0"/>
          <w:sz w:val="22"/>
          <w:szCs w:val="24"/>
        </w:rPr>
      </w:pPr>
      <w:r w:rsidRPr="00BF4AB8">
        <w:rPr>
          <w:snapToGrid w:val="0"/>
          <w:sz w:val="22"/>
          <w:szCs w:val="24"/>
        </w:rPr>
        <w:lastRenderedPageBreak/>
        <w:t xml:space="preserve">Nėštumo metu šio vaisto nevartokite, nes jis gali pakenkti Jūsų dar negimusiam vaikui ir sukelti </w:t>
      </w:r>
      <w:proofErr w:type="spellStart"/>
      <w:r w:rsidRPr="00BF4AB8">
        <w:rPr>
          <w:snapToGrid w:val="0"/>
          <w:sz w:val="22"/>
          <w:szCs w:val="24"/>
        </w:rPr>
        <w:t>apsigimimus</w:t>
      </w:r>
      <w:proofErr w:type="spellEnd"/>
      <w:r w:rsidRPr="00BF4AB8">
        <w:rPr>
          <w:snapToGrid w:val="0"/>
          <w:sz w:val="22"/>
          <w:szCs w:val="24"/>
        </w:rPr>
        <w:t>.</w:t>
      </w:r>
    </w:p>
    <w:p w14:paraId="7EA0C54E" w14:textId="77777777" w:rsidR="00720723" w:rsidRPr="00BF4AB8" w:rsidRDefault="00720723" w:rsidP="00720723">
      <w:pPr>
        <w:numPr>
          <w:ilvl w:val="12"/>
          <w:numId w:val="0"/>
        </w:numPr>
        <w:rPr>
          <w:snapToGrid w:val="0"/>
          <w:sz w:val="22"/>
          <w:szCs w:val="24"/>
        </w:rPr>
      </w:pPr>
    </w:p>
    <w:p w14:paraId="37CAEFF0" w14:textId="39AE12A5" w:rsidR="00720723" w:rsidRPr="00BF4AB8" w:rsidRDefault="00720723" w:rsidP="00720723">
      <w:pPr>
        <w:numPr>
          <w:ilvl w:val="12"/>
          <w:numId w:val="0"/>
        </w:numPr>
        <w:rPr>
          <w:snapToGrid w:val="0"/>
          <w:sz w:val="22"/>
          <w:szCs w:val="24"/>
          <w:u w:val="single"/>
        </w:rPr>
      </w:pPr>
      <w:r w:rsidRPr="00BF4AB8">
        <w:rPr>
          <w:snapToGrid w:val="0"/>
          <w:sz w:val="22"/>
          <w:szCs w:val="24"/>
          <w:u w:val="single"/>
        </w:rPr>
        <w:t>Kontracepcija</w:t>
      </w:r>
    </w:p>
    <w:p w14:paraId="26570AA8" w14:textId="4690F7A0" w:rsidR="00720723" w:rsidRPr="00BF4AB8" w:rsidRDefault="008954BD" w:rsidP="007745EC">
      <w:pPr>
        <w:pStyle w:val="Sraopastraipa"/>
        <w:numPr>
          <w:ilvl w:val="0"/>
          <w:numId w:val="7"/>
        </w:numPr>
        <w:ind w:left="567" w:right="-2" w:hanging="567"/>
        <w:rPr>
          <w:snapToGrid w:val="0"/>
          <w:sz w:val="22"/>
          <w:szCs w:val="24"/>
        </w:rPr>
      </w:pPr>
      <w:r w:rsidRPr="00BF4AB8">
        <w:rPr>
          <w:snapToGrid w:val="0"/>
          <w:sz w:val="22"/>
          <w:szCs w:val="24"/>
        </w:rPr>
        <w:t xml:space="preserve">Pastoti </w:t>
      </w:r>
      <w:r w:rsidR="00720723" w:rsidRPr="00BF4AB8">
        <w:rPr>
          <w:snapToGrid w:val="0"/>
          <w:sz w:val="22"/>
          <w:szCs w:val="24"/>
        </w:rPr>
        <w:t>galinčios</w:t>
      </w:r>
      <w:r w:rsidRPr="00BF4AB8">
        <w:rPr>
          <w:snapToGrid w:val="0"/>
          <w:sz w:val="22"/>
          <w:szCs w:val="24"/>
        </w:rPr>
        <w:t xml:space="preserve"> moterys turi naudoti labai veiksmingą kontracepcijos metodą pradėdamos</w:t>
      </w:r>
      <w:r w:rsidR="00720723" w:rsidRPr="00BF4AB8">
        <w:rPr>
          <w:snapToGrid w:val="0"/>
          <w:sz w:val="22"/>
          <w:szCs w:val="24"/>
        </w:rPr>
        <w:t xml:space="preserve"> vartoti </w:t>
      </w:r>
      <w:proofErr w:type="spellStart"/>
      <w:r w:rsidR="00720723" w:rsidRPr="00BF4AB8">
        <w:rPr>
          <w:snapToGrid w:val="0"/>
          <w:sz w:val="22"/>
          <w:szCs w:val="24"/>
        </w:rPr>
        <w:t>Nytyka</w:t>
      </w:r>
      <w:proofErr w:type="spellEnd"/>
      <w:r w:rsidR="00720723" w:rsidRPr="00BF4AB8">
        <w:rPr>
          <w:snapToGrid w:val="0"/>
          <w:sz w:val="22"/>
          <w:szCs w:val="24"/>
        </w:rPr>
        <w:t xml:space="preserve">, </w:t>
      </w:r>
      <w:r w:rsidRPr="00BF4AB8">
        <w:rPr>
          <w:snapToGrid w:val="0"/>
          <w:sz w:val="22"/>
          <w:szCs w:val="24"/>
        </w:rPr>
        <w:t>šio vaisto vartojimo laikotarpiu</w:t>
      </w:r>
      <w:r w:rsidR="00720723" w:rsidRPr="00BF4AB8">
        <w:rPr>
          <w:snapToGrid w:val="0"/>
          <w:sz w:val="22"/>
          <w:szCs w:val="24"/>
        </w:rPr>
        <w:t xml:space="preserve"> ir mažiausiai dar 3</w:t>
      </w:r>
      <w:r w:rsidRPr="00BF4AB8">
        <w:rPr>
          <w:snapToGrid w:val="0"/>
          <w:sz w:val="22"/>
          <w:szCs w:val="24"/>
        </w:rPr>
        <w:t> </w:t>
      </w:r>
      <w:r w:rsidR="00720723" w:rsidRPr="00BF4AB8">
        <w:rPr>
          <w:snapToGrid w:val="0"/>
          <w:sz w:val="22"/>
          <w:szCs w:val="24"/>
        </w:rPr>
        <w:t>mėnesius po paskutinės vaisto dozės pavartojimo.</w:t>
      </w:r>
    </w:p>
    <w:p w14:paraId="74409B9B" w14:textId="45F09924" w:rsidR="00720723" w:rsidRPr="00BF4AB8" w:rsidRDefault="00720723" w:rsidP="00720723">
      <w:pPr>
        <w:pStyle w:val="Sraopastraipa"/>
        <w:numPr>
          <w:ilvl w:val="0"/>
          <w:numId w:val="7"/>
        </w:numPr>
        <w:ind w:left="567" w:right="-2" w:hanging="567"/>
        <w:rPr>
          <w:snapToGrid w:val="0"/>
          <w:sz w:val="22"/>
          <w:szCs w:val="24"/>
        </w:rPr>
      </w:pPr>
      <w:r w:rsidRPr="00BF4AB8">
        <w:rPr>
          <w:snapToGrid w:val="0"/>
          <w:sz w:val="22"/>
          <w:szCs w:val="24"/>
        </w:rPr>
        <w:t>Turite aptarti su savo gydytoju geriausiai Jums tinkamus kontracepcijos metodus.</w:t>
      </w:r>
    </w:p>
    <w:p w14:paraId="59844747" w14:textId="32492945" w:rsidR="00720723" w:rsidRPr="00BF4AB8" w:rsidRDefault="00720723" w:rsidP="002F2400">
      <w:pPr>
        <w:pStyle w:val="Sraopastraipa"/>
        <w:numPr>
          <w:ilvl w:val="0"/>
          <w:numId w:val="7"/>
        </w:numPr>
        <w:ind w:left="567" w:right="-2" w:hanging="567"/>
        <w:rPr>
          <w:snapToGrid w:val="0"/>
          <w:sz w:val="22"/>
          <w:szCs w:val="24"/>
        </w:rPr>
      </w:pPr>
      <w:r w:rsidRPr="00BF4AB8">
        <w:rPr>
          <w:snapToGrid w:val="0"/>
          <w:sz w:val="22"/>
          <w:szCs w:val="24"/>
        </w:rPr>
        <w:t xml:space="preserve">Vėmimas ir (arba) viduriavimas arba kitos virškinimo trakto būklės gali paveikti geriamųjų hormoninių kontraceptikų, tokių kaip kontraceptinės tabletės, absorbciją ir sumažinti jų veiksmingumą. Todėl, jei </w:t>
      </w:r>
      <w:r w:rsidR="008954BD" w:rsidRPr="00BF4AB8">
        <w:rPr>
          <w:snapToGrid w:val="0"/>
          <w:sz w:val="22"/>
          <w:szCs w:val="24"/>
        </w:rPr>
        <w:t>pasireiškia</w:t>
      </w:r>
      <w:r w:rsidRPr="00BF4AB8">
        <w:rPr>
          <w:snapToGrid w:val="0"/>
          <w:sz w:val="22"/>
          <w:szCs w:val="24"/>
        </w:rPr>
        <w:t xml:space="preserve"> minėt</w:t>
      </w:r>
      <w:r w:rsidR="008954BD" w:rsidRPr="00BF4AB8">
        <w:rPr>
          <w:snapToGrid w:val="0"/>
          <w:sz w:val="22"/>
          <w:szCs w:val="24"/>
        </w:rPr>
        <w:t>a</w:t>
      </w:r>
      <w:r w:rsidRPr="00BF4AB8">
        <w:rPr>
          <w:snapToGrid w:val="0"/>
          <w:sz w:val="22"/>
          <w:szCs w:val="24"/>
        </w:rPr>
        <w:t xml:space="preserve"> būkl</w:t>
      </w:r>
      <w:r w:rsidR="008954BD" w:rsidRPr="00BF4AB8">
        <w:rPr>
          <w:snapToGrid w:val="0"/>
          <w:sz w:val="22"/>
          <w:szCs w:val="24"/>
        </w:rPr>
        <w:t>ė</w:t>
      </w:r>
      <w:r w:rsidRPr="00BF4AB8">
        <w:rPr>
          <w:snapToGrid w:val="0"/>
          <w:sz w:val="22"/>
          <w:szCs w:val="24"/>
        </w:rPr>
        <w:t>, pasikalbėkite su savo gydytoju</w:t>
      </w:r>
      <w:r w:rsidR="008954BD" w:rsidRPr="00BF4AB8">
        <w:rPr>
          <w:snapToGrid w:val="0"/>
          <w:sz w:val="22"/>
          <w:szCs w:val="24"/>
        </w:rPr>
        <w:t xml:space="preserve"> ir </w:t>
      </w:r>
      <w:r w:rsidR="0068342C">
        <w:rPr>
          <w:snapToGrid w:val="0"/>
          <w:sz w:val="22"/>
          <w:szCs w:val="24"/>
        </w:rPr>
        <w:t>ap</w:t>
      </w:r>
      <w:r w:rsidR="008954BD" w:rsidRPr="00BF4AB8">
        <w:rPr>
          <w:snapToGrid w:val="0"/>
          <w:sz w:val="22"/>
          <w:szCs w:val="24"/>
        </w:rPr>
        <w:t>svarstykite</w:t>
      </w:r>
      <w:r w:rsidRPr="00BF4AB8">
        <w:rPr>
          <w:snapToGrid w:val="0"/>
          <w:sz w:val="22"/>
          <w:szCs w:val="24"/>
        </w:rPr>
        <w:t xml:space="preserve"> alternatyv</w:t>
      </w:r>
      <w:r w:rsidR="008954BD" w:rsidRPr="00BF4AB8">
        <w:rPr>
          <w:snapToGrid w:val="0"/>
          <w:sz w:val="22"/>
          <w:szCs w:val="24"/>
        </w:rPr>
        <w:t>ų</w:t>
      </w:r>
      <w:r w:rsidRPr="00BF4AB8">
        <w:rPr>
          <w:snapToGrid w:val="0"/>
          <w:sz w:val="22"/>
          <w:szCs w:val="24"/>
        </w:rPr>
        <w:t xml:space="preserve"> tinkamesn</w:t>
      </w:r>
      <w:r w:rsidR="008954BD" w:rsidRPr="00BF4AB8">
        <w:rPr>
          <w:snapToGrid w:val="0"/>
          <w:sz w:val="22"/>
          <w:szCs w:val="24"/>
        </w:rPr>
        <w:t>į</w:t>
      </w:r>
      <w:r w:rsidRPr="00BF4AB8">
        <w:rPr>
          <w:snapToGrid w:val="0"/>
          <w:sz w:val="22"/>
          <w:szCs w:val="24"/>
        </w:rPr>
        <w:t xml:space="preserve"> kontracepcijos metod</w:t>
      </w:r>
      <w:r w:rsidR="008954BD" w:rsidRPr="00BF4AB8">
        <w:rPr>
          <w:snapToGrid w:val="0"/>
          <w:sz w:val="22"/>
          <w:szCs w:val="24"/>
        </w:rPr>
        <w:t>ą</w:t>
      </w:r>
      <w:r w:rsidRPr="00BF4AB8">
        <w:rPr>
          <w:snapToGrid w:val="0"/>
          <w:sz w:val="22"/>
          <w:szCs w:val="24"/>
        </w:rPr>
        <w:t>.</w:t>
      </w:r>
    </w:p>
    <w:p w14:paraId="5E114C04" w14:textId="6C995432" w:rsidR="00720723" w:rsidRPr="00BF4AB8" w:rsidRDefault="00720723" w:rsidP="0046091E">
      <w:pPr>
        <w:pStyle w:val="Sraopastraipa"/>
        <w:numPr>
          <w:ilvl w:val="0"/>
          <w:numId w:val="7"/>
        </w:numPr>
        <w:ind w:left="567" w:right="-2" w:hanging="567"/>
        <w:rPr>
          <w:snapToGrid w:val="0"/>
          <w:sz w:val="22"/>
          <w:szCs w:val="24"/>
        </w:rPr>
      </w:pPr>
      <w:r w:rsidRPr="00BF4AB8">
        <w:rPr>
          <w:snapToGrid w:val="0"/>
          <w:sz w:val="22"/>
          <w:szCs w:val="24"/>
        </w:rPr>
        <w:t xml:space="preserve">Nedelsdama pasakykite gydytojui ar vaistininkui, jeigu gydymo </w:t>
      </w:r>
      <w:proofErr w:type="spellStart"/>
      <w:r w:rsidRPr="00BF4AB8">
        <w:rPr>
          <w:snapToGrid w:val="0"/>
          <w:sz w:val="22"/>
          <w:szCs w:val="24"/>
        </w:rPr>
        <w:t>Nytyka</w:t>
      </w:r>
      <w:proofErr w:type="spellEnd"/>
      <w:r w:rsidRPr="00BF4AB8">
        <w:rPr>
          <w:snapToGrid w:val="0"/>
          <w:sz w:val="22"/>
          <w:szCs w:val="24"/>
        </w:rPr>
        <w:t xml:space="preserve"> metu pastojate arba manote, kad </w:t>
      </w:r>
      <w:r w:rsidR="008954BD" w:rsidRPr="00BF4AB8">
        <w:rPr>
          <w:snapToGrid w:val="0"/>
          <w:sz w:val="22"/>
          <w:szCs w:val="24"/>
        </w:rPr>
        <w:t>galėjote pastoti</w:t>
      </w:r>
      <w:r w:rsidRPr="00BF4AB8">
        <w:rPr>
          <w:snapToGrid w:val="0"/>
          <w:sz w:val="22"/>
          <w:szCs w:val="24"/>
        </w:rPr>
        <w:t>.</w:t>
      </w:r>
    </w:p>
    <w:p w14:paraId="2224ECB0" w14:textId="77777777" w:rsidR="00720723" w:rsidRPr="00BF4AB8" w:rsidRDefault="00720723" w:rsidP="00720723">
      <w:pPr>
        <w:numPr>
          <w:ilvl w:val="12"/>
          <w:numId w:val="0"/>
        </w:numPr>
        <w:rPr>
          <w:snapToGrid w:val="0"/>
          <w:sz w:val="22"/>
          <w:szCs w:val="24"/>
        </w:rPr>
      </w:pPr>
    </w:p>
    <w:p w14:paraId="589E1DAD" w14:textId="5161707B" w:rsidR="00720723" w:rsidRPr="00BF4AB8" w:rsidRDefault="00720723" w:rsidP="00720723">
      <w:pPr>
        <w:numPr>
          <w:ilvl w:val="12"/>
          <w:numId w:val="0"/>
        </w:numPr>
        <w:rPr>
          <w:snapToGrid w:val="0"/>
          <w:sz w:val="22"/>
          <w:szCs w:val="24"/>
          <w:u w:val="single"/>
        </w:rPr>
      </w:pPr>
      <w:r w:rsidRPr="00BF4AB8">
        <w:rPr>
          <w:snapToGrid w:val="0"/>
          <w:sz w:val="22"/>
          <w:szCs w:val="24"/>
          <w:u w:val="single"/>
        </w:rPr>
        <w:t>Žindymo laikotarpis</w:t>
      </w:r>
    </w:p>
    <w:p w14:paraId="6ADB415C" w14:textId="401AFB70" w:rsidR="00720723" w:rsidRPr="00BF4AB8" w:rsidRDefault="00720723" w:rsidP="00720723">
      <w:pPr>
        <w:numPr>
          <w:ilvl w:val="12"/>
          <w:numId w:val="0"/>
        </w:numPr>
        <w:rPr>
          <w:snapToGrid w:val="0"/>
          <w:sz w:val="22"/>
          <w:szCs w:val="24"/>
        </w:rPr>
      </w:pPr>
      <w:r w:rsidRPr="00BF4AB8">
        <w:rPr>
          <w:snapToGrid w:val="0"/>
          <w:sz w:val="22"/>
          <w:szCs w:val="24"/>
        </w:rPr>
        <w:t>Nežinoma, ar šis vaistas išsiskiria į motinos pieną ir ar gali pakenkti žindomam vaikui. Dėl to gydymo šiuo vaistu metu maitinti krūtimi negalima.</w:t>
      </w:r>
    </w:p>
    <w:p w14:paraId="78BE4668" w14:textId="77777777" w:rsidR="00720723" w:rsidRPr="00BF4AB8" w:rsidRDefault="00720723" w:rsidP="00720723">
      <w:pPr>
        <w:numPr>
          <w:ilvl w:val="12"/>
          <w:numId w:val="0"/>
        </w:numPr>
        <w:rPr>
          <w:snapToGrid w:val="0"/>
          <w:sz w:val="22"/>
          <w:szCs w:val="24"/>
        </w:rPr>
      </w:pPr>
    </w:p>
    <w:p w14:paraId="2FFD58C5" w14:textId="7D98D2C8" w:rsidR="00720723" w:rsidRPr="00BF4AB8" w:rsidRDefault="00720723" w:rsidP="00720723">
      <w:pPr>
        <w:numPr>
          <w:ilvl w:val="12"/>
          <w:numId w:val="0"/>
        </w:numPr>
        <w:rPr>
          <w:snapToGrid w:val="0"/>
          <w:sz w:val="22"/>
          <w:szCs w:val="24"/>
          <w:u w:val="single"/>
        </w:rPr>
      </w:pPr>
      <w:r w:rsidRPr="00BF4AB8">
        <w:rPr>
          <w:snapToGrid w:val="0"/>
          <w:sz w:val="22"/>
          <w:szCs w:val="24"/>
          <w:u w:val="single"/>
        </w:rPr>
        <w:t>Vaisingumas</w:t>
      </w:r>
    </w:p>
    <w:p w14:paraId="253E019B" w14:textId="25434700" w:rsidR="005D554B" w:rsidRPr="00BF4AB8" w:rsidRDefault="00720723" w:rsidP="00720723">
      <w:pPr>
        <w:numPr>
          <w:ilvl w:val="12"/>
          <w:numId w:val="0"/>
        </w:numPr>
        <w:rPr>
          <w:snapToGrid w:val="0"/>
          <w:sz w:val="22"/>
          <w:szCs w:val="24"/>
        </w:rPr>
      </w:pPr>
      <w:r w:rsidRPr="00BF4AB8">
        <w:rPr>
          <w:snapToGrid w:val="0"/>
          <w:sz w:val="22"/>
          <w:szCs w:val="24"/>
        </w:rPr>
        <w:t>Šio vaisto poveikis žmogaus vaisingumui netirtas.</w:t>
      </w:r>
    </w:p>
    <w:p w14:paraId="56D050C7" w14:textId="77777777" w:rsidR="005D554B" w:rsidRPr="00BF4AB8" w:rsidRDefault="005D554B" w:rsidP="005D554B">
      <w:pPr>
        <w:numPr>
          <w:ilvl w:val="12"/>
          <w:numId w:val="0"/>
        </w:numPr>
        <w:rPr>
          <w:snapToGrid w:val="0"/>
          <w:sz w:val="22"/>
          <w:szCs w:val="24"/>
        </w:rPr>
      </w:pPr>
    </w:p>
    <w:p w14:paraId="10B7C859" w14:textId="77777777" w:rsidR="005D554B" w:rsidRPr="00BF4AB8" w:rsidRDefault="005D554B" w:rsidP="005D554B">
      <w:pPr>
        <w:keepNext/>
        <w:tabs>
          <w:tab w:val="left" w:pos="567"/>
        </w:tabs>
        <w:spacing w:line="260" w:lineRule="exact"/>
        <w:jc w:val="both"/>
        <w:outlineLvl w:val="3"/>
        <w:rPr>
          <w:b/>
          <w:bCs/>
          <w:snapToGrid w:val="0"/>
          <w:sz w:val="22"/>
          <w:szCs w:val="28"/>
          <w:lang w:eastAsia="x-none"/>
        </w:rPr>
      </w:pPr>
      <w:r w:rsidRPr="00BF4AB8">
        <w:rPr>
          <w:b/>
          <w:bCs/>
          <w:snapToGrid w:val="0"/>
          <w:sz w:val="22"/>
          <w:szCs w:val="28"/>
          <w:lang w:eastAsia="x-none"/>
        </w:rPr>
        <w:t>Vairavimas ir mechanizmų valdymas</w:t>
      </w:r>
    </w:p>
    <w:p w14:paraId="758DC0F1" w14:textId="77777777" w:rsidR="005D554B" w:rsidRPr="00BF4AB8" w:rsidRDefault="005D554B" w:rsidP="005D554B">
      <w:pPr>
        <w:numPr>
          <w:ilvl w:val="12"/>
          <w:numId w:val="0"/>
        </w:numPr>
        <w:ind w:right="-2"/>
        <w:rPr>
          <w:snapToGrid w:val="0"/>
          <w:sz w:val="22"/>
          <w:szCs w:val="24"/>
        </w:rPr>
      </w:pPr>
    </w:p>
    <w:p w14:paraId="30AFB59A" w14:textId="5BB95D25" w:rsidR="005D554B" w:rsidRPr="00BF4AB8" w:rsidRDefault="00CE585C" w:rsidP="005D554B">
      <w:pPr>
        <w:numPr>
          <w:ilvl w:val="12"/>
          <w:numId w:val="0"/>
        </w:numPr>
        <w:ind w:right="-2"/>
        <w:rPr>
          <w:snapToGrid w:val="0"/>
          <w:sz w:val="22"/>
          <w:szCs w:val="28"/>
          <w:lang w:eastAsia="x-none"/>
        </w:rPr>
      </w:pPr>
      <w:proofErr w:type="spellStart"/>
      <w:r w:rsidRPr="00BF4AB8">
        <w:rPr>
          <w:snapToGrid w:val="0"/>
          <w:sz w:val="22"/>
          <w:szCs w:val="28"/>
          <w:lang w:eastAsia="x-none"/>
        </w:rPr>
        <w:t>Nytyka</w:t>
      </w:r>
      <w:proofErr w:type="spellEnd"/>
      <w:r w:rsidR="000E27DA" w:rsidRPr="00BF4AB8">
        <w:rPr>
          <w:snapToGrid w:val="0"/>
          <w:sz w:val="22"/>
          <w:szCs w:val="28"/>
          <w:lang w:eastAsia="x-none"/>
        </w:rPr>
        <w:t xml:space="preserve"> gali silpnai veikti Jūsų gebėjimą vairuoti ir valdyti mechanizmus. Jei </w:t>
      </w:r>
      <w:r w:rsidRPr="00BF4AB8">
        <w:rPr>
          <w:snapToGrid w:val="0"/>
          <w:sz w:val="22"/>
          <w:szCs w:val="28"/>
          <w:lang w:eastAsia="x-none"/>
        </w:rPr>
        <w:t>blogai jaučiatės</w:t>
      </w:r>
      <w:r w:rsidR="000E27DA" w:rsidRPr="00BF4AB8">
        <w:rPr>
          <w:snapToGrid w:val="0"/>
          <w:sz w:val="22"/>
          <w:szCs w:val="28"/>
          <w:lang w:eastAsia="x-none"/>
        </w:rPr>
        <w:t>,</w:t>
      </w:r>
      <w:r w:rsidRPr="00BF4AB8">
        <w:rPr>
          <w:snapToGrid w:val="0"/>
          <w:sz w:val="22"/>
          <w:szCs w:val="28"/>
          <w:lang w:eastAsia="x-none"/>
        </w:rPr>
        <w:t xml:space="preserve"> </w:t>
      </w:r>
      <w:r w:rsidR="000E27DA" w:rsidRPr="00BF4AB8">
        <w:rPr>
          <w:snapToGrid w:val="0"/>
          <w:sz w:val="22"/>
          <w:szCs w:val="28"/>
          <w:lang w:eastAsia="x-none"/>
        </w:rPr>
        <w:t>nevairuokite ir nevaldykite mechanizmų.</w:t>
      </w:r>
    </w:p>
    <w:p w14:paraId="37975F7A" w14:textId="77777777" w:rsidR="00720723" w:rsidRPr="00BF4AB8" w:rsidRDefault="00720723" w:rsidP="005D554B">
      <w:pPr>
        <w:numPr>
          <w:ilvl w:val="12"/>
          <w:numId w:val="0"/>
        </w:numPr>
        <w:ind w:right="-2"/>
        <w:rPr>
          <w:snapToGrid w:val="0"/>
          <w:sz w:val="22"/>
          <w:szCs w:val="24"/>
        </w:rPr>
      </w:pPr>
    </w:p>
    <w:p w14:paraId="2C4E0856" w14:textId="77777777" w:rsidR="00CE585C" w:rsidRPr="00BF4AB8" w:rsidRDefault="00CE585C" w:rsidP="005D554B">
      <w:pPr>
        <w:numPr>
          <w:ilvl w:val="12"/>
          <w:numId w:val="0"/>
        </w:numPr>
        <w:ind w:right="-2"/>
        <w:rPr>
          <w:snapToGrid w:val="0"/>
          <w:sz w:val="22"/>
          <w:szCs w:val="24"/>
        </w:rPr>
      </w:pPr>
    </w:p>
    <w:p w14:paraId="5FD6B261" w14:textId="05A32881" w:rsidR="005D554B" w:rsidRPr="00BF4AB8" w:rsidRDefault="005D554B" w:rsidP="005D554B">
      <w:pPr>
        <w:keepNext/>
        <w:keepLines/>
        <w:tabs>
          <w:tab w:val="left" w:pos="567"/>
        </w:tabs>
        <w:outlineLvl w:val="2"/>
        <w:rPr>
          <w:b/>
          <w:bCs/>
          <w:snapToGrid w:val="0"/>
          <w:sz w:val="22"/>
          <w:szCs w:val="26"/>
          <w:lang w:eastAsia="x-none"/>
        </w:rPr>
      </w:pPr>
      <w:r w:rsidRPr="00BF4AB8">
        <w:rPr>
          <w:b/>
          <w:bCs/>
          <w:snapToGrid w:val="0"/>
          <w:sz w:val="22"/>
          <w:szCs w:val="26"/>
          <w:lang w:eastAsia="x-none"/>
        </w:rPr>
        <w:t>3.</w:t>
      </w:r>
      <w:r w:rsidRPr="00BF4AB8">
        <w:rPr>
          <w:b/>
          <w:bCs/>
          <w:snapToGrid w:val="0"/>
          <w:sz w:val="22"/>
          <w:szCs w:val="26"/>
          <w:lang w:eastAsia="x-none"/>
        </w:rPr>
        <w:tab/>
        <w:t xml:space="preserve">Kaip vartoti </w:t>
      </w:r>
      <w:proofErr w:type="spellStart"/>
      <w:r w:rsidR="00C710D9" w:rsidRPr="00BF4AB8">
        <w:rPr>
          <w:b/>
          <w:bCs/>
          <w:snapToGrid w:val="0"/>
          <w:sz w:val="22"/>
          <w:szCs w:val="26"/>
          <w:lang w:eastAsia="x-none"/>
        </w:rPr>
        <w:t>Nytyka</w:t>
      </w:r>
      <w:proofErr w:type="spellEnd"/>
    </w:p>
    <w:p w14:paraId="4A86207C" w14:textId="77777777" w:rsidR="005D554B" w:rsidRPr="00BF4AB8" w:rsidRDefault="005D554B" w:rsidP="005D554B">
      <w:pPr>
        <w:numPr>
          <w:ilvl w:val="12"/>
          <w:numId w:val="0"/>
        </w:numPr>
        <w:ind w:right="-2"/>
        <w:rPr>
          <w:snapToGrid w:val="0"/>
          <w:sz w:val="22"/>
          <w:szCs w:val="24"/>
        </w:rPr>
      </w:pPr>
    </w:p>
    <w:p w14:paraId="16990872" w14:textId="433A77CF" w:rsidR="005D554B" w:rsidRPr="00BF4AB8" w:rsidRDefault="005D554B" w:rsidP="005D554B">
      <w:pPr>
        <w:ind w:right="-2"/>
        <w:rPr>
          <w:snapToGrid w:val="0"/>
          <w:sz w:val="22"/>
        </w:rPr>
      </w:pPr>
      <w:r w:rsidRPr="00BF4AB8">
        <w:rPr>
          <w:snapToGrid w:val="0"/>
          <w:sz w:val="22"/>
        </w:rPr>
        <w:t>Visada vartokite šį vaistą tiksliai, kaip nurodė gydytojas arba vaistininkas. Jeigu abejojate, kreipkitės į gydytoją</w:t>
      </w:r>
      <w:r w:rsidR="00C45C71" w:rsidRPr="00BF4AB8">
        <w:rPr>
          <w:snapToGrid w:val="0"/>
          <w:sz w:val="22"/>
        </w:rPr>
        <w:t xml:space="preserve"> </w:t>
      </w:r>
      <w:r w:rsidRPr="00BF4AB8">
        <w:rPr>
          <w:snapToGrid w:val="0"/>
          <w:sz w:val="22"/>
        </w:rPr>
        <w:t>arba</w:t>
      </w:r>
      <w:r w:rsidR="00C45C71" w:rsidRPr="00BF4AB8">
        <w:rPr>
          <w:snapToGrid w:val="0"/>
          <w:sz w:val="22"/>
        </w:rPr>
        <w:t xml:space="preserve"> </w:t>
      </w:r>
      <w:r w:rsidRPr="00BF4AB8">
        <w:rPr>
          <w:snapToGrid w:val="0"/>
          <w:sz w:val="22"/>
        </w:rPr>
        <w:t>vaistininką</w:t>
      </w:r>
      <w:r w:rsidR="00C45C71" w:rsidRPr="00BF4AB8">
        <w:rPr>
          <w:snapToGrid w:val="0"/>
          <w:sz w:val="22"/>
        </w:rPr>
        <w:t>.</w:t>
      </w:r>
    </w:p>
    <w:p w14:paraId="07E5B743" w14:textId="77777777" w:rsidR="005D554B" w:rsidRPr="00BF4AB8" w:rsidRDefault="005D554B" w:rsidP="005D554B">
      <w:pPr>
        <w:numPr>
          <w:ilvl w:val="12"/>
          <w:numId w:val="0"/>
        </w:numPr>
        <w:ind w:right="-2"/>
        <w:rPr>
          <w:snapToGrid w:val="0"/>
          <w:sz w:val="22"/>
          <w:szCs w:val="24"/>
        </w:rPr>
      </w:pPr>
    </w:p>
    <w:p w14:paraId="517F470D" w14:textId="553C8088" w:rsidR="001E5216" w:rsidRPr="00BF4AB8" w:rsidRDefault="001E5216" w:rsidP="001E5216">
      <w:pPr>
        <w:numPr>
          <w:ilvl w:val="12"/>
          <w:numId w:val="0"/>
        </w:numPr>
        <w:ind w:right="-2"/>
        <w:rPr>
          <w:snapToGrid w:val="0"/>
          <w:sz w:val="22"/>
          <w:szCs w:val="24"/>
        </w:rPr>
      </w:pPr>
      <w:r w:rsidRPr="00BF4AB8">
        <w:rPr>
          <w:snapToGrid w:val="0"/>
          <w:sz w:val="22"/>
          <w:szCs w:val="24"/>
        </w:rPr>
        <w:t xml:space="preserve">Nevartokite </w:t>
      </w:r>
      <w:proofErr w:type="spellStart"/>
      <w:r w:rsidR="00C45C71" w:rsidRPr="00BF4AB8">
        <w:rPr>
          <w:snapToGrid w:val="0"/>
          <w:sz w:val="22"/>
          <w:szCs w:val="24"/>
        </w:rPr>
        <w:t>Nytyka</w:t>
      </w:r>
      <w:proofErr w:type="spellEnd"/>
      <w:r w:rsidRPr="00BF4AB8">
        <w:rPr>
          <w:snapToGrid w:val="0"/>
          <w:sz w:val="22"/>
          <w:szCs w:val="24"/>
        </w:rPr>
        <w:t xml:space="preserve"> tą dieną, kurią Jums taikoma chemoterapija </w:t>
      </w:r>
      <w:proofErr w:type="spellStart"/>
      <w:r w:rsidRPr="00BF4AB8">
        <w:rPr>
          <w:snapToGrid w:val="0"/>
          <w:sz w:val="22"/>
          <w:szCs w:val="24"/>
        </w:rPr>
        <w:t>docetakseliu</w:t>
      </w:r>
      <w:proofErr w:type="spellEnd"/>
      <w:r w:rsidRPr="00BF4AB8">
        <w:rPr>
          <w:snapToGrid w:val="0"/>
          <w:sz w:val="22"/>
          <w:szCs w:val="24"/>
        </w:rPr>
        <w:t>.</w:t>
      </w:r>
    </w:p>
    <w:p w14:paraId="7E5255E1" w14:textId="77777777" w:rsidR="00C45C71" w:rsidRPr="00BF4AB8" w:rsidRDefault="00C45C71" w:rsidP="001E5216">
      <w:pPr>
        <w:numPr>
          <w:ilvl w:val="12"/>
          <w:numId w:val="0"/>
        </w:numPr>
        <w:ind w:right="-2"/>
        <w:rPr>
          <w:snapToGrid w:val="0"/>
          <w:sz w:val="22"/>
          <w:szCs w:val="24"/>
        </w:rPr>
      </w:pPr>
    </w:p>
    <w:p w14:paraId="1191250E" w14:textId="21EC5854" w:rsidR="001E5216" w:rsidRPr="00BF4AB8" w:rsidRDefault="00C45C71" w:rsidP="001E5216">
      <w:pPr>
        <w:numPr>
          <w:ilvl w:val="12"/>
          <w:numId w:val="0"/>
        </w:numPr>
        <w:ind w:right="-2"/>
        <w:rPr>
          <w:snapToGrid w:val="0"/>
          <w:sz w:val="22"/>
          <w:szCs w:val="24"/>
        </w:rPr>
      </w:pPr>
      <w:r w:rsidRPr="00BF4AB8">
        <w:rPr>
          <w:snapToGrid w:val="0"/>
          <w:sz w:val="22"/>
          <w:szCs w:val="24"/>
        </w:rPr>
        <w:t>Kapsules n</w:t>
      </w:r>
      <w:r w:rsidR="001E5216" w:rsidRPr="00BF4AB8">
        <w:rPr>
          <w:snapToGrid w:val="0"/>
          <w:sz w:val="22"/>
          <w:szCs w:val="24"/>
        </w:rPr>
        <w:t xml:space="preserve">urykite </w:t>
      </w:r>
      <w:r w:rsidRPr="00BF4AB8">
        <w:rPr>
          <w:snapToGrid w:val="0"/>
          <w:sz w:val="22"/>
          <w:szCs w:val="24"/>
        </w:rPr>
        <w:t>sveikas</w:t>
      </w:r>
      <w:r w:rsidR="001E5216" w:rsidRPr="00BF4AB8">
        <w:rPr>
          <w:snapToGrid w:val="0"/>
          <w:sz w:val="22"/>
          <w:szCs w:val="24"/>
        </w:rPr>
        <w:t xml:space="preserve"> užsigerdami vandeniu</w:t>
      </w:r>
      <w:r w:rsidRPr="00BF4AB8">
        <w:rPr>
          <w:snapToGrid w:val="0"/>
          <w:sz w:val="22"/>
          <w:szCs w:val="24"/>
        </w:rPr>
        <w:t xml:space="preserve"> ir jų nekramtydami</w:t>
      </w:r>
      <w:r w:rsidR="001E5216" w:rsidRPr="00BF4AB8">
        <w:rPr>
          <w:snapToGrid w:val="0"/>
          <w:sz w:val="22"/>
          <w:szCs w:val="24"/>
        </w:rPr>
        <w:t>. Rekomenduojama kapsules</w:t>
      </w:r>
      <w:r w:rsidRPr="00BF4AB8">
        <w:rPr>
          <w:snapToGrid w:val="0"/>
          <w:sz w:val="22"/>
          <w:szCs w:val="24"/>
        </w:rPr>
        <w:t xml:space="preserve"> </w:t>
      </w:r>
      <w:r w:rsidR="001E5216" w:rsidRPr="00BF4AB8">
        <w:rPr>
          <w:snapToGrid w:val="0"/>
          <w:sz w:val="22"/>
          <w:szCs w:val="24"/>
        </w:rPr>
        <w:t>gerti su maistu, t. y. valg</w:t>
      </w:r>
      <w:r w:rsidRPr="00BF4AB8">
        <w:rPr>
          <w:snapToGrid w:val="0"/>
          <w:sz w:val="22"/>
          <w:szCs w:val="24"/>
        </w:rPr>
        <w:t>io metu, prieš pat valgį ar tuoj po jo</w:t>
      </w:r>
      <w:r w:rsidR="001E5216" w:rsidRPr="00BF4AB8">
        <w:rPr>
          <w:snapToGrid w:val="0"/>
          <w:sz w:val="22"/>
          <w:szCs w:val="24"/>
        </w:rPr>
        <w:t>.</w:t>
      </w:r>
    </w:p>
    <w:p w14:paraId="369FF466" w14:textId="77777777" w:rsidR="001E5216" w:rsidRPr="00BF4AB8" w:rsidRDefault="001E5216" w:rsidP="001E5216">
      <w:pPr>
        <w:numPr>
          <w:ilvl w:val="12"/>
          <w:numId w:val="0"/>
        </w:numPr>
        <w:ind w:right="-2"/>
        <w:rPr>
          <w:snapToGrid w:val="0"/>
          <w:sz w:val="22"/>
          <w:szCs w:val="24"/>
        </w:rPr>
      </w:pPr>
      <w:r w:rsidRPr="00BF4AB8">
        <w:rPr>
          <w:snapToGrid w:val="0"/>
          <w:sz w:val="22"/>
          <w:szCs w:val="24"/>
        </w:rPr>
        <w:t>Kapsulės neatidarykite ir netraiškykite (žr. 5</w:t>
      </w:r>
      <w:r w:rsidR="00C45C71" w:rsidRPr="00BF4AB8">
        <w:rPr>
          <w:snapToGrid w:val="0"/>
          <w:sz w:val="22"/>
          <w:szCs w:val="24"/>
        </w:rPr>
        <w:t> </w:t>
      </w:r>
      <w:r w:rsidRPr="00BF4AB8">
        <w:rPr>
          <w:snapToGrid w:val="0"/>
          <w:sz w:val="22"/>
          <w:szCs w:val="24"/>
        </w:rPr>
        <w:t>skyrių).</w:t>
      </w:r>
    </w:p>
    <w:p w14:paraId="38BA2231" w14:textId="77777777" w:rsidR="00C45C71" w:rsidRPr="00BF4AB8" w:rsidRDefault="00C45C71" w:rsidP="001E5216">
      <w:pPr>
        <w:numPr>
          <w:ilvl w:val="12"/>
          <w:numId w:val="0"/>
        </w:numPr>
        <w:ind w:right="-2"/>
        <w:rPr>
          <w:snapToGrid w:val="0"/>
          <w:sz w:val="22"/>
          <w:szCs w:val="24"/>
        </w:rPr>
      </w:pPr>
    </w:p>
    <w:p w14:paraId="2ED55D36" w14:textId="37ED9D91" w:rsidR="001E5216" w:rsidRPr="00BF4AB8" w:rsidRDefault="001E5216" w:rsidP="001E5216">
      <w:pPr>
        <w:numPr>
          <w:ilvl w:val="12"/>
          <w:numId w:val="0"/>
        </w:numPr>
        <w:ind w:right="-2"/>
        <w:rPr>
          <w:snapToGrid w:val="0"/>
          <w:sz w:val="22"/>
          <w:szCs w:val="24"/>
        </w:rPr>
      </w:pPr>
      <w:r w:rsidRPr="00BF4AB8">
        <w:rPr>
          <w:snapToGrid w:val="0"/>
          <w:sz w:val="22"/>
          <w:szCs w:val="24"/>
        </w:rPr>
        <w:t>Rekomenduojama dozė yra keturios kapsulės per parą (</w:t>
      </w:r>
      <w:r w:rsidR="00C45C71" w:rsidRPr="00BF4AB8">
        <w:rPr>
          <w:snapToGrid w:val="0"/>
          <w:sz w:val="22"/>
          <w:szCs w:val="24"/>
        </w:rPr>
        <w:t>bendra paros dozė yra</w:t>
      </w:r>
      <w:r w:rsidRPr="00BF4AB8">
        <w:rPr>
          <w:snapToGrid w:val="0"/>
          <w:sz w:val="22"/>
          <w:szCs w:val="24"/>
        </w:rPr>
        <w:t xml:space="preserve"> 400</w:t>
      </w:r>
      <w:r w:rsidR="00C45C71" w:rsidRPr="00BF4AB8">
        <w:rPr>
          <w:snapToGrid w:val="0"/>
          <w:sz w:val="22"/>
          <w:szCs w:val="24"/>
        </w:rPr>
        <w:t> </w:t>
      </w:r>
      <w:r w:rsidRPr="00BF4AB8">
        <w:rPr>
          <w:snapToGrid w:val="0"/>
          <w:sz w:val="22"/>
          <w:szCs w:val="24"/>
        </w:rPr>
        <w:t xml:space="preserve">mg </w:t>
      </w:r>
      <w:proofErr w:type="spellStart"/>
      <w:r w:rsidRPr="00BF4AB8">
        <w:rPr>
          <w:snapToGrid w:val="0"/>
          <w:sz w:val="22"/>
          <w:szCs w:val="24"/>
        </w:rPr>
        <w:t>nintedanibo</w:t>
      </w:r>
      <w:proofErr w:type="spellEnd"/>
      <w:r w:rsidRPr="00BF4AB8">
        <w:rPr>
          <w:snapToGrid w:val="0"/>
          <w:sz w:val="22"/>
          <w:szCs w:val="24"/>
        </w:rPr>
        <w:t>).</w:t>
      </w:r>
      <w:r w:rsidR="00C45C71" w:rsidRPr="00BF4AB8">
        <w:rPr>
          <w:snapToGrid w:val="0"/>
          <w:sz w:val="22"/>
          <w:szCs w:val="24"/>
        </w:rPr>
        <w:t xml:space="preserve"> </w:t>
      </w:r>
      <w:r w:rsidRPr="00BF4AB8">
        <w:rPr>
          <w:snapToGrid w:val="0"/>
          <w:sz w:val="22"/>
          <w:szCs w:val="24"/>
        </w:rPr>
        <w:t xml:space="preserve">Nevartokite </w:t>
      </w:r>
      <w:r w:rsidR="00C45C71" w:rsidRPr="00BF4AB8">
        <w:rPr>
          <w:snapToGrid w:val="0"/>
          <w:sz w:val="22"/>
          <w:szCs w:val="24"/>
        </w:rPr>
        <w:t>didesnės dozės nei nurodyta</w:t>
      </w:r>
      <w:r w:rsidRPr="00BF4AB8">
        <w:rPr>
          <w:snapToGrid w:val="0"/>
          <w:sz w:val="22"/>
          <w:szCs w:val="24"/>
        </w:rPr>
        <w:t>.</w:t>
      </w:r>
    </w:p>
    <w:p w14:paraId="4A65B2F7" w14:textId="759DD0CA" w:rsidR="00C45C71" w:rsidRPr="00BF4AB8" w:rsidRDefault="00C45C71" w:rsidP="001E5216">
      <w:pPr>
        <w:numPr>
          <w:ilvl w:val="12"/>
          <w:numId w:val="0"/>
        </w:numPr>
        <w:ind w:right="-2"/>
        <w:rPr>
          <w:snapToGrid w:val="0"/>
          <w:sz w:val="22"/>
          <w:szCs w:val="24"/>
        </w:rPr>
      </w:pPr>
    </w:p>
    <w:p w14:paraId="316FC732" w14:textId="77777777" w:rsidR="001E5216" w:rsidRPr="00BF4AB8" w:rsidRDefault="00C45C71" w:rsidP="001E5216">
      <w:pPr>
        <w:numPr>
          <w:ilvl w:val="12"/>
          <w:numId w:val="0"/>
        </w:numPr>
        <w:ind w:right="-2"/>
        <w:rPr>
          <w:snapToGrid w:val="0"/>
          <w:sz w:val="22"/>
          <w:szCs w:val="24"/>
        </w:rPr>
      </w:pPr>
      <w:r w:rsidRPr="00BF4AB8">
        <w:rPr>
          <w:snapToGrid w:val="0"/>
          <w:sz w:val="22"/>
          <w:szCs w:val="24"/>
        </w:rPr>
        <w:t xml:space="preserve">Paros dozę reikia padalyti į dvi dalis ir gerti </w:t>
      </w:r>
      <w:r w:rsidR="001E5216" w:rsidRPr="00BF4AB8">
        <w:rPr>
          <w:snapToGrid w:val="0"/>
          <w:sz w:val="22"/>
          <w:szCs w:val="24"/>
        </w:rPr>
        <w:t xml:space="preserve">po dvi kapsules maždaug </w:t>
      </w:r>
      <w:r w:rsidRPr="00BF4AB8">
        <w:rPr>
          <w:snapToGrid w:val="0"/>
          <w:sz w:val="22"/>
          <w:szCs w:val="24"/>
        </w:rPr>
        <w:t xml:space="preserve">kas </w:t>
      </w:r>
      <w:r w:rsidR="001E5216" w:rsidRPr="00BF4AB8">
        <w:rPr>
          <w:snapToGrid w:val="0"/>
          <w:sz w:val="22"/>
          <w:szCs w:val="24"/>
        </w:rPr>
        <w:t>12</w:t>
      </w:r>
      <w:r w:rsidRPr="00BF4AB8">
        <w:rPr>
          <w:snapToGrid w:val="0"/>
          <w:sz w:val="22"/>
          <w:szCs w:val="24"/>
        </w:rPr>
        <w:t> </w:t>
      </w:r>
      <w:r w:rsidR="001E5216" w:rsidRPr="00BF4AB8">
        <w:rPr>
          <w:snapToGrid w:val="0"/>
          <w:sz w:val="22"/>
          <w:szCs w:val="24"/>
        </w:rPr>
        <w:t>valandų,</w:t>
      </w:r>
      <w:r w:rsidRPr="00BF4AB8">
        <w:rPr>
          <w:snapToGrid w:val="0"/>
          <w:sz w:val="22"/>
          <w:szCs w:val="24"/>
        </w:rPr>
        <w:t xml:space="preserve"> </w:t>
      </w:r>
      <w:r w:rsidR="001E5216" w:rsidRPr="00BF4AB8">
        <w:rPr>
          <w:snapToGrid w:val="0"/>
          <w:sz w:val="22"/>
          <w:szCs w:val="24"/>
        </w:rPr>
        <w:t>pavyzdžiui, dvi kapsules ryte ir dvi kapsules vakare. Šias dvi dozes reikia išgerti kiekvieną</w:t>
      </w:r>
      <w:r w:rsidRPr="00BF4AB8">
        <w:rPr>
          <w:snapToGrid w:val="0"/>
          <w:sz w:val="22"/>
          <w:szCs w:val="24"/>
        </w:rPr>
        <w:t xml:space="preserve"> </w:t>
      </w:r>
      <w:r w:rsidR="00237008" w:rsidRPr="00BF4AB8">
        <w:rPr>
          <w:snapToGrid w:val="0"/>
          <w:sz w:val="22"/>
          <w:szCs w:val="24"/>
        </w:rPr>
        <w:t>d</w:t>
      </w:r>
      <w:r w:rsidR="001E5216" w:rsidRPr="00BF4AB8">
        <w:rPr>
          <w:snapToGrid w:val="0"/>
          <w:sz w:val="22"/>
          <w:szCs w:val="24"/>
        </w:rPr>
        <w:t xml:space="preserve">ieną maždaug tokiu pačiu laiku. Taip vartojant vaistą bus užtikrintas </w:t>
      </w:r>
      <w:r w:rsidRPr="00BF4AB8">
        <w:rPr>
          <w:snapToGrid w:val="0"/>
          <w:sz w:val="22"/>
          <w:szCs w:val="24"/>
        </w:rPr>
        <w:t>stabilus</w:t>
      </w:r>
      <w:r w:rsidR="001E5216" w:rsidRPr="00BF4AB8">
        <w:rPr>
          <w:snapToGrid w:val="0"/>
          <w:sz w:val="22"/>
          <w:szCs w:val="24"/>
        </w:rPr>
        <w:t xml:space="preserve"> </w:t>
      </w:r>
      <w:proofErr w:type="spellStart"/>
      <w:r w:rsidR="001E5216" w:rsidRPr="00BF4AB8">
        <w:rPr>
          <w:snapToGrid w:val="0"/>
          <w:sz w:val="22"/>
          <w:szCs w:val="24"/>
        </w:rPr>
        <w:t>nintedanibo</w:t>
      </w:r>
      <w:proofErr w:type="spellEnd"/>
      <w:r w:rsidR="001E5216" w:rsidRPr="00BF4AB8">
        <w:rPr>
          <w:snapToGrid w:val="0"/>
          <w:sz w:val="22"/>
          <w:szCs w:val="24"/>
        </w:rPr>
        <w:t xml:space="preserve"> kiekis</w:t>
      </w:r>
      <w:r w:rsidRPr="00BF4AB8">
        <w:rPr>
          <w:snapToGrid w:val="0"/>
          <w:sz w:val="22"/>
          <w:szCs w:val="24"/>
        </w:rPr>
        <w:t xml:space="preserve"> </w:t>
      </w:r>
      <w:r w:rsidR="001E5216" w:rsidRPr="00BF4AB8">
        <w:rPr>
          <w:snapToGrid w:val="0"/>
          <w:sz w:val="22"/>
          <w:szCs w:val="24"/>
        </w:rPr>
        <w:t>organizme.</w:t>
      </w:r>
    </w:p>
    <w:p w14:paraId="3AECDF86" w14:textId="77777777" w:rsidR="00C45C71" w:rsidRPr="00BF4AB8" w:rsidRDefault="00C45C71" w:rsidP="001E5216">
      <w:pPr>
        <w:numPr>
          <w:ilvl w:val="12"/>
          <w:numId w:val="0"/>
        </w:numPr>
        <w:ind w:right="-2"/>
        <w:rPr>
          <w:snapToGrid w:val="0"/>
          <w:sz w:val="22"/>
          <w:szCs w:val="24"/>
        </w:rPr>
      </w:pPr>
    </w:p>
    <w:p w14:paraId="28399059" w14:textId="77777777" w:rsidR="001E5216" w:rsidRPr="00BF4AB8" w:rsidRDefault="001E5216" w:rsidP="001E5216">
      <w:pPr>
        <w:numPr>
          <w:ilvl w:val="12"/>
          <w:numId w:val="0"/>
        </w:numPr>
        <w:ind w:right="-2"/>
        <w:rPr>
          <w:b/>
          <w:bCs/>
          <w:snapToGrid w:val="0"/>
          <w:sz w:val="22"/>
          <w:szCs w:val="24"/>
        </w:rPr>
      </w:pPr>
      <w:r w:rsidRPr="00BF4AB8">
        <w:rPr>
          <w:b/>
          <w:bCs/>
          <w:snapToGrid w:val="0"/>
          <w:sz w:val="22"/>
          <w:szCs w:val="24"/>
        </w:rPr>
        <w:t>Dozės sumažinimas</w:t>
      </w:r>
    </w:p>
    <w:p w14:paraId="2D25F6AC" w14:textId="1E737C8B" w:rsidR="001E5216" w:rsidRPr="00BF4AB8" w:rsidRDefault="001E5216" w:rsidP="001E5216">
      <w:pPr>
        <w:numPr>
          <w:ilvl w:val="12"/>
          <w:numId w:val="0"/>
        </w:numPr>
        <w:ind w:right="-2"/>
        <w:rPr>
          <w:snapToGrid w:val="0"/>
          <w:sz w:val="22"/>
          <w:szCs w:val="24"/>
        </w:rPr>
      </w:pPr>
      <w:r w:rsidRPr="00BF4AB8">
        <w:rPr>
          <w:snapToGrid w:val="0"/>
          <w:sz w:val="22"/>
          <w:szCs w:val="24"/>
        </w:rPr>
        <w:t>Jeigu rekomenduojamos 400</w:t>
      </w:r>
      <w:r w:rsidR="00237008" w:rsidRPr="00BF4AB8">
        <w:rPr>
          <w:snapToGrid w:val="0"/>
          <w:sz w:val="22"/>
          <w:szCs w:val="24"/>
        </w:rPr>
        <w:t> </w:t>
      </w:r>
      <w:r w:rsidRPr="00BF4AB8">
        <w:rPr>
          <w:snapToGrid w:val="0"/>
          <w:sz w:val="22"/>
          <w:szCs w:val="24"/>
        </w:rPr>
        <w:t>mg par</w:t>
      </w:r>
      <w:r w:rsidR="00237008" w:rsidRPr="00BF4AB8">
        <w:rPr>
          <w:snapToGrid w:val="0"/>
          <w:sz w:val="22"/>
          <w:szCs w:val="24"/>
        </w:rPr>
        <w:t>os</w:t>
      </w:r>
      <w:r w:rsidRPr="00BF4AB8">
        <w:rPr>
          <w:snapToGrid w:val="0"/>
          <w:sz w:val="22"/>
          <w:szCs w:val="24"/>
        </w:rPr>
        <w:t xml:space="preserve"> dozės </w:t>
      </w:r>
      <w:r w:rsidR="00237008" w:rsidRPr="00BF4AB8">
        <w:rPr>
          <w:snapToGrid w:val="0"/>
          <w:sz w:val="22"/>
          <w:szCs w:val="24"/>
        </w:rPr>
        <w:t xml:space="preserve">netoleruojate </w:t>
      </w:r>
      <w:r w:rsidRPr="00BF4AB8">
        <w:rPr>
          <w:snapToGrid w:val="0"/>
          <w:sz w:val="22"/>
          <w:szCs w:val="24"/>
        </w:rPr>
        <w:t>dėl šalutinio poveikio (žr. 4</w:t>
      </w:r>
      <w:r w:rsidR="00237008" w:rsidRPr="00BF4AB8">
        <w:rPr>
          <w:snapToGrid w:val="0"/>
          <w:sz w:val="22"/>
          <w:szCs w:val="24"/>
        </w:rPr>
        <w:t> </w:t>
      </w:r>
      <w:r w:rsidRPr="00BF4AB8">
        <w:rPr>
          <w:snapToGrid w:val="0"/>
          <w:sz w:val="22"/>
          <w:szCs w:val="24"/>
        </w:rPr>
        <w:t>skyrių),</w:t>
      </w:r>
      <w:r w:rsidR="00237008" w:rsidRPr="00BF4AB8">
        <w:rPr>
          <w:snapToGrid w:val="0"/>
          <w:sz w:val="22"/>
          <w:szCs w:val="24"/>
        </w:rPr>
        <w:t xml:space="preserve"> </w:t>
      </w:r>
      <w:r w:rsidRPr="00BF4AB8">
        <w:rPr>
          <w:snapToGrid w:val="0"/>
          <w:sz w:val="22"/>
          <w:szCs w:val="24"/>
        </w:rPr>
        <w:t xml:space="preserve">gydytojas gali sumažinti </w:t>
      </w:r>
      <w:r w:rsidR="00237008" w:rsidRPr="00BF4AB8">
        <w:rPr>
          <w:snapToGrid w:val="0"/>
          <w:sz w:val="22"/>
          <w:szCs w:val="24"/>
        </w:rPr>
        <w:t>šio vaisto</w:t>
      </w:r>
      <w:r w:rsidRPr="00BF4AB8">
        <w:rPr>
          <w:snapToGrid w:val="0"/>
          <w:sz w:val="22"/>
          <w:szCs w:val="24"/>
        </w:rPr>
        <w:t xml:space="preserve"> paros dozę. Patys nemažinkite dozės ir </w:t>
      </w:r>
      <w:r w:rsidR="00237008" w:rsidRPr="00BF4AB8">
        <w:rPr>
          <w:snapToGrid w:val="0"/>
          <w:sz w:val="22"/>
          <w:szCs w:val="24"/>
        </w:rPr>
        <w:t>nestabdykite</w:t>
      </w:r>
      <w:r w:rsidRPr="00BF4AB8">
        <w:rPr>
          <w:snapToGrid w:val="0"/>
          <w:sz w:val="22"/>
          <w:szCs w:val="24"/>
        </w:rPr>
        <w:t xml:space="preserve"> gydymo</w:t>
      </w:r>
      <w:r w:rsidR="00237008" w:rsidRPr="00BF4AB8">
        <w:rPr>
          <w:snapToGrid w:val="0"/>
          <w:sz w:val="22"/>
          <w:szCs w:val="24"/>
        </w:rPr>
        <w:t xml:space="preserve"> prieš tai </w:t>
      </w:r>
      <w:r w:rsidRPr="00BF4AB8">
        <w:rPr>
          <w:snapToGrid w:val="0"/>
          <w:sz w:val="22"/>
          <w:szCs w:val="24"/>
        </w:rPr>
        <w:t>nepasitarę su gydytoju.</w:t>
      </w:r>
    </w:p>
    <w:p w14:paraId="5500D8D0" w14:textId="77777777" w:rsidR="00237008" w:rsidRPr="00BF4AB8" w:rsidRDefault="00237008" w:rsidP="001E5216">
      <w:pPr>
        <w:numPr>
          <w:ilvl w:val="12"/>
          <w:numId w:val="0"/>
        </w:numPr>
        <w:ind w:right="-2"/>
        <w:rPr>
          <w:snapToGrid w:val="0"/>
          <w:sz w:val="22"/>
          <w:szCs w:val="24"/>
        </w:rPr>
      </w:pPr>
    </w:p>
    <w:p w14:paraId="43636F3D" w14:textId="77777777" w:rsidR="001E5216" w:rsidRPr="00BF4AB8" w:rsidRDefault="001E5216" w:rsidP="001E5216">
      <w:pPr>
        <w:numPr>
          <w:ilvl w:val="12"/>
          <w:numId w:val="0"/>
        </w:numPr>
        <w:ind w:right="-2"/>
        <w:rPr>
          <w:snapToGrid w:val="0"/>
          <w:sz w:val="22"/>
          <w:szCs w:val="24"/>
        </w:rPr>
      </w:pPr>
      <w:r w:rsidRPr="00BF4AB8">
        <w:rPr>
          <w:snapToGrid w:val="0"/>
          <w:sz w:val="22"/>
          <w:szCs w:val="24"/>
        </w:rPr>
        <w:t xml:space="preserve">Jūsų gydytojas gali sumažinti </w:t>
      </w:r>
      <w:r w:rsidR="00237008" w:rsidRPr="00BF4AB8">
        <w:rPr>
          <w:snapToGrid w:val="0"/>
          <w:sz w:val="22"/>
          <w:szCs w:val="24"/>
        </w:rPr>
        <w:t xml:space="preserve">Jums </w:t>
      </w:r>
      <w:r w:rsidRPr="00BF4AB8">
        <w:rPr>
          <w:snapToGrid w:val="0"/>
          <w:sz w:val="22"/>
          <w:szCs w:val="24"/>
        </w:rPr>
        <w:t>rekomenduotą dozę iki 300</w:t>
      </w:r>
      <w:r w:rsidR="00237008" w:rsidRPr="00BF4AB8">
        <w:rPr>
          <w:snapToGrid w:val="0"/>
          <w:sz w:val="22"/>
          <w:szCs w:val="24"/>
        </w:rPr>
        <w:t> </w:t>
      </w:r>
      <w:r w:rsidRPr="00BF4AB8">
        <w:rPr>
          <w:snapToGrid w:val="0"/>
          <w:sz w:val="22"/>
          <w:szCs w:val="24"/>
        </w:rPr>
        <w:t>mg per parą (dvi kapsulės po 150</w:t>
      </w:r>
      <w:r w:rsidR="00237008" w:rsidRPr="00BF4AB8">
        <w:rPr>
          <w:snapToGrid w:val="0"/>
          <w:sz w:val="22"/>
          <w:szCs w:val="24"/>
        </w:rPr>
        <w:t> </w:t>
      </w:r>
      <w:r w:rsidRPr="00BF4AB8">
        <w:rPr>
          <w:snapToGrid w:val="0"/>
          <w:sz w:val="22"/>
          <w:szCs w:val="24"/>
        </w:rPr>
        <w:t>mg).</w:t>
      </w:r>
      <w:r w:rsidR="00237008" w:rsidRPr="00BF4AB8">
        <w:rPr>
          <w:snapToGrid w:val="0"/>
          <w:sz w:val="22"/>
          <w:szCs w:val="24"/>
        </w:rPr>
        <w:t xml:space="preserve"> </w:t>
      </w:r>
      <w:r w:rsidRPr="00BF4AB8">
        <w:rPr>
          <w:snapToGrid w:val="0"/>
          <w:sz w:val="22"/>
          <w:szCs w:val="24"/>
        </w:rPr>
        <w:t xml:space="preserve">Tokiu atveju gydytojas Jums gydyti išrašys </w:t>
      </w:r>
      <w:proofErr w:type="spellStart"/>
      <w:r w:rsidR="00237008" w:rsidRPr="00BF4AB8">
        <w:rPr>
          <w:snapToGrid w:val="0"/>
          <w:sz w:val="22"/>
          <w:szCs w:val="24"/>
        </w:rPr>
        <w:t>nintedanibo</w:t>
      </w:r>
      <w:proofErr w:type="spellEnd"/>
      <w:r w:rsidR="00237008" w:rsidRPr="00BF4AB8">
        <w:rPr>
          <w:snapToGrid w:val="0"/>
          <w:sz w:val="22"/>
          <w:szCs w:val="24"/>
        </w:rPr>
        <w:t xml:space="preserve"> </w:t>
      </w:r>
      <w:r w:rsidRPr="00BF4AB8">
        <w:rPr>
          <w:snapToGrid w:val="0"/>
          <w:sz w:val="22"/>
          <w:szCs w:val="24"/>
        </w:rPr>
        <w:t>150</w:t>
      </w:r>
      <w:r w:rsidR="00237008" w:rsidRPr="00BF4AB8">
        <w:rPr>
          <w:snapToGrid w:val="0"/>
          <w:sz w:val="22"/>
          <w:szCs w:val="24"/>
        </w:rPr>
        <w:t> </w:t>
      </w:r>
      <w:r w:rsidRPr="00BF4AB8">
        <w:rPr>
          <w:snapToGrid w:val="0"/>
          <w:sz w:val="22"/>
          <w:szCs w:val="24"/>
        </w:rPr>
        <w:t>mg minkštųjų kapsulių.</w:t>
      </w:r>
    </w:p>
    <w:p w14:paraId="58AF46E2" w14:textId="77777777" w:rsidR="00237008" w:rsidRPr="00BF4AB8" w:rsidRDefault="00237008" w:rsidP="001E5216">
      <w:pPr>
        <w:numPr>
          <w:ilvl w:val="12"/>
          <w:numId w:val="0"/>
        </w:numPr>
        <w:ind w:right="-2"/>
        <w:rPr>
          <w:snapToGrid w:val="0"/>
          <w:sz w:val="22"/>
          <w:szCs w:val="24"/>
        </w:rPr>
      </w:pPr>
    </w:p>
    <w:p w14:paraId="5B13F86A" w14:textId="285CD0C7" w:rsidR="001E5216" w:rsidRPr="00BF4AB8" w:rsidRDefault="001E5216" w:rsidP="001E5216">
      <w:pPr>
        <w:numPr>
          <w:ilvl w:val="12"/>
          <w:numId w:val="0"/>
        </w:numPr>
        <w:ind w:right="-2"/>
        <w:rPr>
          <w:snapToGrid w:val="0"/>
          <w:sz w:val="22"/>
          <w:szCs w:val="24"/>
        </w:rPr>
      </w:pPr>
      <w:r w:rsidRPr="00BF4AB8">
        <w:rPr>
          <w:snapToGrid w:val="0"/>
          <w:sz w:val="22"/>
          <w:szCs w:val="24"/>
        </w:rPr>
        <w:t>Jei reikia, Jūsų gydytojas gali sumažinti Jums rekomenduotą dozę iki 200</w:t>
      </w:r>
      <w:r w:rsidR="00237008" w:rsidRPr="00BF4AB8">
        <w:rPr>
          <w:snapToGrid w:val="0"/>
          <w:sz w:val="22"/>
          <w:szCs w:val="24"/>
        </w:rPr>
        <w:t> </w:t>
      </w:r>
      <w:r w:rsidRPr="00BF4AB8">
        <w:rPr>
          <w:snapToGrid w:val="0"/>
          <w:sz w:val="22"/>
          <w:szCs w:val="24"/>
        </w:rPr>
        <w:t>mg per parą (dvi kapsulės</w:t>
      </w:r>
      <w:r w:rsidR="00237008" w:rsidRPr="00BF4AB8">
        <w:rPr>
          <w:snapToGrid w:val="0"/>
          <w:sz w:val="22"/>
          <w:szCs w:val="24"/>
        </w:rPr>
        <w:t xml:space="preserve"> </w:t>
      </w:r>
      <w:r w:rsidRPr="00BF4AB8">
        <w:rPr>
          <w:snapToGrid w:val="0"/>
          <w:sz w:val="22"/>
          <w:szCs w:val="24"/>
        </w:rPr>
        <w:t>po 100</w:t>
      </w:r>
      <w:r w:rsidR="00237008" w:rsidRPr="00BF4AB8">
        <w:rPr>
          <w:snapToGrid w:val="0"/>
          <w:sz w:val="22"/>
          <w:szCs w:val="24"/>
        </w:rPr>
        <w:t> </w:t>
      </w:r>
      <w:r w:rsidRPr="00BF4AB8">
        <w:rPr>
          <w:snapToGrid w:val="0"/>
          <w:sz w:val="22"/>
          <w:szCs w:val="24"/>
        </w:rPr>
        <w:t xml:space="preserve">mg). </w:t>
      </w:r>
      <w:r w:rsidR="00237008" w:rsidRPr="00BF4AB8">
        <w:rPr>
          <w:snapToGrid w:val="0"/>
          <w:sz w:val="22"/>
          <w:szCs w:val="24"/>
        </w:rPr>
        <w:t>Tokiu atveju</w:t>
      </w:r>
      <w:r w:rsidRPr="00BF4AB8">
        <w:rPr>
          <w:snapToGrid w:val="0"/>
          <w:sz w:val="22"/>
          <w:szCs w:val="24"/>
        </w:rPr>
        <w:t xml:space="preserve"> gydytojas Jums </w:t>
      </w:r>
      <w:r w:rsidR="00237008" w:rsidRPr="00BF4AB8">
        <w:rPr>
          <w:snapToGrid w:val="0"/>
          <w:sz w:val="22"/>
          <w:szCs w:val="24"/>
        </w:rPr>
        <w:t xml:space="preserve">išrašys </w:t>
      </w:r>
      <w:r w:rsidRPr="00BF4AB8">
        <w:rPr>
          <w:snapToGrid w:val="0"/>
          <w:sz w:val="22"/>
          <w:szCs w:val="24"/>
        </w:rPr>
        <w:t>tinkamo stiprumo kapsules.</w:t>
      </w:r>
      <w:r w:rsidR="00237008" w:rsidRPr="00BF4AB8">
        <w:rPr>
          <w:snapToGrid w:val="0"/>
          <w:sz w:val="22"/>
          <w:szCs w:val="24"/>
        </w:rPr>
        <w:t xml:space="preserve"> </w:t>
      </w:r>
      <w:r w:rsidRPr="00BF4AB8">
        <w:rPr>
          <w:snapToGrid w:val="0"/>
          <w:sz w:val="22"/>
          <w:szCs w:val="24"/>
        </w:rPr>
        <w:t xml:space="preserve">Abiem atvejais </w:t>
      </w:r>
      <w:r w:rsidR="00237008" w:rsidRPr="00BF4AB8">
        <w:rPr>
          <w:snapToGrid w:val="0"/>
          <w:sz w:val="22"/>
          <w:szCs w:val="24"/>
        </w:rPr>
        <w:t xml:space="preserve">turite </w:t>
      </w:r>
      <w:r w:rsidR="00237008" w:rsidRPr="00BF4AB8">
        <w:rPr>
          <w:snapToGrid w:val="0"/>
          <w:sz w:val="22"/>
          <w:szCs w:val="24"/>
        </w:rPr>
        <w:lastRenderedPageBreak/>
        <w:t>gerti</w:t>
      </w:r>
      <w:r w:rsidRPr="00BF4AB8">
        <w:rPr>
          <w:snapToGrid w:val="0"/>
          <w:sz w:val="22"/>
          <w:szCs w:val="24"/>
        </w:rPr>
        <w:t xml:space="preserve"> su maistu po vieną tinkamo stiprumo kapsulę du kartus per parą</w:t>
      </w:r>
      <w:r w:rsidR="00237008" w:rsidRPr="00BF4AB8">
        <w:rPr>
          <w:snapToGrid w:val="0"/>
          <w:sz w:val="22"/>
          <w:szCs w:val="24"/>
        </w:rPr>
        <w:t xml:space="preserve"> maždaug kas 12 valandų kasdien tokiu</w:t>
      </w:r>
      <w:r w:rsidRPr="00BF4AB8">
        <w:rPr>
          <w:snapToGrid w:val="0"/>
          <w:sz w:val="22"/>
          <w:szCs w:val="24"/>
        </w:rPr>
        <w:t xml:space="preserve"> pačiu laiku</w:t>
      </w:r>
      <w:r w:rsidR="00237008" w:rsidRPr="00BF4AB8">
        <w:rPr>
          <w:snapToGrid w:val="0"/>
          <w:sz w:val="22"/>
          <w:szCs w:val="24"/>
        </w:rPr>
        <w:t xml:space="preserve"> (</w:t>
      </w:r>
      <w:r w:rsidRPr="00BF4AB8">
        <w:rPr>
          <w:snapToGrid w:val="0"/>
          <w:sz w:val="22"/>
          <w:szCs w:val="24"/>
        </w:rPr>
        <w:t>pavyzdžiui, ryte ir vakare</w:t>
      </w:r>
      <w:r w:rsidR="00237008" w:rsidRPr="00BF4AB8">
        <w:rPr>
          <w:snapToGrid w:val="0"/>
          <w:sz w:val="22"/>
          <w:szCs w:val="24"/>
        </w:rPr>
        <w:t>)</w:t>
      </w:r>
      <w:r w:rsidRPr="00BF4AB8">
        <w:rPr>
          <w:snapToGrid w:val="0"/>
          <w:sz w:val="22"/>
          <w:szCs w:val="24"/>
        </w:rPr>
        <w:t>.</w:t>
      </w:r>
    </w:p>
    <w:p w14:paraId="32EED407" w14:textId="48C5F643" w:rsidR="00237008" w:rsidRPr="00BF4AB8" w:rsidRDefault="00237008" w:rsidP="001E5216">
      <w:pPr>
        <w:numPr>
          <w:ilvl w:val="12"/>
          <w:numId w:val="0"/>
        </w:numPr>
        <w:ind w:right="-2"/>
        <w:rPr>
          <w:snapToGrid w:val="0"/>
          <w:sz w:val="22"/>
          <w:szCs w:val="24"/>
        </w:rPr>
      </w:pPr>
    </w:p>
    <w:p w14:paraId="573F3021" w14:textId="77777777" w:rsidR="005D554B" w:rsidRPr="00BF4AB8" w:rsidRDefault="00237008" w:rsidP="001E5216">
      <w:pPr>
        <w:numPr>
          <w:ilvl w:val="12"/>
          <w:numId w:val="0"/>
        </w:numPr>
        <w:ind w:right="-2"/>
        <w:rPr>
          <w:snapToGrid w:val="0"/>
          <w:sz w:val="22"/>
          <w:szCs w:val="24"/>
        </w:rPr>
      </w:pPr>
      <w:r w:rsidRPr="00BF4AB8">
        <w:rPr>
          <w:snapToGrid w:val="0"/>
          <w:sz w:val="22"/>
          <w:szCs w:val="24"/>
        </w:rPr>
        <w:t>J</w:t>
      </w:r>
      <w:r w:rsidR="001E5216" w:rsidRPr="00BF4AB8">
        <w:rPr>
          <w:snapToGrid w:val="0"/>
          <w:sz w:val="22"/>
          <w:szCs w:val="24"/>
        </w:rPr>
        <w:t xml:space="preserve">ei gydytojas nutraukė chemoterapiją </w:t>
      </w:r>
      <w:proofErr w:type="spellStart"/>
      <w:r w:rsidR="001E5216" w:rsidRPr="00BF4AB8">
        <w:rPr>
          <w:snapToGrid w:val="0"/>
          <w:sz w:val="22"/>
          <w:szCs w:val="24"/>
        </w:rPr>
        <w:t>docetakseliu</w:t>
      </w:r>
      <w:proofErr w:type="spellEnd"/>
      <w:r w:rsidR="001E5216" w:rsidRPr="00BF4AB8">
        <w:rPr>
          <w:snapToGrid w:val="0"/>
          <w:sz w:val="22"/>
          <w:szCs w:val="24"/>
        </w:rPr>
        <w:t xml:space="preserve">, turite toliau vartoti </w:t>
      </w:r>
      <w:proofErr w:type="spellStart"/>
      <w:r w:rsidR="00C45C71" w:rsidRPr="00BF4AB8">
        <w:rPr>
          <w:snapToGrid w:val="0"/>
          <w:sz w:val="22"/>
          <w:szCs w:val="24"/>
        </w:rPr>
        <w:t>Nytyka</w:t>
      </w:r>
      <w:proofErr w:type="spellEnd"/>
      <w:r w:rsidR="001E5216" w:rsidRPr="00BF4AB8">
        <w:rPr>
          <w:snapToGrid w:val="0"/>
          <w:sz w:val="22"/>
          <w:szCs w:val="24"/>
        </w:rPr>
        <w:t xml:space="preserve"> du kartus</w:t>
      </w:r>
      <w:r w:rsidRPr="00BF4AB8">
        <w:rPr>
          <w:snapToGrid w:val="0"/>
          <w:sz w:val="22"/>
          <w:szCs w:val="24"/>
        </w:rPr>
        <w:t xml:space="preserve"> </w:t>
      </w:r>
      <w:r w:rsidR="001E5216" w:rsidRPr="00BF4AB8">
        <w:rPr>
          <w:snapToGrid w:val="0"/>
          <w:sz w:val="22"/>
          <w:szCs w:val="24"/>
        </w:rPr>
        <w:t>per parą.</w:t>
      </w:r>
    </w:p>
    <w:p w14:paraId="08124A3A" w14:textId="77777777" w:rsidR="00237008" w:rsidRPr="00BF4AB8" w:rsidRDefault="00237008" w:rsidP="001E5216">
      <w:pPr>
        <w:numPr>
          <w:ilvl w:val="12"/>
          <w:numId w:val="0"/>
        </w:numPr>
        <w:ind w:right="-2"/>
        <w:rPr>
          <w:snapToGrid w:val="0"/>
          <w:sz w:val="22"/>
          <w:szCs w:val="24"/>
        </w:rPr>
      </w:pPr>
    </w:p>
    <w:p w14:paraId="282DD1E0" w14:textId="2A7B4904" w:rsidR="005D554B" w:rsidRPr="00BF4AB8" w:rsidRDefault="005D554B" w:rsidP="005D554B">
      <w:pPr>
        <w:keepNext/>
        <w:tabs>
          <w:tab w:val="left" w:pos="567"/>
        </w:tabs>
        <w:spacing w:line="260" w:lineRule="exact"/>
        <w:jc w:val="both"/>
        <w:outlineLvl w:val="3"/>
        <w:rPr>
          <w:b/>
          <w:bCs/>
          <w:snapToGrid w:val="0"/>
          <w:sz w:val="22"/>
          <w:szCs w:val="22"/>
          <w:lang w:eastAsia="x-none"/>
        </w:rPr>
      </w:pPr>
      <w:r w:rsidRPr="00BF4AB8">
        <w:rPr>
          <w:b/>
          <w:bCs/>
          <w:snapToGrid w:val="0"/>
          <w:sz w:val="22"/>
          <w:szCs w:val="22"/>
          <w:lang w:eastAsia="x-none"/>
        </w:rPr>
        <w:t xml:space="preserve">Ką daryti pavartojus per didelę </w:t>
      </w:r>
      <w:proofErr w:type="spellStart"/>
      <w:r w:rsidR="00C710D9" w:rsidRPr="00BF4AB8">
        <w:rPr>
          <w:b/>
          <w:bCs/>
          <w:snapToGrid w:val="0"/>
          <w:sz w:val="22"/>
          <w:szCs w:val="22"/>
          <w:lang w:eastAsia="x-none"/>
        </w:rPr>
        <w:t>Nytyka</w:t>
      </w:r>
      <w:proofErr w:type="spellEnd"/>
      <w:r w:rsidRPr="00BF4AB8">
        <w:rPr>
          <w:b/>
          <w:bCs/>
          <w:snapToGrid w:val="0"/>
          <w:sz w:val="22"/>
          <w:szCs w:val="22"/>
          <w:lang w:eastAsia="x-none"/>
        </w:rPr>
        <w:t xml:space="preserve"> dozę</w:t>
      </w:r>
    </w:p>
    <w:p w14:paraId="2C7F4DED" w14:textId="3AFC3DA0" w:rsidR="00237008" w:rsidRPr="00BF4AB8" w:rsidRDefault="00237008" w:rsidP="005D554B">
      <w:pPr>
        <w:keepNext/>
        <w:tabs>
          <w:tab w:val="left" w:pos="567"/>
        </w:tabs>
        <w:spacing w:line="260" w:lineRule="exact"/>
        <w:jc w:val="both"/>
        <w:outlineLvl w:val="3"/>
        <w:rPr>
          <w:snapToGrid w:val="0"/>
          <w:sz w:val="22"/>
          <w:szCs w:val="22"/>
          <w:lang w:eastAsia="x-none"/>
        </w:rPr>
      </w:pPr>
      <w:r w:rsidRPr="00BF4AB8">
        <w:rPr>
          <w:snapToGrid w:val="0"/>
          <w:sz w:val="22"/>
          <w:szCs w:val="22"/>
          <w:lang w:eastAsia="x-none"/>
        </w:rPr>
        <w:t>Nedelsdami kreipkitės į gydytoją arba vaistininką.</w:t>
      </w:r>
    </w:p>
    <w:p w14:paraId="00D95047" w14:textId="77777777" w:rsidR="005D554B" w:rsidRPr="00BF4AB8" w:rsidRDefault="005D554B" w:rsidP="005D554B">
      <w:pPr>
        <w:numPr>
          <w:ilvl w:val="12"/>
          <w:numId w:val="0"/>
        </w:numPr>
        <w:ind w:right="-2"/>
        <w:rPr>
          <w:snapToGrid w:val="0"/>
          <w:sz w:val="22"/>
          <w:szCs w:val="24"/>
        </w:rPr>
      </w:pPr>
    </w:p>
    <w:p w14:paraId="2BE9555D" w14:textId="273CE9F4" w:rsidR="005D554B" w:rsidRPr="00BF4AB8" w:rsidRDefault="005D554B" w:rsidP="005D554B">
      <w:pPr>
        <w:keepNext/>
        <w:tabs>
          <w:tab w:val="left" w:pos="567"/>
        </w:tabs>
        <w:spacing w:line="260" w:lineRule="exact"/>
        <w:jc w:val="both"/>
        <w:outlineLvl w:val="3"/>
        <w:rPr>
          <w:b/>
          <w:bCs/>
          <w:snapToGrid w:val="0"/>
          <w:sz w:val="22"/>
          <w:szCs w:val="28"/>
          <w:lang w:eastAsia="x-none"/>
        </w:rPr>
      </w:pPr>
      <w:r w:rsidRPr="00BF4AB8">
        <w:rPr>
          <w:b/>
          <w:bCs/>
          <w:snapToGrid w:val="0"/>
          <w:sz w:val="22"/>
          <w:szCs w:val="28"/>
          <w:lang w:eastAsia="x-none"/>
        </w:rPr>
        <w:t xml:space="preserve">Pamiršus pavartoti </w:t>
      </w:r>
      <w:proofErr w:type="spellStart"/>
      <w:r w:rsidR="00C710D9" w:rsidRPr="00BF4AB8">
        <w:rPr>
          <w:b/>
          <w:bCs/>
          <w:snapToGrid w:val="0"/>
          <w:sz w:val="22"/>
          <w:szCs w:val="28"/>
          <w:lang w:eastAsia="x-none"/>
        </w:rPr>
        <w:t>Nytyka</w:t>
      </w:r>
      <w:proofErr w:type="spellEnd"/>
    </w:p>
    <w:p w14:paraId="317C92A6" w14:textId="30809728" w:rsidR="005D554B" w:rsidRPr="00BF4AB8" w:rsidRDefault="005D554B" w:rsidP="005D554B">
      <w:pPr>
        <w:numPr>
          <w:ilvl w:val="12"/>
          <w:numId w:val="0"/>
        </w:numPr>
        <w:ind w:right="-2"/>
        <w:rPr>
          <w:snapToGrid w:val="0"/>
          <w:sz w:val="22"/>
          <w:szCs w:val="24"/>
        </w:rPr>
      </w:pPr>
      <w:r w:rsidRPr="00BF4AB8">
        <w:rPr>
          <w:snapToGrid w:val="0"/>
          <w:sz w:val="22"/>
          <w:szCs w:val="24"/>
        </w:rPr>
        <w:t>Negalima vartoti dvigubos dozės norint kompensuoti praleistą dozę</w:t>
      </w:r>
      <w:r w:rsidR="00237008" w:rsidRPr="00BF4AB8">
        <w:rPr>
          <w:snapToGrid w:val="0"/>
          <w:sz w:val="22"/>
          <w:szCs w:val="24"/>
        </w:rPr>
        <w:t>.</w:t>
      </w:r>
      <w:r w:rsidR="00237008" w:rsidRPr="00BF4AB8">
        <w:t xml:space="preserve"> </w:t>
      </w:r>
      <w:r w:rsidR="00237008" w:rsidRPr="00BF4AB8">
        <w:rPr>
          <w:snapToGrid w:val="0"/>
          <w:sz w:val="22"/>
          <w:szCs w:val="24"/>
        </w:rPr>
        <w:t xml:space="preserve">Kitą </w:t>
      </w:r>
      <w:r w:rsidR="00A04D76">
        <w:rPr>
          <w:snapToGrid w:val="0"/>
          <w:sz w:val="22"/>
          <w:szCs w:val="24"/>
        </w:rPr>
        <w:t>šio vaisto</w:t>
      </w:r>
      <w:r w:rsidR="00237008" w:rsidRPr="00BF4AB8">
        <w:rPr>
          <w:snapToGrid w:val="0"/>
          <w:sz w:val="22"/>
          <w:szCs w:val="24"/>
        </w:rPr>
        <w:t xml:space="preserve"> dozę vartokite kaip numatyta įprastu laiku ir išgerkite tokią dozę, kokią Jums rekomendavo gydytojas ar vaistininkas.</w:t>
      </w:r>
    </w:p>
    <w:p w14:paraId="1312C2B0" w14:textId="77777777" w:rsidR="005D554B" w:rsidRPr="00BF4AB8" w:rsidRDefault="005D554B" w:rsidP="005D554B">
      <w:pPr>
        <w:numPr>
          <w:ilvl w:val="12"/>
          <w:numId w:val="0"/>
        </w:numPr>
        <w:ind w:right="-2"/>
        <w:rPr>
          <w:snapToGrid w:val="0"/>
          <w:sz w:val="22"/>
          <w:szCs w:val="24"/>
        </w:rPr>
      </w:pPr>
    </w:p>
    <w:p w14:paraId="51C383A2" w14:textId="12CE9E38" w:rsidR="005D554B" w:rsidRPr="00BF4AB8" w:rsidRDefault="005D554B" w:rsidP="005D554B">
      <w:pPr>
        <w:keepNext/>
        <w:tabs>
          <w:tab w:val="left" w:pos="567"/>
        </w:tabs>
        <w:spacing w:line="260" w:lineRule="exact"/>
        <w:jc w:val="both"/>
        <w:outlineLvl w:val="3"/>
        <w:rPr>
          <w:b/>
          <w:bCs/>
          <w:snapToGrid w:val="0"/>
          <w:sz w:val="22"/>
          <w:szCs w:val="28"/>
          <w:lang w:eastAsia="x-none"/>
        </w:rPr>
      </w:pPr>
      <w:r w:rsidRPr="00BF4AB8">
        <w:rPr>
          <w:b/>
          <w:bCs/>
          <w:snapToGrid w:val="0"/>
          <w:sz w:val="22"/>
          <w:szCs w:val="28"/>
          <w:lang w:eastAsia="x-none"/>
        </w:rPr>
        <w:t xml:space="preserve">Nustojus vartoti </w:t>
      </w:r>
      <w:proofErr w:type="spellStart"/>
      <w:r w:rsidR="00C710D9" w:rsidRPr="00BF4AB8">
        <w:rPr>
          <w:b/>
          <w:bCs/>
          <w:snapToGrid w:val="0"/>
          <w:sz w:val="22"/>
          <w:szCs w:val="28"/>
          <w:lang w:eastAsia="x-none"/>
        </w:rPr>
        <w:t>Nytyka</w:t>
      </w:r>
      <w:proofErr w:type="spellEnd"/>
    </w:p>
    <w:p w14:paraId="549DCE0E" w14:textId="69D25E2C" w:rsidR="00237008" w:rsidRPr="00BF4AB8" w:rsidRDefault="00237008" w:rsidP="00237008">
      <w:pPr>
        <w:numPr>
          <w:ilvl w:val="12"/>
          <w:numId w:val="0"/>
        </w:numPr>
        <w:ind w:right="-29"/>
        <w:rPr>
          <w:snapToGrid w:val="0"/>
          <w:sz w:val="22"/>
          <w:szCs w:val="24"/>
        </w:rPr>
      </w:pPr>
      <w:r w:rsidRPr="00BF4AB8">
        <w:rPr>
          <w:snapToGrid w:val="0"/>
          <w:sz w:val="22"/>
          <w:szCs w:val="24"/>
        </w:rPr>
        <w:t xml:space="preserve">Nenutraukite </w:t>
      </w:r>
      <w:proofErr w:type="spellStart"/>
      <w:r w:rsidRPr="00BF4AB8">
        <w:rPr>
          <w:snapToGrid w:val="0"/>
          <w:sz w:val="22"/>
          <w:szCs w:val="24"/>
        </w:rPr>
        <w:t>Nytyka</w:t>
      </w:r>
      <w:proofErr w:type="spellEnd"/>
      <w:r w:rsidRPr="00BF4AB8">
        <w:rPr>
          <w:snapToGrid w:val="0"/>
          <w:sz w:val="22"/>
          <w:szCs w:val="24"/>
        </w:rPr>
        <w:t xml:space="preserve"> vartojimo nepasitarę su savo gydytoju. Svarbu šį vaistą gerti kiekvieną dieną ir tiek laiko, kiek Jums skyrė gydytojas. Jei nevartosite šio vaisto taip, kaip nurodė gydytojas, vėžio gydymas gali būti neveiksmingas.</w:t>
      </w:r>
    </w:p>
    <w:p w14:paraId="33CE25AB" w14:textId="77777777" w:rsidR="00237008" w:rsidRPr="00BF4AB8" w:rsidRDefault="00237008" w:rsidP="00237008">
      <w:pPr>
        <w:numPr>
          <w:ilvl w:val="12"/>
          <w:numId w:val="0"/>
        </w:numPr>
        <w:ind w:right="-29"/>
        <w:rPr>
          <w:snapToGrid w:val="0"/>
          <w:sz w:val="22"/>
          <w:szCs w:val="24"/>
        </w:rPr>
      </w:pPr>
    </w:p>
    <w:p w14:paraId="2E264EA3" w14:textId="51484A02" w:rsidR="005D554B" w:rsidRPr="00BF4AB8" w:rsidRDefault="00237008" w:rsidP="00237008">
      <w:pPr>
        <w:numPr>
          <w:ilvl w:val="12"/>
          <w:numId w:val="0"/>
        </w:numPr>
        <w:ind w:right="-29"/>
        <w:rPr>
          <w:snapToGrid w:val="0"/>
          <w:sz w:val="22"/>
          <w:szCs w:val="24"/>
        </w:rPr>
      </w:pPr>
      <w:r w:rsidRPr="00BF4AB8">
        <w:rPr>
          <w:snapToGrid w:val="0"/>
          <w:sz w:val="22"/>
          <w:szCs w:val="24"/>
        </w:rPr>
        <w:t>Jeigu kiltų daugiau klausimų dėl šio vaisto vartojimo, kreipkitės į gydytoją arba vaistininką</w:t>
      </w:r>
      <w:r w:rsidR="009E065D">
        <w:rPr>
          <w:snapToGrid w:val="0"/>
          <w:sz w:val="22"/>
          <w:szCs w:val="24"/>
        </w:rPr>
        <w:t>.</w:t>
      </w:r>
    </w:p>
    <w:p w14:paraId="44F6DC55" w14:textId="77777777" w:rsidR="005D554B" w:rsidRPr="00BF4AB8" w:rsidRDefault="005D554B" w:rsidP="005D554B">
      <w:pPr>
        <w:numPr>
          <w:ilvl w:val="12"/>
          <w:numId w:val="0"/>
        </w:numPr>
        <w:rPr>
          <w:snapToGrid w:val="0"/>
          <w:sz w:val="22"/>
          <w:szCs w:val="24"/>
        </w:rPr>
      </w:pPr>
    </w:p>
    <w:p w14:paraId="4D6F7C46" w14:textId="77777777" w:rsidR="005D554B" w:rsidRPr="00BF4AB8" w:rsidRDefault="005D554B" w:rsidP="005D554B">
      <w:pPr>
        <w:numPr>
          <w:ilvl w:val="12"/>
          <w:numId w:val="0"/>
        </w:numPr>
        <w:rPr>
          <w:snapToGrid w:val="0"/>
          <w:sz w:val="22"/>
          <w:szCs w:val="24"/>
        </w:rPr>
      </w:pPr>
    </w:p>
    <w:p w14:paraId="48FF69A3" w14:textId="77777777" w:rsidR="005D554B" w:rsidRPr="00BF4AB8" w:rsidRDefault="005D554B" w:rsidP="005D554B">
      <w:pPr>
        <w:keepNext/>
        <w:keepLines/>
        <w:tabs>
          <w:tab w:val="left" w:pos="567"/>
        </w:tabs>
        <w:outlineLvl w:val="2"/>
        <w:rPr>
          <w:b/>
          <w:bCs/>
          <w:snapToGrid w:val="0"/>
          <w:sz w:val="22"/>
          <w:szCs w:val="26"/>
          <w:lang w:eastAsia="x-none"/>
        </w:rPr>
      </w:pPr>
      <w:r w:rsidRPr="00BF4AB8">
        <w:rPr>
          <w:b/>
          <w:bCs/>
          <w:snapToGrid w:val="0"/>
          <w:sz w:val="22"/>
          <w:szCs w:val="26"/>
          <w:lang w:eastAsia="x-none"/>
        </w:rPr>
        <w:t>4.</w:t>
      </w:r>
      <w:r w:rsidRPr="00BF4AB8">
        <w:rPr>
          <w:b/>
          <w:bCs/>
          <w:snapToGrid w:val="0"/>
          <w:sz w:val="22"/>
          <w:szCs w:val="26"/>
          <w:lang w:eastAsia="x-none"/>
        </w:rPr>
        <w:tab/>
        <w:t>Galimas šalutinis poveikis</w:t>
      </w:r>
    </w:p>
    <w:p w14:paraId="098474C0" w14:textId="77777777" w:rsidR="005D554B" w:rsidRPr="00BF4AB8" w:rsidRDefault="005D554B" w:rsidP="005D554B">
      <w:pPr>
        <w:numPr>
          <w:ilvl w:val="12"/>
          <w:numId w:val="0"/>
        </w:numPr>
        <w:rPr>
          <w:snapToGrid w:val="0"/>
          <w:sz w:val="22"/>
          <w:szCs w:val="24"/>
        </w:rPr>
      </w:pPr>
    </w:p>
    <w:p w14:paraId="397F97C2" w14:textId="77777777" w:rsidR="005D554B" w:rsidRPr="00BF4AB8" w:rsidRDefault="005D554B" w:rsidP="005D554B">
      <w:pPr>
        <w:ind w:right="-29"/>
        <w:rPr>
          <w:snapToGrid w:val="0"/>
          <w:sz w:val="22"/>
        </w:rPr>
      </w:pPr>
      <w:r w:rsidRPr="00BF4AB8">
        <w:rPr>
          <w:snapToGrid w:val="0"/>
          <w:sz w:val="22"/>
        </w:rPr>
        <w:t>Šis vaistas, kaip ir visi kiti, gali sukelti šalutinį poveikį, nors jis pasireiškia ne visiems žmonėms.</w:t>
      </w:r>
    </w:p>
    <w:p w14:paraId="4B4F50E6" w14:textId="77777777" w:rsidR="00C73A1F" w:rsidRPr="00BF4AB8" w:rsidRDefault="00C73A1F" w:rsidP="00C73A1F">
      <w:pPr>
        <w:tabs>
          <w:tab w:val="left" w:pos="567"/>
        </w:tabs>
        <w:ind w:right="-29"/>
        <w:rPr>
          <w:snapToGrid w:val="0"/>
          <w:sz w:val="22"/>
        </w:rPr>
      </w:pPr>
    </w:p>
    <w:p w14:paraId="6F22946A" w14:textId="069467C3" w:rsidR="00C73A1F" w:rsidRPr="00BF4AB8" w:rsidRDefault="009C580D" w:rsidP="00C73A1F">
      <w:pPr>
        <w:tabs>
          <w:tab w:val="left" w:pos="567"/>
        </w:tabs>
        <w:ind w:right="-29"/>
        <w:rPr>
          <w:snapToGrid w:val="0"/>
          <w:sz w:val="22"/>
        </w:rPr>
      </w:pPr>
      <w:r w:rsidRPr="00BF4AB8">
        <w:rPr>
          <w:snapToGrid w:val="0"/>
          <w:sz w:val="22"/>
        </w:rPr>
        <w:t>Ypač svarbu atkreipti</w:t>
      </w:r>
      <w:r w:rsidR="00C73A1F" w:rsidRPr="00BF4AB8">
        <w:rPr>
          <w:snapToGrid w:val="0"/>
          <w:sz w:val="22"/>
        </w:rPr>
        <w:t xml:space="preserve"> dėmesį, jeigu gydymo </w:t>
      </w:r>
      <w:proofErr w:type="spellStart"/>
      <w:r w:rsidRPr="00BF4AB8">
        <w:rPr>
          <w:snapToGrid w:val="0"/>
          <w:sz w:val="22"/>
        </w:rPr>
        <w:t>Nytyka</w:t>
      </w:r>
      <w:proofErr w:type="spellEnd"/>
      <w:r w:rsidR="00C73A1F" w:rsidRPr="00BF4AB8">
        <w:rPr>
          <w:snapToGrid w:val="0"/>
          <w:sz w:val="22"/>
        </w:rPr>
        <w:t xml:space="preserve"> metu Jums pasireiškia toliau išvardytas šalutinis</w:t>
      </w:r>
      <w:r w:rsidRPr="00BF4AB8">
        <w:rPr>
          <w:snapToGrid w:val="0"/>
          <w:sz w:val="22"/>
        </w:rPr>
        <w:t xml:space="preserve"> </w:t>
      </w:r>
      <w:r w:rsidR="00C73A1F" w:rsidRPr="00BF4AB8">
        <w:rPr>
          <w:snapToGrid w:val="0"/>
          <w:sz w:val="22"/>
        </w:rPr>
        <w:t>poveikis</w:t>
      </w:r>
      <w:r w:rsidRPr="00BF4AB8">
        <w:rPr>
          <w:snapToGrid w:val="0"/>
          <w:sz w:val="22"/>
        </w:rPr>
        <w:t>.</w:t>
      </w:r>
    </w:p>
    <w:p w14:paraId="432E2FA7" w14:textId="5F3028DE" w:rsidR="009C580D" w:rsidRPr="00BF4AB8" w:rsidRDefault="009C580D" w:rsidP="00C73A1F">
      <w:pPr>
        <w:tabs>
          <w:tab w:val="left" w:pos="567"/>
        </w:tabs>
        <w:ind w:right="-29"/>
        <w:rPr>
          <w:snapToGrid w:val="0"/>
          <w:sz w:val="22"/>
        </w:rPr>
      </w:pPr>
    </w:p>
    <w:p w14:paraId="0EA3853B" w14:textId="77777777" w:rsidR="00C73A1F" w:rsidRPr="00BF4AB8" w:rsidRDefault="00C73A1F" w:rsidP="009C580D">
      <w:pPr>
        <w:pStyle w:val="Sraopastraipa"/>
        <w:numPr>
          <w:ilvl w:val="0"/>
          <w:numId w:val="7"/>
        </w:numPr>
        <w:ind w:left="567" w:right="-2" w:hanging="567"/>
        <w:rPr>
          <w:b/>
          <w:bCs/>
          <w:i/>
          <w:iCs/>
          <w:snapToGrid w:val="0"/>
          <w:sz w:val="22"/>
          <w:szCs w:val="24"/>
        </w:rPr>
      </w:pPr>
      <w:r w:rsidRPr="00BF4AB8">
        <w:rPr>
          <w:b/>
          <w:bCs/>
          <w:i/>
          <w:iCs/>
          <w:snapToGrid w:val="0"/>
          <w:sz w:val="22"/>
          <w:szCs w:val="24"/>
        </w:rPr>
        <w:t>Viduriavimas (</w:t>
      </w:r>
      <w:r w:rsidR="009C580D" w:rsidRPr="00BF4AB8">
        <w:rPr>
          <w:b/>
          <w:bCs/>
          <w:i/>
          <w:iCs/>
          <w:snapToGrid w:val="0"/>
          <w:sz w:val="22"/>
          <w:szCs w:val="24"/>
        </w:rPr>
        <w:t>labai dažnas šalutinio poveikio reiškinys, gali pasireikšti ne rečiau kaip 1 iš 10 asmenų</w:t>
      </w:r>
      <w:r w:rsidRPr="00BF4AB8">
        <w:rPr>
          <w:b/>
          <w:bCs/>
          <w:i/>
          <w:iCs/>
          <w:snapToGrid w:val="0"/>
          <w:sz w:val="22"/>
          <w:szCs w:val="24"/>
        </w:rPr>
        <w:t>)</w:t>
      </w:r>
    </w:p>
    <w:p w14:paraId="70C80674" w14:textId="4F9B1F82" w:rsidR="00C73A1F" w:rsidRPr="00BF4AB8" w:rsidRDefault="009C580D" w:rsidP="00C73A1F">
      <w:pPr>
        <w:tabs>
          <w:tab w:val="left" w:pos="567"/>
        </w:tabs>
        <w:ind w:right="-29"/>
        <w:rPr>
          <w:snapToGrid w:val="0"/>
          <w:sz w:val="22"/>
        </w:rPr>
      </w:pPr>
      <w:r w:rsidRPr="00BF4AB8">
        <w:rPr>
          <w:snapToGrid w:val="0"/>
          <w:sz w:val="22"/>
        </w:rPr>
        <w:t xml:space="preserve">Viduriuojant </w:t>
      </w:r>
      <w:r w:rsidR="00C73A1F" w:rsidRPr="00BF4AB8">
        <w:rPr>
          <w:snapToGrid w:val="0"/>
          <w:sz w:val="22"/>
        </w:rPr>
        <w:t xml:space="preserve">organizmas gali netekti skysčių ir svarbių druskų (elektrolitų, </w:t>
      </w:r>
      <w:r w:rsidRPr="00BF4AB8">
        <w:rPr>
          <w:snapToGrid w:val="0"/>
          <w:sz w:val="22"/>
        </w:rPr>
        <w:t>tokių kaip</w:t>
      </w:r>
      <w:r w:rsidR="00C73A1F" w:rsidRPr="00BF4AB8">
        <w:rPr>
          <w:snapToGrid w:val="0"/>
          <w:sz w:val="22"/>
        </w:rPr>
        <w:t xml:space="preserve"> natri</w:t>
      </w:r>
      <w:r w:rsidRPr="00BF4AB8">
        <w:rPr>
          <w:snapToGrid w:val="0"/>
          <w:sz w:val="22"/>
        </w:rPr>
        <w:t>s</w:t>
      </w:r>
      <w:r w:rsidR="00C73A1F" w:rsidRPr="00BF4AB8">
        <w:rPr>
          <w:snapToGrid w:val="0"/>
          <w:sz w:val="22"/>
        </w:rPr>
        <w:t xml:space="preserve"> ar kali</w:t>
      </w:r>
      <w:r w:rsidRPr="00BF4AB8">
        <w:rPr>
          <w:snapToGrid w:val="0"/>
          <w:sz w:val="22"/>
        </w:rPr>
        <w:t>s</w:t>
      </w:r>
      <w:r w:rsidR="00C73A1F" w:rsidRPr="00BF4AB8">
        <w:rPr>
          <w:snapToGrid w:val="0"/>
          <w:sz w:val="22"/>
        </w:rPr>
        <w:t>).</w:t>
      </w:r>
      <w:r w:rsidRPr="00BF4AB8">
        <w:rPr>
          <w:snapToGrid w:val="0"/>
          <w:sz w:val="22"/>
        </w:rPr>
        <w:t xml:space="preserve"> </w:t>
      </w:r>
      <w:r w:rsidR="00C73A1F" w:rsidRPr="00BF4AB8">
        <w:rPr>
          <w:snapToGrid w:val="0"/>
          <w:sz w:val="22"/>
        </w:rPr>
        <w:t>Pasireiškus pirmiesiems viduriavimo požymiams, gerkite daug skysčių ir nedelsdami kreipkitės į savo</w:t>
      </w:r>
      <w:r w:rsidRPr="00BF4AB8">
        <w:rPr>
          <w:snapToGrid w:val="0"/>
          <w:sz w:val="22"/>
        </w:rPr>
        <w:t xml:space="preserve"> </w:t>
      </w:r>
      <w:r w:rsidR="00C73A1F" w:rsidRPr="00BF4AB8">
        <w:rPr>
          <w:snapToGrid w:val="0"/>
          <w:sz w:val="22"/>
        </w:rPr>
        <w:t>gydytoją. Susisiekę su gydytoju kuo greičiau pradėkite tinkamą viduriavimo gydymą, pvz.,</w:t>
      </w:r>
      <w:r w:rsidRPr="00BF4AB8">
        <w:rPr>
          <w:snapToGrid w:val="0"/>
          <w:sz w:val="22"/>
        </w:rPr>
        <w:t xml:space="preserve"> </w:t>
      </w:r>
      <w:proofErr w:type="spellStart"/>
      <w:r w:rsidR="00C73A1F" w:rsidRPr="00BF4AB8">
        <w:rPr>
          <w:snapToGrid w:val="0"/>
          <w:sz w:val="22"/>
        </w:rPr>
        <w:t>loperamidu</w:t>
      </w:r>
      <w:proofErr w:type="spellEnd"/>
      <w:r w:rsidR="00C73A1F" w:rsidRPr="00BF4AB8">
        <w:rPr>
          <w:snapToGrid w:val="0"/>
          <w:sz w:val="22"/>
        </w:rPr>
        <w:t>.</w:t>
      </w:r>
    </w:p>
    <w:p w14:paraId="0D76D928" w14:textId="66DE2C66" w:rsidR="009C580D" w:rsidRPr="00BF4AB8" w:rsidRDefault="009C580D" w:rsidP="00C73A1F">
      <w:pPr>
        <w:tabs>
          <w:tab w:val="left" w:pos="567"/>
        </w:tabs>
        <w:ind w:right="-29"/>
        <w:rPr>
          <w:snapToGrid w:val="0"/>
          <w:sz w:val="22"/>
        </w:rPr>
      </w:pPr>
    </w:p>
    <w:p w14:paraId="323ADCE2" w14:textId="77777777" w:rsidR="00C73A1F" w:rsidRPr="00BF4AB8" w:rsidRDefault="00C73A1F" w:rsidP="009C580D">
      <w:pPr>
        <w:pStyle w:val="Sraopastraipa"/>
        <w:numPr>
          <w:ilvl w:val="0"/>
          <w:numId w:val="7"/>
        </w:numPr>
        <w:ind w:left="567" w:right="-2" w:hanging="567"/>
        <w:rPr>
          <w:b/>
          <w:bCs/>
          <w:i/>
          <w:iCs/>
          <w:snapToGrid w:val="0"/>
          <w:sz w:val="22"/>
          <w:szCs w:val="24"/>
        </w:rPr>
      </w:pPr>
      <w:proofErr w:type="spellStart"/>
      <w:r w:rsidRPr="00BF4AB8">
        <w:rPr>
          <w:b/>
          <w:bCs/>
          <w:i/>
          <w:iCs/>
          <w:snapToGrid w:val="0"/>
          <w:sz w:val="22"/>
          <w:szCs w:val="24"/>
        </w:rPr>
        <w:t>Febrilinė</w:t>
      </w:r>
      <w:proofErr w:type="spellEnd"/>
      <w:r w:rsidRPr="00BF4AB8">
        <w:rPr>
          <w:b/>
          <w:bCs/>
          <w:i/>
          <w:iCs/>
          <w:snapToGrid w:val="0"/>
          <w:sz w:val="22"/>
          <w:szCs w:val="24"/>
        </w:rPr>
        <w:t xml:space="preserve"> </w:t>
      </w:r>
      <w:proofErr w:type="spellStart"/>
      <w:r w:rsidRPr="00BF4AB8">
        <w:rPr>
          <w:b/>
          <w:bCs/>
          <w:i/>
          <w:iCs/>
          <w:snapToGrid w:val="0"/>
          <w:sz w:val="22"/>
          <w:szCs w:val="24"/>
        </w:rPr>
        <w:t>neutropenija</w:t>
      </w:r>
      <w:proofErr w:type="spellEnd"/>
      <w:r w:rsidRPr="00BF4AB8">
        <w:rPr>
          <w:b/>
          <w:bCs/>
          <w:i/>
          <w:iCs/>
          <w:snapToGrid w:val="0"/>
          <w:sz w:val="22"/>
          <w:szCs w:val="24"/>
        </w:rPr>
        <w:t xml:space="preserve"> ir sepsis (</w:t>
      </w:r>
      <w:r w:rsidR="009C580D" w:rsidRPr="00BF4AB8">
        <w:rPr>
          <w:b/>
          <w:bCs/>
          <w:i/>
          <w:iCs/>
          <w:snapToGrid w:val="0"/>
          <w:sz w:val="22"/>
          <w:szCs w:val="24"/>
        </w:rPr>
        <w:t>dažni šalutinio poveikio reiškiniai, gali pasireikšti rečiau kaip 1 iš 10 asmenų</w:t>
      </w:r>
      <w:r w:rsidRPr="00BF4AB8">
        <w:rPr>
          <w:b/>
          <w:bCs/>
          <w:i/>
          <w:iCs/>
          <w:snapToGrid w:val="0"/>
          <w:sz w:val="22"/>
          <w:szCs w:val="24"/>
        </w:rPr>
        <w:t>)</w:t>
      </w:r>
    </w:p>
    <w:p w14:paraId="7A29A759" w14:textId="681ED24E" w:rsidR="00C73A1F" w:rsidRPr="00BF4AB8" w:rsidRDefault="00C73A1F" w:rsidP="00C73A1F">
      <w:pPr>
        <w:tabs>
          <w:tab w:val="left" w:pos="567"/>
        </w:tabs>
        <w:ind w:right="-29"/>
        <w:rPr>
          <w:snapToGrid w:val="0"/>
          <w:sz w:val="22"/>
        </w:rPr>
      </w:pPr>
      <w:r w:rsidRPr="00BF4AB8">
        <w:rPr>
          <w:snapToGrid w:val="0"/>
          <w:sz w:val="22"/>
        </w:rPr>
        <w:t xml:space="preserve">Gydymas </w:t>
      </w:r>
      <w:r w:rsidR="009C580D" w:rsidRPr="00BF4AB8">
        <w:rPr>
          <w:snapToGrid w:val="0"/>
          <w:sz w:val="22"/>
        </w:rPr>
        <w:t>šiuo vaistu</w:t>
      </w:r>
      <w:r w:rsidRPr="00BF4AB8">
        <w:rPr>
          <w:snapToGrid w:val="0"/>
          <w:sz w:val="22"/>
        </w:rPr>
        <w:t xml:space="preserve"> gali </w:t>
      </w:r>
      <w:r w:rsidR="009C580D" w:rsidRPr="00BF4AB8">
        <w:rPr>
          <w:snapToGrid w:val="0"/>
          <w:sz w:val="22"/>
        </w:rPr>
        <w:t>sukelti</w:t>
      </w:r>
      <w:r w:rsidRPr="00BF4AB8">
        <w:rPr>
          <w:snapToGrid w:val="0"/>
          <w:sz w:val="22"/>
        </w:rPr>
        <w:t xml:space="preserve"> baltųjų kraujo ląstelių, kurios </w:t>
      </w:r>
      <w:r w:rsidR="009C580D" w:rsidRPr="00BF4AB8">
        <w:rPr>
          <w:snapToGrid w:val="0"/>
          <w:sz w:val="22"/>
        </w:rPr>
        <w:t>yra svarbios</w:t>
      </w:r>
      <w:r w:rsidRPr="00BF4AB8">
        <w:rPr>
          <w:snapToGrid w:val="0"/>
          <w:sz w:val="22"/>
        </w:rPr>
        <w:t xml:space="preserve"> organizmui</w:t>
      </w:r>
      <w:r w:rsidR="009C580D" w:rsidRPr="00BF4AB8">
        <w:rPr>
          <w:snapToGrid w:val="0"/>
          <w:sz w:val="22"/>
        </w:rPr>
        <w:t xml:space="preserve"> </w:t>
      </w:r>
      <w:r w:rsidRPr="00BF4AB8">
        <w:rPr>
          <w:snapToGrid w:val="0"/>
          <w:sz w:val="22"/>
        </w:rPr>
        <w:t>kovojant su bakterinėmis ar grybelinėmis infekcijomis, skaičiaus sumažėjimą (</w:t>
      </w:r>
      <w:proofErr w:type="spellStart"/>
      <w:r w:rsidRPr="00BF4AB8">
        <w:rPr>
          <w:snapToGrid w:val="0"/>
          <w:sz w:val="22"/>
        </w:rPr>
        <w:t>neutropeniją</w:t>
      </w:r>
      <w:proofErr w:type="spellEnd"/>
      <w:r w:rsidRPr="00BF4AB8">
        <w:rPr>
          <w:snapToGrid w:val="0"/>
          <w:sz w:val="22"/>
        </w:rPr>
        <w:t>). Dėl</w:t>
      </w:r>
      <w:r w:rsidR="009C580D" w:rsidRPr="00BF4AB8">
        <w:rPr>
          <w:snapToGrid w:val="0"/>
          <w:sz w:val="22"/>
        </w:rPr>
        <w:t xml:space="preserve"> </w:t>
      </w:r>
      <w:proofErr w:type="spellStart"/>
      <w:r w:rsidRPr="00BF4AB8">
        <w:rPr>
          <w:snapToGrid w:val="0"/>
          <w:sz w:val="22"/>
        </w:rPr>
        <w:t>neutropenijos</w:t>
      </w:r>
      <w:proofErr w:type="spellEnd"/>
      <w:r w:rsidRPr="00BF4AB8">
        <w:rPr>
          <w:snapToGrid w:val="0"/>
          <w:sz w:val="22"/>
        </w:rPr>
        <w:t xml:space="preserve"> gali pasireikšti karščiavimas (</w:t>
      </w:r>
      <w:proofErr w:type="spellStart"/>
      <w:r w:rsidRPr="00BF4AB8">
        <w:rPr>
          <w:snapToGrid w:val="0"/>
          <w:sz w:val="22"/>
        </w:rPr>
        <w:t>febrilinė</w:t>
      </w:r>
      <w:proofErr w:type="spellEnd"/>
      <w:r w:rsidRPr="00BF4AB8">
        <w:rPr>
          <w:snapToGrid w:val="0"/>
          <w:sz w:val="22"/>
        </w:rPr>
        <w:t xml:space="preserve"> </w:t>
      </w:r>
      <w:proofErr w:type="spellStart"/>
      <w:r w:rsidRPr="00BF4AB8">
        <w:rPr>
          <w:snapToGrid w:val="0"/>
          <w:sz w:val="22"/>
        </w:rPr>
        <w:t>neutropenija</w:t>
      </w:r>
      <w:proofErr w:type="spellEnd"/>
      <w:r w:rsidRPr="00BF4AB8">
        <w:rPr>
          <w:snapToGrid w:val="0"/>
          <w:sz w:val="22"/>
        </w:rPr>
        <w:t>) ir kraujo užkrėtimas (sepsis). Jei</w:t>
      </w:r>
      <w:r w:rsidR="009C580D" w:rsidRPr="00BF4AB8">
        <w:rPr>
          <w:snapToGrid w:val="0"/>
          <w:sz w:val="22"/>
        </w:rPr>
        <w:t xml:space="preserve"> </w:t>
      </w:r>
      <w:r w:rsidRPr="00BF4AB8">
        <w:rPr>
          <w:snapToGrid w:val="0"/>
          <w:sz w:val="22"/>
        </w:rPr>
        <w:t>pradedate karščiuoti, krečia šaltis, padažnėja kvėpavimas arba ima dažnai plakti širdis, nedelsdami</w:t>
      </w:r>
      <w:r w:rsidR="009C580D" w:rsidRPr="00BF4AB8">
        <w:rPr>
          <w:snapToGrid w:val="0"/>
          <w:sz w:val="22"/>
        </w:rPr>
        <w:t xml:space="preserve"> </w:t>
      </w:r>
      <w:r w:rsidRPr="00BF4AB8">
        <w:rPr>
          <w:snapToGrid w:val="0"/>
          <w:sz w:val="22"/>
        </w:rPr>
        <w:t>kreipkitės į gydytoją.</w:t>
      </w:r>
    </w:p>
    <w:p w14:paraId="1738A9A3" w14:textId="77777777" w:rsidR="00C73A1F" w:rsidRPr="00BF4AB8" w:rsidRDefault="00C73A1F" w:rsidP="00C73A1F">
      <w:pPr>
        <w:tabs>
          <w:tab w:val="left" w:pos="567"/>
        </w:tabs>
        <w:ind w:right="-29"/>
        <w:rPr>
          <w:snapToGrid w:val="0"/>
          <w:sz w:val="22"/>
        </w:rPr>
      </w:pPr>
      <w:r w:rsidRPr="00BF4AB8">
        <w:rPr>
          <w:snapToGrid w:val="0"/>
          <w:sz w:val="22"/>
        </w:rPr>
        <w:t xml:space="preserve">Gydymo </w:t>
      </w:r>
      <w:proofErr w:type="spellStart"/>
      <w:r w:rsidR="009C580D" w:rsidRPr="00BF4AB8">
        <w:rPr>
          <w:snapToGrid w:val="0"/>
          <w:sz w:val="22"/>
        </w:rPr>
        <w:t>Nytyka</w:t>
      </w:r>
      <w:proofErr w:type="spellEnd"/>
      <w:r w:rsidRPr="00BF4AB8">
        <w:rPr>
          <w:snapToGrid w:val="0"/>
          <w:sz w:val="22"/>
        </w:rPr>
        <w:t xml:space="preserve"> metu Jūsų gydytojas reguliariai </w:t>
      </w:r>
      <w:r w:rsidR="009C580D" w:rsidRPr="00BF4AB8">
        <w:rPr>
          <w:snapToGrid w:val="0"/>
          <w:sz w:val="22"/>
        </w:rPr>
        <w:t>tirs</w:t>
      </w:r>
      <w:r w:rsidRPr="00BF4AB8">
        <w:rPr>
          <w:snapToGrid w:val="0"/>
          <w:sz w:val="22"/>
        </w:rPr>
        <w:t xml:space="preserve"> kraujo ląstelių skaičių bei stebės, ar</w:t>
      </w:r>
      <w:r w:rsidR="009C580D" w:rsidRPr="00BF4AB8">
        <w:rPr>
          <w:snapToGrid w:val="0"/>
          <w:sz w:val="22"/>
        </w:rPr>
        <w:t xml:space="preserve"> </w:t>
      </w:r>
      <w:r w:rsidRPr="00BF4AB8">
        <w:rPr>
          <w:snapToGrid w:val="0"/>
          <w:sz w:val="22"/>
        </w:rPr>
        <w:t>neatsiranda infekcijos požymių, pvz., uždegimo, karščiavimo ar nuovargio.</w:t>
      </w:r>
    </w:p>
    <w:p w14:paraId="73D09C64" w14:textId="77777777" w:rsidR="009C580D" w:rsidRPr="00BF4AB8" w:rsidRDefault="009C580D" w:rsidP="00C73A1F">
      <w:pPr>
        <w:tabs>
          <w:tab w:val="left" w:pos="567"/>
        </w:tabs>
        <w:ind w:right="-29"/>
        <w:rPr>
          <w:snapToGrid w:val="0"/>
          <w:sz w:val="22"/>
        </w:rPr>
      </w:pPr>
    </w:p>
    <w:p w14:paraId="0091B23F" w14:textId="02C9ECD0" w:rsidR="00C73A1F" w:rsidRPr="00BF4AB8" w:rsidRDefault="00C73A1F" w:rsidP="00C73A1F">
      <w:pPr>
        <w:tabs>
          <w:tab w:val="left" w:pos="567"/>
        </w:tabs>
        <w:ind w:right="-29"/>
        <w:rPr>
          <w:snapToGrid w:val="0"/>
          <w:sz w:val="22"/>
        </w:rPr>
      </w:pPr>
      <w:r w:rsidRPr="00BF4AB8">
        <w:rPr>
          <w:snapToGrid w:val="0"/>
          <w:sz w:val="22"/>
        </w:rPr>
        <w:t xml:space="preserve">Gydant </w:t>
      </w:r>
      <w:proofErr w:type="spellStart"/>
      <w:r w:rsidR="009C580D" w:rsidRPr="00BF4AB8">
        <w:rPr>
          <w:snapToGrid w:val="0"/>
          <w:sz w:val="22"/>
        </w:rPr>
        <w:t>nintedanibu</w:t>
      </w:r>
      <w:proofErr w:type="spellEnd"/>
      <w:r w:rsidR="009C580D" w:rsidRPr="00BF4AB8">
        <w:rPr>
          <w:snapToGrid w:val="0"/>
          <w:sz w:val="22"/>
        </w:rPr>
        <w:t xml:space="preserve"> (veikliąja šio vaisto medžiaga)</w:t>
      </w:r>
      <w:r w:rsidRPr="00BF4AB8">
        <w:rPr>
          <w:snapToGrid w:val="0"/>
          <w:sz w:val="22"/>
        </w:rPr>
        <w:t xml:space="preserve"> buvo pastebėtas toliau išvardytas šalutinis poveikis.</w:t>
      </w:r>
    </w:p>
    <w:p w14:paraId="5548FB85" w14:textId="77777777" w:rsidR="009C580D" w:rsidRPr="00BF4AB8" w:rsidRDefault="009C580D" w:rsidP="00C73A1F">
      <w:pPr>
        <w:tabs>
          <w:tab w:val="left" w:pos="567"/>
        </w:tabs>
        <w:ind w:right="-29"/>
        <w:rPr>
          <w:snapToGrid w:val="0"/>
          <w:sz w:val="22"/>
        </w:rPr>
      </w:pPr>
    </w:p>
    <w:p w14:paraId="706FC239" w14:textId="6D249265" w:rsidR="00C73A1F" w:rsidRPr="00BF4AB8" w:rsidRDefault="009C580D" w:rsidP="00C73A1F">
      <w:pPr>
        <w:tabs>
          <w:tab w:val="left" w:pos="567"/>
        </w:tabs>
        <w:ind w:right="-29"/>
        <w:rPr>
          <w:snapToGrid w:val="0"/>
          <w:sz w:val="22"/>
        </w:rPr>
      </w:pPr>
      <w:r w:rsidRPr="00BF4AB8">
        <w:rPr>
          <w:b/>
          <w:bCs/>
          <w:snapToGrid w:val="0"/>
          <w:sz w:val="22"/>
        </w:rPr>
        <w:t>Labai dažni šalutinio poveikio reiškiniai</w:t>
      </w:r>
      <w:r w:rsidRPr="00BF4AB8">
        <w:rPr>
          <w:snapToGrid w:val="0"/>
          <w:sz w:val="22"/>
        </w:rPr>
        <w:t xml:space="preserve"> (gali pasireikšti ne rečiau kaip 1 iš 10 asmenų)</w:t>
      </w:r>
    </w:p>
    <w:p w14:paraId="0A7AEC6A" w14:textId="53D850A7" w:rsidR="00C73A1F" w:rsidRPr="00BF4AB8" w:rsidRDefault="00C73A1F" w:rsidP="009C580D">
      <w:pPr>
        <w:pStyle w:val="Sraopastraipa"/>
        <w:numPr>
          <w:ilvl w:val="0"/>
          <w:numId w:val="7"/>
        </w:numPr>
        <w:ind w:left="567" w:right="-2" w:hanging="567"/>
        <w:rPr>
          <w:snapToGrid w:val="0"/>
          <w:sz w:val="22"/>
          <w:szCs w:val="24"/>
        </w:rPr>
      </w:pPr>
      <w:r w:rsidRPr="00BF4AB8">
        <w:rPr>
          <w:snapToGrid w:val="0"/>
          <w:sz w:val="22"/>
          <w:szCs w:val="24"/>
        </w:rPr>
        <w:t xml:space="preserve">Viduriavimas – žr. </w:t>
      </w:r>
      <w:r w:rsidR="00C3245A">
        <w:rPr>
          <w:snapToGrid w:val="0"/>
          <w:sz w:val="22"/>
          <w:szCs w:val="24"/>
        </w:rPr>
        <w:t>anksčiau</w:t>
      </w:r>
      <w:r w:rsidRPr="00BF4AB8">
        <w:rPr>
          <w:snapToGrid w:val="0"/>
          <w:sz w:val="22"/>
          <w:szCs w:val="24"/>
        </w:rPr>
        <w:t>.</w:t>
      </w:r>
    </w:p>
    <w:p w14:paraId="28CC4626" w14:textId="2938684C" w:rsidR="00C73A1F" w:rsidRPr="00BF4AB8" w:rsidRDefault="00C73A1F" w:rsidP="009C580D">
      <w:pPr>
        <w:pStyle w:val="Sraopastraipa"/>
        <w:numPr>
          <w:ilvl w:val="0"/>
          <w:numId w:val="7"/>
        </w:numPr>
        <w:ind w:left="567" w:right="-2" w:hanging="567"/>
        <w:rPr>
          <w:snapToGrid w:val="0"/>
          <w:sz w:val="22"/>
          <w:szCs w:val="24"/>
        </w:rPr>
      </w:pPr>
      <w:r w:rsidRPr="00BF4AB8">
        <w:rPr>
          <w:snapToGrid w:val="0"/>
          <w:sz w:val="22"/>
          <w:szCs w:val="24"/>
        </w:rPr>
        <w:t>Rankų ir kojų pirštų skausmingumas, tirpimas ir (arba) dilgčiojimas (periferinė neuropatija).</w:t>
      </w:r>
    </w:p>
    <w:p w14:paraId="3FABD6A7" w14:textId="5CDB9007" w:rsidR="00C73A1F" w:rsidRDefault="009C580D" w:rsidP="009C580D">
      <w:pPr>
        <w:pStyle w:val="Sraopastraipa"/>
        <w:numPr>
          <w:ilvl w:val="0"/>
          <w:numId w:val="7"/>
        </w:numPr>
        <w:ind w:left="567" w:right="-2" w:hanging="567"/>
        <w:rPr>
          <w:snapToGrid w:val="0"/>
          <w:sz w:val="22"/>
          <w:szCs w:val="24"/>
        </w:rPr>
      </w:pPr>
      <w:r w:rsidRPr="00BF4AB8">
        <w:rPr>
          <w:snapToGrid w:val="0"/>
          <w:sz w:val="22"/>
          <w:szCs w:val="24"/>
        </w:rPr>
        <w:t>Šleikštulys (p</w:t>
      </w:r>
      <w:r w:rsidR="00C73A1F" w:rsidRPr="00BF4AB8">
        <w:rPr>
          <w:snapToGrid w:val="0"/>
          <w:sz w:val="22"/>
          <w:szCs w:val="24"/>
        </w:rPr>
        <w:t>ykinimas</w:t>
      </w:r>
      <w:r w:rsidRPr="00BF4AB8">
        <w:rPr>
          <w:snapToGrid w:val="0"/>
          <w:sz w:val="22"/>
          <w:szCs w:val="24"/>
        </w:rPr>
        <w:t>)</w:t>
      </w:r>
      <w:r w:rsidR="00C73A1F" w:rsidRPr="00BF4AB8">
        <w:rPr>
          <w:snapToGrid w:val="0"/>
          <w:sz w:val="22"/>
          <w:szCs w:val="24"/>
        </w:rPr>
        <w:t>.</w:t>
      </w:r>
    </w:p>
    <w:p w14:paraId="3E569D02" w14:textId="737E428F" w:rsidR="00C73A1F" w:rsidRPr="00C3245A" w:rsidRDefault="00C73A1F" w:rsidP="00E96276">
      <w:pPr>
        <w:pStyle w:val="Sraopastraipa"/>
        <w:numPr>
          <w:ilvl w:val="0"/>
          <w:numId w:val="7"/>
        </w:numPr>
        <w:ind w:left="567" w:right="-2" w:hanging="567"/>
        <w:rPr>
          <w:snapToGrid w:val="0"/>
          <w:sz w:val="22"/>
          <w:szCs w:val="24"/>
        </w:rPr>
      </w:pPr>
      <w:r w:rsidRPr="00C3245A">
        <w:rPr>
          <w:snapToGrid w:val="0"/>
          <w:sz w:val="22"/>
          <w:szCs w:val="24"/>
        </w:rPr>
        <w:t>Vėmimas.</w:t>
      </w:r>
    </w:p>
    <w:p w14:paraId="1BD2357D" w14:textId="14C5A209" w:rsidR="00C73A1F" w:rsidRPr="00BF4AB8" w:rsidRDefault="00C73A1F" w:rsidP="009C580D">
      <w:pPr>
        <w:pStyle w:val="Sraopastraipa"/>
        <w:numPr>
          <w:ilvl w:val="0"/>
          <w:numId w:val="7"/>
        </w:numPr>
        <w:ind w:left="567" w:right="-2" w:hanging="567"/>
        <w:rPr>
          <w:snapToGrid w:val="0"/>
          <w:sz w:val="22"/>
          <w:szCs w:val="24"/>
        </w:rPr>
      </w:pPr>
      <w:r w:rsidRPr="00BF4AB8">
        <w:rPr>
          <w:snapToGrid w:val="0"/>
          <w:sz w:val="22"/>
          <w:szCs w:val="24"/>
        </w:rPr>
        <w:t>Pilvo skausmas.</w:t>
      </w:r>
    </w:p>
    <w:p w14:paraId="6A5AB521" w14:textId="1D616193" w:rsidR="00C73A1F" w:rsidRPr="00BF4AB8" w:rsidRDefault="00C73A1F" w:rsidP="009C580D">
      <w:pPr>
        <w:pStyle w:val="Sraopastraipa"/>
        <w:numPr>
          <w:ilvl w:val="0"/>
          <w:numId w:val="7"/>
        </w:numPr>
        <w:ind w:left="567" w:right="-2" w:hanging="567"/>
        <w:rPr>
          <w:snapToGrid w:val="0"/>
          <w:sz w:val="22"/>
          <w:szCs w:val="24"/>
        </w:rPr>
      </w:pPr>
      <w:r w:rsidRPr="00BF4AB8">
        <w:rPr>
          <w:snapToGrid w:val="0"/>
          <w:sz w:val="22"/>
          <w:szCs w:val="24"/>
        </w:rPr>
        <w:t>Kraujavimas.</w:t>
      </w:r>
    </w:p>
    <w:p w14:paraId="34E3A016" w14:textId="765A234D" w:rsidR="00C73A1F" w:rsidRPr="00BF4AB8" w:rsidRDefault="00C73A1F" w:rsidP="009C580D">
      <w:pPr>
        <w:pStyle w:val="Sraopastraipa"/>
        <w:numPr>
          <w:ilvl w:val="0"/>
          <w:numId w:val="7"/>
        </w:numPr>
        <w:ind w:left="567" w:right="-2" w:hanging="567"/>
        <w:rPr>
          <w:snapToGrid w:val="0"/>
          <w:sz w:val="22"/>
          <w:szCs w:val="24"/>
        </w:rPr>
      </w:pPr>
      <w:r w:rsidRPr="00BF4AB8">
        <w:rPr>
          <w:snapToGrid w:val="0"/>
          <w:sz w:val="22"/>
          <w:szCs w:val="24"/>
        </w:rPr>
        <w:t>Baltųjų kraujo ląstelių skaičiaus sumažėjimas (</w:t>
      </w:r>
      <w:proofErr w:type="spellStart"/>
      <w:r w:rsidRPr="00BF4AB8">
        <w:rPr>
          <w:snapToGrid w:val="0"/>
          <w:sz w:val="22"/>
          <w:szCs w:val="24"/>
        </w:rPr>
        <w:t>neutropenija</w:t>
      </w:r>
      <w:proofErr w:type="spellEnd"/>
      <w:r w:rsidRPr="00BF4AB8">
        <w:rPr>
          <w:snapToGrid w:val="0"/>
          <w:sz w:val="22"/>
          <w:szCs w:val="24"/>
        </w:rPr>
        <w:t>).</w:t>
      </w:r>
    </w:p>
    <w:p w14:paraId="4652F13A" w14:textId="41EB507D" w:rsidR="00C73A1F" w:rsidRPr="00BF4AB8" w:rsidRDefault="00C73A1F" w:rsidP="00B55F4B">
      <w:pPr>
        <w:pStyle w:val="Sraopastraipa"/>
        <w:numPr>
          <w:ilvl w:val="0"/>
          <w:numId w:val="7"/>
        </w:numPr>
        <w:ind w:left="567" w:right="-2" w:hanging="567"/>
        <w:rPr>
          <w:snapToGrid w:val="0"/>
          <w:sz w:val="22"/>
          <w:szCs w:val="24"/>
        </w:rPr>
      </w:pPr>
      <w:r w:rsidRPr="00BF4AB8">
        <w:rPr>
          <w:snapToGrid w:val="0"/>
          <w:sz w:val="22"/>
          <w:szCs w:val="24"/>
        </w:rPr>
        <w:t xml:space="preserve">Virškinimo trakto gleivinės uždegimas, įskaitant burnos </w:t>
      </w:r>
      <w:proofErr w:type="spellStart"/>
      <w:r w:rsidRPr="00BF4AB8">
        <w:rPr>
          <w:snapToGrid w:val="0"/>
          <w:sz w:val="22"/>
          <w:szCs w:val="24"/>
        </w:rPr>
        <w:t>erozijas</w:t>
      </w:r>
      <w:proofErr w:type="spellEnd"/>
      <w:r w:rsidRPr="00BF4AB8">
        <w:rPr>
          <w:snapToGrid w:val="0"/>
          <w:sz w:val="22"/>
          <w:szCs w:val="24"/>
        </w:rPr>
        <w:t xml:space="preserve"> ir opas (</w:t>
      </w:r>
      <w:proofErr w:type="spellStart"/>
      <w:r w:rsidRPr="00BF4AB8">
        <w:rPr>
          <w:snapToGrid w:val="0"/>
          <w:sz w:val="22"/>
          <w:szCs w:val="24"/>
        </w:rPr>
        <w:t>mukozitas</w:t>
      </w:r>
      <w:proofErr w:type="spellEnd"/>
      <w:r w:rsidRPr="00BF4AB8">
        <w:rPr>
          <w:snapToGrid w:val="0"/>
          <w:sz w:val="22"/>
          <w:szCs w:val="24"/>
        </w:rPr>
        <w:t>, įskaitant</w:t>
      </w:r>
      <w:r w:rsidR="009C580D" w:rsidRPr="00BF4AB8">
        <w:rPr>
          <w:snapToGrid w:val="0"/>
          <w:sz w:val="22"/>
          <w:szCs w:val="24"/>
        </w:rPr>
        <w:t xml:space="preserve"> </w:t>
      </w:r>
      <w:r w:rsidRPr="00BF4AB8">
        <w:rPr>
          <w:snapToGrid w:val="0"/>
          <w:sz w:val="22"/>
          <w:szCs w:val="24"/>
        </w:rPr>
        <w:t>stomatitą).</w:t>
      </w:r>
    </w:p>
    <w:p w14:paraId="76FD1FD9" w14:textId="161A694C" w:rsidR="00C73A1F" w:rsidRPr="00BF4AB8" w:rsidRDefault="00C73A1F" w:rsidP="009C580D">
      <w:pPr>
        <w:pStyle w:val="Sraopastraipa"/>
        <w:numPr>
          <w:ilvl w:val="0"/>
          <w:numId w:val="7"/>
        </w:numPr>
        <w:ind w:left="567" w:right="-2" w:hanging="567"/>
        <w:rPr>
          <w:snapToGrid w:val="0"/>
          <w:sz w:val="22"/>
          <w:szCs w:val="24"/>
        </w:rPr>
      </w:pPr>
      <w:r w:rsidRPr="00BF4AB8">
        <w:rPr>
          <w:snapToGrid w:val="0"/>
          <w:sz w:val="22"/>
          <w:szCs w:val="24"/>
        </w:rPr>
        <w:t>Išbėrimas.</w:t>
      </w:r>
    </w:p>
    <w:p w14:paraId="67BBC99B" w14:textId="39E5EDDC" w:rsidR="00C73A1F" w:rsidRPr="00BF4AB8" w:rsidRDefault="00C73A1F" w:rsidP="009C580D">
      <w:pPr>
        <w:pStyle w:val="Sraopastraipa"/>
        <w:numPr>
          <w:ilvl w:val="0"/>
          <w:numId w:val="7"/>
        </w:numPr>
        <w:ind w:left="567" w:right="-2" w:hanging="567"/>
        <w:rPr>
          <w:snapToGrid w:val="0"/>
          <w:sz w:val="22"/>
          <w:szCs w:val="24"/>
        </w:rPr>
      </w:pPr>
      <w:r w:rsidRPr="00BF4AB8">
        <w:rPr>
          <w:snapToGrid w:val="0"/>
          <w:sz w:val="22"/>
          <w:szCs w:val="24"/>
        </w:rPr>
        <w:lastRenderedPageBreak/>
        <w:t>Sumažėjęs apetitas.</w:t>
      </w:r>
    </w:p>
    <w:p w14:paraId="2A32303A" w14:textId="4FB6F3A0" w:rsidR="00C73A1F" w:rsidRPr="00BF4AB8" w:rsidRDefault="00C73A1F" w:rsidP="009C580D">
      <w:pPr>
        <w:pStyle w:val="Sraopastraipa"/>
        <w:numPr>
          <w:ilvl w:val="0"/>
          <w:numId w:val="7"/>
        </w:numPr>
        <w:ind w:left="567" w:right="-2" w:hanging="567"/>
        <w:rPr>
          <w:snapToGrid w:val="0"/>
          <w:sz w:val="22"/>
          <w:szCs w:val="24"/>
        </w:rPr>
      </w:pPr>
      <w:r w:rsidRPr="00BF4AB8">
        <w:rPr>
          <w:snapToGrid w:val="0"/>
          <w:sz w:val="22"/>
          <w:szCs w:val="24"/>
        </w:rPr>
        <w:t>Elektrolitų pusiausvyros sutrikimas.</w:t>
      </w:r>
    </w:p>
    <w:p w14:paraId="21CCC009" w14:textId="0A2DBB2E" w:rsidR="00C73A1F" w:rsidRPr="00BF4AB8" w:rsidRDefault="00C73A1F" w:rsidP="00E83D15">
      <w:pPr>
        <w:pStyle w:val="Sraopastraipa"/>
        <w:numPr>
          <w:ilvl w:val="0"/>
          <w:numId w:val="7"/>
        </w:numPr>
        <w:ind w:left="567" w:right="-2" w:hanging="567"/>
        <w:rPr>
          <w:snapToGrid w:val="0"/>
          <w:sz w:val="22"/>
          <w:szCs w:val="24"/>
        </w:rPr>
      </w:pPr>
      <w:r w:rsidRPr="00BF4AB8">
        <w:rPr>
          <w:snapToGrid w:val="0"/>
          <w:sz w:val="22"/>
          <w:szCs w:val="24"/>
        </w:rPr>
        <w:t xml:space="preserve">Kepenų fermentų (alaninaminotransferazės, aspartataminotransferazės, šarminės </w:t>
      </w:r>
      <w:proofErr w:type="spellStart"/>
      <w:r w:rsidRPr="00BF4AB8">
        <w:rPr>
          <w:snapToGrid w:val="0"/>
          <w:sz w:val="22"/>
          <w:szCs w:val="24"/>
        </w:rPr>
        <w:t>fosfatazės</w:t>
      </w:r>
      <w:proofErr w:type="spellEnd"/>
      <w:r w:rsidRPr="00BF4AB8">
        <w:rPr>
          <w:snapToGrid w:val="0"/>
          <w:sz w:val="22"/>
          <w:szCs w:val="24"/>
        </w:rPr>
        <w:t>)</w:t>
      </w:r>
      <w:r w:rsidR="009C580D" w:rsidRPr="00BF4AB8">
        <w:rPr>
          <w:snapToGrid w:val="0"/>
          <w:sz w:val="22"/>
          <w:szCs w:val="24"/>
        </w:rPr>
        <w:t xml:space="preserve"> aktyvumo</w:t>
      </w:r>
      <w:r w:rsidRPr="00BF4AB8">
        <w:rPr>
          <w:snapToGrid w:val="0"/>
          <w:sz w:val="22"/>
          <w:szCs w:val="24"/>
        </w:rPr>
        <w:t xml:space="preserve"> padidėjimas kraujyje, nustatomas kraujo tyrimu.</w:t>
      </w:r>
    </w:p>
    <w:p w14:paraId="46EFE7CB" w14:textId="4D681FAD" w:rsidR="00C73A1F" w:rsidRPr="00BF4AB8" w:rsidRDefault="00C73A1F" w:rsidP="009C580D">
      <w:pPr>
        <w:pStyle w:val="Sraopastraipa"/>
        <w:numPr>
          <w:ilvl w:val="0"/>
          <w:numId w:val="7"/>
        </w:numPr>
        <w:ind w:left="567" w:right="-2" w:hanging="567"/>
        <w:rPr>
          <w:snapToGrid w:val="0"/>
          <w:sz w:val="22"/>
          <w:szCs w:val="24"/>
        </w:rPr>
      </w:pPr>
      <w:r w:rsidRPr="00BF4AB8">
        <w:rPr>
          <w:snapToGrid w:val="0"/>
          <w:sz w:val="22"/>
          <w:szCs w:val="24"/>
        </w:rPr>
        <w:t>Nuplikimas (</w:t>
      </w:r>
      <w:proofErr w:type="spellStart"/>
      <w:r w:rsidRPr="00BF4AB8">
        <w:rPr>
          <w:snapToGrid w:val="0"/>
          <w:sz w:val="22"/>
          <w:szCs w:val="24"/>
        </w:rPr>
        <w:t>alopecija</w:t>
      </w:r>
      <w:proofErr w:type="spellEnd"/>
      <w:r w:rsidRPr="00BF4AB8">
        <w:rPr>
          <w:snapToGrid w:val="0"/>
          <w:sz w:val="22"/>
          <w:szCs w:val="24"/>
        </w:rPr>
        <w:t>).</w:t>
      </w:r>
    </w:p>
    <w:p w14:paraId="1A3C1907" w14:textId="77777777" w:rsidR="009C580D" w:rsidRPr="00BF4AB8" w:rsidRDefault="009C580D" w:rsidP="00C73A1F">
      <w:pPr>
        <w:tabs>
          <w:tab w:val="left" w:pos="567"/>
        </w:tabs>
        <w:ind w:right="-29"/>
        <w:rPr>
          <w:snapToGrid w:val="0"/>
          <w:sz w:val="22"/>
        </w:rPr>
      </w:pPr>
    </w:p>
    <w:p w14:paraId="7C9C3E5E" w14:textId="4F87912C" w:rsidR="00C73A1F" w:rsidRPr="00BF4AB8" w:rsidRDefault="007E4DC1" w:rsidP="00C73A1F">
      <w:pPr>
        <w:tabs>
          <w:tab w:val="left" w:pos="567"/>
        </w:tabs>
        <w:ind w:right="-29"/>
        <w:rPr>
          <w:snapToGrid w:val="0"/>
          <w:sz w:val="22"/>
        </w:rPr>
      </w:pPr>
      <w:r w:rsidRPr="00BF4AB8">
        <w:rPr>
          <w:b/>
          <w:bCs/>
          <w:snapToGrid w:val="0"/>
          <w:sz w:val="22"/>
        </w:rPr>
        <w:t>Dažni šalutinio poveikio reiškiniai</w:t>
      </w:r>
      <w:r w:rsidRPr="00BF4AB8">
        <w:rPr>
          <w:snapToGrid w:val="0"/>
          <w:sz w:val="22"/>
        </w:rPr>
        <w:t xml:space="preserve"> (gali pasireikšti rečiau kaip 1 iš 10 asmenų)</w:t>
      </w:r>
    </w:p>
    <w:p w14:paraId="1111A45F" w14:textId="1007B8CA" w:rsidR="00C73A1F" w:rsidRPr="00BF4AB8" w:rsidRDefault="00C73A1F" w:rsidP="007E4DC1">
      <w:pPr>
        <w:pStyle w:val="Sraopastraipa"/>
        <w:numPr>
          <w:ilvl w:val="0"/>
          <w:numId w:val="7"/>
        </w:numPr>
        <w:ind w:left="567" w:right="-2" w:hanging="567"/>
        <w:rPr>
          <w:snapToGrid w:val="0"/>
          <w:sz w:val="22"/>
          <w:szCs w:val="24"/>
        </w:rPr>
      </w:pPr>
      <w:r w:rsidRPr="00BF4AB8">
        <w:rPr>
          <w:snapToGrid w:val="0"/>
          <w:sz w:val="22"/>
          <w:szCs w:val="24"/>
        </w:rPr>
        <w:t xml:space="preserve">Kraujo užkrėtimas (sepsis) – žr. </w:t>
      </w:r>
      <w:r w:rsidR="00C3245A">
        <w:rPr>
          <w:snapToGrid w:val="0"/>
          <w:sz w:val="22"/>
          <w:szCs w:val="24"/>
        </w:rPr>
        <w:t>anksčiau</w:t>
      </w:r>
      <w:r w:rsidRPr="00BF4AB8">
        <w:rPr>
          <w:snapToGrid w:val="0"/>
          <w:sz w:val="22"/>
          <w:szCs w:val="24"/>
        </w:rPr>
        <w:t>.</w:t>
      </w:r>
    </w:p>
    <w:p w14:paraId="6CDB8CAD" w14:textId="78B438B8" w:rsidR="00C73A1F" w:rsidRPr="00BF4AB8" w:rsidRDefault="00C73A1F" w:rsidP="007E4DC1">
      <w:pPr>
        <w:pStyle w:val="Sraopastraipa"/>
        <w:numPr>
          <w:ilvl w:val="0"/>
          <w:numId w:val="7"/>
        </w:numPr>
        <w:ind w:left="567" w:right="-2" w:hanging="567"/>
        <w:rPr>
          <w:snapToGrid w:val="0"/>
          <w:sz w:val="22"/>
          <w:szCs w:val="24"/>
        </w:rPr>
      </w:pPr>
      <w:r w:rsidRPr="00BF4AB8">
        <w:rPr>
          <w:snapToGrid w:val="0"/>
          <w:sz w:val="22"/>
          <w:szCs w:val="24"/>
        </w:rPr>
        <w:t>Baltųjų kraujo ląstelių skaičiaus sumažėjimas</w:t>
      </w:r>
      <w:r w:rsidR="00BC2756" w:rsidRPr="00BF4AB8">
        <w:rPr>
          <w:snapToGrid w:val="0"/>
          <w:sz w:val="22"/>
          <w:szCs w:val="24"/>
        </w:rPr>
        <w:t xml:space="preserve"> kartu su</w:t>
      </w:r>
      <w:r w:rsidRPr="00BF4AB8">
        <w:rPr>
          <w:snapToGrid w:val="0"/>
          <w:sz w:val="22"/>
          <w:szCs w:val="24"/>
        </w:rPr>
        <w:t xml:space="preserve"> karščiavim</w:t>
      </w:r>
      <w:r w:rsidR="00BC2756" w:rsidRPr="00BF4AB8">
        <w:rPr>
          <w:snapToGrid w:val="0"/>
          <w:sz w:val="22"/>
          <w:szCs w:val="24"/>
        </w:rPr>
        <w:t>u</w:t>
      </w:r>
      <w:r w:rsidRPr="00BF4AB8">
        <w:rPr>
          <w:snapToGrid w:val="0"/>
          <w:sz w:val="22"/>
          <w:szCs w:val="24"/>
        </w:rPr>
        <w:t xml:space="preserve"> (</w:t>
      </w:r>
      <w:proofErr w:type="spellStart"/>
      <w:r w:rsidRPr="00BF4AB8">
        <w:rPr>
          <w:snapToGrid w:val="0"/>
          <w:sz w:val="22"/>
          <w:szCs w:val="24"/>
        </w:rPr>
        <w:t>febrilinė</w:t>
      </w:r>
      <w:proofErr w:type="spellEnd"/>
      <w:r w:rsidRPr="00BF4AB8">
        <w:rPr>
          <w:snapToGrid w:val="0"/>
          <w:sz w:val="22"/>
          <w:szCs w:val="24"/>
        </w:rPr>
        <w:t xml:space="preserve"> </w:t>
      </w:r>
      <w:proofErr w:type="spellStart"/>
      <w:r w:rsidRPr="00BF4AB8">
        <w:rPr>
          <w:snapToGrid w:val="0"/>
          <w:sz w:val="22"/>
          <w:szCs w:val="24"/>
        </w:rPr>
        <w:t>neutropenija</w:t>
      </w:r>
      <w:proofErr w:type="spellEnd"/>
      <w:r w:rsidRPr="00BF4AB8">
        <w:rPr>
          <w:snapToGrid w:val="0"/>
          <w:sz w:val="22"/>
          <w:szCs w:val="24"/>
        </w:rPr>
        <w:t>).</w:t>
      </w:r>
    </w:p>
    <w:p w14:paraId="653445D5" w14:textId="71A3C3CC" w:rsidR="00C73A1F" w:rsidRPr="00BF4AB8" w:rsidRDefault="00C73A1F" w:rsidP="00A924A9">
      <w:pPr>
        <w:pStyle w:val="Sraopastraipa"/>
        <w:numPr>
          <w:ilvl w:val="0"/>
          <w:numId w:val="7"/>
        </w:numPr>
        <w:ind w:left="567" w:right="-2" w:hanging="567"/>
        <w:rPr>
          <w:snapToGrid w:val="0"/>
          <w:sz w:val="22"/>
          <w:szCs w:val="24"/>
        </w:rPr>
      </w:pPr>
      <w:r w:rsidRPr="00BF4AB8">
        <w:rPr>
          <w:snapToGrid w:val="0"/>
          <w:sz w:val="22"/>
          <w:szCs w:val="24"/>
        </w:rPr>
        <w:t xml:space="preserve">Kraujo krešuliai venose (venų </w:t>
      </w:r>
      <w:proofErr w:type="spellStart"/>
      <w:r w:rsidRPr="00BF4AB8">
        <w:rPr>
          <w:snapToGrid w:val="0"/>
          <w:sz w:val="22"/>
          <w:szCs w:val="24"/>
        </w:rPr>
        <w:t>tromboembolija</w:t>
      </w:r>
      <w:proofErr w:type="spellEnd"/>
      <w:r w:rsidRPr="00BF4AB8">
        <w:rPr>
          <w:snapToGrid w:val="0"/>
          <w:sz w:val="22"/>
          <w:szCs w:val="24"/>
        </w:rPr>
        <w:t>), ypač kojų venose (</w:t>
      </w:r>
      <w:r w:rsidR="00BC2756" w:rsidRPr="00BF4AB8">
        <w:rPr>
          <w:snapToGrid w:val="0"/>
          <w:sz w:val="22"/>
          <w:szCs w:val="24"/>
        </w:rPr>
        <w:t>galimi simptomai yra</w:t>
      </w:r>
      <w:r w:rsidRPr="00BF4AB8">
        <w:rPr>
          <w:snapToGrid w:val="0"/>
          <w:sz w:val="22"/>
          <w:szCs w:val="24"/>
        </w:rPr>
        <w:t xml:space="preserve"> skausm</w:t>
      </w:r>
      <w:r w:rsidR="00BC2756" w:rsidRPr="00BF4AB8">
        <w:rPr>
          <w:snapToGrid w:val="0"/>
          <w:sz w:val="22"/>
          <w:szCs w:val="24"/>
        </w:rPr>
        <w:t>as</w:t>
      </w:r>
      <w:r w:rsidRPr="00BF4AB8">
        <w:rPr>
          <w:snapToGrid w:val="0"/>
          <w:sz w:val="22"/>
          <w:szCs w:val="24"/>
        </w:rPr>
        <w:t>, paraudim</w:t>
      </w:r>
      <w:r w:rsidR="00BC2756" w:rsidRPr="00BF4AB8">
        <w:rPr>
          <w:snapToGrid w:val="0"/>
          <w:sz w:val="22"/>
          <w:szCs w:val="24"/>
        </w:rPr>
        <w:t>as</w:t>
      </w:r>
      <w:r w:rsidRPr="00BF4AB8">
        <w:rPr>
          <w:snapToGrid w:val="0"/>
          <w:sz w:val="22"/>
          <w:szCs w:val="24"/>
        </w:rPr>
        <w:t xml:space="preserve">, </w:t>
      </w:r>
      <w:r w:rsidR="00BC2756" w:rsidRPr="00BF4AB8">
        <w:rPr>
          <w:snapToGrid w:val="0"/>
          <w:sz w:val="22"/>
          <w:szCs w:val="24"/>
        </w:rPr>
        <w:t>pa</w:t>
      </w:r>
      <w:r w:rsidRPr="00BF4AB8">
        <w:rPr>
          <w:snapToGrid w:val="0"/>
          <w:sz w:val="22"/>
          <w:szCs w:val="24"/>
        </w:rPr>
        <w:t>tinim</w:t>
      </w:r>
      <w:r w:rsidR="00BC2756" w:rsidRPr="00BF4AB8">
        <w:rPr>
          <w:snapToGrid w:val="0"/>
          <w:sz w:val="22"/>
          <w:szCs w:val="24"/>
        </w:rPr>
        <w:t>as</w:t>
      </w:r>
      <w:r w:rsidRPr="00BF4AB8">
        <w:rPr>
          <w:snapToGrid w:val="0"/>
          <w:sz w:val="22"/>
          <w:szCs w:val="24"/>
        </w:rPr>
        <w:t xml:space="preserve"> ir galūnės šilim</w:t>
      </w:r>
      <w:r w:rsidR="00BC2756" w:rsidRPr="00BF4AB8">
        <w:rPr>
          <w:snapToGrid w:val="0"/>
          <w:sz w:val="22"/>
          <w:szCs w:val="24"/>
        </w:rPr>
        <w:t>as</w:t>
      </w:r>
      <w:r w:rsidRPr="00BF4AB8">
        <w:rPr>
          <w:snapToGrid w:val="0"/>
          <w:sz w:val="22"/>
          <w:szCs w:val="24"/>
        </w:rPr>
        <w:t>); krešuliai gali judėti kraujagyslėmis</w:t>
      </w:r>
      <w:r w:rsidR="00BC2756" w:rsidRPr="00BF4AB8">
        <w:rPr>
          <w:snapToGrid w:val="0"/>
          <w:sz w:val="22"/>
          <w:szCs w:val="24"/>
        </w:rPr>
        <w:t xml:space="preserve"> </w:t>
      </w:r>
      <w:r w:rsidRPr="00BF4AB8">
        <w:rPr>
          <w:snapToGrid w:val="0"/>
          <w:sz w:val="22"/>
          <w:szCs w:val="24"/>
        </w:rPr>
        <w:t xml:space="preserve">iki plaučių ir sukelti skausmą krūtinėje bei </w:t>
      </w:r>
      <w:r w:rsidR="00BC2756" w:rsidRPr="00BF4AB8">
        <w:rPr>
          <w:snapToGrid w:val="0"/>
          <w:sz w:val="22"/>
          <w:szCs w:val="24"/>
        </w:rPr>
        <w:t>kvėpavimo pasunkėjimą</w:t>
      </w:r>
      <w:r w:rsidRPr="00BF4AB8">
        <w:rPr>
          <w:snapToGrid w:val="0"/>
          <w:sz w:val="22"/>
          <w:szCs w:val="24"/>
        </w:rPr>
        <w:t xml:space="preserve"> (pastebėję bet kurį iš šių</w:t>
      </w:r>
      <w:r w:rsidR="00BC2756" w:rsidRPr="00BF4AB8">
        <w:rPr>
          <w:snapToGrid w:val="0"/>
          <w:sz w:val="22"/>
          <w:szCs w:val="24"/>
        </w:rPr>
        <w:t xml:space="preserve"> </w:t>
      </w:r>
      <w:r w:rsidRPr="00BF4AB8">
        <w:rPr>
          <w:snapToGrid w:val="0"/>
          <w:sz w:val="22"/>
          <w:szCs w:val="24"/>
        </w:rPr>
        <w:t>simptomų, nedelsdami kreipkitės medicininės pagalbos).</w:t>
      </w:r>
    </w:p>
    <w:p w14:paraId="2167E3C8" w14:textId="7264E0A5" w:rsidR="00C73A1F" w:rsidRPr="00BF4AB8" w:rsidRDefault="00BC2756" w:rsidP="007E4DC1">
      <w:pPr>
        <w:pStyle w:val="Sraopastraipa"/>
        <w:numPr>
          <w:ilvl w:val="0"/>
          <w:numId w:val="7"/>
        </w:numPr>
        <w:ind w:left="567" w:right="-2" w:hanging="567"/>
        <w:rPr>
          <w:snapToGrid w:val="0"/>
          <w:sz w:val="22"/>
          <w:szCs w:val="24"/>
        </w:rPr>
      </w:pPr>
      <w:r w:rsidRPr="00BF4AB8">
        <w:rPr>
          <w:snapToGrid w:val="0"/>
          <w:sz w:val="22"/>
          <w:szCs w:val="24"/>
        </w:rPr>
        <w:t>Didelis kr</w:t>
      </w:r>
      <w:r w:rsidR="00C73A1F" w:rsidRPr="00BF4AB8">
        <w:rPr>
          <w:snapToGrid w:val="0"/>
          <w:sz w:val="22"/>
          <w:szCs w:val="24"/>
        </w:rPr>
        <w:t>aujospū</w:t>
      </w:r>
      <w:r w:rsidR="009B178B">
        <w:rPr>
          <w:snapToGrid w:val="0"/>
          <w:sz w:val="22"/>
          <w:szCs w:val="24"/>
        </w:rPr>
        <w:t>d</w:t>
      </w:r>
      <w:r w:rsidRPr="00BF4AB8">
        <w:rPr>
          <w:snapToGrid w:val="0"/>
          <w:sz w:val="22"/>
          <w:szCs w:val="24"/>
        </w:rPr>
        <w:t>is</w:t>
      </w:r>
      <w:r w:rsidR="00C73A1F" w:rsidRPr="00BF4AB8">
        <w:rPr>
          <w:snapToGrid w:val="0"/>
          <w:sz w:val="22"/>
          <w:szCs w:val="24"/>
        </w:rPr>
        <w:t xml:space="preserve"> (hipertenzija).</w:t>
      </w:r>
    </w:p>
    <w:p w14:paraId="299A3C9C" w14:textId="6FD3B566" w:rsidR="00C73A1F" w:rsidRPr="00BF4AB8" w:rsidRDefault="00C73A1F" w:rsidP="007E4DC1">
      <w:pPr>
        <w:pStyle w:val="Sraopastraipa"/>
        <w:numPr>
          <w:ilvl w:val="0"/>
          <w:numId w:val="7"/>
        </w:numPr>
        <w:ind w:left="567" w:right="-2" w:hanging="567"/>
        <w:rPr>
          <w:snapToGrid w:val="0"/>
          <w:sz w:val="22"/>
          <w:szCs w:val="24"/>
        </w:rPr>
      </w:pPr>
      <w:r w:rsidRPr="00BF4AB8">
        <w:rPr>
          <w:snapToGrid w:val="0"/>
          <w:sz w:val="22"/>
          <w:szCs w:val="24"/>
        </w:rPr>
        <w:t>Skysčių netekimas (dehidra</w:t>
      </w:r>
      <w:r w:rsidR="00BC2756" w:rsidRPr="00BF4AB8">
        <w:rPr>
          <w:snapToGrid w:val="0"/>
          <w:sz w:val="22"/>
          <w:szCs w:val="24"/>
        </w:rPr>
        <w:t>ta</w:t>
      </w:r>
      <w:r w:rsidRPr="00BF4AB8">
        <w:rPr>
          <w:snapToGrid w:val="0"/>
          <w:sz w:val="22"/>
          <w:szCs w:val="24"/>
        </w:rPr>
        <w:t>cija).</w:t>
      </w:r>
    </w:p>
    <w:p w14:paraId="1D13F50E" w14:textId="3D651A3C" w:rsidR="00C73A1F" w:rsidRPr="00BF4AB8" w:rsidRDefault="00C73A1F" w:rsidP="007E4DC1">
      <w:pPr>
        <w:pStyle w:val="Sraopastraipa"/>
        <w:numPr>
          <w:ilvl w:val="0"/>
          <w:numId w:val="7"/>
        </w:numPr>
        <w:ind w:left="567" w:right="-2" w:hanging="567"/>
        <w:rPr>
          <w:snapToGrid w:val="0"/>
          <w:sz w:val="22"/>
          <w:szCs w:val="24"/>
        </w:rPr>
      </w:pPr>
      <w:proofErr w:type="spellStart"/>
      <w:r w:rsidRPr="00BF4AB8">
        <w:rPr>
          <w:snapToGrid w:val="0"/>
          <w:sz w:val="22"/>
          <w:szCs w:val="24"/>
        </w:rPr>
        <w:t>Abscesai</w:t>
      </w:r>
      <w:proofErr w:type="spellEnd"/>
      <w:r w:rsidRPr="00BF4AB8">
        <w:rPr>
          <w:snapToGrid w:val="0"/>
          <w:sz w:val="22"/>
          <w:szCs w:val="24"/>
        </w:rPr>
        <w:t>.</w:t>
      </w:r>
    </w:p>
    <w:p w14:paraId="21ACDF66" w14:textId="4BCE1A91" w:rsidR="00C73A1F" w:rsidRPr="00BF4AB8" w:rsidRDefault="00C73A1F" w:rsidP="007E4DC1">
      <w:pPr>
        <w:pStyle w:val="Sraopastraipa"/>
        <w:numPr>
          <w:ilvl w:val="0"/>
          <w:numId w:val="7"/>
        </w:numPr>
        <w:ind w:left="567" w:right="-2" w:hanging="567"/>
        <w:rPr>
          <w:snapToGrid w:val="0"/>
          <w:sz w:val="22"/>
          <w:szCs w:val="24"/>
        </w:rPr>
      </w:pPr>
      <w:r w:rsidRPr="00BF4AB8">
        <w:rPr>
          <w:snapToGrid w:val="0"/>
          <w:sz w:val="22"/>
          <w:szCs w:val="24"/>
        </w:rPr>
        <w:t>Mažas trombocitų skaičius (</w:t>
      </w:r>
      <w:proofErr w:type="spellStart"/>
      <w:r w:rsidRPr="00BF4AB8">
        <w:rPr>
          <w:snapToGrid w:val="0"/>
          <w:sz w:val="22"/>
          <w:szCs w:val="24"/>
        </w:rPr>
        <w:t>trombocitopenija</w:t>
      </w:r>
      <w:proofErr w:type="spellEnd"/>
      <w:r w:rsidRPr="00BF4AB8">
        <w:rPr>
          <w:snapToGrid w:val="0"/>
          <w:sz w:val="22"/>
          <w:szCs w:val="24"/>
        </w:rPr>
        <w:t>).</w:t>
      </w:r>
    </w:p>
    <w:p w14:paraId="00030036" w14:textId="2FBD8452" w:rsidR="00C73A1F" w:rsidRPr="00BF4AB8" w:rsidRDefault="00C73A1F" w:rsidP="007E4DC1">
      <w:pPr>
        <w:pStyle w:val="Sraopastraipa"/>
        <w:numPr>
          <w:ilvl w:val="0"/>
          <w:numId w:val="7"/>
        </w:numPr>
        <w:ind w:left="567" w:right="-2" w:hanging="567"/>
        <w:rPr>
          <w:snapToGrid w:val="0"/>
          <w:sz w:val="22"/>
          <w:szCs w:val="24"/>
        </w:rPr>
      </w:pPr>
      <w:r w:rsidRPr="00BF4AB8">
        <w:rPr>
          <w:snapToGrid w:val="0"/>
          <w:sz w:val="22"/>
          <w:szCs w:val="24"/>
        </w:rPr>
        <w:t>Gelta (</w:t>
      </w:r>
      <w:proofErr w:type="spellStart"/>
      <w:r w:rsidRPr="00BF4AB8">
        <w:rPr>
          <w:snapToGrid w:val="0"/>
          <w:sz w:val="22"/>
          <w:szCs w:val="24"/>
        </w:rPr>
        <w:t>hiperbilirubinemija</w:t>
      </w:r>
      <w:proofErr w:type="spellEnd"/>
      <w:r w:rsidRPr="00BF4AB8">
        <w:rPr>
          <w:snapToGrid w:val="0"/>
          <w:sz w:val="22"/>
          <w:szCs w:val="24"/>
        </w:rPr>
        <w:t>).</w:t>
      </w:r>
    </w:p>
    <w:p w14:paraId="3DC84FAC" w14:textId="04B30F36" w:rsidR="00C73A1F" w:rsidRPr="00580308" w:rsidRDefault="00C73A1F" w:rsidP="00877296">
      <w:pPr>
        <w:pStyle w:val="Sraopastraipa"/>
        <w:numPr>
          <w:ilvl w:val="0"/>
          <w:numId w:val="7"/>
        </w:numPr>
        <w:ind w:left="567" w:right="-2" w:hanging="567"/>
        <w:rPr>
          <w:snapToGrid w:val="0"/>
          <w:sz w:val="22"/>
          <w:szCs w:val="24"/>
        </w:rPr>
      </w:pPr>
      <w:r w:rsidRPr="00580308">
        <w:rPr>
          <w:snapToGrid w:val="0"/>
          <w:sz w:val="22"/>
          <w:szCs w:val="24"/>
        </w:rPr>
        <w:t xml:space="preserve">Padidėjęs kepenų fermento (gama </w:t>
      </w:r>
      <w:proofErr w:type="spellStart"/>
      <w:r w:rsidRPr="00580308">
        <w:rPr>
          <w:snapToGrid w:val="0"/>
          <w:sz w:val="22"/>
          <w:szCs w:val="24"/>
        </w:rPr>
        <w:t>glutamiltransferazės</w:t>
      </w:r>
      <w:proofErr w:type="spellEnd"/>
      <w:r w:rsidRPr="00580308">
        <w:rPr>
          <w:snapToGrid w:val="0"/>
          <w:sz w:val="22"/>
          <w:szCs w:val="24"/>
        </w:rPr>
        <w:t>) aktyvumas kraujyje, nustatomas kraujo</w:t>
      </w:r>
      <w:r w:rsidR="00580308" w:rsidRPr="00580308">
        <w:rPr>
          <w:snapToGrid w:val="0"/>
          <w:sz w:val="22"/>
          <w:szCs w:val="24"/>
        </w:rPr>
        <w:t xml:space="preserve"> </w:t>
      </w:r>
      <w:r w:rsidRPr="00580308">
        <w:rPr>
          <w:snapToGrid w:val="0"/>
          <w:sz w:val="22"/>
          <w:szCs w:val="24"/>
        </w:rPr>
        <w:t>tyrimais.</w:t>
      </w:r>
    </w:p>
    <w:p w14:paraId="48A558E8" w14:textId="1C052DA8" w:rsidR="00C73A1F" w:rsidRPr="00BF4AB8" w:rsidRDefault="00C73A1F" w:rsidP="007E4DC1">
      <w:pPr>
        <w:pStyle w:val="Sraopastraipa"/>
        <w:numPr>
          <w:ilvl w:val="0"/>
          <w:numId w:val="7"/>
        </w:numPr>
        <w:ind w:left="567" w:right="-2" w:hanging="567"/>
        <w:rPr>
          <w:snapToGrid w:val="0"/>
          <w:sz w:val="22"/>
          <w:szCs w:val="24"/>
        </w:rPr>
      </w:pPr>
      <w:r w:rsidRPr="00BF4AB8">
        <w:rPr>
          <w:snapToGrid w:val="0"/>
          <w:sz w:val="22"/>
          <w:szCs w:val="24"/>
        </w:rPr>
        <w:t xml:space="preserve">Sumažėjęs </w:t>
      </w:r>
      <w:r w:rsidR="00BC2756" w:rsidRPr="00BF4AB8">
        <w:rPr>
          <w:snapToGrid w:val="0"/>
          <w:sz w:val="22"/>
          <w:szCs w:val="24"/>
        </w:rPr>
        <w:t xml:space="preserve">kūno </w:t>
      </w:r>
      <w:r w:rsidRPr="00BF4AB8">
        <w:rPr>
          <w:snapToGrid w:val="0"/>
          <w:sz w:val="22"/>
          <w:szCs w:val="24"/>
        </w:rPr>
        <w:t>svoris.</w:t>
      </w:r>
    </w:p>
    <w:p w14:paraId="0A508F28" w14:textId="6291A549" w:rsidR="00C73A1F" w:rsidRPr="00BF4AB8" w:rsidRDefault="00C73A1F" w:rsidP="007E4DC1">
      <w:pPr>
        <w:pStyle w:val="Sraopastraipa"/>
        <w:numPr>
          <w:ilvl w:val="0"/>
          <w:numId w:val="7"/>
        </w:numPr>
        <w:ind w:left="567" w:right="-2" w:hanging="567"/>
        <w:rPr>
          <w:snapToGrid w:val="0"/>
          <w:sz w:val="22"/>
          <w:szCs w:val="24"/>
        </w:rPr>
      </w:pPr>
      <w:r w:rsidRPr="00BF4AB8">
        <w:rPr>
          <w:snapToGrid w:val="0"/>
          <w:sz w:val="22"/>
          <w:szCs w:val="24"/>
        </w:rPr>
        <w:t>Niežėjimas.</w:t>
      </w:r>
    </w:p>
    <w:p w14:paraId="4F90A0F6" w14:textId="02CF341D" w:rsidR="00C73A1F" w:rsidRPr="00BF4AB8" w:rsidRDefault="00C73A1F" w:rsidP="007E4DC1">
      <w:pPr>
        <w:pStyle w:val="Sraopastraipa"/>
        <w:numPr>
          <w:ilvl w:val="0"/>
          <w:numId w:val="7"/>
        </w:numPr>
        <w:ind w:left="567" w:right="-2" w:hanging="567"/>
        <w:rPr>
          <w:snapToGrid w:val="0"/>
          <w:sz w:val="22"/>
          <w:szCs w:val="24"/>
        </w:rPr>
      </w:pPr>
      <w:r w:rsidRPr="00BF4AB8">
        <w:rPr>
          <w:snapToGrid w:val="0"/>
          <w:sz w:val="22"/>
          <w:szCs w:val="24"/>
        </w:rPr>
        <w:t>Galvos skausmas.</w:t>
      </w:r>
    </w:p>
    <w:p w14:paraId="7A7BD661" w14:textId="708806DE" w:rsidR="00C73A1F" w:rsidRPr="00BF4AB8" w:rsidRDefault="00C73A1F" w:rsidP="007E4DC1">
      <w:pPr>
        <w:pStyle w:val="Sraopastraipa"/>
        <w:numPr>
          <w:ilvl w:val="0"/>
          <w:numId w:val="7"/>
        </w:numPr>
        <w:ind w:left="567" w:right="-2" w:hanging="567"/>
        <w:rPr>
          <w:snapToGrid w:val="0"/>
          <w:sz w:val="22"/>
          <w:szCs w:val="24"/>
        </w:rPr>
      </w:pPr>
      <w:r w:rsidRPr="00BF4AB8">
        <w:rPr>
          <w:snapToGrid w:val="0"/>
          <w:sz w:val="22"/>
          <w:szCs w:val="24"/>
        </w:rPr>
        <w:t>Padidėjęs baltymų kiekis šlapime (</w:t>
      </w:r>
      <w:proofErr w:type="spellStart"/>
      <w:r w:rsidRPr="00BF4AB8">
        <w:rPr>
          <w:snapToGrid w:val="0"/>
          <w:sz w:val="22"/>
          <w:szCs w:val="24"/>
        </w:rPr>
        <w:t>proteinurija</w:t>
      </w:r>
      <w:proofErr w:type="spellEnd"/>
      <w:r w:rsidRPr="00BF4AB8">
        <w:rPr>
          <w:snapToGrid w:val="0"/>
          <w:sz w:val="22"/>
          <w:szCs w:val="24"/>
        </w:rPr>
        <w:t>).</w:t>
      </w:r>
    </w:p>
    <w:p w14:paraId="67EDECBB" w14:textId="77777777" w:rsidR="00BC2756" w:rsidRPr="00BF4AB8" w:rsidRDefault="00BC2756" w:rsidP="00C73A1F">
      <w:pPr>
        <w:tabs>
          <w:tab w:val="left" w:pos="567"/>
        </w:tabs>
        <w:ind w:right="-29"/>
        <w:rPr>
          <w:snapToGrid w:val="0"/>
          <w:sz w:val="22"/>
        </w:rPr>
      </w:pPr>
    </w:p>
    <w:p w14:paraId="7BDC3F58" w14:textId="7929698D" w:rsidR="00C73A1F" w:rsidRPr="00BF4AB8" w:rsidRDefault="00BC2756" w:rsidP="00C73A1F">
      <w:pPr>
        <w:tabs>
          <w:tab w:val="left" w:pos="567"/>
        </w:tabs>
        <w:ind w:right="-29"/>
        <w:rPr>
          <w:snapToGrid w:val="0"/>
          <w:sz w:val="22"/>
        </w:rPr>
      </w:pPr>
      <w:r w:rsidRPr="00BF4AB8">
        <w:rPr>
          <w:b/>
          <w:bCs/>
          <w:snapToGrid w:val="0"/>
          <w:sz w:val="22"/>
        </w:rPr>
        <w:t>Nedažni šalutinio poveikio reiškiniai</w:t>
      </w:r>
      <w:r w:rsidRPr="00BF4AB8">
        <w:rPr>
          <w:snapToGrid w:val="0"/>
          <w:sz w:val="22"/>
        </w:rPr>
        <w:t xml:space="preserve"> (gali pasireikšti rečiau kaip 1 iš 100 asmenų)</w:t>
      </w:r>
    </w:p>
    <w:p w14:paraId="4B7719C4" w14:textId="4F5EDE2C" w:rsidR="00C73A1F" w:rsidRPr="00BF4AB8" w:rsidRDefault="00C73A1F" w:rsidP="00BC2756">
      <w:pPr>
        <w:pStyle w:val="Sraopastraipa"/>
        <w:numPr>
          <w:ilvl w:val="0"/>
          <w:numId w:val="7"/>
        </w:numPr>
        <w:ind w:left="567" w:right="-2" w:hanging="567"/>
        <w:rPr>
          <w:snapToGrid w:val="0"/>
          <w:sz w:val="22"/>
          <w:szCs w:val="24"/>
        </w:rPr>
      </w:pPr>
      <w:r w:rsidRPr="00BF4AB8">
        <w:rPr>
          <w:snapToGrid w:val="0"/>
          <w:sz w:val="22"/>
          <w:szCs w:val="24"/>
        </w:rPr>
        <w:t>Žarnų sienelės prakiurima</w:t>
      </w:r>
      <w:r w:rsidR="00BC2756" w:rsidRPr="00BF4AB8">
        <w:rPr>
          <w:snapToGrid w:val="0"/>
          <w:sz w:val="22"/>
          <w:szCs w:val="24"/>
        </w:rPr>
        <w:t>s</w:t>
      </w:r>
      <w:r w:rsidRPr="00BF4AB8">
        <w:rPr>
          <w:snapToGrid w:val="0"/>
          <w:sz w:val="22"/>
          <w:szCs w:val="24"/>
        </w:rPr>
        <w:t xml:space="preserve"> (virškinimo trakto perforacija).</w:t>
      </w:r>
    </w:p>
    <w:p w14:paraId="3324455A" w14:textId="462D17A7" w:rsidR="00C73A1F" w:rsidRPr="00BF4AB8" w:rsidRDefault="00C73A1F" w:rsidP="00BC2756">
      <w:pPr>
        <w:pStyle w:val="Sraopastraipa"/>
        <w:numPr>
          <w:ilvl w:val="0"/>
          <w:numId w:val="7"/>
        </w:numPr>
        <w:ind w:left="567" w:right="-2" w:hanging="567"/>
        <w:rPr>
          <w:snapToGrid w:val="0"/>
          <w:sz w:val="22"/>
          <w:szCs w:val="24"/>
        </w:rPr>
      </w:pPr>
      <w:r w:rsidRPr="00BF4AB8">
        <w:rPr>
          <w:snapToGrid w:val="0"/>
          <w:sz w:val="22"/>
          <w:szCs w:val="24"/>
        </w:rPr>
        <w:t>Sunkus kepenų sutrikimas.</w:t>
      </w:r>
    </w:p>
    <w:p w14:paraId="11855CAC" w14:textId="2550A735" w:rsidR="00C73A1F" w:rsidRPr="00BF4AB8" w:rsidRDefault="00C73A1F" w:rsidP="00BC2756">
      <w:pPr>
        <w:pStyle w:val="Sraopastraipa"/>
        <w:numPr>
          <w:ilvl w:val="0"/>
          <w:numId w:val="7"/>
        </w:numPr>
        <w:ind w:left="567" w:right="-2" w:hanging="567"/>
        <w:rPr>
          <w:snapToGrid w:val="0"/>
          <w:sz w:val="22"/>
          <w:szCs w:val="24"/>
        </w:rPr>
      </w:pPr>
      <w:r w:rsidRPr="00BF4AB8">
        <w:rPr>
          <w:snapToGrid w:val="0"/>
          <w:sz w:val="22"/>
          <w:szCs w:val="24"/>
        </w:rPr>
        <w:t>Kasos uždegimas (pankreatitas).</w:t>
      </w:r>
    </w:p>
    <w:p w14:paraId="4440F732" w14:textId="77391594" w:rsidR="00C73A1F" w:rsidRPr="00BF4AB8" w:rsidRDefault="00C73A1F" w:rsidP="00BC2756">
      <w:pPr>
        <w:pStyle w:val="Sraopastraipa"/>
        <w:numPr>
          <w:ilvl w:val="0"/>
          <w:numId w:val="7"/>
        </w:numPr>
        <w:ind w:left="567" w:right="-2" w:hanging="567"/>
        <w:rPr>
          <w:snapToGrid w:val="0"/>
          <w:sz w:val="22"/>
          <w:szCs w:val="24"/>
        </w:rPr>
      </w:pPr>
      <w:r w:rsidRPr="00BF4AB8">
        <w:rPr>
          <w:snapToGrid w:val="0"/>
          <w:sz w:val="22"/>
          <w:szCs w:val="24"/>
        </w:rPr>
        <w:t>Miokardo infarktas.</w:t>
      </w:r>
    </w:p>
    <w:p w14:paraId="0B58024C" w14:textId="1AA95577" w:rsidR="00C73A1F" w:rsidRPr="00BF4AB8" w:rsidRDefault="00C73A1F" w:rsidP="00BC2756">
      <w:pPr>
        <w:pStyle w:val="Sraopastraipa"/>
        <w:numPr>
          <w:ilvl w:val="0"/>
          <w:numId w:val="7"/>
        </w:numPr>
        <w:ind w:left="567" w:right="-2" w:hanging="567"/>
        <w:rPr>
          <w:snapToGrid w:val="0"/>
          <w:sz w:val="22"/>
          <w:szCs w:val="24"/>
        </w:rPr>
      </w:pPr>
      <w:r w:rsidRPr="00BF4AB8">
        <w:rPr>
          <w:snapToGrid w:val="0"/>
          <w:sz w:val="22"/>
          <w:szCs w:val="24"/>
        </w:rPr>
        <w:t>Inkstų nepakankamumas.</w:t>
      </w:r>
    </w:p>
    <w:p w14:paraId="236030DC" w14:textId="77777777" w:rsidR="00BC2756" w:rsidRPr="00BF4AB8" w:rsidRDefault="00BC2756" w:rsidP="00BC2756">
      <w:pPr>
        <w:ind w:right="-2"/>
        <w:rPr>
          <w:snapToGrid w:val="0"/>
          <w:sz w:val="22"/>
          <w:szCs w:val="24"/>
        </w:rPr>
      </w:pPr>
    </w:p>
    <w:p w14:paraId="4A5CDBE0" w14:textId="69797480" w:rsidR="00C73A1F" w:rsidRPr="00BF4AB8" w:rsidRDefault="00BC2756" w:rsidP="00BC2756">
      <w:pPr>
        <w:ind w:right="-2"/>
        <w:rPr>
          <w:snapToGrid w:val="0"/>
          <w:sz w:val="22"/>
          <w:szCs w:val="24"/>
        </w:rPr>
      </w:pPr>
      <w:r w:rsidRPr="00BF4AB8">
        <w:rPr>
          <w:b/>
          <w:bCs/>
          <w:snapToGrid w:val="0"/>
          <w:sz w:val="22"/>
          <w:szCs w:val="24"/>
        </w:rPr>
        <w:t>Šalutinio poveikio reiškiniai, kurių dažnis nežinomas</w:t>
      </w:r>
      <w:r w:rsidRPr="00BF4AB8">
        <w:rPr>
          <w:snapToGrid w:val="0"/>
          <w:sz w:val="22"/>
          <w:szCs w:val="24"/>
        </w:rPr>
        <w:t xml:space="preserve"> (negali būti apskaičiuotas pagal turimus duomenis)</w:t>
      </w:r>
    </w:p>
    <w:p w14:paraId="676BF80A" w14:textId="1DD7CA9C" w:rsidR="00C73A1F" w:rsidRPr="00BF4AB8" w:rsidRDefault="00C73A1F" w:rsidP="00BC2756">
      <w:pPr>
        <w:pStyle w:val="Sraopastraipa"/>
        <w:numPr>
          <w:ilvl w:val="0"/>
          <w:numId w:val="7"/>
        </w:numPr>
        <w:ind w:left="567" w:right="-2" w:hanging="567"/>
        <w:rPr>
          <w:snapToGrid w:val="0"/>
          <w:sz w:val="22"/>
          <w:szCs w:val="24"/>
        </w:rPr>
      </w:pPr>
      <w:r w:rsidRPr="00BF4AB8">
        <w:rPr>
          <w:snapToGrid w:val="0"/>
          <w:sz w:val="22"/>
          <w:szCs w:val="24"/>
        </w:rPr>
        <w:t>Storosios žarnos uždegimas.</w:t>
      </w:r>
    </w:p>
    <w:p w14:paraId="6EEDB52E" w14:textId="4761D9B8" w:rsidR="005D554B" w:rsidRPr="00BF4AB8" w:rsidRDefault="00C73A1F" w:rsidP="006B1036">
      <w:pPr>
        <w:pStyle w:val="Sraopastraipa"/>
        <w:numPr>
          <w:ilvl w:val="0"/>
          <w:numId w:val="7"/>
        </w:numPr>
        <w:ind w:left="567" w:right="-2" w:hanging="567"/>
        <w:rPr>
          <w:snapToGrid w:val="0"/>
          <w:sz w:val="22"/>
          <w:szCs w:val="24"/>
        </w:rPr>
      </w:pPr>
      <w:r w:rsidRPr="00BF4AB8">
        <w:rPr>
          <w:snapToGrid w:val="0"/>
          <w:sz w:val="22"/>
          <w:szCs w:val="24"/>
        </w:rPr>
        <w:t>Kraujagyslės sienelės išsipūtimas ir susilpnėjimas arba kraujagyslės sienelės įplyšimas</w:t>
      </w:r>
      <w:r w:rsidR="00BC2756" w:rsidRPr="00BF4AB8">
        <w:rPr>
          <w:snapToGrid w:val="0"/>
          <w:sz w:val="22"/>
          <w:szCs w:val="24"/>
        </w:rPr>
        <w:t xml:space="preserve"> </w:t>
      </w:r>
      <w:r w:rsidRPr="00BF4AB8">
        <w:rPr>
          <w:snapToGrid w:val="0"/>
          <w:sz w:val="22"/>
          <w:szCs w:val="24"/>
        </w:rPr>
        <w:t xml:space="preserve">(aneurizmos ir arterijų </w:t>
      </w:r>
      <w:r w:rsidR="00BC2756" w:rsidRPr="00BF4AB8">
        <w:rPr>
          <w:snapToGrid w:val="0"/>
          <w:sz w:val="22"/>
          <w:szCs w:val="24"/>
        </w:rPr>
        <w:t>atsisluoksniavimas</w:t>
      </w:r>
      <w:r w:rsidRPr="00BF4AB8">
        <w:rPr>
          <w:snapToGrid w:val="0"/>
          <w:sz w:val="22"/>
          <w:szCs w:val="24"/>
        </w:rPr>
        <w:t>).</w:t>
      </w:r>
    </w:p>
    <w:p w14:paraId="40653AD3" w14:textId="77777777" w:rsidR="00BC2756" w:rsidRPr="00BF4AB8" w:rsidRDefault="00BC2756" w:rsidP="005D554B">
      <w:pPr>
        <w:tabs>
          <w:tab w:val="left" w:pos="567"/>
        </w:tabs>
        <w:rPr>
          <w:snapToGrid w:val="0"/>
          <w:sz w:val="22"/>
          <w:szCs w:val="22"/>
        </w:rPr>
      </w:pPr>
    </w:p>
    <w:p w14:paraId="6C5DA2E5" w14:textId="73773CD2" w:rsidR="005D554B" w:rsidRPr="00BF4AB8" w:rsidRDefault="005D554B" w:rsidP="005D554B">
      <w:pPr>
        <w:tabs>
          <w:tab w:val="left" w:pos="567"/>
        </w:tabs>
        <w:rPr>
          <w:b/>
          <w:snapToGrid w:val="0"/>
          <w:sz w:val="22"/>
          <w:szCs w:val="24"/>
        </w:rPr>
      </w:pPr>
      <w:r w:rsidRPr="00BF4AB8">
        <w:rPr>
          <w:b/>
          <w:snapToGrid w:val="0"/>
          <w:sz w:val="22"/>
          <w:szCs w:val="24"/>
        </w:rPr>
        <w:t>Pranešimas apie šalutinį poveikį</w:t>
      </w:r>
    </w:p>
    <w:p w14:paraId="5F3F2194" w14:textId="21E84D92" w:rsidR="005D554B" w:rsidRPr="00BF4AB8" w:rsidRDefault="005D554B" w:rsidP="005D554B">
      <w:pPr>
        <w:tabs>
          <w:tab w:val="left" w:pos="567"/>
        </w:tabs>
        <w:spacing w:line="260" w:lineRule="exact"/>
        <w:ind w:right="-1"/>
        <w:rPr>
          <w:snapToGrid w:val="0"/>
          <w:sz w:val="22"/>
        </w:rPr>
      </w:pPr>
      <w:r w:rsidRPr="00BF4AB8">
        <w:rPr>
          <w:snapToGrid w:val="0"/>
          <w:sz w:val="22"/>
        </w:rPr>
        <w:t>Jeigu pasireiškė šalutinis poveikis, įskaitant šiame lapelyje nenurodytą, pasakykite gydytojui</w:t>
      </w:r>
      <w:r w:rsidR="00BC2756" w:rsidRPr="00BF4AB8">
        <w:rPr>
          <w:snapToGrid w:val="0"/>
          <w:sz w:val="22"/>
        </w:rPr>
        <w:t xml:space="preserve"> </w:t>
      </w:r>
      <w:r w:rsidRPr="00BF4AB8">
        <w:rPr>
          <w:snapToGrid w:val="0"/>
          <w:sz w:val="22"/>
        </w:rPr>
        <w:t>arba</w:t>
      </w:r>
      <w:r w:rsidR="00BC2756" w:rsidRPr="00BF4AB8">
        <w:rPr>
          <w:snapToGrid w:val="0"/>
          <w:sz w:val="22"/>
        </w:rPr>
        <w:t xml:space="preserve"> </w:t>
      </w:r>
      <w:r w:rsidRPr="00BF4AB8">
        <w:rPr>
          <w:snapToGrid w:val="0"/>
          <w:sz w:val="22"/>
        </w:rPr>
        <w:t xml:space="preserve">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18" w:history="1">
        <w:r w:rsidRPr="00BF4AB8">
          <w:rPr>
            <w:snapToGrid w:val="0"/>
            <w:color w:val="0000FF"/>
            <w:sz w:val="22"/>
            <w:u w:val="single"/>
          </w:rPr>
          <w:t>https://vapris.vvkt.lt/vvkt-web/public/nrv</w:t>
        </w:r>
      </w:hyperlink>
      <w:r w:rsidRPr="00BF4AB8">
        <w:rPr>
          <w:snapToGrid w:val="0"/>
          <w:sz w:val="22"/>
        </w:rPr>
        <w:t xml:space="preserve"> arba užpildant Paciento pranešimo apie įtariamą nepageidaujamą reakciją (ĮNR) formą, kuri skelbiama </w:t>
      </w:r>
      <w:hyperlink r:id="rId19" w:history="1">
        <w:r w:rsidRPr="00BF4AB8">
          <w:rPr>
            <w:snapToGrid w:val="0"/>
            <w:color w:val="0000FF"/>
            <w:sz w:val="22"/>
            <w:u w:val="single"/>
          </w:rPr>
          <w:t>https://www.vvkt.lt/index.php?4004286486</w:t>
        </w:r>
      </w:hyperlink>
      <w:r w:rsidRPr="00BF4AB8">
        <w:rPr>
          <w:snapToGrid w:val="0"/>
          <w:sz w:val="22"/>
        </w:rPr>
        <w:t xml:space="preserve">, ir atsiunčiant elektroniniu paštu (adresu </w:t>
      </w:r>
      <w:hyperlink r:id="rId20" w:history="1">
        <w:r w:rsidRPr="00BF4AB8">
          <w:rPr>
            <w:snapToGrid w:val="0"/>
            <w:color w:val="0000FF"/>
            <w:sz w:val="22"/>
            <w:u w:val="single"/>
          </w:rPr>
          <w:t>NepageidaujamaR@vvkt.lt</w:t>
        </w:r>
      </w:hyperlink>
      <w:r w:rsidRPr="00BF4AB8">
        <w:rPr>
          <w:snapToGrid w:val="0"/>
          <w:sz w:val="22"/>
        </w:rPr>
        <w:t xml:space="preserve">) arba nemokamu </w:t>
      </w:r>
      <w:r w:rsidRPr="002F7EF7">
        <w:rPr>
          <w:snapToGrid w:val="0"/>
          <w:sz w:val="22"/>
        </w:rPr>
        <w:t xml:space="preserve">telefonu </w:t>
      </w:r>
      <w:r w:rsidR="00F20C8D" w:rsidRPr="002F7EF7">
        <w:rPr>
          <w:snapToGrid w:val="0"/>
          <w:sz w:val="22"/>
        </w:rPr>
        <w:t>0</w:t>
      </w:r>
      <w:r w:rsidRPr="002F7EF7">
        <w:rPr>
          <w:snapToGrid w:val="0"/>
          <w:sz w:val="22"/>
        </w:rPr>
        <w:t xml:space="preserve"> 800</w:t>
      </w:r>
      <w:r w:rsidRPr="00BF4AB8">
        <w:rPr>
          <w:snapToGrid w:val="0"/>
          <w:sz w:val="22"/>
        </w:rPr>
        <w:t xml:space="preserve"> 73 568. Pranešdami apie šalutinį poveikį galite mums padėti gauti daugiau informacijos apie šio vaisto saugumą.</w:t>
      </w:r>
    </w:p>
    <w:p w14:paraId="13F8044F" w14:textId="77777777" w:rsidR="005D554B" w:rsidRPr="00BF4AB8" w:rsidRDefault="005D554B" w:rsidP="005D554B">
      <w:pPr>
        <w:tabs>
          <w:tab w:val="left" w:pos="567"/>
        </w:tabs>
        <w:spacing w:line="260" w:lineRule="exact"/>
        <w:ind w:right="-449"/>
        <w:rPr>
          <w:snapToGrid w:val="0"/>
          <w:sz w:val="22"/>
          <w:szCs w:val="24"/>
        </w:rPr>
      </w:pPr>
    </w:p>
    <w:p w14:paraId="2CCA0080" w14:textId="77777777" w:rsidR="005D554B" w:rsidRPr="00BF4AB8" w:rsidRDefault="005D554B" w:rsidP="005D554B">
      <w:pPr>
        <w:tabs>
          <w:tab w:val="left" w:pos="567"/>
        </w:tabs>
        <w:spacing w:line="260" w:lineRule="exact"/>
        <w:ind w:right="-449"/>
        <w:rPr>
          <w:snapToGrid w:val="0"/>
          <w:sz w:val="22"/>
          <w:szCs w:val="24"/>
        </w:rPr>
      </w:pPr>
    </w:p>
    <w:p w14:paraId="5C81F202" w14:textId="5D3FE125" w:rsidR="005D554B" w:rsidRPr="00BF4AB8" w:rsidRDefault="005D554B" w:rsidP="005D554B">
      <w:pPr>
        <w:keepNext/>
        <w:keepLines/>
        <w:tabs>
          <w:tab w:val="left" w:pos="567"/>
        </w:tabs>
        <w:outlineLvl w:val="2"/>
        <w:rPr>
          <w:b/>
          <w:bCs/>
          <w:snapToGrid w:val="0"/>
          <w:sz w:val="22"/>
          <w:szCs w:val="26"/>
          <w:lang w:eastAsia="x-none"/>
        </w:rPr>
      </w:pPr>
      <w:r w:rsidRPr="00BF4AB8">
        <w:rPr>
          <w:b/>
          <w:bCs/>
          <w:snapToGrid w:val="0"/>
          <w:sz w:val="22"/>
          <w:szCs w:val="26"/>
          <w:lang w:eastAsia="x-none"/>
        </w:rPr>
        <w:t>5.</w:t>
      </w:r>
      <w:r w:rsidRPr="00BF4AB8">
        <w:rPr>
          <w:b/>
          <w:bCs/>
          <w:snapToGrid w:val="0"/>
          <w:sz w:val="22"/>
          <w:szCs w:val="26"/>
          <w:lang w:eastAsia="x-none"/>
        </w:rPr>
        <w:tab/>
        <w:t xml:space="preserve">Kaip laikyti </w:t>
      </w:r>
      <w:proofErr w:type="spellStart"/>
      <w:r w:rsidR="00C710D9" w:rsidRPr="00BF4AB8">
        <w:rPr>
          <w:b/>
          <w:bCs/>
          <w:snapToGrid w:val="0"/>
          <w:sz w:val="22"/>
          <w:szCs w:val="26"/>
          <w:lang w:eastAsia="x-none"/>
        </w:rPr>
        <w:t>Nytyka</w:t>
      </w:r>
      <w:proofErr w:type="spellEnd"/>
    </w:p>
    <w:p w14:paraId="002E29D2" w14:textId="77777777" w:rsidR="005D554B" w:rsidRPr="00BF4AB8" w:rsidRDefault="005D554B" w:rsidP="005D554B">
      <w:pPr>
        <w:numPr>
          <w:ilvl w:val="12"/>
          <w:numId w:val="0"/>
        </w:numPr>
        <w:ind w:right="-2"/>
        <w:rPr>
          <w:snapToGrid w:val="0"/>
          <w:sz w:val="22"/>
          <w:szCs w:val="24"/>
        </w:rPr>
      </w:pPr>
    </w:p>
    <w:p w14:paraId="060710C5" w14:textId="77777777" w:rsidR="005D554B" w:rsidRPr="00BF4AB8" w:rsidRDefault="005D554B" w:rsidP="005D554B">
      <w:pPr>
        <w:numPr>
          <w:ilvl w:val="12"/>
          <w:numId w:val="0"/>
        </w:numPr>
        <w:ind w:right="-2"/>
        <w:rPr>
          <w:snapToGrid w:val="0"/>
          <w:sz w:val="22"/>
          <w:szCs w:val="24"/>
        </w:rPr>
      </w:pPr>
      <w:r w:rsidRPr="00BF4AB8">
        <w:rPr>
          <w:snapToGrid w:val="0"/>
          <w:sz w:val="22"/>
          <w:szCs w:val="24"/>
        </w:rPr>
        <w:t>Šį vaistą laikykite vaikams nepastebimoje ir nepasiekiamoje vietoje.</w:t>
      </w:r>
    </w:p>
    <w:p w14:paraId="581B00E0" w14:textId="77777777" w:rsidR="005D554B" w:rsidRPr="00BF4AB8" w:rsidRDefault="005D554B" w:rsidP="005D554B">
      <w:pPr>
        <w:numPr>
          <w:ilvl w:val="12"/>
          <w:numId w:val="0"/>
        </w:numPr>
        <w:ind w:right="-2"/>
        <w:rPr>
          <w:snapToGrid w:val="0"/>
          <w:sz w:val="22"/>
          <w:szCs w:val="24"/>
        </w:rPr>
      </w:pPr>
    </w:p>
    <w:p w14:paraId="1EFD7924" w14:textId="4377DD75" w:rsidR="005D554B" w:rsidRPr="00BF4AB8" w:rsidRDefault="005D554B" w:rsidP="005D554B">
      <w:pPr>
        <w:numPr>
          <w:ilvl w:val="12"/>
          <w:numId w:val="0"/>
        </w:numPr>
        <w:ind w:right="-2"/>
        <w:rPr>
          <w:snapToGrid w:val="0"/>
          <w:sz w:val="22"/>
          <w:szCs w:val="24"/>
        </w:rPr>
      </w:pPr>
      <w:r w:rsidRPr="00BF4AB8">
        <w:rPr>
          <w:snapToGrid w:val="0"/>
          <w:sz w:val="22"/>
          <w:szCs w:val="24"/>
        </w:rPr>
        <w:t xml:space="preserve">Ant </w:t>
      </w:r>
      <w:r w:rsidR="00BC2756" w:rsidRPr="00BF4AB8">
        <w:rPr>
          <w:snapToGrid w:val="0"/>
          <w:sz w:val="22"/>
          <w:szCs w:val="24"/>
        </w:rPr>
        <w:t xml:space="preserve">dėžutės ir lizdinės plokštelės po </w:t>
      </w:r>
      <w:r w:rsidR="004B770C">
        <w:rPr>
          <w:snapToGrid w:val="0"/>
          <w:sz w:val="22"/>
          <w:szCs w:val="24"/>
        </w:rPr>
        <w:t>,,</w:t>
      </w:r>
      <w:r w:rsidR="00BC2756" w:rsidRPr="00BF4AB8">
        <w:rPr>
          <w:snapToGrid w:val="0"/>
          <w:sz w:val="22"/>
          <w:szCs w:val="24"/>
        </w:rPr>
        <w:t>EXP</w:t>
      </w:r>
      <w:r w:rsidR="004B770C">
        <w:rPr>
          <w:snapToGrid w:val="0"/>
          <w:sz w:val="22"/>
          <w:szCs w:val="24"/>
        </w:rPr>
        <w:t>“</w:t>
      </w:r>
      <w:r w:rsidR="00BC2756" w:rsidRPr="00BF4AB8">
        <w:rPr>
          <w:snapToGrid w:val="0"/>
          <w:sz w:val="22"/>
          <w:szCs w:val="24"/>
        </w:rPr>
        <w:t xml:space="preserve"> </w:t>
      </w:r>
      <w:r w:rsidRPr="00BF4AB8">
        <w:rPr>
          <w:snapToGrid w:val="0"/>
          <w:sz w:val="22"/>
          <w:szCs w:val="24"/>
        </w:rPr>
        <w:t>nurodytam tinkamumo laikui pasibaigus, šio vaisto vartoti negalima. Vaistas tinkamas vartoti iki paskutinės nurodyto mėnesio dienos.</w:t>
      </w:r>
    </w:p>
    <w:p w14:paraId="7D1D0CA7" w14:textId="77777777" w:rsidR="005D554B" w:rsidRPr="00BF4AB8" w:rsidRDefault="005D554B" w:rsidP="005D554B">
      <w:pPr>
        <w:numPr>
          <w:ilvl w:val="12"/>
          <w:numId w:val="0"/>
        </w:numPr>
        <w:ind w:right="-2"/>
        <w:rPr>
          <w:snapToGrid w:val="0"/>
          <w:sz w:val="22"/>
          <w:szCs w:val="24"/>
        </w:rPr>
      </w:pPr>
    </w:p>
    <w:p w14:paraId="59F81060" w14:textId="1C991ACE" w:rsidR="00BC2756" w:rsidRPr="00BF4AB8" w:rsidRDefault="00BC2756" w:rsidP="00BC2756">
      <w:pPr>
        <w:numPr>
          <w:ilvl w:val="12"/>
          <w:numId w:val="0"/>
        </w:numPr>
        <w:ind w:right="-2"/>
        <w:rPr>
          <w:snapToGrid w:val="0"/>
          <w:sz w:val="22"/>
          <w:szCs w:val="24"/>
        </w:rPr>
      </w:pPr>
      <w:r w:rsidRPr="00BF4AB8">
        <w:rPr>
          <w:snapToGrid w:val="0"/>
          <w:sz w:val="22"/>
          <w:szCs w:val="24"/>
        </w:rPr>
        <w:t>Šiam vaistui specialių laikymo sąlygų nereikia.</w:t>
      </w:r>
    </w:p>
    <w:p w14:paraId="53A16700" w14:textId="77777777" w:rsidR="00BC2756" w:rsidRPr="00BF4AB8" w:rsidRDefault="00BC2756" w:rsidP="00BC2756">
      <w:pPr>
        <w:numPr>
          <w:ilvl w:val="12"/>
          <w:numId w:val="0"/>
        </w:numPr>
        <w:ind w:right="-2"/>
        <w:rPr>
          <w:snapToGrid w:val="0"/>
          <w:sz w:val="22"/>
          <w:szCs w:val="24"/>
        </w:rPr>
      </w:pPr>
    </w:p>
    <w:p w14:paraId="3C4B10D4" w14:textId="1348D4E8" w:rsidR="00BC2756" w:rsidRPr="00BF4AB8" w:rsidRDefault="00BC2756" w:rsidP="00BC2756">
      <w:pPr>
        <w:numPr>
          <w:ilvl w:val="12"/>
          <w:numId w:val="0"/>
        </w:numPr>
        <w:ind w:right="-2"/>
        <w:rPr>
          <w:snapToGrid w:val="0"/>
          <w:sz w:val="22"/>
          <w:szCs w:val="24"/>
        </w:rPr>
      </w:pPr>
      <w:r w:rsidRPr="00BF4AB8">
        <w:rPr>
          <w:snapToGrid w:val="0"/>
          <w:sz w:val="22"/>
          <w:szCs w:val="24"/>
        </w:rPr>
        <w:t xml:space="preserve">Pastebėjus, kad lizdinė plokštelė, kurioje yra kapsulės, atidaryta ar kapsulė </w:t>
      </w:r>
      <w:r w:rsidR="004B770C">
        <w:rPr>
          <w:snapToGrid w:val="0"/>
          <w:sz w:val="22"/>
          <w:szCs w:val="24"/>
        </w:rPr>
        <w:t>pažeista</w:t>
      </w:r>
      <w:r w:rsidRPr="00BF4AB8">
        <w:rPr>
          <w:snapToGrid w:val="0"/>
          <w:sz w:val="22"/>
          <w:szCs w:val="24"/>
        </w:rPr>
        <w:t>, šio vaisto vartoti negalima.</w:t>
      </w:r>
    </w:p>
    <w:p w14:paraId="250CA1CA" w14:textId="77777777" w:rsidR="005D554B" w:rsidRPr="00BF4AB8" w:rsidRDefault="00BC2756" w:rsidP="00BC2756">
      <w:pPr>
        <w:numPr>
          <w:ilvl w:val="12"/>
          <w:numId w:val="0"/>
        </w:numPr>
        <w:ind w:right="-2"/>
        <w:rPr>
          <w:snapToGrid w:val="0"/>
          <w:sz w:val="22"/>
          <w:szCs w:val="24"/>
        </w:rPr>
      </w:pPr>
      <w:r w:rsidRPr="00BF4AB8">
        <w:rPr>
          <w:snapToGrid w:val="0"/>
          <w:sz w:val="22"/>
          <w:szCs w:val="24"/>
        </w:rPr>
        <w:t>Jeigu prisilietėte prie kapsulės turinio, reikia nedelsiant gausiu vandens kiekiu nusiplauti rankas (žr. 3 skyrių).</w:t>
      </w:r>
    </w:p>
    <w:p w14:paraId="68281C7C" w14:textId="77777777" w:rsidR="00BC2756" w:rsidRPr="00BF4AB8" w:rsidRDefault="00BC2756" w:rsidP="00BC2756">
      <w:pPr>
        <w:numPr>
          <w:ilvl w:val="12"/>
          <w:numId w:val="0"/>
        </w:numPr>
        <w:ind w:right="-2"/>
        <w:rPr>
          <w:snapToGrid w:val="0"/>
          <w:sz w:val="22"/>
          <w:szCs w:val="24"/>
        </w:rPr>
      </w:pPr>
    </w:p>
    <w:p w14:paraId="26D16CAF" w14:textId="5621649D" w:rsidR="005D554B" w:rsidRPr="00BF4AB8" w:rsidRDefault="005D554B" w:rsidP="005D554B">
      <w:pPr>
        <w:numPr>
          <w:ilvl w:val="12"/>
          <w:numId w:val="0"/>
        </w:numPr>
        <w:ind w:right="-2"/>
        <w:rPr>
          <w:i/>
          <w:snapToGrid w:val="0"/>
          <w:sz w:val="22"/>
        </w:rPr>
      </w:pPr>
      <w:r w:rsidRPr="00BF4AB8">
        <w:rPr>
          <w:snapToGrid w:val="0"/>
          <w:sz w:val="22"/>
          <w:szCs w:val="24"/>
        </w:rPr>
        <w:t>Vaistų negalima išmesti į kanalizaciją arba su buitinėmis atliekomis. Kaip išmesti nereikalingus vaistus, klauskite vaistininko. Šios priemonės padės apsaugoti aplinką.</w:t>
      </w:r>
    </w:p>
    <w:p w14:paraId="6D8746FE" w14:textId="77777777" w:rsidR="005D554B" w:rsidRPr="00BF4AB8" w:rsidRDefault="005D554B" w:rsidP="005D554B">
      <w:pPr>
        <w:numPr>
          <w:ilvl w:val="12"/>
          <w:numId w:val="0"/>
        </w:numPr>
        <w:ind w:right="-2"/>
        <w:rPr>
          <w:snapToGrid w:val="0"/>
          <w:sz w:val="22"/>
          <w:szCs w:val="24"/>
        </w:rPr>
      </w:pPr>
    </w:p>
    <w:p w14:paraId="79BB67FE" w14:textId="77777777" w:rsidR="005D554B" w:rsidRPr="00BF4AB8" w:rsidRDefault="005D554B" w:rsidP="005D554B">
      <w:pPr>
        <w:keepNext/>
        <w:keepLines/>
        <w:tabs>
          <w:tab w:val="left" w:pos="567"/>
        </w:tabs>
        <w:outlineLvl w:val="2"/>
        <w:rPr>
          <w:b/>
          <w:bCs/>
          <w:snapToGrid w:val="0"/>
          <w:sz w:val="22"/>
          <w:szCs w:val="26"/>
          <w:lang w:eastAsia="x-none"/>
        </w:rPr>
      </w:pPr>
      <w:r w:rsidRPr="00BF4AB8">
        <w:rPr>
          <w:b/>
          <w:bCs/>
          <w:snapToGrid w:val="0"/>
          <w:sz w:val="22"/>
          <w:szCs w:val="26"/>
          <w:lang w:eastAsia="x-none"/>
        </w:rPr>
        <w:t>6.</w:t>
      </w:r>
      <w:r w:rsidRPr="00BF4AB8">
        <w:rPr>
          <w:bCs/>
          <w:snapToGrid w:val="0"/>
          <w:sz w:val="22"/>
          <w:szCs w:val="26"/>
          <w:lang w:eastAsia="x-none"/>
        </w:rPr>
        <w:tab/>
      </w:r>
      <w:r w:rsidRPr="00BF4AB8">
        <w:rPr>
          <w:b/>
          <w:bCs/>
          <w:snapToGrid w:val="0"/>
          <w:sz w:val="22"/>
          <w:szCs w:val="26"/>
          <w:lang w:eastAsia="x-none"/>
        </w:rPr>
        <w:t>Pakuotės turinys ir kita informacija</w:t>
      </w:r>
    </w:p>
    <w:p w14:paraId="259186DE" w14:textId="77777777" w:rsidR="005D554B" w:rsidRPr="00BF4AB8" w:rsidRDefault="005D554B" w:rsidP="005D554B">
      <w:pPr>
        <w:numPr>
          <w:ilvl w:val="12"/>
          <w:numId w:val="0"/>
        </w:numPr>
        <w:rPr>
          <w:snapToGrid w:val="0"/>
          <w:sz w:val="22"/>
          <w:szCs w:val="24"/>
        </w:rPr>
      </w:pPr>
    </w:p>
    <w:p w14:paraId="5AEFB569" w14:textId="491110CA" w:rsidR="005D554B" w:rsidRPr="00BF4AB8" w:rsidRDefault="00C710D9" w:rsidP="005D554B">
      <w:pPr>
        <w:keepNext/>
        <w:tabs>
          <w:tab w:val="left" w:pos="567"/>
        </w:tabs>
        <w:spacing w:line="260" w:lineRule="exact"/>
        <w:jc w:val="both"/>
        <w:outlineLvl w:val="3"/>
        <w:rPr>
          <w:b/>
          <w:bCs/>
          <w:snapToGrid w:val="0"/>
          <w:sz w:val="22"/>
          <w:szCs w:val="28"/>
          <w:lang w:eastAsia="x-none"/>
        </w:rPr>
      </w:pPr>
      <w:proofErr w:type="spellStart"/>
      <w:r w:rsidRPr="00BF4AB8">
        <w:rPr>
          <w:b/>
          <w:bCs/>
          <w:snapToGrid w:val="0"/>
          <w:sz w:val="22"/>
          <w:szCs w:val="28"/>
          <w:lang w:eastAsia="x-none"/>
        </w:rPr>
        <w:t>Nytyka</w:t>
      </w:r>
      <w:proofErr w:type="spellEnd"/>
      <w:r w:rsidR="005D554B" w:rsidRPr="00BF4AB8">
        <w:rPr>
          <w:b/>
          <w:bCs/>
          <w:snapToGrid w:val="0"/>
          <w:sz w:val="22"/>
          <w:szCs w:val="28"/>
          <w:lang w:eastAsia="x-none"/>
        </w:rPr>
        <w:t xml:space="preserve"> sudėtis </w:t>
      </w:r>
    </w:p>
    <w:p w14:paraId="390F50EA" w14:textId="59445016" w:rsidR="005D554B" w:rsidRPr="00BF4AB8" w:rsidRDefault="005D554B" w:rsidP="005D554B">
      <w:pPr>
        <w:numPr>
          <w:ilvl w:val="0"/>
          <w:numId w:val="5"/>
        </w:numPr>
        <w:tabs>
          <w:tab w:val="left" w:pos="567"/>
        </w:tabs>
        <w:spacing w:line="260" w:lineRule="exact"/>
        <w:ind w:left="567" w:right="-2" w:hanging="567"/>
        <w:rPr>
          <w:snapToGrid w:val="0"/>
          <w:sz w:val="22"/>
          <w:szCs w:val="24"/>
        </w:rPr>
      </w:pPr>
      <w:r w:rsidRPr="00BF4AB8">
        <w:rPr>
          <w:snapToGrid w:val="0"/>
          <w:sz w:val="22"/>
          <w:szCs w:val="24"/>
        </w:rPr>
        <w:t>Veiklioji</w:t>
      </w:r>
      <w:r w:rsidR="001C1847" w:rsidRPr="00BF4AB8">
        <w:rPr>
          <w:snapToGrid w:val="0"/>
          <w:sz w:val="22"/>
          <w:szCs w:val="24"/>
        </w:rPr>
        <w:t xml:space="preserve"> </w:t>
      </w:r>
      <w:r w:rsidRPr="00BF4AB8">
        <w:rPr>
          <w:snapToGrid w:val="0"/>
          <w:sz w:val="22"/>
          <w:szCs w:val="24"/>
        </w:rPr>
        <w:t>medžiaga yra</w:t>
      </w:r>
      <w:r w:rsidR="001C1847" w:rsidRPr="00BF4AB8">
        <w:t xml:space="preserve"> </w:t>
      </w:r>
      <w:proofErr w:type="spellStart"/>
      <w:r w:rsidR="004B770C">
        <w:t>n</w:t>
      </w:r>
      <w:r w:rsidR="001C1847" w:rsidRPr="00BF4AB8">
        <w:rPr>
          <w:snapToGrid w:val="0"/>
          <w:sz w:val="22"/>
          <w:szCs w:val="24"/>
        </w:rPr>
        <w:t>intedanibas</w:t>
      </w:r>
      <w:proofErr w:type="spellEnd"/>
      <w:r w:rsidR="001C1847" w:rsidRPr="00BF4AB8">
        <w:rPr>
          <w:snapToGrid w:val="0"/>
          <w:sz w:val="22"/>
          <w:szCs w:val="24"/>
        </w:rPr>
        <w:t xml:space="preserve">. Kiekvienoje kapsulėje yra 100 mg </w:t>
      </w:r>
      <w:proofErr w:type="spellStart"/>
      <w:r w:rsidR="001C1847" w:rsidRPr="00BF4AB8">
        <w:rPr>
          <w:snapToGrid w:val="0"/>
          <w:sz w:val="22"/>
          <w:szCs w:val="24"/>
        </w:rPr>
        <w:t>nintedanibo</w:t>
      </w:r>
      <w:proofErr w:type="spellEnd"/>
      <w:r w:rsidR="001C1847" w:rsidRPr="00BF4AB8">
        <w:rPr>
          <w:snapToGrid w:val="0"/>
          <w:sz w:val="22"/>
          <w:szCs w:val="24"/>
        </w:rPr>
        <w:t xml:space="preserve"> (</w:t>
      </w:r>
      <w:proofErr w:type="spellStart"/>
      <w:r w:rsidR="001C1847" w:rsidRPr="00BF4AB8">
        <w:rPr>
          <w:snapToGrid w:val="0"/>
          <w:sz w:val="22"/>
          <w:szCs w:val="24"/>
        </w:rPr>
        <w:t>esilato</w:t>
      </w:r>
      <w:proofErr w:type="spellEnd"/>
      <w:r w:rsidR="001C1847" w:rsidRPr="00BF4AB8">
        <w:rPr>
          <w:snapToGrid w:val="0"/>
          <w:sz w:val="22"/>
          <w:szCs w:val="24"/>
        </w:rPr>
        <w:t xml:space="preserve"> forma)</w:t>
      </w:r>
      <w:r w:rsidR="00932D83">
        <w:rPr>
          <w:snapToGrid w:val="0"/>
          <w:sz w:val="22"/>
          <w:szCs w:val="24"/>
        </w:rPr>
        <w:t>.</w:t>
      </w:r>
    </w:p>
    <w:p w14:paraId="1B9FFDB2" w14:textId="079AB3F9" w:rsidR="005D554B" w:rsidRPr="00BF4AB8" w:rsidRDefault="005D554B" w:rsidP="005D554B">
      <w:pPr>
        <w:numPr>
          <w:ilvl w:val="0"/>
          <w:numId w:val="5"/>
        </w:numPr>
        <w:tabs>
          <w:tab w:val="left" w:pos="567"/>
        </w:tabs>
        <w:spacing w:line="260" w:lineRule="exact"/>
        <w:ind w:left="567" w:right="-2" w:hanging="567"/>
        <w:rPr>
          <w:snapToGrid w:val="0"/>
          <w:sz w:val="22"/>
          <w:szCs w:val="24"/>
        </w:rPr>
      </w:pPr>
      <w:r w:rsidRPr="00BF4AB8">
        <w:rPr>
          <w:snapToGrid w:val="0"/>
          <w:sz w:val="22"/>
          <w:szCs w:val="24"/>
        </w:rPr>
        <w:t>Pagalbinės medžiag</w:t>
      </w:r>
      <w:r w:rsidR="00C61A85" w:rsidRPr="00BF4AB8">
        <w:rPr>
          <w:snapToGrid w:val="0"/>
          <w:sz w:val="22"/>
          <w:szCs w:val="24"/>
        </w:rPr>
        <w:t>os</w:t>
      </w:r>
    </w:p>
    <w:p w14:paraId="6E76A192" w14:textId="6C1C929C" w:rsidR="00C61A85" w:rsidRPr="00BF4AB8" w:rsidRDefault="00C61A85" w:rsidP="00C61A85">
      <w:pPr>
        <w:pStyle w:val="Sraopastraipa"/>
        <w:numPr>
          <w:ilvl w:val="0"/>
          <w:numId w:val="8"/>
        </w:numPr>
        <w:tabs>
          <w:tab w:val="left" w:pos="567"/>
        </w:tabs>
        <w:spacing w:line="260" w:lineRule="exact"/>
        <w:ind w:left="1134" w:right="-2" w:hanging="567"/>
        <w:rPr>
          <w:snapToGrid w:val="0"/>
          <w:sz w:val="22"/>
          <w:szCs w:val="24"/>
        </w:rPr>
      </w:pPr>
      <w:r w:rsidRPr="00BF4AB8">
        <w:rPr>
          <w:snapToGrid w:val="0"/>
          <w:sz w:val="22"/>
          <w:szCs w:val="24"/>
        </w:rPr>
        <w:t>Kapsulės turiny</w:t>
      </w:r>
      <w:r w:rsidR="004B770C">
        <w:rPr>
          <w:snapToGrid w:val="0"/>
          <w:sz w:val="22"/>
          <w:szCs w:val="24"/>
        </w:rPr>
        <w:t>je</w:t>
      </w:r>
      <w:r w:rsidRPr="00BF4AB8">
        <w:rPr>
          <w:snapToGrid w:val="0"/>
          <w:sz w:val="22"/>
          <w:szCs w:val="24"/>
        </w:rPr>
        <w:t xml:space="preserve">: vidutinės grandinės </w:t>
      </w:r>
      <w:proofErr w:type="spellStart"/>
      <w:r w:rsidRPr="00BF4AB8">
        <w:rPr>
          <w:snapToGrid w:val="0"/>
          <w:sz w:val="22"/>
          <w:szCs w:val="24"/>
        </w:rPr>
        <w:t>trigliceridai</w:t>
      </w:r>
      <w:proofErr w:type="spellEnd"/>
      <w:r w:rsidRPr="00BF4AB8">
        <w:rPr>
          <w:snapToGrid w:val="0"/>
          <w:sz w:val="22"/>
          <w:szCs w:val="24"/>
        </w:rPr>
        <w:t>, kietieji riebalai ir poligliceril-3-dioleatas.</w:t>
      </w:r>
    </w:p>
    <w:p w14:paraId="334905B7" w14:textId="6D4C84AB" w:rsidR="00C61A85" w:rsidRPr="00BF4AB8" w:rsidRDefault="00C61A85" w:rsidP="00C61A85">
      <w:pPr>
        <w:pStyle w:val="Sraopastraipa"/>
        <w:numPr>
          <w:ilvl w:val="0"/>
          <w:numId w:val="8"/>
        </w:numPr>
        <w:tabs>
          <w:tab w:val="left" w:pos="567"/>
        </w:tabs>
        <w:spacing w:line="260" w:lineRule="exact"/>
        <w:ind w:left="1134" w:right="-2" w:hanging="567"/>
        <w:rPr>
          <w:snapToGrid w:val="0"/>
          <w:sz w:val="22"/>
          <w:szCs w:val="24"/>
        </w:rPr>
      </w:pPr>
      <w:r w:rsidRPr="00BF4AB8">
        <w:rPr>
          <w:snapToGrid w:val="0"/>
          <w:sz w:val="22"/>
          <w:szCs w:val="24"/>
        </w:rPr>
        <w:t>Kapsulės korp</w:t>
      </w:r>
      <w:r w:rsidR="004B770C">
        <w:rPr>
          <w:snapToGrid w:val="0"/>
          <w:sz w:val="22"/>
          <w:szCs w:val="24"/>
        </w:rPr>
        <w:t>use</w:t>
      </w:r>
      <w:r w:rsidRPr="00BF4AB8">
        <w:rPr>
          <w:snapToGrid w:val="0"/>
          <w:sz w:val="22"/>
          <w:szCs w:val="24"/>
        </w:rPr>
        <w:t xml:space="preserve">: želatina, </w:t>
      </w:r>
      <w:proofErr w:type="spellStart"/>
      <w:r w:rsidRPr="00BF4AB8">
        <w:rPr>
          <w:snapToGrid w:val="0"/>
          <w:sz w:val="22"/>
          <w:szCs w:val="24"/>
        </w:rPr>
        <w:t>glicerolis</w:t>
      </w:r>
      <w:proofErr w:type="spellEnd"/>
      <w:r w:rsidRPr="00BF4AB8">
        <w:rPr>
          <w:snapToGrid w:val="0"/>
          <w:sz w:val="22"/>
          <w:szCs w:val="24"/>
        </w:rPr>
        <w:t>, titano dioksidas (E171), raudonasis geležies oksidas (E172)</w:t>
      </w:r>
      <w:r w:rsidR="002F7FDE">
        <w:rPr>
          <w:snapToGrid w:val="0"/>
          <w:sz w:val="22"/>
          <w:szCs w:val="24"/>
        </w:rPr>
        <w:t>,</w:t>
      </w:r>
      <w:r w:rsidRPr="00BF4AB8">
        <w:rPr>
          <w:snapToGrid w:val="0"/>
          <w:sz w:val="22"/>
          <w:szCs w:val="24"/>
        </w:rPr>
        <w:t>geltonasis geležies oksidas (E172)</w:t>
      </w:r>
      <w:r w:rsidR="002F7FDE">
        <w:rPr>
          <w:snapToGrid w:val="0"/>
          <w:sz w:val="22"/>
          <w:szCs w:val="24"/>
        </w:rPr>
        <w:t xml:space="preserve"> ir</w:t>
      </w:r>
      <w:r w:rsidRPr="00BF4AB8">
        <w:rPr>
          <w:snapToGrid w:val="0"/>
          <w:sz w:val="22"/>
          <w:szCs w:val="24"/>
        </w:rPr>
        <w:t xml:space="preserve"> išgrynintas vanduo.</w:t>
      </w:r>
    </w:p>
    <w:p w14:paraId="25541A06" w14:textId="1011F803" w:rsidR="00C61A85" w:rsidRPr="00BF4AB8" w:rsidRDefault="00C61A85" w:rsidP="00C61A85">
      <w:pPr>
        <w:pStyle w:val="Sraopastraipa"/>
        <w:numPr>
          <w:ilvl w:val="0"/>
          <w:numId w:val="8"/>
        </w:numPr>
        <w:tabs>
          <w:tab w:val="left" w:pos="567"/>
        </w:tabs>
        <w:spacing w:line="260" w:lineRule="exact"/>
        <w:ind w:left="1134" w:right="-2" w:hanging="567"/>
        <w:rPr>
          <w:snapToGrid w:val="0"/>
          <w:sz w:val="22"/>
          <w:szCs w:val="24"/>
        </w:rPr>
      </w:pPr>
      <w:r w:rsidRPr="00BF4AB8">
        <w:rPr>
          <w:snapToGrid w:val="0"/>
          <w:sz w:val="22"/>
          <w:szCs w:val="24"/>
        </w:rPr>
        <w:t>Spaustuvini</w:t>
      </w:r>
      <w:r w:rsidR="008F0396">
        <w:rPr>
          <w:snapToGrid w:val="0"/>
          <w:sz w:val="22"/>
          <w:szCs w:val="24"/>
        </w:rPr>
        <w:t>ame</w:t>
      </w:r>
      <w:r w:rsidRPr="00BF4AB8">
        <w:rPr>
          <w:snapToGrid w:val="0"/>
          <w:sz w:val="22"/>
          <w:szCs w:val="24"/>
        </w:rPr>
        <w:t xml:space="preserve"> rašal</w:t>
      </w:r>
      <w:r w:rsidR="008F0396">
        <w:rPr>
          <w:snapToGrid w:val="0"/>
          <w:sz w:val="22"/>
          <w:szCs w:val="24"/>
        </w:rPr>
        <w:t>e</w:t>
      </w:r>
      <w:r w:rsidRPr="00BF4AB8">
        <w:rPr>
          <w:snapToGrid w:val="0"/>
          <w:sz w:val="22"/>
          <w:szCs w:val="24"/>
        </w:rPr>
        <w:t xml:space="preserve">: </w:t>
      </w:r>
      <w:proofErr w:type="spellStart"/>
      <w:r w:rsidRPr="00BF4AB8">
        <w:rPr>
          <w:snapToGrid w:val="0"/>
          <w:sz w:val="22"/>
          <w:szCs w:val="24"/>
        </w:rPr>
        <w:t>šelakas</w:t>
      </w:r>
      <w:proofErr w:type="spellEnd"/>
      <w:r w:rsidRPr="00BF4AB8">
        <w:rPr>
          <w:snapToGrid w:val="0"/>
          <w:sz w:val="22"/>
          <w:szCs w:val="24"/>
        </w:rPr>
        <w:t xml:space="preserve">, </w:t>
      </w:r>
      <w:proofErr w:type="spellStart"/>
      <w:r w:rsidRPr="00BF4AB8">
        <w:rPr>
          <w:snapToGrid w:val="0"/>
          <w:sz w:val="22"/>
          <w:szCs w:val="24"/>
        </w:rPr>
        <w:t>karminas</w:t>
      </w:r>
      <w:proofErr w:type="spellEnd"/>
      <w:r w:rsidRPr="00BF4AB8">
        <w:rPr>
          <w:snapToGrid w:val="0"/>
          <w:sz w:val="22"/>
          <w:szCs w:val="24"/>
        </w:rPr>
        <w:t xml:space="preserve"> (E120), </w:t>
      </w:r>
      <w:proofErr w:type="spellStart"/>
      <w:r w:rsidRPr="00BF4AB8">
        <w:rPr>
          <w:snapToGrid w:val="0"/>
          <w:sz w:val="22"/>
          <w:szCs w:val="24"/>
        </w:rPr>
        <w:t>propilenglikolis</w:t>
      </w:r>
      <w:proofErr w:type="spellEnd"/>
      <w:r w:rsidRPr="00BF4AB8">
        <w:rPr>
          <w:snapToGrid w:val="0"/>
          <w:sz w:val="22"/>
          <w:szCs w:val="24"/>
        </w:rPr>
        <w:t xml:space="preserve"> (E1520) ir </w:t>
      </w:r>
      <w:proofErr w:type="spellStart"/>
      <w:r w:rsidRPr="00BF4AB8">
        <w:rPr>
          <w:snapToGrid w:val="0"/>
          <w:sz w:val="22"/>
          <w:szCs w:val="24"/>
        </w:rPr>
        <w:t>simetikonas</w:t>
      </w:r>
      <w:proofErr w:type="spellEnd"/>
      <w:r w:rsidRPr="00BF4AB8">
        <w:rPr>
          <w:snapToGrid w:val="0"/>
          <w:sz w:val="22"/>
          <w:szCs w:val="24"/>
        </w:rPr>
        <w:t>.</w:t>
      </w:r>
    </w:p>
    <w:p w14:paraId="63D46396" w14:textId="77777777" w:rsidR="005D554B" w:rsidRPr="00BF4AB8" w:rsidRDefault="005D554B" w:rsidP="005D554B">
      <w:pPr>
        <w:numPr>
          <w:ilvl w:val="12"/>
          <w:numId w:val="0"/>
        </w:numPr>
        <w:ind w:right="-2"/>
        <w:rPr>
          <w:snapToGrid w:val="0"/>
          <w:sz w:val="22"/>
          <w:szCs w:val="24"/>
        </w:rPr>
      </w:pPr>
    </w:p>
    <w:p w14:paraId="65FD6E19" w14:textId="71DFB8E0" w:rsidR="005D554B" w:rsidRPr="00BF4AB8" w:rsidRDefault="00C710D9" w:rsidP="005D554B">
      <w:pPr>
        <w:keepNext/>
        <w:tabs>
          <w:tab w:val="left" w:pos="567"/>
        </w:tabs>
        <w:spacing w:line="260" w:lineRule="exact"/>
        <w:jc w:val="both"/>
        <w:outlineLvl w:val="3"/>
        <w:rPr>
          <w:b/>
          <w:bCs/>
          <w:snapToGrid w:val="0"/>
          <w:sz w:val="22"/>
          <w:szCs w:val="28"/>
          <w:lang w:eastAsia="x-none"/>
        </w:rPr>
      </w:pPr>
      <w:proofErr w:type="spellStart"/>
      <w:r w:rsidRPr="00BF4AB8">
        <w:rPr>
          <w:b/>
          <w:bCs/>
          <w:snapToGrid w:val="0"/>
          <w:sz w:val="22"/>
          <w:szCs w:val="28"/>
          <w:lang w:eastAsia="x-none"/>
        </w:rPr>
        <w:t>Nytyka</w:t>
      </w:r>
      <w:proofErr w:type="spellEnd"/>
      <w:r w:rsidR="005D554B" w:rsidRPr="00BF4AB8">
        <w:rPr>
          <w:b/>
          <w:bCs/>
          <w:snapToGrid w:val="0"/>
          <w:sz w:val="22"/>
          <w:szCs w:val="28"/>
          <w:lang w:eastAsia="x-none"/>
        </w:rPr>
        <w:t xml:space="preserve"> išvaizda ir kiekis pakuotėje</w:t>
      </w:r>
    </w:p>
    <w:p w14:paraId="6A44CE15" w14:textId="70712D79" w:rsidR="00BF4AB8" w:rsidRPr="00BF4AB8" w:rsidRDefault="00BF4AB8" w:rsidP="00BF4AB8">
      <w:pPr>
        <w:tabs>
          <w:tab w:val="left" w:pos="567"/>
        </w:tabs>
        <w:spacing w:line="260" w:lineRule="exact"/>
        <w:rPr>
          <w:snapToGrid w:val="0"/>
          <w:sz w:val="22"/>
          <w:szCs w:val="24"/>
        </w:rPr>
      </w:pPr>
      <w:proofErr w:type="spellStart"/>
      <w:r w:rsidRPr="00BF4AB8">
        <w:rPr>
          <w:snapToGrid w:val="0"/>
          <w:sz w:val="22"/>
          <w:szCs w:val="24"/>
        </w:rPr>
        <w:t>Nytyka</w:t>
      </w:r>
      <w:proofErr w:type="spellEnd"/>
      <w:r w:rsidRPr="00BF4AB8">
        <w:rPr>
          <w:snapToGrid w:val="0"/>
          <w:sz w:val="22"/>
          <w:szCs w:val="24"/>
        </w:rPr>
        <w:t xml:space="preserve"> 100 mg yra persiko spalvos, matinės, pailgos</w:t>
      </w:r>
      <w:r w:rsidR="002F7FDE">
        <w:rPr>
          <w:snapToGrid w:val="0"/>
          <w:sz w:val="22"/>
          <w:szCs w:val="24"/>
        </w:rPr>
        <w:t>,</w:t>
      </w:r>
      <w:r w:rsidRPr="00BF4AB8">
        <w:rPr>
          <w:snapToGrid w:val="0"/>
          <w:sz w:val="22"/>
          <w:szCs w:val="24"/>
        </w:rPr>
        <w:t xml:space="preserve"> maždaug 16 mm ilgio kapsulės, kuriose yra geltonos klampios suspensijos, su raudono rašalo įspaudu „NT 100“.</w:t>
      </w:r>
    </w:p>
    <w:p w14:paraId="4675918B" w14:textId="6CA2F922" w:rsidR="005D554B" w:rsidRPr="00BF4AB8" w:rsidRDefault="005D554B" w:rsidP="005D554B">
      <w:pPr>
        <w:numPr>
          <w:ilvl w:val="12"/>
          <w:numId w:val="0"/>
        </w:numPr>
        <w:ind w:right="-2"/>
        <w:rPr>
          <w:snapToGrid w:val="0"/>
          <w:sz w:val="22"/>
          <w:szCs w:val="24"/>
        </w:rPr>
      </w:pPr>
    </w:p>
    <w:p w14:paraId="1EC8FBFE" w14:textId="5B142157" w:rsidR="00BF4AB8" w:rsidRPr="00BF4AB8" w:rsidRDefault="00BF4AB8" w:rsidP="005D554B">
      <w:pPr>
        <w:numPr>
          <w:ilvl w:val="12"/>
          <w:numId w:val="0"/>
        </w:numPr>
        <w:ind w:right="-2"/>
        <w:rPr>
          <w:snapToGrid w:val="0"/>
          <w:sz w:val="22"/>
          <w:szCs w:val="24"/>
        </w:rPr>
      </w:pPr>
      <w:proofErr w:type="spellStart"/>
      <w:r w:rsidRPr="00BF4AB8">
        <w:rPr>
          <w:snapToGrid w:val="0"/>
          <w:sz w:val="22"/>
          <w:szCs w:val="24"/>
        </w:rPr>
        <w:t>Nytyka</w:t>
      </w:r>
      <w:proofErr w:type="spellEnd"/>
      <w:r w:rsidRPr="00BF4AB8">
        <w:rPr>
          <w:snapToGrid w:val="0"/>
          <w:sz w:val="22"/>
          <w:szCs w:val="24"/>
        </w:rPr>
        <w:t xml:space="preserve"> 100 mg minkštosios kapsulės tiekiamos kartono dėžutėje esančiose perforuotose </w:t>
      </w:r>
      <w:proofErr w:type="spellStart"/>
      <w:r w:rsidRPr="00BF4AB8">
        <w:rPr>
          <w:snapToGrid w:val="0"/>
          <w:sz w:val="22"/>
          <w:szCs w:val="24"/>
        </w:rPr>
        <w:t>dalomosiose</w:t>
      </w:r>
      <w:proofErr w:type="spellEnd"/>
      <w:r w:rsidRPr="00BF4AB8">
        <w:rPr>
          <w:snapToGrid w:val="0"/>
          <w:sz w:val="22"/>
          <w:szCs w:val="24"/>
        </w:rPr>
        <w:t xml:space="preserve"> lizdinėse plokštelėse.</w:t>
      </w:r>
    </w:p>
    <w:p w14:paraId="23CDDC72" w14:textId="77777777" w:rsidR="00BF4AB8" w:rsidRPr="00BF4AB8" w:rsidRDefault="00BF4AB8" w:rsidP="005D554B">
      <w:pPr>
        <w:numPr>
          <w:ilvl w:val="12"/>
          <w:numId w:val="0"/>
        </w:numPr>
        <w:ind w:right="-2"/>
        <w:rPr>
          <w:snapToGrid w:val="0"/>
          <w:sz w:val="22"/>
          <w:szCs w:val="24"/>
        </w:rPr>
      </w:pPr>
    </w:p>
    <w:p w14:paraId="1CDB1F36" w14:textId="6E7459D3" w:rsidR="00BF4AB8" w:rsidRPr="00BF4AB8" w:rsidRDefault="00BF4AB8" w:rsidP="005D554B">
      <w:pPr>
        <w:numPr>
          <w:ilvl w:val="12"/>
          <w:numId w:val="0"/>
        </w:numPr>
        <w:ind w:right="-2"/>
        <w:rPr>
          <w:snapToGrid w:val="0"/>
          <w:sz w:val="22"/>
          <w:szCs w:val="24"/>
        </w:rPr>
      </w:pPr>
      <w:r w:rsidRPr="00BF4AB8">
        <w:rPr>
          <w:snapToGrid w:val="0"/>
          <w:sz w:val="22"/>
          <w:szCs w:val="24"/>
        </w:rPr>
        <w:t>Pakuotės dydžiai:</w:t>
      </w:r>
    </w:p>
    <w:p w14:paraId="55D9D679" w14:textId="6BD67076" w:rsidR="00BF4AB8" w:rsidRPr="00BF4AB8" w:rsidRDefault="00BF4AB8" w:rsidP="005D554B">
      <w:pPr>
        <w:numPr>
          <w:ilvl w:val="12"/>
          <w:numId w:val="0"/>
        </w:numPr>
        <w:ind w:right="-2"/>
        <w:rPr>
          <w:snapToGrid w:val="0"/>
          <w:sz w:val="22"/>
          <w:szCs w:val="24"/>
        </w:rPr>
      </w:pPr>
      <w:r w:rsidRPr="00BF4AB8">
        <w:rPr>
          <w:snapToGrid w:val="0"/>
          <w:sz w:val="22"/>
          <w:szCs w:val="24"/>
        </w:rPr>
        <w:t>60 x 1 minkštoji kapsulė</w:t>
      </w:r>
    </w:p>
    <w:p w14:paraId="0B8B51EA" w14:textId="77777777" w:rsidR="00BF4AB8" w:rsidRPr="00BF4AB8" w:rsidRDefault="00BF4AB8" w:rsidP="005D554B">
      <w:pPr>
        <w:numPr>
          <w:ilvl w:val="12"/>
          <w:numId w:val="0"/>
        </w:numPr>
        <w:ind w:right="-2"/>
        <w:rPr>
          <w:snapToGrid w:val="0"/>
          <w:sz w:val="22"/>
          <w:szCs w:val="24"/>
        </w:rPr>
      </w:pPr>
    </w:p>
    <w:p w14:paraId="6AFDE805" w14:textId="20E95124" w:rsidR="00BF4AB8" w:rsidRPr="00BF4AB8" w:rsidRDefault="00BF4AB8" w:rsidP="005D554B">
      <w:pPr>
        <w:numPr>
          <w:ilvl w:val="12"/>
          <w:numId w:val="0"/>
        </w:numPr>
        <w:ind w:right="-2"/>
        <w:rPr>
          <w:snapToGrid w:val="0"/>
          <w:sz w:val="22"/>
          <w:szCs w:val="24"/>
        </w:rPr>
      </w:pPr>
      <w:r w:rsidRPr="00BF4AB8">
        <w:rPr>
          <w:snapToGrid w:val="0"/>
          <w:sz w:val="22"/>
          <w:szCs w:val="24"/>
        </w:rPr>
        <w:t>Gali būti tiekiamos ne visų dydžių pakuotės.</w:t>
      </w:r>
    </w:p>
    <w:p w14:paraId="7458016F" w14:textId="77777777" w:rsidR="00BF4AB8" w:rsidRPr="00BF4AB8" w:rsidRDefault="00BF4AB8" w:rsidP="005D554B">
      <w:pPr>
        <w:numPr>
          <w:ilvl w:val="12"/>
          <w:numId w:val="0"/>
        </w:numPr>
        <w:ind w:right="-2"/>
        <w:rPr>
          <w:snapToGrid w:val="0"/>
          <w:sz w:val="22"/>
          <w:szCs w:val="24"/>
        </w:rPr>
      </w:pPr>
    </w:p>
    <w:p w14:paraId="275D60E2" w14:textId="36E754D3" w:rsidR="005D554B" w:rsidRPr="00BF4AB8" w:rsidRDefault="005D554B" w:rsidP="005D554B">
      <w:pPr>
        <w:keepNext/>
        <w:tabs>
          <w:tab w:val="left" w:pos="567"/>
        </w:tabs>
        <w:spacing w:line="260" w:lineRule="exact"/>
        <w:jc w:val="both"/>
        <w:outlineLvl w:val="3"/>
        <w:rPr>
          <w:b/>
          <w:bCs/>
          <w:snapToGrid w:val="0"/>
          <w:sz w:val="22"/>
          <w:szCs w:val="28"/>
          <w:lang w:eastAsia="x-none"/>
        </w:rPr>
      </w:pPr>
      <w:r w:rsidRPr="00BF4AB8">
        <w:rPr>
          <w:b/>
          <w:bCs/>
          <w:snapToGrid w:val="0"/>
          <w:sz w:val="22"/>
          <w:szCs w:val="28"/>
          <w:lang w:eastAsia="x-none"/>
        </w:rPr>
        <w:t>Registruotojas</w:t>
      </w:r>
    </w:p>
    <w:p w14:paraId="445A7A58" w14:textId="77777777" w:rsidR="005D554B" w:rsidRPr="00BF4AB8" w:rsidRDefault="005D554B" w:rsidP="005D554B">
      <w:pPr>
        <w:numPr>
          <w:ilvl w:val="12"/>
          <w:numId w:val="0"/>
        </w:numPr>
        <w:ind w:right="-2"/>
        <w:rPr>
          <w:snapToGrid w:val="0"/>
          <w:sz w:val="22"/>
          <w:szCs w:val="24"/>
        </w:rPr>
      </w:pPr>
    </w:p>
    <w:p w14:paraId="7FBB43F4" w14:textId="77777777" w:rsidR="00BF4AB8" w:rsidRPr="00BF4AB8" w:rsidRDefault="00BF4AB8" w:rsidP="00BF4AB8">
      <w:pPr>
        <w:numPr>
          <w:ilvl w:val="12"/>
          <w:numId w:val="0"/>
        </w:numPr>
        <w:ind w:right="-2"/>
        <w:rPr>
          <w:snapToGrid w:val="0"/>
          <w:sz w:val="22"/>
          <w:szCs w:val="24"/>
        </w:rPr>
      </w:pPr>
      <w:r w:rsidRPr="00BF4AB8">
        <w:rPr>
          <w:snapToGrid w:val="0"/>
          <w:sz w:val="22"/>
          <w:szCs w:val="24"/>
        </w:rPr>
        <w:t xml:space="preserve">UAB </w:t>
      </w:r>
      <w:proofErr w:type="spellStart"/>
      <w:r w:rsidRPr="00BF4AB8">
        <w:rPr>
          <w:snapToGrid w:val="0"/>
          <w:sz w:val="22"/>
          <w:szCs w:val="24"/>
        </w:rPr>
        <w:t>Norameda</w:t>
      </w:r>
      <w:proofErr w:type="spellEnd"/>
    </w:p>
    <w:p w14:paraId="4E2AD2F0" w14:textId="77777777" w:rsidR="00BF4AB8" w:rsidRPr="00BF4AB8" w:rsidRDefault="00BF4AB8" w:rsidP="00BF4AB8">
      <w:pPr>
        <w:numPr>
          <w:ilvl w:val="12"/>
          <w:numId w:val="0"/>
        </w:numPr>
        <w:ind w:right="-2"/>
        <w:rPr>
          <w:snapToGrid w:val="0"/>
          <w:sz w:val="22"/>
          <w:szCs w:val="24"/>
        </w:rPr>
      </w:pPr>
      <w:r w:rsidRPr="00BF4AB8">
        <w:rPr>
          <w:snapToGrid w:val="0"/>
          <w:sz w:val="22"/>
          <w:szCs w:val="24"/>
        </w:rPr>
        <w:t>Meistrų 8A,</w:t>
      </w:r>
    </w:p>
    <w:p w14:paraId="5BEB1F39" w14:textId="77777777" w:rsidR="00BF4AB8" w:rsidRPr="00BF4AB8" w:rsidRDefault="00BF4AB8" w:rsidP="00BF4AB8">
      <w:pPr>
        <w:numPr>
          <w:ilvl w:val="12"/>
          <w:numId w:val="0"/>
        </w:numPr>
        <w:ind w:right="-2"/>
        <w:rPr>
          <w:snapToGrid w:val="0"/>
          <w:sz w:val="22"/>
          <w:szCs w:val="24"/>
        </w:rPr>
      </w:pPr>
      <w:r w:rsidRPr="00BF4AB8">
        <w:rPr>
          <w:snapToGrid w:val="0"/>
          <w:sz w:val="22"/>
          <w:szCs w:val="24"/>
        </w:rPr>
        <w:t>LT-02189 Vilnius,</w:t>
      </w:r>
    </w:p>
    <w:p w14:paraId="35E002B3" w14:textId="6619A5F8" w:rsidR="005D554B" w:rsidRPr="00BF4AB8" w:rsidRDefault="00BF4AB8" w:rsidP="00BF4AB8">
      <w:pPr>
        <w:numPr>
          <w:ilvl w:val="12"/>
          <w:numId w:val="0"/>
        </w:numPr>
        <w:ind w:right="-2"/>
        <w:rPr>
          <w:snapToGrid w:val="0"/>
          <w:sz w:val="22"/>
          <w:szCs w:val="24"/>
        </w:rPr>
      </w:pPr>
      <w:r w:rsidRPr="00BF4AB8">
        <w:rPr>
          <w:snapToGrid w:val="0"/>
          <w:sz w:val="22"/>
          <w:szCs w:val="24"/>
        </w:rPr>
        <w:t>Lietuva</w:t>
      </w:r>
    </w:p>
    <w:p w14:paraId="6DD45F12" w14:textId="77777777" w:rsidR="005D554B" w:rsidRPr="00BF4AB8" w:rsidRDefault="005D554B" w:rsidP="005D554B">
      <w:pPr>
        <w:numPr>
          <w:ilvl w:val="12"/>
          <w:numId w:val="0"/>
        </w:numPr>
        <w:ind w:right="-2"/>
        <w:rPr>
          <w:snapToGrid w:val="0"/>
          <w:sz w:val="22"/>
          <w:szCs w:val="24"/>
        </w:rPr>
      </w:pPr>
    </w:p>
    <w:p w14:paraId="7EF2EAC4" w14:textId="53021E96" w:rsidR="00BF4AB8" w:rsidRPr="00BF4AB8" w:rsidRDefault="00BF4AB8" w:rsidP="005D554B">
      <w:pPr>
        <w:tabs>
          <w:tab w:val="left" w:pos="567"/>
        </w:tabs>
        <w:ind w:right="-2"/>
        <w:rPr>
          <w:b/>
          <w:bCs/>
          <w:snapToGrid w:val="0"/>
          <w:sz w:val="22"/>
        </w:rPr>
      </w:pPr>
      <w:r w:rsidRPr="00BF4AB8">
        <w:rPr>
          <w:b/>
          <w:bCs/>
          <w:snapToGrid w:val="0"/>
          <w:sz w:val="22"/>
        </w:rPr>
        <w:t>Gamintojas</w:t>
      </w:r>
    </w:p>
    <w:p w14:paraId="5B701776" w14:textId="77777777" w:rsidR="00BF4AB8" w:rsidRPr="00BF4AB8" w:rsidRDefault="00BF4AB8" w:rsidP="005D554B">
      <w:pPr>
        <w:tabs>
          <w:tab w:val="left" w:pos="567"/>
        </w:tabs>
        <w:ind w:right="-2"/>
        <w:rPr>
          <w:snapToGrid w:val="0"/>
          <w:sz w:val="22"/>
        </w:rPr>
      </w:pPr>
    </w:p>
    <w:p w14:paraId="3B77F22E" w14:textId="0550CE6E" w:rsidR="00BF4AB8" w:rsidRPr="00BF4AB8" w:rsidRDefault="00BF4AB8" w:rsidP="00BF4AB8">
      <w:pPr>
        <w:tabs>
          <w:tab w:val="left" w:pos="0"/>
        </w:tabs>
        <w:ind w:right="-2"/>
        <w:rPr>
          <w:snapToGrid w:val="0"/>
          <w:sz w:val="22"/>
        </w:rPr>
      </w:pPr>
      <w:proofErr w:type="spellStart"/>
      <w:r w:rsidRPr="00BF4AB8">
        <w:rPr>
          <w:snapToGrid w:val="0"/>
          <w:sz w:val="22"/>
        </w:rPr>
        <w:t>Pharmadox</w:t>
      </w:r>
      <w:proofErr w:type="spellEnd"/>
      <w:r w:rsidRPr="00BF4AB8">
        <w:rPr>
          <w:snapToGrid w:val="0"/>
          <w:sz w:val="22"/>
        </w:rPr>
        <w:t xml:space="preserve"> </w:t>
      </w:r>
      <w:proofErr w:type="spellStart"/>
      <w:r w:rsidRPr="00BF4AB8">
        <w:rPr>
          <w:snapToGrid w:val="0"/>
          <w:sz w:val="22"/>
        </w:rPr>
        <w:t>Healthcare</w:t>
      </w:r>
      <w:proofErr w:type="spellEnd"/>
      <w:r w:rsidRPr="00BF4AB8">
        <w:rPr>
          <w:snapToGrid w:val="0"/>
          <w:sz w:val="22"/>
        </w:rPr>
        <w:t xml:space="preserve"> </w:t>
      </w:r>
      <w:proofErr w:type="spellStart"/>
      <w:r w:rsidRPr="00BF4AB8">
        <w:rPr>
          <w:snapToGrid w:val="0"/>
          <w:sz w:val="22"/>
        </w:rPr>
        <w:t>Limited</w:t>
      </w:r>
      <w:proofErr w:type="spellEnd"/>
    </w:p>
    <w:p w14:paraId="039298E5" w14:textId="080C0C69" w:rsidR="00BF4AB8" w:rsidRPr="00BF4AB8" w:rsidRDefault="00BF4AB8" w:rsidP="00BF4AB8">
      <w:pPr>
        <w:tabs>
          <w:tab w:val="left" w:pos="0"/>
        </w:tabs>
        <w:ind w:right="-2"/>
        <w:rPr>
          <w:snapToGrid w:val="0"/>
          <w:sz w:val="22"/>
        </w:rPr>
      </w:pPr>
      <w:r w:rsidRPr="00BF4AB8">
        <w:rPr>
          <w:snapToGrid w:val="0"/>
          <w:sz w:val="22"/>
        </w:rPr>
        <w:t xml:space="preserve">KW20A </w:t>
      </w:r>
      <w:proofErr w:type="spellStart"/>
      <w:r w:rsidRPr="00BF4AB8">
        <w:rPr>
          <w:snapToGrid w:val="0"/>
          <w:sz w:val="22"/>
        </w:rPr>
        <w:t>Kordin</w:t>
      </w:r>
      <w:proofErr w:type="spellEnd"/>
      <w:r w:rsidRPr="00BF4AB8">
        <w:rPr>
          <w:snapToGrid w:val="0"/>
          <w:sz w:val="22"/>
        </w:rPr>
        <w:t xml:space="preserve"> </w:t>
      </w:r>
      <w:proofErr w:type="spellStart"/>
      <w:r w:rsidRPr="00BF4AB8">
        <w:rPr>
          <w:snapToGrid w:val="0"/>
          <w:sz w:val="22"/>
        </w:rPr>
        <w:t>Industrial</w:t>
      </w:r>
      <w:proofErr w:type="spellEnd"/>
      <w:r w:rsidRPr="00BF4AB8">
        <w:rPr>
          <w:snapToGrid w:val="0"/>
          <w:sz w:val="22"/>
        </w:rPr>
        <w:t xml:space="preserve"> </w:t>
      </w:r>
      <w:proofErr w:type="spellStart"/>
      <w:r w:rsidRPr="00BF4AB8">
        <w:rPr>
          <w:snapToGrid w:val="0"/>
          <w:sz w:val="22"/>
        </w:rPr>
        <w:t>Park</w:t>
      </w:r>
      <w:proofErr w:type="spellEnd"/>
    </w:p>
    <w:p w14:paraId="2A0035ED" w14:textId="5144BF55" w:rsidR="00BF4AB8" w:rsidRPr="00BF4AB8" w:rsidRDefault="00BF4AB8" w:rsidP="00BF4AB8">
      <w:pPr>
        <w:tabs>
          <w:tab w:val="left" w:pos="0"/>
        </w:tabs>
        <w:ind w:right="-2"/>
        <w:rPr>
          <w:snapToGrid w:val="0"/>
          <w:sz w:val="22"/>
        </w:rPr>
      </w:pPr>
      <w:proofErr w:type="spellStart"/>
      <w:r w:rsidRPr="00BF4AB8">
        <w:rPr>
          <w:snapToGrid w:val="0"/>
          <w:sz w:val="22"/>
        </w:rPr>
        <w:t>Paola</w:t>
      </w:r>
      <w:proofErr w:type="spellEnd"/>
      <w:r w:rsidRPr="00BF4AB8">
        <w:rPr>
          <w:snapToGrid w:val="0"/>
          <w:sz w:val="22"/>
        </w:rPr>
        <w:t xml:space="preserve"> PLA 3000</w:t>
      </w:r>
    </w:p>
    <w:p w14:paraId="6521896E" w14:textId="556CF9A4" w:rsidR="00BF4AB8" w:rsidRDefault="00BF4AB8" w:rsidP="00BF4AB8">
      <w:pPr>
        <w:tabs>
          <w:tab w:val="left" w:pos="0"/>
        </w:tabs>
        <w:ind w:right="-2"/>
        <w:rPr>
          <w:snapToGrid w:val="0"/>
          <w:sz w:val="22"/>
        </w:rPr>
      </w:pPr>
      <w:r w:rsidRPr="00BF4AB8">
        <w:rPr>
          <w:snapToGrid w:val="0"/>
          <w:sz w:val="22"/>
        </w:rPr>
        <w:t>Malta</w:t>
      </w:r>
    </w:p>
    <w:p w14:paraId="24897D14" w14:textId="77777777" w:rsidR="00BB7082" w:rsidRDefault="00BB7082" w:rsidP="00BF4AB8">
      <w:pPr>
        <w:tabs>
          <w:tab w:val="left" w:pos="0"/>
        </w:tabs>
        <w:ind w:right="-2"/>
        <w:rPr>
          <w:snapToGrid w:val="0"/>
          <w:sz w:val="22"/>
        </w:rPr>
      </w:pPr>
    </w:p>
    <w:p w14:paraId="74061B9C" w14:textId="77777777" w:rsidR="00BB7082" w:rsidRPr="0099232D" w:rsidRDefault="00BB7082" w:rsidP="00BB7082">
      <w:pPr>
        <w:tabs>
          <w:tab w:val="left" w:pos="0"/>
        </w:tabs>
        <w:ind w:right="-2"/>
        <w:rPr>
          <w:snapToGrid w:val="0"/>
          <w:sz w:val="22"/>
          <w:highlight w:val="lightGray"/>
        </w:rPr>
      </w:pPr>
      <w:proofErr w:type="spellStart"/>
      <w:r w:rsidRPr="0099232D">
        <w:rPr>
          <w:snapToGrid w:val="0"/>
          <w:sz w:val="22"/>
          <w:highlight w:val="lightGray"/>
        </w:rPr>
        <w:t>Adalvo</w:t>
      </w:r>
      <w:proofErr w:type="spellEnd"/>
      <w:r w:rsidRPr="0099232D">
        <w:rPr>
          <w:snapToGrid w:val="0"/>
          <w:sz w:val="22"/>
          <w:highlight w:val="lightGray"/>
        </w:rPr>
        <w:t xml:space="preserve"> </w:t>
      </w:r>
      <w:proofErr w:type="spellStart"/>
      <w:r w:rsidRPr="0099232D">
        <w:rPr>
          <w:snapToGrid w:val="0"/>
          <w:sz w:val="22"/>
          <w:highlight w:val="lightGray"/>
        </w:rPr>
        <w:t>Limited</w:t>
      </w:r>
      <w:proofErr w:type="spellEnd"/>
      <w:r w:rsidRPr="0099232D">
        <w:rPr>
          <w:snapToGrid w:val="0"/>
          <w:sz w:val="22"/>
          <w:highlight w:val="lightGray"/>
        </w:rPr>
        <w:t xml:space="preserve"> </w:t>
      </w:r>
    </w:p>
    <w:p w14:paraId="295E2037" w14:textId="77777777" w:rsidR="00BB7082" w:rsidRPr="0099232D" w:rsidRDefault="00BB7082" w:rsidP="00BB7082">
      <w:pPr>
        <w:tabs>
          <w:tab w:val="left" w:pos="0"/>
        </w:tabs>
        <w:ind w:right="-2"/>
        <w:rPr>
          <w:snapToGrid w:val="0"/>
          <w:sz w:val="22"/>
          <w:highlight w:val="lightGray"/>
        </w:rPr>
      </w:pPr>
      <w:r w:rsidRPr="0099232D">
        <w:rPr>
          <w:snapToGrid w:val="0"/>
          <w:sz w:val="22"/>
          <w:highlight w:val="lightGray"/>
        </w:rPr>
        <w:t xml:space="preserve">Malta </w:t>
      </w:r>
      <w:proofErr w:type="spellStart"/>
      <w:r w:rsidRPr="0099232D">
        <w:rPr>
          <w:snapToGrid w:val="0"/>
          <w:sz w:val="22"/>
          <w:highlight w:val="lightGray"/>
        </w:rPr>
        <w:t>Life</w:t>
      </w:r>
      <w:proofErr w:type="spellEnd"/>
      <w:r w:rsidRPr="0099232D">
        <w:rPr>
          <w:snapToGrid w:val="0"/>
          <w:sz w:val="22"/>
          <w:highlight w:val="lightGray"/>
        </w:rPr>
        <w:t xml:space="preserve"> </w:t>
      </w:r>
      <w:proofErr w:type="spellStart"/>
      <w:r w:rsidRPr="0099232D">
        <w:rPr>
          <w:snapToGrid w:val="0"/>
          <w:sz w:val="22"/>
          <w:highlight w:val="lightGray"/>
        </w:rPr>
        <w:t>Sciences</w:t>
      </w:r>
      <w:proofErr w:type="spellEnd"/>
      <w:r w:rsidRPr="0099232D">
        <w:rPr>
          <w:snapToGrid w:val="0"/>
          <w:sz w:val="22"/>
          <w:highlight w:val="lightGray"/>
        </w:rPr>
        <w:t xml:space="preserve"> </w:t>
      </w:r>
      <w:proofErr w:type="spellStart"/>
      <w:r w:rsidRPr="0099232D">
        <w:rPr>
          <w:snapToGrid w:val="0"/>
          <w:sz w:val="22"/>
          <w:highlight w:val="lightGray"/>
        </w:rPr>
        <w:t>Park</w:t>
      </w:r>
      <w:proofErr w:type="spellEnd"/>
      <w:r w:rsidRPr="0099232D">
        <w:rPr>
          <w:snapToGrid w:val="0"/>
          <w:sz w:val="22"/>
          <w:highlight w:val="lightGray"/>
        </w:rPr>
        <w:t xml:space="preserve"> </w:t>
      </w:r>
      <w:proofErr w:type="spellStart"/>
      <w:r w:rsidRPr="0099232D">
        <w:rPr>
          <w:snapToGrid w:val="0"/>
          <w:sz w:val="22"/>
          <w:highlight w:val="lightGray"/>
        </w:rPr>
        <w:t>Building</w:t>
      </w:r>
      <w:proofErr w:type="spellEnd"/>
      <w:r w:rsidRPr="0099232D">
        <w:rPr>
          <w:snapToGrid w:val="0"/>
          <w:sz w:val="22"/>
          <w:highlight w:val="lightGray"/>
        </w:rPr>
        <w:t xml:space="preserve"> 1 </w:t>
      </w:r>
      <w:proofErr w:type="spellStart"/>
      <w:r w:rsidRPr="0099232D">
        <w:rPr>
          <w:snapToGrid w:val="0"/>
          <w:sz w:val="22"/>
          <w:highlight w:val="lightGray"/>
        </w:rPr>
        <w:t>Level</w:t>
      </w:r>
      <w:proofErr w:type="spellEnd"/>
      <w:r w:rsidRPr="0099232D">
        <w:rPr>
          <w:snapToGrid w:val="0"/>
          <w:sz w:val="22"/>
          <w:highlight w:val="lightGray"/>
        </w:rPr>
        <w:t xml:space="preserve"> 4 </w:t>
      </w:r>
      <w:proofErr w:type="spellStart"/>
      <w:r w:rsidRPr="0099232D">
        <w:rPr>
          <w:snapToGrid w:val="0"/>
          <w:sz w:val="22"/>
          <w:highlight w:val="lightGray"/>
        </w:rPr>
        <w:t>Sir</w:t>
      </w:r>
      <w:proofErr w:type="spellEnd"/>
      <w:r w:rsidRPr="0099232D">
        <w:rPr>
          <w:snapToGrid w:val="0"/>
          <w:sz w:val="22"/>
          <w:highlight w:val="lightGray"/>
        </w:rPr>
        <w:t xml:space="preserve"> </w:t>
      </w:r>
      <w:proofErr w:type="spellStart"/>
      <w:r w:rsidRPr="0099232D">
        <w:rPr>
          <w:snapToGrid w:val="0"/>
          <w:sz w:val="22"/>
          <w:highlight w:val="lightGray"/>
        </w:rPr>
        <w:t>Temi</w:t>
      </w:r>
      <w:proofErr w:type="spellEnd"/>
      <w:r w:rsidRPr="0099232D">
        <w:rPr>
          <w:snapToGrid w:val="0"/>
          <w:sz w:val="22"/>
          <w:highlight w:val="lightGray"/>
        </w:rPr>
        <w:t xml:space="preserve"> </w:t>
      </w:r>
      <w:proofErr w:type="spellStart"/>
      <w:r w:rsidRPr="0099232D">
        <w:rPr>
          <w:snapToGrid w:val="0"/>
          <w:sz w:val="22"/>
          <w:highlight w:val="lightGray"/>
        </w:rPr>
        <w:t>Zammit</w:t>
      </w:r>
      <w:proofErr w:type="spellEnd"/>
      <w:r w:rsidRPr="0099232D">
        <w:rPr>
          <w:snapToGrid w:val="0"/>
          <w:sz w:val="22"/>
          <w:highlight w:val="lightGray"/>
        </w:rPr>
        <w:t xml:space="preserve"> </w:t>
      </w:r>
      <w:proofErr w:type="spellStart"/>
      <w:r w:rsidRPr="0099232D">
        <w:rPr>
          <w:snapToGrid w:val="0"/>
          <w:sz w:val="22"/>
          <w:highlight w:val="lightGray"/>
        </w:rPr>
        <w:t>Buildings</w:t>
      </w:r>
      <w:proofErr w:type="spellEnd"/>
      <w:r w:rsidRPr="0099232D">
        <w:rPr>
          <w:snapToGrid w:val="0"/>
          <w:sz w:val="22"/>
          <w:highlight w:val="lightGray"/>
        </w:rPr>
        <w:t xml:space="preserve"> </w:t>
      </w:r>
    </w:p>
    <w:p w14:paraId="1B06B13A" w14:textId="77777777" w:rsidR="00BB7082" w:rsidRPr="0099232D" w:rsidRDefault="00BB7082" w:rsidP="00BB7082">
      <w:pPr>
        <w:tabs>
          <w:tab w:val="left" w:pos="0"/>
        </w:tabs>
        <w:ind w:right="-2"/>
        <w:rPr>
          <w:snapToGrid w:val="0"/>
          <w:sz w:val="22"/>
          <w:highlight w:val="lightGray"/>
        </w:rPr>
      </w:pPr>
      <w:r w:rsidRPr="0099232D">
        <w:rPr>
          <w:snapToGrid w:val="0"/>
          <w:sz w:val="22"/>
          <w:highlight w:val="lightGray"/>
        </w:rPr>
        <w:t xml:space="preserve">San </w:t>
      </w:r>
      <w:proofErr w:type="spellStart"/>
      <w:r w:rsidRPr="0099232D">
        <w:rPr>
          <w:snapToGrid w:val="0"/>
          <w:sz w:val="22"/>
          <w:highlight w:val="lightGray"/>
        </w:rPr>
        <w:t>Gwann</w:t>
      </w:r>
      <w:proofErr w:type="spellEnd"/>
      <w:r w:rsidRPr="0099232D">
        <w:rPr>
          <w:snapToGrid w:val="0"/>
          <w:sz w:val="22"/>
          <w:highlight w:val="lightGray"/>
        </w:rPr>
        <w:t xml:space="preserve"> </w:t>
      </w:r>
      <w:proofErr w:type="spellStart"/>
      <w:r w:rsidRPr="0099232D">
        <w:rPr>
          <w:snapToGrid w:val="0"/>
          <w:sz w:val="22"/>
          <w:highlight w:val="lightGray"/>
        </w:rPr>
        <w:t>Industrial</w:t>
      </w:r>
      <w:proofErr w:type="spellEnd"/>
      <w:r w:rsidRPr="0099232D">
        <w:rPr>
          <w:snapToGrid w:val="0"/>
          <w:sz w:val="22"/>
          <w:highlight w:val="lightGray"/>
        </w:rPr>
        <w:t xml:space="preserve"> </w:t>
      </w:r>
      <w:proofErr w:type="spellStart"/>
      <w:r w:rsidRPr="0099232D">
        <w:rPr>
          <w:snapToGrid w:val="0"/>
          <w:sz w:val="22"/>
          <w:highlight w:val="lightGray"/>
        </w:rPr>
        <w:t>Estate</w:t>
      </w:r>
      <w:proofErr w:type="spellEnd"/>
      <w:r w:rsidRPr="0099232D">
        <w:rPr>
          <w:snapToGrid w:val="0"/>
          <w:sz w:val="22"/>
          <w:highlight w:val="lightGray"/>
        </w:rPr>
        <w:t xml:space="preserve">, SGN 3000 </w:t>
      </w:r>
    </w:p>
    <w:p w14:paraId="6AC9D057" w14:textId="77777777" w:rsidR="00BB7082" w:rsidRPr="0099232D" w:rsidRDefault="00BB7082" w:rsidP="00BB7082">
      <w:pPr>
        <w:tabs>
          <w:tab w:val="left" w:pos="0"/>
        </w:tabs>
        <w:ind w:right="-2"/>
        <w:rPr>
          <w:snapToGrid w:val="0"/>
          <w:sz w:val="22"/>
          <w:highlight w:val="lightGray"/>
        </w:rPr>
      </w:pPr>
      <w:r w:rsidRPr="0099232D">
        <w:rPr>
          <w:snapToGrid w:val="0"/>
          <w:sz w:val="22"/>
          <w:highlight w:val="lightGray"/>
        </w:rPr>
        <w:t xml:space="preserve">Malta </w:t>
      </w:r>
    </w:p>
    <w:p w14:paraId="3AF8DE90" w14:textId="77777777" w:rsidR="00BB7082" w:rsidRPr="0099232D" w:rsidRDefault="00BB7082" w:rsidP="00BB7082">
      <w:pPr>
        <w:tabs>
          <w:tab w:val="left" w:pos="0"/>
        </w:tabs>
        <w:ind w:right="-2"/>
        <w:rPr>
          <w:snapToGrid w:val="0"/>
          <w:sz w:val="22"/>
          <w:highlight w:val="lightGray"/>
        </w:rPr>
      </w:pPr>
    </w:p>
    <w:p w14:paraId="5B4A8460" w14:textId="2E02C2D3" w:rsidR="00BB7082" w:rsidRPr="0099232D" w:rsidRDefault="00BB7082" w:rsidP="00BB7082">
      <w:pPr>
        <w:tabs>
          <w:tab w:val="left" w:pos="0"/>
        </w:tabs>
        <w:ind w:right="-2"/>
        <w:rPr>
          <w:snapToGrid w:val="0"/>
          <w:sz w:val="22"/>
          <w:highlight w:val="lightGray"/>
        </w:rPr>
      </w:pPr>
      <w:proofErr w:type="spellStart"/>
      <w:r w:rsidRPr="0099232D">
        <w:rPr>
          <w:snapToGrid w:val="0"/>
          <w:sz w:val="22"/>
          <w:highlight w:val="lightGray"/>
        </w:rPr>
        <w:t>Qualimetrix</w:t>
      </w:r>
      <w:proofErr w:type="spellEnd"/>
      <w:r w:rsidRPr="0099232D">
        <w:rPr>
          <w:snapToGrid w:val="0"/>
          <w:sz w:val="22"/>
          <w:highlight w:val="lightGray"/>
        </w:rPr>
        <w:t xml:space="preserve"> S.A.  </w:t>
      </w:r>
    </w:p>
    <w:p w14:paraId="54C550EF" w14:textId="77777777" w:rsidR="00BB7082" w:rsidRPr="0099232D" w:rsidRDefault="00BB7082" w:rsidP="00BB7082">
      <w:pPr>
        <w:tabs>
          <w:tab w:val="left" w:pos="0"/>
        </w:tabs>
        <w:ind w:right="-2"/>
        <w:rPr>
          <w:snapToGrid w:val="0"/>
          <w:sz w:val="22"/>
          <w:highlight w:val="lightGray"/>
        </w:rPr>
      </w:pPr>
      <w:proofErr w:type="spellStart"/>
      <w:r w:rsidRPr="0099232D">
        <w:rPr>
          <w:snapToGrid w:val="0"/>
          <w:sz w:val="22"/>
          <w:highlight w:val="lightGray"/>
        </w:rPr>
        <w:t>Mesogeion</w:t>
      </w:r>
      <w:proofErr w:type="spellEnd"/>
      <w:r w:rsidRPr="0099232D">
        <w:rPr>
          <w:snapToGrid w:val="0"/>
          <w:sz w:val="22"/>
          <w:highlight w:val="lightGray"/>
        </w:rPr>
        <w:t xml:space="preserve"> </w:t>
      </w:r>
      <w:proofErr w:type="spellStart"/>
      <w:r w:rsidRPr="0099232D">
        <w:rPr>
          <w:snapToGrid w:val="0"/>
          <w:sz w:val="22"/>
          <w:highlight w:val="lightGray"/>
        </w:rPr>
        <w:t>Avenue</w:t>
      </w:r>
      <w:proofErr w:type="spellEnd"/>
      <w:r w:rsidRPr="0099232D">
        <w:rPr>
          <w:snapToGrid w:val="0"/>
          <w:sz w:val="22"/>
          <w:highlight w:val="lightGray"/>
        </w:rPr>
        <w:t xml:space="preserve"> 579 </w:t>
      </w:r>
    </w:p>
    <w:p w14:paraId="30BEB68B" w14:textId="77777777" w:rsidR="00BB7082" w:rsidRPr="0099232D" w:rsidRDefault="00BB7082" w:rsidP="00BB7082">
      <w:pPr>
        <w:tabs>
          <w:tab w:val="left" w:pos="0"/>
        </w:tabs>
        <w:ind w:right="-2"/>
        <w:rPr>
          <w:snapToGrid w:val="0"/>
          <w:sz w:val="22"/>
          <w:highlight w:val="lightGray"/>
        </w:rPr>
      </w:pPr>
      <w:proofErr w:type="spellStart"/>
      <w:r w:rsidRPr="0099232D">
        <w:rPr>
          <w:snapToGrid w:val="0"/>
          <w:sz w:val="22"/>
          <w:highlight w:val="lightGray"/>
        </w:rPr>
        <w:t>Agia</w:t>
      </w:r>
      <w:proofErr w:type="spellEnd"/>
      <w:r w:rsidRPr="0099232D">
        <w:rPr>
          <w:snapToGrid w:val="0"/>
          <w:sz w:val="22"/>
          <w:highlight w:val="lightGray"/>
        </w:rPr>
        <w:t xml:space="preserve"> </w:t>
      </w:r>
      <w:proofErr w:type="spellStart"/>
      <w:r w:rsidRPr="0099232D">
        <w:rPr>
          <w:snapToGrid w:val="0"/>
          <w:sz w:val="22"/>
          <w:highlight w:val="lightGray"/>
        </w:rPr>
        <w:t>Paraskevi</w:t>
      </w:r>
      <w:proofErr w:type="spellEnd"/>
      <w:r w:rsidRPr="0099232D">
        <w:rPr>
          <w:snapToGrid w:val="0"/>
          <w:sz w:val="22"/>
          <w:highlight w:val="lightGray"/>
        </w:rPr>
        <w:t xml:space="preserve"> </w:t>
      </w:r>
    </w:p>
    <w:p w14:paraId="388519B2" w14:textId="14C4C346" w:rsidR="00BB7082" w:rsidRDefault="00BB7082" w:rsidP="00BB7082">
      <w:pPr>
        <w:tabs>
          <w:tab w:val="left" w:pos="0"/>
        </w:tabs>
        <w:ind w:right="-2"/>
        <w:rPr>
          <w:snapToGrid w:val="0"/>
          <w:sz w:val="22"/>
        </w:rPr>
      </w:pPr>
      <w:proofErr w:type="spellStart"/>
      <w:r w:rsidRPr="0099232D">
        <w:rPr>
          <w:snapToGrid w:val="0"/>
          <w:sz w:val="22"/>
          <w:highlight w:val="lightGray"/>
        </w:rPr>
        <w:t>Athens</w:t>
      </w:r>
      <w:proofErr w:type="spellEnd"/>
      <w:r w:rsidR="009225BA">
        <w:rPr>
          <w:snapToGrid w:val="0"/>
          <w:sz w:val="22"/>
          <w:highlight w:val="lightGray"/>
        </w:rPr>
        <w:t xml:space="preserve">, </w:t>
      </w:r>
      <w:r w:rsidRPr="0099232D">
        <w:rPr>
          <w:snapToGrid w:val="0"/>
          <w:sz w:val="22"/>
          <w:highlight w:val="lightGray"/>
        </w:rPr>
        <w:t>15343</w:t>
      </w:r>
      <w:r w:rsidR="009225BA">
        <w:rPr>
          <w:snapToGrid w:val="0"/>
          <w:sz w:val="22"/>
          <w:highlight w:val="lightGray"/>
        </w:rPr>
        <w:t xml:space="preserve">, </w:t>
      </w:r>
      <w:r w:rsidRPr="0099232D">
        <w:rPr>
          <w:snapToGrid w:val="0"/>
          <w:sz w:val="22"/>
          <w:highlight w:val="lightGray"/>
        </w:rPr>
        <w:t>Graikija</w:t>
      </w:r>
    </w:p>
    <w:p w14:paraId="52A233FA" w14:textId="50B1F9A5" w:rsidR="00BF4AB8" w:rsidRPr="00BF4AB8" w:rsidRDefault="00BF4AB8" w:rsidP="00BF4AB8">
      <w:pPr>
        <w:tabs>
          <w:tab w:val="left" w:pos="0"/>
        </w:tabs>
        <w:ind w:right="-2"/>
        <w:rPr>
          <w:snapToGrid w:val="0"/>
          <w:sz w:val="22"/>
        </w:rPr>
      </w:pPr>
    </w:p>
    <w:p w14:paraId="075031C6" w14:textId="49E00616" w:rsidR="005D554B" w:rsidRPr="00BF4AB8" w:rsidRDefault="005D554B" w:rsidP="00BF4AB8">
      <w:pPr>
        <w:tabs>
          <w:tab w:val="left" w:pos="567"/>
        </w:tabs>
        <w:ind w:right="-2"/>
        <w:rPr>
          <w:snapToGrid w:val="0"/>
          <w:sz w:val="22"/>
        </w:rPr>
      </w:pPr>
      <w:r w:rsidRPr="00BF4AB8">
        <w:rPr>
          <w:snapToGrid w:val="0"/>
          <w:sz w:val="22"/>
        </w:rPr>
        <w:lastRenderedPageBreak/>
        <w:t>Jeigu apie šį vaistą norite sužinoti daugiau, kreipkitės į vietinį registruotojo atstovą:</w:t>
      </w:r>
    </w:p>
    <w:p w14:paraId="2A9232B3" w14:textId="77777777" w:rsidR="005D554B" w:rsidRPr="00BF4AB8" w:rsidRDefault="005D554B" w:rsidP="005D554B">
      <w:pPr>
        <w:tabs>
          <w:tab w:val="left" w:pos="567"/>
        </w:tabs>
        <w:rPr>
          <w:snapToGrid w:val="0"/>
          <w:sz w:val="22"/>
          <w:szCs w:val="24"/>
        </w:rPr>
      </w:pPr>
    </w:p>
    <w:p w14:paraId="2E75CC36" w14:textId="77777777" w:rsidR="00DC19C7" w:rsidRPr="00DC19C7" w:rsidRDefault="00DC19C7" w:rsidP="00DC19C7">
      <w:pPr>
        <w:ind w:right="-2"/>
        <w:rPr>
          <w:snapToGrid w:val="0"/>
          <w:sz w:val="22"/>
          <w:szCs w:val="24"/>
        </w:rPr>
      </w:pPr>
      <w:r w:rsidRPr="00DC19C7">
        <w:rPr>
          <w:snapToGrid w:val="0"/>
          <w:sz w:val="22"/>
          <w:szCs w:val="24"/>
        </w:rPr>
        <w:t xml:space="preserve">UAB </w:t>
      </w:r>
      <w:proofErr w:type="spellStart"/>
      <w:r w:rsidRPr="00DC19C7">
        <w:rPr>
          <w:snapToGrid w:val="0"/>
          <w:sz w:val="22"/>
          <w:szCs w:val="24"/>
        </w:rPr>
        <w:t>Norameda</w:t>
      </w:r>
      <w:proofErr w:type="spellEnd"/>
    </w:p>
    <w:p w14:paraId="78280343" w14:textId="77777777" w:rsidR="00DC19C7" w:rsidRPr="00DC19C7" w:rsidRDefault="00DC19C7" w:rsidP="00DC19C7">
      <w:pPr>
        <w:ind w:right="-2"/>
        <w:rPr>
          <w:snapToGrid w:val="0"/>
          <w:sz w:val="22"/>
          <w:szCs w:val="24"/>
        </w:rPr>
      </w:pPr>
      <w:r w:rsidRPr="00DC19C7">
        <w:rPr>
          <w:snapToGrid w:val="0"/>
          <w:sz w:val="22"/>
          <w:szCs w:val="24"/>
        </w:rPr>
        <w:t>Meistrų g. 8A</w:t>
      </w:r>
    </w:p>
    <w:p w14:paraId="321224C4" w14:textId="77777777" w:rsidR="00DC19C7" w:rsidRPr="00DC19C7" w:rsidRDefault="00DC19C7" w:rsidP="00DC19C7">
      <w:pPr>
        <w:ind w:right="-2"/>
        <w:rPr>
          <w:snapToGrid w:val="0"/>
          <w:sz w:val="22"/>
          <w:szCs w:val="24"/>
        </w:rPr>
      </w:pPr>
      <w:r w:rsidRPr="00DC19C7">
        <w:rPr>
          <w:snapToGrid w:val="0"/>
          <w:sz w:val="22"/>
          <w:szCs w:val="24"/>
        </w:rPr>
        <w:t>LT-02189 Vilnius</w:t>
      </w:r>
    </w:p>
    <w:p w14:paraId="5F4F1299" w14:textId="67F4A3EB" w:rsidR="005D554B" w:rsidRPr="00BF4AB8" w:rsidRDefault="00DC19C7" w:rsidP="00DC19C7">
      <w:pPr>
        <w:ind w:right="-2"/>
        <w:rPr>
          <w:snapToGrid w:val="0"/>
          <w:sz w:val="22"/>
        </w:rPr>
      </w:pPr>
      <w:r w:rsidRPr="00DC19C7">
        <w:rPr>
          <w:snapToGrid w:val="0"/>
          <w:sz w:val="22"/>
          <w:szCs w:val="24"/>
        </w:rPr>
        <w:t xml:space="preserve">Tel. </w:t>
      </w:r>
      <w:r w:rsidR="00F20C8D" w:rsidRPr="002F7EF7">
        <w:rPr>
          <w:snapToGrid w:val="0"/>
          <w:sz w:val="22"/>
          <w:szCs w:val="24"/>
        </w:rPr>
        <w:t>+370</w:t>
      </w:r>
      <w:r w:rsidRPr="002F7EF7">
        <w:rPr>
          <w:snapToGrid w:val="0"/>
          <w:sz w:val="22"/>
          <w:szCs w:val="24"/>
        </w:rPr>
        <w:t xml:space="preserve"> 5 2306499</w:t>
      </w:r>
    </w:p>
    <w:p w14:paraId="77896580" w14:textId="77777777" w:rsidR="005D554B" w:rsidRPr="00BF4AB8" w:rsidRDefault="005D554B" w:rsidP="005D554B">
      <w:pPr>
        <w:numPr>
          <w:ilvl w:val="12"/>
          <w:numId w:val="0"/>
        </w:numPr>
        <w:tabs>
          <w:tab w:val="left" w:pos="567"/>
        </w:tabs>
        <w:spacing w:line="260" w:lineRule="exact"/>
        <w:ind w:right="-2"/>
        <w:rPr>
          <w:snapToGrid w:val="0"/>
          <w:sz w:val="22"/>
        </w:rPr>
      </w:pPr>
    </w:p>
    <w:p w14:paraId="6D07CB3F" w14:textId="243D19BE" w:rsidR="005D554B" w:rsidRPr="00BF4AB8" w:rsidRDefault="005D554B" w:rsidP="005D554B">
      <w:pPr>
        <w:numPr>
          <w:ilvl w:val="12"/>
          <w:numId w:val="0"/>
        </w:numPr>
        <w:tabs>
          <w:tab w:val="left" w:pos="567"/>
        </w:tabs>
        <w:spacing w:line="260" w:lineRule="exact"/>
        <w:ind w:right="-2"/>
        <w:rPr>
          <w:snapToGrid w:val="0"/>
          <w:sz w:val="22"/>
        </w:rPr>
      </w:pPr>
      <w:r w:rsidRPr="00BF4AB8">
        <w:rPr>
          <w:b/>
          <w:snapToGrid w:val="0"/>
          <w:sz w:val="22"/>
        </w:rPr>
        <w:t>Šis vaistas Europos ekonominės erdvės valstybėse narėse registruotas tokiais pavadinimais:</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7648"/>
      </w:tblGrid>
      <w:tr w:rsidR="00BF4AB8" w:rsidRPr="00BF4AB8" w14:paraId="751769A0" w14:textId="77777777" w:rsidTr="008533BD">
        <w:tc>
          <w:tcPr>
            <w:tcW w:w="1413" w:type="dxa"/>
            <w:shd w:val="clear" w:color="auto" w:fill="auto"/>
          </w:tcPr>
          <w:p w14:paraId="516ECF56" w14:textId="31D5A60B" w:rsidR="00BF4AB8" w:rsidRPr="00BF4AB8" w:rsidRDefault="00BF4AB8" w:rsidP="00BF4AB8">
            <w:pPr>
              <w:numPr>
                <w:ilvl w:val="12"/>
                <w:numId w:val="0"/>
              </w:numPr>
              <w:ind w:right="-2"/>
              <w:rPr>
                <w:rFonts w:eastAsia="Calibri"/>
                <w:sz w:val="22"/>
                <w:szCs w:val="22"/>
                <w:lang w:val="lt-LT"/>
              </w:rPr>
            </w:pPr>
            <w:r w:rsidRPr="00BF4AB8">
              <w:rPr>
                <w:rFonts w:eastAsia="Calibri"/>
                <w:sz w:val="22"/>
                <w:szCs w:val="22"/>
                <w:lang w:val="lt-LT"/>
              </w:rPr>
              <w:t>Islandija</w:t>
            </w:r>
          </w:p>
        </w:tc>
        <w:tc>
          <w:tcPr>
            <w:tcW w:w="7648" w:type="dxa"/>
            <w:shd w:val="clear" w:color="auto" w:fill="auto"/>
          </w:tcPr>
          <w:p w14:paraId="2314EEBC" w14:textId="1F9A3F60" w:rsidR="00BF4AB8" w:rsidRPr="00BF4AB8" w:rsidRDefault="00BF4AB8" w:rsidP="00BF4AB8">
            <w:pPr>
              <w:numPr>
                <w:ilvl w:val="12"/>
                <w:numId w:val="0"/>
              </w:numPr>
              <w:ind w:right="-2"/>
              <w:rPr>
                <w:rFonts w:eastAsia="Calibri"/>
                <w:sz w:val="22"/>
                <w:szCs w:val="22"/>
                <w:lang w:val="lt-LT"/>
              </w:rPr>
            </w:pPr>
            <w:proofErr w:type="spellStart"/>
            <w:r w:rsidRPr="00BF4AB8">
              <w:rPr>
                <w:rFonts w:eastAsia="Calibri"/>
                <w:sz w:val="22"/>
                <w:szCs w:val="22"/>
                <w:lang w:val="lt-LT"/>
              </w:rPr>
              <w:t>Nytyka</w:t>
            </w:r>
            <w:proofErr w:type="spellEnd"/>
            <w:r w:rsidRPr="00BF4AB8">
              <w:rPr>
                <w:rFonts w:eastAsia="Calibri"/>
                <w:sz w:val="22"/>
                <w:szCs w:val="22"/>
                <w:lang w:val="lt-LT"/>
              </w:rPr>
              <w:t xml:space="preserve"> 1</w:t>
            </w:r>
            <w:r w:rsidR="00601D06">
              <w:rPr>
                <w:rFonts w:eastAsia="Calibri"/>
                <w:sz w:val="22"/>
                <w:szCs w:val="22"/>
                <w:lang w:val="lt-LT"/>
              </w:rPr>
              <w:t>0</w:t>
            </w:r>
            <w:r w:rsidRPr="00BF4AB8">
              <w:rPr>
                <w:rFonts w:eastAsia="Calibri"/>
                <w:sz w:val="22"/>
                <w:szCs w:val="22"/>
                <w:lang w:val="lt-LT"/>
              </w:rPr>
              <w:t>0</w:t>
            </w:r>
            <w:r>
              <w:rPr>
                <w:rFonts w:eastAsia="Calibri"/>
                <w:sz w:val="22"/>
                <w:szCs w:val="22"/>
                <w:lang w:val="lt-LT"/>
              </w:rPr>
              <w:t> </w:t>
            </w:r>
            <w:r w:rsidRPr="00BF4AB8">
              <w:rPr>
                <w:rFonts w:eastAsia="Calibri"/>
                <w:sz w:val="22"/>
                <w:szCs w:val="22"/>
                <w:lang w:val="lt-LT"/>
              </w:rPr>
              <w:t xml:space="preserve">mg </w:t>
            </w:r>
            <w:proofErr w:type="spellStart"/>
            <w:r w:rsidRPr="00BF4AB8">
              <w:rPr>
                <w:rFonts w:eastAsia="Calibri"/>
                <w:sz w:val="22"/>
                <w:szCs w:val="22"/>
                <w:lang w:val="lt-LT"/>
              </w:rPr>
              <w:t>mjúk</w:t>
            </w:r>
            <w:proofErr w:type="spellEnd"/>
            <w:r w:rsidRPr="00BF4AB8">
              <w:rPr>
                <w:rFonts w:eastAsia="Calibri"/>
                <w:sz w:val="22"/>
                <w:szCs w:val="22"/>
                <w:lang w:val="lt-LT"/>
              </w:rPr>
              <w:t xml:space="preserve"> </w:t>
            </w:r>
            <w:proofErr w:type="spellStart"/>
            <w:r w:rsidRPr="00BF4AB8">
              <w:rPr>
                <w:rFonts w:eastAsia="Calibri"/>
                <w:sz w:val="22"/>
                <w:szCs w:val="22"/>
                <w:lang w:val="lt-LT"/>
              </w:rPr>
              <w:t>hylki</w:t>
            </w:r>
            <w:proofErr w:type="spellEnd"/>
          </w:p>
        </w:tc>
      </w:tr>
      <w:tr w:rsidR="00BF4AB8" w:rsidRPr="00BF4AB8" w14:paraId="3ED87E12" w14:textId="77777777" w:rsidTr="008533BD">
        <w:tc>
          <w:tcPr>
            <w:tcW w:w="1413" w:type="dxa"/>
            <w:shd w:val="clear" w:color="auto" w:fill="auto"/>
          </w:tcPr>
          <w:p w14:paraId="1E3C1C55" w14:textId="65A2AFEE" w:rsidR="00BF4AB8" w:rsidRPr="00BF4AB8" w:rsidRDefault="00BF4AB8" w:rsidP="00BF4AB8">
            <w:pPr>
              <w:numPr>
                <w:ilvl w:val="12"/>
                <w:numId w:val="0"/>
              </w:numPr>
              <w:ind w:right="-2"/>
              <w:rPr>
                <w:rFonts w:eastAsia="Calibri"/>
                <w:sz w:val="22"/>
                <w:szCs w:val="22"/>
                <w:lang w:val="lt-LT"/>
              </w:rPr>
            </w:pPr>
            <w:r w:rsidRPr="00BF4AB8">
              <w:rPr>
                <w:rFonts w:eastAsia="Calibri"/>
                <w:sz w:val="22"/>
                <w:szCs w:val="22"/>
                <w:lang w:val="lt-LT"/>
              </w:rPr>
              <w:t>Est</w:t>
            </w:r>
            <w:r>
              <w:rPr>
                <w:rFonts w:eastAsia="Calibri"/>
                <w:sz w:val="22"/>
                <w:szCs w:val="22"/>
                <w:lang w:val="lt-LT"/>
              </w:rPr>
              <w:t>ija</w:t>
            </w:r>
          </w:p>
        </w:tc>
        <w:tc>
          <w:tcPr>
            <w:tcW w:w="7648" w:type="dxa"/>
            <w:shd w:val="clear" w:color="auto" w:fill="auto"/>
          </w:tcPr>
          <w:p w14:paraId="0317B071" w14:textId="77777777" w:rsidR="00BF4AB8" w:rsidRPr="00BF4AB8" w:rsidRDefault="00BF4AB8" w:rsidP="00BF4AB8">
            <w:pPr>
              <w:numPr>
                <w:ilvl w:val="12"/>
                <w:numId w:val="0"/>
              </w:numPr>
              <w:ind w:right="-2"/>
              <w:rPr>
                <w:rFonts w:eastAsia="Calibri"/>
                <w:sz w:val="22"/>
                <w:szCs w:val="22"/>
                <w:lang w:val="lt-LT"/>
              </w:rPr>
            </w:pPr>
            <w:proofErr w:type="spellStart"/>
            <w:r w:rsidRPr="00BF4AB8">
              <w:rPr>
                <w:rFonts w:eastAsia="Calibri"/>
                <w:sz w:val="22"/>
                <w:szCs w:val="22"/>
                <w:lang w:val="lt-LT"/>
              </w:rPr>
              <w:t>Nytyka</w:t>
            </w:r>
            <w:proofErr w:type="spellEnd"/>
          </w:p>
        </w:tc>
      </w:tr>
      <w:tr w:rsidR="00BF4AB8" w:rsidRPr="00BF4AB8" w14:paraId="5B37812D" w14:textId="77777777" w:rsidTr="008533BD">
        <w:tc>
          <w:tcPr>
            <w:tcW w:w="1413" w:type="dxa"/>
            <w:shd w:val="clear" w:color="auto" w:fill="auto"/>
          </w:tcPr>
          <w:p w14:paraId="12695A07" w14:textId="35031FE2" w:rsidR="00BF4AB8" w:rsidRPr="00BF4AB8" w:rsidRDefault="00BF4AB8" w:rsidP="00BF4AB8">
            <w:pPr>
              <w:numPr>
                <w:ilvl w:val="12"/>
                <w:numId w:val="0"/>
              </w:numPr>
              <w:ind w:right="-2"/>
              <w:rPr>
                <w:rFonts w:eastAsia="Calibri"/>
                <w:sz w:val="22"/>
                <w:szCs w:val="22"/>
                <w:lang w:val="lt-LT"/>
              </w:rPr>
            </w:pPr>
            <w:r>
              <w:rPr>
                <w:rFonts w:eastAsia="Calibri"/>
                <w:sz w:val="22"/>
                <w:szCs w:val="22"/>
                <w:lang w:val="lt-LT"/>
              </w:rPr>
              <w:t>Lietuva</w:t>
            </w:r>
          </w:p>
        </w:tc>
        <w:tc>
          <w:tcPr>
            <w:tcW w:w="7648" w:type="dxa"/>
            <w:shd w:val="clear" w:color="auto" w:fill="auto"/>
          </w:tcPr>
          <w:p w14:paraId="6EAF6EB8" w14:textId="2CB3CDC5" w:rsidR="00BF4AB8" w:rsidRPr="00BF4AB8" w:rsidRDefault="00BF4AB8" w:rsidP="00BF4AB8">
            <w:pPr>
              <w:numPr>
                <w:ilvl w:val="12"/>
                <w:numId w:val="0"/>
              </w:numPr>
              <w:ind w:right="-2"/>
              <w:rPr>
                <w:rFonts w:eastAsia="Calibri"/>
                <w:sz w:val="22"/>
                <w:szCs w:val="22"/>
                <w:lang w:val="lt-LT"/>
              </w:rPr>
            </w:pPr>
            <w:proofErr w:type="spellStart"/>
            <w:r w:rsidRPr="00BF4AB8">
              <w:rPr>
                <w:rFonts w:eastAsia="Calibri"/>
                <w:sz w:val="22"/>
                <w:szCs w:val="22"/>
                <w:lang w:val="lt-LT"/>
              </w:rPr>
              <w:t>Nytyka</w:t>
            </w:r>
            <w:proofErr w:type="spellEnd"/>
            <w:r w:rsidRPr="00BF4AB8">
              <w:rPr>
                <w:rFonts w:eastAsia="Calibri"/>
                <w:sz w:val="22"/>
                <w:szCs w:val="22"/>
                <w:lang w:val="lt-LT"/>
              </w:rPr>
              <w:t xml:space="preserve"> 1</w:t>
            </w:r>
            <w:r w:rsidR="00601D06">
              <w:rPr>
                <w:rFonts w:eastAsia="Calibri"/>
                <w:sz w:val="22"/>
                <w:szCs w:val="22"/>
                <w:lang w:val="lt-LT"/>
              </w:rPr>
              <w:t>0</w:t>
            </w:r>
            <w:r w:rsidRPr="00BF4AB8">
              <w:rPr>
                <w:rFonts w:eastAsia="Calibri"/>
                <w:sz w:val="22"/>
                <w:szCs w:val="22"/>
                <w:lang w:val="lt-LT"/>
              </w:rPr>
              <w:t>0</w:t>
            </w:r>
            <w:r>
              <w:rPr>
                <w:rFonts w:eastAsia="Calibri"/>
                <w:sz w:val="22"/>
                <w:szCs w:val="22"/>
                <w:lang w:val="lt-LT"/>
              </w:rPr>
              <w:t> </w:t>
            </w:r>
            <w:r w:rsidRPr="00BF4AB8">
              <w:rPr>
                <w:rFonts w:eastAsia="Calibri"/>
                <w:sz w:val="22"/>
                <w:szCs w:val="22"/>
                <w:lang w:val="lt-LT"/>
              </w:rPr>
              <w:t>mg minkštosios kapsulės</w:t>
            </w:r>
          </w:p>
        </w:tc>
      </w:tr>
      <w:tr w:rsidR="00BF4AB8" w:rsidRPr="00BF4AB8" w14:paraId="0878377B" w14:textId="77777777" w:rsidTr="008533BD">
        <w:tc>
          <w:tcPr>
            <w:tcW w:w="1413" w:type="dxa"/>
            <w:shd w:val="clear" w:color="auto" w:fill="auto"/>
          </w:tcPr>
          <w:p w14:paraId="7B6390C2" w14:textId="53EAFBD7" w:rsidR="00BF4AB8" w:rsidRPr="00BF4AB8" w:rsidRDefault="00BF4AB8" w:rsidP="00BF4AB8">
            <w:pPr>
              <w:numPr>
                <w:ilvl w:val="12"/>
                <w:numId w:val="0"/>
              </w:numPr>
              <w:ind w:right="-2"/>
              <w:rPr>
                <w:rFonts w:eastAsia="Calibri"/>
                <w:sz w:val="22"/>
                <w:szCs w:val="22"/>
                <w:lang w:val="lt-LT"/>
              </w:rPr>
            </w:pPr>
            <w:r w:rsidRPr="00BF4AB8">
              <w:rPr>
                <w:rFonts w:eastAsia="Calibri"/>
                <w:sz w:val="22"/>
                <w:szCs w:val="22"/>
                <w:lang w:val="lt-LT"/>
              </w:rPr>
              <w:t>Latvi</w:t>
            </w:r>
            <w:r>
              <w:rPr>
                <w:rFonts w:eastAsia="Calibri"/>
                <w:sz w:val="22"/>
                <w:szCs w:val="22"/>
                <w:lang w:val="lt-LT"/>
              </w:rPr>
              <w:t>j</w:t>
            </w:r>
            <w:r w:rsidRPr="00BF4AB8">
              <w:rPr>
                <w:rFonts w:eastAsia="Calibri"/>
                <w:sz w:val="22"/>
                <w:szCs w:val="22"/>
                <w:lang w:val="lt-LT"/>
              </w:rPr>
              <w:t>a</w:t>
            </w:r>
          </w:p>
        </w:tc>
        <w:tc>
          <w:tcPr>
            <w:tcW w:w="7648" w:type="dxa"/>
            <w:shd w:val="clear" w:color="auto" w:fill="auto"/>
          </w:tcPr>
          <w:p w14:paraId="35B55485" w14:textId="0E6A9C18" w:rsidR="00BF4AB8" w:rsidRPr="00BF4AB8" w:rsidRDefault="00BF4AB8" w:rsidP="00BF4AB8">
            <w:pPr>
              <w:numPr>
                <w:ilvl w:val="12"/>
                <w:numId w:val="0"/>
              </w:numPr>
              <w:ind w:right="-2"/>
              <w:rPr>
                <w:rFonts w:eastAsia="Calibri"/>
                <w:sz w:val="22"/>
                <w:szCs w:val="22"/>
                <w:lang w:val="lt-LT"/>
              </w:rPr>
            </w:pPr>
            <w:proofErr w:type="spellStart"/>
            <w:r w:rsidRPr="00BF4AB8">
              <w:rPr>
                <w:rFonts w:eastAsia="Calibri"/>
                <w:sz w:val="22"/>
                <w:szCs w:val="22"/>
                <w:lang w:val="lt-LT"/>
              </w:rPr>
              <w:t>Nytyka</w:t>
            </w:r>
            <w:proofErr w:type="spellEnd"/>
            <w:r w:rsidRPr="00BF4AB8">
              <w:rPr>
                <w:rFonts w:eastAsia="Calibri"/>
                <w:sz w:val="22"/>
                <w:szCs w:val="22"/>
                <w:lang w:val="lt-LT"/>
              </w:rPr>
              <w:t xml:space="preserve"> 1</w:t>
            </w:r>
            <w:r w:rsidR="00601D06">
              <w:rPr>
                <w:rFonts w:eastAsia="Calibri"/>
                <w:sz w:val="22"/>
                <w:szCs w:val="22"/>
                <w:lang w:val="lt-LT"/>
              </w:rPr>
              <w:t>0</w:t>
            </w:r>
            <w:r w:rsidRPr="00BF4AB8">
              <w:rPr>
                <w:rFonts w:eastAsia="Calibri"/>
                <w:sz w:val="22"/>
                <w:szCs w:val="22"/>
                <w:lang w:val="lt-LT"/>
              </w:rPr>
              <w:t>0</w:t>
            </w:r>
            <w:r>
              <w:rPr>
                <w:rFonts w:eastAsia="Calibri"/>
                <w:sz w:val="22"/>
                <w:szCs w:val="22"/>
                <w:lang w:val="lt-LT"/>
              </w:rPr>
              <w:t> </w:t>
            </w:r>
            <w:r w:rsidRPr="00BF4AB8">
              <w:rPr>
                <w:rFonts w:eastAsia="Calibri"/>
                <w:sz w:val="22"/>
                <w:szCs w:val="22"/>
                <w:lang w:val="lt-LT"/>
              </w:rPr>
              <w:t xml:space="preserve">mg </w:t>
            </w:r>
            <w:proofErr w:type="spellStart"/>
            <w:r w:rsidRPr="00BF4AB8">
              <w:rPr>
                <w:rFonts w:eastAsia="Calibri"/>
                <w:sz w:val="22"/>
                <w:szCs w:val="22"/>
                <w:lang w:val="lt-LT"/>
              </w:rPr>
              <w:t>mīkstās</w:t>
            </w:r>
            <w:proofErr w:type="spellEnd"/>
            <w:r w:rsidRPr="00BF4AB8">
              <w:rPr>
                <w:rFonts w:eastAsia="Calibri"/>
                <w:sz w:val="22"/>
                <w:szCs w:val="22"/>
                <w:lang w:val="lt-LT"/>
              </w:rPr>
              <w:t xml:space="preserve"> </w:t>
            </w:r>
            <w:proofErr w:type="spellStart"/>
            <w:r w:rsidRPr="00BF4AB8">
              <w:rPr>
                <w:rFonts w:eastAsia="Calibri"/>
                <w:sz w:val="22"/>
                <w:szCs w:val="22"/>
                <w:lang w:val="lt-LT"/>
              </w:rPr>
              <w:t>kapsulas</w:t>
            </w:r>
            <w:proofErr w:type="spellEnd"/>
          </w:p>
        </w:tc>
      </w:tr>
    </w:tbl>
    <w:p w14:paraId="47A3666A" w14:textId="0E363A7F" w:rsidR="005D554B" w:rsidRPr="00BF4AB8" w:rsidRDefault="005D554B" w:rsidP="005D554B">
      <w:pPr>
        <w:tabs>
          <w:tab w:val="left" w:pos="567"/>
        </w:tabs>
        <w:spacing w:line="260" w:lineRule="exact"/>
        <w:ind w:left="567" w:hanging="567"/>
        <w:rPr>
          <w:snapToGrid w:val="0"/>
          <w:sz w:val="22"/>
        </w:rPr>
      </w:pPr>
    </w:p>
    <w:p w14:paraId="629CBB36" w14:textId="77777777" w:rsidR="005D554B" w:rsidRPr="00BF4AB8" w:rsidRDefault="005D554B" w:rsidP="005D554B">
      <w:pPr>
        <w:tabs>
          <w:tab w:val="left" w:pos="567"/>
        </w:tabs>
        <w:spacing w:line="260" w:lineRule="exact"/>
        <w:ind w:left="567" w:hanging="567"/>
        <w:rPr>
          <w:snapToGrid w:val="0"/>
          <w:sz w:val="22"/>
        </w:rPr>
      </w:pPr>
    </w:p>
    <w:p w14:paraId="31C6E421" w14:textId="3E057D81" w:rsidR="005D554B" w:rsidRPr="00BF4AB8" w:rsidRDefault="005D554B" w:rsidP="005D554B">
      <w:pPr>
        <w:numPr>
          <w:ilvl w:val="12"/>
          <w:numId w:val="0"/>
        </w:numPr>
        <w:ind w:right="-2"/>
        <w:rPr>
          <w:b/>
          <w:snapToGrid w:val="0"/>
          <w:sz w:val="22"/>
        </w:rPr>
      </w:pPr>
      <w:r w:rsidRPr="00BF4AB8">
        <w:rPr>
          <w:b/>
          <w:snapToGrid w:val="0"/>
          <w:sz w:val="22"/>
        </w:rPr>
        <w:t xml:space="preserve">Šis pakuotės lapelis paskutinį kartą peržiūrėtas </w:t>
      </w:r>
      <w:r w:rsidR="002C6682">
        <w:rPr>
          <w:b/>
          <w:snapToGrid w:val="0"/>
          <w:sz w:val="22"/>
        </w:rPr>
        <w:t>2024-01-05.</w:t>
      </w:r>
    </w:p>
    <w:p w14:paraId="2404CB3D" w14:textId="77777777" w:rsidR="005D554B" w:rsidRPr="00BF4AB8" w:rsidRDefault="005D554B" w:rsidP="005D554B">
      <w:pPr>
        <w:numPr>
          <w:ilvl w:val="12"/>
          <w:numId w:val="0"/>
        </w:numPr>
        <w:tabs>
          <w:tab w:val="left" w:pos="567"/>
        </w:tabs>
        <w:ind w:right="-2"/>
        <w:rPr>
          <w:i/>
          <w:snapToGrid w:val="0"/>
          <w:sz w:val="22"/>
          <w:szCs w:val="24"/>
        </w:rPr>
      </w:pPr>
    </w:p>
    <w:p w14:paraId="66F5A219" w14:textId="40604522" w:rsidR="005D554B" w:rsidRPr="00BF4AB8" w:rsidRDefault="005D554B" w:rsidP="005D554B">
      <w:pPr>
        <w:numPr>
          <w:ilvl w:val="12"/>
          <w:numId w:val="0"/>
        </w:numPr>
        <w:tabs>
          <w:tab w:val="left" w:pos="567"/>
        </w:tabs>
        <w:ind w:right="-2"/>
        <w:rPr>
          <w:snapToGrid w:val="0"/>
          <w:sz w:val="22"/>
          <w:szCs w:val="24"/>
        </w:rPr>
      </w:pPr>
      <w:r w:rsidRPr="00BF4AB8">
        <w:rPr>
          <w:snapToGrid w:val="0"/>
          <w:sz w:val="22"/>
        </w:rPr>
        <w:t xml:space="preserve">Išsami informacija apie šį </w:t>
      </w:r>
      <w:r w:rsidRPr="00BF4AB8">
        <w:rPr>
          <w:snapToGrid w:val="0"/>
          <w:sz w:val="22"/>
          <w:szCs w:val="24"/>
        </w:rPr>
        <w:t>vaistą</w:t>
      </w:r>
      <w:r w:rsidRPr="00BF4AB8">
        <w:rPr>
          <w:snapToGrid w:val="0"/>
          <w:sz w:val="22"/>
        </w:rPr>
        <w:t xml:space="preserve"> pateikiama Valstybinės vaistų kontrolės tarnybos prie Lietuvos Respublikos sveikatos apsaugos ministerijos tinklalapyje</w:t>
      </w:r>
      <w:r w:rsidRPr="00BF4AB8">
        <w:rPr>
          <w:i/>
          <w:snapToGrid w:val="0"/>
          <w:sz w:val="22"/>
          <w:szCs w:val="24"/>
        </w:rPr>
        <w:t xml:space="preserve"> </w:t>
      </w:r>
      <w:hyperlink r:id="rId21" w:history="1">
        <w:r w:rsidRPr="00BF4AB8">
          <w:rPr>
            <w:rFonts w:eastAsia="SimSun"/>
            <w:snapToGrid w:val="0"/>
            <w:color w:val="0000FF"/>
            <w:sz w:val="22"/>
            <w:u w:val="single"/>
          </w:rPr>
          <w:t>http://www.vvkt.lt/</w:t>
        </w:r>
      </w:hyperlink>
      <w:r w:rsidRPr="00BF4AB8">
        <w:rPr>
          <w:snapToGrid w:val="0"/>
          <w:sz w:val="22"/>
        </w:rPr>
        <w:t>.</w:t>
      </w:r>
    </w:p>
    <w:p w14:paraId="0ECD25DB" w14:textId="3C2B43AF" w:rsidR="00FA2B2E" w:rsidRDefault="00FA2B2E">
      <w:pPr>
        <w:rPr>
          <w:szCs w:val="24"/>
          <w:lang w:eastAsia="lt-LT"/>
        </w:rPr>
      </w:pPr>
      <w:r>
        <w:rPr>
          <w:szCs w:val="24"/>
          <w:lang w:eastAsia="lt-LT"/>
        </w:rPr>
        <w:br w:type="page"/>
      </w:r>
    </w:p>
    <w:p w14:paraId="572A149D" w14:textId="5CCBFEAA" w:rsidR="00892F95" w:rsidRPr="00BF4AB8" w:rsidRDefault="00892F95" w:rsidP="00892F95">
      <w:pPr>
        <w:keepNext/>
        <w:tabs>
          <w:tab w:val="left" w:pos="567"/>
        </w:tabs>
        <w:jc w:val="center"/>
        <w:outlineLvl w:val="1"/>
        <w:rPr>
          <w:b/>
          <w:snapToGrid w:val="0"/>
          <w:sz w:val="22"/>
          <w:szCs w:val="24"/>
          <w:lang w:eastAsia="x-none"/>
        </w:rPr>
      </w:pPr>
      <w:r w:rsidRPr="00BF4AB8">
        <w:rPr>
          <w:b/>
          <w:bCs/>
          <w:iCs/>
          <w:snapToGrid w:val="0"/>
          <w:sz w:val="22"/>
          <w:szCs w:val="28"/>
          <w:lang w:eastAsia="x-none"/>
        </w:rPr>
        <w:lastRenderedPageBreak/>
        <w:t>Pakuotės lapelis:</w:t>
      </w:r>
      <w:r w:rsidRPr="00BF4AB8">
        <w:rPr>
          <w:b/>
          <w:snapToGrid w:val="0"/>
          <w:sz w:val="22"/>
          <w:szCs w:val="24"/>
          <w:lang w:eastAsia="x-none"/>
        </w:rPr>
        <w:t xml:space="preserve"> </w:t>
      </w:r>
      <w:r w:rsidRPr="00BF4AB8">
        <w:rPr>
          <w:b/>
          <w:bCs/>
          <w:iCs/>
          <w:snapToGrid w:val="0"/>
          <w:sz w:val="22"/>
          <w:szCs w:val="28"/>
          <w:lang w:eastAsia="x-none"/>
        </w:rPr>
        <w:t>informacija pacientui</w:t>
      </w:r>
    </w:p>
    <w:p w14:paraId="0465A64B" w14:textId="77777777" w:rsidR="00892F95" w:rsidRPr="00BF4AB8" w:rsidRDefault="00892F95" w:rsidP="00892F95">
      <w:pPr>
        <w:numPr>
          <w:ilvl w:val="12"/>
          <w:numId w:val="0"/>
        </w:numPr>
        <w:shd w:val="clear" w:color="auto" w:fill="FFFFFF"/>
        <w:jc w:val="center"/>
        <w:rPr>
          <w:snapToGrid w:val="0"/>
          <w:sz w:val="22"/>
          <w:szCs w:val="24"/>
        </w:rPr>
      </w:pPr>
    </w:p>
    <w:p w14:paraId="4AA93894" w14:textId="77777777" w:rsidR="00892F95" w:rsidRPr="00C710D9" w:rsidRDefault="00892F95" w:rsidP="00892F95">
      <w:pPr>
        <w:jc w:val="center"/>
        <w:rPr>
          <w:b/>
          <w:snapToGrid w:val="0"/>
          <w:sz w:val="22"/>
          <w:szCs w:val="24"/>
        </w:rPr>
      </w:pPr>
      <w:proofErr w:type="spellStart"/>
      <w:r w:rsidRPr="00C710D9">
        <w:rPr>
          <w:b/>
          <w:snapToGrid w:val="0"/>
          <w:sz w:val="22"/>
          <w:szCs w:val="24"/>
        </w:rPr>
        <w:t>Nytyka</w:t>
      </w:r>
      <w:proofErr w:type="spellEnd"/>
      <w:r w:rsidRPr="00C710D9">
        <w:rPr>
          <w:b/>
          <w:snapToGrid w:val="0"/>
          <w:sz w:val="22"/>
          <w:szCs w:val="24"/>
        </w:rPr>
        <w:t xml:space="preserve"> 150 mg minkštosios kapsulės</w:t>
      </w:r>
    </w:p>
    <w:p w14:paraId="58EC5B7B" w14:textId="77777777" w:rsidR="00892F95" w:rsidRPr="00C710D9" w:rsidRDefault="00892F95" w:rsidP="00892F95">
      <w:pPr>
        <w:jc w:val="center"/>
        <w:rPr>
          <w:bCs/>
          <w:snapToGrid w:val="0"/>
          <w:sz w:val="22"/>
          <w:szCs w:val="24"/>
        </w:rPr>
      </w:pPr>
      <w:proofErr w:type="spellStart"/>
      <w:r w:rsidRPr="00C710D9">
        <w:rPr>
          <w:bCs/>
          <w:snapToGrid w:val="0"/>
          <w:sz w:val="22"/>
          <w:szCs w:val="24"/>
        </w:rPr>
        <w:t>nintedanibas</w:t>
      </w:r>
      <w:proofErr w:type="spellEnd"/>
    </w:p>
    <w:p w14:paraId="7E7E7617" w14:textId="77777777" w:rsidR="00892F95" w:rsidRPr="00BF4AB8" w:rsidRDefault="00892F95" w:rsidP="00892F95">
      <w:pPr>
        <w:rPr>
          <w:snapToGrid w:val="0"/>
          <w:sz w:val="22"/>
          <w:szCs w:val="24"/>
        </w:rPr>
      </w:pPr>
    </w:p>
    <w:p w14:paraId="54854C96" w14:textId="77777777" w:rsidR="00892F95" w:rsidRPr="00BF4AB8" w:rsidRDefault="00892F95" w:rsidP="00892F95">
      <w:pPr>
        <w:suppressAutoHyphens/>
        <w:ind w:left="142" w:hanging="142"/>
        <w:rPr>
          <w:snapToGrid w:val="0"/>
          <w:sz w:val="22"/>
          <w:szCs w:val="24"/>
        </w:rPr>
      </w:pPr>
      <w:r w:rsidRPr="00BF4AB8">
        <w:rPr>
          <w:b/>
          <w:snapToGrid w:val="0"/>
          <w:sz w:val="22"/>
          <w:szCs w:val="24"/>
        </w:rPr>
        <w:t>Atidžiai perskaitykite visą šį lapelį, prieš pradėdami vartoti vaistą, nes jame pateikiama Jums svarbi informacija.</w:t>
      </w:r>
    </w:p>
    <w:p w14:paraId="18D7F6A1" w14:textId="77777777" w:rsidR="00892F95" w:rsidRPr="00BF4AB8" w:rsidRDefault="00892F95" w:rsidP="00892F95">
      <w:pPr>
        <w:numPr>
          <w:ilvl w:val="0"/>
          <w:numId w:val="3"/>
        </w:numPr>
        <w:tabs>
          <w:tab w:val="left" w:pos="567"/>
        </w:tabs>
        <w:spacing w:line="260" w:lineRule="exact"/>
        <w:ind w:left="567" w:right="-2" w:hanging="567"/>
        <w:rPr>
          <w:snapToGrid w:val="0"/>
          <w:sz w:val="22"/>
          <w:szCs w:val="24"/>
        </w:rPr>
      </w:pPr>
      <w:r w:rsidRPr="00BF4AB8">
        <w:rPr>
          <w:snapToGrid w:val="0"/>
          <w:sz w:val="22"/>
          <w:szCs w:val="24"/>
        </w:rPr>
        <w:t xml:space="preserve">Neišmeskite šio lapelio, nes vėl gali prireikti jį perskaityti. </w:t>
      </w:r>
    </w:p>
    <w:p w14:paraId="301D33B0" w14:textId="77777777" w:rsidR="00892F95" w:rsidRPr="00BF4AB8" w:rsidRDefault="00892F95" w:rsidP="00892F95">
      <w:pPr>
        <w:numPr>
          <w:ilvl w:val="0"/>
          <w:numId w:val="3"/>
        </w:numPr>
        <w:tabs>
          <w:tab w:val="left" w:pos="567"/>
        </w:tabs>
        <w:spacing w:line="260" w:lineRule="exact"/>
        <w:ind w:left="567" w:right="-2" w:hanging="567"/>
        <w:rPr>
          <w:snapToGrid w:val="0"/>
          <w:sz w:val="22"/>
          <w:szCs w:val="24"/>
        </w:rPr>
      </w:pPr>
      <w:r w:rsidRPr="00BF4AB8">
        <w:rPr>
          <w:snapToGrid w:val="0"/>
          <w:sz w:val="22"/>
          <w:szCs w:val="24"/>
        </w:rPr>
        <w:t>Jeigu kiltų daugiau klausimų, kreipkitės į gydytoją arba vaistininką.</w:t>
      </w:r>
    </w:p>
    <w:p w14:paraId="6B54BF6D" w14:textId="77777777" w:rsidR="00892F95" w:rsidRPr="00BF4AB8" w:rsidRDefault="00892F95" w:rsidP="00892F95">
      <w:pPr>
        <w:tabs>
          <w:tab w:val="left" w:pos="567"/>
        </w:tabs>
        <w:ind w:left="567" w:right="-2" w:hanging="567"/>
        <w:rPr>
          <w:snapToGrid w:val="0"/>
          <w:sz w:val="22"/>
          <w:szCs w:val="24"/>
        </w:rPr>
      </w:pPr>
      <w:r w:rsidRPr="00BF4AB8">
        <w:rPr>
          <w:snapToGrid w:val="0"/>
          <w:sz w:val="22"/>
          <w:szCs w:val="24"/>
        </w:rPr>
        <w:t>-</w:t>
      </w:r>
      <w:r w:rsidRPr="00BF4AB8">
        <w:rPr>
          <w:snapToGrid w:val="0"/>
          <w:sz w:val="22"/>
          <w:szCs w:val="24"/>
        </w:rPr>
        <w:tab/>
        <w:t>Šis vaistas skirtas tik Jums, todėl kitiems žmonėms jo duoti negalima. Vaistas gali jiems pakenkti (net tiems, kurių ligos požymiai yra tokie patys kaip Jūsų).</w:t>
      </w:r>
    </w:p>
    <w:p w14:paraId="2D40A64B" w14:textId="77777777" w:rsidR="00892F95" w:rsidRPr="00BF4AB8" w:rsidRDefault="00892F95" w:rsidP="00892F95">
      <w:pPr>
        <w:numPr>
          <w:ilvl w:val="0"/>
          <w:numId w:val="3"/>
        </w:numPr>
        <w:tabs>
          <w:tab w:val="left" w:pos="567"/>
        </w:tabs>
        <w:spacing w:line="260" w:lineRule="exact"/>
        <w:ind w:left="567" w:hanging="567"/>
        <w:rPr>
          <w:snapToGrid w:val="0"/>
          <w:sz w:val="22"/>
          <w:szCs w:val="24"/>
        </w:rPr>
      </w:pPr>
      <w:r w:rsidRPr="00BF4AB8">
        <w:rPr>
          <w:snapToGrid w:val="0"/>
          <w:sz w:val="22"/>
          <w:szCs w:val="24"/>
        </w:rPr>
        <w:t>Jeigu pasireiškė šalutinis poveikis (net jeigu jis šiame lapelyje nenurodytas), kreipkitės į gydytoją arba vaistininką. Žr. 4 skyrių.</w:t>
      </w:r>
    </w:p>
    <w:p w14:paraId="24386217" w14:textId="77777777" w:rsidR="00892F95" w:rsidRPr="00BF4AB8" w:rsidRDefault="00892F95" w:rsidP="00892F95">
      <w:pPr>
        <w:ind w:right="-2"/>
        <w:rPr>
          <w:snapToGrid w:val="0"/>
          <w:sz w:val="22"/>
          <w:szCs w:val="24"/>
        </w:rPr>
      </w:pPr>
    </w:p>
    <w:p w14:paraId="2217D3D7" w14:textId="77777777" w:rsidR="00892F95" w:rsidRPr="00BF4AB8" w:rsidRDefault="00892F95" w:rsidP="00892F95">
      <w:pPr>
        <w:keepNext/>
        <w:tabs>
          <w:tab w:val="left" w:pos="567"/>
        </w:tabs>
        <w:spacing w:line="260" w:lineRule="exact"/>
        <w:jc w:val="both"/>
        <w:outlineLvl w:val="3"/>
        <w:rPr>
          <w:b/>
          <w:bCs/>
          <w:snapToGrid w:val="0"/>
          <w:sz w:val="22"/>
          <w:szCs w:val="28"/>
          <w:lang w:eastAsia="x-none"/>
        </w:rPr>
      </w:pPr>
      <w:r w:rsidRPr="00BF4AB8">
        <w:rPr>
          <w:b/>
          <w:bCs/>
          <w:snapToGrid w:val="0"/>
          <w:sz w:val="22"/>
          <w:szCs w:val="28"/>
          <w:lang w:eastAsia="x-none"/>
        </w:rPr>
        <w:t>Apie ką rašoma šiame lapelyje?</w:t>
      </w:r>
    </w:p>
    <w:p w14:paraId="07269D86" w14:textId="77777777" w:rsidR="00892F95" w:rsidRPr="00BF4AB8" w:rsidRDefault="00892F95" w:rsidP="00892F95">
      <w:pPr>
        <w:numPr>
          <w:ilvl w:val="12"/>
          <w:numId w:val="0"/>
        </w:numPr>
        <w:ind w:left="284" w:right="-2"/>
        <w:rPr>
          <w:snapToGrid w:val="0"/>
          <w:sz w:val="22"/>
          <w:szCs w:val="24"/>
        </w:rPr>
      </w:pPr>
    </w:p>
    <w:p w14:paraId="6F75DCEB" w14:textId="77777777" w:rsidR="00892F95" w:rsidRPr="00BF4AB8" w:rsidRDefault="00892F95" w:rsidP="00892F95">
      <w:pPr>
        <w:numPr>
          <w:ilvl w:val="12"/>
          <w:numId w:val="0"/>
        </w:numPr>
        <w:tabs>
          <w:tab w:val="left" w:pos="709"/>
        </w:tabs>
        <w:ind w:right="-2"/>
        <w:rPr>
          <w:snapToGrid w:val="0"/>
          <w:sz w:val="22"/>
          <w:szCs w:val="24"/>
        </w:rPr>
      </w:pPr>
      <w:r w:rsidRPr="00BF4AB8">
        <w:rPr>
          <w:snapToGrid w:val="0"/>
          <w:sz w:val="22"/>
          <w:szCs w:val="24"/>
        </w:rPr>
        <w:t>1.</w:t>
      </w:r>
      <w:r w:rsidRPr="00BF4AB8">
        <w:rPr>
          <w:snapToGrid w:val="0"/>
          <w:sz w:val="22"/>
          <w:szCs w:val="24"/>
        </w:rPr>
        <w:tab/>
      </w:r>
      <w:r w:rsidRPr="00BF4AB8">
        <w:rPr>
          <w:snapToGrid w:val="0"/>
          <w:sz w:val="22"/>
        </w:rPr>
        <w:t xml:space="preserve">Kas yra </w:t>
      </w:r>
      <w:proofErr w:type="spellStart"/>
      <w:r w:rsidRPr="00BF4AB8">
        <w:rPr>
          <w:snapToGrid w:val="0"/>
          <w:sz w:val="22"/>
        </w:rPr>
        <w:t>Nytyka</w:t>
      </w:r>
      <w:proofErr w:type="spellEnd"/>
      <w:r w:rsidRPr="00BF4AB8">
        <w:rPr>
          <w:snapToGrid w:val="0"/>
          <w:sz w:val="22"/>
        </w:rPr>
        <w:t xml:space="preserve"> ir kam jis vartojamas</w:t>
      </w:r>
      <w:r w:rsidRPr="00BF4AB8">
        <w:rPr>
          <w:snapToGrid w:val="0"/>
          <w:sz w:val="22"/>
          <w:szCs w:val="24"/>
        </w:rPr>
        <w:t xml:space="preserve"> </w:t>
      </w:r>
    </w:p>
    <w:p w14:paraId="17A908E7" w14:textId="77777777" w:rsidR="00892F95" w:rsidRPr="00BF4AB8" w:rsidRDefault="00892F95" w:rsidP="00892F95">
      <w:pPr>
        <w:numPr>
          <w:ilvl w:val="12"/>
          <w:numId w:val="0"/>
        </w:numPr>
        <w:tabs>
          <w:tab w:val="left" w:pos="709"/>
        </w:tabs>
        <w:ind w:right="-2"/>
        <w:rPr>
          <w:snapToGrid w:val="0"/>
          <w:sz w:val="22"/>
          <w:szCs w:val="24"/>
        </w:rPr>
      </w:pPr>
      <w:r w:rsidRPr="00BF4AB8">
        <w:rPr>
          <w:snapToGrid w:val="0"/>
          <w:sz w:val="22"/>
          <w:szCs w:val="24"/>
        </w:rPr>
        <w:t>2.</w:t>
      </w:r>
      <w:r w:rsidRPr="00BF4AB8">
        <w:rPr>
          <w:snapToGrid w:val="0"/>
          <w:sz w:val="22"/>
          <w:szCs w:val="24"/>
        </w:rPr>
        <w:tab/>
        <w:t xml:space="preserve">Kas žinotina prieš vartojant </w:t>
      </w:r>
      <w:proofErr w:type="spellStart"/>
      <w:r w:rsidRPr="00BF4AB8">
        <w:rPr>
          <w:snapToGrid w:val="0"/>
          <w:sz w:val="22"/>
        </w:rPr>
        <w:t>Nytyka</w:t>
      </w:r>
      <w:proofErr w:type="spellEnd"/>
    </w:p>
    <w:p w14:paraId="4AC73E30" w14:textId="77777777" w:rsidR="00892F95" w:rsidRPr="00BF4AB8" w:rsidRDefault="00892F95" w:rsidP="00892F95">
      <w:pPr>
        <w:numPr>
          <w:ilvl w:val="12"/>
          <w:numId w:val="0"/>
        </w:numPr>
        <w:tabs>
          <w:tab w:val="left" w:pos="709"/>
        </w:tabs>
        <w:ind w:right="-2"/>
        <w:rPr>
          <w:snapToGrid w:val="0"/>
          <w:sz w:val="22"/>
          <w:szCs w:val="24"/>
        </w:rPr>
      </w:pPr>
      <w:r w:rsidRPr="00BF4AB8">
        <w:rPr>
          <w:snapToGrid w:val="0"/>
          <w:sz w:val="22"/>
          <w:szCs w:val="24"/>
        </w:rPr>
        <w:t>3.</w:t>
      </w:r>
      <w:r w:rsidRPr="00BF4AB8">
        <w:rPr>
          <w:snapToGrid w:val="0"/>
          <w:sz w:val="22"/>
          <w:szCs w:val="24"/>
        </w:rPr>
        <w:tab/>
        <w:t xml:space="preserve">Kaip vartoti </w:t>
      </w:r>
      <w:proofErr w:type="spellStart"/>
      <w:r w:rsidRPr="00BF4AB8">
        <w:rPr>
          <w:snapToGrid w:val="0"/>
          <w:sz w:val="22"/>
        </w:rPr>
        <w:t>Nytyka</w:t>
      </w:r>
      <w:proofErr w:type="spellEnd"/>
    </w:p>
    <w:p w14:paraId="58A9A116" w14:textId="77777777" w:rsidR="00892F95" w:rsidRPr="00BF4AB8" w:rsidRDefault="00892F95" w:rsidP="00892F95">
      <w:pPr>
        <w:numPr>
          <w:ilvl w:val="12"/>
          <w:numId w:val="0"/>
        </w:numPr>
        <w:tabs>
          <w:tab w:val="left" w:pos="709"/>
        </w:tabs>
        <w:ind w:right="-2"/>
        <w:rPr>
          <w:snapToGrid w:val="0"/>
          <w:sz w:val="22"/>
          <w:szCs w:val="24"/>
        </w:rPr>
      </w:pPr>
      <w:r w:rsidRPr="00BF4AB8">
        <w:rPr>
          <w:snapToGrid w:val="0"/>
          <w:sz w:val="22"/>
          <w:szCs w:val="24"/>
        </w:rPr>
        <w:t>4.</w:t>
      </w:r>
      <w:r w:rsidRPr="00BF4AB8">
        <w:rPr>
          <w:snapToGrid w:val="0"/>
          <w:sz w:val="22"/>
          <w:szCs w:val="24"/>
        </w:rPr>
        <w:tab/>
      </w:r>
      <w:r w:rsidRPr="00BF4AB8">
        <w:rPr>
          <w:snapToGrid w:val="0"/>
          <w:sz w:val="22"/>
        </w:rPr>
        <w:t>Galimas šalutinis poveikis</w:t>
      </w:r>
      <w:r w:rsidRPr="00BF4AB8">
        <w:rPr>
          <w:snapToGrid w:val="0"/>
          <w:sz w:val="22"/>
          <w:szCs w:val="24"/>
        </w:rPr>
        <w:t xml:space="preserve"> </w:t>
      </w:r>
    </w:p>
    <w:p w14:paraId="7E95A72C" w14:textId="77777777" w:rsidR="00892F95" w:rsidRPr="00BF4AB8" w:rsidRDefault="00892F95" w:rsidP="00892F95">
      <w:pPr>
        <w:numPr>
          <w:ilvl w:val="12"/>
          <w:numId w:val="0"/>
        </w:numPr>
        <w:tabs>
          <w:tab w:val="left" w:pos="709"/>
        </w:tabs>
        <w:ind w:right="-2"/>
        <w:rPr>
          <w:snapToGrid w:val="0"/>
          <w:sz w:val="22"/>
          <w:szCs w:val="24"/>
        </w:rPr>
      </w:pPr>
      <w:r w:rsidRPr="00BF4AB8">
        <w:rPr>
          <w:snapToGrid w:val="0"/>
          <w:sz w:val="22"/>
          <w:szCs w:val="24"/>
        </w:rPr>
        <w:t>5.</w:t>
      </w:r>
      <w:r w:rsidRPr="00BF4AB8">
        <w:rPr>
          <w:snapToGrid w:val="0"/>
          <w:sz w:val="22"/>
          <w:szCs w:val="24"/>
        </w:rPr>
        <w:tab/>
      </w:r>
      <w:r w:rsidRPr="00BF4AB8">
        <w:rPr>
          <w:snapToGrid w:val="0"/>
          <w:sz w:val="22"/>
        </w:rPr>
        <w:t xml:space="preserve">Kaip laikyti </w:t>
      </w:r>
      <w:proofErr w:type="spellStart"/>
      <w:r w:rsidRPr="00BF4AB8">
        <w:rPr>
          <w:snapToGrid w:val="0"/>
          <w:sz w:val="22"/>
        </w:rPr>
        <w:t>Nytyka</w:t>
      </w:r>
      <w:proofErr w:type="spellEnd"/>
    </w:p>
    <w:p w14:paraId="4E3B4F8D" w14:textId="77777777" w:rsidR="00892F95" w:rsidRPr="00BF4AB8" w:rsidRDefault="00892F95" w:rsidP="00892F95">
      <w:pPr>
        <w:numPr>
          <w:ilvl w:val="12"/>
          <w:numId w:val="0"/>
        </w:numPr>
        <w:tabs>
          <w:tab w:val="left" w:pos="709"/>
        </w:tabs>
        <w:ind w:right="-2"/>
        <w:rPr>
          <w:snapToGrid w:val="0"/>
          <w:sz w:val="22"/>
          <w:szCs w:val="24"/>
        </w:rPr>
      </w:pPr>
      <w:r w:rsidRPr="00BF4AB8">
        <w:rPr>
          <w:snapToGrid w:val="0"/>
          <w:sz w:val="22"/>
          <w:szCs w:val="24"/>
        </w:rPr>
        <w:t>6.</w:t>
      </w:r>
      <w:r w:rsidRPr="00BF4AB8">
        <w:rPr>
          <w:snapToGrid w:val="0"/>
          <w:sz w:val="22"/>
          <w:szCs w:val="24"/>
        </w:rPr>
        <w:tab/>
        <w:t>Pakuotės turinys ir kita informacija</w:t>
      </w:r>
    </w:p>
    <w:p w14:paraId="5467A4C5" w14:textId="77777777" w:rsidR="00892F95" w:rsidRPr="00BF4AB8" w:rsidRDefault="00892F95" w:rsidP="00892F95">
      <w:pPr>
        <w:numPr>
          <w:ilvl w:val="12"/>
          <w:numId w:val="0"/>
        </w:numPr>
        <w:ind w:right="-2"/>
        <w:rPr>
          <w:snapToGrid w:val="0"/>
          <w:sz w:val="22"/>
          <w:szCs w:val="24"/>
        </w:rPr>
      </w:pPr>
    </w:p>
    <w:p w14:paraId="2728FD86" w14:textId="77777777" w:rsidR="00892F95" w:rsidRPr="00BF4AB8" w:rsidRDefault="00892F95" w:rsidP="00892F95">
      <w:pPr>
        <w:numPr>
          <w:ilvl w:val="12"/>
          <w:numId w:val="0"/>
        </w:numPr>
        <w:ind w:right="-2"/>
        <w:rPr>
          <w:snapToGrid w:val="0"/>
          <w:sz w:val="22"/>
          <w:szCs w:val="24"/>
        </w:rPr>
      </w:pPr>
    </w:p>
    <w:p w14:paraId="6A92BCFE" w14:textId="77777777" w:rsidR="00892F95" w:rsidRPr="00BF4AB8" w:rsidRDefault="00892F95" w:rsidP="00892F95">
      <w:pPr>
        <w:keepNext/>
        <w:tabs>
          <w:tab w:val="left" w:pos="567"/>
        </w:tabs>
        <w:spacing w:line="260" w:lineRule="exact"/>
        <w:jc w:val="both"/>
        <w:outlineLvl w:val="3"/>
        <w:rPr>
          <w:b/>
          <w:bCs/>
          <w:snapToGrid w:val="0"/>
          <w:sz w:val="22"/>
          <w:szCs w:val="28"/>
          <w:lang w:eastAsia="x-none"/>
        </w:rPr>
      </w:pPr>
      <w:r w:rsidRPr="00BF4AB8">
        <w:rPr>
          <w:b/>
          <w:bCs/>
          <w:snapToGrid w:val="0"/>
          <w:sz w:val="22"/>
          <w:szCs w:val="28"/>
          <w:lang w:eastAsia="x-none"/>
        </w:rPr>
        <w:t>1.</w:t>
      </w:r>
      <w:r w:rsidRPr="00BF4AB8">
        <w:rPr>
          <w:b/>
          <w:bCs/>
          <w:snapToGrid w:val="0"/>
          <w:sz w:val="22"/>
          <w:szCs w:val="28"/>
          <w:lang w:eastAsia="x-none"/>
        </w:rPr>
        <w:tab/>
        <w:t xml:space="preserve">Kas yra </w:t>
      </w:r>
      <w:proofErr w:type="spellStart"/>
      <w:r w:rsidRPr="00BF4AB8">
        <w:rPr>
          <w:b/>
          <w:bCs/>
          <w:snapToGrid w:val="0"/>
          <w:sz w:val="22"/>
          <w:szCs w:val="28"/>
          <w:lang w:eastAsia="x-none"/>
        </w:rPr>
        <w:t>Nytyka</w:t>
      </w:r>
      <w:proofErr w:type="spellEnd"/>
      <w:r w:rsidRPr="00BF4AB8">
        <w:rPr>
          <w:b/>
          <w:bCs/>
          <w:snapToGrid w:val="0"/>
          <w:sz w:val="22"/>
          <w:szCs w:val="28"/>
          <w:lang w:eastAsia="x-none"/>
        </w:rPr>
        <w:t xml:space="preserve"> ir kam jis vartojamas</w:t>
      </w:r>
    </w:p>
    <w:p w14:paraId="1A6948C6" w14:textId="77777777" w:rsidR="00892F95" w:rsidRPr="00BF4AB8" w:rsidRDefault="00892F95" w:rsidP="00892F95">
      <w:pPr>
        <w:numPr>
          <w:ilvl w:val="12"/>
          <w:numId w:val="0"/>
        </w:numPr>
        <w:ind w:right="-2"/>
        <w:rPr>
          <w:snapToGrid w:val="0"/>
          <w:sz w:val="22"/>
          <w:szCs w:val="24"/>
        </w:rPr>
      </w:pPr>
    </w:p>
    <w:p w14:paraId="54198801" w14:textId="77777777" w:rsidR="00892F95" w:rsidRPr="00BF4AB8" w:rsidRDefault="00892F95" w:rsidP="00892F95">
      <w:pPr>
        <w:numPr>
          <w:ilvl w:val="12"/>
          <w:numId w:val="0"/>
        </w:numPr>
        <w:ind w:right="-2"/>
        <w:rPr>
          <w:snapToGrid w:val="0"/>
          <w:sz w:val="22"/>
        </w:rPr>
      </w:pPr>
      <w:proofErr w:type="spellStart"/>
      <w:r w:rsidRPr="00BF4AB8">
        <w:rPr>
          <w:snapToGrid w:val="0"/>
          <w:sz w:val="22"/>
        </w:rPr>
        <w:t>Nytyka</w:t>
      </w:r>
      <w:proofErr w:type="spellEnd"/>
      <w:r w:rsidRPr="00BF4AB8">
        <w:rPr>
          <w:snapToGrid w:val="0"/>
          <w:sz w:val="22"/>
        </w:rPr>
        <w:t xml:space="preserve"> kapsulių veiklioji medžiaga yra </w:t>
      </w:r>
      <w:proofErr w:type="spellStart"/>
      <w:r w:rsidRPr="00BF4AB8">
        <w:rPr>
          <w:snapToGrid w:val="0"/>
          <w:sz w:val="22"/>
        </w:rPr>
        <w:t>nintedanibas</w:t>
      </w:r>
      <w:proofErr w:type="spellEnd"/>
      <w:r w:rsidRPr="00BF4AB8">
        <w:rPr>
          <w:snapToGrid w:val="0"/>
          <w:sz w:val="22"/>
        </w:rPr>
        <w:t xml:space="preserve">. </w:t>
      </w:r>
      <w:proofErr w:type="spellStart"/>
      <w:r w:rsidRPr="00BF4AB8">
        <w:rPr>
          <w:snapToGrid w:val="0"/>
          <w:sz w:val="22"/>
        </w:rPr>
        <w:t>Nintedanibas</w:t>
      </w:r>
      <w:proofErr w:type="spellEnd"/>
      <w:r w:rsidRPr="00BF4AB8">
        <w:rPr>
          <w:snapToGrid w:val="0"/>
          <w:sz w:val="22"/>
        </w:rPr>
        <w:t xml:space="preserve"> slopina grupės baltymų, dalyvaujančių susidarant naujoms kraujagyslėms, kurios reikalingos vėžio ląstelėms aprūpinti maistu ir deguonimi, aktyvumą. Slopindamas šių baltymų aktyvumą, </w:t>
      </w:r>
      <w:proofErr w:type="spellStart"/>
      <w:r w:rsidRPr="00BF4AB8">
        <w:rPr>
          <w:snapToGrid w:val="0"/>
          <w:sz w:val="22"/>
        </w:rPr>
        <w:t>nintedanibas</w:t>
      </w:r>
      <w:proofErr w:type="spellEnd"/>
      <w:r w:rsidRPr="00BF4AB8">
        <w:rPr>
          <w:snapToGrid w:val="0"/>
          <w:sz w:val="22"/>
        </w:rPr>
        <w:t xml:space="preserve"> gali padėti sustabdyti vėžio augimą ir plitimą.</w:t>
      </w:r>
    </w:p>
    <w:p w14:paraId="7283716A" w14:textId="77777777" w:rsidR="00892F95" w:rsidRPr="00BF4AB8" w:rsidRDefault="00892F95" w:rsidP="00892F95">
      <w:pPr>
        <w:numPr>
          <w:ilvl w:val="12"/>
          <w:numId w:val="0"/>
        </w:numPr>
        <w:ind w:right="-2"/>
        <w:rPr>
          <w:snapToGrid w:val="0"/>
          <w:sz w:val="22"/>
        </w:rPr>
      </w:pPr>
    </w:p>
    <w:p w14:paraId="37A2F4A8" w14:textId="77777777" w:rsidR="00892F95" w:rsidRPr="00BF4AB8" w:rsidRDefault="00892F95" w:rsidP="00892F95">
      <w:pPr>
        <w:numPr>
          <w:ilvl w:val="12"/>
          <w:numId w:val="0"/>
        </w:numPr>
        <w:ind w:right="-2"/>
        <w:rPr>
          <w:snapToGrid w:val="0"/>
          <w:sz w:val="22"/>
        </w:rPr>
      </w:pPr>
      <w:r w:rsidRPr="00BF4AB8">
        <w:rPr>
          <w:snapToGrid w:val="0"/>
          <w:sz w:val="22"/>
        </w:rPr>
        <w:t xml:space="preserve">Šis vaistas vartojamas kartu su kitu vaistu nuo vėžio </w:t>
      </w:r>
      <w:proofErr w:type="spellStart"/>
      <w:r w:rsidRPr="00BF4AB8">
        <w:rPr>
          <w:snapToGrid w:val="0"/>
          <w:sz w:val="22"/>
        </w:rPr>
        <w:t>docetakseliu</w:t>
      </w:r>
      <w:proofErr w:type="spellEnd"/>
      <w:r w:rsidRPr="00BF4AB8">
        <w:rPr>
          <w:snapToGrid w:val="0"/>
          <w:sz w:val="22"/>
        </w:rPr>
        <w:t xml:space="preserve"> gydyti tam tikrą plaučių vėžį, kuris yra vadinamas </w:t>
      </w:r>
      <w:proofErr w:type="spellStart"/>
      <w:r w:rsidRPr="00BF4AB8">
        <w:rPr>
          <w:snapToGrid w:val="0"/>
          <w:sz w:val="22"/>
        </w:rPr>
        <w:t>nesmulkialąsteliniu</w:t>
      </w:r>
      <w:proofErr w:type="spellEnd"/>
      <w:r w:rsidRPr="00BF4AB8">
        <w:rPr>
          <w:snapToGrid w:val="0"/>
          <w:sz w:val="22"/>
        </w:rPr>
        <w:t xml:space="preserve"> plaučių vėžiu (NSPV). Vaistas yra skiriamas suaugusiems pacientams, kurių NSPV yra tam tikro tipo (</w:t>
      </w:r>
      <w:proofErr w:type="spellStart"/>
      <w:r w:rsidRPr="00BF4AB8">
        <w:rPr>
          <w:snapToGrid w:val="0"/>
          <w:sz w:val="22"/>
        </w:rPr>
        <w:t>adenokarcinoma</w:t>
      </w:r>
      <w:proofErr w:type="spellEnd"/>
      <w:r w:rsidRPr="00BF4AB8">
        <w:rPr>
          <w:snapToGrid w:val="0"/>
          <w:sz w:val="22"/>
        </w:rPr>
        <w:t>) ir kuriems jau buvo skirtas vienas šio vėžio gydymas, bet navikas vėl pradėjo augti.</w:t>
      </w:r>
    </w:p>
    <w:p w14:paraId="0190A255" w14:textId="77777777" w:rsidR="00892F95" w:rsidRPr="00BF4AB8" w:rsidRDefault="00892F95" w:rsidP="00892F95">
      <w:pPr>
        <w:numPr>
          <w:ilvl w:val="12"/>
          <w:numId w:val="0"/>
        </w:numPr>
        <w:ind w:right="-2"/>
        <w:rPr>
          <w:snapToGrid w:val="0"/>
          <w:sz w:val="22"/>
          <w:szCs w:val="24"/>
        </w:rPr>
      </w:pPr>
    </w:p>
    <w:p w14:paraId="24B04D6E" w14:textId="77777777" w:rsidR="00892F95" w:rsidRPr="00BF4AB8" w:rsidRDefault="00892F95" w:rsidP="00892F95">
      <w:pPr>
        <w:numPr>
          <w:ilvl w:val="12"/>
          <w:numId w:val="0"/>
        </w:numPr>
        <w:ind w:right="-2"/>
        <w:rPr>
          <w:snapToGrid w:val="0"/>
          <w:sz w:val="22"/>
          <w:szCs w:val="24"/>
        </w:rPr>
      </w:pPr>
    </w:p>
    <w:p w14:paraId="1A97316F" w14:textId="77777777" w:rsidR="00892F95" w:rsidRPr="00BF4AB8" w:rsidRDefault="00892F95" w:rsidP="00892F95">
      <w:pPr>
        <w:keepNext/>
        <w:tabs>
          <w:tab w:val="left" w:pos="567"/>
        </w:tabs>
        <w:spacing w:line="260" w:lineRule="exact"/>
        <w:jc w:val="both"/>
        <w:outlineLvl w:val="3"/>
        <w:rPr>
          <w:b/>
          <w:bCs/>
          <w:snapToGrid w:val="0"/>
          <w:sz w:val="22"/>
          <w:szCs w:val="28"/>
          <w:lang w:eastAsia="x-none"/>
        </w:rPr>
      </w:pPr>
      <w:r w:rsidRPr="00BF4AB8">
        <w:rPr>
          <w:b/>
          <w:bCs/>
          <w:snapToGrid w:val="0"/>
          <w:sz w:val="22"/>
          <w:szCs w:val="28"/>
          <w:lang w:eastAsia="x-none"/>
        </w:rPr>
        <w:t>2.</w:t>
      </w:r>
      <w:r w:rsidRPr="00BF4AB8">
        <w:rPr>
          <w:b/>
          <w:bCs/>
          <w:snapToGrid w:val="0"/>
          <w:sz w:val="22"/>
          <w:szCs w:val="28"/>
          <w:lang w:eastAsia="x-none"/>
        </w:rPr>
        <w:tab/>
        <w:t xml:space="preserve">Kas žinotina prieš vartojant </w:t>
      </w:r>
      <w:proofErr w:type="spellStart"/>
      <w:r w:rsidRPr="00BF4AB8">
        <w:rPr>
          <w:b/>
          <w:bCs/>
          <w:snapToGrid w:val="0"/>
          <w:sz w:val="22"/>
          <w:szCs w:val="28"/>
          <w:lang w:eastAsia="x-none"/>
        </w:rPr>
        <w:t>Nytyka</w:t>
      </w:r>
      <w:proofErr w:type="spellEnd"/>
    </w:p>
    <w:p w14:paraId="35501E58" w14:textId="77777777" w:rsidR="00892F95" w:rsidRPr="00BF4AB8" w:rsidRDefault="00892F95" w:rsidP="00892F95">
      <w:pPr>
        <w:numPr>
          <w:ilvl w:val="12"/>
          <w:numId w:val="0"/>
        </w:numPr>
        <w:ind w:right="-2"/>
        <w:rPr>
          <w:snapToGrid w:val="0"/>
          <w:sz w:val="22"/>
          <w:szCs w:val="24"/>
        </w:rPr>
      </w:pPr>
    </w:p>
    <w:p w14:paraId="5DA8DBD7" w14:textId="77777777" w:rsidR="00892F95" w:rsidRPr="00BF4AB8" w:rsidRDefault="00892F95" w:rsidP="00892F95">
      <w:pPr>
        <w:keepNext/>
        <w:tabs>
          <w:tab w:val="left" w:pos="567"/>
        </w:tabs>
        <w:spacing w:line="260" w:lineRule="exact"/>
        <w:jc w:val="both"/>
        <w:outlineLvl w:val="3"/>
        <w:rPr>
          <w:b/>
          <w:bCs/>
          <w:snapToGrid w:val="0"/>
          <w:sz w:val="22"/>
          <w:szCs w:val="22"/>
          <w:lang w:eastAsia="x-none"/>
        </w:rPr>
      </w:pPr>
      <w:proofErr w:type="spellStart"/>
      <w:r w:rsidRPr="00BF4AB8">
        <w:rPr>
          <w:b/>
          <w:bCs/>
          <w:snapToGrid w:val="0"/>
          <w:sz w:val="22"/>
          <w:szCs w:val="22"/>
          <w:lang w:eastAsia="x-none"/>
        </w:rPr>
        <w:t>Nytyka</w:t>
      </w:r>
      <w:proofErr w:type="spellEnd"/>
      <w:r w:rsidRPr="00BF4AB8">
        <w:rPr>
          <w:b/>
          <w:bCs/>
          <w:snapToGrid w:val="0"/>
          <w:sz w:val="22"/>
          <w:szCs w:val="22"/>
          <w:lang w:eastAsia="x-none"/>
        </w:rPr>
        <w:t xml:space="preserve"> vartoti draudžiama</w:t>
      </w:r>
    </w:p>
    <w:p w14:paraId="32069C56" w14:textId="77777777" w:rsidR="00892F95" w:rsidRPr="00BF4AB8" w:rsidRDefault="00892F95" w:rsidP="00892F95">
      <w:pPr>
        <w:numPr>
          <w:ilvl w:val="12"/>
          <w:numId w:val="0"/>
        </w:numPr>
        <w:tabs>
          <w:tab w:val="left" w:pos="567"/>
        </w:tabs>
        <w:ind w:left="567" w:hanging="567"/>
        <w:rPr>
          <w:snapToGrid w:val="0"/>
          <w:sz w:val="22"/>
          <w:szCs w:val="24"/>
        </w:rPr>
      </w:pPr>
      <w:r w:rsidRPr="00BF4AB8">
        <w:rPr>
          <w:snapToGrid w:val="0"/>
          <w:sz w:val="22"/>
          <w:szCs w:val="24"/>
        </w:rPr>
        <w:t>-</w:t>
      </w:r>
      <w:r w:rsidRPr="00BF4AB8">
        <w:rPr>
          <w:snapToGrid w:val="0"/>
          <w:sz w:val="22"/>
          <w:szCs w:val="24"/>
        </w:rPr>
        <w:tab/>
        <w:t xml:space="preserve">jeigu yra alergija </w:t>
      </w:r>
      <w:proofErr w:type="spellStart"/>
      <w:r w:rsidRPr="00BF4AB8">
        <w:rPr>
          <w:snapToGrid w:val="0"/>
          <w:sz w:val="22"/>
          <w:szCs w:val="24"/>
        </w:rPr>
        <w:t>nintedanibui</w:t>
      </w:r>
      <w:proofErr w:type="spellEnd"/>
      <w:r w:rsidRPr="00BF4AB8">
        <w:rPr>
          <w:snapToGrid w:val="0"/>
          <w:sz w:val="22"/>
          <w:szCs w:val="24"/>
        </w:rPr>
        <w:t xml:space="preserve"> arba bet kuriai pagalbinei šio vaisto medžiagai (jos išvardytos 6 skyriuje).</w:t>
      </w:r>
    </w:p>
    <w:p w14:paraId="42A86D81" w14:textId="77777777" w:rsidR="00892F95" w:rsidRPr="00BF4AB8" w:rsidRDefault="00892F95" w:rsidP="00892F95">
      <w:pPr>
        <w:numPr>
          <w:ilvl w:val="12"/>
          <w:numId w:val="0"/>
        </w:numPr>
        <w:ind w:right="-2"/>
        <w:rPr>
          <w:snapToGrid w:val="0"/>
          <w:sz w:val="22"/>
          <w:szCs w:val="24"/>
        </w:rPr>
      </w:pPr>
    </w:p>
    <w:p w14:paraId="527DB4AB" w14:textId="77777777" w:rsidR="00892F95" w:rsidRPr="00BF4AB8" w:rsidRDefault="00892F95" w:rsidP="00892F95">
      <w:pPr>
        <w:keepNext/>
        <w:tabs>
          <w:tab w:val="left" w:pos="567"/>
        </w:tabs>
        <w:spacing w:line="260" w:lineRule="exact"/>
        <w:jc w:val="both"/>
        <w:outlineLvl w:val="3"/>
        <w:rPr>
          <w:b/>
          <w:bCs/>
          <w:snapToGrid w:val="0"/>
          <w:sz w:val="22"/>
          <w:szCs w:val="28"/>
          <w:lang w:eastAsia="x-none"/>
        </w:rPr>
      </w:pPr>
      <w:r w:rsidRPr="00BF4AB8">
        <w:rPr>
          <w:b/>
          <w:bCs/>
          <w:snapToGrid w:val="0"/>
          <w:sz w:val="22"/>
          <w:szCs w:val="28"/>
          <w:lang w:eastAsia="x-none"/>
        </w:rPr>
        <w:t xml:space="preserve">Įspėjimai ir atsargumo priemonės </w:t>
      </w:r>
    </w:p>
    <w:p w14:paraId="3B88F6E9" w14:textId="028E90DD" w:rsidR="00892F95" w:rsidRPr="00BF4AB8" w:rsidRDefault="00892F95" w:rsidP="00892F95">
      <w:pPr>
        <w:numPr>
          <w:ilvl w:val="12"/>
          <w:numId w:val="0"/>
        </w:numPr>
        <w:ind w:right="-2"/>
        <w:rPr>
          <w:snapToGrid w:val="0"/>
          <w:sz w:val="22"/>
          <w:szCs w:val="24"/>
        </w:rPr>
      </w:pPr>
      <w:r w:rsidRPr="00BF4AB8">
        <w:rPr>
          <w:snapToGrid w:val="0"/>
          <w:sz w:val="22"/>
          <w:szCs w:val="24"/>
        </w:rPr>
        <w:t xml:space="preserve">Pasitarkite su gydytoju arba vaistininku, prieš pradėdami vartoti </w:t>
      </w:r>
      <w:proofErr w:type="spellStart"/>
      <w:r>
        <w:rPr>
          <w:snapToGrid w:val="0"/>
          <w:sz w:val="22"/>
          <w:szCs w:val="24"/>
        </w:rPr>
        <w:t>Nytyka</w:t>
      </w:r>
      <w:proofErr w:type="spellEnd"/>
      <w:r w:rsidRPr="00BF4AB8">
        <w:rPr>
          <w:snapToGrid w:val="0"/>
          <w:sz w:val="22"/>
          <w:szCs w:val="24"/>
        </w:rPr>
        <w:t>:</w:t>
      </w:r>
    </w:p>
    <w:p w14:paraId="10752CFA" w14:textId="77777777" w:rsidR="00892F95" w:rsidRPr="00BF4AB8" w:rsidRDefault="00892F95" w:rsidP="00892F95">
      <w:pPr>
        <w:pStyle w:val="Sraopastraipa"/>
        <w:numPr>
          <w:ilvl w:val="0"/>
          <w:numId w:val="6"/>
        </w:numPr>
        <w:ind w:left="567" w:right="-2" w:hanging="567"/>
        <w:rPr>
          <w:snapToGrid w:val="0"/>
          <w:sz w:val="22"/>
          <w:szCs w:val="24"/>
        </w:rPr>
      </w:pPr>
      <w:r w:rsidRPr="00BF4AB8">
        <w:rPr>
          <w:snapToGrid w:val="0"/>
          <w:sz w:val="22"/>
          <w:szCs w:val="24"/>
        </w:rPr>
        <w:t>jeigu sergate arba sirgote kepenų liga, yra ar buvo kraujavimo sutrikimų, ypač jei neseniai kraujavote iš plaučių;</w:t>
      </w:r>
    </w:p>
    <w:p w14:paraId="7A4B2E9C" w14:textId="77777777" w:rsidR="00892F95" w:rsidRPr="00BF4AB8" w:rsidRDefault="00892F95" w:rsidP="00892F95">
      <w:pPr>
        <w:pStyle w:val="Sraopastraipa"/>
        <w:numPr>
          <w:ilvl w:val="0"/>
          <w:numId w:val="6"/>
        </w:numPr>
        <w:ind w:left="567" w:right="-2" w:hanging="567"/>
        <w:rPr>
          <w:snapToGrid w:val="0"/>
          <w:sz w:val="22"/>
          <w:szCs w:val="24"/>
        </w:rPr>
      </w:pPr>
      <w:r w:rsidRPr="00BF4AB8">
        <w:rPr>
          <w:snapToGrid w:val="0"/>
          <w:sz w:val="22"/>
          <w:szCs w:val="24"/>
        </w:rPr>
        <w:t>jeigu sergate arba sirgote inkstų liga arba jeigu Jūsų šlapime buvo nustatytas padidėjęs baltymų kiekis;</w:t>
      </w:r>
    </w:p>
    <w:p w14:paraId="314814ED" w14:textId="77777777" w:rsidR="00892F95" w:rsidRPr="00BF4AB8" w:rsidRDefault="00892F95" w:rsidP="00892F95">
      <w:pPr>
        <w:pStyle w:val="Sraopastraipa"/>
        <w:numPr>
          <w:ilvl w:val="0"/>
          <w:numId w:val="6"/>
        </w:numPr>
        <w:ind w:left="567" w:right="-2" w:hanging="567"/>
        <w:rPr>
          <w:snapToGrid w:val="0"/>
          <w:sz w:val="22"/>
          <w:szCs w:val="24"/>
        </w:rPr>
      </w:pPr>
      <w:r w:rsidRPr="00BF4AB8">
        <w:rPr>
          <w:snapToGrid w:val="0"/>
          <w:sz w:val="22"/>
          <w:szCs w:val="24"/>
        </w:rPr>
        <w:t xml:space="preserve">jeigu vartojate kraują skystinančių vaistų (pvz., </w:t>
      </w:r>
      <w:proofErr w:type="spellStart"/>
      <w:r w:rsidRPr="00BF4AB8">
        <w:rPr>
          <w:snapToGrid w:val="0"/>
          <w:sz w:val="22"/>
          <w:szCs w:val="24"/>
        </w:rPr>
        <w:t>varfarino</w:t>
      </w:r>
      <w:proofErr w:type="spellEnd"/>
      <w:r w:rsidRPr="00BF4AB8">
        <w:rPr>
          <w:snapToGrid w:val="0"/>
          <w:sz w:val="22"/>
          <w:szCs w:val="24"/>
        </w:rPr>
        <w:t xml:space="preserve">, </w:t>
      </w:r>
      <w:proofErr w:type="spellStart"/>
      <w:r w:rsidRPr="00BF4AB8">
        <w:rPr>
          <w:snapToGrid w:val="0"/>
          <w:sz w:val="22"/>
          <w:szCs w:val="24"/>
        </w:rPr>
        <w:t>fenprokumono</w:t>
      </w:r>
      <w:proofErr w:type="spellEnd"/>
      <w:r w:rsidRPr="00BF4AB8">
        <w:rPr>
          <w:snapToGrid w:val="0"/>
          <w:sz w:val="22"/>
          <w:szCs w:val="24"/>
        </w:rPr>
        <w:t xml:space="preserve">, heparino ar </w:t>
      </w:r>
      <w:proofErr w:type="spellStart"/>
      <w:r w:rsidRPr="00BF4AB8">
        <w:rPr>
          <w:snapToGrid w:val="0"/>
          <w:sz w:val="22"/>
          <w:szCs w:val="24"/>
        </w:rPr>
        <w:t>acetilsalicilo</w:t>
      </w:r>
      <w:proofErr w:type="spellEnd"/>
      <w:r w:rsidRPr="00BF4AB8">
        <w:rPr>
          <w:snapToGrid w:val="0"/>
          <w:sz w:val="22"/>
          <w:szCs w:val="24"/>
        </w:rPr>
        <w:t xml:space="preserve"> rūgšties) kraujo krešėjimui slopinti. Gydymas </w:t>
      </w:r>
      <w:proofErr w:type="spellStart"/>
      <w:r w:rsidRPr="00BF4AB8">
        <w:rPr>
          <w:snapToGrid w:val="0"/>
          <w:sz w:val="22"/>
          <w:szCs w:val="24"/>
        </w:rPr>
        <w:t>Nytyka</w:t>
      </w:r>
      <w:proofErr w:type="spellEnd"/>
      <w:r w:rsidRPr="00BF4AB8">
        <w:rPr>
          <w:snapToGrid w:val="0"/>
          <w:sz w:val="22"/>
          <w:szCs w:val="24"/>
        </w:rPr>
        <w:t xml:space="preserve"> gali padidinti kraujavimo riziką;</w:t>
      </w:r>
    </w:p>
    <w:p w14:paraId="3557A47C" w14:textId="77777777" w:rsidR="00892F95" w:rsidRPr="00BF4AB8" w:rsidRDefault="00892F95" w:rsidP="00892F95">
      <w:pPr>
        <w:pStyle w:val="Sraopastraipa"/>
        <w:numPr>
          <w:ilvl w:val="0"/>
          <w:numId w:val="6"/>
        </w:numPr>
        <w:ind w:left="567" w:right="-2" w:hanging="567"/>
        <w:rPr>
          <w:snapToGrid w:val="0"/>
          <w:sz w:val="22"/>
          <w:szCs w:val="24"/>
        </w:rPr>
      </w:pPr>
      <w:r w:rsidRPr="00BF4AB8">
        <w:rPr>
          <w:snapToGrid w:val="0"/>
          <w:sz w:val="22"/>
          <w:szCs w:val="24"/>
        </w:rPr>
        <w:t xml:space="preserve">jeigu neseniai buvo atlikta arba planuojama operacija. </w:t>
      </w:r>
      <w:proofErr w:type="spellStart"/>
      <w:r w:rsidRPr="00BF4AB8">
        <w:rPr>
          <w:snapToGrid w:val="0"/>
          <w:sz w:val="22"/>
          <w:szCs w:val="24"/>
        </w:rPr>
        <w:t>Nintedanibas</w:t>
      </w:r>
      <w:proofErr w:type="spellEnd"/>
      <w:r w:rsidRPr="00BF4AB8">
        <w:rPr>
          <w:snapToGrid w:val="0"/>
          <w:sz w:val="22"/>
          <w:szCs w:val="24"/>
        </w:rPr>
        <w:t xml:space="preserve"> gali veikti žaizdos gijimą. Dėl to, jei Jums atliekama operacija, gydymas </w:t>
      </w:r>
      <w:proofErr w:type="spellStart"/>
      <w:r w:rsidRPr="00BF4AB8">
        <w:rPr>
          <w:snapToGrid w:val="0"/>
          <w:sz w:val="22"/>
          <w:szCs w:val="24"/>
        </w:rPr>
        <w:t>Nytyka</w:t>
      </w:r>
      <w:proofErr w:type="spellEnd"/>
      <w:r w:rsidRPr="00BF4AB8">
        <w:rPr>
          <w:snapToGrid w:val="0"/>
          <w:sz w:val="22"/>
          <w:szCs w:val="24"/>
        </w:rPr>
        <w:t xml:space="preserve"> paprastai sustabdomas. Jūsų gydytojas nuspręs, kada gydymą šiuo vaistu galima atnaujinti;</w:t>
      </w:r>
    </w:p>
    <w:p w14:paraId="7E4E0175" w14:textId="77777777" w:rsidR="00892F95" w:rsidRPr="00BF4AB8" w:rsidRDefault="00892F95" w:rsidP="00892F95">
      <w:pPr>
        <w:pStyle w:val="Sraopastraipa"/>
        <w:numPr>
          <w:ilvl w:val="0"/>
          <w:numId w:val="6"/>
        </w:numPr>
        <w:ind w:left="567" w:right="-2" w:hanging="567"/>
        <w:rPr>
          <w:snapToGrid w:val="0"/>
          <w:sz w:val="22"/>
          <w:szCs w:val="24"/>
        </w:rPr>
      </w:pPr>
      <w:r w:rsidRPr="00BF4AB8">
        <w:rPr>
          <w:snapToGrid w:val="0"/>
          <w:sz w:val="22"/>
          <w:szCs w:val="24"/>
        </w:rPr>
        <w:t>jeigu sergate vėžiu, kuris išplito į galvos smegenis;</w:t>
      </w:r>
    </w:p>
    <w:p w14:paraId="119AF299" w14:textId="77777777" w:rsidR="00892F95" w:rsidRPr="00BF4AB8" w:rsidRDefault="00892F95" w:rsidP="00892F95">
      <w:pPr>
        <w:pStyle w:val="Sraopastraipa"/>
        <w:numPr>
          <w:ilvl w:val="0"/>
          <w:numId w:val="6"/>
        </w:numPr>
        <w:ind w:left="567" w:right="-2" w:hanging="567"/>
        <w:rPr>
          <w:snapToGrid w:val="0"/>
          <w:sz w:val="22"/>
          <w:szCs w:val="24"/>
        </w:rPr>
      </w:pPr>
      <w:r w:rsidRPr="00BF4AB8">
        <w:rPr>
          <w:snapToGrid w:val="0"/>
          <w:sz w:val="22"/>
          <w:szCs w:val="24"/>
        </w:rPr>
        <w:t>jeigu yra padidėjęs kraujospūdis;</w:t>
      </w:r>
    </w:p>
    <w:p w14:paraId="00598C43" w14:textId="77777777" w:rsidR="00892F95" w:rsidRPr="00BF4AB8" w:rsidRDefault="00892F95" w:rsidP="00892F95">
      <w:pPr>
        <w:pStyle w:val="Sraopastraipa"/>
        <w:numPr>
          <w:ilvl w:val="0"/>
          <w:numId w:val="6"/>
        </w:numPr>
        <w:ind w:left="567" w:right="-2" w:hanging="567"/>
        <w:rPr>
          <w:snapToGrid w:val="0"/>
          <w:sz w:val="22"/>
          <w:szCs w:val="24"/>
        </w:rPr>
      </w:pPr>
      <w:r w:rsidRPr="00BF4AB8">
        <w:rPr>
          <w:snapToGrid w:val="0"/>
          <w:sz w:val="22"/>
          <w:szCs w:val="24"/>
        </w:rPr>
        <w:lastRenderedPageBreak/>
        <w:t>jeigu šiuo metu arba praeityje buvo diagnozuota aneurizma (kraujagyslės sienelės išsipūtimas ir susilpnėjimas) arba kraujagyslės sienelės įplyšimas.</w:t>
      </w:r>
    </w:p>
    <w:p w14:paraId="06668E0E" w14:textId="77777777" w:rsidR="00892F95" w:rsidRPr="00BF4AB8" w:rsidRDefault="00892F95" w:rsidP="00892F95">
      <w:pPr>
        <w:numPr>
          <w:ilvl w:val="12"/>
          <w:numId w:val="0"/>
        </w:numPr>
        <w:ind w:right="-2"/>
        <w:rPr>
          <w:snapToGrid w:val="0"/>
          <w:sz w:val="22"/>
          <w:szCs w:val="24"/>
        </w:rPr>
      </w:pPr>
    </w:p>
    <w:p w14:paraId="27646CE8" w14:textId="77777777" w:rsidR="00892F95" w:rsidRPr="00BF4AB8" w:rsidRDefault="00892F95" w:rsidP="00892F95">
      <w:pPr>
        <w:numPr>
          <w:ilvl w:val="12"/>
          <w:numId w:val="0"/>
        </w:numPr>
        <w:ind w:right="-2"/>
        <w:rPr>
          <w:snapToGrid w:val="0"/>
          <w:sz w:val="22"/>
          <w:szCs w:val="24"/>
        </w:rPr>
      </w:pPr>
      <w:r w:rsidRPr="00BF4AB8">
        <w:rPr>
          <w:snapToGrid w:val="0"/>
          <w:sz w:val="22"/>
          <w:szCs w:val="24"/>
        </w:rPr>
        <w:t>Remdamasis šia informacija, gydytojas gali atlikti tam tikrus kraujo tyrimus, pavyzdžiui, patikrinti Jūsų kepenų funkciją ir nustatyti, kaip greitai gali krešėti kraujas. Šių tyrimų rezultatus gydytojas aptars su Jumis ir nuspręs, ar galima skirti šį vaistą.</w:t>
      </w:r>
    </w:p>
    <w:p w14:paraId="52B2BC82" w14:textId="77777777" w:rsidR="00892F95" w:rsidRPr="00BF4AB8" w:rsidRDefault="00892F95" w:rsidP="00892F95">
      <w:pPr>
        <w:numPr>
          <w:ilvl w:val="12"/>
          <w:numId w:val="0"/>
        </w:numPr>
        <w:ind w:right="-2"/>
        <w:rPr>
          <w:snapToGrid w:val="0"/>
          <w:sz w:val="22"/>
          <w:szCs w:val="24"/>
        </w:rPr>
      </w:pPr>
    </w:p>
    <w:p w14:paraId="2DF6B20A" w14:textId="77777777" w:rsidR="00892F95" w:rsidRPr="00BF4AB8" w:rsidRDefault="00892F95" w:rsidP="00892F95">
      <w:pPr>
        <w:numPr>
          <w:ilvl w:val="12"/>
          <w:numId w:val="0"/>
        </w:numPr>
        <w:ind w:right="-2"/>
        <w:rPr>
          <w:snapToGrid w:val="0"/>
          <w:sz w:val="22"/>
          <w:szCs w:val="24"/>
        </w:rPr>
      </w:pPr>
      <w:r w:rsidRPr="00BF4AB8">
        <w:rPr>
          <w:snapToGrid w:val="0"/>
          <w:sz w:val="22"/>
          <w:szCs w:val="24"/>
        </w:rPr>
        <w:t>Vartodami šį vaistą, nedelsdami praneškite savo gydytojui, jeigu:</w:t>
      </w:r>
    </w:p>
    <w:p w14:paraId="6C18ED84" w14:textId="77777777" w:rsidR="00892F95" w:rsidRPr="00BF4AB8" w:rsidRDefault="00892F95" w:rsidP="00892F95">
      <w:pPr>
        <w:pStyle w:val="Sraopastraipa"/>
        <w:numPr>
          <w:ilvl w:val="0"/>
          <w:numId w:val="7"/>
        </w:numPr>
        <w:ind w:left="567" w:right="-2" w:hanging="567"/>
        <w:rPr>
          <w:snapToGrid w:val="0"/>
          <w:sz w:val="22"/>
          <w:szCs w:val="24"/>
        </w:rPr>
      </w:pPr>
      <w:r w:rsidRPr="00BF4AB8">
        <w:rPr>
          <w:snapToGrid w:val="0"/>
          <w:sz w:val="22"/>
          <w:szCs w:val="24"/>
        </w:rPr>
        <w:t>pradėjote viduriuoti. Viduriavimą svarbu pradėti gydyti nuo pirmųjų požymių atsiradimo (žr. 4 skyrių);</w:t>
      </w:r>
    </w:p>
    <w:p w14:paraId="135CD086" w14:textId="77777777" w:rsidR="00892F95" w:rsidRPr="00BF4AB8" w:rsidRDefault="00892F95" w:rsidP="00892F95">
      <w:pPr>
        <w:pStyle w:val="Sraopastraipa"/>
        <w:numPr>
          <w:ilvl w:val="0"/>
          <w:numId w:val="7"/>
        </w:numPr>
        <w:ind w:left="567" w:right="-2" w:hanging="567"/>
        <w:rPr>
          <w:snapToGrid w:val="0"/>
          <w:sz w:val="22"/>
          <w:szCs w:val="24"/>
        </w:rPr>
      </w:pPr>
      <w:r w:rsidRPr="00BF4AB8">
        <w:rPr>
          <w:snapToGrid w:val="0"/>
          <w:sz w:val="22"/>
          <w:szCs w:val="24"/>
        </w:rPr>
        <w:t>pradėjote vemti arba Jus pykina (jaučiate šleikštulį);</w:t>
      </w:r>
    </w:p>
    <w:p w14:paraId="6AB869FC" w14:textId="77777777" w:rsidR="00892F95" w:rsidRPr="00BF4AB8" w:rsidRDefault="00892F95" w:rsidP="00892F95">
      <w:pPr>
        <w:pStyle w:val="Sraopastraipa"/>
        <w:numPr>
          <w:ilvl w:val="0"/>
          <w:numId w:val="7"/>
        </w:numPr>
        <w:ind w:left="567" w:right="-2" w:hanging="567"/>
        <w:rPr>
          <w:snapToGrid w:val="0"/>
          <w:sz w:val="22"/>
          <w:szCs w:val="24"/>
        </w:rPr>
      </w:pPr>
      <w:r w:rsidRPr="00BF4AB8">
        <w:rPr>
          <w:snapToGrid w:val="0"/>
          <w:sz w:val="22"/>
          <w:szCs w:val="24"/>
        </w:rPr>
        <w:t>atsirado nepaaiškinamų simptomų, pvz., pagelto oda arba akių baltymai (gelta), šlapimas patamsėjo arba tapo rudas (arbatos spalvos), skauda viršutinę dešinę pilvo sritį (pilvą), lengviau nei įprastai pradedate kraujuoti ar atsiranda mėlynių arba jaučiate nuovargį. Tai gali būti sunkių kepenų veiklos sutrikimų simptomai;</w:t>
      </w:r>
    </w:p>
    <w:p w14:paraId="3FC6E96D" w14:textId="77777777" w:rsidR="00892F95" w:rsidRPr="00BF4AB8" w:rsidRDefault="00892F95" w:rsidP="00892F95">
      <w:pPr>
        <w:pStyle w:val="Sraopastraipa"/>
        <w:numPr>
          <w:ilvl w:val="0"/>
          <w:numId w:val="7"/>
        </w:numPr>
        <w:ind w:left="567" w:right="-2" w:hanging="567"/>
        <w:rPr>
          <w:snapToGrid w:val="0"/>
          <w:sz w:val="22"/>
          <w:szCs w:val="24"/>
        </w:rPr>
      </w:pPr>
      <w:r w:rsidRPr="00BF4AB8">
        <w:rPr>
          <w:snapToGrid w:val="0"/>
          <w:sz w:val="22"/>
          <w:szCs w:val="24"/>
        </w:rPr>
        <w:t>pradėjote karščiuoti, ėmė krėsti šaltis, padažnėjo kvėpavimas arba ėmė dažnai plakti širdis. Tai gali būti infekcinės ligos arba kraujo užkrėtimo (sepsio) požymiai (žr. 4 skyrių);</w:t>
      </w:r>
    </w:p>
    <w:p w14:paraId="4CF5BE42" w14:textId="77777777" w:rsidR="00892F95" w:rsidRPr="00BF4AB8" w:rsidRDefault="00892F95" w:rsidP="00892F95">
      <w:pPr>
        <w:pStyle w:val="Sraopastraipa"/>
        <w:numPr>
          <w:ilvl w:val="0"/>
          <w:numId w:val="7"/>
        </w:numPr>
        <w:ind w:left="567" w:right="-2" w:hanging="567"/>
        <w:rPr>
          <w:snapToGrid w:val="0"/>
          <w:sz w:val="22"/>
          <w:szCs w:val="24"/>
        </w:rPr>
      </w:pPr>
      <w:r w:rsidRPr="00BF4AB8">
        <w:rPr>
          <w:snapToGrid w:val="0"/>
          <w:sz w:val="22"/>
          <w:szCs w:val="24"/>
        </w:rPr>
        <w:t>stipriai skauda skrandžio plote, karščiuojate, ėmė krėsti šaltis, pykina, vemiate, pilvas tapo kietas arba išpūstas, nes tai gali būti žarnos sienelės prakiurimo (virškinimo trakto perforacijos) simptomai;</w:t>
      </w:r>
    </w:p>
    <w:p w14:paraId="0A90C4A5" w14:textId="77777777" w:rsidR="00892F95" w:rsidRPr="00BF4AB8" w:rsidRDefault="00892F95" w:rsidP="00892F95">
      <w:pPr>
        <w:pStyle w:val="Sraopastraipa"/>
        <w:numPr>
          <w:ilvl w:val="0"/>
          <w:numId w:val="7"/>
        </w:numPr>
        <w:ind w:left="567" w:right="-2" w:hanging="567"/>
        <w:rPr>
          <w:snapToGrid w:val="0"/>
          <w:sz w:val="22"/>
          <w:szCs w:val="24"/>
        </w:rPr>
      </w:pPr>
      <w:r w:rsidRPr="00BF4AB8">
        <w:rPr>
          <w:snapToGrid w:val="0"/>
          <w:sz w:val="22"/>
          <w:szCs w:val="24"/>
        </w:rPr>
        <w:t>tuo pat metu patiriate kai kuriuos arba visus iš toliau išvardytų simptomų: staigus stiprus pilvo skausmas arba spazmai, raudonas kraujas išmatose, viduriavimas arba vidurių užkietėjimas, pykinimas ir vėmimas, nes tai gali būti žarnyno uždegimo dėl sumažėjusios kraujotakos (išeminio kolito) simptomai;</w:t>
      </w:r>
    </w:p>
    <w:p w14:paraId="6ED4992C" w14:textId="77777777" w:rsidR="00892F95" w:rsidRPr="00BF4AB8" w:rsidRDefault="00892F95" w:rsidP="00892F95">
      <w:pPr>
        <w:pStyle w:val="Sraopastraipa"/>
        <w:numPr>
          <w:ilvl w:val="0"/>
          <w:numId w:val="7"/>
        </w:numPr>
        <w:ind w:left="567" w:right="-2" w:hanging="567"/>
        <w:rPr>
          <w:snapToGrid w:val="0"/>
          <w:sz w:val="22"/>
          <w:szCs w:val="24"/>
        </w:rPr>
      </w:pPr>
      <w:r w:rsidRPr="00BF4AB8">
        <w:rPr>
          <w:snapToGrid w:val="0"/>
          <w:sz w:val="22"/>
          <w:szCs w:val="24"/>
        </w:rPr>
        <w:t>skauda, patino, paraudo, šyla galūnė arba jeigu jaučiate skausmą krūtinėje ir sunku kvėpuoti, nes tai gali būti kraujo krešulio susidarymo vienoje Jūsų venoje simptomai;</w:t>
      </w:r>
    </w:p>
    <w:p w14:paraId="6D0525C4" w14:textId="77777777" w:rsidR="00892F95" w:rsidRPr="00BF4AB8" w:rsidRDefault="00892F95" w:rsidP="00892F95">
      <w:pPr>
        <w:pStyle w:val="Sraopastraipa"/>
        <w:numPr>
          <w:ilvl w:val="0"/>
          <w:numId w:val="7"/>
        </w:numPr>
        <w:ind w:left="567" w:right="-2" w:hanging="567"/>
        <w:rPr>
          <w:snapToGrid w:val="0"/>
          <w:sz w:val="22"/>
          <w:szCs w:val="24"/>
        </w:rPr>
      </w:pPr>
      <w:r w:rsidRPr="00BF4AB8">
        <w:rPr>
          <w:snapToGrid w:val="0"/>
          <w:sz w:val="22"/>
          <w:szCs w:val="24"/>
        </w:rPr>
        <w:t>pasireiškia bet koks sunkus kraujavimas;</w:t>
      </w:r>
    </w:p>
    <w:p w14:paraId="7986C8E9" w14:textId="77777777" w:rsidR="00892F95" w:rsidRPr="00BF4AB8" w:rsidRDefault="00892F95" w:rsidP="00892F95">
      <w:pPr>
        <w:pStyle w:val="Sraopastraipa"/>
        <w:numPr>
          <w:ilvl w:val="0"/>
          <w:numId w:val="7"/>
        </w:numPr>
        <w:ind w:left="567" w:right="-2" w:hanging="567"/>
        <w:rPr>
          <w:snapToGrid w:val="0"/>
          <w:sz w:val="22"/>
          <w:szCs w:val="24"/>
        </w:rPr>
      </w:pPr>
      <w:r w:rsidRPr="00BF4AB8">
        <w:rPr>
          <w:snapToGrid w:val="0"/>
          <w:sz w:val="22"/>
          <w:szCs w:val="24"/>
        </w:rPr>
        <w:t>spaudžia ar skauda krūtinę, paprastai kairėje pusėje, skauda kaklą, apatinį žandikaulį, petį ar ranką, greitai plaka širdis, trūksta oro, pykina ar vemiate, nes tai gali būti širdies priepuolio simptomai;</w:t>
      </w:r>
    </w:p>
    <w:p w14:paraId="42D68476" w14:textId="77777777" w:rsidR="00892F95" w:rsidRPr="00BF4AB8" w:rsidRDefault="00892F95" w:rsidP="00892F95">
      <w:pPr>
        <w:pStyle w:val="Sraopastraipa"/>
        <w:numPr>
          <w:ilvl w:val="0"/>
          <w:numId w:val="7"/>
        </w:numPr>
        <w:ind w:left="567" w:right="-2" w:hanging="567"/>
        <w:rPr>
          <w:snapToGrid w:val="0"/>
          <w:sz w:val="22"/>
          <w:szCs w:val="24"/>
        </w:rPr>
      </w:pPr>
      <w:r w:rsidRPr="00BF4AB8">
        <w:rPr>
          <w:snapToGrid w:val="0"/>
          <w:sz w:val="22"/>
          <w:szCs w:val="24"/>
        </w:rPr>
        <w:t>bet kuris Jums pasireiškęs šalutinis poveikis (žr. 4 skyrių) tampa sunkus.</w:t>
      </w:r>
    </w:p>
    <w:p w14:paraId="3AA47969" w14:textId="77777777" w:rsidR="00892F95" w:rsidRPr="00BF4AB8" w:rsidRDefault="00892F95" w:rsidP="00892F95">
      <w:pPr>
        <w:numPr>
          <w:ilvl w:val="12"/>
          <w:numId w:val="0"/>
        </w:numPr>
        <w:ind w:right="-2"/>
        <w:rPr>
          <w:snapToGrid w:val="0"/>
          <w:sz w:val="22"/>
          <w:szCs w:val="24"/>
        </w:rPr>
      </w:pPr>
    </w:p>
    <w:p w14:paraId="52D2831E" w14:textId="77777777" w:rsidR="00892F95" w:rsidRPr="00BF4AB8" w:rsidRDefault="00892F95" w:rsidP="00892F95">
      <w:pPr>
        <w:keepNext/>
        <w:tabs>
          <w:tab w:val="left" w:pos="567"/>
        </w:tabs>
        <w:spacing w:line="260" w:lineRule="exact"/>
        <w:jc w:val="both"/>
        <w:outlineLvl w:val="3"/>
        <w:rPr>
          <w:b/>
          <w:bCs/>
          <w:snapToGrid w:val="0"/>
          <w:sz w:val="22"/>
          <w:szCs w:val="28"/>
          <w:lang w:eastAsia="x-none"/>
        </w:rPr>
      </w:pPr>
      <w:r w:rsidRPr="00BF4AB8">
        <w:rPr>
          <w:b/>
          <w:bCs/>
          <w:snapToGrid w:val="0"/>
          <w:sz w:val="22"/>
          <w:szCs w:val="28"/>
          <w:lang w:eastAsia="x-none"/>
        </w:rPr>
        <w:t>Vaikams ir paaugliams</w:t>
      </w:r>
    </w:p>
    <w:p w14:paraId="70FCE4CC" w14:textId="77777777" w:rsidR="00892F95" w:rsidRPr="00BF4AB8" w:rsidRDefault="00892F95" w:rsidP="00892F95">
      <w:pPr>
        <w:numPr>
          <w:ilvl w:val="12"/>
          <w:numId w:val="0"/>
        </w:numPr>
        <w:rPr>
          <w:snapToGrid w:val="0"/>
          <w:sz w:val="22"/>
          <w:szCs w:val="24"/>
        </w:rPr>
      </w:pPr>
      <w:r w:rsidRPr="00BF4AB8">
        <w:rPr>
          <w:snapToGrid w:val="0"/>
          <w:sz w:val="22"/>
          <w:szCs w:val="24"/>
        </w:rPr>
        <w:t>Šio vaisto poveikis gydant plaučių vėžį (NSPV) vaikams ir paaugliams netirtas, todėl jaunesniems kaip 18 metų vaikams ir paaugliams jo vartoti negalima.</w:t>
      </w:r>
    </w:p>
    <w:p w14:paraId="30E24A37" w14:textId="77777777" w:rsidR="00892F95" w:rsidRPr="00BF4AB8" w:rsidRDefault="00892F95" w:rsidP="00892F95">
      <w:pPr>
        <w:numPr>
          <w:ilvl w:val="12"/>
          <w:numId w:val="0"/>
        </w:numPr>
        <w:rPr>
          <w:snapToGrid w:val="0"/>
          <w:sz w:val="22"/>
          <w:szCs w:val="24"/>
        </w:rPr>
      </w:pPr>
    </w:p>
    <w:p w14:paraId="7445ED3B" w14:textId="77777777" w:rsidR="00892F95" w:rsidRPr="00BF4AB8" w:rsidRDefault="00892F95" w:rsidP="00892F95">
      <w:pPr>
        <w:keepNext/>
        <w:tabs>
          <w:tab w:val="left" w:pos="567"/>
        </w:tabs>
        <w:spacing w:line="260" w:lineRule="exact"/>
        <w:jc w:val="both"/>
        <w:outlineLvl w:val="3"/>
        <w:rPr>
          <w:b/>
          <w:bCs/>
          <w:snapToGrid w:val="0"/>
          <w:sz w:val="22"/>
          <w:szCs w:val="28"/>
          <w:lang w:eastAsia="x-none"/>
        </w:rPr>
      </w:pPr>
      <w:r w:rsidRPr="00BF4AB8">
        <w:rPr>
          <w:b/>
          <w:bCs/>
          <w:snapToGrid w:val="0"/>
          <w:sz w:val="22"/>
          <w:szCs w:val="28"/>
          <w:lang w:eastAsia="x-none"/>
        </w:rPr>
        <w:t xml:space="preserve">Kiti vaistai ir </w:t>
      </w:r>
      <w:proofErr w:type="spellStart"/>
      <w:r w:rsidRPr="00BF4AB8">
        <w:rPr>
          <w:b/>
          <w:bCs/>
          <w:snapToGrid w:val="0"/>
          <w:sz w:val="22"/>
          <w:szCs w:val="28"/>
          <w:lang w:eastAsia="x-none"/>
        </w:rPr>
        <w:t>Nytyka</w:t>
      </w:r>
      <w:proofErr w:type="spellEnd"/>
    </w:p>
    <w:p w14:paraId="39AAD4B0" w14:textId="77777777" w:rsidR="00892F95" w:rsidRPr="00BF4AB8" w:rsidRDefault="00892F95" w:rsidP="00892F95">
      <w:pPr>
        <w:numPr>
          <w:ilvl w:val="12"/>
          <w:numId w:val="0"/>
        </w:numPr>
        <w:ind w:right="-2"/>
        <w:rPr>
          <w:snapToGrid w:val="0"/>
          <w:sz w:val="22"/>
          <w:szCs w:val="24"/>
        </w:rPr>
      </w:pPr>
      <w:r w:rsidRPr="00BF4AB8">
        <w:rPr>
          <w:snapToGrid w:val="0"/>
          <w:sz w:val="22"/>
          <w:szCs w:val="24"/>
        </w:rPr>
        <w:t>Jeigu vartojate ar neseniai vartojote kitų vaistų, įskaitant augalinius ir nereceptinius vaistus, arba dėl to nesate tikri, apie tai pasakykite gydytojui arba vaistininkui.</w:t>
      </w:r>
    </w:p>
    <w:p w14:paraId="69AE3F46" w14:textId="77777777" w:rsidR="00892F95" w:rsidRPr="00BF4AB8" w:rsidRDefault="00892F95" w:rsidP="00892F95">
      <w:pPr>
        <w:numPr>
          <w:ilvl w:val="12"/>
          <w:numId w:val="0"/>
        </w:numPr>
        <w:ind w:right="-2"/>
        <w:rPr>
          <w:snapToGrid w:val="0"/>
          <w:sz w:val="22"/>
          <w:szCs w:val="24"/>
        </w:rPr>
      </w:pPr>
    </w:p>
    <w:p w14:paraId="5CBE4A60" w14:textId="77777777" w:rsidR="00892F95" w:rsidRPr="00BF4AB8" w:rsidRDefault="00892F95" w:rsidP="00892F95">
      <w:pPr>
        <w:numPr>
          <w:ilvl w:val="12"/>
          <w:numId w:val="0"/>
        </w:numPr>
        <w:ind w:right="-2"/>
        <w:rPr>
          <w:snapToGrid w:val="0"/>
          <w:sz w:val="22"/>
          <w:szCs w:val="24"/>
        </w:rPr>
      </w:pPr>
      <w:r w:rsidRPr="00BF4AB8">
        <w:rPr>
          <w:snapToGrid w:val="0"/>
          <w:sz w:val="22"/>
          <w:szCs w:val="24"/>
        </w:rPr>
        <w:t xml:space="preserve">Yra galima šio vaisto ir kitų vaistų sąveika. Toliau išvardyti vaistai gali padidinti veikliosios </w:t>
      </w:r>
      <w:proofErr w:type="spellStart"/>
      <w:r w:rsidRPr="00BF4AB8">
        <w:rPr>
          <w:snapToGrid w:val="0"/>
          <w:sz w:val="22"/>
          <w:szCs w:val="24"/>
        </w:rPr>
        <w:t>Nytyka</w:t>
      </w:r>
      <w:proofErr w:type="spellEnd"/>
      <w:r w:rsidRPr="00BF4AB8">
        <w:rPr>
          <w:snapToGrid w:val="0"/>
          <w:sz w:val="22"/>
          <w:szCs w:val="24"/>
        </w:rPr>
        <w:t xml:space="preserve"> medžiagos </w:t>
      </w:r>
      <w:proofErr w:type="spellStart"/>
      <w:r w:rsidRPr="00BF4AB8">
        <w:rPr>
          <w:snapToGrid w:val="0"/>
          <w:sz w:val="22"/>
          <w:szCs w:val="24"/>
        </w:rPr>
        <w:t>nintedanibo</w:t>
      </w:r>
      <w:proofErr w:type="spellEnd"/>
      <w:r w:rsidRPr="00BF4AB8">
        <w:rPr>
          <w:snapToGrid w:val="0"/>
          <w:sz w:val="22"/>
          <w:szCs w:val="24"/>
        </w:rPr>
        <w:t xml:space="preserve"> kiekį kraujyje ir todėl gali padidėti šalutinio poveikio rizika (žr. 4 skyrių):</w:t>
      </w:r>
    </w:p>
    <w:p w14:paraId="0B383EF0" w14:textId="77777777" w:rsidR="00892F95" w:rsidRPr="00BF4AB8" w:rsidRDefault="00892F95" w:rsidP="00892F95">
      <w:pPr>
        <w:pStyle w:val="Sraopastraipa"/>
        <w:numPr>
          <w:ilvl w:val="0"/>
          <w:numId w:val="7"/>
        </w:numPr>
        <w:ind w:left="567" w:right="-2" w:hanging="567"/>
        <w:rPr>
          <w:snapToGrid w:val="0"/>
          <w:sz w:val="22"/>
          <w:szCs w:val="24"/>
        </w:rPr>
      </w:pPr>
      <w:proofErr w:type="spellStart"/>
      <w:r w:rsidRPr="00BF4AB8">
        <w:rPr>
          <w:snapToGrid w:val="0"/>
          <w:sz w:val="22"/>
          <w:szCs w:val="24"/>
        </w:rPr>
        <w:t>ketokonazolas</w:t>
      </w:r>
      <w:proofErr w:type="spellEnd"/>
      <w:r w:rsidRPr="00BF4AB8">
        <w:rPr>
          <w:snapToGrid w:val="0"/>
          <w:sz w:val="22"/>
          <w:szCs w:val="24"/>
        </w:rPr>
        <w:t xml:space="preserve"> (vartojamas grybelinėms infekcinėms ligoms gydyti);</w:t>
      </w:r>
    </w:p>
    <w:p w14:paraId="07D32C8C" w14:textId="77777777" w:rsidR="00892F95" w:rsidRPr="00BF4AB8" w:rsidRDefault="00892F95" w:rsidP="00892F95">
      <w:pPr>
        <w:pStyle w:val="Sraopastraipa"/>
        <w:numPr>
          <w:ilvl w:val="0"/>
          <w:numId w:val="7"/>
        </w:numPr>
        <w:ind w:left="567" w:right="-2" w:hanging="567"/>
        <w:rPr>
          <w:snapToGrid w:val="0"/>
          <w:sz w:val="22"/>
          <w:szCs w:val="24"/>
        </w:rPr>
      </w:pPr>
      <w:proofErr w:type="spellStart"/>
      <w:r w:rsidRPr="00BF4AB8">
        <w:rPr>
          <w:snapToGrid w:val="0"/>
          <w:sz w:val="22"/>
          <w:szCs w:val="24"/>
        </w:rPr>
        <w:t>eritromicinas</w:t>
      </w:r>
      <w:proofErr w:type="spellEnd"/>
      <w:r w:rsidRPr="00BF4AB8">
        <w:rPr>
          <w:snapToGrid w:val="0"/>
          <w:sz w:val="22"/>
          <w:szCs w:val="24"/>
        </w:rPr>
        <w:t xml:space="preserve"> (vartojamas bakterinėms infekcinėms ligoms gydyti).</w:t>
      </w:r>
    </w:p>
    <w:p w14:paraId="4B60A28B" w14:textId="77777777" w:rsidR="00892F95" w:rsidRPr="00BF4AB8" w:rsidRDefault="00892F95" w:rsidP="00892F95">
      <w:pPr>
        <w:ind w:right="-2"/>
        <w:rPr>
          <w:snapToGrid w:val="0"/>
          <w:sz w:val="22"/>
          <w:szCs w:val="24"/>
        </w:rPr>
      </w:pPr>
    </w:p>
    <w:p w14:paraId="5548845D" w14:textId="77777777" w:rsidR="00892F95" w:rsidRPr="00BF4AB8" w:rsidRDefault="00892F95" w:rsidP="00892F95">
      <w:pPr>
        <w:ind w:right="-2"/>
        <w:rPr>
          <w:snapToGrid w:val="0"/>
          <w:sz w:val="22"/>
          <w:szCs w:val="24"/>
        </w:rPr>
      </w:pPr>
      <w:r w:rsidRPr="00BF4AB8">
        <w:rPr>
          <w:snapToGrid w:val="0"/>
          <w:sz w:val="22"/>
          <w:szCs w:val="24"/>
        </w:rPr>
        <w:t xml:space="preserve">Toliau išvardyti vaistai gali sumažinti </w:t>
      </w:r>
      <w:proofErr w:type="spellStart"/>
      <w:r w:rsidRPr="00BF4AB8">
        <w:rPr>
          <w:snapToGrid w:val="0"/>
          <w:sz w:val="22"/>
          <w:szCs w:val="24"/>
        </w:rPr>
        <w:t>nintedanibo</w:t>
      </w:r>
      <w:proofErr w:type="spellEnd"/>
      <w:r w:rsidRPr="00BF4AB8">
        <w:rPr>
          <w:snapToGrid w:val="0"/>
          <w:sz w:val="22"/>
          <w:szCs w:val="24"/>
        </w:rPr>
        <w:t xml:space="preserve"> kiekį kraujyje ir todėl gali sumažėti </w:t>
      </w:r>
      <w:proofErr w:type="spellStart"/>
      <w:r w:rsidRPr="00BF4AB8">
        <w:rPr>
          <w:snapToGrid w:val="0"/>
          <w:sz w:val="22"/>
          <w:szCs w:val="24"/>
        </w:rPr>
        <w:t>Nytyka</w:t>
      </w:r>
      <w:proofErr w:type="spellEnd"/>
      <w:r w:rsidRPr="00BF4AB8">
        <w:rPr>
          <w:snapToGrid w:val="0"/>
          <w:sz w:val="22"/>
          <w:szCs w:val="24"/>
        </w:rPr>
        <w:t xml:space="preserve"> veiksmingumas:</w:t>
      </w:r>
    </w:p>
    <w:p w14:paraId="5A0AC3C4" w14:textId="77777777" w:rsidR="00892F95" w:rsidRPr="00BF4AB8" w:rsidRDefault="00892F95" w:rsidP="00892F95">
      <w:pPr>
        <w:pStyle w:val="Sraopastraipa"/>
        <w:numPr>
          <w:ilvl w:val="0"/>
          <w:numId w:val="7"/>
        </w:numPr>
        <w:ind w:left="567" w:right="-2" w:hanging="567"/>
        <w:rPr>
          <w:snapToGrid w:val="0"/>
          <w:sz w:val="22"/>
          <w:szCs w:val="24"/>
        </w:rPr>
      </w:pPr>
      <w:proofErr w:type="spellStart"/>
      <w:r w:rsidRPr="00BF4AB8">
        <w:rPr>
          <w:snapToGrid w:val="0"/>
          <w:sz w:val="22"/>
          <w:szCs w:val="24"/>
        </w:rPr>
        <w:t>rifampicinas</w:t>
      </w:r>
      <w:proofErr w:type="spellEnd"/>
      <w:r w:rsidRPr="00BF4AB8">
        <w:rPr>
          <w:snapToGrid w:val="0"/>
          <w:sz w:val="22"/>
          <w:szCs w:val="24"/>
        </w:rPr>
        <w:t xml:space="preserve"> (antibiotikas, vartojamas tuberkuliozei gydyti);</w:t>
      </w:r>
    </w:p>
    <w:p w14:paraId="6A052A31" w14:textId="77777777" w:rsidR="00892F95" w:rsidRPr="00BF4AB8" w:rsidRDefault="00892F95" w:rsidP="00892F95">
      <w:pPr>
        <w:pStyle w:val="Sraopastraipa"/>
        <w:numPr>
          <w:ilvl w:val="0"/>
          <w:numId w:val="7"/>
        </w:numPr>
        <w:ind w:left="567" w:right="-2" w:hanging="567"/>
        <w:rPr>
          <w:snapToGrid w:val="0"/>
          <w:sz w:val="22"/>
          <w:szCs w:val="24"/>
        </w:rPr>
      </w:pPr>
      <w:proofErr w:type="spellStart"/>
      <w:r w:rsidRPr="00BF4AB8">
        <w:rPr>
          <w:snapToGrid w:val="0"/>
          <w:sz w:val="22"/>
          <w:szCs w:val="24"/>
        </w:rPr>
        <w:t>karbamazepinas</w:t>
      </w:r>
      <w:proofErr w:type="spellEnd"/>
      <w:r w:rsidRPr="00BF4AB8">
        <w:rPr>
          <w:snapToGrid w:val="0"/>
          <w:sz w:val="22"/>
          <w:szCs w:val="24"/>
        </w:rPr>
        <w:t xml:space="preserve">, </w:t>
      </w:r>
      <w:proofErr w:type="spellStart"/>
      <w:r w:rsidRPr="00BF4AB8">
        <w:rPr>
          <w:snapToGrid w:val="0"/>
          <w:sz w:val="22"/>
          <w:szCs w:val="24"/>
        </w:rPr>
        <w:t>fenitoinas</w:t>
      </w:r>
      <w:proofErr w:type="spellEnd"/>
      <w:r w:rsidRPr="00BF4AB8">
        <w:rPr>
          <w:snapToGrid w:val="0"/>
          <w:sz w:val="22"/>
          <w:szCs w:val="24"/>
        </w:rPr>
        <w:t xml:space="preserve"> (vartojami traukuliams gydyti);</w:t>
      </w:r>
    </w:p>
    <w:p w14:paraId="63307A88" w14:textId="77777777" w:rsidR="00892F95" w:rsidRPr="00BF4AB8" w:rsidRDefault="00892F95" w:rsidP="00892F95">
      <w:pPr>
        <w:pStyle w:val="Sraopastraipa"/>
        <w:numPr>
          <w:ilvl w:val="0"/>
          <w:numId w:val="7"/>
        </w:numPr>
        <w:ind w:left="567" w:right="-2" w:hanging="567"/>
        <w:rPr>
          <w:snapToGrid w:val="0"/>
          <w:sz w:val="22"/>
          <w:szCs w:val="24"/>
        </w:rPr>
      </w:pPr>
      <w:r w:rsidRPr="00BF4AB8">
        <w:rPr>
          <w:snapToGrid w:val="0"/>
          <w:sz w:val="22"/>
          <w:szCs w:val="24"/>
        </w:rPr>
        <w:t>paprastųjų jonažolių preparatai (augaliniai vaistai, vartojami depresijai gydyti).</w:t>
      </w:r>
    </w:p>
    <w:p w14:paraId="55D9A05A" w14:textId="77777777" w:rsidR="00892F95" w:rsidRPr="00BF4AB8" w:rsidRDefault="00892F95" w:rsidP="00892F95">
      <w:pPr>
        <w:numPr>
          <w:ilvl w:val="12"/>
          <w:numId w:val="0"/>
        </w:numPr>
        <w:ind w:right="-2"/>
        <w:rPr>
          <w:snapToGrid w:val="0"/>
          <w:sz w:val="22"/>
          <w:szCs w:val="24"/>
        </w:rPr>
      </w:pPr>
    </w:p>
    <w:p w14:paraId="18E97A95" w14:textId="77777777" w:rsidR="00892F95" w:rsidRPr="00BF4AB8" w:rsidRDefault="00892F95" w:rsidP="00892F95">
      <w:pPr>
        <w:keepNext/>
        <w:tabs>
          <w:tab w:val="left" w:pos="567"/>
        </w:tabs>
        <w:spacing w:line="260" w:lineRule="exact"/>
        <w:jc w:val="both"/>
        <w:outlineLvl w:val="3"/>
        <w:rPr>
          <w:b/>
          <w:bCs/>
          <w:snapToGrid w:val="0"/>
          <w:sz w:val="22"/>
          <w:szCs w:val="28"/>
          <w:lang w:eastAsia="x-none"/>
        </w:rPr>
      </w:pPr>
      <w:r w:rsidRPr="00BF4AB8">
        <w:rPr>
          <w:b/>
          <w:bCs/>
          <w:snapToGrid w:val="0"/>
          <w:sz w:val="22"/>
          <w:szCs w:val="28"/>
          <w:lang w:eastAsia="x-none"/>
        </w:rPr>
        <w:t>Nėštumas ir žindymo laikotarpis</w:t>
      </w:r>
    </w:p>
    <w:p w14:paraId="50107075" w14:textId="77777777" w:rsidR="00892F95" w:rsidRPr="00BF4AB8" w:rsidRDefault="00892F95" w:rsidP="00892F95">
      <w:pPr>
        <w:numPr>
          <w:ilvl w:val="12"/>
          <w:numId w:val="0"/>
        </w:numPr>
        <w:rPr>
          <w:snapToGrid w:val="0"/>
          <w:sz w:val="22"/>
          <w:szCs w:val="24"/>
        </w:rPr>
      </w:pPr>
      <w:r w:rsidRPr="00BF4AB8">
        <w:rPr>
          <w:snapToGrid w:val="0"/>
          <w:sz w:val="22"/>
          <w:szCs w:val="24"/>
        </w:rPr>
        <w:t>Jeigu esate nėščia, žindote kūdikį, manote, kad galbūt esate nėščia arba planuojate pastoti, tai prieš vartodama šį vaistą pasitarkite su gydytoju arba vaistininku.</w:t>
      </w:r>
    </w:p>
    <w:p w14:paraId="21B7198A" w14:textId="77777777" w:rsidR="00892F95" w:rsidRPr="00BF4AB8" w:rsidRDefault="00892F95" w:rsidP="00892F95">
      <w:pPr>
        <w:numPr>
          <w:ilvl w:val="12"/>
          <w:numId w:val="0"/>
        </w:numPr>
        <w:rPr>
          <w:snapToGrid w:val="0"/>
          <w:sz w:val="22"/>
          <w:szCs w:val="24"/>
        </w:rPr>
      </w:pPr>
    </w:p>
    <w:p w14:paraId="085B7F3B" w14:textId="77777777" w:rsidR="00892F95" w:rsidRPr="00BF4AB8" w:rsidRDefault="00892F95" w:rsidP="00892F95">
      <w:pPr>
        <w:numPr>
          <w:ilvl w:val="12"/>
          <w:numId w:val="0"/>
        </w:numPr>
        <w:rPr>
          <w:snapToGrid w:val="0"/>
          <w:sz w:val="22"/>
          <w:szCs w:val="24"/>
          <w:u w:val="single"/>
        </w:rPr>
      </w:pPr>
      <w:r w:rsidRPr="00BF4AB8">
        <w:rPr>
          <w:snapToGrid w:val="0"/>
          <w:sz w:val="22"/>
          <w:szCs w:val="24"/>
          <w:u w:val="single"/>
        </w:rPr>
        <w:t>Nėštumas</w:t>
      </w:r>
    </w:p>
    <w:p w14:paraId="392CA179" w14:textId="77777777" w:rsidR="00892F95" w:rsidRPr="00BF4AB8" w:rsidRDefault="00892F95" w:rsidP="00892F95">
      <w:pPr>
        <w:numPr>
          <w:ilvl w:val="12"/>
          <w:numId w:val="0"/>
        </w:numPr>
        <w:rPr>
          <w:snapToGrid w:val="0"/>
          <w:sz w:val="22"/>
          <w:szCs w:val="24"/>
        </w:rPr>
      </w:pPr>
      <w:r w:rsidRPr="00BF4AB8">
        <w:rPr>
          <w:snapToGrid w:val="0"/>
          <w:sz w:val="22"/>
          <w:szCs w:val="24"/>
        </w:rPr>
        <w:lastRenderedPageBreak/>
        <w:t xml:space="preserve">Nėštumo metu šio vaisto nevartokite, nes jis gali pakenkti Jūsų dar negimusiam vaikui ir sukelti </w:t>
      </w:r>
      <w:proofErr w:type="spellStart"/>
      <w:r w:rsidRPr="00BF4AB8">
        <w:rPr>
          <w:snapToGrid w:val="0"/>
          <w:sz w:val="22"/>
          <w:szCs w:val="24"/>
        </w:rPr>
        <w:t>apsigimimus</w:t>
      </w:r>
      <w:proofErr w:type="spellEnd"/>
      <w:r w:rsidRPr="00BF4AB8">
        <w:rPr>
          <w:snapToGrid w:val="0"/>
          <w:sz w:val="22"/>
          <w:szCs w:val="24"/>
        </w:rPr>
        <w:t>.</w:t>
      </w:r>
    </w:p>
    <w:p w14:paraId="003B6ACA" w14:textId="77777777" w:rsidR="00892F95" w:rsidRPr="00BF4AB8" w:rsidRDefault="00892F95" w:rsidP="00892F95">
      <w:pPr>
        <w:numPr>
          <w:ilvl w:val="12"/>
          <w:numId w:val="0"/>
        </w:numPr>
        <w:rPr>
          <w:snapToGrid w:val="0"/>
          <w:sz w:val="22"/>
          <w:szCs w:val="24"/>
        </w:rPr>
      </w:pPr>
    </w:p>
    <w:p w14:paraId="027C73F8" w14:textId="77777777" w:rsidR="00892F95" w:rsidRPr="00BF4AB8" w:rsidRDefault="00892F95" w:rsidP="00892F95">
      <w:pPr>
        <w:numPr>
          <w:ilvl w:val="12"/>
          <w:numId w:val="0"/>
        </w:numPr>
        <w:rPr>
          <w:snapToGrid w:val="0"/>
          <w:sz w:val="22"/>
          <w:szCs w:val="24"/>
          <w:u w:val="single"/>
        </w:rPr>
      </w:pPr>
      <w:r w:rsidRPr="00BF4AB8">
        <w:rPr>
          <w:snapToGrid w:val="0"/>
          <w:sz w:val="22"/>
          <w:szCs w:val="24"/>
          <w:u w:val="single"/>
        </w:rPr>
        <w:t>Kontracepcija</w:t>
      </w:r>
    </w:p>
    <w:p w14:paraId="7B79A77D" w14:textId="77777777" w:rsidR="00892F95" w:rsidRPr="00BF4AB8" w:rsidRDefault="00892F95" w:rsidP="00892F95">
      <w:pPr>
        <w:pStyle w:val="Sraopastraipa"/>
        <w:numPr>
          <w:ilvl w:val="0"/>
          <w:numId w:val="7"/>
        </w:numPr>
        <w:ind w:left="567" w:right="-2" w:hanging="567"/>
        <w:rPr>
          <w:snapToGrid w:val="0"/>
          <w:sz w:val="22"/>
          <w:szCs w:val="24"/>
        </w:rPr>
      </w:pPr>
      <w:r w:rsidRPr="00BF4AB8">
        <w:rPr>
          <w:snapToGrid w:val="0"/>
          <w:sz w:val="22"/>
          <w:szCs w:val="24"/>
        </w:rPr>
        <w:t xml:space="preserve">Pastoti galinčios moterys turi naudoti labai veiksmingą kontracepcijos metodą pradėdamos vartoti </w:t>
      </w:r>
      <w:proofErr w:type="spellStart"/>
      <w:r w:rsidRPr="00BF4AB8">
        <w:rPr>
          <w:snapToGrid w:val="0"/>
          <w:sz w:val="22"/>
          <w:szCs w:val="24"/>
        </w:rPr>
        <w:t>Nytyka</w:t>
      </w:r>
      <w:proofErr w:type="spellEnd"/>
      <w:r w:rsidRPr="00BF4AB8">
        <w:rPr>
          <w:snapToGrid w:val="0"/>
          <w:sz w:val="22"/>
          <w:szCs w:val="24"/>
        </w:rPr>
        <w:t>, šio vaisto vartojimo laikotarpiu ir mažiausiai dar 3 mėnesius po paskutinės vaisto dozės pavartojimo.</w:t>
      </w:r>
    </w:p>
    <w:p w14:paraId="051B700C" w14:textId="77777777" w:rsidR="00892F95" w:rsidRPr="00BF4AB8" w:rsidRDefault="00892F95" w:rsidP="00892F95">
      <w:pPr>
        <w:pStyle w:val="Sraopastraipa"/>
        <w:numPr>
          <w:ilvl w:val="0"/>
          <w:numId w:val="7"/>
        </w:numPr>
        <w:ind w:left="567" w:right="-2" w:hanging="567"/>
        <w:rPr>
          <w:snapToGrid w:val="0"/>
          <w:sz w:val="22"/>
          <w:szCs w:val="24"/>
        </w:rPr>
      </w:pPr>
      <w:r w:rsidRPr="00BF4AB8">
        <w:rPr>
          <w:snapToGrid w:val="0"/>
          <w:sz w:val="22"/>
          <w:szCs w:val="24"/>
        </w:rPr>
        <w:t>Turite aptarti su savo gydytoju geriausiai Jums tinkamus kontracepcijos metodus.</w:t>
      </w:r>
    </w:p>
    <w:p w14:paraId="08A6238D" w14:textId="77777777" w:rsidR="00892F95" w:rsidRPr="00BF4AB8" w:rsidRDefault="00892F95" w:rsidP="00892F95">
      <w:pPr>
        <w:pStyle w:val="Sraopastraipa"/>
        <w:numPr>
          <w:ilvl w:val="0"/>
          <w:numId w:val="7"/>
        </w:numPr>
        <w:ind w:left="567" w:right="-2" w:hanging="567"/>
        <w:rPr>
          <w:snapToGrid w:val="0"/>
          <w:sz w:val="22"/>
          <w:szCs w:val="24"/>
        </w:rPr>
      </w:pPr>
      <w:r w:rsidRPr="00BF4AB8">
        <w:rPr>
          <w:snapToGrid w:val="0"/>
          <w:sz w:val="22"/>
          <w:szCs w:val="24"/>
        </w:rPr>
        <w:t xml:space="preserve">Vėmimas ir (arba) viduriavimas arba kitos virškinimo trakto būklės gali paveikti geriamųjų hormoninių kontraceptikų, tokių kaip kontraceptinės tabletės, absorbciją ir sumažinti jų veiksmingumą. Todėl, jei pasireiškia minėta būklė, pasikalbėkite su savo gydytoju ir </w:t>
      </w:r>
      <w:r>
        <w:rPr>
          <w:snapToGrid w:val="0"/>
          <w:sz w:val="22"/>
          <w:szCs w:val="24"/>
        </w:rPr>
        <w:t>ap</w:t>
      </w:r>
      <w:r w:rsidRPr="00BF4AB8">
        <w:rPr>
          <w:snapToGrid w:val="0"/>
          <w:sz w:val="22"/>
          <w:szCs w:val="24"/>
        </w:rPr>
        <w:t>svarstykite alternatyvų tinkamesnį kontracepcijos metodą.</w:t>
      </w:r>
    </w:p>
    <w:p w14:paraId="68AE8B9F" w14:textId="77777777" w:rsidR="00892F95" w:rsidRPr="00BF4AB8" w:rsidRDefault="00892F95" w:rsidP="00892F95">
      <w:pPr>
        <w:pStyle w:val="Sraopastraipa"/>
        <w:numPr>
          <w:ilvl w:val="0"/>
          <w:numId w:val="7"/>
        </w:numPr>
        <w:ind w:left="567" w:right="-2" w:hanging="567"/>
        <w:rPr>
          <w:snapToGrid w:val="0"/>
          <w:sz w:val="22"/>
          <w:szCs w:val="24"/>
        </w:rPr>
      </w:pPr>
      <w:r w:rsidRPr="00BF4AB8">
        <w:rPr>
          <w:snapToGrid w:val="0"/>
          <w:sz w:val="22"/>
          <w:szCs w:val="24"/>
        </w:rPr>
        <w:t xml:space="preserve">Nedelsdama pasakykite gydytojui ar vaistininkui, jeigu gydymo </w:t>
      </w:r>
      <w:proofErr w:type="spellStart"/>
      <w:r w:rsidRPr="00BF4AB8">
        <w:rPr>
          <w:snapToGrid w:val="0"/>
          <w:sz w:val="22"/>
          <w:szCs w:val="24"/>
        </w:rPr>
        <w:t>Nytyka</w:t>
      </w:r>
      <w:proofErr w:type="spellEnd"/>
      <w:r w:rsidRPr="00BF4AB8">
        <w:rPr>
          <w:snapToGrid w:val="0"/>
          <w:sz w:val="22"/>
          <w:szCs w:val="24"/>
        </w:rPr>
        <w:t xml:space="preserve"> metu pastojate arba manote, kad galėjote pastoti.</w:t>
      </w:r>
    </w:p>
    <w:p w14:paraId="0B2F43D5" w14:textId="77777777" w:rsidR="00892F95" w:rsidRPr="00BF4AB8" w:rsidRDefault="00892F95" w:rsidP="00892F95">
      <w:pPr>
        <w:numPr>
          <w:ilvl w:val="12"/>
          <w:numId w:val="0"/>
        </w:numPr>
        <w:rPr>
          <w:snapToGrid w:val="0"/>
          <w:sz w:val="22"/>
          <w:szCs w:val="24"/>
        </w:rPr>
      </w:pPr>
    </w:p>
    <w:p w14:paraId="2F49F987" w14:textId="77777777" w:rsidR="00892F95" w:rsidRPr="00BF4AB8" w:rsidRDefault="00892F95" w:rsidP="00892F95">
      <w:pPr>
        <w:numPr>
          <w:ilvl w:val="12"/>
          <w:numId w:val="0"/>
        </w:numPr>
        <w:rPr>
          <w:snapToGrid w:val="0"/>
          <w:sz w:val="22"/>
          <w:szCs w:val="24"/>
          <w:u w:val="single"/>
        </w:rPr>
      </w:pPr>
      <w:r w:rsidRPr="00BF4AB8">
        <w:rPr>
          <w:snapToGrid w:val="0"/>
          <w:sz w:val="22"/>
          <w:szCs w:val="24"/>
          <w:u w:val="single"/>
        </w:rPr>
        <w:t>Žindymo laikotarpis</w:t>
      </w:r>
    </w:p>
    <w:p w14:paraId="43F67DE5" w14:textId="77777777" w:rsidR="00892F95" w:rsidRPr="00BF4AB8" w:rsidRDefault="00892F95" w:rsidP="00892F95">
      <w:pPr>
        <w:numPr>
          <w:ilvl w:val="12"/>
          <w:numId w:val="0"/>
        </w:numPr>
        <w:rPr>
          <w:snapToGrid w:val="0"/>
          <w:sz w:val="22"/>
          <w:szCs w:val="24"/>
        </w:rPr>
      </w:pPr>
      <w:r w:rsidRPr="00BF4AB8">
        <w:rPr>
          <w:snapToGrid w:val="0"/>
          <w:sz w:val="22"/>
          <w:szCs w:val="24"/>
        </w:rPr>
        <w:t>Nežinoma, ar šis vaistas išsiskiria į motinos pieną ir ar gali pakenkti žindomam vaikui. Dėl to gydymo šiuo vaistu metu maitinti krūtimi negalima.</w:t>
      </w:r>
    </w:p>
    <w:p w14:paraId="62488977" w14:textId="77777777" w:rsidR="00892F95" w:rsidRPr="00BF4AB8" w:rsidRDefault="00892F95" w:rsidP="00892F95">
      <w:pPr>
        <w:numPr>
          <w:ilvl w:val="12"/>
          <w:numId w:val="0"/>
        </w:numPr>
        <w:rPr>
          <w:snapToGrid w:val="0"/>
          <w:sz w:val="22"/>
          <w:szCs w:val="24"/>
        </w:rPr>
      </w:pPr>
    </w:p>
    <w:p w14:paraId="13CE7AD1" w14:textId="77777777" w:rsidR="00892F95" w:rsidRPr="00BF4AB8" w:rsidRDefault="00892F95" w:rsidP="00892F95">
      <w:pPr>
        <w:numPr>
          <w:ilvl w:val="12"/>
          <w:numId w:val="0"/>
        </w:numPr>
        <w:rPr>
          <w:snapToGrid w:val="0"/>
          <w:sz w:val="22"/>
          <w:szCs w:val="24"/>
          <w:u w:val="single"/>
        </w:rPr>
      </w:pPr>
      <w:r w:rsidRPr="00BF4AB8">
        <w:rPr>
          <w:snapToGrid w:val="0"/>
          <w:sz w:val="22"/>
          <w:szCs w:val="24"/>
          <w:u w:val="single"/>
        </w:rPr>
        <w:t>Vaisingumas</w:t>
      </w:r>
    </w:p>
    <w:p w14:paraId="734A5C92" w14:textId="77777777" w:rsidR="00892F95" w:rsidRPr="00BF4AB8" w:rsidRDefault="00892F95" w:rsidP="00892F95">
      <w:pPr>
        <w:numPr>
          <w:ilvl w:val="12"/>
          <w:numId w:val="0"/>
        </w:numPr>
        <w:rPr>
          <w:snapToGrid w:val="0"/>
          <w:sz w:val="22"/>
          <w:szCs w:val="24"/>
        </w:rPr>
      </w:pPr>
      <w:r w:rsidRPr="00BF4AB8">
        <w:rPr>
          <w:snapToGrid w:val="0"/>
          <w:sz w:val="22"/>
          <w:szCs w:val="24"/>
        </w:rPr>
        <w:t>Šio vaisto poveikis žmogaus vaisingumui netirtas.</w:t>
      </w:r>
    </w:p>
    <w:p w14:paraId="06CE332C" w14:textId="77777777" w:rsidR="00892F95" w:rsidRPr="00BF4AB8" w:rsidRDefault="00892F95" w:rsidP="00892F95">
      <w:pPr>
        <w:numPr>
          <w:ilvl w:val="12"/>
          <w:numId w:val="0"/>
        </w:numPr>
        <w:rPr>
          <w:snapToGrid w:val="0"/>
          <w:sz w:val="22"/>
          <w:szCs w:val="24"/>
        </w:rPr>
      </w:pPr>
    </w:p>
    <w:p w14:paraId="2F8DC247" w14:textId="77777777" w:rsidR="00892F95" w:rsidRPr="00BF4AB8" w:rsidRDefault="00892F95" w:rsidP="00892F95">
      <w:pPr>
        <w:keepNext/>
        <w:tabs>
          <w:tab w:val="left" w:pos="567"/>
        </w:tabs>
        <w:spacing w:line="260" w:lineRule="exact"/>
        <w:jc w:val="both"/>
        <w:outlineLvl w:val="3"/>
        <w:rPr>
          <w:b/>
          <w:bCs/>
          <w:snapToGrid w:val="0"/>
          <w:sz w:val="22"/>
          <w:szCs w:val="28"/>
          <w:lang w:eastAsia="x-none"/>
        </w:rPr>
      </w:pPr>
      <w:r w:rsidRPr="00BF4AB8">
        <w:rPr>
          <w:b/>
          <w:bCs/>
          <w:snapToGrid w:val="0"/>
          <w:sz w:val="22"/>
          <w:szCs w:val="28"/>
          <w:lang w:eastAsia="x-none"/>
        </w:rPr>
        <w:t>Vairavimas ir mechanizmų valdymas</w:t>
      </w:r>
    </w:p>
    <w:p w14:paraId="6C62E679" w14:textId="77777777" w:rsidR="00892F95" w:rsidRPr="00BF4AB8" w:rsidRDefault="00892F95" w:rsidP="00892F95">
      <w:pPr>
        <w:numPr>
          <w:ilvl w:val="12"/>
          <w:numId w:val="0"/>
        </w:numPr>
        <w:ind w:right="-2"/>
        <w:rPr>
          <w:snapToGrid w:val="0"/>
          <w:sz w:val="22"/>
          <w:szCs w:val="24"/>
        </w:rPr>
      </w:pPr>
    </w:p>
    <w:p w14:paraId="29309124" w14:textId="77777777" w:rsidR="00892F95" w:rsidRPr="00BF4AB8" w:rsidRDefault="00892F95" w:rsidP="00892F95">
      <w:pPr>
        <w:numPr>
          <w:ilvl w:val="12"/>
          <w:numId w:val="0"/>
        </w:numPr>
        <w:ind w:right="-2"/>
        <w:rPr>
          <w:snapToGrid w:val="0"/>
          <w:sz w:val="22"/>
          <w:szCs w:val="28"/>
          <w:lang w:eastAsia="x-none"/>
        </w:rPr>
      </w:pPr>
      <w:proofErr w:type="spellStart"/>
      <w:r w:rsidRPr="00BF4AB8">
        <w:rPr>
          <w:snapToGrid w:val="0"/>
          <w:sz w:val="22"/>
          <w:szCs w:val="28"/>
          <w:lang w:eastAsia="x-none"/>
        </w:rPr>
        <w:t>Nytyka</w:t>
      </w:r>
      <w:proofErr w:type="spellEnd"/>
      <w:r w:rsidRPr="00BF4AB8">
        <w:rPr>
          <w:snapToGrid w:val="0"/>
          <w:sz w:val="22"/>
          <w:szCs w:val="28"/>
          <w:lang w:eastAsia="x-none"/>
        </w:rPr>
        <w:t xml:space="preserve"> gali silpnai veikti Jūsų gebėjimą vairuoti ir valdyti mechanizmus. Jei blogai jaučiatės, nevairuokite ir nevaldykite mechanizmų.</w:t>
      </w:r>
    </w:p>
    <w:p w14:paraId="473CDC2F" w14:textId="77777777" w:rsidR="00892F95" w:rsidRPr="00BF4AB8" w:rsidRDefault="00892F95" w:rsidP="00892F95">
      <w:pPr>
        <w:numPr>
          <w:ilvl w:val="12"/>
          <w:numId w:val="0"/>
        </w:numPr>
        <w:ind w:right="-2"/>
        <w:rPr>
          <w:snapToGrid w:val="0"/>
          <w:sz w:val="22"/>
          <w:szCs w:val="24"/>
        </w:rPr>
      </w:pPr>
    </w:p>
    <w:p w14:paraId="04D7C335" w14:textId="77777777" w:rsidR="00892F95" w:rsidRPr="00BF4AB8" w:rsidRDefault="00892F95" w:rsidP="00892F95">
      <w:pPr>
        <w:numPr>
          <w:ilvl w:val="12"/>
          <w:numId w:val="0"/>
        </w:numPr>
        <w:ind w:right="-2"/>
        <w:rPr>
          <w:snapToGrid w:val="0"/>
          <w:sz w:val="22"/>
          <w:szCs w:val="24"/>
        </w:rPr>
      </w:pPr>
    </w:p>
    <w:p w14:paraId="64686A58" w14:textId="77777777" w:rsidR="00892F95" w:rsidRPr="00BF4AB8" w:rsidRDefault="00892F95" w:rsidP="00892F95">
      <w:pPr>
        <w:keepNext/>
        <w:keepLines/>
        <w:tabs>
          <w:tab w:val="left" w:pos="567"/>
        </w:tabs>
        <w:outlineLvl w:val="2"/>
        <w:rPr>
          <w:b/>
          <w:bCs/>
          <w:snapToGrid w:val="0"/>
          <w:sz w:val="22"/>
          <w:szCs w:val="26"/>
          <w:lang w:eastAsia="x-none"/>
        </w:rPr>
      </w:pPr>
      <w:r w:rsidRPr="00BF4AB8">
        <w:rPr>
          <w:b/>
          <w:bCs/>
          <w:snapToGrid w:val="0"/>
          <w:sz w:val="22"/>
          <w:szCs w:val="26"/>
          <w:lang w:eastAsia="x-none"/>
        </w:rPr>
        <w:t>3.</w:t>
      </w:r>
      <w:r w:rsidRPr="00BF4AB8">
        <w:rPr>
          <w:b/>
          <w:bCs/>
          <w:snapToGrid w:val="0"/>
          <w:sz w:val="22"/>
          <w:szCs w:val="26"/>
          <w:lang w:eastAsia="x-none"/>
        </w:rPr>
        <w:tab/>
        <w:t xml:space="preserve">Kaip vartoti </w:t>
      </w:r>
      <w:proofErr w:type="spellStart"/>
      <w:r w:rsidRPr="00BF4AB8">
        <w:rPr>
          <w:b/>
          <w:bCs/>
          <w:snapToGrid w:val="0"/>
          <w:sz w:val="22"/>
          <w:szCs w:val="26"/>
          <w:lang w:eastAsia="x-none"/>
        </w:rPr>
        <w:t>Nytyka</w:t>
      </w:r>
      <w:proofErr w:type="spellEnd"/>
    </w:p>
    <w:p w14:paraId="14C4A49D" w14:textId="77777777" w:rsidR="00892F95" w:rsidRPr="00BF4AB8" w:rsidRDefault="00892F95" w:rsidP="00892F95">
      <w:pPr>
        <w:numPr>
          <w:ilvl w:val="12"/>
          <w:numId w:val="0"/>
        </w:numPr>
        <w:ind w:right="-2"/>
        <w:rPr>
          <w:snapToGrid w:val="0"/>
          <w:sz w:val="22"/>
          <w:szCs w:val="24"/>
        </w:rPr>
      </w:pPr>
    </w:p>
    <w:p w14:paraId="56EBCB10" w14:textId="77777777" w:rsidR="00892F95" w:rsidRPr="00BF4AB8" w:rsidRDefault="00892F95" w:rsidP="00892F95">
      <w:pPr>
        <w:ind w:right="-2"/>
        <w:rPr>
          <w:snapToGrid w:val="0"/>
          <w:sz w:val="22"/>
        </w:rPr>
      </w:pPr>
      <w:r w:rsidRPr="00BF4AB8">
        <w:rPr>
          <w:snapToGrid w:val="0"/>
          <w:sz w:val="22"/>
        </w:rPr>
        <w:t>Visada vartokite šį vaistą tiksliai, kaip nurodė gydytojas arba vaistininkas. Jeigu abejojate, kreipkitės į gydytoją arba vaistininką.</w:t>
      </w:r>
    </w:p>
    <w:p w14:paraId="2EDA0F36" w14:textId="77777777" w:rsidR="00892F95" w:rsidRPr="00BF4AB8" w:rsidRDefault="00892F95" w:rsidP="00892F95">
      <w:pPr>
        <w:numPr>
          <w:ilvl w:val="12"/>
          <w:numId w:val="0"/>
        </w:numPr>
        <w:ind w:right="-2"/>
        <w:rPr>
          <w:snapToGrid w:val="0"/>
          <w:sz w:val="22"/>
          <w:szCs w:val="24"/>
        </w:rPr>
      </w:pPr>
    </w:p>
    <w:p w14:paraId="7E8661C1" w14:textId="2BB09347" w:rsidR="00892F95" w:rsidRPr="00BF4AB8" w:rsidRDefault="00892F95" w:rsidP="00892F95">
      <w:pPr>
        <w:numPr>
          <w:ilvl w:val="12"/>
          <w:numId w:val="0"/>
        </w:numPr>
        <w:ind w:right="-2"/>
        <w:rPr>
          <w:snapToGrid w:val="0"/>
          <w:sz w:val="22"/>
          <w:szCs w:val="24"/>
        </w:rPr>
      </w:pPr>
      <w:r w:rsidRPr="00BF4AB8">
        <w:rPr>
          <w:snapToGrid w:val="0"/>
          <w:sz w:val="22"/>
          <w:szCs w:val="24"/>
        </w:rPr>
        <w:t xml:space="preserve">Nevartokite </w:t>
      </w:r>
      <w:r w:rsidR="005965BD">
        <w:rPr>
          <w:snapToGrid w:val="0"/>
          <w:sz w:val="22"/>
          <w:szCs w:val="24"/>
        </w:rPr>
        <w:t>šio vaisto</w:t>
      </w:r>
      <w:r w:rsidRPr="00BF4AB8">
        <w:rPr>
          <w:snapToGrid w:val="0"/>
          <w:sz w:val="22"/>
          <w:szCs w:val="24"/>
        </w:rPr>
        <w:t xml:space="preserve"> tą dieną, kurią Jums taikoma chemoterapija </w:t>
      </w:r>
      <w:proofErr w:type="spellStart"/>
      <w:r w:rsidRPr="00BF4AB8">
        <w:rPr>
          <w:snapToGrid w:val="0"/>
          <w:sz w:val="22"/>
          <w:szCs w:val="24"/>
        </w:rPr>
        <w:t>docetakseliu</w:t>
      </w:r>
      <w:proofErr w:type="spellEnd"/>
      <w:r w:rsidRPr="00BF4AB8">
        <w:rPr>
          <w:snapToGrid w:val="0"/>
          <w:sz w:val="22"/>
          <w:szCs w:val="24"/>
        </w:rPr>
        <w:t>.</w:t>
      </w:r>
    </w:p>
    <w:p w14:paraId="046132D6" w14:textId="77777777" w:rsidR="00892F95" w:rsidRPr="00BF4AB8" w:rsidRDefault="00892F95" w:rsidP="00892F95">
      <w:pPr>
        <w:numPr>
          <w:ilvl w:val="12"/>
          <w:numId w:val="0"/>
        </w:numPr>
        <w:ind w:right="-2"/>
        <w:rPr>
          <w:snapToGrid w:val="0"/>
          <w:sz w:val="22"/>
          <w:szCs w:val="24"/>
        </w:rPr>
      </w:pPr>
    </w:p>
    <w:p w14:paraId="1FE7E9D3" w14:textId="41F0CD81" w:rsidR="00892F95" w:rsidRPr="00BF4AB8" w:rsidRDefault="00892F95" w:rsidP="00892F95">
      <w:pPr>
        <w:numPr>
          <w:ilvl w:val="12"/>
          <w:numId w:val="0"/>
        </w:numPr>
        <w:ind w:right="-2"/>
        <w:rPr>
          <w:snapToGrid w:val="0"/>
          <w:sz w:val="22"/>
          <w:szCs w:val="24"/>
        </w:rPr>
      </w:pPr>
      <w:r w:rsidRPr="00BF4AB8">
        <w:rPr>
          <w:snapToGrid w:val="0"/>
          <w:sz w:val="22"/>
          <w:szCs w:val="24"/>
        </w:rPr>
        <w:t>Kapsul</w:t>
      </w:r>
      <w:r w:rsidR="005965BD">
        <w:rPr>
          <w:snapToGrid w:val="0"/>
          <w:sz w:val="22"/>
          <w:szCs w:val="24"/>
        </w:rPr>
        <w:t>ę</w:t>
      </w:r>
      <w:r w:rsidRPr="00BF4AB8">
        <w:rPr>
          <w:snapToGrid w:val="0"/>
          <w:sz w:val="22"/>
          <w:szCs w:val="24"/>
        </w:rPr>
        <w:t xml:space="preserve"> nurykite sveikas užsigerdami vandeniu ir jų nekramtydami. Rekomenduojama kapsules gerti su maistu, t. y. valgio metu, prieš pat valgį ar tuoj po jo.</w:t>
      </w:r>
    </w:p>
    <w:p w14:paraId="1F021254" w14:textId="77777777" w:rsidR="00892F95" w:rsidRPr="00BF4AB8" w:rsidRDefault="00892F95" w:rsidP="00892F95">
      <w:pPr>
        <w:numPr>
          <w:ilvl w:val="12"/>
          <w:numId w:val="0"/>
        </w:numPr>
        <w:ind w:right="-2"/>
        <w:rPr>
          <w:snapToGrid w:val="0"/>
          <w:sz w:val="22"/>
          <w:szCs w:val="24"/>
        </w:rPr>
      </w:pPr>
      <w:r w:rsidRPr="00BF4AB8">
        <w:rPr>
          <w:snapToGrid w:val="0"/>
          <w:sz w:val="22"/>
          <w:szCs w:val="24"/>
        </w:rPr>
        <w:t>Kapsulės neatidarykite ir netraiškykite (žr. 5 skyrių).</w:t>
      </w:r>
    </w:p>
    <w:p w14:paraId="2D85EFB7" w14:textId="77777777" w:rsidR="00892F95" w:rsidRPr="00BF4AB8" w:rsidRDefault="00892F95" w:rsidP="00892F95">
      <w:pPr>
        <w:numPr>
          <w:ilvl w:val="12"/>
          <w:numId w:val="0"/>
        </w:numPr>
        <w:ind w:right="-2"/>
        <w:rPr>
          <w:snapToGrid w:val="0"/>
          <w:sz w:val="22"/>
          <w:szCs w:val="24"/>
        </w:rPr>
      </w:pPr>
    </w:p>
    <w:p w14:paraId="064A1919" w14:textId="41161A24" w:rsidR="00892F95" w:rsidRPr="00BF4AB8" w:rsidRDefault="00892F95" w:rsidP="00892F95">
      <w:pPr>
        <w:numPr>
          <w:ilvl w:val="12"/>
          <w:numId w:val="0"/>
        </w:numPr>
        <w:ind w:right="-2"/>
        <w:rPr>
          <w:snapToGrid w:val="0"/>
          <w:sz w:val="22"/>
          <w:szCs w:val="24"/>
        </w:rPr>
      </w:pPr>
      <w:r w:rsidRPr="00BF4AB8">
        <w:rPr>
          <w:snapToGrid w:val="0"/>
          <w:sz w:val="22"/>
          <w:szCs w:val="24"/>
        </w:rPr>
        <w:t xml:space="preserve">Rekomenduojama dozė yra </w:t>
      </w:r>
      <w:r w:rsidR="006B08B6">
        <w:rPr>
          <w:snapToGrid w:val="0"/>
          <w:sz w:val="22"/>
          <w:szCs w:val="24"/>
        </w:rPr>
        <w:t>dvi</w:t>
      </w:r>
      <w:r w:rsidRPr="00BF4AB8">
        <w:rPr>
          <w:snapToGrid w:val="0"/>
          <w:sz w:val="22"/>
          <w:szCs w:val="24"/>
        </w:rPr>
        <w:t xml:space="preserve"> kapsulės per parą (bendra paros dozė yra </w:t>
      </w:r>
      <w:r w:rsidR="006B08B6">
        <w:rPr>
          <w:snapToGrid w:val="0"/>
          <w:sz w:val="22"/>
          <w:szCs w:val="24"/>
        </w:rPr>
        <w:t>3</w:t>
      </w:r>
      <w:r w:rsidRPr="00BF4AB8">
        <w:rPr>
          <w:snapToGrid w:val="0"/>
          <w:sz w:val="22"/>
          <w:szCs w:val="24"/>
        </w:rPr>
        <w:t xml:space="preserve">00 mg </w:t>
      </w:r>
      <w:proofErr w:type="spellStart"/>
      <w:r w:rsidRPr="00BF4AB8">
        <w:rPr>
          <w:snapToGrid w:val="0"/>
          <w:sz w:val="22"/>
          <w:szCs w:val="24"/>
        </w:rPr>
        <w:t>nintedanibo</w:t>
      </w:r>
      <w:proofErr w:type="spellEnd"/>
      <w:r w:rsidRPr="00BF4AB8">
        <w:rPr>
          <w:snapToGrid w:val="0"/>
          <w:sz w:val="22"/>
          <w:szCs w:val="24"/>
        </w:rPr>
        <w:t>). Nevartokite didesnės dozės nei nurodyta.</w:t>
      </w:r>
    </w:p>
    <w:p w14:paraId="63B190D9" w14:textId="77777777" w:rsidR="00892F95" w:rsidRPr="00BF4AB8" w:rsidRDefault="00892F95" w:rsidP="00892F95">
      <w:pPr>
        <w:numPr>
          <w:ilvl w:val="12"/>
          <w:numId w:val="0"/>
        </w:numPr>
        <w:ind w:right="-2"/>
        <w:rPr>
          <w:snapToGrid w:val="0"/>
          <w:sz w:val="22"/>
          <w:szCs w:val="24"/>
        </w:rPr>
      </w:pPr>
    </w:p>
    <w:p w14:paraId="2E0EBA96" w14:textId="4D79FD2D" w:rsidR="00892F95" w:rsidRPr="00BF4AB8" w:rsidRDefault="00892F95" w:rsidP="00892F95">
      <w:pPr>
        <w:numPr>
          <w:ilvl w:val="12"/>
          <w:numId w:val="0"/>
        </w:numPr>
        <w:ind w:right="-2"/>
        <w:rPr>
          <w:snapToGrid w:val="0"/>
          <w:sz w:val="22"/>
          <w:szCs w:val="24"/>
        </w:rPr>
      </w:pPr>
      <w:r w:rsidRPr="00BF4AB8">
        <w:rPr>
          <w:snapToGrid w:val="0"/>
          <w:sz w:val="22"/>
          <w:szCs w:val="24"/>
        </w:rPr>
        <w:t xml:space="preserve">Paros dozę reikia padalyti į dvi dalis ir gerti po </w:t>
      </w:r>
      <w:r w:rsidR="006B08B6">
        <w:rPr>
          <w:snapToGrid w:val="0"/>
          <w:sz w:val="22"/>
          <w:szCs w:val="24"/>
        </w:rPr>
        <w:t>vieną</w:t>
      </w:r>
      <w:r w:rsidRPr="00BF4AB8">
        <w:rPr>
          <w:snapToGrid w:val="0"/>
          <w:sz w:val="22"/>
          <w:szCs w:val="24"/>
        </w:rPr>
        <w:t xml:space="preserve"> kapsul</w:t>
      </w:r>
      <w:r w:rsidR="006B08B6">
        <w:rPr>
          <w:snapToGrid w:val="0"/>
          <w:sz w:val="22"/>
          <w:szCs w:val="24"/>
        </w:rPr>
        <w:t>ę</w:t>
      </w:r>
      <w:r w:rsidRPr="00BF4AB8">
        <w:rPr>
          <w:snapToGrid w:val="0"/>
          <w:sz w:val="22"/>
          <w:szCs w:val="24"/>
        </w:rPr>
        <w:t xml:space="preserve"> maždaug kas 12 valandų, pavyzdžiui, </w:t>
      </w:r>
      <w:r w:rsidR="006B08B6">
        <w:rPr>
          <w:snapToGrid w:val="0"/>
          <w:sz w:val="22"/>
          <w:szCs w:val="24"/>
        </w:rPr>
        <w:t>vieną</w:t>
      </w:r>
      <w:r w:rsidRPr="00BF4AB8">
        <w:rPr>
          <w:snapToGrid w:val="0"/>
          <w:sz w:val="22"/>
          <w:szCs w:val="24"/>
        </w:rPr>
        <w:t xml:space="preserve"> kapsul</w:t>
      </w:r>
      <w:r w:rsidR="006B08B6">
        <w:rPr>
          <w:snapToGrid w:val="0"/>
          <w:sz w:val="22"/>
          <w:szCs w:val="24"/>
        </w:rPr>
        <w:t>ę</w:t>
      </w:r>
      <w:r w:rsidRPr="00BF4AB8">
        <w:rPr>
          <w:snapToGrid w:val="0"/>
          <w:sz w:val="22"/>
          <w:szCs w:val="24"/>
        </w:rPr>
        <w:t xml:space="preserve"> ryte ir </w:t>
      </w:r>
      <w:r w:rsidR="006B08B6">
        <w:rPr>
          <w:snapToGrid w:val="0"/>
          <w:sz w:val="22"/>
          <w:szCs w:val="24"/>
        </w:rPr>
        <w:t>vieną</w:t>
      </w:r>
      <w:r w:rsidR="006B08B6" w:rsidRPr="00BF4AB8">
        <w:rPr>
          <w:snapToGrid w:val="0"/>
          <w:sz w:val="22"/>
          <w:szCs w:val="24"/>
        </w:rPr>
        <w:t xml:space="preserve"> kapsul</w:t>
      </w:r>
      <w:r w:rsidR="006B08B6">
        <w:rPr>
          <w:snapToGrid w:val="0"/>
          <w:sz w:val="22"/>
          <w:szCs w:val="24"/>
        </w:rPr>
        <w:t>ę</w:t>
      </w:r>
      <w:r w:rsidR="006B08B6" w:rsidRPr="00BF4AB8">
        <w:rPr>
          <w:snapToGrid w:val="0"/>
          <w:sz w:val="22"/>
          <w:szCs w:val="24"/>
        </w:rPr>
        <w:t xml:space="preserve"> </w:t>
      </w:r>
      <w:r w:rsidRPr="00BF4AB8">
        <w:rPr>
          <w:snapToGrid w:val="0"/>
          <w:sz w:val="22"/>
          <w:szCs w:val="24"/>
        </w:rPr>
        <w:t xml:space="preserve">vakare. </w:t>
      </w:r>
      <w:r w:rsidR="005A43D0">
        <w:rPr>
          <w:snapToGrid w:val="0"/>
          <w:sz w:val="22"/>
          <w:szCs w:val="24"/>
        </w:rPr>
        <w:t>D</w:t>
      </w:r>
      <w:r w:rsidRPr="00BF4AB8">
        <w:rPr>
          <w:snapToGrid w:val="0"/>
          <w:sz w:val="22"/>
          <w:szCs w:val="24"/>
        </w:rPr>
        <w:t xml:space="preserve">vi dozes reikia išgerti kiekvieną dieną maždaug tokiu pačiu laiku. Taip vartojant vaistą bus užtikrintas stabilus </w:t>
      </w:r>
      <w:proofErr w:type="spellStart"/>
      <w:r w:rsidRPr="00BF4AB8">
        <w:rPr>
          <w:snapToGrid w:val="0"/>
          <w:sz w:val="22"/>
          <w:szCs w:val="24"/>
        </w:rPr>
        <w:t>nintedanibo</w:t>
      </w:r>
      <w:proofErr w:type="spellEnd"/>
      <w:r w:rsidRPr="00BF4AB8">
        <w:rPr>
          <w:snapToGrid w:val="0"/>
          <w:sz w:val="22"/>
          <w:szCs w:val="24"/>
        </w:rPr>
        <w:t xml:space="preserve"> kiekis organizme.</w:t>
      </w:r>
    </w:p>
    <w:p w14:paraId="0618D999" w14:textId="77777777" w:rsidR="00892F95" w:rsidRPr="00BF4AB8" w:rsidRDefault="00892F95" w:rsidP="00892F95">
      <w:pPr>
        <w:numPr>
          <w:ilvl w:val="12"/>
          <w:numId w:val="0"/>
        </w:numPr>
        <w:ind w:right="-2"/>
        <w:rPr>
          <w:snapToGrid w:val="0"/>
          <w:sz w:val="22"/>
          <w:szCs w:val="24"/>
        </w:rPr>
      </w:pPr>
    </w:p>
    <w:p w14:paraId="0260728A" w14:textId="77777777" w:rsidR="00892F95" w:rsidRPr="00BF4AB8" w:rsidRDefault="00892F95" w:rsidP="00892F95">
      <w:pPr>
        <w:numPr>
          <w:ilvl w:val="12"/>
          <w:numId w:val="0"/>
        </w:numPr>
        <w:ind w:right="-2"/>
        <w:rPr>
          <w:b/>
          <w:bCs/>
          <w:snapToGrid w:val="0"/>
          <w:sz w:val="22"/>
          <w:szCs w:val="24"/>
        </w:rPr>
      </w:pPr>
      <w:r w:rsidRPr="00BF4AB8">
        <w:rPr>
          <w:b/>
          <w:bCs/>
          <w:snapToGrid w:val="0"/>
          <w:sz w:val="22"/>
          <w:szCs w:val="24"/>
        </w:rPr>
        <w:t>Dozės sumažinimas</w:t>
      </w:r>
    </w:p>
    <w:p w14:paraId="2AA37FF3" w14:textId="3A2E1DC8" w:rsidR="00B60704" w:rsidRDefault="00892F95" w:rsidP="00892F95">
      <w:pPr>
        <w:numPr>
          <w:ilvl w:val="12"/>
          <w:numId w:val="0"/>
        </w:numPr>
        <w:ind w:right="-2"/>
        <w:rPr>
          <w:snapToGrid w:val="0"/>
          <w:sz w:val="22"/>
          <w:szCs w:val="24"/>
        </w:rPr>
      </w:pPr>
      <w:r w:rsidRPr="00BF4AB8">
        <w:rPr>
          <w:snapToGrid w:val="0"/>
          <w:sz w:val="22"/>
          <w:szCs w:val="24"/>
        </w:rPr>
        <w:t xml:space="preserve">Jeigu rekomenduojamos </w:t>
      </w:r>
      <w:r w:rsidR="005A43D0">
        <w:rPr>
          <w:snapToGrid w:val="0"/>
          <w:sz w:val="22"/>
          <w:szCs w:val="24"/>
        </w:rPr>
        <w:t>3</w:t>
      </w:r>
      <w:r w:rsidRPr="00BF4AB8">
        <w:rPr>
          <w:snapToGrid w:val="0"/>
          <w:sz w:val="22"/>
          <w:szCs w:val="24"/>
        </w:rPr>
        <w:t xml:space="preserve">00 mg paros dozės netoleruojate dėl šalutinio poveikio (žr. 4 skyrių), gydytojas gali sumažinti </w:t>
      </w:r>
      <w:r w:rsidR="005A43D0">
        <w:rPr>
          <w:snapToGrid w:val="0"/>
          <w:sz w:val="22"/>
          <w:szCs w:val="24"/>
        </w:rPr>
        <w:t xml:space="preserve">Jums rekomenduojamą </w:t>
      </w:r>
      <w:proofErr w:type="spellStart"/>
      <w:r w:rsidR="005A43D0">
        <w:rPr>
          <w:snapToGrid w:val="0"/>
          <w:sz w:val="22"/>
          <w:szCs w:val="24"/>
        </w:rPr>
        <w:t>Nytyka</w:t>
      </w:r>
      <w:proofErr w:type="spellEnd"/>
      <w:r w:rsidRPr="00BF4AB8">
        <w:rPr>
          <w:snapToGrid w:val="0"/>
          <w:sz w:val="22"/>
          <w:szCs w:val="24"/>
        </w:rPr>
        <w:t xml:space="preserve"> paros dozę</w:t>
      </w:r>
      <w:r w:rsidR="005A43D0">
        <w:rPr>
          <w:snapToGrid w:val="0"/>
          <w:sz w:val="22"/>
          <w:szCs w:val="24"/>
        </w:rPr>
        <w:t xml:space="preserve"> iki 200 mg (dvi 100 mg kapsulės). </w:t>
      </w:r>
      <w:r w:rsidR="00B60704" w:rsidRPr="00BF4AB8">
        <w:rPr>
          <w:snapToGrid w:val="0"/>
          <w:sz w:val="22"/>
          <w:szCs w:val="24"/>
        </w:rPr>
        <w:t xml:space="preserve">Tokiu atveju gydytojas </w:t>
      </w:r>
      <w:r w:rsidR="00B60704">
        <w:rPr>
          <w:snapToGrid w:val="0"/>
          <w:sz w:val="22"/>
          <w:szCs w:val="24"/>
        </w:rPr>
        <w:t xml:space="preserve">Jūsų gydymui skirs </w:t>
      </w:r>
      <w:proofErr w:type="spellStart"/>
      <w:r w:rsidR="00B60704" w:rsidRPr="00BF4AB8">
        <w:rPr>
          <w:snapToGrid w:val="0"/>
          <w:sz w:val="22"/>
          <w:szCs w:val="24"/>
        </w:rPr>
        <w:t>nintedanibo</w:t>
      </w:r>
      <w:proofErr w:type="spellEnd"/>
      <w:r w:rsidR="00B60704" w:rsidRPr="00BF4AB8">
        <w:rPr>
          <w:snapToGrid w:val="0"/>
          <w:sz w:val="22"/>
          <w:szCs w:val="24"/>
        </w:rPr>
        <w:t xml:space="preserve"> 1</w:t>
      </w:r>
      <w:r w:rsidR="00B60704">
        <w:rPr>
          <w:snapToGrid w:val="0"/>
          <w:sz w:val="22"/>
          <w:szCs w:val="24"/>
        </w:rPr>
        <w:t>0</w:t>
      </w:r>
      <w:r w:rsidR="00B60704" w:rsidRPr="00BF4AB8">
        <w:rPr>
          <w:snapToGrid w:val="0"/>
          <w:sz w:val="22"/>
          <w:szCs w:val="24"/>
        </w:rPr>
        <w:t>0 mg minkšt</w:t>
      </w:r>
      <w:r w:rsidR="00B60704">
        <w:rPr>
          <w:snapToGrid w:val="0"/>
          <w:sz w:val="22"/>
          <w:szCs w:val="24"/>
        </w:rPr>
        <w:t>ąsias kapsules.</w:t>
      </w:r>
    </w:p>
    <w:p w14:paraId="6838F8B8" w14:textId="53361481" w:rsidR="00892F95" w:rsidRPr="00BF4AB8" w:rsidRDefault="00B60704" w:rsidP="00892F95">
      <w:pPr>
        <w:numPr>
          <w:ilvl w:val="12"/>
          <w:numId w:val="0"/>
        </w:numPr>
        <w:ind w:right="-2"/>
        <w:rPr>
          <w:snapToGrid w:val="0"/>
          <w:sz w:val="22"/>
          <w:szCs w:val="24"/>
        </w:rPr>
      </w:pPr>
      <w:r>
        <w:rPr>
          <w:snapToGrid w:val="0"/>
          <w:sz w:val="22"/>
          <w:szCs w:val="24"/>
        </w:rPr>
        <w:t>T</w:t>
      </w:r>
      <w:r w:rsidR="00892F95" w:rsidRPr="00BF4AB8">
        <w:rPr>
          <w:snapToGrid w:val="0"/>
          <w:sz w:val="22"/>
          <w:szCs w:val="24"/>
        </w:rPr>
        <w:t xml:space="preserve">urite gerti su maistu po vieną </w:t>
      </w:r>
      <w:r w:rsidR="003959AC">
        <w:rPr>
          <w:snapToGrid w:val="0"/>
          <w:sz w:val="22"/>
          <w:szCs w:val="24"/>
        </w:rPr>
        <w:t>tokio</w:t>
      </w:r>
      <w:r w:rsidR="00892F95" w:rsidRPr="00BF4AB8">
        <w:rPr>
          <w:snapToGrid w:val="0"/>
          <w:sz w:val="22"/>
          <w:szCs w:val="24"/>
        </w:rPr>
        <w:t xml:space="preserve"> stiprumo kapsulę du kartus per parą maždaug kas 12 valandų kasdien tokiu pačiu laiku (pavyzdžiui, ryte ir vakare).</w:t>
      </w:r>
    </w:p>
    <w:p w14:paraId="6CAAA6B3" w14:textId="77777777" w:rsidR="00892F95" w:rsidRPr="00BF4AB8" w:rsidRDefault="00892F95" w:rsidP="00892F95">
      <w:pPr>
        <w:numPr>
          <w:ilvl w:val="12"/>
          <w:numId w:val="0"/>
        </w:numPr>
        <w:ind w:right="-2"/>
        <w:rPr>
          <w:snapToGrid w:val="0"/>
          <w:sz w:val="22"/>
          <w:szCs w:val="24"/>
        </w:rPr>
      </w:pPr>
    </w:p>
    <w:p w14:paraId="3C211C6F" w14:textId="77777777" w:rsidR="00B60704" w:rsidRDefault="00B60704" w:rsidP="00B60704">
      <w:pPr>
        <w:numPr>
          <w:ilvl w:val="12"/>
          <w:numId w:val="0"/>
        </w:numPr>
        <w:ind w:right="-2"/>
        <w:rPr>
          <w:snapToGrid w:val="0"/>
          <w:sz w:val="22"/>
          <w:szCs w:val="24"/>
        </w:rPr>
      </w:pPr>
      <w:r w:rsidRPr="00BF4AB8">
        <w:rPr>
          <w:snapToGrid w:val="0"/>
          <w:sz w:val="22"/>
          <w:szCs w:val="24"/>
        </w:rPr>
        <w:t>Patys nemažinkite dozės ir nestabdykite gydymo prieš tai nepasitarę su gydytoju.</w:t>
      </w:r>
    </w:p>
    <w:p w14:paraId="612F812D" w14:textId="77777777" w:rsidR="00B60704" w:rsidRPr="00BF4AB8" w:rsidRDefault="00B60704" w:rsidP="00B60704">
      <w:pPr>
        <w:numPr>
          <w:ilvl w:val="12"/>
          <w:numId w:val="0"/>
        </w:numPr>
        <w:ind w:right="-2"/>
        <w:rPr>
          <w:snapToGrid w:val="0"/>
          <w:sz w:val="22"/>
          <w:szCs w:val="24"/>
        </w:rPr>
      </w:pPr>
    </w:p>
    <w:p w14:paraId="69CA0488" w14:textId="77777777" w:rsidR="00892F95" w:rsidRDefault="00892F95" w:rsidP="00892F95">
      <w:pPr>
        <w:numPr>
          <w:ilvl w:val="12"/>
          <w:numId w:val="0"/>
        </w:numPr>
        <w:ind w:right="-2"/>
        <w:rPr>
          <w:snapToGrid w:val="0"/>
          <w:sz w:val="22"/>
          <w:szCs w:val="24"/>
        </w:rPr>
      </w:pPr>
      <w:r w:rsidRPr="00BF4AB8">
        <w:rPr>
          <w:snapToGrid w:val="0"/>
          <w:sz w:val="22"/>
          <w:szCs w:val="24"/>
        </w:rPr>
        <w:t xml:space="preserve">Jei gydytojas nutraukė chemoterapiją </w:t>
      </w:r>
      <w:proofErr w:type="spellStart"/>
      <w:r w:rsidRPr="00BF4AB8">
        <w:rPr>
          <w:snapToGrid w:val="0"/>
          <w:sz w:val="22"/>
          <w:szCs w:val="24"/>
        </w:rPr>
        <w:t>docetakseliu</w:t>
      </w:r>
      <w:proofErr w:type="spellEnd"/>
      <w:r w:rsidRPr="00BF4AB8">
        <w:rPr>
          <w:snapToGrid w:val="0"/>
          <w:sz w:val="22"/>
          <w:szCs w:val="24"/>
        </w:rPr>
        <w:t xml:space="preserve">, turite toliau vartoti </w:t>
      </w:r>
      <w:proofErr w:type="spellStart"/>
      <w:r w:rsidRPr="00BF4AB8">
        <w:rPr>
          <w:snapToGrid w:val="0"/>
          <w:sz w:val="22"/>
          <w:szCs w:val="24"/>
        </w:rPr>
        <w:t>Nytyka</w:t>
      </w:r>
      <w:proofErr w:type="spellEnd"/>
      <w:r w:rsidRPr="00BF4AB8">
        <w:rPr>
          <w:snapToGrid w:val="0"/>
          <w:sz w:val="22"/>
          <w:szCs w:val="24"/>
        </w:rPr>
        <w:t xml:space="preserve"> du kartus per parą.</w:t>
      </w:r>
    </w:p>
    <w:p w14:paraId="7E506A4C" w14:textId="77777777" w:rsidR="00B60704" w:rsidRPr="00BF4AB8" w:rsidRDefault="00B60704" w:rsidP="00892F95">
      <w:pPr>
        <w:numPr>
          <w:ilvl w:val="12"/>
          <w:numId w:val="0"/>
        </w:numPr>
        <w:ind w:right="-2"/>
        <w:rPr>
          <w:snapToGrid w:val="0"/>
          <w:sz w:val="22"/>
          <w:szCs w:val="24"/>
        </w:rPr>
      </w:pPr>
    </w:p>
    <w:p w14:paraId="16BDC714" w14:textId="77777777" w:rsidR="00892F95" w:rsidRPr="00BF4AB8" w:rsidRDefault="00892F95" w:rsidP="00892F95">
      <w:pPr>
        <w:keepNext/>
        <w:tabs>
          <w:tab w:val="left" w:pos="567"/>
        </w:tabs>
        <w:spacing w:line="260" w:lineRule="exact"/>
        <w:jc w:val="both"/>
        <w:outlineLvl w:val="3"/>
        <w:rPr>
          <w:b/>
          <w:bCs/>
          <w:snapToGrid w:val="0"/>
          <w:sz w:val="22"/>
          <w:szCs w:val="22"/>
          <w:lang w:eastAsia="x-none"/>
        </w:rPr>
      </w:pPr>
      <w:r w:rsidRPr="00BF4AB8">
        <w:rPr>
          <w:b/>
          <w:bCs/>
          <w:snapToGrid w:val="0"/>
          <w:sz w:val="22"/>
          <w:szCs w:val="22"/>
          <w:lang w:eastAsia="x-none"/>
        </w:rPr>
        <w:lastRenderedPageBreak/>
        <w:t xml:space="preserve">Ką daryti pavartojus per didelę </w:t>
      </w:r>
      <w:proofErr w:type="spellStart"/>
      <w:r w:rsidRPr="00BF4AB8">
        <w:rPr>
          <w:b/>
          <w:bCs/>
          <w:snapToGrid w:val="0"/>
          <w:sz w:val="22"/>
          <w:szCs w:val="22"/>
          <w:lang w:eastAsia="x-none"/>
        </w:rPr>
        <w:t>Nytyka</w:t>
      </w:r>
      <w:proofErr w:type="spellEnd"/>
      <w:r w:rsidRPr="00BF4AB8">
        <w:rPr>
          <w:b/>
          <w:bCs/>
          <w:snapToGrid w:val="0"/>
          <w:sz w:val="22"/>
          <w:szCs w:val="22"/>
          <w:lang w:eastAsia="x-none"/>
        </w:rPr>
        <w:t xml:space="preserve"> dozę</w:t>
      </w:r>
    </w:p>
    <w:p w14:paraId="098AFC19" w14:textId="77777777" w:rsidR="00892F95" w:rsidRPr="00BF4AB8" w:rsidRDefault="00892F95" w:rsidP="00892F95">
      <w:pPr>
        <w:keepNext/>
        <w:tabs>
          <w:tab w:val="left" w:pos="567"/>
        </w:tabs>
        <w:spacing w:line="260" w:lineRule="exact"/>
        <w:jc w:val="both"/>
        <w:outlineLvl w:val="3"/>
        <w:rPr>
          <w:snapToGrid w:val="0"/>
          <w:sz w:val="22"/>
          <w:szCs w:val="22"/>
          <w:lang w:eastAsia="x-none"/>
        </w:rPr>
      </w:pPr>
      <w:r w:rsidRPr="00BF4AB8">
        <w:rPr>
          <w:snapToGrid w:val="0"/>
          <w:sz w:val="22"/>
          <w:szCs w:val="22"/>
          <w:lang w:eastAsia="x-none"/>
        </w:rPr>
        <w:t>Nedelsdami kreipkitės į gydytoją arba vaistininką.</w:t>
      </w:r>
    </w:p>
    <w:p w14:paraId="33F5F68B" w14:textId="77777777" w:rsidR="00892F95" w:rsidRPr="00BF4AB8" w:rsidRDefault="00892F95" w:rsidP="00892F95">
      <w:pPr>
        <w:numPr>
          <w:ilvl w:val="12"/>
          <w:numId w:val="0"/>
        </w:numPr>
        <w:ind w:right="-2"/>
        <w:rPr>
          <w:snapToGrid w:val="0"/>
          <w:sz w:val="22"/>
          <w:szCs w:val="24"/>
        </w:rPr>
      </w:pPr>
    </w:p>
    <w:p w14:paraId="7DFFF375" w14:textId="77777777" w:rsidR="00892F95" w:rsidRPr="00BF4AB8" w:rsidRDefault="00892F95" w:rsidP="00892F95">
      <w:pPr>
        <w:keepNext/>
        <w:tabs>
          <w:tab w:val="left" w:pos="567"/>
        </w:tabs>
        <w:spacing w:line="260" w:lineRule="exact"/>
        <w:jc w:val="both"/>
        <w:outlineLvl w:val="3"/>
        <w:rPr>
          <w:b/>
          <w:bCs/>
          <w:snapToGrid w:val="0"/>
          <w:sz w:val="22"/>
          <w:szCs w:val="28"/>
          <w:lang w:eastAsia="x-none"/>
        </w:rPr>
      </w:pPr>
      <w:r w:rsidRPr="00BF4AB8">
        <w:rPr>
          <w:b/>
          <w:bCs/>
          <w:snapToGrid w:val="0"/>
          <w:sz w:val="22"/>
          <w:szCs w:val="28"/>
          <w:lang w:eastAsia="x-none"/>
        </w:rPr>
        <w:t xml:space="preserve">Pamiršus pavartoti </w:t>
      </w:r>
      <w:proofErr w:type="spellStart"/>
      <w:r w:rsidRPr="00BF4AB8">
        <w:rPr>
          <w:b/>
          <w:bCs/>
          <w:snapToGrid w:val="0"/>
          <w:sz w:val="22"/>
          <w:szCs w:val="28"/>
          <w:lang w:eastAsia="x-none"/>
        </w:rPr>
        <w:t>Nytyka</w:t>
      </w:r>
      <w:proofErr w:type="spellEnd"/>
    </w:p>
    <w:p w14:paraId="5F2BBBD9" w14:textId="77308D20" w:rsidR="00892F95" w:rsidRPr="00BF4AB8" w:rsidRDefault="00892F95" w:rsidP="00892F95">
      <w:pPr>
        <w:numPr>
          <w:ilvl w:val="12"/>
          <w:numId w:val="0"/>
        </w:numPr>
        <w:ind w:right="-2"/>
        <w:rPr>
          <w:snapToGrid w:val="0"/>
          <w:sz w:val="22"/>
          <w:szCs w:val="24"/>
        </w:rPr>
      </w:pPr>
      <w:r w:rsidRPr="00BF4AB8">
        <w:rPr>
          <w:snapToGrid w:val="0"/>
          <w:sz w:val="22"/>
          <w:szCs w:val="24"/>
        </w:rPr>
        <w:t>Negalima vartoti dvigubos dozės norint kompensuoti praleistą dozę.</w:t>
      </w:r>
      <w:r w:rsidRPr="00BF4AB8">
        <w:t xml:space="preserve"> </w:t>
      </w:r>
      <w:r w:rsidRPr="00BF4AB8">
        <w:rPr>
          <w:snapToGrid w:val="0"/>
          <w:sz w:val="22"/>
          <w:szCs w:val="24"/>
        </w:rPr>
        <w:t xml:space="preserve">Kitą </w:t>
      </w:r>
      <w:r w:rsidR="00601D06">
        <w:rPr>
          <w:snapToGrid w:val="0"/>
          <w:sz w:val="22"/>
          <w:szCs w:val="24"/>
        </w:rPr>
        <w:t>šio vaisto</w:t>
      </w:r>
      <w:r w:rsidRPr="00BF4AB8">
        <w:rPr>
          <w:snapToGrid w:val="0"/>
          <w:sz w:val="22"/>
          <w:szCs w:val="24"/>
        </w:rPr>
        <w:t xml:space="preserve"> dozę vartokite kaip numatyta įprastu laiku ir išgerkite tokią dozę, kokią Jums rekomendavo gydytojas ar vaistininkas.</w:t>
      </w:r>
    </w:p>
    <w:p w14:paraId="2BD266D9" w14:textId="77777777" w:rsidR="00892F95" w:rsidRPr="00BF4AB8" w:rsidRDefault="00892F95" w:rsidP="00892F95">
      <w:pPr>
        <w:numPr>
          <w:ilvl w:val="12"/>
          <w:numId w:val="0"/>
        </w:numPr>
        <w:ind w:right="-2"/>
        <w:rPr>
          <w:snapToGrid w:val="0"/>
          <w:sz w:val="22"/>
          <w:szCs w:val="24"/>
        </w:rPr>
      </w:pPr>
    </w:p>
    <w:p w14:paraId="41C065B4" w14:textId="77777777" w:rsidR="00892F95" w:rsidRPr="00BF4AB8" w:rsidRDefault="00892F95" w:rsidP="00892F95">
      <w:pPr>
        <w:keepNext/>
        <w:tabs>
          <w:tab w:val="left" w:pos="567"/>
        </w:tabs>
        <w:spacing w:line="260" w:lineRule="exact"/>
        <w:jc w:val="both"/>
        <w:outlineLvl w:val="3"/>
        <w:rPr>
          <w:b/>
          <w:bCs/>
          <w:snapToGrid w:val="0"/>
          <w:sz w:val="22"/>
          <w:szCs w:val="28"/>
          <w:lang w:eastAsia="x-none"/>
        </w:rPr>
      </w:pPr>
      <w:r w:rsidRPr="00BF4AB8">
        <w:rPr>
          <w:b/>
          <w:bCs/>
          <w:snapToGrid w:val="0"/>
          <w:sz w:val="22"/>
          <w:szCs w:val="28"/>
          <w:lang w:eastAsia="x-none"/>
        </w:rPr>
        <w:t xml:space="preserve">Nustojus vartoti </w:t>
      </w:r>
      <w:proofErr w:type="spellStart"/>
      <w:r w:rsidRPr="00BF4AB8">
        <w:rPr>
          <w:b/>
          <w:bCs/>
          <w:snapToGrid w:val="0"/>
          <w:sz w:val="22"/>
          <w:szCs w:val="28"/>
          <w:lang w:eastAsia="x-none"/>
        </w:rPr>
        <w:t>Nytyka</w:t>
      </w:r>
      <w:proofErr w:type="spellEnd"/>
    </w:p>
    <w:p w14:paraId="0D0A8030" w14:textId="77777777" w:rsidR="00892F95" w:rsidRPr="00BF4AB8" w:rsidRDefault="00892F95" w:rsidP="00892F95">
      <w:pPr>
        <w:numPr>
          <w:ilvl w:val="12"/>
          <w:numId w:val="0"/>
        </w:numPr>
        <w:ind w:right="-29"/>
        <w:rPr>
          <w:snapToGrid w:val="0"/>
          <w:sz w:val="22"/>
          <w:szCs w:val="24"/>
        </w:rPr>
      </w:pPr>
      <w:r w:rsidRPr="00BF4AB8">
        <w:rPr>
          <w:snapToGrid w:val="0"/>
          <w:sz w:val="22"/>
          <w:szCs w:val="24"/>
        </w:rPr>
        <w:t xml:space="preserve">Nenutraukite </w:t>
      </w:r>
      <w:proofErr w:type="spellStart"/>
      <w:r w:rsidRPr="00BF4AB8">
        <w:rPr>
          <w:snapToGrid w:val="0"/>
          <w:sz w:val="22"/>
          <w:szCs w:val="24"/>
        </w:rPr>
        <w:t>Nytyka</w:t>
      </w:r>
      <w:proofErr w:type="spellEnd"/>
      <w:r w:rsidRPr="00BF4AB8">
        <w:rPr>
          <w:snapToGrid w:val="0"/>
          <w:sz w:val="22"/>
          <w:szCs w:val="24"/>
        </w:rPr>
        <w:t xml:space="preserve"> vartojimo nepasitarę su savo gydytoju. Svarbu šį vaistą gerti kiekvieną dieną ir tiek laiko, kiek Jums skyrė gydytojas. Jei nevartosite šio vaisto taip, kaip nurodė gydytojas, vėžio gydymas gali būti neveiksmingas.</w:t>
      </w:r>
    </w:p>
    <w:p w14:paraId="66E46416" w14:textId="77777777" w:rsidR="00892F95" w:rsidRPr="00BF4AB8" w:rsidRDefault="00892F95" w:rsidP="00892F95">
      <w:pPr>
        <w:numPr>
          <w:ilvl w:val="12"/>
          <w:numId w:val="0"/>
        </w:numPr>
        <w:ind w:right="-29"/>
        <w:rPr>
          <w:snapToGrid w:val="0"/>
          <w:sz w:val="22"/>
          <w:szCs w:val="24"/>
        </w:rPr>
      </w:pPr>
    </w:p>
    <w:p w14:paraId="62E0981A" w14:textId="77777777" w:rsidR="00892F95" w:rsidRPr="00BF4AB8" w:rsidRDefault="00892F95" w:rsidP="00892F95">
      <w:pPr>
        <w:numPr>
          <w:ilvl w:val="12"/>
          <w:numId w:val="0"/>
        </w:numPr>
        <w:ind w:right="-29"/>
        <w:rPr>
          <w:snapToGrid w:val="0"/>
          <w:sz w:val="22"/>
          <w:szCs w:val="24"/>
        </w:rPr>
      </w:pPr>
      <w:r w:rsidRPr="00BF4AB8">
        <w:rPr>
          <w:snapToGrid w:val="0"/>
          <w:sz w:val="22"/>
          <w:szCs w:val="24"/>
        </w:rPr>
        <w:t>Jeigu kiltų daugiau klausimų dėl šio vaisto vartojimo, kreipkitės į gydytoją arba vaistininką</w:t>
      </w:r>
      <w:r>
        <w:rPr>
          <w:snapToGrid w:val="0"/>
          <w:sz w:val="22"/>
          <w:szCs w:val="24"/>
        </w:rPr>
        <w:t>.</w:t>
      </w:r>
    </w:p>
    <w:p w14:paraId="5D37FDCD" w14:textId="77777777" w:rsidR="00892F95" w:rsidRPr="00BF4AB8" w:rsidRDefault="00892F95" w:rsidP="00892F95">
      <w:pPr>
        <w:numPr>
          <w:ilvl w:val="12"/>
          <w:numId w:val="0"/>
        </w:numPr>
        <w:rPr>
          <w:snapToGrid w:val="0"/>
          <w:sz w:val="22"/>
          <w:szCs w:val="24"/>
        </w:rPr>
      </w:pPr>
    </w:p>
    <w:p w14:paraId="481091F1" w14:textId="77777777" w:rsidR="00892F95" w:rsidRPr="00BF4AB8" w:rsidRDefault="00892F95" w:rsidP="00892F95">
      <w:pPr>
        <w:numPr>
          <w:ilvl w:val="12"/>
          <w:numId w:val="0"/>
        </w:numPr>
        <w:rPr>
          <w:snapToGrid w:val="0"/>
          <w:sz w:val="22"/>
          <w:szCs w:val="24"/>
        </w:rPr>
      </w:pPr>
    </w:p>
    <w:p w14:paraId="3EBB96AE" w14:textId="77777777" w:rsidR="00892F95" w:rsidRPr="00BF4AB8" w:rsidRDefault="00892F95" w:rsidP="00892F95">
      <w:pPr>
        <w:keepNext/>
        <w:keepLines/>
        <w:tabs>
          <w:tab w:val="left" w:pos="567"/>
        </w:tabs>
        <w:outlineLvl w:val="2"/>
        <w:rPr>
          <w:b/>
          <w:bCs/>
          <w:snapToGrid w:val="0"/>
          <w:sz w:val="22"/>
          <w:szCs w:val="26"/>
          <w:lang w:eastAsia="x-none"/>
        </w:rPr>
      </w:pPr>
      <w:r w:rsidRPr="00BF4AB8">
        <w:rPr>
          <w:b/>
          <w:bCs/>
          <w:snapToGrid w:val="0"/>
          <w:sz w:val="22"/>
          <w:szCs w:val="26"/>
          <w:lang w:eastAsia="x-none"/>
        </w:rPr>
        <w:t>4.</w:t>
      </w:r>
      <w:r w:rsidRPr="00BF4AB8">
        <w:rPr>
          <w:b/>
          <w:bCs/>
          <w:snapToGrid w:val="0"/>
          <w:sz w:val="22"/>
          <w:szCs w:val="26"/>
          <w:lang w:eastAsia="x-none"/>
        </w:rPr>
        <w:tab/>
        <w:t>Galimas šalutinis poveikis</w:t>
      </w:r>
    </w:p>
    <w:p w14:paraId="3D9059AB" w14:textId="77777777" w:rsidR="00892F95" w:rsidRPr="00BF4AB8" w:rsidRDefault="00892F95" w:rsidP="00892F95">
      <w:pPr>
        <w:numPr>
          <w:ilvl w:val="12"/>
          <w:numId w:val="0"/>
        </w:numPr>
        <w:rPr>
          <w:snapToGrid w:val="0"/>
          <w:sz w:val="22"/>
          <w:szCs w:val="24"/>
        </w:rPr>
      </w:pPr>
    </w:p>
    <w:p w14:paraId="65CCC165" w14:textId="77777777" w:rsidR="00892F95" w:rsidRPr="00BF4AB8" w:rsidRDefault="00892F95" w:rsidP="00892F95">
      <w:pPr>
        <w:ind w:right="-29"/>
        <w:rPr>
          <w:snapToGrid w:val="0"/>
          <w:sz w:val="22"/>
        </w:rPr>
      </w:pPr>
      <w:r w:rsidRPr="00BF4AB8">
        <w:rPr>
          <w:snapToGrid w:val="0"/>
          <w:sz w:val="22"/>
        </w:rPr>
        <w:t>Šis vaistas, kaip ir visi kiti, gali sukelti šalutinį poveikį, nors jis pasireiškia ne visiems žmonėms.</w:t>
      </w:r>
    </w:p>
    <w:p w14:paraId="7B243C72" w14:textId="77777777" w:rsidR="00892F95" w:rsidRPr="00BF4AB8" w:rsidRDefault="00892F95" w:rsidP="00892F95">
      <w:pPr>
        <w:tabs>
          <w:tab w:val="left" w:pos="567"/>
        </w:tabs>
        <w:ind w:right="-29"/>
        <w:rPr>
          <w:snapToGrid w:val="0"/>
          <w:sz w:val="22"/>
        </w:rPr>
      </w:pPr>
    </w:p>
    <w:p w14:paraId="382FCBD0" w14:textId="77777777" w:rsidR="00892F95" w:rsidRPr="00BF4AB8" w:rsidRDefault="00892F95" w:rsidP="00892F95">
      <w:pPr>
        <w:tabs>
          <w:tab w:val="left" w:pos="567"/>
        </w:tabs>
        <w:ind w:right="-29"/>
        <w:rPr>
          <w:snapToGrid w:val="0"/>
          <w:sz w:val="22"/>
        </w:rPr>
      </w:pPr>
      <w:r w:rsidRPr="00BF4AB8">
        <w:rPr>
          <w:snapToGrid w:val="0"/>
          <w:sz w:val="22"/>
        </w:rPr>
        <w:t xml:space="preserve">Ypač svarbu atkreipti dėmesį, jeigu gydymo </w:t>
      </w:r>
      <w:proofErr w:type="spellStart"/>
      <w:r w:rsidRPr="00BF4AB8">
        <w:rPr>
          <w:snapToGrid w:val="0"/>
          <w:sz w:val="22"/>
        </w:rPr>
        <w:t>Nytyka</w:t>
      </w:r>
      <w:proofErr w:type="spellEnd"/>
      <w:r w:rsidRPr="00BF4AB8">
        <w:rPr>
          <w:snapToGrid w:val="0"/>
          <w:sz w:val="22"/>
        </w:rPr>
        <w:t xml:space="preserve"> metu Jums pasireiškia toliau išvardytas šalutinis poveikis.</w:t>
      </w:r>
    </w:p>
    <w:p w14:paraId="1CAAC1B5" w14:textId="77777777" w:rsidR="00892F95" w:rsidRPr="00BF4AB8" w:rsidRDefault="00892F95" w:rsidP="00892F95">
      <w:pPr>
        <w:tabs>
          <w:tab w:val="left" w:pos="567"/>
        </w:tabs>
        <w:ind w:right="-29"/>
        <w:rPr>
          <w:snapToGrid w:val="0"/>
          <w:sz w:val="22"/>
        </w:rPr>
      </w:pPr>
    </w:p>
    <w:p w14:paraId="5DD5F9BE" w14:textId="77777777" w:rsidR="00892F95" w:rsidRPr="00BF4AB8" w:rsidRDefault="00892F95" w:rsidP="00892F95">
      <w:pPr>
        <w:pStyle w:val="Sraopastraipa"/>
        <w:numPr>
          <w:ilvl w:val="0"/>
          <w:numId w:val="7"/>
        </w:numPr>
        <w:ind w:left="567" w:right="-2" w:hanging="567"/>
        <w:rPr>
          <w:b/>
          <w:bCs/>
          <w:i/>
          <w:iCs/>
          <w:snapToGrid w:val="0"/>
          <w:sz w:val="22"/>
          <w:szCs w:val="24"/>
        </w:rPr>
      </w:pPr>
      <w:r w:rsidRPr="00BF4AB8">
        <w:rPr>
          <w:b/>
          <w:bCs/>
          <w:i/>
          <w:iCs/>
          <w:snapToGrid w:val="0"/>
          <w:sz w:val="22"/>
          <w:szCs w:val="24"/>
        </w:rPr>
        <w:t>Viduriavimas (labai dažnas šalutinio poveikio reiškinys, gali pasireikšti ne rečiau kaip 1 iš 10 asmenų)</w:t>
      </w:r>
    </w:p>
    <w:p w14:paraId="74DAE8AE" w14:textId="77777777" w:rsidR="00892F95" w:rsidRPr="00BF4AB8" w:rsidRDefault="00892F95" w:rsidP="00892F95">
      <w:pPr>
        <w:tabs>
          <w:tab w:val="left" w:pos="567"/>
        </w:tabs>
        <w:ind w:right="-29"/>
        <w:rPr>
          <w:snapToGrid w:val="0"/>
          <w:sz w:val="22"/>
        </w:rPr>
      </w:pPr>
      <w:r w:rsidRPr="00BF4AB8">
        <w:rPr>
          <w:snapToGrid w:val="0"/>
          <w:sz w:val="22"/>
        </w:rPr>
        <w:t xml:space="preserve">Viduriuojant organizmas gali netekti skysčių ir svarbių druskų (elektrolitų, tokių kaip natris ar kalis). Pasireiškus pirmiesiems viduriavimo požymiams, gerkite daug skysčių ir nedelsdami kreipkitės į savo gydytoją. Susisiekę su gydytoju kuo greičiau pradėkite tinkamą viduriavimo gydymą, pvz., </w:t>
      </w:r>
      <w:proofErr w:type="spellStart"/>
      <w:r w:rsidRPr="00BF4AB8">
        <w:rPr>
          <w:snapToGrid w:val="0"/>
          <w:sz w:val="22"/>
        </w:rPr>
        <w:t>loperamidu</w:t>
      </w:r>
      <w:proofErr w:type="spellEnd"/>
      <w:r w:rsidRPr="00BF4AB8">
        <w:rPr>
          <w:snapToGrid w:val="0"/>
          <w:sz w:val="22"/>
        </w:rPr>
        <w:t>.</w:t>
      </w:r>
    </w:p>
    <w:p w14:paraId="0D1D4251" w14:textId="77777777" w:rsidR="00892F95" w:rsidRPr="00BF4AB8" w:rsidRDefault="00892F95" w:rsidP="00892F95">
      <w:pPr>
        <w:tabs>
          <w:tab w:val="left" w:pos="567"/>
        </w:tabs>
        <w:ind w:right="-29"/>
        <w:rPr>
          <w:snapToGrid w:val="0"/>
          <w:sz w:val="22"/>
        </w:rPr>
      </w:pPr>
    </w:p>
    <w:p w14:paraId="3685CE81" w14:textId="77777777" w:rsidR="00892F95" w:rsidRPr="00BF4AB8" w:rsidRDefault="00892F95" w:rsidP="00892F95">
      <w:pPr>
        <w:pStyle w:val="Sraopastraipa"/>
        <w:numPr>
          <w:ilvl w:val="0"/>
          <w:numId w:val="7"/>
        </w:numPr>
        <w:ind w:left="567" w:right="-2" w:hanging="567"/>
        <w:rPr>
          <w:b/>
          <w:bCs/>
          <w:i/>
          <w:iCs/>
          <w:snapToGrid w:val="0"/>
          <w:sz w:val="22"/>
          <w:szCs w:val="24"/>
        </w:rPr>
      </w:pPr>
      <w:proofErr w:type="spellStart"/>
      <w:r w:rsidRPr="00BF4AB8">
        <w:rPr>
          <w:b/>
          <w:bCs/>
          <w:i/>
          <w:iCs/>
          <w:snapToGrid w:val="0"/>
          <w:sz w:val="22"/>
          <w:szCs w:val="24"/>
        </w:rPr>
        <w:t>Febrilinė</w:t>
      </w:r>
      <w:proofErr w:type="spellEnd"/>
      <w:r w:rsidRPr="00BF4AB8">
        <w:rPr>
          <w:b/>
          <w:bCs/>
          <w:i/>
          <w:iCs/>
          <w:snapToGrid w:val="0"/>
          <w:sz w:val="22"/>
          <w:szCs w:val="24"/>
        </w:rPr>
        <w:t xml:space="preserve"> </w:t>
      </w:r>
      <w:proofErr w:type="spellStart"/>
      <w:r w:rsidRPr="00BF4AB8">
        <w:rPr>
          <w:b/>
          <w:bCs/>
          <w:i/>
          <w:iCs/>
          <w:snapToGrid w:val="0"/>
          <w:sz w:val="22"/>
          <w:szCs w:val="24"/>
        </w:rPr>
        <w:t>neutropenija</w:t>
      </w:r>
      <w:proofErr w:type="spellEnd"/>
      <w:r w:rsidRPr="00BF4AB8">
        <w:rPr>
          <w:b/>
          <w:bCs/>
          <w:i/>
          <w:iCs/>
          <w:snapToGrid w:val="0"/>
          <w:sz w:val="22"/>
          <w:szCs w:val="24"/>
        </w:rPr>
        <w:t xml:space="preserve"> ir sepsis (dažni šalutinio poveikio reiškiniai, gali pasireikšti rečiau kaip 1 iš 10 asmenų)</w:t>
      </w:r>
    </w:p>
    <w:p w14:paraId="465003BA" w14:textId="77777777" w:rsidR="00892F95" w:rsidRPr="00BF4AB8" w:rsidRDefault="00892F95" w:rsidP="00892F95">
      <w:pPr>
        <w:tabs>
          <w:tab w:val="left" w:pos="567"/>
        </w:tabs>
        <w:ind w:right="-29"/>
        <w:rPr>
          <w:snapToGrid w:val="0"/>
          <w:sz w:val="22"/>
        </w:rPr>
      </w:pPr>
      <w:r w:rsidRPr="00BF4AB8">
        <w:rPr>
          <w:snapToGrid w:val="0"/>
          <w:sz w:val="22"/>
        </w:rPr>
        <w:t>Gydymas šiuo vaistu gali sukelti baltųjų kraujo ląstelių, kurios yra svarbios organizmui kovojant su bakterinėmis ar grybelinėmis infekcijomis, skaičiaus sumažėjimą (</w:t>
      </w:r>
      <w:proofErr w:type="spellStart"/>
      <w:r w:rsidRPr="00BF4AB8">
        <w:rPr>
          <w:snapToGrid w:val="0"/>
          <w:sz w:val="22"/>
        </w:rPr>
        <w:t>neutropeniją</w:t>
      </w:r>
      <w:proofErr w:type="spellEnd"/>
      <w:r w:rsidRPr="00BF4AB8">
        <w:rPr>
          <w:snapToGrid w:val="0"/>
          <w:sz w:val="22"/>
        </w:rPr>
        <w:t xml:space="preserve">). Dėl </w:t>
      </w:r>
      <w:proofErr w:type="spellStart"/>
      <w:r w:rsidRPr="00BF4AB8">
        <w:rPr>
          <w:snapToGrid w:val="0"/>
          <w:sz w:val="22"/>
        </w:rPr>
        <w:t>neutropenijos</w:t>
      </w:r>
      <w:proofErr w:type="spellEnd"/>
      <w:r w:rsidRPr="00BF4AB8">
        <w:rPr>
          <w:snapToGrid w:val="0"/>
          <w:sz w:val="22"/>
        </w:rPr>
        <w:t xml:space="preserve"> gali pasireikšti karščiavimas (</w:t>
      </w:r>
      <w:proofErr w:type="spellStart"/>
      <w:r w:rsidRPr="00BF4AB8">
        <w:rPr>
          <w:snapToGrid w:val="0"/>
          <w:sz w:val="22"/>
        </w:rPr>
        <w:t>febrilinė</w:t>
      </w:r>
      <w:proofErr w:type="spellEnd"/>
      <w:r w:rsidRPr="00BF4AB8">
        <w:rPr>
          <w:snapToGrid w:val="0"/>
          <w:sz w:val="22"/>
        </w:rPr>
        <w:t xml:space="preserve"> </w:t>
      </w:r>
      <w:proofErr w:type="spellStart"/>
      <w:r w:rsidRPr="00BF4AB8">
        <w:rPr>
          <w:snapToGrid w:val="0"/>
          <w:sz w:val="22"/>
        </w:rPr>
        <w:t>neutropenija</w:t>
      </w:r>
      <w:proofErr w:type="spellEnd"/>
      <w:r w:rsidRPr="00BF4AB8">
        <w:rPr>
          <w:snapToGrid w:val="0"/>
          <w:sz w:val="22"/>
        </w:rPr>
        <w:t>) ir kraujo užkrėtimas (sepsis). Jei pradedate karščiuoti, krečia šaltis, padažnėja kvėpavimas arba ima dažnai plakti širdis, nedelsdami kreipkitės į gydytoją.</w:t>
      </w:r>
    </w:p>
    <w:p w14:paraId="06ABE0BF" w14:textId="77777777" w:rsidR="00892F95" w:rsidRPr="00BF4AB8" w:rsidRDefault="00892F95" w:rsidP="00892F95">
      <w:pPr>
        <w:tabs>
          <w:tab w:val="left" w:pos="567"/>
        </w:tabs>
        <w:ind w:right="-29"/>
        <w:rPr>
          <w:snapToGrid w:val="0"/>
          <w:sz w:val="22"/>
        </w:rPr>
      </w:pPr>
      <w:r w:rsidRPr="00BF4AB8">
        <w:rPr>
          <w:snapToGrid w:val="0"/>
          <w:sz w:val="22"/>
        </w:rPr>
        <w:t xml:space="preserve">Gydymo </w:t>
      </w:r>
      <w:proofErr w:type="spellStart"/>
      <w:r w:rsidRPr="00BF4AB8">
        <w:rPr>
          <w:snapToGrid w:val="0"/>
          <w:sz w:val="22"/>
        </w:rPr>
        <w:t>Nytyka</w:t>
      </w:r>
      <w:proofErr w:type="spellEnd"/>
      <w:r w:rsidRPr="00BF4AB8">
        <w:rPr>
          <w:snapToGrid w:val="0"/>
          <w:sz w:val="22"/>
        </w:rPr>
        <w:t xml:space="preserve"> metu Jūsų gydytojas reguliariai tirs kraujo ląstelių skaičių bei stebės, ar neatsiranda infekcijos požymių, pvz., uždegimo, karščiavimo ar nuovargio.</w:t>
      </w:r>
    </w:p>
    <w:p w14:paraId="0AD9C1A0" w14:textId="77777777" w:rsidR="00892F95" w:rsidRPr="00BF4AB8" w:rsidRDefault="00892F95" w:rsidP="00892F95">
      <w:pPr>
        <w:tabs>
          <w:tab w:val="left" w:pos="567"/>
        </w:tabs>
        <w:ind w:right="-29"/>
        <w:rPr>
          <w:snapToGrid w:val="0"/>
          <w:sz w:val="22"/>
        </w:rPr>
      </w:pPr>
    </w:p>
    <w:p w14:paraId="5EE5E07A" w14:textId="77777777" w:rsidR="00892F95" w:rsidRPr="00BF4AB8" w:rsidRDefault="00892F95" w:rsidP="00892F95">
      <w:pPr>
        <w:tabs>
          <w:tab w:val="left" w:pos="567"/>
        </w:tabs>
        <w:ind w:right="-29"/>
        <w:rPr>
          <w:snapToGrid w:val="0"/>
          <w:sz w:val="22"/>
        </w:rPr>
      </w:pPr>
      <w:r w:rsidRPr="00BF4AB8">
        <w:rPr>
          <w:snapToGrid w:val="0"/>
          <w:sz w:val="22"/>
        </w:rPr>
        <w:t xml:space="preserve">Gydant </w:t>
      </w:r>
      <w:proofErr w:type="spellStart"/>
      <w:r w:rsidRPr="00BF4AB8">
        <w:rPr>
          <w:snapToGrid w:val="0"/>
          <w:sz w:val="22"/>
        </w:rPr>
        <w:t>nintedanibu</w:t>
      </w:r>
      <w:proofErr w:type="spellEnd"/>
      <w:r w:rsidRPr="00BF4AB8">
        <w:rPr>
          <w:snapToGrid w:val="0"/>
          <w:sz w:val="22"/>
        </w:rPr>
        <w:t xml:space="preserve"> (veikliąja šio vaisto medžiaga) buvo pastebėtas toliau išvardytas šalutinis poveikis.</w:t>
      </w:r>
    </w:p>
    <w:p w14:paraId="33E1A1DB" w14:textId="77777777" w:rsidR="00892F95" w:rsidRPr="00BF4AB8" w:rsidRDefault="00892F95" w:rsidP="00892F95">
      <w:pPr>
        <w:tabs>
          <w:tab w:val="left" w:pos="567"/>
        </w:tabs>
        <w:ind w:right="-29"/>
        <w:rPr>
          <w:snapToGrid w:val="0"/>
          <w:sz w:val="22"/>
        </w:rPr>
      </w:pPr>
    </w:p>
    <w:p w14:paraId="720B19DC" w14:textId="77777777" w:rsidR="00892F95" w:rsidRPr="00BF4AB8" w:rsidRDefault="00892F95" w:rsidP="00892F95">
      <w:pPr>
        <w:tabs>
          <w:tab w:val="left" w:pos="567"/>
        </w:tabs>
        <w:ind w:right="-29"/>
        <w:rPr>
          <w:snapToGrid w:val="0"/>
          <w:sz w:val="22"/>
        </w:rPr>
      </w:pPr>
      <w:r w:rsidRPr="00BF4AB8">
        <w:rPr>
          <w:b/>
          <w:bCs/>
          <w:snapToGrid w:val="0"/>
          <w:sz w:val="22"/>
        </w:rPr>
        <w:t>Labai dažni šalutinio poveikio reiškiniai</w:t>
      </w:r>
      <w:r w:rsidRPr="00BF4AB8">
        <w:rPr>
          <w:snapToGrid w:val="0"/>
          <w:sz w:val="22"/>
        </w:rPr>
        <w:t xml:space="preserve"> (gali pasireikšti ne rečiau kaip 1 iš 10 asmenų)</w:t>
      </w:r>
    </w:p>
    <w:p w14:paraId="2EEBFBD1" w14:textId="4E959D44" w:rsidR="00892F95" w:rsidRPr="00BF4AB8" w:rsidRDefault="00892F95" w:rsidP="00892F95">
      <w:pPr>
        <w:pStyle w:val="Sraopastraipa"/>
        <w:numPr>
          <w:ilvl w:val="0"/>
          <w:numId w:val="7"/>
        </w:numPr>
        <w:ind w:left="567" w:right="-2" w:hanging="567"/>
        <w:rPr>
          <w:snapToGrid w:val="0"/>
          <w:sz w:val="22"/>
          <w:szCs w:val="24"/>
        </w:rPr>
      </w:pPr>
      <w:r w:rsidRPr="00BF4AB8">
        <w:rPr>
          <w:snapToGrid w:val="0"/>
          <w:sz w:val="22"/>
          <w:szCs w:val="24"/>
        </w:rPr>
        <w:t xml:space="preserve">Viduriavimas – žr. </w:t>
      </w:r>
      <w:r w:rsidR="009D585C">
        <w:rPr>
          <w:snapToGrid w:val="0"/>
          <w:sz w:val="22"/>
          <w:szCs w:val="24"/>
        </w:rPr>
        <w:t>anksčiau</w:t>
      </w:r>
      <w:r w:rsidRPr="00BF4AB8">
        <w:rPr>
          <w:snapToGrid w:val="0"/>
          <w:sz w:val="22"/>
          <w:szCs w:val="24"/>
        </w:rPr>
        <w:t>.</w:t>
      </w:r>
    </w:p>
    <w:p w14:paraId="2E28542C" w14:textId="77777777" w:rsidR="00892F95" w:rsidRPr="00BF4AB8" w:rsidRDefault="00892F95" w:rsidP="00892F95">
      <w:pPr>
        <w:pStyle w:val="Sraopastraipa"/>
        <w:numPr>
          <w:ilvl w:val="0"/>
          <w:numId w:val="7"/>
        </w:numPr>
        <w:ind w:left="567" w:right="-2" w:hanging="567"/>
        <w:rPr>
          <w:snapToGrid w:val="0"/>
          <w:sz w:val="22"/>
          <w:szCs w:val="24"/>
        </w:rPr>
      </w:pPr>
      <w:r w:rsidRPr="00BF4AB8">
        <w:rPr>
          <w:snapToGrid w:val="0"/>
          <w:sz w:val="22"/>
          <w:szCs w:val="24"/>
        </w:rPr>
        <w:t>Rankų ir kojų pirštų skausmingumas, tirpimas ir (arba) dilgčiojimas (periferinė neuropatija).</w:t>
      </w:r>
    </w:p>
    <w:p w14:paraId="5C31EE41" w14:textId="77777777" w:rsidR="00892F95" w:rsidRDefault="00892F95" w:rsidP="00892F95">
      <w:pPr>
        <w:pStyle w:val="Sraopastraipa"/>
        <w:numPr>
          <w:ilvl w:val="0"/>
          <w:numId w:val="7"/>
        </w:numPr>
        <w:ind w:left="567" w:right="-2" w:hanging="567"/>
        <w:rPr>
          <w:snapToGrid w:val="0"/>
          <w:sz w:val="22"/>
          <w:szCs w:val="24"/>
        </w:rPr>
      </w:pPr>
      <w:r w:rsidRPr="00BF4AB8">
        <w:rPr>
          <w:snapToGrid w:val="0"/>
          <w:sz w:val="22"/>
          <w:szCs w:val="24"/>
        </w:rPr>
        <w:t>Šleikštulys (pykinimas).</w:t>
      </w:r>
    </w:p>
    <w:p w14:paraId="028E1E64" w14:textId="77777777" w:rsidR="00892F95" w:rsidRPr="00E96276" w:rsidRDefault="00892F95" w:rsidP="00E96276">
      <w:pPr>
        <w:pStyle w:val="Sraopastraipa"/>
        <w:numPr>
          <w:ilvl w:val="0"/>
          <w:numId w:val="7"/>
        </w:numPr>
        <w:ind w:left="567" w:right="-2" w:hanging="567"/>
        <w:rPr>
          <w:snapToGrid w:val="0"/>
          <w:sz w:val="22"/>
          <w:szCs w:val="24"/>
        </w:rPr>
      </w:pPr>
      <w:r w:rsidRPr="00E96276">
        <w:rPr>
          <w:snapToGrid w:val="0"/>
          <w:sz w:val="22"/>
          <w:szCs w:val="24"/>
        </w:rPr>
        <w:t>Vėmimas.</w:t>
      </w:r>
    </w:p>
    <w:p w14:paraId="21308F96" w14:textId="77777777" w:rsidR="00892F95" w:rsidRPr="00BF4AB8" w:rsidRDefault="00892F95" w:rsidP="00892F95">
      <w:pPr>
        <w:pStyle w:val="Sraopastraipa"/>
        <w:numPr>
          <w:ilvl w:val="0"/>
          <w:numId w:val="7"/>
        </w:numPr>
        <w:ind w:left="567" w:right="-2" w:hanging="567"/>
        <w:rPr>
          <w:snapToGrid w:val="0"/>
          <w:sz w:val="22"/>
          <w:szCs w:val="24"/>
        </w:rPr>
      </w:pPr>
      <w:r w:rsidRPr="00BF4AB8">
        <w:rPr>
          <w:snapToGrid w:val="0"/>
          <w:sz w:val="22"/>
          <w:szCs w:val="24"/>
        </w:rPr>
        <w:t>Pilvo skausmas.</w:t>
      </w:r>
    </w:p>
    <w:p w14:paraId="5F013C3E" w14:textId="77777777" w:rsidR="00892F95" w:rsidRPr="00BF4AB8" w:rsidRDefault="00892F95" w:rsidP="00892F95">
      <w:pPr>
        <w:pStyle w:val="Sraopastraipa"/>
        <w:numPr>
          <w:ilvl w:val="0"/>
          <w:numId w:val="7"/>
        </w:numPr>
        <w:ind w:left="567" w:right="-2" w:hanging="567"/>
        <w:rPr>
          <w:snapToGrid w:val="0"/>
          <w:sz w:val="22"/>
          <w:szCs w:val="24"/>
        </w:rPr>
      </w:pPr>
      <w:r w:rsidRPr="00BF4AB8">
        <w:rPr>
          <w:snapToGrid w:val="0"/>
          <w:sz w:val="22"/>
          <w:szCs w:val="24"/>
        </w:rPr>
        <w:t>Kraujavimas.</w:t>
      </w:r>
    </w:p>
    <w:p w14:paraId="4D7103B2" w14:textId="77777777" w:rsidR="00892F95" w:rsidRPr="00BF4AB8" w:rsidRDefault="00892F95" w:rsidP="00892F95">
      <w:pPr>
        <w:pStyle w:val="Sraopastraipa"/>
        <w:numPr>
          <w:ilvl w:val="0"/>
          <w:numId w:val="7"/>
        </w:numPr>
        <w:ind w:left="567" w:right="-2" w:hanging="567"/>
        <w:rPr>
          <w:snapToGrid w:val="0"/>
          <w:sz w:val="22"/>
          <w:szCs w:val="24"/>
        </w:rPr>
      </w:pPr>
      <w:r w:rsidRPr="00BF4AB8">
        <w:rPr>
          <w:snapToGrid w:val="0"/>
          <w:sz w:val="22"/>
          <w:szCs w:val="24"/>
        </w:rPr>
        <w:t>Baltųjų kraujo ląstelių skaičiaus sumažėjimas (</w:t>
      </w:r>
      <w:proofErr w:type="spellStart"/>
      <w:r w:rsidRPr="00BF4AB8">
        <w:rPr>
          <w:snapToGrid w:val="0"/>
          <w:sz w:val="22"/>
          <w:szCs w:val="24"/>
        </w:rPr>
        <w:t>neutropenija</w:t>
      </w:r>
      <w:proofErr w:type="spellEnd"/>
      <w:r w:rsidRPr="00BF4AB8">
        <w:rPr>
          <w:snapToGrid w:val="0"/>
          <w:sz w:val="22"/>
          <w:szCs w:val="24"/>
        </w:rPr>
        <w:t>).</w:t>
      </w:r>
    </w:p>
    <w:p w14:paraId="03A79018" w14:textId="77777777" w:rsidR="00892F95" w:rsidRPr="00BF4AB8" w:rsidRDefault="00892F95" w:rsidP="00892F95">
      <w:pPr>
        <w:pStyle w:val="Sraopastraipa"/>
        <w:numPr>
          <w:ilvl w:val="0"/>
          <w:numId w:val="7"/>
        </w:numPr>
        <w:ind w:left="567" w:right="-2" w:hanging="567"/>
        <w:rPr>
          <w:snapToGrid w:val="0"/>
          <w:sz w:val="22"/>
          <w:szCs w:val="24"/>
        </w:rPr>
      </w:pPr>
      <w:r w:rsidRPr="00BF4AB8">
        <w:rPr>
          <w:snapToGrid w:val="0"/>
          <w:sz w:val="22"/>
          <w:szCs w:val="24"/>
        </w:rPr>
        <w:t xml:space="preserve">Virškinimo trakto gleivinės uždegimas, įskaitant burnos </w:t>
      </w:r>
      <w:proofErr w:type="spellStart"/>
      <w:r w:rsidRPr="00BF4AB8">
        <w:rPr>
          <w:snapToGrid w:val="0"/>
          <w:sz w:val="22"/>
          <w:szCs w:val="24"/>
        </w:rPr>
        <w:t>erozijas</w:t>
      </w:r>
      <w:proofErr w:type="spellEnd"/>
      <w:r w:rsidRPr="00BF4AB8">
        <w:rPr>
          <w:snapToGrid w:val="0"/>
          <w:sz w:val="22"/>
          <w:szCs w:val="24"/>
        </w:rPr>
        <w:t xml:space="preserve"> ir opas (</w:t>
      </w:r>
      <w:proofErr w:type="spellStart"/>
      <w:r w:rsidRPr="00BF4AB8">
        <w:rPr>
          <w:snapToGrid w:val="0"/>
          <w:sz w:val="22"/>
          <w:szCs w:val="24"/>
        </w:rPr>
        <w:t>mukozitas</w:t>
      </w:r>
      <w:proofErr w:type="spellEnd"/>
      <w:r w:rsidRPr="00BF4AB8">
        <w:rPr>
          <w:snapToGrid w:val="0"/>
          <w:sz w:val="22"/>
          <w:szCs w:val="24"/>
        </w:rPr>
        <w:t>, įskaitant stomatitą).</w:t>
      </w:r>
    </w:p>
    <w:p w14:paraId="4E4FA6AF" w14:textId="77777777" w:rsidR="00892F95" w:rsidRPr="00BF4AB8" w:rsidRDefault="00892F95" w:rsidP="00892F95">
      <w:pPr>
        <w:pStyle w:val="Sraopastraipa"/>
        <w:numPr>
          <w:ilvl w:val="0"/>
          <w:numId w:val="7"/>
        </w:numPr>
        <w:ind w:left="567" w:right="-2" w:hanging="567"/>
        <w:rPr>
          <w:snapToGrid w:val="0"/>
          <w:sz w:val="22"/>
          <w:szCs w:val="24"/>
        </w:rPr>
      </w:pPr>
      <w:r w:rsidRPr="00BF4AB8">
        <w:rPr>
          <w:snapToGrid w:val="0"/>
          <w:sz w:val="22"/>
          <w:szCs w:val="24"/>
        </w:rPr>
        <w:t>Išbėrimas.</w:t>
      </w:r>
    </w:p>
    <w:p w14:paraId="60BA69BB" w14:textId="77777777" w:rsidR="00892F95" w:rsidRPr="00BF4AB8" w:rsidRDefault="00892F95" w:rsidP="00892F95">
      <w:pPr>
        <w:pStyle w:val="Sraopastraipa"/>
        <w:numPr>
          <w:ilvl w:val="0"/>
          <w:numId w:val="7"/>
        </w:numPr>
        <w:ind w:left="567" w:right="-2" w:hanging="567"/>
        <w:rPr>
          <w:snapToGrid w:val="0"/>
          <w:sz w:val="22"/>
          <w:szCs w:val="24"/>
        </w:rPr>
      </w:pPr>
      <w:r w:rsidRPr="00BF4AB8">
        <w:rPr>
          <w:snapToGrid w:val="0"/>
          <w:sz w:val="22"/>
          <w:szCs w:val="24"/>
        </w:rPr>
        <w:t>Sumažėjęs apetitas.</w:t>
      </w:r>
    </w:p>
    <w:p w14:paraId="6A7702D2" w14:textId="77777777" w:rsidR="00892F95" w:rsidRPr="00BF4AB8" w:rsidRDefault="00892F95" w:rsidP="00892F95">
      <w:pPr>
        <w:pStyle w:val="Sraopastraipa"/>
        <w:numPr>
          <w:ilvl w:val="0"/>
          <w:numId w:val="7"/>
        </w:numPr>
        <w:ind w:left="567" w:right="-2" w:hanging="567"/>
        <w:rPr>
          <w:snapToGrid w:val="0"/>
          <w:sz w:val="22"/>
          <w:szCs w:val="24"/>
        </w:rPr>
      </w:pPr>
      <w:r w:rsidRPr="00BF4AB8">
        <w:rPr>
          <w:snapToGrid w:val="0"/>
          <w:sz w:val="22"/>
          <w:szCs w:val="24"/>
        </w:rPr>
        <w:t>Elektrolitų pusiausvyros sutrikimas.</w:t>
      </w:r>
    </w:p>
    <w:p w14:paraId="72B434F6" w14:textId="77777777" w:rsidR="00892F95" w:rsidRPr="00BF4AB8" w:rsidRDefault="00892F95" w:rsidP="00892F95">
      <w:pPr>
        <w:pStyle w:val="Sraopastraipa"/>
        <w:numPr>
          <w:ilvl w:val="0"/>
          <w:numId w:val="7"/>
        </w:numPr>
        <w:ind w:left="567" w:right="-2" w:hanging="567"/>
        <w:rPr>
          <w:snapToGrid w:val="0"/>
          <w:sz w:val="22"/>
          <w:szCs w:val="24"/>
        </w:rPr>
      </w:pPr>
      <w:r w:rsidRPr="00BF4AB8">
        <w:rPr>
          <w:snapToGrid w:val="0"/>
          <w:sz w:val="22"/>
          <w:szCs w:val="24"/>
        </w:rPr>
        <w:t xml:space="preserve">Kepenų fermentų (alaninaminotransferazės, aspartataminotransferazės, šarminės </w:t>
      </w:r>
      <w:proofErr w:type="spellStart"/>
      <w:r w:rsidRPr="00BF4AB8">
        <w:rPr>
          <w:snapToGrid w:val="0"/>
          <w:sz w:val="22"/>
          <w:szCs w:val="24"/>
        </w:rPr>
        <w:t>fosfatazės</w:t>
      </w:r>
      <w:proofErr w:type="spellEnd"/>
      <w:r w:rsidRPr="00BF4AB8">
        <w:rPr>
          <w:snapToGrid w:val="0"/>
          <w:sz w:val="22"/>
          <w:szCs w:val="24"/>
        </w:rPr>
        <w:t>) aktyvumo padidėjimas kraujyje, nustatomas kraujo tyrimu.</w:t>
      </w:r>
    </w:p>
    <w:p w14:paraId="0660B92E" w14:textId="77777777" w:rsidR="00892F95" w:rsidRPr="00BF4AB8" w:rsidRDefault="00892F95" w:rsidP="00892F95">
      <w:pPr>
        <w:pStyle w:val="Sraopastraipa"/>
        <w:numPr>
          <w:ilvl w:val="0"/>
          <w:numId w:val="7"/>
        </w:numPr>
        <w:ind w:left="567" w:right="-2" w:hanging="567"/>
        <w:rPr>
          <w:snapToGrid w:val="0"/>
          <w:sz w:val="22"/>
          <w:szCs w:val="24"/>
        </w:rPr>
      </w:pPr>
      <w:r w:rsidRPr="00BF4AB8">
        <w:rPr>
          <w:snapToGrid w:val="0"/>
          <w:sz w:val="22"/>
          <w:szCs w:val="24"/>
        </w:rPr>
        <w:t>Nuplikimas (</w:t>
      </w:r>
      <w:proofErr w:type="spellStart"/>
      <w:r w:rsidRPr="00BF4AB8">
        <w:rPr>
          <w:snapToGrid w:val="0"/>
          <w:sz w:val="22"/>
          <w:szCs w:val="24"/>
        </w:rPr>
        <w:t>alopecija</w:t>
      </w:r>
      <w:proofErr w:type="spellEnd"/>
      <w:r w:rsidRPr="00BF4AB8">
        <w:rPr>
          <w:snapToGrid w:val="0"/>
          <w:sz w:val="22"/>
          <w:szCs w:val="24"/>
        </w:rPr>
        <w:t>).</w:t>
      </w:r>
    </w:p>
    <w:p w14:paraId="47ACDE45" w14:textId="77777777" w:rsidR="00892F95" w:rsidRPr="00BF4AB8" w:rsidRDefault="00892F95" w:rsidP="00892F95">
      <w:pPr>
        <w:tabs>
          <w:tab w:val="left" w:pos="567"/>
        </w:tabs>
        <w:ind w:right="-29"/>
        <w:rPr>
          <w:snapToGrid w:val="0"/>
          <w:sz w:val="22"/>
        </w:rPr>
      </w:pPr>
    </w:p>
    <w:p w14:paraId="4DD7DE9F" w14:textId="77777777" w:rsidR="00892F95" w:rsidRPr="00BF4AB8" w:rsidRDefault="00892F95" w:rsidP="00892F95">
      <w:pPr>
        <w:tabs>
          <w:tab w:val="left" w:pos="567"/>
        </w:tabs>
        <w:ind w:right="-29"/>
        <w:rPr>
          <w:snapToGrid w:val="0"/>
          <w:sz w:val="22"/>
        </w:rPr>
      </w:pPr>
      <w:r w:rsidRPr="00BF4AB8">
        <w:rPr>
          <w:b/>
          <w:bCs/>
          <w:snapToGrid w:val="0"/>
          <w:sz w:val="22"/>
        </w:rPr>
        <w:t>Dažni šalutinio poveikio reiškiniai</w:t>
      </w:r>
      <w:r w:rsidRPr="00BF4AB8">
        <w:rPr>
          <w:snapToGrid w:val="0"/>
          <w:sz w:val="22"/>
        </w:rPr>
        <w:t xml:space="preserve"> (gali pasireikšti rečiau kaip 1 iš 10 asmenų)</w:t>
      </w:r>
    </w:p>
    <w:p w14:paraId="6D8466A1" w14:textId="5CBF25E6" w:rsidR="00892F95" w:rsidRPr="00BF4AB8" w:rsidRDefault="00892F95" w:rsidP="00892F95">
      <w:pPr>
        <w:pStyle w:val="Sraopastraipa"/>
        <w:numPr>
          <w:ilvl w:val="0"/>
          <w:numId w:val="7"/>
        </w:numPr>
        <w:ind w:left="567" w:right="-2" w:hanging="567"/>
        <w:rPr>
          <w:snapToGrid w:val="0"/>
          <w:sz w:val="22"/>
          <w:szCs w:val="24"/>
        </w:rPr>
      </w:pPr>
      <w:r w:rsidRPr="00BF4AB8">
        <w:rPr>
          <w:snapToGrid w:val="0"/>
          <w:sz w:val="22"/>
          <w:szCs w:val="24"/>
        </w:rPr>
        <w:t xml:space="preserve">Kraujo užkrėtimas (sepsis) – žr. </w:t>
      </w:r>
      <w:r w:rsidR="009D585C">
        <w:rPr>
          <w:snapToGrid w:val="0"/>
          <w:sz w:val="22"/>
          <w:szCs w:val="24"/>
        </w:rPr>
        <w:t>anksčiau</w:t>
      </w:r>
      <w:r w:rsidRPr="00BF4AB8">
        <w:rPr>
          <w:snapToGrid w:val="0"/>
          <w:sz w:val="22"/>
          <w:szCs w:val="24"/>
        </w:rPr>
        <w:t>.</w:t>
      </w:r>
    </w:p>
    <w:p w14:paraId="0B622BC6" w14:textId="77777777" w:rsidR="00892F95" w:rsidRPr="00BF4AB8" w:rsidRDefault="00892F95" w:rsidP="00892F95">
      <w:pPr>
        <w:pStyle w:val="Sraopastraipa"/>
        <w:numPr>
          <w:ilvl w:val="0"/>
          <w:numId w:val="7"/>
        </w:numPr>
        <w:ind w:left="567" w:right="-2" w:hanging="567"/>
        <w:rPr>
          <w:snapToGrid w:val="0"/>
          <w:sz w:val="22"/>
          <w:szCs w:val="24"/>
        </w:rPr>
      </w:pPr>
      <w:r w:rsidRPr="00BF4AB8">
        <w:rPr>
          <w:snapToGrid w:val="0"/>
          <w:sz w:val="22"/>
          <w:szCs w:val="24"/>
        </w:rPr>
        <w:t>Baltųjų kraujo ląstelių skaičiaus sumažėjimas kartu su karščiavimu (</w:t>
      </w:r>
      <w:proofErr w:type="spellStart"/>
      <w:r w:rsidRPr="00BF4AB8">
        <w:rPr>
          <w:snapToGrid w:val="0"/>
          <w:sz w:val="22"/>
          <w:szCs w:val="24"/>
        </w:rPr>
        <w:t>febrilinė</w:t>
      </w:r>
      <w:proofErr w:type="spellEnd"/>
      <w:r w:rsidRPr="00BF4AB8">
        <w:rPr>
          <w:snapToGrid w:val="0"/>
          <w:sz w:val="22"/>
          <w:szCs w:val="24"/>
        </w:rPr>
        <w:t xml:space="preserve"> </w:t>
      </w:r>
      <w:proofErr w:type="spellStart"/>
      <w:r w:rsidRPr="00BF4AB8">
        <w:rPr>
          <w:snapToGrid w:val="0"/>
          <w:sz w:val="22"/>
          <w:szCs w:val="24"/>
        </w:rPr>
        <w:t>neutropenija</w:t>
      </w:r>
      <w:proofErr w:type="spellEnd"/>
      <w:r w:rsidRPr="00BF4AB8">
        <w:rPr>
          <w:snapToGrid w:val="0"/>
          <w:sz w:val="22"/>
          <w:szCs w:val="24"/>
        </w:rPr>
        <w:t>).</w:t>
      </w:r>
    </w:p>
    <w:p w14:paraId="5035F304" w14:textId="77777777" w:rsidR="00892F95" w:rsidRPr="00BF4AB8" w:rsidRDefault="00892F95" w:rsidP="00892F95">
      <w:pPr>
        <w:pStyle w:val="Sraopastraipa"/>
        <w:numPr>
          <w:ilvl w:val="0"/>
          <w:numId w:val="7"/>
        </w:numPr>
        <w:ind w:left="567" w:right="-2" w:hanging="567"/>
        <w:rPr>
          <w:snapToGrid w:val="0"/>
          <w:sz w:val="22"/>
          <w:szCs w:val="24"/>
        </w:rPr>
      </w:pPr>
      <w:r w:rsidRPr="00BF4AB8">
        <w:rPr>
          <w:snapToGrid w:val="0"/>
          <w:sz w:val="22"/>
          <w:szCs w:val="24"/>
        </w:rPr>
        <w:t xml:space="preserve">Kraujo krešuliai venose (venų </w:t>
      </w:r>
      <w:proofErr w:type="spellStart"/>
      <w:r w:rsidRPr="00BF4AB8">
        <w:rPr>
          <w:snapToGrid w:val="0"/>
          <w:sz w:val="22"/>
          <w:szCs w:val="24"/>
        </w:rPr>
        <w:t>tromboembolija</w:t>
      </w:r>
      <w:proofErr w:type="spellEnd"/>
      <w:r w:rsidRPr="00BF4AB8">
        <w:rPr>
          <w:snapToGrid w:val="0"/>
          <w:sz w:val="22"/>
          <w:szCs w:val="24"/>
        </w:rPr>
        <w:t>), ypač kojų venose (galimi simptomai yra skausmas, paraudimas, patinimas ir galūnės šilimas); krešuliai gali judėti kraujagyslėmis iki plaučių ir sukelti skausmą krūtinėje bei kvėpavimo pasunkėjimą (pastebėję bet kurį iš šių simptomų, nedelsdami kreipkitės medicininės pagalbos).</w:t>
      </w:r>
    </w:p>
    <w:p w14:paraId="40B8C11C" w14:textId="77777777" w:rsidR="00892F95" w:rsidRPr="00BF4AB8" w:rsidRDefault="00892F95" w:rsidP="00892F95">
      <w:pPr>
        <w:pStyle w:val="Sraopastraipa"/>
        <w:numPr>
          <w:ilvl w:val="0"/>
          <w:numId w:val="7"/>
        </w:numPr>
        <w:ind w:left="567" w:right="-2" w:hanging="567"/>
        <w:rPr>
          <w:snapToGrid w:val="0"/>
          <w:sz w:val="22"/>
          <w:szCs w:val="24"/>
        </w:rPr>
      </w:pPr>
      <w:r w:rsidRPr="00BF4AB8">
        <w:rPr>
          <w:snapToGrid w:val="0"/>
          <w:sz w:val="22"/>
          <w:szCs w:val="24"/>
        </w:rPr>
        <w:t>Didelis kraujospū</w:t>
      </w:r>
      <w:r>
        <w:rPr>
          <w:snapToGrid w:val="0"/>
          <w:sz w:val="22"/>
          <w:szCs w:val="24"/>
        </w:rPr>
        <w:t>d</w:t>
      </w:r>
      <w:r w:rsidRPr="00BF4AB8">
        <w:rPr>
          <w:snapToGrid w:val="0"/>
          <w:sz w:val="22"/>
          <w:szCs w:val="24"/>
        </w:rPr>
        <w:t>is (hipertenzija).</w:t>
      </w:r>
    </w:p>
    <w:p w14:paraId="0AD53527" w14:textId="77777777" w:rsidR="00892F95" w:rsidRPr="00BF4AB8" w:rsidRDefault="00892F95" w:rsidP="00892F95">
      <w:pPr>
        <w:pStyle w:val="Sraopastraipa"/>
        <w:numPr>
          <w:ilvl w:val="0"/>
          <w:numId w:val="7"/>
        </w:numPr>
        <w:ind w:left="567" w:right="-2" w:hanging="567"/>
        <w:rPr>
          <w:snapToGrid w:val="0"/>
          <w:sz w:val="22"/>
          <w:szCs w:val="24"/>
        </w:rPr>
      </w:pPr>
      <w:r w:rsidRPr="00BF4AB8">
        <w:rPr>
          <w:snapToGrid w:val="0"/>
          <w:sz w:val="22"/>
          <w:szCs w:val="24"/>
        </w:rPr>
        <w:t>Skysčių netekimas (dehidratacija).</w:t>
      </w:r>
    </w:p>
    <w:p w14:paraId="3064D4D0" w14:textId="77777777" w:rsidR="00892F95" w:rsidRPr="00BF4AB8" w:rsidRDefault="00892F95" w:rsidP="00892F95">
      <w:pPr>
        <w:pStyle w:val="Sraopastraipa"/>
        <w:numPr>
          <w:ilvl w:val="0"/>
          <w:numId w:val="7"/>
        </w:numPr>
        <w:ind w:left="567" w:right="-2" w:hanging="567"/>
        <w:rPr>
          <w:snapToGrid w:val="0"/>
          <w:sz w:val="22"/>
          <w:szCs w:val="24"/>
        </w:rPr>
      </w:pPr>
      <w:proofErr w:type="spellStart"/>
      <w:r w:rsidRPr="00BF4AB8">
        <w:rPr>
          <w:snapToGrid w:val="0"/>
          <w:sz w:val="22"/>
          <w:szCs w:val="24"/>
        </w:rPr>
        <w:t>Abscesai</w:t>
      </w:r>
      <w:proofErr w:type="spellEnd"/>
      <w:r w:rsidRPr="00BF4AB8">
        <w:rPr>
          <w:snapToGrid w:val="0"/>
          <w:sz w:val="22"/>
          <w:szCs w:val="24"/>
        </w:rPr>
        <w:t>.</w:t>
      </w:r>
    </w:p>
    <w:p w14:paraId="2744F985" w14:textId="77777777" w:rsidR="00892F95" w:rsidRPr="00BF4AB8" w:rsidRDefault="00892F95" w:rsidP="00892F95">
      <w:pPr>
        <w:pStyle w:val="Sraopastraipa"/>
        <w:numPr>
          <w:ilvl w:val="0"/>
          <w:numId w:val="7"/>
        </w:numPr>
        <w:ind w:left="567" w:right="-2" w:hanging="567"/>
        <w:rPr>
          <w:snapToGrid w:val="0"/>
          <w:sz w:val="22"/>
          <w:szCs w:val="24"/>
        </w:rPr>
      </w:pPr>
      <w:r w:rsidRPr="00BF4AB8">
        <w:rPr>
          <w:snapToGrid w:val="0"/>
          <w:sz w:val="22"/>
          <w:szCs w:val="24"/>
        </w:rPr>
        <w:t>Mažas trombocitų skaičius (</w:t>
      </w:r>
      <w:proofErr w:type="spellStart"/>
      <w:r w:rsidRPr="00BF4AB8">
        <w:rPr>
          <w:snapToGrid w:val="0"/>
          <w:sz w:val="22"/>
          <w:szCs w:val="24"/>
        </w:rPr>
        <w:t>trombocitopenija</w:t>
      </w:r>
      <w:proofErr w:type="spellEnd"/>
      <w:r w:rsidRPr="00BF4AB8">
        <w:rPr>
          <w:snapToGrid w:val="0"/>
          <w:sz w:val="22"/>
          <w:szCs w:val="24"/>
        </w:rPr>
        <w:t>).</w:t>
      </w:r>
    </w:p>
    <w:p w14:paraId="1C252182" w14:textId="77777777" w:rsidR="00892F95" w:rsidRPr="00BF4AB8" w:rsidRDefault="00892F95" w:rsidP="00892F95">
      <w:pPr>
        <w:pStyle w:val="Sraopastraipa"/>
        <w:numPr>
          <w:ilvl w:val="0"/>
          <w:numId w:val="7"/>
        </w:numPr>
        <w:ind w:left="567" w:right="-2" w:hanging="567"/>
        <w:rPr>
          <w:snapToGrid w:val="0"/>
          <w:sz w:val="22"/>
          <w:szCs w:val="24"/>
        </w:rPr>
      </w:pPr>
      <w:r w:rsidRPr="00BF4AB8">
        <w:rPr>
          <w:snapToGrid w:val="0"/>
          <w:sz w:val="22"/>
          <w:szCs w:val="24"/>
        </w:rPr>
        <w:t>Gelta (</w:t>
      </w:r>
      <w:proofErr w:type="spellStart"/>
      <w:r w:rsidRPr="00BF4AB8">
        <w:rPr>
          <w:snapToGrid w:val="0"/>
          <w:sz w:val="22"/>
          <w:szCs w:val="24"/>
        </w:rPr>
        <w:t>hiperbilirubinemija</w:t>
      </w:r>
      <w:proofErr w:type="spellEnd"/>
      <w:r w:rsidRPr="00BF4AB8">
        <w:rPr>
          <w:snapToGrid w:val="0"/>
          <w:sz w:val="22"/>
          <w:szCs w:val="24"/>
        </w:rPr>
        <w:t>).</w:t>
      </w:r>
    </w:p>
    <w:p w14:paraId="578348EC" w14:textId="77777777" w:rsidR="00892F95" w:rsidRPr="00580308" w:rsidRDefault="00892F95" w:rsidP="00892F95">
      <w:pPr>
        <w:pStyle w:val="Sraopastraipa"/>
        <w:numPr>
          <w:ilvl w:val="0"/>
          <w:numId w:val="7"/>
        </w:numPr>
        <w:ind w:left="567" w:right="-2" w:hanging="567"/>
        <w:rPr>
          <w:snapToGrid w:val="0"/>
          <w:sz w:val="22"/>
          <w:szCs w:val="24"/>
        </w:rPr>
      </w:pPr>
      <w:r w:rsidRPr="00580308">
        <w:rPr>
          <w:snapToGrid w:val="0"/>
          <w:sz w:val="22"/>
          <w:szCs w:val="24"/>
        </w:rPr>
        <w:t xml:space="preserve">Padidėjęs kepenų fermento (gama </w:t>
      </w:r>
      <w:proofErr w:type="spellStart"/>
      <w:r w:rsidRPr="00580308">
        <w:rPr>
          <w:snapToGrid w:val="0"/>
          <w:sz w:val="22"/>
          <w:szCs w:val="24"/>
        </w:rPr>
        <w:t>glutamiltransferazės</w:t>
      </w:r>
      <w:proofErr w:type="spellEnd"/>
      <w:r w:rsidRPr="00580308">
        <w:rPr>
          <w:snapToGrid w:val="0"/>
          <w:sz w:val="22"/>
          <w:szCs w:val="24"/>
        </w:rPr>
        <w:t>) aktyvumas kraujyje, nustatomas kraujo tyrimais.</w:t>
      </w:r>
    </w:p>
    <w:p w14:paraId="629177A0" w14:textId="77777777" w:rsidR="00892F95" w:rsidRPr="00BF4AB8" w:rsidRDefault="00892F95" w:rsidP="00892F95">
      <w:pPr>
        <w:pStyle w:val="Sraopastraipa"/>
        <w:numPr>
          <w:ilvl w:val="0"/>
          <w:numId w:val="7"/>
        </w:numPr>
        <w:ind w:left="567" w:right="-2" w:hanging="567"/>
        <w:rPr>
          <w:snapToGrid w:val="0"/>
          <w:sz w:val="22"/>
          <w:szCs w:val="24"/>
        </w:rPr>
      </w:pPr>
      <w:r w:rsidRPr="00BF4AB8">
        <w:rPr>
          <w:snapToGrid w:val="0"/>
          <w:sz w:val="22"/>
          <w:szCs w:val="24"/>
        </w:rPr>
        <w:t>Sumažėjęs kūno svoris.</w:t>
      </w:r>
    </w:p>
    <w:p w14:paraId="01A71291" w14:textId="77777777" w:rsidR="00892F95" w:rsidRPr="00BF4AB8" w:rsidRDefault="00892F95" w:rsidP="00892F95">
      <w:pPr>
        <w:pStyle w:val="Sraopastraipa"/>
        <w:numPr>
          <w:ilvl w:val="0"/>
          <w:numId w:val="7"/>
        </w:numPr>
        <w:ind w:left="567" w:right="-2" w:hanging="567"/>
        <w:rPr>
          <w:snapToGrid w:val="0"/>
          <w:sz w:val="22"/>
          <w:szCs w:val="24"/>
        </w:rPr>
      </w:pPr>
      <w:r w:rsidRPr="00BF4AB8">
        <w:rPr>
          <w:snapToGrid w:val="0"/>
          <w:sz w:val="22"/>
          <w:szCs w:val="24"/>
        </w:rPr>
        <w:t>Niežėjimas.</w:t>
      </w:r>
    </w:p>
    <w:p w14:paraId="017FE533" w14:textId="77777777" w:rsidR="00892F95" w:rsidRPr="00BF4AB8" w:rsidRDefault="00892F95" w:rsidP="00892F95">
      <w:pPr>
        <w:pStyle w:val="Sraopastraipa"/>
        <w:numPr>
          <w:ilvl w:val="0"/>
          <w:numId w:val="7"/>
        </w:numPr>
        <w:ind w:left="567" w:right="-2" w:hanging="567"/>
        <w:rPr>
          <w:snapToGrid w:val="0"/>
          <w:sz w:val="22"/>
          <w:szCs w:val="24"/>
        </w:rPr>
      </w:pPr>
      <w:r w:rsidRPr="00BF4AB8">
        <w:rPr>
          <w:snapToGrid w:val="0"/>
          <w:sz w:val="22"/>
          <w:szCs w:val="24"/>
        </w:rPr>
        <w:t>Galvos skausmas.</w:t>
      </w:r>
    </w:p>
    <w:p w14:paraId="22888290" w14:textId="77777777" w:rsidR="00892F95" w:rsidRPr="00BF4AB8" w:rsidRDefault="00892F95" w:rsidP="00892F95">
      <w:pPr>
        <w:pStyle w:val="Sraopastraipa"/>
        <w:numPr>
          <w:ilvl w:val="0"/>
          <w:numId w:val="7"/>
        </w:numPr>
        <w:ind w:left="567" w:right="-2" w:hanging="567"/>
        <w:rPr>
          <w:snapToGrid w:val="0"/>
          <w:sz w:val="22"/>
          <w:szCs w:val="24"/>
        </w:rPr>
      </w:pPr>
      <w:r w:rsidRPr="00BF4AB8">
        <w:rPr>
          <w:snapToGrid w:val="0"/>
          <w:sz w:val="22"/>
          <w:szCs w:val="24"/>
        </w:rPr>
        <w:t>Padidėjęs baltymų kiekis šlapime (</w:t>
      </w:r>
      <w:proofErr w:type="spellStart"/>
      <w:r w:rsidRPr="00BF4AB8">
        <w:rPr>
          <w:snapToGrid w:val="0"/>
          <w:sz w:val="22"/>
          <w:szCs w:val="24"/>
        </w:rPr>
        <w:t>proteinurija</w:t>
      </w:r>
      <w:proofErr w:type="spellEnd"/>
      <w:r w:rsidRPr="00BF4AB8">
        <w:rPr>
          <w:snapToGrid w:val="0"/>
          <w:sz w:val="22"/>
          <w:szCs w:val="24"/>
        </w:rPr>
        <w:t>).</w:t>
      </w:r>
    </w:p>
    <w:p w14:paraId="6A0593A7" w14:textId="77777777" w:rsidR="00892F95" w:rsidRPr="00BF4AB8" w:rsidRDefault="00892F95" w:rsidP="00892F95">
      <w:pPr>
        <w:tabs>
          <w:tab w:val="left" w:pos="567"/>
        </w:tabs>
        <w:ind w:right="-29"/>
        <w:rPr>
          <w:snapToGrid w:val="0"/>
          <w:sz w:val="22"/>
        </w:rPr>
      </w:pPr>
    </w:p>
    <w:p w14:paraId="72FE6E34" w14:textId="77777777" w:rsidR="00892F95" w:rsidRPr="00BF4AB8" w:rsidRDefault="00892F95" w:rsidP="00892F95">
      <w:pPr>
        <w:tabs>
          <w:tab w:val="left" w:pos="567"/>
        </w:tabs>
        <w:ind w:right="-29"/>
        <w:rPr>
          <w:snapToGrid w:val="0"/>
          <w:sz w:val="22"/>
        </w:rPr>
      </w:pPr>
      <w:r w:rsidRPr="00BF4AB8">
        <w:rPr>
          <w:b/>
          <w:bCs/>
          <w:snapToGrid w:val="0"/>
          <w:sz w:val="22"/>
        </w:rPr>
        <w:t>Nedažni šalutinio poveikio reiškiniai</w:t>
      </w:r>
      <w:r w:rsidRPr="00BF4AB8">
        <w:rPr>
          <w:snapToGrid w:val="0"/>
          <w:sz w:val="22"/>
        </w:rPr>
        <w:t xml:space="preserve"> (gali pasireikšti rečiau kaip 1 iš 100 asmenų)</w:t>
      </w:r>
    </w:p>
    <w:p w14:paraId="25D6C511" w14:textId="77777777" w:rsidR="00892F95" w:rsidRPr="00BF4AB8" w:rsidRDefault="00892F95" w:rsidP="00892F95">
      <w:pPr>
        <w:pStyle w:val="Sraopastraipa"/>
        <w:numPr>
          <w:ilvl w:val="0"/>
          <w:numId w:val="7"/>
        </w:numPr>
        <w:ind w:left="567" w:right="-2" w:hanging="567"/>
        <w:rPr>
          <w:snapToGrid w:val="0"/>
          <w:sz w:val="22"/>
          <w:szCs w:val="24"/>
        </w:rPr>
      </w:pPr>
      <w:r w:rsidRPr="00BF4AB8">
        <w:rPr>
          <w:snapToGrid w:val="0"/>
          <w:sz w:val="22"/>
          <w:szCs w:val="24"/>
        </w:rPr>
        <w:t>Žarnų sienelės prakiurimas (virškinimo trakto perforacija).</w:t>
      </w:r>
    </w:p>
    <w:p w14:paraId="3B52E089" w14:textId="77777777" w:rsidR="00892F95" w:rsidRPr="00BF4AB8" w:rsidRDefault="00892F95" w:rsidP="00892F95">
      <w:pPr>
        <w:pStyle w:val="Sraopastraipa"/>
        <w:numPr>
          <w:ilvl w:val="0"/>
          <w:numId w:val="7"/>
        </w:numPr>
        <w:ind w:left="567" w:right="-2" w:hanging="567"/>
        <w:rPr>
          <w:snapToGrid w:val="0"/>
          <w:sz w:val="22"/>
          <w:szCs w:val="24"/>
        </w:rPr>
      </w:pPr>
      <w:r w:rsidRPr="00BF4AB8">
        <w:rPr>
          <w:snapToGrid w:val="0"/>
          <w:sz w:val="22"/>
          <w:szCs w:val="24"/>
        </w:rPr>
        <w:t>Sunkus kepenų sutrikimas.</w:t>
      </w:r>
    </w:p>
    <w:p w14:paraId="757CCCEB" w14:textId="77777777" w:rsidR="00892F95" w:rsidRPr="00BF4AB8" w:rsidRDefault="00892F95" w:rsidP="00892F95">
      <w:pPr>
        <w:pStyle w:val="Sraopastraipa"/>
        <w:numPr>
          <w:ilvl w:val="0"/>
          <w:numId w:val="7"/>
        </w:numPr>
        <w:ind w:left="567" w:right="-2" w:hanging="567"/>
        <w:rPr>
          <w:snapToGrid w:val="0"/>
          <w:sz w:val="22"/>
          <w:szCs w:val="24"/>
        </w:rPr>
      </w:pPr>
      <w:r w:rsidRPr="00BF4AB8">
        <w:rPr>
          <w:snapToGrid w:val="0"/>
          <w:sz w:val="22"/>
          <w:szCs w:val="24"/>
        </w:rPr>
        <w:t>Kasos uždegimas (pankreatitas).</w:t>
      </w:r>
    </w:p>
    <w:p w14:paraId="4FCE5BD1" w14:textId="77777777" w:rsidR="00892F95" w:rsidRPr="00BF4AB8" w:rsidRDefault="00892F95" w:rsidP="00892F95">
      <w:pPr>
        <w:pStyle w:val="Sraopastraipa"/>
        <w:numPr>
          <w:ilvl w:val="0"/>
          <w:numId w:val="7"/>
        </w:numPr>
        <w:ind w:left="567" w:right="-2" w:hanging="567"/>
        <w:rPr>
          <w:snapToGrid w:val="0"/>
          <w:sz w:val="22"/>
          <w:szCs w:val="24"/>
        </w:rPr>
      </w:pPr>
      <w:r w:rsidRPr="00BF4AB8">
        <w:rPr>
          <w:snapToGrid w:val="0"/>
          <w:sz w:val="22"/>
          <w:szCs w:val="24"/>
        </w:rPr>
        <w:t>Miokardo infarktas.</w:t>
      </w:r>
    </w:p>
    <w:p w14:paraId="3AA531ED" w14:textId="77777777" w:rsidR="00892F95" w:rsidRPr="00BF4AB8" w:rsidRDefault="00892F95" w:rsidP="00892F95">
      <w:pPr>
        <w:pStyle w:val="Sraopastraipa"/>
        <w:numPr>
          <w:ilvl w:val="0"/>
          <w:numId w:val="7"/>
        </w:numPr>
        <w:ind w:left="567" w:right="-2" w:hanging="567"/>
        <w:rPr>
          <w:snapToGrid w:val="0"/>
          <w:sz w:val="22"/>
          <w:szCs w:val="24"/>
        </w:rPr>
      </w:pPr>
      <w:r w:rsidRPr="00BF4AB8">
        <w:rPr>
          <w:snapToGrid w:val="0"/>
          <w:sz w:val="22"/>
          <w:szCs w:val="24"/>
        </w:rPr>
        <w:t>Inkstų nepakankamumas.</w:t>
      </w:r>
    </w:p>
    <w:p w14:paraId="6E791222" w14:textId="77777777" w:rsidR="00892F95" w:rsidRPr="00BF4AB8" w:rsidRDefault="00892F95" w:rsidP="00892F95">
      <w:pPr>
        <w:ind w:right="-2"/>
        <w:rPr>
          <w:snapToGrid w:val="0"/>
          <w:sz w:val="22"/>
          <w:szCs w:val="24"/>
        </w:rPr>
      </w:pPr>
    </w:p>
    <w:p w14:paraId="35B995AB" w14:textId="77777777" w:rsidR="00892F95" w:rsidRPr="00BF4AB8" w:rsidRDefault="00892F95" w:rsidP="00892F95">
      <w:pPr>
        <w:ind w:right="-2"/>
        <w:rPr>
          <w:snapToGrid w:val="0"/>
          <w:sz w:val="22"/>
          <w:szCs w:val="24"/>
        </w:rPr>
      </w:pPr>
      <w:r w:rsidRPr="00BF4AB8">
        <w:rPr>
          <w:b/>
          <w:bCs/>
          <w:snapToGrid w:val="0"/>
          <w:sz w:val="22"/>
          <w:szCs w:val="24"/>
        </w:rPr>
        <w:t>Šalutinio poveikio reiškiniai, kurių dažnis nežinomas</w:t>
      </w:r>
      <w:r w:rsidRPr="00BF4AB8">
        <w:rPr>
          <w:snapToGrid w:val="0"/>
          <w:sz w:val="22"/>
          <w:szCs w:val="24"/>
        </w:rPr>
        <w:t xml:space="preserve"> (negali būti apskaičiuotas pagal turimus duomenis)</w:t>
      </w:r>
    </w:p>
    <w:p w14:paraId="2BAF8994" w14:textId="77777777" w:rsidR="00892F95" w:rsidRPr="00BF4AB8" w:rsidRDefault="00892F95" w:rsidP="00892F95">
      <w:pPr>
        <w:pStyle w:val="Sraopastraipa"/>
        <w:numPr>
          <w:ilvl w:val="0"/>
          <w:numId w:val="7"/>
        </w:numPr>
        <w:ind w:left="567" w:right="-2" w:hanging="567"/>
        <w:rPr>
          <w:snapToGrid w:val="0"/>
          <w:sz w:val="22"/>
          <w:szCs w:val="24"/>
        </w:rPr>
      </w:pPr>
      <w:r w:rsidRPr="00BF4AB8">
        <w:rPr>
          <w:snapToGrid w:val="0"/>
          <w:sz w:val="22"/>
          <w:szCs w:val="24"/>
        </w:rPr>
        <w:t>Storosios žarnos uždegimas.</w:t>
      </w:r>
    </w:p>
    <w:p w14:paraId="083DBF0C" w14:textId="77777777" w:rsidR="00892F95" w:rsidRPr="00BF4AB8" w:rsidRDefault="00892F95" w:rsidP="00892F95">
      <w:pPr>
        <w:pStyle w:val="Sraopastraipa"/>
        <w:numPr>
          <w:ilvl w:val="0"/>
          <w:numId w:val="7"/>
        </w:numPr>
        <w:ind w:left="567" w:right="-2" w:hanging="567"/>
        <w:rPr>
          <w:snapToGrid w:val="0"/>
          <w:sz w:val="22"/>
          <w:szCs w:val="24"/>
        </w:rPr>
      </w:pPr>
      <w:r w:rsidRPr="00BF4AB8">
        <w:rPr>
          <w:snapToGrid w:val="0"/>
          <w:sz w:val="22"/>
          <w:szCs w:val="24"/>
        </w:rPr>
        <w:t>Kraujagyslės sienelės išsipūtimas ir susilpnėjimas arba kraujagyslės sienelės įplyšimas (aneurizmos ir arterijų atsisluoksniavimas).</w:t>
      </w:r>
    </w:p>
    <w:p w14:paraId="43D6DF63" w14:textId="77777777" w:rsidR="00892F95" w:rsidRPr="00BF4AB8" w:rsidRDefault="00892F95" w:rsidP="00892F95">
      <w:pPr>
        <w:tabs>
          <w:tab w:val="left" w:pos="567"/>
        </w:tabs>
        <w:rPr>
          <w:snapToGrid w:val="0"/>
          <w:sz w:val="22"/>
          <w:szCs w:val="22"/>
        </w:rPr>
      </w:pPr>
    </w:p>
    <w:p w14:paraId="2544C35D" w14:textId="77777777" w:rsidR="00892F95" w:rsidRPr="00BF4AB8" w:rsidRDefault="00892F95" w:rsidP="00892F95">
      <w:pPr>
        <w:tabs>
          <w:tab w:val="left" w:pos="567"/>
        </w:tabs>
        <w:rPr>
          <w:b/>
          <w:snapToGrid w:val="0"/>
          <w:sz w:val="22"/>
          <w:szCs w:val="24"/>
        </w:rPr>
      </w:pPr>
      <w:r w:rsidRPr="00BF4AB8">
        <w:rPr>
          <w:b/>
          <w:snapToGrid w:val="0"/>
          <w:sz w:val="22"/>
          <w:szCs w:val="24"/>
        </w:rPr>
        <w:t>Pranešimas apie šalutinį poveikį</w:t>
      </w:r>
    </w:p>
    <w:p w14:paraId="5A079DED" w14:textId="2F414BF5" w:rsidR="00892F95" w:rsidRPr="00BF4AB8" w:rsidRDefault="00892F95" w:rsidP="00892F95">
      <w:pPr>
        <w:tabs>
          <w:tab w:val="left" w:pos="567"/>
        </w:tabs>
        <w:spacing w:line="260" w:lineRule="exact"/>
        <w:ind w:right="-1"/>
        <w:rPr>
          <w:snapToGrid w:val="0"/>
          <w:sz w:val="22"/>
        </w:rPr>
      </w:pPr>
      <w:r w:rsidRPr="00BF4AB8">
        <w:rPr>
          <w:snapToGrid w:val="0"/>
          <w:sz w:val="22"/>
        </w:rPr>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22" w:history="1">
        <w:r w:rsidRPr="00BF4AB8">
          <w:rPr>
            <w:snapToGrid w:val="0"/>
            <w:color w:val="0000FF"/>
            <w:sz w:val="22"/>
            <w:u w:val="single"/>
          </w:rPr>
          <w:t>https://vapris.vvkt.lt/vvkt-web/public/nrv</w:t>
        </w:r>
      </w:hyperlink>
      <w:r w:rsidRPr="00BF4AB8">
        <w:rPr>
          <w:snapToGrid w:val="0"/>
          <w:sz w:val="22"/>
        </w:rPr>
        <w:t xml:space="preserve"> arba užpildant Paciento pranešimo apie įtariamą nepageidaujamą reakciją (ĮNR) formą, kuri skelbiama </w:t>
      </w:r>
      <w:hyperlink r:id="rId23" w:history="1">
        <w:r w:rsidRPr="00BF4AB8">
          <w:rPr>
            <w:snapToGrid w:val="0"/>
            <w:color w:val="0000FF"/>
            <w:sz w:val="22"/>
            <w:u w:val="single"/>
          </w:rPr>
          <w:t>https://www.vvkt.lt/index.php?4004286486</w:t>
        </w:r>
      </w:hyperlink>
      <w:r w:rsidRPr="00BF4AB8">
        <w:rPr>
          <w:snapToGrid w:val="0"/>
          <w:sz w:val="22"/>
        </w:rPr>
        <w:t xml:space="preserve">, ir atsiunčiant elektroniniu paštu (adresu </w:t>
      </w:r>
      <w:hyperlink r:id="rId24" w:history="1">
        <w:r w:rsidRPr="00BF4AB8">
          <w:rPr>
            <w:snapToGrid w:val="0"/>
            <w:color w:val="0000FF"/>
            <w:sz w:val="22"/>
            <w:u w:val="single"/>
          </w:rPr>
          <w:t>NepageidaujamaR@vvkt.lt</w:t>
        </w:r>
      </w:hyperlink>
      <w:r w:rsidRPr="00BF4AB8">
        <w:rPr>
          <w:snapToGrid w:val="0"/>
          <w:sz w:val="22"/>
        </w:rPr>
        <w:t xml:space="preserve">) arba nemokamu </w:t>
      </w:r>
      <w:r w:rsidRPr="00D57325">
        <w:rPr>
          <w:snapToGrid w:val="0"/>
          <w:sz w:val="22"/>
        </w:rPr>
        <w:t xml:space="preserve">telefonu </w:t>
      </w:r>
      <w:r w:rsidR="00F20C8D" w:rsidRPr="00D57325">
        <w:rPr>
          <w:snapToGrid w:val="0"/>
          <w:sz w:val="22"/>
        </w:rPr>
        <w:t>0</w:t>
      </w:r>
      <w:r w:rsidRPr="00D57325">
        <w:rPr>
          <w:snapToGrid w:val="0"/>
          <w:sz w:val="22"/>
        </w:rPr>
        <w:t xml:space="preserve"> 800 73 568. Pranešdami apie šalutinį poveikį galite mums padėti gauti daugiau informacijos apie šio vaisto</w:t>
      </w:r>
      <w:r w:rsidRPr="00BF4AB8">
        <w:rPr>
          <w:snapToGrid w:val="0"/>
          <w:sz w:val="22"/>
        </w:rPr>
        <w:t xml:space="preserve"> saugumą.</w:t>
      </w:r>
    </w:p>
    <w:p w14:paraId="71427073" w14:textId="77777777" w:rsidR="00892F95" w:rsidRPr="00BF4AB8" w:rsidRDefault="00892F95" w:rsidP="00892F95">
      <w:pPr>
        <w:tabs>
          <w:tab w:val="left" w:pos="567"/>
        </w:tabs>
        <w:spacing w:line="260" w:lineRule="exact"/>
        <w:ind w:right="-449"/>
        <w:rPr>
          <w:snapToGrid w:val="0"/>
          <w:sz w:val="22"/>
          <w:szCs w:val="24"/>
        </w:rPr>
      </w:pPr>
    </w:p>
    <w:p w14:paraId="1CE0E670" w14:textId="77777777" w:rsidR="00892F95" w:rsidRPr="00BF4AB8" w:rsidRDefault="00892F95" w:rsidP="00892F95">
      <w:pPr>
        <w:tabs>
          <w:tab w:val="left" w:pos="567"/>
        </w:tabs>
        <w:spacing w:line="260" w:lineRule="exact"/>
        <w:ind w:right="-449"/>
        <w:rPr>
          <w:snapToGrid w:val="0"/>
          <w:sz w:val="22"/>
          <w:szCs w:val="24"/>
        </w:rPr>
      </w:pPr>
    </w:p>
    <w:p w14:paraId="7AF5177F" w14:textId="77777777" w:rsidR="00892F95" w:rsidRPr="00BF4AB8" w:rsidRDefault="00892F95" w:rsidP="00892F95">
      <w:pPr>
        <w:keepNext/>
        <w:keepLines/>
        <w:tabs>
          <w:tab w:val="left" w:pos="567"/>
        </w:tabs>
        <w:outlineLvl w:val="2"/>
        <w:rPr>
          <w:b/>
          <w:bCs/>
          <w:snapToGrid w:val="0"/>
          <w:sz w:val="22"/>
          <w:szCs w:val="26"/>
          <w:lang w:eastAsia="x-none"/>
        </w:rPr>
      </w:pPr>
      <w:r w:rsidRPr="00BF4AB8">
        <w:rPr>
          <w:b/>
          <w:bCs/>
          <w:snapToGrid w:val="0"/>
          <w:sz w:val="22"/>
          <w:szCs w:val="26"/>
          <w:lang w:eastAsia="x-none"/>
        </w:rPr>
        <w:t>5.</w:t>
      </w:r>
      <w:r w:rsidRPr="00BF4AB8">
        <w:rPr>
          <w:b/>
          <w:bCs/>
          <w:snapToGrid w:val="0"/>
          <w:sz w:val="22"/>
          <w:szCs w:val="26"/>
          <w:lang w:eastAsia="x-none"/>
        </w:rPr>
        <w:tab/>
        <w:t xml:space="preserve">Kaip laikyti </w:t>
      </w:r>
      <w:proofErr w:type="spellStart"/>
      <w:r w:rsidRPr="00BF4AB8">
        <w:rPr>
          <w:b/>
          <w:bCs/>
          <w:snapToGrid w:val="0"/>
          <w:sz w:val="22"/>
          <w:szCs w:val="26"/>
          <w:lang w:eastAsia="x-none"/>
        </w:rPr>
        <w:t>Nytyka</w:t>
      </w:r>
      <w:proofErr w:type="spellEnd"/>
    </w:p>
    <w:p w14:paraId="279367E9" w14:textId="77777777" w:rsidR="00892F95" w:rsidRPr="00BF4AB8" w:rsidRDefault="00892F95" w:rsidP="00892F95">
      <w:pPr>
        <w:numPr>
          <w:ilvl w:val="12"/>
          <w:numId w:val="0"/>
        </w:numPr>
        <w:ind w:right="-2"/>
        <w:rPr>
          <w:snapToGrid w:val="0"/>
          <w:sz w:val="22"/>
          <w:szCs w:val="24"/>
        </w:rPr>
      </w:pPr>
    </w:p>
    <w:p w14:paraId="5D062A63" w14:textId="77777777" w:rsidR="00892F95" w:rsidRPr="00BF4AB8" w:rsidRDefault="00892F95" w:rsidP="00892F95">
      <w:pPr>
        <w:numPr>
          <w:ilvl w:val="12"/>
          <w:numId w:val="0"/>
        </w:numPr>
        <w:ind w:right="-2"/>
        <w:rPr>
          <w:snapToGrid w:val="0"/>
          <w:sz w:val="22"/>
          <w:szCs w:val="24"/>
        </w:rPr>
      </w:pPr>
      <w:r w:rsidRPr="00BF4AB8">
        <w:rPr>
          <w:snapToGrid w:val="0"/>
          <w:sz w:val="22"/>
          <w:szCs w:val="24"/>
        </w:rPr>
        <w:t>Šį vaistą laikykite vaikams nepastebimoje ir nepasiekiamoje vietoje.</w:t>
      </w:r>
    </w:p>
    <w:p w14:paraId="50950283" w14:textId="77777777" w:rsidR="00892F95" w:rsidRPr="00BF4AB8" w:rsidRDefault="00892F95" w:rsidP="00892F95">
      <w:pPr>
        <w:numPr>
          <w:ilvl w:val="12"/>
          <w:numId w:val="0"/>
        </w:numPr>
        <w:ind w:right="-2"/>
        <w:rPr>
          <w:snapToGrid w:val="0"/>
          <w:sz w:val="22"/>
          <w:szCs w:val="24"/>
        </w:rPr>
      </w:pPr>
    </w:p>
    <w:p w14:paraId="7F8E40AA" w14:textId="57DA3025" w:rsidR="00892F95" w:rsidRPr="00BF4AB8" w:rsidRDefault="00892F95" w:rsidP="00892F95">
      <w:pPr>
        <w:numPr>
          <w:ilvl w:val="12"/>
          <w:numId w:val="0"/>
        </w:numPr>
        <w:ind w:right="-2"/>
        <w:rPr>
          <w:snapToGrid w:val="0"/>
          <w:sz w:val="22"/>
          <w:szCs w:val="24"/>
        </w:rPr>
      </w:pPr>
      <w:r w:rsidRPr="00BF4AB8">
        <w:rPr>
          <w:snapToGrid w:val="0"/>
          <w:sz w:val="22"/>
          <w:szCs w:val="24"/>
        </w:rPr>
        <w:t xml:space="preserve">Ant dėžutės ir lizdinės plokštelės po </w:t>
      </w:r>
      <w:r w:rsidR="003A02A1">
        <w:rPr>
          <w:snapToGrid w:val="0"/>
          <w:sz w:val="22"/>
          <w:szCs w:val="24"/>
        </w:rPr>
        <w:t>,,</w:t>
      </w:r>
      <w:r w:rsidRPr="00BF4AB8">
        <w:rPr>
          <w:snapToGrid w:val="0"/>
          <w:sz w:val="22"/>
          <w:szCs w:val="24"/>
        </w:rPr>
        <w:t>EXP</w:t>
      </w:r>
      <w:r w:rsidR="003A02A1">
        <w:rPr>
          <w:snapToGrid w:val="0"/>
          <w:sz w:val="22"/>
          <w:szCs w:val="24"/>
        </w:rPr>
        <w:t>“</w:t>
      </w:r>
      <w:r w:rsidRPr="00BF4AB8">
        <w:rPr>
          <w:snapToGrid w:val="0"/>
          <w:sz w:val="22"/>
          <w:szCs w:val="24"/>
        </w:rPr>
        <w:t xml:space="preserve"> nurodytam tinkamumo laikui pasibaigus, šio vaisto vartoti negalima. Vaistas tinkamas vartoti iki paskutinės nurodyto mėnesio dienos.</w:t>
      </w:r>
    </w:p>
    <w:p w14:paraId="0F53BB3D" w14:textId="77777777" w:rsidR="00892F95" w:rsidRPr="00BF4AB8" w:rsidRDefault="00892F95" w:rsidP="00892F95">
      <w:pPr>
        <w:numPr>
          <w:ilvl w:val="12"/>
          <w:numId w:val="0"/>
        </w:numPr>
        <w:ind w:right="-2"/>
        <w:rPr>
          <w:snapToGrid w:val="0"/>
          <w:sz w:val="22"/>
          <w:szCs w:val="24"/>
        </w:rPr>
      </w:pPr>
    </w:p>
    <w:p w14:paraId="1A42C1D8" w14:textId="77777777" w:rsidR="00892F95" w:rsidRPr="00BF4AB8" w:rsidRDefault="00892F95" w:rsidP="00892F95">
      <w:pPr>
        <w:numPr>
          <w:ilvl w:val="12"/>
          <w:numId w:val="0"/>
        </w:numPr>
        <w:ind w:right="-2"/>
        <w:rPr>
          <w:snapToGrid w:val="0"/>
          <w:sz w:val="22"/>
          <w:szCs w:val="24"/>
        </w:rPr>
      </w:pPr>
      <w:r w:rsidRPr="00BF4AB8">
        <w:rPr>
          <w:snapToGrid w:val="0"/>
          <w:sz w:val="22"/>
          <w:szCs w:val="24"/>
        </w:rPr>
        <w:t>Šiam vaistui specialių laikymo sąlygų nereikia.</w:t>
      </w:r>
    </w:p>
    <w:p w14:paraId="0E13352B" w14:textId="77777777" w:rsidR="00892F95" w:rsidRPr="00BF4AB8" w:rsidRDefault="00892F95" w:rsidP="00892F95">
      <w:pPr>
        <w:numPr>
          <w:ilvl w:val="12"/>
          <w:numId w:val="0"/>
        </w:numPr>
        <w:ind w:right="-2"/>
        <w:rPr>
          <w:snapToGrid w:val="0"/>
          <w:sz w:val="22"/>
          <w:szCs w:val="24"/>
        </w:rPr>
      </w:pPr>
    </w:p>
    <w:p w14:paraId="11EB60DB" w14:textId="2C1DCD7C" w:rsidR="00892F95" w:rsidRPr="00BF4AB8" w:rsidRDefault="00892F95" w:rsidP="00892F95">
      <w:pPr>
        <w:numPr>
          <w:ilvl w:val="12"/>
          <w:numId w:val="0"/>
        </w:numPr>
        <w:ind w:right="-2"/>
        <w:rPr>
          <w:snapToGrid w:val="0"/>
          <w:sz w:val="22"/>
          <w:szCs w:val="24"/>
        </w:rPr>
      </w:pPr>
      <w:r w:rsidRPr="00BF4AB8">
        <w:rPr>
          <w:snapToGrid w:val="0"/>
          <w:sz w:val="22"/>
          <w:szCs w:val="24"/>
        </w:rPr>
        <w:t xml:space="preserve">Pastebėjus, kad lizdinė plokštelė, kurioje yra kapsulės, atidaryta ar kapsulė </w:t>
      </w:r>
      <w:r w:rsidR="003A02A1">
        <w:rPr>
          <w:snapToGrid w:val="0"/>
          <w:sz w:val="22"/>
          <w:szCs w:val="24"/>
        </w:rPr>
        <w:t>pažeista</w:t>
      </w:r>
      <w:r w:rsidRPr="00BF4AB8">
        <w:rPr>
          <w:snapToGrid w:val="0"/>
          <w:sz w:val="22"/>
          <w:szCs w:val="24"/>
        </w:rPr>
        <w:t>, šio vaisto vartoti negalima.</w:t>
      </w:r>
    </w:p>
    <w:p w14:paraId="0DEF67CF" w14:textId="77777777" w:rsidR="00892F95" w:rsidRPr="00BF4AB8" w:rsidRDefault="00892F95" w:rsidP="00892F95">
      <w:pPr>
        <w:numPr>
          <w:ilvl w:val="12"/>
          <w:numId w:val="0"/>
        </w:numPr>
        <w:ind w:right="-2"/>
        <w:rPr>
          <w:snapToGrid w:val="0"/>
          <w:sz w:val="22"/>
          <w:szCs w:val="24"/>
        </w:rPr>
      </w:pPr>
      <w:r w:rsidRPr="00BF4AB8">
        <w:rPr>
          <w:snapToGrid w:val="0"/>
          <w:sz w:val="22"/>
          <w:szCs w:val="24"/>
        </w:rPr>
        <w:t>Jeigu prisilietėte prie kapsulės turinio, reikia nedelsiant gausiu vandens kiekiu nusiplauti rankas (žr. 3 skyrių).</w:t>
      </w:r>
    </w:p>
    <w:p w14:paraId="346E3728" w14:textId="77777777" w:rsidR="00892F95" w:rsidRPr="00BF4AB8" w:rsidRDefault="00892F95" w:rsidP="00892F95">
      <w:pPr>
        <w:numPr>
          <w:ilvl w:val="12"/>
          <w:numId w:val="0"/>
        </w:numPr>
        <w:ind w:right="-2"/>
        <w:rPr>
          <w:snapToGrid w:val="0"/>
          <w:sz w:val="22"/>
          <w:szCs w:val="24"/>
        </w:rPr>
      </w:pPr>
    </w:p>
    <w:p w14:paraId="0346D3E6" w14:textId="77777777" w:rsidR="00892F95" w:rsidRPr="00BF4AB8" w:rsidRDefault="00892F95" w:rsidP="00892F95">
      <w:pPr>
        <w:numPr>
          <w:ilvl w:val="12"/>
          <w:numId w:val="0"/>
        </w:numPr>
        <w:ind w:right="-2"/>
        <w:rPr>
          <w:i/>
          <w:snapToGrid w:val="0"/>
          <w:sz w:val="22"/>
        </w:rPr>
      </w:pPr>
      <w:r w:rsidRPr="00BF4AB8">
        <w:rPr>
          <w:snapToGrid w:val="0"/>
          <w:sz w:val="22"/>
          <w:szCs w:val="24"/>
        </w:rPr>
        <w:t>Vaistų negalima išmesti į kanalizaciją arba su buitinėmis atliekomis. Kaip išmesti nereikalingus vaistus, klauskite vaistininko. Šios priemonės padės apsaugoti aplinką.</w:t>
      </w:r>
    </w:p>
    <w:p w14:paraId="4F3BD447" w14:textId="77777777" w:rsidR="00892F95" w:rsidRPr="00BF4AB8" w:rsidRDefault="00892F95" w:rsidP="00892F95">
      <w:pPr>
        <w:numPr>
          <w:ilvl w:val="12"/>
          <w:numId w:val="0"/>
        </w:numPr>
        <w:ind w:right="-2"/>
        <w:rPr>
          <w:snapToGrid w:val="0"/>
          <w:sz w:val="22"/>
          <w:szCs w:val="24"/>
        </w:rPr>
      </w:pPr>
    </w:p>
    <w:p w14:paraId="454B8AB3" w14:textId="77777777" w:rsidR="00892F95" w:rsidRPr="00BF4AB8" w:rsidRDefault="00892F95" w:rsidP="00892F95">
      <w:pPr>
        <w:keepNext/>
        <w:keepLines/>
        <w:tabs>
          <w:tab w:val="left" w:pos="567"/>
        </w:tabs>
        <w:outlineLvl w:val="2"/>
        <w:rPr>
          <w:b/>
          <w:bCs/>
          <w:snapToGrid w:val="0"/>
          <w:sz w:val="22"/>
          <w:szCs w:val="26"/>
          <w:lang w:eastAsia="x-none"/>
        </w:rPr>
      </w:pPr>
      <w:r w:rsidRPr="00BF4AB8">
        <w:rPr>
          <w:b/>
          <w:bCs/>
          <w:snapToGrid w:val="0"/>
          <w:sz w:val="22"/>
          <w:szCs w:val="26"/>
          <w:lang w:eastAsia="x-none"/>
        </w:rPr>
        <w:t>6.</w:t>
      </w:r>
      <w:r w:rsidRPr="00BF4AB8">
        <w:rPr>
          <w:bCs/>
          <w:snapToGrid w:val="0"/>
          <w:sz w:val="22"/>
          <w:szCs w:val="26"/>
          <w:lang w:eastAsia="x-none"/>
        </w:rPr>
        <w:tab/>
      </w:r>
      <w:r w:rsidRPr="00BF4AB8">
        <w:rPr>
          <w:b/>
          <w:bCs/>
          <w:snapToGrid w:val="0"/>
          <w:sz w:val="22"/>
          <w:szCs w:val="26"/>
          <w:lang w:eastAsia="x-none"/>
        </w:rPr>
        <w:t>Pakuotės turinys ir kita informacija</w:t>
      </w:r>
    </w:p>
    <w:p w14:paraId="7E14DCE0" w14:textId="77777777" w:rsidR="00892F95" w:rsidRPr="00BF4AB8" w:rsidRDefault="00892F95" w:rsidP="00892F95">
      <w:pPr>
        <w:numPr>
          <w:ilvl w:val="12"/>
          <w:numId w:val="0"/>
        </w:numPr>
        <w:rPr>
          <w:snapToGrid w:val="0"/>
          <w:sz w:val="22"/>
          <w:szCs w:val="24"/>
        </w:rPr>
      </w:pPr>
    </w:p>
    <w:p w14:paraId="016A7424" w14:textId="77777777" w:rsidR="00892F95" w:rsidRPr="00BF4AB8" w:rsidRDefault="00892F95" w:rsidP="00892F95">
      <w:pPr>
        <w:keepNext/>
        <w:tabs>
          <w:tab w:val="left" w:pos="567"/>
        </w:tabs>
        <w:spacing w:line="260" w:lineRule="exact"/>
        <w:jc w:val="both"/>
        <w:outlineLvl w:val="3"/>
        <w:rPr>
          <w:b/>
          <w:bCs/>
          <w:snapToGrid w:val="0"/>
          <w:sz w:val="22"/>
          <w:szCs w:val="28"/>
          <w:lang w:eastAsia="x-none"/>
        </w:rPr>
      </w:pPr>
      <w:proofErr w:type="spellStart"/>
      <w:r w:rsidRPr="00BF4AB8">
        <w:rPr>
          <w:b/>
          <w:bCs/>
          <w:snapToGrid w:val="0"/>
          <w:sz w:val="22"/>
          <w:szCs w:val="28"/>
          <w:lang w:eastAsia="x-none"/>
        </w:rPr>
        <w:t>Nytyka</w:t>
      </w:r>
      <w:proofErr w:type="spellEnd"/>
      <w:r w:rsidRPr="00BF4AB8">
        <w:rPr>
          <w:b/>
          <w:bCs/>
          <w:snapToGrid w:val="0"/>
          <w:sz w:val="22"/>
          <w:szCs w:val="28"/>
          <w:lang w:eastAsia="x-none"/>
        </w:rPr>
        <w:t xml:space="preserve"> sudėtis </w:t>
      </w:r>
    </w:p>
    <w:p w14:paraId="6BF638CE" w14:textId="50B1E6BC" w:rsidR="00892F95" w:rsidRPr="00BF4AB8" w:rsidRDefault="00892F95" w:rsidP="00892F95">
      <w:pPr>
        <w:numPr>
          <w:ilvl w:val="0"/>
          <w:numId w:val="5"/>
        </w:numPr>
        <w:tabs>
          <w:tab w:val="left" w:pos="567"/>
        </w:tabs>
        <w:spacing w:line="260" w:lineRule="exact"/>
        <w:ind w:left="567" w:right="-2" w:hanging="567"/>
        <w:rPr>
          <w:snapToGrid w:val="0"/>
          <w:sz w:val="22"/>
          <w:szCs w:val="24"/>
        </w:rPr>
      </w:pPr>
      <w:r w:rsidRPr="00BF4AB8">
        <w:rPr>
          <w:snapToGrid w:val="0"/>
          <w:sz w:val="22"/>
          <w:szCs w:val="24"/>
        </w:rPr>
        <w:t>Veiklioji medžiaga yra</w:t>
      </w:r>
      <w:r w:rsidRPr="00BF4AB8">
        <w:t xml:space="preserve"> </w:t>
      </w:r>
      <w:proofErr w:type="spellStart"/>
      <w:r w:rsidRPr="00BF4AB8">
        <w:rPr>
          <w:snapToGrid w:val="0"/>
          <w:sz w:val="22"/>
          <w:szCs w:val="24"/>
        </w:rPr>
        <w:t>intedanibas</w:t>
      </w:r>
      <w:proofErr w:type="spellEnd"/>
      <w:r w:rsidRPr="00BF4AB8">
        <w:rPr>
          <w:snapToGrid w:val="0"/>
          <w:sz w:val="22"/>
          <w:szCs w:val="24"/>
        </w:rPr>
        <w:t>. Kiekvienoje kapsulėje yra 1</w:t>
      </w:r>
      <w:r w:rsidR="00601D06">
        <w:rPr>
          <w:snapToGrid w:val="0"/>
          <w:sz w:val="22"/>
          <w:szCs w:val="24"/>
        </w:rPr>
        <w:t>5</w:t>
      </w:r>
      <w:r w:rsidRPr="00BF4AB8">
        <w:rPr>
          <w:snapToGrid w:val="0"/>
          <w:sz w:val="22"/>
          <w:szCs w:val="24"/>
        </w:rPr>
        <w:t xml:space="preserve">0 mg </w:t>
      </w:r>
      <w:proofErr w:type="spellStart"/>
      <w:r w:rsidRPr="00BF4AB8">
        <w:rPr>
          <w:snapToGrid w:val="0"/>
          <w:sz w:val="22"/>
          <w:szCs w:val="24"/>
        </w:rPr>
        <w:t>nintedanibo</w:t>
      </w:r>
      <w:proofErr w:type="spellEnd"/>
      <w:r w:rsidRPr="00BF4AB8">
        <w:rPr>
          <w:snapToGrid w:val="0"/>
          <w:sz w:val="22"/>
          <w:szCs w:val="24"/>
        </w:rPr>
        <w:t xml:space="preserve"> (</w:t>
      </w:r>
      <w:proofErr w:type="spellStart"/>
      <w:r w:rsidRPr="00BF4AB8">
        <w:rPr>
          <w:snapToGrid w:val="0"/>
          <w:sz w:val="22"/>
          <w:szCs w:val="24"/>
        </w:rPr>
        <w:t>esilato</w:t>
      </w:r>
      <w:proofErr w:type="spellEnd"/>
      <w:r w:rsidRPr="00BF4AB8">
        <w:rPr>
          <w:snapToGrid w:val="0"/>
          <w:sz w:val="22"/>
          <w:szCs w:val="24"/>
        </w:rPr>
        <w:t xml:space="preserve"> forma)</w:t>
      </w:r>
      <w:r>
        <w:rPr>
          <w:snapToGrid w:val="0"/>
          <w:sz w:val="22"/>
          <w:szCs w:val="24"/>
        </w:rPr>
        <w:t>.</w:t>
      </w:r>
    </w:p>
    <w:p w14:paraId="5FEE2BB9" w14:textId="77777777" w:rsidR="00892F95" w:rsidRPr="00BF4AB8" w:rsidRDefault="00892F95" w:rsidP="00892F95">
      <w:pPr>
        <w:numPr>
          <w:ilvl w:val="0"/>
          <w:numId w:val="5"/>
        </w:numPr>
        <w:tabs>
          <w:tab w:val="left" w:pos="567"/>
        </w:tabs>
        <w:spacing w:line="260" w:lineRule="exact"/>
        <w:ind w:left="567" w:right="-2" w:hanging="567"/>
        <w:rPr>
          <w:snapToGrid w:val="0"/>
          <w:sz w:val="22"/>
          <w:szCs w:val="24"/>
        </w:rPr>
      </w:pPr>
      <w:r w:rsidRPr="00BF4AB8">
        <w:rPr>
          <w:snapToGrid w:val="0"/>
          <w:sz w:val="22"/>
          <w:szCs w:val="24"/>
        </w:rPr>
        <w:t>Pagalbinės medžiagos</w:t>
      </w:r>
    </w:p>
    <w:p w14:paraId="4F104B5F" w14:textId="0E60DB3A" w:rsidR="00892F95" w:rsidRPr="00BF4AB8" w:rsidRDefault="00892F95" w:rsidP="00892F95">
      <w:pPr>
        <w:pStyle w:val="Sraopastraipa"/>
        <w:numPr>
          <w:ilvl w:val="0"/>
          <w:numId w:val="8"/>
        </w:numPr>
        <w:tabs>
          <w:tab w:val="left" w:pos="567"/>
        </w:tabs>
        <w:spacing w:line="260" w:lineRule="exact"/>
        <w:ind w:left="1134" w:right="-2" w:hanging="567"/>
        <w:rPr>
          <w:snapToGrid w:val="0"/>
          <w:sz w:val="22"/>
          <w:szCs w:val="24"/>
        </w:rPr>
      </w:pPr>
      <w:r w:rsidRPr="00BF4AB8">
        <w:rPr>
          <w:snapToGrid w:val="0"/>
          <w:sz w:val="22"/>
          <w:szCs w:val="24"/>
        </w:rPr>
        <w:t>Kapsulės turiny</w:t>
      </w:r>
      <w:r w:rsidR="003A02A1">
        <w:rPr>
          <w:snapToGrid w:val="0"/>
          <w:sz w:val="22"/>
          <w:szCs w:val="24"/>
        </w:rPr>
        <w:t>je</w:t>
      </w:r>
      <w:r w:rsidRPr="00BF4AB8">
        <w:rPr>
          <w:snapToGrid w:val="0"/>
          <w:sz w:val="22"/>
          <w:szCs w:val="24"/>
        </w:rPr>
        <w:t xml:space="preserve">: vidutinės grandinės </w:t>
      </w:r>
      <w:proofErr w:type="spellStart"/>
      <w:r w:rsidRPr="00BF4AB8">
        <w:rPr>
          <w:snapToGrid w:val="0"/>
          <w:sz w:val="22"/>
          <w:szCs w:val="24"/>
        </w:rPr>
        <w:t>trigliceridai</w:t>
      </w:r>
      <w:proofErr w:type="spellEnd"/>
      <w:r w:rsidRPr="00BF4AB8">
        <w:rPr>
          <w:snapToGrid w:val="0"/>
          <w:sz w:val="22"/>
          <w:szCs w:val="24"/>
        </w:rPr>
        <w:t>, kietieji riebalai ir poligliceril-3-dioleatas.</w:t>
      </w:r>
    </w:p>
    <w:p w14:paraId="3F285C52" w14:textId="6BEE434F" w:rsidR="00892F95" w:rsidRPr="00BF4AB8" w:rsidRDefault="00892F95" w:rsidP="00892F95">
      <w:pPr>
        <w:pStyle w:val="Sraopastraipa"/>
        <w:numPr>
          <w:ilvl w:val="0"/>
          <w:numId w:val="8"/>
        </w:numPr>
        <w:tabs>
          <w:tab w:val="left" w:pos="567"/>
        </w:tabs>
        <w:spacing w:line="260" w:lineRule="exact"/>
        <w:ind w:left="1134" w:right="-2" w:hanging="567"/>
        <w:rPr>
          <w:snapToGrid w:val="0"/>
          <w:sz w:val="22"/>
          <w:szCs w:val="24"/>
        </w:rPr>
      </w:pPr>
      <w:r w:rsidRPr="00BF4AB8">
        <w:rPr>
          <w:snapToGrid w:val="0"/>
          <w:sz w:val="22"/>
          <w:szCs w:val="24"/>
        </w:rPr>
        <w:t>Kapsulės korpus</w:t>
      </w:r>
      <w:r w:rsidR="003A02A1">
        <w:rPr>
          <w:snapToGrid w:val="0"/>
          <w:sz w:val="22"/>
          <w:szCs w:val="24"/>
        </w:rPr>
        <w:t>e</w:t>
      </w:r>
      <w:r w:rsidRPr="00BF4AB8">
        <w:rPr>
          <w:snapToGrid w:val="0"/>
          <w:sz w:val="22"/>
          <w:szCs w:val="24"/>
        </w:rPr>
        <w:t xml:space="preserve">: želatina, </w:t>
      </w:r>
      <w:proofErr w:type="spellStart"/>
      <w:r w:rsidRPr="00BF4AB8">
        <w:rPr>
          <w:snapToGrid w:val="0"/>
          <w:sz w:val="22"/>
          <w:szCs w:val="24"/>
        </w:rPr>
        <w:t>glicerolis</w:t>
      </w:r>
      <w:proofErr w:type="spellEnd"/>
      <w:r w:rsidRPr="00BF4AB8">
        <w:rPr>
          <w:snapToGrid w:val="0"/>
          <w:sz w:val="22"/>
          <w:szCs w:val="24"/>
        </w:rPr>
        <w:t>, titano dioksidas (E171), raudonasis geležies oksidas (E172)</w:t>
      </w:r>
      <w:r w:rsidR="003A02A1">
        <w:rPr>
          <w:snapToGrid w:val="0"/>
          <w:sz w:val="22"/>
          <w:szCs w:val="24"/>
        </w:rPr>
        <w:t>,</w:t>
      </w:r>
      <w:r w:rsidRPr="00BF4AB8">
        <w:rPr>
          <w:snapToGrid w:val="0"/>
          <w:sz w:val="22"/>
          <w:szCs w:val="24"/>
        </w:rPr>
        <w:t xml:space="preserve"> geltonasis geležies oksidas (E172)</w:t>
      </w:r>
      <w:r w:rsidR="003A02A1">
        <w:rPr>
          <w:snapToGrid w:val="0"/>
          <w:sz w:val="22"/>
          <w:szCs w:val="24"/>
        </w:rPr>
        <w:t xml:space="preserve"> ir</w:t>
      </w:r>
      <w:r w:rsidR="00ED0C9F">
        <w:rPr>
          <w:snapToGrid w:val="0"/>
          <w:sz w:val="22"/>
          <w:szCs w:val="24"/>
        </w:rPr>
        <w:t xml:space="preserve"> išgrynintas vanduo</w:t>
      </w:r>
      <w:r w:rsidRPr="00BF4AB8">
        <w:rPr>
          <w:snapToGrid w:val="0"/>
          <w:sz w:val="22"/>
          <w:szCs w:val="24"/>
        </w:rPr>
        <w:t>.</w:t>
      </w:r>
    </w:p>
    <w:p w14:paraId="0A6A8358" w14:textId="1A70CBCF" w:rsidR="00892F95" w:rsidRPr="00BF4AB8" w:rsidRDefault="00892F95" w:rsidP="00892F95">
      <w:pPr>
        <w:pStyle w:val="Sraopastraipa"/>
        <w:numPr>
          <w:ilvl w:val="0"/>
          <w:numId w:val="8"/>
        </w:numPr>
        <w:tabs>
          <w:tab w:val="left" w:pos="567"/>
        </w:tabs>
        <w:spacing w:line="260" w:lineRule="exact"/>
        <w:ind w:left="1134" w:right="-2" w:hanging="567"/>
        <w:rPr>
          <w:snapToGrid w:val="0"/>
          <w:sz w:val="22"/>
          <w:szCs w:val="24"/>
        </w:rPr>
      </w:pPr>
      <w:r w:rsidRPr="00BF4AB8">
        <w:rPr>
          <w:snapToGrid w:val="0"/>
          <w:sz w:val="22"/>
          <w:szCs w:val="24"/>
        </w:rPr>
        <w:t>Spaustuvini</w:t>
      </w:r>
      <w:r w:rsidR="003A02A1">
        <w:rPr>
          <w:snapToGrid w:val="0"/>
          <w:sz w:val="22"/>
          <w:szCs w:val="24"/>
        </w:rPr>
        <w:t>ame</w:t>
      </w:r>
      <w:r w:rsidRPr="00BF4AB8">
        <w:rPr>
          <w:snapToGrid w:val="0"/>
          <w:sz w:val="22"/>
          <w:szCs w:val="24"/>
        </w:rPr>
        <w:t xml:space="preserve"> rašal</w:t>
      </w:r>
      <w:r w:rsidR="003A02A1">
        <w:rPr>
          <w:snapToGrid w:val="0"/>
          <w:sz w:val="22"/>
          <w:szCs w:val="24"/>
        </w:rPr>
        <w:t>e</w:t>
      </w:r>
      <w:r w:rsidRPr="00BF4AB8">
        <w:rPr>
          <w:snapToGrid w:val="0"/>
          <w:sz w:val="22"/>
          <w:szCs w:val="24"/>
        </w:rPr>
        <w:t xml:space="preserve">: </w:t>
      </w:r>
      <w:proofErr w:type="spellStart"/>
      <w:r w:rsidRPr="00BF4AB8">
        <w:rPr>
          <w:snapToGrid w:val="0"/>
          <w:sz w:val="22"/>
          <w:szCs w:val="24"/>
        </w:rPr>
        <w:t>šelakas</w:t>
      </w:r>
      <w:proofErr w:type="spellEnd"/>
      <w:r w:rsidRPr="00BF4AB8">
        <w:rPr>
          <w:snapToGrid w:val="0"/>
          <w:sz w:val="22"/>
          <w:szCs w:val="24"/>
        </w:rPr>
        <w:t xml:space="preserve">, </w:t>
      </w:r>
      <w:r w:rsidR="00AE60F1">
        <w:rPr>
          <w:snapToGrid w:val="0"/>
          <w:sz w:val="22"/>
          <w:szCs w:val="24"/>
        </w:rPr>
        <w:t>juodasis</w:t>
      </w:r>
      <w:r w:rsidR="0058362B" w:rsidRPr="0058362B">
        <w:rPr>
          <w:snapToGrid w:val="0"/>
          <w:sz w:val="22"/>
          <w:szCs w:val="24"/>
        </w:rPr>
        <w:t xml:space="preserve"> geležies oksidas (E172)</w:t>
      </w:r>
      <w:r w:rsidRPr="00BF4AB8">
        <w:rPr>
          <w:snapToGrid w:val="0"/>
          <w:sz w:val="22"/>
          <w:szCs w:val="24"/>
        </w:rPr>
        <w:t xml:space="preserve">, </w:t>
      </w:r>
      <w:proofErr w:type="spellStart"/>
      <w:r w:rsidRPr="00BF4AB8">
        <w:rPr>
          <w:snapToGrid w:val="0"/>
          <w:sz w:val="22"/>
          <w:szCs w:val="24"/>
        </w:rPr>
        <w:t>propilenglikolis</w:t>
      </w:r>
      <w:proofErr w:type="spellEnd"/>
      <w:r w:rsidRPr="00BF4AB8">
        <w:rPr>
          <w:snapToGrid w:val="0"/>
          <w:sz w:val="22"/>
          <w:szCs w:val="24"/>
        </w:rPr>
        <w:t xml:space="preserve"> (E1520).</w:t>
      </w:r>
    </w:p>
    <w:p w14:paraId="333D7A5F" w14:textId="77777777" w:rsidR="00892F95" w:rsidRPr="00BF4AB8" w:rsidRDefault="00892F95" w:rsidP="00892F95">
      <w:pPr>
        <w:numPr>
          <w:ilvl w:val="12"/>
          <w:numId w:val="0"/>
        </w:numPr>
        <w:ind w:right="-2"/>
        <w:rPr>
          <w:snapToGrid w:val="0"/>
          <w:sz w:val="22"/>
          <w:szCs w:val="24"/>
        </w:rPr>
      </w:pPr>
    </w:p>
    <w:p w14:paraId="588C5937" w14:textId="77777777" w:rsidR="00892F95" w:rsidRPr="00BF4AB8" w:rsidRDefault="00892F95" w:rsidP="00892F95">
      <w:pPr>
        <w:keepNext/>
        <w:tabs>
          <w:tab w:val="left" w:pos="567"/>
        </w:tabs>
        <w:spacing w:line="260" w:lineRule="exact"/>
        <w:jc w:val="both"/>
        <w:outlineLvl w:val="3"/>
        <w:rPr>
          <w:b/>
          <w:bCs/>
          <w:snapToGrid w:val="0"/>
          <w:sz w:val="22"/>
          <w:szCs w:val="28"/>
          <w:lang w:eastAsia="x-none"/>
        </w:rPr>
      </w:pPr>
      <w:proofErr w:type="spellStart"/>
      <w:r w:rsidRPr="00BF4AB8">
        <w:rPr>
          <w:b/>
          <w:bCs/>
          <w:snapToGrid w:val="0"/>
          <w:sz w:val="22"/>
          <w:szCs w:val="28"/>
          <w:lang w:eastAsia="x-none"/>
        </w:rPr>
        <w:t>Nytyka</w:t>
      </w:r>
      <w:proofErr w:type="spellEnd"/>
      <w:r w:rsidRPr="00BF4AB8">
        <w:rPr>
          <w:b/>
          <w:bCs/>
          <w:snapToGrid w:val="0"/>
          <w:sz w:val="22"/>
          <w:szCs w:val="28"/>
          <w:lang w:eastAsia="x-none"/>
        </w:rPr>
        <w:t xml:space="preserve"> išvaizda ir kiekis pakuotėje</w:t>
      </w:r>
    </w:p>
    <w:p w14:paraId="1B47707E" w14:textId="74477EDD" w:rsidR="00892F95" w:rsidRPr="00BF4AB8" w:rsidRDefault="00892F95" w:rsidP="00892F95">
      <w:pPr>
        <w:tabs>
          <w:tab w:val="left" w:pos="567"/>
        </w:tabs>
        <w:spacing w:line="260" w:lineRule="exact"/>
        <w:rPr>
          <w:snapToGrid w:val="0"/>
          <w:sz w:val="22"/>
          <w:szCs w:val="24"/>
        </w:rPr>
      </w:pPr>
      <w:proofErr w:type="spellStart"/>
      <w:r w:rsidRPr="00BF4AB8">
        <w:rPr>
          <w:snapToGrid w:val="0"/>
          <w:sz w:val="22"/>
          <w:szCs w:val="24"/>
        </w:rPr>
        <w:t>Nytyka</w:t>
      </w:r>
      <w:proofErr w:type="spellEnd"/>
      <w:r w:rsidRPr="00BF4AB8">
        <w:rPr>
          <w:snapToGrid w:val="0"/>
          <w:sz w:val="22"/>
          <w:szCs w:val="24"/>
        </w:rPr>
        <w:t xml:space="preserve"> 1</w:t>
      </w:r>
      <w:r w:rsidR="00601D06">
        <w:rPr>
          <w:snapToGrid w:val="0"/>
          <w:sz w:val="22"/>
          <w:szCs w:val="24"/>
        </w:rPr>
        <w:t>5</w:t>
      </w:r>
      <w:r w:rsidRPr="00BF4AB8">
        <w:rPr>
          <w:snapToGrid w:val="0"/>
          <w:sz w:val="22"/>
          <w:szCs w:val="24"/>
        </w:rPr>
        <w:t xml:space="preserve">0 mg yra </w:t>
      </w:r>
      <w:r w:rsidR="00601D06">
        <w:rPr>
          <w:snapToGrid w:val="0"/>
          <w:sz w:val="22"/>
          <w:szCs w:val="24"/>
        </w:rPr>
        <w:t>rudos</w:t>
      </w:r>
      <w:r w:rsidRPr="00BF4AB8">
        <w:rPr>
          <w:snapToGrid w:val="0"/>
          <w:sz w:val="22"/>
          <w:szCs w:val="24"/>
        </w:rPr>
        <w:t>, matinės, pailgos</w:t>
      </w:r>
      <w:r w:rsidR="003A02A1">
        <w:rPr>
          <w:snapToGrid w:val="0"/>
          <w:sz w:val="22"/>
          <w:szCs w:val="24"/>
        </w:rPr>
        <w:t>,</w:t>
      </w:r>
      <w:r w:rsidRPr="00BF4AB8">
        <w:rPr>
          <w:snapToGrid w:val="0"/>
          <w:sz w:val="22"/>
          <w:szCs w:val="24"/>
        </w:rPr>
        <w:t xml:space="preserve"> maždaug 1</w:t>
      </w:r>
      <w:r w:rsidR="00601D06">
        <w:rPr>
          <w:snapToGrid w:val="0"/>
          <w:sz w:val="22"/>
          <w:szCs w:val="24"/>
        </w:rPr>
        <w:t>7</w:t>
      </w:r>
      <w:r w:rsidRPr="00BF4AB8">
        <w:rPr>
          <w:snapToGrid w:val="0"/>
          <w:sz w:val="22"/>
          <w:szCs w:val="24"/>
        </w:rPr>
        <w:t xml:space="preserve"> mm ilgio kapsulės, kuriose yra geltonos klampios suspensijos, su </w:t>
      </w:r>
      <w:r w:rsidR="0057365E">
        <w:rPr>
          <w:snapToGrid w:val="0"/>
          <w:sz w:val="22"/>
          <w:szCs w:val="24"/>
        </w:rPr>
        <w:t>juodo</w:t>
      </w:r>
      <w:r w:rsidR="0057365E" w:rsidRPr="00BF4AB8">
        <w:rPr>
          <w:snapToGrid w:val="0"/>
          <w:sz w:val="22"/>
          <w:szCs w:val="24"/>
        </w:rPr>
        <w:t xml:space="preserve"> </w:t>
      </w:r>
      <w:r w:rsidRPr="00BF4AB8">
        <w:rPr>
          <w:snapToGrid w:val="0"/>
          <w:sz w:val="22"/>
          <w:szCs w:val="24"/>
        </w:rPr>
        <w:t>rašalo įspaudu „NT 1</w:t>
      </w:r>
      <w:r w:rsidR="00601D06">
        <w:rPr>
          <w:snapToGrid w:val="0"/>
          <w:sz w:val="22"/>
          <w:szCs w:val="24"/>
        </w:rPr>
        <w:t>5</w:t>
      </w:r>
      <w:r w:rsidRPr="00BF4AB8">
        <w:rPr>
          <w:snapToGrid w:val="0"/>
          <w:sz w:val="22"/>
          <w:szCs w:val="24"/>
        </w:rPr>
        <w:t>0“.</w:t>
      </w:r>
    </w:p>
    <w:p w14:paraId="1EB35FA0" w14:textId="77777777" w:rsidR="00892F95" w:rsidRPr="00F743FD" w:rsidRDefault="00892F95" w:rsidP="00892F95">
      <w:pPr>
        <w:numPr>
          <w:ilvl w:val="12"/>
          <w:numId w:val="0"/>
        </w:numPr>
        <w:ind w:right="-2"/>
        <w:rPr>
          <w:snapToGrid w:val="0"/>
          <w:sz w:val="16"/>
          <w:szCs w:val="16"/>
        </w:rPr>
      </w:pPr>
    </w:p>
    <w:p w14:paraId="62684C66" w14:textId="153719AF" w:rsidR="00892F95" w:rsidRPr="00BF4AB8" w:rsidRDefault="00892F95" w:rsidP="00892F95">
      <w:pPr>
        <w:numPr>
          <w:ilvl w:val="12"/>
          <w:numId w:val="0"/>
        </w:numPr>
        <w:ind w:right="-2"/>
        <w:rPr>
          <w:snapToGrid w:val="0"/>
          <w:sz w:val="22"/>
          <w:szCs w:val="24"/>
        </w:rPr>
      </w:pPr>
      <w:proofErr w:type="spellStart"/>
      <w:r w:rsidRPr="00BF4AB8">
        <w:rPr>
          <w:snapToGrid w:val="0"/>
          <w:sz w:val="22"/>
          <w:szCs w:val="24"/>
        </w:rPr>
        <w:t>Nytyka</w:t>
      </w:r>
      <w:proofErr w:type="spellEnd"/>
      <w:r w:rsidRPr="00BF4AB8">
        <w:rPr>
          <w:snapToGrid w:val="0"/>
          <w:sz w:val="22"/>
          <w:szCs w:val="24"/>
        </w:rPr>
        <w:t xml:space="preserve"> 1</w:t>
      </w:r>
      <w:r w:rsidR="00601D06">
        <w:rPr>
          <w:snapToGrid w:val="0"/>
          <w:sz w:val="22"/>
          <w:szCs w:val="24"/>
        </w:rPr>
        <w:t>50</w:t>
      </w:r>
      <w:r w:rsidRPr="00BF4AB8">
        <w:rPr>
          <w:snapToGrid w:val="0"/>
          <w:sz w:val="22"/>
          <w:szCs w:val="24"/>
        </w:rPr>
        <w:t xml:space="preserve"> mg kapsulės tiekiamos kartono dėžutėje esančiose perforuotose </w:t>
      </w:r>
      <w:proofErr w:type="spellStart"/>
      <w:r w:rsidRPr="00BF4AB8">
        <w:rPr>
          <w:snapToGrid w:val="0"/>
          <w:sz w:val="22"/>
          <w:szCs w:val="24"/>
        </w:rPr>
        <w:t>dalomosiose</w:t>
      </w:r>
      <w:proofErr w:type="spellEnd"/>
      <w:r w:rsidRPr="00BF4AB8">
        <w:rPr>
          <w:snapToGrid w:val="0"/>
          <w:sz w:val="22"/>
          <w:szCs w:val="24"/>
        </w:rPr>
        <w:t xml:space="preserve"> lizdinėse plokštelėse.</w:t>
      </w:r>
    </w:p>
    <w:p w14:paraId="5647C5A3" w14:textId="77777777" w:rsidR="00892F95" w:rsidRPr="00F743FD" w:rsidRDefault="00892F95" w:rsidP="00892F95">
      <w:pPr>
        <w:numPr>
          <w:ilvl w:val="12"/>
          <w:numId w:val="0"/>
        </w:numPr>
        <w:ind w:right="-2"/>
        <w:rPr>
          <w:snapToGrid w:val="0"/>
          <w:sz w:val="16"/>
          <w:szCs w:val="16"/>
        </w:rPr>
      </w:pPr>
    </w:p>
    <w:p w14:paraId="1A75DD3A" w14:textId="77777777" w:rsidR="00892F95" w:rsidRPr="00BF4AB8" w:rsidRDefault="00892F95" w:rsidP="00892F95">
      <w:pPr>
        <w:numPr>
          <w:ilvl w:val="12"/>
          <w:numId w:val="0"/>
        </w:numPr>
        <w:ind w:right="-2"/>
        <w:rPr>
          <w:snapToGrid w:val="0"/>
          <w:sz w:val="22"/>
          <w:szCs w:val="24"/>
        </w:rPr>
      </w:pPr>
      <w:r w:rsidRPr="00BF4AB8">
        <w:rPr>
          <w:snapToGrid w:val="0"/>
          <w:sz w:val="22"/>
          <w:szCs w:val="24"/>
        </w:rPr>
        <w:t>Pakuotės dydžiai:</w:t>
      </w:r>
    </w:p>
    <w:p w14:paraId="66CD39EE" w14:textId="75E7F2B2" w:rsidR="00601D06" w:rsidRPr="00BF4AB8" w:rsidRDefault="00601D06" w:rsidP="00601D06">
      <w:pPr>
        <w:numPr>
          <w:ilvl w:val="12"/>
          <w:numId w:val="0"/>
        </w:numPr>
        <w:ind w:right="-2"/>
        <w:rPr>
          <w:snapToGrid w:val="0"/>
          <w:sz w:val="22"/>
          <w:szCs w:val="24"/>
        </w:rPr>
      </w:pPr>
      <w:r>
        <w:rPr>
          <w:snapToGrid w:val="0"/>
          <w:sz w:val="22"/>
          <w:szCs w:val="24"/>
        </w:rPr>
        <w:t>3</w:t>
      </w:r>
      <w:r w:rsidRPr="00BF4AB8">
        <w:rPr>
          <w:snapToGrid w:val="0"/>
          <w:sz w:val="22"/>
          <w:szCs w:val="24"/>
        </w:rPr>
        <w:t>0 x 1 minkštoji kapsulė</w:t>
      </w:r>
    </w:p>
    <w:p w14:paraId="4E4A1052" w14:textId="77777777" w:rsidR="00892F95" w:rsidRPr="00601D06" w:rsidRDefault="00892F95" w:rsidP="00892F95">
      <w:pPr>
        <w:numPr>
          <w:ilvl w:val="12"/>
          <w:numId w:val="0"/>
        </w:numPr>
        <w:ind w:right="-2"/>
        <w:rPr>
          <w:snapToGrid w:val="0"/>
          <w:sz w:val="22"/>
          <w:szCs w:val="24"/>
          <w:highlight w:val="lightGray"/>
        </w:rPr>
      </w:pPr>
      <w:r w:rsidRPr="00601D06">
        <w:rPr>
          <w:snapToGrid w:val="0"/>
          <w:sz w:val="22"/>
          <w:szCs w:val="24"/>
          <w:highlight w:val="lightGray"/>
        </w:rPr>
        <w:t>60 x 1 minkštoji kapsulė</w:t>
      </w:r>
    </w:p>
    <w:p w14:paraId="0A6101DE" w14:textId="77777777" w:rsidR="00892F95" w:rsidRPr="00601D06" w:rsidRDefault="00892F95" w:rsidP="00892F95">
      <w:pPr>
        <w:numPr>
          <w:ilvl w:val="12"/>
          <w:numId w:val="0"/>
        </w:numPr>
        <w:ind w:right="-2"/>
        <w:rPr>
          <w:snapToGrid w:val="0"/>
          <w:sz w:val="22"/>
          <w:szCs w:val="24"/>
          <w:highlight w:val="lightGray"/>
        </w:rPr>
      </w:pPr>
    </w:p>
    <w:p w14:paraId="46916097" w14:textId="77777777" w:rsidR="00892F95" w:rsidRPr="00BF4AB8" w:rsidRDefault="00892F95" w:rsidP="00892F95">
      <w:pPr>
        <w:numPr>
          <w:ilvl w:val="12"/>
          <w:numId w:val="0"/>
        </w:numPr>
        <w:ind w:right="-2"/>
        <w:rPr>
          <w:snapToGrid w:val="0"/>
          <w:sz w:val="22"/>
          <w:szCs w:val="24"/>
        </w:rPr>
      </w:pPr>
      <w:r w:rsidRPr="00601D06">
        <w:rPr>
          <w:snapToGrid w:val="0"/>
          <w:sz w:val="22"/>
          <w:szCs w:val="24"/>
          <w:highlight w:val="lightGray"/>
        </w:rPr>
        <w:t>Gali būti tiekiamos ne visų dydžių pakuotės.</w:t>
      </w:r>
    </w:p>
    <w:p w14:paraId="52334A82" w14:textId="77777777" w:rsidR="00892F95" w:rsidRPr="00BF4AB8" w:rsidRDefault="00892F95" w:rsidP="00892F95">
      <w:pPr>
        <w:numPr>
          <w:ilvl w:val="12"/>
          <w:numId w:val="0"/>
        </w:numPr>
        <w:ind w:right="-2"/>
        <w:rPr>
          <w:snapToGrid w:val="0"/>
          <w:sz w:val="22"/>
          <w:szCs w:val="24"/>
        </w:rPr>
      </w:pPr>
    </w:p>
    <w:p w14:paraId="14BE4C46" w14:textId="77777777" w:rsidR="00892F95" w:rsidRPr="00BF4AB8" w:rsidRDefault="00892F95" w:rsidP="00892F95">
      <w:pPr>
        <w:keepNext/>
        <w:tabs>
          <w:tab w:val="left" w:pos="567"/>
        </w:tabs>
        <w:spacing w:line="260" w:lineRule="exact"/>
        <w:jc w:val="both"/>
        <w:outlineLvl w:val="3"/>
        <w:rPr>
          <w:b/>
          <w:bCs/>
          <w:snapToGrid w:val="0"/>
          <w:sz w:val="22"/>
          <w:szCs w:val="28"/>
          <w:lang w:eastAsia="x-none"/>
        </w:rPr>
      </w:pPr>
      <w:r w:rsidRPr="00BF4AB8">
        <w:rPr>
          <w:b/>
          <w:bCs/>
          <w:snapToGrid w:val="0"/>
          <w:sz w:val="22"/>
          <w:szCs w:val="28"/>
          <w:lang w:eastAsia="x-none"/>
        </w:rPr>
        <w:t>Registruotojas</w:t>
      </w:r>
    </w:p>
    <w:p w14:paraId="6380D43F" w14:textId="77777777" w:rsidR="00892F95" w:rsidRPr="00F743FD" w:rsidRDefault="00892F95" w:rsidP="00892F95">
      <w:pPr>
        <w:numPr>
          <w:ilvl w:val="12"/>
          <w:numId w:val="0"/>
        </w:numPr>
        <w:ind w:right="-2"/>
        <w:rPr>
          <w:snapToGrid w:val="0"/>
          <w:sz w:val="16"/>
          <w:szCs w:val="16"/>
        </w:rPr>
      </w:pPr>
    </w:p>
    <w:p w14:paraId="605B6547" w14:textId="77777777" w:rsidR="00892F95" w:rsidRPr="00BF4AB8" w:rsidRDefault="00892F95" w:rsidP="00892F95">
      <w:pPr>
        <w:numPr>
          <w:ilvl w:val="12"/>
          <w:numId w:val="0"/>
        </w:numPr>
        <w:ind w:right="-2"/>
        <w:rPr>
          <w:snapToGrid w:val="0"/>
          <w:sz w:val="22"/>
          <w:szCs w:val="24"/>
        </w:rPr>
      </w:pPr>
      <w:r w:rsidRPr="00BF4AB8">
        <w:rPr>
          <w:snapToGrid w:val="0"/>
          <w:sz w:val="22"/>
          <w:szCs w:val="24"/>
        </w:rPr>
        <w:t xml:space="preserve">UAB </w:t>
      </w:r>
      <w:proofErr w:type="spellStart"/>
      <w:r w:rsidRPr="00BF4AB8">
        <w:rPr>
          <w:snapToGrid w:val="0"/>
          <w:sz w:val="22"/>
          <w:szCs w:val="24"/>
        </w:rPr>
        <w:t>Norameda</w:t>
      </w:r>
      <w:proofErr w:type="spellEnd"/>
    </w:p>
    <w:p w14:paraId="2D494051" w14:textId="77777777" w:rsidR="00892F95" w:rsidRPr="00BF4AB8" w:rsidRDefault="00892F95" w:rsidP="00892F95">
      <w:pPr>
        <w:numPr>
          <w:ilvl w:val="12"/>
          <w:numId w:val="0"/>
        </w:numPr>
        <w:ind w:right="-2"/>
        <w:rPr>
          <w:snapToGrid w:val="0"/>
          <w:sz w:val="22"/>
          <w:szCs w:val="24"/>
        </w:rPr>
      </w:pPr>
      <w:r w:rsidRPr="00BF4AB8">
        <w:rPr>
          <w:snapToGrid w:val="0"/>
          <w:sz w:val="22"/>
          <w:szCs w:val="24"/>
        </w:rPr>
        <w:t>Meistrų 8A,</w:t>
      </w:r>
    </w:p>
    <w:p w14:paraId="6E353000" w14:textId="77777777" w:rsidR="00892F95" w:rsidRPr="00BF4AB8" w:rsidRDefault="00892F95" w:rsidP="00892F95">
      <w:pPr>
        <w:numPr>
          <w:ilvl w:val="12"/>
          <w:numId w:val="0"/>
        </w:numPr>
        <w:ind w:right="-2"/>
        <w:rPr>
          <w:snapToGrid w:val="0"/>
          <w:sz w:val="22"/>
          <w:szCs w:val="24"/>
        </w:rPr>
      </w:pPr>
      <w:r w:rsidRPr="00BF4AB8">
        <w:rPr>
          <w:snapToGrid w:val="0"/>
          <w:sz w:val="22"/>
          <w:szCs w:val="24"/>
        </w:rPr>
        <w:t>LT-02189 Vilnius,</w:t>
      </w:r>
    </w:p>
    <w:p w14:paraId="097F6245" w14:textId="77777777" w:rsidR="00892F95" w:rsidRPr="00BF4AB8" w:rsidRDefault="00892F95" w:rsidP="00892F95">
      <w:pPr>
        <w:numPr>
          <w:ilvl w:val="12"/>
          <w:numId w:val="0"/>
        </w:numPr>
        <w:ind w:right="-2"/>
        <w:rPr>
          <w:snapToGrid w:val="0"/>
          <w:sz w:val="22"/>
          <w:szCs w:val="24"/>
        </w:rPr>
      </w:pPr>
      <w:r w:rsidRPr="00BF4AB8">
        <w:rPr>
          <w:snapToGrid w:val="0"/>
          <w:sz w:val="22"/>
          <w:szCs w:val="24"/>
        </w:rPr>
        <w:t>Lietuva</w:t>
      </w:r>
    </w:p>
    <w:p w14:paraId="76E9A4B0" w14:textId="77777777" w:rsidR="00892F95" w:rsidRPr="00BF4AB8" w:rsidRDefault="00892F95" w:rsidP="00892F95">
      <w:pPr>
        <w:numPr>
          <w:ilvl w:val="12"/>
          <w:numId w:val="0"/>
        </w:numPr>
        <w:ind w:right="-2"/>
        <w:rPr>
          <w:snapToGrid w:val="0"/>
          <w:sz w:val="22"/>
          <w:szCs w:val="24"/>
        </w:rPr>
      </w:pPr>
    </w:p>
    <w:p w14:paraId="7C5FF9E8" w14:textId="77777777" w:rsidR="00892F95" w:rsidRPr="00BF4AB8" w:rsidRDefault="00892F95" w:rsidP="00892F95">
      <w:pPr>
        <w:tabs>
          <w:tab w:val="left" w:pos="567"/>
        </w:tabs>
        <w:ind w:right="-2"/>
        <w:rPr>
          <w:b/>
          <w:bCs/>
          <w:snapToGrid w:val="0"/>
          <w:sz w:val="22"/>
        </w:rPr>
      </w:pPr>
      <w:r w:rsidRPr="00BF4AB8">
        <w:rPr>
          <w:b/>
          <w:bCs/>
          <w:snapToGrid w:val="0"/>
          <w:sz w:val="22"/>
        </w:rPr>
        <w:t>Gamintojas</w:t>
      </w:r>
    </w:p>
    <w:p w14:paraId="090330CC" w14:textId="77777777" w:rsidR="00892F95" w:rsidRPr="00F743FD" w:rsidRDefault="00892F95" w:rsidP="00892F95">
      <w:pPr>
        <w:tabs>
          <w:tab w:val="left" w:pos="567"/>
        </w:tabs>
        <w:ind w:right="-2"/>
        <w:rPr>
          <w:snapToGrid w:val="0"/>
          <w:sz w:val="16"/>
          <w:szCs w:val="16"/>
        </w:rPr>
      </w:pPr>
    </w:p>
    <w:p w14:paraId="5A73AACB" w14:textId="77777777" w:rsidR="00892F95" w:rsidRPr="00BF4AB8" w:rsidRDefault="00892F95" w:rsidP="00892F95">
      <w:pPr>
        <w:tabs>
          <w:tab w:val="left" w:pos="0"/>
        </w:tabs>
        <w:ind w:right="-2"/>
        <w:rPr>
          <w:snapToGrid w:val="0"/>
          <w:sz w:val="22"/>
        </w:rPr>
      </w:pPr>
      <w:proofErr w:type="spellStart"/>
      <w:r w:rsidRPr="00BF4AB8">
        <w:rPr>
          <w:snapToGrid w:val="0"/>
          <w:sz w:val="22"/>
        </w:rPr>
        <w:t>Pharmadox</w:t>
      </w:r>
      <w:proofErr w:type="spellEnd"/>
      <w:r w:rsidRPr="00BF4AB8">
        <w:rPr>
          <w:snapToGrid w:val="0"/>
          <w:sz w:val="22"/>
        </w:rPr>
        <w:t xml:space="preserve"> </w:t>
      </w:r>
      <w:proofErr w:type="spellStart"/>
      <w:r w:rsidRPr="00BF4AB8">
        <w:rPr>
          <w:snapToGrid w:val="0"/>
          <w:sz w:val="22"/>
        </w:rPr>
        <w:t>Healthcare</w:t>
      </w:r>
      <w:proofErr w:type="spellEnd"/>
      <w:r w:rsidRPr="00BF4AB8">
        <w:rPr>
          <w:snapToGrid w:val="0"/>
          <w:sz w:val="22"/>
        </w:rPr>
        <w:t xml:space="preserve"> </w:t>
      </w:r>
      <w:proofErr w:type="spellStart"/>
      <w:r w:rsidRPr="00BF4AB8">
        <w:rPr>
          <w:snapToGrid w:val="0"/>
          <w:sz w:val="22"/>
        </w:rPr>
        <w:t>Limited</w:t>
      </w:r>
      <w:proofErr w:type="spellEnd"/>
    </w:p>
    <w:p w14:paraId="226C1FCA" w14:textId="77777777" w:rsidR="00892F95" w:rsidRPr="00BF4AB8" w:rsidRDefault="00892F95" w:rsidP="00892F95">
      <w:pPr>
        <w:tabs>
          <w:tab w:val="left" w:pos="0"/>
        </w:tabs>
        <w:ind w:right="-2"/>
        <w:rPr>
          <w:snapToGrid w:val="0"/>
          <w:sz w:val="22"/>
        </w:rPr>
      </w:pPr>
      <w:r w:rsidRPr="00BF4AB8">
        <w:rPr>
          <w:snapToGrid w:val="0"/>
          <w:sz w:val="22"/>
        </w:rPr>
        <w:t xml:space="preserve">KW20A </w:t>
      </w:r>
      <w:proofErr w:type="spellStart"/>
      <w:r w:rsidRPr="00BF4AB8">
        <w:rPr>
          <w:snapToGrid w:val="0"/>
          <w:sz w:val="22"/>
        </w:rPr>
        <w:t>Kordin</w:t>
      </w:r>
      <w:proofErr w:type="spellEnd"/>
      <w:r w:rsidRPr="00BF4AB8">
        <w:rPr>
          <w:snapToGrid w:val="0"/>
          <w:sz w:val="22"/>
        </w:rPr>
        <w:t xml:space="preserve"> </w:t>
      </w:r>
      <w:proofErr w:type="spellStart"/>
      <w:r w:rsidRPr="00BF4AB8">
        <w:rPr>
          <w:snapToGrid w:val="0"/>
          <w:sz w:val="22"/>
        </w:rPr>
        <w:t>Industrial</w:t>
      </w:r>
      <w:proofErr w:type="spellEnd"/>
      <w:r w:rsidRPr="00BF4AB8">
        <w:rPr>
          <w:snapToGrid w:val="0"/>
          <w:sz w:val="22"/>
        </w:rPr>
        <w:t xml:space="preserve"> </w:t>
      </w:r>
      <w:proofErr w:type="spellStart"/>
      <w:r w:rsidRPr="00BF4AB8">
        <w:rPr>
          <w:snapToGrid w:val="0"/>
          <w:sz w:val="22"/>
        </w:rPr>
        <w:t>Park</w:t>
      </w:r>
      <w:proofErr w:type="spellEnd"/>
    </w:p>
    <w:p w14:paraId="290C4D65" w14:textId="77777777" w:rsidR="00892F95" w:rsidRPr="00BF4AB8" w:rsidRDefault="00892F95" w:rsidP="00892F95">
      <w:pPr>
        <w:tabs>
          <w:tab w:val="left" w:pos="0"/>
        </w:tabs>
        <w:ind w:right="-2"/>
        <w:rPr>
          <w:snapToGrid w:val="0"/>
          <w:sz w:val="22"/>
        </w:rPr>
      </w:pPr>
      <w:proofErr w:type="spellStart"/>
      <w:r w:rsidRPr="00BF4AB8">
        <w:rPr>
          <w:snapToGrid w:val="0"/>
          <w:sz w:val="22"/>
        </w:rPr>
        <w:t>Paola</w:t>
      </w:r>
      <w:proofErr w:type="spellEnd"/>
      <w:r w:rsidRPr="00BF4AB8">
        <w:rPr>
          <w:snapToGrid w:val="0"/>
          <w:sz w:val="22"/>
        </w:rPr>
        <w:t xml:space="preserve"> PLA 3000</w:t>
      </w:r>
    </w:p>
    <w:p w14:paraId="5801DA55" w14:textId="77777777" w:rsidR="00892F95" w:rsidRPr="00BF4AB8" w:rsidRDefault="00892F95" w:rsidP="00892F95">
      <w:pPr>
        <w:tabs>
          <w:tab w:val="left" w:pos="0"/>
        </w:tabs>
        <w:ind w:right="-2"/>
        <w:rPr>
          <w:snapToGrid w:val="0"/>
          <w:sz w:val="22"/>
        </w:rPr>
      </w:pPr>
      <w:r w:rsidRPr="00BF4AB8">
        <w:rPr>
          <w:snapToGrid w:val="0"/>
          <w:sz w:val="22"/>
        </w:rPr>
        <w:t>Malta</w:t>
      </w:r>
    </w:p>
    <w:p w14:paraId="5A21C306" w14:textId="77777777" w:rsidR="00892F95" w:rsidRPr="00F743FD" w:rsidRDefault="00892F95" w:rsidP="00892F95">
      <w:pPr>
        <w:tabs>
          <w:tab w:val="left" w:pos="0"/>
        </w:tabs>
        <w:ind w:right="-2"/>
        <w:rPr>
          <w:snapToGrid w:val="0"/>
          <w:sz w:val="16"/>
          <w:szCs w:val="16"/>
        </w:rPr>
      </w:pPr>
    </w:p>
    <w:p w14:paraId="5C439658" w14:textId="77777777" w:rsidR="00892F95" w:rsidRPr="00BF4AB8" w:rsidRDefault="00892F95" w:rsidP="00892F95">
      <w:pPr>
        <w:tabs>
          <w:tab w:val="left" w:pos="0"/>
        </w:tabs>
        <w:ind w:right="-2"/>
        <w:rPr>
          <w:snapToGrid w:val="0"/>
          <w:sz w:val="22"/>
        </w:rPr>
      </w:pPr>
      <w:proofErr w:type="spellStart"/>
      <w:r w:rsidRPr="00BF4AB8">
        <w:rPr>
          <w:snapToGrid w:val="0"/>
          <w:sz w:val="22"/>
        </w:rPr>
        <w:t>Adalvo</w:t>
      </w:r>
      <w:proofErr w:type="spellEnd"/>
      <w:r w:rsidRPr="00BF4AB8">
        <w:rPr>
          <w:snapToGrid w:val="0"/>
          <w:sz w:val="22"/>
        </w:rPr>
        <w:t xml:space="preserve"> </w:t>
      </w:r>
      <w:proofErr w:type="spellStart"/>
      <w:r w:rsidRPr="00BF4AB8">
        <w:rPr>
          <w:snapToGrid w:val="0"/>
          <w:sz w:val="22"/>
        </w:rPr>
        <w:t>Limited</w:t>
      </w:r>
      <w:proofErr w:type="spellEnd"/>
    </w:p>
    <w:p w14:paraId="27EB8DA7" w14:textId="77777777" w:rsidR="00892F95" w:rsidRPr="00BF4AB8" w:rsidRDefault="00892F95" w:rsidP="00892F95">
      <w:pPr>
        <w:tabs>
          <w:tab w:val="left" w:pos="0"/>
        </w:tabs>
        <w:ind w:right="-2"/>
        <w:rPr>
          <w:snapToGrid w:val="0"/>
          <w:sz w:val="22"/>
        </w:rPr>
      </w:pPr>
      <w:r w:rsidRPr="00BF4AB8">
        <w:rPr>
          <w:snapToGrid w:val="0"/>
          <w:sz w:val="22"/>
        </w:rPr>
        <w:t xml:space="preserve">Malta </w:t>
      </w:r>
      <w:proofErr w:type="spellStart"/>
      <w:r w:rsidRPr="00BF4AB8">
        <w:rPr>
          <w:snapToGrid w:val="0"/>
          <w:sz w:val="22"/>
        </w:rPr>
        <w:t>Life</w:t>
      </w:r>
      <w:proofErr w:type="spellEnd"/>
      <w:r w:rsidRPr="00BF4AB8">
        <w:rPr>
          <w:snapToGrid w:val="0"/>
          <w:sz w:val="22"/>
        </w:rPr>
        <w:t xml:space="preserve"> </w:t>
      </w:r>
      <w:proofErr w:type="spellStart"/>
      <w:r w:rsidRPr="00BF4AB8">
        <w:rPr>
          <w:snapToGrid w:val="0"/>
          <w:sz w:val="22"/>
        </w:rPr>
        <w:t>Sciences</w:t>
      </w:r>
      <w:proofErr w:type="spellEnd"/>
      <w:r w:rsidRPr="00BF4AB8">
        <w:rPr>
          <w:snapToGrid w:val="0"/>
          <w:sz w:val="22"/>
        </w:rPr>
        <w:t xml:space="preserve"> </w:t>
      </w:r>
      <w:proofErr w:type="spellStart"/>
      <w:r w:rsidRPr="00BF4AB8">
        <w:rPr>
          <w:snapToGrid w:val="0"/>
          <w:sz w:val="22"/>
        </w:rPr>
        <w:t>Park</w:t>
      </w:r>
      <w:proofErr w:type="spellEnd"/>
      <w:r w:rsidRPr="00BF4AB8">
        <w:rPr>
          <w:snapToGrid w:val="0"/>
          <w:sz w:val="22"/>
        </w:rPr>
        <w:t xml:space="preserve"> </w:t>
      </w:r>
      <w:proofErr w:type="spellStart"/>
      <w:r w:rsidRPr="00BF4AB8">
        <w:rPr>
          <w:snapToGrid w:val="0"/>
          <w:sz w:val="22"/>
        </w:rPr>
        <w:t>Building</w:t>
      </w:r>
      <w:proofErr w:type="spellEnd"/>
      <w:r w:rsidRPr="00BF4AB8">
        <w:rPr>
          <w:snapToGrid w:val="0"/>
          <w:sz w:val="22"/>
        </w:rPr>
        <w:t xml:space="preserve"> 1 </w:t>
      </w:r>
      <w:proofErr w:type="spellStart"/>
      <w:r w:rsidRPr="00BF4AB8">
        <w:rPr>
          <w:snapToGrid w:val="0"/>
          <w:sz w:val="22"/>
        </w:rPr>
        <w:t>Level</w:t>
      </w:r>
      <w:proofErr w:type="spellEnd"/>
      <w:r w:rsidRPr="00BF4AB8">
        <w:rPr>
          <w:snapToGrid w:val="0"/>
          <w:sz w:val="22"/>
        </w:rPr>
        <w:t xml:space="preserve"> 4</w:t>
      </w:r>
    </w:p>
    <w:p w14:paraId="12A617C9" w14:textId="77777777" w:rsidR="00892F95" w:rsidRPr="00BF4AB8" w:rsidRDefault="00892F95" w:rsidP="00892F95">
      <w:pPr>
        <w:tabs>
          <w:tab w:val="left" w:pos="0"/>
        </w:tabs>
        <w:ind w:right="-2"/>
        <w:rPr>
          <w:snapToGrid w:val="0"/>
          <w:sz w:val="22"/>
        </w:rPr>
      </w:pPr>
      <w:proofErr w:type="spellStart"/>
      <w:r w:rsidRPr="00BF4AB8">
        <w:rPr>
          <w:snapToGrid w:val="0"/>
          <w:sz w:val="22"/>
        </w:rPr>
        <w:t>Sir</w:t>
      </w:r>
      <w:proofErr w:type="spellEnd"/>
      <w:r w:rsidRPr="00BF4AB8">
        <w:rPr>
          <w:snapToGrid w:val="0"/>
          <w:sz w:val="22"/>
        </w:rPr>
        <w:t xml:space="preserve"> </w:t>
      </w:r>
      <w:proofErr w:type="spellStart"/>
      <w:r w:rsidRPr="00BF4AB8">
        <w:rPr>
          <w:snapToGrid w:val="0"/>
          <w:sz w:val="22"/>
        </w:rPr>
        <w:t>Temi</w:t>
      </w:r>
      <w:proofErr w:type="spellEnd"/>
      <w:r w:rsidRPr="00BF4AB8">
        <w:rPr>
          <w:snapToGrid w:val="0"/>
          <w:sz w:val="22"/>
        </w:rPr>
        <w:t xml:space="preserve"> </w:t>
      </w:r>
      <w:proofErr w:type="spellStart"/>
      <w:r w:rsidRPr="00BF4AB8">
        <w:rPr>
          <w:snapToGrid w:val="0"/>
          <w:sz w:val="22"/>
        </w:rPr>
        <w:t>Zammit</w:t>
      </w:r>
      <w:proofErr w:type="spellEnd"/>
      <w:r w:rsidRPr="00BF4AB8">
        <w:rPr>
          <w:snapToGrid w:val="0"/>
          <w:sz w:val="22"/>
        </w:rPr>
        <w:t xml:space="preserve"> </w:t>
      </w:r>
      <w:proofErr w:type="spellStart"/>
      <w:r w:rsidRPr="00BF4AB8">
        <w:rPr>
          <w:snapToGrid w:val="0"/>
          <w:sz w:val="22"/>
        </w:rPr>
        <w:t>Buildings</w:t>
      </w:r>
      <w:proofErr w:type="spellEnd"/>
    </w:p>
    <w:p w14:paraId="08EB44E0" w14:textId="77777777" w:rsidR="00892F95" w:rsidRPr="00BF4AB8" w:rsidRDefault="00892F95" w:rsidP="00892F95">
      <w:pPr>
        <w:tabs>
          <w:tab w:val="left" w:pos="0"/>
        </w:tabs>
        <w:ind w:right="-2"/>
        <w:rPr>
          <w:snapToGrid w:val="0"/>
          <w:sz w:val="22"/>
        </w:rPr>
      </w:pPr>
      <w:r w:rsidRPr="00BF4AB8">
        <w:rPr>
          <w:snapToGrid w:val="0"/>
          <w:sz w:val="22"/>
        </w:rPr>
        <w:t xml:space="preserve">San </w:t>
      </w:r>
      <w:proofErr w:type="spellStart"/>
      <w:r w:rsidRPr="00BF4AB8">
        <w:rPr>
          <w:snapToGrid w:val="0"/>
          <w:sz w:val="22"/>
        </w:rPr>
        <w:t>Gwann</w:t>
      </w:r>
      <w:proofErr w:type="spellEnd"/>
      <w:r w:rsidRPr="00BF4AB8">
        <w:rPr>
          <w:snapToGrid w:val="0"/>
          <w:sz w:val="22"/>
        </w:rPr>
        <w:t xml:space="preserve"> </w:t>
      </w:r>
      <w:proofErr w:type="spellStart"/>
      <w:r w:rsidRPr="00BF4AB8">
        <w:rPr>
          <w:snapToGrid w:val="0"/>
          <w:sz w:val="22"/>
        </w:rPr>
        <w:t>Industrial</w:t>
      </w:r>
      <w:proofErr w:type="spellEnd"/>
      <w:r w:rsidRPr="00BF4AB8">
        <w:rPr>
          <w:snapToGrid w:val="0"/>
          <w:sz w:val="22"/>
        </w:rPr>
        <w:t xml:space="preserve"> </w:t>
      </w:r>
      <w:proofErr w:type="spellStart"/>
      <w:r w:rsidRPr="00BF4AB8">
        <w:rPr>
          <w:snapToGrid w:val="0"/>
          <w:sz w:val="22"/>
        </w:rPr>
        <w:t>Estate</w:t>
      </w:r>
      <w:proofErr w:type="spellEnd"/>
      <w:r w:rsidRPr="00BF4AB8">
        <w:rPr>
          <w:snapToGrid w:val="0"/>
          <w:sz w:val="22"/>
        </w:rPr>
        <w:t>, SGN 3000</w:t>
      </w:r>
    </w:p>
    <w:p w14:paraId="44BE0A75" w14:textId="77777777" w:rsidR="00892F95" w:rsidRPr="00BF4AB8" w:rsidRDefault="00892F95" w:rsidP="00892F95">
      <w:pPr>
        <w:tabs>
          <w:tab w:val="left" w:pos="0"/>
        </w:tabs>
        <w:ind w:right="-2"/>
        <w:rPr>
          <w:snapToGrid w:val="0"/>
          <w:sz w:val="22"/>
        </w:rPr>
      </w:pPr>
      <w:r w:rsidRPr="00BF4AB8">
        <w:rPr>
          <w:snapToGrid w:val="0"/>
          <w:sz w:val="22"/>
        </w:rPr>
        <w:t>Malta</w:t>
      </w:r>
    </w:p>
    <w:p w14:paraId="49A4167A" w14:textId="77777777" w:rsidR="00892F95" w:rsidRPr="00F743FD" w:rsidRDefault="00892F95" w:rsidP="00892F95">
      <w:pPr>
        <w:tabs>
          <w:tab w:val="left" w:pos="0"/>
        </w:tabs>
        <w:ind w:right="-2"/>
        <w:rPr>
          <w:snapToGrid w:val="0"/>
          <w:sz w:val="16"/>
          <w:szCs w:val="16"/>
        </w:rPr>
      </w:pPr>
    </w:p>
    <w:p w14:paraId="36FF1658" w14:textId="77777777" w:rsidR="00892F95" w:rsidRPr="00BF4AB8" w:rsidRDefault="00892F95" w:rsidP="00892F95">
      <w:pPr>
        <w:tabs>
          <w:tab w:val="left" w:pos="0"/>
        </w:tabs>
        <w:ind w:right="-2"/>
        <w:rPr>
          <w:snapToGrid w:val="0"/>
          <w:sz w:val="22"/>
        </w:rPr>
      </w:pPr>
      <w:r w:rsidRPr="00BF4AB8">
        <w:rPr>
          <w:snapToGrid w:val="0"/>
          <w:sz w:val="22"/>
        </w:rPr>
        <w:t>QUALIMETRIX S.A.</w:t>
      </w:r>
    </w:p>
    <w:p w14:paraId="73090781" w14:textId="77777777" w:rsidR="00892F95" w:rsidRPr="00BF4AB8" w:rsidRDefault="00892F95" w:rsidP="00892F95">
      <w:pPr>
        <w:tabs>
          <w:tab w:val="left" w:pos="0"/>
        </w:tabs>
        <w:ind w:right="-2"/>
        <w:rPr>
          <w:snapToGrid w:val="0"/>
          <w:sz w:val="22"/>
        </w:rPr>
      </w:pPr>
      <w:r w:rsidRPr="00BF4AB8">
        <w:rPr>
          <w:snapToGrid w:val="0"/>
          <w:sz w:val="22"/>
        </w:rPr>
        <w:t>579 MESOGEION AVENUE AGIA PARASKEVI,</w:t>
      </w:r>
    </w:p>
    <w:p w14:paraId="3C71E264" w14:textId="77777777" w:rsidR="00892F95" w:rsidRPr="00BF4AB8" w:rsidRDefault="00892F95" w:rsidP="00892F95">
      <w:pPr>
        <w:tabs>
          <w:tab w:val="left" w:pos="0"/>
        </w:tabs>
        <w:ind w:right="-2"/>
        <w:rPr>
          <w:snapToGrid w:val="0"/>
          <w:sz w:val="22"/>
        </w:rPr>
      </w:pPr>
      <w:proofErr w:type="spellStart"/>
      <w:r w:rsidRPr="00BF4AB8">
        <w:rPr>
          <w:snapToGrid w:val="0"/>
          <w:sz w:val="22"/>
        </w:rPr>
        <w:t>Athens</w:t>
      </w:r>
      <w:proofErr w:type="spellEnd"/>
      <w:r w:rsidRPr="00BF4AB8">
        <w:rPr>
          <w:snapToGrid w:val="0"/>
          <w:sz w:val="22"/>
        </w:rPr>
        <w:t>, 15343, Graikija</w:t>
      </w:r>
    </w:p>
    <w:p w14:paraId="7806D9FC" w14:textId="77777777" w:rsidR="00892F95" w:rsidRPr="00F743FD" w:rsidRDefault="00892F95" w:rsidP="00892F95">
      <w:pPr>
        <w:tabs>
          <w:tab w:val="left" w:pos="567"/>
        </w:tabs>
        <w:ind w:right="-2"/>
        <w:rPr>
          <w:snapToGrid w:val="0"/>
          <w:sz w:val="16"/>
          <w:szCs w:val="16"/>
        </w:rPr>
      </w:pPr>
    </w:p>
    <w:p w14:paraId="39E59993" w14:textId="77777777" w:rsidR="00892F95" w:rsidRPr="00BF4AB8" w:rsidRDefault="00892F95" w:rsidP="00892F95">
      <w:pPr>
        <w:tabs>
          <w:tab w:val="left" w:pos="567"/>
        </w:tabs>
        <w:ind w:right="-2"/>
        <w:rPr>
          <w:snapToGrid w:val="0"/>
          <w:sz w:val="22"/>
        </w:rPr>
      </w:pPr>
      <w:r w:rsidRPr="00BF4AB8">
        <w:rPr>
          <w:snapToGrid w:val="0"/>
          <w:sz w:val="22"/>
        </w:rPr>
        <w:t>Jeigu apie šį vaistą norite sužinoti daugiau, kreipkitės į vietinį registruotojo atstovą:</w:t>
      </w:r>
    </w:p>
    <w:p w14:paraId="38416E26" w14:textId="77777777" w:rsidR="00892F95" w:rsidRPr="00BF4AB8" w:rsidRDefault="00892F95" w:rsidP="00892F95">
      <w:pPr>
        <w:tabs>
          <w:tab w:val="left" w:pos="567"/>
        </w:tabs>
        <w:rPr>
          <w:snapToGrid w:val="0"/>
          <w:sz w:val="22"/>
          <w:szCs w:val="24"/>
        </w:rPr>
      </w:pPr>
    </w:p>
    <w:p w14:paraId="412B882A" w14:textId="77777777" w:rsidR="00892F95" w:rsidRPr="00DC19C7" w:rsidRDefault="00892F95" w:rsidP="00892F95">
      <w:pPr>
        <w:ind w:right="-2"/>
        <w:rPr>
          <w:snapToGrid w:val="0"/>
          <w:sz w:val="22"/>
          <w:szCs w:val="24"/>
        </w:rPr>
      </w:pPr>
      <w:r w:rsidRPr="00DC19C7">
        <w:rPr>
          <w:snapToGrid w:val="0"/>
          <w:sz w:val="22"/>
          <w:szCs w:val="24"/>
        </w:rPr>
        <w:t xml:space="preserve">UAB </w:t>
      </w:r>
      <w:proofErr w:type="spellStart"/>
      <w:r w:rsidRPr="00DC19C7">
        <w:rPr>
          <w:snapToGrid w:val="0"/>
          <w:sz w:val="22"/>
          <w:szCs w:val="24"/>
        </w:rPr>
        <w:t>Norameda</w:t>
      </w:r>
      <w:proofErr w:type="spellEnd"/>
    </w:p>
    <w:p w14:paraId="3E137D5D" w14:textId="77777777" w:rsidR="00892F95" w:rsidRPr="00DC19C7" w:rsidRDefault="00892F95" w:rsidP="00892F95">
      <w:pPr>
        <w:ind w:right="-2"/>
        <w:rPr>
          <w:snapToGrid w:val="0"/>
          <w:sz w:val="22"/>
          <w:szCs w:val="24"/>
        </w:rPr>
      </w:pPr>
      <w:r w:rsidRPr="00DC19C7">
        <w:rPr>
          <w:snapToGrid w:val="0"/>
          <w:sz w:val="22"/>
          <w:szCs w:val="24"/>
        </w:rPr>
        <w:t>Meistrų g. 8A</w:t>
      </w:r>
    </w:p>
    <w:p w14:paraId="0CBD24EA" w14:textId="77777777" w:rsidR="00892F95" w:rsidRPr="00DC19C7" w:rsidRDefault="00892F95" w:rsidP="00892F95">
      <w:pPr>
        <w:ind w:right="-2"/>
        <w:rPr>
          <w:snapToGrid w:val="0"/>
          <w:sz w:val="22"/>
          <w:szCs w:val="24"/>
        </w:rPr>
      </w:pPr>
      <w:r w:rsidRPr="00DC19C7">
        <w:rPr>
          <w:snapToGrid w:val="0"/>
          <w:sz w:val="22"/>
          <w:szCs w:val="24"/>
        </w:rPr>
        <w:t>LT-02189 Vilnius</w:t>
      </w:r>
    </w:p>
    <w:p w14:paraId="4F3DED76" w14:textId="75DAED1A" w:rsidR="00892F95" w:rsidRPr="00BF4AB8" w:rsidRDefault="00892F95" w:rsidP="00892F95">
      <w:pPr>
        <w:ind w:right="-2"/>
        <w:rPr>
          <w:snapToGrid w:val="0"/>
          <w:sz w:val="22"/>
        </w:rPr>
      </w:pPr>
      <w:r w:rsidRPr="00DC19C7">
        <w:rPr>
          <w:snapToGrid w:val="0"/>
          <w:sz w:val="22"/>
          <w:szCs w:val="24"/>
        </w:rPr>
        <w:lastRenderedPageBreak/>
        <w:t xml:space="preserve">Tel. </w:t>
      </w:r>
      <w:r w:rsidR="00ED666B">
        <w:rPr>
          <w:snapToGrid w:val="0"/>
          <w:sz w:val="22"/>
          <w:szCs w:val="24"/>
        </w:rPr>
        <w:t>+</w:t>
      </w:r>
      <w:r w:rsidR="00ED666B" w:rsidRPr="00D57325">
        <w:rPr>
          <w:snapToGrid w:val="0"/>
          <w:sz w:val="22"/>
          <w:szCs w:val="24"/>
        </w:rPr>
        <w:t>370</w:t>
      </w:r>
      <w:r w:rsidRPr="00D57325">
        <w:rPr>
          <w:snapToGrid w:val="0"/>
          <w:sz w:val="22"/>
          <w:szCs w:val="24"/>
        </w:rPr>
        <w:t xml:space="preserve"> 5</w:t>
      </w:r>
      <w:r w:rsidRPr="00DC19C7">
        <w:rPr>
          <w:snapToGrid w:val="0"/>
          <w:sz w:val="22"/>
          <w:szCs w:val="24"/>
        </w:rPr>
        <w:t xml:space="preserve"> 2306499</w:t>
      </w:r>
    </w:p>
    <w:p w14:paraId="15CBBA83" w14:textId="77777777" w:rsidR="00892F95" w:rsidRPr="00BF4AB8" w:rsidRDefault="00892F95" w:rsidP="00892F95">
      <w:pPr>
        <w:numPr>
          <w:ilvl w:val="12"/>
          <w:numId w:val="0"/>
        </w:numPr>
        <w:tabs>
          <w:tab w:val="left" w:pos="567"/>
        </w:tabs>
        <w:spacing w:line="260" w:lineRule="exact"/>
        <w:ind w:right="-2"/>
        <w:rPr>
          <w:snapToGrid w:val="0"/>
          <w:sz w:val="22"/>
        </w:rPr>
      </w:pPr>
    </w:p>
    <w:p w14:paraId="43BEE39E" w14:textId="77777777" w:rsidR="00892F95" w:rsidRPr="00BF4AB8" w:rsidRDefault="00892F95" w:rsidP="00892F95">
      <w:pPr>
        <w:numPr>
          <w:ilvl w:val="12"/>
          <w:numId w:val="0"/>
        </w:numPr>
        <w:tabs>
          <w:tab w:val="left" w:pos="567"/>
        </w:tabs>
        <w:spacing w:line="260" w:lineRule="exact"/>
        <w:ind w:right="-2"/>
        <w:rPr>
          <w:snapToGrid w:val="0"/>
          <w:sz w:val="22"/>
        </w:rPr>
      </w:pPr>
      <w:r w:rsidRPr="00BF4AB8">
        <w:rPr>
          <w:b/>
          <w:snapToGrid w:val="0"/>
          <w:sz w:val="22"/>
        </w:rPr>
        <w:t>Šis vaistas Europos ekonominės erdvės valstybėse narėse registruotas tokiais pavadinimais:</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7648"/>
      </w:tblGrid>
      <w:tr w:rsidR="00892F95" w:rsidRPr="00BF4AB8" w14:paraId="74B99D9A" w14:textId="77777777" w:rsidTr="008533BD">
        <w:tc>
          <w:tcPr>
            <w:tcW w:w="1413" w:type="dxa"/>
            <w:shd w:val="clear" w:color="auto" w:fill="auto"/>
          </w:tcPr>
          <w:p w14:paraId="0D2F0ECD" w14:textId="77777777" w:rsidR="00892F95" w:rsidRPr="00BF4AB8" w:rsidRDefault="00892F95" w:rsidP="008533BD">
            <w:pPr>
              <w:numPr>
                <w:ilvl w:val="12"/>
                <w:numId w:val="0"/>
              </w:numPr>
              <w:ind w:right="-2"/>
              <w:rPr>
                <w:rFonts w:eastAsia="Calibri"/>
                <w:sz w:val="22"/>
                <w:szCs w:val="22"/>
                <w:lang w:val="lt-LT"/>
              </w:rPr>
            </w:pPr>
            <w:r w:rsidRPr="00BF4AB8">
              <w:rPr>
                <w:rFonts w:eastAsia="Calibri"/>
                <w:sz w:val="22"/>
                <w:szCs w:val="22"/>
                <w:lang w:val="lt-LT"/>
              </w:rPr>
              <w:t>Islandija</w:t>
            </w:r>
          </w:p>
        </w:tc>
        <w:tc>
          <w:tcPr>
            <w:tcW w:w="7648" w:type="dxa"/>
            <w:shd w:val="clear" w:color="auto" w:fill="auto"/>
          </w:tcPr>
          <w:p w14:paraId="61577F40" w14:textId="77777777" w:rsidR="00892F95" w:rsidRPr="00BF4AB8" w:rsidRDefault="00892F95" w:rsidP="008533BD">
            <w:pPr>
              <w:numPr>
                <w:ilvl w:val="12"/>
                <w:numId w:val="0"/>
              </w:numPr>
              <w:ind w:right="-2"/>
              <w:rPr>
                <w:rFonts w:eastAsia="Calibri"/>
                <w:sz w:val="22"/>
                <w:szCs w:val="22"/>
                <w:lang w:val="lt-LT"/>
              </w:rPr>
            </w:pPr>
            <w:proofErr w:type="spellStart"/>
            <w:r w:rsidRPr="00BF4AB8">
              <w:rPr>
                <w:rFonts w:eastAsia="Calibri"/>
                <w:sz w:val="22"/>
                <w:szCs w:val="22"/>
                <w:lang w:val="lt-LT"/>
              </w:rPr>
              <w:t>Nytyka</w:t>
            </w:r>
            <w:proofErr w:type="spellEnd"/>
            <w:r w:rsidRPr="00BF4AB8">
              <w:rPr>
                <w:rFonts w:eastAsia="Calibri"/>
                <w:sz w:val="22"/>
                <w:szCs w:val="22"/>
                <w:lang w:val="lt-LT"/>
              </w:rPr>
              <w:t xml:space="preserve"> 150</w:t>
            </w:r>
            <w:r>
              <w:rPr>
                <w:rFonts w:eastAsia="Calibri"/>
                <w:sz w:val="22"/>
                <w:szCs w:val="22"/>
                <w:lang w:val="lt-LT"/>
              </w:rPr>
              <w:t> </w:t>
            </w:r>
            <w:r w:rsidRPr="00BF4AB8">
              <w:rPr>
                <w:rFonts w:eastAsia="Calibri"/>
                <w:sz w:val="22"/>
                <w:szCs w:val="22"/>
                <w:lang w:val="lt-LT"/>
              </w:rPr>
              <w:t xml:space="preserve">mg </w:t>
            </w:r>
            <w:proofErr w:type="spellStart"/>
            <w:r w:rsidRPr="00BF4AB8">
              <w:rPr>
                <w:rFonts w:eastAsia="Calibri"/>
                <w:sz w:val="22"/>
                <w:szCs w:val="22"/>
                <w:lang w:val="lt-LT"/>
              </w:rPr>
              <w:t>mjúk</w:t>
            </w:r>
            <w:proofErr w:type="spellEnd"/>
            <w:r w:rsidRPr="00BF4AB8">
              <w:rPr>
                <w:rFonts w:eastAsia="Calibri"/>
                <w:sz w:val="22"/>
                <w:szCs w:val="22"/>
                <w:lang w:val="lt-LT"/>
              </w:rPr>
              <w:t xml:space="preserve"> </w:t>
            </w:r>
            <w:proofErr w:type="spellStart"/>
            <w:r w:rsidRPr="00BF4AB8">
              <w:rPr>
                <w:rFonts w:eastAsia="Calibri"/>
                <w:sz w:val="22"/>
                <w:szCs w:val="22"/>
                <w:lang w:val="lt-LT"/>
              </w:rPr>
              <w:t>hylki</w:t>
            </w:r>
            <w:proofErr w:type="spellEnd"/>
          </w:p>
        </w:tc>
      </w:tr>
      <w:tr w:rsidR="00892F95" w:rsidRPr="00BF4AB8" w14:paraId="5F52C1AB" w14:textId="77777777" w:rsidTr="008533BD">
        <w:tc>
          <w:tcPr>
            <w:tcW w:w="1413" w:type="dxa"/>
            <w:shd w:val="clear" w:color="auto" w:fill="auto"/>
          </w:tcPr>
          <w:p w14:paraId="0FE0179B" w14:textId="77777777" w:rsidR="00892F95" w:rsidRPr="00BF4AB8" w:rsidRDefault="00892F95" w:rsidP="008533BD">
            <w:pPr>
              <w:numPr>
                <w:ilvl w:val="12"/>
                <w:numId w:val="0"/>
              </w:numPr>
              <w:ind w:right="-2"/>
              <w:rPr>
                <w:rFonts w:eastAsia="Calibri"/>
                <w:sz w:val="22"/>
                <w:szCs w:val="22"/>
                <w:lang w:val="lt-LT"/>
              </w:rPr>
            </w:pPr>
            <w:r w:rsidRPr="00BF4AB8">
              <w:rPr>
                <w:rFonts w:eastAsia="Calibri"/>
                <w:sz w:val="22"/>
                <w:szCs w:val="22"/>
                <w:lang w:val="lt-LT"/>
              </w:rPr>
              <w:t>Est</w:t>
            </w:r>
            <w:r>
              <w:rPr>
                <w:rFonts w:eastAsia="Calibri"/>
                <w:sz w:val="22"/>
                <w:szCs w:val="22"/>
                <w:lang w:val="lt-LT"/>
              </w:rPr>
              <w:t>ija</w:t>
            </w:r>
          </w:p>
        </w:tc>
        <w:tc>
          <w:tcPr>
            <w:tcW w:w="7648" w:type="dxa"/>
            <w:shd w:val="clear" w:color="auto" w:fill="auto"/>
          </w:tcPr>
          <w:p w14:paraId="22F65620" w14:textId="77777777" w:rsidR="00892F95" w:rsidRPr="00BF4AB8" w:rsidRDefault="00892F95" w:rsidP="008533BD">
            <w:pPr>
              <w:numPr>
                <w:ilvl w:val="12"/>
                <w:numId w:val="0"/>
              </w:numPr>
              <w:ind w:right="-2"/>
              <w:rPr>
                <w:rFonts w:eastAsia="Calibri"/>
                <w:sz w:val="22"/>
                <w:szCs w:val="22"/>
                <w:lang w:val="lt-LT"/>
              </w:rPr>
            </w:pPr>
            <w:proofErr w:type="spellStart"/>
            <w:r w:rsidRPr="00BF4AB8">
              <w:rPr>
                <w:rFonts w:eastAsia="Calibri"/>
                <w:sz w:val="22"/>
                <w:szCs w:val="22"/>
                <w:lang w:val="lt-LT"/>
              </w:rPr>
              <w:t>Nytyka</w:t>
            </w:r>
            <w:proofErr w:type="spellEnd"/>
          </w:p>
        </w:tc>
      </w:tr>
      <w:tr w:rsidR="00892F95" w:rsidRPr="00BF4AB8" w14:paraId="3424597A" w14:textId="77777777" w:rsidTr="008533BD">
        <w:tc>
          <w:tcPr>
            <w:tcW w:w="1413" w:type="dxa"/>
            <w:shd w:val="clear" w:color="auto" w:fill="auto"/>
          </w:tcPr>
          <w:p w14:paraId="04DCB83B" w14:textId="77777777" w:rsidR="00892F95" w:rsidRPr="00BF4AB8" w:rsidRDefault="00892F95" w:rsidP="008533BD">
            <w:pPr>
              <w:numPr>
                <w:ilvl w:val="12"/>
                <w:numId w:val="0"/>
              </w:numPr>
              <w:ind w:right="-2"/>
              <w:rPr>
                <w:rFonts w:eastAsia="Calibri"/>
                <w:sz w:val="22"/>
                <w:szCs w:val="22"/>
                <w:lang w:val="lt-LT"/>
              </w:rPr>
            </w:pPr>
            <w:r>
              <w:rPr>
                <w:rFonts w:eastAsia="Calibri"/>
                <w:sz w:val="22"/>
                <w:szCs w:val="22"/>
                <w:lang w:val="lt-LT"/>
              </w:rPr>
              <w:t>Lietuva</w:t>
            </w:r>
          </w:p>
        </w:tc>
        <w:tc>
          <w:tcPr>
            <w:tcW w:w="7648" w:type="dxa"/>
            <w:shd w:val="clear" w:color="auto" w:fill="auto"/>
          </w:tcPr>
          <w:p w14:paraId="2294739F" w14:textId="77777777" w:rsidR="00892F95" w:rsidRPr="00BF4AB8" w:rsidRDefault="00892F95" w:rsidP="008533BD">
            <w:pPr>
              <w:numPr>
                <w:ilvl w:val="12"/>
                <w:numId w:val="0"/>
              </w:numPr>
              <w:ind w:right="-2"/>
              <w:rPr>
                <w:rFonts w:eastAsia="Calibri"/>
                <w:sz w:val="22"/>
                <w:szCs w:val="22"/>
                <w:lang w:val="lt-LT"/>
              </w:rPr>
            </w:pPr>
            <w:proofErr w:type="spellStart"/>
            <w:r w:rsidRPr="00BF4AB8">
              <w:rPr>
                <w:rFonts w:eastAsia="Calibri"/>
                <w:sz w:val="22"/>
                <w:szCs w:val="22"/>
                <w:lang w:val="lt-LT"/>
              </w:rPr>
              <w:t>Nytyka</w:t>
            </w:r>
            <w:proofErr w:type="spellEnd"/>
            <w:r w:rsidRPr="00BF4AB8">
              <w:rPr>
                <w:rFonts w:eastAsia="Calibri"/>
                <w:sz w:val="22"/>
                <w:szCs w:val="22"/>
                <w:lang w:val="lt-LT"/>
              </w:rPr>
              <w:t xml:space="preserve"> 150</w:t>
            </w:r>
            <w:r>
              <w:rPr>
                <w:rFonts w:eastAsia="Calibri"/>
                <w:sz w:val="22"/>
                <w:szCs w:val="22"/>
                <w:lang w:val="lt-LT"/>
              </w:rPr>
              <w:t> </w:t>
            </w:r>
            <w:r w:rsidRPr="00BF4AB8">
              <w:rPr>
                <w:rFonts w:eastAsia="Calibri"/>
                <w:sz w:val="22"/>
                <w:szCs w:val="22"/>
                <w:lang w:val="lt-LT"/>
              </w:rPr>
              <w:t>mg minkštosios kapsulės</w:t>
            </w:r>
          </w:p>
        </w:tc>
      </w:tr>
      <w:tr w:rsidR="00892F95" w:rsidRPr="00BF4AB8" w14:paraId="7F006947" w14:textId="77777777" w:rsidTr="008533BD">
        <w:tc>
          <w:tcPr>
            <w:tcW w:w="1413" w:type="dxa"/>
            <w:shd w:val="clear" w:color="auto" w:fill="auto"/>
          </w:tcPr>
          <w:p w14:paraId="7189786E" w14:textId="77777777" w:rsidR="00892F95" w:rsidRPr="00BF4AB8" w:rsidRDefault="00892F95" w:rsidP="008533BD">
            <w:pPr>
              <w:numPr>
                <w:ilvl w:val="12"/>
                <w:numId w:val="0"/>
              </w:numPr>
              <w:ind w:right="-2"/>
              <w:rPr>
                <w:rFonts w:eastAsia="Calibri"/>
                <w:sz w:val="22"/>
                <w:szCs w:val="22"/>
                <w:lang w:val="lt-LT"/>
              </w:rPr>
            </w:pPr>
            <w:r w:rsidRPr="00BF4AB8">
              <w:rPr>
                <w:rFonts w:eastAsia="Calibri"/>
                <w:sz w:val="22"/>
                <w:szCs w:val="22"/>
                <w:lang w:val="lt-LT"/>
              </w:rPr>
              <w:t>Latvi</w:t>
            </w:r>
            <w:r>
              <w:rPr>
                <w:rFonts w:eastAsia="Calibri"/>
                <w:sz w:val="22"/>
                <w:szCs w:val="22"/>
                <w:lang w:val="lt-LT"/>
              </w:rPr>
              <w:t>j</w:t>
            </w:r>
            <w:r w:rsidRPr="00BF4AB8">
              <w:rPr>
                <w:rFonts w:eastAsia="Calibri"/>
                <w:sz w:val="22"/>
                <w:szCs w:val="22"/>
                <w:lang w:val="lt-LT"/>
              </w:rPr>
              <w:t>a</w:t>
            </w:r>
          </w:p>
        </w:tc>
        <w:tc>
          <w:tcPr>
            <w:tcW w:w="7648" w:type="dxa"/>
            <w:shd w:val="clear" w:color="auto" w:fill="auto"/>
          </w:tcPr>
          <w:p w14:paraId="41DE0F5E" w14:textId="77777777" w:rsidR="00892F95" w:rsidRPr="00BF4AB8" w:rsidRDefault="00892F95" w:rsidP="008533BD">
            <w:pPr>
              <w:numPr>
                <w:ilvl w:val="12"/>
                <w:numId w:val="0"/>
              </w:numPr>
              <w:ind w:right="-2"/>
              <w:rPr>
                <w:rFonts w:eastAsia="Calibri"/>
                <w:sz w:val="22"/>
                <w:szCs w:val="22"/>
                <w:lang w:val="lt-LT"/>
              </w:rPr>
            </w:pPr>
            <w:proofErr w:type="spellStart"/>
            <w:r w:rsidRPr="00BF4AB8">
              <w:rPr>
                <w:rFonts w:eastAsia="Calibri"/>
                <w:sz w:val="22"/>
                <w:szCs w:val="22"/>
                <w:lang w:val="lt-LT"/>
              </w:rPr>
              <w:t>Nytyka</w:t>
            </w:r>
            <w:proofErr w:type="spellEnd"/>
            <w:r w:rsidRPr="00BF4AB8">
              <w:rPr>
                <w:rFonts w:eastAsia="Calibri"/>
                <w:sz w:val="22"/>
                <w:szCs w:val="22"/>
                <w:lang w:val="lt-LT"/>
              </w:rPr>
              <w:t xml:space="preserve"> 150</w:t>
            </w:r>
            <w:r>
              <w:rPr>
                <w:rFonts w:eastAsia="Calibri"/>
                <w:sz w:val="22"/>
                <w:szCs w:val="22"/>
                <w:lang w:val="lt-LT"/>
              </w:rPr>
              <w:t> </w:t>
            </w:r>
            <w:r w:rsidRPr="00BF4AB8">
              <w:rPr>
                <w:rFonts w:eastAsia="Calibri"/>
                <w:sz w:val="22"/>
                <w:szCs w:val="22"/>
                <w:lang w:val="lt-LT"/>
              </w:rPr>
              <w:t xml:space="preserve">mg </w:t>
            </w:r>
            <w:proofErr w:type="spellStart"/>
            <w:r w:rsidRPr="00BF4AB8">
              <w:rPr>
                <w:rFonts w:eastAsia="Calibri"/>
                <w:sz w:val="22"/>
                <w:szCs w:val="22"/>
                <w:lang w:val="lt-LT"/>
              </w:rPr>
              <w:t>mīkstās</w:t>
            </w:r>
            <w:proofErr w:type="spellEnd"/>
            <w:r w:rsidRPr="00BF4AB8">
              <w:rPr>
                <w:rFonts w:eastAsia="Calibri"/>
                <w:sz w:val="22"/>
                <w:szCs w:val="22"/>
                <w:lang w:val="lt-LT"/>
              </w:rPr>
              <w:t xml:space="preserve"> </w:t>
            </w:r>
            <w:proofErr w:type="spellStart"/>
            <w:r w:rsidRPr="00BF4AB8">
              <w:rPr>
                <w:rFonts w:eastAsia="Calibri"/>
                <w:sz w:val="22"/>
                <w:szCs w:val="22"/>
                <w:lang w:val="lt-LT"/>
              </w:rPr>
              <w:t>kapsulas</w:t>
            </w:r>
            <w:proofErr w:type="spellEnd"/>
          </w:p>
        </w:tc>
      </w:tr>
    </w:tbl>
    <w:p w14:paraId="4DD3CAB8" w14:textId="77777777" w:rsidR="00892F95" w:rsidRPr="00BF4AB8" w:rsidRDefault="00892F95" w:rsidP="00892F95">
      <w:pPr>
        <w:tabs>
          <w:tab w:val="left" w:pos="567"/>
        </w:tabs>
        <w:spacing w:line="260" w:lineRule="exact"/>
        <w:ind w:left="567" w:hanging="567"/>
        <w:rPr>
          <w:snapToGrid w:val="0"/>
          <w:sz w:val="22"/>
        </w:rPr>
      </w:pPr>
    </w:p>
    <w:p w14:paraId="5114CD7C" w14:textId="77777777" w:rsidR="00892F95" w:rsidRPr="00BF4AB8" w:rsidRDefault="00892F95" w:rsidP="00892F95">
      <w:pPr>
        <w:tabs>
          <w:tab w:val="left" w:pos="567"/>
        </w:tabs>
        <w:spacing w:line="260" w:lineRule="exact"/>
        <w:ind w:left="567" w:hanging="567"/>
        <w:rPr>
          <w:snapToGrid w:val="0"/>
          <w:sz w:val="22"/>
        </w:rPr>
      </w:pPr>
    </w:p>
    <w:p w14:paraId="261BE351" w14:textId="6AC6F25B" w:rsidR="00892F95" w:rsidRPr="00BF4AB8" w:rsidRDefault="00892F95" w:rsidP="00892F95">
      <w:pPr>
        <w:numPr>
          <w:ilvl w:val="12"/>
          <w:numId w:val="0"/>
        </w:numPr>
        <w:ind w:right="-2"/>
        <w:rPr>
          <w:b/>
          <w:snapToGrid w:val="0"/>
          <w:sz w:val="22"/>
        </w:rPr>
      </w:pPr>
      <w:r w:rsidRPr="00BF4AB8">
        <w:rPr>
          <w:b/>
          <w:snapToGrid w:val="0"/>
          <w:sz w:val="22"/>
        </w:rPr>
        <w:t xml:space="preserve">Šis pakuotės lapelis paskutinį kartą peržiūrėtas </w:t>
      </w:r>
      <w:r w:rsidR="00B60941">
        <w:rPr>
          <w:b/>
          <w:snapToGrid w:val="0"/>
          <w:sz w:val="22"/>
        </w:rPr>
        <w:t>2025-02-07.</w:t>
      </w:r>
    </w:p>
    <w:p w14:paraId="16EC6907" w14:textId="77777777" w:rsidR="00892F95" w:rsidRPr="00BF4AB8" w:rsidRDefault="00892F95" w:rsidP="00892F95">
      <w:pPr>
        <w:numPr>
          <w:ilvl w:val="12"/>
          <w:numId w:val="0"/>
        </w:numPr>
        <w:tabs>
          <w:tab w:val="left" w:pos="567"/>
        </w:tabs>
        <w:ind w:right="-2"/>
        <w:rPr>
          <w:i/>
          <w:snapToGrid w:val="0"/>
          <w:sz w:val="22"/>
          <w:szCs w:val="24"/>
        </w:rPr>
      </w:pPr>
    </w:p>
    <w:p w14:paraId="0685F9C7" w14:textId="77777777" w:rsidR="00892F95" w:rsidRPr="00BF4AB8" w:rsidRDefault="00892F95" w:rsidP="00892F95">
      <w:pPr>
        <w:numPr>
          <w:ilvl w:val="12"/>
          <w:numId w:val="0"/>
        </w:numPr>
        <w:tabs>
          <w:tab w:val="left" w:pos="567"/>
        </w:tabs>
        <w:ind w:right="-2"/>
        <w:rPr>
          <w:snapToGrid w:val="0"/>
          <w:sz w:val="22"/>
          <w:szCs w:val="24"/>
        </w:rPr>
      </w:pPr>
      <w:r w:rsidRPr="00BF4AB8">
        <w:rPr>
          <w:snapToGrid w:val="0"/>
          <w:sz w:val="22"/>
        </w:rPr>
        <w:t xml:space="preserve">Išsami informacija apie šį </w:t>
      </w:r>
      <w:r w:rsidRPr="00BF4AB8">
        <w:rPr>
          <w:snapToGrid w:val="0"/>
          <w:sz w:val="22"/>
          <w:szCs w:val="24"/>
        </w:rPr>
        <w:t>vaistą</w:t>
      </w:r>
      <w:r w:rsidRPr="00BF4AB8">
        <w:rPr>
          <w:snapToGrid w:val="0"/>
          <w:sz w:val="22"/>
        </w:rPr>
        <w:t xml:space="preserve"> pateikiama Valstybinės vaistų kontrolės tarnybos prie Lietuvos Respublikos sveikatos apsaugos ministerijos tinklalapyje</w:t>
      </w:r>
      <w:r w:rsidRPr="00BF4AB8">
        <w:rPr>
          <w:i/>
          <w:snapToGrid w:val="0"/>
          <w:sz w:val="22"/>
          <w:szCs w:val="24"/>
        </w:rPr>
        <w:t xml:space="preserve"> </w:t>
      </w:r>
      <w:hyperlink r:id="rId25" w:history="1">
        <w:r w:rsidRPr="00BF4AB8">
          <w:rPr>
            <w:rFonts w:eastAsia="SimSun"/>
            <w:snapToGrid w:val="0"/>
            <w:color w:val="0000FF"/>
            <w:sz w:val="22"/>
            <w:u w:val="single"/>
          </w:rPr>
          <w:t>http://www.vvkt.lt/</w:t>
        </w:r>
      </w:hyperlink>
      <w:r w:rsidRPr="00BF4AB8">
        <w:rPr>
          <w:snapToGrid w:val="0"/>
          <w:sz w:val="22"/>
        </w:rPr>
        <w:t>.</w:t>
      </w:r>
    </w:p>
    <w:p w14:paraId="62D05D26" w14:textId="77777777" w:rsidR="007E25F2" w:rsidRPr="00BF4AB8" w:rsidRDefault="007E25F2" w:rsidP="007E25F2">
      <w:pPr>
        <w:numPr>
          <w:ilvl w:val="12"/>
          <w:numId w:val="0"/>
        </w:numPr>
        <w:tabs>
          <w:tab w:val="left" w:pos="7088"/>
        </w:tabs>
        <w:ind w:right="-29"/>
        <w:rPr>
          <w:szCs w:val="24"/>
          <w:lang w:eastAsia="lt-LT"/>
        </w:rPr>
      </w:pPr>
    </w:p>
    <w:sectPr w:rsidR="007E25F2" w:rsidRPr="00BF4AB8" w:rsidSect="00E96276">
      <w:pgSz w:w="11906" w:h="16838" w:code="9"/>
      <w:pgMar w:top="1134" w:right="1418" w:bottom="1134" w:left="1418" w:header="737" w:footer="737" w:gutter="0"/>
      <w:pgNumType w:start="1" w:chapStyle="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053A81" w14:textId="77777777" w:rsidR="00B60941" w:rsidRDefault="00B60941">
      <w:pPr>
        <w:rPr>
          <w:szCs w:val="24"/>
          <w:lang w:eastAsia="lt-LT"/>
        </w:rPr>
      </w:pPr>
      <w:r>
        <w:rPr>
          <w:szCs w:val="24"/>
          <w:lang w:eastAsia="lt-LT"/>
        </w:rPr>
        <w:separator/>
      </w:r>
    </w:p>
  </w:endnote>
  <w:endnote w:type="continuationSeparator" w:id="0">
    <w:p w14:paraId="3715538B" w14:textId="77777777" w:rsidR="00B60941" w:rsidRDefault="00B60941">
      <w:pPr>
        <w:rPr>
          <w:szCs w:val="24"/>
          <w:lang w:eastAsia="lt-LT"/>
        </w:rPr>
      </w:pPr>
      <w:r>
        <w:rPr>
          <w:szCs w:val="24"/>
          <w:lang w:eastAsia="lt-LT"/>
        </w:rPr>
        <w:continuationSeparator/>
      </w:r>
    </w:p>
  </w:endnote>
  <w:endnote w:type="continuationNotice" w:id="1">
    <w:p w14:paraId="14795929" w14:textId="77777777" w:rsidR="00B60941" w:rsidRDefault="00B609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9A6A25" w14:textId="77777777" w:rsidR="005D554B" w:rsidRDefault="005D554B">
    <w:pPr>
      <w:tabs>
        <w:tab w:val="center" w:pos="4819"/>
        <w:tab w:val="right" w:pos="9638"/>
      </w:tabs>
      <w:rPr>
        <w:szCs w:val="24"/>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9A6A26" w14:textId="77777777" w:rsidR="005D554B" w:rsidRDefault="005D554B">
    <w:pPr>
      <w:tabs>
        <w:tab w:val="center" w:pos="4819"/>
        <w:tab w:val="right" w:pos="9638"/>
      </w:tabs>
      <w:rPr>
        <w:szCs w:val="24"/>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9A6A28" w14:textId="77777777" w:rsidR="005D554B" w:rsidRDefault="005D554B">
    <w:pPr>
      <w:tabs>
        <w:tab w:val="center" w:pos="4819"/>
        <w:tab w:val="right" w:pos="9638"/>
      </w:tabs>
      <w:rPr>
        <w:szCs w:val="24"/>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A27C22" w14:textId="77777777" w:rsidR="00B60941" w:rsidRDefault="00B60941">
      <w:pPr>
        <w:rPr>
          <w:szCs w:val="24"/>
          <w:lang w:eastAsia="lt-LT"/>
        </w:rPr>
      </w:pPr>
      <w:r>
        <w:rPr>
          <w:szCs w:val="24"/>
          <w:lang w:eastAsia="lt-LT"/>
        </w:rPr>
        <w:separator/>
      </w:r>
    </w:p>
  </w:footnote>
  <w:footnote w:type="continuationSeparator" w:id="0">
    <w:p w14:paraId="64FB2E1F" w14:textId="77777777" w:rsidR="00B60941" w:rsidRDefault="00B60941">
      <w:pPr>
        <w:rPr>
          <w:szCs w:val="24"/>
          <w:lang w:eastAsia="lt-LT"/>
        </w:rPr>
      </w:pPr>
      <w:r>
        <w:rPr>
          <w:szCs w:val="24"/>
          <w:lang w:eastAsia="lt-LT"/>
        </w:rPr>
        <w:continuationSeparator/>
      </w:r>
    </w:p>
  </w:footnote>
  <w:footnote w:type="continuationNotice" w:id="1">
    <w:p w14:paraId="3F749233" w14:textId="77777777" w:rsidR="00B60941" w:rsidRDefault="00B6094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9A6A22" w14:textId="77777777" w:rsidR="005D554B" w:rsidRDefault="005D554B">
    <w:pPr>
      <w:tabs>
        <w:tab w:val="center" w:pos="4153"/>
        <w:tab w:val="right" w:pos="8306"/>
      </w:tabs>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629418" w14:textId="77777777" w:rsidR="00B60941" w:rsidRDefault="00B60941">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9A6A27" w14:textId="77777777" w:rsidR="005D554B" w:rsidRDefault="005D554B">
    <w:pPr>
      <w:tabs>
        <w:tab w:val="center" w:pos="4153"/>
        <w:tab w:val="right" w:pos="8306"/>
      </w:tabs>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7916F32"/>
    <w:multiLevelType w:val="hybridMultilevel"/>
    <w:tmpl w:val="38F2F2DC"/>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63DC3F77"/>
    <w:multiLevelType w:val="hybridMultilevel"/>
    <w:tmpl w:val="91B4447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06A61AE"/>
    <w:multiLevelType w:val="hybridMultilevel"/>
    <w:tmpl w:val="4A726AE0"/>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lvlOverride w:ilvl="0">
      <w:lvl w:ilvl="0">
        <w:start w:val="1"/>
        <w:numFmt w:val="bullet"/>
        <w:lvlText w:val="-"/>
        <w:lvlJc w:val="left"/>
        <w:pPr>
          <w:ind w:left="360" w:hanging="360"/>
        </w:pPr>
      </w:lvl>
    </w:lvlOverride>
  </w:num>
  <w:num w:numId="4">
    <w:abstractNumId w:val="0"/>
    <w:lvlOverride w:ilvl="0">
      <w:lvl w:ilvl="0">
        <w:start w:val="1"/>
        <w:numFmt w:val="bullet"/>
        <w:lvlText w:val=""/>
        <w:lvlJc w:val="left"/>
        <w:pPr>
          <w:ind w:left="360" w:hanging="360"/>
        </w:pPr>
        <w:rPr>
          <w:rFonts w:ascii="Symbol" w:hAnsi="Symbol" w:hint="default"/>
        </w:rPr>
      </w:lvl>
    </w:lvlOverride>
  </w:num>
  <w:num w:numId="5">
    <w:abstractNumId w:val="0"/>
    <w:lvlOverride w:ilvl="0">
      <w:lvl w:ilvl="0">
        <w:start w:val="1"/>
        <w:numFmt w:val="bullet"/>
        <w:lvlText w:val="-"/>
        <w:lvlJc w:val="left"/>
        <w:pPr>
          <w:ind w:left="360" w:hanging="360"/>
        </w:pPr>
      </w:lvl>
    </w:lvlOverride>
  </w:num>
  <w:num w:numId="6">
    <w:abstractNumId w:val="5"/>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CD3"/>
    <w:rsid w:val="0000258F"/>
    <w:rsid w:val="00003859"/>
    <w:rsid w:val="00022904"/>
    <w:rsid w:val="00027D96"/>
    <w:rsid w:val="00037BA1"/>
    <w:rsid w:val="00056EC1"/>
    <w:rsid w:val="0007776F"/>
    <w:rsid w:val="00091D83"/>
    <w:rsid w:val="00095016"/>
    <w:rsid w:val="00096482"/>
    <w:rsid w:val="000A22D9"/>
    <w:rsid w:val="000A7A49"/>
    <w:rsid w:val="000B7CD3"/>
    <w:rsid w:val="000C5668"/>
    <w:rsid w:val="000D2A16"/>
    <w:rsid w:val="000D4DBF"/>
    <w:rsid w:val="000D6FAD"/>
    <w:rsid w:val="000E27DA"/>
    <w:rsid w:val="000E2DF9"/>
    <w:rsid w:val="00114F9B"/>
    <w:rsid w:val="0011586E"/>
    <w:rsid w:val="001201A3"/>
    <w:rsid w:val="00135B95"/>
    <w:rsid w:val="0014133D"/>
    <w:rsid w:val="00150E2D"/>
    <w:rsid w:val="001605E5"/>
    <w:rsid w:val="00175C7B"/>
    <w:rsid w:val="001761A2"/>
    <w:rsid w:val="0017784C"/>
    <w:rsid w:val="00181989"/>
    <w:rsid w:val="00182D60"/>
    <w:rsid w:val="00183AA2"/>
    <w:rsid w:val="001920A9"/>
    <w:rsid w:val="001A3840"/>
    <w:rsid w:val="001C1847"/>
    <w:rsid w:val="001C1EBB"/>
    <w:rsid w:val="001D40E5"/>
    <w:rsid w:val="001E5216"/>
    <w:rsid w:val="001E7865"/>
    <w:rsid w:val="00200E15"/>
    <w:rsid w:val="002021DF"/>
    <w:rsid w:val="002152A6"/>
    <w:rsid w:val="0021713A"/>
    <w:rsid w:val="00227ACE"/>
    <w:rsid w:val="00227F5B"/>
    <w:rsid w:val="00237008"/>
    <w:rsid w:val="0023783C"/>
    <w:rsid w:val="002401AE"/>
    <w:rsid w:val="00240FB7"/>
    <w:rsid w:val="002451BE"/>
    <w:rsid w:val="00257AE0"/>
    <w:rsid w:val="002674AF"/>
    <w:rsid w:val="002B256E"/>
    <w:rsid w:val="002C1DB2"/>
    <w:rsid w:val="002C6682"/>
    <w:rsid w:val="002D1DDB"/>
    <w:rsid w:val="002F61D6"/>
    <w:rsid w:val="002F7EF7"/>
    <w:rsid w:val="002F7FDE"/>
    <w:rsid w:val="00343D76"/>
    <w:rsid w:val="00363A46"/>
    <w:rsid w:val="00364B14"/>
    <w:rsid w:val="003959AC"/>
    <w:rsid w:val="003A02A1"/>
    <w:rsid w:val="003D71D2"/>
    <w:rsid w:val="003F20B3"/>
    <w:rsid w:val="00412831"/>
    <w:rsid w:val="00421BED"/>
    <w:rsid w:val="0045728B"/>
    <w:rsid w:val="00477B8D"/>
    <w:rsid w:val="004A2377"/>
    <w:rsid w:val="004A3A17"/>
    <w:rsid w:val="004B1B33"/>
    <w:rsid w:val="004B770C"/>
    <w:rsid w:val="004F3C73"/>
    <w:rsid w:val="004F5ACE"/>
    <w:rsid w:val="00501AD8"/>
    <w:rsid w:val="00516DF6"/>
    <w:rsid w:val="00536523"/>
    <w:rsid w:val="005467FB"/>
    <w:rsid w:val="0055137E"/>
    <w:rsid w:val="00563387"/>
    <w:rsid w:val="0057365E"/>
    <w:rsid w:val="00574A33"/>
    <w:rsid w:val="0057521D"/>
    <w:rsid w:val="00577665"/>
    <w:rsid w:val="00580308"/>
    <w:rsid w:val="0058362B"/>
    <w:rsid w:val="005965BD"/>
    <w:rsid w:val="00596DFE"/>
    <w:rsid w:val="005A43D0"/>
    <w:rsid w:val="005A4EB0"/>
    <w:rsid w:val="005C4D79"/>
    <w:rsid w:val="005D554B"/>
    <w:rsid w:val="005E563A"/>
    <w:rsid w:val="005F08FC"/>
    <w:rsid w:val="005F0B0B"/>
    <w:rsid w:val="005F63E7"/>
    <w:rsid w:val="00601D06"/>
    <w:rsid w:val="006067CF"/>
    <w:rsid w:val="00613293"/>
    <w:rsid w:val="0062180C"/>
    <w:rsid w:val="006242D1"/>
    <w:rsid w:val="00632D14"/>
    <w:rsid w:val="00636065"/>
    <w:rsid w:val="00640DAF"/>
    <w:rsid w:val="00646943"/>
    <w:rsid w:val="00663A56"/>
    <w:rsid w:val="0068342C"/>
    <w:rsid w:val="00691A53"/>
    <w:rsid w:val="00695FA6"/>
    <w:rsid w:val="006A10F6"/>
    <w:rsid w:val="006B08B6"/>
    <w:rsid w:val="006B65E9"/>
    <w:rsid w:val="006C18E2"/>
    <w:rsid w:val="006D3BBE"/>
    <w:rsid w:val="006E1D23"/>
    <w:rsid w:val="006E37AB"/>
    <w:rsid w:val="006F13F2"/>
    <w:rsid w:val="00706953"/>
    <w:rsid w:val="00707E7D"/>
    <w:rsid w:val="00711A13"/>
    <w:rsid w:val="0072061D"/>
    <w:rsid w:val="00720723"/>
    <w:rsid w:val="00722073"/>
    <w:rsid w:val="00731FD4"/>
    <w:rsid w:val="007334B7"/>
    <w:rsid w:val="0074121E"/>
    <w:rsid w:val="00745488"/>
    <w:rsid w:val="00761679"/>
    <w:rsid w:val="007746D3"/>
    <w:rsid w:val="00791C2E"/>
    <w:rsid w:val="007E25F2"/>
    <w:rsid w:val="007E4DC1"/>
    <w:rsid w:val="007E5877"/>
    <w:rsid w:val="0080621D"/>
    <w:rsid w:val="008148EF"/>
    <w:rsid w:val="00821590"/>
    <w:rsid w:val="008313C5"/>
    <w:rsid w:val="00853EA8"/>
    <w:rsid w:val="00861BBA"/>
    <w:rsid w:val="00876C26"/>
    <w:rsid w:val="008839B9"/>
    <w:rsid w:val="0089190B"/>
    <w:rsid w:val="00892F95"/>
    <w:rsid w:val="008954BD"/>
    <w:rsid w:val="008B6CC6"/>
    <w:rsid w:val="008F0396"/>
    <w:rsid w:val="008F2D18"/>
    <w:rsid w:val="009037E1"/>
    <w:rsid w:val="0090482C"/>
    <w:rsid w:val="009225BA"/>
    <w:rsid w:val="0092503F"/>
    <w:rsid w:val="00932D83"/>
    <w:rsid w:val="009374EE"/>
    <w:rsid w:val="0094101A"/>
    <w:rsid w:val="00945DEC"/>
    <w:rsid w:val="00957502"/>
    <w:rsid w:val="00964B89"/>
    <w:rsid w:val="0097474F"/>
    <w:rsid w:val="00985F80"/>
    <w:rsid w:val="0099232D"/>
    <w:rsid w:val="00993D1A"/>
    <w:rsid w:val="00993EE6"/>
    <w:rsid w:val="00995E70"/>
    <w:rsid w:val="009A1E10"/>
    <w:rsid w:val="009B178B"/>
    <w:rsid w:val="009C580D"/>
    <w:rsid w:val="009C6B96"/>
    <w:rsid w:val="009D3428"/>
    <w:rsid w:val="009D585C"/>
    <w:rsid w:val="009D7D56"/>
    <w:rsid w:val="009E065D"/>
    <w:rsid w:val="009F0B16"/>
    <w:rsid w:val="009F2626"/>
    <w:rsid w:val="009F6BE1"/>
    <w:rsid w:val="00A00D93"/>
    <w:rsid w:val="00A01657"/>
    <w:rsid w:val="00A044DC"/>
    <w:rsid w:val="00A04D76"/>
    <w:rsid w:val="00A11B4B"/>
    <w:rsid w:val="00A46B7A"/>
    <w:rsid w:val="00A56261"/>
    <w:rsid w:val="00A5701D"/>
    <w:rsid w:val="00A65543"/>
    <w:rsid w:val="00A665EA"/>
    <w:rsid w:val="00A81575"/>
    <w:rsid w:val="00A90785"/>
    <w:rsid w:val="00A91B07"/>
    <w:rsid w:val="00A94F31"/>
    <w:rsid w:val="00AC48E9"/>
    <w:rsid w:val="00AD1EE8"/>
    <w:rsid w:val="00AD5371"/>
    <w:rsid w:val="00AE60F1"/>
    <w:rsid w:val="00AE6455"/>
    <w:rsid w:val="00AF464D"/>
    <w:rsid w:val="00B03281"/>
    <w:rsid w:val="00B063BB"/>
    <w:rsid w:val="00B06708"/>
    <w:rsid w:val="00B16661"/>
    <w:rsid w:val="00B25831"/>
    <w:rsid w:val="00B51D38"/>
    <w:rsid w:val="00B60704"/>
    <w:rsid w:val="00B60941"/>
    <w:rsid w:val="00B806EC"/>
    <w:rsid w:val="00B86EBF"/>
    <w:rsid w:val="00BA2698"/>
    <w:rsid w:val="00BB061B"/>
    <w:rsid w:val="00BB0712"/>
    <w:rsid w:val="00BB7082"/>
    <w:rsid w:val="00BC2756"/>
    <w:rsid w:val="00BC72F6"/>
    <w:rsid w:val="00BD0307"/>
    <w:rsid w:val="00BD61DC"/>
    <w:rsid w:val="00BE5504"/>
    <w:rsid w:val="00BF1262"/>
    <w:rsid w:val="00BF4AB8"/>
    <w:rsid w:val="00C3245A"/>
    <w:rsid w:val="00C425CB"/>
    <w:rsid w:val="00C45C71"/>
    <w:rsid w:val="00C51535"/>
    <w:rsid w:val="00C61A85"/>
    <w:rsid w:val="00C6399C"/>
    <w:rsid w:val="00C70F90"/>
    <w:rsid w:val="00C710D9"/>
    <w:rsid w:val="00C71C77"/>
    <w:rsid w:val="00C7351E"/>
    <w:rsid w:val="00C73A1F"/>
    <w:rsid w:val="00CB2E6A"/>
    <w:rsid w:val="00CB352D"/>
    <w:rsid w:val="00CD0CC6"/>
    <w:rsid w:val="00CD289A"/>
    <w:rsid w:val="00CE585C"/>
    <w:rsid w:val="00CF13B3"/>
    <w:rsid w:val="00D074EB"/>
    <w:rsid w:val="00D14568"/>
    <w:rsid w:val="00D166F1"/>
    <w:rsid w:val="00D22FDC"/>
    <w:rsid w:val="00D25C49"/>
    <w:rsid w:val="00D35BA8"/>
    <w:rsid w:val="00D35FC0"/>
    <w:rsid w:val="00D56D58"/>
    <w:rsid w:val="00D57325"/>
    <w:rsid w:val="00D70BEF"/>
    <w:rsid w:val="00D762D9"/>
    <w:rsid w:val="00DA50D1"/>
    <w:rsid w:val="00DB5C6F"/>
    <w:rsid w:val="00DC19C7"/>
    <w:rsid w:val="00E04F77"/>
    <w:rsid w:val="00E05C89"/>
    <w:rsid w:val="00E22601"/>
    <w:rsid w:val="00E25897"/>
    <w:rsid w:val="00E27BA1"/>
    <w:rsid w:val="00E42506"/>
    <w:rsid w:val="00E53A48"/>
    <w:rsid w:val="00E81DC6"/>
    <w:rsid w:val="00E93BCD"/>
    <w:rsid w:val="00E96276"/>
    <w:rsid w:val="00EA18BF"/>
    <w:rsid w:val="00EA2F0C"/>
    <w:rsid w:val="00EC1314"/>
    <w:rsid w:val="00EC5110"/>
    <w:rsid w:val="00ED0C9F"/>
    <w:rsid w:val="00ED1694"/>
    <w:rsid w:val="00ED23C8"/>
    <w:rsid w:val="00ED666B"/>
    <w:rsid w:val="00EF17C9"/>
    <w:rsid w:val="00EF4988"/>
    <w:rsid w:val="00EF77F1"/>
    <w:rsid w:val="00EF7DE8"/>
    <w:rsid w:val="00F01173"/>
    <w:rsid w:val="00F20C8D"/>
    <w:rsid w:val="00F35E6B"/>
    <w:rsid w:val="00F4477F"/>
    <w:rsid w:val="00F62A70"/>
    <w:rsid w:val="00F73101"/>
    <w:rsid w:val="00F743FD"/>
    <w:rsid w:val="00F91165"/>
    <w:rsid w:val="00F91C7A"/>
    <w:rsid w:val="00FA00A3"/>
    <w:rsid w:val="00FA2B2E"/>
    <w:rsid w:val="00FA6DD1"/>
    <w:rsid w:val="00FD7BBD"/>
    <w:rsid w:val="00FE062F"/>
    <w:rsid w:val="00FF66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09A6948"/>
  <w15:docId w15:val="{88775CA8-5190-4CCA-87E3-88BDF8122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99"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9"/>
    <w:qFormat/>
    <w:rsid w:val="005D554B"/>
    <w:pPr>
      <w:tabs>
        <w:tab w:val="left" w:pos="567"/>
      </w:tabs>
      <w:spacing w:before="240" w:after="120" w:line="260" w:lineRule="exact"/>
      <w:ind w:left="357" w:hanging="357"/>
      <w:outlineLvl w:val="0"/>
    </w:pPr>
    <w:rPr>
      <w:rFonts w:eastAsia="SimSun"/>
      <w:b/>
      <w:caps/>
      <w:sz w:val="26"/>
      <w:lang w:val="en-US"/>
    </w:rPr>
  </w:style>
  <w:style w:type="paragraph" w:styleId="Antrat2">
    <w:name w:val="heading 2"/>
    <w:basedOn w:val="prastasis"/>
    <w:next w:val="prastasis"/>
    <w:link w:val="Antrat2Diagrama"/>
    <w:uiPriority w:val="99"/>
    <w:qFormat/>
    <w:rsid w:val="005D554B"/>
    <w:pPr>
      <w:keepNext/>
      <w:tabs>
        <w:tab w:val="left" w:pos="567"/>
      </w:tabs>
      <w:spacing w:before="240" w:after="60" w:line="260" w:lineRule="exact"/>
      <w:outlineLvl w:val="1"/>
    </w:pPr>
    <w:rPr>
      <w:rFonts w:ascii="Cambria" w:hAnsi="Cambria"/>
      <w:b/>
      <w:bCs/>
      <w:i/>
      <w:iCs/>
      <w:snapToGrid w:val="0"/>
      <w:sz w:val="28"/>
      <w:szCs w:val="28"/>
      <w:lang w:val="en-GB" w:eastAsia="x-none"/>
    </w:rPr>
  </w:style>
  <w:style w:type="paragraph" w:styleId="Antrat3">
    <w:name w:val="heading 3"/>
    <w:basedOn w:val="prastasis"/>
    <w:next w:val="prastasis"/>
    <w:link w:val="Antrat3Diagrama"/>
    <w:uiPriority w:val="99"/>
    <w:qFormat/>
    <w:rsid w:val="005D554B"/>
    <w:pPr>
      <w:keepNext/>
      <w:keepLines/>
      <w:tabs>
        <w:tab w:val="left" w:pos="567"/>
      </w:tabs>
      <w:spacing w:before="120" w:after="80" w:line="260" w:lineRule="exact"/>
      <w:outlineLvl w:val="2"/>
    </w:pPr>
    <w:rPr>
      <w:rFonts w:ascii="Cambria" w:hAnsi="Cambria"/>
      <w:b/>
      <w:bCs/>
      <w:snapToGrid w:val="0"/>
      <w:sz w:val="26"/>
      <w:szCs w:val="26"/>
      <w:lang w:val="en-GB" w:eastAsia="x-none"/>
    </w:rPr>
  </w:style>
  <w:style w:type="paragraph" w:styleId="Antrat4">
    <w:name w:val="heading 4"/>
    <w:basedOn w:val="prastasis"/>
    <w:next w:val="prastasis"/>
    <w:link w:val="Antrat4Diagrama"/>
    <w:uiPriority w:val="99"/>
    <w:qFormat/>
    <w:rsid w:val="005D554B"/>
    <w:pPr>
      <w:keepNext/>
      <w:tabs>
        <w:tab w:val="left" w:pos="567"/>
      </w:tabs>
      <w:spacing w:line="260" w:lineRule="exact"/>
      <w:jc w:val="both"/>
      <w:outlineLvl w:val="3"/>
    </w:pPr>
    <w:rPr>
      <w:rFonts w:ascii="Calibri" w:hAnsi="Calibri"/>
      <w:b/>
      <w:bCs/>
      <w:snapToGrid w:val="0"/>
      <w:sz w:val="28"/>
      <w:szCs w:val="28"/>
      <w:lang w:val="en-GB" w:eastAsia="x-none"/>
    </w:rPr>
  </w:style>
  <w:style w:type="paragraph" w:styleId="Antrat5">
    <w:name w:val="heading 5"/>
    <w:basedOn w:val="prastasis"/>
    <w:next w:val="prastasis"/>
    <w:link w:val="Antrat5Diagrama"/>
    <w:uiPriority w:val="99"/>
    <w:qFormat/>
    <w:rsid w:val="005D554B"/>
    <w:pPr>
      <w:keepNext/>
      <w:tabs>
        <w:tab w:val="left" w:pos="567"/>
      </w:tabs>
      <w:spacing w:line="260" w:lineRule="exact"/>
      <w:jc w:val="both"/>
      <w:outlineLvl w:val="4"/>
    </w:pPr>
    <w:rPr>
      <w:rFonts w:eastAsia="SimSun"/>
      <w:noProof/>
      <w:sz w:val="22"/>
      <w:lang w:val="en-GB"/>
    </w:rPr>
  </w:style>
  <w:style w:type="paragraph" w:styleId="Antrat6">
    <w:name w:val="heading 6"/>
    <w:basedOn w:val="prastasis"/>
    <w:next w:val="prastasis"/>
    <w:link w:val="Antrat6Diagrama"/>
    <w:uiPriority w:val="99"/>
    <w:qFormat/>
    <w:rsid w:val="005D554B"/>
    <w:pPr>
      <w:keepNext/>
      <w:tabs>
        <w:tab w:val="left" w:pos="-720"/>
        <w:tab w:val="left" w:pos="567"/>
        <w:tab w:val="left" w:pos="4536"/>
      </w:tabs>
      <w:suppressAutoHyphens/>
      <w:spacing w:line="260" w:lineRule="exact"/>
      <w:outlineLvl w:val="5"/>
    </w:pPr>
    <w:rPr>
      <w:rFonts w:eastAsia="SimSun"/>
      <w:i/>
      <w:sz w:val="22"/>
      <w:lang w:val="en-GB"/>
    </w:rPr>
  </w:style>
  <w:style w:type="paragraph" w:styleId="Antrat7">
    <w:name w:val="heading 7"/>
    <w:basedOn w:val="prastasis"/>
    <w:next w:val="prastasis"/>
    <w:link w:val="Antrat7Diagrama"/>
    <w:uiPriority w:val="99"/>
    <w:qFormat/>
    <w:rsid w:val="005D554B"/>
    <w:pPr>
      <w:keepNext/>
      <w:tabs>
        <w:tab w:val="left" w:pos="-720"/>
        <w:tab w:val="left" w:pos="567"/>
        <w:tab w:val="left" w:pos="4536"/>
      </w:tabs>
      <w:suppressAutoHyphens/>
      <w:spacing w:line="260" w:lineRule="exact"/>
      <w:jc w:val="both"/>
      <w:outlineLvl w:val="6"/>
    </w:pPr>
    <w:rPr>
      <w:rFonts w:eastAsia="SimSun"/>
      <w:i/>
      <w:sz w:val="22"/>
      <w:lang w:val="en-GB"/>
    </w:rPr>
  </w:style>
  <w:style w:type="paragraph" w:styleId="Antrat8">
    <w:name w:val="heading 8"/>
    <w:basedOn w:val="prastasis"/>
    <w:next w:val="prastasis"/>
    <w:link w:val="Antrat8Diagrama"/>
    <w:uiPriority w:val="99"/>
    <w:qFormat/>
    <w:rsid w:val="005D554B"/>
    <w:pPr>
      <w:keepNext/>
      <w:tabs>
        <w:tab w:val="left" w:pos="567"/>
      </w:tabs>
      <w:spacing w:line="260" w:lineRule="exact"/>
      <w:ind w:left="567" w:hanging="567"/>
      <w:jc w:val="both"/>
      <w:outlineLvl w:val="7"/>
    </w:pPr>
    <w:rPr>
      <w:rFonts w:eastAsia="SimSun"/>
      <w:b/>
      <w:i/>
      <w:sz w:val="22"/>
      <w:lang w:val="en-GB"/>
    </w:rPr>
  </w:style>
  <w:style w:type="paragraph" w:styleId="Antrat9">
    <w:name w:val="heading 9"/>
    <w:basedOn w:val="prastasis"/>
    <w:next w:val="prastasis"/>
    <w:link w:val="Antrat9Diagrama"/>
    <w:uiPriority w:val="99"/>
    <w:qFormat/>
    <w:rsid w:val="005D554B"/>
    <w:pPr>
      <w:keepNext/>
      <w:tabs>
        <w:tab w:val="left" w:pos="567"/>
      </w:tabs>
      <w:spacing w:line="260" w:lineRule="exact"/>
      <w:jc w:val="both"/>
      <w:outlineLvl w:val="8"/>
    </w:pPr>
    <w:rPr>
      <w:rFonts w:eastAsia="SimSun"/>
      <w:b/>
      <w:i/>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1A3840"/>
    <w:rPr>
      <w:color w:val="808080"/>
    </w:rPr>
  </w:style>
  <w:style w:type="paragraph" w:styleId="Antrats">
    <w:name w:val="header"/>
    <w:basedOn w:val="prastasis"/>
    <w:link w:val="AntratsDiagrama"/>
    <w:uiPriority w:val="99"/>
    <w:rsid w:val="001A3840"/>
    <w:pPr>
      <w:tabs>
        <w:tab w:val="center" w:pos="4819"/>
        <w:tab w:val="right" w:pos="9638"/>
      </w:tabs>
    </w:pPr>
  </w:style>
  <w:style w:type="character" w:customStyle="1" w:styleId="AntratsDiagrama">
    <w:name w:val="Antraštės Diagrama"/>
    <w:basedOn w:val="Numatytasispastraiposriftas"/>
    <w:link w:val="Antrats"/>
    <w:uiPriority w:val="99"/>
    <w:rsid w:val="001A3840"/>
  </w:style>
  <w:style w:type="character" w:customStyle="1" w:styleId="Antrat1Diagrama">
    <w:name w:val="Antraštė 1 Diagrama"/>
    <w:basedOn w:val="Numatytasispastraiposriftas"/>
    <w:link w:val="Antrat1"/>
    <w:uiPriority w:val="99"/>
    <w:rsid w:val="005D554B"/>
    <w:rPr>
      <w:rFonts w:eastAsia="SimSun"/>
      <w:b/>
      <w:caps/>
      <w:sz w:val="26"/>
      <w:lang w:val="en-US"/>
    </w:rPr>
  </w:style>
  <w:style w:type="character" w:customStyle="1" w:styleId="Antrat2Diagrama">
    <w:name w:val="Antraštė 2 Diagrama"/>
    <w:basedOn w:val="Numatytasispastraiposriftas"/>
    <w:link w:val="Antrat2"/>
    <w:uiPriority w:val="99"/>
    <w:rsid w:val="005D554B"/>
    <w:rPr>
      <w:rFonts w:ascii="Cambria" w:hAnsi="Cambria"/>
      <w:b/>
      <w:bCs/>
      <w:i/>
      <w:iCs/>
      <w:snapToGrid w:val="0"/>
      <w:sz w:val="28"/>
      <w:szCs w:val="28"/>
      <w:lang w:val="en-GB" w:eastAsia="x-none"/>
    </w:rPr>
  </w:style>
  <w:style w:type="character" w:customStyle="1" w:styleId="Antrat3Diagrama">
    <w:name w:val="Antraštė 3 Diagrama"/>
    <w:basedOn w:val="Numatytasispastraiposriftas"/>
    <w:link w:val="Antrat3"/>
    <w:uiPriority w:val="99"/>
    <w:rsid w:val="005D554B"/>
    <w:rPr>
      <w:rFonts w:ascii="Cambria" w:hAnsi="Cambria"/>
      <w:b/>
      <w:bCs/>
      <w:snapToGrid w:val="0"/>
      <w:sz w:val="26"/>
      <w:szCs w:val="26"/>
      <w:lang w:val="en-GB" w:eastAsia="x-none"/>
    </w:rPr>
  </w:style>
  <w:style w:type="character" w:customStyle="1" w:styleId="Antrat4Diagrama">
    <w:name w:val="Antraštė 4 Diagrama"/>
    <w:basedOn w:val="Numatytasispastraiposriftas"/>
    <w:link w:val="Antrat4"/>
    <w:uiPriority w:val="99"/>
    <w:rsid w:val="005D554B"/>
    <w:rPr>
      <w:rFonts w:ascii="Calibri" w:hAnsi="Calibri"/>
      <w:b/>
      <w:bCs/>
      <w:snapToGrid w:val="0"/>
      <w:sz w:val="28"/>
      <w:szCs w:val="28"/>
      <w:lang w:val="en-GB" w:eastAsia="x-none"/>
    </w:rPr>
  </w:style>
  <w:style w:type="character" w:customStyle="1" w:styleId="Antrat5Diagrama">
    <w:name w:val="Antraštė 5 Diagrama"/>
    <w:basedOn w:val="Numatytasispastraiposriftas"/>
    <w:link w:val="Antrat5"/>
    <w:uiPriority w:val="99"/>
    <w:rsid w:val="005D554B"/>
    <w:rPr>
      <w:rFonts w:eastAsia="SimSun"/>
      <w:noProof/>
      <w:sz w:val="22"/>
      <w:lang w:val="en-GB"/>
    </w:rPr>
  </w:style>
  <w:style w:type="character" w:customStyle="1" w:styleId="Antrat6Diagrama">
    <w:name w:val="Antraštė 6 Diagrama"/>
    <w:basedOn w:val="Numatytasispastraiposriftas"/>
    <w:link w:val="Antrat6"/>
    <w:uiPriority w:val="99"/>
    <w:rsid w:val="005D554B"/>
    <w:rPr>
      <w:rFonts w:eastAsia="SimSun"/>
      <w:i/>
      <w:sz w:val="22"/>
      <w:lang w:val="en-GB"/>
    </w:rPr>
  </w:style>
  <w:style w:type="character" w:customStyle="1" w:styleId="Antrat7Diagrama">
    <w:name w:val="Antraštė 7 Diagrama"/>
    <w:basedOn w:val="Numatytasispastraiposriftas"/>
    <w:link w:val="Antrat7"/>
    <w:uiPriority w:val="99"/>
    <w:rsid w:val="005D554B"/>
    <w:rPr>
      <w:rFonts w:eastAsia="SimSun"/>
      <w:i/>
      <w:sz w:val="22"/>
      <w:lang w:val="en-GB"/>
    </w:rPr>
  </w:style>
  <w:style w:type="character" w:customStyle="1" w:styleId="Antrat8Diagrama">
    <w:name w:val="Antraštė 8 Diagrama"/>
    <w:basedOn w:val="Numatytasispastraiposriftas"/>
    <w:link w:val="Antrat8"/>
    <w:uiPriority w:val="99"/>
    <w:rsid w:val="005D554B"/>
    <w:rPr>
      <w:rFonts w:eastAsia="SimSun"/>
      <w:b/>
      <w:i/>
      <w:sz w:val="22"/>
      <w:lang w:val="en-GB"/>
    </w:rPr>
  </w:style>
  <w:style w:type="character" w:customStyle="1" w:styleId="Antrat9Diagrama">
    <w:name w:val="Antraštė 9 Diagrama"/>
    <w:basedOn w:val="Numatytasispastraiposriftas"/>
    <w:link w:val="Antrat9"/>
    <w:uiPriority w:val="99"/>
    <w:rsid w:val="005D554B"/>
    <w:rPr>
      <w:rFonts w:eastAsia="SimSun"/>
      <w:b/>
      <w:i/>
      <w:sz w:val="22"/>
      <w:lang w:val="en-GB"/>
    </w:rPr>
  </w:style>
  <w:style w:type="numbering" w:customStyle="1" w:styleId="Sraonra1">
    <w:name w:val="Sąrašo nėra1"/>
    <w:next w:val="Sraonra"/>
    <w:uiPriority w:val="99"/>
    <w:semiHidden/>
    <w:unhideWhenUsed/>
    <w:rsid w:val="005D554B"/>
  </w:style>
  <w:style w:type="paragraph" w:styleId="Porat">
    <w:name w:val="footer"/>
    <w:basedOn w:val="prastasis"/>
    <w:link w:val="PoratDiagrama"/>
    <w:uiPriority w:val="99"/>
    <w:rsid w:val="005D554B"/>
    <w:pPr>
      <w:tabs>
        <w:tab w:val="left" w:pos="567"/>
        <w:tab w:val="center" w:pos="4536"/>
        <w:tab w:val="right" w:pos="8306"/>
      </w:tabs>
      <w:spacing w:line="260" w:lineRule="exact"/>
    </w:pPr>
    <w:rPr>
      <w:snapToGrid w:val="0"/>
      <w:sz w:val="22"/>
      <w:lang w:val="en-GB" w:eastAsia="x-none"/>
    </w:rPr>
  </w:style>
  <w:style w:type="character" w:customStyle="1" w:styleId="PoratDiagrama">
    <w:name w:val="Poraštė Diagrama"/>
    <w:basedOn w:val="Numatytasispastraiposriftas"/>
    <w:link w:val="Porat"/>
    <w:uiPriority w:val="99"/>
    <w:rsid w:val="005D554B"/>
    <w:rPr>
      <w:snapToGrid w:val="0"/>
      <w:sz w:val="22"/>
      <w:lang w:val="en-GB" w:eastAsia="x-none"/>
    </w:rPr>
  </w:style>
  <w:style w:type="character" w:customStyle="1" w:styleId="HeaderChar">
    <w:name w:val="Header Char"/>
    <w:rsid w:val="005D554B"/>
    <w:rPr>
      <w:snapToGrid w:val="0"/>
      <w:sz w:val="22"/>
      <w:lang w:val="en-GB" w:eastAsia="en-US"/>
    </w:rPr>
  </w:style>
  <w:style w:type="character" w:styleId="Puslapionumeris">
    <w:name w:val="page number"/>
    <w:uiPriority w:val="99"/>
    <w:rsid w:val="005D554B"/>
    <w:rPr>
      <w:rFonts w:cs="Times New Roman"/>
    </w:rPr>
  </w:style>
  <w:style w:type="character" w:styleId="Hipersaitas">
    <w:name w:val="Hyperlink"/>
    <w:uiPriority w:val="99"/>
    <w:rsid w:val="005D554B"/>
    <w:rPr>
      <w:color w:val="0000FF"/>
      <w:u w:val="single"/>
    </w:rPr>
  </w:style>
  <w:style w:type="paragraph" w:customStyle="1" w:styleId="BodytextAgency">
    <w:name w:val="Body text (Agency)"/>
    <w:basedOn w:val="prastasis"/>
    <w:link w:val="BodytextAgencyChar"/>
    <w:uiPriority w:val="99"/>
    <w:rsid w:val="005D554B"/>
    <w:pPr>
      <w:spacing w:after="140" w:line="280" w:lineRule="atLeast"/>
    </w:pPr>
    <w:rPr>
      <w:rFonts w:ascii="Verdana" w:hAnsi="Verdana"/>
      <w:snapToGrid w:val="0"/>
      <w:sz w:val="18"/>
      <w:lang w:val="en-GB" w:eastAsia="x-none"/>
    </w:rPr>
  </w:style>
  <w:style w:type="paragraph" w:customStyle="1" w:styleId="NormalAgency">
    <w:name w:val="Normal (Agency)"/>
    <w:link w:val="NormalAgencyChar"/>
    <w:uiPriority w:val="99"/>
    <w:rsid w:val="005D554B"/>
    <w:rPr>
      <w:rFonts w:ascii="Verdana" w:hAnsi="Verdana"/>
      <w:snapToGrid w:val="0"/>
      <w:sz w:val="18"/>
      <w:szCs w:val="22"/>
      <w:lang w:val="en-GB" w:eastAsia="lt-LT"/>
    </w:rPr>
  </w:style>
  <w:style w:type="paragraph" w:customStyle="1" w:styleId="TabletextrowsAgency">
    <w:name w:val="Table text rows (Agency)"/>
    <w:basedOn w:val="prastasis"/>
    <w:uiPriority w:val="99"/>
    <w:rsid w:val="005D554B"/>
    <w:pPr>
      <w:spacing w:line="280" w:lineRule="exact"/>
    </w:pPr>
    <w:rPr>
      <w:rFonts w:ascii="Verdana" w:hAnsi="Verdana"/>
      <w:snapToGrid w:val="0"/>
      <w:sz w:val="18"/>
      <w:lang w:val="en-GB"/>
    </w:rPr>
  </w:style>
  <w:style w:type="character" w:customStyle="1" w:styleId="tw4winError">
    <w:name w:val="tw4winError"/>
    <w:uiPriority w:val="99"/>
    <w:rsid w:val="005D554B"/>
    <w:rPr>
      <w:rFonts w:ascii="Courier New" w:hAnsi="Courier New"/>
      <w:color w:val="00FF00"/>
      <w:sz w:val="40"/>
    </w:rPr>
  </w:style>
  <w:style w:type="character" w:customStyle="1" w:styleId="tw4winTerm">
    <w:name w:val="tw4winTerm"/>
    <w:uiPriority w:val="99"/>
    <w:rsid w:val="005D554B"/>
    <w:rPr>
      <w:color w:val="0000FF"/>
    </w:rPr>
  </w:style>
  <w:style w:type="character" w:customStyle="1" w:styleId="tw4winPopup">
    <w:name w:val="tw4winPopup"/>
    <w:uiPriority w:val="99"/>
    <w:rsid w:val="005D554B"/>
    <w:rPr>
      <w:rFonts w:ascii="Courier New" w:hAnsi="Courier New"/>
      <w:noProof/>
      <w:color w:val="008000"/>
    </w:rPr>
  </w:style>
  <w:style w:type="character" w:customStyle="1" w:styleId="tw4winJump">
    <w:name w:val="tw4winJump"/>
    <w:uiPriority w:val="99"/>
    <w:rsid w:val="005D554B"/>
    <w:rPr>
      <w:rFonts w:ascii="Courier New" w:hAnsi="Courier New"/>
      <w:noProof/>
      <w:color w:val="008080"/>
    </w:rPr>
  </w:style>
  <w:style w:type="character" w:customStyle="1" w:styleId="tw4winExternal">
    <w:name w:val="tw4winExternal"/>
    <w:uiPriority w:val="99"/>
    <w:rsid w:val="005D554B"/>
    <w:rPr>
      <w:rFonts w:ascii="Courier New" w:hAnsi="Courier New"/>
      <w:noProof/>
      <w:color w:val="808080"/>
    </w:rPr>
  </w:style>
  <w:style w:type="character" w:customStyle="1" w:styleId="tw4winInternal">
    <w:name w:val="tw4winInternal"/>
    <w:uiPriority w:val="99"/>
    <w:rsid w:val="005D554B"/>
    <w:rPr>
      <w:rFonts w:ascii="Courier New" w:hAnsi="Courier New"/>
      <w:noProof/>
      <w:color w:val="FF0000"/>
    </w:rPr>
  </w:style>
  <w:style w:type="character" w:customStyle="1" w:styleId="DONOTTRANSLATE">
    <w:name w:val="DO_NOT_TRANSLATE"/>
    <w:uiPriority w:val="99"/>
    <w:rsid w:val="005D554B"/>
    <w:rPr>
      <w:rFonts w:ascii="Courier New" w:hAnsi="Courier New"/>
      <w:noProof/>
      <w:color w:val="800000"/>
    </w:rPr>
  </w:style>
  <w:style w:type="paragraph" w:styleId="Debesliotekstas">
    <w:name w:val="Balloon Text"/>
    <w:basedOn w:val="prastasis"/>
    <w:link w:val="DebesliotekstasDiagrama"/>
    <w:uiPriority w:val="99"/>
    <w:rsid w:val="005D554B"/>
    <w:pPr>
      <w:tabs>
        <w:tab w:val="left" w:pos="567"/>
      </w:tabs>
    </w:pPr>
    <w:rPr>
      <w:rFonts w:ascii="Tahoma" w:hAnsi="Tahoma"/>
      <w:snapToGrid w:val="0"/>
      <w:sz w:val="16"/>
      <w:szCs w:val="16"/>
      <w:lang w:val="en-GB" w:eastAsia="x-none"/>
    </w:rPr>
  </w:style>
  <w:style w:type="character" w:customStyle="1" w:styleId="DebesliotekstasDiagrama">
    <w:name w:val="Debesėlio tekstas Diagrama"/>
    <w:basedOn w:val="Numatytasispastraiposriftas"/>
    <w:link w:val="Debesliotekstas"/>
    <w:uiPriority w:val="99"/>
    <w:rsid w:val="005D554B"/>
    <w:rPr>
      <w:rFonts w:ascii="Tahoma" w:hAnsi="Tahoma"/>
      <w:snapToGrid w:val="0"/>
      <w:sz w:val="16"/>
      <w:szCs w:val="16"/>
      <w:lang w:val="en-GB" w:eastAsia="x-none"/>
    </w:rPr>
  </w:style>
  <w:style w:type="character" w:styleId="Komentaronuoroda">
    <w:name w:val="annotation reference"/>
    <w:uiPriority w:val="99"/>
    <w:rsid w:val="005D554B"/>
    <w:rPr>
      <w:sz w:val="16"/>
      <w:szCs w:val="16"/>
    </w:rPr>
  </w:style>
  <w:style w:type="paragraph" w:styleId="Komentarotekstas">
    <w:name w:val="annotation text"/>
    <w:basedOn w:val="prastasis"/>
    <w:link w:val="KomentarotekstasDiagrama"/>
    <w:uiPriority w:val="99"/>
    <w:rsid w:val="005D554B"/>
    <w:pPr>
      <w:tabs>
        <w:tab w:val="left" w:pos="567"/>
      </w:tabs>
      <w:spacing w:line="260" w:lineRule="exact"/>
    </w:pPr>
    <w:rPr>
      <w:snapToGrid w:val="0"/>
      <w:sz w:val="20"/>
      <w:lang w:val="en-GB"/>
    </w:rPr>
  </w:style>
  <w:style w:type="character" w:customStyle="1" w:styleId="KomentarotekstasDiagrama">
    <w:name w:val="Komentaro tekstas Diagrama"/>
    <w:basedOn w:val="Numatytasispastraiposriftas"/>
    <w:link w:val="Komentarotekstas"/>
    <w:uiPriority w:val="99"/>
    <w:rsid w:val="005D554B"/>
    <w:rPr>
      <w:snapToGrid w:val="0"/>
      <w:sz w:val="20"/>
      <w:lang w:val="en-GB"/>
    </w:rPr>
  </w:style>
  <w:style w:type="paragraph" w:styleId="Komentarotema">
    <w:name w:val="annotation subject"/>
    <w:basedOn w:val="Komentarotekstas"/>
    <w:next w:val="Komentarotekstas"/>
    <w:link w:val="KomentarotemaDiagrama"/>
    <w:uiPriority w:val="99"/>
    <w:rsid w:val="005D554B"/>
    <w:rPr>
      <w:b/>
      <w:bCs/>
    </w:rPr>
  </w:style>
  <w:style w:type="character" w:customStyle="1" w:styleId="KomentarotemaDiagrama">
    <w:name w:val="Komentaro tema Diagrama"/>
    <w:basedOn w:val="KomentarotekstasDiagrama"/>
    <w:link w:val="Komentarotema"/>
    <w:uiPriority w:val="99"/>
    <w:rsid w:val="005D554B"/>
    <w:rPr>
      <w:b/>
      <w:bCs/>
      <w:snapToGrid w:val="0"/>
      <w:sz w:val="20"/>
      <w:lang w:val="en-GB"/>
    </w:rPr>
  </w:style>
  <w:style w:type="paragraph" w:styleId="Pataisymai">
    <w:name w:val="Revision"/>
    <w:hidden/>
    <w:uiPriority w:val="99"/>
    <w:semiHidden/>
    <w:rsid w:val="005D554B"/>
    <w:rPr>
      <w:snapToGrid w:val="0"/>
      <w:sz w:val="22"/>
      <w:lang w:val="en-GB"/>
    </w:rPr>
  </w:style>
  <w:style w:type="paragraph" w:customStyle="1" w:styleId="EMEAEnBodyText">
    <w:name w:val="EMEA En Body Text"/>
    <w:basedOn w:val="prastasis"/>
    <w:uiPriority w:val="99"/>
    <w:rsid w:val="005D554B"/>
    <w:pPr>
      <w:spacing w:before="120" w:after="120"/>
      <w:jc w:val="both"/>
    </w:pPr>
    <w:rPr>
      <w:rFonts w:eastAsia="SimSun"/>
      <w:sz w:val="22"/>
      <w:lang w:val="en-US" w:eastAsia="zh-CN"/>
    </w:rPr>
  </w:style>
  <w:style w:type="character" w:customStyle="1" w:styleId="tw4winMark">
    <w:name w:val="tw4winMark"/>
    <w:uiPriority w:val="99"/>
    <w:rsid w:val="005D554B"/>
    <w:rPr>
      <w:rFonts w:ascii="Courier New" w:hAnsi="Courier New"/>
      <w:vanish/>
      <w:color w:val="800080"/>
      <w:sz w:val="24"/>
      <w:vertAlign w:val="subscript"/>
    </w:rPr>
  </w:style>
  <w:style w:type="paragraph" w:styleId="Dokumentostruktra">
    <w:name w:val="Document Map"/>
    <w:basedOn w:val="prastasis"/>
    <w:link w:val="DokumentostruktraDiagrama"/>
    <w:uiPriority w:val="99"/>
    <w:rsid w:val="005D554B"/>
    <w:pPr>
      <w:shd w:val="clear" w:color="auto" w:fill="000080"/>
      <w:tabs>
        <w:tab w:val="left" w:pos="567"/>
      </w:tabs>
      <w:spacing w:line="260" w:lineRule="exact"/>
    </w:pPr>
    <w:rPr>
      <w:rFonts w:ascii="Tahoma" w:eastAsia="SimSun" w:hAnsi="Tahoma"/>
      <w:sz w:val="20"/>
      <w:lang w:val="en-GB" w:eastAsia="zh-CN"/>
    </w:rPr>
  </w:style>
  <w:style w:type="character" w:customStyle="1" w:styleId="DokumentostruktraDiagrama">
    <w:name w:val="Dokumento struktūra Diagrama"/>
    <w:basedOn w:val="Numatytasispastraiposriftas"/>
    <w:link w:val="Dokumentostruktra"/>
    <w:uiPriority w:val="99"/>
    <w:rsid w:val="005D554B"/>
    <w:rPr>
      <w:rFonts w:ascii="Tahoma" w:eastAsia="SimSun" w:hAnsi="Tahoma"/>
      <w:sz w:val="20"/>
      <w:shd w:val="clear" w:color="auto" w:fill="000080"/>
      <w:lang w:val="en-GB" w:eastAsia="zh-CN"/>
    </w:rPr>
  </w:style>
  <w:style w:type="paragraph" w:styleId="Pagrindiniotekstotrauka">
    <w:name w:val="Body Text Indent"/>
    <w:basedOn w:val="prastasis"/>
    <w:link w:val="PagrindiniotekstotraukaDiagrama"/>
    <w:uiPriority w:val="99"/>
    <w:rsid w:val="005D554B"/>
    <w:pPr>
      <w:autoSpaceDE w:val="0"/>
      <w:autoSpaceDN w:val="0"/>
      <w:adjustRightInd w:val="0"/>
      <w:ind w:left="720"/>
      <w:jc w:val="both"/>
    </w:pPr>
    <w:rPr>
      <w:rFonts w:eastAsia="SimSun"/>
      <w:sz w:val="22"/>
      <w:szCs w:val="22"/>
      <w:lang w:val="en-GB" w:eastAsia="en-GB"/>
    </w:rPr>
  </w:style>
  <w:style w:type="character" w:customStyle="1" w:styleId="PagrindiniotekstotraukaDiagrama">
    <w:name w:val="Pagrindinio teksto įtrauka Diagrama"/>
    <w:basedOn w:val="Numatytasispastraiposriftas"/>
    <w:link w:val="Pagrindiniotekstotrauka"/>
    <w:uiPriority w:val="99"/>
    <w:rsid w:val="005D554B"/>
    <w:rPr>
      <w:rFonts w:eastAsia="SimSun"/>
      <w:sz w:val="22"/>
      <w:szCs w:val="22"/>
      <w:lang w:val="en-GB" w:eastAsia="en-GB"/>
    </w:rPr>
  </w:style>
  <w:style w:type="paragraph" w:styleId="Pagrindinistekstas3">
    <w:name w:val="Body Text 3"/>
    <w:basedOn w:val="prastasis"/>
    <w:link w:val="Pagrindinistekstas3Diagrama"/>
    <w:uiPriority w:val="99"/>
    <w:rsid w:val="005D554B"/>
    <w:pPr>
      <w:autoSpaceDE w:val="0"/>
      <w:autoSpaceDN w:val="0"/>
      <w:adjustRightInd w:val="0"/>
      <w:jc w:val="both"/>
    </w:pPr>
    <w:rPr>
      <w:rFonts w:eastAsia="SimSun"/>
      <w:color w:val="0000FF"/>
      <w:sz w:val="22"/>
      <w:szCs w:val="22"/>
      <w:lang w:val="en-GB" w:eastAsia="en-GB"/>
    </w:rPr>
  </w:style>
  <w:style w:type="character" w:customStyle="1" w:styleId="Pagrindinistekstas3Diagrama">
    <w:name w:val="Pagrindinis tekstas 3 Diagrama"/>
    <w:basedOn w:val="Numatytasispastraiposriftas"/>
    <w:link w:val="Pagrindinistekstas3"/>
    <w:uiPriority w:val="99"/>
    <w:rsid w:val="005D554B"/>
    <w:rPr>
      <w:rFonts w:eastAsia="SimSun"/>
      <w:color w:val="0000FF"/>
      <w:sz w:val="22"/>
      <w:szCs w:val="22"/>
      <w:lang w:val="en-GB" w:eastAsia="en-GB"/>
    </w:rPr>
  </w:style>
  <w:style w:type="paragraph" w:styleId="Pagrindiniotekstotrauka2">
    <w:name w:val="Body Text Indent 2"/>
    <w:basedOn w:val="prastasis"/>
    <w:link w:val="Pagrindiniotekstotrauka2Diagrama"/>
    <w:uiPriority w:val="99"/>
    <w:rsid w:val="005D554B"/>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ind w:left="1134"/>
      <w:jc w:val="both"/>
    </w:pPr>
    <w:rPr>
      <w:rFonts w:eastAsia="SimSun"/>
      <w:b/>
      <w:bCs/>
      <w:color w:val="0000FF"/>
      <w:sz w:val="22"/>
      <w:szCs w:val="22"/>
      <w:lang w:val="en-GB"/>
    </w:rPr>
  </w:style>
  <w:style w:type="character" w:customStyle="1" w:styleId="Pagrindiniotekstotrauka2Diagrama">
    <w:name w:val="Pagrindinio teksto įtrauka 2 Diagrama"/>
    <w:basedOn w:val="Numatytasispastraiposriftas"/>
    <w:link w:val="Pagrindiniotekstotrauka2"/>
    <w:uiPriority w:val="99"/>
    <w:rsid w:val="005D554B"/>
    <w:rPr>
      <w:rFonts w:eastAsia="SimSun"/>
      <w:b/>
      <w:bCs/>
      <w:color w:val="0000FF"/>
      <w:sz w:val="22"/>
      <w:szCs w:val="22"/>
      <w:lang w:val="en-GB"/>
    </w:rPr>
  </w:style>
  <w:style w:type="paragraph" w:styleId="Pagrindinistekstas">
    <w:name w:val="Body Text"/>
    <w:basedOn w:val="prastasis"/>
    <w:link w:val="PagrindinistekstasDiagrama"/>
    <w:uiPriority w:val="99"/>
    <w:rsid w:val="005D554B"/>
    <w:rPr>
      <w:rFonts w:eastAsia="SimSun"/>
      <w:i/>
      <w:color w:val="008000"/>
      <w:sz w:val="22"/>
      <w:lang w:val="en-GB"/>
    </w:rPr>
  </w:style>
  <w:style w:type="character" w:customStyle="1" w:styleId="PagrindinistekstasDiagrama">
    <w:name w:val="Pagrindinis tekstas Diagrama"/>
    <w:basedOn w:val="Numatytasispastraiposriftas"/>
    <w:link w:val="Pagrindinistekstas"/>
    <w:uiPriority w:val="99"/>
    <w:rsid w:val="005D554B"/>
    <w:rPr>
      <w:rFonts w:eastAsia="SimSun"/>
      <w:i/>
      <w:color w:val="008000"/>
      <w:sz w:val="22"/>
      <w:lang w:val="en-GB"/>
    </w:rPr>
  </w:style>
  <w:style w:type="paragraph" w:styleId="Pagrindinistekstas2">
    <w:name w:val="Body Text 2"/>
    <w:basedOn w:val="prastasis"/>
    <w:link w:val="Pagrindinistekstas2Diagrama"/>
    <w:uiPriority w:val="99"/>
    <w:rsid w:val="005D554B"/>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jc w:val="both"/>
    </w:pPr>
    <w:rPr>
      <w:rFonts w:eastAsia="SimSun"/>
      <w:b/>
      <w:bCs/>
      <w:color w:val="0000FF"/>
      <w:sz w:val="22"/>
      <w:szCs w:val="22"/>
      <w:u w:val="single"/>
      <w:lang w:val="en-GB"/>
    </w:rPr>
  </w:style>
  <w:style w:type="character" w:customStyle="1" w:styleId="Pagrindinistekstas2Diagrama">
    <w:name w:val="Pagrindinis tekstas 2 Diagrama"/>
    <w:basedOn w:val="Numatytasispastraiposriftas"/>
    <w:link w:val="Pagrindinistekstas2"/>
    <w:uiPriority w:val="99"/>
    <w:rsid w:val="005D554B"/>
    <w:rPr>
      <w:rFonts w:eastAsia="SimSun"/>
      <w:b/>
      <w:bCs/>
      <w:color w:val="0000FF"/>
      <w:sz w:val="22"/>
      <w:szCs w:val="22"/>
      <w:u w:val="single"/>
      <w:lang w:val="en-GB"/>
    </w:rPr>
  </w:style>
  <w:style w:type="paragraph" w:customStyle="1" w:styleId="AHeader1">
    <w:name w:val="AHeader 1"/>
    <w:basedOn w:val="prastasis"/>
    <w:uiPriority w:val="99"/>
    <w:rsid w:val="005D554B"/>
    <w:pPr>
      <w:tabs>
        <w:tab w:val="num" w:pos="720"/>
      </w:tabs>
      <w:spacing w:after="120"/>
      <w:ind w:left="284" w:hanging="284"/>
    </w:pPr>
    <w:rPr>
      <w:rFonts w:ascii="Arial" w:eastAsia="SimSun" w:hAnsi="Arial" w:cs="Arial"/>
      <w:b/>
      <w:bCs/>
      <w:lang w:val="en-GB"/>
    </w:rPr>
  </w:style>
  <w:style w:type="paragraph" w:customStyle="1" w:styleId="AHeader2">
    <w:name w:val="AHeader 2"/>
    <w:basedOn w:val="AHeader1"/>
    <w:uiPriority w:val="99"/>
    <w:rsid w:val="005D554B"/>
    <w:pPr>
      <w:tabs>
        <w:tab w:val="clear" w:pos="720"/>
        <w:tab w:val="num" w:pos="360"/>
      </w:tabs>
      <w:ind w:left="709" w:hanging="425"/>
    </w:pPr>
    <w:rPr>
      <w:sz w:val="22"/>
    </w:rPr>
  </w:style>
  <w:style w:type="paragraph" w:customStyle="1" w:styleId="AHeader3">
    <w:name w:val="AHeader 3"/>
    <w:basedOn w:val="AHeader2"/>
    <w:uiPriority w:val="99"/>
    <w:rsid w:val="005D554B"/>
    <w:pPr>
      <w:ind w:left="1276" w:hanging="567"/>
    </w:pPr>
  </w:style>
  <w:style w:type="paragraph" w:customStyle="1" w:styleId="AHeader2abc">
    <w:name w:val="AHeader 2 abc"/>
    <w:basedOn w:val="AHeader3"/>
    <w:uiPriority w:val="99"/>
    <w:rsid w:val="005D554B"/>
    <w:pPr>
      <w:jc w:val="both"/>
    </w:pPr>
    <w:rPr>
      <w:b w:val="0"/>
      <w:bCs w:val="0"/>
    </w:rPr>
  </w:style>
  <w:style w:type="paragraph" w:customStyle="1" w:styleId="AHeader3abc">
    <w:name w:val="AHeader 3 abc"/>
    <w:basedOn w:val="AHeader2abc"/>
    <w:uiPriority w:val="99"/>
    <w:rsid w:val="005D554B"/>
    <w:pPr>
      <w:ind w:left="1701" w:hanging="425"/>
    </w:pPr>
  </w:style>
  <w:style w:type="paragraph" w:styleId="Pagrindiniotekstotrauka3">
    <w:name w:val="Body Text Indent 3"/>
    <w:basedOn w:val="prastasis"/>
    <w:link w:val="Pagrindiniotekstotrauka3Diagrama"/>
    <w:uiPriority w:val="99"/>
    <w:rsid w:val="005D554B"/>
    <w:pPr>
      <w:tabs>
        <w:tab w:val="left" w:pos="567"/>
        <w:tab w:val="left" w:pos="1134"/>
      </w:tabs>
      <w:autoSpaceDE w:val="0"/>
      <w:autoSpaceDN w:val="0"/>
      <w:adjustRightInd w:val="0"/>
      <w:spacing w:line="260" w:lineRule="exact"/>
      <w:ind w:left="633"/>
      <w:jc w:val="both"/>
    </w:pPr>
    <w:rPr>
      <w:rFonts w:eastAsia="SimSun"/>
      <w:sz w:val="22"/>
      <w:szCs w:val="21"/>
      <w:lang w:val="en-GB"/>
    </w:rPr>
  </w:style>
  <w:style w:type="character" w:customStyle="1" w:styleId="Pagrindiniotekstotrauka3Diagrama">
    <w:name w:val="Pagrindinio teksto įtrauka 3 Diagrama"/>
    <w:basedOn w:val="Numatytasispastraiposriftas"/>
    <w:link w:val="Pagrindiniotekstotrauka3"/>
    <w:uiPriority w:val="99"/>
    <w:rsid w:val="005D554B"/>
    <w:rPr>
      <w:rFonts w:eastAsia="SimSun"/>
      <w:sz w:val="22"/>
      <w:szCs w:val="21"/>
      <w:lang w:val="en-GB"/>
    </w:rPr>
  </w:style>
  <w:style w:type="character" w:styleId="Perirtashipersaitas">
    <w:name w:val="FollowedHyperlink"/>
    <w:uiPriority w:val="99"/>
    <w:rsid w:val="005D554B"/>
    <w:rPr>
      <w:rFonts w:cs="Times New Roman"/>
      <w:color w:val="800080"/>
      <w:u w:val="single"/>
    </w:rPr>
  </w:style>
  <w:style w:type="character" w:styleId="Grietas">
    <w:name w:val="Strong"/>
    <w:uiPriority w:val="99"/>
    <w:qFormat/>
    <w:rsid w:val="005D554B"/>
    <w:rPr>
      <w:rFonts w:cs="Times New Roman"/>
      <w:b/>
      <w:bCs/>
    </w:rPr>
  </w:style>
  <w:style w:type="character" w:customStyle="1" w:styleId="BodytextAgencyChar">
    <w:name w:val="Body text (Agency) Char"/>
    <w:link w:val="BodytextAgency"/>
    <w:uiPriority w:val="99"/>
    <w:locked/>
    <w:rsid w:val="005D554B"/>
    <w:rPr>
      <w:rFonts w:ascii="Verdana" w:hAnsi="Verdana"/>
      <w:snapToGrid w:val="0"/>
      <w:sz w:val="18"/>
      <w:lang w:val="en-GB" w:eastAsia="x-none"/>
    </w:rPr>
  </w:style>
  <w:style w:type="table" w:customStyle="1" w:styleId="TablegridAgencyblack">
    <w:name w:val="Table grid (Agency) black"/>
    <w:uiPriority w:val="99"/>
    <w:semiHidden/>
    <w:rsid w:val="005D554B"/>
    <w:rPr>
      <w:rFonts w:ascii="Verdana" w:eastAsia="SimSun" w:hAnsi="Verdana"/>
      <w:sz w:val="18"/>
      <w:lang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5D554B"/>
    <w:pPr>
      <w:keepNext/>
    </w:pPr>
    <w:rPr>
      <w:rFonts w:eastAsia="SimSun" w:cs="Verdana"/>
      <w:b/>
      <w:snapToGrid/>
      <w:szCs w:val="18"/>
      <w:lang w:eastAsia="en-GB"/>
    </w:rPr>
  </w:style>
  <w:style w:type="character" w:customStyle="1" w:styleId="NormalAgencyChar">
    <w:name w:val="Normal (Agency) Char"/>
    <w:link w:val="NormalAgency"/>
    <w:uiPriority w:val="99"/>
    <w:locked/>
    <w:rsid w:val="005D554B"/>
    <w:rPr>
      <w:rFonts w:ascii="Verdana" w:hAnsi="Verdana"/>
      <w:snapToGrid w:val="0"/>
      <w:sz w:val="18"/>
      <w:szCs w:val="22"/>
      <w:lang w:val="en-GB" w:eastAsia="lt-LT"/>
    </w:rPr>
  </w:style>
  <w:style w:type="paragraph" w:styleId="Paprastasistekstas">
    <w:name w:val="Plain Text"/>
    <w:basedOn w:val="prastasis"/>
    <w:link w:val="PaprastasistekstasDiagrama"/>
    <w:uiPriority w:val="99"/>
    <w:rsid w:val="005D554B"/>
    <w:rPr>
      <w:rFonts w:ascii="Courier New" w:eastAsia="SimSun" w:hAnsi="Courier New"/>
      <w:sz w:val="20"/>
      <w:lang w:val="en-US"/>
    </w:rPr>
  </w:style>
  <w:style w:type="character" w:customStyle="1" w:styleId="PaprastasistekstasDiagrama">
    <w:name w:val="Paprastasis tekstas Diagrama"/>
    <w:basedOn w:val="Numatytasispastraiposriftas"/>
    <w:link w:val="Paprastasistekstas"/>
    <w:uiPriority w:val="99"/>
    <w:rsid w:val="005D554B"/>
    <w:rPr>
      <w:rFonts w:ascii="Courier New" w:eastAsia="SimSun" w:hAnsi="Courier New"/>
      <w:sz w:val="20"/>
      <w:lang w:val="en-US"/>
    </w:rPr>
  </w:style>
  <w:style w:type="paragraph" w:customStyle="1" w:styleId="Default">
    <w:name w:val="Default"/>
    <w:rsid w:val="005D554B"/>
    <w:pPr>
      <w:autoSpaceDE w:val="0"/>
      <w:autoSpaceDN w:val="0"/>
      <w:adjustRightInd w:val="0"/>
    </w:pPr>
    <w:rPr>
      <w:rFonts w:eastAsia="SimSun"/>
      <w:color w:val="000000"/>
      <w:szCs w:val="24"/>
      <w:lang w:val="en-US" w:eastAsia="zh-CN"/>
    </w:rPr>
  </w:style>
  <w:style w:type="paragraph" w:styleId="Pavadinimas">
    <w:name w:val="Title"/>
    <w:basedOn w:val="prastasis"/>
    <w:link w:val="PavadinimasDiagrama"/>
    <w:uiPriority w:val="99"/>
    <w:qFormat/>
    <w:rsid w:val="005D554B"/>
    <w:pPr>
      <w:jc w:val="center"/>
    </w:pPr>
    <w:rPr>
      <w:rFonts w:eastAsia="SimSun"/>
      <w:b/>
      <w:sz w:val="22"/>
      <w:lang w:val="en-GB"/>
    </w:rPr>
  </w:style>
  <w:style w:type="character" w:customStyle="1" w:styleId="PavadinimasDiagrama">
    <w:name w:val="Pavadinimas Diagrama"/>
    <w:basedOn w:val="Numatytasispastraiposriftas"/>
    <w:link w:val="Pavadinimas"/>
    <w:uiPriority w:val="99"/>
    <w:rsid w:val="005D554B"/>
    <w:rPr>
      <w:rFonts w:eastAsia="SimSun"/>
      <w:b/>
      <w:sz w:val="22"/>
      <w:lang w:val="en-GB"/>
    </w:rPr>
  </w:style>
  <w:style w:type="paragraph" w:styleId="Dokumentoinaostekstas">
    <w:name w:val="endnote text"/>
    <w:basedOn w:val="prastasis"/>
    <w:link w:val="DokumentoinaostekstasDiagrama"/>
    <w:uiPriority w:val="99"/>
    <w:rsid w:val="005D554B"/>
    <w:pPr>
      <w:tabs>
        <w:tab w:val="left" w:pos="567"/>
      </w:tabs>
    </w:pPr>
    <w:rPr>
      <w:rFonts w:eastAsia="SimSun"/>
      <w:sz w:val="22"/>
      <w:lang w:val="en-GB"/>
    </w:rPr>
  </w:style>
  <w:style w:type="character" w:customStyle="1" w:styleId="DokumentoinaostekstasDiagrama">
    <w:name w:val="Dokumento išnašos tekstas Diagrama"/>
    <w:basedOn w:val="Numatytasispastraiposriftas"/>
    <w:link w:val="Dokumentoinaostekstas"/>
    <w:uiPriority w:val="99"/>
    <w:rsid w:val="005D554B"/>
    <w:rPr>
      <w:rFonts w:eastAsia="SimSun"/>
      <w:sz w:val="22"/>
      <w:lang w:val="en-GB"/>
    </w:rPr>
  </w:style>
  <w:style w:type="paragraph" w:customStyle="1" w:styleId="BTEMEASMCA">
    <w:name w:val="BT EMEA_SMCA"/>
    <w:basedOn w:val="prastasis"/>
    <w:link w:val="BTEMEASMCAChar"/>
    <w:autoRedefine/>
    <w:uiPriority w:val="99"/>
    <w:rsid w:val="005D554B"/>
    <w:rPr>
      <w:rFonts w:eastAsia="SimSun"/>
      <w:noProof/>
      <w:sz w:val="20"/>
      <w:lang w:val="x-none" w:eastAsia="x-none"/>
    </w:rPr>
  </w:style>
  <w:style w:type="character" w:customStyle="1" w:styleId="BTEMEASMCAChar">
    <w:name w:val="BT EMEA_SMCA Char"/>
    <w:link w:val="BTEMEASMCA"/>
    <w:uiPriority w:val="99"/>
    <w:locked/>
    <w:rsid w:val="005D554B"/>
    <w:rPr>
      <w:rFonts w:eastAsia="SimSun"/>
      <w:noProof/>
      <w:sz w:val="20"/>
      <w:lang w:val="x-none" w:eastAsia="x-none"/>
    </w:rPr>
  </w:style>
  <w:style w:type="character" w:customStyle="1" w:styleId="CharChar12">
    <w:name w:val="Char Char12"/>
    <w:locked/>
    <w:rsid w:val="005D554B"/>
    <w:rPr>
      <w:snapToGrid w:val="0"/>
      <w:lang w:val="en-GB" w:eastAsia="en-US" w:bidi="ar-SA"/>
    </w:rPr>
  </w:style>
  <w:style w:type="table" w:styleId="Lentelstinklelis">
    <w:name w:val="Table Grid"/>
    <w:basedOn w:val="prastojilentel"/>
    <w:rsid w:val="004A3A17"/>
    <w:rPr>
      <w:rFonts w:eastAsia="SimSun"/>
      <w:sz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rsid w:val="001413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pris.vvkt.lt/vvkt-web/public/nrvSpecialist" TargetMode="External"/><Relationship Id="rId13" Type="http://schemas.openxmlformats.org/officeDocument/2006/relationships/header" Target="header2.xml"/><Relationship Id="rId18" Type="http://schemas.openxmlformats.org/officeDocument/2006/relationships/hyperlink" Target="https://vapris.vvkt.lt/vvkt-web/public/nrv"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vapris.vvkt.lt/vvkt-web/public/medications"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vapris.vvkt.lt/vvkt-web/public/medications" TargetMode="Externa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mailto:NepageidaujamaR@vvkt.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apris.vvkt.lt/vvkt-web/public/medications" TargetMode="External"/><Relationship Id="rId24" Type="http://schemas.openxmlformats.org/officeDocument/2006/relationships/hyperlink" Target="mailto:NepageidaujamaR@vvkt.lt" TargetMode="Externa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https://www.vvkt.lt/index.php?4004286486" TargetMode="External"/><Relationship Id="rId10" Type="http://schemas.openxmlformats.org/officeDocument/2006/relationships/image" Target="media/image1.png"/><Relationship Id="rId19" Type="http://schemas.openxmlformats.org/officeDocument/2006/relationships/hyperlink" Target="https://www.vvkt.lt/index.php?4004286486" TargetMode="External"/><Relationship Id="rId4" Type="http://schemas.openxmlformats.org/officeDocument/2006/relationships/settings" Target="settings.xml"/><Relationship Id="rId9" Type="http://schemas.openxmlformats.org/officeDocument/2006/relationships/hyperlink" Target="https://www.vvkt.lt/index.php?1399030386" TargetMode="External"/><Relationship Id="rId14" Type="http://schemas.openxmlformats.org/officeDocument/2006/relationships/footer" Target="footer1.xml"/><Relationship Id="rId22" Type="http://schemas.openxmlformats.org/officeDocument/2006/relationships/hyperlink" Target="https://vapris.vvkt.lt/vvkt-web/public/nrv"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3EEED3-2C6A-4D4A-9FD8-87E934FEDD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47</Pages>
  <Words>12297</Words>
  <Characters>84709</Characters>
  <Application>Microsoft Office Word</Application>
  <DocSecurity>4</DocSecurity>
  <Lines>705</Lines>
  <Paragraphs>193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96813</CharactersWithSpaces>
  <SharedDoc>false</SharedDoc>
  <HyperlinkBase/>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Eglė Mažuolienė</dc:creator>
  <cp:lastModifiedBy>Albina Burkauskaitė</cp:lastModifiedBy>
  <cp:revision>2</cp:revision>
  <cp:lastPrinted>2016-12-22T10:29:00Z</cp:lastPrinted>
  <dcterms:created xsi:type="dcterms:W3CDTF">2025-03-04T14:40:00Z</dcterms:created>
  <dcterms:modified xsi:type="dcterms:W3CDTF">2025-03-04T14:40:00Z</dcterms:modified>
</cp:coreProperties>
</file>