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6F5" w:rsidRPr="0043016B" w:rsidRDefault="00D336F5" w:rsidP="00D336F5">
      <w:pPr>
        <w:pStyle w:val="TTEMEASMCA"/>
        <w:tabs>
          <w:tab w:val="left" w:pos="3544"/>
          <w:tab w:val="left" w:pos="4678"/>
        </w:tabs>
        <w:rPr>
          <w:lang w:val="lt-LT"/>
        </w:rPr>
      </w:pPr>
      <w:r w:rsidRPr="0043016B">
        <w:rPr>
          <w:caps w:val="0"/>
          <w:lang w:val="lt-LT"/>
        </w:rPr>
        <w:t>Pakuotės lapelis: informacija vartotojui</w:t>
      </w:r>
    </w:p>
    <w:p w:rsidR="00D336F5" w:rsidRPr="0043016B" w:rsidRDefault="00D336F5" w:rsidP="00D336F5">
      <w:pPr>
        <w:pStyle w:val="BTEMEASMCA"/>
        <w:tabs>
          <w:tab w:val="left" w:pos="3544"/>
          <w:tab w:val="left" w:pos="4678"/>
        </w:tabs>
      </w:pPr>
    </w:p>
    <w:p w:rsidR="00D336F5" w:rsidRPr="0043016B" w:rsidRDefault="00D336F5" w:rsidP="00D336F5">
      <w:pPr>
        <w:ind w:left="567" w:hanging="567"/>
        <w:jc w:val="center"/>
        <w:rPr>
          <w:b/>
          <w:szCs w:val="22"/>
        </w:rPr>
      </w:pPr>
      <w:r w:rsidRPr="0043016B">
        <w:rPr>
          <w:b/>
          <w:szCs w:val="22"/>
        </w:rPr>
        <w:t>Standacillin 500</w:t>
      </w:r>
      <w:r>
        <w:rPr>
          <w:b/>
          <w:szCs w:val="22"/>
        </w:rPr>
        <w:t> </w:t>
      </w:r>
      <w:r w:rsidRPr="0043016B">
        <w:rPr>
          <w:b/>
          <w:szCs w:val="22"/>
        </w:rPr>
        <w:t>mg kietosios kapsulės</w:t>
      </w:r>
    </w:p>
    <w:p w:rsidR="00D336F5" w:rsidRPr="0043016B" w:rsidRDefault="00D336F5" w:rsidP="00D336F5">
      <w:pPr>
        <w:ind w:left="567" w:hanging="567"/>
        <w:jc w:val="center"/>
        <w:rPr>
          <w:szCs w:val="22"/>
        </w:rPr>
      </w:pPr>
      <w:r>
        <w:rPr>
          <w:szCs w:val="22"/>
        </w:rPr>
        <w:t>a</w:t>
      </w:r>
      <w:r w:rsidRPr="0043016B">
        <w:rPr>
          <w:szCs w:val="22"/>
        </w:rPr>
        <w:t>mpicilinas</w:t>
      </w:r>
    </w:p>
    <w:p w:rsidR="00D336F5" w:rsidRPr="0043016B" w:rsidRDefault="00D336F5" w:rsidP="00D336F5">
      <w:pPr>
        <w:pStyle w:val="BTEMEASMCA"/>
        <w:tabs>
          <w:tab w:val="left" w:pos="3544"/>
          <w:tab w:val="left" w:pos="4678"/>
        </w:tabs>
        <w:jc w:val="center"/>
      </w:pPr>
    </w:p>
    <w:p w:rsidR="00D336F5" w:rsidRPr="0043016B" w:rsidRDefault="00D336F5" w:rsidP="00D336F5">
      <w:pPr>
        <w:pStyle w:val="Pagrindinistekstas"/>
        <w:tabs>
          <w:tab w:val="left" w:pos="567"/>
        </w:tabs>
        <w:spacing w:after="0"/>
        <w:rPr>
          <w:b/>
          <w:sz w:val="22"/>
          <w:szCs w:val="22"/>
        </w:rPr>
      </w:pPr>
      <w:r w:rsidRPr="0043016B">
        <w:rPr>
          <w:b/>
          <w:sz w:val="22"/>
          <w:szCs w:val="22"/>
        </w:rPr>
        <w:t>Atidžiai perskaitykite visą šį lapelį, prieš pradėdami vartoti vaistą, nes jame pateikiama Jums svarbi informacija.</w:t>
      </w:r>
    </w:p>
    <w:p w:rsidR="00D336F5" w:rsidRPr="0043016B" w:rsidRDefault="00D336F5" w:rsidP="00D336F5">
      <w:pPr>
        <w:pStyle w:val="Pagrindinistekstas"/>
        <w:tabs>
          <w:tab w:val="left" w:pos="567"/>
        </w:tabs>
        <w:spacing w:after="0"/>
        <w:rPr>
          <w:sz w:val="22"/>
          <w:szCs w:val="22"/>
        </w:rPr>
      </w:pPr>
      <w:r w:rsidRPr="0043016B">
        <w:rPr>
          <w:sz w:val="22"/>
          <w:szCs w:val="22"/>
        </w:rPr>
        <w:t>-</w:t>
      </w:r>
      <w:r w:rsidRPr="0043016B">
        <w:rPr>
          <w:sz w:val="22"/>
          <w:szCs w:val="22"/>
        </w:rPr>
        <w:tab/>
        <w:t>Neišmeskite šio lapelio, nes vėl gali prireikti jį perskaityti.</w:t>
      </w:r>
    </w:p>
    <w:p w:rsidR="00D336F5" w:rsidRPr="0043016B" w:rsidRDefault="00D336F5" w:rsidP="00D336F5">
      <w:pPr>
        <w:pStyle w:val="Pagrindinistekstas"/>
        <w:tabs>
          <w:tab w:val="left" w:pos="567"/>
        </w:tabs>
        <w:spacing w:after="0"/>
        <w:rPr>
          <w:sz w:val="22"/>
          <w:szCs w:val="22"/>
        </w:rPr>
      </w:pPr>
      <w:r w:rsidRPr="0043016B">
        <w:rPr>
          <w:sz w:val="22"/>
          <w:szCs w:val="22"/>
        </w:rPr>
        <w:t>-</w:t>
      </w:r>
      <w:r w:rsidRPr="0043016B">
        <w:rPr>
          <w:sz w:val="22"/>
          <w:szCs w:val="22"/>
        </w:rPr>
        <w:tab/>
        <w:t>Jeigu kiltų daugiau klausimų, kreipkitės į gydytoją arba vaistininką.</w:t>
      </w:r>
    </w:p>
    <w:p w:rsidR="00D336F5" w:rsidRPr="0043016B" w:rsidRDefault="00D336F5" w:rsidP="00D336F5">
      <w:pPr>
        <w:pStyle w:val="Pagrindinistekstas"/>
        <w:tabs>
          <w:tab w:val="left" w:pos="567"/>
        </w:tabs>
        <w:spacing w:after="0"/>
        <w:ind w:left="567" w:hanging="567"/>
        <w:rPr>
          <w:sz w:val="22"/>
          <w:szCs w:val="22"/>
        </w:rPr>
      </w:pPr>
      <w:r w:rsidRPr="0043016B">
        <w:rPr>
          <w:sz w:val="22"/>
          <w:szCs w:val="22"/>
        </w:rPr>
        <w:t>-</w:t>
      </w:r>
      <w:r w:rsidRPr="0043016B">
        <w:rPr>
          <w:sz w:val="22"/>
          <w:szCs w:val="22"/>
        </w:rPr>
        <w:tab/>
        <w:t>Šis vaistas skirtas tik Jums, todėl kitiems žmonėms jo duoti negalima. Vaistas gali jiems pakenkti (net tiems, kurių ligos požymiai yra tokie patys kaip Jūsų).</w:t>
      </w:r>
    </w:p>
    <w:p w:rsidR="00D336F5" w:rsidRPr="0043016B" w:rsidRDefault="00D336F5" w:rsidP="00D336F5">
      <w:pPr>
        <w:pStyle w:val="Pagrindinistekstas"/>
        <w:tabs>
          <w:tab w:val="left" w:pos="567"/>
        </w:tabs>
        <w:spacing w:after="0"/>
        <w:ind w:left="567" w:hanging="567"/>
        <w:rPr>
          <w:sz w:val="22"/>
          <w:szCs w:val="22"/>
        </w:rPr>
      </w:pPr>
      <w:r w:rsidRPr="0043016B">
        <w:rPr>
          <w:sz w:val="22"/>
          <w:szCs w:val="22"/>
        </w:rPr>
        <w:t>-</w:t>
      </w:r>
      <w:r w:rsidRPr="0043016B">
        <w:rPr>
          <w:sz w:val="22"/>
          <w:szCs w:val="22"/>
        </w:rPr>
        <w:tab/>
        <w:t>Jeigu pasireiškė šalutinis poveikis (net jeigu jis šiame lapelyje nenurodytas), kreipkitės į gydytoją arba vaistininką. Žr. 4 skyrių.</w:t>
      </w:r>
    </w:p>
    <w:p w:rsidR="00D336F5" w:rsidRPr="00FF3A91" w:rsidRDefault="00D336F5" w:rsidP="00D336F5">
      <w:pPr>
        <w:pStyle w:val="BTbEMEASMCA"/>
        <w:tabs>
          <w:tab w:val="left" w:pos="3544"/>
          <w:tab w:val="left" w:pos="4678"/>
        </w:tabs>
      </w:pPr>
    </w:p>
    <w:p w:rsidR="00D336F5" w:rsidRPr="0043016B" w:rsidRDefault="00D336F5" w:rsidP="00D336F5">
      <w:pPr>
        <w:pStyle w:val="BTbEMEASMCA"/>
        <w:tabs>
          <w:tab w:val="left" w:pos="3544"/>
          <w:tab w:val="left" w:pos="4678"/>
        </w:tabs>
      </w:pPr>
      <w:r w:rsidRPr="0043016B">
        <w:t>Apie ką rašoma šiame lapelyje?</w:t>
      </w:r>
    </w:p>
    <w:p w:rsidR="00D336F5" w:rsidRPr="0043016B" w:rsidRDefault="00D336F5" w:rsidP="00D336F5">
      <w:pPr>
        <w:pStyle w:val="BTbEMEASMCA"/>
        <w:tabs>
          <w:tab w:val="left" w:pos="3544"/>
          <w:tab w:val="left" w:pos="4678"/>
        </w:tabs>
      </w:pPr>
    </w:p>
    <w:p w:rsidR="00D336F5" w:rsidRPr="0043016B" w:rsidRDefault="00D336F5" w:rsidP="00D336F5">
      <w:pPr>
        <w:pStyle w:val="BTEMEASMCA"/>
        <w:tabs>
          <w:tab w:val="left" w:pos="567"/>
        </w:tabs>
      </w:pPr>
      <w:r w:rsidRPr="0043016B">
        <w:t xml:space="preserve">1. </w:t>
      </w:r>
      <w:r w:rsidRPr="0043016B">
        <w:tab/>
        <w:t>Kas yra Standacillin ir kam jis vartojamas</w:t>
      </w:r>
    </w:p>
    <w:p w:rsidR="00D336F5" w:rsidRPr="0043016B" w:rsidRDefault="00D336F5" w:rsidP="00D336F5">
      <w:pPr>
        <w:pStyle w:val="BTEMEASMCA"/>
        <w:tabs>
          <w:tab w:val="left" w:pos="567"/>
        </w:tabs>
      </w:pPr>
      <w:r w:rsidRPr="0043016B">
        <w:t xml:space="preserve">2. </w:t>
      </w:r>
      <w:r w:rsidRPr="0043016B">
        <w:tab/>
        <w:t>Kas žinotina prieš vartojant Standacillin</w:t>
      </w:r>
    </w:p>
    <w:p w:rsidR="00D336F5" w:rsidRPr="0043016B" w:rsidRDefault="00D336F5" w:rsidP="00D336F5">
      <w:pPr>
        <w:pStyle w:val="BTEMEASMCA"/>
        <w:tabs>
          <w:tab w:val="left" w:pos="567"/>
        </w:tabs>
      </w:pPr>
      <w:r w:rsidRPr="0043016B">
        <w:t xml:space="preserve">3. </w:t>
      </w:r>
      <w:r w:rsidRPr="0043016B">
        <w:tab/>
        <w:t>Kaip vartoti Standacillin</w:t>
      </w:r>
    </w:p>
    <w:p w:rsidR="00D336F5" w:rsidRPr="0043016B" w:rsidRDefault="00D336F5" w:rsidP="00D336F5">
      <w:pPr>
        <w:pStyle w:val="BTEMEASMCA"/>
        <w:tabs>
          <w:tab w:val="left" w:pos="567"/>
        </w:tabs>
      </w:pPr>
      <w:r w:rsidRPr="0043016B">
        <w:t xml:space="preserve">4. </w:t>
      </w:r>
      <w:r w:rsidRPr="0043016B">
        <w:tab/>
        <w:t>Galimas šalutinis poveikis</w:t>
      </w:r>
    </w:p>
    <w:p w:rsidR="00D336F5" w:rsidRPr="0043016B" w:rsidRDefault="00D336F5" w:rsidP="00D336F5">
      <w:pPr>
        <w:pStyle w:val="BTEMEASMCA"/>
        <w:tabs>
          <w:tab w:val="left" w:pos="567"/>
        </w:tabs>
      </w:pPr>
      <w:r w:rsidRPr="0043016B">
        <w:t xml:space="preserve">5. </w:t>
      </w:r>
      <w:r w:rsidRPr="0043016B">
        <w:tab/>
        <w:t>Kaip laikyti Standacillin</w:t>
      </w:r>
    </w:p>
    <w:p w:rsidR="00D336F5" w:rsidRPr="0043016B" w:rsidRDefault="00D336F5" w:rsidP="00D336F5">
      <w:pPr>
        <w:pStyle w:val="BTEMEASMCA"/>
        <w:tabs>
          <w:tab w:val="left" w:pos="567"/>
        </w:tabs>
      </w:pPr>
      <w:r w:rsidRPr="0043016B">
        <w:t xml:space="preserve">6. </w:t>
      </w:r>
      <w:r w:rsidRPr="0043016B">
        <w:tab/>
        <w:t>Pakuotės turinys ir kita informacija</w:t>
      </w:r>
    </w:p>
    <w:p w:rsidR="00D336F5" w:rsidRPr="0043016B" w:rsidRDefault="00D336F5" w:rsidP="00D336F5">
      <w:pPr>
        <w:ind w:left="567" w:hanging="567"/>
        <w:rPr>
          <w:szCs w:val="22"/>
        </w:rPr>
      </w:pPr>
    </w:p>
    <w:p w:rsidR="00D336F5" w:rsidRPr="0043016B" w:rsidRDefault="00D336F5" w:rsidP="00D336F5">
      <w:pPr>
        <w:rPr>
          <w:szCs w:val="22"/>
        </w:rPr>
      </w:pPr>
    </w:p>
    <w:p w:rsidR="00D336F5" w:rsidRPr="0043016B" w:rsidRDefault="00D336F5" w:rsidP="00D336F5">
      <w:pPr>
        <w:numPr>
          <w:ilvl w:val="12"/>
          <w:numId w:val="0"/>
        </w:numPr>
        <w:ind w:left="567" w:hanging="567"/>
        <w:outlineLvl w:val="0"/>
        <w:rPr>
          <w:b/>
          <w:caps/>
          <w:szCs w:val="22"/>
        </w:rPr>
      </w:pPr>
      <w:r w:rsidRPr="0043016B">
        <w:rPr>
          <w:b/>
          <w:szCs w:val="22"/>
        </w:rPr>
        <w:t>1.</w:t>
      </w:r>
      <w:r w:rsidRPr="0043016B">
        <w:rPr>
          <w:b/>
          <w:szCs w:val="22"/>
        </w:rPr>
        <w:tab/>
        <w:t>Kas yra Standacillin ir kam jis vartojamas</w:t>
      </w:r>
    </w:p>
    <w:p w:rsidR="00D336F5" w:rsidRPr="0043016B" w:rsidRDefault="00D336F5" w:rsidP="00D336F5">
      <w:pPr>
        <w:ind w:left="567" w:hanging="567"/>
        <w:rPr>
          <w:szCs w:val="22"/>
        </w:rPr>
      </w:pPr>
    </w:p>
    <w:p w:rsidR="00D336F5" w:rsidRPr="0043016B" w:rsidRDefault="00D336F5" w:rsidP="00D336F5">
      <w:pPr>
        <w:pStyle w:val="Pagrindinistekstas"/>
        <w:spacing w:after="0"/>
        <w:rPr>
          <w:sz w:val="22"/>
          <w:szCs w:val="22"/>
        </w:rPr>
      </w:pPr>
      <w:r w:rsidRPr="0043016B">
        <w:rPr>
          <w:sz w:val="22"/>
          <w:szCs w:val="22"/>
        </w:rPr>
        <w:t xml:space="preserve">Standacillin veiklioji medžiaga yra ampicilinas, aminopenicilinų grupės antibiotikas. Penicilinai pažeidžia bakterijų ląstelių membranas ir tokiu būdu suardo augančias bakterijas. </w:t>
      </w:r>
    </w:p>
    <w:p w:rsidR="00D336F5" w:rsidRPr="0043016B" w:rsidRDefault="00D336F5" w:rsidP="00D336F5">
      <w:pPr>
        <w:pStyle w:val="Pagrindinistekstas"/>
        <w:spacing w:after="0"/>
        <w:rPr>
          <w:sz w:val="22"/>
          <w:szCs w:val="22"/>
        </w:rPr>
      </w:pPr>
    </w:p>
    <w:p w:rsidR="00D336F5" w:rsidRPr="0043016B" w:rsidRDefault="00D336F5" w:rsidP="00D336F5">
      <w:pPr>
        <w:pStyle w:val="Pagrindinistekstas"/>
        <w:spacing w:after="0"/>
        <w:rPr>
          <w:sz w:val="22"/>
          <w:szCs w:val="22"/>
        </w:rPr>
      </w:pPr>
      <w:r w:rsidRPr="0043016B">
        <w:rPr>
          <w:sz w:val="22"/>
          <w:szCs w:val="22"/>
        </w:rPr>
        <w:t>Standacillin vartojamas šioms jam jautrių bakterijų sukeltoms lengvoms arba vidutinio sunkumo infekcinėms ligoms gydyti:</w:t>
      </w:r>
    </w:p>
    <w:p w:rsidR="00D336F5" w:rsidRPr="0043016B" w:rsidRDefault="00D336F5" w:rsidP="00D336F5">
      <w:pPr>
        <w:pStyle w:val="Pagrindinistekstas"/>
        <w:numPr>
          <w:ilvl w:val="0"/>
          <w:numId w:val="2"/>
        </w:numPr>
        <w:spacing w:after="0"/>
        <w:ind w:left="567" w:hanging="567"/>
        <w:rPr>
          <w:sz w:val="22"/>
          <w:szCs w:val="22"/>
        </w:rPr>
      </w:pPr>
      <w:r w:rsidRPr="0043016B">
        <w:rPr>
          <w:sz w:val="22"/>
          <w:szCs w:val="22"/>
        </w:rPr>
        <w:t xml:space="preserve">ausų, nosies ir gerklės (ūminiam vidurinės ausies uždegimui, ūminiam sinusitui); </w:t>
      </w:r>
    </w:p>
    <w:p w:rsidR="00D336F5" w:rsidRPr="0043016B" w:rsidRDefault="00D336F5" w:rsidP="00D336F5">
      <w:pPr>
        <w:pStyle w:val="Antrat4"/>
        <w:numPr>
          <w:ilvl w:val="0"/>
          <w:numId w:val="2"/>
        </w:numPr>
        <w:ind w:left="567" w:hanging="567"/>
        <w:jc w:val="left"/>
        <w:rPr>
          <w:sz w:val="22"/>
          <w:szCs w:val="22"/>
          <w:u w:val="none"/>
        </w:rPr>
      </w:pPr>
      <w:r w:rsidRPr="0043016B">
        <w:rPr>
          <w:sz w:val="22"/>
          <w:szCs w:val="22"/>
          <w:u w:val="none"/>
        </w:rPr>
        <w:t xml:space="preserve">apatinių kvėpavimo takų (ūminiam ir lėtiniam paūmėjusiam bronchitui, bendruomenėje įgytam plaučių uždegimui); </w:t>
      </w:r>
    </w:p>
    <w:p w:rsidR="00D336F5" w:rsidRPr="0043016B" w:rsidRDefault="00D336F5" w:rsidP="00D336F5">
      <w:pPr>
        <w:pStyle w:val="MediumGrid1-Accent21"/>
        <w:numPr>
          <w:ilvl w:val="0"/>
          <w:numId w:val="2"/>
        </w:numPr>
        <w:tabs>
          <w:tab w:val="left" w:pos="567"/>
        </w:tabs>
        <w:ind w:left="567" w:hanging="567"/>
        <w:rPr>
          <w:szCs w:val="22"/>
        </w:rPr>
      </w:pPr>
      <w:r w:rsidRPr="00FF3A91">
        <w:rPr>
          <w:szCs w:val="22"/>
        </w:rPr>
        <w:t>inkstų ir šlapimo takų (ūminiam arba lėtiniam paūmėjusiam inkstų geldelių ir taurelių uždegimui, inkstų geldelių uždegimui, šlapimo pūslės uždegimui, šlaplės uždegimui, prostatos uždegimui);</w:t>
      </w:r>
    </w:p>
    <w:p w:rsidR="00D336F5" w:rsidRPr="0043016B" w:rsidRDefault="00D336F5" w:rsidP="00D336F5">
      <w:pPr>
        <w:pStyle w:val="MediumGrid1-Accent21"/>
        <w:numPr>
          <w:ilvl w:val="0"/>
          <w:numId w:val="2"/>
        </w:numPr>
        <w:ind w:left="567" w:hanging="567"/>
        <w:rPr>
          <w:szCs w:val="22"/>
        </w:rPr>
      </w:pPr>
      <w:r w:rsidRPr="0043016B">
        <w:rPr>
          <w:szCs w:val="22"/>
        </w:rPr>
        <w:t xml:space="preserve">lytinių ir šlapimo takų uždegimui (gonorėjai); </w:t>
      </w:r>
    </w:p>
    <w:p w:rsidR="00D336F5" w:rsidRPr="0043016B" w:rsidRDefault="00D336F5" w:rsidP="00D336F5">
      <w:pPr>
        <w:pStyle w:val="MediumGrid1-Accent21"/>
        <w:numPr>
          <w:ilvl w:val="0"/>
          <w:numId w:val="2"/>
        </w:numPr>
        <w:ind w:left="567" w:hanging="567"/>
        <w:rPr>
          <w:szCs w:val="22"/>
        </w:rPr>
      </w:pPr>
      <w:r w:rsidRPr="0043016B">
        <w:rPr>
          <w:szCs w:val="22"/>
        </w:rPr>
        <w:t>mažojo dubens organų uždegiminėms ligoms (gimdos gleivinės uždegimui, priegimdžio uždegimui, kiaušidžių ir kiaušintakių uždegimui);</w:t>
      </w:r>
    </w:p>
    <w:p w:rsidR="00D336F5" w:rsidRPr="0043016B" w:rsidRDefault="00D336F5" w:rsidP="00D336F5">
      <w:pPr>
        <w:pStyle w:val="MediumGrid1-Accent21"/>
        <w:numPr>
          <w:ilvl w:val="0"/>
          <w:numId w:val="2"/>
        </w:numPr>
        <w:ind w:left="567" w:hanging="567"/>
        <w:rPr>
          <w:szCs w:val="22"/>
        </w:rPr>
      </w:pPr>
      <w:r w:rsidRPr="0043016B">
        <w:rPr>
          <w:szCs w:val="22"/>
        </w:rPr>
        <w:t xml:space="preserve">virškinimo trakto infekcinėms ligoms (salmoneliozei, šigeliozei, vidurių šiltinei, paratifui), tulžies pūslės uždegimui, tulžies latakų uždegimui. </w:t>
      </w:r>
    </w:p>
    <w:p w:rsidR="00D336F5" w:rsidRPr="0043016B" w:rsidRDefault="00D336F5" w:rsidP="00D336F5">
      <w:pPr>
        <w:pStyle w:val="Pagrindinistekstas"/>
        <w:spacing w:after="0"/>
        <w:rPr>
          <w:sz w:val="22"/>
          <w:szCs w:val="22"/>
        </w:rPr>
      </w:pPr>
    </w:p>
    <w:p w:rsidR="00D336F5" w:rsidRPr="00FF3A91" w:rsidRDefault="00D336F5" w:rsidP="00D336F5">
      <w:pPr>
        <w:rPr>
          <w:szCs w:val="22"/>
        </w:rPr>
      </w:pPr>
      <w:r w:rsidRPr="00FF3A91">
        <w:rPr>
          <w:szCs w:val="22"/>
        </w:rPr>
        <w:t>Prireikus gydytojas prieš gydymą šiuo antibiotiku bei gydymo metu nustatys infekcinės ligos sukėlėjo jautrumą ampicilinui.</w:t>
      </w:r>
    </w:p>
    <w:p w:rsidR="00D336F5" w:rsidRPr="0043016B" w:rsidRDefault="00D336F5" w:rsidP="00D336F5">
      <w:pPr>
        <w:ind w:left="567" w:hanging="567"/>
        <w:rPr>
          <w:szCs w:val="22"/>
        </w:rPr>
      </w:pPr>
    </w:p>
    <w:p w:rsidR="00D336F5" w:rsidRPr="0043016B" w:rsidRDefault="00D336F5" w:rsidP="00D336F5">
      <w:pPr>
        <w:ind w:left="567" w:hanging="567"/>
        <w:rPr>
          <w:szCs w:val="22"/>
        </w:rPr>
      </w:pPr>
    </w:p>
    <w:p w:rsidR="00D336F5" w:rsidRPr="0043016B" w:rsidRDefault="00D336F5" w:rsidP="00D336F5">
      <w:pPr>
        <w:numPr>
          <w:ilvl w:val="12"/>
          <w:numId w:val="0"/>
        </w:numPr>
        <w:ind w:left="567" w:hanging="567"/>
        <w:outlineLvl w:val="0"/>
        <w:rPr>
          <w:b/>
          <w:caps/>
          <w:szCs w:val="22"/>
        </w:rPr>
      </w:pPr>
      <w:r w:rsidRPr="0043016B">
        <w:rPr>
          <w:b/>
          <w:szCs w:val="22"/>
        </w:rPr>
        <w:t>2.</w:t>
      </w:r>
      <w:r w:rsidRPr="0043016B">
        <w:rPr>
          <w:b/>
          <w:szCs w:val="22"/>
        </w:rPr>
        <w:tab/>
        <w:t>Kas žinotina prieš vartojant Standacillin</w:t>
      </w:r>
    </w:p>
    <w:p w:rsidR="00D336F5" w:rsidRPr="0043016B" w:rsidRDefault="00D336F5" w:rsidP="00D336F5">
      <w:pPr>
        <w:ind w:left="567" w:hanging="567"/>
        <w:rPr>
          <w:szCs w:val="22"/>
        </w:rPr>
      </w:pPr>
    </w:p>
    <w:p w:rsidR="00D336F5" w:rsidRPr="0043016B" w:rsidRDefault="00D336F5" w:rsidP="00D336F5">
      <w:pPr>
        <w:ind w:left="567" w:hanging="567"/>
        <w:rPr>
          <w:b/>
          <w:szCs w:val="22"/>
        </w:rPr>
      </w:pPr>
      <w:r w:rsidRPr="0043016B">
        <w:rPr>
          <w:b/>
          <w:szCs w:val="22"/>
        </w:rPr>
        <w:t xml:space="preserve">Standacillin vartoti </w:t>
      </w:r>
      <w:r>
        <w:rPr>
          <w:b/>
          <w:szCs w:val="22"/>
        </w:rPr>
        <w:t>draudžiama</w:t>
      </w:r>
      <w:r w:rsidRPr="0043016B">
        <w:rPr>
          <w:b/>
          <w:szCs w:val="22"/>
        </w:rPr>
        <w:t>:</w:t>
      </w:r>
    </w:p>
    <w:p w:rsidR="00D336F5" w:rsidRPr="0043016B" w:rsidRDefault="00D336F5" w:rsidP="00D336F5">
      <w:pPr>
        <w:ind w:left="540" w:hanging="540"/>
        <w:rPr>
          <w:szCs w:val="22"/>
        </w:rPr>
      </w:pPr>
      <w:r w:rsidRPr="0043016B">
        <w:rPr>
          <w:szCs w:val="22"/>
        </w:rPr>
        <w:t>-</w:t>
      </w:r>
      <w:r w:rsidRPr="0043016B">
        <w:rPr>
          <w:szCs w:val="22"/>
        </w:rPr>
        <w:tab/>
        <w:t>jeigu yra alergija ampicilinui arba bet kuriai pagalbinei šio vaisto medžiagai (jos išvardytos 6 skyriuje);</w:t>
      </w:r>
    </w:p>
    <w:p w:rsidR="00D336F5" w:rsidRPr="0043016B" w:rsidRDefault="00D336F5" w:rsidP="00D336F5">
      <w:pPr>
        <w:ind w:left="540" w:hanging="540"/>
        <w:rPr>
          <w:szCs w:val="22"/>
        </w:rPr>
      </w:pPr>
      <w:r w:rsidRPr="0043016B">
        <w:rPr>
          <w:szCs w:val="22"/>
        </w:rPr>
        <w:t>-</w:t>
      </w:r>
      <w:r w:rsidRPr="0043016B">
        <w:rPr>
          <w:szCs w:val="22"/>
        </w:rPr>
        <w:tab/>
        <w:t>jeigu yra alergija bet kuriam kitam betalaktaminiam antibiotikui, pvz., antibiotikams, priklausantiems penicilinų ar cefalosporinų grupei.</w:t>
      </w:r>
    </w:p>
    <w:p w:rsidR="00D336F5" w:rsidRPr="0043016B" w:rsidDel="000B57AB" w:rsidRDefault="00D336F5" w:rsidP="00D336F5">
      <w:pPr>
        <w:ind w:left="540" w:hanging="540"/>
        <w:rPr>
          <w:szCs w:val="22"/>
        </w:rPr>
      </w:pPr>
    </w:p>
    <w:p w:rsidR="00D336F5" w:rsidRPr="0043016B" w:rsidRDefault="00D336F5" w:rsidP="00D336F5">
      <w:pPr>
        <w:ind w:left="540" w:hanging="540"/>
        <w:rPr>
          <w:szCs w:val="22"/>
        </w:rPr>
      </w:pPr>
    </w:p>
    <w:p w:rsidR="00D336F5" w:rsidRPr="0043016B" w:rsidRDefault="00D336F5" w:rsidP="00D336F5">
      <w:pPr>
        <w:ind w:left="540" w:hanging="540"/>
        <w:rPr>
          <w:szCs w:val="22"/>
        </w:rPr>
      </w:pPr>
      <w:r w:rsidRPr="0043016B">
        <w:rPr>
          <w:szCs w:val="22"/>
        </w:rPr>
        <w:t xml:space="preserve"> </w:t>
      </w:r>
    </w:p>
    <w:p w:rsidR="00D336F5" w:rsidRPr="0043016B" w:rsidRDefault="00D336F5" w:rsidP="00D336F5">
      <w:pPr>
        <w:ind w:left="567" w:hanging="567"/>
        <w:rPr>
          <w:b/>
          <w:caps/>
          <w:szCs w:val="22"/>
        </w:rPr>
      </w:pPr>
    </w:p>
    <w:p w:rsidR="00D336F5" w:rsidRPr="0043016B" w:rsidRDefault="00D336F5" w:rsidP="00D336F5">
      <w:pPr>
        <w:ind w:left="567" w:hanging="567"/>
        <w:rPr>
          <w:b/>
          <w:szCs w:val="22"/>
        </w:rPr>
      </w:pPr>
      <w:r w:rsidRPr="0043016B">
        <w:rPr>
          <w:b/>
          <w:szCs w:val="22"/>
        </w:rPr>
        <w:t>Įspėjimai ir atsargumo priemonės</w:t>
      </w:r>
    </w:p>
    <w:p w:rsidR="00D336F5" w:rsidRPr="0043016B" w:rsidRDefault="00D336F5" w:rsidP="00D336F5">
      <w:pPr>
        <w:numPr>
          <w:ilvl w:val="12"/>
          <w:numId w:val="0"/>
        </w:numPr>
        <w:ind w:right="-2"/>
        <w:rPr>
          <w:szCs w:val="22"/>
        </w:rPr>
      </w:pPr>
      <w:r w:rsidRPr="0043016B">
        <w:rPr>
          <w:szCs w:val="22"/>
        </w:rPr>
        <w:t>Pasitarkite su gydytoju arba vaistininku prieš pradėdami vartoti Standacillin. Tai ypač svarbu, jeigu:</w:t>
      </w:r>
    </w:p>
    <w:p w:rsidR="00D336F5" w:rsidRPr="0043016B" w:rsidRDefault="00D336F5" w:rsidP="00D336F5">
      <w:pPr>
        <w:pStyle w:val="Pagrindinistekstas"/>
        <w:numPr>
          <w:ilvl w:val="0"/>
          <w:numId w:val="3"/>
        </w:numPr>
        <w:spacing w:after="0"/>
        <w:rPr>
          <w:sz w:val="22"/>
          <w:szCs w:val="22"/>
        </w:rPr>
      </w:pPr>
      <w:r w:rsidRPr="0043016B">
        <w:rPr>
          <w:sz w:val="22"/>
          <w:szCs w:val="22"/>
        </w:rPr>
        <w:t>esate linkęs (-usi) į alergines ligas;</w:t>
      </w:r>
    </w:p>
    <w:p w:rsidR="00D336F5" w:rsidRPr="0043016B" w:rsidRDefault="00D336F5" w:rsidP="00D336F5">
      <w:pPr>
        <w:pStyle w:val="Pagrindinistekstas"/>
        <w:numPr>
          <w:ilvl w:val="0"/>
          <w:numId w:val="3"/>
        </w:numPr>
        <w:spacing w:after="0"/>
        <w:rPr>
          <w:sz w:val="22"/>
          <w:szCs w:val="22"/>
        </w:rPr>
      </w:pPr>
      <w:r w:rsidRPr="0043016B">
        <w:rPr>
          <w:sz w:val="22"/>
          <w:szCs w:val="22"/>
        </w:rPr>
        <w:t xml:space="preserve">sergate astma; </w:t>
      </w:r>
    </w:p>
    <w:p w:rsidR="00D336F5" w:rsidRPr="0043016B" w:rsidRDefault="00D336F5" w:rsidP="00D336F5">
      <w:pPr>
        <w:pStyle w:val="Pagrindinistekstas"/>
        <w:numPr>
          <w:ilvl w:val="0"/>
          <w:numId w:val="3"/>
        </w:numPr>
        <w:spacing w:after="0"/>
        <w:rPr>
          <w:sz w:val="22"/>
          <w:szCs w:val="22"/>
        </w:rPr>
      </w:pPr>
      <w:r w:rsidRPr="0043016B">
        <w:rPr>
          <w:sz w:val="22"/>
          <w:szCs w:val="22"/>
        </w:rPr>
        <w:t xml:space="preserve">sergate grybelių sukelta užkrečiamąja liga; </w:t>
      </w:r>
    </w:p>
    <w:p w:rsidR="00D336F5" w:rsidRPr="0043016B" w:rsidRDefault="00D336F5" w:rsidP="00D336F5">
      <w:pPr>
        <w:pStyle w:val="Pagrindinistekstas"/>
        <w:numPr>
          <w:ilvl w:val="0"/>
          <w:numId w:val="3"/>
        </w:numPr>
        <w:spacing w:after="0"/>
        <w:rPr>
          <w:sz w:val="22"/>
          <w:szCs w:val="22"/>
        </w:rPr>
      </w:pPr>
      <w:r w:rsidRPr="0043016B">
        <w:rPr>
          <w:sz w:val="22"/>
          <w:szCs w:val="22"/>
        </w:rPr>
        <w:t xml:space="preserve">turite inkstų ar kepenų veiklos sutrikimų; </w:t>
      </w:r>
    </w:p>
    <w:p w:rsidR="00D336F5" w:rsidRPr="00FF3A91" w:rsidRDefault="00D336F5" w:rsidP="00D336F5">
      <w:pPr>
        <w:pStyle w:val="MediumGrid1-Accent21"/>
        <w:numPr>
          <w:ilvl w:val="0"/>
          <w:numId w:val="3"/>
        </w:numPr>
        <w:rPr>
          <w:szCs w:val="22"/>
        </w:rPr>
      </w:pPr>
      <w:r w:rsidRPr="00FF3A91">
        <w:rPr>
          <w:szCs w:val="22"/>
        </w:rPr>
        <w:t>sergate sunkia, gyvybei pavojinga infekcine liga. Iš pradžių Jums turi būti skiriami leidžiami antibiotikai;</w:t>
      </w:r>
    </w:p>
    <w:p w:rsidR="00D336F5" w:rsidRPr="0043016B" w:rsidRDefault="00D336F5" w:rsidP="00D336F5">
      <w:pPr>
        <w:pStyle w:val="MediumGrid1-Accent21"/>
        <w:numPr>
          <w:ilvl w:val="0"/>
          <w:numId w:val="3"/>
        </w:numPr>
        <w:rPr>
          <w:szCs w:val="22"/>
        </w:rPr>
      </w:pPr>
      <w:r w:rsidRPr="0043016B">
        <w:rPr>
          <w:szCs w:val="22"/>
        </w:rPr>
        <w:t xml:space="preserve">sergate sunkia virškinimo trakto liga, pasireiškiančia nepraeinančiu viduriavimu ar vėmimu. </w:t>
      </w:r>
    </w:p>
    <w:p w:rsidR="00D336F5" w:rsidRPr="0043016B" w:rsidRDefault="00D336F5" w:rsidP="00D336F5">
      <w:pPr>
        <w:pStyle w:val="Pagrindinistekstas"/>
        <w:spacing w:after="0"/>
        <w:rPr>
          <w:sz w:val="22"/>
          <w:szCs w:val="22"/>
        </w:rPr>
      </w:pPr>
    </w:p>
    <w:p w:rsidR="00D336F5" w:rsidRPr="0043016B" w:rsidRDefault="00D336F5" w:rsidP="00D336F5">
      <w:pPr>
        <w:pStyle w:val="Pagrindinistekstas"/>
        <w:spacing w:after="0"/>
        <w:rPr>
          <w:sz w:val="22"/>
          <w:szCs w:val="22"/>
        </w:rPr>
      </w:pPr>
      <w:r w:rsidRPr="0043016B">
        <w:rPr>
          <w:sz w:val="22"/>
          <w:szCs w:val="22"/>
        </w:rPr>
        <w:t>Vartojant, ypač ilgai, Standacillin, kaip ir kitokių antibiotikų, gydytojas gali dažnai tirti kraujo ląstelių kiekį ir kepenų bei inkstų veiklą bei stebėti, ar neatsirado atsparių bakterijų ir grybelių.</w:t>
      </w:r>
    </w:p>
    <w:p w:rsidR="00D336F5" w:rsidRPr="0043016B" w:rsidRDefault="00D336F5" w:rsidP="00D336F5">
      <w:pPr>
        <w:pStyle w:val="Pagrindinistekstas"/>
        <w:spacing w:after="0"/>
        <w:rPr>
          <w:sz w:val="22"/>
          <w:szCs w:val="22"/>
        </w:rPr>
      </w:pPr>
    </w:p>
    <w:p w:rsidR="00D336F5" w:rsidRPr="0043016B" w:rsidRDefault="00D336F5" w:rsidP="00D336F5">
      <w:pPr>
        <w:pStyle w:val="Pagrindinistekstas"/>
        <w:spacing w:after="0"/>
        <w:rPr>
          <w:sz w:val="22"/>
          <w:szCs w:val="22"/>
        </w:rPr>
      </w:pPr>
      <w:r w:rsidRPr="0043016B">
        <w:rPr>
          <w:sz w:val="22"/>
          <w:szCs w:val="22"/>
        </w:rPr>
        <w:t>Jei atsiranda alergijos požymių (dilgėlinė, išbėrimas, niežulys, kraujospūdžio mažėjimas, širdies ritmo padažnėjimas, kvėpavimo sutrikimas, kolapsas ar kt.), vaisto vartojimą būtina nutraukti ir kreiptis į gydytoją.</w:t>
      </w:r>
    </w:p>
    <w:p w:rsidR="00D336F5" w:rsidRPr="00FF3A91" w:rsidRDefault="00D336F5" w:rsidP="00D336F5">
      <w:pPr>
        <w:rPr>
          <w:szCs w:val="22"/>
        </w:rPr>
      </w:pPr>
    </w:p>
    <w:p w:rsidR="00D336F5" w:rsidRPr="0043016B" w:rsidRDefault="00D336F5" w:rsidP="00D336F5">
      <w:pPr>
        <w:rPr>
          <w:szCs w:val="22"/>
        </w:rPr>
      </w:pPr>
      <w:r w:rsidRPr="0043016B">
        <w:rPr>
          <w:szCs w:val="22"/>
        </w:rPr>
        <w:t xml:space="preserve">Ampicilino turi būti vengiama įtarus, kad yra infekcinė mononukleozė </w:t>
      </w:r>
      <w:r w:rsidRPr="0043016B">
        <w:rPr>
          <w:szCs w:val="22"/>
          <w:lang w:eastAsia="en-US"/>
        </w:rPr>
        <w:t>(ūminė virusinė infekcija, pasireiškianti karščiavimu, gerklės skausmu ir limfmazgių padidėjimu) arba tam tikros rūšies kraujo vėžys (limfoleukemija)</w:t>
      </w:r>
      <w:r w:rsidRPr="0043016B">
        <w:rPr>
          <w:szCs w:val="22"/>
        </w:rPr>
        <w:t xml:space="preserve">, kadangi šių ligų atveju po ampicilino pavartojimo būna dažnesnis eriteminio pobūdžio išbėrimas. </w:t>
      </w:r>
    </w:p>
    <w:p w:rsidR="00D336F5" w:rsidRPr="0043016B" w:rsidRDefault="00D336F5" w:rsidP="00D336F5">
      <w:pPr>
        <w:pStyle w:val="Pagrindinistekstas"/>
        <w:spacing w:after="0"/>
        <w:rPr>
          <w:sz w:val="22"/>
          <w:szCs w:val="22"/>
        </w:rPr>
      </w:pPr>
    </w:p>
    <w:p w:rsidR="00D336F5" w:rsidRPr="0043016B" w:rsidRDefault="00D336F5" w:rsidP="00D336F5">
      <w:pPr>
        <w:pStyle w:val="Pagrindinistekstas"/>
        <w:spacing w:after="0"/>
        <w:rPr>
          <w:sz w:val="22"/>
          <w:szCs w:val="22"/>
        </w:rPr>
      </w:pPr>
      <w:r w:rsidRPr="0043016B">
        <w:rPr>
          <w:sz w:val="22"/>
          <w:szCs w:val="22"/>
        </w:rPr>
        <w:t>Jeigu prasideda sunkus ir nepraeinantis viduriavimas vandeningomis išmatomis, kuriose yra kraujo ir gleivių, vidurių pūtimas, maudžiantis arba dieglių tipo pilvo skausmas, karščiavimas, kreipkitės į gydytoją. Gydytojas ištirs, ar nėra pseudomembraninio kolito (infekcinio žarnyno uždegimo). Kadangi jis gali būti net pavojingas gyvybei, Standacillin vartojimą būtina tuoj pat nutraukti ir pradėti vartoti tinkamų vaistų (pvz., kitokių antibiotikų), kuriuos paskirs Jūsų gydytojas. Žarnų veiklą slopinančių vaistų vartoti draudžiama.</w:t>
      </w:r>
    </w:p>
    <w:p w:rsidR="00D336F5" w:rsidRPr="0043016B" w:rsidRDefault="00D336F5" w:rsidP="00D336F5">
      <w:pPr>
        <w:pStyle w:val="Pagrindinistekstas"/>
        <w:spacing w:after="0"/>
        <w:rPr>
          <w:sz w:val="22"/>
          <w:szCs w:val="22"/>
        </w:rPr>
      </w:pPr>
    </w:p>
    <w:p w:rsidR="00D336F5" w:rsidRPr="0043016B" w:rsidRDefault="00D336F5" w:rsidP="00D336F5">
      <w:pPr>
        <w:pStyle w:val="Pagrindinistekstas"/>
        <w:spacing w:after="0"/>
        <w:rPr>
          <w:b/>
          <w:sz w:val="22"/>
          <w:szCs w:val="22"/>
        </w:rPr>
      </w:pPr>
      <w:r w:rsidRPr="0043016B">
        <w:rPr>
          <w:b/>
          <w:sz w:val="22"/>
          <w:szCs w:val="22"/>
        </w:rPr>
        <w:t>Kiti vaistai ir Standacillin</w:t>
      </w:r>
    </w:p>
    <w:p w:rsidR="00D336F5" w:rsidRPr="0043016B" w:rsidRDefault="00D336F5" w:rsidP="00D336F5">
      <w:pPr>
        <w:pStyle w:val="Pagrindinistekstas"/>
        <w:spacing w:after="0"/>
        <w:rPr>
          <w:sz w:val="22"/>
          <w:szCs w:val="22"/>
        </w:rPr>
      </w:pPr>
      <w:r w:rsidRPr="0043016B">
        <w:rPr>
          <w:sz w:val="22"/>
          <w:szCs w:val="22"/>
        </w:rPr>
        <w:t>Jeigu vartojate ar neseniai vartojote kitų vaistų arba dėl to nesate tikri, apie tai pasakykite gydytojui arba vaistininkui.</w:t>
      </w:r>
    </w:p>
    <w:p w:rsidR="00D336F5" w:rsidRPr="0043016B" w:rsidRDefault="00D336F5" w:rsidP="00D336F5">
      <w:pPr>
        <w:pStyle w:val="Pagrindinistekstas"/>
        <w:spacing w:after="0"/>
        <w:rPr>
          <w:sz w:val="22"/>
          <w:szCs w:val="22"/>
        </w:rPr>
      </w:pPr>
    </w:p>
    <w:p w:rsidR="00D336F5" w:rsidRPr="0043016B" w:rsidRDefault="00D336F5" w:rsidP="00D336F5">
      <w:pPr>
        <w:pStyle w:val="Pagrindinistekstas"/>
        <w:spacing w:after="0"/>
        <w:rPr>
          <w:sz w:val="22"/>
          <w:szCs w:val="22"/>
        </w:rPr>
      </w:pPr>
      <w:r w:rsidRPr="0043016B">
        <w:rPr>
          <w:sz w:val="22"/>
          <w:szCs w:val="22"/>
        </w:rPr>
        <w:t>Standacillin negalima vartoti kartu su šiais vaistais:</w:t>
      </w:r>
    </w:p>
    <w:p w:rsidR="00D336F5" w:rsidRPr="0043016B" w:rsidRDefault="00D336F5" w:rsidP="00D336F5">
      <w:pPr>
        <w:pStyle w:val="Pagrindinistekstas"/>
        <w:numPr>
          <w:ilvl w:val="0"/>
          <w:numId w:val="4"/>
        </w:numPr>
        <w:spacing w:after="0"/>
        <w:ind w:left="567" w:hanging="567"/>
        <w:rPr>
          <w:sz w:val="22"/>
          <w:szCs w:val="22"/>
        </w:rPr>
      </w:pPr>
      <w:r w:rsidRPr="0043016B">
        <w:rPr>
          <w:sz w:val="22"/>
          <w:szCs w:val="22"/>
        </w:rPr>
        <w:t>antibiotikais, kurie slopina bakterijų dauginimąsi (pvz., tetraciklinais, eritromicinu, sulfamidais, chloramfenikoliu). Kartu vartojami šie vaistai gali sutrikdyti vieni kitų veikimą.</w:t>
      </w:r>
    </w:p>
    <w:p w:rsidR="00D336F5" w:rsidRPr="0043016B" w:rsidRDefault="00D336F5" w:rsidP="00D336F5">
      <w:pPr>
        <w:pStyle w:val="Pagrindinistekstas"/>
        <w:spacing w:after="0"/>
        <w:rPr>
          <w:sz w:val="22"/>
          <w:szCs w:val="22"/>
        </w:rPr>
      </w:pPr>
    </w:p>
    <w:p w:rsidR="00D336F5" w:rsidRPr="0043016B" w:rsidRDefault="00D336F5" w:rsidP="00D336F5">
      <w:pPr>
        <w:pStyle w:val="Pagrindinistekstas"/>
        <w:spacing w:after="0"/>
        <w:rPr>
          <w:sz w:val="22"/>
          <w:szCs w:val="22"/>
        </w:rPr>
      </w:pPr>
      <w:r w:rsidRPr="0043016B">
        <w:rPr>
          <w:sz w:val="22"/>
          <w:szCs w:val="22"/>
        </w:rPr>
        <w:t>Pasakykite gydytojui arba vaistininkui, jei vartojate kurio nors iš šių vaistų:</w:t>
      </w:r>
    </w:p>
    <w:p w:rsidR="00D336F5" w:rsidRPr="0043016B" w:rsidRDefault="00D336F5" w:rsidP="00D336F5">
      <w:pPr>
        <w:pStyle w:val="Pagrindinistekstas"/>
        <w:numPr>
          <w:ilvl w:val="0"/>
          <w:numId w:val="1"/>
        </w:numPr>
        <w:tabs>
          <w:tab w:val="clear" w:pos="567"/>
        </w:tabs>
        <w:spacing w:after="0"/>
        <w:rPr>
          <w:sz w:val="22"/>
          <w:szCs w:val="22"/>
        </w:rPr>
      </w:pPr>
      <w:r w:rsidRPr="0043016B">
        <w:rPr>
          <w:sz w:val="22"/>
          <w:szCs w:val="22"/>
        </w:rPr>
        <w:t>probenecido arba alopurinolio (podagrai gydyti);</w:t>
      </w:r>
    </w:p>
    <w:p w:rsidR="00D336F5" w:rsidRPr="0043016B" w:rsidRDefault="00D336F5" w:rsidP="00D336F5">
      <w:pPr>
        <w:pStyle w:val="Pagrindinistekstas"/>
        <w:numPr>
          <w:ilvl w:val="0"/>
          <w:numId w:val="1"/>
        </w:numPr>
        <w:tabs>
          <w:tab w:val="clear" w:pos="567"/>
        </w:tabs>
        <w:spacing w:after="0"/>
        <w:rPr>
          <w:sz w:val="22"/>
          <w:szCs w:val="22"/>
        </w:rPr>
      </w:pPr>
      <w:r w:rsidRPr="0043016B">
        <w:rPr>
          <w:sz w:val="22"/>
          <w:szCs w:val="22"/>
        </w:rPr>
        <w:t>geriamųjų kraujo krešėjimą slopinančių vaistų (pvz., varfarino ir fenindiono);</w:t>
      </w:r>
    </w:p>
    <w:p w:rsidR="00D336F5" w:rsidRPr="0043016B" w:rsidRDefault="00D336F5" w:rsidP="00D336F5">
      <w:pPr>
        <w:pStyle w:val="Pagrindinistekstas"/>
        <w:numPr>
          <w:ilvl w:val="0"/>
          <w:numId w:val="1"/>
        </w:numPr>
        <w:tabs>
          <w:tab w:val="clear" w:pos="567"/>
        </w:tabs>
        <w:spacing w:after="0"/>
        <w:rPr>
          <w:sz w:val="22"/>
          <w:szCs w:val="22"/>
        </w:rPr>
      </w:pPr>
      <w:r w:rsidRPr="0043016B">
        <w:rPr>
          <w:sz w:val="22"/>
          <w:szCs w:val="22"/>
        </w:rPr>
        <w:t>atenololio (nuo aukšto kraujospūdžio);</w:t>
      </w:r>
    </w:p>
    <w:p w:rsidR="00D336F5" w:rsidRPr="0043016B" w:rsidRDefault="00D336F5" w:rsidP="00D336F5">
      <w:pPr>
        <w:pStyle w:val="Pagrindinistekstas"/>
        <w:numPr>
          <w:ilvl w:val="0"/>
          <w:numId w:val="1"/>
        </w:numPr>
        <w:tabs>
          <w:tab w:val="clear" w:pos="567"/>
        </w:tabs>
        <w:spacing w:after="0"/>
        <w:rPr>
          <w:sz w:val="22"/>
          <w:szCs w:val="22"/>
        </w:rPr>
      </w:pPr>
      <w:r w:rsidRPr="0043016B">
        <w:rPr>
          <w:sz w:val="22"/>
          <w:szCs w:val="22"/>
        </w:rPr>
        <w:t>metotreksato (vaisto, kuriuo gydomas vėžys ir reumatinės ligos);</w:t>
      </w:r>
    </w:p>
    <w:p w:rsidR="00D336F5" w:rsidRPr="0043016B" w:rsidRDefault="00D336F5" w:rsidP="00D336F5">
      <w:pPr>
        <w:pStyle w:val="Pagrindinistekstas"/>
        <w:numPr>
          <w:ilvl w:val="0"/>
          <w:numId w:val="4"/>
        </w:numPr>
        <w:spacing w:after="0"/>
        <w:ind w:left="567" w:hanging="567"/>
        <w:rPr>
          <w:sz w:val="22"/>
          <w:szCs w:val="22"/>
        </w:rPr>
      </w:pPr>
      <w:r w:rsidRPr="0043016B">
        <w:rPr>
          <w:sz w:val="22"/>
          <w:szCs w:val="22"/>
        </w:rPr>
        <w:t>geriamąjį skiepą nuo vidurių šiltinės. Standacillin gali susilpninti skiepo veiksmingumą;</w:t>
      </w:r>
    </w:p>
    <w:p w:rsidR="00D336F5" w:rsidRPr="0043016B" w:rsidRDefault="00D336F5" w:rsidP="00D336F5">
      <w:pPr>
        <w:pStyle w:val="Pagrindinistekstas"/>
        <w:numPr>
          <w:ilvl w:val="0"/>
          <w:numId w:val="4"/>
        </w:numPr>
        <w:spacing w:after="0"/>
        <w:ind w:left="567" w:hanging="567"/>
        <w:rPr>
          <w:sz w:val="22"/>
          <w:szCs w:val="22"/>
        </w:rPr>
      </w:pPr>
      <w:r w:rsidRPr="0043016B">
        <w:rPr>
          <w:sz w:val="22"/>
          <w:szCs w:val="22"/>
        </w:rPr>
        <w:t xml:space="preserve">vaistų, mažinančių skrandžio rūgštingumą. </w:t>
      </w:r>
    </w:p>
    <w:p w:rsidR="00D336F5" w:rsidRPr="0043016B" w:rsidRDefault="00D336F5" w:rsidP="00D336F5">
      <w:pPr>
        <w:pStyle w:val="Pagrindinistekstas"/>
        <w:spacing w:after="0"/>
        <w:rPr>
          <w:sz w:val="22"/>
          <w:szCs w:val="22"/>
        </w:rPr>
      </w:pPr>
    </w:p>
    <w:p w:rsidR="00D336F5" w:rsidRPr="0043016B" w:rsidRDefault="00D336F5" w:rsidP="00D336F5">
      <w:pPr>
        <w:pStyle w:val="Pagrindinistekstas"/>
        <w:spacing w:after="0"/>
        <w:rPr>
          <w:bCs/>
          <w:i/>
          <w:iCs/>
          <w:sz w:val="22"/>
          <w:szCs w:val="22"/>
        </w:rPr>
      </w:pPr>
      <w:r w:rsidRPr="0043016B">
        <w:rPr>
          <w:bCs/>
          <w:i/>
          <w:iCs/>
          <w:sz w:val="22"/>
          <w:szCs w:val="22"/>
        </w:rPr>
        <w:t>Įtaka laboratorinių tyrimų rezultatams</w:t>
      </w:r>
    </w:p>
    <w:p w:rsidR="00D336F5" w:rsidRPr="0043016B" w:rsidRDefault="00D336F5" w:rsidP="00D336F5">
      <w:pPr>
        <w:pStyle w:val="Pagrindinistekstas"/>
        <w:spacing w:after="0"/>
        <w:rPr>
          <w:sz w:val="22"/>
          <w:szCs w:val="22"/>
        </w:rPr>
      </w:pPr>
      <w:r w:rsidRPr="0043016B">
        <w:rPr>
          <w:sz w:val="22"/>
          <w:szCs w:val="22"/>
        </w:rPr>
        <w:t>Vartojant Standacillin, gali būti klaidingai teigiamas gliukozės kiekio šlapime tyrimo rezultatas bei klaidingi kai kurių kitų šlapimo tyrimų rezultatai. Jeigu Jums reikia atlikti šlapimo tyrimą, pasakykite gydytojui, kad vartojate Standacillin. Atsižvelgdamas į tai, gydytojas paskirs kitą tyrimo metodą.</w:t>
      </w:r>
    </w:p>
    <w:p w:rsidR="00D336F5" w:rsidRPr="00FF3A91" w:rsidRDefault="00D336F5" w:rsidP="00D336F5">
      <w:pPr>
        <w:ind w:left="567" w:hanging="567"/>
        <w:rPr>
          <w:b/>
          <w:szCs w:val="22"/>
        </w:rPr>
      </w:pPr>
    </w:p>
    <w:p w:rsidR="00D336F5" w:rsidRPr="0043016B" w:rsidRDefault="00D336F5" w:rsidP="00D336F5">
      <w:pPr>
        <w:ind w:left="567" w:hanging="567"/>
        <w:rPr>
          <w:b/>
          <w:szCs w:val="22"/>
        </w:rPr>
      </w:pPr>
      <w:r w:rsidRPr="0043016B">
        <w:rPr>
          <w:b/>
          <w:szCs w:val="22"/>
        </w:rPr>
        <w:t>Standacillin vartojimas su maistu ir gėrimais</w:t>
      </w:r>
    </w:p>
    <w:p w:rsidR="00D336F5" w:rsidRPr="0043016B" w:rsidRDefault="00D336F5" w:rsidP="00D336F5">
      <w:pPr>
        <w:pStyle w:val="Pagrindinistekstas"/>
        <w:spacing w:after="0"/>
        <w:rPr>
          <w:sz w:val="22"/>
          <w:szCs w:val="22"/>
        </w:rPr>
      </w:pPr>
      <w:r w:rsidRPr="0043016B">
        <w:rPr>
          <w:sz w:val="22"/>
          <w:szCs w:val="22"/>
        </w:rPr>
        <w:t>Maistas gali sutrikdyti vaisto pasisavinimą organizme, todėl Standacillin reikia vartoti 1-2 val. prieš valgį.</w:t>
      </w:r>
    </w:p>
    <w:p w:rsidR="00D336F5" w:rsidRPr="0043016B" w:rsidRDefault="00D336F5" w:rsidP="00D336F5">
      <w:pPr>
        <w:pStyle w:val="Pagrindinistekstas"/>
        <w:spacing w:after="0"/>
        <w:rPr>
          <w:b/>
          <w:sz w:val="22"/>
          <w:szCs w:val="22"/>
        </w:rPr>
      </w:pPr>
    </w:p>
    <w:p w:rsidR="00D336F5" w:rsidRPr="0043016B" w:rsidRDefault="00D336F5" w:rsidP="00D336F5">
      <w:pPr>
        <w:pStyle w:val="Pagrindinistekstas"/>
        <w:spacing w:after="0"/>
        <w:rPr>
          <w:b/>
          <w:sz w:val="22"/>
          <w:szCs w:val="22"/>
        </w:rPr>
      </w:pPr>
      <w:r w:rsidRPr="0043016B">
        <w:rPr>
          <w:b/>
          <w:sz w:val="22"/>
          <w:szCs w:val="22"/>
        </w:rPr>
        <w:t>Nėštumas ir žindymo laikotarpis</w:t>
      </w:r>
    </w:p>
    <w:p w:rsidR="00D336F5" w:rsidRPr="0043016B" w:rsidRDefault="00D336F5" w:rsidP="00D336F5">
      <w:pPr>
        <w:numPr>
          <w:ilvl w:val="12"/>
          <w:numId w:val="0"/>
        </w:numPr>
        <w:rPr>
          <w:szCs w:val="22"/>
        </w:rPr>
      </w:pPr>
      <w:r w:rsidRPr="00FF3A91">
        <w:rPr>
          <w:szCs w:val="22"/>
        </w:rPr>
        <w:lastRenderedPageBreak/>
        <w:t>Jeigu esate nėščia, žindote kūdikį, manote, kad galbūt esate nėščia, arba planuojate pastoti, tai prieš vartodama šį vaistą</w:t>
      </w:r>
      <w:r w:rsidRPr="0043016B">
        <w:rPr>
          <w:szCs w:val="22"/>
        </w:rPr>
        <w:t xml:space="preserve">, pasitarkite su gydytoju arba vaistininku. </w:t>
      </w:r>
    </w:p>
    <w:p w:rsidR="00D336F5" w:rsidRPr="0043016B" w:rsidRDefault="00D336F5" w:rsidP="00D336F5">
      <w:pPr>
        <w:rPr>
          <w:b/>
          <w:szCs w:val="22"/>
        </w:rPr>
      </w:pPr>
    </w:p>
    <w:p w:rsidR="00D336F5" w:rsidRPr="0043016B" w:rsidRDefault="00D336F5" w:rsidP="00D336F5">
      <w:pPr>
        <w:rPr>
          <w:szCs w:val="22"/>
        </w:rPr>
      </w:pPr>
      <w:r w:rsidRPr="0043016B">
        <w:rPr>
          <w:szCs w:val="22"/>
        </w:rPr>
        <w:t xml:space="preserve">Nėščioms moterims Standacillin galima vartoti tik gydytojo leidimu. </w:t>
      </w:r>
    </w:p>
    <w:p w:rsidR="00D336F5" w:rsidRPr="0043016B" w:rsidRDefault="00D336F5" w:rsidP="00D336F5">
      <w:pPr>
        <w:pStyle w:val="Pagrindinistekstas"/>
        <w:spacing w:after="0"/>
        <w:rPr>
          <w:b/>
          <w:sz w:val="22"/>
          <w:szCs w:val="22"/>
        </w:rPr>
      </w:pPr>
    </w:p>
    <w:p w:rsidR="00D336F5" w:rsidRPr="0043016B" w:rsidRDefault="00D336F5" w:rsidP="00D336F5">
      <w:pPr>
        <w:pStyle w:val="Pagrindinistekstas"/>
        <w:spacing w:after="0"/>
        <w:rPr>
          <w:sz w:val="22"/>
          <w:szCs w:val="22"/>
        </w:rPr>
      </w:pPr>
      <w:r w:rsidRPr="0043016B">
        <w:rPr>
          <w:sz w:val="22"/>
          <w:szCs w:val="22"/>
        </w:rPr>
        <w:t>Veikliosios Standacillin medžiagos ampicilino išskiria su motinos pienu. Žindyvėms Standacillin galima vartoti tik gydytojo leidimu.</w:t>
      </w:r>
    </w:p>
    <w:p w:rsidR="00D336F5" w:rsidRPr="0043016B" w:rsidRDefault="00D336F5" w:rsidP="00D336F5">
      <w:pPr>
        <w:pStyle w:val="Pagrindinistekstas"/>
        <w:spacing w:after="0"/>
        <w:rPr>
          <w:sz w:val="22"/>
          <w:szCs w:val="22"/>
        </w:rPr>
      </w:pPr>
    </w:p>
    <w:p w:rsidR="00D336F5" w:rsidRPr="00FF3A91" w:rsidRDefault="00D336F5" w:rsidP="00D336F5">
      <w:pPr>
        <w:ind w:left="567" w:hanging="567"/>
        <w:rPr>
          <w:b/>
          <w:szCs w:val="22"/>
        </w:rPr>
      </w:pPr>
      <w:r w:rsidRPr="00FF3A91">
        <w:rPr>
          <w:b/>
          <w:szCs w:val="22"/>
        </w:rPr>
        <w:t>Vairavimas ir mechanizmų valdymas</w:t>
      </w:r>
    </w:p>
    <w:p w:rsidR="00D336F5" w:rsidRPr="0043016B" w:rsidRDefault="00D336F5" w:rsidP="00D336F5">
      <w:pPr>
        <w:ind w:left="567" w:hanging="567"/>
        <w:rPr>
          <w:szCs w:val="22"/>
        </w:rPr>
      </w:pPr>
      <w:r w:rsidRPr="0043016B">
        <w:rPr>
          <w:szCs w:val="22"/>
        </w:rPr>
        <w:t xml:space="preserve">Standacillin nedaro įtakos gebėjimui vairuoti ir valdyti mechanizmus.  </w:t>
      </w:r>
    </w:p>
    <w:p w:rsidR="00D336F5" w:rsidRPr="0043016B" w:rsidRDefault="00D336F5" w:rsidP="00D336F5">
      <w:pPr>
        <w:ind w:left="567" w:hanging="567"/>
        <w:rPr>
          <w:b/>
          <w:szCs w:val="22"/>
        </w:rPr>
      </w:pPr>
    </w:p>
    <w:p w:rsidR="00D336F5" w:rsidRPr="0043016B" w:rsidRDefault="00D336F5" w:rsidP="00D336F5">
      <w:pPr>
        <w:numPr>
          <w:ilvl w:val="12"/>
          <w:numId w:val="0"/>
        </w:numPr>
        <w:ind w:left="567" w:hanging="567"/>
        <w:outlineLvl w:val="0"/>
        <w:rPr>
          <w:b/>
          <w:szCs w:val="22"/>
        </w:rPr>
      </w:pPr>
    </w:p>
    <w:p w:rsidR="00D336F5" w:rsidRPr="0043016B" w:rsidRDefault="00D336F5" w:rsidP="00D336F5">
      <w:pPr>
        <w:numPr>
          <w:ilvl w:val="12"/>
          <w:numId w:val="0"/>
        </w:numPr>
        <w:ind w:left="567" w:hanging="567"/>
        <w:outlineLvl w:val="0"/>
        <w:rPr>
          <w:b/>
          <w:caps/>
          <w:szCs w:val="22"/>
        </w:rPr>
      </w:pPr>
      <w:r w:rsidRPr="0043016B">
        <w:rPr>
          <w:b/>
          <w:szCs w:val="22"/>
        </w:rPr>
        <w:t>3.</w:t>
      </w:r>
      <w:r w:rsidRPr="0043016B">
        <w:rPr>
          <w:b/>
          <w:szCs w:val="22"/>
        </w:rPr>
        <w:tab/>
        <w:t>Kaip vartoti Standacillin</w:t>
      </w:r>
    </w:p>
    <w:p w:rsidR="00D336F5" w:rsidRPr="0043016B" w:rsidRDefault="00D336F5" w:rsidP="00D336F5">
      <w:pPr>
        <w:numPr>
          <w:ilvl w:val="12"/>
          <w:numId w:val="0"/>
        </w:numPr>
        <w:ind w:right="-2"/>
        <w:rPr>
          <w:szCs w:val="22"/>
        </w:rPr>
      </w:pPr>
    </w:p>
    <w:p w:rsidR="00D336F5" w:rsidRPr="0043016B" w:rsidRDefault="00D336F5" w:rsidP="00D336F5">
      <w:pPr>
        <w:numPr>
          <w:ilvl w:val="12"/>
          <w:numId w:val="0"/>
        </w:numPr>
        <w:ind w:right="-2"/>
        <w:rPr>
          <w:szCs w:val="22"/>
        </w:rPr>
      </w:pPr>
      <w:r w:rsidRPr="0043016B">
        <w:rPr>
          <w:szCs w:val="22"/>
        </w:rPr>
        <w:t xml:space="preserve">Visada vartokite šį vaistą tiksliai kaip nurodė gydytojas arba vaistininkas. Jeigu abejojate, kreipkitės į gydytoją arba vaistininką.  </w:t>
      </w:r>
    </w:p>
    <w:p w:rsidR="00D336F5" w:rsidRPr="0043016B" w:rsidRDefault="00D336F5" w:rsidP="00D336F5">
      <w:pPr>
        <w:pStyle w:val="Pagrindinistekstas"/>
        <w:spacing w:after="0"/>
        <w:rPr>
          <w:sz w:val="22"/>
          <w:szCs w:val="22"/>
        </w:rPr>
      </w:pPr>
    </w:p>
    <w:p w:rsidR="00D336F5" w:rsidRPr="0043016B" w:rsidRDefault="00D336F5" w:rsidP="00D336F5">
      <w:pPr>
        <w:pStyle w:val="Pagrindinistekstas"/>
        <w:spacing w:after="0"/>
        <w:rPr>
          <w:sz w:val="22"/>
          <w:szCs w:val="22"/>
        </w:rPr>
      </w:pPr>
      <w:r w:rsidRPr="0043016B">
        <w:rPr>
          <w:sz w:val="22"/>
          <w:szCs w:val="22"/>
        </w:rPr>
        <w:t>Standacillin kietąsias kapsules reikia išgerti likus 1-2 val. iki valgio, kadangi maistas gali sutrikdyti šio vaisto pasisavinimą organizme.</w:t>
      </w:r>
    </w:p>
    <w:p w:rsidR="00D336F5" w:rsidRPr="0043016B" w:rsidRDefault="00D336F5" w:rsidP="00D336F5">
      <w:pPr>
        <w:pStyle w:val="Pagrindinistekstas"/>
        <w:spacing w:after="0"/>
        <w:rPr>
          <w:bCs/>
          <w:i/>
          <w:iCs/>
          <w:sz w:val="22"/>
          <w:szCs w:val="22"/>
        </w:rPr>
      </w:pPr>
    </w:p>
    <w:p w:rsidR="00D336F5" w:rsidRPr="0043016B" w:rsidRDefault="00D336F5" w:rsidP="00D336F5">
      <w:pPr>
        <w:pStyle w:val="Pagrindinistekstas"/>
        <w:spacing w:after="0"/>
        <w:rPr>
          <w:sz w:val="22"/>
          <w:szCs w:val="22"/>
        </w:rPr>
      </w:pPr>
      <w:r w:rsidRPr="0043016B">
        <w:rPr>
          <w:sz w:val="22"/>
          <w:szCs w:val="22"/>
        </w:rPr>
        <w:t xml:space="preserve">Suaugusiesiems ir paaugliams </w:t>
      </w:r>
    </w:p>
    <w:p w:rsidR="00D336F5" w:rsidRPr="0043016B" w:rsidRDefault="00D336F5" w:rsidP="00D336F5">
      <w:pPr>
        <w:pStyle w:val="Pagrindinistekstas"/>
        <w:spacing w:after="0"/>
        <w:rPr>
          <w:sz w:val="22"/>
          <w:szCs w:val="22"/>
        </w:rPr>
      </w:pPr>
      <w:r w:rsidRPr="0043016B">
        <w:rPr>
          <w:sz w:val="22"/>
          <w:szCs w:val="22"/>
        </w:rPr>
        <w:t>Įprasta dozė yra 4-8 kapsulės (atitinka 2-4</w:t>
      </w:r>
      <w:r>
        <w:rPr>
          <w:sz w:val="22"/>
          <w:szCs w:val="22"/>
        </w:rPr>
        <w:t> </w:t>
      </w:r>
      <w:r w:rsidRPr="0043016B">
        <w:rPr>
          <w:sz w:val="22"/>
          <w:szCs w:val="22"/>
        </w:rPr>
        <w:t xml:space="preserve">g amoksicilino, mažiausiai </w:t>
      </w:r>
      <w:r>
        <w:rPr>
          <w:sz w:val="22"/>
          <w:szCs w:val="22"/>
        </w:rPr>
        <w:t>–</w:t>
      </w:r>
      <w:r w:rsidRPr="0043016B">
        <w:rPr>
          <w:sz w:val="22"/>
          <w:szCs w:val="22"/>
        </w:rPr>
        <w:t xml:space="preserve"> 1</w:t>
      </w:r>
      <w:r>
        <w:rPr>
          <w:sz w:val="22"/>
          <w:szCs w:val="22"/>
        </w:rPr>
        <w:t> </w:t>
      </w:r>
      <w:r w:rsidRPr="0043016B">
        <w:rPr>
          <w:sz w:val="22"/>
          <w:szCs w:val="22"/>
        </w:rPr>
        <w:t>g) per parą. Ji išgeriama lygiomis dalimis per 3-4 kartus. Esant reikalui, gydytojas gali paskirti ir didesnę dozę.</w:t>
      </w:r>
    </w:p>
    <w:p w:rsidR="00D336F5" w:rsidRPr="0043016B" w:rsidRDefault="00D336F5" w:rsidP="00D336F5">
      <w:pPr>
        <w:pStyle w:val="Pagrindinistekstas"/>
        <w:spacing w:after="0"/>
        <w:rPr>
          <w:sz w:val="22"/>
          <w:szCs w:val="22"/>
        </w:rPr>
      </w:pPr>
    </w:p>
    <w:p w:rsidR="00D336F5" w:rsidRPr="0043016B" w:rsidRDefault="00D336F5" w:rsidP="00D336F5">
      <w:pPr>
        <w:pStyle w:val="Pagrindinistekstas"/>
        <w:spacing w:after="0"/>
        <w:rPr>
          <w:b/>
          <w:sz w:val="22"/>
          <w:szCs w:val="22"/>
        </w:rPr>
      </w:pPr>
      <w:r w:rsidRPr="0043016B">
        <w:rPr>
          <w:b/>
          <w:sz w:val="22"/>
          <w:szCs w:val="22"/>
        </w:rPr>
        <w:t>Vartojimas vaikams</w:t>
      </w:r>
    </w:p>
    <w:p w:rsidR="00D336F5" w:rsidRPr="0043016B" w:rsidRDefault="00D336F5" w:rsidP="00D336F5">
      <w:pPr>
        <w:pStyle w:val="Pagrindinistekstas"/>
        <w:spacing w:after="0"/>
        <w:rPr>
          <w:sz w:val="22"/>
          <w:szCs w:val="22"/>
        </w:rPr>
      </w:pPr>
      <w:r w:rsidRPr="0043016B">
        <w:rPr>
          <w:sz w:val="22"/>
          <w:szCs w:val="22"/>
        </w:rPr>
        <w:t>Rekomenduojama įprasta dozė yra 50-100 (mažiausiai 25) mg/kg kūno svorio. Ji išgeriama lygiomis dalimis per 3-4 kartus. Esant reikalui, gydytojas gali paskirti ir didesnę dozę.</w:t>
      </w:r>
    </w:p>
    <w:p w:rsidR="00D336F5" w:rsidRPr="0043016B" w:rsidRDefault="00D336F5" w:rsidP="00D336F5">
      <w:pPr>
        <w:pStyle w:val="Pagrindinistekstas"/>
        <w:spacing w:after="0"/>
        <w:rPr>
          <w:b/>
          <w:iCs/>
          <w:sz w:val="22"/>
          <w:szCs w:val="22"/>
        </w:rPr>
      </w:pPr>
    </w:p>
    <w:p w:rsidR="00D336F5" w:rsidRPr="0043016B" w:rsidRDefault="00D336F5" w:rsidP="00D336F5">
      <w:pPr>
        <w:pStyle w:val="Pagrindinistekstas"/>
        <w:spacing w:after="0"/>
        <w:rPr>
          <w:iCs/>
          <w:sz w:val="22"/>
          <w:szCs w:val="22"/>
        </w:rPr>
      </w:pPr>
      <w:r w:rsidRPr="0043016B">
        <w:rPr>
          <w:iCs/>
          <w:sz w:val="22"/>
          <w:szCs w:val="22"/>
        </w:rPr>
        <w:t xml:space="preserve">Pacientams, kurių inkstų funkcija sutrikusi </w:t>
      </w:r>
    </w:p>
    <w:p w:rsidR="00D336F5" w:rsidRPr="0043016B" w:rsidRDefault="00D336F5" w:rsidP="00D336F5">
      <w:pPr>
        <w:pStyle w:val="Pagrindinistekstas"/>
        <w:spacing w:after="0"/>
        <w:rPr>
          <w:sz w:val="22"/>
          <w:szCs w:val="22"/>
        </w:rPr>
      </w:pPr>
      <w:r w:rsidRPr="0043016B">
        <w:rPr>
          <w:sz w:val="22"/>
          <w:szCs w:val="22"/>
        </w:rPr>
        <w:t>Standacillin dozę nustato gydytojas, įvertinęs inkstų funkcijos sutrikimo sunkumą pagal kreatinino klirenso (tam tikro inkstų veiklą atspindinčio rodiklio) rodmenis.</w:t>
      </w:r>
    </w:p>
    <w:p w:rsidR="00D336F5" w:rsidRPr="0043016B" w:rsidRDefault="00D336F5" w:rsidP="00D336F5">
      <w:pPr>
        <w:pStyle w:val="Pagrindinistekstas"/>
        <w:spacing w:after="0"/>
        <w:rPr>
          <w:sz w:val="22"/>
          <w:szCs w:val="22"/>
        </w:rPr>
      </w:pPr>
    </w:p>
    <w:p w:rsidR="00D336F5" w:rsidRPr="0043016B" w:rsidRDefault="00D336F5" w:rsidP="00D336F5">
      <w:pPr>
        <w:pStyle w:val="Pagrindinistekstas"/>
        <w:spacing w:after="0"/>
        <w:rPr>
          <w:sz w:val="22"/>
          <w:szCs w:val="22"/>
        </w:rPr>
      </w:pPr>
      <w:r w:rsidRPr="0043016B">
        <w:rPr>
          <w:sz w:val="22"/>
          <w:szCs w:val="22"/>
        </w:rPr>
        <w:t>Ligoniams, kurių kreatinino klirensas yra 30</w:t>
      </w:r>
      <w:r>
        <w:rPr>
          <w:sz w:val="22"/>
          <w:szCs w:val="22"/>
        </w:rPr>
        <w:t> </w:t>
      </w:r>
      <w:r w:rsidRPr="0043016B">
        <w:rPr>
          <w:sz w:val="22"/>
          <w:szCs w:val="22"/>
        </w:rPr>
        <w:t>ml/min. ar mažesnis, rekomenduojama vadovautis šia sumažinto dozavimo schema:</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130"/>
        <w:gridCol w:w="5208"/>
      </w:tblGrid>
      <w:tr w:rsidR="00D336F5" w:rsidRPr="0043016B" w:rsidTr="00582DF6">
        <w:tc>
          <w:tcPr>
            <w:tcW w:w="2130" w:type="dxa"/>
            <w:tcBorders>
              <w:top w:val="single" w:sz="6" w:space="0" w:color="auto"/>
              <w:left w:val="single" w:sz="6" w:space="0" w:color="auto"/>
              <w:bottom w:val="single" w:sz="6" w:space="0" w:color="auto"/>
              <w:right w:val="single" w:sz="6" w:space="0" w:color="auto"/>
            </w:tcBorders>
          </w:tcPr>
          <w:p w:rsidR="00D336F5" w:rsidRPr="00FF3A91" w:rsidRDefault="00D336F5" w:rsidP="00582DF6">
            <w:pPr>
              <w:jc w:val="both"/>
              <w:rPr>
                <w:b/>
                <w:szCs w:val="22"/>
              </w:rPr>
            </w:pPr>
            <w:r w:rsidRPr="00FF3A91">
              <w:rPr>
                <w:b/>
                <w:szCs w:val="22"/>
              </w:rPr>
              <w:t>Kreatinino klirensas</w:t>
            </w:r>
          </w:p>
        </w:tc>
        <w:tc>
          <w:tcPr>
            <w:tcW w:w="5208" w:type="dxa"/>
            <w:tcBorders>
              <w:top w:val="single" w:sz="6" w:space="0" w:color="auto"/>
              <w:left w:val="single" w:sz="6" w:space="0" w:color="auto"/>
              <w:bottom w:val="single" w:sz="6" w:space="0" w:color="auto"/>
              <w:right w:val="single" w:sz="6" w:space="0" w:color="auto"/>
            </w:tcBorders>
          </w:tcPr>
          <w:p w:rsidR="00D336F5" w:rsidRPr="0043016B" w:rsidRDefault="00D336F5" w:rsidP="00582DF6">
            <w:pPr>
              <w:jc w:val="both"/>
              <w:rPr>
                <w:b/>
                <w:szCs w:val="22"/>
              </w:rPr>
            </w:pPr>
            <w:r w:rsidRPr="0043016B">
              <w:rPr>
                <w:b/>
                <w:szCs w:val="22"/>
              </w:rPr>
              <w:t>Dozė</w:t>
            </w:r>
          </w:p>
        </w:tc>
      </w:tr>
      <w:tr w:rsidR="00D336F5" w:rsidRPr="0043016B" w:rsidTr="00582DF6">
        <w:tc>
          <w:tcPr>
            <w:tcW w:w="2130" w:type="dxa"/>
            <w:tcBorders>
              <w:top w:val="single" w:sz="6" w:space="0" w:color="auto"/>
              <w:left w:val="single" w:sz="6" w:space="0" w:color="auto"/>
              <w:bottom w:val="single" w:sz="6" w:space="0" w:color="auto"/>
              <w:right w:val="single" w:sz="6" w:space="0" w:color="auto"/>
            </w:tcBorders>
          </w:tcPr>
          <w:p w:rsidR="00D336F5" w:rsidRPr="0043016B" w:rsidRDefault="00D336F5" w:rsidP="00582DF6">
            <w:pPr>
              <w:jc w:val="both"/>
              <w:rPr>
                <w:szCs w:val="22"/>
              </w:rPr>
            </w:pPr>
          </w:p>
          <w:p w:rsidR="00D336F5" w:rsidRPr="0043016B" w:rsidRDefault="00D336F5" w:rsidP="00582DF6">
            <w:pPr>
              <w:jc w:val="both"/>
              <w:rPr>
                <w:szCs w:val="22"/>
              </w:rPr>
            </w:pPr>
            <w:r w:rsidRPr="0043016B">
              <w:rPr>
                <w:szCs w:val="22"/>
              </w:rPr>
              <w:t>30-20</w:t>
            </w:r>
            <w:r>
              <w:rPr>
                <w:szCs w:val="22"/>
              </w:rPr>
              <w:t> </w:t>
            </w:r>
            <w:r w:rsidRPr="0043016B">
              <w:rPr>
                <w:szCs w:val="22"/>
              </w:rPr>
              <w:t>ml/min.</w:t>
            </w:r>
          </w:p>
        </w:tc>
        <w:tc>
          <w:tcPr>
            <w:tcW w:w="5208" w:type="dxa"/>
            <w:tcBorders>
              <w:top w:val="single" w:sz="6" w:space="0" w:color="auto"/>
              <w:left w:val="single" w:sz="6" w:space="0" w:color="auto"/>
              <w:bottom w:val="single" w:sz="6" w:space="0" w:color="auto"/>
              <w:right w:val="single" w:sz="6" w:space="0" w:color="auto"/>
            </w:tcBorders>
          </w:tcPr>
          <w:p w:rsidR="00D336F5" w:rsidRPr="0043016B" w:rsidRDefault="00D336F5" w:rsidP="00582DF6">
            <w:pPr>
              <w:rPr>
                <w:szCs w:val="22"/>
              </w:rPr>
            </w:pPr>
            <w:r w:rsidRPr="0043016B">
              <w:rPr>
                <w:szCs w:val="22"/>
              </w:rPr>
              <w:t>Du trečdaliai įprastinės dozės</w:t>
            </w:r>
          </w:p>
          <w:p w:rsidR="00D336F5" w:rsidRPr="0043016B" w:rsidRDefault="00D336F5" w:rsidP="00582DF6">
            <w:pPr>
              <w:rPr>
                <w:szCs w:val="22"/>
              </w:rPr>
            </w:pPr>
            <w:r w:rsidRPr="0043016B">
              <w:rPr>
                <w:szCs w:val="22"/>
              </w:rPr>
              <w:t>(1,6 - 2,6</w:t>
            </w:r>
            <w:r>
              <w:rPr>
                <w:szCs w:val="22"/>
              </w:rPr>
              <w:t> </w:t>
            </w:r>
            <w:r w:rsidRPr="0043016B">
              <w:rPr>
                <w:szCs w:val="22"/>
              </w:rPr>
              <w:t>g suaugusiesiems; 33 – 66</w:t>
            </w:r>
            <w:r>
              <w:rPr>
                <w:szCs w:val="22"/>
              </w:rPr>
              <w:t> </w:t>
            </w:r>
            <w:r w:rsidRPr="0043016B">
              <w:rPr>
                <w:szCs w:val="22"/>
              </w:rPr>
              <w:t>mg/kg vaikams)</w:t>
            </w:r>
          </w:p>
        </w:tc>
      </w:tr>
      <w:tr w:rsidR="00D336F5" w:rsidRPr="0043016B" w:rsidTr="00582DF6">
        <w:tc>
          <w:tcPr>
            <w:tcW w:w="2130" w:type="dxa"/>
            <w:tcBorders>
              <w:top w:val="single" w:sz="6" w:space="0" w:color="auto"/>
              <w:left w:val="single" w:sz="6" w:space="0" w:color="auto"/>
              <w:bottom w:val="single" w:sz="6" w:space="0" w:color="auto"/>
              <w:right w:val="single" w:sz="6" w:space="0" w:color="auto"/>
            </w:tcBorders>
          </w:tcPr>
          <w:p w:rsidR="00D336F5" w:rsidRPr="0043016B" w:rsidRDefault="00D336F5" w:rsidP="00582DF6">
            <w:pPr>
              <w:jc w:val="both"/>
              <w:rPr>
                <w:szCs w:val="22"/>
              </w:rPr>
            </w:pPr>
          </w:p>
          <w:p w:rsidR="00D336F5" w:rsidRPr="0043016B" w:rsidRDefault="00D336F5" w:rsidP="00582DF6">
            <w:pPr>
              <w:jc w:val="both"/>
              <w:rPr>
                <w:szCs w:val="22"/>
              </w:rPr>
            </w:pPr>
            <w:r w:rsidRPr="0043016B">
              <w:rPr>
                <w:szCs w:val="22"/>
              </w:rPr>
              <w:t>20</w:t>
            </w:r>
            <w:r>
              <w:rPr>
                <w:szCs w:val="22"/>
              </w:rPr>
              <w:t> </w:t>
            </w:r>
            <w:r w:rsidRPr="0043016B">
              <w:rPr>
                <w:szCs w:val="22"/>
              </w:rPr>
              <w:t>ml/min.</w:t>
            </w:r>
          </w:p>
        </w:tc>
        <w:tc>
          <w:tcPr>
            <w:tcW w:w="5208" w:type="dxa"/>
            <w:tcBorders>
              <w:top w:val="single" w:sz="6" w:space="0" w:color="auto"/>
              <w:left w:val="single" w:sz="6" w:space="0" w:color="auto"/>
              <w:bottom w:val="single" w:sz="6" w:space="0" w:color="auto"/>
              <w:right w:val="single" w:sz="6" w:space="0" w:color="auto"/>
            </w:tcBorders>
          </w:tcPr>
          <w:p w:rsidR="00D336F5" w:rsidRPr="0043016B" w:rsidRDefault="00D336F5" w:rsidP="00582DF6">
            <w:pPr>
              <w:rPr>
                <w:szCs w:val="22"/>
              </w:rPr>
            </w:pPr>
            <w:r w:rsidRPr="0043016B">
              <w:rPr>
                <w:szCs w:val="22"/>
              </w:rPr>
              <w:t>Pusė įprastinės dozės</w:t>
            </w:r>
          </w:p>
          <w:p w:rsidR="00D336F5" w:rsidRPr="0043016B" w:rsidRDefault="00D336F5" w:rsidP="00582DF6">
            <w:pPr>
              <w:rPr>
                <w:szCs w:val="22"/>
              </w:rPr>
            </w:pPr>
            <w:r w:rsidRPr="0043016B">
              <w:rPr>
                <w:szCs w:val="22"/>
              </w:rPr>
              <w:t xml:space="preserve">(1 </w:t>
            </w:r>
            <w:r>
              <w:rPr>
                <w:szCs w:val="22"/>
              </w:rPr>
              <w:t>–</w:t>
            </w:r>
            <w:r w:rsidRPr="0043016B">
              <w:rPr>
                <w:szCs w:val="22"/>
              </w:rPr>
              <w:t xml:space="preserve"> 2</w:t>
            </w:r>
            <w:r>
              <w:rPr>
                <w:szCs w:val="22"/>
              </w:rPr>
              <w:t> </w:t>
            </w:r>
            <w:r w:rsidRPr="0043016B">
              <w:rPr>
                <w:szCs w:val="22"/>
              </w:rPr>
              <w:t>g suaugusiesiems; 25 – 50</w:t>
            </w:r>
            <w:r>
              <w:rPr>
                <w:szCs w:val="22"/>
              </w:rPr>
              <w:t> </w:t>
            </w:r>
            <w:r w:rsidRPr="0043016B">
              <w:rPr>
                <w:szCs w:val="22"/>
              </w:rPr>
              <w:t>mg/kg vaikams)</w:t>
            </w:r>
          </w:p>
        </w:tc>
      </w:tr>
    </w:tbl>
    <w:p w:rsidR="00D336F5" w:rsidRPr="0043016B" w:rsidRDefault="00D336F5" w:rsidP="00D336F5">
      <w:pPr>
        <w:rPr>
          <w:szCs w:val="22"/>
        </w:rPr>
      </w:pPr>
    </w:p>
    <w:p w:rsidR="00D336F5" w:rsidRPr="0043016B" w:rsidRDefault="00D336F5" w:rsidP="00D336F5">
      <w:pPr>
        <w:pStyle w:val="Pagrindinistekstas"/>
        <w:spacing w:after="0"/>
        <w:rPr>
          <w:sz w:val="22"/>
          <w:szCs w:val="22"/>
        </w:rPr>
      </w:pPr>
      <w:r w:rsidRPr="0043016B">
        <w:rPr>
          <w:sz w:val="22"/>
          <w:szCs w:val="22"/>
        </w:rPr>
        <w:t>Pacientams, sergantiems sunkiu inkstų nepakankamumu, negalima vartoti daugiau negu po 2 kapsules (atitinka 1</w:t>
      </w:r>
      <w:r>
        <w:rPr>
          <w:sz w:val="22"/>
          <w:szCs w:val="22"/>
        </w:rPr>
        <w:t> </w:t>
      </w:r>
      <w:r w:rsidRPr="0043016B">
        <w:rPr>
          <w:sz w:val="22"/>
          <w:szCs w:val="22"/>
        </w:rPr>
        <w:t>g ampicilino) kas 8</w:t>
      </w:r>
      <w:r>
        <w:rPr>
          <w:sz w:val="22"/>
          <w:szCs w:val="22"/>
        </w:rPr>
        <w:t> </w:t>
      </w:r>
      <w:r w:rsidRPr="0043016B">
        <w:rPr>
          <w:sz w:val="22"/>
          <w:szCs w:val="22"/>
        </w:rPr>
        <w:t>val. Jeigu kreatinino klirensas yra mažesnis negu 10 ml/min., vaisto reikia vartoti dar rečiau (kas 12-15</w:t>
      </w:r>
      <w:r>
        <w:rPr>
          <w:sz w:val="22"/>
          <w:szCs w:val="22"/>
        </w:rPr>
        <w:t> </w:t>
      </w:r>
      <w:r w:rsidRPr="0043016B">
        <w:rPr>
          <w:sz w:val="22"/>
          <w:szCs w:val="22"/>
        </w:rPr>
        <w:t xml:space="preserve">val.) </w:t>
      </w:r>
    </w:p>
    <w:p w:rsidR="00D336F5" w:rsidRPr="00FF3A91" w:rsidRDefault="00D336F5" w:rsidP="00D336F5">
      <w:pPr>
        <w:rPr>
          <w:szCs w:val="22"/>
        </w:rPr>
      </w:pPr>
    </w:p>
    <w:p w:rsidR="00D336F5" w:rsidRPr="0043016B" w:rsidRDefault="00D336F5" w:rsidP="00D336F5">
      <w:pPr>
        <w:pStyle w:val="Pagrindinistekstas"/>
        <w:spacing w:after="0"/>
        <w:rPr>
          <w:bCs/>
          <w:iCs/>
          <w:sz w:val="22"/>
          <w:szCs w:val="22"/>
        </w:rPr>
      </w:pPr>
      <w:r w:rsidRPr="0043016B">
        <w:rPr>
          <w:bCs/>
          <w:iCs/>
          <w:sz w:val="22"/>
          <w:szCs w:val="22"/>
        </w:rPr>
        <w:t>Gydymo trukmė</w:t>
      </w:r>
    </w:p>
    <w:p w:rsidR="00D336F5" w:rsidRPr="0043016B" w:rsidRDefault="00D336F5" w:rsidP="00D336F5">
      <w:pPr>
        <w:pStyle w:val="Pagrindinistekstas"/>
        <w:spacing w:after="0"/>
        <w:rPr>
          <w:sz w:val="22"/>
          <w:szCs w:val="22"/>
        </w:rPr>
      </w:pPr>
      <w:r w:rsidRPr="0043016B">
        <w:rPr>
          <w:sz w:val="22"/>
          <w:szCs w:val="22"/>
        </w:rPr>
        <w:t>Standacillin paprastai gydoma 4-10 parų, tačiau jo patariama vartoti dar 2 paras po to, kai išnyksta ligos simptomai. Tam tikros bakterijos (</w:t>
      </w:r>
      <w:r w:rsidRPr="0043016B">
        <w:rPr>
          <w:sz w:val="22"/>
          <w:szCs w:val="22"/>
        </w:rPr>
        <w:sym w:font="Symbol" w:char="F062"/>
      </w:r>
      <w:r w:rsidRPr="0043016B">
        <w:rPr>
          <w:sz w:val="22"/>
          <w:szCs w:val="22"/>
        </w:rPr>
        <w:t xml:space="preserve"> hemolizinio streptokoko) sukeltą infekcinę ligą reikia gydyti ne trumpiau kaip 10 parų.</w:t>
      </w:r>
    </w:p>
    <w:p w:rsidR="00D336F5" w:rsidRPr="0043016B" w:rsidRDefault="00D336F5" w:rsidP="00D336F5">
      <w:pPr>
        <w:pStyle w:val="Pagrindinistekstas"/>
        <w:spacing w:after="0"/>
        <w:rPr>
          <w:sz w:val="22"/>
          <w:szCs w:val="22"/>
          <w:u w:val="single"/>
        </w:rPr>
      </w:pPr>
    </w:p>
    <w:p w:rsidR="00D336F5" w:rsidRPr="0043016B" w:rsidRDefault="00D336F5" w:rsidP="00D336F5">
      <w:pPr>
        <w:pStyle w:val="Pagrindinistekstas"/>
        <w:spacing w:after="0"/>
        <w:rPr>
          <w:b/>
          <w:sz w:val="22"/>
          <w:szCs w:val="22"/>
        </w:rPr>
      </w:pPr>
      <w:r w:rsidRPr="0043016B">
        <w:rPr>
          <w:b/>
          <w:sz w:val="22"/>
          <w:szCs w:val="22"/>
        </w:rPr>
        <w:t>Ką daryti pavartojus per didelę Standacillin dozę?</w:t>
      </w:r>
    </w:p>
    <w:p w:rsidR="00D336F5" w:rsidRPr="0043016B" w:rsidRDefault="00D336F5" w:rsidP="00D336F5">
      <w:pPr>
        <w:pStyle w:val="Pagrindinistekstas"/>
        <w:spacing w:after="0"/>
        <w:rPr>
          <w:sz w:val="22"/>
          <w:szCs w:val="22"/>
        </w:rPr>
      </w:pPr>
      <w:r w:rsidRPr="0043016B">
        <w:rPr>
          <w:sz w:val="22"/>
          <w:szCs w:val="22"/>
        </w:rPr>
        <w:t>Jeigu įtariate, kad išgėrėte per didelę vaisto dozę arba manote, kad jo netyčia nurijo vaikas, nedelsdami kvieskite gydytoją.</w:t>
      </w:r>
    </w:p>
    <w:p w:rsidR="00D336F5" w:rsidRPr="0043016B" w:rsidRDefault="00D336F5" w:rsidP="00D336F5">
      <w:pPr>
        <w:pStyle w:val="Pagrindinistekstas"/>
        <w:spacing w:after="0"/>
        <w:rPr>
          <w:b/>
          <w:sz w:val="22"/>
          <w:szCs w:val="22"/>
        </w:rPr>
      </w:pPr>
    </w:p>
    <w:p w:rsidR="00D336F5" w:rsidRPr="0043016B" w:rsidRDefault="00D336F5" w:rsidP="00D336F5">
      <w:pPr>
        <w:pStyle w:val="Pagrindinistekstas"/>
        <w:spacing w:after="0"/>
        <w:rPr>
          <w:b/>
          <w:sz w:val="22"/>
          <w:szCs w:val="22"/>
        </w:rPr>
      </w:pPr>
      <w:r w:rsidRPr="0043016B">
        <w:rPr>
          <w:b/>
          <w:sz w:val="22"/>
          <w:szCs w:val="22"/>
        </w:rPr>
        <w:t>Pamiršus pavartoti Standacillin</w:t>
      </w:r>
    </w:p>
    <w:p w:rsidR="00D336F5" w:rsidRPr="0043016B" w:rsidRDefault="00D336F5" w:rsidP="00D336F5">
      <w:pPr>
        <w:rPr>
          <w:szCs w:val="22"/>
        </w:rPr>
      </w:pPr>
      <w:r w:rsidRPr="00FF3A91">
        <w:rPr>
          <w:szCs w:val="22"/>
        </w:rPr>
        <w:t>Jeigu įprastiniu laiku vaisto išgerti pamiršite, gerkite jo tuoj pat, kai tik prisiminsite, tačiau jeigu jau yra beveik atėję</w:t>
      </w:r>
      <w:r w:rsidRPr="0043016B">
        <w:rPr>
          <w:szCs w:val="22"/>
        </w:rPr>
        <w:t>s kitos dozės vartojimo laikas, užmirštosios dozės negerkite, o toliau vaisto vartokite įprastu laiku. Negalima vartoti dvigubos dozės norint kompensuoti praleistą dozę.</w:t>
      </w:r>
    </w:p>
    <w:p w:rsidR="00D336F5" w:rsidRPr="0043016B" w:rsidRDefault="00D336F5" w:rsidP="00D336F5">
      <w:pPr>
        <w:ind w:left="207" w:hanging="567"/>
        <w:rPr>
          <w:szCs w:val="22"/>
        </w:rPr>
      </w:pPr>
    </w:p>
    <w:p w:rsidR="00D336F5" w:rsidRPr="0043016B" w:rsidRDefault="00D336F5" w:rsidP="00D336F5">
      <w:pPr>
        <w:pStyle w:val="Pagrindinistekstas"/>
        <w:spacing w:after="0"/>
        <w:rPr>
          <w:b/>
          <w:bCs/>
          <w:sz w:val="22"/>
          <w:szCs w:val="22"/>
        </w:rPr>
      </w:pPr>
      <w:r w:rsidRPr="0043016B">
        <w:rPr>
          <w:b/>
          <w:bCs/>
          <w:sz w:val="22"/>
          <w:szCs w:val="22"/>
        </w:rPr>
        <w:t>Nustojus vartoti Standacillin</w:t>
      </w:r>
    </w:p>
    <w:p w:rsidR="00D336F5" w:rsidRPr="00FF3A91" w:rsidRDefault="00D336F5" w:rsidP="00D336F5">
      <w:pPr>
        <w:numPr>
          <w:ilvl w:val="12"/>
          <w:numId w:val="0"/>
        </w:numPr>
        <w:ind w:right="-29"/>
        <w:rPr>
          <w:szCs w:val="22"/>
        </w:rPr>
      </w:pPr>
      <w:r w:rsidRPr="00FF3A91">
        <w:rPr>
          <w:szCs w:val="22"/>
        </w:rPr>
        <w:t>Jeigu Jūs nutrauksite Standacillin vartojimą nebaigę viso gydymo kurso, gali vėl atsirasti ligos simptomų, kadangi Jūs esate ne visiškai pasveikę. Jeigu Jūs norite nutraukti Standacillin vartojimą nebaigę viso gydymo kurso, prieš tai reikia pasitarti su gydytoju.</w:t>
      </w:r>
    </w:p>
    <w:p w:rsidR="00D336F5" w:rsidRPr="0043016B" w:rsidRDefault="00D336F5" w:rsidP="00D336F5">
      <w:pPr>
        <w:numPr>
          <w:ilvl w:val="12"/>
          <w:numId w:val="0"/>
        </w:numPr>
        <w:ind w:right="-29"/>
        <w:rPr>
          <w:szCs w:val="22"/>
        </w:rPr>
      </w:pPr>
    </w:p>
    <w:p w:rsidR="00D336F5" w:rsidRPr="0043016B" w:rsidRDefault="00D336F5" w:rsidP="00D336F5">
      <w:pPr>
        <w:numPr>
          <w:ilvl w:val="12"/>
          <w:numId w:val="0"/>
        </w:numPr>
        <w:ind w:right="-29"/>
        <w:rPr>
          <w:szCs w:val="22"/>
        </w:rPr>
      </w:pPr>
      <w:r w:rsidRPr="0043016B">
        <w:rPr>
          <w:szCs w:val="22"/>
        </w:rPr>
        <w:t xml:space="preserve">Jeigu kiltų daugiau klausimų dėl šio vaisto vartojimo, kreipkitės į gydytoją arba vaistininką. </w:t>
      </w:r>
    </w:p>
    <w:p w:rsidR="00D336F5" w:rsidRPr="0043016B" w:rsidRDefault="00D336F5" w:rsidP="00D336F5">
      <w:pPr>
        <w:rPr>
          <w:szCs w:val="22"/>
        </w:rPr>
      </w:pPr>
    </w:p>
    <w:p w:rsidR="00D336F5" w:rsidRPr="0043016B" w:rsidRDefault="00D336F5" w:rsidP="00D336F5">
      <w:pPr>
        <w:rPr>
          <w:szCs w:val="22"/>
        </w:rPr>
      </w:pPr>
    </w:p>
    <w:p w:rsidR="00D336F5" w:rsidRPr="0043016B" w:rsidRDefault="00D336F5" w:rsidP="00D336F5">
      <w:pPr>
        <w:numPr>
          <w:ilvl w:val="12"/>
          <w:numId w:val="0"/>
        </w:numPr>
        <w:ind w:left="567" w:hanging="567"/>
        <w:outlineLvl w:val="0"/>
        <w:rPr>
          <w:b/>
          <w:caps/>
          <w:szCs w:val="22"/>
        </w:rPr>
      </w:pPr>
      <w:r w:rsidRPr="0043016B">
        <w:rPr>
          <w:b/>
          <w:szCs w:val="22"/>
        </w:rPr>
        <w:t>4.</w:t>
      </w:r>
      <w:r w:rsidRPr="0043016B">
        <w:rPr>
          <w:b/>
          <w:szCs w:val="22"/>
        </w:rPr>
        <w:tab/>
        <w:t>Galimas šalutinis poveikis</w:t>
      </w:r>
    </w:p>
    <w:p w:rsidR="00D336F5" w:rsidRPr="0043016B" w:rsidRDefault="00D336F5" w:rsidP="00D336F5">
      <w:pPr>
        <w:ind w:left="207" w:hanging="567"/>
        <w:rPr>
          <w:szCs w:val="22"/>
        </w:rPr>
      </w:pPr>
    </w:p>
    <w:p w:rsidR="00D336F5" w:rsidRPr="0043016B" w:rsidRDefault="00D336F5" w:rsidP="00D336F5">
      <w:pPr>
        <w:rPr>
          <w:szCs w:val="22"/>
        </w:rPr>
      </w:pPr>
      <w:r w:rsidRPr="0043016B">
        <w:rPr>
          <w:szCs w:val="22"/>
        </w:rPr>
        <w:t>Šis vaistas, kaip ir visi kiti, gali sukelti šalutinį poveikį, nors jis pasireiškia ne visiems žmonėms.</w:t>
      </w:r>
    </w:p>
    <w:p w:rsidR="00D336F5" w:rsidRPr="0043016B" w:rsidRDefault="00D336F5" w:rsidP="00D336F5">
      <w:pPr>
        <w:ind w:left="207" w:hanging="567"/>
        <w:rPr>
          <w:szCs w:val="22"/>
        </w:rPr>
      </w:pPr>
    </w:p>
    <w:p w:rsidR="00D336F5" w:rsidRPr="0043016B" w:rsidRDefault="00D336F5" w:rsidP="00D336F5">
      <w:pPr>
        <w:rPr>
          <w:bCs/>
          <w:i/>
          <w:iCs/>
          <w:szCs w:val="22"/>
        </w:rPr>
      </w:pPr>
      <w:r w:rsidRPr="0084466F">
        <w:rPr>
          <w:b/>
          <w:bCs/>
          <w:noProof/>
          <w:snapToGrid w:val="0"/>
          <w:szCs w:val="22"/>
          <w:lang w:eastAsia="en-US"/>
        </w:rPr>
        <w:t>Dažni šalutinio poveikio reiškiniai (gali pasireikšti rečiau kaip 1 iš 10 asmenų</w:t>
      </w:r>
      <w:r>
        <w:rPr>
          <w:b/>
          <w:bCs/>
          <w:iCs/>
          <w:szCs w:val="22"/>
        </w:rPr>
        <w:t>)</w:t>
      </w:r>
    </w:p>
    <w:p w:rsidR="00D336F5" w:rsidRPr="0043016B" w:rsidRDefault="00D336F5" w:rsidP="00D336F5">
      <w:pPr>
        <w:rPr>
          <w:szCs w:val="22"/>
        </w:rPr>
      </w:pPr>
      <w:r w:rsidRPr="0043016B">
        <w:rPr>
          <w:szCs w:val="22"/>
        </w:rPr>
        <w:t>Odos išbėrimas. Paprastai tai yra dėmelės ir mazgeliai ar panašus į tymų sukeltą išbėrimą, pasireiškia praėjus 8 - 10 parų nuo gydymo pradžios. Jeigu ampicilino vartojama pakartotinai, išbėrimas pasireiškia po 2 - 3 parų. Jis dažniausiai per kelias paras išnyksta, net jei toliau tęsiamas gydymas. Manoma, kad išbėrimas dažniau pasireiškia pacientams, kurie serga virusų sukelta liga, kurių inkstų veikla yra sutrikusi ar kurie vartoja didesnę kaip 6</w:t>
      </w:r>
      <w:r>
        <w:rPr>
          <w:szCs w:val="22"/>
        </w:rPr>
        <w:t> </w:t>
      </w:r>
      <w:r w:rsidRPr="0043016B">
        <w:rPr>
          <w:szCs w:val="22"/>
        </w:rPr>
        <w:t xml:space="preserve">g ampicilino paros dozę. </w:t>
      </w:r>
    </w:p>
    <w:p w:rsidR="00D336F5" w:rsidRPr="0043016B" w:rsidRDefault="00D336F5" w:rsidP="00D336F5">
      <w:pPr>
        <w:rPr>
          <w:szCs w:val="22"/>
        </w:rPr>
      </w:pPr>
    </w:p>
    <w:p w:rsidR="00D336F5" w:rsidRPr="0043016B" w:rsidRDefault="00D336F5" w:rsidP="00D336F5">
      <w:pPr>
        <w:rPr>
          <w:bCs/>
          <w:i/>
          <w:iCs/>
          <w:szCs w:val="22"/>
        </w:rPr>
      </w:pPr>
      <w:r w:rsidRPr="0084466F">
        <w:rPr>
          <w:b/>
          <w:bCs/>
          <w:iCs/>
          <w:szCs w:val="22"/>
        </w:rPr>
        <w:t>Nedažni šalutinio poveikio reiškiniai (gali pasireikš</w:t>
      </w:r>
      <w:r>
        <w:rPr>
          <w:b/>
          <w:bCs/>
          <w:iCs/>
          <w:szCs w:val="22"/>
        </w:rPr>
        <w:t>ti rečiau kaip 1 iš 100 asmenų)</w:t>
      </w:r>
    </w:p>
    <w:p w:rsidR="00D336F5" w:rsidRPr="0043016B" w:rsidRDefault="00D336F5" w:rsidP="00D336F5">
      <w:pPr>
        <w:rPr>
          <w:szCs w:val="22"/>
        </w:rPr>
      </w:pPr>
      <w:r w:rsidRPr="0043016B">
        <w:rPr>
          <w:szCs w:val="22"/>
        </w:rPr>
        <w:t>Virškinimo trakto sutrikimai (pykinimas, vėmimas, viduriavimas). Jeigu vaisto vartojant prasideda viduriavimas, reikia pasakyti apie tai gydytojui (žr. skyrelį „Įspėjimai ir atsargumo priemonės“). Žarnų gleivinių uždegimas, liežuvio uždegimas, burnos gleivinės uždegimas, juodasis gauruotasis liežuvis.</w:t>
      </w:r>
    </w:p>
    <w:p w:rsidR="00D336F5" w:rsidRPr="0043016B" w:rsidRDefault="00D336F5" w:rsidP="00D336F5">
      <w:pPr>
        <w:rPr>
          <w:b/>
          <w:szCs w:val="22"/>
        </w:rPr>
      </w:pPr>
    </w:p>
    <w:p w:rsidR="00D336F5" w:rsidRPr="0043016B" w:rsidRDefault="00D336F5" w:rsidP="00D336F5">
      <w:pPr>
        <w:rPr>
          <w:bCs/>
          <w:i/>
          <w:iCs/>
          <w:szCs w:val="22"/>
        </w:rPr>
      </w:pPr>
      <w:r w:rsidRPr="0084466F">
        <w:rPr>
          <w:b/>
          <w:bCs/>
          <w:iCs/>
          <w:szCs w:val="22"/>
        </w:rPr>
        <w:t>Reti šalutinio poveikio reiškiniai (gali pasireikšti</w:t>
      </w:r>
      <w:r>
        <w:rPr>
          <w:b/>
          <w:bCs/>
          <w:iCs/>
          <w:szCs w:val="22"/>
        </w:rPr>
        <w:t xml:space="preserve"> rečiau kaip 1 iš 1 000 asmenų)</w:t>
      </w:r>
    </w:p>
    <w:p w:rsidR="00D336F5" w:rsidRPr="0043016B" w:rsidRDefault="00D336F5" w:rsidP="00D336F5">
      <w:pPr>
        <w:pStyle w:val="BT-EMEASMCA"/>
        <w:numPr>
          <w:ilvl w:val="0"/>
          <w:numId w:val="0"/>
        </w:numPr>
      </w:pPr>
      <w:r w:rsidRPr="0043016B">
        <w:t>Vaistų sukeltas karščiavimas, odos sutrikimai (Lajelio (</w:t>
      </w:r>
      <w:r w:rsidRPr="0043016B">
        <w:rPr>
          <w:i/>
        </w:rPr>
        <w:t>Lyell</w:t>
      </w:r>
      <w:r w:rsidRPr="0043016B">
        <w:t>) sindromas, Stivenso-Džonsono (</w:t>
      </w:r>
      <w:r w:rsidRPr="0043016B">
        <w:rPr>
          <w:i/>
        </w:rPr>
        <w:t>Stevens-Johnson</w:t>
      </w:r>
      <w:r w:rsidRPr="0043016B">
        <w:t>) sindromas), gerklų pabrinkimas, seruminė liga, alerginis kraujagyslių uždegimas, kraujo plokštelių (trombocitų) kiekio sumažėjimas kraujyje, dėl kurio atsiranda kraujosruvų (trombocitopeninė purpura), kristalai šlapime, kepenų uždegimas, su tulžies sąstoviu susijusi gelta (cholestazinė gelta).</w:t>
      </w:r>
    </w:p>
    <w:p w:rsidR="00D336F5" w:rsidRPr="0043016B" w:rsidRDefault="00D336F5" w:rsidP="00D336F5">
      <w:pPr>
        <w:rPr>
          <w:b/>
          <w:szCs w:val="22"/>
        </w:rPr>
      </w:pPr>
    </w:p>
    <w:p w:rsidR="00D336F5" w:rsidRPr="0043016B" w:rsidRDefault="00D336F5" w:rsidP="00D336F5">
      <w:pPr>
        <w:rPr>
          <w:bCs/>
          <w:i/>
          <w:iCs/>
          <w:szCs w:val="22"/>
        </w:rPr>
      </w:pPr>
      <w:r w:rsidRPr="0084466F">
        <w:rPr>
          <w:b/>
          <w:bCs/>
          <w:iCs/>
          <w:szCs w:val="22"/>
        </w:rPr>
        <w:t>Labai reti šalutinio poveikio reiškiniai (gali pasireikšti rečiau kaip 1 iš 10 000 asmenų</w:t>
      </w:r>
      <w:r>
        <w:rPr>
          <w:b/>
          <w:bCs/>
          <w:iCs/>
          <w:szCs w:val="22"/>
        </w:rPr>
        <w:t>)</w:t>
      </w:r>
    </w:p>
    <w:p w:rsidR="00D336F5" w:rsidRPr="0043016B" w:rsidRDefault="00D336F5" w:rsidP="00D336F5">
      <w:pPr>
        <w:rPr>
          <w:szCs w:val="22"/>
        </w:rPr>
      </w:pPr>
      <w:r w:rsidRPr="0043016B">
        <w:rPr>
          <w:szCs w:val="22"/>
        </w:rPr>
        <w:t xml:space="preserve">Kraujo ląstelių kiekio pokyčiai (pvz., trombocitų, granulocitų, baltųjų kraujo kūnelių - leukocitų kiekio sumažėjimas ir eozinofilų kiekio padidėjimas), mažakraujystė, kraujavimo laiko pailgėjimas, kraujo krešėjimo rodiklio (protrombino laiko) pokytis, anafilaksinės reakcijos, alerginis pabrinkimas, odos uždegimas, kurio metu lupasi oda (toksinė epidermio nekrolizė, eksfoliacinis dermatitas), išbėrimas pūslėmis ar į mažus taikinius panašiomis dėmėmis (daugiaformė raudonė), inkstų uždegimas, smulkiųjų kraujagyslių uždegimas su inkstų pakenkimu, inkstų pažeidimas (nefropatija), sąnarių skausmas, raumenų skausmas, karščiavimas, laikinas kepenų fermentų aktyvumo padidėjimas. </w:t>
      </w:r>
    </w:p>
    <w:p w:rsidR="00D336F5" w:rsidRPr="0043016B" w:rsidRDefault="00D336F5" w:rsidP="00D336F5">
      <w:pPr>
        <w:rPr>
          <w:b/>
          <w:szCs w:val="22"/>
          <w:u w:val="single"/>
        </w:rPr>
      </w:pPr>
      <w:r w:rsidRPr="0043016B">
        <w:rPr>
          <w:szCs w:val="22"/>
        </w:rPr>
        <w:t>Gydant tam tikras ligas (vidurių šiltinę, leptospirozę ar sifilį) dėl bakterijų irimo gali prasidėti karščiavimas ir pablogėti savijauta (tai vadinamosios Jarišo-Herksheimerio reakcijos požymiai).</w:t>
      </w:r>
    </w:p>
    <w:p w:rsidR="00D336F5" w:rsidRPr="0043016B" w:rsidRDefault="00D336F5" w:rsidP="00D336F5">
      <w:pPr>
        <w:rPr>
          <w:szCs w:val="22"/>
        </w:rPr>
      </w:pPr>
    </w:p>
    <w:p w:rsidR="00D336F5" w:rsidRPr="0043016B" w:rsidRDefault="00D336F5" w:rsidP="00D336F5">
      <w:pPr>
        <w:rPr>
          <w:b/>
          <w:bCs/>
          <w:iCs/>
          <w:szCs w:val="22"/>
        </w:rPr>
      </w:pPr>
      <w:r w:rsidRPr="0084466F">
        <w:rPr>
          <w:b/>
          <w:bCs/>
          <w:iCs/>
          <w:szCs w:val="22"/>
        </w:rPr>
        <w:t>Šalut</w:t>
      </w:r>
      <w:r>
        <w:rPr>
          <w:b/>
          <w:bCs/>
          <w:iCs/>
          <w:szCs w:val="22"/>
        </w:rPr>
        <w:t xml:space="preserve">inio poveikio reiškiniai, kurių </w:t>
      </w:r>
      <w:r w:rsidRPr="0084466F">
        <w:rPr>
          <w:b/>
          <w:bCs/>
          <w:iCs/>
          <w:szCs w:val="22"/>
        </w:rPr>
        <w:t xml:space="preserve"> dažnis nežinomas (negali būti apskaičiuotas pagal turimus duomenis)</w:t>
      </w:r>
    </w:p>
    <w:p w:rsidR="00D336F5" w:rsidRPr="0043016B" w:rsidRDefault="00D336F5" w:rsidP="00D336F5">
      <w:pPr>
        <w:rPr>
          <w:szCs w:val="22"/>
        </w:rPr>
      </w:pPr>
      <w:r w:rsidRPr="0043016B">
        <w:rPr>
          <w:szCs w:val="22"/>
        </w:rPr>
        <w:t xml:space="preserve">Užsitęsęs arba pakartotinis ampicilino vartojimas gali sukelti antrinę infekciją, t. y. gali pradėti intensyviai daugintis atsparios bakterijos ar grybeliai. </w:t>
      </w:r>
    </w:p>
    <w:p w:rsidR="00D336F5" w:rsidRDefault="00D336F5" w:rsidP="00D336F5">
      <w:pPr>
        <w:rPr>
          <w:szCs w:val="22"/>
        </w:rPr>
      </w:pPr>
      <w:r w:rsidRPr="0043016B">
        <w:rPr>
          <w:szCs w:val="22"/>
        </w:rPr>
        <w:t>Centrinės nervų sistemos sujaudinimas, ritmiškas atskirų raumenų grupių susitraukimas ir atsipalaidavimas (raumenų klonusas ir traukuliai). Šie sutrikimai gali pasireikšti pacientams, kurių inkstų veikla sutrikusi arba kurie vartoja didelę ampicilino dozę.</w:t>
      </w:r>
      <w:r>
        <w:rPr>
          <w:szCs w:val="22"/>
        </w:rPr>
        <w:t xml:space="preserve"> Į</w:t>
      </w:r>
      <w:r w:rsidRPr="00303284">
        <w:rPr>
          <w:szCs w:val="22"/>
        </w:rPr>
        <w:t xml:space="preserve"> gripą panašūs simptomai, pasireiškiantys </w:t>
      </w:r>
      <w:r>
        <w:rPr>
          <w:szCs w:val="22"/>
        </w:rPr>
        <w:t>iš</w:t>
      </w:r>
      <w:r w:rsidRPr="00303284">
        <w:rPr>
          <w:szCs w:val="22"/>
        </w:rPr>
        <w:t xml:space="preserve">bėrimu, karščiavimu, patinusiomis liaukomis ir </w:t>
      </w:r>
      <w:r>
        <w:rPr>
          <w:szCs w:val="22"/>
        </w:rPr>
        <w:t>nuo normos nukrypusiais</w:t>
      </w:r>
      <w:r w:rsidRPr="00303284">
        <w:rPr>
          <w:szCs w:val="22"/>
        </w:rPr>
        <w:t xml:space="preserve"> kraujo tyrimų rezultatais (įskaitant baltųjų kraujo ląstelių </w:t>
      </w:r>
      <w:r>
        <w:rPr>
          <w:szCs w:val="22"/>
        </w:rPr>
        <w:t xml:space="preserve">padidėjimą </w:t>
      </w:r>
      <w:r w:rsidRPr="00303284">
        <w:rPr>
          <w:szCs w:val="22"/>
        </w:rPr>
        <w:t>(eozinofilij</w:t>
      </w:r>
      <w:r>
        <w:rPr>
          <w:szCs w:val="22"/>
        </w:rPr>
        <w:t>ą</w:t>
      </w:r>
      <w:r w:rsidRPr="00303284">
        <w:rPr>
          <w:szCs w:val="22"/>
        </w:rPr>
        <w:t xml:space="preserve">) ir kepenų fermentų </w:t>
      </w:r>
      <w:r>
        <w:rPr>
          <w:szCs w:val="22"/>
        </w:rPr>
        <w:t>aktyvumo</w:t>
      </w:r>
      <w:r w:rsidRPr="00303284">
        <w:rPr>
          <w:szCs w:val="22"/>
        </w:rPr>
        <w:t xml:space="preserve"> padidėjim</w:t>
      </w:r>
      <w:r>
        <w:rPr>
          <w:szCs w:val="22"/>
        </w:rPr>
        <w:t>ą</w:t>
      </w:r>
      <w:r w:rsidRPr="00303284">
        <w:rPr>
          <w:szCs w:val="22"/>
        </w:rPr>
        <w:t>)</w:t>
      </w:r>
      <w:r>
        <w:rPr>
          <w:szCs w:val="22"/>
        </w:rPr>
        <w:t>,</w:t>
      </w:r>
      <w:r w:rsidRPr="00303284">
        <w:rPr>
          <w:szCs w:val="22"/>
        </w:rPr>
        <w:t xml:space="preserve"> </w:t>
      </w:r>
      <w:r>
        <w:rPr>
          <w:szCs w:val="22"/>
        </w:rPr>
        <w:t>reakcija į vaistą</w:t>
      </w:r>
      <w:r w:rsidRPr="00303284">
        <w:rPr>
          <w:szCs w:val="22"/>
        </w:rPr>
        <w:t xml:space="preserve"> su eozinofilija ir sisteminiais simptomais (</w:t>
      </w:r>
      <w:r w:rsidRPr="008104BF">
        <w:rPr>
          <w:szCs w:val="22"/>
        </w:rPr>
        <w:t>angl.</w:t>
      </w:r>
      <w:r w:rsidRPr="001C64C4">
        <w:rPr>
          <w:i/>
          <w:szCs w:val="22"/>
        </w:rPr>
        <w:t xml:space="preserve"> drug reaction with eosinophilia and systemic symptoms</w:t>
      </w:r>
      <w:r w:rsidRPr="008104BF">
        <w:rPr>
          <w:szCs w:val="22"/>
        </w:rPr>
        <w:t xml:space="preserve"> </w:t>
      </w:r>
      <w:r w:rsidRPr="001C64C4">
        <w:rPr>
          <w:i/>
          <w:szCs w:val="22"/>
        </w:rPr>
        <w:t>DRESS</w:t>
      </w:r>
      <w:r w:rsidRPr="00303284">
        <w:rPr>
          <w:szCs w:val="22"/>
        </w:rPr>
        <w:t>)</w:t>
      </w:r>
      <w:r>
        <w:rPr>
          <w:szCs w:val="22"/>
        </w:rPr>
        <w:t>,</w:t>
      </w:r>
      <w:r w:rsidRPr="00303284">
        <w:rPr>
          <w:szCs w:val="22"/>
        </w:rPr>
        <w:t xml:space="preserve"> </w:t>
      </w:r>
      <w:r>
        <w:rPr>
          <w:szCs w:val="22"/>
        </w:rPr>
        <w:t>r</w:t>
      </w:r>
      <w:r w:rsidRPr="00303284">
        <w:rPr>
          <w:szCs w:val="22"/>
        </w:rPr>
        <w:t xml:space="preserve">audonas, žvynuotas </w:t>
      </w:r>
      <w:r>
        <w:rPr>
          <w:szCs w:val="22"/>
        </w:rPr>
        <w:t>iš</w:t>
      </w:r>
      <w:r w:rsidRPr="00303284">
        <w:rPr>
          <w:szCs w:val="22"/>
        </w:rPr>
        <w:t xml:space="preserve">bėrimas su </w:t>
      </w:r>
      <w:r>
        <w:rPr>
          <w:szCs w:val="22"/>
        </w:rPr>
        <w:t>poodiniais guzeliais</w:t>
      </w:r>
      <w:r w:rsidRPr="00303284">
        <w:rPr>
          <w:szCs w:val="22"/>
        </w:rPr>
        <w:t xml:space="preserve"> ir pūslėmis (egzanteminė pustuliozė).</w:t>
      </w:r>
    </w:p>
    <w:p w:rsidR="00D336F5" w:rsidRPr="0043016B" w:rsidRDefault="00D336F5" w:rsidP="00D336F5">
      <w:pPr>
        <w:rPr>
          <w:szCs w:val="22"/>
        </w:rPr>
      </w:pPr>
    </w:p>
    <w:p w:rsidR="00D336F5" w:rsidRPr="0043016B" w:rsidRDefault="00D336F5" w:rsidP="00D336F5">
      <w:pPr>
        <w:rPr>
          <w:b/>
          <w:szCs w:val="22"/>
        </w:rPr>
      </w:pPr>
      <w:r w:rsidRPr="0043016B">
        <w:rPr>
          <w:b/>
          <w:noProof/>
          <w:szCs w:val="22"/>
        </w:rPr>
        <w:t>Pranešimas apie šalutinį poveikį</w:t>
      </w:r>
    </w:p>
    <w:p w:rsidR="00D336F5" w:rsidRPr="0084466F" w:rsidRDefault="00D336F5" w:rsidP="00D336F5">
      <w:pPr>
        <w:tabs>
          <w:tab w:val="left" w:pos="567"/>
        </w:tabs>
        <w:spacing w:line="260" w:lineRule="exact"/>
        <w:ind w:right="-1"/>
        <w:rPr>
          <w:snapToGrid w:val="0"/>
          <w:lang w:eastAsia="en-US"/>
        </w:rPr>
      </w:pPr>
      <w:r w:rsidRPr="0043016B">
        <w:rPr>
          <w:snapToGrid w:val="0"/>
          <w:szCs w:val="22"/>
          <w:lang w:eastAsia="en-US"/>
        </w:rPr>
        <w:lastRenderedPageBreak/>
        <w:t xml:space="preserve">Jeigu pasireiškė šalutinis poveikis, įskaitant šiame lapelyje nenurodytą, pasakykite gydytojui arba vaistininkui. </w:t>
      </w:r>
      <w:r w:rsidRPr="0084466F">
        <w:rPr>
          <w:snapToGrid w:val="0"/>
          <w:lang w:eastAsia="en-US"/>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84466F">
          <w:rPr>
            <w:snapToGrid w:val="0"/>
            <w:color w:val="0000FF"/>
            <w:u w:val="single"/>
            <w:lang w:eastAsia="en-US"/>
          </w:rPr>
          <w:t>https://vapris.vvkt.lt/vvkt-web/public/nrv</w:t>
        </w:r>
      </w:hyperlink>
      <w:r w:rsidRPr="0084466F">
        <w:rPr>
          <w:snapToGrid w:val="0"/>
          <w:lang w:eastAsia="en-US"/>
        </w:rPr>
        <w:t xml:space="preserve"> arba užpildant Paciento pranešimo apie įtariamą nepageidaujamą reakciją (ĮNR) formą, kuri skelbiama </w:t>
      </w:r>
      <w:hyperlink r:id="rId6" w:history="1">
        <w:r w:rsidRPr="0084466F">
          <w:rPr>
            <w:snapToGrid w:val="0"/>
            <w:color w:val="0000FF"/>
            <w:u w:val="single"/>
            <w:lang w:eastAsia="en-US"/>
          </w:rPr>
          <w:t>https://www.vvkt.lt/index.php?4004286486</w:t>
        </w:r>
      </w:hyperlink>
      <w:r w:rsidRPr="0084466F">
        <w:rPr>
          <w:snapToGrid w:val="0"/>
          <w:lang w:eastAsia="en-US"/>
        </w:rPr>
        <w:t xml:space="preserve">, ir atsiunčiant elektroniniu paštu (adresu </w:t>
      </w:r>
      <w:hyperlink r:id="rId7" w:history="1">
        <w:r w:rsidRPr="0084466F">
          <w:rPr>
            <w:snapToGrid w:val="0"/>
            <w:color w:val="0000FF"/>
            <w:u w:val="single"/>
            <w:lang w:eastAsia="en-US"/>
          </w:rPr>
          <w:t>NepageidaujamaR@vvkt.lt</w:t>
        </w:r>
      </w:hyperlink>
      <w:r w:rsidRPr="0084466F">
        <w:rPr>
          <w:snapToGrid w:val="0"/>
          <w:lang w:eastAsia="en-US"/>
        </w:rPr>
        <w:t>) arba nemokamu telefonu 8 800 73 568. Pranešdami apie šalutinį poveikį galite mums padėti gauti daugiau informacijos apie šio vaisto saugumą.</w:t>
      </w:r>
    </w:p>
    <w:p w:rsidR="00D336F5" w:rsidRPr="0043016B" w:rsidRDefault="00D336F5" w:rsidP="00D336F5">
      <w:pPr>
        <w:numPr>
          <w:ilvl w:val="12"/>
          <w:numId w:val="0"/>
        </w:numPr>
        <w:ind w:left="567" w:hanging="567"/>
        <w:outlineLvl w:val="0"/>
        <w:rPr>
          <w:b/>
          <w:caps/>
          <w:szCs w:val="22"/>
        </w:rPr>
      </w:pPr>
    </w:p>
    <w:p w:rsidR="00D336F5" w:rsidRPr="0043016B" w:rsidRDefault="00D336F5" w:rsidP="00D336F5">
      <w:pPr>
        <w:numPr>
          <w:ilvl w:val="12"/>
          <w:numId w:val="0"/>
        </w:numPr>
        <w:ind w:left="567" w:hanging="567"/>
        <w:outlineLvl w:val="0"/>
        <w:rPr>
          <w:b/>
          <w:caps/>
          <w:szCs w:val="22"/>
        </w:rPr>
      </w:pPr>
    </w:p>
    <w:p w:rsidR="00D336F5" w:rsidRPr="0043016B" w:rsidRDefault="00D336F5" w:rsidP="00D336F5">
      <w:pPr>
        <w:numPr>
          <w:ilvl w:val="12"/>
          <w:numId w:val="0"/>
        </w:numPr>
        <w:ind w:left="567" w:hanging="567"/>
        <w:outlineLvl w:val="0"/>
        <w:rPr>
          <w:b/>
          <w:caps/>
          <w:szCs w:val="22"/>
        </w:rPr>
      </w:pPr>
      <w:r w:rsidRPr="0043016B">
        <w:rPr>
          <w:b/>
          <w:caps/>
          <w:szCs w:val="22"/>
        </w:rPr>
        <w:t>5.</w:t>
      </w:r>
      <w:r w:rsidRPr="0043016B">
        <w:rPr>
          <w:b/>
          <w:caps/>
          <w:szCs w:val="22"/>
        </w:rPr>
        <w:tab/>
      </w:r>
      <w:r w:rsidRPr="0043016B">
        <w:rPr>
          <w:b/>
          <w:szCs w:val="22"/>
        </w:rPr>
        <w:t xml:space="preserve">Kaip laikyti Standacillin </w:t>
      </w:r>
    </w:p>
    <w:p w:rsidR="00D336F5" w:rsidRPr="0043016B" w:rsidRDefault="00D336F5" w:rsidP="00D336F5">
      <w:pPr>
        <w:ind w:left="567" w:hanging="567"/>
        <w:rPr>
          <w:szCs w:val="22"/>
        </w:rPr>
      </w:pPr>
    </w:p>
    <w:p w:rsidR="00D336F5" w:rsidRPr="0043016B" w:rsidRDefault="00D336F5" w:rsidP="00D336F5">
      <w:pPr>
        <w:numPr>
          <w:ilvl w:val="12"/>
          <w:numId w:val="0"/>
        </w:numPr>
        <w:ind w:right="-2"/>
        <w:rPr>
          <w:szCs w:val="22"/>
        </w:rPr>
      </w:pPr>
      <w:r w:rsidRPr="0043016B">
        <w:rPr>
          <w:szCs w:val="22"/>
        </w:rPr>
        <w:t xml:space="preserve"> Šį vaistą laikykite vaikams nepastebimoje ir nepasiekiamoje vietoje.</w:t>
      </w:r>
    </w:p>
    <w:p w:rsidR="00D336F5" w:rsidRPr="0043016B" w:rsidRDefault="00D336F5" w:rsidP="00D336F5">
      <w:pPr>
        <w:pStyle w:val="Pagrindinistekstas"/>
        <w:spacing w:after="0"/>
        <w:rPr>
          <w:sz w:val="22"/>
          <w:szCs w:val="22"/>
        </w:rPr>
      </w:pPr>
    </w:p>
    <w:p w:rsidR="00D336F5" w:rsidRPr="0043016B" w:rsidRDefault="00D336F5" w:rsidP="00D336F5">
      <w:pPr>
        <w:pStyle w:val="Pagrindinistekstas"/>
        <w:spacing w:after="0"/>
        <w:rPr>
          <w:sz w:val="22"/>
          <w:szCs w:val="22"/>
        </w:rPr>
      </w:pPr>
      <w:r w:rsidRPr="0043016B">
        <w:rPr>
          <w:sz w:val="22"/>
          <w:szCs w:val="22"/>
        </w:rPr>
        <w:t>Laikyti ne aukštesnėje kaip 25</w:t>
      </w:r>
      <w:r>
        <w:rPr>
          <w:sz w:val="22"/>
          <w:szCs w:val="22"/>
        </w:rPr>
        <w:t> </w:t>
      </w:r>
      <w:r w:rsidRPr="0043016B">
        <w:rPr>
          <w:sz w:val="22"/>
          <w:szCs w:val="22"/>
        </w:rPr>
        <w:sym w:font="Symbol" w:char="F0B0"/>
      </w:r>
      <w:r w:rsidRPr="0043016B">
        <w:rPr>
          <w:sz w:val="22"/>
          <w:szCs w:val="22"/>
        </w:rPr>
        <w:t>C temperatūroje.</w:t>
      </w:r>
    </w:p>
    <w:p w:rsidR="00D336F5" w:rsidRPr="0043016B" w:rsidRDefault="00D336F5" w:rsidP="00D336F5">
      <w:pPr>
        <w:pStyle w:val="Pagrindinistekstas"/>
        <w:spacing w:after="0"/>
        <w:rPr>
          <w:sz w:val="22"/>
          <w:szCs w:val="22"/>
        </w:rPr>
      </w:pPr>
      <w:r w:rsidRPr="0043016B">
        <w:rPr>
          <w:sz w:val="22"/>
          <w:szCs w:val="22"/>
        </w:rPr>
        <w:t xml:space="preserve">Laikyti gamintojo pakuotėje, kad vaistas būtų apsaugotas nuo šviesos ir drėgmės. </w:t>
      </w:r>
    </w:p>
    <w:p w:rsidR="00D336F5" w:rsidRPr="0043016B" w:rsidRDefault="00D336F5" w:rsidP="00D336F5">
      <w:pPr>
        <w:pStyle w:val="Pagrindinistekstas"/>
        <w:spacing w:after="0"/>
        <w:rPr>
          <w:sz w:val="22"/>
          <w:szCs w:val="22"/>
        </w:rPr>
      </w:pPr>
    </w:p>
    <w:p w:rsidR="00D336F5" w:rsidRPr="0043016B" w:rsidRDefault="00D336F5" w:rsidP="00D336F5">
      <w:pPr>
        <w:tabs>
          <w:tab w:val="left" w:pos="540"/>
        </w:tabs>
        <w:rPr>
          <w:bCs/>
          <w:szCs w:val="22"/>
          <w:lang w:val="cs-CZ"/>
        </w:rPr>
      </w:pPr>
      <w:r w:rsidRPr="00FF3A91">
        <w:rPr>
          <w:szCs w:val="22"/>
        </w:rPr>
        <w:t>Ant kartono dėžutės po „</w:t>
      </w:r>
      <w:r>
        <w:rPr>
          <w:szCs w:val="22"/>
        </w:rPr>
        <w:t>EXP</w:t>
      </w:r>
      <w:r w:rsidRPr="00FF3A91">
        <w:rPr>
          <w:szCs w:val="22"/>
        </w:rPr>
        <w:t xml:space="preserve">“ ir lizdinės plokštelės nurodytam tinkamumo laikui pasibaigus, šio vaisto vartoti negalima. </w:t>
      </w:r>
      <w:r w:rsidRPr="0043016B">
        <w:rPr>
          <w:bCs/>
          <w:szCs w:val="22"/>
          <w:lang w:val="cs-CZ"/>
        </w:rPr>
        <w:t>Vaistas tinkamas vartoti iki paskutinės nurodyto mėnesio dienos.</w:t>
      </w:r>
    </w:p>
    <w:p w:rsidR="00D336F5" w:rsidRPr="0043016B" w:rsidRDefault="00D336F5" w:rsidP="00D336F5">
      <w:pPr>
        <w:tabs>
          <w:tab w:val="left" w:pos="540"/>
        </w:tabs>
        <w:rPr>
          <w:bCs/>
          <w:szCs w:val="22"/>
          <w:lang w:val="cs-CZ"/>
        </w:rPr>
      </w:pPr>
    </w:p>
    <w:p w:rsidR="00D336F5" w:rsidRPr="0043016B" w:rsidRDefault="00D336F5" w:rsidP="00D336F5">
      <w:pPr>
        <w:tabs>
          <w:tab w:val="left" w:pos="540"/>
        </w:tabs>
        <w:rPr>
          <w:bCs/>
          <w:szCs w:val="22"/>
        </w:rPr>
      </w:pPr>
      <w:r w:rsidRPr="0043016B">
        <w:rPr>
          <w:bCs/>
          <w:szCs w:val="22"/>
        </w:rPr>
        <w:t>Vaistų negalima išmesti į kanalizaciją arba kartu su buitinėmis atliekomis. Kaip išmesti nereikalingus vaistus, klauskite vaistininko. Šios priemonės padės apsaugoti aplinką.</w:t>
      </w:r>
    </w:p>
    <w:p w:rsidR="00D336F5" w:rsidRPr="0043016B" w:rsidRDefault="00D336F5" w:rsidP="00D336F5">
      <w:pPr>
        <w:numPr>
          <w:ilvl w:val="12"/>
          <w:numId w:val="0"/>
        </w:numPr>
        <w:outlineLvl w:val="0"/>
        <w:rPr>
          <w:b/>
          <w:szCs w:val="22"/>
        </w:rPr>
      </w:pPr>
    </w:p>
    <w:p w:rsidR="00D336F5" w:rsidRPr="0043016B" w:rsidRDefault="00D336F5" w:rsidP="00D336F5">
      <w:pPr>
        <w:numPr>
          <w:ilvl w:val="12"/>
          <w:numId w:val="0"/>
        </w:numPr>
        <w:outlineLvl w:val="0"/>
        <w:rPr>
          <w:b/>
          <w:szCs w:val="22"/>
        </w:rPr>
      </w:pPr>
    </w:p>
    <w:p w:rsidR="00D336F5" w:rsidRPr="0043016B" w:rsidRDefault="00D336F5" w:rsidP="00D336F5">
      <w:pPr>
        <w:numPr>
          <w:ilvl w:val="12"/>
          <w:numId w:val="0"/>
        </w:numPr>
        <w:tabs>
          <w:tab w:val="left" w:pos="567"/>
        </w:tabs>
        <w:outlineLvl w:val="0"/>
        <w:rPr>
          <w:b/>
          <w:szCs w:val="22"/>
        </w:rPr>
      </w:pPr>
      <w:r w:rsidRPr="0043016B">
        <w:rPr>
          <w:b/>
          <w:szCs w:val="22"/>
        </w:rPr>
        <w:t>6.</w:t>
      </w:r>
      <w:r w:rsidRPr="0043016B">
        <w:rPr>
          <w:szCs w:val="22"/>
        </w:rPr>
        <w:tab/>
      </w:r>
      <w:r w:rsidRPr="0043016B">
        <w:rPr>
          <w:b/>
          <w:szCs w:val="22"/>
        </w:rPr>
        <w:t>Pakuotės turinys ir kita informacija</w:t>
      </w:r>
    </w:p>
    <w:p w:rsidR="00D336F5" w:rsidRPr="0043016B" w:rsidRDefault="00D336F5" w:rsidP="00D336F5">
      <w:pPr>
        <w:ind w:left="567" w:hanging="567"/>
        <w:rPr>
          <w:szCs w:val="22"/>
        </w:rPr>
      </w:pPr>
    </w:p>
    <w:p w:rsidR="00D336F5" w:rsidRPr="0043016B" w:rsidRDefault="00D336F5" w:rsidP="00D336F5">
      <w:pPr>
        <w:pStyle w:val="PI-3EMEASMCA"/>
        <w:tabs>
          <w:tab w:val="left" w:pos="3544"/>
          <w:tab w:val="left" w:pos="4678"/>
        </w:tabs>
        <w:spacing w:line="240" w:lineRule="auto"/>
      </w:pPr>
      <w:r w:rsidRPr="0043016B">
        <w:t>Standacillin sudėtis</w:t>
      </w:r>
    </w:p>
    <w:p w:rsidR="00D336F5" w:rsidRPr="0043016B" w:rsidRDefault="00D336F5" w:rsidP="00D336F5">
      <w:pPr>
        <w:numPr>
          <w:ilvl w:val="0"/>
          <w:numId w:val="1"/>
        </w:numPr>
        <w:rPr>
          <w:szCs w:val="22"/>
        </w:rPr>
      </w:pPr>
      <w:r w:rsidRPr="0043016B">
        <w:rPr>
          <w:szCs w:val="22"/>
        </w:rPr>
        <w:t>Veiklioji medžiaga yra ampicilinas. Kiekvienoje kapsulėje yra 500</w:t>
      </w:r>
      <w:r>
        <w:rPr>
          <w:szCs w:val="22"/>
        </w:rPr>
        <w:t> </w:t>
      </w:r>
      <w:r w:rsidRPr="0043016B">
        <w:rPr>
          <w:szCs w:val="22"/>
        </w:rPr>
        <w:t>mg ampicilino (ampicilino trihidrato pavidalu).</w:t>
      </w:r>
    </w:p>
    <w:p w:rsidR="00D336F5" w:rsidRPr="0043016B" w:rsidRDefault="00D336F5" w:rsidP="00D336F5">
      <w:pPr>
        <w:ind w:left="567" w:hanging="567"/>
        <w:rPr>
          <w:szCs w:val="22"/>
        </w:rPr>
      </w:pPr>
      <w:r w:rsidRPr="0043016B">
        <w:rPr>
          <w:szCs w:val="22"/>
        </w:rPr>
        <w:t>-</w:t>
      </w:r>
      <w:r w:rsidRPr="0043016B">
        <w:rPr>
          <w:szCs w:val="22"/>
        </w:rPr>
        <w:tab/>
        <w:t>Pagalbinės medžiagos yra magnio stearatas, titano dioksidas (E171), želatina.</w:t>
      </w:r>
      <w:r w:rsidRPr="0043016B">
        <w:rPr>
          <w:szCs w:val="22"/>
        </w:rPr>
        <w:tab/>
      </w:r>
    </w:p>
    <w:p w:rsidR="00D336F5" w:rsidRPr="0043016B" w:rsidRDefault="00D336F5" w:rsidP="00D336F5">
      <w:pPr>
        <w:pStyle w:val="BTEMEASMCA"/>
        <w:tabs>
          <w:tab w:val="left" w:pos="3544"/>
          <w:tab w:val="left" w:pos="4678"/>
        </w:tabs>
      </w:pPr>
    </w:p>
    <w:p w:rsidR="00D336F5" w:rsidRPr="0043016B" w:rsidRDefault="00D336F5" w:rsidP="00D336F5">
      <w:pPr>
        <w:pStyle w:val="PI-3EMEASMCA"/>
        <w:tabs>
          <w:tab w:val="left" w:pos="3544"/>
          <w:tab w:val="left" w:pos="4678"/>
        </w:tabs>
        <w:spacing w:line="240" w:lineRule="auto"/>
      </w:pPr>
      <w:r w:rsidRPr="0043016B">
        <w:t>Standacillin išvaizda ir kiekis pakuotėje</w:t>
      </w:r>
    </w:p>
    <w:p w:rsidR="00D336F5" w:rsidRPr="0043016B" w:rsidRDefault="00D336F5" w:rsidP="00D336F5">
      <w:pPr>
        <w:rPr>
          <w:b/>
          <w:szCs w:val="22"/>
        </w:rPr>
      </w:pPr>
      <w:r w:rsidRPr="0043016B">
        <w:rPr>
          <w:szCs w:val="22"/>
        </w:rPr>
        <w:t>Standacillin yra baltos, nepermatomos kietosios kapsulės. Jose yra baltų miltelių.</w:t>
      </w:r>
    </w:p>
    <w:p w:rsidR="00D336F5" w:rsidRPr="0043016B" w:rsidRDefault="00D336F5" w:rsidP="00D336F5">
      <w:pPr>
        <w:tabs>
          <w:tab w:val="left" w:pos="3544"/>
          <w:tab w:val="left" w:pos="4678"/>
          <w:tab w:val="left" w:pos="6237"/>
        </w:tabs>
        <w:jc w:val="both"/>
        <w:rPr>
          <w:szCs w:val="22"/>
        </w:rPr>
      </w:pPr>
    </w:p>
    <w:p w:rsidR="00D336F5" w:rsidRPr="0043016B" w:rsidRDefault="00D336F5" w:rsidP="00D336F5">
      <w:pPr>
        <w:tabs>
          <w:tab w:val="left" w:pos="567"/>
        </w:tabs>
        <w:rPr>
          <w:szCs w:val="22"/>
        </w:rPr>
      </w:pPr>
      <w:r w:rsidRPr="0043016B">
        <w:rPr>
          <w:szCs w:val="22"/>
        </w:rPr>
        <w:t>Vaistas tiekiamas kartono dėžutėmis, kuriose yra 12 kietųjų kapsulių lizdinėje plokštelėje.</w:t>
      </w:r>
    </w:p>
    <w:p w:rsidR="00D336F5" w:rsidRPr="0043016B" w:rsidRDefault="00D336F5" w:rsidP="00D336F5">
      <w:pPr>
        <w:pStyle w:val="Pagrindinistekstas"/>
        <w:tabs>
          <w:tab w:val="left" w:pos="3544"/>
          <w:tab w:val="left" w:pos="4678"/>
        </w:tabs>
        <w:spacing w:after="0"/>
        <w:rPr>
          <w:sz w:val="22"/>
          <w:szCs w:val="22"/>
        </w:rPr>
      </w:pPr>
    </w:p>
    <w:p w:rsidR="00D336F5" w:rsidRPr="0043016B" w:rsidRDefault="00D336F5" w:rsidP="00D336F5">
      <w:pPr>
        <w:pStyle w:val="Pagrindinistekstas"/>
        <w:tabs>
          <w:tab w:val="left" w:pos="3544"/>
          <w:tab w:val="left" w:pos="4678"/>
        </w:tabs>
        <w:spacing w:after="0"/>
        <w:rPr>
          <w:b/>
          <w:sz w:val="22"/>
          <w:szCs w:val="22"/>
        </w:rPr>
      </w:pPr>
      <w:r w:rsidRPr="0043016B">
        <w:rPr>
          <w:b/>
          <w:sz w:val="22"/>
          <w:szCs w:val="22"/>
        </w:rPr>
        <w:t>Registruotojas ir gamintojas</w:t>
      </w:r>
    </w:p>
    <w:p w:rsidR="00D336F5" w:rsidRPr="00FF3A91" w:rsidRDefault="00D336F5" w:rsidP="00D336F5">
      <w:pPr>
        <w:rPr>
          <w:szCs w:val="22"/>
        </w:rPr>
      </w:pPr>
      <w:r w:rsidRPr="00FF3A91">
        <w:rPr>
          <w:szCs w:val="22"/>
        </w:rPr>
        <w:t>Sandoz GmbH</w:t>
      </w:r>
    </w:p>
    <w:p w:rsidR="00D336F5" w:rsidRPr="0043016B" w:rsidRDefault="00D336F5" w:rsidP="00D336F5">
      <w:pPr>
        <w:rPr>
          <w:szCs w:val="22"/>
        </w:rPr>
      </w:pPr>
      <w:r w:rsidRPr="0043016B">
        <w:rPr>
          <w:szCs w:val="22"/>
        </w:rPr>
        <w:t>Biochemiestrasse 10, A-6250 Kundl</w:t>
      </w:r>
    </w:p>
    <w:p w:rsidR="00D336F5" w:rsidRPr="0043016B" w:rsidRDefault="00D336F5" w:rsidP="00D336F5">
      <w:pPr>
        <w:pStyle w:val="BTEMEASMCA"/>
        <w:tabs>
          <w:tab w:val="left" w:pos="3544"/>
          <w:tab w:val="left" w:pos="4678"/>
        </w:tabs>
      </w:pPr>
      <w:r w:rsidRPr="0043016B">
        <w:t xml:space="preserve">Austrija </w:t>
      </w:r>
    </w:p>
    <w:p w:rsidR="00D336F5" w:rsidRPr="0043016B" w:rsidRDefault="00D336F5" w:rsidP="00D336F5">
      <w:pPr>
        <w:pStyle w:val="BTEMEASMCA"/>
        <w:tabs>
          <w:tab w:val="left" w:pos="3544"/>
          <w:tab w:val="left" w:pos="4678"/>
        </w:tabs>
      </w:pPr>
    </w:p>
    <w:p w:rsidR="00D336F5" w:rsidRPr="0043016B" w:rsidRDefault="00D336F5" w:rsidP="00D336F5">
      <w:pPr>
        <w:pStyle w:val="Pagrindinistekstas"/>
        <w:spacing w:after="0"/>
        <w:rPr>
          <w:sz w:val="22"/>
          <w:szCs w:val="22"/>
        </w:rPr>
      </w:pPr>
      <w:r w:rsidRPr="0043016B">
        <w:rPr>
          <w:sz w:val="22"/>
          <w:szCs w:val="22"/>
        </w:rPr>
        <w:t>Jeigu apie šį vaistą norite sužinoti daugiau, kreipkitės į vietinį registruotojo atstovą.</w:t>
      </w:r>
    </w:p>
    <w:p w:rsidR="00D336F5" w:rsidRPr="0043016B" w:rsidRDefault="00D336F5" w:rsidP="00D336F5">
      <w:pPr>
        <w:pStyle w:val="Pagrindinistekstas"/>
        <w:spacing w:after="0"/>
        <w:rPr>
          <w:sz w:val="22"/>
          <w:szCs w:val="22"/>
        </w:rPr>
      </w:pPr>
    </w:p>
    <w:p w:rsidR="00D336F5" w:rsidRPr="0043016B" w:rsidRDefault="00D336F5" w:rsidP="00D336F5">
      <w:pPr>
        <w:pStyle w:val="Pagrindinistekstas"/>
        <w:spacing w:after="0"/>
        <w:rPr>
          <w:sz w:val="22"/>
          <w:szCs w:val="22"/>
        </w:rPr>
      </w:pPr>
      <w:r w:rsidRPr="0043016B">
        <w:rPr>
          <w:sz w:val="22"/>
          <w:szCs w:val="22"/>
        </w:rPr>
        <w:t>Sandoz Pharmaceuticals d.d. filialas</w:t>
      </w:r>
    </w:p>
    <w:p w:rsidR="00D336F5" w:rsidRPr="0043016B" w:rsidRDefault="00D336F5" w:rsidP="00D336F5">
      <w:pPr>
        <w:pStyle w:val="Pagrindinistekstas"/>
        <w:spacing w:after="0"/>
        <w:rPr>
          <w:sz w:val="22"/>
          <w:szCs w:val="22"/>
        </w:rPr>
      </w:pPr>
      <w:r w:rsidRPr="0043016B">
        <w:rPr>
          <w:sz w:val="22"/>
          <w:szCs w:val="22"/>
        </w:rPr>
        <w:t>Šeimyniškių 3 A</w:t>
      </w:r>
    </w:p>
    <w:p w:rsidR="00D336F5" w:rsidRPr="0043016B" w:rsidRDefault="00D336F5" w:rsidP="00D336F5">
      <w:pPr>
        <w:pStyle w:val="Pagrindinistekstas"/>
        <w:spacing w:after="0"/>
        <w:rPr>
          <w:sz w:val="22"/>
          <w:szCs w:val="22"/>
        </w:rPr>
      </w:pPr>
      <w:r w:rsidRPr="0043016B">
        <w:rPr>
          <w:sz w:val="22"/>
          <w:szCs w:val="22"/>
        </w:rPr>
        <w:t xml:space="preserve">LT-09319 Vilnius </w:t>
      </w:r>
    </w:p>
    <w:p w:rsidR="00D336F5" w:rsidRPr="0043016B" w:rsidRDefault="00D336F5" w:rsidP="00D336F5">
      <w:pPr>
        <w:pStyle w:val="Pagrindinistekstas"/>
        <w:spacing w:after="0"/>
        <w:rPr>
          <w:sz w:val="22"/>
          <w:szCs w:val="22"/>
        </w:rPr>
      </w:pPr>
      <w:r w:rsidRPr="0043016B">
        <w:rPr>
          <w:sz w:val="22"/>
          <w:szCs w:val="22"/>
        </w:rPr>
        <w:t>Tel.: +370 5 2636037</w:t>
      </w:r>
    </w:p>
    <w:p w:rsidR="00D336F5" w:rsidRPr="0043016B" w:rsidRDefault="00D336F5" w:rsidP="00D336F5">
      <w:pPr>
        <w:pStyle w:val="Pagrindinistekstas"/>
        <w:spacing w:after="0"/>
        <w:rPr>
          <w:sz w:val="22"/>
          <w:szCs w:val="22"/>
        </w:rPr>
      </w:pPr>
      <w:r w:rsidRPr="0043016B">
        <w:rPr>
          <w:sz w:val="22"/>
          <w:szCs w:val="22"/>
        </w:rPr>
        <w:t>El. paštas: info.lithuania@sandoz.com</w:t>
      </w:r>
    </w:p>
    <w:p w:rsidR="00D336F5" w:rsidRPr="0043016B" w:rsidRDefault="00D336F5" w:rsidP="00D336F5">
      <w:pPr>
        <w:pStyle w:val="Pagrindinistekstas"/>
        <w:spacing w:after="0"/>
        <w:rPr>
          <w:sz w:val="22"/>
          <w:szCs w:val="22"/>
        </w:rPr>
      </w:pPr>
    </w:p>
    <w:p w:rsidR="00D336F5" w:rsidRPr="00FF3A91" w:rsidRDefault="00D336F5" w:rsidP="00D336F5">
      <w:pPr>
        <w:pStyle w:val="BTbEMEASMCA"/>
        <w:tabs>
          <w:tab w:val="left" w:pos="3544"/>
          <w:tab w:val="left" w:pos="4678"/>
        </w:tabs>
        <w:rPr>
          <w:b w:val="0"/>
        </w:rPr>
      </w:pPr>
      <w:r w:rsidRPr="00FF3A91">
        <w:rPr>
          <w:bCs/>
        </w:rPr>
        <w:t>Šis pakuotės lapelis</w:t>
      </w:r>
      <w:r w:rsidRPr="00FF3A91">
        <w:t xml:space="preserve"> paskutinį kartą peržiūrėtas </w:t>
      </w:r>
      <w:r>
        <w:t>2022-06-29.</w:t>
      </w:r>
    </w:p>
    <w:p w:rsidR="00D336F5" w:rsidRPr="0043016B" w:rsidRDefault="00D336F5" w:rsidP="00D336F5">
      <w:pPr>
        <w:pStyle w:val="BTEMEASMCA"/>
        <w:tabs>
          <w:tab w:val="left" w:pos="3544"/>
          <w:tab w:val="left" w:pos="4678"/>
        </w:tabs>
      </w:pPr>
    </w:p>
    <w:p w:rsidR="00D336F5" w:rsidRPr="0043016B" w:rsidRDefault="00D336F5" w:rsidP="00D336F5">
      <w:pPr>
        <w:pStyle w:val="Pagrindinistekstas"/>
        <w:tabs>
          <w:tab w:val="left" w:pos="3544"/>
          <w:tab w:val="left" w:pos="4678"/>
          <w:tab w:val="left" w:pos="6237"/>
        </w:tabs>
        <w:spacing w:after="0"/>
        <w:rPr>
          <w:b/>
          <w:sz w:val="22"/>
          <w:szCs w:val="22"/>
        </w:rPr>
      </w:pPr>
    </w:p>
    <w:p w:rsidR="00D336F5" w:rsidRDefault="00D336F5" w:rsidP="00D336F5">
      <w:pPr>
        <w:pStyle w:val="BTEMEASMCA"/>
        <w:tabs>
          <w:tab w:val="left" w:pos="3544"/>
          <w:tab w:val="left" w:pos="4678"/>
        </w:tabs>
        <w:rPr>
          <w:rStyle w:val="Hipersaitas"/>
          <w:rFonts w:eastAsia="MS Gothic"/>
        </w:rPr>
      </w:pPr>
      <w:r w:rsidRPr="00FF3A91">
        <w:rPr>
          <w:noProof w:val="0"/>
        </w:rPr>
        <w:t xml:space="preserve">Išsami informacija apie šį vaistą pateikiama Valstybinės vaistų kontrolės tarnybos prie Lietuvos Respublikos sveikatos apsaugos ministerijos tinklalapyje </w:t>
      </w:r>
      <w:hyperlink r:id="rId8" w:history="1">
        <w:r w:rsidRPr="0043016B">
          <w:rPr>
            <w:rStyle w:val="Hipersaitas"/>
            <w:rFonts w:eastAsia="MS Gothic"/>
          </w:rPr>
          <w:t>http://www.vvkt.lt/</w:t>
        </w:r>
      </w:hyperlink>
    </w:p>
    <w:p w:rsidR="00D336F5" w:rsidRDefault="00D336F5" w:rsidP="00D336F5">
      <w:pPr>
        <w:pStyle w:val="BTEMEASMCA"/>
        <w:tabs>
          <w:tab w:val="left" w:pos="3544"/>
          <w:tab w:val="left" w:pos="4678"/>
        </w:tabs>
        <w:rPr>
          <w:rStyle w:val="Hipersaitas"/>
          <w:rFonts w:eastAsia="MS Gothic"/>
        </w:rPr>
      </w:pPr>
    </w:p>
    <w:p w:rsidR="009041DB" w:rsidRDefault="009041DB">
      <w:bookmarkStart w:id="0" w:name="_GoBack"/>
      <w:bookmarkEnd w:id="0"/>
    </w:p>
    <w:sectPr w:rsidR="009041DB" w:rsidSect="0075399C">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D7BB6"/>
    <w:multiLevelType w:val="hybridMultilevel"/>
    <w:tmpl w:val="DE5AD452"/>
    <w:lvl w:ilvl="0" w:tplc="E7880B66">
      <w:start w:val="1"/>
      <w:numFmt w:val="bullet"/>
      <w:pStyle w:val="BT-EMEASMCA"/>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Symbol"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Symbol"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23C6531"/>
    <w:multiLevelType w:val="hybridMultilevel"/>
    <w:tmpl w:val="8A509B3E"/>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Symbol"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Symbol"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BE26A7C"/>
    <w:multiLevelType w:val="hybridMultilevel"/>
    <w:tmpl w:val="CB727AF0"/>
    <w:lvl w:ilvl="0" w:tplc="04270001">
      <w:start w:val="1"/>
      <w:numFmt w:val="bullet"/>
      <w:lvlText w:val=""/>
      <w:lvlJc w:val="left"/>
      <w:pPr>
        <w:ind w:left="502" w:hanging="360"/>
      </w:pPr>
      <w:rPr>
        <w:rFonts w:ascii="Symbol" w:hAnsi="Symbol" w:hint="default"/>
      </w:rPr>
    </w:lvl>
    <w:lvl w:ilvl="1" w:tplc="04270003" w:tentative="1">
      <w:start w:val="1"/>
      <w:numFmt w:val="bullet"/>
      <w:lvlText w:val="o"/>
      <w:lvlJc w:val="left"/>
      <w:pPr>
        <w:ind w:left="1222" w:hanging="360"/>
      </w:pPr>
      <w:rPr>
        <w:rFonts w:ascii="Courier New" w:hAnsi="Courier New" w:cs="Symbol"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Symbol"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Symbol" w:hint="default"/>
      </w:rPr>
    </w:lvl>
    <w:lvl w:ilvl="8" w:tplc="04270005" w:tentative="1">
      <w:start w:val="1"/>
      <w:numFmt w:val="bullet"/>
      <w:lvlText w:val=""/>
      <w:lvlJc w:val="left"/>
      <w:pPr>
        <w:ind w:left="6262" w:hanging="360"/>
      </w:pPr>
      <w:rPr>
        <w:rFonts w:ascii="Wingdings" w:hAnsi="Wingdings" w:hint="default"/>
      </w:rPr>
    </w:lvl>
  </w:abstractNum>
  <w:abstractNum w:abstractNumId="3" w15:restartNumberingAfterBreak="0">
    <w:nsid w:val="60A01302"/>
    <w:multiLevelType w:val="hybridMultilevel"/>
    <w:tmpl w:val="51382EC0"/>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Symbol"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Symbol"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FBC250E"/>
    <w:multiLevelType w:val="hybridMultilevel"/>
    <w:tmpl w:val="873CA906"/>
    <w:lvl w:ilvl="0" w:tplc="591AAC16">
      <w:start w:val="1"/>
      <w:numFmt w:val="bullet"/>
      <w:lvlText w:val="-"/>
      <w:lvlJc w:val="left"/>
      <w:pPr>
        <w:tabs>
          <w:tab w:val="num" w:pos="567"/>
        </w:tabs>
        <w:ind w:left="567" w:hanging="567"/>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Symbol"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Symbol"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Symbol"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6F5"/>
    <w:rsid w:val="00234094"/>
    <w:rsid w:val="002A211A"/>
    <w:rsid w:val="009041DB"/>
    <w:rsid w:val="00975D35"/>
    <w:rsid w:val="00D336F5"/>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8B7D72-BB93-4E4E-B671-A783F5768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336F5"/>
    <w:pPr>
      <w:spacing w:after="0" w:line="240" w:lineRule="auto"/>
    </w:pPr>
    <w:rPr>
      <w:rFonts w:ascii="Times New Roman" w:hAnsi="Times New Roman" w:cs="Times New Roman"/>
      <w:szCs w:val="20"/>
      <w:lang w:eastAsia="lt-LT"/>
    </w:rPr>
  </w:style>
  <w:style w:type="paragraph" w:styleId="Antrat1">
    <w:name w:val="heading 1"/>
    <w:basedOn w:val="prastasis"/>
    <w:next w:val="prastasis"/>
    <w:link w:val="Antrat1Diagrama"/>
    <w:uiPriority w:val="9"/>
    <w:qFormat/>
    <w:rsid w:val="00D336F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4">
    <w:name w:val="heading 4"/>
    <w:basedOn w:val="prastasis"/>
    <w:next w:val="prastasis"/>
    <w:link w:val="Antrat4Diagrama"/>
    <w:qFormat/>
    <w:rsid w:val="00D336F5"/>
    <w:pPr>
      <w:keepNext/>
      <w:jc w:val="both"/>
      <w:outlineLvl w:val="3"/>
    </w:pPr>
    <w:rPr>
      <w:sz w:val="20"/>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rsid w:val="00D336F5"/>
    <w:rPr>
      <w:rFonts w:ascii="Times New Roman" w:hAnsi="Times New Roman" w:cs="Times New Roman"/>
      <w:sz w:val="20"/>
      <w:szCs w:val="20"/>
      <w:u w:val="single"/>
      <w:lang w:eastAsia="lt-LT"/>
    </w:rPr>
  </w:style>
  <w:style w:type="character" w:styleId="Hipersaitas">
    <w:name w:val="Hyperlink"/>
    <w:uiPriority w:val="99"/>
    <w:unhideWhenUsed/>
    <w:rsid w:val="00D336F5"/>
    <w:rPr>
      <w:color w:val="0000FF"/>
      <w:u w:val="single"/>
    </w:rPr>
  </w:style>
  <w:style w:type="paragraph" w:styleId="Pagrindinistekstas">
    <w:name w:val="Body Text"/>
    <w:basedOn w:val="prastasis"/>
    <w:link w:val="PagrindinistekstasDiagrama"/>
    <w:unhideWhenUsed/>
    <w:rsid w:val="00D336F5"/>
    <w:pPr>
      <w:spacing w:after="120"/>
    </w:pPr>
    <w:rPr>
      <w:sz w:val="20"/>
    </w:rPr>
  </w:style>
  <w:style w:type="character" w:customStyle="1" w:styleId="PagrindinistekstasDiagrama">
    <w:name w:val="Pagrindinis tekstas Diagrama"/>
    <w:basedOn w:val="Numatytasispastraiposriftas"/>
    <w:link w:val="Pagrindinistekstas"/>
    <w:rsid w:val="00D336F5"/>
    <w:rPr>
      <w:rFonts w:ascii="Times New Roman" w:hAnsi="Times New Roman" w:cs="Times New Roman"/>
      <w:sz w:val="20"/>
      <w:szCs w:val="20"/>
      <w:lang w:eastAsia="lt-LT"/>
    </w:rPr>
  </w:style>
  <w:style w:type="paragraph" w:customStyle="1" w:styleId="BTEMEASMCA">
    <w:name w:val="BT EMEA_SMCA"/>
    <w:basedOn w:val="prastasis"/>
    <w:autoRedefine/>
    <w:rsid w:val="00D336F5"/>
    <w:rPr>
      <w:noProof/>
      <w:szCs w:val="22"/>
      <w:lang w:eastAsia="en-US"/>
    </w:rPr>
  </w:style>
  <w:style w:type="paragraph" w:customStyle="1" w:styleId="TTEMEASMCA">
    <w:name w:val="TT EMEA_SMCA"/>
    <w:basedOn w:val="Antrat1"/>
    <w:autoRedefine/>
    <w:rsid w:val="00D336F5"/>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en-US" w:eastAsia="en-US"/>
    </w:rPr>
  </w:style>
  <w:style w:type="paragraph" w:customStyle="1" w:styleId="BTbEMEASMCA">
    <w:name w:val="BT(b) EMEA_SMCA"/>
    <w:basedOn w:val="BTEMEASMCA"/>
    <w:autoRedefine/>
    <w:rsid w:val="00D336F5"/>
    <w:rPr>
      <w:b/>
      <w:noProof w:val="0"/>
    </w:rPr>
  </w:style>
  <w:style w:type="paragraph" w:customStyle="1" w:styleId="PI-3EMEASMCA">
    <w:name w:val="PI-3 EMEA_SMCA"/>
    <w:basedOn w:val="prastasis"/>
    <w:autoRedefine/>
    <w:rsid w:val="00D336F5"/>
    <w:pPr>
      <w:spacing w:line="220" w:lineRule="exact"/>
    </w:pPr>
    <w:rPr>
      <w:b/>
      <w:bCs/>
      <w:szCs w:val="22"/>
      <w:lang w:eastAsia="en-US"/>
    </w:rPr>
  </w:style>
  <w:style w:type="paragraph" w:customStyle="1" w:styleId="BT-EMEASMCA">
    <w:name w:val="BT- EMEA_SMCA"/>
    <w:basedOn w:val="BTEMEASMCA"/>
    <w:autoRedefine/>
    <w:rsid w:val="00D336F5"/>
    <w:pPr>
      <w:numPr>
        <w:numId w:val="5"/>
      </w:numPr>
      <w:ind w:left="0" w:firstLine="0"/>
    </w:pPr>
  </w:style>
  <w:style w:type="paragraph" w:customStyle="1" w:styleId="MediumGrid1-Accent21">
    <w:name w:val="Medium Grid 1 - Accent 21"/>
    <w:basedOn w:val="prastasis"/>
    <w:uiPriority w:val="34"/>
    <w:qFormat/>
    <w:rsid w:val="00D336F5"/>
    <w:pPr>
      <w:ind w:left="720"/>
      <w:contextualSpacing/>
    </w:pPr>
  </w:style>
  <w:style w:type="character" w:customStyle="1" w:styleId="Antrat1Diagrama">
    <w:name w:val="Antraštė 1 Diagrama"/>
    <w:basedOn w:val="Numatytasispastraiposriftas"/>
    <w:link w:val="Antrat1"/>
    <w:uiPriority w:val="9"/>
    <w:rsid w:val="00D336F5"/>
    <w:rPr>
      <w:rFonts w:asciiTheme="majorHAnsi" w:eastAsiaTheme="majorEastAsia" w:hAnsiTheme="majorHAnsi" w:cstheme="majorBidi"/>
      <w:color w:val="2E74B5" w:themeColor="accent1" w:themeShade="BF"/>
      <w:sz w:val="32"/>
      <w:szCs w:val="3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9451</Words>
  <Characters>5388</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2022-06-29T10:47:00Z</dcterms:created>
  <dcterms:modified xsi:type="dcterms:W3CDTF">2022-06-29T10:48:00Z</dcterms:modified>
</cp:coreProperties>
</file>