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2004" w14:textId="77777777" w:rsidR="00D25008" w:rsidRDefault="00D25008">
      <w:pPr>
        <w:ind w:left="567" w:hanging="567"/>
      </w:pPr>
    </w:p>
    <w:p w14:paraId="0C512A00" w14:textId="77777777" w:rsidR="00D25008" w:rsidRDefault="00D25008">
      <w:pPr>
        <w:ind w:left="567" w:hanging="567"/>
      </w:pPr>
    </w:p>
    <w:p w14:paraId="20C4EEBC" w14:textId="77777777" w:rsidR="00D25008" w:rsidRDefault="00D25008">
      <w:pPr>
        <w:ind w:left="567" w:hanging="567"/>
      </w:pPr>
    </w:p>
    <w:p w14:paraId="3E0766A2" w14:textId="77777777" w:rsidR="00D25008" w:rsidRDefault="00D25008">
      <w:pPr>
        <w:ind w:left="567" w:hanging="567"/>
      </w:pPr>
    </w:p>
    <w:p w14:paraId="3CF92181" w14:textId="77777777" w:rsidR="00D25008" w:rsidRDefault="00D25008">
      <w:pPr>
        <w:ind w:left="567" w:hanging="567"/>
      </w:pPr>
    </w:p>
    <w:p w14:paraId="3C8724BC" w14:textId="77777777" w:rsidR="00D25008" w:rsidRDefault="00D25008">
      <w:pPr>
        <w:ind w:left="567" w:hanging="567"/>
      </w:pPr>
    </w:p>
    <w:p w14:paraId="27991617" w14:textId="77777777" w:rsidR="00D25008" w:rsidRDefault="00D25008">
      <w:pPr>
        <w:ind w:left="567" w:hanging="567"/>
      </w:pPr>
    </w:p>
    <w:p w14:paraId="36F1495F" w14:textId="77777777" w:rsidR="00D25008" w:rsidRDefault="00D25008">
      <w:pPr>
        <w:ind w:left="567" w:hanging="567"/>
      </w:pPr>
    </w:p>
    <w:p w14:paraId="61989342" w14:textId="77777777" w:rsidR="00D25008" w:rsidRDefault="00D25008">
      <w:pPr>
        <w:ind w:left="567" w:hanging="567"/>
      </w:pPr>
    </w:p>
    <w:p w14:paraId="35562B56" w14:textId="77777777" w:rsidR="00D25008" w:rsidRDefault="00D25008">
      <w:pPr>
        <w:ind w:left="567" w:hanging="567"/>
      </w:pPr>
    </w:p>
    <w:p w14:paraId="45C94C59" w14:textId="77777777" w:rsidR="00D25008" w:rsidRDefault="00D25008">
      <w:pPr>
        <w:ind w:left="567" w:hanging="567"/>
      </w:pPr>
    </w:p>
    <w:p w14:paraId="5682BE75" w14:textId="77777777" w:rsidR="00D25008" w:rsidRDefault="00D25008">
      <w:pPr>
        <w:ind w:left="567" w:hanging="567"/>
      </w:pPr>
    </w:p>
    <w:p w14:paraId="70D17D52" w14:textId="77777777" w:rsidR="00D25008" w:rsidRDefault="00D25008">
      <w:pPr>
        <w:ind w:left="567" w:hanging="567"/>
      </w:pPr>
    </w:p>
    <w:p w14:paraId="2FC1A56E" w14:textId="77777777" w:rsidR="00D25008" w:rsidRDefault="00D25008">
      <w:pPr>
        <w:ind w:left="567" w:hanging="567"/>
      </w:pPr>
    </w:p>
    <w:p w14:paraId="32F44381" w14:textId="77777777" w:rsidR="00D25008" w:rsidRDefault="00D25008">
      <w:pPr>
        <w:ind w:left="567" w:hanging="567"/>
      </w:pPr>
    </w:p>
    <w:p w14:paraId="5FCE7DD5" w14:textId="77777777" w:rsidR="00D25008" w:rsidRDefault="00D25008">
      <w:pPr>
        <w:ind w:left="567" w:hanging="567"/>
      </w:pPr>
    </w:p>
    <w:p w14:paraId="0FBE49A5" w14:textId="77777777" w:rsidR="00D25008" w:rsidRDefault="00D25008">
      <w:pPr>
        <w:ind w:left="567" w:hanging="567"/>
      </w:pPr>
    </w:p>
    <w:p w14:paraId="121BFCAF" w14:textId="77777777" w:rsidR="00D25008" w:rsidRDefault="00D25008">
      <w:pPr>
        <w:ind w:left="567" w:hanging="567"/>
      </w:pPr>
    </w:p>
    <w:p w14:paraId="56B992D3" w14:textId="77777777" w:rsidR="00D25008" w:rsidRDefault="00D25008">
      <w:pPr>
        <w:ind w:left="567" w:hanging="567"/>
      </w:pPr>
    </w:p>
    <w:p w14:paraId="28428CE8" w14:textId="77777777" w:rsidR="00D25008" w:rsidRDefault="00D25008">
      <w:pPr>
        <w:ind w:left="567" w:hanging="567"/>
      </w:pPr>
    </w:p>
    <w:p w14:paraId="1C247B79" w14:textId="77777777" w:rsidR="00D25008" w:rsidRDefault="00D25008">
      <w:pPr>
        <w:ind w:left="567" w:hanging="567"/>
      </w:pPr>
    </w:p>
    <w:p w14:paraId="3EA1869B" w14:textId="77777777" w:rsidR="00D25008" w:rsidRDefault="00D25008">
      <w:pPr>
        <w:pStyle w:val="Antrat2"/>
        <w:spacing w:before="0" w:after="0" w:line="240" w:lineRule="auto"/>
        <w:jc w:val="center"/>
        <w:rPr>
          <w:rFonts w:ascii="Times New Roman" w:hAnsi="Times New Roman"/>
          <w:i w:val="0"/>
          <w:lang w:val="lt-LT"/>
        </w:rPr>
      </w:pPr>
    </w:p>
    <w:p w14:paraId="55B5C43F" w14:textId="77777777" w:rsidR="00D25008" w:rsidRDefault="00D25008">
      <w:pPr>
        <w:pStyle w:val="Antrat2"/>
        <w:spacing w:before="0" w:after="0" w:line="240" w:lineRule="auto"/>
        <w:jc w:val="center"/>
        <w:rPr>
          <w:rFonts w:ascii="Times New Roman" w:hAnsi="Times New Roman"/>
          <w:i w:val="0"/>
          <w:lang w:val="lt-LT"/>
        </w:rPr>
      </w:pPr>
    </w:p>
    <w:p w14:paraId="393679DB" w14:textId="77777777" w:rsidR="00D25008" w:rsidRDefault="00FE2A61">
      <w:pPr>
        <w:pStyle w:val="Antrat2"/>
        <w:spacing w:before="0" w:after="0" w:line="240" w:lineRule="auto"/>
        <w:jc w:val="center"/>
        <w:rPr>
          <w:rFonts w:ascii="Times New Roman" w:hAnsi="Times New Roman"/>
          <w:bCs/>
          <w:i w:val="0"/>
          <w:iCs/>
          <w:szCs w:val="24"/>
          <w:lang w:val="lt-LT"/>
        </w:rPr>
      </w:pPr>
      <w:r>
        <w:rPr>
          <w:rFonts w:ascii="Times New Roman" w:hAnsi="Times New Roman"/>
          <w:i w:val="0"/>
          <w:lang w:val="lt-LT"/>
        </w:rPr>
        <w:t>I PRIEDAS</w:t>
      </w:r>
    </w:p>
    <w:p w14:paraId="79ED9FA5" w14:textId="77777777" w:rsidR="00D25008" w:rsidRDefault="00D25008">
      <w:pPr>
        <w:ind w:left="567" w:hanging="567"/>
      </w:pPr>
    </w:p>
    <w:p w14:paraId="2C127C05" w14:textId="77777777" w:rsidR="00D25008" w:rsidRDefault="00FE2A61">
      <w:pPr>
        <w:ind w:left="567" w:hanging="567"/>
        <w:jc w:val="center"/>
      </w:pPr>
      <w:r>
        <w:rPr>
          <w:b/>
          <w:bCs/>
        </w:rPr>
        <w:t>PREPARATO CHARAKTERISTIKŲ SANTRAUKA</w:t>
      </w:r>
    </w:p>
    <w:p w14:paraId="5C2CA80D" w14:textId="77777777" w:rsidR="00D25008" w:rsidRDefault="00FE2A61">
      <w:pPr>
        <w:rPr>
          <w:szCs w:val="22"/>
        </w:rPr>
      </w:pPr>
      <w:r>
        <w:br w:type="page"/>
      </w:r>
    </w:p>
    <w:p w14:paraId="3837EB91" w14:textId="77777777" w:rsidR="00D25008" w:rsidRDefault="00FE2A61">
      <w:pPr>
        <w:ind w:left="567" w:hanging="567"/>
        <w:rPr>
          <w:b/>
        </w:rPr>
      </w:pPr>
      <w:r>
        <w:rPr>
          <w:b/>
        </w:rPr>
        <w:lastRenderedPageBreak/>
        <w:t>1.</w:t>
      </w:r>
      <w:r>
        <w:rPr>
          <w:b/>
        </w:rPr>
        <w:tab/>
      </w:r>
      <w:r>
        <w:rPr>
          <w:b/>
          <w:caps/>
        </w:rPr>
        <w:t>VAISTINIO</w:t>
      </w:r>
      <w:r>
        <w:rPr>
          <w:b/>
        </w:rPr>
        <w:t xml:space="preserve"> PREPARATO PAVADINIMAS</w:t>
      </w:r>
    </w:p>
    <w:p w14:paraId="5454E248" w14:textId="77777777" w:rsidR="00D25008" w:rsidRDefault="00D25008">
      <w:pPr>
        <w:ind w:left="567" w:hanging="567"/>
      </w:pPr>
    </w:p>
    <w:p w14:paraId="5779BE5E" w14:textId="77777777" w:rsidR="00D25008" w:rsidRDefault="00FE2A61">
      <w:pPr>
        <w:widowControl w:val="0"/>
        <w:tabs>
          <w:tab w:val="left" w:pos="567"/>
        </w:tabs>
        <w:rPr>
          <w:noProof/>
          <w:szCs w:val="22"/>
        </w:rPr>
      </w:pPr>
      <w:r>
        <w:rPr>
          <w:noProof/>
          <w:szCs w:val="22"/>
        </w:rPr>
        <w:t>Tolvecom 40 mg/5 mg/12,5 mg tabletės</w:t>
      </w:r>
    </w:p>
    <w:p w14:paraId="748910A9" w14:textId="77777777" w:rsidR="00D25008" w:rsidRDefault="00FE2A61">
      <w:pPr>
        <w:widowControl w:val="0"/>
        <w:tabs>
          <w:tab w:val="left" w:pos="567"/>
        </w:tabs>
        <w:rPr>
          <w:noProof/>
          <w:szCs w:val="22"/>
        </w:rPr>
      </w:pPr>
      <w:r>
        <w:rPr>
          <w:noProof/>
          <w:szCs w:val="22"/>
        </w:rPr>
        <w:t>Tolvecom 80 mg/5 mg/12,5 mg tabletės</w:t>
      </w:r>
    </w:p>
    <w:p w14:paraId="49510E8B" w14:textId="77777777" w:rsidR="00D25008" w:rsidRDefault="00FE2A61">
      <w:pPr>
        <w:widowControl w:val="0"/>
        <w:tabs>
          <w:tab w:val="left" w:pos="567"/>
        </w:tabs>
        <w:rPr>
          <w:noProof/>
          <w:szCs w:val="22"/>
        </w:rPr>
      </w:pPr>
      <w:r>
        <w:rPr>
          <w:noProof/>
          <w:szCs w:val="22"/>
        </w:rPr>
        <w:t>Tolvecom 80 mg/10 mg/12,5 mg tabletės</w:t>
      </w:r>
    </w:p>
    <w:p w14:paraId="45A7BABF" w14:textId="77777777" w:rsidR="00D25008" w:rsidRDefault="00FE2A61">
      <w:pPr>
        <w:widowControl w:val="0"/>
        <w:tabs>
          <w:tab w:val="left" w:pos="567"/>
        </w:tabs>
        <w:rPr>
          <w:noProof/>
          <w:szCs w:val="22"/>
        </w:rPr>
      </w:pPr>
      <w:r>
        <w:rPr>
          <w:noProof/>
          <w:szCs w:val="22"/>
        </w:rPr>
        <w:t>Tolvecom 80 mg/10 mg/25 mg tabletės</w:t>
      </w:r>
    </w:p>
    <w:p w14:paraId="4EB3F978" w14:textId="77777777" w:rsidR="00D25008" w:rsidRDefault="00D25008">
      <w:pPr>
        <w:ind w:left="567" w:hanging="567"/>
      </w:pPr>
    </w:p>
    <w:p w14:paraId="69764064" w14:textId="77777777" w:rsidR="00D25008" w:rsidRDefault="00D25008">
      <w:pPr>
        <w:ind w:left="567" w:hanging="567"/>
      </w:pPr>
    </w:p>
    <w:p w14:paraId="78912753" w14:textId="77777777" w:rsidR="00D25008" w:rsidRDefault="00FE2A61">
      <w:pPr>
        <w:ind w:left="567" w:hanging="567"/>
        <w:rPr>
          <w:b/>
          <w:caps/>
        </w:rPr>
      </w:pPr>
      <w:r>
        <w:rPr>
          <w:b/>
          <w:caps/>
        </w:rPr>
        <w:t>2.</w:t>
      </w:r>
      <w:r>
        <w:rPr>
          <w:b/>
          <w:caps/>
        </w:rPr>
        <w:tab/>
        <w:t>kokybinė ir kiekybinė sudėtis</w:t>
      </w:r>
    </w:p>
    <w:p w14:paraId="739E83AD" w14:textId="77777777" w:rsidR="00D25008" w:rsidRDefault="00D25008"/>
    <w:p w14:paraId="232E6CAD" w14:textId="77777777" w:rsidR="00D25008" w:rsidRDefault="00FE2A61">
      <w:pPr>
        <w:widowControl w:val="0"/>
        <w:tabs>
          <w:tab w:val="left" w:pos="567"/>
        </w:tabs>
        <w:rPr>
          <w:i/>
          <w:iCs/>
          <w:noProof/>
          <w:szCs w:val="22"/>
          <w:u w:val="single"/>
        </w:rPr>
      </w:pPr>
      <w:bookmarkStart w:id="0" w:name="_Hlk152757901"/>
      <w:r>
        <w:rPr>
          <w:i/>
          <w:iCs/>
          <w:noProof/>
          <w:szCs w:val="22"/>
          <w:u w:val="single"/>
        </w:rPr>
        <w:t>Tolvecom 40 mg/5 mg/12,5 mg tabletės</w:t>
      </w:r>
    </w:p>
    <w:p w14:paraId="470BE0D2" w14:textId="77777777" w:rsidR="00D25008" w:rsidRDefault="00FE2A61">
      <w:pPr>
        <w:widowControl w:val="0"/>
        <w:tabs>
          <w:tab w:val="left" w:pos="567"/>
        </w:tabs>
        <w:rPr>
          <w:noProof/>
          <w:szCs w:val="22"/>
        </w:rPr>
      </w:pPr>
      <w:bookmarkStart w:id="1" w:name="_Hlk151641572"/>
      <w:r>
        <w:rPr>
          <w:noProof/>
          <w:szCs w:val="22"/>
        </w:rPr>
        <w:t xml:space="preserve">Kiekvienoje tabletėje yra 40 mg telmisartano, 5 mg amlodipino (besilato pavidalu) ir 12,5 mg </w:t>
      </w:r>
      <w:proofErr w:type="spellStart"/>
      <w:r>
        <w:rPr>
          <w:rFonts w:eastAsia="TimesNewRoman"/>
          <w:szCs w:val="22"/>
          <w:lang w:eastAsia="lt-LT"/>
        </w:rPr>
        <w:t>hidrochlorotiazido</w:t>
      </w:r>
      <w:bookmarkEnd w:id="1"/>
      <w:proofErr w:type="spellEnd"/>
      <w:r>
        <w:rPr>
          <w:rFonts w:eastAsia="TimesNewRoman"/>
          <w:szCs w:val="22"/>
          <w:lang w:eastAsia="lt-LT"/>
        </w:rPr>
        <w:t>.</w:t>
      </w:r>
    </w:p>
    <w:p w14:paraId="2DBCA611" w14:textId="77777777" w:rsidR="00D25008" w:rsidRDefault="00FE2A61">
      <w:pPr>
        <w:widowControl w:val="0"/>
        <w:tabs>
          <w:tab w:val="left" w:pos="567"/>
        </w:tabs>
        <w:rPr>
          <w:i/>
          <w:iCs/>
          <w:noProof/>
          <w:szCs w:val="22"/>
          <w:u w:val="single"/>
        </w:rPr>
      </w:pPr>
      <w:r>
        <w:rPr>
          <w:i/>
          <w:iCs/>
          <w:noProof/>
          <w:szCs w:val="22"/>
          <w:u w:val="single"/>
        </w:rPr>
        <w:t>Tolvecom 80 mg/5 mg/12,5 mg tabletės</w:t>
      </w:r>
    </w:p>
    <w:p w14:paraId="393BA27B" w14:textId="77777777" w:rsidR="00D25008" w:rsidRDefault="00FE2A61">
      <w:pPr>
        <w:widowControl w:val="0"/>
        <w:tabs>
          <w:tab w:val="left" w:pos="567"/>
        </w:tabs>
        <w:rPr>
          <w:noProof/>
          <w:szCs w:val="22"/>
        </w:rPr>
      </w:pPr>
      <w:r>
        <w:rPr>
          <w:noProof/>
          <w:szCs w:val="22"/>
        </w:rPr>
        <w:t xml:space="preserve">Kiekvienoje tabletėje yra 80 mg telmisartano, 5 mg amlodipino (besilato pavidalu) ir 12,5 mg </w:t>
      </w:r>
      <w:proofErr w:type="spellStart"/>
      <w:r>
        <w:rPr>
          <w:rFonts w:eastAsia="TimesNewRoman"/>
          <w:szCs w:val="22"/>
          <w:lang w:eastAsia="lt-LT"/>
        </w:rPr>
        <w:t>hidrochlorotiazido</w:t>
      </w:r>
      <w:proofErr w:type="spellEnd"/>
      <w:r>
        <w:rPr>
          <w:rFonts w:eastAsia="TimesNewRoman"/>
          <w:szCs w:val="22"/>
          <w:lang w:eastAsia="lt-LT"/>
        </w:rPr>
        <w:t>.</w:t>
      </w:r>
    </w:p>
    <w:p w14:paraId="3FD52D63" w14:textId="77777777" w:rsidR="00D25008" w:rsidRDefault="00FE2A61">
      <w:pPr>
        <w:widowControl w:val="0"/>
        <w:tabs>
          <w:tab w:val="left" w:pos="567"/>
        </w:tabs>
        <w:rPr>
          <w:i/>
          <w:iCs/>
          <w:noProof/>
          <w:szCs w:val="22"/>
          <w:u w:val="single"/>
        </w:rPr>
      </w:pPr>
      <w:r>
        <w:rPr>
          <w:i/>
          <w:iCs/>
          <w:noProof/>
          <w:szCs w:val="22"/>
          <w:u w:val="single"/>
        </w:rPr>
        <w:t>Tolvecom 80 mg/10 mg/12,5 mg tabletės</w:t>
      </w:r>
    </w:p>
    <w:p w14:paraId="703B0D99" w14:textId="77777777" w:rsidR="00D25008" w:rsidRDefault="00FE2A61">
      <w:pPr>
        <w:widowControl w:val="0"/>
        <w:tabs>
          <w:tab w:val="left" w:pos="567"/>
        </w:tabs>
        <w:rPr>
          <w:noProof/>
          <w:szCs w:val="22"/>
        </w:rPr>
      </w:pPr>
      <w:r>
        <w:rPr>
          <w:noProof/>
          <w:szCs w:val="22"/>
        </w:rPr>
        <w:t xml:space="preserve">Kiekvienoje tabletėje yra 80 mg telmisartano, 10 mg amlodipino (besilato pavidalu) ir 12,5 mg </w:t>
      </w:r>
      <w:proofErr w:type="spellStart"/>
      <w:r>
        <w:rPr>
          <w:rFonts w:eastAsia="TimesNewRoman"/>
          <w:szCs w:val="22"/>
          <w:lang w:eastAsia="lt-LT"/>
        </w:rPr>
        <w:t>hidrochlorotiazido</w:t>
      </w:r>
      <w:proofErr w:type="spellEnd"/>
      <w:r>
        <w:rPr>
          <w:rFonts w:eastAsia="TimesNewRoman"/>
          <w:szCs w:val="22"/>
          <w:lang w:eastAsia="lt-LT"/>
        </w:rPr>
        <w:t>.</w:t>
      </w:r>
    </w:p>
    <w:p w14:paraId="2485903C" w14:textId="77777777" w:rsidR="00D25008" w:rsidRDefault="00FE2A61">
      <w:pPr>
        <w:widowControl w:val="0"/>
        <w:tabs>
          <w:tab w:val="left" w:pos="567"/>
        </w:tabs>
        <w:rPr>
          <w:i/>
          <w:iCs/>
          <w:noProof/>
          <w:szCs w:val="22"/>
          <w:u w:val="single"/>
        </w:rPr>
      </w:pPr>
      <w:r>
        <w:rPr>
          <w:i/>
          <w:iCs/>
          <w:noProof/>
          <w:szCs w:val="22"/>
          <w:u w:val="single"/>
        </w:rPr>
        <w:t>Tolvecom 80 mg/10 mg/25 mg tabletės</w:t>
      </w:r>
    </w:p>
    <w:p w14:paraId="32FB05C5" w14:textId="77777777" w:rsidR="00D25008" w:rsidRDefault="00FE2A61">
      <w:pPr>
        <w:widowControl w:val="0"/>
        <w:tabs>
          <w:tab w:val="left" w:pos="567"/>
        </w:tabs>
        <w:rPr>
          <w:noProof/>
          <w:szCs w:val="22"/>
        </w:rPr>
      </w:pPr>
      <w:r>
        <w:rPr>
          <w:noProof/>
          <w:szCs w:val="22"/>
        </w:rPr>
        <w:t xml:space="preserve">Kiekvienoje tabletėje yra 80 mg telmisartano, 10 mg amlodipino (besilato pavidalu) ir 25 mg </w:t>
      </w:r>
      <w:proofErr w:type="spellStart"/>
      <w:r>
        <w:rPr>
          <w:rFonts w:eastAsia="TimesNewRoman"/>
          <w:szCs w:val="22"/>
          <w:lang w:eastAsia="lt-LT"/>
        </w:rPr>
        <w:t>hidrochlorotiazido</w:t>
      </w:r>
      <w:proofErr w:type="spellEnd"/>
      <w:r>
        <w:rPr>
          <w:rFonts w:eastAsia="TimesNewRoman"/>
          <w:szCs w:val="22"/>
          <w:lang w:eastAsia="lt-LT"/>
        </w:rPr>
        <w:t>.</w:t>
      </w:r>
    </w:p>
    <w:bookmarkEnd w:id="0"/>
    <w:p w14:paraId="63192457" w14:textId="77777777" w:rsidR="00D25008" w:rsidRDefault="00D25008"/>
    <w:p w14:paraId="56940C46" w14:textId="77777777" w:rsidR="00D25008" w:rsidRDefault="00FE2A61">
      <w:pPr>
        <w:rPr>
          <w:u w:val="single"/>
        </w:rPr>
      </w:pPr>
      <w:r>
        <w:rPr>
          <w:u w:val="single"/>
        </w:rPr>
        <w:t>Pagalbinės medžiagos, kurių poveikis žinomas:</w:t>
      </w:r>
      <w:r>
        <w:t xml:space="preserve"> laktozė.</w:t>
      </w:r>
    </w:p>
    <w:p w14:paraId="08A7BE23" w14:textId="77777777" w:rsidR="00D25008" w:rsidRDefault="00FE2A61">
      <w:r>
        <w:t xml:space="preserve">Kiekvienoje </w:t>
      </w:r>
      <w:r>
        <w:rPr>
          <w:noProof/>
          <w:szCs w:val="22"/>
        </w:rPr>
        <w:t xml:space="preserve">40 mg/5 mg/12,5 mg </w:t>
      </w:r>
      <w:r>
        <w:t>tabletėje yra 54,3 mg laktozės.</w:t>
      </w:r>
    </w:p>
    <w:p w14:paraId="2635FCFD" w14:textId="77777777" w:rsidR="00D25008" w:rsidRDefault="00FE2A61">
      <w:r>
        <w:t xml:space="preserve">Kiekvienoje </w:t>
      </w:r>
      <w:r>
        <w:rPr>
          <w:noProof/>
          <w:szCs w:val="22"/>
        </w:rPr>
        <w:t xml:space="preserve">80 mg/5 mg/12,5 mg </w:t>
      </w:r>
      <w:r>
        <w:t>tabletėje yra 108,7 mg laktozės.</w:t>
      </w:r>
    </w:p>
    <w:p w14:paraId="00373933" w14:textId="77777777" w:rsidR="00D25008" w:rsidRDefault="00FE2A61">
      <w:r>
        <w:t xml:space="preserve">Kiekvienoje </w:t>
      </w:r>
      <w:r>
        <w:rPr>
          <w:noProof/>
          <w:szCs w:val="22"/>
        </w:rPr>
        <w:t xml:space="preserve">80 mg/10 mg/12,5 mg </w:t>
      </w:r>
      <w:r>
        <w:t>tabletėje yra 108,7 mg laktozės.</w:t>
      </w:r>
    </w:p>
    <w:p w14:paraId="619A1159" w14:textId="77777777" w:rsidR="00D25008" w:rsidRDefault="00FE2A61">
      <w:r>
        <w:t xml:space="preserve">Kiekvienoje </w:t>
      </w:r>
      <w:r>
        <w:rPr>
          <w:noProof/>
          <w:szCs w:val="22"/>
        </w:rPr>
        <w:t xml:space="preserve">80 mg/10 mg/25 mg </w:t>
      </w:r>
      <w:r>
        <w:t>tabletėje yra 108,7 mg laktozės.</w:t>
      </w:r>
    </w:p>
    <w:p w14:paraId="6E986988" w14:textId="77777777" w:rsidR="00D25008" w:rsidRDefault="00D25008"/>
    <w:p w14:paraId="68158BB4" w14:textId="77777777" w:rsidR="00D25008" w:rsidRDefault="00FE2A61">
      <w:r>
        <w:t>Visos pagalbinės medžiagos išvardytos 6.1 skyriuje.</w:t>
      </w:r>
    </w:p>
    <w:p w14:paraId="1D9D57A0" w14:textId="77777777" w:rsidR="00D25008" w:rsidRDefault="00D25008">
      <w:pPr>
        <w:ind w:left="567" w:hanging="567"/>
      </w:pPr>
    </w:p>
    <w:p w14:paraId="383769CB" w14:textId="77777777" w:rsidR="00D25008" w:rsidRDefault="00D25008">
      <w:pPr>
        <w:ind w:left="567" w:hanging="567"/>
      </w:pPr>
    </w:p>
    <w:p w14:paraId="40E27453" w14:textId="77777777" w:rsidR="00D25008" w:rsidRDefault="00FE2A61">
      <w:pPr>
        <w:ind w:left="567" w:hanging="567"/>
        <w:rPr>
          <w:b/>
          <w:caps/>
        </w:rPr>
      </w:pPr>
      <w:r>
        <w:rPr>
          <w:b/>
          <w:caps/>
        </w:rPr>
        <w:t>3.</w:t>
      </w:r>
      <w:r>
        <w:rPr>
          <w:b/>
          <w:caps/>
        </w:rPr>
        <w:tab/>
      </w:r>
      <w:r>
        <w:rPr>
          <w:b/>
          <w:caps/>
          <w:noProof/>
        </w:rPr>
        <w:t>FARMACINĖ</w:t>
      </w:r>
      <w:r>
        <w:rPr>
          <w:b/>
          <w:caps/>
        </w:rPr>
        <w:t xml:space="preserve"> forma</w:t>
      </w:r>
    </w:p>
    <w:p w14:paraId="4A957D5A" w14:textId="77777777" w:rsidR="00D25008" w:rsidRDefault="00D25008">
      <w:pPr>
        <w:rPr>
          <w:highlight w:val="yellow"/>
        </w:rPr>
      </w:pPr>
    </w:p>
    <w:p w14:paraId="63F6C06E" w14:textId="77777777" w:rsidR="00D25008" w:rsidRDefault="00FE2A61">
      <w:r>
        <w:t>Tabletė.</w:t>
      </w:r>
    </w:p>
    <w:p w14:paraId="0C413AE5" w14:textId="77777777" w:rsidR="00D25008" w:rsidRDefault="00D25008"/>
    <w:p w14:paraId="3D7D0B21" w14:textId="77777777" w:rsidR="00D25008" w:rsidRDefault="00FE2A61">
      <w:pPr>
        <w:widowControl w:val="0"/>
        <w:tabs>
          <w:tab w:val="left" w:pos="567"/>
        </w:tabs>
        <w:rPr>
          <w:i/>
          <w:iCs/>
          <w:noProof/>
          <w:szCs w:val="22"/>
          <w:u w:val="single"/>
        </w:rPr>
      </w:pPr>
      <w:r>
        <w:rPr>
          <w:i/>
          <w:iCs/>
          <w:noProof/>
          <w:szCs w:val="22"/>
          <w:u w:val="single"/>
        </w:rPr>
        <w:t>Tolvecom 40 mg/5 mg/12,5 mg tabletės</w:t>
      </w:r>
    </w:p>
    <w:p w14:paraId="0120C3B7" w14:textId="77777777" w:rsidR="00D25008" w:rsidRDefault="00FE2A61">
      <w:pPr>
        <w:widowControl w:val="0"/>
        <w:tabs>
          <w:tab w:val="left" w:pos="567"/>
        </w:tabs>
        <w:rPr>
          <w:noProof/>
          <w:szCs w:val="22"/>
        </w:rPr>
      </w:pPr>
      <w:r>
        <w:rPr>
          <w:noProof/>
          <w:szCs w:val="22"/>
        </w:rPr>
        <w:t>Apvalios, abipus išgaubtos, dviejų sluoksnių tabletės. Vienas tabletės sluoksnis yra baltas arba beveik baltas, pažymėtas L1. Kitas tabletės sluoksnis yra rusvai geltonas, išmargintas.</w:t>
      </w:r>
    </w:p>
    <w:p w14:paraId="6100E4F9" w14:textId="77777777" w:rsidR="00D25008" w:rsidRDefault="00FE2A61">
      <w:pPr>
        <w:widowControl w:val="0"/>
        <w:tabs>
          <w:tab w:val="left" w:pos="567"/>
        </w:tabs>
        <w:rPr>
          <w:noProof/>
          <w:szCs w:val="22"/>
        </w:rPr>
      </w:pPr>
      <w:r>
        <w:rPr>
          <w:noProof/>
          <w:szCs w:val="22"/>
        </w:rPr>
        <w:t>Tabletės matmenys: skersmuo apytiksliai 10 mm.</w:t>
      </w:r>
    </w:p>
    <w:p w14:paraId="7A5D05B6" w14:textId="77777777" w:rsidR="00D25008" w:rsidRDefault="00D25008">
      <w:pPr>
        <w:widowControl w:val="0"/>
        <w:tabs>
          <w:tab w:val="left" w:pos="567"/>
        </w:tabs>
        <w:rPr>
          <w:noProof/>
          <w:szCs w:val="22"/>
        </w:rPr>
      </w:pPr>
    </w:p>
    <w:p w14:paraId="5DB119F1" w14:textId="77777777" w:rsidR="00D25008" w:rsidRDefault="00FE2A61">
      <w:pPr>
        <w:widowControl w:val="0"/>
        <w:tabs>
          <w:tab w:val="left" w:pos="567"/>
        </w:tabs>
        <w:rPr>
          <w:i/>
          <w:iCs/>
          <w:noProof/>
          <w:szCs w:val="22"/>
          <w:u w:val="single"/>
        </w:rPr>
      </w:pPr>
      <w:r>
        <w:rPr>
          <w:i/>
          <w:iCs/>
          <w:noProof/>
          <w:szCs w:val="22"/>
          <w:u w:val="single"/>
        </w:rPr>
        <w:t>Tolvecom 80 mg/5 mg/12,5 mg tabletės</w:t>
      </w:r>
    </w:p>
    <w:p w14:paraId="6E3D1215" w14:textId="77777777" w:rsidR="00D25008" w:rsidRDefault="00FE2A61">
      <w:pPr>
        <w:widowControl w:val="0"/>
        <w:tabs>
          <w:tab w:val="left" w:pos="567"/>
        </w:tabs>
        <w:rPr>
          <w:noProof/>
          <w:szCs w:val="22"/>
        </w:rPr>
      </w:pPr>
      <w:r>
        <w:rPr>
          <w:noProof/>
          <w:szCs w:val="22"/>
        </w:rPr>
        <w:t>Ovalios, abipus išgaubtos, dviejų sluoksnių tabletės. Vienas tabletės sluoksnis yra baltas arba beveik baltas, pažymėtas L2. Kitas tabletės sluoksnis yra rausvas, išmargintas.</w:t>
      </w:r>
    </w:p>
    <w:p w14:paraId="37EBA02C" w14:textId="77777777" w:rsidR="00D25008" w:rsidRDefault="00FE2A61">
      <w:pPr>
        <w:widowControl w:val="0"/>
        <w:tabs>
          <w:tab w:val="left" w:pos="567"/>
        </w:tabs>
        <w:rPr>
          <w:noProof/>
          <w:szCs w:val="22"/>
        </w:rPr>
      </w:pPr>
      <w:r>
        <w:rPr>
          <w:noProof/>
          <w:szCs w:val="22"/>
        </w:rPr>
        <w:t>Tabletės dydis: apytiksliai 18 mm x 9 mm.</w:t>
      </w:r>
    </w:p>
    <w:p w14:paraId="656C8B3A" w14:textId="77777777" w:rsidR="00D25008" w:rsidRDefault="00D25008">
      <w:pPr>
        <w:widowControl w:val="0"/>
        <w:tabs>
          <w:tab w:val="left" w:pos="567"/>
        </w:tabs>
        <w:rPr>
          <w:noProof/>
          <w:szCs w:val="22"/>
        </w:rPr>
      </w:pPr>
    </w:p>
    <w:p w14:paraId="102628B5" w14:textId="77777777" w:rsidR="00D25008" w:rsidRDefault="00FE2A61">
      <w:pPr>
        <w:widowControl w:val="0"/>
        <w:tabs>
          <w:tab w:val="left" w:pos="567"/>
        </w:tabs>
        <w:rPr>
          <w:i/>
          <w:iCs/>
          <w:noProof/>
          <w:szCs w:val="22"/>
          <w:u w:val="single"/>
        </w:rPr>
      </w:pPr>
      <w:r>
        <w:rPr>
          <w:i/>
          <w:iCs/>
          <w:noProof/>
          <w:szCs w:val="22"/>
          <w:u w:val="single"/>
        </w:rPr>
        <w:t>Tolvecom 80 mg/10 mg/12,5 mg tabletės</w:t>
      </w:r>
    </w:p>
    <w:p w14:paraId="22F46C2A" w14:textId="77777777" w:rsidR="00D25008" w:rsidRDefault="00FE2A61">
      <w:pPr>
        <w:widowControl w:val="0"/>
        <w:tabs>
          <w:tab w:val="left" w:pos="567"/>
        </w:tabs>
        <w:rPr>
          <w:noProof/>
          <w:szCs w:val="22"/>
        </w:rPr>
      </w:pPr>
      <w:r>
        <w:rPr>
          <w:noProof/>
          <w:szCs w:val="22"/>
        </w:rPr>
        <w:t>Ovalios, abipus išgaubtos, dviejų sluoksnių tabletės. Vienas tabletės sluoksnis yra baltas arba beveik baltas, pažymėtas L3. Kitas tabletės sluoksnis yra oranžinis, išmargintas.</w:t>
      </w:r>
    </w:p>
    <w:p w14:paraId="15E65AE1" w14:textId="77777777" w:rsidR="00D25008" w:rsidRDefault="00FE2A61">
      <w:pPr>
        <w:widowControl w:val="0"/>
        <w:tabs>
          <w:tab w:val="left" w:pos="567"/>
        </w:tabs>
        <w:rPr>
          <w:noProof/>
          <w:szCs w:val="22"/>
        </w:rPr>
      </w:pPr>
      <w:r>
        <w:rPr>
          <w:noProof/>
          <w:szCs w:val="22"/>
        </w:rPr>
        <w:t>Tabletės dydis: apytiksliai 18 mm x 9 mm.</w:t>
      </w:r>
    </w:p>
    <w:p w14:paraId="4139387D" w14:textId="77777777" w:rsidR="00D25008" w:rsidRDefault="00D25008">
      <w:pPr>
        <w:widowControl w:val="0"/>
        <w:tabs>
          <w:tab w:val="left" w:pos="567"/>
        </w:tabs>
        <w:rPr>
          <w:noProof/>
          <w:szCs w:val="22"/>
        </w:rPr>
      </w:pPr>
    </w:p>
    <w:p w14:paraId="4B38E994" w14:textId="77777777" w:rsidR="00D25008" w:rsidRDefault="00FE2A61">
      <w:pPr>
        <w:widowControl w:val="0"/>
        <w:tabs>
          <w:tab w:val="left" w:pos="567"/>
        </w:tabs>
        <w:rPr>
          <w:i/>
          <w:iCs/>
          <w:noProof/>
          <w:szCs w:val="22"/>
          <w:u w:val="single"/>
        </w:rPr>
      </w:pPr>
      <w:r>
        <w:rPr>
          <w:i/>
          <w:iCs/>
          <w:noProof/>
          <w:szCs w:val="22"/>
          <w:u w:val="single"/>
        </w:rPr>
        <w:t>Tolvecom 80 mg/10 mg/25 mg tabletės</w:t>
      </w:r>
    </w:p>
    <w:p w14:paraId="6165A842" w14:textId="77777777" w:rsidR="00D25008" w:rsidRDefault="00FE2A61">
      <w:r>
        <w:t>Ovalios, abipus išgaubtos, dviejų sluoksnių tabletės. Vienas tabletės sluoksnis yra baltas arba beveik baltas, pažymėtas L4. Kitas tabletės sluoksnis yra rusvai geltonas, išmargintas.</w:t>
      </w:r>
    </w:p>
    <w:p w14:paraId="13F4CF7C" w14:textId="77777777" w:rsidR="00D25008" w:rsidRDefault="00FE2A61">
      <w:pPr>
        <w:ind w:left="567" w:hanging="567"/>
      </w:pPr>
      <w:r>
        <w:t>Tabletės dydis: apytiksliai 18 mm x 9 mm.</w:t>
      </w:r>
    </w:p>
    <w:p w14:paraId="31C883EA" w14:textId="77777777" w:rsidR="00D25008" w:rsidRDefault="00D25008">
      <w:pPr>
        <w:ind w:left="567" w:hanging="567"/>
      </w:pPr>
    </w:p>
    <w:p w14:paraId="747986DD" w14:textId="77777777" w:rsidR="00D25008" w:rsidRDefault="00D25008">
      <w:pPr>
        <w:ind w:left="567" w:hanging="567"/>
      </w:pPr>
    </w:p>
    <w:p w14:paraId="7537CAD6" w14:textId="77777777" w:rsidR="00D25008" w:rsidRDefault="00FE2A61">
      <w:pPr>
        <w:keepNext/>
        <w:ind w:left="567" w:hanging="567"/>
        <w:rPr>
          <w:b/>
          <w:caps/>
        </w:rPr>
      </w:pPr>
      <w:r>
        <w:rPr>
          <w:b/>
          <w:caps/>
        </w:rPr>
        <w:lastRenderedPageBreak/>
        <w:t>4.</w:t>
      </w:r>
      <w:r>
        <w:rPr>
          <w:b/>
          <w:caps/>
        </w:rPr>
        <w:tab/>
        <w:t>klinikinĖ informacija</w:t>
      </w:r>
    </w:p>
    <w:p w14:paraId="786D6C00" w14:textId="77777777" w:rsidR="00D25008" w:rsidRDefault="00D25008">
      <w:pPr>
        <w:keepNext/>
        <w:ind w:left="567" w:hanging="567"/>
      </w:pPr>
    </w:p>
    <w:p w14:paraId="18D52A5F" w14:textId="77777777" w:rsidR="00D25008" w:rsidRDefault="00FE2A61">
      <w:pPr>
        <w:keepNext/>
        <w:autoSpaceDE w:val="0"/>
        <w:autoSpaceDN w:val="0"/>
        <w:adjustRightInd w:val="0"/>
        <w:rPr>
          <w:szCs w:val="22"/>
          <w:lang w:eastAsia="sl-SI"/>
        </w:rPr>
      </w:pPr>
      <w:proofErr w:type="spellStart"/>
      <w:r>
        <w:rPr>
          <w:szCs w:val="22"/>
          <w:lang w:eastAsia="sl-SI"/>
        </w:rPr>
        <w:t>Tolvecom</w:t>
      </w:r>
      <w:proofErr w:type="spellEnd"/>
      <w:r>
        <w:rPr>
          <w:szCs w:val="22"/>
          <w:lang w:eastAsia="sl-SI"/>
        </w:rPr>
        <w:t xml:space="preserve"> skirtas pirminės arterinės hipertenzijos pakeičiamajam gydymui suaugusiems pacientams, kurių kraujospūdis yra tinkamai sureguliuotas tomis pačiomis dozėmis, kartu vartojamais </w:t>
      </w:r>
      <w:proofErr w:type="spellStart"/>
      <w:r>
        <w:rPr>
          <w:szCs w:val="22"/>
          <w:lang w:eastAsia="sl-SI"/>
        </w:rPr>
        <w:t>telmisartanu</w:t>
      </w:r>
      <w:proofErr w:type="spellEnd"/>
      <w:r>
        <w:rPr>
          <w:szCs w:val="22"/>
          <w:lang w:eastAsia="sl-SI"/>
        </w:rPr>
        <w:t> / </w:t>
      </w:r>
      <w:proofErr w:type="spellStart"/>
      <w:r>
        <w:rPr>
          <w:szCs w:val="22"/>
          <w:lang w:eastAsia="sl-SI"/>
        </w:rPr>
        <w:t>hidrochlorotiazidu</w:t>
      </w:r>
      <w:proofErr w:type="spellEnd"/>
      <w:r>
        <w:rPr>
          <w:szCs w:val="22"/>
          <w:lang w:eastAsia="sl-SI"/>
        </w:rPr>
        <w:t xml:space="preserve"> kaip dviejų veikliųjų medžiagų vaistiniu preparatu ir </w:t>
      </w:r>
      <w:proofErr w:type="spellStart"/>
      <w:r>
        <w:rPr>
          <w:szCs w:val="22"/>
          <w:lang w:eastAsia="sl-SI"/>
        </w:rPr>
        <w:t>amlodipinu</w:t>
      </w:r>
      <w:proofErr w:type="spellEnd"/>
      <w:r>
        <w:rPr>
          <w:szCs w:val="22"/>
          <w:lang w:eastAsia="sl-SI"/>
        </w:rPr>
        <w:t xml:space="preserve"> kaip vienos veikliosios medžiagos vaistiniu preparatu, vartojant atskiromis tabletėmis, tuo pačiu metu.</w:t>
      </w:r>
    </w:p>
    <w:p w14:paraId="44C7476B" w14:textId="77777777" w:rsidR="00D25008" w:rsidRDefault="00D25008">
      <w:pPr>
        <w:autoSpaceDE w:val="0"/>
        <w:autoSpaceDN w:val="0"/>
        <w:adjustRightInd w:val="0"/>
        <w:rPr>
          <w:szCs w:val="22"/>
          <w:lang w:eastAsia="sl-SI"/>
        </w:rPr>
      </w:pPr>
    </w:p>
    <w:p w14:paraId="2C0BA399" w14:textId="77777777" w:rsidR="00D25008" w:rsidRDefault="00FE2A61">
      <w:pPr>
        <w:widowControl w:val="0"/>
        <w:tabs>
          <w:tab w:val="left" w:pos="567"/>
        </w:tabs>
        <w:rPr>
          <w:b/>
          <w:szCs w:val="22"/>
          <w:lang w:eastAsia="sl-SI"/>
        </w:rPr>
      </w:pPr>
      <w:r>
        <w:rPr>
          <w:b/>
          <w:szCs w:val="22"/>
          <w:lang w:eastAsia="sl-SI"/>
        </w:rPr>
        <w:t>4.2</w:t>
      </w:r>
      <w:r>
        <w:rPr>
          <w:b/>
          <w:szCs w:val="22"/>
          <w:lang w:eastAsia="sl-SI"/>
        </w:rPr>
        <w:tab/>
        <w:t>Dozavimas ir vartojimo metodas</w:t>
      </w:r>
    </w:p>
    <w:p w14:paraId="558FE23F" w14:textId="77777777" w:rsidR="00D25008" w:rsidRDefault="00D25008">
      <w:pPr>
        <w:widowControl w:val="0"/>
        <w:tabs>
          <w:tab w:val="left" w:pos="567"/>
        </w:tabs>
        <w:rPr>
          <w:szCs w:val="22"/>
          <w:lang w:eastAsia="sl-SI"/>
        </w:rPr>
      </w:pPr>
    </w:p>
    <w:p w14:paraId="0BE77789" w14:textId="77777777" w:rsidR="00D25008" w:rsidRDefault="00FE2A61">
      <w:pPr>
        <w:autoSpaceDE w:val="0"/>
        <w:autoSpaceDN w:val="0"/>
        <w:adjustRightInd w:val="0"/>
        <w:rPr>
          <w:szCs w:val="22"/>
          <w:u w:val="single"/>
          <w:lang w:eastAsia="sl-SI"/>
        </w:rPr>
      </w:pPr>
      <w:r>
        <w:rPr>
          <w:szCs w:val="22"/>
          <w:u w:val="single"/>
          <w:lang w:eastAsia="sl-SI"/>
        </w:rPr>
        <w:t>Dozavimas</w:t>
      </w:r>
    </w:p>
    <w:p w14:paraId="49E184C8" w14:textId="77777777" w:rsidR="00D25008" w:rsidRDefault="00D25008">
      <w:pPr>
        <w:autoSpaceDE w:val="0"/>
        <w:autoSpaceDN w:val="0"/>
        <w:adjustRightInd w:val="0"/>
        <w:rPr>
          <w:szCs w:val="22"/>
          <w:lang w:eastAsia="sl-SI"/>
        </w:rPr>
      </w:pPr>
    </w:p>
    <w:p w14:paraId="6BAFC778" w14:textId="77777777" w:rsidR="00D25008" w:rsidRDefault="00FE2A61">
      <w:pPr>
        <w:autoSpaceDE w:val="0"/>
        <w:autoSpaceDN w:val="0"/>
        <w:adjustRightInd w:val="0"/>
        <w:rPr>
          <w:szCs w:val="22"/>
          <w:lang w:eastAsia="sl-SI"/>
        </w:rPr>
      </w:pPr>
      <w:r>
        <w:rPr>
          <w:szCs w:val="22"/>
          <w:lang w:eastAsia="sl-SI"/>
        </w:rPr>
        <w:t xml:space="preserve">Rekomenduojama paros dozė yra viena nurodyto stiprumo tabletė. </w:t>
      </w:r>
    </w:p>
    <w:p w14:paraId="51842620" w14:textId="77777777" w:rsidR="00D25008" w:rsidRDefault="00FE2A61">
      <w:pPr>
        <w:autoSpaceDE w:val="0"/>
        <w:autoSpaceDN w:val="0"/>
        <w:adjustRightInd w:val="0"/>
        <w:rPr>
          <w:szCs w:val="22"/>
          <w:lang w:eastAsia="sl-SI"/>
        </w:rPr>
      </w:pPr>
      <w:r>
        <w:rPr>
          <w:szCs w:val="22"/>
          <w:lang w:eastAsia="sl-SI"/>
        </w:rPr>
        <w:t>Šis vaistinis preparatas netinka gydymui pradėti.</w:t>
      </w:r>
    </w:p>
    <w:p w14:paraId="55B78A3E" w14:textId="77777777" w:rsidR="00D25008" w:rsidRDefault="00D25008">
      <w:pPr>
        <w:autoSpaceDE w:val="0"/>
        <w:autoSpaceDN w:val="0"/>
        <w:adjustRightInd w:val="0"/>
        <w:rPr>
          <w:szCs w:val="22"/>
          <w:lang w:eastAsia="sl-SI"/>
        </w:rPr>
      </w:pPr>
    </w:p>
    <w:p w14:paraId="7D3F4695" w14:textId="77777777" w:rsidR="00D25008" w:rsidRDefault="00FE2A61">
      <w:pPr>
        <w:autoSpaceDE w:val="0"/>
        <w:autoSpaceDN w:val="0"/>
        <w:adjustRightInd w:val="0"/>
        <w:rPr>
          <w:szCs w:val="22"/>
          <w:lang w:eastAsia="sl-SI"/>
        </w:rPr>
      </w:pPr>
      <w:r>
        <w:rPr>
          <w:szCs w:val="22"/>
          <w:lang w:eastAsia="sl-SI"/>
        </w:rPr>
        <w:t xml:space="preserve">Prieš pradedant vartoti </w:t>
      </w:r>
      <w:proofErr w:type="spellStart"/>
      <w:r>
        <w:rPr>
          <w:szCs w:val="22"/>
          <w:lang w:eastAsia="sl-SI"/>
        </w:rPr>
        <w:t>Tolvecom</w:t>
      </w:r>
      <w:proofErr w:type="spellEnd"/>
      <w:r>
        <w:rPr>
          <w:szCs w:val="22"/>
          <w:lang w:eastAsia="sl-SI"/>
        </w:rPr>
        <w:t xml:space="preserve">, paciento būklė turi būti sureguliuota tuo pat metu vartojamų visų trijų </w:t>
      </w:r>
      <w:proofErr w:type="spellStart"/>
      <w:r>
        <w:rPr>
          <w:szCs w:val="22"/>
          <w:lang w:eastAsia="sl-SI"/>
        </w:rPr>
        <w:t>antihipertenzinių</w:t>
      </w:r>
      <w:proofErr w:type="spellEnd"/>
      <w:r>
        <w:rPr>
          <w:szCs w:val="22"/>
          <w:lang w:eastAsia="sl-SI"/>
        </w:rPr>
        <w:t xml:space="preserve"> vaistinių preparatų dozėmis. Gydymo keitimo metu dozė turi būti paremta atskirų komponentų dozėmis.</w:t>
      </w:r>
    </w:p>
    <w:p w14:paraId="7F83CF11" w14:textId="77777777" w:rsidR="00D25008" w:rsidRDefault="00D25008">
      <w:pPr>
        <w:autoSpaceDE w:val="0"/>
        <w:autoSpaceDN w:val="0"/>
        <w:adjustRightInd w:val="0"/>
        <w:rPr>
          <w:szCs w:val="22"/>
          <w:lang w:eastAsia="sl-SI"/>
        </w:rPr>
      </w:pPr>
    </w:p>
    <w:p w14:paraId="7EABB2A3" w14:textId="77777777" w:rsidR="00D25008" w:rsidRDefault="00FE2A61">
      <w:pPr>
        <w:autoSpaceDE w:val="0"/>
        <w:autoSpaceDN w:val="0"/>
        <w:adjustRightInd w:val="0"/>
        <w:rPr>
          <w:szCs w:val="22"/>
          <w:lang w:eastAsia="sl-SI"/>
        </w:rPr>
      </w:pPr>
      <w:r>
        <w:rPr>
          <w:szCs w:val="22"/>
          <w:lang w:eastAsia="sl-SI"/>
        </w:rPr>
        <w:t>Jei reikia keisti dozę, tai turi būti atliekama atskirai parenkant veikliųjų derinio medžiagų dozes.</w:t>
      </w:r>
    </w:p>
    <w:p w14:paraId="1BF113F9" w14:textId="77777777" w:rsidR="00D25008" w:rsidRDefault="00D25008">
      <w:pPr>
        <w:autoSpaceDE w:val="0"/>
        <w:autoSpaceDN w:val="0"/>
        <w:adjustRightInd w:val="0"/>
        <w:rPr>
          <w:szCs w:val="22"/>
          <w:lang w:eastAsia="sl-SI"/>
        </w:rPr>
      </w:pPr>
    </w:p>
    <w:p w14:paraId="0A97FB92" w14:textId="77777777" w:rsidR="00D25008" w:rsidRDefault="00FE2A61">
      <w:pPr>
        <w:tabs>
          <w:tab w:val="left" w:pos="0"/>
        </w:tabs>
        <w:spacing w:line="260" w:lineRule="exact"/>
        <w:jc w:val="both"/>
        <w:rPr>
          <w:i/>
          <w:szCs w:val="22"/>
          <w:u w:val="single"/>
          <w:lang w:eastAsia="sl-SI"/>
        </w:rPr>
      </w:pPr>
      <w:r>
        <w:rPr>
          <w:i/>
          <w:szCs w:val="22"/>
          <w:u w:val="single"/>
          <w:lang w:eastAsia="sl-SI"/>
        </w:rPr>
        <w:t>Ypatingos populiacijos</w:t>
      </w:r>
    </w:p>
    <w:p w14:paraId="039AC7CA" w14:textId="77777777" w:rsidR="00D25008" w:rsidRDefault="00D25008">
      <w:pPr>
        <w:autoSpaceDE w:val="0"/>
        <w:autoSpaceDN w:val="0"/>
        <w:adjustRightInd w:val="0"/>
        <w:rPr>
          <w:szCs w:val="22"/>
          <w:u w:val="single"/>
          <w:lang w:eastAsia="sl-SI"/>
        </w:rPr>
      </w:pPr>
    </w:p>
    <w:p w14:paraId="63EF4940" w14:textId="77777777" w:rsidR="00D25008" w:rsidRDefault="00FE2A61">
      <w:pPr>
        <w:autoSpaceDE w:val="0"/>
        <w:autoSpaceDN w:val="0"/>
        <w:adjustRightInd w:val="0"/>
        <w:rPr>
          <w:szCs w:val="22"/>
          <w:lang w:eastAsia="sl-SI"/>
        </w:rPr>
      </w:pPr>
      <w:r>
        <w:rPr>
          <w:szCs w:val="22"/>
          <w:u w:val="single"/>
          <w:lang w:eastAsia="sl-SI"/>
        </w:rPr>
        <w:t>Pacientams, kurių inkstų funkcija sutrikusi</w:t>
      </w:r>
    </w:p>
    <w:p w14:paraId="6DDA1748" w14:textId="4CD12565" w:rsidR="00D25008" w:rsidRDefault="00FE2A61">
      <w:pPr>
        <w:autoSpaceDE w:val="0"/>
        <w:autoSpaceDN w:val="0"/>
        <w:adjustRightInd w:val="0"/>
        <w:rPr>
          <w:szCs w:val="22"/>
          <w:lang w:eastAsia="sl-SI"/>
        </w:rPr>
      </w:pPr>
      <w:proofErr w:type="spellStart"/>
      <w:r>
        <w:rPr>
          <w:szCs w:val="22"/>
          <w:lang w:eastAsia="sl-SI"/>
        </w:rPr>
        <w:t>Tolvecom</w:t>
      </w:r>
      <w:proofErr w:type="spellEnd"/>
      <w:r>
        <w:rPr>
          <w:szCs w:val="22"/>
          <w:lang w:eastAsia="sl-SI"/>
        </w:rPr>
        <w:t xml:space="preserve"> draudžiama skirti pacientams, kuriems yra sunkus inkstų funkcijos sutrikimas (žr. 4.3 skyrių). </w:t>
      </w:r>
      <w:r w:rsidR="001C4737">
        <w:t xml:space="preserve">Lengvu ar vidutinio sunkumo inkstų funkcijos sutrikimu sergančių pacientų gydymo patirtis yra nedidelė, tačiau ji nerodo nepageidaujamo poveikio inkstų funkcijai, todėl manoma, kad dozės koreguoti nebūtina. </w:t>
      </w:r>
      <w:r>
        <w:rPr>
          <w:szCs w:val="22"/>
          <w:lang w:eastAsia="sl-SI"/>
        </w:rPr>
        <w:t xml:space="preserve">Rekomenduojama periodiškai tirti inkstų funkciją (žr. 4.4 skyrių). </w:t>
      </w:r>
      <w:proofErr w:type="spellStart"/>
      <w:r>
        <w:rPr>
          <w:szCs w:val="22"/>
          <w:lang w:eastAsia="sl-SI"/>
        </w:rPr>
        <w:t>Amlodipino</w:t>
      </w:r>
      <w:proofErr w:type="spellEnd"/>
      <w:r>
        <w:rPr>
          <w:szCs w:val="22"/>
          <w:lang w:eastAsia="sl-SI"/>
        </w:rPr>
        <w:t xml:space="preserve"> koncentracijos kraujo plazmoje pokyčiai nekoreliuoja su inkstų funkcijos sutrikimo laipsniu, todėl rekomenduojama vartoti įprastines dozes. </w:t>
      </w:r>
      <w:proofErr w:type="spellStart"/>
      <w:r w:rsidR="001C4737">
        <w:rPr>
          <w:szCs w:val="22"/>
          <w:lang w:eastAsia="sl-SI"/>
        </w:rPr>
        <w:t>Telmisartanas</w:t>
      </w:r>
      <w:proofErr w:type="spellEnd"/>
      <w:r w:rsidR="001C4737">
        <w:rPr>
          <w:szCs w:val="22"/>
          <w:lang w:eastAsia="sl-SI"/>
        </w:rPr>
        <w:t xml:space="preserve"> ir </w:t>
      </w:r>
      <w:proofErr w:type="spellStart"/>
      <w:r w:rsidR="001C4737">
        <w:rPr>
          <w:szCs w:val="22"/>
          <w:lang w:eastAsia="sl-SI"/>
        </w:rPr>
        <w:t>amlodipinas</w:t>
      </w:r>
      <w:proofErr w:type="spellEnd"/>
      <w:r>
        <w:rPr>
          <w:szCs w:val="22"/>
          <w:lang w:eastAsia="sl-SI"/>
        </w:rPr>
        <w:t xml:space="preserve"> nėra </w:t>
      </w:r>
      <w:r w:rsidR="001C4737">
        <w:rPr>
          <w:szCs w:val="22"/>
          <w:lang w:eastAsia="sl-SI"/>
        </w:rPr>
        <w:t>šalinami</w:t>
      </w:r>
      <w:r>
        <w:rPr>
          <w:szCs w:val="22"/>
          <w:lang w:eastAsia="sl-SI"/>
        </w:rPr>
        <w:t xml:space="preserve"> dializės metu.</w:t>
      </w:r>
    </w:p>
    <w:p w14:paraId="62BC08BC" w14:textId="77777777" w:rsidR="00D25008" w:rsidRDefault="00D25008">
      <w:pPr>
        <w:autoSpaceDE w:val="0"/>
        <w:autoSpaceDN w:val="0"/>
        <w:adjustRightInd w:val="0"/>
        <w:rPr>
          <w:szCs w:val="22"/>
          <w:lang w:eastAsia="sl-SI"/>
        </w:rPr>
      </w:pPr>
    </w:p>
    <w:p w14:paraId="62A7FD92" w14:textId="77777777" w:rsidR="00D25008" w:rsidRDefault="00FE2A61">
      <w:pPr>
        <w:autoSpaceDE w:val="0"/>
        <w:autoSpaceDN w:val="0"/>
        <w:adjustRightInd w:val="0"/>
        <w:rPr>
          <w:szCs w:val="22"/>
          <w:lang w:eastAsia="sl-SI"/>
        </w:rPr>
      </w:pPr>
      <w:r>
        <w:rPr>
          <w:szCs w:val="22"/>
          <w:u w:val="single"/>
          <w:lang w:eastAsia="sl-SI"/>
        </w:rPr>
        <w:t>Pacientams, kurių kepenų funkcija sutrikusi</w:t>
      </w:r>
    </w:p>
    <w:p w14:paraId="61B7ABBE" w14:textId="77777777" w:rsidR="00D25008" w:rsidRDefault="00FE2A61">
      <w:pPr>
        <w:autoSpaceDE w:val="0"/>
        <w:autoSpaceDN w:val="0"/>
        <w:adjustRightInd w:val="0"/>
        <w:rPr>
          <w:szCs w:val="22"/>
          <w:lang w:eastAsia="sl-SI"/>
        </w:rPr>
      </w:pPr>
      <w:proofErr w:type="spellStart"/>
      <w:r>
        <w:rPr>
          <w:szCs w:val="22"/>
          <w:lang w:eastAsia="sl-SI"/>
        </w:rPr>
        <w:t>Tolvecom</w:t>
      </w:r>
      <w:proofErr w:type="spellEnd"/>
      <w:r>
        <w:rPr>
          <w:szCs w:val="22"/>
          <w:lang w:eastAsia="sl-SI"/>
        </w:rPr>
        <w:t xml:space="preserve"> draudžiama skirti pacientams, kuriems yra sunkus kepenų funkcijos sutrikimas (žr. 4.3 skyrių).</w:t>
      </w:r>
    </w:p>
    <w:p w14:paraId="5E4492D4" w14:textId="77777777" w:rsidR="00D25008" w:rsidRDefault="00FE2A61">
      <w:pPr>
        <w:autoSpaceDE w:val="0"/>
        <w:autoSpaceDN w:val="0"/>
        <w:adjustRightInd w:val="0"/>
        <w:rPr>
          <w:szCs w:val="22"/>
          <w:lang w:eastAsia="sl-SI"/>
        </w:rPr>
      </w:pPr>
      <w:r>
        <w:rPr>
          <w:szCs w:val="22"/>
          <w:lang w:eastAsia="sl-SI"/>
        </w:rPr>
        <w:t>Pacientams, kuriems yra lengvas arba vidutinio sunkumo kepenų funkcijos sutrikimas, kartą per parą vartojama dozė negali viršyti 40/5/12,5 mg.</w:t>
      </w:r>
    </w:p>
    <w:p w14:paraId="07C1C40F" w14:textId="77777777" w:rsidR="00D25008" w:rsidRDefault="00FE2A61">
      <w:pPr>
        <w:autoSpaceDE w:val="0"/>
        <w:autoSpaceDN w:val="0"/>
        <w:adjustRightInd w:val="0"/>
        <w:rPr>
          <w:szCs w:val="22"/>
          <w:lang w:eastAsia="sl-SI"/>
        </w:rPr>
      </w:pPr>
      <w:r>
        <w:rPr>
          <w:szCs w:val="22"/>
          <w:lang w:eastAsia="sl-SI"/>
        </w:rPr>
        <w:t xml:space="preserve">Pacientams, kurių kepenų funkcija sutrikusi, </w:t>
      </w:r>
      <w:proofErr w:type="spellStart"/>
      <w:r>
        <w:rPr>
          <w:szCs w:val="22"/>
          <w:lang w:eastAsia="sl-SI"/>
        </w:rPr>
        <w:t>tiazidų</w:t>
      </w:r>
      <w:proofErr w:type="spellEnd"/>
      <w:r>
        <w:rPr>
          <w:szCs w:val="22"/>
          <w:lang w:eastAsia="sl-SI"/>
        </w:rPr>
        <w:t xml:space="preserve"> reikia vartoti atsargiai (žr. 4.4 skyrių).</w:t>
      </w:r>
    </w:p>
    <w:p w14:paraId="2F8B1C49" w14:textId="77777777" w:rsidR="00D25008" w:rsidRDefault="00FE2A61">
      <w:pPr>
        <w:autoSpaceDE w:val="0"/>
        <w:autoSpaceDN w:val="0"/>
        <w:adjustRightInd w:val="0"/>
        <w:rPr>
          <w:szCs w:val="22"/>
          <w:lang w:eastAsia="sl-SI"/>
        </w:rPr>
      </w:pPr>
      <w:r>
        <w:rPr>
          <w:szCs w:val="22"/>
          <w:lang w:eastAsia="sl-SI"/>
        </w:rPr>
        <w:t xml:space="preserve">Didinant </w:t>
      </w:r>
      <w:proofErr w:type="spellStart"/>
      <w:r>
        <w:rPr>
          <w:szCs w:val="22"/>
          <w:lang w:eastAsia="sl-SI"/>
        </w:rPr>
        <w:t>amlodipino</w:t>
      </w:r>
      <w:proofErr w:type="spellEnd"/>
      <w:r>
        <w:rPr>
          <w:szCs w:val="22"/>
          <w:lang w:eastAsia="sl-SI"/>
        </w:rPr>
        <w:t xml:space="preserve"> dozę būtina imtis atsargumo priemonių. </w:t>
      </w:r>
      <w:proofErr w:type="spellStart"/>
      <w:r>
        <w:rPr>
          <w:szCs w:val="22"/>
          <w:lang w:eastAsia="sl-SI"/>
        </w:rPr>
        <w:t>Amlodipino</w:t>
      </w:r>
      <w:proofErr w:type="spellEnd"/>
      <w:r>
        <w:rPr>
          <w:szCs w:val="22"/>
          <w:lang w:eastAsia="sl-SI"/>
        </w:rPr>
        <w:t xml:space="preserve"> farmakokinetika nebuvo tirta pacientams, kuriems yra sunkus kepenų funkcijos sutrikimas.</w:t>
      </w:r>
    </w:p>
    <w:p w14:paraId="06C8F623" w14:textId="77777777" w:rsidR="00D25008" w:rsidRDefault="00D25008">
      <w:pPr>
        <w:autoSpaceDE w:val="0"/>
        <w:autoSpaceDN w:val="0"/>
        <w:adjustRightInd w:val="0"/>
        <w:rPr>
          <w:szCs w:val="22"/>
          <w:lang w:eastAsia="sl-SI"/>
        </w:rPr>
      </w:pPr>
    </w:p>
    <w:p w14:paraId="6697597B" w14:textId="77777777" w:rsidR="00D25008" w:rsidRDefault="00FE2A61">
      <w:pPr>
        <w:autoSpaceDE w:val="0"/>
        <w:autoSpaceDN w:val="0"/>
        <w:adjustRightInd w:val="0"/>
        <w:rPr>
          <w:szCs w:val="22"/>
          <w:lang w:eastAsia="sl-SI"/>
        </w:rPr>
      </w:pPr>
      <w:r>
        <w:rPr>
          <w:szCs w:val="22"/>
          <w:u w:val="single"/>
          <w:lang w:eastAsia="sl-SI"/>
        </w:rPr>
        <w:t>Senyviems pacientams</w:t>
      </w:r>
    </w:p>
    <w:p w14:paraId="5750A96F" w14:textId="77777777" w:rsidR="00D25008" w:rsidRDefault="00FE2A61">
      <w:pPr>
        <w:autoSpaceDE w:val="0"/>
        <w:autoSpaceDN w:val="0"/>
        <w:adjustRightInd w:val="0"/>
        <w:rPr>
          <w:szCs w:val="22"/>
          <w:lang w:eastAsia="sl-SI"/>
        </w:rPr>
      </w:pPr>
      <w:r>
        <w:rPr>
          <w:szCs w:val="22"/>
          <w:lang w:eastAsia="sl-SI"/>
        </w:rPr>
        <w:t>Dozės koreguoti nereikia.</w:t>
      </w:r>
    </w:p>
    <w:p w14:paraId="4C80FACA" w14:textId="77777777" w:rsidR="00D25008" w:rsidRDefault="00D25008">
      <w:pPr>
        <w:autoSpaceDE w:val="0"/>
        <w:autoSpaceDN w:val="0"/>
        <w:adjustRightInd w:val="0"/>
        <w:rPr>
          <w:szCs w:val="22"/>
          <w:lang w:eastAsia="sl-SI"/>
        </w:rPr>
      </w:pPr>
    </w:p>
    <w:p w14:paraId="0B21EDB4" w14:textId="77777777" w:rsidR="00D25008" w:rsidRDefault="00FE2A61">
      <w:pPr>
        <w:autoSpaceDE w:val="0"/>
        <w:autoSpaceDN w:val="0"/>
        <w:adjustRightInd w:val="0"/>
        <w:rPr>
          <w:szCs w:val="22"/>
          <w:u w:val="single"/>
          <w:lang w:eastAsia="sl-SI"/>
        </w:rPr>
      </w:pPr>
      <w:r>
        <w:rPr>
          <w:szCs w:val="22"/>
          <w:u w:val="single"/>
          <w:lang w:eastAsia="sl-SI"/>
        </w:rPr>
        <w:t>Vaikų populiacija</w:t>
      </w:r>
    </w:p>
    <w:p w14:paraId="2FA8CF75" w14:textId="77777777" w:rsidR="00D25008" w:rsidRDefault="00FE2A61">
      <w:pPr>
        <w:autoSpaceDE w:val="0"/>
        <w:autoSpaceDN w:val="0"/>
        <w:adjustRightInd w:val="0"/>
        <w:rPr>
          <w:szCs w:val="22"/>
          <w:lang w:eastAsia="sl-SI"/>
        </w:rPr>
      </w:pPr>
      <w:proofErr w:type="spellStart"/>
      <w:r>
        <w:rPr>
          <w:szCs w:val="22"/>
          <w:lang w:eastAsia="sl-SI"/>
        </w:rPr>
        <w:t>Tolvecom</w:t>
      </w:r>
      <w:proofErr w:type="spellEnd"/>
      <w:r>
        <w:rPr>
          <w:szCs w:val="22"/>
          <w:lang w:eastAsia="sl-SI"/>
        </w:rPr>
        <w:t xml:space="preserve"> saugumas ir veiksmingumas vaikams ir paaugliams iki 18 metų neištirti. Duomenų nėra.</w:t>
      </w:r>
    </w:p>
    <w:p w14:paraId="7A2B96C3" w14:textId="77777777" w:rsidR="00D25008" w:rsidRDefault="00D25008">
      <w:pPr>
        <w:autoSpaceDE w:val="0"/>
        <w:autoSpaceDN w:val="0"/>
        <w:adjustRightInd w:val="0"/>
        <w:rPr>
          <w:szCs w:val="22"/>
          <w:lang w:eastAsia="sl-SI"/>
        </w:rPr>
      </w:pPr>
    </w:p>
    <w:p w14:paraId="7543C02E" w14:textId="77777777" w:rsidR="00D25008" w:rsidRDefault="00FE2A61">
      <w:pPr>
        <w:autoSpaceDE w:val="0"/>
        <w:autoSpaceDN w:val="0"/>
        <w:adjustRightInd w:val="0"/>
        <w:rPr>
          <w:szCs w:val="22"/>
          <w:u w:val="single"/>
          <w:lang w:eastAsia="sl-SI"/>
        </w:rPr>
      </w:pPr>
      <w:r>
        <w:rPr>
          <w:szCs w:val="22"/>
          <w:u w:val="single"/>
          <w:lang w:eastAsia="sl-SI"/>
        </w:rPr>
        <w:t>Vartojimo metodas</w:t>
      </w:r>
    </w:p>
    <w:p w14:paraId="4330A2F7" w14:textId="77777777" w:rsidR="00D25008" w:rsidRDefault="00D25008">
      <w:pPr>
        <w:autoSpaceDE w:val="0"/>
        <w:autoSpaceDN w:val="0"/>
        <w:adjustRightInd w:val="0"/>
        <w:rPr>
          <w:szCs w:val="22"/>
          <w:u w:val="single"/>
          <w:lang w:eastAsia="sl-SI"/>
        </w:rPr>
      </w:pPr>
    </w:p>
    <w:p w14:paraId="3BE8BA1E" w14:textId="77777777" w:rsidR="00D25008" w:rsidRDefault="00FE2A61">
      <w:pPr>
        <w:autoSpaceDE w:val="0"/>
        <w:autoSpaceDN w:val="0"/>
        <w:adjustRightInd w:val="0"/>
        <w:rPr>
          <w:szCs w:val="22"/>
          <w:lang w:eastAsia="sl-SI"/>
        </w:rPr>
      </w:pPr>
      <w:proofErr w:type="spellStart"/>
      <w:r>
        <w:rPr>
          <w:szCs w:val="22"/>
          <w:lang w:eastAsia="sl-SI"/>
        </w:rPr>
        <w:t>Tolvecom</w:t>
      </w:r>
      <w:proofErr w:type="spellEnd"/>
      <w:r>
        <w:rPr>
          <w:szCs w:val="22"/>
          <w:lang w:eastAsia="sl-SI"/>
        </w:rPr>
        <w:t xml:space="preserve"> tabletės vartojamos per burną užgeriant skysčiu valgant arba nevalgant.</w:t>
      </w:r>
    </w:p>
    <w:p w14:paraId="6A38E950" w14:textId="77777777" w:rsidR="00D25008" w:rsidRDefault="00D25008">
      <w:pPr>
        <w:rPr>
          <w:i/>
        </w:rPr>
      </w:pPr>
    </w:p>
    <w:p w14:paraId="245B88CB" w14:textId="77777777" w:rsidR="00D25008" w:rsidRDefault="00FE2A61">
      <w:pPr>
        <w:widowControl w:val="0"/>
        <w:tabs>
          <w:tab w:val="left" w:pos="567"/>
        </w:tabs>
        <w:rPr>
          <w:szCs w:val="22"/>
          <w:lang w:eastAsia="sl-SI"/>
        </w:rPr>
      </w:pPr>
      <w:r>
        <w:rPr>
          <w:b/>
          <w:szCs w:val="22"/>
          <w:lang w:eastAsia="sl-SI"/>
        </w:rPr>
        <w:t>4.3</w:t>
      </w:r>
      <w:r>
        <w:rPr>
          <w:b/>
          <w:szCs w:val="22"/>
          <w:lang w:eastAsia="sl-SI"/>
        </w:rPr>
        <w:tab/>
        <w:t>Kontraindikacijos</w:t>
      </w:r>
    </w:p>
    <w:p w14:paraId="669B8858" w14:textId="77777777" w:rsidR="00D25008" w:rsidRDefault="00D25008">
      <w:pPr>
        <w:widowControl w:val="0"/>
        <w:tabs>
          <w:tab w:val="left" w:pos="567"/>
        </w:tabs>
        <w:rPr>
          <w:szCs w:val="22"/>
          <w:lang w:eastAsia="sl-SI"/>
        </w:rPr>
      </w:pPr>
    </w:p>
    <w:p w14:paraId="77CA8570" w14:textId="77777777" w:rsidR="00D25008" w:rsidRDefault="00FE2A61">
      <w:pPr>
        <w:numPr>
          <w:ilvl w:val="0"/>
          <w:numId w:val="17"/>
        </w:numPr>
        <w:autoSpaceDE w:val="0"/>
        <w:autoSpaceDN w:val="0"/>
        <w:adjustRightInd w:val="0"/>
        <w:ind w:left="567" w:hanging="567"/>
        <w:contextualSpacing/>
        <w:rPr>
          <w:rFonts w:eastAsia="Calibri"/>
          <w:szCs w:val="22"/>
          <w:lang w:eastAsia="sl-SI"/>
        </w:rPr>
      </w:pPr>
      <w:r>
        <w:rPr>
          <w:rFonts w:eastAsia="Calibri"/>
          <w:szCs w:val="22"/>
          <w:lang w:eastAsia="sl-SI"/>
        </w:rPr>
        <w:t>Padidėjęs jautrumas veikliosioms medžiagoms arba bet kuriai 6.1 skyriuje nurodytai pagalbinei medžiagai.</w:t>
      </w:r>
    </w:p>
    <w:p w14:paraId="2F6E01FD" w14:textId="77777777" w:rsidR="00D25008" w:rsidRDefault="00FE2A61">
      <w:pPr>
        <w:numPr>
          <w:ilvl w:val="0"/>
          <w:numId w:val="17"/>
        </w:numPr>
        <w:autoSpaceDE w:val="0"/>
        <w:autoSpaceDN w:val="0"/>
        <w:adjustRightInd w:val="0"/>
        <w:ind w:left="567" w:hanging="567"/>
        <w:contextualSpacing/>
        <w:rPr>
          <w:rFonts w:eastAsia="Calibri"/>
          <w:szCs w:val="22"/>
          <w:lang w:eastAsia="sl-SI"/>
        </w:rPr>
      </w:pPr>
      <w:r>
        <w:rPr>
          <w:rFonts w:eastAsia="Calibri"/>
          <w:szCs w:val="22"/>
          <w:lang w:eastAsia="sl-SI"/>
        </w:rPr>
        <w:t xml:space="preserve">Padidėjęs jautrumas kitiems su </w:t>
      </w:r>
      <w:proofErr w:type="spellStart"/>
      <w:r>
        <w:rPr>
          <w:rFonts w:eastAsia="Calibri"/>
          <w:szCs w:val="22"/>
          <w:lang w:eastAsia="sl-SI"/>
        </w:rPr>
        <w:t>sulfonamidais</w:t>
      </w:r>
      <w:proofErr w:type="spellEnd"/>
      <w:r>
        <w:rPr>
          <w:rFonts w:eastAsia="Calibri"/>
          <w:szCs w:val="22"/>
          <w:lang w:eastAsia="sl-SI"/>
        </w:rPr>
        <w:t xml:space="preserve"> susijusiems dariniams (kadangi </w:t>
      </w:r>
      <w:proofErr w:type="spellStart"/>
      <w:r>
        <w:rPr>
          <w:rFonts w:eastAsia="Calibri"/>
          <w:szCs w:val="22"/>
          <w:lang w:eastAsia="sl-SI"/>
        </w:rPr>
        <w:t>hidrochlorotiazidas</w:t>
      </w:r>
      <w:proofErr w:type="spellEnd"/>
      <w:r>
        <w:rPr>
          <w:rFonts w:eastAsia="Calibri"/>
          <w:szCs w:val="22"/>
          <w:lang w:eastAsia="sl-SI"/>
        </w:rPr>
        <w:t xml:space="preserve"> yra su </w:t>
      </w:r>
      <w:proofErr w:type="spellStart"/>
      <w:r>
        <w:rPr>
          <w:rFonts w:eastAsia="Calibri"/>
          <w:szCs w:val="22"/>
          <w:lang w:eastAsia="sl-SI"/>
        </w:rPr>
        <w:t>sulfonamidu</w:t>
      </w:r>
      <w:proofErr w:type="spellEnd"/>
      <w:r>
        <w:rPr>
          <w:rFonts w:eastAsia="Calibri"/>
          <w:szCs w:val="22"/>
          <w:lang w:eastAsia="sl-SI"/>
        </w:rPr>
        <w:t xml:space="preserve"> susijęs vaistinis preparatas).</w:t>
      </w:r>
    </w:p>
    <w:p w14:paraId="2A4F1AC2" w14:textId="77777777" w:rsidR="00D25008" w:rsidRDefault="00FE2A61">
      <w:pPr>
        <w:numPr>
          <w:ilvl w:val="0"/>
          <w:numId w:val="17"/>
        </w:numPr>
        <w:autoSpaceDE w:val="0"/>
        <w:autoSpaceDN w:val="0"/>
        <w:adjustRightInd w:val="0"/>
        <w:ind w:left="567" w:hanging="567"/>
        <w:contextualSpacing/>
        <w:rPr>
          <w:rFonts w:eastAsia="Calibri"/>
          <w:szCs w:val="22"/>
          <w:lang w:eastAsia="sl-SI"/>
        </w:rPr>
      </w:pPr>
      <w:r>
        <w:rPr>
          <w:rFonts w:eastAsia="Calibri"/>
          <w:szCs w:val="22"/>
          <w:lang w:eastAsia="sl-SI"/>
        </w:rPr>
        <w:t>Antrasis ir trečiasis nėštumo trimestrai (žr. 4.4 ir 4.6 skyrius).</w:t>
      </w:r>
    </w:p>
    <w:p w14:paraId="37C241C5" w14:textId="77777777" w:rsidR="00D25008" w:rsidRDefault="00FE2A61">
      <w:pPr>
        <w:numPr>
          <w:ilvl w:val="0"/>
          <w:numId w:val="17"/>
        </w:numPr>
        <w:autoSpaceDE w:val="0"/>
        <w:autoSpaceDN w:val="0"/>
        <w:adjustRightInd w:val="0"/>
        <w:ind w:left="567" w:hanging="567"/>
        <w:contextualSpacing/>
        <w:rPr>
          <w:rFonts w:eastAsia="Calibri"/>
          <w:szCs w:val="22"/>
          <w:lang w:eastAsia="sl-SI"/>
        </w:rPr>
      </w:pPr>
      <w:proofErr w:type="spellStart"/>
      <w:r>
        <w:rPr>
          <w:rFonts w:eastAsia="Calibri"/>
          <w:szCs w:val="22"/>
          <w:lang w:eastAsia="sl-SI"/>
        </w:rPr>
        <w:lastRenderedPageBreak/>
        <w:t>Cholestazė</w:t>
      </w:r>
      <w:proofErr w:type="spellEnd"/>
      <w:r>
        <w:rPr>
          <w:rFonts w:eastAsia="Calibri"/>
          <w:szCs w:val="22"/>
          <w:lang w:eastAsia="sl-SI"/>
        </w:rPr>
        <w:t xml:space="preserve"> ir tulžies nutekėjimo obstrukcija.</w:t>
      </w:r>
    </w:p>
    <w:p w14:paraId="3261EC5F" w14:textId="77777777" w:rsidR="00D25008" w:rsidRDefault="00FE2A61">
      <w:pPr>
        <w:numPr>
          <w:ilvl w:val="0"/>
          <w:numId w:val="17"/>
        </w:numPr>
        <w:autoSpaceDE w:val="0"/>
        <w:autoSpaceDN w:val="0"/>
        <w:adjustRightInd w:val="0"/>
        <w:ind w:left="567" w:hanging="567"/>
        <w:contextualSpacing/>
        <w:rPr>
          <w:rFonts w:eastAsia="Calibri"/>
          <w:szCs w:val="22"/>
          <w:lang w:eastAsia="sl-SI"/>
        </w:rPr>
      </w:pPr>
      <w:r>
        <w:rPr>
          <w:rFonts w:eastAsia="Calibri"/>
          <w:szCs w:val="22"/>
          <w:lang w:eastAsia="sl-SI"/>
        </w:rPr>
        <w:t>Sunkus kepenų funkcijos sutrikimas.</w:t>
      </w:r>
    </w:p>
    <w:p w14:paraId="71B5CF20" w14:textId="0E946BF6" w:rsidR="00D25008" w:rsidRDefault="00FE2A61">
      <w:pPr>
        <w:numPr>
          <w:ilvl w:val="0"/>
          <w:numId w:val="17"/>
        </w:numPr>
        <w:autoSpaceDE w:val="0"/>
        <w:autoSpaceDN w:val="0"/>
        <w:adjustRightInd w:val="0"/>
        <w:ind w:left="567" w:hanging="567"/>
        <w:contextualSpacing/>
        <w:rPr>
          <w:rFonts w:eastAsia="Calibri"/>
          <w:szCs w:val="22"/>
          <w:lang w:eastAsia="sl-SI"/>
        </w:rPr>
      </w:pPr>
      <w:r>
        <w:rPr>
          <w:rFonts w:eastAsia="Calibri"/>
          <w:szCs w:val="22"/>
          <w:lang w:eastAsia="sl-SI"/>
        </w:rPr>
        <w:t>Sunkus inkstų funkcijos sutrikimas (kreatinino klirensas &lt;</w:t>
      </w:r>
      <w:r w:rsidR="00026861">
        <w:rPr>
          <w:rFonts w:eastAsia="Calibri"/>
          <w:szCs w:val="22"/>
          <w:lang w:eastAsia="sl-SI"/>
        </w:rPr>
        <w:t> </w:t>
      </w:r>
      <w:r>
        <w:rPr>
          <w:rFonts w:eastAsia="Calibri"/>
          <w:szCs w:val="22"/>
          <w:lang w:eastAsia="sl-SI"/>
        </w:rPr>
        <w:t>30 ml/min</w:t>
      </w:r>
      <w:r w:rsidR="001C4737">
        <w:rPr>
          <w:rFonts w:eastAsia="Calibri"/>
          <w:szCs w:val="22"/>
          <w:lang w:eastAsia="sl-SI"/>
        </w:rPr>
        <w:t xml:space="preserve">., </w:t>
      </w:r>
      <w:proofErr w:type="spellStart"/>
      <w:r w:rsidR="001C4737">
        <w:t>anurija</w:t>
      </w:r>
      <w:proofErr w:type="spellEnd"/>
      <w:r w:rsidR="00026861">
        <w:t>)</w:t>
      </w:r>
      <w:r w:rsidR="001C4737">
        <w:rPr>
          <w:rFonts w:eastAsia="Calibri"/>
          <w:szCs w:val="22"/>
          <w:lang w:eastAsia="sl-SI"/>
        </w:rPr>
        <w:t>.</w:t>
      </w:r>
    </w:p>
    <w:p w14:paraId="66D7FDED" w14:textId="77777777" w:rsidR="00D25008" w:rsidRDefault="00FE2A61">
      <w:pPr>
        <w:numPr>
          <w:ilvl w:val="0"/>
          <w:numId w:val="17"/>
        </w:numPr>
        <w:autoSpaceDE w:val="0"/>
        <w:autoSpaceDN w:val="0"/>
        <w:adjustRightInd w:val="0"/>
        <w:ind w:left="567" w:hanging="567"/>
        <w:contextualSpacing/>
        <w:rPr>
          <w:rFonts w:eastAsia="Calibri"/>
          <w:szCs w:val="22"/>
          <w:lang w:eastAsia="sl-SI"/>
        </w:rPr>
      </w:pPr>
      <w:r>
        <w:rPr>
          <w:rFonts w:eastAsia="Calibri"/>
          <w:szCs w:val="22"/>
          <w:lang w:eastAsia="sl-SI"/>
        </w:rPr>
        <w:t xml:space="preserve">Į gydymą nereaguojanti </w:t>
      </w:r>
      <w:proofErr w:type="spellStart"/>
      <w:r>
        <w:rPr>
          <w:rFonts w:eastAsia="Calibri"/>
          <w:szCs w:val="22"/>
          <w:lang w:eastAsia="sl-SI"/>
        </w:rPr>
        <w:t>hipokalemija</w:t>
      </w:r>
      <w:proofErr w:type="spellEnd"/>
      <w:r>
        <w:rPr>
          <w:rFonts w:eastAsia="Calibri"/>
          <w:szCs w:val="22"/>
          <w:lang w:eastAsia="sl-SI"/>
        </w:rPr>
        <w:t xml:space="preserve">, </w:t>
      </w:r>
      <w:proofErr w:type="spellStart"/>
      <w:r>
        <w:rPr>
          <w:rFonts w:eastAsia="Calibri"/>
          <w:szCs w:val="22"/>
          <w:lang w:eastAsia="sl-SI"/>
        </w:rPr>
        <w:t>hiperkalcemija</w:t>
      </w:r>
      <w:proofErr w:type="spellEnd"/>
      <w:r>
        <w:rPr>
          <w:rFonts w:eastAsia="Calibri"/>
          <w:szCs w:val="22"/>
          <w:lang w:eastAsia="sl-SI"/>
        </w:rPr>
        <w:t>.</w:t>
      </w:r>
    </w:p>
    <w:p w14:paraId="07355E51" w14:textId="77777777" w:rsidR="00D25008" w:rsidRDefault="00FE2A61">
      <w:pPr>
        <w:numPr>
          <w:ilvl w:val="0"/>
          <w:numId w:val="17"/>
        </w:numPr>
        <w:autoSpaceDE w:val="0"/>
        <w:autoSpaceDN w:val="0"/>
        <w:adjustRightInd w:val="0"/>
        <w:ind w:left="567" w:hanging="567"/>
        <w:contextualSpacing/>
        <w:rPr>
          <w:rFonts w:eastAsia="Calibri"/>
          <w:szCs w:val="22"/>
          <w:lang w:eastAsia="sl-SI"/>
        </w:rPr>
      </w:pPr>
      <w:r>
        <w:rPr>
          <w:szCs w:val="22"/>
          <w:lang w:eastAsia="sl-SI"/>
        </w:rPr>
        <w:t xml:space="preserve">Sunki </w:t>
      </w:r>
      <w:proofErr w:type="spellStart"/>
      <w:r>
        <w:rPr>
          <w:szCs w:val="22"/>
          <w:lang w:eastAsia="sl-SI"/>
        </w:rPr>
        <w:t>hipotenzija</w:t>
      </w:r>
      <w:proofErr w:type="spellEnd"/>
      <w:r>
        <w:rPr>
          <w:szCs w:val="22"/>
          <w:lang w:eastAsia="sl-SI"/>
        </w:rPr>
        <w:t>.</w:t>
      </w:r>
    </w:p>
    <w:p w14:paraId="25700E83" w14:textId="77777777" w:rsidR="00D25008" w:rsidRDefault="00FE2A61">
      <w:pPr>
        <w:numPr>
          <w:ilvl w:val="0"/>
          <w:numId w:val="17"/>
        </w:numPr>
        <w:autoSpaceDE w:val="0"/>
        <w:autoSpaceDN w:val="0"/>
        <w:adjustRightInd w:val="0"/>
        <w:ind w:left="567" w:hanging="567"/>
        <w:contextualSpacing/>
        <w:rPr>
          <w:rFonts w:eastAsia="Calibri"/>
          <w:szCs w:val="22"/>
          <w:lang w:eastAsia="sl-SI"/>
        </w:rPr>
      </w:pPr>
      <w:r>
        <w:rPr>
          <w:szCs w:val="22"/>
          <w:lang w:eastAsia="sl-SI"/>
        </w:rPr>
        <w:t xml:space="preserve">Šokas (įskaitant </w:t>
      </w:r>
      <w:proofErr w:type="spellStart"/>
      <w:r>
        <w:rPr>
          <w:szCs w:val="22"/>
          <w:lang w:eastAsia="sl-SI"/>
        </w:rPr>
        <w:t>kardiogeninį</w:t>
      </w:r>
      <w:proofErr w:type="spellEnd"/>
      <w:r>
        <w:rPr>
          <w:szCs w:val="22"/>
          <w:lang w:eastAsia="sl-SI"/>
        </w:rPr>
        <w:t xml:space="preserve"> šoką).</w:t>
      </w:r>
    </w:p>
    <w:p w14:paraId="56E97D32" w14:textId="77777777" w:rsidR="00D25008" w:rsidRDefault="00FE2A61">
      <w:pPr>
        <w:numPr>
          <w:ilvl w:val="0"/>
          <w:numId w:val="17"/>
        </w:numPr>
        <w:autoSpaceDE w:val="0"/>
        <w:autoSpaceDN w:val="0"/>
        <w:adjustRightInd w:val="0"/>
        <w:ind w:left="567" w:hanging="567"/>
        <w:contextualSpacing/>
        <w:rPr>
          <w:rFonts w:eastAsia="Calibri"/>
          <w:szCs w:val="22"/>
          <w:lang w:eastAsia="sl-SI"/>
        </w:rPr>
      </w:pPr>
      <w:r>
        <w:rPr>
          <w:szCs w:val="22"/>
          <w:lang w:eastAsia="sl-SI"/>
        </w:rPr>
        <w:t>Širdies nepakankamumas po ūminio miokardo infarkto, kai hemodinamika nestabili.</w:t>
      </w:r>
    </w:p>
    <w:p w14:paraId="5674DD8D" w14:textId="77777777" w:rsidR="00D25008" w:rsidRDefault="00FE2A61">
      <w:pPr>
        <w:numPr>
          <w:ilvl w:val="0"/>
          <w:numId w:val="17"/>
        </w:numPr>
        <w:autoSpaceDE w:val="0"/>
        <w:autoSpaceDN w:val="0"/>
        <w:adjustRightInd w:val="0"/>
        <w:ind w:left="567" w:hanging="567"/>
        <w:contextualSpacing/>
        <w:rPr>
          <w:rFonts w:eastAsia="Calibri"/>
          <w:szCs w:val="22"/>
          <w:lang w:eastAsia="sl-SI"/>
        </w:rPr>
      </w:pPr>
      <w:r>
        <w:rPr>
          <w:szCs w:val="22"/>
          <w:lang w:eastAsia="sl-SI"/>
        </w:rPr>
        <w:t>Kraujo ištekėjimo iš kairiojo širdies skilvelio obstrukcija (pvz., sunki aortos stenozė).</w:t>
      </w:r>
    </w:p>
    <w:p w14:paraId="5C6443C3" w14:textId="77777777" w:rsidR="00D25008" w:rsidRDefault="00D25008">
      <w:pPr>
        <w:autoSpaceDE w:val="0"/>
        <w:autoSpaceDN w:val="0"/>
        <w:adjustRightInd w:val="0"/>
        <w:contextualSpacing/>
        <w:rPr>
          <w:szCs w:val="22"/>
          <w:lang w:eastAsia="sl-SI"/>
        </w:rPr>
      </w:pPr>
    </w:p>
    <w:p w14:paraId="0D886C01" w14:textId="77777777" w:rsidR="00D25008" w:rsidRDefault="00FE2A61">
      <w:pPr>
        <w:widowControl w:val="0"/>
        <w:tabs>
          <w:tab w:val="left" w:pos="567"/>
        </w:tabs>
        <w:rPr>
          <w:szCs w:val="22"/>
          <w:lang w:eastAsia="sl-SI"/>
        </w:rPr>
      </w:pPr>
      <w:r>
        <w:rPr>
          <w:szCs w:val="22"/>
          <w:lang w:eastAsia="sl-SI"/>
        </w:rPr>
        <w:t>Pacientams, kurie serga cukriniu diabetu arba kurių inkstų funkcija sutrikusi (</w:t>
      </w:r>
      <w:proofErr w:type="spellStart"/>
      <w:r>
        <w:rPr>
          <w:szCs w:val="22"/>
          <w:lang w:eastAsia="sl-SI"/>
        </w:rPr>
        <w:t>glomerulų</w:t>
      </w:r>
      <w:proofErr w:type="spellEnd"/>
      <w:r>
        <w:rPr>
          <w:szCs w:val="22"/>
          <w:lang w:eastAsia="sl-SI"/>
        </w:rPr>
        <w:t xml:space="preserve"> filtracijos greitis (GFG) &lt; 60 ml/min./1,73 m</w:t>
      </w:r>
      <w:r>
        <w:rPr>
          <w:szCs w:val="22"/>
          <w:vertAlign w:val="superscript"/>
          <w:lang w:eastAsia="sl-SI"/>
        </w:rPr>
        <w:t>2</w:t>
      </w:r>
      <w:r>
        <w:rPr>
          <w:szCs w:val="22"/>
          <w:lang w:eastAsia="sl-SI"/>
        </w:rPr>
        <w:t xml:space="preserve">), </w:t>
      </w:r>
      <w:proofErr w:type="spellStart"/>
      <w:r>
        <w:rPr>
          <w:rFonts w:eastAsia="Calibri"/>
          <w:szCs w:val="22"/>
          <w:lang w:eastAsia="sl-SI"/>
        </w:rPr>
        <w:t>Tolvecom</w:t>
      </w:r>
      <w:proofErr w:type="spellEnd"/>
      <w:r>
        <w:rPr>
          <w:rFonts w:eastAsia="Calibri"/>
          <w:szCs w:val="22"/>
          <w:lang w:eastAsia="sl-SI"/>
        </w:rPr>
        <w:t xml:space="preserve"> </w:t>
      </w:r>
      <w:r>
        <w:rPr>
          <w:szCs w:val="22"/>
          <w:lang w:eastAsia="sl-SI"/>
        </w:rPr>
        <w:t xml:space="preserve">draudžiama vartoti kartu su vaistiniais preparatais, kurių sudėtyje yra </w:t>
      </w:r>
      <w:proofErr w:type="spellStart"/>
      <w:r>
        <w:rPr>
          <w:szCs w:val="22"/>
          <w:lang w:eastAsia="sl-SI"/>
        </w:rPr>
        <w:t>aliskireno</w:t>
      </w:r>
      <w:proofErr w:type="spellEnd"/>
      <w:r>
        <w:rPr>
          <w:szCs w:val="22"/>
          <w:lang w:eastAsia="sl-SI"/>
        </w:rPr>
        <w:t xml:space="preserve"> (žr. 4.5 ir 5.1 skyrius).</w:t>
      </w:r>
    </w:p>
    <w:p w14:paraId="45A425E0" w14:textId="77777777" w:rsidR="00D25008" w:rsidRDefault="00D25008">
      <w:pPr>
        <w:widowControl w:val="0"/>
        <w:tabs>
          <w:tab w:val="left" w:pos="567"/>
        </w:tabs>
        <w:rPr>
          <w:szCs w:val="22"/>
          <w:lang w:eastAsia="sl-SI"/>
        </w:rPr>
      </w:pPr>
    </w:p>
    <w:p w14:paraId="454DCF1A" w14:textId="77777777" w:rsidR="00D25008" w:rsidRDefault="00FE2A61">
      <w:pPr>
        <w:widowControl w:val="0"/>
        <w:tabs>
          <w:tab w:val="left" w:pos="567"/>
        </w:tabs>
        <w:rPr>
          <w:szCs w:val="22"/>
          <w:lang w:eastAsia="sl-SI"/>
        </w:rPr>
      </w:pPr>
      <w:r>
        <w:rPr>
          <w:b/>
          <w:szCs w:val="22"/>
          <w:lang w:eastAsia="sl-SI"/>
        </w:rPr>
        <w:t>4.4</w:t>
      </w:r>
      <w:r>
        <w:rPr>
          <w:b/>
          <w:szCs w:val="22"/>
          <w:lang w:eastAsia="sl-SI"/>
        </w:rPr>
        <w:tab/>
        <w:t>Specialūs įspėjimai ir atsargumo priemonės</w:t>
      </w:r>
    </w:p>
    <w:p w14:paraId="550EF249" w14:textId="77777777" w:rsidR="00D25008" w:rsidRDefault="00D25008">
      <w:pPr>
        <w:widowControl w:val="0"/>
        <w:tabs>
          <w:tab w:val="left" w:pos="567"/>
        </w:tabs>
        <w:rPr>
          <w:szCs w:val="22"/>
          <w:lang w:eastAsia="sl-SI"/>
        </w:rPr>
      </w:pPr>
    </w:p>
    <w:p w14:paraId="3971AC31" w14:textId="77777777" w:rsidR="00D25008" w:rsidRDefault="00FE2A61">
      <w:pPr>
        <w:autoSpaceDE w:val="0"/>
        <w:autoSpaceDN w:val="0"/>
        <w:adjustRightInd w:val="0"/>
        <w:rPr>
          <w:szCs w:val="22"/>
          <w:u w:val="single"/>
          <w:lang w:eastAsia="sl-SI"/>
        </w:rPr>
      </w:pPr>
      <w:r>
        <w:rPr>
          <w:szCs w:val="22"/>
          <w:u w:val="single"/>
          <w:lang w:eastAsia="sl-SI"/>
        </w:rPr>
        <w:t>Nėštumas</w:t>
      </w:r>
    </w:p>
    <w:p w14:paraId="58E7AD30" w14:textId="767B0AFF" w:rsidR="00D25008" w:rsidRDefault="00FE2A61">
      <w:pPr>
        <w:widowControl w:val="0"/>
        <w:tabs>
          <w:tab w:val="left" w:pos="567"/>
        </w:tabs>
        <w:rPr>
          <w:snapToGrid w:val="0"/>
          <w:szCs w:val="22"/>
        </w:rPr>
      </w:pPr>
      <w:r>
        <w:rPr>
          <w:snapToGrid w:val="0"/>
          <w:szCs w:val="22"/>
        </w:rPr>
        <w:t xml:space="preserve">Nėščių moterų pradėti gydyti </w:t>
      </w:r>
      <w:proofErr w:type="spellStart"/>
      <w:r>
        <w:rPr>
          <w:snapToGrid w:val="0"/>
          <w:szCs w:val="22"/>
        </w:rPr>
        <w:t>angiotenzino</w:t>
      </w:r>
      <w:proofErr w:type="spellEnd"/>
      <w:r>
        <w:rPr>
          <w:snapToGrid w:val="0"/>
          <w:szCs w:val="22"/>
        </w:rPr>
        <w:t xml:space="preserve"> II receptorių </w:t>
      </w:r>
      <w:r w:rsidR="001C4737">
        <w:rPr>
          <w:snapToGrid w:val="0"/>
          <w:szCs w:val="22"/>
        </w:rPr>
        <w:t>blokatoriais</w:t>
      </w:r>
      <w:r>
        <w:rPr>
          <w:snapToGrid w:val="0"/>
          <w:szCs w:val="22"/>
        </w:rPr>
        <w:t xml:space="preserve"> negalima. Išskyrus atvejus, kai tolesnis gydymas </w:t>
      </w:r>
      <w:proofErr w:type="spellStart"/>
      <w:r>
        <w:rPr>
          <w:snapToGrid w:val="0"/>
          <w:szCs w:val="22"/>
        </w:rPr>
        <w:t>angiotenzino</w:t>
      </w:r>
      <w:proofErr w:type="spellEnd"/>
      <w:r>
        <w:rPr>
          <w:snapToGrid w:val="0"/>
          <w:szCs w:val="22"/>
        </w:rPr>
        <w:t xml:space="preserve"> II receptorių </w:t>
      </w:r>
      <w:r w:rsidR="001C4737">
        <w:rPr>
          <w:snapToGrid w:val="0"/>
          <w:szCs w:val="22"/>
        </w:rPr>
        <w:t>blokatoriais</w:t>
      </w:r>
      <w:r>
        <w:rPr>
          <w:snapToGrid w:val="0"/>
          <w:szCs w:val="22"/>
        </w:rPr>
        <w:t xml:space="preserve"> yra būtinas, pastoti planuojančioms moterims juos reikia keisti kitokiais </w:t>
      </w:r>
      <w:proofErr w:type="spellStart"/>
      <w:r>
        <w:rPr>
          <w:snapToGrid w:val="0"/>
          <w:szCs w:val="22"/>
        </w:rPr>
        <w:t>antihipertenziniais</w:t>
      </w:r>
      <w:proofErr w:type="spellEnd"/>
      <w:r>
        <w:rPr>
          <w:snapToGrid w:val="0"/>
          <w:szCs w:val="22"/>
        </w:rPr>
        <w:t xml:space="preserve"> vaistiniais preparatais, kurių vartojimo saugumas nėštumo metu ištirtas. Nustačius nėštumą, gydymą </w:t>
      </w:r>
      <w:proofErr w:type="spellStart"/>
      <w:r>
        <w:rPr>
          <w:snapToGrid w:val="0"/>
          <w:szCs w:val="22"/>
        </w:rPr>
        <w:t>angiotenzino</w:t>
      </w:r>
      <w:proofErr w:type="spellEnd"/>
      <w:r>
        <w:rPr>
          <w:snapToGrid w:val="0"/>
          <w:szCs w:val="22"/>
        </w:rPr>
        <w:t xml:space="preserve"> II receptorių </w:t>
      </w:r>
      <w:r w:rsidR="001C4737">
        <w:rPr>
          <w:snapToGrid w:val="0"/>
          <w:szCs w:val="22"/>
        </w:rPr>
        <w:t>blokatoriais</w:t>
      </w:r>
      <w:r>
        <w:rPr>
          <w:snapToGrid w:val="0"/>
          <w:szCs w:val="22"/>
        </w:rPr>
        <w:t xml:space="preserve"> būtina nedelsiant nutraukti ir, jei reikia, pradėti kitokį tinkamą gydymą (žr. 4.3 ir 4.6 skyrius).</w:t>
      </w:r>
    </w:p>
    <w:p w14:paraId="4AEBFF07" w14:textId="77777777" w:rsidR="00D25008" w:rsidRDefault="00D25008">
      <w:pPr>
        <w:autoSpaceDE w:val="0"/>
        <w:autoSpaceDN w:val="0"/>
        <w:adjustRightInd w:val="0"/>
        <w:rPr>
          <w:szCs w:val="22"/>
          <w:lang w:eastAsia="sl-SI"/>
        </w:rPr>
      </w:pPr>
    </w:p>
    <w:p w14:paraId="5AA37B4B" w14:textId="77777777" w:rsidR="00D25008" w:rsidRDefault="00FE2A61">
      <w:pPr>
        <w:autoSpaceDE w:val="0"/>
        <w:autoSpaceDN w:val="0"/>
        <w:adjustRightInd w:val="0"/>
        <w:rPr>
          <w:szCs w:val="22"/>
          <w:u w:val="single"/>
          <w:lang w:eastAsia="sl-SI"/>
        </w:rPr>
      </w:pPr>
      <w:r>
        <w:rPr>
          <w:szCs w:val="22"/>
          <w:u w:val="single"/>
          <w:lang w:eastAsia="sl-SI"/>
        </w:rPr>
        <w:t>Sutrikusi kepenų funkcija</w:t>
      </w:r>
    </w:p>
    <w:p w14:paraId="4CBDDE96" w14:textId="77777777" w:rsidR="00D25008" w:rsidRDefault="00FE2A61">
      <w:pPr>
        <w:autoSpaceDE w:val="0"/>
        <w:autoSpaceDN w:val="0"/>
        <w:adjustRightInd w:val="0"/>
        <w:rPr>
          <w:szCs w:val="22"/>
          <w:lang w:eastAsia="sl-SI"/>
        </w:rPr>
      </w:pPr>
      <w:proofErr w:type="spellStart"/>
      <w:r>
        <w:rPr>
          <w:szCs w:val="22"/>
          <w:lang w:eastAsia="sl-SI"/>
        </w:rPr>
        <w:t>Tolvecom</w:t>
      </w:r>
      <w:proofErr w:type="spellEnd"/>
      <w:r>
        <w:rPr>
          <w:szCs w:val="22"/>
          <w:lang w:eastAsia="sl-SI"/>
        </w:rPr>
        <w:t xml:space="preserve"> draudžiama skirti pacientams, kuriems yra</w:t>
      </w:r>
      <w:r>
        <w:rPr>
          <w:sz w:val="24"/>
          <w:szCs w:val="20"/>
          <w:lang w:eastAsia="sl-SI"/>
        </w:rPr>
        <w:t xml:space="preserve"> </w:t>
      </w:r>
      <w:proofErr w:type="spellStart"/>
      <w:r>
        <w:rPr>
          <w:sz w:val="24"/>
          <w:szCs w:val="20"/>
          <w:lang w:eastAsia="sl-SI"/>
        </w:rPr>
        <w:t>c</w:t>
      </w:r>
      <w:r>
        <w:rPr>
          <w:szCs w:val="22"/>
          <w:lang w:eastAsia="sl-SI"/>
        </w:rPr>
        <w:t>holestazė</w:t>
      </w:r>
      <w:proofErr w:type="spellEnd"/>
      <w:r>
        <w:rPr>
          <w:szCs w:val="22"/>
          <w:lang w:eastAsia="sl-SI"/>
        </w:rPr>
        <w:t xml:space="preserve">, tulžies nutekėjimo obstrukcija pasireiškiantis sutrikimas ar sunkus kepenų funkcijos sutrikimas (žr. 4.3 skyrių), kadangi </w:t>
      </w:r>
      <w:proofErr w:type="spellStart"/>
      <w:r>
        <w:rPr>
          <w:szCs w:val="22"/>
          <w:lang w:eastAsia="sl-SI"/>
        </w:rPr>
        <w:t>telmisartanas</w:t>
      </w:r>
      <w:proofErr w:type="spellEnd"/>
      <w:r>
        <w:rPr>
          <w:szCs w:val="22"/>
          <w:lang w:eastAsia="sl-SI"/>
        </w:rPr>
        <w:t xml:space="preserve"> daugiausiai šalinamas su tulžimi. Tikėtina, kad tokiems pacientams </w:t>
      </w:r>
      <w:proofErr w:type="spellStart"/>
      <w:r>
        <w:rPr>
          <w:szCs w:val="22"/>
          <w:lang w:eastAsia="sl-SI"/>
        </w:rPr>
        <w:t>telmisartano</w:t>
      </w:r>
      <w:proofErr w:type="spellEnd"/>
      <w:r>
        <w:rPr>
          <w:szCs w:val="22"/>
          <w:lang w:eastAsia="sl-SI"/>
        </w:rPr>
        <w:t xml:space="preserve"> kepenų klirensas bus sumažėjęs.</w:t>
      </w:r>
    </w:p>
    <w:p w14:paraId="2B110160" w14:textId="77777777" w:rsidR="00D25008" w:rsidRDefault="00D25008">
      <w:pPr>
        <w:autoSpaceDE w:val="0"/>
        <w:autoSpaceDN w:val="0"/>
        <w:adjustRightInd w:val="0"/>
        <w:rPr>
          <w:szCs w:val="22"/>
          <w:lang w:eastAsia="sl-SI"/>
        </w:rPr>
      </w:pPr>
    </w:p>
    <w:p w14:paraId="466E9465" w14:textId="77777777" w:rsidR="00D25008" w:rsidRDefault="00FE2A61">
      <w:pPr>
        <w:autoSpaceDE w:val="0"/>
        <w:autoSpaceDN w:val="0"/>
        <w:adjustRightInd w:val="0"/>
        <w:rPr>
          <w:szCs w:val="22"/>
          <w:lang w:eastAsia="sl-SI"/>
        </w:rPr>
      </w:pPr>
      <w:r>
        <w:rPr>
          <w:szCs w:val="22"/>
          <w:lang w:eastAsia="sl-SI"/>
        </w:rPr>
        <w:t xml:space="preserve">Be to, </w:t>
      </w:r>
      <w:proofErr w:type="spellStart"/>
      <w:r>
        <w:rPr>
          <w:szCs w:val="22"/>
          <w:lang w:eastAsia="sl-SI"/>
        </w:rPr>
        <w:t>Tolvecom</w:t>
      </w:r>
      <w:proofErr w:type="spellEnd"/>
      <w:r>
        <w:rPr>
          <w:szCs w:val="22"/>
          <w:lang w:eastAsia="sl-SI"/>
        </w:rPr>
        <w:t xml:space="preserve"> būtina atsargiai skirti pacientams, kuriems yra kepenų funkcijos sutrikimas ar kurie serga progresuojančia kepenų liga, nes net ir nežymus skysčio ir elektrolitų pusiausvyros sutrikimas gali paskatinti kepenų komos pasireiškimą. Klinikinės </w:t>
      </w:r>
      <w:proofErr w:type="spellStart"/>
      <w:r>
        <w:rPr>
          <w:szCs w:val="22"/>
          <w:lang w:eastAsia="sl-SI"/>
        </w:rPr>
        <w:t>Tolvecom</w:t>
      </w:r>
      <w:proofErr w:type="spellEnd"/>
      <w:r>
        <w:rPr>
          <w:szCs w:val="22"/>
          <w:lang w:eastAsia="sl-SI"/>
        </w:rPr>
        <w:t xml:space="preserve"> vartojimo patirties pacientams, kurių kepenų funkcija sutrikusi, nėra.</w:t>
      </w:r>
    </w:p>
    <w:p w14:paraId="1B3FBC56" w14:textId="77777777" w:rsidR="00D25008" w:rsidRDefault="00D25008">
      <w:pPr>
        <w:autoSpaceDE w:val="0"/>
        <w:autoSpaceDN w:val="0"/>
        <w:adjustRightInd w:val="0"/>
        <w:rPr>
          <w:szCs w:val="22"/>
          <w:lang w:eastAsia="sl-SI"/>
        </w:rPr>
      </w:pPr>
    </w:p>
    <w:p w14:paraId="7728FA51" w14:textId="77777777" w:rsidR="00D25008" w:rsidRDefault="00FE2A61">
      <w:pPr>
        <w:widowControl w:val="0"/>
        <w:rPr>
          <w:szCs w:val="22"/>
          <w:lang w:eastAsia="sl-SI"/>
        </w:rPr>
      </w:pPr>
      <w:r>
        <w:rPr>
          <w:szCs w:val="22"/>
          <w:lang w:eastAsia="sl-SI"/>
        </w:rPr>
        <w:t xml:space="preserve">Pacientams, kurių kepenų funkcija sutrikusi, </w:t>
      </w:r>
      <w:proofErr w:type="spellStart"/>
      <w:r>
        <w:rPr>
          <w:szCs w:val="22"/>
          <w:lang w:eastAsia="sl-SI"/>
        </w:rPr>
        <w:t>amlodipino</w:t>
      </w:r>
      <w:proofErr w:type="spellEnd"/>
      <w:r>
        <w:rPr>
          <w:szCs w:val="22"/>
          <w:lang w:eastAsia="sl-SI"/>
        </w:rPr>
        <w:t xml:space="preserve"> pusinės eliminacijos laikas pailgėja, o AUC rodmenys yra didesni. Didinant </w:t>
      </w:r>
      <w:proofErr w:type="spellStart"/>
      <w:r>
        <w:rPr>
          <w:szCs w:val="22"/>
          <w:lang w:eastAsia="sl-SI"/>
        </w:rPr>
        <w:t>amlodipino</w:t>
      </w:r>
      <w:proofErr w:type="spellEnd"/>
      <w:r>
        <w:rPr>
          <w:szCs w:val="22"/>
          <w:lang w:eastAsia="sl-SI"/>
        </w:rPr>
        <w:t xml:space="preserve"> dozę būtina imtis atsargumo priemonių.</w:t>
      </w:r>
    </w:p>
    <w:p w14:paraId="7A17F5C6" w14:textId="77777777" w:rsidR="00D25008" w:rsidRDefault="00D25008">
      <w:pPr>
        <w:autoSpaceDE w:val="0"/>
        <w:autoSpaceDN w:val="0"/>
        <w:adjustRightInd w:val="0"/>
        <w:rPr>
          <w:szCs w:val="22"/>
          <w:lang w:eastAsia="sl-SI"/>
        </w:rPr>
      </w:pPr>
    </w:p>
    <w:p w14:paraId="043CB2FB" w14:textId="77777777" w:rsidR="00D25008" w:rsidRPr="00120FB4" w:rsidRDefault="00FE2A61">
      <w:pPr>
        <w:autoSpaceDE w:val="0"/>
        <w:autoSpaceDN w:val="0"/>
        <w:adjustRightInd w:val="0"/>
        <w:rPr>
          <w:color w:val="000000"/>
          <w:szCs w:val="22"/>
          <w:u w:val="single"/>
          <w:lang w:eastAsia="lt-LT"/>
        </w:rPr>
      </w:pPr>
      <w:r w:rsidRPr="00120FB4">
        <w:rPr>
          <w:color w:val="000000"/>
          <w:szCs w:val="22"/>
          <w:u w:val="single"/>
          <w:lang w:eastAsia="lt-LT"/>
        </w:rPr>
        <w:t xml:space="preserve">Žarnyno </w:t>
      </w:r>
      <w:proofErr w:type="spellStart"/>
      <w:r w:rsidRPr="00120FB4">
        <w:rPr>
          <w:color w:val="000000"/>
          <w:szCs w:val="22"/>
          <w:u w:val="single"/>
          <w:lang w:eastAsia="lt-LT"/>
        </w:rPr>
        <w:t>angioneurozinė</w:t>
      </w:r>
      <w:proofErr w:type="spellEnd"/>
      <w:r w:rsidRPr="00120FB4">
        <w:rPr>
          <w:color w:val="000000"/>
          <w:szCs w:val="22"/>
          <w:u w:val="single"/>
          <w:lang w:eastAsia="lt-LT"/>
        </w:rPr>
        <w:t xml:space="preserve"> edema</w:t>
      </w:r>
    </w:p>
    <w:p w14:paraId="27AAF903" w14:textId="6741BF06" w:rsidR="00D25008" w:rsidRPr="00120FB4" w:rsidRDefault="00FE2A61">
      <w:pPr>
        <w:autoSpaceDE w:val="0"/>
        <w:autoSpaceDN w:val="0"/>
        <w:adjustRightInd w:val="0"/>
        <w:rPr>
          <w:color w:val="000000"/>
          <w:szCs w:val="22"/>
          <w:lang w:eastAsia="lt-LT"/>
        </w:rPr>
      </w:pPr>
      <w:r w:rsidRPr="00120FB4">
        <w:rPr>
          <w:color w:val="000000"/>
          <w:szCs w:val="22"/>
          <w:lang w:eastAsia="lt-LT"/>
        </w:rPr>
        <w:t xml:space="preserve">Gauta pranešimų apie žarnyno </w:t>
      </w:r>
      <w:proofErr w:type="spellStart"/>
      <w:r w:rsidRPr="00120FB4">
        <w:rPr>
          <w:color w:val="000000"/>
          <w:szCs w:val="22"/>
          <w:lang w:eastAsia="lt-LT"/>
        </w:rPr>
        <w:t>angioneurozinės</w:t>
      </w:r>
      <w:proofErr w:type="spellEnd"/>
      <w:r w:rsidRPr="00120FB4">
        <w:rPr>
          <w:color w:val="000000"/>
          <w:szCs w:val="22"/>
          <w:lang w:eastAsia="lt-LT"/>
        </w:rPr>
        <w:t xml:space="preserve"> edemos atvejus, pasireiškusius pacientams, gydomiems </w:t>
      </w:r>
      <w:proofErr w:type="spellStart"/>
      <w:r w:rsidRPr="00120FB4">
        <w:rPr>
          <w:color w:val="000000"/>
          <w:szCs w:val="22"/>
          <w:lang w:eastAsia="lt-LT"/>
        </w:rPr>
        <w:t>angiotenzino</w:t>
      </w:r>
      <w:proofErr w:type="spellEnd"/>
      <w:r w:rsidRPr="00120FB4">
        <w:rPr>
          <w:color w:val="000000"/>
          <w:szCs w:val="22"/>
          <w:lang w:eastAsia="lt-LT"/>
        </w:rPr>
        <w:t xml:space="preserve"> II receptorių </w:t>
      </w:r>
      <w:r w:rsidR="001C4737">
        <w:rPr>
          <w:color w:val="000000"/>
          <w:szCs w:val="22"/>
          <w:lang w:eastAsia="lt-LT"/>
        </w:rPr>
        <w:t>blokatoriais</w:t>
      </w:r>
      <w:r w:rsidRPr="00120FB4">
        <w:rPr>
          <w:color w:val="000000"/>
          <w:szCs w:val="22"/>
          <w:lang w:eastAsia="lt-LT"/>
        </w:rPr>
        <w:t xml:space="preserve"> (žr. 4.8 skyrių). Šiems pacientams pasireiškė pilvo skausmas, pykinimas, vėmimas ir viduriavimas. Nutraukus </w:t>
      </w:r>
      <w:proofErr w:type="spellStart"/>
      <w:r w:rsidRPr="00120FB4">
        <w:rPr>
          <w:color w:val="000000"/>
          <w:szCs w:val="22"/>
          <w:lang w:eastAsia="lt-LT"/>
        </w:rPr>
        <w:t>angiotenzino</w:t>
      </w:r>
      <w:proofErr w:type="spellEnd"/>
      <w:r w:rsidRPr="00120FB4">
        <w:rPr>
          <w:color w:val="000000"/>
          <w:szCs w:val="22"/>
          <w:lang w:eastAsia="lt-LT"/>
        </w:rPr>
        <w:t xml:space="preserve"> II receptorių </w:t>
      </w:r>
      <w:r w:rsidR="001C4737">
        <w:rPr>
          <w:color w:val="000000"/>
          <w:szCs w:val="22"/>
          <w:lang w:eastAsia="lt-LT"/>
        </w:rPr>
        <w:t>blokatorių</w:t>
      </w:r>
      <w:r w:rsidRPr="00120FB4">
        <w:rPr>
          <w:color w:val="000000"/>
          <w:szCs w:val="22"/>
          <w:lang w:eastAsia="lt-LT"/>
        </w:rPr>
        <w:t xml:space="preserve"> vartojimą, simptomai išnyko. Diagnozavus žarnyno </w:t>
      </w:r>
      <w:proofErr w:type="spellStart"/>
      <w:r w:rsidRPr="00120FB4">
        <w:rPr>
          <w:color w:val="000000"/>
          <w:szCs w:val="22"/>
          <w:lang w:eastAsia="lt-LT"/>
        </w:rPr>
        <w:t>angioneurozinę</w:t>
      </w:r>
      <w:proofErr w:type="spellEnd"/>
      <w:r w:rsidRPr="00120FB4">
        <w:rPr>
          <w:color w:val="000000"/>
          <w:szCs w:val="22"/>
          <w:lang w:eastAsia="lt-LT"/>
        </w:rPr>
        <w:t xml:space="preserve"> edemą, reikia nutraukti </w:t>
      </w:r>
      <w:r>
        <w:rPr>
          <w:noProof/>
          <w:szCs w:val="22"/>
        </w:rPr>
        <w:t>telmisartano</w:t>
      </w:r>
      <w:r>
        <w:rPr>
          <w:color w:val="000000"/>
          <w:szCs w:val="22"/>
          <w:lang w:eastAsia="lt-LT"/>
        </w:rPr>
        <w:t xml:space="preserve"> </w:t>
      </w:r>
      <w:r w:rsidRPr="00120FB4">
        <w:rPr>
          <w:color w:val="000000"/>
          <w:szCs w:val="22"/>
          <w:lang w:eastAsia="lt-LT"/>
        </w:rPr>
        <w:t>vartojimą ir pradėti atitinkamą stebėseną, kol simptomai visiškai išnyksta.</w:t>
      </w:r>
    </w:p>
    <w:p w14:paraId="651FB9E9" w14:textId="77777777" w:rsidR="00D25008" w:rsidRDefault="00D25008">
      <w:pPr>
        <w:autoSpaceDE w:val="0"/>
        <w:autoSpaceDN w:val="0"/>
        <w:adjustRightInd w:val="0"/>
        <w:rPr>
          <w:szCs w:val="22"/>
          <w:lang w:eastAsia="sl-SI"/>
        </w:rPr>
      </w:pPr>
    </w:p>
    <w:p w14:paraId="0D2C06F9" w14:textId="77777777" w:rsidR="00D25008" w:rsidRDefault="00FE2A61">
      <w:pPr>
        <w:autoSpaceDE w:val="0"/>
        <w:autoSpaceDN w:val="0"/>
        <w:adjustRightInd w:val="0"/>
        <w:rPr>
          <w:szCs w:val="22"/>
          <w:u w:val="single"/>
          <w:lang w:eastAsia="sl-SI"/>
        </w:rPr>
      </w:pPr>
      <w:proofErr w:type="spellStart"/>
      <w:r>
        <w:rPr>
          <w:szCs w:val="22"/>
          <w:u w:val="single"/>
          <w:lang w:eastAsia="sl-SI"/>
        </w:rPr>
        <w:t>Renovaskulinė</w:t>
      </w:r>
      <w:proofErr w:type="spellEnd"/>
      <w:r>
        <w:rPr>
          <w:szCs w:val="22"/>
          <w:u w:val="single"/>
          <w:lang w:eastAsia="sl-SI"/>
        </w:rPr>
        <w:t xml:space="preserve"> hipertenzija</w:t>
      </w:r>
    </w:p>
    <w:p w14:paraId="6D144470" w14:textId="77777777" w:rsidR="00D25008" w:rsidRDefault="00FE2A61">
      <w:pPr>
        <w:autoSpaceDE w:val="0"/>
        <w:autoSpaceDN w:val="0"/>
        <w:adjustRightInd w:val="0"/>
        <w:rPr>
          <w:szCs w:val="22"/>
          <w:lang w:eastAsia="sl-SI"/>
        </w:rPr>
      </w:pPr>
      <w:r>
        <w:rPr>
          <w:szCs w:val="22"/>
          <w:lang w:eastAsia="sl-SI"/>
        </w:rPr>
        <w:t xml:space="preserve">Pacientus, kuriems yra abiejų inkstų arterijos stenozė arba vienintelio funkcionuojančio inksto arterijos stenozė, gydant vaistiniais preparatais, veikiančiais </w:t>
      </w:r>
      <w:proofErr w:type="spellStart"/>
      <w:r>
        <w:rPr>
          <w:szCs w:val="22"/>
          <w:lang w:eastAsia="sl-SI"/>
        </w:rPr>
        <w:t>renino</w:t>
      </w:r>
      <w:proofErr w:type="spellEnd"/>
      <w:r>
        <w:rPr>
          <w:szCs w:val="22"/>
          <w:lang w:eastAsia="sl-SI"/>
        </w:rPr>
        <w:t xml:space="preserve">, </w:t>
      </w:r>
      <w:proofErr w:type="spellStart"/>
      <w:r>
        <w:rPr>
          <w:szCs w:val="22"/>
          <w:lang w:eastAsia="sl-SI"/>
        </w:rPr>
        <w:t>angiotenzino</w:t>
      </w:r>
      <w:proofErr w:type="spellEnd"/>
      <w:r>
        <w:rPr>
          <w:szCs w:val="22"/>
          <w:lang w:eastAsia="sl-SI"/>
        </w:rPr>
        <w:t xml:space="preserve"> ir </w:t>
      </w:r>
      <w:proofErr w:type="spellStart"/>
      <w:r>
        <w:rPr>
          <w:szCs w:val="22"/>
          <w:lang w:eastAsia="sl-SI"/>
        </w:rPr>
        <w:t>aldosterono</w:t>
      </w:r>
      <w:proofErr w:type="spellEnd"/>
      <w:r>
        <w:rPr>
          <w:szCs w:val="22"/>
          <w:lang w:eastAsia="sl-SI"/>
        </w:rPr>
        <w:t xml:space="preserve"> sistemą, yra didesnė sunkios </w:t>
      </w:r>
      <w:proofErr w:type="spellStart"/>
      <w:r>
        <w:rPr>
          <w:szCs w:val="22"/>
          <w:lang w:eastAsia="sl-SI"/>
        </w:rPr>
        <w:t>hipotenzijos</w:t>
      </w:r>
      <w:proofErr w:type="spellEnd"/>
      <w:r>
        <w:rPr>
          <w:szCs w:val="22"/>
          <w:lang w:eastAsia="sl-SI"/>
        </w:rPr>
        <w:t xml:space="preserve"> ir inkstų nepakankamumo pasireiškimo rizika.</w:t>
      </w:r>
    </w:p>
    <w:p w14:paraId="3D926F8E" w14:textId="77777777" w:rsidR="00D25008" w:rsidRDefault="00D25008">
      <w:pPr>
        <w:autoSpaceDE w:val="0"/>
        <w:autoSpaceDN w:val="0"/>
        <w:adjustRightInd w:val="0"/>
        <w:rPr>
          <w:szCs w:val="22"/>
          <w:lang w:eastAsia="sl-SI"/>
        </w:rPr>
      </w:pPr>
    </w:p>
    <w:p w14:paraId="35CE5F99" w14:textId="77777777" w:rsidR="00D25008" w:rsidRDefault="00FE2A61">
      <w:pPr>
        <w:autoSpaceDE w:val="0"/>
        <w:autoSpaceDN w:val="0"/>
        <w:adjustRightInd w:val="0"/>
        <w:rPr>
          <w:szCs w:val="22"/>
          <w:u w:val="single"/>
          <w:lang w:eastAsia="sl-SI"/>
        </w:rPr>
      </w:pPr>
      <w:r>
        <w:rPr>
          <w:szCs w:val="22"/>
          <w:u w:val="single"/>
          <w:lang w:eastAsia="sl-SI"/>
        </w:rPr>
        <w:t>Inkstų funkcijos sutrikimas ir inkstų persodinimas</w:t>
      </w:r>
    </w:p>
    <w:p w14:paraId="49362F39" w14:textId="5CACCB44" w:rsidR="00D25008" w:rsidRDefault="00FE2A61">
      <w:pPr>
        <w:autoSpaceDE w:val="0"/>
        <w:autoSpaceDN w:val="0"/>
        <w:adjustRightInd w:val="0"/>
        <w:rPr>
          <w:szCs w:val="22"/>
          <w:lang w:eastAsia="sl-SI"/>
        </w:rPr>
      </w:pPr>
      <w:proofErr w:type="spellStart"/>
      <w:r>
        <w:rPr>
          <w:szCs w:val="22"/>
          <w:lang w:eastAsia="sl-SI"/>
        </w:rPr>
        <w:t>Tolvecom</w:t>
      </w:r>
      <w:proofErr w:type="spellEnd"/>
      <w:r>
        <w:rPr>
          <w:szCs w:val="22"/>
          <w:lang w:eastAsia="sl-SI"/>
        </w:rPr>
        <w:t xml:space="preserve"> draudžiama vartoti pacientams, kuriems yra s</w:t>
      </w:r>
      <w:r>
        <w:rPr>
          <w:rFonts w:eastAsia="Calibri"/>
          <w:szCs w:val="22"/>
          <w:lang w:eastAsia="sl-SI"/>
        </w:rPr>
        <w:t>unkus inkstų funkcijos sutrikimas (kreatinino klirensas &lt;</w:t>
      </w:r>
      <w:r w:rsidR="006E7A19">
        <w:rPr>
          <w:rFonts w:eastAsia="Calibri"/>
          <w:szCs w:val="22"/>
          <w:lang w:eastAsia="sl-SI"/>
        </w:rPr>
        <w:t> </w:t>
      </w:r>
      <w:r>
        <w:rPr>
          <w:rFonts w:eastAsia="Calibri"/>
          <w:szCs w:val="22"/>
          <w:lang w:eastAsia="sl-SI"/>
        </w:rPr>
        <w:t>30 ml/min.)</w:t>
      </w:r>
      <w:r>
        <w:rPr>
          <w:szCs w:val="22"/>
          <w:lang w:eastAsia="sl-SI"/>
        </w:rPr>
        <w:t xml:space="preserve"> (žr. 4.3 skyrių). Patirties </w:t>
      </w:r>
      <w:proofErr w:type="spellStart"/>
      <w:r>
        <w:rPr>
          <w:szCs w:val="22"/>
          <w:lang w:eastAsia="sl-SI"/>
        </w:rPr>
        <w:t>Tolvecom</w:t>
      </w:r>
      <w:proofErr w:type="spellEnd"/>
      <w:r>
        <w:rPr>
          <w:szCs w:val="22"/>
          <w:lang w:eastAsia="sl-SI"/>
        </w:rPr>
        <w:t xml:space="preserve"> skiriant pacientams, kuriems neseniai buvo persodintas inkstas, nėra. Patirties </w:t>
      </w:r>
      <w:proofErr w:type="spellStart"/>
      <w:r>
        <w:rPr>
          <w:szCs w:val="22"/>
          <w:lang w:eastAsia="sl-SI"/>
        </w:rPr>
        <w:t>Tolvecom</w:t>
      </w:r>
      <w:proofErr w:type="spellEnd"/>
      <w:r>
        <w:rPr>
          <w:szCs w:val="22"/>
          <w:lang w:eastAsia="sl-SI"/>
        </w:rPr>
        <w:t xml:space="preserve"> skiriant pacientams, kuriems yra lengvas ar vidutinio sunkumo inkstų funkcijos sutrikimas, yra nedaug, todėl tokiems pacientams rekomenduojama periodiškai tirti kalio, kreatinino ir šlapimo rūgšties koncentraciją kraujo serume. Pacientams, kurių inkstų funkcija sutrikusi, gali pasireikšti su </w:t>
      </w:r>
      <w:proofErr w:type="spellStart"/>
      <w:r>
        <w:rPr>
          <w:szCs w:val="22"/>
          <w:lang w:eastAsia="sl-SI"/>
        </w:rPr>
        <w:t>tiazidinių</w:t>
      </w:r>
      <w:proofErr w:type="spellEnd"/>
      <w:r>
        <w:rPr>
          <w:szCs w:val="22"/>
          <w:lang w:eastAsia="sl-SI"/>
        </w:rPr>
        <w:t xml:space="preserve"> diuretikų poveikiu susijusi </w:t>
      </w:r>
      <w:proofErr w:type="spellStart"/>
      <w:r>
        <w:rPr>
          <w:szCs w:val="22"/>
          <w:lang w:eastAsia="sl-SI"/>
        </w:rPr>
        <w:t>azotemija</w:t>
      </w:r>
      <w:proofErr w:type="spellEnd"/>
      <w:r>
        <w:rPr>
          <w:szCs w:val="22"/>
          <w:lang w:eastAsia="sl-SI"/>
        </w:rPr>
        <w:t>.</w:t>
      </w:r>
    </w:p>
    <w:p w14:paraId="3EBE71DA" w14:textId="77777777" w:rsidR="00D25008" w:rsidRDefault="00D25008">
      <w:pPr>
        <w:autoSpaceDE w:val="0"/>
        <w:autoSpaceDN w:val="0"/>
        <w:adjustRightInd w:val="0"/>
        <w:rPr>
          <w:szCs w:val="22"/>
          <w:lang w:eastAsia="sl-SI"/>
        </w:rPr>
      </w:pPr>
    </w:p>
    <w:p w14:paraId="3DB19524" w14:textId="77777777" w:rsidR="00DC4BB2" w:rsidRDefault="001C4737">
      <w:pPr>
        <w:autoSpaceDE w:val="0"/>
        <w:autoSpaceDN w:val="0"/>
        <w:adjustRightInd w:val="0"/>
      </w:pPr>
      <w:proofErr w:type="spellStart"/>
      <w:r>
        <w:t>Telmisartanas</w:t>
      </w:r>
      <w:proofErr w:type="spellEnd"/>
      <w:r>
        <w:t xml:space="preserve"> nepašalinamas iš kraujo </w:t>
      </w:r>
      <w:proofErr w:type="spellStart"/>
      <w:r>
        <w:t>hemofiltracijos</w:t>
      </w:r>
      <w:proofErr w:type="spellEnd"/>
      <w:r>
        <w:t xml:space="preserve"> būdu ir dializės metu.</w:t>
      </w:r>
    </w:p>
    <w:p w14:paraId="60B35341" w14:textId="77777777" w:rsidR="00DC4BB2" w:rsidRDefault="00DC4BB2">
      <w:pPr>
        <w:autoSpaceDE w:val="0"/>
        <w:autoSpaceDN w:val="0"/>
        <w:adjustRightInd w:val="0"/>
        <w:rPr>
          <w:szCs w:val="22"/>
          <w:lang w:eastAsia="sl-SI"/>
        </w:rPr>
      </w:pPr>
    </w:p>
    <w:p w14:paraId="2B22915D" w14:textId="77777777" w:rsidR="00D25008" w:rsidRDefault="00FE2A61">
      <w:pPr>
        <w:autoSpaceDE w:val="0"/>
        <w:autoSpaceDN w:val="0"/>
        <w:adjustRightInd w:val="0"/>
        <w:rPr>
          <w:szCs w:val="22"/>
          <w:lang w:eastAsia="sl-SI"/>
        </w:rPr>
      </w:pPr>
      <w:proofErr w:type="spellStart"/>
      <w:r>
        <w:rPr>
          <w:szCs w:val="22"/>
          <w:lang w:eastAsia="sl-SI"/>
        </w:rPr>
        <w:t>Amlodipino</w:t>
      </w:r>
      <w:proofErr w:type="spellEnd"/>
      <w:r>
        <w:rPr>
          <w:szCs w:val="22"/>
          <w:lang w:eastAsia="sl-SI"/>
        </w:rPr>
        <w:t xml:space="preserve"> koncentracijos kraujo plazmoje pokyčiai nekoreliuoja su inkstų funkcijos sutrikimo laipsniu. </w:t>
      </w:r>
      <w:proofErr w:type="spellStart"/>
      <w:r>
        <w:rPr>
          <w:szCs w:val="22"/>
          <w:lang w:eastAsia="sl-SI"/>
        </w:rPr>
        <w:t>Amlodipinas</w:t>
      </w:r>
      <w:proofErr w:type="spellEnd"/>
      <w:r>
        <w:rPr>
          <w:szCs w:val="22"/>
          <w:lang w:eastAsia="sl-SI"/>
        </w:rPr>
        <w:t xml:space="preserve"> nėra šalinamas dializės metu.</w:t>
      </w:r>
    </w:p>
    <w:p w14:paraId="682F561A" w14:textId="77777777" w:rsidR="00D25008" w:rsidRDefault="00D25008">
      <w:pPr>
        <w:autoSpaceDE w:val="0"/>
        <w:autoSpaceDN w:val="0"/>
        <w:adjustRightInd w:val="0"/>
        <w:rPr>
          <w:szCs w:val="22"/>
          <w:lang w:eastAsia="sl-SI"/>
        </w:rPr>
      </w:pPr>
    </w:p>
    <w:p w14:paraId="49368107" w14:textId="77777777" w:rsidR="00DB1AD5" w:rsidRDefault="001C4737">
      <w:pPr>
        <w:autoSpaceDE w:val="0"/>
        <w:autoSpaceDN w:val="0"/>
        <w:adjustRightInd w:val="0"/>
        <w:rPr>
          <w:u w:val="single"/>
        </w:rPr>
      </w:pPr>
      <w:r w:rsidRPr="004A3BBC">
        <w:rPr>
          <w:u w:val="single"/>
        </w:rPr>
        <w:t>Pacientai, kuriems trūksta skysčių ir (arba) natrio</w:t>
      </w:r>
    </w:p>
    <w:p w14:paraId="388DB2B9" w14:textId="77777777" w:rsidR="00DB1AD5" w:rsidRDefault="00DB1AD5">
      <w:pPr>
        <w:autoSpaceDE w:val="0"/>
        <w:autoSpaceDN w:val="0"/>
        <w:adjustRightInd w:val="0"/>
        <w:rPr>
          <w:u w:val="single"/>
        </w:rPr>
      </w:pPr>
    </w:p>
    <w:p w14:paraId="5BAD4BF3" w14:textId="69102D9B" w:rsidR="00D25008" w:rsidRPr="00B86602" w:rsidRDefault="001C4737">
      <w:pPr>
        <w:autoSpaceDE w:val="0"/>
        <w:autoSpaceDN w:val="0"/>
        <w:adjustRightInd w:val="0"/>
      </w:pPr>
      <w:r>
        <w:t>Išgėrus vaistinio preparato, ypač pirmą</w:t>
      </w:r>
      <w:r w:rsidR="00D53FAE">
        <w:t>ją</w:t>
      </w:r>
      <w:r>
        <w:t xml:space="preserve"> dozę, </w:t>
      </w:r>
      <w:r>
        <w:rPr>
          <w:szCs w:val="22"/>
          <w:lang w:eastAsia="sl-SI"/>
        </w:rPr>
        <w:t>pacientams</w:t>
      </w:r>
      <w:r w:rsidR="00FE2A61">
        <w:rPr>
          <w:szCs w:val="22"/>
          <w:lang w:eastAsia="sl-SI"/>
        </w:rPr>
        <w:t xml:space="preserve">, kurių organizme dėl intensyvios terapijos diuretikais, druskos kiekio maiste ribojimo, viduriavimo ar vėmimo trūksta skysčių ir (arba) natrio, gali pasireikšti simptominė </w:t>
      </w:r>
      <w:proofErr w:type="spellStart"/>
      <w:r w:rsidR="00FE2A61">
        <w:rPr>
          <w:szCs w:val="22"/>
          <w:lang w:eastAsia="sl-SI"/>
        </w:rPr>
        <w:t>hipotenzija</w:t>
      </w:r>
      <w:proofErr w:type="spellEnd"/>
      <w:r w:rsidR="00FE2A61">
        <w:rPr>
          <w:szCs w:val="22"/>
          <w:lang w:eastAsia="sl-SI"/>
        </w:rPr>
        <w:t>. Tokias būkles</w:t>
      </w:r>
      <w:r>
        <w:rPr>
          <w:szCs w:val="22"/>
          <w:lang w:eastAsia="sl-SI"/>
        </w:rPr>
        <w:t xml:space="preserve">, </w:t>
      </w:r>
      <w:r>
        <w:t>ypač skysčių ir (arba) natrio trūkumą,</w:t>
      </w:r>
      <w:r w:rsidR="00FE2A61">
        <w:rPr>
          <w:szCs w:val="22"/>
          <w:lang w:eastAsia="sl-SI"/>
        </w:rPr>
        <w:t xml:space="preserve"> būtina pašalinti prieš skiriant vartoti </w:t>
      </w:r>
      <w:proofErr w:type="spellStart"/>
      <w:r w:rsidR="00FE2A61">
        <w:rPr>
          <w:szCs w:val="22"/>
          <w:lang w:eastAsia="sl-SI"/>
        </w:rPr>
        <w:t>Tolvecom</w:t>
      </w:r>
      <w:proofErr w:type="spellEnd"/>
      <w:r>
        <w:rPr>
          <w:szCs w:val="22"/>
          <w:lang w:eastAsia="sl-SI"/>
        </w:rPr>
        <w:t xml:space="preserve">. </w:t>
      </w:r>
      <w:r>
        <w:t xml:space="preserve">Vartojant </w:t>
      </w:r>
      <w:proofErr w:type="spellStart"/>
      <w:r w:rsidR="00A25A9E">
        <w:t>hidrochlorotiazido</w:t>
      </w:r>
      <w:proofErr w:type="spellEnd"/>
      <w:r w:rsidR="00A25A9E">
        <w:t xml:space="preserve"> (toliau – </w:t>
      </w:r>
      <w:r>
        <w:t>HCTZ</w:t>
      </w:r>
      <w:r w:rsidR="00A25A9E">
        <w:t>)</w:t>
      </w:r>
      <w:r>
        <w:t xml:space="preserve"> nustatyta pavienių </w:t>
      </w:r>
      <w:proofErr w:type="spellStart"/>
      <w:r>
        <w:t>hiponatremijos</w:t>
      </w:r>
      <w:proofErr w:type="spellEnd"/>
      <w:r>
        <w:t>, pasireiškiančios kartu su neurologiniais simptomais (pykinimu, progresuojančia dezorientacija, apatija), atvejų</w:t>
      </w:r>
      <w:r w:rsidR="00FE2A61">
        <w:rPr>
          <w:szCs w:val="22"/>
          <w:lang w:eastAsia="sl-SI"/>
        </w:rPr>
        <w:t>.</w:t>
      </w:r>
    </w:p>
    <w:p w14:paraId="224794CD" w14:textId="77777777" w:rsidR="00D25008" w:rsidRDefault="00D25008">
      <w:pPr>
        <w:autoSpaceDE w:val="0"/>
        <w:autoSpaceDN w:val="0"/>
        <w:adjustRightInd w:val="0"/>
        <w:rPr>
          <w:szCs w:val="22"/>
          <w:lang w:eastAsia="sl-SI"/>
        </w:rPr>
      </w:pPr>
    </w:p>
    <w:p w14:paraId="2F24490D" w14:textId="77777777" w:rsidR="00D25008" w:rsidRDefault="00FE2A61">
      <w:pPr>
        <w:autoSpaceDE w:val="0"/>
        <w:autoSpaceDN w:val="0"/>
        <w:adjustRightInd w:val="0"/>
        <w:jc w:val="both"/>
        <w:rPr>
          <w:color w:val="000000"/>
          <w:szCs w:val="22"/>
          <w:u w:val="single"/>
          <w:lang w:eastAsia="lt-LT"/>
        </w:rPr>
      </w:pPr>
      <w:r>
        <w:rPr>
          <w:iCs/>
          <w:color w:val="000000"/>
          <w:szCs w:val="22"/>
          <w:u w:val="single"/>
          <w:lang w:eastAsia="lt-LT"/>
        </w:rPr>
        <w:t xml:space="preserve">Dvigubas </w:t>
      </w:r>
      <w:proofErr w:type="spellStart"/>
      <w:r>
        <w:rPr>
          <w:iCs/>
          <w:color w:val="000000"/>
          <w:szCs w:val="22"/>
          <w:u w:val="single"/>
          <w:lang w:eastAsia="lt-LT"/>
        </w:rPr>
        <w:t>renino</w:t>
      </w:r>
      <w:proofErr w:type="spellEnd"/>
      <w:r>
        <w:rPr>
          <w:iCs/>
          <w:color w:val="000000"/>
          <w:szCs w:val="22"/>
          <w:u w:val="single"/>
          <w:lang w:eastAsia="lt-LT"/>
        </w:rPr>
        <w:t xml:space="preserve">, </w:t>
      </w:r>
      <w:proofErr w:type="spellStart"/>
      <w:r>
        <w:rPr>
          <w:iCs/>
          <w:color w:val="000000"/>
          <w:szCs w:val="22"/>
          <w:u w:val="single"/>
          <w:lang w:eastAsia="lt-LT"/>
        </w:rPr>
        <w:t>angiotenzino</w:t>
      </w:r>
      <w:proofErr w:type="spellEnd"/>
      <w:r>
        <w:rPr>
          <w:iCs/>
          <w:color w:val="000000"/>
          <w:szCs w:val="22"/>
          <w:u w:val="single"/>
          <w:lang w:eastAsia="lt-LT"/>
        </w:rPr>
        <w:t xml:space="preserve"> ir </w:t>
      </w:r>
      <w:proofErr w:type="spellStart"/>
      <w:r>
        <w:rPr>
          <w:iCs/>
          <w:color w:val="000000"/>
          <w:szCs w:val="22"/>
          <w:u w:val="single"/>
          <w:lang w:eastAsia="lt-LT"/>
        </w:rPr>
        <w:t>aldosterono</w:t>
      </w:r>
      <w:proofErr w:type="spellEnd"/>
      <w:r>
        <w:rPr>
          <w:iCs/>
          <w:color w:val="000000"/>
          <w:szCs w:val="22"/>
          <w:u w:val="single"/>
          <w:lang w:eastAsia="lt-LT"/>
        </w:rPr>
        <w:t xml:space="preserve"> sistemos (RAAS) slopinimas</w:t>
      </w:r>
    </w:p>
    <w:p w14:paraId="1E1343A1" w14:textId="77777777" w:rsidR="00D25008" w:rsidRDefault="00FE2A61">
      <w:pPr>
        <w:autoSpaceDE w:val="0"/>
        <w:autoSpaceDN w:val="0"/>
        <w:adjustRightInd w:val="0"/>
        <w:rPr>
          <w:color w:val="000000"/>
          <w:szCs w:val="22"/>
          <w:lang w:eastAsia="lt-LT"/>
        </w:rPr>
      </w:pPr>
      <w:r>
        <w:rPr>
          <w:iCs/>
          <w:color w:val="000000"/>
          <w:szCs w:val="22"/>
          <w:lang w:eastAsia="lt-LT"/>
        </w:rPr>
        <w:t xml:space="preserve">Turima įrodymų, kad kartu vartojant AKF inhibitorių, </w:t>
      </w:r>
      <w:proofErr w:type="spellStart"/>
      <w:r>
        <w:rPr>
          <w:iCs/>
          <w:color w:val="000000"/>
          <w:szCs w:val="22"/>
          <w:lang w:eastAsia="lt-LT"/>
        </w:rPr>
        <w:t>angiotenzino</w:t>
      </w:r>
      <w:proofErr w:type="spellEnd"/>
      <w:r>
        <w:rPr>
          <w:iCs/>
          <w:color w:val="000000"/>
          <w:szCs w:val="22"/>
          <w:lang w:eastAsia="lt-LT"/>
        </w:rPr>
        <w:t xml:space="preserve"> II receptorių blokatorių ar </w:t>
      </w:r>
      <w:proofErr w:type="spellStart"/>
      <w:r>
        <w:rPr>
          <w:iCs/>
          <w:color w:val="000000"/>
          <w:szCs w:val="22"/>
          <w:lang w:eastAsia="lt-LT"/>
        </w:rPr>
        <w:t>aliskireną</w:t>
      </w:r>
      <w:proofErr w:type="spellEnd"/>
      <w:r>
        <w:rPr>
          <w:iCs/>
          <w:color w:val="000000"/>
          <w:szCs w:val="22"/>
          <w:lang w:eastAsia="lt-LT"/>
        </w:rPr>
        <w:t xml:space="preserve"> padidėja </w:t>
      </w:r>
      <w:proofErr w:type="spellStart"/>
      <w:r>
        <w:rPr>
          <w:iCs/>
          <w:color w:val="000000"/>
          <w:szCs w:val="22"/>
          <w:lang w:eastAsia="lt-LT"/>
        </w:rPr>
        <w:t>hipotenzijos</w:t>
      </w:r>
      <w:proofErr w:type="spellEnd"/>
      <w:r>
        <w:rPr>
          <w:iCs/>
          <w:color w:val="000000"/>
          <w:szCs w:val="22"/>
          <w:lang w:eastAsia="lt-LT"/>
        </w:rPr>
        <w:t xml:space="preserve">, </w:t>
      </w:r>
      <w:proofErr w:type="spellStart"/>
      <w:r>
        <w:rPr>
          <w:iCs/>
          <w:color w:val="000000"/>
          <w:szCs w:val="22"/>
          <w:lang w:eastAsia="lt-LT"/>
        </w:rPr>
        <w:t>hiperkalemijos</w:t>
      </w:r>
      <w:proofErr w:type="spellEnd"/>
      <w:r>
        <w:rPr>
          <w:iCs/>
          <w:color w:val="000000"/>
          <w:szCs w:val="22"/>
          <w:lang w:eastAsia="lt-LT"/>
        </w:rPr>
        <w:t xml:space="preserve"> ir inkstų funkcijos susilpnėjimo (įskaitant ūminį inkstų nepakankamumą) rizika. Todėl nerekomenduojama dvigubai nuslopinti RAAS, vartojant AKF inhibitorių, </w:t>
      </w:r>
      <w:proofErr w:type="spellStart"/>
      <w:r>
        <w:rPr>
          <w:iCs/>
          <w:color w:val="000000"/>
          <w:szCs w:val="22"/>
          <w:lang w:eastAsia="lt-LT"/>
        </w:rPr>
        <w:t>angiotenzino</w:t>
      </w:r>
      <w:proofErr w:type="spellEnd"/>
      <w:r>
        <w:rPr>
          <w:iCs/>
          <w:color w:val="000000"/>
          <w:szCs w:val="22"/>
          <w:lang w:eastAsia="lt-LT"/>
        </w:rPr>
        <w:t xml:space="preserve"> II receptorių blokatorių ar </w:t>
      </w:r>
      <w:proofErr w:type="spellStart"/>
      <w:r>
        <w:rPr>
          <w:iCs/>
          <w:color w:val="000000"/>
          <w:szCs w:val="22"/>
          <w:lang w:eastAsia="lt-LT"/>
        </w:rPr>
        <w:t>aliskireno</w:t>
      </w:r>
      <w:proofErr w:type="spellEnd"/>
      <w:r>
        <w:rPr>
          <w:iCs/>
          <w:color w:val="000000"/>
          <w:szCs w:val="22"/>
          <w:lang w:eastAsia="lt-LT"/>
        </w:rPr>
        <w:t xml:space="preserve"> derinį (žr. 4.5 ir 5.1 skyrius).</w:t>
      </w:r>
    </w:p>
    <w:p w14:paraId="64162B09" w14:textId="77777777" w:rsidR="00D25008" w:rsidRDefault="00FE2A61">
      <w:pPr>
        <w:autoSpaceDE w:val="0"/>
        <w:autoSpaceDN w:val="0"/>
        <w:adjustRightInd w:val="0"/>
        <w:rPr>
          <w:color w:val="000000"/>
          <w:szCs w:val="22"/>
          <w:lang w:eastAsia="lt-LT"/>
        </w:rPr>
      </w:pPr>
      <w:r>
        <w:rPr>
          <w:iCs/>
          <w:color w:val="000000"/>
          <w:szCs w:val="22"/>
          <w:lang w:eastAsia="lt-LT"/>
        </w:rPr>
        <w:t>Vis dėlto, jei dvigubas nuslopinimas laikomas absoliučiai būtinu, šis gydymas turi būti atliekamas tik prižiūrint specialistams ir dažnai bei atidžiai tiriant inkstų funkciją, elektrolitų koncentracijas bei kraujospūdį</w:t>
      </w:r>
      <w:r>
        <w:rPr>
          <w:i/>
          <w:iCs/>
          <w:color w:val="000000"/>
          <w:szCs w:val="22"/>
          <w:lang w:eastAsia="lt-LT"/>
        </w:rPr>
        <w:t>.</w:t>
      </w:r>
    </w:p>
    <w:p w14:paraId="417DF746" w14:textId="77777777" w:rsidR="00D25008" w:rsidRDefault="00FE2A61">
      <w:pPr>
        <w:tabs>
          <w:tab w:val="left" w:pos="567"/>
        </w:tabs>
        <w:rPr>
          <w:szCs w:val="22"/>
        </w:rPr>
      </w:pPr>
      <w:r>
        <w:rPr>
          <w:szCs w:val="22"/>
        </w:rPr>
        <w:t xml:space="preserve">Pacientams, sergantiems diabetine </w:t>
      </w:r>
      <w:proofErr w:type="spellStart"/>
      <w:r>
        <w:rPr>
          <w:szCs w:val="22"/>
        </w:rPr>
        <w:t>nefropatija</w:t>
      </w:r>
      <w:proofErr w:type="spellEnd"/>
      <w:r>
        <w:rPr>
          <w:szCs w:val="22"/>
        </w:rPr>
        <w:t xml:space="preserve">, negalima kartu vartoti AKF inhibitorių ir </w:t>
      </w:r>
      <w:proofErr w:type="spellStart"/>
      <w:r>
        <w:rPr>
          <w:szCs w:val="22"/>
        </w:rPr>
        <w:t>angiotenzino</w:t>
      </w:r>
      <w:proofErr w:type="spellEnd"/>
      <w:r>
        <w:rPr>
          <w:szCs w:val="22"/>
        </w:rPr>
        <w:t> II receptorių blokatorių</w:t>
      </w:r>
      <w:r>
        <w:rPr>
          <w:i/>
          <w:szCs w:val="22"/>
        </w:rPr>
        <w:t>.</w:t>
      </w:r>
    </w:p>
    <w:p w14:paraId="18840DB3" w14:textId="77777777" w:rsidR="00D25008" w:rsidRDefault="00D25008">
      <w:pPr>
        <w:autoSpaceDE w:val="0"/>
        <w:autoSpaceDN w:val="0"/>
        <w:adjustRightInd w:val="0"/>
        <w:rPr>
          <w:szCs w:val="22"/>
          <w:u w:val="single"/>
          <w:lang w:eastAsia="sl-SI"/>
        </w:rPr>
      </w:pPr>
    </w:p>
    <w:p w14:paraId="1D0E5AA1" w14:textId="77777777" w:rsidR="00D25008" w:rsidRDefault="00FE2A61">
      <w:pPr>
        <w:rPr>
          <w:szCs w:val="22"/>
          <w:u w:val="single"/>
        </w:rPr>
      </w:pPr>
      <w:r>
        <w:rPr>
          <w:szCs w:val="22"/>
          <w:u w:val="single"/>
        </w:rPr>
        <w:t xml:space="preserve">Kitos būklės, kurių metu aktyvinama </w:t>
      </w:r>
      <w:proofErr w:type="spellStart"/>
      <w:r>
        <w:rPr>
          <w:szCs w:val="22"/>
          <w:u w:val="single"/>
        </w:rPr>
        <w:t>renino</w:t>
      </w:r>
      <w:proofErr w:type="spellEnd"/>
      <w:r>
        <w:rPr>
          <w:szCs w:val="22"/>
          <w:u w:val="single"/>
        </w:rPr>
        <w:t xml:space="preserve">, </w:t>
      </w:r>
      <w:proofErr w:type="spellStart"/>
      <w:r>
        <w:rPr>
          <w:szCs w:val="22"/>
          <w:u w:val="single"/>
        </w:rPr>
        <w:t>angiotenzino</w:t>
      </w:r>
      <w:proofErr w:type="spellEnd"/>
      <w:r>
        <w:rPr>
          <w:szCs w:val="22"/>
          <w:u w:val="single"/>
        </w:rPr>
        <w:t xml:space="preserve"> ir </w:t>
      </w:r>
      <w:proofErr w:type="spellStart"/>
      <w:r>
        <w:rPr>
          <w:szCs w:val="22"/>
          <w:u w:val="single"/>
        </w:rPr>
        <w:t>aldosterono</w:t>
      </w:r>
      <w:proofErr w:type="spellEnd"/>
      <w:r>
        <w:rPr>
          <w:szCs w:val="22"/>
          <w:u w:val="single"/>
        </w:rPr>
        <w:t xml:space="preserve"> sistema</w:t>
      </w:r>
    </w:p>
    <w:p w14:paraId="4AB79AB8" w14:textId="77777777" w:rsidR="00D25008" w:rsidRDefault="00FE2A61">
      <w:pPr>
        <w:tabs>
          <w:tab w:val="left" w:pos="567"/>
        </w:tabs>
        <w:rPr>
          <w:szCs w:val="22"/>
        </w:rPr>
      </w:pPr>
      <w:r>
        <w:rPr>
          <w:szCs w:val="22"/>
        </w:rPr>
        <w:t xml:space="preserve">Pacientų, kurių kraujagyslių tonusas ir inkstų funkcija daugiausia priklauso nuo </w:t>
      </w:r>
      <w:proofErr w:type="spellStart"/>
      <w:r>
        <w:rPr>
          <w:szCs w:val="22"/>
        </w:rPr>
        <w:t>renino</w:t>
      </w:r>
      <w:proofErr w:type="spellEnd"/>
      <w:r>
        <w:rPr>
          <w:szCs w:val="22"/>
        </w:rPr>
        <w:t xml:space="preserve">, </w:t>
      </w:r>
      <w:proofErr w:type="spellStart"/>
      <w:r>
        <w:rPr>
          <w:szCs w:val="22"/>
        </w:rPr>
        <w:t>angiotenzino</w:t>
      </w:r>
      <w:proofErr w:type="spellEnd"/>
      <w:r>
        <w:rPr>
          <w:szCs w:val="22"/>
        </w:rPr>
        <w:t xml:space="preserve"> ir </w:t>
      </w:r>
      <w:proofErr w:type="spellStart"/>
      <w:r>
        <w:rPr>
          <w:szCs w:val="22"/>
        </w:rPr>
        <w:t>aldosterono</w:t>
      </w:r>
      <w:proofErr w:type="spellEnd"/>
      <w:r>
        <w:rPr>
          <w:szCs w:val="22"/>
        </w:rPr>
        <w:t xml:space="preserve"> sistemos aktyvumo (pvz., sergančiųjų sunkiu </w:t>
      </w:r>
      <w:proofErr w:type="spellStart"/>
      <w:r>
        <w:rPr>
          <w:szCs w:val="22"/>
        </w:rPr>
        <w:t>staziniu</w:t>
      </w:r>
      <w:proofErr w:type="spellEnd"/>
      <w:r>
        <w:rPr>
          <w:szCs w:val="22"/>
        </w:rPr>
        <w:t xml:space="preserve"> širdies nepakankamumu ar inkstų liga, įskaitant inkstų arterijos stenozę), gydymas šią sistemą veikiančiais vaistiniais preparatais buvo siejamas su ūmine </w:t>
      </w:r>
      <w:proofErr w:type="spellStart"/>
      <w:r>
        <w:rPr>
          <w:szCs w:val="22"/>
        </w:rPr>
        <w:t>hipotenzija</w:t>
      </w:r>
      <w:proofErr w:type="spellEnd"/>
      <w:r>
        <w:rPr>
          <w:szCs w:val="22"/>
        </w:rPr>
        <w:t xml:space="preserve">, azoto kiekio padidėjimu kraujyje, </w:t>
      </w:r>
      <w:proofErr w:type="spellStart"/>
      <w:r>
        <w:rPr>
          <w:szCs w:val="22"/>
        </w:rPr>
        <w:t>oligurija</w:t>
      </w:r>
      <w:proofErr w:type="spellEnd"/>
      <w:r>
        <w:rPr>
          <w:szCs w:val="22"/>
        </w:rPr>
        <w:t xml:space="preserve"> arba (retai) ūminiu inkstų nepakankamumu (žr. 4.8 skyrių).</w:t>
      </w:r>
    </w:p>
    <w:p w14:paraId="00B76295" w14:textId="77777777" w:rsidR="00D25008" w:rsidRDefault="00D25008">
      <w:pPr>
        <w:autoSpaceDE w:val="0"/>
        <w:autoSpaceDN w:val="0"/>
        <w:adjustRightInd w:val="0"/>
        <w:rPr>
          <w:szCs w:val="22"/>
          <w:lang w:eastAsia="sl-SI"/>
        </w:rPr>
      </w:pPr>
    </w:p>
    <w:p w14:paraId="164DAA86" w14:textId="77777777" w:rsidR="00D25008" w:rsidRDefault="00FE2A61">
      <w:pPr>
        <w:rPr>
          <w:szCs w:val="22"/>
          <w:u w:val="single"/>
        </w:rPr>
      </w:pPr>
      <w:r>
        <w:rPr>
          <w:szCs w:val="22"/>
          <w:u w:val="single"/>
        </w:rPr>
        <w:t xml:space="preserve">Pirminis </w:t>
      </w:r>
      <w:proofErr w:type="spellStart"/>
      <w:r>
        <w:rPr>
          <w:szCs w:val="22"/>
          <w:u w:val="single"/>
        </w:rPr>
        <w:t>hiperaldosteronizmas</w:t>
      </w:r>
      <w:proofErr w:type="spellEnd"/>
    </w:p>
    <w:p w14:paraId="3C939998" w14:textId="77777777" w:rsidR="00D25008" w:rsidRDefault="00FE2A61">
      <w:pPr>
        <w:tabs>
          <w:tab w:val="left" w:pos="567"/>
        </w:tabs>
        <w:rPr>
          <w:szCs w:val="22"/>
        </w:rPr>
      </w:pPr>
      <w:r>
        <w:rPr>
          <w:szCs w:val="22"/>
        </w:rPr>
        <w:t xml:space="preserve">Pacientai, sergantys pirminiu </w:t>
      </w:r>
      <w:proofErr w:type="spellStart"/>
      <w:r>
        <w:rPr>
          <w:szCs w:val="22"/>
        </w:rPr>
        <w:t>hiperaldosteronizmu</w:t>
      </w:r>
      <w:proofErr w:type="spellEnd"/>
      <w:r>
        <w:rPr>
          <w:szCs w:val="22"/>
        </w:rPr>
        <w:t xml:space="preserve">, dažniausiai nereaguoja į </w:t>
      </w:r>
      <w:proofErr w:type="spellStart"/>
      <w:r>
        <w:rPr>
          <w:szCs w:val="22"/>
        </w:rPr>
        <w:t>antihipertenzinius</w:t>
      </w:r>
      <w:proofErr w:type="spellEnd"/>
      <w:r>
        <w:rPr>
          <w:szCs w:val="22"/>
        </w:rPr>
        <w:t xml:space="preserve"> vaistinius preparatus, kurie poveikį sukelia slopindami </w:t>
      </w:r>
      <w:proofErr w:type="spellStart"/>
      <w:r>
        <w:rPr>
          <w:szCs w:val="22"/>
        </w:rPr>
        <w:t>renino</w:t>
      </w:r>
      <w:proofErr w:type="spellEnd"/>
      <w:r>
        <w:rPr>
          <w:szCs w:val="22"/>
        </w:rPr>
        <w:t xml:space="preserve"> ir </w:t>
      </w:r>
      <w:proofErr w:type="spellStart"/>
      <w:r>
        <w:rPr>
          <w:szCs w:val="22"/>
        </w:rPr>
        <w:t>angiotenzino</w:t>
      </w:r>
      <w:proofErr w:type="spellEnd"/>
      <w:r>
        <w:rPr>
          <w:szCs w:val="22"/>
        </w:rPr>
        <w:t xml:space="preserve"> sistemą. Todėl tokių pacientų gydyti </w:t>
      </w:r>
      <w:proofErr w:type="spellStart"/>
      <w:r>
        <w:rPr>
          <w:szCs w:val="22"/>
          <w:lang w:eastAsia="sl-SI"/>
        </w:rPr>
        <w:t>Tolvecom</w:t>
      </w:r>
      <w:proofErr w:type="spellEnd"/>
      <w:r>
        <w:rPr>
          <w:szCs w:val="22"/>
          <w:lang w:eastAsia="sl-SI"/>
        </w:rPr>
        <w:t xml:space="preserve"> </w:t>
      </w:r>
      <w:r>
        <w:rPr>
          <w:szCs w:val="22"/>
        </w:rPr>
        <w:t>nerekomenduojama.</w:t>
      </w:r>
    </w:p>
    <w:p w14:paraId="05782311" w14:textId="77777777" w:rsidR="00D25008" w:rsidRDefault="00D25008">
      <w:pPr>
        <w:autoSpaceDE w:val="0"/>
        <w:autoSpaceDN w:val="0"/>
        <w:adjustRightInd w:val="0"/>
        <w:rPr>
          <w:szCs w:val="22"/>
          <w:lang w:eastAsia="sl-SI"/>
        </w:rPr>
      </w:pPr>
    </w:p>
    <w:p w14:paraId="6CE5FFDE" w14:textId="77777777" w:rsidR="00D25008" w:rsidRDefault="00FE2A61">
      <w:pPr>
        <w:autoSpaceDE w:val="0"/>
        <w:autoSpaceDN w:val="0"/>
        <w:adjustRightInd w:val="0"/>
        <w:rPr>
          <w:szCs w:val="22"/>
          <w:u w:val="single"/>
          <w:lang w:eastAsia="sl-SI"/>
        </w:rPr>
      </w:pPr>
      <w:r>
        <w:rPr>
          <w:szCs w:val="22"/>
          <w:u w:val="single"/>
          <w:lang w:eastAsia="sl-SI"/>
        </w:rPr>
        <w:t xml:space="preserve">Aortos ir </w:t>
      </w:r>
      <w:proofErr w:type="spellStart"/>
      <w:r>
        <w:rPr>
          <w:szCs w:val="22"/>
          <w:u w:val="single"/>
          <w:lang w:eastAsia="sl-SI"/>
        </w:rPr>
        <w:t>dviburio</w:t>
      </w:r>
      <w:proofErr w:type="spellEnd"/>
      <w:r>
        <w:rPr>
          <w:szCs w:val="22"/>
          <w:u w:val="single"/>
          <w:lang w:eastAsia="sl-SI"/>
        </w:rPr>
        <w:t xml:space="preserve"> vožtuvo stenozė, obstrukcinė </w:t>
      </w:r>
      <w:proofErr w:type="spellStart"/>
      <w:r>
        <w:rPr>
          <w:szCs w:val="22"/>
          <w:u w:val="single"/>
          <w:lang w:eastAsia="sl-SI"/>
        </w:rPr>
        <w:t>hipertrofinė</w:t>
      </w:r>
      <w:proofErr w:type="spellEnd"/>
      <w:r>
        <w:rPr>
          <w:szCs w:val="22"/>
          <w:u w:val="single"/>
          <w:lang w:eastAsia="sl-SI"/>
        </w:rPr>
        <w:t xml:space="preserve"> kardiomiopatija</w:t>
      </w:r>
    </w:p>
    <w:p w14:paraId="4E95C66F" w14:textId="77777777" w:rsidR="00D25008" w:rsidRDefault="00FE2A61">
      <w:pPr>
        <w:autoSpaceDE w:val="0"/>
        <w:autoSpaceDN w:val="0"/>
        <w:adjustRightInd w:val="0"/>
        <w:rPr>
          <w:szCs w:val="22"/>
          <w:lang w:eastAsia="sl-SI"/>
        </w:rPr>
      </w:pPr>
      <w:r>
        <w:rPr>
          <w:szCs w:val="22"/>
          <w:lang w:eastAsia="sl-SI"/>
        </w:rPr>
        <w:t xml:space="preserve">Pacientus, kuriems yra aortos arba </w:t>
      </w:r>
      <w:proofErr w:type="spellStart"/>
      <w:r>
        <w:rPr>
          <w:szCs w:val="22"/>
          <w:lang w:eastAsia="sl-SI"/>
        </w:rPr>
        <w:t>dviburio</w:t>
      </w:r>
      <w:proofErr w:type="spellEnd"/>
      <w:r>
        <w:rPr>
          <w:szCs w:val="22"/>
          <w:lang w:eastAsia="sl-SI"/>
        </w:rPr>
        <w:t xml:space="preserve"> vožtuvo stenozė ar obstrukcinė </w:t>
      </w:r>
      <w:proofErr w:type="spellStart"/>
      <w:r>
        <w:rPr>
          <w:szCs w:val="22"/>
          <w:lang w:eastAsia="sl-SI"/>
        </w:rPr>
        <w:t>hipertrofinė</w:t>
      </w:r>
      <w:proofErr w:type="spellEnd"/>
      <w:r>
        <w:rPr>
          <w:szCs w:val="22"/>
          <w:lang w:eastAsia="sl-SI"/>
        </w:rPr>
        <w:t xml:space="preserve"> kardiomiopatija, šiuo vaistiniu preparatu, kaip ir kitokiais kraujagysles plečiančiais vaistiniais preparatais, reikia gydyti itin atsargiai.</w:t>
      </w:r>
    </w:p>
    <w:p w14:paraId="62EA619F" w14:textId="77777777" w:rsidR="00D25008" w:rsidRDefault="00D25008">
      <w:pPr>
        <w:autoSpaceDE w:val="0"/>
        <w:autoSpaceDN w:val="0"/>
        <w:adjustRightInd w:val="0"/>
        <w:rPr>
          <w:szCs w:val="22"/>
          <w:lang w:eastAsia="sl-SI"/>
        </w:rPr>
      </w:pPr>
    </w:p>
    <w:p w14:paraId="54AFEDAC" w14:textId="77777777" w:rsidR="00D25008" w:rsidRDefault="00FE2A61">
      <w:pPr>
        <w:autoSpaceDE w:val="0"/>
        <w:autoSpaceDN w:val="0"/>
        <w:adjustRightInd w:val="0"/>
        <w:rPr>
          <w:szCs w:val="22"/>
          <w:u w:val="single"/>
          <w:lang w:eastAsia="sl-SI"/>
        </w:rPr>
      </w:pPr>
      <w:r>
        <w:rPr>
          <w:szCs w:val="22"/>
          <w:u w:val="single"/>
          <w:lang w:eastAsia="sl-SI"/>
        </w:rPr>
        <w:t>Poveikis metabolizmui ir endokrininei sistemai</w:t>
      </w:r>
    </w:p>
    <w:p w14:paraId="7C3DC250" w14:textId="77777777" w:rsidR="00D25008" w:rsidRDefault="00FE2A61">
      <w:pPr>
        <w:autoSpaceDE w:val="0"/>
        <w:autoSpaceDN w:val="0"/>
        <w:adjustRightInd w:val="0"/>
        <w:rPr>
          <w:szCs w:val="22"/>
          <w:lang w:eastAsia="sl-SI"/>
        </w:rPr>
      </w:pPr>
      <w:r>
        <w:rPr>
          <w:szCs w:val="22"/>
          <w:lang w:eastAsia="sl-SI"/>
        </w:rPr>
        <w:t xml:space="preserve">Gydymas </w:t>
      </w:r>
      <w:proofErr w:type="spellStart"/>
      <w:r>
        <w:rPr>
          <w:szCs w:val="22"/>
          <w:lang w:eastAsia="sl-SI"/>
        </w:rPr>
        <w:t>tiazidais</w:t>
      </w:r>
      <w:proofErr w:type="spellEnd"/>
      <w:r>
        <w:rPr>
          <w:szCs w:val="22"/>
          <w:lang w:eastAsia="sl-SI"/>
        </w:rPr>
        <w:t xml:space="preserve"> gali pabloginti gliukozės toleravimą, o cukriniu diabetu sergantiems pacientams, gydomiems insulinu ar vaistiniais preparatais nuo cukrinio diabeto ir </w:t>
      </w:r>
      <w:proofErr w:type="spellStart"/>
      <w:r>
        <w:rPr>
          <w:szCs w:val="22"/>
          <w:lang w:eastAsia="sl-SI"/>
        </w:rPr>
        <w:t>telmisartanu</w:t>
      </w:r>
      <w:proofErr w:type="spellEnd"/>
      <w:r>
        <w:rPr>
          <w:szCs w:val="22"/>
          <w:lang w:eastAsia="sl-SI"/>
        </w:rPr>
        <w:t xml:space="preserve">, gali pasireikšti hipoglikemija. Dėl to tokiems pacientams reikia apsvarstyti gliukozės kiekio kraujyje stebėseną; esant reikalui, gali prireikti koreguoti insulino ar vaistinių preparatų nuo cukrinio diabeto dozę. Gydymo </w:t>
      </w:r>
      <w:proofErr w:type="spellStart"/>
      <w:r>
        <w:rPr>
          <w:szCs w:val="22"/>
          <w:lang w:eastAsia="sl-SI"/>
        </w:rPr>
        <w:t>tiazidais</w:t>
      </w:r>
      <w:proofErr w:type="spellEnd"/>
      <w:r>
        <w:rPr>
          <w:szCs w:val="22"/>
          <w:lang w:eastAsia="sl-SI"/>
        </w:rPr>
        <w:t xml:space="preserve"> metu gali pasireikšti latentinis cukrinis diabetas.</w:t>
      </w:r>
    </w:p>
    <w:p w14:paraId="6854674E" w14:textId="77777777" w:rsidR="00D25008" w:rsidRDefault="00D25008">
      <w:pPr>
        <w:autoSpaceDE w:val="0"/>
        <w:autoSpaceDN w:val="0"/>
        <w:adjustRightInd w:val="0"/>
        <w:rPr>
          <w:szCs w:val="22"/>
          <w:lang w:eastAsia="sl-SI"/>
        </w:rPr>
      </w:pPr>
    </w:p>
    <w:p w14:paraId="090BF913" w14:textId="77777777" w:rsidR="00D25008" w:rsidRDefault="00FE2A61">
      <w:pPr>
        <w:autoSpaceDE w:val="0"/>
        <w:autoSpaceDN w:val="0"/>
        <w:adjustRightInd w:val="0"/>
        <w:rPr>
          <w:szCs w:val="22"/>
          <w:lang w:eastAsia="sl-SI"/>
        </w:rPr>
      </w:pPr>
      <w:r>
        <w:rPr>
          <w:szCs w:val="22"/>
          <w:lang w:eastAsia="sl-SI"/>
        </w:rPr>
        <w:t xml:space="preserve">Su gydymu </w:t>
      </w:r>
      <w:proofErr w:type="spellStart"/>
      <w:r>
        <w:rPr>
          <w:szCs w:val="22"/>
          <w:lang w:eastAsia="sl-SI"/>
        </w:rPr>
        <w:t>tiazidiniais</w:t>
      </w:r>
      <w:proofErr w:type="spellEnd"/>
      <w:r>
        <w:rPr>
          <w:szCs w:val="22"/>
          <w:lang w:eastAsia="sl-SI"/>
        </w:rPr>
        <w:t xml:space="preserve"> diuretikais buvo susijęs cholesterolio ir trigliceridų kiekio padidėjimas; vis dėlto, vartojant </w:t>
      </w:r>
      <w:proofErr w:type="spellStart"/>
      <w:r>
        <w:rPr>
          <w:szCs w:val="22"/>
          <w:lang w:eastAsia="sl-SI"/>
        </w:rPr>
        <w:t>Tolvecom</w:t>
      </w:r>
      <w:proofErr w:type="spellEnd"/>
      <w:r>
        <w:rPr>
          <w:szCs w:val="22"/>
          <w:lang w:eastAsia="sl-SI"/>
        </w:rPr>
        <w:t xml:space="preserve"> sudėtyje esančią 12,5 mg dozę, poveikis buvo minimalus arba jo nebuvo. Kai kuriems pacientams, gydomiems </w:t>
      </w:r>
      <w:proofErr w:type="spellStart"/>
      <w:r>
        <w:rPr>
          <w:szCs w:val="22"/>
          <w:lang w:eastAsia="sl-SI"/>
        </w:rPr>
        <w:t>tiazidais</w:t>
      </w:r>
      <w:proofErr w:type="spellEnd"/>
      <w:r>
        <w:rPr>
          <w:szCs w:val="22"/>
          <w:lang w:eastAsia="sl-SI"/>
        </w:rPr>
        <w:t>, gali padidėti šlapimo rūgšties koncentracija kraujyje arba pasireikšti podagra.</w:t>
      </w:r>
    </w:p>
    <w:p w14:paraId="2B5F0A4C" w14:textId="77777777" w:rsidR="00D25008" w:rsidRDefault="00D25008">
      <w:pPr>
        <w:autoSpaceDE w:val="0"/>
        <w:autoSpaceDN w:val="0"/>
        <w:adjustRightInd w:val="0"/>
        <w:rPr>
          <w:szCs w:val="22"/>
          <w:lang w:eastAsia="sl-SI"/>
        </w:rPr>
      </w:pPr>
    </w:p>
    <w:p w14:paraId="781AC884" w14:textId="77777777" w:rsidR="00D25008" w:rsidRDefault="00FE2A61">
      <w:pPr>
        <w:rPr>
          <w:szCs w:val="22"/>
          <w:u w:val="single"/>
        </w:rPr>
      </w:pPr>
      <w:r>
        <w:rPr>
          <w:szCs w:val="22"/>
          <w:u w:val="single"/>
        </w:rPr>
        <w:t>Elektrolitų pusiausvyros sutrikimas</w:t>
      </w:r>
    </w:p>
    <w:p w14:paraId="368B7806" w14:textId="77777777" w:rsidR="00D25008" w:rsidRDefault="00FE2A61">
      <w:pPr>
        <w:tabs>
          <w:tab w:val="left" w:pos="567"/>
        </w:tabs>
        <w:rPr>
          <w:szCs w:val="22"/>
        </w:rPr>
      </w:pPr>
      <w:r>
        <w:rPr>
          <w:szCs w:val="22"/>
        </w:rPr>
        <w:t>Kaip ir kiekvienam diuretikais gydomam pacientui, reikia periodiškai tinkamais intervalais matuoti elektrolitų koncentraciją kraujo serume.</w:t>
      </w:r>
    </w:p>
    <w:p w14:paraId="1F8852A0" w14:textId="77777777" w:rsidR="00D25008" w:rsidRDefault="00D25008">
      <w:pPr>
        <w:tabs>
          <w:tab w:val="left" w:pos="567"/>
        </w:tabs>
        <w:rPr>
          <w:szCs w:val="22"/>
        </w:rPr>
      </w:pPr>
    </w:p>
    <w:p w14:paraId="4BD692CD" w14:textId="77777777" w:rsidR="00D25008" w:rsidRDefault="00FE2A61">
      <w:pPr>
        <w:tabs>
          <w:tab w:val="left" w:pos="567"/>
        </w:tabs>
        <w:rPr>
          <w:szCs w:val="22"/>
        </w:rPr>
      </w:pPr>
      <w:proofErr w:type="spellStart"/>
      <w:r>
        <w:rPr>
          <w:szCs w:val="22"/>
        </w:rPr>
        <w:lastRenderedPageBreak/>
        <w:t>Tiazidai</w:t>
      </w:r>
      <w:proofErr w:type="spellEnd"/>
      <w:r>
        <w:rPr>
          <w:szCs w:val="22"/>
        </w:rPr>
        <w:t xml:space="preserve">, įskaitant </w:t>
      </w:r>
      <w:proofErr w:type="spellStart"/>
      <w:r>
        <w:rPr>
          <w:szCs w:val="22"/>
        </w:rPr>
        <w:t>hidrochlorotiazidą</w:t>
      </w:r>
      <w:proofErr w:type="spellEnd"/>
      <w:r>
        <w:rPr>
          <w:szCs w:val="22"/>
        </w:rPr>
        <w:t xml:space="preserve">, gali sukelti skysčių ar elektrolitų pusiausvyros sutrikimų (įskaitant </w:t>
      </w:r>
      <w:proofErr w:type="spellStart"/>
      <w:r>
        <w:rPr>
          <w:szCs w:val="22"/>
        </w:rPr>
        <w:t>hipokalemiją</w:t>
      </w:r>
      <w:proofErr w:type="spellEnd"/>
      <w:r>
        <w:rPr>
          <w:szCs w:val="22"/>
        </w:rPr>
        <w:t xml:space="preserve">, </w:t>
      </w:r>
      <w:proofErr w:type="spellStart"/>
      <w:r>
        <w:rPr>
          <w:szCs w:val="22"/>
        </w:rPr>
        <w:t>hiponatremiją</w:t>
      </w:r>
      <w:proofErr w:type="spellEnd"/>
      <w:r>
        <w:rPr>
          <w:szCs w:val="22"/>
        </w:rPr>
        <w:t xml:space="preserve"> ir </w:t>
      </w:r>
      <w:proofErr w:type="spellStart"/>
      <w:r>
        <w:rPr>
          <w:szCs w:val="22"/>
        </w:rPr>
        <w:t>hipochloreminę</w:t>
      </w:r>
      <w:proofErr w:type="spellEnd"/>
      <w:r>
        <w:rPr>
          <w:szCs w:val="22"/>
        </w:rPr>
        <w:t xml:space="preserve"> </w:t>
      </w:r>
      <w:proofErr w:type="spellStart"/>
      <w:r>
        <w:rPr>
          <w:szCs w:val="22"/>
        </w:rPr>
        <w:t>alkalozę</w:t>
      </w:r>
      <w:proofErr w:type="spellEnd"/>
      <w:r>
        <w:rPr>
          <w:szCs w:val="22"/>
        </w:rPr>
        <w:t xml:space="preserve">). Skysčių ar elektrolitų pusiausvyros sutrikimų įspėjamieji požymiai yra burnos džiūvimas, troškulys, </w:t>
      </w:r>
      <w:proofErr w:type="spellStart"/>
      <w:r>
        <w:rPr>
          <w:szCs w:val="22"/>
        </w:rPr>
        <w:t>astenija</w:t>
      </w:r>
      <w:proofErr w:type="spellEnd"/>
      <w:r>
        <w:rPr>
          <w:szCs w:val="22"/>
        </w:rPr>
        <w:t xml:space="preserve">, letargija, apsnūdimas, neramumas, raumenų skausmas ar mėšlungis, raumenų silpnumas, </w:t>
      </w:r>
      <w:proofErr w:type="spellStart"/>
      <w:r>
        <w:rPr>
          <w:szCs w:val="22"/>
        </w:rPr>
        <w:t>hipotenzija</w:t>
      </w:r>
      <w:proofErr w:type="spellEnd"/>
      <w:r>
        <w:rPr>
          <w:szCs w:val="22"/>
        </w:rPr>
        <w:t xml:space="preserve">, </w:t>
      </w:r>
      <w:proofErr w:type="spellStart"/>
      <w:r>
        <w:rPr>
          <w:szCs w:val="22"/>
        </w:rPr>
        <w:t>oligurija</w:t>
      </w:r>
      <w:proofErr w:type="spellEnd"/>
      <w:r>
        <w:rPr>
          <w:szCs w:val="22"/>
        </w:rPr>
        <w:t>, tachikardija ir virškinimo trakto sutrikimai, tokie kaip pykinimas arba vėmimas (žr. 4.8 skyrių).</w:t>
      </w:r>
    </w:p>
    <w:p w14:paraId="01CA91AD" w14:textId="77777777" w:rsidR="00D25008" w:rsidRDefault="00D25008">
      <w:pPr>
        <w:autoSpaceDE w:val="0"/>
        <w:autoSpaceDN w:val="0"/>
        <w:adjustRightInd w:val="0"/>
        <w:rPr>
          <w:szCs w:val="22"/>
          <w:lang w:eastAsia="sl-SI"/>
        </w:rPr>
      </w:pPr>
    </w:p>
    <w:p w14:paraId="53434D19" w14:textId="77777777" w:rsidR="00D25008" w:rsidRDefault="00FE2A61">
      <w:pPr>
        <w:numPr>
          <w:ilvl w:val="0"/>
          <w:numId w:val="18"/>
        </w:numPr>
        <w:autoSpaceDE w:val="0"/>
        <w:autoSpaceDN w:val="0"/>
        <w:adjustRightInd w:val="0"/>
        <w:ind w:left="567" w:hanging="567"/>
        <w:contextualSpacing/>
        <w:rPr>
          <w:rFonts w:eastAsia="Calibri"/>
          <w:szCs w:val="22"/>
          <w:lang w:eastAsia="sl-SI"/>
        </w:rPr>
      </w:pPr>
      <w:proofErr w:type="spellStart"/>
      <w:r>
        <w:rPr>
          <w:rFonts w:eastAsia="Calibri"/>
          <w:szCs w:val="22"/>
          <w:lang w:eastAsia="sl-SI"/>
        </w:rPr>
        <w:t>Hipokalemija</w:t>
      </w:r>
      <w:proofErr w:type="spellEnd"/>
    </w:p>
    <w:p w14:paraId="57F19B37" w14:textId="77777777" w:rsidR="00D25008" w:rsidRDefault="00FE2A61">
      <w:pPr>
        <w:autoSpaceDE w:val="0"/>
        <w:autoSpaceDN w:val="0"/>
        <w:adjustRightInd w:val="0"/>
        <w:rPr>
          <w:szCs w:val="22"/>
          <w:lang w:eastAsia="sl-SI"/>
        </w:rPr>
      </w:pPr>
      <w:r>
        <w:rPr>
          <w:szCs w:val="22"/>
          <w:lang w:eastAsia="sl-SI"/>
        </w:rPr>
        <w:t xml:space="preserve">Nors vartojant </w:t>
      </w:r>
      <w:proofErr w:type="spellStart"/>
      <w:r>
        <w:rPr>
          <w:szCs w:val="22"/>
          <w:lang w:eastAsia="sl-SI"/>
        </w:rPr>
        <w:t>tiazidinių</w:t>
      </w:r>
      <w:proofErr w:type="spellEnd"/>
      <w:r>
        <w:rPr>
          <w:szCs w:val="22"/>
          <w:lang w:eastAsia="sl-SI"/>
        </w:rPr>
        <w:t xml:space="preserve"> diuretikų gali pasireikšti </w:t>
      </w:r>
      <w:proofErr w:type="spellStart"/>
      <w:r>
        <w:rPr>
          <w:szCs w:val="22"/>
          <w:lang w:eastAsia="sl-SI"/>
        </w:rPr>
        <w:t>hipokalemija</w:t>
      </w:r>
      <w:proofErr w:type="spellEnd"/>
      <w:r>
        <w:rPr>
          <w:szCs w:val="22"/>
          <w:lang w:eastAsia="sl-SI"/>
        </w:rPr>
        <w:t xml:space="preserve">, kartu vartojant </w:t>
      </w:r>
      <w:proofErr w:type="spellStart"/>
      <w:r>
        <w:rPr>
          <w:szCs w:val="22"/>
          <w:lang w:eastAsia="sl-SI"/>
        </w:rPr>
        <w:t>telmisartano</w:t>
      </w:r>
      <w:proofErr w:type="spellEnd"/>
      <w:r>
        <w:rPr>
          <w:szCs w:val="22"/>
          <w:lang w:eastAsia="sl-SI"/>
        </w:rPr>
        <w:t xml:space="preserve"> diuretikų sukelta </w:t>
      </w:r>
      <w:proofErr w:type="spellStart"/>
      <w:r>
        <w:rPr>
          <w:szCs w:val="22"/>
          <w:lang w:eastAsia="sl-SI"/>
        </w:rPr>
        <w:t>hipokalemija</w:t>
      </w:r>
      <w:proofErr w:type="spellEnd"/>
      <w:r>
        <w:rPr>
          <w:szCs w:val="22"/>
          <w:lang w:eastAsia="sl-SI"/>
        </w:rPr>
        <w:t xml:space="preserve"> gali sumažėti. Didesnė </w:t>
      </w:r>
      <w:proofErr w:type="spellStart"/>
      <w:r>
        <w:rPr>
          <w:szCs w:val="22"/>
          <w:lang w:eastAsia="sl-SI"/>
        </w:rPr>
        <w:t>hipokalemijos</w:t>
      </w:r>
      <w:proofErr w:type="spellEnd"/>
      <w:r>
        <w:rPr>
          <w:szCs w:val="22"/>
          <w:lang w:eastAsia="sl-SI"/>
        </w:rPr>
        <w:t xml:space="preserve"> rizika yra pacientams, kurie serga kepenų ciroze, išsiskiria daug šlapimo, vartoja per mažai elektrolitų per burną arba yra gydomi kortikosteroidais ar </w:t>
      </w:r>
      <w:proofErr w:type="spellStart"/>
      <w:r>
        <w:rPr>
          <w:szCs w:val="22"/>
          <w:lang w:eastAsia="sl-SI"/>
        </w:rPr>
        <w:t>adrenokortikotropiniu</w:t>
      </w:r>
      <w:proofErr w:type="spellEnd"/>
      <w:r>
        <w:rPr>
          <w:szCs w:val="22"/>
          <w:lang w:eastAsia="sl-SI"/>
        </w:rPr>
        <w:t xml:space="preserve"> hormonu (AKTH) (žr. 4.5 skyrių).</w:t>
      </w:r>
    </w:p>
    <w:p w14:paraId="6ADC635F" w14:textId="77777777" w:rsidR="00D25008" w:rsidRDefault="00D25008">
      <w:pPr>
        <w:autoSpaceDE w:val="0"/>
        <w:autoSpaceDN w:val="0"/>
        <w:adjustRightInd w:val="0"/>
        <w:rPr>
          <w:szCs w:val="22"/>
          <w:lang w:eastAsia="sl-SI"/>
        </w:rPr>
      </w:pPr>
    </w:p>
    <w:p w14:paraId="23DD1DE9" w14:textId="77777777" w:rsidR="00D25008" w:rsidRDefault="00FE2A61">
      <w:pPr>
        <w:numPr>
          <w:ilvl w:val="0"/>
          <w:numId w:val="18"/>
        </w:numPr>
        <w:autoSpaceDE w:val="0"/>
        <w:autoSpaceDN w:val="0"/>
        <w:adjustRightInd w:val="0"/>
        <w:ind w:left="567" w:hanging="567"/>
        <w:contextualSpacing/>
        <w:rPr>
          <w:rFonts w:eastAsia="Calibri"/>
          <w:szCs w:val="22"/>
          <w:lang w:eastAsia="sl-SI"/>
        </w:rPr>
      </w:pPr>
      <w:proofErr w:type="spellStart"/>
      <w:r>
        <w:rPr>
          <w:rFonts w:eastAsia="Calibri"/>
          <w:szCs w:val="22"/>
          <w:lang w:eastAsia="sl-SI"/>
        </w:rPr>
        <w:t>Hiperkalemija</w:t>
      </w:r>
      <w:proofErr w:type="spellEnd"/>
    </w:p>
    <w:p w14:paraId="74D14AC9" w14:textId="77777777" w:rsidR="00D25008" w:rsidRDefault="00FE2A61">
      <w:pPr>
        <w:rPr>
          <w:szCs w:val="22"/>
          <w:lang w:eastAsia="sl-SI"/>
        </w:rPr>
      </w:pPr>
      <w:r>
        <w:rPr>
          <w:szCs w:val="22"/>
          <w:lang w:eastAsia="sl-SI"/>
        </w:rPr>
        <w:t xml:space="preserve">Dėl antagonizmo </w:t>
      </w:r>
      <w:proofErr w:type="spellStart"/>
      <w:r>
        <w:rPr>
          <w:szCs w:val="22"/>
          <w:lang w:eastAsia="sl-SI"/>
        </w:rPr>
        <w:t>angiotenzino</w:t>
      </w:r>
      <w:proofErr w:type="spellEnd"/>
      <w:r>
        <w:rPr>
          <w:szCs w:val="22"/>
          <w:lang w:eastAsia="sl-SI"/>
        </w:rPr>
        <w:t xml:space="preserve"> II receptoriams (AT</w:t>
      </w:r>
      <w:r>
        <w:rPr>
          <w:szCs w:val="22"/>
          <w:vertAlign w:val="subscript"/>
          <w:lang w:eastAsia="sl-SI"/>
        </w:rPr>
        <w:t>1</w:t>
      </w:r>
      <w:r>
        <w:rPr>
          <w:szCs w:val="22"/>
          <w:lang w:eastAsia="sl-SI"/>
        </w:rPr>
        <w:t xml:space="preserve">) </w:t>
      </w:r>
      <w:proofErr w:type="spellStart"/>
      <w:r>
        <w:rPr>
          <w:szCs w:val="22"/>
          <w:lang w:eastAsia="sl-SI"/>
        </w:rPr>
        <w:t>Tolvecom</w:t>
      </w:r>
      <w:proofErr w:type="spellEnd"/>
      <w:r>
        <w:rPr>
          <w:szCs w:val="22"/>
          <w:lang w:eastAsia="sl-SI"/>
        </w:rPr>
        <w:t xml:space="preserve"> tabletėse esantis </w:t>
      </w:r>
      <w:proofErr w:type="spellStart"/>
      <w:r>
        <w:rPr>
          <w:szCs w:val="22"/>
          <w:lang w:eastAsia="sl-SI"/>
        </w:rPr>
        <w:t>telmisartanas</w:t>
      </w:r>
      <w:proofErr w:type="spellEnd"/>
      <w:r>
        <w:rPr>
          <w:szCs w:val="22"/>
          <w:lang w:eastAsia="sl-SI"/>
        </w:rPr>
        <w:t xml:space="preserve"> gali sukelti </w:t>
      </w:r>
      <w:proofErr w:type="spellStart"/>
      <w:r>
        <w:rPr>
          <w:szCs w:val="22"/>
          <w:lang w:eastAsia="sl-SI"/>
        </w:rPr>
        <w:t>hiperkalemiją</w:t>
      </w:r>
      <w:proofErr w:type="spellEnd"/>
      <w:r>
        <w:rPr>
          <w:szCs w:val="22"/>
          <w:lang w:eastAsia="sl-SI"/>
        </w:rPr>
        <w:t xml:space="preserve">, Nors kliniškai reikšmingos </w:t>
      </w:r>
      <w:proofErr w:type="spellStart"/>
      <w:r>
        <w:rPr>
          <w:szCs w:val="22"/>
          <w:lang w:eastAsia="sl-SI"/>
        </w:rPr>
        <w:t>hiperkalemijos</w:t>
      </w:r>
      <w:proofErr w:type="spellEnd"/>
      <w:r>
        <w:rPr>
          <w:szCs w:val="22"/>
          <w:lang w:eastAsia="sl-SI"/>
        </w:rPr>
        <w:t xml:space="preserve"> vartojant </w:t>
      </w:r>
      <w:proofErr w:type="spellStart"/>
      <w:r>
        <w:rPr>
          <w:szCs w:val="22"/>
          <w:lang w:eastAsia="sl-SI"/>
        </w:rPr>
        <w:t>Tolvecom</w:t>
      </w:r>
      <w:proofErr w:type="spellEnd"/>
      <w:r>
        <w:rPr>
          <w:szCs w:val="22"/>
          <w:lang w:eastAsia="sl-SI"/>
        </w:rPr>
        <w:t xml:space="preserve"> nedokumentuota, </w:t>
      </w:r>
      <w:proofErr w:type="spellStart"/>
      <w:r>
        <w:rPr>
          <w:szCs w:val="22"/>
          <w:lang w:eastAsia="sl-SI"/>
        </w:rPr>
        <w:t>hiperkalemijos</w:t>
      </w:r>
      <w:proofErr w:type="spellEnd"/>
      <w:r>
        <w:rPr>
          <w:szCs w:val="22"/>
          <w:lang w:eastAsia="sl-SI"/>
        </w:rPr>
        <w:t xml:space="preserve"> pasireiškimo rizikos veiksniai yra inkstų nepakankamumas ir (arba) širdies nepakankamumas ir cukrinis diabetas. Kartu su </w:t>
      </w:r>
      <w:proofErr w:type="spellStart"/>
      <w:r>
        <w:rPr>
          <w:szCs w:val="22"/>
          <w:lang w:eastAsia="sl-SI"/>
        </w:rPr>
        <w:t>Tolvecom</w:t>
      </w:r>
      <w:proofErr w:type="spellEnd"/>
      <w:r>
        <w:rPr>
          <w:szCs w:val="22"/>
          <w:lang w:eastAsia="sl-SI"/>
        </w:rPr>
        <w:t xml:space="preserve"> kalį organizme sulaikančių diuretikų, kalio papildų ar druskų pakaitalų, kuriuose yra kalio, reikia vartoti atsargiai (žr. 4.5 skyrių).</w:t>
      </w:r>
    </w:p>
    <w:p w14:paraId="1C2EE461" w14:textId="77777777" w:rsidR="00D25008" w:rsidRDefault="00D25008">
      <w:pPr>
        <w:autoSpaceDE w:val="0"/>
        <w:autoSpaceDN w:val="0"/>
        <w:adjustRightInd w:val="0"/>
        <w:rPr>
          <w:szCs w:val="22"/>
          <w:lang w:eastAsia="sl-SI"/>
        </w:rPr>
      </w:pPr>
    </w:p>
    <w:p w14:paraId="4DFC0B52" w14:textId="2CB278D7" w:rsidR="00D25008" w:rsidRDefault="001C4737">
      <w:pPr>
        <w:numPr>
          <w:ilvl w:val="0"/>
          <w:numId w:val="18"/>
        </w:numPr>
        <w:autoSpaceDE w:val="0"/>
        <w:autoSpaceDN w:val="0"/>
        <w:adjustRightInd w:val="0"/>
        <w:ind w:left="567" w:hanging="567"/>
        <w:contextualSpacing/>
        <w:rPr>
          <w:rFonts w:eastAsia="Calibri"/>
          <w:szCs w:val="22"/>
          <w:lang w:eastAsia="sl-SI"/>
        </w:rPr>
      </w:pPr>
      <w:proofErr w:type="spellStart"/>
      <w:r>
        <w:rPr>
          <w:rFonts w:eastAsia="Calibri"/>
          <w:szCs w:val="22"/>
          <w:lang w:eastAsia="sl-SI"/>
        </w:rPr>
        <w:t>Hipochloreminė</w:t>
      </w:r>
      <w:proofErr w:type="spellEnd"/>
      <w:r w:rsidR="00FE2A61">
        <w:rPr>
          <w:rFonts w:eastAsia="Calibri"/>
          <w:szCs w:val="22"/>
          <w:lang w:eastAsia="sl-SI"/>
        </w:rPr>
        <w:t xml:space="preserve"> </w:t>
      </w:r>
      <w:proofErr w:type="spellStart"/>
      <w:r w:rsidR="00FE2A61">
        <w:rPr>
          <w:rFonts w:eastAsia="Calibri"/>
          <w:szCs w:val="22"/>
          <w:lang w:eastAsia="sl-SI"/>
        </w:rPr>
        <w:t>alkalozė</w:t>
      </w:r>
      <w:proofErr w:type="spellEnd"/>
    </w:p>
    <w:p w14:paraId="594B1776" w14:textId="55D2884D" w:rsidR="00D25008" w:rsidRDefault="00FE2A61">
      <w:pPr>
        <w:autoSpaceDE w:val="0"/>
        <w:autoSpaceDN w:val="0"/>
        <w:adjustRightInd w:val="0"/>
        <w:rPr>
          <w:szCs w:val="22"/>
          <w:lang w:eastAsia="sl-SI"/>
        </w:rPr>
      </w:pPr>
      <w:r>
        <w:rPr>
          <w:szCs w:val="22"/>
          <w:lang w:eastAsia="sl-SI"/>
        </w:rPr>
        <w:t>Chloridų deficitas paprastai būna lengvas ir paprastai jo gydyti nereikia.</w:t>
      </w:r>
    </w:p>
    <w:p w14:paraId="30CFFF6E" w14:textId="77777777" w:rsidR="00D25008" w:rsidRDefault="00D25008">
      <w:pPr>
        <w:autoSpaceDE w:val="0"/>
        <w:autoSpaceDN w:val="0"/>
        <w:adjustRightInd w:val="0"/>
        <w:rPr>
          <w:szCs w:val="22"/>
          <w:lang w:eastAsia="sl-SI"/>
        </w:rPr>
      </w:pPr>
    </w:p>
    <w:p w14:paraId="3686F893" w14:textId="77777777" w:rsidR="00D25008" w:rsidRDefault="00FE2A61">
      <w:pPr>
        <w:numPr>
          <w:ilvl w:val="0"/>
          <w:numId w:val="18"/>
        </w:numPr>
        <w:autoSpaceDE w:val="0"/>
        <w:autoSpaceDN w:val="0"/>
        <w:adjustRightInd w:val="0"/>
        <w:ind w:left="567" w:hanging="567"/>
        <w:contextualSpacing/>
        <w:rPr>
          <w:rFonts w:eastAsia="Calibri"/>
          <w:szCs w:val="22"/>
          <w:lang w:eastAsia="sl-SI"/>
        </w:rPr>
      </w:pPr>
      <w:proofErr w:type="spellStart"/>
      <w:r>
        <w:rPr>
          <w:rFonts w:eastAsia="Calibri"/>
          <w:szCs w:val="22"/>
          <w:lang w:eastAsia="sl-SI"/>
        </w:rPr>
        <w:t>Hiperkalcemija</w:t>
      </w:r>
      <w:proofErr w:type="spellEnd"/>
    </w:p>
    <w:p w14:paraId="72FB0288" w14:textId="77777777" w:rsidR="00D25008" w:rsidRDefault="00FE2A61">
      <w:pPr>
        <w:autoSpaceDE w:val="0"/>
        <w:autoSpaceDN w:val="0"/>
        <w:adjustRightInd w:val="0"/>
        <w:rPr>
          <w:szCs w:val="22"/>
          <w:lang w:eastAsia="sl-SI"/>
        </w:rPr>
      </w:pPr>
      <w:proofErr w:type="spellStart"/>
      <w:r>
        <w:rPr>
          <w:szCs w:val="22"/>
          <w:lang w:eastAsia="sl-SI"/>
        </w:rPr>
        <w:t>Tiazidai</w:t>
      </w:r>
      <w:proofErr w:type="spellEnd"/>
      <w:r>
        <w:rPr>
          <w:szCs w:val="22"/>
          <w:lang w:eastAsia="sl-SI"/>
        </w:rPr>
        <w:t xml:space="preserve"> gali mažinti kalcio išsiskyrimą su šlapimu ir, nesant žinomų kalcio apykaitos sutrikimų, sukelti protarpinį ir nedidelį kalcio koncentracijos padidėjimą kraujo serume. Reikšminga </w:t>
      </w:r>
      <w:proofErr w:type="spellStart"/>
      <w:r>
        <w:rPr>
          <w:szCs w:val="22"/>
          <w:lang w:eastAsia="sl-SI"/>
        </w:rPr>
        <w:t>hiperkalcemija</w:t>
      </w:r>
      <w:proofErr w:type="spellEnd"/>
      <w:r>
        <w:rPr>
          <w:szCs w:val="22"/>
          <w:lang w:eastAsia="sl-SI"/>
        </w:rPr>
        <w:t xml:space="preserve"> gali būti slaptojo </w:t>
      </w:r>
      <w:proofErr w:type="spellStart"/>
      <w:r>
        <w:rPr>
          <w:szCs w:val="22"/>
          <w:lang w:eastAsia="sl-SI"/>
        </w:rPr>
        <w:t>hiperparatiroidizmo</w:t>
      </w:r>
      <w:proofErr w:type="spellEnd"/>
      <w:r>
        <w:rPr>
          <w:szCs w:val="22"/>
          <w:lang w:eastAsia="sl-SI"/>
        </w:rPr>
        <w:t xml:space="preserve"> požymis. Prieš atliekant </w:t>
      </w:r>
      <w:proofErr w:type="spellStart"/>
      <w:r>
        <w:rPr>
          <w:szCs w:val="22"/>
          <w:lang w:eastAsia="sl-SI"/>
        </w:rPr>
        <w:t>prieskydinių</w:t>
      </w:r>
      <w:proofErr w:type="spellEnd"/>
      <w:r>
        <w:rPr>
          <w:szCs w:val="22"/>
          <w:lang w:eastAsia="sl-SI"/>
        </w:rPr>
        <w:t xml:space="preserve"> liaukų funkcijos tyrimus, reikia nutraukti </w:t>
      </w:r>
      <w:proofErr w:type="spellStart"/>
      <w:r>
        <w:rPr>
          <w:szCs w:val="22"/>
          <w:lang w:eastAsia="sl-SI"/>
        </w:rPr>
        <w:t>tiazidų</w:t>
      </w:r>
      <w:proofErr w:type="spellEnd"/>
      <w:r>
        <w:rPr>
          <w:szCs w:val="22"/>
          <w:lang w:eastAsia="sl-SI"/>
        </w:rPr>
        <w:t xml:space="preserve"> vartojimą.</w:t>
      </w:r>
    </w:p>
    <w:p w14:paraId="229D0129" w14:textId="77777777" w:rsidR="00D25008" w:rsidRDefault="00D25008">
      <w:pPr>
        <w:autoSpaceDE w:val="0"/>
        <w:autoSpaceDN w:val="0"/>
        <w:adjustRightInd w:val="0"/>
        <w:rPr>
          <w:szCs w:val="22"/>
          <w:lang w:eastAsia="sl-SI"/>
        </w:rPr>
      </w:pPr>
    </w:p>
    <w:p w14:paraId="7C424F24" w14:textId="77777777" w:rsidR="00D25008" w:rsidRDefault="00FE2A61">
      <w:pPr>
        <w:numPr>
          <w:ilvl w:val="0"/>
          <w:numId w:val="18"/>
        </w:numPr>
        <w:autoSpaceDE w:val="0"/>
        <w:autoSpaceDN w:val="0"/>
        <w:adjustRightInd w:val="0"/>
        <w:ind w:left="567" w:hanging="567"/>
        <w:contextualSpacing/>
        <w:rPr>
          <w:rFonts w:eastAsia="Calibri"/>
          <w:szCs w:val="22"/>
          <w:lang w:eastAsia="sl-SI"/>
        </w:rPr>
      </w:pPr>
      <w:proofErr w:type="spellStart"/>
      <w:r>
        <w:rPr>
          <w:rFonts w:eastAsia="Calibri"/>
          <w:szCs w:val="22"/>
          <w:lang w:eastAsia="sl-SI"/>
        </w:rPr>
        <w:t>Hipomagnezemija</w:t>
      </w:r>
      <w:proofErr w:type="spellEnd"/>
    </w:p>
    <w:p w14:paraId="16E322B3" w14:textId="77777777" w:rsidR="00D25008" w:rsidRDefault="00FE2A61">
      <w:pPr>
        <w:autoSpaceDE w:val="0"/>
        <w:autoSpaceDN w:val="0"/>
        <w:adjustRightInd w:val="0"/>
        <w:rPr>
          <w:szCs w:val="22"/>
          <w:lang w:eastAsia="sl-SI"/>
        </w:rPr>
      </w:pPr>
      <w:r>
        <w:rPr>
          <w:szCs w:val="22"/>
          <w:lang w:eastAsia="sl-SI"/>
        </w:rPr>
        <w:t xml:space="preserve">Nustatyta, kad </w:t>
      </w:r>
      <w:proofErr w:type="spellStart"/>
      <w:r>
        <w:rPr>
          <w:szCs w:val="22"/>
          <w:lang w:eastAsia="sl-SI"/>
        </w:rPr>
        <w:t>tiazidai</w:t>
      </w:r>
      <w:proofErr w:type="spellEnd"/>
      <w:r>
        <w:rPr>
          <w:szCs w:val="22"/>
          <w:lang w:eastAsia="sl-SI"/>
        </w:rPr>
        <w:t xml:space="preserve"> gali padidinti magnio išsiskyrimą su šlapimu, dėl to gali pasireikšti </w:t>
      </w:r>
      <w:proofErr w:type="spellStart"/>
      <w:r>
        <w:rPr>
          <w:szCs w:val="22"/>
          <w:lang w:eastAsia="sl-SI"/>
        </w:rPr>
        <w:t>hipomagnezemija</w:t>
      </w:r>
      <w:proofErr w:type="spellEnd"/>
      <w:r>
        <w:rPr>
          <w:szCs w:val="22"/>
          <w:lang w:eastAsia="sl-SI"/>
        </w:rPr>
        <w:t xml:space="preserve"> (žr. 4.5 skyrių).</w:t>
      </w:r>
    </w:p>
    <w:p w14:paraId="22B6E201" w14:textId="77777777" w:rsidR="00D25008" w:rsidRDefault="00D25008">
      <w:pPr>
        <w:autoSpaceDE w:val="0"/>
        <w:autoSpaceDN w:val="0"/>
        <w:adjustRightInd w:val="0"/>
        <w:rPr>
          <w:szCs w:val="22"/>
          <w:lang w:eastAsia="sl-SI"/>
        </w:rPr>
      </w:pPr>
    </w:p>
    <w:p w14:paraId="5D0903F2" w14:textId="77777777" w:rsidR="00D25008" w:rsidRDefault="00FE2A61">
      <w:pPr>
        <w:autoSpaceDE w:val="0"/>
        <w:autoSpaceDN w:val="0"/>
        <w:adjustRightInd w:val="0"/>
        <w:rPr>
          <w:szCs w:val="22"/>
          <w:lang w:eastAsia="sl-SI"/>
        </w:rPr>
      </w:pPr>
      <w:r>
        <w:rPr>
          <w:szCs w:val="22"/>
          <w:u w:val="single"/>
          <w:lang w:eastAsia="sl-SI"/>
        </w:rPr>
        <w:t>Etniniai skirtumai</w:t>
      </w:r>
    </w:p>
    <w:p w14:paraId="3DE954F9" w14:textId="08C3D4A8" w:rsidR="00D25008" w:rsidRDefault="00FE2A61">
      <w:pPr>
        <w:autoSpaceDE w:val="0"/>
        <w:autoSpaceDN w:val="0"/>
        <w:adjustRightInd w:val="0"/>
        <w:rPr>
          <w:szCs w:val="22"/>
          <w:lang w:eastAsia="sl-SI"/>
        </w:rPr>
      </w:pPr>
      <w:r>
        <w:rPr>
          <w:szCs w:val="22"/>
          <w:lang w:eastAsia="sl-SI"/>
        </w:rPr>
        <w:t xml:space="preserve">Kaip ir visi kiti </w:t>
      </w:r>
      <w:proofErr w:type="spellStart"/>
      <w:r>
        <w:rPr>
          <w:szCs w:val="22"/>
          <w:lang w:eastAsia="sl-SI"/>
        </w:rPr>
        <w:t>angiotenzino</w:t>
      </w:r>
      <w:proofErr w:type="spellEnd"/>
      <w:r>
        <w:rPr>
          <w:szCs w:val="22"/>
          <w:lang w:eastAsia="sl-SI"/>
        </w:rPr>
        <w:t xml:space="preserve"> II receptorių </w:t>
      </w:r>
      <w:r w:rsidR="001C4737">
        <w:rPr>
          <w:szCs w:val="22"/>
          <w:lang w:eastAsia="sl-SI"/>
        </w:rPr>
        <w:t>blokatoriai</w:t>
      </w:r>
      <w:r>
        <w:rPr>
          <w:szCs w:val="22"/>
          <w:lang w:eastAsia="sl-SI"/>
        </w:rPr>
        <w:t xml:space="preserve">, </w:t>
      </w:r>
      <w:proofErr w:type="spellStart"/>
      <w:r>
        <w:rPr>
          <w:szCs w:val="22"/>
          <w:lang w:eastAsia="sl-SI"/>
        </w:rPr>
        <w:t>telmisartanas</w:t>
      </w:r>
      <w:proofErr w:type="spellEnd"/>
      <w:r>
        <w:rPr>
          <w:szCs w:val="22"/>
          <w:lang w:eastAsia="sl-SI"/>
        </w:rPr>
        <w:t xml:space="preserve"> akivaizdžiai mažiau veiksmingai mažina kraujospūdį juodaodžiams pacientams nei ne juodaodžiams, galbūt dėl to, kad juodaodžių hipertenzija sergančių pacientų populiacijoje </w:t>
      </w:r>
      <w:proofErr w:type="spellStart"/>
      <w:r>
        <w:rPr>
          <w:szCs w:val="22"/>
          <w:lang w:eastAsia="sl-SI"/>
        </w:rPr>
        <w:t>renino</w:t>
      </w:r>
      <w:proofErr w:type="spellEnd"/>
      <w:r>
        <w:rPr>
          <w:szCs w:val="22"/>
          <w:lang w:eastAsia="sl-SI"/>
        </w:rPr>
        <w:t xml:space="preserve"> aktyvumas dažniau būna žemas.</w:t>
      </w:r>
    </w:p>
    <w:p w14:paraId="3B6DAA2D" w14:textId="77777777" w:rsidR="00D25008" w:rsidRDefault="00D25008">
      <w:pPr>
        <w:autoSpaceDE w:val="0"/>
        <w:autoSpaceDN w:val="0"/>
        <w:adjustRightInd w:val="0"/>
        <w:rPr>
          <w:szCs w:val="22"/>
          <w:lang w:eastAsia="sl-SI"/>
        </w:rPr>
      </w:pPr>
    </w:p>
    <w:p w14:paraId="47A8D0B6" w14:textId="77777777" w:rsidR="00880572" w:rsidRDefault="001C4737">
      <w:pPr>
        <w:autoSpaceDE w:val="0"/>
        <w:autoSpaceDN w:val="0"/>
        <w:adjustRightInd w:val="0"/>
        <w:rPr>
          <w:u w:val="single"/>
        </w:rPr>
      </w:pPr>
      <w:r w:rsidRPr="004A3BBC">
        <w:rPr>
          <w:u w:val="single"/>
        </w:rPr>
        <w:t>Išeminė širdies liga</w:t>
      </w:r>
      <w:r w:rsidR="00880572">
        <w:rPr>
          <w:u w:val="single"/>
        </w:rPr>
        <w:t xml:space="preserve"> </w:t>
      </w:r>
    </w:p>
    <w:p w14:paraId="4E33C28F" w14:textId="3AD7AE97" w:rsidR="00D25008" w:rsidRDefault="001C4737">
      <w:pPr>
        <w:autoSpaceDE w:val="0"/>
        <w:autoSpaceDN w:val="0"/>
        <w:adjustRightInd w:val="0"/>
        <w:rPr>
          <w:szCs w:val="22"/>
          <w:lang w:eastAsia="sl-SI"/>
        </w:rPr>
      </w:pPr>
      <w:r>
        <w:rPr>
          <w:szCs w:val="22"/>
          <w:lang w:eastAsia="sl-SI"/>
        </w:rPr>
        <w:t>Kaip</w:t>
      </w:r>
      <w:r w:rsidR="00FE2A61">
        <w:rPr>
          <w:szCs w:val="22"/>
          <w:lang w:eastAsia="sl-SI"/>
        </w:rPr>
        <w:t xml:space="preserve"> ir gydymo kitokiais </w:t>
      </w:r>
      <w:proofErr w:type="spellStart"/>
      <w:r w:rsidR="00FE2A61">
        <w:rPr>
          <w:szCs w:val="22"/>
          <w:lang w:eastAsia="sl-SI"/>
        </w:rPr>
        <w:t>antihipertenziniais</w:t>
      </w:r>
      <w:proofErr w:type="spellEnd"/>
      <w:r w:rsidR="00FE2A61">
        <w:rPr>
          <w:szCs w:val="22"/>
          <w:lang w:eastAsia="sl-SI"/>
        </w:rPr>
        <w:t xml:space="preserve"> vaistiniais preparatais metu, pacientams, sergantiems išemine kardiomiopatija arba išemine širdies ir kraujagyslių liga, pernelyg didelis kraujospūdžio sumažėjimas gali sukelti miokardo infarktą arba smegenų insultą.</w:t>
      </w:r>
    </w:p>
    <w:p w14:paraId="32BBC815" w14:textId="77777777" w:rsidR="00D25008" w:rsidRDefault="00D25008">
      <w:pPr>
        <w:autoSpaceDE w:val="0"/>
        <w:autoSpaceDN w:val="0"/>
        <w:adjustRightInd w:val="0"/>
        <w:rPr>
          <w:szCs w:val="22"/>
          <w:lang w:eastAsia="sl-SI"/>
        </w:rPr>
      </w:pPr>
    </w:p>
    <w:p w14:paraId="68F7A930" w14:textId="77777777" w:rsidR="00D25008" w:rsidRDefault="00FE2A61">
      <w:pPr>
        <w:autoSpaceDE w:val="0"/>
        <w:autoSpaceDN w:val="0"/>
        <w:adjustRightInd w:val="0"/>
        <w:rPr>
          <w:szCs w:val="22"/>
          <w:lang w:eastAsia="sl-SI"/>
        </w:rPr>
      </w:pPr>
      <w:r>
        <w:rPr>
          <w:szCs w:val="22"/>
          <w:u w:val="single"/>
          <w:lang w:eastAsia="sl-SI"/>
        </w:rPr>
        <w:t>Bendroji informacija</w:t>
      </w:r>
    </w:p>
    <w:p w14:paraId="0022954C" w14:textId="77777777" w:rsidR="00D25008" w:rsidRDefault="00FE2A61">
      <w:pPr>
        <w:autoSpaceDE w:val="0"/>
        <w:autoSpaceDN w:val="0"/>
        <w:adjustRightInd w:val="0"/>
        <w:rPr>
          <w:szCs w:val="22"/>
          <w:lang w:eastAsia="sl-SI"/>
        </w:rPr>
      </w:pPr>
      <w:r>
        <w:rPr>
          <w:szCs w:val="22"/>
          <w:lang w:eastAsia="sl-SI"/>
        </w:rPr>
        <w:t xml:space="preserve">Padidėjusio jautrumo reakcija į </w:t>
      </w:r>
      <w:proofErr w:type="spellStart"/>
      <w:r>
        <w:rPr>
          <w:szCs w:val="22"/>
          <w:lang w:eastAsia="sl-SI"/>
        </w:rPr>
        <w:t>hidrochlorotiazidą</w:t>
      </w:r>
      <w:proofErr w:type="spellEnd"/>
      <w:r>
        <w:rPr>
          <w:szCs w:val="22"/>
          <w:lang w:eastAsia="sl-SI"/>
        </w:rPr>
        <w:t xml:space="preserve"> gali pasireikšti pacientams, kuriems alergija ar bronchų astma anksčiau buvo arba nebuvo pasireiškusi, tačiau ji labiau tikėtina pacientams, kuriems minėtų sutrikimų yra buvę. Vartojant </w:t>
      </w:r>
      <w:proofErr w:type="spellStart"/>
      <w:r>
        <w:rPr>
          <w:szCs w:val="22"/>
          <w:lang w:eastAsia="sl-SI"/>
        </w:rPr>
        <w:t>tiazidų</w:t>
      </w:r>
      <w:proofErr w:type="spellEnd"/>
      <w:r>
        <w:rPr>
          <w:szCs w:val="22"/>
          <w:lang w:eastAsia="sl-SI"/>
        </w:rPr>
        <w:t xml:space="preserve"> grupės diuretikų, įskaitant </w:t>
      </w:r>
      <w:proofErr w:type="spellStart"/>
      <w:r>
        <w:rPr>
          <w:szCs w:val="22"/>
          <w:lang w:eastAsia="sl-SI"/>
        </w:rPr>
        <w:t>hidrochlorotiazidą</w:t>
      </w:r>
      <w:proofErr w:type="spellEnd"/>
      <w:r>
        <w:rPr>
          <w:szCs w:val="22"/>
          <w:lang w:eastAsia="sl-SI"/>
        </w:rPr>
        <w:t>, buvo sisteminės raudonosios vilkligės paūmėjimo ar suaktyvėjimo atvejų.</w:t>
      </w:r>
    </w:p>
    <w:p w14:paraId="49C62594" w14:textId="77777777" w:rsidR="00D25008" w:rsidRDefault="00FE2A61">
      <w:pPr>
        <w:autoSpaceDE w:val="0"/>
        <w:autoSpaceDN w:val="0"/>
        <w:adjustRightInd w:val="0"/>
        <w:rPr>
          <w:szCs w:val="22"/>
          <w:lang w:eastAsia="sl-SI"/>
        </w:rPr>
      </w:pPr>
      <w:r>
        <w:rPr>
          <w:szCs w:val="22"/>
          <w:lang w:eastAsia="sl-SI"/>
        </w:rPr>
        <w:t xml:space="preserve">Pranešta apie jautrumo šviesai atvejus vartojant </w:t>
      </w:r>
      <w:proofErr w:type="spellStart"/>
      <w:r>
        <w:rPr>
          <w:szCs w:val="22"/>
          <w:lang w:eastAsia="sl-SI"/>
        </w:rPr>
        <w:t>tiazidų</w:t>
      </w:r>
      <w:proofErr w:type="spellEnd"/>
      <w:r>
        <w:rPr>
          <w:szCs w:val="22"/>
          <w:lang w:eastAsia="sl-SI"/>
        </w:rPr>
        <w:t xml:space="preserve"> grupės diuretikų (žr. 4.8 skyrių). Jei gydymo metu pasireiškia jautrumo šviesai reakcija, jį rekomenduojama sustabdyti. Jei gydymą diuretikais atnaujinti būtina, saulės arba dirbtinių UVA spindulių veikiamus odos paviršius rekomenduojama apsaugoti.</w:t>
      </w:r>
    </w:p>
    <w:p w14:paraId="519C759C" w14:textId="77777777" w:rsidR="00D25008" w:rsidRDefault="00D25008">
      <w:pPr>
        <w:autoSpaceDE w:val="0"/>
        <w:autoSpaceDN w:val="0"/>
        <w:adjustRightInd w:val="0"/>
        <w:rPr>
          <w:szCs w:val="22"/>
          <w:lang w:eastAsia="sl-SI"/>
        </w:rPr>
      </w:pPr>
    </w:p>
    <w:p w14:paraId="7A58B789" w14:textId="77777777" w:rsidR="00D25008" w:rsidRDefault="00FE2A61">
      <w:pPr>
        <w:widowControl w:val="0"/>
        <w:rPr>
          <w:szCs w:val="22"/>
          <w:u w:val="single"/>
          <w:lang w:eastAsia="sl-SI"/>
        </w:rPr>
      </w:pPr>
      <w:r>
        <w:rPr>
          <w:szCs w:val="22"/>
          <w:u w:val="single"/>
          <w:lang w:eastAsia="sl-SI"/>
        </w:rPr>
        <w:t xml:space="preserve">Skysčio susikaupimas tarp akies </w:t>
      </w:r>
      <w:proofErr w:type="spellStart"/>
      <w:r>
        <w:rPr>
          <w:szCs w:val="22"/>
          <w:u w:val="single"/>
          <w:lang w:eastAsia="sl-SI"/>
        </w:rPr>
        <w:t>gyslainės</w:t>
      </w:r>
      <w:proofErr w:type="spellEnd"/>
      <w:r>
        <w:rPr>
          <w:szCs w:val="22"/>
          <w:u w:val="single"/>
          <w:lang w:eastAsia="sl-SI"/>
        </w:rPr>
        <w:t xml:space="preserve"> ir </w:t>
      </w:r>
      <w:proofErr w:type="spellStart"/>
      <w:r>
        <w:rPr>
          <w:szCs w:val="22"/>
          <w:u w:val="single"/>
          <w:lang w:eastAsia="sl-SI"/>
        </w:rPr>
        <w:t>skleros</w:t>
      </w:r>
      <w:proofErr w:type="spellEnd"/>
      <w:r>
        <w:rPr>
          <w:szCs w:val="22"/>
          <w:u w:val="single"/>
          <w:lang w:eastAsia="sl-SI"/>
        </w:rPr>
        <w:t xml:space="preserve">, ūminė </w:t>
      </w:r>
      <w:proofErr w:type="spellStart"/>
      <w:r>
        <w:rPr>
          <w:szCs w:val="22"/>
          <w:u w:val="single"/>
          <w:lang w:eastAsia="sl-SI"/>
        </w:rPr>
        <w:t>miopija</w:t>
      </w:r>
      <w:proofErr w:type="spellEnd"/>
      <w:r>
        <w:rPr>
          <w:szCs w:val="22"/>
          <w:u w:val="single"/>
          <w:lang w:eastAsia="sl-SI"/>
        </w:rPr>
        <w:t xml:space="preserve"> ir antrinė uždarojo kampo glaukoma</w:t>
      </w:r>
    </w:p>
    <w:p w14:paraId="3886091E" w14:textId="77777777" w:rsidR="00D25008" w:rsidRDefault="00FE2A61">
      <w:pPr>
        <w:widowControl w:val="0"/>
        <w:rPr>
          <w:szCs w:val="22"/>
          <w:lang w:eastAsia="sl-SI"/>
        </w:rPr>
      </w:pPr>
      <w:proofErr w:type="spellStart"/>
      <w:r>
        <w:rPr>
          <w:szCs w:val="22"/>
          <w:lang w:eastAsia="sl-SI"/>
        </w:rPr>
        <w:t>Sulfonamidų</w:t>
      </w:r>
      <w:proofErr w:type="spellEnd"/>
      <w:r>
        <w:rPr>
          <w:szCs w:val="22"/>
          <w:lang w:eastAsia="sl-SI"/>
        </w:rPr>
        <w:t xml:space="preserve"> grupės vaistiniai preparatai ar </w:t>
      </w:r>
      <w:proofErr w:type="spellStart"/>
      <w:r>
        <w:rPr>
          <w:szCs w:val="22"/>
          <w:lang w:eastAsia="sl-SI"/>
        </w:rPr>
        <w:t>sulfonamidų</w:t>
      </w:r>
      <w:proofErr w:type="spellEnd"/>
      <w:r>
        <w:rPr>
          <w:szCs w:val="22"/>
          <w:lang w:eastAsia="sl-SI"/>
        </w:rPr>
        <w:t xml:space="preserve"> dariniai gali sukelti </w:t>
      </w:r>
      <w:proofErr w:type="spellStart"/>
      <w:r>
        <w:rPr>
          <w:szCs w:val="22"/>
          <w:lang w:eastAsia="sl-SI"/>
        </w:rPr>
        <w:t>idiosinkrazinę</w:t>
      </w:r>
      <w:proofErr w:type="spellEnd"/>
      <w:r>
        <w:rPr>
          <w:szCs w:val="22"/>
          <w:lang w:eastAsia="sl-SI"/>
        </w:rPr>
        <w:t xml:space="preserve"> reakciją ir dėl to gali pasireikšti skysčio susikaupimas tarp akies </w:t>
      </w:r>
      <w:proofErr w:type="spellStart"/>
      <w:r>
        <w:rPr>
          <w:szCs w:val="22"/>
          <w:lang w:eastAsia="sl-SI"/>
        </w:rPr>
        <w:t>gyslainės</w:t>
      </w:r>
      <w:proofErr w:type="spellEnd"/>
      <w:r>
        <w:rPr>
          <w:szCs w:val="22"/>
          <w:lang w:eastAsia="sl-SI"/>
        </w:rPr>
        <w:t xml:space="preserve"> ir </w:t>
      </w:r>
      <w:proofErr w:type="spellStart"/>
      <w:r>
        <w:rPr>
          <w:szCs w:val="22"/>
          <w:lang w:eastAsia="sl-SI"/>
        </w:rPr>
        <w:t>skleros</w:t>
      </w:r>
      <w:proofErr w:type="spellEnd"/>
      <w:r>
        <w:rPr>
          <w:szCs w:val="22"/>
          <w:lang w:eastAsia="sl-SI"/>
        </w:rPr>
        <w:t xml:space="preserve"> su regėjimo lauko defektu, laikina </w:t>
      </w:r>
      <w:proofErr w:type="spellStart"/>
      <w:r>
        <w:rPr>
          <w:szCs w:val="22"/>
          <w:lang w:eastAsia="sl-SI"/>
        </w:rPr>
        <w:t>miopija</w:t>
      </w:r>
      <w:proofErr w:type="spellEnd"/>
      <w:r>
        <w:rPr>
          <w:szCs w:val="22"/>
          <w:lang w:eastAsia="sl-SI"/>
        </w:rPr>
        <w:t xml:space="preserve"> ir ūminė uždarojo kampo glaukoma. Galimi simptomai yra staiga sumažėjęs regos </w:t>
      </w:r>
      <w:r>
        <w:rPr>
          <w:szCs w:val="22"/>
          <w:lang w:eastAsia="sl-SI"/>
        </w:rPr>
        <w:lastRenderedPageBreak/>
        <w:t xml:space="preserve">aštrumas ar akies skausmas, kurie paprastai atsiranda po kelių valandų ar savaičių nuo vaistinio preparato vartojimo pradžios. Negydoma ūminė uždarojo kampo glaukoma gali sukelti negrįžtamą regėjimo netekimą. Tokiu atveju svarbiausia kaip galima greičiau nutraukti vaistinio preparato vartojimą. Jeigu akispūdis išlieka nesureguliuotas, gali reikėti svarstyti skubaus medikamentinio ar chirurginio gydymo galimybę. Ūminės uždarojo kampo glaukomos išsivystymo rizikos veiksniais gali būti anksčiau pasireiškusi alergija </w:t>
      </w:r>
      <w:proofErr w:type="spellStart"/>
      <w:r>
        <w:rPr>
          <w:szCs w:val="22"/>
          <w:lang w:eastAsia="sl-SI"/>
        </w:rPr>
        <w:t>sulfonamidui</w:t>
      </w:r>
      <w:proofErr w:type="spellEnd"/>
      <w:r>
        <w:rPr>
          <w:szCs w:val="22"/>
          <w:lang w:eastAsia="sl-SI"/>
        </w:rPr>
        <w:t xml:space="preserve"> ar penicilinui.</w:t>
      </w:r>
    </w:p>
    <w:p w14:paraId="0918919A" w14:textId="77777777" w:rsidR="00D25008" w:rsidRDefault="00D25008">
      <w:pPr>
        <w:widowControl w:val="0"/>
        <w:rPr>
          <w:szCs w:val="22"/>
          <w:lang w:eastAsia="sl-SI"/>
        </w:rPr>
      </w:pPr>
    </w:p>
    <w:p w14:paraId="0E968249" w14:textId="77777777" w:rsidR="00D25008" w:rsidRDefault="00FE2A61">
      <w:pPr>
        <w:autoSpaceDE w:val="0"/>
        <w:autoSpaceDN w:val="0"/>
        <w:adjustRightInd w:val="0"/>
        <w:rPr>
          <w:rFonts w:eastAsia="Calibri"/>
          <w:color w:val="000000"/>
          <w:szCs w:val="22"/>
          <w:u w:val="single"/>
        </w:rPr>
      </w:pPr>
      <w:proofErr w:type="spellStart"/>
      <w:r>
        <w:rPr>
          <w:rFonts w:eastAsia="Calibri"/>
          <w:iCs/>
          <w:color w:val="000000"/>
          <w:szCs w:val="22"/>
          <w:u w:val="single"/>
        </w:rPr>
        <w:t>Nemelanominis</w:t>
      </w:r>
      <w:proofErr w:type="spellEnd"/>
      <w:r>
        <w:rPr>
          <w:rFonts w:eastAsia="Calibri"/>
          <w:iCs/>
          <w:color w:val="000000"/>
          <w:szCs w:val="22"/>
          <w:u w:val="single"/>
        </w:rPr>
        <w:t xml:space="preserve"> odos vėžys</w:t>
      </w:r>
    </w:p>
    <w:p w14:paraId="3F10ECFB" w14:textId="7B2B81C8" w:rsidR="00D25008" w:rsidRDefault="00FE2A61">
      <w:pPr>
        <w:autoSpaceDE w:val="0"/>
        <w:autoSpaceDN w:val="0"/>
        <w:adjustRightInd w:val="0"/>
        <w:rPr>
          <w:rFonts w:eastAsia="Calibri"/>
          <w:color w:val="000000"/>
          <w:szCs w:val="22"/>
        </w:rPr>
      </w:pPr>
      <w:r>
        <w:rPr>
          <w:rFonts w:eastAsia="Calibri"/>
          <w:color w:val="000000"/>
          <w:szCs w:val="22"/>
        </w:rPr>
        <w:t xml:space="preserve">Atlikus du epidemiologinius tyrimus, pagrįstus Danijos nacionalinio vėžio registro duomenimis, nustatyta, kad didėjant kumuliacinei HCTZ dozei, didėja </w:t>
      </w:r>
      <w:proofErr w:type="spellStart"/>
      <w:r>
        <w:rPr>
          <w:rFonts w:eastAsia="Calibri"/>
          <w:color w:val="000000"/>
          <w:szCs w:val="22"/>
        </w:rPr>
        <w:t>nemelanominio</w:t>
      </w:r>
      <w:proofErr w:type="spellEnd"/>
      <w:r>
        <w:rPr>
          <w:rFonts w:eastAsia="Calibri"/>
          <w:color w:val="000000"/>
          <w:szCs w:val="22"/>
        </w:rPr>
        <w:t xml:space="preserve"> odos vėžio (NOV) [</w:t>
      </w:r>
      <w:proofErr w:type="spellStart"/>
      <w:r>
        <w:rPr>
          <w:rFonts w:eastAsia="Calibri"/>
          <w:color w:val="000000"/>
          <w:szCs w:val="22"/>
        </w:rPr>
        <w:t>bazalinių</w:t>
      </w:r>
      <w:proofErr w:type="spellEnd"/>
      <w:r>
        <w:rPr>
          <w:rFonts w:eastAsia="Calibri"/>
          <w:color w:val="000000"/>
          <w:szCs w:val="22"/>
        </w:rPr>
        <w:t xml:space="preserve"> ląstelių karcinomos (BLK) ir plokščiųjų ląstelių karcinomos (PLK)] rizika</w:t>
      </w:r>
      <w:r w:rsidR="001C4737">
        <w:rPr>
          <w:rFonts w:eastAsia="Calibri"/>
          <w:color w:val="000000"/>
          <w:szCs w:val="22"/>
        </w:rPr>
        <w:t xml:space="preserve"> </w:t>
      </w:r>
      <w:r w:rsidR="001C4737">
        <w:t>(žr. 4.8 skyrių)</w:t>
      </w:r>
      <w:r w:rsidR="001C4737">
        <w:rPr>
          <w:rFonts w:eastAsia="Calibri"/>
          <w:color w:val="000000"/>
          <w:szCs w:val="22"/>
        </w:rPr>
        <w:t>.</w:t>
      </w:r>
      <w:r>
        <w:rPr>
          <w:rFonts w:eastAsia="Calibri"/>
          <w:color w:val="000000"/>
          <w:szCs w:val="22"/>
        </w:rPr>
        <w:t xml:space="preserve"> Gali būti, kad </w:t>
      </w:r>
      <w:proofErr w:type="spellStart"/>
      <w:r>
        <w:rPr>
          <w:rFonts w:eastAsia="Calibri"/>
          <w:color w:val="000000"/>
          <w:szCs w:val="22"/>
        </w:rPr>
        <w:t>fotosensibilizuojantis</w:t>
      </w:r>
      <w:proofErr w:type="spellEnd"/>
      <w:r>
        <w:rPr>
          <w:rFonts w:eastAsia="Calibri"/>
          <w:color w:val="000000"/>
          <w:szCs w:val="22"/>
        </w:rPr>
        <w:t xml:space="preserve"> HCTZ poveikis veikia kaip NOV sukeliantis mechanizmas.</w:t>
      </w:r>
    </w:p>
    <w:p w14:paraId="07603772" w14:textId="77777777" w:rsidR="00D25008" w:rsidRDefault="00D25008">
      <w:pPr>
        <w:rPr>
          <w:rFonts w:eastAsia="Calibri"/>
          <w:color w:val="000000"/>
          <w:szCs w:val="22"/>
        </w:rPr>
      </w:pPr>
    </w:p>
    <w:p w14:paraId="113BD739" w14:textId="77777777" w:rsidR="00D25008" w:rsidRDefault="00FE2A61">
      <w:pPr>
        <w:rPr>
          <w:szCs w:val="22"/>
          <w:lang w:eastAsia="lt-LT"/>
        </w:rPr>
      </w:pPr>
      <w:r>
        <w:rPr>
          <w:rFonts w:eastAsia="Calibri"/>
          <w:color w:val="000000"/>
          <w:szCs w:val="22"/>
        </w:rPr>
        <w:t xml:space="preserve">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w:t>
      </w:r>
      <w:proofErr w:type="spellStart"/>
      <w:r>
        <w:rPr>
          <w:rFonts w:eastAsia="Calibri"/>
          <w:color w:val="000000"/>
          <w:szCs w:val="22"/>
        </w:rPr>
        <w:t>biopsinės</w:t>
      </w:r>
      <w:proofErr w:type="spellEnd"/>
      <w:r>
        <w:rPr>
          <w:rFonts w:eastAsia="Calibri"/>
          <w:color w:val="000000"/>
          <w:szCs w:val="22"/>
        </w:rPr>
        <w:t xml:space="preserve"> medžiagos tyrimus. Pacientams, kuriems anksčiau buvo diagnozuotas NOV, taip pat gali tekti persvarstyti galimybę vartoti HCTZ (taip pat žr. 4.8 skyrių).</w:t>
      </w:r>
    </w:p>
    <w:p w14:paraId="3FBC7222" w14:textId="77777777" w:rsidR="00D25008" w:rsidRDefault="00D25008">
      <w:pPr>
        <w:widowControl w:val="0"/>
        <w:tabs>
          <w:tab w:val="left" w:pos="567"/>
        </w:tabs>
        <w:rPr>
          <w:szCs w:val="22"/>
        </w:rPr>
      </w:pPr>
    </w:p>
    <w:p w14:paraId="3B7366AE" w14:textId="77777777" w:rsidR="00D25008" w:rsidRDefault="00FE2A61">
      <w:pPr>
        <w:widowControl w:val="0"/>
        <w:tabs>
          <w:tab w:val="left" w:pos="567"/>
        </w:tabs>
        <w:rPr>
          <w:szCs w:val="22"/>
          <w:u w:val="single"/>
        </w:rPr>
      </w:pPr>
      <w:r>
        <w:rPr>
          <w:szCs w:val="22"/>
          <w:u w:val="single"/>
        </w:rPr>
        <w:t>Ūminis toksinis poveikis kvėpavimo sistemai</w:t>
      </w:r>
    </w:p>
    <w:p w14:paraId="5537035E" w14:textId="77777777" w:rsidR="00D25008" w:rsidRDefault="00FE2A61">
      <w:pPr>
        <w:widowControl w:val="0"/>
        <w:tabs>
          <w:tab w:val="left" w:pos="567"/>
        </w:tabs>
        <w:rPr>
          <w:szCs w:val="22"/>
        </w:rPr>
      </w:pPr>
      <w:r>
        <w:rPr>
          <w:szCs w:val="22"/>
        </w:rPr>
        <w:t xml:space="preserve">Vartojant </w:t>
      </w:r>
      <w:proofErr w:type="spellStart"/>
      <w:r>
        <w:rPr>
          <w:szCs w:val="22"/>
        </w:rPr>
        <w:t>hidrochlorotiazido</w:t>
      </w:r>
      <w:proofErr w:type="spellEnd"/>
      <w:r>
        <w:rPr>
          <w:szCs w:val="22"/>
        </w:rPr>
        <w:t xml:space="preserve"> buvo pranešta apie labai retus sunkius ūminio toksinio poveikio kvėpavimo sistemai atvejus, įskaitant ūminio kvėpavimo sutrikimo sindromą (ŪKSS). Plaučių edema paprastai išsivysto per kelias minutes ar valandas po </w:t>
      </w:r>
      <w:proofErr w:type="spellStart"/>
      <w:r>
        <w:rPr>
          <w:szCs w:val="22"/>
        </w:rPr>
        <w:t>hidrochlorotiazido</w:t>
      </w:r>
      <w:proofErr w:type="spellEnd"/>
      <w:r>
        <w:rPr>
          <w:szCs w:val="22"/>
        </w:rPr>
        <w:t xml:space="preserve"> pavartojimo. Iš pradžių pasireiškia tokie simptomai kaip dusulys, karščiavimas, plaučių būklės pablogėjimas ir </w:t>
      </w:r>
      <w:proofErr w:type="spellStart"/>
      <w:r>
        <w:rPr>
          <w:szCs w:val="22"/>
        </w:rPr>
        <w:t>hipotenzija</w:t>
      </w:r>
      <w:proofErr w:type="spellEnd"/>
      <w:r>
        <w:rPr>
          <w:szCs w:val="22"/>
        </w:rPr>
        <w:t xml:space="preserve">. Jei įtariama ŪKSS diagnozė, reikia nutraukti </w:t>
      </w:r>
      <w:proofErr w:type="spellStart"/>
      <w:r>
        <w:rPr>
          <w:szCs w:val="22"/>
        </w:rPr>
        <w:t>Tolvecom</w:t>
      </w:r>
      <w:proofErr w:type="spellEnd"/>
      <w:r>
        <w:rPr>
          <w:szCs w:val="22"/>
        </w:rPr>
        <w:t xml:space="preserve"> vartojimą ir skirti tinkamą gydymą. </w:t>
      </w:r>
      <w:proofErr w:type="spellStart"/>
      <w:r>
        <w:rPr>
          <w:szCs w:val="22"/>
        </w:rPr>
        <w:t>Hidrochlorotiazido</w:t>
      </w:r>
      <w:proofErr w:type="spellEnd"/>
      <w:r>
        <w:rPr>
          <w:szCs w:val="22"/>
        </w:rPr>
        <w:t xml:space="preserve"> negalima skirti pacientams, kuriems anksčiau po </w:t>
      </w:r>
      <w:proofErr w:type="spellStart"/>
      <w:r>
        <w:rPr>
          <w:szCs w:val="22"/>
        </w:rPr>
        <w:t>hidrochlorotiazido</w:t>
      </w:r>
      <w:proofErr w:type="spellEnd"/>
      <w:r>
        <w:rPr>
          <w:szCs w:val="22"/>
        </w:rPr>
        <w:t xml:space="preserve"> vartojimo buvo pasireiškęs ŪKSS.</w:t>
      </w:r>
    </w:p>
    <w:p w14:paraId="3A89050A" w14:textId="77777777" w:rsidR="00D25008" w:rsidRDefault="00D25008">
      <w:pPr>
        <w:widowControl w:val="0"/>
        <w:tabs>
          <w:tab w:val="left" w:pos="567"/>
        </w:tabs>
        <w:rPr>
          <w:szCs w:val="22"/>
        </w:rPr>
      </w:pPr>
    </w:p>
    <w:p w14:paraId="35932CF2" w14:textId="77777777" w:rsidR="00D25008" w:rsidRDefault="00FE2A61">
      <w:pPr>
        <w:widowControl w:val="0"/>
        <w:rPr>
          <w:szCs w:val="22"/>
          <w:u w:val="single"/>
          <w:lang w:eastAsia="sl-SI"/>
        </w:rPr>
      </w:pPr>
      <w:r>
        <w:rPr>
          <w:szCs w:val="22"/>
          <w:u w:val="single"/>
          <w:lang w:eastAsia="sl-SI"/>
        </w:rPr>
        <w:t>Pacientai, sergantys širdies nepakankamumu</w:t>
      </w:r>
    </w:p>
    <w:p w14:paraId="6A30115C" w14:textId="77777777" w:rsidR="00D25008" w:rsidRDefault="00FE2A61">
      <w:pPr>
        <w:widowControl w:val="0"/>
        <w:tabs>
          <w:tab w:val="left" w:pos="-1440"/>
          <w:tab w:val="left" w:pos="-720"/>
          <w:tab w:val="left" w:pos="0"/>
          <w:tab w:val="left" w:pos="5040"/>
        </w:tabs>
        <w:suppressAutoHyphens/>
        <w:rPr>
          <w:szCs w:val="22"/>
          <w:lang w:eastAsia="sl-SI"/>
        </w:rPr>
      </w:pPr>
      <w:r>
        <w:rPr>
          <w:szCs w:val="22"/>
          <w:lang w:eastAsia="sl-SI"/>
        </w:rPr>
        <w:t xml:space="preserve">Pacientus, kuriems diagnozuotas širdies nepakankamumas, gydyti reikia atsargiai. Ilgalaikio placebu kontroliuoto klinikinio tyrimo metu pacientams, sergantiems sunkiu širdies nepakankamumu (III ir IV klasės pagal NYHA klasifikaciją), plaučių edema dažniau pasireiškė </w:t>
      </w:r>
      <w:proofErr w:type="spellStart"/>
      <w:r>
        <w:rPr>
          <w:szCs w:val="22"/>
          <w:lang w:eastAsia="sl-SI"/>
        </w:rPr>
        <w:t>amlodipino</w:t>
      </w:r>
      <w:proofErr w:type="spellEnd"/>
      <w:r>
        <w:rPr>
          <w:szCs w:val="22"/>
          <w:lang w:eastAsia="sl-SI"/>
        </w:rPr>
        <w:t xml:space="preserve"> vartojusiųjų grupėje, palyginti su placebo grupe. Kalcio kanalų blokatoriai, įskaitant </w:t>
      </w:r>
      <w:proofErr w:type="spellStart"/>
      <w:r>
        <w:rPr>
          <w:szCs w:val="22"/>
          <w:lang w:eastAsia="sl-SI"/>
        </w:rPr>
        <w:t>amlodipiną</w:t>
      </w:r>
      <w:proofErr w:type="spellEnd"/>
      <w:r>
        <w:rPr>
          <w:szCs w:val="22"/>
          <w:lang w:eastAsia="sl-SI"/>
        </w:rPr>
        <w:t xml:space="preserve">, turi būti atsargiai skiriami pacientams, sergantiems </w:t>
      </w:r>
      <w:proofErr w:type="spellStart"/>
      <w:r>
        <w:rPr>
          <w:szCs w:val="22"/>
          <w:lang w:eastAsia="sl-SI"/>
        </w:rPr>
        <w:t>staziniu</w:t>
      </w:r>
      <w:proofErr w:type="spellEnd"/>
      <w:r>
        <w:rPr>
          <w:szCs w:val="22"/>
          <w:lang w:eastAsia="sl-SI"/>
        </w:rPr>
        <w:t xml:space="preserve"> širdies nepakankamumu, nes jie gali padidinti būsimų širdies ir kraujagyslių sistemos sutrikimų ir mirties riziką.</w:t>
      </w:r>
    </w:p>
    <w:p w14:paraId="5116E145" w14:textId="77777777" w:rsidR="00D25008" w:rsidRDefault="00D25008">
      <w:pPr>
        <w:widowControl w:val="0"/>
        <w:tabs>
          <w:tab w:val="left" w:pos="-1440"/>
          <w:tab w:val="left" w:pos="-720"/>
          <w:tab w:val="left" w:pos="0"/>
          <w:tab w:val="left" w:pos="5040"/>
        </w:tabs>
        <w:suppressAutoHyphens/>
        <w:rPr>
          <w:szCs w:val="22"/>
        </w:rPr>
      </w:pPr>
    </w:p>
    <w:p w14:paraId="75CCEEA7" w14:textId="77777777" w:rsidR="00D25008" w:rsidRDefault="00FE2A61">
      <w:pPr>
        <w:autoSpaceDE w:val="0"/>
        <w:autoSpaceDN w:val="0"/>
        <w:adjustRightInd w:val="0"/>
        <w:rPr>
          <w:szCs w:val="22"/>
          <w:lang w:eastAsia="sl-SI"/>
        </w:rPr>
      </w:pPr>
      <w:r>
        <w:rPr>
          <w:szCs w:val="22"/>
          <w:u w:val="single"/>
          <w:lang w:eastAsia="sl-SI"/>
        </w:rPr>
        <w:t>Laktozė ir natris</w:t>
      </w:r>
    </w:p>
    <w:p w14:paraId="51EC6DA9" w14:textId="77777777" w:rsidR="00D25008" w:rsidRDefault="00FE2A61">
      <w:pPr>
        <w:autoSpaceDE w:val="0"/>
        <w:autoSpaceDN w:val="0"/>
        <w:adjustRightInd w:val="0"/>
        <w:rPr>
          <w:szCs w:val="22"/>
          <w:lang w:eastAsia="sl-SI"/>
        </w:rPr>
      </w:pPr>
      <w:r>
        <w:rPr>
          <w:szCs w:val="22"/>
          <w:lang w:eastAsia="sl-SI"/>
        </w:rPr>
        <w:t xml:space="preserve">Šio vaistinio preparato sudėtyje yra laktozės. Šio vaistinio preparato negalima vartoti pacientams, kuriems nustatytas retas paveldimas sutrikimas – </w:t>
      </w:r>
      <w:proofErr w:type="spellStart"/>
      <w:r>
        <w:rPr>
          <w:szCs w:val="22"/>
          <w:lang w:eastAsia="sl-SI"/>
        </w:rPr>
        <w:t>galaktozės</w:t>
      </w:r>
      <w:proofErr w:type="spellEnd"/>
      <w:r>
        <w:rPr>
          <w:szCs w:val="22"/>
          <w:lang w:eastAsia="sl-SI"/>
        </w:rPr>
        <w:t xml:space="preserve"> netoleravimas, visiškas laktazės stygius arba gliukozės ir </w:t>
      </w:r>
      <w:proofErr w:type="spellStart"/>
      <w:r>
        <w:rPr>
          <w:szCs w:val="22"/>
          <w:lang w:eastAsia="sl-SI"/>
        </w:rPr>
        <w:t>galaktozės</w:t>
      </w:r>
      <w:proofErr w:type="spellEnd"/>
      <w:r>
        <w:rPr>
          <w:szCs w:val="22"/>
          <w:lang w:eastAsia="sl-SI"/>
        </w:rPr>
        <w:t xml:space="preserve"> </w:t>
      </w:r>
      <w:proofErr w:type="spellStart"/>
      <w:r>
        <w:rPr>
          <w:szCs w:val="22"/>
          <w:lang w:eastAsia="sl-SI"/>
        </w:rPr>
        <w:t>malabsorbcija</w:t>
      </w:r>
      <w:proofErr w:type="spellEnd"/>
      <w:r>
        <w:rPr>
          <w:szCs w:val="22"/>
          <w:lang w:eastAsia="sl-SI"/>
        </w:rPr>
        <w:t>.</w:t>
      </w:r>
    </w:p>
    <w:p w14:paraId="7637C2EF" w14:textId="77777777" w:rsidR="00D25008" w:rsidRDefault="00D25008">
      <w:pPr>
        <w:autoSpaceDE w:val="0"/>
        <w:autoSpaceDN w:val="0"/>
        <w:adjustRightInd w:val="0"/>
        <w:rPr>
          <w:szCs w:val="22"/>
          <w:lang w:eastAsia="sl-SI"/>
        </w:rPr>
      </w:pPr>
    </w:p>
    <w:p w14:paraId="543E4328" w14:textId="77777777" w:rsidR="00D25008" w:rsidRDefault="00FE2A61">
      <w:pPr>
        <w:widowControl w:val="0"/>
        <w:autoSpaceDE w:val="0"/>
        <w:autoSpaceDN w:val="0"/>
        <w:adjustRightInd w:val="0"/>
        <w:jc w:val="both"/>
        <w:rPr>
          <w:szCs w:val="22"/>
          <w:lang w:eastAsia="sl-SI"/>
        </w:rPr>
      </w:pPr>
      <w:r>
        <w:rPr>
          <w:snapToGrid w:val="0"/>
          <w:szCs w:val="22"/>
        </w:rPr>
        <w:t>Šio vaistinio preparato tabletėje yra mažiau kaip 1 </w:t>
      </w:r>
      <w:proofErr w:type="spellStart"/>
      <w:r>
        <w:rPr>
          <w:snapToGrid w:val="0"/>
          <w:szCs w:val="22"/>
        </w:rPr>
        <w:t>mmol</w:t>
      </w:r>
      <w:proofErr w:type="spellEnd"/>
      <w:r>
        <w:rPr>
          <w:snapToGrid w:val="0"/>
          <w:szCs w:val="22"/>
        </w:rPr>
        <w:t xml:space="preserve"> (23 mg) natrio, t. y. jis beveik neturi reikšmės</w:t>
      </w:r>
      <w:r>
        <w:rPr>
          <w:szCs w:val="22"/>
          <w:lang w:eastAsia="sl-SI"/>
        </w:rPr>
        <w:t>.</w:t>
      </w:r>
    </w:p>
    <w:p w14:paraId="73A34AF1" w14:textId="77777777" w:rsidR="00D25008" w:rsidRDefault="00D25008">
      <w:pPr>
        <w:widowControl w:val="0"/>
        <w:tabs>
          <w:tab w:val="left" w:pos="567"/>
        </w:tabs>
        <w:rPr>
          <w:szCs w:val="22"/>
          <w:lang w:eastAsia="sl-SI"/>
        </w:rPr>
      </w:pPr>
    </w:p>
    <w:p w14:paraId="5A7EF197" w14:textId="77777777" w:rsidR="00D25008" w:rsidRDefault="00FE2A61">
      <w:pPr>
        <w:widowControl w:val="0"/>
        <w:tabs>
          <w:tab w:val="left" w:pos="567"/>
        </w:tabs>
        <w:rPr>
          <w:szCs w:val="22"/>
          <w:lang w:eastAsia="sl-SI"/>
        </w:rPr>
      </w:pPr>
      <w:r>
        <w:rPr>
          <w:b/>
          <w:szCs w:val="22"/>
          <w:lang w:eastAsia="sl-SI"/>
        </w:rPr>
        <w:t>4.5</w:t>
      </w:r>
      <w:r>
        <w:rPr>
          <w:b/>
          <w:szCs w:val="22"/>
          <w:lang w:eastAsia="sl-SI"/>
        </w:rPr>
        <w:tab/>
        <w:t>Sąveika su kitais vaistiniais preparatais ir kitokia sąveika</w:t>
      </w:r>
    </w:p>
    <w:p w14:paraId="53071960" w14:textId="77777777" w:rsidR="00D25008" w:rsidRDefault="00D25008">
      <w:pPr>
        <w:autoSpaceDE w:val="0"/>
        <w:autoSpaceDN w:val="0"/>
        <w:adjustRightInd w:val="0"/>
        <w:rPr>
          <w:szCs w:val="22"/>
          <w:lang w:eastAsia="sl-SI"/>
        </w:rPr>
      </w:pPr>
    </w:p>
    <w:p w14:paraId="52656AD0" w14:textId="77777777" w:rsidR="00D25008" w:rsidRDefault="00FE2A61">
      <w:pPr>
        <w:autoSpaceDE w:val="0"/>
        <w:autoSpaceDN w:val="0"/>
        <w:adjustRightInd w:val="0"/>
        <w:rPr>
          <w:b/>
          <w:i/>
          <w:szCs w:val="22"/>
          <w:lang w:eastAsia="sl-SI"/>
        </w:rPr>
      </w:pPr>
      <w:r>
        <w:rPr>
          <w:b/>
          <w:i/>
          <w:szCs w:val="22"/>
          <w:lang w:eastAsia="sl-SI"/>
        </w:rPr>
        <w:t xml:space="preserve">Susijusi su </w:t>
      </w:r>
      <w:proofErr w:type="spellStart"/>
      <w:r>
        <w:rPr>
          <w:b/>
          <w:i/>
          <w:szCs w:val="22"/>
          <w:lang w:eastAsia="sl-SI"/>
        </w:rPr>
        <w:t>telmisartanu</w:t>
      </w:r>
      <w:proofErr w:type="spellEnd"/>
      <w:r>
        <w:rPr>
          <w:b/>
          <w:i/>
          <w:szCs w:val="22"/>
          <w:lang w:eastAsia="sl-SI"/>
        </w:rPr>
        <w:t xml:space="preserve"> ir </w:t>
      </w:r>
      <w:proofErr w:type="spellStart"/>
      <w:r>
        <w:rPr>
          <w:b/>
          <w:i/>
          <w:szCs w:val="22"/>
          <w:lang w:eastAsia="sl-SI"/>
        </w:rPr>
        <w:t>hidrochlorotiazidu</w:t>
      </w:r>
      <w:proofErr w:type="spellEnd"/>
    </w:p>
    <w:p w14:paraId="17BF9FD5" w14:textId="77777777" w:rsidR="00D25008" w:rsidRDefault="00D25008">
      <w:pPr>
        <w:autoSpaceDE w:val="0"/>
        <w:autoSpaceDN w:val="0"/>
        <w:adjustRightInd w:val="0"/>
        <w:rPr>
          <w:szCs w:val="22"/>
          <w:u w:val="single"/>
          <w:lang w:eastAsia="sl-SI"/>
        </w:rPr>
      </w:pPr>
    </w:p>
    <w:p w14:paraId="2D6361EE" w14:textId="77777777" w:rsidR="00D25008" w:rsidRDefault="00FE2A61">
      <w:pPr>
        <w:autoSpaceDE w:val="0"/>
        <w:autoSpaceDN w:val="0"/>
        <w:adjustRightInd w:val="0"/>
        <w:rPr>
          <w:szCs w:val="22"/>
          <w:lang w:eastAsia="sl-SI"/>
        </w:rPr>
      </w:pPr>
      <w:r>
        <w:rPr>
          <w:szCs w:val="22"/>
          <w:u w:val="single"/>
          <w:lang w:eastAsia="sl-SI"/>
        </w:rPr>
        <w:t>Litis</w:t>
      </w:r>
    </w:p>
    <w:p w14:paraId="58B0C01A" w14:textId="4F1ECA78" w:rsidR="00D25008" w:rsidRDefault="00FE2A61">
      <w:pPr>
        <w:autoSpaceDE w:val="0"/>
        <w:autoSpaceDN w:val="0"/>
        <w:adjustRightInd w:val="0"/>
        <w:rPr>
          <w:szCs w:val="22"/>
          <w:lang w:eastAsia="sl-SI"/>
        </w:rPr>
      </w:pPr>
      <w:r>
        <w:rPr>
          <w:szCs w:val="22"/>
          <w:lang w:eastAsia="sl-SI"/>
        </w:rPr>
        <w:t xml:space="preserve">Gauta pranešimų, kad, vartojant ličio kartu su </w:t>
      </w:r>
      <w:proofErr w:type="spellStart"/>
      <w:r>
        <w:rPr>
          <w:szCs w:val="22"/>
          <w:lang w:eastAsia="sl-SI"/>
        </w:rPr>
        <w:t>angiotenziną</w:t>
      </w:r>
      <w:proofErr w:type="spellEnd"/>
      <w:r>
        <w:rPr>
          <w:szCs w:val="22"/>
          <w:lang w:eastAsia="sl-SI"/>
        </w:rPr>
        <w:t xml:space="preserve"> konvertuojančių fermentų inhibitoriais, kraujo serume laikinai padidėjo ličio koncentracija ir sustiprėjo toksinis jo poveikis. Retai apie tokius atvejus pranešta ir vartojant </w:t>
      </w:r>
      <w:proofErr w:type="spellStart"/>
      <w:r>
        <w:rPr>
          <w:szCs w:val="22"/>
          <w:lang w:eastAsia="sl-SI"/>
        </w:rPr>
        <w:t>angiotenzino</w:t>
      </w:r>
      <w:proofErr w:type="spellEnd"/>
      <w:r>
        <w:rPr>
          <w:szCs w:val="22"/>
          <w:lang w:eastAsia="sl-SI"/>
        </w:rPr>
        <w:t xml:space="preserve"> II receptorių </w:t>
      </w:r>
      <w:r w:rsidR="001C4737">
        <w:rPr>
          <w:szCs w:val="22"/>
          <w:lang w:eastAsia="sl-SI"/>
        </w:rPr>
        <w:t>blokatorių</w:t>
      </w:r>
      <w:r>
        <w:rPr>
          <w:szCs w:val="22"/>
          <w:lang w:eastAsia="sl-SI"/>
        </w:rPr>
        <w:t xml:space="preserve"> (įskaitant </w:t>
      </w:r>
      <w:proofErr w:type="spellStart"/>
      <w:r>
        <w:rPr>
          <w:szCs w:val="22"/>
          <w:lang w:eastAsia="sl-SI"/>
        </w:rPr>
        <w:t>Tolvecom</w:t>
      </w:r>
      <w:proofErr w:type="spellEnd"/>
      <w:r>
        <w:rPr>
          <w:szCs w:val="22"/>
          <w:lang w:eastAsia="sl-SI"/>
        </w:rPr>
        <w:t xml:space="preserve">). Todėl </w:t>
      </w:r>
      <w:proofErr w:type="spellStart"/>
      <w:r>
        <w:rPr>
          <w:szCs w:val="22"/>
          <w:lang w:eastAsia="sl-SI"/>
        </w:rPr>
        <w:t>Tolvecom</w:t>
      </w:r>
      <w:proofErr w:type="spellEnd"/>
      <w:r>
        <w:rPr>
          <w:szCs w:val="22"/>
          <w:lang w:eastAsia="sl-SI"/>
        </w:rPr>
        <w:t xml:space="preserve"> nerekomenduojama vartoti kartu su ličiu (žr. 4.4 skyrių). Jei tokį derinį vartoti būtina, rekomenduojama labai atidžiai stebėti ličio koncentraciją kraujo serume.</w:t>
      </w:r>
    </w:p>
    <w:p w14:paraId="0FC67AB8" w14:textId="77777777" w:rsidR="00D25008" w:rsidRDefault="00D25008">
      <w:pPr>
        <w:autoSpaceDE w:val="0"/>
        <w:autoSpaceDN w:val="0"/>
        <w:adjustRightInd w:val="0"/>
        <w:rPr>
          <w:szCs w:val="22"/>
          <w:lang w:eastAsia="sl-SI"/>
        </w:rPr>
      </w:pPr>
    </w:p>
    <w:p w14:paraId="4C5E8D14" w14:textId="77777777" w:rsidR="00D25008" w:rsidRDefault="00FE2A61">
      <w:pPr>
        <w:autoSpaceDE w:val="0"/>
        <w:autoSpaceDN w:val="0"/>
        <w:adjustRightInd w:val="0"/>
        <w:rPr>
          <w:szCs w:val="22"/>
          <w:lang w:eastAsia="sl-SI"/>
        </w:rPr>
      </w:pPr>
      <w:r>
        <w:rPr>
          <w:szCs w:val="22"/>
          <w:u w:val="single"/>
          <w:lang w:eastAsia="sl-SI"/>
        </w:rPr>
        <w:lastRenderedPageBreak/>
        <w:t xml:space="preserve">Vaistiniai preparatai, susiję su kalio netekimu ir </w:t>
      </w:r>
      <w:proofErr w:type="spellStart"/>
      <w:r>
        <w:rPr>
          <w:szCs w:val="22"/>
          <w:u w:val="single"/>
          <w:lang w:eastAsia="sl-SI"/>
        </w:rPr>
        <w:t>hipokalemija</w:t>
      </w:r>
      <w:proofErr w:type="spellEnd"/>
      <w:r>
        <w:rPr>
          <w:szCs w:val="22"/>
          <w:lang w:eastAsia="sl-SI"/>
        </w:rPr>
        <w:t xml:space="preserve"> (pvz., kiti kalio išsiskyrimą skatinantys diuretikai, vidurių laisvinamieji vaistiniai preparatai, kortikosteroidai, AKTH, </w:t>
      </w:r>
      <w:proofErr w:type="spellStart"/>
      <w:r>
        <w:rPr>
          <w:szCs w:val="22"/>
          <w:lang w:eastAsia="sl-SI"/>
        </w:rPr>
        <w:t>amfotericinas</w:t>
      </w:r>
      <w:proofErr w:type="spellEnd"/>
      <w:r>
        <w:rPr>
          <w:szCs w:val="22"/>
          <w:lang w:eastAsia="sl-SI"/>
        </w:rPr>
        <w:t xml:space="preserve">, </w:t>
      </w:r>
      <w:proofErr w:type="spellStart"/>
      <w:r>
        <w:rPr>
          <w:szCs w:val="22"/>
          <w:lang w:eastAsia="sl-SI"/>
        </w:rPr>
        <w:t>karbenoksolonas</w:t>
      </w:r>
      <w:proofErr w:type="spellEnd"/>
      <w:r>
        <w:rPr>
          <w:szCs w:val="22"/>
          <w:lang w:eastAsia="sl-SI"/>
        </w:rPr>
        <w:t>, penicilino G natrio druska, salicilo rūgštis ir jos dariniai)</w:t>
      </w:r>
    </w:p>
    <w:p w14:paraId="625726DC" w14:textId="77777777" w:rsidR="00D25008" w:rsidRDefault="00FE2A61">
      <w:pPr>
        <w:autoSpaceDE w:val="0"/>
        <w:autoSpaceDN w:val="0"/>
        <w:adjustRightInd w:val="0"/>
        <w:rPr>
          <w:szCs w:val="22"/>
          <w:lang w:eastAsia="sl-SI"/>
        </w:rPr>
      </w:pPr>
      <w:r>
        <w:rPr>
          <w:szCs w:val="22"/>
          <w:lang w:eastAsia="sl-SI"/>
        </w:rPr>
        <w:t xml:space="preserve">Jei šių medžiagų skiriama kartu su </w:t>
      </w:r>
      <w:proofErr w:type="spellStart"/>
      <w:r>
        <w:rPr>
          <w:szCs w:val="22"/>
          <w:lang w:eastAsia="sl-SI"/>
        </w:rPr>
        <w:t>hidrochlorotiazido</w:t>
      </w:r>
      <w:proofErr w:type="spellEnd"/>
      <w:r>
        <w:rPr>
          <w:szCs w:val="22"/>
          <w:lang w:eastAsia="sl-SI"/>
        </w:rPr>
        <w:t xml:space="preserve"> ir </w:t>
      </w:r>
      <w:proofErr w:type="spellStart"/>
      <w:r>
        <w:rPr>
          <w:szCs w:val="22"/>
          <w:lang w:eastAsia="sl-SI"/>
        </w:rPr>
        <w:t>telmisartano</w:t>
      </w:r>
      <w:proofErr w:type="spellEnd"/>
      <w:r>
        <w:rPr>
          <w:szCs w:val="22"/>
          <w:lang w:eastAsia="sl-SI"/>
        </w:rPr>
        <w:t xml:space="preserve"> deriniu, patariama stebėti kalio koncentraciją kraujo plazmoje. Šie vaistiniai preparatai gali sustiprinti </w:t>
      </w:r>
      <w:proofErr w:type="spellStart"/>
      <w:r>
        <w:rPr>
          <w:szCs w:val="22"/>
          <w:lang w:eastAsia="sl-SI"/>
        </w:rPr>
        <w:t>hidrochlorotiazido</w:t>
      </w:r>
      <w:proofErr w:type="spellEnd"/>
      <w:r>
        <w:rPr>
          <w:szCs w:val="22"/>
          <w:lang w:eastAsia="sl-SI"/>
        </w:rPr>
        <w:t xml:space="preserve"> poveikį kalio koncentracijai kraujo serume (žr. 4.4 skyrių).</w:t>
      </w:r>
    </w:p>
    <w:p w14:paraId="447AA3A8" w14:textId="77777777" w:rsidR="00D25008" w:rsidRDefault="00D25008">
      <w:pPr>
        <w:autoSpaceDE w:val="0"/>
        <w:autoSpaceDN w:val="0"/>
        <w:adjustRightInd w:val="0"/>
        <w:rPr>
          <w:szCs w:val="22"/>
          <w:lang w:eastAsia="sl-SI"/>
        </w:rPr>
      </w:pPr>
    </w:p>
    <w:p w14:paraId="1CE6B614" w14:textId="77777777" w:rsidR="00DC4BB2" w:rsidRPr="004A3BBC" w:rsidRDefault="001C4737">
      <w:pPr>
        <w:autoSpaceDE w:val="0"/>
        <w:autoSpaceDN w:val="0"/>
        <w:adjustRightInd w:val="0"/>
        <w:rPr>
          <w:u w:val="single"/>
        </w:rPr>
      </w:pPr>
      <w:r>
        <w:t>Jodo kontrastinės medžiagos</w:t>
      </w:r>
    </w:p>
    <w:p w14:paraId="59E3F12F" w14:textId="77777777" w:rsidR="00DC4BB2" w:rsidRDefault="001C4737">
      <w:pPr>
        <w:autoSpaceDE w:val="0"/>
        <w:autoSpaceDN w:val="0"/>
        <w:adjustRightInd w:val="0"/>
      </w:pPr>
      <w:r>
        <w:t xml:space="preserve">Jeigu diuretikai sukėlė dehidrataciją, padidėja ūminio inkstų funkcijos nepakankamumo rizika, ypač leidžiant dideles jodo kontrastinių medžiagų dozes. Prieš skiriant jodo turinčią medžiagą reikia atlikti </w:t>
      </w:r>
      <w:proofErr w:type="spellStart"/>
      <w:r>
        <w:t>rehidrataciją</w:t>
      </w:r>
      <w:proofErr w:type="spellEnd"/>
      <w:r>
        <w:t>.</w:t>
      </w:r>
    </w:p>
    <w:p w14:paraId="18A882B3" w14:textId="77777777" w:rsidR="00DC4BB2" w:rsidRDefault="00DC4BB2">
      <w:pPr>
        <w:autoSpaceDE w:val="0"/>
        <w:autoSpaceDN w:val="0"/>
        <w:adjustRightInd w:val="0"/>
        <w:rPr>
          <w:szCs w:val="22"/>
          <w:lang w:eastAsia="sl-SI"/>
        </w:rPr>
      </w:pPr>
    </w:p>
    <w:p w14:paraId="2FE546CA" w14:textId="77777777" w:rsidR="00D25008" w:rsidRDefault="00FE2A61">
      <w:pPr>
        <w:autoSpaceDE w:val="0"/>
        <w:autoSpaceDN w:val="0"/>
        <w:adjustRightInd w:val="0"/>
        <w:rPr>
          <w:szCs w:val="22"/>
          <w:lang w:eastAsia="sl-SI"/>
        </w:rPr>
      </w:pPr>
      <w:r>
        <w:rPr>
          <w:szCs w:val="22"/>
          <w:u w:val="single"/>
          <w:lang w:eastAsia="sl-SI"/>
        </w:rPr>
        <w:t xml:space="preserve">Vaistiniai preparatai, kurie gali didinti kalio koncentraciją ir sukelti </w:t>
      </w:r>
      <w:proofErr w:type="spellStart"/>
      <w:r>
        <w:rPr>
          <w:szCs w:val="22"/>
          <w:u w:val="single"/>
          <w:lang w:eastAsia="sl-SI"/>
        </w:rPr>
        <w:t>hiperkalemiją</w:t>
      </w:r>
      <w:proofErr w:type="spellEnd"/>
      <w:r>
        <w:rPr>
          <w:szCs w:val="22"/>
          <w:lang w:eastAsia="sl-SI"/>
        </w:rPr>
        <w:t xml:space="preserve"> (pvz., AKF inhibitoriai, kalį organizme sulaikantys diuretikai, kalio papildai, druskos pakaitalai, kurių sudėtyje yra kalio, </w:t>
      </w:r>
      <w:proofErr w:type="spellStart"/>
      <w:r>
        <w:rPr>
          <w:szCs w:val="22"/>
          <w:lang w:eastAsia="sl-SI"/>
        </w:rPr>
        <w:t>ciklosporinas</w:t>
      </w:r>
      <w:proofErr w:type="spellEnd"/>
      <w:r>
        <w:rPr>
          <w:szCs w:val="22"/>
          <w:lang w:eastAsia="sl-SI"/>
        </w:rPr>
        <w:t xml:space="preserve"> ar kiti vaistiniai preparatai, pvz., heparino natrio druska).</w:t>
      </w:r>
    </w:p>
    <w:p w14:paraId="09D9764C" w14:textId="77777777" w:rsidR="00D25008" w:rsidRDefault="00FE2A61">
      <w:pPr>
        <w:autoSpaceDE w:val="0"/>
        <w:autoSpaceDN w:val="0"/>
        <w:adjustRightInd w:val="0"/>
        <w:rPr>
          <w:szCs w:val="22"/>
          <w:lang w:eastAsia="sl-SI"/>
        </w:rPr>
      </w:pPr>
      <w:r>
        <w:rPr>
          <w:szCs w:val="22"/>
          <w:lang w:eastAsia="sl-SI"/>
        </w:rPr>
        <w:t xml:space="preserve">Jei šių vaistinių preparatų skiriama kartu su </w:t>
      </w:r>
      <w:proofErr w:type="spellStart"/>
      <w:r>
        <w:rPr>
          <w:szCs w:val="22"/>
          <w:lang w:eastAsia="sl-SI"/>
        </w:rPr>
        <w:t>hidrochlorotiazido</w:t>
      </w:r>
      <w:proofErr w:type="spellEnd"/>
      <w:r>
        <w:rPr>
          <w:szCs w:val="22"/>
          <w:lang w:eastAsia="sl-SI"/>
        </w:rPr>
        <w:t xml:space="preserve"> ir </w:t>
      </w:r>
      <w:proofErr w:type="spellStart"/>
      <w:r>
        <w:rPr>
          <w:szCs w:val="22"/>
          <w:lang w:eastAsia="sl-SI"/>
        </w:rPr>
        <w:t>telmisartano</w:t>
      </w:r>
      <w:proofErr w:type="spellEnd"/>
      <w:r>
        <w:rPr>
          <w:szCs w:val="22"/>
          <w:lang w:eastAsia="sl-SI"/>
        </w:rPr>
        <w:t xml:space="preserve"> deriniu, patariama stebėti kalio koncentraciją kraujo plazmoje. Remiantis kitų vaistinių preparatų, slopinančių </w:t>
      </w:r>
      <w:proofErr w:type="spellStart"/>
      <w:r>
        <w:rPr>
          <w:szCs w:val="22"/>
          <w:lang w:eastAsia="sl-SI"/>
        </w:rPr>
        <w:t>renino</w:t>
      </w:r>
      <w:proofErr w:type="spellEnd"/>
      <w:r>
        <w:rPr>
          <w:szCs w:val="22"/>
          <w:lang w:eastAsia="sl-SI"/>
        </w:rPr>
        <w:t xml:space="preserve"> ir </w:t>
      </w:r>
      <w:proofErr w:type="spellStart"/>
      <w:r>
        <w:rPr>
          <w:szCs w:val="22"/>
          <w:lang w:eastAsia="sl-SI"/>
        </w:rPr>
        <w:t>angiotenzino</w:t>
      </w:r>
      <w:proofErr w:type="spellEnd"/>
      <w:r>
        <w:rPr>
          <w:szCs w:val="22"/>
          <w:lang w:eastAsia="sl-SI"/>
        </w:rPr>
        <w:t xml:space="preserve"> sistemą, vartojimo patirtimi, kartu vartojant minėtų vaistinių preparatų, gali padidėti kalio koncentracija kraujo serume, todėl tai nerekomenduojama (žr. 4.4 skyrių).</w:t>
      </w:r>
    </w:p>
    <w:p w14:paraId="769BFCF3" w14:textId="77777777" w:rsidR="00D25008" w:rsidRDefault="00D25008">
      <w:pPr>
        <w:autoSpaceDE w:val="0"/>
        <w:autoSpaceDN w:val="0"/>
        <w:adjustRightInd w:val="0"/>
        <w:rPr>
          <w:szCs w:val="22"/>
          <w:lang w:eastAsia="sl-SI"/>
        </w:rPr>
      </w:pPr>
    </w:p>
    <w:p w14:paraId="5943F115" w14:textId="77777777" w:rsidR="00D25008" w:rsidRDefault="00FE2A61">
      <w:pPr>
        <w:autoSpaceDE w:val="0"/>
        <w:autoSpaceDN w:val="0"/>
        <w:adjustRightInd w:val="0"/>
        <w:rPr>
          <w:szCs w:val="22"/>
          <w:lang w:eastAsia="sl-SI"/>
        </w:rPr>
      </w:pPr>
      <w:r>
        <w:rPr>
          <w:szCs w:val="22"/>
          <w:u w:val="single"/>
          <w:lang w:eastAsia="sl-SI"/>
        </w:rPr>
        <w:t>Vaistiniai preparatai, kurių poveikiui įtakos turi kalio koncentracijos pokytis kraujo serume</w:t>
      </w:r>
    </w:p>
    <w:p w14:paraId="1E84A7BF" w14:textId="77777777" w:rsidR="00D25008" w:rsidRDefault="00FE2A61">
      <w:pPr>
        <w:autoSpaceDE w:val="0"/>
        <w:autoSpaceDN w:val="0"/>
        <w:adjustRightInd w:val="0"/>
        <w:rPr>
          <w:szCs w:val="22"/>
          <w:lang w:eastAsia="sl-SI"/>
        </w:rPr>
      </w:pPr>
      <w:r>
        <w:rPr>
          <w:szCs w:val="22"/>
          <w:lang w:eastAsia="sl-SI"/>
        </w:rPr>
        <w:t xml:space="preserve">Būtina stebėti kalio koncentraciją kraujo serume bei atlikti EKG pacientams, kurie kartu su </w:t>
      </w:r>
      <w:proofErr w:type="spellStart"/>
      <w:r>
        <w:rPr>
          <w:szCs w:val="22"/>
          <w:lang w:eastAsia="sl-SI"/>
        </w:rPr>
        <w:t>Tolvecom</w:t>
      </w:r>
      <w:proofErr w:type="spellEnd"/>
      <w:r>
        <w:rPr>
          <w:szCs w:val="22"/>
          <w:lang w:eastAsia="sl-SI"/>
        </w:rPr>
        <w:t xml:space="preserve"> vartoja vaistinių preparatų, kurių poveikis priklauso nuo kalio koncentracijos kraujo serume pokyčio (pvz., rusmenės glikozidų, </w:t>
      </w:r>
      <w:proofErr w:type="spellStart"/>
      <w:r>
        <w:rPr>
          <w:szCs w:val="22"/>
          <w:lang w:eastAsia="sl-SI"/>
        </w:rPr>
        <w:t>antiaritminių</w:t>
      </w:r>
      <w:proofErr w:type="spellEnd"/>
      <w:r>
        <w:rPr>
          <w:szCs w:val="22"/>
          <w:lang w:eastAsia="sl-SI"/>
        </w:rPr>
        <w:t xml:space="preserve"> vaistinių preparatų), arba toliau išvardytų vaistinių preparatų, skatinančių </w:t>
      </w:r>
      <w:proofErr w:type="spellStart"/>
      <w:r>
        <w:rPr>
          <w:szCs w:val="22"/>
          <w:lang w:eastAsia="sl-SI"/>
        </w:rPr>
        <w:t>polimorfinės</w:t>
      </w:r>
      <w:proofErr w:type="spellEnd"/>
      <w:r>
        <w:rPr>
          <w:szCs w:val="22"/>
          <w:lang w:eastAsia="sl-SI"/>
        </w:rPr>
        <w:t xml:space="preserve"> </w:t>
      </w:r>
      <w:proofErr w:type="spellStart"/>
      <w:r>
        <w:rPr>
          <w:szCs w:val="22"/>
          <w:lang w:eastAsia="sl-SI"/>
        </w:rPr>
        <w:t>skilvelinės</w:t>
      </w:r>
      <w:proofErr w:type="spellEnd"/>
      <w:r>
        <w:rPr>
          <w:szCs w:val="22"/>
          <w:lang w:eastAsia="sl-SI"/>
        </w:rPr>
        <w:t xml:space="preserve"> </w:t>
      </w:r>
      <w:proofErr w:type="spellStart"/>
      <w:r>
        <w:rPr>
          <w:szCs w:val="22"/>
          <w:lang w:eastAsia="sl-SI"/>
        </w:rPr>
        <w:t>paroksizminės</w:t>
      </w:r>
      <w:proofErr w:type="spellEnd"/>
      <w:r>
        <w:rPr>
          <w:szCs w:val="22"/>
          <w:lang w:eastAsia="sl-SI"/>
        </w:rPr>
        <w:t xml:space="preserve"> tachikardijos (</w:t>
      </w:r>
      <w:proofErr w:type="spellStart"/>
      <w:r>
        <w:rPr>
          <w:i/>
          <w:szCs w:val="22"/>
          <w:lang w:eastAsia="sl-SI"/>
        </w:rPr>
        <w:t>torsades</w:t>
      </w:r>
      <w:proofErr w:type="spellEnd"/>
      <w:r>
        <w:rPr>
          <w:i/>
          <w:szCs w:val="22"/>
          <w:lang w:eastAsia="sl-SI"/>
        </w:rPr>
        <w:t xml:space="preserve"> de </w:t>
      </w:r>
      <w:proofErr w:type="spellStart"/>
      <w:r>
        <w:rPr>
          <w:i/>
          <w:szCs w:val="22"/>
          <w:lang w:eastAsia="sl-SI"/>
        </w:rPr>
        <w:t>pointes</w:t>
      </w:r>
      <w:proofErr w:type="spellEnd"/>
      <w:r>
        <w:rPr>
          <w:szCs w:val="22"/>
          <w:lang w:eastAsia="sl-SI"/>
        </w:rPr>
        <w:t xml:space="preserve">) pasireiškimą (įskaitant kai kuriuos </w:t>
      </w:r>
      <w:proofErr w:type="spellStart"/>
      <w:r>
        <w:rPr>
          <w:szCs w:val="22"/>
          <w:lang w:eastAsia="sl-SI"/>
        </w:rPr>
        <w:t>antiaritminius</w:t>
      </w:r>
      <w:proofErr w:type="spellEnd"/>
      <w:r>
        <w:rPr>
          <w:szCs w:val="22"/>
          <w:lang w:eastAsia="sl-SI"/>
        </w:rPr>
        <w:t xml:space="preserve"> vaistinius preparatus). </w:t>
      </w:r>
      <w:proofErr w:type="spellStart"/>
      <w:r>
        <w:rPr>
          <w:szCs w:val="22"/>
          <w:lang w:eastAsia="sl-SI"/>
        </w:rPr>
        <w:t>Hipokalemija</w:t>
      </w:r>
      <w:proofErr w:type="spellEnd"/>
      <w:r>
        <w:rPr>
          <w:szCs w:val="22"/>
          <w:lang w:eastAsia="sl-SI"/>
        </w:rPr>
        <w:t xml:space="preserve"> yra </w:t>
      </w:r>
      <w:proofErr w:type="spellStart"/>
      <w:r>
        <w:rPr>
          <w:i/>
          <w:szCs w:val="22"/>
          <w:lang w:eastAsia="sl-SI"/>
        </w:rPr>
        <w:t>torsades</w:t>
      </w:r>
      <w:proofErr w:type="spellEnd"/>
      <w:r>
        <w:rPr>
          <w:i/>
          <w:szCs w:val="22"/>
          <w:lang w:eastAsia="sl-SI"/>
        </w:rPr>
        <w:t xml:space="preserve"> de </w:t>
      </w:r>
      <w:proofErr w:type="spellStart"/>
      <w:r>
        <w:rPr>
          <w:i/>
          <w:szCs w:val="22"/>
          <w:lang w:eastAsia="sl-SI"/>
        </w:rPr>
        <w:t>pointes</w:t>
      </w:r>
      <w:proofErr w:type="spellEnd"/>
      <w:r>
        <w:rPr>
          <w:szCs w:val="22"/>
          <w:lang w:eastAsia="sl-SI"/>
        </w:rPr>
        <w:t xml:space="preserve"> pasireiškimą skatinantis veiksnys.</w:t>
      </w:r>
    </w:p>
    <w:p w14:paraId="6223FA30" w14:textId="77777777" w:rsidR="00D25008" w:rsidRDefault="00FE2A61">
      <w:pPr>
        <w:numPr>
          <w:ilvl w:val="0"/>
          <w:numId w:val="25"/>
        </w:numPr>
        <w:tabs>
          <w:tab w:val="num" w:pos="567"/>
        </w:tabs>
        <w:ind w:left="567" w:hanging="567"/>
        <w:rPr>
          <w:szCs w:val="22"/>
          <w:lang w:eastAsia="sl-SI"/>
        </w:rPr>
      </w:pPr>
      <w:proofErr w:type="spellStart"/>
      <w:r>
        <w:rPr>
          <w:szCs w:val="22"/>
          <w:lang w:eastAsia="sl-SI"/>
        </w:rPr>
        <w:t>Ia</w:t>
      </w:r>
      <w:proofErr w:type="spellEnd"/>
      <w:r>
        <w:rPr>
          <w:szCs w:val="22"/>
          <w:lang w:eastAsia="sl-SI"/>
        </w:rPr>
        <w:t xml:space="preserve"> klasės </w:t>
      </w:r>
      <w:proofErr w:type="spellStart"/>
      <w:r>
        <w:rPr>
          <w:szCs w:val="22"/>
          <w:lang w:eastAsia="sl-SI"/>
        </w:rPr>
        <w:t>antiaritminiai</w:t>
      </w:r>
      <w:proofErr w:type="spellEnd"/>
      <w:r>
        <w:rPr>
          <w:szCs w:val="22"/>
          <w:lang w:eastAsia="sl-SI"/>
        </w:rPr>
        <w:t xml:space="preserve"> vaistiniai preparatai (pvz., </w:t>
      </w:r>
      <w:proofErr w:type="spellStart"/>
      <w:r>
        <w:rPr>
          <w:szCs w:val="22"/>
          <w:lang w:eastAsia="sl-SI"/>
        </w:rPr>
        <w:t>chinidinas</w:t>
      </w:r>
      <w:proofErr w:type="spellEnd"/>
      <w:r>
        <w:rPr>
          <w:szCs w:val="22"/>
          <w:lang w:eastAsia="sl-SI"/>
        </w:rPr>
        <w:t xml:space="preserve">, </w:t>
      </w:r>
      <w:proofErr w:type="spellStart"/>
      <w:r>
        <w:rPr>
          <w:szCs w:val="22"/>
          <w:lang w:eastAsia="sl-SI"/>
        </w:rPr>
        <w:t>hidrochinidinas</w:t>
      </w:r>
      <w:proofErr w:type="spellEnd"/>
      <w:r>
        <w:rPr>
          <w:szCs w:val="22"/>
          <w:lang w:eastAsia="sl-SI"/>
        </w:rPr>
        <w:t xml:space="preserve">, </w:t>
      </w:r>
      <w:proofErr w:type="spellStart"/>
      <w:r>
        <w:rPr>
          <w:szCs w:val="22"/>
          <w:lang w:eastAsia="sl-SI"/>
        </w:rPr>
        <w:t>dizopiramidas</w:t>
      </w:r>
      <w:proofErr w:type="spellEnd"/>
      <w:r>
        <w:rPr>
          <w:szCs w:val="22"/>
          <w:lang w:eastAsia="sl-SI"/>
        </w:rPr>
        <w:t>).</w:t>
      </w:r>
    </w:p>
    <w:p w14:paraId="1941FF4C" w14:textId="77777777" w:rsidR="00D25008" w:rsidRDefault="00FE2A61">
      <w:pPr>
        <w:numPr>
          <w:ilvl w:val="0"/>
          <w:numId w:val="25"/>
        </w:numPr>
        <w:tabs>
          <w:tab w:val="num" w:pos="567"/>
        </w:tabs>
        <w:ind w:left="567" w:hanging="567"/>
        <w:rPr>
          <w:szCs w:val="22"/>
          <w:lang w:eastAsia="sl-SI"/>
        </w:rPr>
      </w:pPr>
      <w:r>
        <w:rPr>
          <w:szCs w:val="22"/>
          <w:lang w:eastAsia="sl-SI"/>
        </w:rPr>
        <w:t xml:space="preserve">III klasės </w:t>
      </w:r>
      <w:proofErr w:type="spellStart"/>
      <w:r>
        <w:rPr>
          <w:szCs w:val="22"/>
          <w:lang w:eastAsia="sl-SI"/>
        </w:rPr>
        <w:t>antiaritminiai</w:t>
      </w:r>
      <w:proofErr w:type="spellEnd"/>
      <w:r>
        <w:rPr>
          <w:szCs w:val="22"/>
          <w:lang w:eastAsia="sl-SI"/>
        </w:rPr>
        <w:t xml:space="preserve"> vaistiniai preparatai (pvz., </w:t>
      </w:r>
      <w:proofErr w:type="spellStart"/>
      <w:r>
        <w:rPr>
          <w:szCs w:val="22"/>
          <w:lang w:eastAsia="sl-SI"/>
        </w:rPr>
        <w:t>amjodaronas</w:t>
      </w:r>
      <w:proofErr w:type="spellEnd"/>
      <w:r>
        <w:rPr>
          <w:szCs w:val="22"/>
          <w:lang w:eastAsia="sl-SI"/>
        </w:rPr>
        <w:t xml:space="preserve">, </w:t>
      </w:r>
      <w:proofErr w:type="spellStart"/>
      <w:r>
        <w:rPr>
          <w:szCs w:val="22"/>
          <w:lang w:eastAsia="sl-SI"/>
        </w:rPr>
        <w:t>sotalolis</w:t>
      </w:r>
      <w:proofErr w:type="spellEnd"/>
      <w:r>
        <w:rPr>
          <w:szCs w:val="22"/>
          <w:lang w:eastAsia="sl-SI"/>
        </w:rPr>
        <w:t xml:space="preserve">, </w:t>
      </w:r>
      <w:proofErr w:type="spellStart"/>
      <w:r>
        <w:rPr>
          <w:szCs w:val="22"/>
          <w:lang w:eastAsia="sl-SI"/>
        </w:rPr>
        <w:t>dofetilidas</w:t>
      </w:r>
      <w:proofErr w:type="spellEnd"/>
      <w:r>
        <w:rPr>
          <w:szCs w:val="22"/>
          <w:lang w:eastAsia="sl-SI"/>
        </w:rPr>
        <w:t xml:space="preserve">, </w:t>
      </w:r>
      <w:proofErr w:type="spellStart"/>
      <w:r>
        <w:rPr>
          <w:szCs w:val="22"/>
          <w:lang w:eastAsia="sl-SI"/>
        </w:rPr>
        <w:t>ibutilidas</w:t>
      </w:r>
      <w:proofErr w:type="spellEnd"/>
      <w:r>
        <w:rPr>
          <w:szCs w:val="22"/>
          <w:lang w:eastAsia="sl-SI"/>
        </w:rPr>
        <w:t>).</w:t>
      </w:r>
    </w:p>
    <w:p w14:paraId="13EBC3C1" w14:textId="77777777" w:rsidR="00D25008" w:rsidRDefault="00FE2A61">
      <w:pPr>
        <w:numPr>
          <w:ilvl w:val="0"/>
          <w:numId w:val="25"/>
        </w:numPr>
        <w:tabs>
          <w:tab w:val="num" w:pos="567"/>
        </w:tabs>
        <w:ind w:left="567" w:hanging="567"/>
        <w:rPr>
          <w:szCs w:val="22"/>
          <w:lang w:eastAsia="sl-SI"/>
        </w:rPr>
      </w:pPr>
      <w:r>
        <w:rPr>
          <w:szCs w:val="22"/>
          <w:lang w:eastAsia="sl-SI"/>
        </w:rPr>
        <w:t xml:space="preserve">Kai kurie vaistiniai preparatai nuo psichozės (pvz., </w:t>
      </w:r>
      <w:proofErr w:type="spellStart"/>
      <w:r>
        <w:rPr>
          <w:szCs w:val="22"/>
          <w:lang w:eastAsia="sl-SI"/>
        </w:rPr>
        <w:t>tioridazinas</w:t>
      </w:r>
      <w:proofErr w:type="spellEnd"/>
      <w:r>
        <w:rPr>
          <w:szCs w:val="22"/>
          <w:lang w:eastAsia="sl-SI"/>
        </w:rPr>
        <w:t xml:space="preserve">, </w:t>
      </w:r>
      <w:proofErr w:type="spellStart"/>
      <w:r>
        <w:rPr>
          <w:szCs w:val="22"/>
          <w:lang w:eastAsia="sl-SI"/>
        </w:rPr>
        <w:t>chlorpromazinas</w:t>
      </w:r>
      <w:proofErr w:type="spellEnd"/>
      <w:r>
        <w:rPr>
          <w:szCs w:val="22"/>
          <w:lang w:eastAsia="sl-SI"/>
        </w:rPr>
        <w:t xml:space="preserve">, </w:t>
      </w:r>
      <w:proofErr w:type="spellStart"/>
      <w:r>
        <w:rPr>
          <w:szCs w:val="22"/>
          <w:lang w:eastAsia="sl-SI"/>
        </w:rPr>
        <w:t>levomepromazinas</w:t>
      </w:r>
      <w:proofErr w:type="spellEnd"/>
      <w:r>
        <w:rPr>
          <w:szCs w:val="22"/>
          <w:lang w:eastAsia="sl-SI"/>
        </w:rPr>
        <w:t xml:space="preserve">, </w:t>
      </w:r>
      <w:proofErr w:type="spellStart"/>
      <w:r>
        <w:rPr>
          <w:szCs w:val="22"/>
          <w:lang w:eastAsia="sl-SI"/>
        </w:rPr>
        <w:t>trifluoperazinas</w:t>
      </w:r>
      <w:proofErr w:type="spellEnd"/>
      <w:r>
        <w:rPr>
          <w:szCs w:val="22"/>
          <w:lang w:eastAsia="sl-SI"/>
        </w:rPr>
        <w:t xml:space="preserve">, </w:t>
      </w:r>
      <w:proofErr w:type="spellStart"/>
      <w:r>
        <w:rPr>
          <w:szCs w:val="22"/>
          <w:lang w:eastAsia="sl-SI"/>
        </w:rPr>
        <w:t>ciamemazinas</w:t>
      </w:r>
      <w:proofErr w:type="spellEnd"/>
      <w:r>
        <w:rPr>
          <w:szCs w:val="22"/>
          <w:lang w:eastAsia="sl-SI"/>
        </w:rPr>
        <w:t xml:space="preserve">, </w:t>
      </w:r>
      <w:proofErr w:type="spellStart"/>
      <w:r>
        <w:rPr>
          <w:szCs w:val="22"/>
          <w:lang w:eastAsia="sl-SI"/>
        </w:rPr>
        <w:t>sulpiridas</w:t>
      </w:r>
      <w:proofErr w:type="spellEnd"/>
      <w:r>
        <w:rPr>
          <w:szCs w:val="22"/>
          <w:lang w:eastAsia="sl-SI"/>
        </w:rPr>
        <w:t xml:space="preserve">, </w:t>
      </w:r>
      <w:proofErr w:type="spellStart"/>
      <w:r>
        <w:rPr>
          <w:szCs w:val="22"/>
          <w:lang w:eastAsia="sl-SI"/>
        </w:rPr>
        <w:t>sultopridas</w:t>
      </w:r>
      <w:proofErr w:type="spellEnd"/>
      <w:r>
        <w:rPr>
          <w:szCs w:val="22"/>
          <w:lang w:eastAsia="sl-SI"/>
        </w:rPr>
        <w:t xml:space="preserve">, </w:t>
      </w:r>
      <w:proofErr w:type="spellStart"/>
      <w:r>
        <w:rPr>
          <w:szCs w:val="22"/>
          <w:lang w:eastAsia="sl-SI"/>
        </w:rPr>
        <w:t>amisulpridas</w:t>
      </w:r>
      <w:proofErr w:type="spellEnd"/>
      <w:r>
        <w:rPr>
          <w:szCs w:val="22"/>
          <w:lang w:eastAsia="sl-SI"/>
        </w:rPr>
        <w:t xml:space="preserve">, </w:t>
      </w:r>
      <w:proofErr w:type="spellStart"/>
      <w:r>
        <w:rPr>
          <w:szCs w:val="22"/>
          <w:lang w:eastAsia="sl-SI"/>
        </w:rPr>
        <w:t>tiapridas</w:t>
      </w:r>
      <w:proofErr w:type="spellEnd"/>
      <w:r>
        <w:rPr>
          <w:szCs w:val="22"/>
          <w:lang w:eastAsia="sl-SI"/>
        </w:rPr>
        <w:t xml:space="preserve">, </w:t>
      </w:r>
      <w:proofErr w:type="spellStart"/>
      <w:r>
        <w:rPr>
          <w:szCs w:val="22"/>
          <w:lang w:eastAsia="sl-SI"/>
        </w:rPr>
        <w:t>pimozidas</w:t>
      </w:r>
      <w:proofErr w:type="spellEnd"/>
      <w:r>
        <w:rPr>
          <w:szCs w:val="22"/>
          <w:lang w:eastAsia="sl-SI"/>
        </w:rPr>
        <w:t xml:space="preserve">, </w:t>
      </w:r>
      <w:proofErr w:type="spellStart"/>
      <w:r>
        <w:rPr>
          <w:szCs w:val="22"/>
          <w:lang w:eastAsia="sl-SI"/>
        </w:rPr>
        <w:t>haloperidolis</w:t>
      </w:r>
      <w:proofErr w:type="spellEnd"/>
      <w:r>
        <w:rPr>
          <w:szCs w:val="22"/>
          <w:lang w:eastAsia="sl-SI"/>
        </w:rPr>
        <w:t xml:space="preserve">, </w:t>
      </w:r>
      <w:proofErr w:type="spellStart"/>
      <w:r>
        <w:rPr>
          <w:szCs w:val="22"/>
          <w:lang w:eastAsia="sl-SI"/>
        </w:rPr>
        <w:t>droperidolis</w:t>
      </w:r>
      <w:proofErr w:type="spellEnd"/>
      <w:r>
        <w:rPr>
          <w:szCs w:val="22"/>
          <w:lang w:eastAsia="sl-SI"/>
        </w:rPr>
        <w:t>).</w:t>
      </w:r>
    </w:p>
    <w:p w14:paraId="56C17EFB" w14:textId="77777777" w:rsidR="00D25008" w:rsidRDefault="00FE2A61">
      <w:pPr>
        <w:numPr>
          <w:ilvl w:val="0"/>
          <w:numId w:val="25"/>
        </w:numPr>
        <w:tabs>
          <w:tab w:val="num" w:pos="567"/>
        </w:tabs>
        <w:ind w:left="567" w:hanging="567"/>
        <w:rPr>
          <w:szCs w:val="22"/>
          <w:lang w:eastAsia="sl-SI"/>
        </w:rPr>
      </w:pPr>
      <w:r>
        <w:rPr>
          <w:szCs w:val="22"/>
          <w:lang w:eastAsia="sl-SI"/>
        </w:rPr>
        <w:t xml:space="preserve">Kiti vaistiniai preparatai (pvz., </w:t>
      </w:r>
      <w:proofErr w:type="spellStart"/>
      <w:r>
        <w:rPr>
          <w:szCs w:val="22"/>
          <w:lang w:eastAsia="sl-SI"/>
        </w:rPr>
        <w:t>bepridilis</w:t>
      </w:r>
      <w:proofErr w:type="spellEnd"/>
      <w:r>
        <w:rPr>
          <w:szCs w:val="22"/>
          <w:lang w:eastAsia="sl-SI"/>
        </w:rPr>
        <w:t xml:space="preserve">, </w:t>
      </w:r>
      <w:proofErr w:type="spellStart"/>
      <w:r>
        <w:rPr>
          <w:szCs w:val="22"/>
          <w:lang w:eastAsia="sl-SI"/>
        </w:rPr>
        <w:t>cisapridas</w:t>
      </w:r>
      <w:proofErr w:type="spellEnd"/>
      <w:r>
        <w:rPr>
          <w:szCs w:val="22"/>
          <w:lang w:eastAsia="sl-SI"/>
        </w:rPr>
        <w:t xml:space="preserve">, </w:t>
      </w:r>
      <w:proofErr w:type="spellStart"/>
      <w:r>
        <w:rPr>
          <w:szCs w:val="22"/>
          <w:lang w:eastAsia="sl-SI"/>
        </w:rPr>
        <w:t>difemanilis</w:t>
      </w:r>
      <w:proofErr w:type="spellEnd"/>
      <w:r>
        <w:rPr>
          <w:szCs w:val="22"/>
          <w:lang w:eastAsia="sl-SI"/>
        </w:rPr>
        <w:t xml:space="preserve">, į veną švirkščiamas </w:t>
      </w:r>
      <w:proofErr w:type="spellStart"/>
      <w:r>
        <w:rPr>
          <w:szCs w:val="22"/>
          <w:lang w:eastAsia="sl-SI"/>
        </w:rPr>
        <w:t>eritromicinas</w:t>
      </w:r>
      <w:proofErr w:type="spellEnd"/>
      <w:r>
        <w:rPr>
          <w:szCs w:val="22"/>
          <w:lang w:eastAsia="sl-SI"/>
        </w:rPr>
        <w:t xml:space="preserve">, </w:t>
      </w:r>
      <w:proofErr w:type="spellStart"/>
      <w:r>
        <w:rPr>
          <w:szCs w:val="22"/>
          <w:lang w:eastAsia="sl-SI"/>
        </w:rPr>
        <w:t>halofantrinas</w:t>
      </w:r>
      <w:proofErr w:type="spellEnd"/>
      <w:r>
        <w:rPr>
          <w:szCs w:val="22"/>
          <w:lang w:eastAsia="sl-SI"/>
        </w:rPr>
        <w:t xml:space="preserve">, </w:t>
      </w:r>
      <w:proofErr w:type="spellStart"/>
      <w:r>
        <w:rPr>
          <w:szCs w:val="22"/>
          <w:lang w:eastAsia="sl-SI"/>
        </w:rPr>
        <w:t>mizolastinas</w:t>
      </w:r>
      <w:proofErr w:type="spellEnd"/>
      <w:r>
        <w:rPr>
          <w:szCs w:val="22"/>
          <w:lang w:eastAsia="sl-SI"/>
        </w:rPr>
        <w:t xml:space="preserve">, </w:t>
      </w:r>
      <w:proofErr w:type="spellStart"/>
      <w:r>
        <w:rPr>
          <w:szCs w:val="22"/>
          <w:lang w:eastAsia="sl-SI"/>
        </w:rPr>
        <w:t>pentamidinas</w:t>
      </w:r>
      <w:proofErr w:type="spellEnd"/>
      <w:r>
        <w:rPr>
          <w:szCs w:val="22"/>
          <w:lang w:eastAsia="sl-SI"/>
        </w:rPr>
        <w:t xml:space="preserve">, </w:t>
      </w:r>
      <w:proofErr w:type="spellStart"/>
      <w:r>
        <w:rPr>
          <w:szCs w:val="22"/>
          <w:lang w:eastAsia="sl-SI"/>
        </w:rPr>
        <w:t>sparfloksacinas</w:t>
      </w:r>
      <w:proofErr w:type="spellEnd"/>
      <w:r>
        <w:rPr>
          <w:szCs w:val="22"/>
          <w:lang w:eastAsia="sl-SI"/>
        </w:rPr>
        <w:t xml:space="preserve">, </w:t>
      </w:r>
      <w:proofErr w:type="spellStart"/>
      <w:r>
        <w:rPr>
          <w:szCs w:val="22"/>
          <w:lang w:eastAsia="sl-SI"/>
        </w:rPr>
        <w:t>terfenadinas</w:t>
      </w:r>
      <w:proofErr w:type="spellEnd"/>
      <w:r>
        <w:rPr>
          <w:szCs w:val="22"/>
          <w:lang w:eastAsia="sl-SI"/>
        </w:rPr>
        <w:t xml:space="preserve">, į veną švirkščiamas </w:t>
      </w:r>
      <w:proofErr w:type="spellStart"/>
      <w:r>
        <w:rPr>
          <w:szCs w:val="22"/>
          <w:lang w:eastAsia="sl-SI"/>
        </w:rPr>
        <w:t>vinkaminas</w:t>
      </w:r>
      <w:proofErr w:type="spellEnd"/>
      <w:r>
        <w:rPr>
          <w:szCs w:val="22"/>
          <w:lang w:eastAsia="sl-SI"/>
        </w:rPr>
        <w:t>).</w:t>
      </w:r>
    </w:p>
    <w:p w14:paraId="5831420B" w14:textId="77777777" w:rsidR="00D25008" w:rsidRDefault="00D25008">
      <w:pPr>
        <w:autoSpaceDE w:val="0"/>
        <w:autoSpaceDN w:val="0"/>
        <w:adjustRightInd w:val="0"/>
        <w:rPr>
          <w:szCs w:val="22"/>
          <w:lang w:eastAsia="sl-SI"/>
        </w:rPr>
      </w:pPr>
    </w:p>
    <w:p w14:paraId="74BF782F" w14:textId="77777777" w:rsidR="00D25008" w:rsidRDefault="00FE2A61">
      <w:pPr>
        <w:autoSpaceDE w:val="0"/>
        <w:autoSpaceDN w:val="0"/>
        <w:adjustRightInd w:val="0"/>
        <w:rPr>
          <w:szCs w:val="22"/>
          <w:lang w:eastAsia="sl-SI"/>
        </w:rPr>
      </w:pPr>
      <w:r>
        <w:rPr>
          <w:szCs w:val="22"/>
          <w:u w:val="single"/>
          <w:lang w:eastAsia="sl-SI"/>
        </w:rPr>
        <w:t>Rusmenės glikozidai</w:t>
      </w:r>
    </w:p>
    <w:p w14:paraId="70729B42" w14:textId="77777777" w:rsidR="00D25008" w:rsidRDefault="00FE2A61">
      <w:pPr>
        <w:autoSpaceDE w:val="0"/>
        <w:autoSpaceDN w:val="0"/>
        <w:adjustRightInd w:val="0"/>
        <w:rPr>
          <w:szCs w:val="22"/>
          <w:lang w:eastAsia="sl-SI"/>
        </w:rPr>
      </w:pPr>
      <w:proofErr w:type="spellStart"/>
      <w:r>
        <w:rPr>
          <w:szCs w:val="22"/>
          <w:lang w:eastAsia="sl-SI"/>
        </w:rPr>
        <w:t>Tiazidų</w:t>
      </w:r>
      <w:proofErr w:type="spellEnd"/>
      <w:r>
        <w:rPr>
          <w:szCs w:val="22"/>
          <w:lang w:eastAsia="sl-SI"/>
        </w:rPr>
        <w:t xml:space="preserve"> sukeliama </w:t>
      </w:r>
      <w:proofErr w:type="spellStart"/>
      <w:r>
        <w:rPr>
          <w:szCs w:val="22"/>
          <w:lang w:eastAsia="sl-SI"/>
        </w:rPr>
        <w:t>hipokalemija</w:t>
      </w:r>
      <w:proofErr w:type="spellEnd"/>
      <w:r>
        <w:rPr>
          <w:szCs w:val="22"/>
          <w:lang w:eastAsia="sl-SI"/>
        </w:rPr>
        <w:t xml:space="preserve"> arba </w:t>
      </w:r>
      <w:proofErr w:type="spellStart"/>
      <w:r>
        <w:rPr>
          <w:szCs w:val="22"/>
          <w:lang w:eastAsia="sl-SI"/>
        </w:rPr>
        <w:t>hipomagnezemija</w:t>
      </w:r>
      <w:proofErr w:type="spellEnd"/>
      <w:r>
        <w:rPr>
          <w:szCs w:val="22"/>
          <w:lang w:eastAsia="sl-SI"/>
        </w:rPr>
        <w:t xml:space="preserve"> gali skatinti rusmenės glikozidų sukeliamo širdies ritmo sutrikimo pasireiškimą (žr. 4.4 skyrių).</w:t>
      </w:r>
    </w:p>
    <w:p w14:paraId="77BB1A4D" w14:textId="77777777" w:rsidR="00D25008" w:rsidRDefault="00D25008">
      <w:pPr>
        <w:widowControl w:val="0"/>
        <w:autoSpaceDE w:val="0"/>
        <w:autoSpaceDN w:val="0"/>
        <w:adjustRightInd w:val="0"/>
        <w:rPr>
          <w:szCs w:val="22"/>
          <w:u w:val="single"/>
          <w:lang w:eastAsia="sl-SI"/>
        </w:rPr>
      </w:pPr>
    </w:p>
    <w:p w14:paraId="5FECE864" w14:textId="77777777" w:rsidR="00D25008" w:rsidRDefault="00FE2A61">
      <w:pPr>
        <w:autoSpaceDE w:val="0"/>
        <w:autoSpaceDN w:val="0"/>
        <w:adjustRightInd w:val="0"/>
        <w:rPr>
          <w:szCs w:val="22"/>
          <w:u w:val="single"/>
          <w:lang w:eastAsia="sl-SI"/>
        </w:rPr>
      </w:pPr>
      <w:proofErr w:type="spellStart"/>
      <w:r>
        <w:rPr>
          <w:szCs w:val="22"/>
          <w:u w:val="single"/>
          <w:lang w:eastAsia="sl-SI"/>
        </w:rPr>
        <w:t>Digoksinas</w:t>
      </w:r>
      <w:proofErr w:type="spellEnd"/>
    </w:p>
    <w:p w14:paraId="1E9C3E3D" w14:textId="77777777" w:rsidR="00D25008" w:rsidRDefault="00FE2A61">
      <w:pPr>
        <w:autoSpaceDE w:val="0"/>
        <w:autoSpaceDN w:val="0"/>
        <w:adjustRightInd w:val="0"/>
        <w:rPr>
          <w:szCs w:val="22"/>
          <w:lang w:eastAsia="sl-SI"/>
        </w:rPr>
      </w:pPr>
      <w:proofErr w:type="spellStart"/>
      <w:r>
        <w:rPr>
          <w:szCs w:val="22"/>
          <w:lang w:eastAsia="sl-SI"/>
        </w:rPr>
        <w:t>Telmisartano</w:t>
      </w:r>
      <w:proofErr w:type="spellEnd"/>
      <w:r>
        <w:rPr>
          <w:szCs w:val="22"/>
          <w:lang w:eastAsia="sl-SI"/>
        </w:rPr>
        <w:t xml:space="preserve"> vartojant kartu su </w:t>
      </w:r>
      <w:proofErr w:type="spellStart"/>
      <w:r>
        <w:rPr>
          <w:szCs w:val="22"/>
          <w:lang w:eastAsia="sl-SI"/>
        </w:rPr>
        <w:t>digoksinu</w:t>
      </w:r>
      <w:proofErr w:type="spellEnd"/>
      <w:r>
        <w:rPr>
          <w:szCs w:val="22"/>
          <w:lang w:eastAsia="sl-SI"/>
        </w:rPr>
        <w:t xml:space="preserve">, padidėjo </w:t>
      </w:r>
      <w:proofErr w:type="spellStart"/>
      <w:r>
        <w:rPr>
          <w:szCs w:val="22"/>
          <w:lang w:eastAsia="sl-SI"/>
        </w:rPr>
        <w:t>digoksino</w:t>
      </w:r>
      <w:proofErr w:type="spellEnd"/>
      <w:r>
        <w:rPr>
          <w:szCs w:val="22"/>
          <w:lang w:eastAsia="sl-SI"/>
        </w:rPr>
        <w:t xml:space="preserve"> didžiausios (49 %) ir mažiausios (20 %) koncentracijos kraujo plazmoje mediana. Pradėjus, koregavus bei nutraukus gydymą </w:t>
      </w:r>
      <w:proofErr w:type="spellStart"/>
      <w:r>
        <w:rPr>
          <w:szCs w:val="22"/>
          <w:lang w:eastAsia="sl-SI"/>
        </w:rPr>
        <w:t>telmisartanu</w:t>
      </w:r>
      <w:proofErr w:type="spellEnd"/>
      <w:r>
        <w:rPr>
          <w:szCs w:val="22"/>
          <w:lang w:eastAsia="sl-SI"/>
        </w:rPr>
        <w:t xml:space="preserve">, reikia matuoti </w:t>
      </w:r>
      <w:proofErr w:type="spellStart"/>
      <w:r>
        <w:rPr>
          <w:szCs w:val="22"/>
          <w:lang w:eastAsia="sl-SI"/>
        </w:rPr>
        <w:t>digoksino</w:t>
      </w:r>
      <w:proofErr w:type="spellEnd"/>
      <w:r>
        <w:rPr>
          <w:szCs w:val="22"/>
          <w:lang w:eastAsia="sl-SI"/>
        </w:rPr>
        <w:t xml:space="preserve"> koncentraciją kraujyje, kad ją būtų galima palaikyti terapinės koncentracijos ribose.</w:t>
      </w:r>
    </w:p>
    <w:p w14:paraId="6B0C71F0" w14:textId="77777777" w:rsidR="00D25008" w:rsidRDefault="00D25008">
      <w:pPr>
        <w:autoSpaceDE w:val="0"/>
        <w:autoSpaceDN w:val="0"/>
        <w:adjustRightInd w:val="0"/>
        <w:rPr>
          <w:szCs w:val="22"/>
          <w:lang w:eastAsia="sl-SI"/>
        </w:rPr>
      </w:pPr>
    </w:p>
    <w:p w14:paraId="577C04D7" w14:textId="77777777" w:rsidR="00D25008" w:rsidRDefault="00FE2A61">
      <w:pPr>
        <w:autoSpaceDE w:val="0"/>
        <w:autoSpaceDN w:val="0"/>
        <w:adjustRightInd w:val="0"/>
        <w:rPr>
          <w:szCs w:val="22"/>
          <w:lang w:eastAsia="sl-SI"/>
        </w:rPr>
      </w:pPr>
      <w:r>
        <w:rPr>
          <w:szCs w:val="22"/>
          <w:u w:val="single"/>
          <w:lang w:eastAsia="sl-SI"/>
        </w:rPr>
        <w:t xml:space="preserve">Kiti </w:t>
      </w:r>
      <w:proofErr w:type="spellStart"/>
      <w:r>
        <w:rPr>
          <w:szCs w:val="22"/>
          <w:u w:val="single"/>
          <w:lang w:eastAsia="sl-SI"/>
        </w:rPr>
        <w:t>antihipertenziniai</w:t>
      </w:r>
      <w:proofErr w:type="spellEnd"/>
      <w:r>
        <w:rPr>
          <w:szCs w:val="22"/>
          <w:u w:val="single"/>
          <w:lang w:eastAsia="sl-SI"/>
        </w:rPr>
        <w:t xml:space="preserve"> vaistiniai preparatai</w:t>
      </w:r>
    </w:p>
    <w:p w14:paraId="4BD2814C" w14:textId="77777777" w:rsidR="00D25008" w:rsidRDefault="00FE2A61">
      <w:pPr>
        <w:autoSpaceDE w:val="0"/>
        <w:autoSpaceDN w:val="0"/>
        <w:adjustRightInd w:val="0"/>
        <w:rPr>
          <w:szCs w:val="22"/>
          <w:lang w:eastAsia="sl-SI"/>
        </w:rPr>
      </w:pPr>
      <w:proofErr w:type="spellStart"/>
      <w:r>
        <w:rPr>
          <w:szCs w:val="22"/>
          <w:lang w:eastAsia="sl-SI"/>
        </w:rPr>
        <w:t>Telmisartanas</w:t>
      </w:r>
      <w:proofErr w:type="spellEnd"/>
      <w:r>
        <w:rPr>
          <w:szCs w:val="22"/>
          <w:lang w:eastAsia="sl-SI"/>
        </w:rPr>
        <w:t xml:space="preserve"> gali sustiprinti kraujospūdį mažinantį kitų </w:t>
      </w:r>
      <w:proofErr w:type="spellStart"/>
      <w:r>
        <w:rPr>
          <w:szCs w:val="22"/>
          <w:lang w:eastAsia="sl-SI"/>
        </w:rPr>
        <w:t>antihipertenzinių</w:t>
      </w:r>
      <w:proofErr w:type="spellEnd"/>
      <w:r>
        <w:rPr>
          <w:szCs w:val="22"/>
          <w:lang w:eastAsia="sl-SI"/>
        </w:rPr>
        <w:t xml:space="preserve"> vaistinių preparatų poveikį.</w:t>
      </w:r>
    </w:p>
    <w:p w14:paraId="65B72E9A" w14:textId="77777777" w:rsidR="00D25008" w:rsidRDefault="00D25008">
      <w:pPr>
        <w:autoSpaceDE w:val="0"/>
        <w:autoSpaceDN w:val="0"/>
        <w:adjustRightInd w:val="0"/>
        <w:rPr>
          <w:szCs w:val="22"/>
          <w:lang w:eastAsia="sl-SI"/>
        </w:rPr>
      </w:pPr>
    </w:p>
    <w:p w14:paraId="3F83BCA9" w14:textId="77777777" w:rsidR="00D25008" w:rsidRDefault="00FE2A61">
      <w:pPr>
        <w:autoSpaceDE w:val="0"/>
        <w:autoSpaceDN w:val="0"/>
        <w:adjustRightInd w:val="0"/>
        <w:rPr>
          <w:szCs w:val="22"/>
          <w:lang w:eastAsia="sl-SI"/>
        </w:rPr>
      </w:pPr>
      <w:r>
        <w:rPr>
          <w:szCs w:val="22"/>
          <w:lang w:eastAsia="sl-SI"/>
        </w:rPr>
        <w:t xml:space="preserve">Klinikinių tyrimų duomenys parodė, kad, palyginti su vieno </w:t>
      </w:r>
      <w:proofErr w:type="spellStart"/>
      <w:r>
        <w:rPr>
          <w:szCs w:val="22"/>
          <w:lang w:eastAsia="sl-SI"/>
        </w:rPr>
        <w:t>renino</w:t>
      </w:r>
      <w:proofErr w:type="spellEnd"/>
      <w:r>
        <w:rPr>
          <w:szCs w:val="22"/>
          <w:lang w:eastAsia="sl-SI"/>
        </w:rPr>
        <w:t xml:space="preserve">, </w:t>
      </w:r>
      <w:proofErr w:type="spellStart"/>
      <w:r>
        <w:rPr>
          <w:szCs w:val="22"/>
          <w:lang w:eastAsia="sl-SI"/>
        </w:rPr>
        <w:t>angiotenzino</w:t>
      </w:r>
      <w:proofErr w:type="spellEnd"/>
      <w:r>
        <w:rPr>
          <w:szCs w:val="22"/>
          <w:lang w:eastAsia="sl-SI"/>
        </w:rPr>
        <w:t xml:space="preserve"> ir </w:t>
      </w:r>
      <w:proofErr w:type="spellStart"/>
      <w:r>
        <w:rPr>
          <w:szCs w:val="22"/>
          <w:lang w:eastAsia="sl-SI"/>
        </w:rPr>
        <w:t>aldosterono</w:t>
      </w:r>
      <w:proofErr w:type="spellEnd"/>
      <w:r>
        <w:rPr>
          <w:szCs w:val="22"/>
          <w:lang w:eastAsia="sl-SI"/>
        </w:rPr>
        <w:t xml:space="preserve"> sistemą (RAAS) veikiančio vaistinio preparato vartojimu, dvigubas RAAS nuslopinimas, kai vartojamas AKF inhibitorių, </w:t>
      </w:r>
      <w:proofErr w:type="spellStart"/>
      <w:r>
        <w:rPr>
          <w:szCs w:val="22"/>
          <w:lang w:eastAsia="sl-SI"/>
        </w:rPr>
        <w:t>angiotenzino</w:t>
      </w:r>
      <w:proofErr w:type="spellEnd"/>
      <w:r>
        <w:rPr>
          <w:szCs w:val="22"/>
          <w:lang w:eastAsia="sl-SI"/>
        </w:rPr>
        <w:t xml:space="preserve"> II receptorių blokatorių ar </w:t>
      </w:r>
      <w:proofErr w:type="spellStart"/>
      <w:r>
        <w:rPr>
          <w:szCs w:val="22"/>
          <w:lang w:eastAsia="sl-SI"/>
        </w:rPr>
        <w:t>aliskireno</w:t>
      </w:r>
      <w:proofErr w:type="spellEnd"/>
      <w:r>
        <w:rPr>
          <w:szCs w:val="22"/>
          <w:lang w:eastAsia="sl-SI"/>
        </w:rPr>
        <w:t xml:space="preserve"> derinys, siejamas su dažniau pasitaikančiais nepageidaujamais reiškiniais, tokiais kaip </w:t>
      </w:r>
      <w:proofErr w:type="spellStart"/>
      <w:r>
        <w:rPr>
          <w:szCs w:val="22"/>
          <w:lang w:eastAsia="sl-SI"/>
        </w:rPr>
        <w:t>hipotenzija</w:t>
      </w:r>
      <w:proofErr w:type="spellEnd"/>
      <w:r>
        <w:rPr>
          <w:szCs w:val="22"/>
          <w:lang w:eastAsia="sl-SI"/>
        </w:rPr>
        <w:t xml:space="preserve">, </w:t>
      </w:r>
      <w:proofErr w:type="spellStart"/>
      <w:r>
        <w:rPr>
          <w:szCs w:val="22"/>
          <w:lang w:eastAsia="sl-SI"/>
        </w:rPr>
        <w:t>hiperkalemija</w:t>
      </w:r>
      <w:proofErr w:type="spellEnd"/>
      <w:r>
        <w:rPr>
          <w:szCs w:val="22"/>
          <w:lang w:eastAsia="sl-SI"/>
        </w:rPr>
        <w:t xml:space="preserve"> ir inkstų funkcijos susilpnėjimas (įskaitant ūminį inkstų nepakankamumą) (žr. 4.3, 4.4 ir 5.1 skyrius).</w:t>
      </w:r>
    </w:p>
    <w:p w14:paraId="3BE97CC1" w14:textId="77777777" w:rsidR="00D25008" w:rsidRDefault="00D25008">
      <w:pPr>
        <w:autoSpaceDE w:val="0"/>
        <w:autoSpaceDN w:val="0"/>
        <w:adjustRightInd w:val="0"/>
        <w:rPr>
          <w:szCs w:val="22"/>
          <w:lang w:eastAsia="sl-SI"/>
        </w:rPr>
      </w:pPr>
    </w:p>
    <w:p w14:paraId="0763DE65" w14:textId="77777777" w:rsidR="00D25008" w:rsidRDefault="00FE2A61">
      <w:pPr>
        <w:autoSpaceDE w:val="0"/>
        <w:autoSpaceDN w:val="0"/>
        <w:adjustRightInd w:val="0"/>
        <w:rPr>
          <w:szCs w:val="22"/>
          <w:u w:val="single"/>
          <w:lang w:eastAsia="sl-SI"/>
        </w:rPr>
      </w:pPr>
      <w:r>
        <w:rPr>
          <w:szCs w:val="22"/>
          <w:u w:val="single"/>
          <w:lang w:eastAsia="sl-SI"/>
        </w:rPr>
        <w:t>Vaistiniai preparatai nuo cukrinio diabeto (geriamieji vaistiniai preparatai, insulinas)</w:t>
      </w:r>
    </w:p>
    <w:p w14:paraId="1D5779D9" w14:textId="77777777" w:rsidR="00D25008" w:rsidRDefault="00FE2A61">
      <w:pPr>
        <w:autoSpaceDE w:val="0"/>
        <w:autoSpaceDN w:val="0"/>
        <w:adjustRightInd w:val="0"/>
        <w:rPr>
          <w:szCs w:val="22"/>
          <w:lang w:eastAsia="sl-SI"/>
        </w:rPr>
      </w:pPr>
      <w:r>
        <w:rPr>
          <w:szCs w:val="22"/>
          <w:lang w:eastAsia="sl-SI"/>
        </w:rPr>
        <w:lastRenderedPageBreak/>
        <w:t>Gali prireikti koreguoti vaistinių preparatų nuo cukrinio diabeto dozę (žr. 4.4 skyrių).</w:t>
      </w:r>
    </w:p>
    <w:p w14:paraId="3FEA334D" w14:textId="77777777" w:rsidR="00D25008" w:rsidRDefault="00D25008">
      <w:pPr>
        <w:autoSpaceDE w:val="0"/>
        <w:autoSpaceDN w:val="0"/>
        <w:adjustRightInd w:val="0"/>
        <w:rPr>
          <w:szCs w:val="22"/>
          <w:lang w:eastAsia="sl-SI"/>
        </w:rPr>
      </w:pPr>
    </w:p>
    <w:p w14:paraId="16BEF707" w14:textId="77777777" w:rsidR="00D25008" w:rsidRDefault="00FE2A61">
      <w:pPr>
        <w:autoSpaceDE w:val="0"/>
        <w:autoSpaceDN w:val="0"/>
        <w:adjustRightInd w:val="0"/>
        <w:rPr>
          <w:szCs w:val="22"/>
          <w:lang w:eastAsia="sl-SI"/>
        </w:rPr>
      </w:pPr>
      <w:proofErr w:type="spellStart"/>
      <w:r>
        <w:rPr>
          <w:szCs w:val="22"/>
          <w:u w:val="single"/>
          <w:lang w:eastAsia="sl-SI"/>
        </w:rPr>
        <w:t>Metforminas</w:t>
      </w:r>
      <w:proofErr w:type="spellEnd"/>
    </w:p>
    <w:p w14:paraId="37178A28" w14:textId="77777777" w:rsidR="00D25008" w:rsidRDefault="00FE2A61">
      <w:pPr>
        <w:autoSpaceDE w:val="0"/>
        <w:autoSpaceDN w:val="0"/>
        <w:adjustRightInd w:val="0"/>
        <w:rPr>
          <w:szCs w:val="22"/>
          <w:lang w:eastAsia="sl-SI"/>
        </w:rPr>
      </w:pPr>
      <w:proofErr w:type="spellStart"/>
      <w:r>
        <w:rPr>
          <w:szCs w:val="22"/>
          <w:lang w:eastAsia="sl-SI"/>
        </w:rPr>
        <w:t>Metformino</w:t>
      </w:r>
      <w:proofErr w:type="spellEnd"/>
      <w:r>
        <w:rPr>
          <w:szCs w:val="22"/>
          <w:lang w:eastAsia="sl-SI"/>
        </w:rPr>
        <w:t xml:space="preserve"> kartu reikia skirti atsargiai, nes padidėja laktatų </w:t>
      </w:r>
      <w:proofErr w:type="spellStart"/>
      <w:r>
        <w:rPr>
          <w:szCs w:val="22"/>
          <w:lang w:eastAsia="sl-SI"/>
        </w:rPr>
        <w:t>acidozės</w:t>
      </w:r>
      <w:proofErr w:type="spellEnd"/>
      <w:r>
        <w:rPr>
          <w:szCs w:val="22"/>
          <w:lang w:eastAsia="sl-SI"/>
        </w:rPr>
        <w:t xml:space="preserve"> rizika (dėl galimo funkcinio inkstų nepakankamumo, susijusio su </w:t>
      </w:r>
      <w:proofErr w:type="spellStart"/>
      <w:r>
        <w:rPr>
          <w:szCs w:val="22"/>
          <w:lang w:eastAsia="sl-SI"/>
        </w:rPr>
        <w:t>hidrochlorotiazido</w:t>
      </w:r>
      <w:proofErr w:type="spellEnd"/>
      <w:r>
        <w:rPr>
          <w:szCs w:val="22"/>
          <w:lang w:eastAsia="sl-SI"/>
        </w:rPr>
        <w:t xml:space="preserve"> poveikiu).</w:t>
      </w:r>
    </w:p>
    <w:p w14:paraId="1D1BE65E" w14:textId="77777777" w:rsidR="00D25008" w:rsidRDefault="00D25008">
      <w:pPr>
        <w:autoSpaceDE w:val="0"/>
        <w:autoSpaceDN w:val="0"/>
        <w:adjustRightInd w:val="0"/>
        <w:rPr>
          <w:szCs w:val="22"/>
          <w:lang w:eastAsia="sl-SI"/>
        </w:rPr>
      </w:pPr>
    </w:p>
    <w:p w14:paraId="526162B6" w14:textId="77777777" w:rsidR="00D25008" w:rsidRDefault="00FE2A61">
      <w:pPr>
        <w:autoSpaceDE w:val="0"/>
        <w:autoSpaceDN w:val="0"/>
        <w:adjustRightInd w:val="0"/>
        <w:rPr>
          <w:szCs w:val="22"/>
          <w:u w:val="single"/>
          <w:lang w:eastAsia="sl-SI"/>
        </w:rPr>
      </w:pPr>
      <w:proofErr w:type="spellStart"/>
      <w:r>
        <w:rPr>
          <w:szCs w:val="22"/>
          <w:u w:val="single"/>
          <w:lang w:eastAsia="sl-SI"/>
        </w:rPr>
        <w:t>Kolestiraminas</w:t>
      </w:r>
      <w:proofErr w:type="spellEnd"/>
      <w:r>
        <w:rPr>
          <w:szCs w:val="22"/>
          <w:u w:val="single"/>
          <w:lang w:eastAsia="sl-SI"/>
        </w:rPr>
        <w:t xml:space="preserve"> ir </w:t>
      </w:r>
      <w:proofErr w:type="spellStart"/>
      <w:r>
        <w:rPr>
          <w:szCs w:val="22"/>
          <w:u w:val="single"/>
          <w:lang w:eastAsia="sl-SI"/>
        </w:rPr>
        <w:t>kolestipolio</w:t>
      </w:r>
      <w:proofErr w:type="spellEnd"/>
      <w:r>
        <w:rPr>
          <w:szCs w:val="22"/>
          <w:u w:val="single"/>
          <w:lang w:eastAsia="sl-SI"/>
        </w:rPr>
        <w:t xml:space="preserve"> dervos</w:t>
      </w:r>
    </w:p>
    <w:p w14:paraId="7D14D3A7" w14:textId="77777777" w:rsidR="00D25008" w:rsidRDefault="00FE2A61">
      <w:pPr>
        <w:autoSpaceDE w:val="0"/>
        <w:autoSpaceDN w:val="0"/>
        <w:adjustRightInd w:val="0"/>
        <w:rPr>
          <w:szCs w:val="22"/>
          <w:lang w:eastAsia="sl-SI"/>
        </w:rPr>
      </w:pPr>
      <w:r>
        <w:rPr>
          <w:szCs w:val="22"/>
          <w:lang w:eastAsia="sl-SI"/>
        </w:rPr>
        <w:t xml:space="preserve">Vartojant anijonais pasikeičiančiųjų dervų, trikdoma </w:t>
      </w:r>
      <w:proofErr w:type="spellStart"/>
      <w:r>
        <w:rPr>
          <w:szCs w:val="22"/>
          <w:lang w:eastAsia="sl-SI"/>
        </w:rPr>
        <w:t>hidrochlorotiazido</w:t>
      </w:r>
      <w:proofErr w:type="spellEnd"/>
      <w:r>
        <w:rPr>
          <w:szCs w:val="22"/>
          <w:lang w:eastAsia="sl-SI"/>
        </w:rPr>
        <w:t xml:space="preserve"> absorbcija.</w:t>
      </w:r>
    </w:p>
    <w:p w14:paraId="2308B152" w14:textId="77777777" w:rsidR="00D25008" w:rsidRDefault="00D25008">
      <w:pPr>
        <w:autoSpaceDE w:val="0"/>
        <w:autoSpaceDN w:val="0"/>
        <w:adjustRightInd w:val="0"/>
        <w:rPr>
          <w:szCs w:val="22"/>
          <w:lang w:eastAsia="sl-SI"/>
        </w:rPr>
      </w:pPr>
    </w:p>
    <w:p w14:paraId="1F874FD0" w14:textId="77777777" w:rsidR="00D25008" w:rsidRDefault="00FE2A61">
      <w:pPr>
        <w:autoSpaceDE w:val="0"/>
        <w:autoSpaceDN w:val="0"/>
        <w:adjustRightInd w:val="0"/>
        <w:rPr>
          <w:szCs w:val="22"/>
          <w:lang w:eastAsia="sl-SI"/>
        </w:rPr>
      </w:pPr>
      <w:r>
        <w:rPr>
          <w:szCs w:val="22"/>
          <w:u w:val="single"/>
          <w:lang w:eastAsia="sl-SI"/>
        </w:rPr>
        <w:t>Nesteroidiniai vaistiniai preparatai nuo uždegimo (NVPNU)</w:t>
      </w:r>
    </w:p>
    <w:p w14:paraId="250D9ACF" w14:textId="6B4A3E53" w:rsidR="00D25008" w:rsidRDefault="00FE2A61">
      <w:pPr>
        <w:autoSpaceDE w:val="0"/>
        <w:autoSpaceDN w:val="0"/>
        <w:adjustRightInd w:val="0"/>
        <w:rPr>
          <w:szCs w:val="22"/>
          <w:lang w:eastAsia="sl-SI"/>
        </w:rPr>
      </w:pPr>
      <w:r>
        <w:rPr>
          <w:szCs w:val="22"/>
          <w:lang w:eastAsia="sl-SI"/>
        </w:rPr>
        <w:t xml:space="preserve">NVPNU (t. y. </w:t>
      </w:r>
      <w:proofErr w:type="spellStart"/>
      <w:r>
        <w:rPr>
          <w:szCs w:val="22"/>
          <w:lang w:eastAsia="sl-SI"/>
        </w:rPr>
        <w:t>acetilsalicilo</w:t>
      </w:r>
      <w:proofErr w:type="spellEnd"/>
      <w:r>
        <w:rPr>
          <w:szCs w:val="22"/>
          <w:lang w:eastAsia="sl-SI"/>
        </w:rPr>
        <w:t xml:space="preserve"> rūgštis uždegimą slopinančiomis dozėmis, COX-2 inhibitoriai ir neselektyvūs NVPNU) gali susilpninti </w:t>
      </w:r>
      <w:proofErr w:type="spellStart"/>
      <w:r>
        <w:rPr>
          <w:szCs w:val="22"/>
          <w:lang w:eastAsia="sl-SI"/>
        </w:rPr>
        <w:t>tiazidų</w:t>
      </w:r>
      <w:proofErr w:type="spellEnd"/>
      <w:r>
        <w:rPr>
          <w:szCs w:val="22"/>
          <w:lang w:eastAsia="sl-SI"/>
        </w:rPr>
        <w:t xml:space="preserve"> grupės diuretikų šlapimo išsiskyrimą skatinantį, natrio išsiskyrimą skatinantį ir </w:t>
      </w:r>
      <w:proofErr w:type="spellStart"/>
      <w:r>
        <w:rPr>
          <w:szCs w:val="22"/>
          <w:lang w:eastAsia="sl-SI"/>
        </w:rPr>
        <w:t>antihipertenzinį</w:t>
      </w:r>
      <w:proofErr w:type="spellEnd"/>
      <w:r>
        <w:rPr>
          <w:szCs w:val="22"/>
          <w:lang w:eastAsia="sl-SI"/>
        </w:rPr>
        <w:t xml:space="preserve"> poveikį bei </w:t>
      </w:r>
      <w:proofErr w:type="spellStart"/>
      <w:r>
        <w:rPr>
          <w:szCs w:val="22"/>
          <w:lang w:eastAsia="sl-SI"/>
        </w:rPr>
        <w:t>angiotenzino</w:t>
      </w:r>
      <w:proofErr w:type="spellEnd"/>
      <w:r>
        <w:rPr>
          <w:szCs w:val="22"/>
          <w:lang w:eastAsia="sl-SI"/>
        </w:rPr>
        <w:t xml:space="preserve"> II receptorių </w:t>
      </w:r>
      <w:r w:rsidR="001C4737">
        <w:rPr>
          <w:szCs w:val="22"/>
          <w:lang w:eastAsia="sl-SI"/>
        </w:rPr>
        <w:t>blokatorių</w:t>
      </w:r>
      <w:r>
        <w:rPr>
          <w:szCs w:val="22"/>
          <w:lang w:eastAsia="sl-SI"/>
        </w:rPr>
        <w:t xml:space="preserve"> </w:t>
      </w:r>
      <w:proofErr w:type="spellStart"/>
      <w:r>
        <w:rPr>
          <w:szCs w:val="22"/>
          <w:lang w:eastAsia="sl-SI"/>
        </w:rPr>
        <w:t>antihipertenzinį</w:t>
      </w:r>
      <w:proofErr w:type="spellEnd"/>
      <w:r>
        <w:rPr>
          <w:szCs w:val="22"/>
          <w:lang w:eastAsia="sl-SI"/>
        </w:rPr>
        <w:t xml:space="preserve"> poveikį.</w:t>
      </w:r>
    </w:p>
    <w:p w14:paraId="15F8AC2D" w14:textId="1A45E31A" w:rsidR="00D25008" w:rsidRDefault="00FE2A61">
      <w:pPr>
        <w:autoSpaceDE w:val="0"/>
        <w:autoSpaceDN w:val="0"/>
        <w:adjustRightInd w:val="0"/>
        <w:rPr>
          <w:szCs w:val="22"/>
          <w:lang w:eastAsia="sl-SI"/>
        </w:rPr>
      </w:pPr>
      <w:r>
        <w:rPr>
          <w:szCs w:val="22"/>
          <w:lang w:eastAsia="sl-SI"/>
        </w:rPr>
        <w:t xml:space="preserve">Kai kuriems pacientams, kurių inkstų funkcija susilpnėjusi (pvz., </w:t>
      </w:r>
      <w:proofErr w:type="spellStart"/>
      <w:r>
        <w:rPr>
          <w:szCs w:val="22"/>
          <w:lang w:eastAsia="sl-SI"/>
        </w:rPr>
        <w:t>dehidruotiems</w:t>
      </w:r>
      <w:proofErr w:type="spellEnd"/>
      <w:r>
        <w:rPr>
          <w:szCs w:val="22"/>
          <w:lang w:eastAsia="sl-SI"/>
        </w:rPr>
        <w:t xml:space="preserve"> pacientams, senyviems žmonėms, kurių inkstų funkcija susilpnėjusi), kartu su </w:t>
      </w:r>
      <w:proofErr w:type="spellStart"/>
      <w:r>
        <w:rPr>
          <w:szCs w:val="22"/>
          <w:lang w:eastAsia="sl-SI"/>
        </w:rPr>
        <w:t>angiotenzino</w:t>
      </w:r>
      <w:proofErr w:type="spellEnd"/>
      <w:r>
        <w:rPr>
          <w:szCs w:val="22"/>
          <w:lang w:eastAsia="sl-SI"/>
        </w:rPr>
        <w:t xml:space="preserve"> II receptorių </w:t>
      </w:r>
      <w:r w:rsidR="001C4737">
        <w:rPr>
          <w:szCs w:val="22"/>
          <w:lang w:eastAsia="sl-SI"/>
        </w:rPr>
        <w:t>blokatoriais</w:t>
      </w:r>
      <w:r>
        <w:rPr>
          <w:szCs w:val="22"/>
          <w:lang w:eastAsia="sl-SI"/>
        </w:rPr>
        <w:t xml:space="preserve"> vartojant </w:t>
      </w:r>
      <w:proofErr w:type="spellStart"/>
      <w:r>
        <w:rPr>
          <w:szCs w:val="22"/>
          <w:lang w:eastAsia="sl-SI"/>
        </w:rPr>
        <w:t>ciklooksigenazę</w:t>
      </w:r>
      <w:proofErr w:type="spellEnd"/>
      <w:r>
        <w:rPr>
          <w:szCs w:val="22"/>
          <w:lang w:eastAsia="sl-SI"/>
        </w:rPr>
        <w:t xml:space="preserve"> slopinančių vaistinių preparatų, inkstų funkcija gali dar labiau pablogėti, net gali atsirasti ūminis inkstų nepakankamumas, kuris paprastai būna laikinas. Todėl šį derinį reikia skirti atsargiai, ypač senyviems pacientams. Pacientams reikia skirti pakankamai skysčių ir apsvarstyti inkstų funkcijos stebėjimą pradėjus gydyti šiuo deriniu ir periodiškai gydymo metu.</w:t>
      </w:r>
    </w:p>
    <w:p w14:paraId="7FF1FDEE" w14:textId="77777777" w:rsidR="00D25008" w:rsidRDefault="00D25008">
      <w:pPr>
        <w:autoSpaceDE w:val="0"/>
        <w:autoSpaceDN w:val="0"/>
        <w:adjustRightInd w:val="0"/>
        <w:rPr>
          <w:szCs w:val="22"/>
          <w:lang w:eastAsia="sl-SI"/>
        </w:rPr>
      </w:pPr>
    </w:p>
    <w:p w14:paraId="01A78D86" w14:textId="77777777" w:rsidR="00D25008" w:rsidRDefault="00FE2A61">
      <w:pPr>
        <w:autoSpaceDE w:val="0"/>
        <w:autoSpaceDN w:val="0"/>
        <w:adjustRightInd w:val="0"/>
        <w:rPr>
          <w:szCs w:val="22"/>
          <w:lang w:eastAsia="sl-SI"/>
        </w:rPr>
      </w:pPr>
      <w:r>
        <w:rPr>
          <w:szCs w:val="22"/>
          <w:lang w:eastAsia="sl-SI"/>
        </w:rPr>
        <w:t xml:space="preserve">Vieno tyrimo metu </w:t>
      </w:r>
      <w:proofErr w:type="spellStart"/>
      <w:r>
        <w:rPr>
          <w:szCs w:val="22"/>
          <w:lang w:eastAsia="sl-SI"/>
        </w:rPr>
        <w:t>telmisartano</w:t>
      </w:r>
      <w:proofErr w:type="spellEnd"/>
      <w:r>
        <w:rPr>
          <w:szCs w:val="22"/>
          <w:lang w:eastAsia="sl-SI"/>
        </w:rPr>
        <w:t xml:space="preserve"> vartojimas kartu su </w:t>
      </w:r>
      <w:proofErr w:type="spellStart"/>
      <w:r>
        <w:rPr>
          <w:szCs w:val="22"/>
          <w:lang w:eastAsia="sl-SI"/>
        </w:rPr>
        <w:t>ramipriliu</w:t>
      </w:r>
      <w:proofErr w:type="spellEnd"/>
      <w:r>
        <w:rPr>
          <w:szCs w:val="22"/>
          <w:lang w:eastAsia="sl-SI"/>
        </w:rPr>
        <w:t xml:space="preserve"> lėmė </w:t>
      </w:r>
      <w:proofErr w:type="spellStart"/>
      <w:r>
        <w:rPr>
          <w:szCs w:val="22"/>
          <w:lang w:eastAsia="sl-SI"/>
        </w:rPr>
        <w:t>ramiprilio</w:t>
      </w:r>
      <w:proofErr w:type="spellEnd"/>
      <w:r>
        <w:rPr>
          <w:szCs w:val="22"/>
          <w:lang w:eastAsia="sl-SI"/>
        </w:rPr>
        <w:t xml:space="preserve"> ir </w:t>
      </w:r>
      <w:proofErr w:type="spellStart"/>
      <w:r>
        <w:rPr>
          <w:szCs w:val="22"/>
          <w:lang w:eastAsia="sl-SI"/>
        </w:rPr>
        <w:t>ramiprilato</w:t>
      </w:r>
      <w:proofErr w:type="spellEnd"/>
      <w:r>
        <w:rPr>
          <w:szCs w:val="22"/>
          <w:lang w:eastAsia="sl-SI"/>
        </w:rPr>
        <w:t xml:space="preserve"> AUC</w:t>
      </w:r>
      <w:r>
        <w:rPr>
          <w:szCs w:val="22"/>
          <w:vertAlign w:val="subscript"/>
          <w:lang w:eastAsia="sl-SI"/>
        </w:rPr>
        <w:t xml:space="preserve">0-24 </w:t>
      </w:r>
      <w:r>
        <w:rPr>
          <w:szCs w:val="22"/>
          <w:lang w:eastAsia="sl-SI"/>
        </w:rPr>
        <w:t xml:space="preserve">ir </w:t>
      </w:r>
      <w:proofErr w:type="spellStart"/>
      <w:r>
        <w:rPr>
          <w:szCs w:val="22"/>
          <w:lang w:eastAsia="sl-SI"/>
        </w:rPr>
        <w:t>C</w:t>
      </w:r>
      <w:r>
        <w:rPr>
          <w:szCs w:val="22"/>
          <w:vertAlign w:val="subscript"/>
          <w:lang w:eastAsia="sl-SI"/>
        </w:rPr>
        <w:t>max</w:t>
      </w:r>
      <w:proofErr w:type="spellEnd"/>
      <w:r>
        <w:rPr>
          <w:szCs w:val="22"/>
          <w:lang w:eastAsia="sl-SI"/>
        </w:rPr>
        <w:t xml:space="preserve"> padidėjimą iki 2,5 karto. Klinikinė tokio poveikio reikšmė nėra žinoma.</w:t>
      </w:r>
    </w:p>
    <w:p w14:paraId="13ECFD1D" w14:textId="77777777" w:rsidR="00D25008" w:rsidRDefault="00D25008">
      <w:pPr>
        <w:autoSpaceDE w:val="0"/>
        <w:autoSpaceDN w:val="0"/>
        <w:adjustRightInd w:val="0"/>
        <w:rPr>
          <w:szCs w:val="22"/>
          <w:lang w:eastAsia="sl-SI"/>
        </w:rPr>
      </w:pPr>
    </w:p>
    <w:p w14:paraId="05B6F431" w14:textId="77777777" w:rsidR="00D25008" w:rsidRDefault="00FE2A61">
      <w:pPr>
        <w:autoSpaceDE w:val="0"/>
        <w:autoSpaceDN w:val="0"/>
        <w:adjustRightInd w:val="0"/>
        <w:rPr>
          <w:szCs w:val="22"/>
          <w:u w:val="single"/>
          <w:lang w:eastAsia="sl-SI"/>
        </w:rPr>
      </w:pPr>
      <w:r>
        <w:rPr>
          <w:szCs w:val="22"/>
          <w:u w:val="single"/>
          <w:lang w:eastAsia="sl-SI"/>
        </w:rPr>
        <w:t xml:space="preserve">Kraujagysles sutraukiantys aminai (pvz., </w:t>
      </w:r>
      <w:proofErr w:type="spellStart"/>
      <w:r>
        <w:rPr>
          <w:szCs w:val="22"/>
          <w:u w:val="single"/>
          <w:lang w:eastAsia="sl-SI"/>
        </w:rPr>
        <w:t>noradrenalinas</w:t>
      </w:r>
      <w:proofErr w:type="spellEnd"/>
      <w:r>
        <w:rPr>
          <w:szCs w:val="22"/>
          <w:u w:val="single"/>
          <w:lang w:eastAsia="sl-SI"/>
        </w:rPr>
        <w:t>)</w:t>
      </w:r>
    </w:p>
    <w:p w14:paraId="56C2B2AF" w14:textId="77777777" w:rsidR="00D25008" w:rsidRDefault="00FE2A61">
      <w:pPr>
        <w:autoSpaceDE w:val="0"/>
        <w:autoSpaceDN w:val="0"/>
        <w:adjustRightInd w:val="0"/>
        <w:rPr>
          <w:szCs w:val="22"/>
          <w:lang w:eastAsia="sl-SI"/>
        </w:rPr>
      </w:pPr>
      <w:r>
        <w:rPr>
          <w:szCs w:val="22"/>
          <w:lang w:eastAsia="sl-SI"/>
        </w:rPr>
        <w:t>Kraujagysles sutraukiančių aminų poveikis gali susilpnėti.</w:t>
      </w:r>
    </w:p>
    <w:p w14:paraId="064DD296" w14:textId="77777777" w:rsidR="00D25008" w:rsidRDefault="00D25008">
      <w:pPr>
        <w:autoSpaceDE w:val="0"/>
        <w:autoSpaceDN w:val="0"/>
        <w:adjustRightInd w:val="0"/>
        <w:rPr>
          <w:szCs w:val="22"/>
          <w:lang w:eastAsia="sl-SI"/>
        </w:rPr>
      </w:pPr>
    </w:p>
    <w:p w14:paraId="7294689B" w14:textId="77777777" w:rsidR="00D25008" w:rsidRDefault="00FE2A61">
      <w:pPr>
        <w:autoSpaceDE w:val="0"/>
        <w:autoSpaceDN w:val="0"/>
        <w:adjustRightInd w:val="0"/>
        <w:rPr>
          <w:szCs w:val="22"/>
          <w:u w:val="single"/>
          <w:lang w:eastAsia="sl-SI"/>
        </w:rPr>
      </w:pPr>
      <w:proofErr w:type="spellStart"/>
      <w:r>
        <w:rPr>
          <w:szCs w:val="22"/>
          <w:u w:val="single"/>
          <w:lang w:eastAsia="sl-SI"/>
        </w:rPr>
        <w:t>Nedepoliarizuojamieji</w:t>
      </w:r>
      <w:proofErr w:type="spellEnd"/>
      <w:r>
        <w:rPr>
          <w:szCs w:val="22"/>
          <w:u w:val="single"/>
          <w:lang w:eastAsia="sl-SI"/>
        </w:rPr>
        <w:t xml:space="preserve"> </w:t>
      </w:r>
      <w:proofErr w:type="spellStart"/>
      <w:r>
        <w:rPr>
          <w:szCs w:val="22"/>
          <w:u w:val="single"/>
          <w:lang w:eastAsia="sl-SI"/>
        </w:rPr>
        <w:t>miorelaksantai</w:t>
      </w:r>
      <w:proofErr w:type="spellEnd"/>
      <w:r>
        <w:rPr>
          <w:szCs w:val="22"/>
          <w:u w:val="single"/>
          <w:lang w:eastAsia="sl-SI"/>
        </w:rPr>
        <w:t xml:space="preserve"> (pvz., </w:t>
      </w:r>
      <w:proofErr w:type="spellStart"/>
      <w:r>
        <w:rPr>
          <w:szCs w:val="22"/>
          <w:u w:val="single"/>
          <w:lang w:eastAsia="sl-SI"/>
        </w:rPr>
        <w:t>tubokurarinas</w:t>
      </w:r>
      <w:proofErr w:type="spellEnd"/>
      <w:r>
        <w:rPr>
          <w:szCs w:val="22"/>
          <w:u w:val="single"/>
          <w:lang w:eastAsia="sl-SI"/>
        </w:rPr>
        <w:t>)</w:t>
      </w:r>
    </w:p>
    <w:p w14:paraId="427DF147" w14:textId="77777777" w:rsidR="00D25008" w:rsidRDefault="00FE2A61">
      <w:pPr>
        <w:autoSpaceDE w:val="0"/>
        <w:autoSpaceDN w:val="0"/>
        <w:adjustRightInd w:val="0"/>
        <w:rPr>
          <w:szCs w:val="22"/>
          <w:lang w:eastAsia="sl-SI"/>
        </w:rPr>
      </w:pPr>
      <w:proofErr w:type="spellStart"/>
      <w:r>
        <w:rPr>
          <w:szCs w:val="22"/>
          <w:lang w:eastAsia="sl-SI"/>
        </w:rPr>
        <w:t>Hidrochlorotiazidas</w:t>
      </w:r>
      <w:proofErr w:type="spellEnd"/>
      <w:r>
        <w:rPr>
          <w:szCs w:val="22"/>
          <w:lang w:eastAsia="sl-SI"/>
        </w:rPr>
        <w:t xml:space="preserve"> gali sustiprinti </w:t>
      </w:r>
      <w:proofErr w:type="spellStart"/>
      <w:r>
        <w:rPr>
          <w:szCs w:val="22"/>
          <w:lang w:eastAsia="sl-SI"/>
        </w:rPr>
        <w:t>nedepoliarizuojamųjų</w:t>
      </w:r>
      <w:proofErr w:type="spellEnd"/>
      <w:r>
        <w:rPr>
          <w:szCs w:val="22"/>
          <w:lang w:eastAsia="sl-SI"/>
        </w:rPr>
        <w:t xml:space="preserve"> </w:t>
      </w:r>
      <w:proofErr w:type="spellStart"/>
      <w:r>
        <w:rPr>
          <w:szCs w:val="22"/>
          <w:lang w:eastAsia="sl-SI"/>
        </w:rPr>
        <w:t>miorelaksantų</w:t>
      </w:r>
      <w:proofErr w:type="spellEnd"/>
      <w:r>
        <w:rPr>
          <w:szCs w:val="22"/>
          <w:lang w:eastAsia="sl-SI"/>
        </w:rPr>
        <w:t xml:space="preserve"> poveikį.</w:t>
      </w:r>
    </w:p>
    <w:p w14:paraId="749E0B14" w14:textId="77777777" w:rsidR="00D25008" w:rsidRDefault="00D25008">
      <w:pPr>
        <w:autoSpaceDE w:val="0"/>
        <w:autoSpaceDN w:val="0"/>
        <w:adjustRightInd w:val="0"/>
        <w:rPr>
          <w:szCs w:val="22"/>
          <w:lang w:eastAsia="sl-SI"/>
        </w:rPr>
      </w:pPr>
    </w:p>
    <w:p w14:paraId="6E1BF9BF" w14:textId="77777777" w:rsidR="00D25008" w:rsidRDefault="00FE2A61">
      <w:pPr>
        <w:autoSpaceDE w:val="0"/>
        <w:autoSpaceDN w:val="0"/>
        <w:adjustRightInd w:val="0"/>
        <w:rPr>
          <w:szCs w:val="22"/>
          <w:u w:val="single"/>
          <w:lang w:eastAsia="sl-SI"/>
        </w:rPr>
      </w:pPr>
      <w:r>
        <w:rPr>
          <w:szCs w:val="22"/>
          <w:u w:val="single"/>
          <w:lang w:eastAsia="sl-SI"/>
        </w:rPr>
        <w:t xml:space="preserve">Vaistiniai preparatai podagrai gydyti (pvz., </w:t>
      </w:r>
      <w:proofErr w:type="spellStart"/>
      <w:r>
        <w:rPr>
          <w:szCs w:val="22"/>
          <w:u w:val="single"/>
          <w:lang w:eastAsia="sl-SI"/>
        </w:rPr>
        <w:t>probenecidas</w:t>
      </w:r>
      <w:proofErr w:type="spellEnd"/>
      <w:r>
        <w:rPr>
          <w:szCs w:val="22"/>
          <w:u w:val="single"/>
          <w:lang w:eastAsia="sl-SI"/>
        </w:rPr>
        <w:t xml:space="preserve">, </w:t>
      </w:r>
      <w:proofErr w:type="spellStart"/>
      <w:r>
        <w:rPr>
          <w:szCs w:val="22"/>
          <w:u w:val="single"/>
          <w:lang w:eastAsia="sl-SI"/>
        </w:rPr>
        <w:t>sulfinpirazonas</w:t>
      </w:r>
      <w:proofErr w:type="spellEnd"/>
      <w:r>
        <w:rPr>
          <w:szCs w:val="22"/>
          <w:u w:val="single"/>
          <w:lang w:eastAsia="sl-SI"/>
        </w:rPr>
        <w:t xml:space="preserve">, </w:t>
      </w:r>
      <w:proofErr w:type="spellStart"/>
      <w:r>
        <w:rPr>
          <w:szCs w:val="22"/>
          <w:u w:val="single"/>
          <w:lang w:eastAsia="sl-SI"/>
        </w:rPr>
        <w:t>alopurinolis</w:t>
      </w:r>
      <w:proofErr w:type="spellEnd"/>
      <w:r>
        <w:rPr>
          <w:szCs w:val="22"/>
          <w:u w:val="single"/>
          <w:lang w:eastAsia="sl-SI"/>
        </w:rPr>
        <w:t>)</w:t>
      </w:r>
    </w:p>
    <w:p w14:paraId="4248FB6A" w14:textId="77777777" w:rsidR="00D25008" w:rsidRDefault="00FE2A61">
      <w:pPr>
        <w:autoSpaceDE w:val="0"/>
        <w:autoSpaceDN w:val="0"/>
        <w:adjustRightInd w:val="0"/>
        <w:rPr>
          <w:szCs w:val="22"/>
          <w:lang w:eastAsia="sl-SI"/>
        </w:rPr>
      </w:pPr>
      <w:proofErr w:type="spellStart"/>
      <w:r>
        <w:rPr>
          <w:szCs w:val="22"/>
          <w:lang w:eastAsia="sl-SI"/>
        </w:rPr>
        <w:t>Hidrochlorotiazidas</w:t>
      </w:r>
      <w:proofErr w:type="spellEnd"/>
      <w:r>
        <w:rPr>
          <w:szCs w:val="22"/>
          <w:lang w:eastAsia="sl-SI"/>
        </w:rPr>
        <w:t xml:space="preserve"> gali padidinti šlapimo rūgšties koncentraciją kraujo serume, todėl gali prireikti koreguoti šlapimo rūgšties išsiskyrimą su šlapimu didinančių vaistinių preparatų dozę. Gali reikėti padidinti </w:t>
      </w:r>
      <w:proofErr w:type="spellStart"/>
      <w:r>
        <w:rPr>
          <w:szCs w:val="22"/>
          <w:lang w:eastAsia="sl-SI"/>
        </w:rPr>
        <w:t>probenecido</w:t>
      </w:r>
      <w:proofErr w:type="spellEnd"/>
      <w:r>
        <w:rPr>
          <w:szCs w:val="22"/>
          <w:lang w:eastAsia="sl-SI"/>
        </w:rPr>
        <w:t xml:space="preserve"> arba </w:t>
      </w:r>
      <w:proofErr w:type="spellStart"/>
      <w:r>
        <w:rPr>
          <w:szCs w:val="22"/>
          <w:lang w:eastAsia="sl-SI"/>
        </w:rPr>
        <w:t>sulfinpirazono</w:t>
      </w:r>
      <w:proofErr w:type="spellEnd"/>
      <w:r>
        <w:rPr>
          <w:szCs w:val="22"/>
          <w:lang w:eastAsia="sl-SI"/>
        </w:rPr>
        <w:t xml:space="preserve"> dozę. Kartu vartojami </w:t>
      </w:r>
      <w:proofErr w:type="spellStart"/>
      <w:r>
        <w:rPr>
          <w:szCs w:val="22"/>
          <w:lang w:eastAsia="sl-SI"/>
        </w:rPr>
        <w:t>tiazidai</w:t>
      </w:r>
      <w:proofErr w:type="spellEnd"/>
      <w:r>
        <w:rPr>
          <w:szCs w:val="22"/>
          <w:lang w:eastAsia="sl-SI"/>
        </w:rPr>
        <w:t xml:space="preserve"> gali didinti alerginių reakcijų į </w:t>
      </w:r>
      <w:proofErr w:type="spellStart"/>
      <w:r>
        <w:rPr>
          <w:szCs w:val="22"/>
          <w:lang w:eastAsia="sl-SI"/>
        </w:rPr>
        <w:t>alopurinolį</w:t>
      </w:r>
      <w:proofErr w:type="spellEnd"/>
      <w:r>
        <w:rPr>
          <w:szCs w:val="22"/>
          <w:lang w:eastAsia="sl-SI"/>
        </w:rPr>
        <w:t xml:space="preserve"> dažnumą.</w:t>
      </w:r>
    </w:p>
    <w:p w14:paraId="04E1E20F" w14:textId="77777777" w:rsidR="00D25008" w:rsidRDefault="00D25008">
      <w:pPr>
        <w:autoSpaceDE w:val="0"/>
        <w:autoSpaceDN w:val="0"/>
        <w:adjustRightInd w:val="0"/>
        <w:rPr>
          <w:szCs w:val="22"/>
          <w:lang w:eastAsia="sl-SI"/>
        </w:rPr>
      </w:pPr>
    </w:p>
    <w:p w14:paraId="68AA170A" w14:textId="77777777" w:rsidR="00D25008" w:rsidRDefault="00FE2A61">
      <w:pPr>
        <w:autoSpaceDE w:val="0"/>
        <w:autoSpaceDN w:val="0"/>
        <w:adjustRightInd w:val="0"/>
        <w:rPr>
          <w:szCs w:val="22"/>
          <w:u w:val="single"/>
          <w:lang w:eastAsia="sl-SI"/>
        </w:rPr>
      </w:pPr>
      <w:r>
        <w:rPr>
          <w:szCs w:val="22"/>
          <w:u w:val="single"/>
          <w:lang w:eastAsia="sl-SI"/>
        </w:rPr>
        <w:t>Kalcio druskos</w:t>
      </w:r>
    </w:p>
    <w:p w14:paraId="6042C04F" w14:textId="77777777" w:rsidR="00D25008" w:rsidRDefault="00FE2A61">
      <w:pPr>
        <w:autoSpaceDE w:val="0"/>
        <w:autoSpaceDN w:val="0"/>
        <w:adjustRightInd w:val="0"/>
        <w:rPr>
          <w:szCs w:val="22"/>
          <w:lang w:eastAsia="sl-SI"/>
        </w:rPr>
      </w:pPr>
      <w:proofErr w:type="spellStart"/>
      <w:r>
        <w:rPr>
          <w:szCs w:val="22"/>
          <w:lang w:eastAsia="sl-SI"/>
        </w:rPr>
        <w:t>Tiazidų</w:t>
      </w:r>
      <w:proofErr w:type="spellEnd"/>
      <w:r>
        <w:rPr>
          <w:szCs w:val="22"/>
          <w:lang w:eastAsia="sl-SI"/>
        </w:rPr>
        <w:t xml:space="preserve"> grupės diuretikai gali padidinti kalcio koncentraciją kraujo serume dėl sumažėjusio išsiskyrimo. Jei pacientui kalcio papildų ar kalcį organizme sulaikančių vaistinių preparatų (pvz., taikant gydymą vitaminu D) vartoti būtina, reikia stebėti kalcio koncentraciją kraujo serume ir atitinkamai koreguoti kalcio dozę.</w:t>
      </w:r>
    </w:p>
    <w:p w14:paraId="7BD88331" w14:textId="77777777" w:rsidR="00D25008" w:rsidRDefault="00D25008">
      <w:pPr>
        <w:autoSpaceDE w:val="0"/>
        <w:autoSpaceDN w:val="0"/>
        <w:adjustRightInd w:val="0"/>
        <w:rPr>
          <w:szCs w:val="22"/>
          <w:lang w:eastAsia="sl-SI"/>
        </w:rPr>
      </w:pPr>
    </w:p>
    <w:p w14:paraId="3C2DEF9A" w14:textId="77777777" w:rsidR="00D25008" w:rsidRDefault="00FE2A61">
      <w:pPr>
        <w:autoSpaceDE w:val="0"/>
        <w:autoSpaceDN w:val="0"/>
        <w:adjustRightInd w:val="0"/>
        <w:rPr>
          <w:szCs w:val="22"/>
          <w:u w:val="single"/>
          <w:lang w:eastAsia="sl-SI"/>
        </w:rPr>
      </w:pPr>
      <w:r>
        <w:rPr>
          <w:szCs w:val="22"/>
          <w:u w:val="single"/>
          <w:lang w:eastAsia="sl-SI"/>
        </w:rPr>
        <w:t xml:space="preserve">Beta </w:t>
      </w:r>
      <w:proofErr w:type="spellStart"/>
      <w:r>
        <w:rPr>
          <w:szCs w:val="22"/>
          <w:u w:val="single"/>
          <w:lang w:eastAsia="sl-SI"/>
        </w:rPr>
        <w:t>adrenoblokatoriai</w:t>
      </w:r>
      <w:proofErr w:type="spellEnd"/>
      <w:r>
        <w:rPr>
          <w:szCs w:val="22"/>
          <w:u w:val="single"/>
          <w:lang w:eastAsia="sl-SI"/>
        </w:rPr>
        <w:t xml:space="preserve"> ir </w:t>
      </w:r>
      <w:proofErr w:type="spellStart"/>
      <w:r>
        <w:rPr>
          <w:szCs w:val="22"/>
          <w:u w:val="single"/>
          <w:lang w:eastAsia="sl-SI"/>
        </w:rPr>
        <w:t>diazoksidas</w:t>
      </w:r>
      <w:proofErr w:type="spellEnd"/>
    </w:p>
    <w:p w14:paraId="494DCA13" w14:textId="77777777" w:rsidR="00D25008" w:rsidRDefault="00FE2A61">
      <w:pPr>
        <w:autoSpaceDE w:val="0"/>
        <w:autoSpaceDN w:val="0"/>
        <w:adjustRightInd w:val="0"/>
        <w:rPr>
          <w:szCs w:val="22"/>
          <w:lang w:eastAsia="sl-SI"/>
        </w:rPr>
      </w:pPr>
      <w:proofErr w:type="spellStart"/>
      <w:r>
        <w:rPr>
          <w:szCs w:val="22"/>
          <w:lang w:eastAsia="sl-SI"/>
        </w:rPr>
        <w:t>Tiazidai</w:t>
      </w:r>
      <w:proofErr w:type="spellEnd"/>
      <w:r>
        <w:rPr>
          <w:szCs w:val="22"/>
          <w:lang w:eastAsia="sl-SI"/>
        </w:rPr>
        <w:t xml:space="preserve"> gali sustiprinti beta </w:t>
      </w:r>
      <w:proofErr w:type="spellStart"/>
      <w:r>
        <w:rPr>
          <w:szCs w:val="22"/>
          <w:lang w:eastAsia="sl-SI"/>
        </w:rPr>
        <w:t>adrenoblokatorių</w:t>
      </w:r>
      <w:proofErr w:type="spellEnd"/>
      <w:r>
        <w:rPr>
          <w:szCs w:val="22"/>
          <w:lang w:eastAsia="sl-SI"/>
        </w:rPr>
        <w:t xml:space="preserve"> ir </w:t>
      </w:r>
      <w:proofErr w:type="spellStart"/>
      <w:r>
        <w:rPr>
          <w:szCs w:val="22"/>
          <w:lang w:eastAsia="sl-SI"/>
        </w:rPr>
        <w:t>diazoksido</w:t>
      </w:r>
      <w:proofErr w:type="spellEnd"/>
      <w:r>
        <w:rPr>
          <w:szCs w:val="22"/>
          <w:lang w:eastAsia="sl-SI"/>
        </w:rPr>
        <w:t xml:space="preserve"> </w:t>
      </w:r>
      <w:proofErr w:type="spellStart"/>
      <w:r>
        <w:rPr>
          <w:szCs w:val="22"/>
          <w:lang w:eastAsia="sl-SI"/>
        </w:rPr>
        <w:t>glikemiją</w:t>
      </w:r>
      <w:proofErr w:type="spellEnd"/>
      <w:r>
        <w:rPr>
          <w:szCs w:val="22"/>
          <w:lang w:eastAsia="sl-SI"/>
        </w:rPr>
        <w:t xml:space="preserve"> didinantį poveikį.</w:t>
      </w:r>
    </w:p>
    <w:p w14:paraId="484E20A8" w14:textId="77777777" w:rsidR="00D25008" w:rsidRDefault="00D25008">
      <w:pPr>
        <w:autoSpaceDE w:val="0"/>
        <w:autoSpaceDN w:val="0"/>
        <w:adjustRightInd w:val="0"/>
        <w:rPr>
          <w:szCs w:val="22"/>
          <w:lang w:eastAsia="sl-SI"/>
        </w:rPr>
      </w:pPr>
    </w:p>
    <w:p w14:paraId="78479A21" w14:textId="77777777" w:rsidR="00D25008" w:rsidRDefault="00FE2A61">
      <w:pPr>
        <w:autoSpaceDE w:val="0"/>
        <w:autoSpaceDN w:val="0"/>
        <w:adjustRightInd w:val="0"/>
        <w:rPr>
          <w:szCs w:val="22"/>
          <w:lang w:eastAsia="sl-SI"/>
        </w:rPr>
      </w:pPr>
      <w:proofErr w:type="spellStart"/>
      <w:r>
        <w:rPr>
          <w:szCs w:val="22"/>
          <w:u w:val="single"/>
          <w:lang w:eastAsia="sl-SI"/>
        </w:rPr>
        <w:t>Anticholinerginiai</w:t>
      </w:r>
      <w:proofErr w:type="spellEnd"/>
      <w:r>
        <w:rPr>
          <w:szCs w:val="22"/>
          <w:u w:val="single"/>
          <w:lang w:eastAsia="sl-SI"/>
        </w:rPr>
        <w:t xml:space="preserve"> vaistiniai preparatai</w:t>
      </w:r>
      <w:r>
        <w:rPr>
          <w:szCs w:val="22"/>
          <w:lang w:eastAsia="sl-SI"/>
        </w:rPr>
        <w:t xml:space="preserve"> (pvz., atropinas, </w:t>
      </w:r>
      <w:proofErr w:type="spellStart"/>
      <w:r>
        <w:rPr>
          <w:szCs w:val="22"/>
          <w:lang w:eastAsia="sl-SI"/>
        </w:rPr>
        <w:t>biperidenas</w:t>
      </w:r>
      <w:proofErr w:type="spellEnd"/>
      <w:r>
        <w:rPr>
          <w:szCs w:val="22"/>
          <w:lang w:eastAsia="sl-SI"/>
        </w:rPr>
        <w:t xml:space="preserve">) gali didinti </w:t>
      </w:r>
      <w:proofErr w:type="spellStart"/>
      <w:r>
        <w:rPr>
          <w:szCs w:val="22"/>
          <w:lang w:eastAsia="sl-SI"/>
        </w:rPr>
        <w:t>tiazidų</w:t>
      </w:r>
      <w:proofErr w:type="spellEnd"/>
      <w:r>
        <w:rPr>
          <w:szCs w:val="22"/>
          <w:lang w:eastAsia="sl-SI"/>
        </w:rPr>
        <w:t xml:space="preserve"> grupės diuretikų biologinį prieinamumą, nes sumažėja skrandžio ir žarnų motorika ir skrandžio ištuštinimo greitis.</w:t>
      </w:r>
    </w:p>
    <w:p w14:paraId="6DF0E0AB" w14:textId="77777777" w:rsidR="00D25008" w:rsidRDefault="00D25008">
      <w:pPr>
        <w:autoSpaceDE w:val="0"/>
        <w:autoSpaceDN w:val="0"/>
        <w:adjustRightInd w:val="0"/>
        <w:rPr>
          <w:szCs w:val="22"/>
          <w:lang w:eastAsia="sl-SI"/>
        </w:rPr>
      </w:pPr>
    </w:p>
    <w:p w14:paraId="4CE7E38D" w14:textId="77777777" w:rsidR="00D25008" w:rsidRDefault="00FE2A61">
      <w:pPr>
        <w:autoSpaceDE w:val="0"/>
        <w:autoSpaceDN w:val="0"/>
        <w:adjustRightInd w:val="0"/>
        <w:rPr>
          <w:szCs w:val="22"/>
          <w:lang w:eastAsia="sl-SI"/>
        </w:rPr>
      </w:pPr>
      <w:proofErr w:type="spellStart"/>
      <w:r>
        <w:rPr>
          <w:szCs w:val="22"/>
          <w:u w:val="single"/>
          <w:lang w:eastAsia="sl-SI"/>
        </w:rPr>
        <w:t>Amantadinas</w:t>
      </w:r>
      <w:proofErr w:type="spellEnd"/>
    </w:p>
    <w:p w14:paraId="7711738F" w14:textId="77777777" w:rsidR="00D25008" w:rsidRDefault="00FE2A61">
      <w:pPr>
        <w:autoSpaceDE w:val="0"/>
        <w:autoSpaceDN w:val="0"/>
        <w:adjustRightInd w:val="0"/>
        <w:rPr>
          <w:szCs w:val="22"/>
          <w:lang w:eastAsia="sl-SI"/>
        </w:rPr>
      </w:pPr>
      <w:proofErr w:type="spellStart"/>
      <w:r>
        <w:rPr>
          <w:szCs w:val="22"/>
          <w:lang w:eastAsia="sl-SI"/>
        </w:rPr>
        <w:t>Tiazidai</w:t>
      </w:r>
      <w:proofErr w:type="spellEnd"/>
      <w:r>
        <w:rPr>
          <w:szCs w:val="22"/>
          <w:lang w:eastAsia="sl-SI"/>
        </w:rPr>
        <w:t xml:space="preserve"> gali padidinti </w:t>
      </w:r>
      <w:proofErr w:type="spellStart"/>
      <w:r>
        <w:rPr>
          <w:szCs w:val="22"/>
          <w:lang w:eastAsia="sl-SI"/>
        </w:rPr>
        <w:t>amantadino</w:t>
      </w:r>
      <w:proofErr w:type="spellEnd"/>
      <w:r>
        <w:rPr>
          <w:szCs w:val="22"/>
          <w:lang w:eastAsia="sl-SI"/>
        </w:rPr>
        <w:t xml:space="preserve"> sukeliamų nepageidaujamų reakcijų riziką.</w:t>
      </w:r>
    </w:p>
    <w:p w14:paraId="738B1EE5" w14:textId="77777777" w:rsidR="00D25008" w:rsidRDefault="00D25008">
      <w:pPr>
        <w:autoSpaceDE w:val="0"/>
        <w:autoSpaceDN w:val="0"/>
        <w:adjustRightInd w:val="0"/>
        <w:rPr>
          <w:szCs w:val="22"/>
          <w:lang w:eastAsia="sl-SI"/>
        </w:rPr>
      </w:pPr>
    </w:p>
    <w:p w14:paraId="3B2D3166" w14:textId="77777777" w:rsidR="00D25008" w:rsidRDefault="00FE2A61">
      <w:pPr>
        <w:autoSpaceDE w:val="0"/>
        <w:autoSpaceDN w:val="0"/>
        <w:adjustRightInd w:val="0"/>
        <w:rPr>
          <w:szCs w:val="22"/>
          <w:u w:val="single"/>
          <w:lang w:eastAsia="sl-SI"/>
        </w:rPr>
      </w:pPr>
      <w:proofErr w:type="spellStart"/>
      <w:r>
        <w:rPr>
          <w:szCs w:val="22"/>
          <w:u w:val="single"/>
          <w:lang w:eastAsia="sl-SI"/>
        </w:rPr>
        <w:t>Citotoksiniai</w:t>
      </w:r>
      <w:proofErr w:type="spellEnd"/>
      <w:r>
        <w:rPr>
          <w:szCs w:val="22"/>
          <w:u w:val="single"/>
          <w:lang w:eastAsia="sl-SI"/>
        </w:rPr>
        <w:t xml:space="preserve"> vaistiniai preparatai</w:t>
      </w:r>
      <w:r>
        <w:rPr>
          <w:szCs w:val="22"/>
          <w:lang w:eastAsia="sl-SI"/>
        </w:rPr>
        <w:t xml:space="preserve"> (pvz., </w:t>
      </w:r>
      <w:proofErr w:type="spellStart"/>
      <w:r>
        <w:rPr>
          <w:szCs w:val="22"/>
          <w:lang w:eastAsia="sl-SI"/>
        </w:rPr>
        <w:t>ciklofosfamidas</w:t>
      </w:r>
      <w:proofErr w:type="spellEnd"/>
      <w:r>
        <w:rPr>
          <w:szCs w:val="22"/>
          <w:lang w:eastAsia="sl-SI"/>
        </w:rPr>
        <w:t xml:space="preserve">, </w:t>
      </w:r>
      <w:proofErr w:type="spellStart"/>
      <w:r>
        <w:rPr>
          <w:szCs w:val="22"/>
          <w:lang w:eastAsia="sl-SI"/>
        </w:rPr>
        <w:t>metotreksatas</w:t>
      </w:r>
      <w:proofErr w:type="spellEnd"/>
      <w:r>
        <w:rPr>
          <w:szCs w:val="22"/>
          <w:lang w:eastAsia="sl-SI"/>
        </w:rPr>
        <w:t>)</w:t>
      </w:r>
    </w:p>
    <w:p w14:paraId="4FCCF9C9" w14:textId="77777777" w:rsidR="00D25008" w:rsidRDefault="00FE2A61">
      <w:pPr>
        <w:autoSpaceDE w:val="0"/>
        <w:autoSpaceDN w:val="0"/>
        <w:adjustRightInd w:val="0"/>
        <w:rPr>
          <w:szCs w:val="22"/>
          <w:lang w:eastAsia="sl-SI"/>
        </w:rPr>
      </w:pPr>
      <w:proofErr w:type="spellStart"/>
      <w:r>
        <w:rPr>
          <w:szCs w:val="22"/>
          <w:lang w:eastAsia="sl-SI"/>
        </w:rPr>
        <w:t>Tiazidai</w:t>
      </w:r>
      <w:proofErr w:type="spellEnd"/>
      <w:r>
        <w:rPr>
          <w:szCs w:val="22"/>
          <w:lang w:eastAsia="sl-SI"/>
        </w:rPr>
        <w:t xml:space="preserve"> gali sumažinti </w:t>
      </w:r>
      <w:proofErr w:type="spellStart"/>
      <w:r>
        <w:rPr>
          <w:szCs w:val="22"/>
          <w:lang w:eastAsia="sl-SI"/>
        </w:rPr>
        <w:t>citotoksinių</w:t>
      </w:r>
      <w:proofErr w:type="spellEnd"/>
      <w:r>
        <w:rPr>
          <w:szCs w:val="22"/>
          <w:lang w:eastAsia="sl-SI"/>
        </w:rPr>
        <w:t xml:space="preserve"> vaistinių preparatų išsiskyrimą su šlapimu ir sustiprinti jų kaulų čiulpus slopinantį poveikį.</w:t>
      </w:r>
    </w:p>
    <w:p w14:paraId="059764CC" w14:textId="77777777" w:rsidR="00D25008" w:rsidRDefault="00D25008">
      <w:pPr>
        <w:autoSpaceDE w:val="0"/>
        <w:autoSpaceDN w:val="0"/>
        <w:adjustRightInd w:val="0"/>
        <w:rPr>
          <w:szCs w:val="22"/>
          <w:lang w:eastAsia="sl-SI"/>
        </w:rPr>
      </w:pPr>
    </w:p>
    <w:p w14:paraId="1C02923F" w14:textId="77777777" w:rsidR="00D25008" w:rsidRDefault="00FE2A61">
      <w:pPr>
        <w:widowControl w:val="0"/>
        <w:tabs>
          <w:tab w:val="left" w:pos="567"/>
        </w:tabs>
        <w:rPr>
          <w:szCs w:val="22"/>
          <w:lang w:eastAsia="sl-SI"/>
        </w:rPr>
      </w:pPr>
      <w:r>
        <w:rPr>
          <w:szCs w:val="22"/>
          <w:lang w:eastAsia="sl-SI"/>
        </w:rPr>
        <w:t xml:space="preserve">Atsižvelgiant į farmakologines savybes, galima tikėtis, kad toliau išvardyti vaistiniai preparatai gali </w:t>
      </w:r>
      <w:r>
        <w:rPr>
          <w:szCs w:val="22"/>
          <w:lang w:eastAsia="sl-SI"/>
        </w:rPr>
        <w:lastRenderedPageBreak/>
        <w:t xml:space="preserve">sustiprinti kraujospūdį mažinantį visų </w:t>
      </w:r>
      <w:proofErr w:type="spellStart"/>
      <w:r>
        <w:rPr>
          <w:szCs w:val="22"/>
          <w:lang w:eastAsia="sl-SI"/>
        </w:rPr>
        <w:t>antihipertenzinių</w:t>
      </w:r>
      <w:proofErr w:type="spellEnd"/>
      <w:r>
        <w:rPr>
          <w:szCs w:val="22"/>
          <w:lang w:eastAsia="sl-SI"/>
        </w:rPr>
        <w:t xml:space="preserve"> vaistų, įskaitant </w:t>
      </w:r>
      <w:proofErr w:type="spellStart"/>
      <w:r>
        <w:rPr>
          <w:szCs w:val="22"/>
          <w:lang w:eastAsia="sl-SI"/>
        </w:rPr>
        <w:t>telmisartaną</w:t>
      </w:r>
      <w:proofErr w:type="spellEnd"/>
      <w:r>
        <w:rPr>
          <w:szCs w:val="22"/>
          <w:lang w:eastAsia="sl-SI"/>
        </w:rPr>
        <w:t xml:space="preserve">, poveikį: </w:t>
      </w:r>
      <w:proofErr w:type="spellStart"/>
      <w:r>
        <w:rPr>
          <w:szCs w:val="22"/>
          <w:lang w:eastAsia="sl-SI"/>
        </w:rPr>
        <w:t>baklofenas</w:t>
      </w:r>
      <w:proofErr w:type="spellEnd"/>
      <w:r>
        <w:rPr>
          <w:szCs w:val="22"/>
          <w:lang w:eastAsia="sl-SI"/>
        </w:rPr>
        <w:t xml:space="preserve">, </w:t>
      </w:r>
      <w:proofErr w:type="spellStart"/>
      <w:r>
        <w:rPr>
          <w:szCs w:val="22"/>
          <w:lang w:eastAsia="sl-SI"/>
        </w:rPr>
        <w:t>amifostinas</w:t>
      </w:r>
      <w:proofErr w:type="spellEnd"/>
      <w:r>
        <w:rPr>
          <w:szCs w:val="22"/>
          <w:lang w:eastAsia="sl-SI"/>
        </w:rPr>
        <w:t>.</w:t>
      </w:r>
    </w:p>
    <w:p w14:paraId="29B12DD7" w14:textId="77777777" w:rsidR="00D25008" w:rsidRDefault="00D25008">
      <w:pPr>
        <w:widowControl w:val="0"/>
        <w:tabs>
          <w:tab w:val="left" w:pos="567"/>
        </w:tabs>
        <w:rPr>
          <w:szCs w:val="22"/>
          <w:lang w:eastAsia="sl-SI"/>
        </w:rPr>
      </w:pPr>
    </w:p>
    <w:p w14:paraId="0D38585E" w14:textId="77777777" w:rsidR="00D25008" w:rsidRDefault="00FE2A61">
      <w:pPr>
        <w:widowControl w:val="0"/>
        <w:tabs>
          <w:tab w:val="left" w:pos="567"/>
        </w:tabs>
        <w:rPr>
          <w:szCs w:val="22"/>
          <w:lang w:eastAsia="sl-SI"/>
        </w:rPr>
      </w:pPr>
      <w:r>
        <w:rPr>
          <w:szCs w:val="22"/>
          <w:lang w:eastAsia="sl-SI"/>
        </w:rPr>
        <w:t xml:space="preserve">Be to, </w:t>
      </w:r>
      <w:proofErr w:type="spellStart"/>
      <w:r>
        <w:rPr>
          <w:szCs w:val="22"/>
          <w:lang w:eastAsia="sl-SI"/>
        </w:rPr>
        <w:t>ortostatinę</w:t>
      </w:r>
      <w:proofErr w:type="spellEnd"/>
      <w:r>
        <w:rPr>
          <w:szCs w:val="22"/>
          <w:lang w:eastAsia="sl-SI"/>
        </w:rPr>
        <w:t xml:space="preserve"> </w:t>
      </w:r>
      <w:proofErr w:type="spellStart"/>
      <w:r>
        <w:rPr>
          <w:szCs w:val="22"/>
          <w:lang w:eastAsia="sl-SI"/>
        </w:rPr>
        <w:t>hipotenziją</w:t>
      </w:r>
      <w:proofErr w:type="spellEnd"/>
      <w:r>
        <w:rPr>
          <w:szCs w:val="22"/>
          <w:lang w:eastAsia="sl-SI"/>
        </w:rPr>
        <w:t xml:space="preserve"> gali sustiprinti alkoholis, barbitūratai, narkotiniai vaistiniai preparatai ar antidepresantai.</w:t>
      </w:r>
    </w:p>
    <w:p w14:paraId="45A2B7A9" w14:textId="77777777" w:rsidR="00D25008" w:rsidRDefault="00D25008">
      <w:pPr>
        <w:widowControl w:val="0"/>
        <w:tabs>
          <w:tab w:val="left" w:pos="567"/>
        </w:tabs>
        <w:rPr>
          <w:szCs w:val="22"/>
          <w:lang w:eastAsia="sl-SI"/>
        </w:rPr>
      </w:pPr>
    </w:p>
    <w:p w14:paraId="0E6C9A00" w14:textId="77777777" w:rsidR="00D25008" w:rsidRDefault="00FE2A61">
      <w:pPr>
        <w:autoSpaceDE w:val="0"/>
        <w:autoSpaceDN w:val="0"/>
        <w:adjustRightInd w:val="0"/>
        <w:rPr>
          <w:b/>
          <w:i/>
          <w:szCs w:val="22"/>
          <w:lang w:eastAsia="sl-SI"/>
        </w:rPr>
      </w:pPr>
      <w:r>
        <w:rPr>
          <w:b/>
          <w:i/>
          <w:szCs w:val="22"/>
          <w:lang w:eastAsia="sl-SI"/>
        </w:rPr>
        <w:t xml:space="preserve">Susijusi su </w:t>
      </w:r>
      <w:proofErr w:type="spellStart"/>
      <w:r>
        <w:rPr>
          <w:b/>
          <w:i/>
          <w:szCs w:val="22"/>
          <w:lang w:eastAsia="sl-SI"/>
        </w:rPr>
        <w:t>amlodipinu</w:t>
      </w:r>
      <w:proofErr w:type="spellEnd"/>
    </w:p>
    <w:p w14:paraId="775CB00A" w14:textId="77777777" w:rsidR="00D25008" w:rsidRDefault="00D25008">
      <w:pPr>
        <w:widowControl w:val="0"/>
        <w:rPr>
          <w:szCs w:val="22"/>
          <w:u w:val="single"/>
          <w:lang w:eastAsia="sl-SI"/>
        </w:rPr>
      </w:pPr>
    </w:p>
    <w:p w14:paraId="39DA58C2" w14:textId="77777777" w:rsidR="00D25008" w:rsidRDefault="00FE2A61">
      <w:pPr>
        <w:widowControl w:val="0"/>
        <w:rPr>
          <w:szCs w:val="22"/>
          <w:u w:val="single"/>
          <w:lang w:eastAsia="sl-SI"/>
        </w:rPr>
      </w:pPr>
      <w:r>
        <w:rPr>
          <w:szCs w:val="22"/>
          <w:u w:val="single"/>
          <w:lang w:eastAsia="sl-SI"/>
        </w:rPr>
        <w:t xml:space="preserve">Kitų vaistinių preparatų poveikis </w:t>
      </w:r>
      <w:proofErr w:type="spellStart"/>
      <w:r>
        <w:rPr>
          <w:szCs w:val="22"/>
          <w:u w:val="single"/>
          <w:lang w:eastAsia="sl-SI"/>
        </w:rPr>
        <w:t>amlodipinui</w:t>
      </w:r>
      <w:proofErr w:type="spellEnd"/>
    </w:p>
    <w:p w14:paraId="088BDE53" w14:textId="77777777" w:rsidR="00D25008" w:rsidRDefault="00D25008">
      <w:pPr>
        <w:widowControl w:val="0"/>
        <w:rPr>
          <w:i/>
          <w:color w:val="000000"/>
          <w:szCs w:val="22"/>
          <w:lang w:eastAsia="sl-SI"/>
        </w:rPr>
      </w:pPr>
    </w:p>
    <w:p w14:paraId="78DCD371" w14:textId="77777777" w:rsidR="00D25008" w:rsidRDefault="00FE2A61">
      <w:pPr>
        <w:widowControl w:val="0"/>
        <w:rPr>
          <w:color w:val="000000"/>
          <w:szCs w:val="22"/>
          <w:lang w:eastAsia="sl-SI"/>
        </w:rPr>
      </w:pPr>
      <w:r>
        <w:rPr>
          <w:i/>
          <w:color w:val="000000"/>
          <w:szCs w:val="22"/>
          <w:lang w:eastAsia="sl-SI"/>
        </w:rPr>
        <w:t>CYP3A4 inhibitoriai.</w:t>
      </w:r>
      <w:r>
        <w:rPr>
          <w:color w:val="000000"/>
          <w:szCs w:val="22"/>
          <w:lang w:eastAsia="sl-SI"/>
        </w:rPr>
        <w:t xml:space="preserve"> </w:t>
      </w:r>
      <w:proofErr w:type="spellStart"/>
      <w:r>
        <w:rPr>
          <w:color w:val="000000"/>
          <w:szCs w:val="22"/>
          <w:lang w:eastAsia="sl-SI"/>
        </w:rPr>
        <w:t>Amlodipino</w:t>
      </w:r>
      <w:proofErr w:type="spellEnd"/>
      <w:r>
        <w:rPr>
          <w:color w:val="000000"/>
          <w:szCs w:val="22"/>
          <w:lang w:eastAsia="sl-SI"/>
        </w:rPr>
        <w:t xml:space="preserve"> vartojimas kartu su stipriais ir vidutinio stiprumo CYP3A4 inhibitoriais (proteazės inhibitoriais, priešgrybeliniais </w:t>
      </w:r>
      <w:proofErr w:type="spellStart"/>
      <w:r>
        <w:rPr>
          <w:color w:val="000000"/>
          <w:szCs w:val="22"/>
          <w:lang w:eastAsia="sl-SI"/>
        </w:rPr>
        <w:t>azolo</w:t>
      </w:r>
      <w:proofErr w:type="spellEnd"/>
      <w:r>
        <w:rPr>
          <w:color w:val="000000"/>
          <w:szCs w:val="22"/>
          <w:lang w:eastAsia="sl-SI"/>
        </w:rPr>
        <w:t xml:space="preserve"> grupės vaistiniais preparatais, </w:t>
      </w:r>
      <w:proofErr w:type="spellStart"/>
      <w:r>
        <w:rPr>
          <w:color w:val="000000"/>
          <w:szCs w:val="22"/>
          <w:lang w:eastAsia="sl-SI"/>
        </w:rPr>
        <w:t>makrolidų</w:t>
      </w:r>
      <w:proofErr w:type="spellEnd"/>
      <w:r>
        <w:rPr>
          <w:color w:val="000000"/>
          <w:szCs w:val="22"/>
          <w:lang w:eastAsia="sl-SI"/>
        </w:rPr>
        <w:t xml:space="preserve"> grupės antibiotikais, tokiais kaip </w:t>
      </w:r>
      <w:proofErr w:type="spellStart"/>
      <w:r>
        <w:rPr>
          <w:color w:val="000000"/>
          <w:szCs w:val="22"/>
          <w:lang w:eastAsia="sl-SI"/>
        </w:rPr>
        <w:t>eritromicinas</w:t>
      </w:r>
      <w:proofErr w:type="spellEnd"/>
      <w:r>
        <w:rPr>
          <w:color w:val="000000"/>
          <w:szCs w:val="22"/>
          <w:lang w:eastAsia="sl-SI"/>
        </w:rPr>
        <w:t xml:space="preserve"> arba </w:t>
      </w:r>
      <w:proofErr w:type="spellStart"/>
      <w:r>
        <w:rPr>
          <w:color w:val="000000"/>
          <w:szCs w:val="22"/>
          <w:lang w:eastAsia="sl-SI"/>
        </w:rPr>
        <w:t>klaritromicinas</w:t>
      </w:r>
      <w:proofErr w:type="spellEnd"/>
      <w:r>
        <w:rPr>
          <w:color w:val="000000"/>
          <w:szCs w:val="22"/>
          <w:lang w:eastAsia="sl-SI"/>
        </w:rPr>
        <w:t xml:space="preserve">, </w:t>
      </w:r>
      <w:proofErr w:type="spellStart"/>
      <w:r>
        <w:rPr>
          <w:color w:val="000000"/>
          <w:szCs w:val="22"/>
          <w:lang w:eastAsia="sl-SI"/>
        </w:rPr>
        <w:t>verapamiliu</w:t>
      </w:r>
      <w:proofErr w:type="spellEnd"/>
      <w:r>
        <w:rPr>
          <w:color w:val="000000"/>
          <w:szCs w:val="22"/>
          <w:lang w:eastAsia="sl-SI"/>
        </w:rPr>
        <w:t xml:space="preserve"> arba </w:t>
      </w:r>
      <w:proofErr w:type="spellStart"/>
      <w:r>
        <w:rPr>
          <w:color w:val="000000"/>
          <w:szCs w:val="22"/>
          <w:lang w:eastAsia="sl-SI"/>
        </w:rPr>
        <w:t>diltiazemu</w:t>
      </w:r>
      <w:proofErr w:type="spellEnd"/>
      <w:r>
        <w:rPr>
          <w:color w:val="000000"/>
          <w:szCs w:val="22"/>
          <w:lang w:eastAsia="sl-SI"/>
        </w:rPr>
        <w:t xml:space="preserve">) gali reikšmingai padidinti </w:t>
      </w:r>
      <w:proofErr w:type="spellStart"/>
      <w:r>
        <w:rPr>
          <w:color w:val="000000"/>
          <w:szCs w:val="22"/>
          <w:lang w:eastAsia="sl-SI"/>
        </w:rPr>
        <w:t>amlodipino</w:t>
      </w:r>
      <w:proofErr w:type="spellEnd"/>
      <w:r>
        <w:rPr>
          <w:color w:val="000000"/>
          <w:szCs w:val="22"/>
          <w:lang w:eastAsia="sl-SI"/>
        </w:rPr>
        <w:t xml:space="preserve"> ekspoziciją ir sustiprinti </w:t>
      </w:r>
      <w:proofErr w:type="spellStart"/>
      <w:r>
        <w:rPr>
          <w:color w:val="000000"/>
          <w:szCs w:val="22"/>
          <w:lang w:eastAsia="sl-SI"/>
        </w:rPr>
        <w:t>hipotenzijos</w:t>
      </w:r>
      <w:proofErr w:type="spellEnd"/>
      <w:r>
        <w:rPr>
          <w:color w:val="000000"/>
          <w:szCs w:val="22"/>
          <w:lang w:eastAsia="sl-SI"/>
        </w:rPr>
        <w:t xml:space="preserve"> riziką. Tokių farmakokinetikos pokyčių klinikinė išraiška gali būti stipresnė senyviems pacientams. Dėl to gali reikėti atidžiai stebėti pacientus bei koreguoti dozę.</w:t>
      </w:r>
    </w:p>
    <w:p w14:paraId="4AA88638" w14:textId="77777777" w:rsidR="00D25008" w:rsidRDefault="00D25008">
      <w:pPr>
        <w:widowControl w:val="0"/>
        <w:tabs>
          <w:tab w:val="center" w:pos="6804"/>
        </w:tabs>
        <w:rPr>
          <w:i/>
          <w:szCs w:val="22"/>
          <w:lang w:eastAsia="sl-SI"/>
        </w:rPr>
      </w:pPr>
    </w:p>
    <w:p w14:paraId="3E31E909" w14:textId="77777777" w:rsidR="00D25008" w:rsidRDefault="00FE2A61">
      <w:pPr>
        <w:widowControl w:val="0"/>
        <w:tabs>
          <w:tab w:val="center" w:pos="6804"/>
        </w:tabs>
        <w:rPr>
          <w:szCs w:val="22"/>
          <w:lang w:eastAsia="sl-SI"/>
        </w:rPr>
      </w:pPr>
      <w:r>
        <w:rPr>
          <w:i/>
          <w:szCs w:val="22"/>
          <w:lang w:eastAsia="sl-SI"/>
        </w:rPr>
        <w:t xml:space="preserve">CYP3A4 </w:t>
      </w:r>
      <w:proofErr w:type="spellStart"/>
      <w:r>
        <w:rPr>
          <w:i/>
          <w:szCs w:val="22"/>
          <w:lang w:eastAsia="sl-SI"/>
        </w:rPr>
        <w:t>induktoriai</w:t>
      </w:r>
      <w:proofErr w:type="spellEnd"/>
      <w:r>
        <w:rPr>
          <w:i/>
          <w:szCs w:val="22"/>
          <w:lang w:eastAsia="sl-SI"/>
        </w:rPr>
        <w:t>.</w:t>
      </w:r>
      <w:r>
        <w:rPr>
          <w:szCs w:val="22"/>
          <w:lang w:eastAsia="sl-SI"/>
        </w:rPr>
        <w:t xml:space="preserve"> Kartu vartojant žinomų CYP3A4 </w:t>
      </w:r>
      <w:proofErr w:type="spellStart"/>
      <w:r>
        <w:rPr>
          <w:szCs w:val="22"/>
          <w:lang w:eastAsia="sl-SI"/>
        </w:rPr>
        <w:t>induktorių</w:t>
      </w:r>
      <w:proofErr w:type="spellEnd"/>
      <w:r>
        <w:rPr>
          <w:szCs w:val="22"/>
          <w:lang w:eastAsia="sl-SI"/>
        </w:rPr>
        <w:t xml:space="preserve">, </w:t>
      </w:r>
      <w:proofErr w:type="spellStart"/>
      <w:r>
        <w:rPr>
          <w:szCs w:val="22"/>
          <w:lang w:eastAsia="sl-SI"/>
        </w:rPr>
        <w:t>amlodipino</w:t>
      </w:r>
      <w:proofErr w:type="spellEnd"/>
      <w:r>
        <w:rPr>
          <w:szCs w:val="22"/>
          <w:lang w:eastAsia="sl-SI"/>
        </w:rPr>
        <w:t xml:space="preserve"> koncentracija kraujo plazmoje gali kisti. Dėl to būtina stebėti kraujospūdį ir įvertinti dozės koregavimo poreikį vartojant šių vaistinių preparatų kartu ir po tokio vartojimo, ypač jeigu kartu vartojama stiprių CYP3A4 </w:t>
      </w:r>
      <w:proofErr w:type="spellStart"/>
      <w:r>
        <w:rPr>
          <w:szCs w:val="22"/>
          <w:lang w:eastAsia="sl-SI"/>
        </w:rPr>
        <w:t>induktorių</w:t>
      </w:r>
      <w:proofErr w:type="spellEnd"/>
      <w:r>
        <w:rPr>
          <w:szCs w:val="22"/>
          <w:lang w:eastAsia="sl-SI"/>
        </w:rPr>
        <w:t xml:space="preserve"> (pvz., </w:t>
      </w:r>
      <w:proofErr w:type="spellStart"/>
      <w:r>
        <w:rPr>
          <w:szCs w:val="22"/>
          <w:lang w:eastAsia="sl-SI"/>
        </w:rPr>
        <w:t>rifampicino</w:t>
      </w:r>
      <w:proofErr w:type="spellEnd"/>
      <w:r>
        <w:rPr>
          <w:szCs w:val="22"/>
          <w:lang w:eastAsia="sl-SI"/>
        </w:rPr>
        <w:t>, paprastosios jonažolės [</w:t>
      </w:r>
      <w:proofErr w:type="spellStart"/>
      <w:r>
        <w:rPr>
          <w:i/>
          <w:iCs/>
          <w:szCs w:val="22"/>
          <w:lang w:eastAsia="sl-SI"/>
        </w:rPr>
        <w:t>Hypericum</w:t>
      </w:r>
      <w:proofErr w:type="spellEnd"/>
      <w:r>
        <w:rPr>
          <w:i/>
          <w:iCs/>
          <w:szCs w:val="22"/>
          <w:lang w:eastAsia="sl-SI"/>
        </w:rPr>
        <w:t xml:space="preserve"> </w:t>
      </w:r>
      <w:proofErr w:type="spellStart"/>
      <w:r>
        <w:rPr>
          <w:i/>
          <w:iCs/>
          <w:szCs w:val="22"/>
          <w:lang w:eastAsia="sl-SI"/>
        </w:rPr>
        <w:t>perforatum</w:t>
      </w:r>
      <w:proofErr w:type="spellEnd"/>
      <w:r>
        <w:rPr>
          <w:szCs w:val="22"/>
          <w:lang w:eastAsia="sl-SI"/>
        </w:rPr>
        <w:t>] preparatų).</w:t>
      </w:r>
    </w:p>
    <w:p w14:paraId="1BC5DE2E" w14:textId="77777777" w:rsidR="00D25008" w:rsidRDefault="00D25008">
      <w:pPr>
        <w:widowControl w:val="0"/>
        <w:rPr>
          <w:szCs w:val="22"/>
          <w:lang w:eastAsia="sl-SI"/>
        </w:rPr>
      </w:pPr>
    </w:p>
    <w:p w14:paraId="10E9515F" w14:textId="77777777" w:rsidR="00D25008" w:rsidRDefault="00FE2A61">
      <w:pPr>
        <w:widowControl w:val="0"/>
        <w:rPr>
          <w:szCs w:val="22"/>
          <w:lang w:eastAsia="sl-SI"/>
        </w:rPr>
      </w:pPr>
      <w:proofErr w:type="spellStart"/>
      <w:r>
        <w:rPr>
          <w:szCs w:val="22"/>
          <w:lang w:eastAsia="sl-SI"/>
        </w:rPr>
        <w:t>Amlodipino</w:t>
      </w:r>
      <w:proofErr w:type="spellEnd"/>
      <w:r>
        <w:rPr>
          <w:szCs w:val="22"/>
          <w:lang w:eastAsia="sl-SI"/>
        </w:rPr>
        <w:t xml:space="preserve"> nerekomenduojama vartoti kartu su greipfrutais ar jų sultimis, nes kai kuriems pacientams gali padidėti biologinis prieinamumas ir dėl to sustiprėti kraujospūdį mažinantis poveikis.</w:t>
      </w:r>
    </w:p>
    <w:p w14:paraId="61E36800" w14:textId="77777777" w:rsidR="00D25008" w:rsidRDefault="00D25008">
      <w:pPr>
        <w:widowControl w:val="0"/>
        <w:rPr>
          <w:szCs w:val="22"/>
          <w:lang w:eastAsia="sl-SI"/>
        </w:rPr>
      </w:pPr>
    </w:p>
    <w:p w14:paraId="6C19B492" w14:textId="77777777" w:rsidR="00D25008" w:rsidRDefault="00FE2A61">
      <w:pPr>
        <w:widowControl w:val="0"/>
        <w:rPr>
          <w:szCs w:val="22"/>
          <w:lang w:eastAsia="sl-SI"/>
        </w:rPr>
      </w:pPr>
      <w:proofErr w:type="spellStart"/>
      <w:r>
        <w:rPr>
          <w:i/>
          <w:iCs/>
          <w:szCs w:val="22"/>
          <w:lang w:eastAsia="sl-SI"/>
        </w:rPr>
        <w:t>Dantrolenas</w:t>
      </w:r>
      <w:proofErr w:type="spellEnd"/>
      <w:r>
        <w:rPr>
          <w:i/>
          <w:iCs/>
          <w:szCs w:val="22"/>
          <w:lang w:eastAsia="sl-SI"/>
        </w:rPr>
        <w:t xml:space="preserve"> (infuzija)</w:t>
      </w:r>
      <w:r>
        <w:rPr>
          <w:szCs w:val="22"/>
          <w:lang w:eastAsia="sl-SI"/>
        </w:rPr>
        <w:t xml:space="preserve">. Gyvūnams nustatytas jų žuvimą sukėlęs skilvelių virpėjimas ir kardiovaskulinis </w:t>
      </w:r>
      <w:proofErr w:type="spellStart"/>
      <w:r>
        <w:rPr>
          <w:szCs w:val="22"/>
          <w:lang w:eastAsia="sl-SI"/>
        </w:rPr>
        <w:t>kolapsas</w:t>
      </w:r>
      <w:proofErr w:type="spellEnd"/>
      <w:r>
        <w:rPr>
          <w:szCs w:val="22"/>
          <w:lang w:eastAsia="sl-SI"/>
        </w:rPr>
        <w:t xml:space="preserve">, susiję su </w:t>
      </w:r>
      <w:proofErr w:type="spellStart"/>
      <w:r>
        <w:rPr>
          <w:szCs w:val="22"/>
          <w:lang w:eastAsia="sl-SI"/>
        </w:rPr>
        <w:t>hiperkalemija</w:t>
      </w:r>
      <w:proofErr w:type="spellEnd"/>
      <w:r>
        <w:rPr>
          <w:szCs w:val="22"/>
          <w:lang w:eastAsia="sl-SI"/>
        </w:rPr>
        <w:t xml:space="preserve"> po </w:t>
      </w:r>
      <w:proofErr w:type="spellStart"/>
      <w:r>
        <w:rPr>
          <w:szCs w:val="22"/>
          <w:lang w:eastAsia="sl-SI"/>
        </w:rPr>
        <w:t>verapamilio</w:t>
      </w:r>
      <w:proofErr w:type="spellEnd"/>
      <w:r>
        <w:rPr>
          <w:szCs w:val="22"/>
          <w:lang w:eastAsia="sl-SI"/>
        </w:rPr>
        <w:t xml:space="preserve"> pavartojimo ir </w:t>
      </w:r>
      <w:proofErr w:type="spellStart"/>
      <w:r>
        <w:rPr>
          <w:szCs w:val="22"/>
          <w:lang w:eastAsia="sl-SI"/>
        </w:rPr>
        <w:t>dantroleno</w:t>
      </w:r>
      <w:proofErr w:type="spellEnd"/>
      <w:r>
        <w:rPr>
          <w:szCs w:val="22"/>
          <w:lang w:eastAsia="sl-SI"/>
        </w:rPr>
        <w:t xml:space="preserve"> suleidimo į veną. Dėl </w:t>
      </w:r>
      <w:proofErr w:type="spellStart"/>
      <w:r>
        <w:rPr>
          <w:szCs w:val="22"/>
          <w:lang w:eastAsia="sl-SI"/>
        </w:rPr>
        <w:t>hiperkalemijos</w:t>
      </w:r>
      <w:proofErr w:type="spellEnd"/>
      <w:r>
        <w:rPr>
          <w:szCs w:val="22"/>
          <w:lang w:eastAsia="sl-SI"/>
        </w:rPr>
        <w:t xml:space="preserve"> rizikos rekomenduojama vengti vartoti kalcio kanalų blokatorių, tokių kaip </w:t>
      </w:r>
      <w:proofErr w:type="spellStart"/>
      <w:r>
        <w:rPr>
          <w:szCs w:val="22"/>
          <w:lang w:eastAsia="sl-SI"/>
        </w:rPr>
        <w:t>amlodipinas</w:t>
      </w:r>
      <w:proofErr w:type="spellEnd"/>
      <w:r>
        <w:rPr>
          <w:szCs w:val="22"/>
          <w:lang w:eastAsia="sl-SI"/>
        </w:rPr>
        <w:t>, gydant pacientus, kuriems yra didesnė piktybinės hipertermijos rizika arba jei ji yra gydoma.</w:t>
      </w:r>
    </w:p>
    <w:p w14:paraId="31312672" w14:textId="77777777" w:rsidR="00D25008" w:rsidRDefault="00D25008">
      <w:pPr>
        <w:widowControl w:val="0"/>
        <w:rPr>
          <w:szCs w:val="22"/>
          <w:lang w:eastAsia="sl-SI"/>
        </w:rPr>
      </w:pPr>
    </w:p>
    <w:p w14:paraId="459CC259" w14:textId="77777777" w:rsidR="00D25008" w:rsidRDefault="00FE2A61">
      <w:pPr>
        <w:widowControl w:val="0"/>
        <w:rPr>
          <w:szCs w:val="22"/>
          <w:u w:val="single"/>
          <w:lang w:eastAsia="sl-SI"/>
        </w:rPr>
      </w:pPr>
      <w:proofErr w:type="spellStart"/>
      <w:r>
        <w:rPr>
          <w:szCs w:val="22"/>
          <w:u w:val="single"/>
          <w:lang w:eastAsia="sl-SI"/>
        </w:rPr>
        <w:t>Amlodipino</w:t>
      </w:r>
      <w:proofErr w:type="spellEnd"/>
      <w:r>
        <w:rPr>
          <w:szCs w:val="22"/>
          <w:u w:val="single"/>
          <w:lang w:eastAsia="sl-SI"/>
        </w:rPr>
        <w:t xml:space="preserve"> poveikis kitiems vaistiniams preparatams</w:t>
      </w:r>
    </w:p>
    <w:p w14:paraId="29D8AF7E" w14:textId="77777777" w:rsidR="00D25008" w:rsidRDefault="00D25008">
      <w:pPr>
        <w:widowControl w:val="0"/>
        <w:rPr>
          <w:szCs w:val="22"/>
          <w:u w:val="single"/>
          <w:lang w:eastAsia="sl-SI"/>
        </w:rPr>
      </w:pPr>
    </w:p>
    <w:p w14:paraId="78D14279" w14:textId="77777777" w:rsidR="00D25008" w:rsidRDefault="00FE2A61">
      <w:pPr>
        <w:widowControl w:val="0"/>
        <w:jc w:val="both"/>
        <w:rPr>
          <w:bCs/>
          <w:szCs w:val="22"/>
          <w:lang w:eastAsia="sl-SI"/>
        </w:rPr>
      </w:pPr>
      <w:r>
        <w:rPr>
          <w:szCs w:val="22"/>
          <w:lang w:eastAsia="sl-SI"/>
        </w:rPr>
        <w:t xml:space="preserve">Kraujospūdį mažinantis </w:t>
      </w:r>
      <w:proofErr w:type="spellStart"/>
      <w:r>
        <w:rPr>
          <w:szCs w:val="22"/>
          <w:lang w:eastAsia="sl-SI"/>
        </w:rPr>
        <w:t>amlodipino</w:t>
      </w:r>
      <w:proofErr w:type="spellEnd"/>
      <w:r>
        <w:rPr>
          <w:szCs w:val="22"/>
          <w:lang w:eastAsia="sl-SI"/>
        </w:rPr>
        <w:t xml:space="preserve"> poveikis papildo kitų vaistinių preparatų kraujospūdį mažinantį poveikį.</w:t>
      </w:r>
    </w:p>
    <w:p w14:paraId="0EF003A9" w14:textId="77777777" w:rsidR="00D25008" w:rsidRDefault="00D25008">
      <w:pPr>
        <w:widowControl w:val="0"/>
        <w:rPr>
          <w:szCs w:val="22"/>
          <w:lang w:eastAsia="sl-SI"/>
        </w:rPr>
      </w:pPr>
    </w:p>
    <w:p w14:paraId="28C92CDC" w14:textId="77777777" w:rsidR="00D25008" w:rsidRDefault="00FE2A61">
      <w:pPr>
        <w:widowControl w:val="0"/>
        <w:numPr>
          <w:ilvl w:val="12"/>
          <w:numId w:val="0"/>
        </w:numPr>
        <w:tabs>
          <w:tab w:val="left" w:pos="8505"/>
        </w:tabs>
        <w:ind w:right="-2"/>
        <w:rPr>
          <w:szCs w:val="22"/>
          <w:lang w:eastAsia="sl-SI"/>
        </w:rPr>
      </w:pPr>
      <w:proofErr w:type="spellStart"/>
      <w:r>
        <w:rPr>
          <w:i/>
          <w:iCs/>
          <w:szCs w:val="22"/>
          <w:lang w:eastAsia="sl-SI"/>
        </w:rPr>
        <w:t>Takrolimuzas</w:t>
      </w:r>
      <w:proofErr w:type="spellEnd"/>
      <w:r>
        <w:rPr>
          <w:szCs w:val="22"/>
          <w:lang w:eastAsia="sl-SI"/>
        </w:rPr>
        <w:t xml:space="preserve">. Yra rizika, kad padidės kartu su </w:t>
      </w:r>
      <w:proofErr w:type="spellStart"/>
      <w:r>
        <w:rPr>
          <w:szCs w:val="22"/>
          <w:lang w:eastAsia="sl-SI"/>
        </w:rPr>
        <w:t>amlodipinu</w:t>
      </w:r>
      <w:proofErr w:type="spellEnd"/>
      <w:r>
        <w:rPr>
          <w:szCs w:val="22"/>
          <w:lang w:eastAsia="sl-SI"/>
        </w:rPr>
        <w:t xml:space="preserve"> vartojamo </w:t>
      </w:r>
      <w:proofErr w:type="spellStart"/>
      <w:r>
        <w:rPr>
          <w:szCs w:val="22"/>
          <w:lang w:eastAsia="sl-SI"/>
        </w:rPr>
        <w:t>takrolimuzo</w:t>
      </w:r>
      <w:proofErr w:type="spellEnd"/>
      <w:r>
        <w:rPr>
          <w:szCs w:val="22"/>
          <w:lang w:eastAsia="sl-SI"/>
        </w:rPr>
        <w:t xml:space="preserve"> koncentracija kraujyje, tačiau tokios sąveikos </w:t>
      </w:r>
      <w:proofErr w:type="spellStart"/>
      <w:r>
        <w:rPr>
          <w:szCs w:val="22"/>
          <w:lang w:eastAsia="sl-SI"/>
        </w:rPr>
        <w:t>farmakokinetinis</w:t>
      </w:r>
      <w:proofErr w:type="spellEnd"/>
      <w:r>
        <w:rPr>
          <w:szCs w:val="22"/>
          <w:lang w:eastAsia="sl-SI"/>
        </w:rPr>
        <w:t xml:space="preserve"> mechanizmas nėra iki galo išaiškintas. Siekiant išvengti toksinio </w:t>
      </w:r>
      <w:proofErr w:type="spellStart"/>
      <w:r>
        <w:rPr>
          <w:szCs w:val="22"/>
          <w:lang w:eastAsia="sl-SI"/>
        </w:rPr>
        <w:t>takrolimuzo</w:t>
      </w:r>
      <w:proofErr w:type="spellEnd"/>
      <w:r>
        <w:rPr>
          <w:szCs w:val="22"/>
          <w:lang w:eastAsia="sl-SI"/>
        </w:rPr>
        <w:t xml:space="preserve"> poveikio, juo gydomiems pacientams paskyrus vartoti </w:t>
      </w:r>
      <w:proofErr w:type="spellStart"/>
      <w:r>
        <w:rPr>
          <w:szCs w:val="22"/>
          <w:lang w:eastAsia="sl-SI"/>
        </w:rPr>
        <w:t>amlodipino</w:t>
      </w:r>
      <w:proofErr w:type="spellEnd"/>
      <w:r>
        <w:rPr>
          <w:szCs w:val="22"/>
          <w:lang w:eastAsia="sl-SI"/>
        </w:rPr>
        <w:t xml:space="preserve">, reikia stebėti </w:t>
      </w:r>
      <w:proofErr w:type="spellStart"/>
      <w:r>
        <w:rPr>
          <w:szCs w:val="22"/>
          <w:lang w:eastAsia="sl-SI"/>
        </w:rPr>
        <w:t>takrolimuzo</w:t>
      </w:r>
      <w:proofErr w:type="spellEnd"/>
      <w:r>
        <w:rPr>
          <w:szCs w:val="22"/>
          <w:lang w:eastAsia="sl-SI"/>
        </w:rPr>
        <w:t xml:space="preserve"> koncentraciją kraujyje ir, prireikus, koreguoti </w:t>
      </w:r>
      <w:proofErr w:type="spellStart"/>
      <w:r>
        <w:rPr>
          <w:szCs w:val="22"/>
          <w:lang w:eastAsia="sl-SI"/>
        </w:rPr>
        <w:t>takrolimuzo</w:t>
      </w:r>
      <w:proofErr w:type="spellEnd"/>
      <w:r>
        <w:rPr>
          <w:szCs w:val="22"/>
          <w:lang w:eastAsia="sl-SI"/>
        </w:rPr>
        <w:t xml:space="preserve"> dozę.</w:t>
      </w:r>
    </w:p>
    <w:p w14:paraId="48CAABD1" w14:textId="77777777" w:rsidR="00D25008" w:rsidRDefault="00D25008">
      <w:pPr>
        <w:widowControl w:val="0"/>
        <w:numPr>
          <w:ilvl w:val="12"/>
          <w:numId w:val="0"/>
        </w:numPr>
        <w:tabs>
          <w:tab w:val="left" w:pos="8505"/>
        </w:tabs>
        <w:ind w:right="-2"/>
        <w:rPr>
          <w:szCs w:val="22"/>
          <w:lang w:eastAsia="sl-SI"/>
        </w:rPr>
      </w:pPr>
    </w:p>
    <w:p w14:paraId="222E5E19" w14:textId="77777777" w:rsidR="00D25008" w:rsidRDefault="00FE2A61">
      <w:pPr>
        <w:widowControl w:val="0"/>
        <w:numPr>
          <w:ilvl w:val="12"/>
          <w:numId w:val="0"/>
        </w:numPr>
        <w:tabs>
          <w:tab w:val="left" w:pos="8505"/>
        </w:tabs>
        <w:ind w:right="-2"/>
        <w:rPr>
          <w:szCs w:val="22"/>
          <w:lang w:eastAsia="sl-SI"/>
        </w:rPr>
      </w:pPr>
      <w:proofErr w:type="spellStart"/>
      <w:r>
        <w:rPr>
          <w:i/>
          <w:szCs w:val="22"/>
          <w:lang w:eastAsia="sl-SI"/>
        </w:rPr>
        <w:t>Klaritromicinas</w:t>
      </w:r>
      <w:proofErr w:type="spellEnd"/>
      <w:r>
        <w:rPr>
          <w:i/>
          <w:szCs w:val="22"/>
          <w:lang w:eastAsia="sl-SI"/>
        </w:rPr>
        <w:t>.</w:t>
      </w:r>
      <w:r>
        <w:rPr>
          <w:szCs w:val="22"/>
          <w:lang w:eastAsia="sl-SI"/>
        </w:rPr>
        <w:t xml:space="preserve"> </w:t>
      </w:r>
      <w:proofErr w:type="spellStart"/>
      <w:r>
        <w:rPr>
          <w:szCs w:val="22"/>
          <w:lang w:eastAsia="sl-SI"/>
        </w:rPr>
        <w:t>Klaritromicinas</w:t>
      </w:r>
      <w:proofErr w:type="spellEnd"/>
      <w:r>
        <w:rPr>
          <w:szCs w:val="22"/>
          <w:lang w:eastAsia="sl-SI"/>
        </w:rPr>
        <w:t xml:space="preserve"> yra CYP3A4 inhibitorius. Pacientams, vartojantiems </w:t>
      </w:r>
      <w:proofErr w:type="spellStart"/>
      <w:r>
        <w:rPr>
          <w:szCs w:val="22"/>
          <w:lang w:eastAsia="sl-SI"/>
        </w:rPr>
        <w:t>klaritromicino</w:t>
      </w:r>
      <w:proofErr w:type="spellEnd"/>
      <w:r>
        <w:rPr>
          <w:szCs w:val="22"/>
          <w:lang w:eastAsia="sl-SI"/>
        </w:rPr>
        <w:t xml:space="preserve"> kartu su </w:t>
      </w:r>
      <w:proofErr w:type="spellStart"/>
      <w:r>
        <w:rPr>
          <w:szCs w:val="22"/>
          <w:lang w:eastAsia="sl-SI"/>
        </w:rPr>
        <w:t>amlodipinu</w:t>
      </w:r>
      <w:proofErr w:type="spellEnd"/>
      <w:r>
        <w:rPr>
          <w:szCs w:val="22"/>
          <w:lang w:eastAsia="sl-SI"/>
        </w:rPr>
        <w:t xml:space="preserve">, padidėja </w:t>
      </w:r>
      <w:proofErr w:type="spellStart"/>
      <w:r>
        <w:rPr>
          <w:szCs w:val="22"/>
          <w:lang w:eastAsia="sl-SI"/>
        </w:rPr>
        <w:t>hipotenzijos</w:t>
      </w:r>
      <w:proofErr w:type="spellEnd"/>
      <w:r>
        <w:rPr>
          <w:szCs w:val="22"/>
          <w:lang w:eastAsia="sl-SI"/>
        </w:rPr>
        <w:t xml:space="preserve"> rizika. Rekomenduojama atidžiai stebėti pacientus, kurie </w:t>
      </w:r>
      <w:proofErr w:type="spellStart"/>
      <w:r>
        <w:rPr>
          <w:szCs w:val="22"/>
          <w:lang w:eastAsia="sl-SI"/>
        </w:rPr>
        <w:t>amlodipiną</w:t>
      </w:r>
      <w:proofErr w:type="spellEnd"/>
      <w:r>
        <w:rPr>
          <w:szCs w:val="22"/>
          <w:lang w:eastAsia="sl-SI"/>
        </w:rPr>
        <w:t xml:space="preserve"> vartoja kartu su </w:t>
      </w:r>
      <w:proofErr w:type="spellStart"/>
      <w:r>
        <w:rPr>
          <w:szCs w:val="22"/>
          <w:lang w:eastAsia="sl-SI"/>
        </w:rPr>
        <w:t>klaritromicinu</w:t>
      </w:r>
      <w:proofErr w:type="spellEnd"/>
      <w:r>
        <w:rPr>
          <w:szCs w:val="22"/>
          <w:lang w:eastAsia="sl-SI"/>
        </w:rPr>
        <w:t>.</w:t>
      </w:r>
    </w:p>
    <w:p w14:paraId="67DCB182" w14:textId="77777777" w:rsidR="00D25008" w:rsidRDefault="00D25008">
      <w:pPr>
        <w:widowControl w:val="0"/>
        <w:numPr>
          <w:ilvl w:val="12"/>
          <w:numId w:val="0"/>
        </w:numPr>
        <w:tabs>
          <w:tab w:val="left" w:pos="8505"/>
        </w:tabs>
        <w:ind w:right="-2"/>
        <w:rPr>
          <w:szCs w:val="22"/>
          <w:lang w:eastAsia="sl-SI"/>
        </w:rPr>
      </w:pPr>
    </w:p>
    <w:p w14:paraId="1892AC8F" w14:textId="77777777" w:rsidR="00D25008" w:rsidRDefault="00FE2A61">
      <w:pPr>
        <w:widowControl w:val="0"/>
        <w:numPr>
          <w:ilvl w:val="12"/>
          <w:numId w:val="0"/>
        </w:numPr>
        <w:tabs>
          <w:tab w:val="left" w:pos="8505"/>
        </w:tabs>
        <w:ind w:right="-2"/>
        <w:rPr>
          <w:szCs w:val="22"/>
          <w:lang w:eastAsia="sl-SI"/>
        </w:rPr>
      </w:pPr>
      <w:proofErr w:type="spellStart"/>
      <w:r>
        <w:rPr>
          <w:i/>
          <w:iCs/>
          <w:szCs w:val="22"/>
          <w:lang w:eastAsia="sl-SI"/>
        </w:rPr>
        <w:t>Rapamicino</w:t>
      </w:r>
      <w:proofErr w:type="spellEnd"/>
      <w:r>
        <w:rPr>
          <w:i/>
          <w:iCs/>
          <w:szCs w:val="22"/>
          <w:lang w:eastAsia="sl-SI"/>
        </w:rPr>
        <w:t xml:space="preserve"> </w:t>
      </w:r>
      <w:proofErr w:type="spellStart"/>
      <w:r>
        <w:rPr>
          <w:i/>
          <w:iCs/>
          <w:szCs w:val="22"/>
          <w:lang w:eastAsia="sl-SI"/>
        </w:rPr>
        <w:t>mechanistinio</w:t>
      </w:r>
      <w:proofErr w:type="spellEnd"/>
      <w:r>
        <w:rPr>
          <w:i/>
          <w:iCs/>
          <w:szCs w:val="22"/>
          <w:lang w:eastAsia="sl-SI"/>
        </w:rPr>
        <w:t xml:space="preserve"> taikinio (angl. </w:t>
      </w:r>
      <w:proofErr w:type="spellStart"/>
      <w:r>
        <w:rPr>
          <w:i/>
          <w:iCs/>
          <w:szCs w:val="22"/>
          <w:lang w:eastAsia="sl-SI"/>
        </w:rPr>
        <w:t>Mechanistic</w:t>
      </w:r>
      <w:proofErr w:type="spellEnd"/>
      <w:r>
        <w:rPr>
          <w:i/>
          <w:iCs/>
          <w:szCs w:val="22"/>
          <w:lang w:eastAsia="sl-SI"/>
        </w:rPr>
        <w:t xml:space="preserve"> </w:t>
      </w:r>
      <w:proofErr w:type="spellStart"/>
      <w:r>
        <w:rPr>
          <w:i/>
          <w:iCs/>
          <w:szCs w:val="22"/>
          <w:lang w:eastAsia="sl-SI"/>
        </w:rPr>
        <w:t>Target</w:t>
      </w:r>
      <w:proofErr w:type="spellEnd"/>
      <w:r>
        <w:rPr>
          <w:i/>
          <w:iCs/>
          <w:szCs w:val="22"/>
          <w:lang w:eastAsia="sl-SI"/>
        </w:rPr>
        <w:t xml:space="preserve"> </w:t>
      </w:r>
      <w:proofErr w:type="spellStart"/>
      <w:r>
        <w:rPr>
          <w:i/>
          <w:iCs/>
          <w:szCs w:val="22"/>
          <w:lang w:eastAsia="sl-SI"/>
        </w:rPr>
        <w:t>of</w:t>
      </w:r>
      <w:proofErr w:type="spellEnd"/>
      <w:r>
        <w:rPr>
          <w:i/>
          <w:iCs/>
          <w:szCs w:val="22"/>
          <w:lang w:eastAsia="sl-SI"/>
        </w:rPr>
        <w:t xml:space="preserve"> </w:t>
      </w:r>
      <w:proofErr w:type="spellStart"/>
      <w:r>
        <w:rPr>
          <w:i/>
          <w:iCs/>
          <w:szCs w:val="22"/>
          <w:lang w:eastAsia="sl-SI"/>
        </w:rPr>
        <w:t>Rapamycin</w:t>
      </w:r>
      <w:proofErr w:type="spellEnd"/>
      <w:r>
        <w:rPr>
          <w:i/>
          <w:iCs/>
          <w:szCs w:val="22"/>
          <w:lang w:eastAsia="sl-SI"/>
        </w:rPr>
        <w:t xml:space="preserve">, </w:t>
      </w:r>
      <w:proofErr w:type="spellStart"/>
      <w:r>
        <w:rPr>
          <w:i/>
          <w:iCs/>
          <w:szCs w:val="22"/>
          <w:lang w:eastAsia="sl-SI"/>
        </w:rPr>
        <w:t>mTOR</w:t>
      </w:r>
      <w:proofErr w:type="spellEnd"/>
      <w:r>
        <w:rPr>
          <w:i/>
          <w:iCs/>
          <w:szCs w:val="22"/>
          <w:lang w:eastAsia="sl-SI"/>
        </w:rPr>
        <w:t xml:space="preserve">) inhibitoriai. </w:t>
      </w:r>
      <w:r>
        <w:rPr>
          <w:szCs w:val="22"/>
          <w:lang w:eastAsia="sl-SI"/>
        </w:rPr>
        <w:t xml:space="preserve">Tokie </w:t>
      </w:r>
      <w:proofErr w:type="spellStart"/>
      <w:r>
        <w:rPr>
          <w:szCs w:val="22"/>
          <w:lang w:eastAsia="sl-SI"/>
        </w:rPr>
        <w:t>mTOR</w:t>
      </w:r>
      <w:proofErr w:type="spellEnd"/>
      <w:r>
        <w:rPr>
          <w:szCs w:val="22"/>
          <w:lang w:eastAsia="sl-SI"/>
        </w:rPr>
        <w:t xml:space="preserve"> inhibitoriai kaip </w:t>
      </w:r>
      <w:proofErr w:type="spellStart"/>
      <w:r>
        <w:rPr>
          <w:szCs w:val="22"/>
          <w:lang w:eastAsia="sl-SI"/>
        </w:rPr>
        <w:t>sirolimuzas</w:t>
      </w:r>
      <w:proofErr w:type="spellEnd"/>
      <w:r>
        <w:rPr>
          <w:szCs w:val="22"/>
          <w:lang w:eastAsia="sl-SI"/>
        </w:rPr>
        <w:t xml:space="preserve">, </w:t>
      </w:r>
      <w:proofErr w:type="spellStart"/>
      <w:r>
        <w:rPr>
          <w:szCs w:val="22"/>
          <w:lang w:eastAsia="sl-SI"/>
        </w:rPr>
        <w:t>temsirolimuzas</w:t>
      </w:r>
      <w:proofErr w:type="spellEnd"/>
      <w:r>
        <w:rPr>
          <w:szCs w:val="22"/>
          <w:lang w:eastAsia="sl-SI"/>
        </w:rPr>
        <w:t xml:space="preserve"> ir </w:t>
      </w:r>
      <w:proofErr w:type="spellStart"/>
      <w:r>
        <w:rPr>
          <w:szCs w:val="22"/>
          <w:lang w:eastAsia="sl-SI"/>
        </w:rPr>
        <w:t>everolimuzas</w:t>
      </w:r>
      <w:proofErr w:type="spellEnd"/>
      <w:r>
        <w:rPr>
          <w:szCs w:val="22"/>
          <w:lang w:eastAsia="sl-SI"/>
        </w:rPr>
        <w:t xml:space="preserve"> yra CYP3A substratai. </w:t>
      </w:r>
      <w:proofErr w:type="spellStart"/>
      <w:r>
        <w:rPr>
          <w:szCs w:val="22"/>
          <w:lang w:eastAsia="sl-SI"/>
        </w:rPr>
        <w:t>Amlodipinas</w:t>
      </w:r>
      <w:proofErr w:type="spellEnd"/>
      <w:r>
        <w:rPr>
          <w:szCs w:val="22"/>
          <w:lang w:eastAsia="sl-SI"/>
        </w:rPr>
        <w:t xml:space="preserve"> yra silpnas CYP3A inhibitorius. Kartu su </w:t>
      </w:r>
      <w:proofErr w:type="spellStart"/>
      <w:r>
        <w:rPr>
          <w:szCs w:val="22"/>
          <w:lang w:eastAsia="sl-SI"/>
        </w:rPr>
        <w:t>mTOR</w:t>
      </w:r>
      <w:proofErr w:type="spellEnd"/>
      <w:r>
        <w:rPr>
          <w:szCs w:val="22"/>
          <w:lang w:eastAsia="sl-SI"/>
        </w:rPr>
        <w:t xml:space="preserve"> inhibitoriais vartojamas </w:t>
      </w:r>
      <w:proofErr w:type="spellStart"/>
      <w:r>
        <w:rPr>
          <w:szCs w:val="22"/>
          <w:lang w:eastAsia="sl-SI"/>
        </w:rPr>
        <w:t>amlodipinas</w:t>
      </w:r>
      <w:proofErr w:type="spellEnd"/>
      <w:r>
        <w:rPr>
          <w:szCs w:val="22"/>
          <w:lang w:eastAsia="sl-SI"/>
        </w:rPr>
        <w:t xml:space="preserve"> gali padidinti </w:t>
      </w:r>
      <w:proofErr w:type="spellStart"/>
      <w:r>
        <w:rPr>
          <w:szCs w:val="22"/>
          <w:lang w:eastAsia="sl-SI"/>
        </w:rPr>
        <w:t>mTOR</w:t>
      </w:r>
      <w:proofErr w:type="spellEnd"/>
      <w:r>
        <w:rPr>
          <w:szCs w:val="22"/>
          <w:lang w:eastAsia="sl-SI"/>
        </w:rPr>
        <w:t xml:space="preserve"> inhibitorių ekspoziciją.</w:t>
      </w:r>
    </w:p>
    <w:p w14:paraId="4DF2A5BE" w14:textId="77777777" w:rsidR="00D25008" w:rsidRDefault="00D25008">
      <w:pPr>
        <w:widowControl w:val="0"/>
        <w:numPr>
          <w:ilvl w:val="12"/>
          <w:numId w:val="0"/>
        </w:numPr>
        <w:tabs>
          <w:tab w:val="left" w:pos="8505"/>
        </w:tabs>
        <w:ind w:right="-2"/>
        <w:rPr>
          <w:szCs w:val="22"/>
          <w:lang w:eastAsia="sl-SI"/>
        </w:rPr>
      </w:pPr>
    </w:p>
    <w:p w14:paraId="70CD41E9" w14:textId="77777777" w:rsidR="00D25008" w:rsidRDefault="00FE2A61">
      <w:pPr>
        <w:widowControl w:val="0"/>
        <w:tabs>
          <w:tab w:val="left" w:pos="567"/>
        </w:tabs>
        <w:rPr>
          <w:szCs w:val="22"/>
        </w:rPr>
      </w:pPr>
      <w:proofErr w:type="spellStart"/>
      <w:r>
        <w:rPr>
          <w:i/>
          <w:iCs/>
          <w:szCs w:val="22"/>
        </w:rPr>
        <w:t>Ciklosporinas</w:t>
      </w:r>
      <w:proofErr w:type="spellEnd"/>
      <w:r>
        <w:rPr>
          <w:szCs w:val="22"/>
        </w:rPr>
        <w:t xml:space="preserve">. </w:t>
      </w:r>
      <w:proofErr w:type="spellStart"/>
      <w:r>
        <w:rPr>
          <w:szCs w:val="22"/>
        </w:rPr>
        <w:t>Ciklosporino</w:t>
      </w:r>
      <w:proofErr w:type="spellEnd"/>
      <w:r>
        <w:rPr>
          <w:szCs w:val="22"/>
        </w:rPr>
        <w:t xml:space="preserve"> ir </w:t>
      </w:r>
      <w:proofErr w:type="spellStart"/>
      <w:r>
        <w:rPr>
          <w:szCs w:val="22"/>
        </w:rPr>
        <w:t>amlodipino</w:t>
      </w:r>
      <w:proofErr w:type="spellEnd"/>
      <w:r>
        <w:rPr>
          <w:szCs w:val="22"/>
        </w:rPr>
        <w:t xml:space="preserve"> sąveikos tyrimų su sveikais savanoriais ar kitokia populiacija, išskyrus pacientus, kuriems persodintas inkstas, neatlikta. Pastariesiems pacientams nustatytas įvairus mažiausios </w:t>
      </w:r>
      <w:proofErr w:type="spellStart"/>
      <w:r>
        <w:rPr>
          <w:szCs w:val="22"/>
        </w:rPr>
        <w:t>ciklosporino</w:t>
      </w:r>
      <w:proofErr w:type="spellEnd"/>
      <w:r>
        <w:rPr>
          <w:szCs w:val="22"/>
        </w:rPr>
        <w:t xml:space="preserve"> koncentracijos kraujyje padidėjimas (vidutiniškai nuo 0 % iki 40 %). </w:t>
      </w:r>
      <w:proofErr w:type="spellStart"/>
      <w:r>
        <w:rPr>
          <w:szCs w:val="22"/>
        </w:rPr>
        <w:t>Amlodipino</w:t>
      </w:r>
      <w:proofErr w:type="spellEnd"/>
      <w:r>
        <w:rPr>
          <w:szCs w:val="22"/>
        </w:rPr>
        <w:t xml:space="preserve"> vartojantiems pacientams, kuriems persodintas inkstas, reikia stebėti </w:t>
      </w:r>
      <w:proofErr w:type="spellStart"/>
      <w:r>
        <w:rPr>
          <w:szCs w:val="22"/>
        </w:rPr>
        <w:t>ciklosporino</w:t>
      </w:r>
      <w:proofErr w:type="spellEnd"/>
      <w:r>
        <w:rPr>
          <w:szCs w:val="22"/>
        </w:rPr>
        <w:t xml:space="preserve"> koncentraciją kraujyje ir, jei reikia, mažinti </w:t>
      </w:r>
      <w:proofErr w:type="spellStart"/>
      <w:r>
        <w:rPr>
          <w:szCs w:val="22"/>
        </w:rPr>
        <w:t>ciklosporino</w:t>
      </w:r>
      <w:proofErr w:type="spellEnd"/>
      <w:r>
        <w:rPr>
          <w:szCs w:val="22"/>
        </w:rPr>
        <w:t xml:space="preserve"> dozę.</w:t>
      </w:r>
    </w:p>
    <w:p w14:paraId="0D668A53" w14:textId="77777777" w:rsidR="00D25008" w:rsidRDefault="00D25008">
      <w:pPr>
        <w:widowControl w:val="0"/>
        <w:tabs>
          <w:tab w:val="left" w:pos="567"/>
        </w:tabs>
        <w:rPr>
          <w:szCs w:val="22"/>
        </w:rPr>
      </w:pPr>
    </w:p>
    <w:p w14:paraId="31D53D3D" w14:textId="77777777" w:rsidR="00D25008" w:rsidRDefault="00FE2A61">
      <w:pPr>
        <w:widowControl w:val="0"/>
        <w:outlineLvl w:val="0"/>
        <w:rPr>
          <w:szCs w:val="22"/>
          <w:lang w:eastAsia="sl-SI"/>
        </w:rPr>
      </w:pPr>
      <w:proofErr w:type="spellStart"/>
      <w:r>
        <w:rPr>
          <w:i/>
          <w:iCs/>
          <w:szCs w:val="22"/>
          <w:lang w:eastAsia="sl-SI"/>
        </w:rPr>
        <w:t>Simvastatinas</w:t>
      </w:r>
      <w:proofErr w:type="spellEnd"/>
      <w:r>
        <w:rPr>
          <w:szCs w:val="22"/>
          <w:lang w:eastAsia="sl-SI"/>
        </w:rPr>
        <w:t xml:space="preserve">. Kartotinių 10 mg </w:t>
      </w:r>
      <w:proofErr w:type="spellStart"/>
      <w:r>
        <w:rPr>
          <w:szCs w:val="22"/>
          <w:lang w:eastAsia="sl-SI"/>
        </w:rPr>
        <w:t>amlodipino</w:t>
      </w:r>
      <w:proofErr w:type="spellEnd"/>
      <w:r>
        <w:rPr>
          <w:szCs w:val="22"/>
          <w:lang w:eastAsia="sl-SI"/>
        </w:rPr>
        <w:t xml:space="preserve"> dozių vartojimas kartu su 80 mg </w:t>
      </w:r>
      <w:proofErr w:type="spellStart"/>
      <w:r>
        <w:rPr>
          <w:szCs w:val="22"/>
          <w:lang w:eastAsia="sl-SI"/>
        </w:rPr>
        <w:t>simvastatino</w:t>
      </w:r>
      <w:proofErr w:type="spellEnd"/>
      <w:r>
        <w:rPr>
          <w:szCs w:val="22"/>
          <w:lang w:eastAsia="sl-SI"/>
        </w:rPr>
        <w:t xml:space="preserve"> doze 77 % </w:t>
      </w:r>
      <w:r>
        <w:rPr>
          <w:szCs w:val="22"/>
          <w:lang w:eastAsia="sl-SI"/>
        </w:rPr>
        <w:lastRenderedPageBreak/>
        <w:t xml:space="preserve">padidino </w:t>
      </w:r>
      <w:proofErr w:type="spellStart"/>
      <w:r>
        <w:rPr>
          <w:szCs w:val="22"/>
          <w:lang w:eastAsia="sl-SI"/>
        </w:rPr>
        <w:t>simvastatino</w:t>
      </w:r>
      <w:proofErr w:type="spellEnd"/>
      <w:r>
        <w:rPr>
          <w:szCs w:val="22"/>
          <w:lang w:eastAsia="sl-SI"/>
        </w:rPr>
        <w:t xml:space="preserve"> ekspoziciją, palyginti su būnančia vartojant vien </w:t>
      </w:r>
      <w:proofErr w:type="spellStart"/>
      <w:r>
        <w:rPr>
          <w:szCs w:val="22"/>
          <w:lang w:eastAsia="sl-SI"/>
        </w:rPr>
        <w:t>simvastatino</w:t>
      </w:r>
      <w:proofErr w:type="spellEnd"/>
      <w:r>
        <w:rPr>
          <w:szCs w:val="22"/>
          <w:lang w:eastAsia="sl-SI"/>
        </w:rPr>
        <w:t xml:space="preserve">. </w:t>
      </w:r>
      <w:proofErr w:type="spellStart"/>
      <w:r>
        <w:rPr>
          <w:szCs w:val="22"/>
          <w:lang w:eastAsia="sl-SI"/>
        </w:rPr>
        <w:t>Amlodipinu</w:t>
      </w:r>
      <w:proofErr w:type="spellEnd"/>
      <w:r>
        <w:rPr>
          <w:szCs w:val="22"/>
          <w:lang w:eastAsia="sl-SI"/>
        </w:rPr>
        <w:t xml:space="preserve"> gydomiems pacientams </w:t>
      </w:r>
      <w:proofErr w:type="spellStart"/>
      <w:r>
        <w:rPr>
          <w:szCs w:val="22"/>
          <w:lang w:eastAsia="sl-SI"/>
        </w:rPr>
        <w:t>simvastatino</w:t>
      </w:r>
      <w:proofErr w:type="spellEnd"/>
      <w:r>
        <w:rPr>
          <w:szCs w:val="22"/>
          <w:lang w:eastAsia="sl-SI"/>
        </w:rPr>
        <w:t xml:space="preserve"> paros dozė negali būti didesnė kaip 20 mg.</w:t>
      </w:r>
    </w:p>
    <w:p w14:paraId="5C9B11A5" w14:textId="77777777" w:rsidR="00D25008" w:rsidRDefault="00D25008">
      <w:pPr>
        <w:widowControl w:val="0"/>
        <w:outlineLvl w:val="0"/>
        <w:rPr>
          <w:szCs w:val="22"/>
          <w:lang w:eastAsia="sl-SI"/>
        </w:rPr>
      </w:pPr>
    </w:p>
    <w:p w14:paraId="4400C188" w14:textId="77777777" w:rsidR="00D25008" w:rsidRDefault="00FE2A61">
      <w:pPr>
        <w:widowControl w:val="0"/>
        <w:numPr>
          <w:ilvl w:val="12"/>
          <w:numId w:val="0"/>
        </w:numPr>
        <w:tabs>
          <w:tab w:val="left" w:pos="8505"/>
        </w:tabs>
        <w:ind w:right="-2"/>
        <w:rPr>
          <w:szCs w:val="22"/>
          <w:lang w:eastAsia="sl-SI"/>
        </w:rPr>
      </w:pPr>
      <w:r>
        <w:rPr>
          <w:szCs w:val="22"/>
          <w:lang w:eastAsia="sl-SI"/>
        </w:rPr>
        <w:t xml:space="preserve">Klinikinės sąveikos tyrimų metu nustatyta, kad </w:t>
      </w:r>
      <w:proofErr w:type="spellStart"/>
      <w:r>
        <w:rPr>
          <w:szCs w:val="22"/>
          <w:lang w:eastAsia="sl-SI"/>
        </w:rPr>
        <w:t>atorvastatino</w:t>
      </w:r>
      <w:proofErr w:type="spellEnd"/>
      <w:r>
        <w:rPr>
          <w:szCs w:val="22"/>
          <w:lang w:eastAsia="sl-SI"/>
        </w:rPr>
        <w:t xml:space="preserve">, </w:t>
      </w:r>
      <w:proofErr w:type="spellStart"/>
      <w:r>
        <w:rPr>
          <w:szCs w:val="22"/>
          <w:lang w:eastAsia="sl-SI"/>
        </w:rPr>
        <w:t>digoksino</w:t>
      </w:r>
      <w:proofErr w:type="spellEnd"/>
      <w:r>
        <w:rPr>
          <w:szCs w:val="22"/>
          <w:lang w:eastAsia="sl-SI"/>
        </w:rPr>
        <w:t xml:space="preserve"> arba varfarino farmakokinetikai </w:t>
      </w:r>
      <w:proofErr w:type="spellStart"/>
      <w:r>
        <w:rPr>
          <w:szCs w:val="22"/>
          <w:lang w:eastAsia="sl-SI"/>
        </w:rPr>
        <w:t>amlodipinas</w:t>
      </w:r>
      <w:proofErr w:type="spellEnd"/>
      <w:r>
        <w:rPr>
          <w:szCs w:val="22"/>
          <w:lang w:eastAsia="sl-SI"/>
        </w:rPr>
        <w:t xml:space="preserve"> įtakos neturi.</w:t>
      </w:r>
    </w:p>
    <w:p w14:paraId="6C0D4908" w14:textId="77777777" w:rsidR="00D25008" w:rsidRDefault="00D25008">
      <w:pPr>
        <w:widowControl w:val="0"/>
        <w:tabs>
          <w:tab w:val="left" w:pos="567"/>
        </w:tabs>
        <w:rPr>
          <w:szCs w:val="22"/>
        </w:rPr>
      </w:pPr>
    </w:p>
    <w:p w14:paraId="54B7B4D0" w14:textId="77777777" w:rsidR="00D25008" w:rsidRDefault="00FE2A61">
      <w:pPr>
        <w:widowControl w:val="0"/>
        <w:tabs>
          <w:tab w:val="left" w:pos="567"/>
        </w:tabs>
        <w:rPr>
          <w:szCs w:val="22"/>
          <w:lang w:eastAsia="sl-SI"/>
        </w:rPr>
      </w:pPr>
      <w:r>
        <w:rPr>
          <w:b/>
          <w:szCs w:val="22"/>
          <w:lang w:eastAsia="sl-SI"/>
        </w:rPr>
        <w:t>4.6</w:t>
      </w:r>
      <w:r>
        <w:rPr>
          <w:b/>
          <w:szCs w:val="22"/>
          <w:lang w:eastAsia="sl-SI"/>
        </w:rPr>
        <w:tab/>
        <w:t>Vaisingumas, nėštumo ir žindymo laikotarpis</w:t>
      </w:r>
    </w:p>
    <w:p w14:paraId="26A0619C" w14:textId="77777777" w:rsidR="00D25008" w:rsidRDefault="00D25008">
      <w:pPr>
        <w:autoSpaceDE w:val="0"/>
        <w:autoSpaceDN w:val="0"/>
        <w:adjustRightInd w:val="0"/>
        <w:rPr>
          <w:szCs w:val="22"/>
          <w:u w:val="single"/>
          <w:lang w:eastAsia="sl-SI"/>
        </w:rPr>
      </w:pPr>
    </w:p>
    <w:p w14:paraId="71CD7389" w14:textId="77777777" w:rsidR="00D25008" w:rsidRDefault="00FE2A61">
      <w:pPr>
        <w:autoSpaceDE w:val="0"/>
        <w:autoSpaceDN w:val="0"/>
        <w:adjustRightInd w:val="0"/>
        <w:rPr>
          <w:szCs w:val="22"/>
          <w:u w:val="single"/>
          <w:lang w:eastAsia="sl-SI"/>
        </w:rPr>
      </w:pPr>
      <w:r>
        <w:rPr>
          <w:szCs w:val="22"/>
          <w:u w:val="single"/>
          <w:lang w:eastAsia="sl-SI"/>
        </w:rPr>
        <w:t>Nėštumas</w:t>
      </w:r>
    </w:p>
    <w:p w14:paraId="71D6551D" w14:textId="77777777" w:rsidR="00D25008" w:rsidRDefault="00D25008">
      <w:pPr>
        <w:autoSpaceDE w:val="0"/>
        <w:autoSpaceDN w:val="0"/>
        <w:adjustRightInd w:val="0"/>
        <w:rPr>
          <w:szCs w:val="20"/>
          <w:u w:val="single"/>
          <w:lang w:eastAsia="sl-SI"/>
        </w:rPr>
      </w:pPr>
    </w:p>
    <w:p w14:paraId="468C2D99" w14:textId="77777777" w:rsidR="00D25008" w:rsidRDefault="00FE2A61">
      <w:pPr>
        <w:widowControl w:val="0"/>
        <w:tabs>
          <w:tab w:val="left" w:pos="567"/>
        </w:tabs>
        <w:rPr>
          <w:b/>
          <w:szCs w:val="22"/>
          <w:lang w:eastAsia="sl-SI"/>
        </w:rPr>
      </w:pPr>
      <w:proofErr w:type="spellStart"/>
      <w:r>
        <w:rPr>
          <w:szCs w:val="22"/>
          <w:lang w:eastAsia="sl-SI"/>
        </w:rPr>
        <w:t>Tolvecom</w:t>
      </w:r>
      <w:proofErr w:type="spellEnd"/>
      <w:r>
        <w:rPr>
          <w:szCs w:val="22"/>
          <w:lang w:eastAsia="sl-SI"/>
        </w:rPr>
        <w:t xml:space="preserve"> draudžiama vartoti antruoju ir trečiuoju nėštumo trimestrais (žr. 4.3 skyrių).</w:t>
      </w:r>
    </w:p>
    <w:p w14:paraId="0ABE2E5C" w14:textId="77777777" w:rsidR="00D25008" w:rsidRDefault="00FE2A61">
      <w:pPr>
        <w:autoSpaceDE w:val="0"/>
        <w:autoSpaceDN w:val="0"/>
        <w:adjustRightInd w:val="0"/>
        <w:rPr>
          <w:b/>
          <w:i/>
          <w:szCs w:val="20"/>
          <w:lang w:eastAsia="sl-SI"/>
        </w:rPr>
      </w:pPr>
      <w:proofErr w:type="spellStart"/>
      <w:r>
        <w:rPr>
          <w:szCs w:val="22"/>
          <w:lang w:eastAsia="sl-SI"/>
        </w:rPr>
        <w:t>Tolvecom</w:t>
      </w:r>
      <w:proofErr w:type="spellEnd"/>
      <w:r>
        <w:rPr>
          <w:szCs w:val="22"/>
          <w:lang w:eastAsia="sl-SI"/>
        </w:rPr>
        <w:t xml:space="preserve"> nerekomenduojama vartoti pirmąjį nėštumo trimestrą ir jis gali būti vartojamas tik tada, kai nėra saugesnės alternatyvos ir kai pati liga kelia didesnę riziką motinai ir vaisiui (žr. 4.4 skyrių). </w:t>
      </w:r>
    </w:p>
    <w:p w14:paraId="3D0548DA" w14:textId="77777777" w:rsidR="00D25008" w:rsidRDefault="00D25008">
      <w:pPr>
        <w:autoSpaceDE w:val="0"/>
        <w:autoSpaceDN w:val="0"/>
        <w:adjustRightInd w:val="0"/>
        <w:rPr>
          <w:szCs w:val="22"/>
          <w:lang w:eastAsia="sl-SI"/>
        </w:rPr>
      </w:pPr>
    </w:p>
    <w:p w14:paraId="0EC8AD56" w14:textId="77777777" w:rsidR="00D25008" w:rsidRDefault="00FE2A61">
      <w:pPr>
        <w:autoSpaceDE w:val="0"/>
        <w:autoSpaceDN w:val="0"/>
        <w:adjustRightInd w:val="0"/>
        <w:rPr>
          <w:szCs w:val="22"/>
          <w:lang w:eastAsia="sl-SI"/>
        </w:rPr>
      </w:pPr>
      <w:r>
        <w:rPr>
          <w:szCs w:val="22"/>
          <w:lang w:eastAsia="sl-SI"/>
        </w:rPr>
        <w:t xml:space="preserve">Reikiamų duomenų apie </w:t>
      </w:r>
      <w:proofErr w:type="spellStart"/>
      <w:r>
        <w:rPr>
          <w:szCs w:val="22"/>
          <w:lang w:eastAsia="sl-SI"/>
        </w:rPr>
        <w:t>telmisartano</w:t>
      </w:r>
      <w:proofErr w:type="spellEnd"/>
      <w:r>
        <w:rPr>
          <w:szCs w:val="22"/>
          <w:lang w:eastAsia="sl-SI"/>
        </w:rPr>
        <w:t xml:space="preserve"> ir </w:t>
      </w:r>
      <w:proofErr w:type="spellStart"/>
      <w:r>
        <w:rPr>
          <w:szCs w:val="22"/>
          <w:lang w:eastAsia="sl-SI"/>
        </w:rPr>
        <w:t>hidrochlorotiazido</w:t>
      </w:r>
      <w:proofErr w:type="spellEnd"/>
      <w:r>
        <w:rPr>
          <w:szCs w:val="22"/>
          <w:lang w:eastAsia="sl-SI"/>
        </w:rPr>
        <w:t xml:space="preserve"> vartojimą nėštumo metu nėra. Su gyvūnais atlikti tyrimai parodė toksinį poveikį reprodukcijai (žr. 5.3 skyrių).</w:t>
      </w:r>
    </w:p>
    <w:p w14:paraId="43AE836D" w14:textId="77777777" w:rsidR="00D25008" w:rsidRDefault="00D25008">
      <w:pPr>
        <w:autoSpaceDE w:val="0"/>
        <w:autoSpaceDN w:val="0"/>
        <w:adjustRightInd w:val="0"/>
        <w:rPr>
          <w:szCs w:val="22"/>
          <w:lang w:eastAsia="sl-SI"/>
        </w:rPr>
      </w:pPr>
    </w:p>
    <w:p w14:paraId="18F4B581" w14:textId="5FF3730C" w:rsidR="00D25008" w:rsidRDefault="00FE2A61">
      <w:pPr>
        <w:autoSpaceDE w:val="0"/>
        <w:autoSpaceDN w:val="0"/>
        <w:adjustRightInd w:val="0"/>
        <w:rPr>
          <w:szCs w:val="22"/>
          <w:lang w:eastAsia="sl-SI"/>
        </w:rPr>
      </w:pPr>
      <w:r>
        <w:rPr>
          <w:szCs w:val="22"/>
          <w:lang w:eastAsia="sl-SI"/>
        </w:rPr>
        <w:t xml:space="preserve">Epidemiologinių tyrimų duomenys dėl pirmuoju nėštumo trimestru vartojamų AKF inhibitorių </w:t>
      </w:r>
      <w:proofErr w:type="spellStart"/>
      <w:r>
        <w:rPr>
          <w:szCs w:val="22"/>
          <w:lang w:eastAsia="sl-SI"/>
        </w:rPr>
        <w:t>teratogeninio</w:t>
      </w:r>
      <w:proofErr w:type="spellEnd"/>
      <w:r>
        <w:rPr>
          <w:szCs w:val="22"/>
          <w:lang w:eastAsia="sl-SI"/>
        </w:rPr>
        <w:t xml:space="preserve"> poveikio nėra galutiniai, tačiau nedidelio rizikos padidėjimo atmesti negalima. Nors kontrolinių epidemiologinių tyrimų duomenų apie </w:t>
      </w:r>
      <w:proofErr w:type="spellStart"/>
      <w:r>
        <w:rPr>
          <w:szCs w:val="22"/>
          <w:lang w:eastAsia="sl-SI"/>
        </w:rPr>
        <w:t>angiotenzino</w:t>
      </w:r>
      <w:proofErr w:type="spellEnd"/>
      <w:r>
        <w:rPr>
          <w:szCs w:val="22"/>
          <w:lang w:eastAsia="sl-SI"/>
        </w:rPr>
        <w:t xml:space="preserve"> II receptorių </w:t>
      </w:r>
      <w:r w:rsidR="001C4737">
        <w:rPr>
          <w:szCs w:val="22"/>
          <w:lang w:eastAsia="sl-SI"/>
        </w:rPr>
        <w:t>blokatorių</w:t>
      </w:r>
      <w:r>
        <w:rPr>
          <w:szCs w:val="22"/>
          <w:lang w:eastAsia="sl-SI"/>
        </w:rPr>
        <w:t xml:space="preserve"> keliamą riziką nėra, tačiau ji gali būti tokia pati, kaip ir gydymo kitais šios klasės vaistiniais preparatais metu. Išskyrus atvejus, kai tolesnis gydymas </w:t>
      </w:r>
      <w:proofErr w:type="spellStart"/>
      <w:r>
        <w:rPr>
          <w:szCs w:val="22"/>
          <w:lang w:eastAsia="sl-SI"/>
        </w:rPr>
        <w:t>angiotenzino</w:t>
      </w:r>
      <w:proofErr w:type="spellEnd"/>
      <w:r>
        <w:rPr>
          <w:szCs w:val="22"/>
          <w:lang w:eastAsia="sl-SI"/>
        </w:rPr>
        <w:t xml:space="preserve"> II receptorių </w:t>
      </w:r>
      <w:r w:rsidR="001C4737">
        <w:rPr>
          <w:szCs w:val="22"/>
          <w:lang w:eastAsia="sl-SI"/>
        </w:rPr>
        <w:t>blokatoriais</w:t>
      </w:r>
      <w:r>
        <w:rPr>
          <w:szCs w:val="22"/>
          <w:lang w:eastAsia="sl-SI"/>
        </w:rPr>
        <w:t xml:space="preserve"> yra būtinas, pastoti planuojančioms moterims juos reikia keisti kitokiais </w:t>
      </w:r>
      <w:proofErr w:type="spellStart"/>
      <w:r>
        <w:rPr>
          <w:szCs w:val="22"/>
          <w:lang w:eastAsia="sl-SI"/>
        </w:rPr>
        <w:t>antihipertenziniais</w:t>
      </w:r>
      <w:proofErr w:type="spellEnd"/>
      <w:r>
        <w:rPr>
          <w:szCs w:val="22"/>
          <w:lang w:eastAsia="sl-SI"/>
        </w:rPr>
        <w:t xml:space="preserve"> vaistiniais preparatais, kurių vartojimo saugumas nėštumo metu ištirtas. Nustačius nėštumą, </w:t>
      </w:r>
      <w:proofErr w:type="spellStart"/>
      <w:r>
        <w:rPr>
          <w:szCs w:val="22"/>
          <w:lang w:eastAsia="sl-SI"/>
        </w:rPr>
        <w:t>angiotenzino</w:t>
      </w:r>
      <w:proofErr w:type="spellEnd"/>
      <w:r>
        <w:rPr>
          <w:szCs w:val="22"/>
          <w:lang w:eastAsia="sl-SI"/>
        </w:rPr>
        <w:t xml:space="preserve"> II receptorių </w:t>
      </w:r>
      <w:r w:rsidR="001C4737">
        <w:rPr>
          <w:szCs w:val="22"/>
          <w:lang w:eastAsia="sl-SI"/>
        </w:rPr>
        <w:t>blokatorių</w:t>
      </w:r>
      <w:r>
        <w:rPr>
          <w:szCs w:val="22"/>
          <w:lang w:eastAsia="sl-SI"/>
        </w:rPr>
        <w:t xml:space="preserve"> vartojimą būtina nedelsiant nutraukti ir, jei reikia, skirti kitokį tinkamą gydymą.</w:t>
      </w:r>
    </w:p>
    <w:p w14:paraId="7EE3E595" w14:textId="7C813EE7" w:rsidR="00D25008" w:rsidRDefault="00FE2A61">
      <w:pPr>
        <w:autoSpaceDE w:val="0"/>
        <w:autoSpaceDN w:val="0"/>
        <w:adjustRightInd w:val="0"/>
        <w:rPr>
          <w:szCs w:val="22"/>
          <w:lang w:eastAsia="sl-SI"/>
        </w:rPr>
      </w:pPr>
      <w:r>
        <w:rPr>
          <w:szCs w:val="22"/>
          <w:lang w:eastAsia="sl-SI"/>
        </w:rPr>
        <w:t xml:space="preserve">Žinoma, kad antruoju arba trečiuoju nėštumo trimestrais vartojami </w:t>
      </w:r>
      <w:proofErr w:type="spellStart"/>
      <w:r>
        <w:rPr>
          <w:szCs w:val="22"/>
          <w:lang w:eastAsia="sl-SI"/>
        </w:rPr>
        <w:t>angiotenzino</w:t>
      </w:r>
      <w:proofErr w:type="spellEnd"/>
      <w:r>
        <w:rPr>
          <w:szCs w:val="22"/>
          <w:lang w:eastAsia="sl-SI"/>
        </w:rPr>
        <w:t xml:space="preserve"> II receptorių </w:t>
      </w:r>
      <w:r w:rsidR="001C4737">
        <w:rPr>
          <w:szCs w:val="22"/>
          <w:lang w:eastAsia="sl-SI"/>
        </w:rPr>
        <w:t>blokatoriai</w:t>
      </w:r>
      <w:r>
        <w:rPr>
          <w:szCs w:val="22"/>
          <w:lang w:eastAsia="sl-SI"/>
        </w:rPr>
        <w:t xml:space="preserve"> sukelia toksinį poveikį žmogaus vaisiui (inkstų funkcijos susilpnėjimą, </w:t>
      </w:r>
      <w:proofErr w:type="spellStart"/>
      <w:r>
        <w:rPr>
          <w:szCs w:val="22"/>
          <w:lang w:eastAsia="sl-SI"/>
        </w:rPr>
        <w:t>oligohidramnioną</w:t>
      </w:r>
      <w:proofErr w:type="spellEnd"/>
      <w:r>
        <w:rPr>
          <w:szCs w:val="22"/>
          <w:lang w:eastAsia="sl-SI"/>
        </w:rPr>
        <w:t xml:space="preserve">, kaukolės kaulėjimo sulėtėjimą) ir naujagimiui (inkstų nepakankamumą, </w:t>
      </w:r>
      <w:proofErr w:type="spellStart"/>
      <w:r>
        <w:rPr>
          <w:szCs w:val="22"/>
          <w:lang w:eastAsia="sl-SI"/>
        </w:rPr>
        <w:t>hipotenziją</w:t>
      </w:r>
      <w:proofErr w:type="spellEnd"/>
      <w:r>
        <w:rPr>
          <w:szCs w:val="22"/>
          <w:lang w:eastAsia="sl-SI"/>
        </w:rPr>
        <w:t xml:space="preserve">, </w:t>
      </w:r>
      <w:proofErr w:type="spellStart"/>
      <w:r>
        <w:rPr>
          <w:szCs w:val="22"/>
          <w:lang w:eastAsia="sl-SI"/>
        </w:rPr>
        <w:t>hiperkalemiją</w:t>
      </w:r>
      <w:proofErr w:type="spellEnd"/>
      <w:r>
        <w:rPr>
          <w:szCs w:val="22"/>
          <w:lang w:eastAsia="sl-SI"/>
        </w:rPr>
        <w:t xml:space="preserve">) (žr. 5.3 skyrių). Jeigu moteris antruoju arba trečiuoju nėštumo trimestru vartojo </w:t>
      </w:r>
      <w:proofErr w:type="spellStart"/>
      <w:r>
        <w:rPr>
          <w:szCs w:val="22"/>
          <w:lang w:eastAsia="sl-SI"/>
        </w:rPr>
        <w:t>angiotenzino</w:t>
      </w:r>
      <w:proofErr w:type="spellEnd"/>
      <w:r>
        <w:rPr>
          <w:szCs w:val="22"/>
          <w:lang w:eastAsia="sl-SI"/>
        </w:rPr>
        <w:t xml:space="preserve"> II receptorių </w:t>
      </w:r>
      <w:r w:rsidR="001C4737">
        <w:rPr>
          <w:szCs w:val="22"/>
          <w:lang w:eastAsia="sl-SI"/>
        </w:rPr>
        <w:t>blokatorių</w:t>
      </w:r>
      <w:r>
        <w:rPr>
          <w:szCs w:val="22"/>
          <w:lang w:eastAsia="sl-SI"/>
        </w:rPr>
        <w:t>, reikia ultragarsu stebėti jos vaisiaus inkstų funkciją ir kaukolę.</w:t>
      </w:r>
    </w:p>
    <w:p w14:paraId="07EB8F86" w14:textId="05570F25" w:rsidR="00D25008" w:rsidRDefault="00FE2A61">
      <w:pPr>
        <w:autoSpaceDE w:val="0"/>
        <w:autoSpaceDN w:val="0"/>
        <w:adjustRightInd w:val="0"/>
        <w:rPr>
          <w:szCs w:val="22"/>
          <w:lang w:eastAsia="sl-SI"/>
        </w:rPr>
      </w:pPr>
      <w:r>
        <w:rPr>
          <w:szCs w:val="22"/>
          <w:lang w:eastAsia="sl-SI"/>
        </w:rPr>
        <w:t xml:space="preserve">Reikia atidžiai stebėti, ar naujagimiams, kurių motinos nėštumo metu vartojo </w:t>
      </w:r>
      <w:proofErr w:type="spellStart"/>
      <w:r>
        <w:rPr>
          <w:szCs w:val="22"/>
          <w:lang w:eastAsia="sl-SI"/>
        </w:rPr>
        <w:t>angiotenzino</w:t>
      </w:r>
      <w:proofErr w:type="spellEnd"/>
      <w:r>
        <w:rPr>
          <w:szCs w:val="22"/>
          <w:lang w:eastAsia="sl-SI"/>
        </w:rPr>
        <w:t xml:space="preserve"> II receptorių </w:t>
      </w:r>
      <w:r w:rsidR="001C4737">
        <w:rPr>
          <w:szCs w:val="22"/>
          <w:lang w:eastAsia="sl-SI"/>
        </w:rPr>
        <w:t>blokatorių</w:t>
      </w:r>
      <w:r>
        <w:rPr>
          <w:szCs w:val="22"/>
          <w:lang w:eastAsia="sl-SI"/>
        </w:rPr>
        <w:t xml:space="preserve">, nepasireiškia </w:t>
      </w:r>
      <w:proofErr w:type="spellStart"/>
      <w:r>
        <w:rPr>
          <w:szCs w:val="22"/>
          <w:lang w:eastAsia="sl-SI"/>
        </w:rPr>
        <w:t>hipotenzija</w:t>
      </w:r>
      <w:proofErr w:type="spellEnd"/>
      <w:r>
        <w:rPr>
          <w:szCs w:val="22"/>
          <w:lang w:eastAsia="sl-SI"/>
        </w:rPr>
        <w:t xml:space="preserve"> (žr. 4.3 ir 4.4 skyrius).</w:t>
      </w:r>
    </w:p>
    <w:p w14:paraId="72EDCE09" w14:textId="77777777" w:rsidR="00D25008" w:rsidRDefault="00D25008">
      <w:pPr>
        <w:autoSpaceDE w:val="0"/>
        <w:autoSpaceDN w:val="0"/>
        <w:adjustRightInd w:val="0"/>
        <w:rPr>
          <w:szCs w:val="22"/>
          <w:lang w:eastAsia="sl-SI"/>
        </w:rPr>
      </w:pPr>
    </w:p>
    <w:p w14:paraId="28061E9D" w14:textId="77777777" w:rsidR="00D25008" w:rsidRDefault="00FE2A61">
      <w:pPr>
        <w:autoSpaceDE w:val="0"/>
        <w:autoSpaceDN w:val="0"/>
        <w:adjustRightInd w:val="0"/>
        <w:rPr>
          <w:bCs/>
          <w:iCs/>
          <w:szCs w:val="22"/>
          <w:lang w:eastAsia="sl-SI"/>
        </w:rPr>
      </w:pPr>
      <w:proofErr w:type="spellStart"/>
      <w:r>
        <w:rPr>
          <w:bCs/>
          <w:iCs/>
          <w:szCs w:val="22"/>
          <w:lang w:eastAsia="sl-SI"/>
        </w:rPr>
        <w:t>Hidrochlorotiazido</w:t>
      </w:r>
      <w:proofErr w:type="spellEnd"/>
      <w:r>
        <w:rPr>
          <w:bCs/>
          <w:iCs/>
          <w:szCs w:val="22"/>
          <w:lang w:eastAsia="sl-SI"/>
        </w:rPr>
        <w:t xml:space="preserve"> vartojimo nėštumo metu, ypač pirmuoju trimestru, patirtis yra ribota. Tyrimų su gyvūnais atlikta nepakankamai.</w:t>
      </w:r>
      <w:r>
        <w:rPr>
          <w:sz w:val="24"/>
          <w:szCs w:val="20"/>
          <w:lang w:eastAsia="sl-SI"/>
        </w:rPr>
        <w:t xml:space="preserve"> </w:t>
      </w:r>
      <w:proofErr w:type="spellStart"/>
      <w:r>
        <w:rPr>
          <w:bCs/>
          <w:iCs/>
          <w:szCs w:val="22"/>
          <w:lang w:eastAsia="sl-SI"/>
        </w:rPr>
        <w:t>Hidrochlorotiazidas</w:t>
      </w:r>
      <w:proofErr w:type="spellEnd"/>
      <w:r>
        <w:rPr>
          <w:bCs/>
          <w:iCs/>
          <w:szCs w:val="22"/>
          <w:lang w:eastAsia="sl-SI"/>
        </w:rPr>
        <w:t xml:space="preserve"> prasiskverbia per placentos barjerą. Remiantis </w:t>
      </w:r>
      <w:proofErr w:type="spellStart"/>
      <w:r>
        <w:rPr>
          <w:bCs/>
          <w:iCs/>
          <w:szCs w:val="22"/>
          <w:lang w:eastAsia="sl-SI"/>
        </w:rPr>
        <w:t>hidrochlorotiazido</w:t>
      </w:r>
      <w:proofErr w:type="spellEnd"/>
      <w:r>
        <w:rPr>
          <w:bCs/>
          <w:iCs/>
          <w:szCs w:val="22"/>
          <w:lang w:eastAsia="sl-SI"/>
        </w:rPr>
        <w:t xml:space="preserve"> farmakologinio veikimo mechanizmu, jo vartojimas antruoju ir trečiuoju nėštumo trimestrais gali sutrikdyti vaisiaus-placentos kraujotaką ir sukelti poveikį vaisiui ir naujagimiui, pavyzdžiui, geltą, elektrolitų pusiausvyros sutrikimus ir </w:t>
      </w:r>
      <w:proofErr w:type="spellStart"/>
      <w:r>
        <w:rPr>
          <w:bCs/>
          <w:iCs/>
          <w:szCs w:val="22"/>
          <w:lang w:eastAsia="sl-SI"/>
        </w:rPr>
        <w:t>trombocitopeniją</w:t>
      </w:r>
      <w:proofErr w:type="spellEnd"/>
      <w:r>
        <w:rPr>
          <w:bCs/>
          <w:iCs/>
          <w:szCs w:val="22"/>
          <w:lang w:eastAsia="sl-SI"/>
        </w:rPr>
        <w:t>.</w:t>
      </w:r>
    </w:p>
    <w:p w14:paraId="0DD143E1" w14:textId="77777777" w:rsidR="00D25008" w:rsidRDefault="00D25008">
      <w:pPr>
        <w:autoSpaceDE w:val="0"/>
        <w:autoSpaceDN w:val="0"/>
        <w:adjustRightInd w:val="0"/>
        <w:rPr>
          <w:bCs/>
          <w:iCs/>
          <w:szCs w:val="22"/>
          <w:lang w:eastAsia="sl-SI"/>
        </w:rPr>
      </w:pPr>
    </w:p>
    <w:p w14:paraId="3025D639" w14:textId="77777777" w:rsidR="00D25008" w:rsidRDefault="00FE2A61">
      <w:pPr>
        <w:autoSpaceDE w:val="0"/>
        <w:autoSpaceDN w:val="0"/>
        <w:adjustRightInd w:val="0"/>
        <w:rPr>
          <w:bCs/>
          <w:iCs/>
          <w:szCs w:val="22"/>
          <w:lang w:eastAsia="sl-SI"/>
        </w:rPr>
      </w:pPr>
      <w:r>
        <w:rPr>
          <w:bCs/>
          <w:iCs/>
          <w:szCs w:val="22"/>
          <w:lang w:eastAsia="sl-SI"/>
        </w:rPr>
        <w:t xml:space="preserve">Nėščiųjų edemai, nėščiųjų hipertenzijai ar </w:t>
      </w:r>
      <w:proofErr w:type="spellStart"/>
      <w:r>
        <w:rPr>
          <w:bCs/>
          <w:iCs/>
          <w:szCs w:val="22"/>
          <w:lang w:eastAsia="sl-SI"/>
        </w:rPr>
        <w:t>preeklampsijai</w:t>
      </w:r>
      <w:proofErr w:type="spellEnd"/>
      <w:r>
        <w:rPr>
          <w:bCs/>
          <w:iCs/>
          <w:szCs w:val="22"/>
          <w:lang w:eastAsia="sl-SI"/>
        </w:rPr>
        <w:t xml:space="preserve"> gydyti </w:t>
      </w:r>
      <w:proofErr w:type="spellStart"/>
      <w:r>
        <w:rPr>
          <w:bCs/>
          <w:iCs/>
          <w:szCs w:val="22"/>
          <w:lang w:eastAsia="sl-SI"/>
        </w:rPr>
        <w:t>hidrochlorotiazido</w:t>
      </w:r>
      <w:proofErr w:type="spellEnd"/>
      <w:r>
        <w:rPr>
          <w:bCs/>
          <w:iCs/>
          <w:szCs w:val="22"/>
          <w:lang w:eastAsia="sl-SI"/>
        </w:rPr>
        <w:t xml:space="preserve"> vartoti negalima, nes kyla kraujo plazmos tūrio sumažėjimo ir placentos </w:t>
      </w:r>
      <w:proofErr w:type="spellStart"/>
      <w:r>
        <w:rPr>
          <w:bCs/>
          <w:iCs/>
          <w:szCs w:val="22"/>
          <w:lang w:eastAsia="sl-SI"/>
        </w:rPr>
        <w:t>hipoperfuzijos</w:t>
      </w:r>
      <w:proofErr w:type="spellEnd"/>
      <w:r>
        <w:rPr>
          <w:bCs/>
          <w:iCs/>
          <w:szCs w:val="22"/>
          <w:lang w:eastAsia="sl-SI"/>
        </w:rPr>
        <w:t xml:space="preserve"> rizika, o palankaus poveikio ligos eigai nepasireiškia.</w:t>
      </w:r>
    </w:p>
    <w:p w14:paraId="36980720" w14:textId="77777777" w:rsidR="00D25008" w:rsidRDefault="00D25008">
      <w:pPr>
        <w:autoSpaceDE w:val="0"/>
        <w:autoSpaceDN w:val="0"/>
        <w:adjustRightInd w:val="0"/>
        <w:rPr>
          <w:bCs/>
          <w:iCs/>
          <w:szCs w:val="22"/>
          <w:lang w:eastAsia="sl-SI"/>
        </w:rPr>
      </w:pPr>
    </w:p>
    <w:p w14:paraId="015615DE" w14:textId="77777777" w:rsidR="00D25008" w:rsidRDefault="00FE2A61">
      <w:pPr>
        <w:autoSpaceDE w:val="0"/>
        <w:autoSpaceDN w:val="0"/>
        <w:adjustRightInd w:val="0"/>
        <w:rPr>
          <w:bCs/>
          <w:iCs/>
          <w:szCs w:val="22"/>
          <w:lang w:eastAsia="sl-SI"/>
        </w:rPr>
      </w:pPr>
      <w:proofErr w:type="spellStart"/>
      <w:r>
        <w:rPr>
          <w:bCs/>
          <w:iCs/>
          <w:szCs w:val="22"/>
          <w:lang w:eastAsia="sl-SI"/>
        </w:rPr>
        <w:t>Hidrochlorotiazido</w:t>
      </w:r>
      <w:proofErr w:type="spellEnd"/>
      <w:r>
        <w:rPr>
          <w:bCs/>
          <w:iCs/>
          <w:szCs w:val="22"/>
          <w:lang w:eastAsia="sl-SI"/>
        </w:rPr>
        <w:t xml:space="preserve"> negalima vartoti nėščiųjų pirminei hipertenzijai gydyti, išskyrus retus atvejus, kai negalima skirti jokio kitokio gydymo.</w:t>
      </w:r>
    </w:p>
    <w:p w14:paraId="5E91A4D0" w14:textId="77777777" w:rsidR="00D25008" w:rsidRDefault="00D25008">
      <w:pPr>
        <w:autoSpaceDE w:val="0"/>
        <w:autoSpaceDN w:val="0"/>
        <w:adjustRightInd w:val="0"/>
        <w:rPr>
          <w:bCs/>
          <w:iCs/>
          <w:szCs w:val="22"/>
          <w:lang w:eastAsia="sl-SI"/>
        </w:rPr>
      </w:pPr>
    </w:p>
    <w:p w14:paraId="146C9E20" w14:textId="77777777" w:rsidR="00D25008" w:rsidRDefault="00FE2A61">
      <w:pPr>
        <w:autoSpaceDE w:val="0"/>
        <w:autoSpaceDN w:val="0"/>
        <w:adjustRightInd w:val="0"/>
        <w:rPr>
          <w:szCs w:val="22"/>
          <w:lang w:eastAsia="sl-SI"/>
        </w:rPr>
      </w:pPr>
      <w:proofErr w:type="spellStart"/>
      <w:r>
        <w:rPr>
          <w:bCs/>
          <w:iCs/>
          <w:szCs w:val="22"/>
          <w:lang w:eastAsia="sl-SI"/>
        </w:rPr>
        <w:t>Amlodipino</w:t>
      </w:r>
      <w:proofErr w:type="spellEnd"/>
      <w:r>
        <w:rPr>
          <w:bCs/>
          <w:iCs/>
          <w:szCs w:val="22"/>
          <w:lang w:eastAsia="sl-SI"/>
        </w:rPr>
        <w:t xml:space="preserve"> saugumas jo vartojant nėštumo laikotarpiu neištirtas. Su gyvūnais atlikti tyrimai parodė didelių dozių toksinį poveikį reprodukcijai (žr. 5.3 skyrių).</w:t>
      </w:r>
    </w:p>
    <w:p w14:paraId="25FAF969" w14:textId="77777777" w:rsidR="00D25008" w:rsidRDefault="00D25008">
      <w:pPr>
        <w:autoSpaceDE w:val="0"/>
        <w:autoSpaceDN w:val="0"/>
        <w:adjustRightInd w:val="0"/>
        <w:rPr>
          <w:szCs w:val="22"/>
          <w:u w:val="single"/>
          <w:lang w:eastAsia="sl-SI"/>
        </w:rPr>
      </w:pPr>
    </w:p>
    <w:p w14:paraId="283EE512" w14:textId="77777777" w:rsidR="00D25008" w:rsidRDefault="00FE2A61">
      <w:pPr>
        <w:autoSpaceDE w:val="0"/>
        <w:autoSpaceDN w:val="0"/>
        <w:adjustRightInd w:val="0"/>
        <w:rPr>
          <w:szCs w:val="22"/>
          <w:u w:val="single"/>
          <w:lang w:eastAsia="sl-SI"/>
        </w:rPr>
      </w:pPr>
      <w:r>
        <w:rPr>
          <w:szCs w:val="22"/>
          <w:u w:val="single"/>
          <w:lang w:eastAsia="sl-SI"/>
        </w:rPr>
        <w:t>Žindymas</w:t>
      </w:r>
    </w:p>
    <w:p w14:paraId="0FE6B8A9" w14:textId="77777777" w:rsidR="00D25008" w:rsidRDefault="00FE2A61">
      <w:pPr>
        <w:autoSpaceDE w:val="0"/>
        <w:autoSpaceDN w:val="0"/>
        <w:adjustRightInd w:val="0"/>
        <w:rPr>
          <w:color w:val="000000"/>
          <w:szCs w:val="20"/>
          <w:lang w:eastAsia="sl-SI"/>
        </w:rPr>
      </w:pPr>
      <w:r>
        <w:rPr>
          <w:color w:val="000000"/>
          <w:szCs w:val="22"/>
          <w:lang w:eastAsia="sl-SI"/>
        </w:rPr>
        <w:t xml:space="preserve">Žindymo laikotarpiu </w:t>
      </w:r>
      <w:proofErr w:type="spellStart"/>
      <w:r>
        <w:rPr>
          <w:color w:val="000000"/>
          <w:szCs w:val="22"/>
          <w:lang w:eastAsia="sl-SI"/>
        </w:rPr>
        <w:t>Tolvecom</w:t>
      </w:r>
      <w:proofErr w:type="spellEnd"/>
      <w:r>
        <w:rPr>
          <w:color w:val="000000"/>
          <w:szCs w:val="22"/>
          <w:lang w:eastAsia="sl-SI"/>
        </w:rPr>
        <w:t xml:space="preserve"> vartoti nerekomenduojama. Rekomenduojama vartoti alternatyvių vaistinių preparatų, kurių vartojimo žindymo laikotarpiu saugumas yra geriau ištirtas, ypač jei krūtimi maitinamas naujagimis ar neišnešiotas kūdikis</w:t>
      </w:r>
      <w:r>
        <w:rPr>
          <w:color w:val="000000"/>
          <w:szCs w:val="20"/>
          <w:lang w:eastAsia="sl-SI"/>
        </w:rPr>
        <w:t>.</w:t>
      </w:r>
    </w:p>
    <w:p w14:paraId="2146EC0F" w14:textId="77777777" w:rsidR="00D25008" w:rsidRDefault="00D25008">
      <w:pPr>
        <w:autoSpaceDE w:val="0"/>
        <w:autoSpaceDN w:val="0"/>
        <w:adjustRightInd w:val="0"/>
        <w:rPr>
          <w:szCs w:val="22"/>
          <w:lang w:eastAsia="sl-SI"/>
        </w:rPr>
      </w:pPr>
    </w:p>
    <w:p w14:paraId="38DACBEC" w14:textId="77777777" w:rsidR="00D25008" w:rsidRDefault="00FE2A61">
      <w:pPr>
        <w:autoSpaceDE w:val="0"/>
        <w:autoSpaceDN w:val="0"/>
        <w:adjustRightInd w:val="0"/>
        <w:rPr>
          <w:szCs w:val="22"/>
          <w:lang w:eastAsia="sl-SI"/>
        </w:rPr>
      </w:pPr>
      <w:r>
        <w:rPr>
          <w:szCs w:val="22"/>
          <w:lang w:eastAsia="sl-SI"/>
        </w:rPr>
        <w:t xml:space="preserve">Duomenų apie </w:t>
      </w:r>
      <w:proofErr w:type="spellStart"/>
      <w:r>
        <w:rPr>
          <w:szCs w:val="22"/>
          <w:lang w:eastAsia="sl-SI"/>
        </w:rPr>
        <w:t>telmisartano</w:t>
      </w:r>
      <w:proofErr w:type="spellEnd"/>
      <w:r>
        <w:rPr>
          <w:szCs w:val="22"/>
          <w:lang w:eastAsia="sl-SI"/>
        </w:rPr>
        <w:t xml:space="preserve"> vartojimą žindymo laikotarpiu nėra.</w:t>
      </w:r>
    </w:p>
    <w:p w14:paraId="3CCDF9B9" w14:textId="77777777" w:rsidR="00D25008" w:rsidRDefault="00D25008">
      <w:pPr>
        <w:autoSpaceDE w:val="0"/>
        <w:autoSpaceDN w:val="0"/>
        <w:adjustRightInd w:val="0"/>
        <w:rPr>
          <w:szCs w:val="22"/>
          <w:lang w:eastAsia="sl-SI"/>
        </w:rPr>
      </w:pPr>
    </w:p>
    <w:p w14:paraId="44F1F1A4" w14:textId="77777777" w:rsidR="00D25008" w:rsidRDefault="00FE2A61">
      <w:pPr>
        <w:autoSpaceDE w:val="0"/>
        <w:autoSpaceDN w:val="0"/>
        <w:adjustRightInd w:val="0"/>
        <w:rPr>
          <w:color w:val="000000"/>
          <w:szCs w:val="22"/>
          <w:lang w:eastAsia="sl-SI"/>
        </w:rPr>
      </w:pPr>
      <w:r>
        <w:rPr>
          <w:color w:val="000000"/>
          <w:szCs w:val="22"/>
          <w:lang w:eastAsia="sl-SI"/>
        </w:rPr>
        <w:lastRenderedPageBreak/>
        <w:t xml:space="preserve">Nedidelis </w:t>
      </w:r>
      <w:proofErr w:type="spellStart"/>
      <w:r>
        <w:rPr>
          <w:color w:val="000000"/>
          <w:szCs w:val="22"/>
          <w:lang w:eastAsia="sl-SI"/>
        </w:rPr>
        <w:t>hidrochlorotiazido</w:t>
      </w:r>
      <w:proofErr w:type="spellEnd"/>
      <w:r>
        <w:rPr>
          <w:color w:val="000000"/>
          <w:szCs w:val="22"/>
          <w:lang w:eastAsia="sl-SI"/>
        </w:rPr>
        <w:t xml:space="preserve"> kiekis patenka į motinos pieną. Didelės </w:t>
      </w:r>
      <w:proofErr w:type="spellStart"/>
      <w:r>
        <w:rPr>
          <w:color w:val="000000"/>
          <w:szCs w:val="22"/>
          <w:lang w:eastAsia="sl-SI"/>
        </w:rPr>
        <w:t>tiazidų</w:t>
      </w:r>
      <w:proofErr w:type="spellEnd"/>
      <w:r>
        <w:rPr>
          <w:color w:val="000000"/>
          <w:szCs w:val="22"/>
          <w:lang w:eastAsia="sl-SI"/>
        </w:rPr>
        <w:t xml:space="preserve"> dozės padidina diurezę ir gali slopinti pieno susidarymą.</w:t>
      </w:r>
    </w:p>
    <w:p w14:paraId="10D00CB4" w14:textId="77777777" w:rsidR="00D25008" w:rsidRDefault="00D25008">
      <w:pPr>
        <w:autoSpaceDE w:val="0"/>
        <w:autoSpaceDN w:val="0"/>
        <w:adjustRightInd w:val="0"/>
        <w:rPr>
          <w:szCs w:val="22"/>
          <w:lang w:eastAsia="sl-SI"/>
        </w:rPr>
      </w:pPr>
    </w:p>
    <w:p w14:paraId="18840CFD" w14:textId="77777777" w:rsidR="00D25008" w:rsidRDefault="00FE2A61">
      <w:pPr>
        <w:widowControl w:val="0"/>
        <w:rPr>
          <w:szCs w:val="22"/>
          <w:lang w:eastAsia="sl-SI"/>
        </w:rPr>
      </w:pPr>
      <w:proofErr w:type="spellStart"/>
      <w:r>
        <w:rPr>
          <w:szCs w:val="22"/>
          <w:lang w:eastAsia="sl-SI"/>
        </w:rPr>
        <w:t>Amlodipino</w:t>
      </w:r>
      <w:proofErr w:type="spellEnd"/>
      <w:r>
        <w:rPr>
          <w:szCs w:val="22"/>
          <w:lang w:eastAsia="sl-SI"/>
        </w:rPr>
        <w:t xml:space="preserve"> išsiskiria į motinos pieną. Apskaičiuota motinos suvartotos dozės dalis, kuri patenka į kūdikio organizmą, atitinka 3</w:t>
      </w:r>
      <w:r>
        <w:rPr>
          <w:szCs w:val="22"/>
          <w:lang w:eastAsia="sl-SI"/>
        </w:rPr>
        <w:noBreakHyphen/>
        <w:t xml:space="preserve">7 % intervalą tarp kvartilių, o maksimali dalis yra 15 %. </w:t>
      </w:r>
      <w:proofErr w:type="spellStart"/>
      <w:r>
        <w:rPr>
          <w:szCs w:val="22"/>
          <w:lang w:eastAsia="sl-SI"/>
        </w:rPr>
        <w:t>Amlodipino</w:t>
      </w:r>
      <w:proofErr w:type="spellEnd"/>
      <w:r>
        <w:rPr>
          <w:szCs w:val="22"/>
          <w:lang w:eastAsia="sl-SI"/>
        </w:rPr>
        <w:t xml:space="preserve"> poveikis kūdikiams nežinomas.</w:t>
      </w:r>
    </w:p>
    <w:p w14:paraId="1CF31736" w14:textId="77777777" w:rsidR="00D25008" w:rsidRDefault="00D25008">
      <w:pPr>
        <w:autoSpaceDE w:val="0"/>
        <w:autoSpaceDN w:val="0"/>
        <w:adjustRightInd w:val="0"/>
        <w:rPr>
          <w:szCs w:val="22"/>
          <w:u w:val="single"/>
          <w:lang w:eastAsia="sl-SI"/>
        </w:rPr>
      </w:pPr>
    </w:p>
    <w:p w14:paraId="34CE292A" w14:textId="77777777" w:rsidR="00D25008" w:rsidRDefault="00FE2A61">
      <w:pPr>
        <w:autoSpaceDE w:val="0"/>
        <w:autoSpaceDN w:val="0"/>
        <w:adjustRightInd w:val="0"/>
        <w:rPr>
          <w:szCs w:val="22"/>
          <w:u w:val="single"/>
          <w:lang w:eastAsia="sl-SI"/>
        </w:rPr>
      </w:pPr>
      <w:r>
        <w:rPr>
          <w:szCs w:val="22"/>
          <w:u w:val="single"/>
          <w:lang w:eastAsia="sl-SI"/>
        </w:rPr>
        <w:t>Vaisingumas</w:t>
      </w:r>
    </w:p>
    <w:p w14:paraId="640E1316" w14:textId="77777777" w:rsidR="00D25008" w:rsidRDefault="00D25008">
      <w:pPr>
        <w:autoSpaceDE w:val="0"/>
        <w:autoSpaceDN w:val="0"/>
        <w:adjustRightInd w:val="0"/>
        <w:rPr>
          <w:b/>
          <w:i/>
          <w:szCs w:val="22"/>
          <w:lang w:eastAsia="sl-SI"/>
        </w:rPr>
      </w:pPr>
    </w:p>
    <w:p w14:paraId="0AFF233D" w14:textId="77777777" w:rsidR="00D25008" w:rsidRDefault="00FE2A61">
      <w:pPr>
        <w:autoSpaceDE w:val="0"/>
        <w:autoSpaceDN w:val="0"/>
        <w:adjustRightInd w:val="0"/>
        <w:rPr>
          <w:szCs w:val="22"/>
          <w:lang w:eastAsia="sl-SI"/>
        </w:rPr>
      </w:pPr>
      <w:proofErr w:type="spellStart"/>
      <w:r>
        <w:rPr>
          <w:szCs w:val="22"/>
          <w:lang w:eastAsia="sl-SI"/>
        </w:rPr>
        <w:t>Ikiklinikinių</w:t>
      </w:r>
      <w:proofErr w:type="spellEnd"/>
      <w:r>
        <w:rPr>
          <w:szCs w:val="22"/>
          <w:lang w:eastAsia="sl-SI"/>
        </w:rPr>
        <w:t xml:space="preserve"> tyrimų metu </w:t>
      </w:r>
      <w:proofErr w:type="spellStart"/>
      <w:r>
        <w:rPr>
          <w:szCs w:val="22"/>
          <w:lang w:eastAsia="sl-SI"/>
        </w:rPr>
        <w:t>telmisartano</w:t>
      </w:r>
      <w:proofErr w:type="spellEnd"/>
      <w:r>
        <w:rPr>
          <w:szCs w:val="22"/>
          <w:lang w:eastAsia="sl-SI"/>
        </w:rPr>
        <w:t xml:space="preserve"> ir </w:t>
      </w:r>
      <w:proofErr w:type="spellStart"/>
      <w:r>
        <w:rPr>
          <w:szCs w:val="22"/>
          <w:lang w:eastAsia="sl-SI"/>
        </w:rPr>
        <w:t>hidrochlorotiazido</w:t>
      </w:r>
      <w:proofErr w:type="spellEnd"/>
      <w:r>
        <w:rPr>
          <w:szCs w:val="22"/>
          <w:lang w:eastAsia="sl-SI"/>
        </w:rPr>
        <w:t xml:space="preserve"> poveikio gyvūnų patinų ar patelių vislumui nepastebėta.</w:t>
      </w:r>
      <w:r>
        <w:rPr>
          <w:szCs w:val="22"/>
          <w:lang w:eastAsia="sl-SI"/>
        </w:rPr>
        <w:cr/>
      </w:r>
    </w:p>
    <w:p w14:paraId="78F79261" w14:textId="77777777" w:rsidR="00D25008" w:rsidRDefault="00FE2A61">
      <w:pPr>
        <w:widowControl w:val="0"/>
        <w:rPr>
          <w:szCs w:val="22"/>
          <w:lang w:eastAsia="sl-SI"/>
        </w:rPr>
      </w:pPr>
      <w:r>
        <w:rPr>
          <w:szCs w:val="22"/>
          <w:lang w:eastAsia="sl-SI"/>
        </w:rPr>
        <w:t xml:space="preserve">Kai kuriems kalcio kanalų blokatoriais gydytiems pacientams nustatyta laikinų spermatozoidų galvutės biocheminių pokyčių. Klinikinių duomenų apie galimą </w:t>
      </w:r>
      <w:proofErr w:type="spellStart"/>
      <w:r>
        <w:rPr>
          <w:szCs w:val="22"/>
          <w:lang w:eastAsia="sl-SI"/>
        </w:rPr>
        <w:t>amlodipino</w:t>
      </w:r>
      <w:proofErr w:type="spellEnd"/>
      <w:r>
        <w:rPr>
          <w:szCs w:val="22"/>
          <w:lang w:eastAsia="sl-SI"/>
        </w:rPr>
        <w:t xml:space="preserve"> poveikį vaisingumui nepakanka. Vieno tyrimo su žiurkėmis metu nustatytas nepageidaujamas poveikis patinų vislumui (žr. 5.3 skyrių).</w:t>
      </w:r>
    </w:p>
    <w:p w14:paraId="4CB78E6C" w14:textId="77777777" w:rsidR="00D25008" w:rsidRDefault="00D25008">
      <w:pPr>
        <w:widowControl w:val="0"/>
        <w:tabs>
          <w:tab w:val="left" w:pos="567"/>
        </w:tabs>
        <w:rPr>
          <w:b/>
          <w:szCs w:val="22"/>
          <w:lang w:eastAsia="sl-SI"/>
        </w:rPr>
      </w:pPr>
    </w:p>
    <w:p w14:paraId="38DF9063" w14:textId="77777777" w:rsidR="00D25008" w:rsidRDefault="00FE2A61">
      <w:pPr>
        <w:widowControl w:val="0"/>
        <w:tabs>
          <w:tab w:val="left" w:pos="567"/>
        </w:tabs>
        <w:rPr>
          <w:szCs w:val="22"/>
          <w:lang w:eastAsia="sl-SI"/>
        </w:rPr>
      </w:pPr>
      <w:r>
        <w:rPr>
          <w:b/>
          <w:szCs w:val="22"/>
          <w:lang w:eastAsia="sl-SI"/>
        </w:rPr>
        <w:t>4.7</w:t>
      </w:r>
      <w:r>
        <w:rPr>
          <w:b/>
          <w:szCs w:val="22"/>
          <w:lang w:eastAsia="sl-SI"/>
        </w:rPr>
        <w:tab/>
        <w:t xml:space="preserve">Poveikis </w:t>
      </w:r>
      <w:bookmarkStart w:id="2" w:name="_Hlk152257570"/>
      <w:r>
        <w:rPr>
          <w:b/>
          <w:szCs w:val="22"/>
          <w:lang w:eastAsia="sl-SI"/>
        </w:rPr>
        <w:t>gebėjimui vairuoti ir valdyti mechanizmus</w:t>
      </w:r>
      <w:bookmarkEnd w:id="2"/>
    </w:p>
    <w:p w14:paraId="73B306EB" w14:textId="77777777" w:rsidR="00D25008" w:rsidRDefault="00D25008">
      <w:pPr>
        <w:widowControl w:val="0"/>
        <w:tabs>
          <w:tab w:val="left" w:pos="567"/>
        </w:tabs>
        <w:rPr>
          <w:szCs w:val="22"/>
          <w:lang w:eastAsia="sl-SI"/>
        </w:rPr>
      </w:pPr>
    </w:p>
    <w:p w14:paraId="361D6739" w14:textId="77ECAF37" w:rsidR="00D25008" w:rsidRDefault="00FE2A61">
      <w:pPr>
        <w:widowControl w:val="0"/>
        <w:rPr>
          <w:szCs w:val="22"/>
          <w:lang w:eastAsia="sl-SI"/>
        </w:rPr>
      </w:pPr>
      <w:proofErr w:type="spellStart"/>
      <w:r>
        <w:rPr>
          <w:szCs w:val="22"/>
          <w:lang w:eastAsia="sl-SI"/>
        </w:rPr>
        <w:t>Tolvecom</w:t>
      </w:r>
      <w:proofErr w:type="spellEnd"/>
      <w:r>
        <w:rPr>
          <w:szCs w:val="22"/>
          <w:lang w:eastAsia="sl-SI"/>
        </w:rPr>
        <w:t xml:space="preserve"> gali veikti gebėjimą vairuoti ir valdyti mechanizmus. Vartojant </w:t>
      </w:r>
      <w:proofErr w:type="spellStart"/>
      <w:r>
        <w:rPr>
          <w:szCs w:val="22"/>
          <w:lang w:eastAsia="sl-SI"/>
        </w:rPr>
        <w:t>Tolvecom</w:t>
      </w:r>
      <w:proofErr w:type="spellEnd"/>
      <w:r>
        <w:rPr>
          <w:szCs w:val="22"/>
          <w:lang w:eastAsia="sl-SI"/>
        </w:rPr>
        <w:t>, kartais gali pasireikšti svaigulys</w:t>
      </w:r>
      <w:r w:rsidR="001C4737">
        <w:rPr>
          <w:szCs w:val="22"/>
          <w:lang w:eastAsia="sl-SI"/>
        </w:rPr>
        <w:t xml:space="preserve">, </w:t>
      </w:r>
      <w:r w:rsidR="001C4737">
        <w:t>apalpimas (sinkopė) ir svaigimas (</w:t>
      </w:r>
      <w:proofErr w:type="spellStart"/>
      <w:r w:rsidR="001C4737" w:rsidRPr="00B86602">
        <w:rPr>
          <w:i/>
          <w:iCs/>
        </w:rPr>
        <w:t>vertigo</w:t>
      </w:r>
      <w:proofErr w:type="spellEnd"/>
      <w:r w:rsidR="001C4737">
        <w:t>)</w:t>
      </w:r>
      <w:r w:rsidR="001C4737">
        <w:rPr>
          <w:szCs w:val="22"/>
          <w:lang w:eastAsia="sl-SI"/>
        </w:rPr>
        <w:t>.</w:t>
      </w:r>
      <w:r>
        <w:rPr>
          <w:szCs w:val="22"/>
          <w:lang w:eastAsia="sl-SI"/>
        </w:rPr>
        <w:t xml:space="preserve"> Jei </w:t>
      </w:r>
      <w:proofErr w:type="spellStart"/>
      <w:r>
        <w:rPr>
          <w:szCs w:val="22"/>
          <w:lang w:eastAsia="sl-SI"/>
        </w:rPr>
        <w:t>Tolvecom</w:t>
      </w:r>
      <w:proofErr w:type="spellEnd"/>
      <w:r>
        <w:rPr>
          <w:szCs w:val="22"/>
          <w:lang w:eastAsia="sl-SI"/>
        </w:rPr>
        <w:t xml:space="preserve"> vartojantiems pacientams pasireiškia svaigulys, galvos skausmas, nuovargis ar pykinimas, gali pablogėti gebėjimas reaguoti.</w:t>
      </w:r>
    </w:p>
    <w:p w14:paraId="210DC74E" w14:textId="77777777" w:rsidR="00D25008" w:rsidRDefault="00D25008">
      <w:pPr>
        <w:widowControl w:val="0"/>
        <w:rPr>
          <w:szCs w:val="22"/>
          <w:lang w:eastAsia="sl-SI"/>
        </w:rPr>
      </w:pPr>
    </w:p>
    <w:p w14:paraId="20FD91CD" w14:textId="77777777" w:rsidR="00DC4BB2" w:rsidRDefault="001C4737">
      <w:pPr>
        <w:widowControl w:val="0"/>
        <w:rPr>
          <w:szCs w:val="22"/>
          <w:lang w:eastAsia="sl-SI"/>
        </w:rPr>
      </w:pPr>
      <w:r>
        <w:t>Jeigu pacientai patiria tokių nepageidaujamų reiškinių, jiems reikia vengti atlikti užduotis, kurios gali būti pavojingos, pvz., vairuoti arba valdyti mechanizmus.</w:t>
      </w:r>
    </w:p>
    <w:p w14:paraId="3ACF1EF1" w14:textId="77777777" w:rsidR="00DC4BB2" w:rsidRDefault="00DC4BB2">
      <w:pPr>
        <w:widowControl w:val="0"/>
        <w:rPr>
          <w:szCs w:val="22"/>
          <w:lang w:eastAsia="sl-SI"/>
        </w:rPr>
      </w:pPr>
    </w:p>
    <w:p w14:paraId="28A3CDC2" w14:textId="77777777" w:rsidR="00D25008" w:rsidRDefault="00FE2A61">
      <w:pPr>
        <w:widowControl w:val="0"/>
        <w:tabs>
          <w:tab w:val="left" w:pos="567"/>
        </w:tabs>
        <w:rPr>
          <w:b/>
          <w:szCs w:val="22"/>
          <w:lang w:eastAsia="sl-SI"/>
        </w:rPr>
      </w:pPr>
      <w:r>
        <w:rPr>
          <w:b/>
          <w:szCs w:val="22"/>
          <w:lang w:eastAsia="sl-SI"/>
        </w:rPr>
        <w:t>4.8</w:t>
      </w:r>
      <w:r>
        <w:rPr>
          <w:b/>
          <w:szCs w:val="22"/>
          <w:lang w:eastAsia="sl-SI"/>
        </w:rPr>
        <w:tab/>
        <w:t>Nepageidaujamas poveikis</w:t>
      </w:r>
    </w:p>
    <w:p w14:paraId="2F195DD3" w14:textId="77777777" w:rsidR="00D25008" w:rsidRDefault="00D25008">
      <w:pPr>
        <w:widowControl w:val="0"/>
        <w:tabs>
          <w:tab w:val="left" w:pos="567"/>
        </w:tabs>
        <w:rPr>
          <w:b/>
          <w:szCs w:val="22"/>
          <w:lang w:eastAsia="sl-SI"/>
        </w:rPr>
      </w:pPr>
    </w:p>
    <w:p w14:paraId="7B313307" w14:textId="77777777" w:rsidR="00D25008" w:rsidRDefault="00FE2A61">
      <w:pPr>
        <w:autoSpaceDE w:val="0"/>
        <w:autoSpaceDN w:val="0"/>
        <w:adjustRightInd w:val="0"/>
        <w:contextualSpacing/>
        <w:rPr>
          <w:rFonts w:eastAsia="Calibri"/>
          <w:szCs w:val="22"/>
          <w:u w:val="single"/>
          <w:lang w:eastAsia="sl-SI"/>
        </w:rPr>
      </w:pPr>
      <w:r>
        <w:rPr>
          <w:rFonts w:eastAsia="Calibri"/>
          <w:szCs w:val="22"/>
          <w:u w:val="single"/>
          <w:lang w:eastAsia="sl-SI"/>
        </w:rPr>
        <w:t>Saugumo duomenų santrauka</w:t>
      </w:r>
    </w:p>
    <w:p w14:paraId="297F8968" w14:textId="77777777" w:rsidR="00D25008" w:rsidRDefault="00D25008">
      <w:pPr>
        <w:autoSpaceDE w:val="0"/>
        <w:autoSpaceDN w:val="0"/>
        <w:adjustRightInd w:val="0"/>
        <w:rPr>
          <w:szCs w:val="22"/>
          <w:lang w:eastAsia="sl-SI"/>
        </w:rPr>
      </w:pPr>
    </w:p>
    <w:p w14:paraId="1CC729FC" w14:textId="77777777" w:rsidR="00D25008" w:rsidRDefault="00FE2A61">
      <w:pPr>
        <w:autoSpaceDE w:val="0"/>
        <w:autoSpaceDN w:val="0"/>
        <w:adjustRightInd w:val="0"/>
        <w:rPr>
          <w:szCs w:val="22"/>
          <w:lang w:eastAsia="sl-SI"/>
        </w:rPr>
      </w:pPr>
      <w:r>
        <w:rPr>
          <w:szCs w:val="22"/>
          <w:lang w:eastAsia="sl-SI"/>
        </w:rPr>
        <w:t xml:space="preserve">Dažniausiai gydymo metu pasireiškusios nepageidaujamos reakcijos yra mieguistumas, svaigulys, galvos skausmas, </w:t>
      </w:r>
      <w:proofErr w:type="spellStart"/>
      <w:r>
        <w:rPr>
          <w:szCs w:val="22"/>
          <w:lang w:eastAsia="sl-SI"/>
        </w:rPr>
        <w:t>palpitacijos</w:t>
      </w:r>
      <w:proofErr w:type="spellEnd"/>
      <w:r>
        <w:rPr>
          <w:szCs w:val="22"/>
          <w:lang w:eastAsia="sl-SI"/>
        </w:rPr>
        <w:t xml:space="preserve">, paraudimas, pilvo skausmas, pykinimas, kulkšnių patinimas, edema ir nuovargis. Retai gali pasireikšti sunki </w:t>
      </w:r>
      <w:proofErr w:type="spellStart"/>
      <w:r>
        <w:rPr>
          <w:szCs w:val="22"/>
          <w:lang w:eastAsia="sl-SI"/>
        </w:rPr>
        <w:t>angioneurozinė</w:t>
      </w:r>
      <w:proofErr w:type="spellEnd"/>
      <w:r>
        <w:rPr>
          <w:szCs w:val="22"/>
          <w:lang w:eastAsia="sl-SI"/>
        </w:rPr>
        <w:t xml:space="preserve"> edema (nuo ≥ 1/10 000 iki &lt; 1/1 000).</w:t>
      </w:r>
    </w:p>
    <w:p w14:paraId="1FA25BCD" w14:textId="77777777" w:rsidR="00D25008" w:rsidRDefault="00D25008">
      <w:pPr>
        <w:autoSpaceDE w:val="0"/>
        <w:autoSpaceDN w:val="0"/>
        <w:adjustRightInd w:val="0"/>
        <w:rPr>
          <w:szCs w:val="22"/>
          <w:lang w:eastAsia="sl-SI"/>
        </w:rPr>
      </w:pPr>
    </w:p>
    <w:p w14:paraId="32A8843E" w14:textId="77777777" w:rsidR="00D25008" w:rsidRDefault="00FE2A61">
      <w:pPr>
        <w:autoSpaceDE w:val="0"/>
        <w:autoSpaceDN w:val="0"/>
        <w:adjustRightInd w:val="0"/>
        <w:contextualSpacing/>
        <w:rPr>
          <w:i/>
          <w:szCs w:val="22"/>
          <w:lang w:eastAsia="sl-SI"/>
        </w:rPr>
      </w:pPr>
      <w:r>
        <w:rPr>
          <w:rFonts w:eastAsia="Calibri"/>
          <w:szCs w:val="22"/>
          <w:u w:val="single"/>
          <w:lang w:eastAsia="sl-SI"/>
        </w:rPr>
        <w:t>Nepageidaujamų reakcijų santrauka lentelėje</w:t>
      </w:r>
      <w:r>
        <w:rPr>
          <w:rFonts w:eastAsia="Calibri"/>
          <w:szCs w:val="22"/>
          <w:u w:val="single"/>
          <w:lang w:eastAsia="sl-SI"/>
        </w:rPr>
        <w:cr/>
      </w:r>
    </w:p>
    <w:p w14:paraId="05E5FDEB" w14:textId="77777777" w:rsidR="00D25008" w:rsidRDefault="00FE2A61">
      <w:pPr>
        <w:rPr>
          <w:szCs w:val="22"/>
        </w:rPr>
      </w:pPr>
      <w:r>
        <w:rPr>
          <w:szCs w:val="22"/>
        </w:rPr>
        <w:t>Nepageidaujamos reakcijos buvo suklasifikuotos pagal dažnį, kuris apibūdinamas taip: labai dažnas (≥ 1/10), dažnas (nuo ≥ 1/100 iki &lt; 1/10), nedažnas (nuo ≥ 1/1 000 iki &lt; 1/100), retas (</w:t>
      </w:r>
      <w:bookmarkStart w:id="3" w:name="_Hlk152257954"/>
      <w:r>
        <w:rPr>
          <w:szCs w:val="22"/>
        </w:rPr>
        <w:t>nuo ≥ 1/10 000 iki &lt; 1/1 000</w:t>
      </w:r>
      <w:bookmarkEnd w:id="3"/>
      <w:r>
        <w:rPr>
          <w:szCs w:val="22"/>
        </w:rPr>
        <w:t>), labai retas (&lt; 1/10 000) ir nežinomas (negali būti apskaičiuotas pagal turimus duomenis).</w:t>
      </w:r>
    </w:p>
    <w:p w14:paraId="634AC71B" w14:textId="77777777" w:rsidR="00D25008" w:rsidRDefault="00D25008">
      <w:pPr>
        <w:autoSpaceDE w:val="0"/>
        <w:autoSpaceDN w:val="0"/>
        <w:adjustRightInd w:val="0"/>
        <w:rPr>
          <w:szCs w:val="22"/>
          <w:lang w:eastAsia="sl-SI"/>
        </w:rPr>
      </w:pPr>
    </w:p>
    <w:p w14:paraId="46C5537D" w14:textId="77777777" w:rsidR="00D25008" w:rsidRDefault="00FE2A61">
      <w:pPr>
        <w:autoSpaceDE w:val="0"/>
        <w:autoSpaceDN w:val="0"/>
        <w:adjustRightInd w:val="0"/>
        <w:rPr>
          <w:szCs w:val="22"/>
          <w:lang w:eastAsia="sl-SI"/>
        </w:rPr>
      </w:pPr>
      <w:r>
        <w:rPr>
          <w:szCs w:val="22"/>
          <w:lang w:eastAsia="sl-SI"/>
        </w:rPr>
        <w:t>Kiekvienoje dažnio grupėje nepageidaujamos reakcijos pateikiamos mažėjančio sunkumo tvarka.</w:t>
      </w:r>
    </w:p>
    <w:p w14:paraId="1B20C5D8" w14:textId="77777777" w:rsidR="00D25008" w:rsidRDefault="00D25008">
      <w:pPr>
        <w:autoSpaceDE w:val="0"/>
        <w:autoSpaceDN w:val="0"/>
        <w:adjustRightInd w:val="0"/>
        <w:rPr>
          <w:szCs w:val="22"/>
          <w:lang w:eastAsia="sl-SI"/>
        </w:rPr>
      </w:pPr>
    </w:p>
    <w:tbl>
      <w:tblPr>
        <w:tblW w:w="967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620"/>
        <w:gridCol w:w="1695"/>
        <w:gridCol w:w="1696"/>
        <w:gridCol w:w="1696"/>
        <w:gridCol w:w="1696"/>
        <w:gridCol w:w="1696"/>
      </w:tblGrid>
      <w:tr w:rsidR="00D25008" w14:paraId="158DD4E4" w14:textId="77777777" w:rsidTr="00B86602">
        <w:trPr>
          <w:trHeight w:val="280"/>
        </w:trPr>
        <w:tc>
          <w:tcPr>
            <w:tcW w:w="571" w:type="dxa"/>
          </w:tcPr>
          <w:p w14:paraId="5352A45E" w14:textId="1174D97A" w:rsidR="00D25008" w:rsidRPr="00B86602" w:rsidRDefault="001C4737" w:rsidP="00B86602">
            <w:pPr>
              <w:widowControl w:val="0"/>
              <w:autoSpaceDE w:val="0"/>
              <w:autoSpaceDN w:val="0"/>
              <w:ind w:left="102" w:right="121"/>
              <w:rPr>
                <w:b/>
              </w:rPr>
            </w:pPr>
            <w:proofErr w:type="spellStart"/>
            <w:r w:rsidRPr="004A3BBC">
              <w:rPr>
                <w:b/>
                <w:bCs/>
              </w:rPr>
              <w:t>MedDRA</w:t>
            </w:r>
            <w:proofErr w:type="spellEnd"/>
            <w:r w:rsidRPr="004A3BBC">
              <w:rPr>
                <w:b/>
                <w:bCs/>
              </w:rPr>
              <w:t xml:space="preserve"> organų</w:t>
            </w:r>
            <w:r w:rsidR="00FE2A61" w:rsidRPr="00B86602">
              <w:rPr>
                <w:b/>
              </w:rPr>
              <w:t xml:space="preserve"> sistemų klasė</w:t>
            </w:r>
          </w:p>
        </w:tc>
        <w:tc>
          <w:tcPr>
            <w:tcW w:w="620" w:type="dxa"/>
          </w:tcPr>
          <w:p w14:paraId="697AE07A" w14:textId="77777777" w:rsidR="001C4737" w:rsidRPr="004A3BBC" w:rsidRDefault="001C4737">
            <w:pPr>
              <w:widowControl w:val="0"/>
              <w:autoSpaceDE w:val="0"/>
              <w:autoSpaceDN w:val="0"/>
              <w:spacing w:line="251" w:lineRule="exact"/>
              <w:ind w:left="100"/>
              <w:rPr>
                <w:b/>
                <w:bCs/>
              </w:rPr>
            </w:pPr>
            <w:r w:rsidRPr="004A3BBC">
              <w:rPr>
                <w:b/>
                <w:bCs/>
              </w:rPr>
              <w:t>Nepageidaujamos reakcijos</w:t>
            </w:r>
          </w:p>
        </w:tc>
        <w:tc>
          <w:tcPr>
            <w:tcW w:w="1695" w:type="dxa"/>
          </w:tcPr>
          <w:p w14:paraId="24788D21" w14:textId="5DD94D13" w:rsidR="00D25008" w:rsidRPr="00B86602" w:rsidRDefault="00FE2A61" w:rsidP="00B86602">
            <w:pPr>
              <w:widowControl w:val="0"/>
              <w:autoSpaceDE w:val="0"/>
              <w:autoSpaceDN w:val="0"/>
              <w:spacing w:before="34" w:line="236" w:lineRule="exact"/>
              <w:ind w:left="2149" w:right="2149"/>
              <w:jc w:val="center"/>
              <w:rPr>
                <w:b/>
              </w:rPr>
            </w:pPr>
            <w:r w:rsidRPr="00B86602">
              <w:rPr>
                <w:b/>
              </w:rPr>
              <w:t>Dažnis</w:t>
            </w:r>
          </w:p>
        </w:tc>
        <w:tc>
          <w:tcPr>
            <w:tcW w:w="1696" w:type="dxa"/>
          </w:tcPr>
          <w:p w14:paraId="3FCB02CE" w14:textId="4AC7C5A2" w:rsidR="00D25008" w:rsidRDefault="00D25008">
            <w:pPr>
              <w:widowControl w:val="0"/>
              <w:autoSpaceDE w:val="0"/>
              <w:autoSpaceDN w:val="0"/>
              <w:adjustRightInd w:val="0"/>
              <w:rPr>
                <w:b/>
                <w:color w:val="000000"/>
                <w:szCs w:val="22"/>
                <w:lang w:eastAsia="sl-SI"/>
              </w:rPr>
            </w:pPr>
          </w:p>
        </w:tc>
        <w:tc>
          <w:tcPr>
            <w:tcW w:w="1696" w:type="dxa"/>
          </w:tcPr>
          <w:p w14:paraId="6A376E2D" w14:textId="6CF5A70C" w:rsidR="00D25008" w:rsidRDefault="00D25008">
            <w:pPr>
              <w:widowControl w:val="0"/>
              <w:autoSpaceDE w:val="0"/>
              <w:autoSpaceDN w:val="0"/>
              <w:adjustRightInd w:val="0"/>
              <w:rPr>
                <w:b/>
                <w:color w:val="000000"/>
                <w:szCs w:val="22"/>
                <w:lang w:eastAsia="sl-SI"/>
              </w:rPr>
            </w:pPr>
          </w:p>
        </w:tc>
        <w:tc>
          <w:tcPr>
            <w:tcW w:w="1696" w:type="dxa"/>
          </w:tcPr>
          <w:p w14:paraId="6B8AB047" w14:textId="27167757" w:rsidR="00D25008" w:rsidRDefault="00D25008">
            <w:pPr>
              <w:widowControl w:val="0"/>
              <w:autoSpaceDE w:val="0"/>
              <w:autoSpaceDN w:val="0"/>
              <w:adjustRightInd w:val="0"/>
              <w:rPr>
                <w:b/>
                <w:bCs/>
                <w:color w:val="000000"/>
                <w:szCs w:val="22"/>
                <w:lang w:eastAsia="sl-SI"/>
              </w:rPr>
            </w:pPr>
          </w:p>
        </w:tc>
        <w:tc>
          <w:tcPr>
            <w:tcW w:w="1696" w:type="dxa"/>
          </w:tcPr>
          <w:p w14:paraId="42997E44" w14:textId="23ED0160" w:rsidR="00D25008" w:rsidRDefault="00D25008">
            <w:pPr>
              <w:widowControl w:val="0"/>
              <w:autoSpaceDE w:val="0"/>
              <w:autoSpaceDN w:val="0"/>
              <w:adjustRightInd w:val="0"/>
              <w:rPr>
                <w:b/>
                <w:bCs/>
                <w:color w:val="000000"/>
                <w:szCs w:val="22"/>
                <w:lang w:eastAsia="sl-SI"/>
              </w:rPr>
            </w:pPr>
          </w:p>
        </w:tc>
      </w:tr>
      <w:tr w:rsidR="00D25008" w14:paraId="729B32B7" w14:textId="77777777" w:rsidTr="00B86602">
        <w:trPr>
          <w:trHeight w:val="280"/>
        </w:trPr>
        <w:tc>
          <w:tcPr>
            <w:tcW w:w="1191" w:type="dxa"/>
            <w:gridSpan w:val="2"/>
            <w:tcBorders>
              <w:top w:val="nil"/>
            </w:tcBorders>
          </w:tcPr>
          <w:p w14:paraId="7D2CEEAA" w14:textId="565A7F43" w:rsidR="00D25008" w:rsidRPr="00B86602" w:rsidRDefault="00D25008" w:rsidP="00B86602">
            <w:pPr>
              <w:rPr>
                <w:sz w:val="2"/>
              </w:rPr>
            </w:pPr>
          </w:p>
        </w:tc>
        <w:tc>
          <w:tcPr>
            <w:tcW w:w="1695" w:type="dxa"/>
            <w:tcBorders>
              <w:top w:val="nil"/>
            </w:tcBorders>
          </w:tcPr>
          <w:p w14:paraId="3FCCE6AB" w14:textId="68D120CD" w:rsidR="00D25008" w:rsidRPr="00B86602" w:rsidRDefault="00D25008" w:rsidP="00B86602"/>
        </w:tc>
        <w:tc>
          <w:tcPr>
            <w:tcW w:w="1696" w:type="dxa"/>
          </w:tcPr>
          <w:p w14:paraId="32BA1227" w14:textId="39E45527" w:rsidR="00D25008" w:rsidRPr="00B86602" w:rsidRDefault="001C4737" w:rsidP="00B86602">
            <w:pPr>
              <w:widowControl w:val="0"/>
              <w:autoSpaceDE w:val="0"/>
              <w:autoSpaceDN w:val="0"/>
              <w:spacing w:before="34" w:line="236" w:lineRule="exact"/>
              <w:ind w:left="103"/>
              <w:rPr>
                <w:b/>
              </w:rPr>
            </w:pPr>
            <w:proofErr w:type="spellStart"/>
            <w:r w:rsidRPr="004A3BBC">
              <w:rPr>
                <w:b/>
                <w:szCs w:val="22"/>
              </w:rPr>
              <w:t>Telmisartanas</w:t>
            </w:r>
            <w:proofErr w:type="spellEnd"/>
            <w:r w:rsidRPr="004A3BBC">
              <w:rPr>
                <w:b/>
                <w:szCs w:val="22"/>
              </w:rPr>
              <w:t xml:space="preserve"> +  </w:t>
            </w:r>
            <w:proofErr w:type="spellStart"/>
            <w:r w:rsidRPr="004A3BBC">
              <w:rPr>
                <w:b/>
                <w:szCs w:val="22"/>
              </w:rPr>
              <w:t>Hidrochlorotiazi</w:t>
            </w:r>
            <w:r w:rsidRPr="004A3BBC">
              <w:rPr>
                <w:b/>
                <w:szCs w:val="22"/>
              </w:rPr>
              <w:lastRenderedPageBreak/>
              <w:t>das</w:t>
            </w:r>
            <w:proofErr w:type="spellEnd"/>
          </w:p>
        </w:tc>
        <w:tc>
          <w:tcPr>
            <w:tcW w:w="1696" w:type="dxa"/>
          </w:tcPr>
          <w:p w14:paraId="27572874" w14:textId="0B2E1AE6" w:rsidR="00D25008" w:rsidRPr="00B86602" w:rsidRDefault="001C4737" w:rsidP="00B86602">
            <w:pPr>
              <w:widowControl w:val="0"/>
              <w:autoSpaceDE w:val="0"/>
              <w:autoSpaceDN w:val="0"/>
              <w:spacing w:before="29" w:line="241" w:lineRule="exact"/>
              <w:ind w:left="102"/>
              <w:rPr>
                <w:b/>
              </w:rPr>
            </w:pPr>
            <w:proofErr w:type="spellStart"/>
            <w:r w:rsidRPr="004A3BBC">
              <w:rPr>
                <w:b/>
                <w:szCs w:val="22"/>
              </w:rPr>
              <w:lastRenderedPageBreak/>
              <w:t>Telmisartanas</w:t>
            </w:r>
            <w:r w:rsidRPr="004A3BBC">
              <w:rPr>
                <w:b/>
                <w:szCs w:val="22"/>
                <w:vertAlign w:val="superscript"/>
              </w:rPr>
              <w:t>a</w:t>
            </w:r>
            <w:proofErr w:type="spellEnd"/>
          </w:p>
        </w:tc>
        <w:tc>
          <w:tcPr>
            <w:tcW w:w="1696" w:type="dxa"/>
          </w:tcPr>
          <w:p w14:paraId="55B7AC27" w14:textId="02CA9577" w:rsidR="00D25008" w:rsidRPr="00B86602" w:rsidRDefault="001C4737" w:rsidP="00B86602">
            <w:pPr>
              <w:widowControl w:val="0"/>
              <w:autoSpaceDE w:val="0"/>
              <w:autoSpaceDN w:val="0"/>
              <w:spacing w:before="34" w:line="236" w:lineRule="exact"/>
              <w:ind w:left="102"/>
              <w:rPr>
                <w:b/>
              </w:rPr>
            </w:pPr>
            <w:proofErr w:type="spellStart"/>
            <w:r w:rsidRPr="004A3BBC">
              <w:rPr>
                <w:b/>
                <w:szCs w:val="22"/>
              </w:rPr>
              <w:t>Hidrochlorotiazidas</w:t>
            </w:r>
            <w:proofErr w:type="spellEnd"/>
          </w:p>
        </w:tc>
        <w:tc>
          <w:tcPr>
            <w:tcW w:w="1696" w:type="dxa"/>
          </w:tcPr>
          <w:p w14:paraId="02542EFC" w14:textId="30D4BAA4" w:rsidR="00D25008" w:rsidRPr="00B86602" w:rsidRDefault="001C4737" w:rsidP="00B86602">
            <w:pPr>
              <w:widowControl w:val="0"/>
              <w:autoSpaceDE w:val="0"/>
              <w:autoSpaceDN w:val="0"/>
              <w:spacing w:before="34" w:line="236" w:lineRule="exact"/>
              <w:ind w:left="102"/>
              <w:rPr>
                <w:b/>
              </w:rPr>
            </w:pPr>
            <w:proofErr w:type="spellStart"/>
            <w:r w:rsidRPr="004A3BBC">
              <w:rPr>
                <w:b/>
                <w:szCs w:val="22"/>
              </w:rPr>
              <w:t>Amlodipinas</w:t>
            </w:r>
            <w:proofErr w:type="spellEnd"/>
          </w:p>
        </w:tc>
      </w:tr>
      <w:tr w:rsidR="00D25008" w14:paraId="7DCD7830" w14:textId="77777777" w:rsidTr="00B86602">
        <w:trPr>
          <w:trHeight w:val="500"/>
        </w:trPr>
        <w:tc>
          <w:tcPr>
            <w:tcW w:w="1191" w:type="dxa"/>
            <w:gridSpan w:val="2"/>
            <w:vMerge w:val="restart"/>
          </w:tcPr>
          <w:p w14:paraId="6C08F933" w14:textId="77777777" w:rsidR="00DC4BB2" w:rsidRPr="004A3BBC" w:rsidRDefault="001C4737">
            <w:pPr>
              <w:widowControl w:val="0"/>
              <w:autoSpaceDE w:val="0"/>
              <w:autoSpaceDN w:val="0"/>
              <w:ind w:left="102" w:right="413"/>
              <w:rPr>
                <w:b/>
                <w:szCs w:val="22"/>
              </w:rPr>
            </w:pPr>
            <w:r w:rsidRPr="004A3BBC">
              <w:rPr>
                <w:b/>
                <w:szCs w:val="22"/>
              </w:rPr>
              <w:t xml:space="preserve">Infekcijos ir </w:t>
            </w:r>
          </w:p>
          <w:p w14:paraId="46F58706" w14:textId="2F4CFF48" w:rsidR="00D25008" w:rsidRPr="00B86602" w:rsidRDefault="001C4737" w:rsidP="00B86602">
            <w:pPr>
              <w:widowControl w:val="0"/>
              <w:autoSpaceDE w:val="0"/>
              <w:autoSpaceDN w:val="0"/>
              <w:ind w:left="102" w:right="413"/>
              <w:rPr>
                <w:b/>
              </w:rPr>
            </w:pPr>
            <w:proofErr w:type="spellStart"/>
            <w:r w:rsidRPr="004A3BBC">
              <w:rPr>
                <w:b/>
                <w:szCs w:val="22"/>
              </w:rPr>
              <w:t>infestacijos</w:t>
            </w:r>
            <w:proofErr w:type="spellEnd"/>
          </w:p>
        </w:tc>
        <w:tc>
          <w:tcPr>
            <w:tcW w:w="1695" w:type="dxa"/>
          </w:tcPr>
          <w:p w14:paraId="5449DB5A" w14:textId="07A39C9A" w:rsidR="00D25008" w:rsidRPr="00B86602" w:rsidRDefault="00FE2A61" w:rsidP="00B86602">
            <w:pPr>
              <w:widowControl w:val="0"/>
              <w:autoSpaceDE w:val="0"/>
              <w:autoSpaceDN w:val="0"/>
              <w:spacing w:before="2" w:line="252" w:lineRule="exact"/>
              <w:ind w:left="100" w:right="473"/>
            </w:pPr>
            <w:r w:rsidRPr="00B86602">
              <w:t>Sepsis, įskaitant</w:t>
            </w:r>
            <w:r w:rsidR="001C4737" w:rsidRPr="00CF5157">
              <w:t xml:space="preserve"> mirtiną</w:t>
            </w:r>
          </w:p>
        </w:tc>
        <w:tc>
          <w:tcPr>
            <w:tcW w:w="1696" w:type="dxa"/>
          </w:tcPr>
          <w:p w14:paraId="7858D0F6" w14:textId="3006C498" w:rsidR="00D25008" w:rsidRPr="00B86602" w:rsidRDefault="00D25008" w:rsidP="00B86602">
            <w:pPr>
              <w:widowControl w:val="0"/>
              <w:autoSpaceDE w:val="0"/>
              <w:autoSpaceDN w:val="0"/>
              <w:spacing w:before="11"/>
            </w:pPr>
          </w:p>
        </w:tc>
        <w:tc>
          <w:tcPr>
            <w:tcW w:w="1696" w:type="dxa"/>
          </w:tcPr>
          <w:p w14:paraId="025566E8" w14:textId="483C1075" w:rsidR="00D25008" w:rsidRPr="00B86602" w:rsidRDefault="001C4737" w:rsidP="00B86602">
            <w:pPr>
              <w:widowControl w:val="0"/>
              <w:autoSpaceDE w:val="0"/>
              <w:autoSpaceDN w:val="0"/>
              <w:spacing w:before="11" w:line="241" w:lineRule="exact"/>
              <w:ind w:left="102"/>
            </w:pPr>
            <w:r w:rsidRPr="004A3BBC">
              <w:rPr>
                <w:szCs w:val="22"/>
              </w:rPr>
              <w:t>retas</w:t>
            </w:r>
            <w:r w:rsidRPr="004A3BBC">
              <w:rPr>
                <w:szCs w:val="22"/>
                <w:vertAlign w:val="superscript"/>
              </w:rPr>
              <w:t>2</w:t>
            </w:r>
          </w:p>
        </w:tc>
        <w:tc>
          <w:tcPr>
            <w:tcW w:w="1696" w:type="dxa"/>
          </w:tcPr>
          <w:p w14:paraId="2159775F" w14:textId="77777777" w:rsidR="00D25008" w:rsidRPr="00B86602" w:rsidRDefault="00D25008" w:rsidP="00B86602">
            <w:pPr>
              <w:widowControl w:val="0"/>
              <w:autoSpaceDE w:val="0"/>
              <w:autoSpaceDN w:val="0"/>
              <w:spacing w:before="11"/>
            </w:pPr>
          </w:p>
        </w:tc>
        <w:tc>
          <w:tcPr>
            <w:tcW w:w="1696" w:type="dxa"/>
          </w:tcPr>
          <w:p w14:paraId="00454DFC" w14:textId="0EB0D091" w:rsidR="00D25008" w:rsidRPr="00B86602" w:rsidRDefault="00D25008" w:rsidP="00B86602">
            <w:pPr>
              <w:widowControl w:val="0"/>
              <w:autoSpaceDE w:val="0"/>
              <w:autoSpaceDN w:val="0"/>
              <w:spacing w:before="34" w:line="233" w:lineRule="exact"/>
              <w:ind w:left="103"/>
            </w:pPr>
          </w:p>
        </w:tc>
      </w:tr>
      <w:tr w:rsidR="00D25008" w14:paraId="1BB9E9DE" w14:textId="77777777" w:rsidTr="00B86602">
        <w:trPr>
          <w:trHeight w:val="280"/>
        </w:trPr>
        <w:tc>
          <w:tcPr>
            <w:tcW w:w="1191" w:type="dxa"/>
            <w:gridSpan w:val="2"/>
            <w:vMerge/>
          </w:tcPr>
          <w:p w14:paraId="4E88B9C2" w14:textId="77777777" w:rsidR="00D25008" w:rsidRPr="00B86602" w:rsidRDefault="00D25008" w:rsidP="00B86602">
            <w:pPr>
              <w:rPr>
                <w:sz w:val="2"/>
              </w:rPr>
            </w:pPr>
          </w:p>
        </w:tc>
        <w:tc>
          <w:tcPr>
            <w:tcW w:w="1695" w:type="dxa"/>
          </w:tcPr>
          <w:p w14:paraId="6E4B1420" w14:textId="303DF9E2" w:rsidR="00D25008" w:rsidRPr="00B86602" w:rsidRDefault="001C4737" w:rsidP="00B86602">
            <w:pPr>
              <w:widowControl w:val="0"/>
              <w:autoSpaceDE w:val="0"/>
              <w:autoSpaceDN w:val="0"/>
              <w:spacing w:before="34" w:line="233" w:lineRule="exact"/>
              <w:ind w:left="100"/>
            </w:pPr>
            <w:r w:rsidRPr="004A3BBC">
              <w:rPr>
                <w:szCs w:val="22"/>
              </w:rPr>
              <w:t>Bronchitas</w:t>
            </w:r>
          </w:p>
        </w:tc>
        <w:tc>
          <w:tcPr>
            <w:tcW w:w="1696" w:type="dxa"/>
          </w:tcPr>
          <w:p w14:paraId="515008DC" w14:textId="76FB87E3" w:rsidR="00D25008" w:rsidRPr="00B86602" w:rsidRDefault="001C4737" w:rsidP="00B86602">
            <w:pPr>
              <w:widowControl w:val="0"/>
              <w:autoSpaceDE w:val="0"/>
              <w:autoSpaceDN w:val="0"/>
              <w:spacing w:before="34" w:line="233" w:lineRule="exact"/>
              <w:ind w:left="103"/>
            </w:pPr>
            <w:r w:rsidRPr="004A3BBC">
              <w:rPr>
                <w:szCs w:val="22"/>
              </w:rPr>
              <w:t>retas</w:t>
            </w:r>
          </w:p>
        </w:tc>
        <w:tc>
          <w:tcPr>
            <w:tcW w:w="1696" w:type="dxa"/>
          </w:tcPr>
          <w:p w14:paraId="0670B5DE" w14:textId="77777777" w:rsidR="00D25008" w:rsidRPr="00B86602" w:rsidRDefault="00D25008" w:rsidP="00B86602">
            <w:pPr>
              <w:widowControl w:val="0"/>
              <w:autoSpaceDE w:val="0"/>
              <w:autoSpaceDN w:val="0"/>
            </w:pPr>
          </w:p>
        </w:tc>
        <w:tc>
          <w:tcPr>
            <w:tcW w:w="1696" w:type="dxa"/>
          </w:tcPr>
          <w:p w14:paraId="2CFDC63D" w14:textId="54A81736" w:rsidR="00D25008" w:rsidRPr="00B86602" w:rsidRDefault="00D25008" w:rsidP="00B86602">
            <w:pPr>
              <w:widowControl w:val="0"/>
              <w:autoSpaceDE w:val="0"/>
              <w:autoSpaceDN w:val="0"/>
            </w:pPr>
          </w:p>
        </w:tc>
        <w:tc>
          <w:tcPr>
            <w:tcW w:w="1696" w:type="dxa"/>
          </w:tcPr>
          <w:p w14:paraId="1EAADBAB" w14:textId="77777777" w:rsidR="00D25008" w:rsidRPr="00B86602" w:rsidRDefault="00D25008" w:rsidP="00B86602">
            <w:pPr>
              <w:widowControl w:val="0"/>
              <w:autoSpaceDE w:val="0"/>
              <w:autoSpaceDN w:val="0"/>
              <w:spacing w:before="34" w:line="233" w:lineRule="exact"/>
              <w:ind w:left="103"/>
            </w:pPr>
          </w:p>
        </w:tc>
      </w:tr>
      <w:tr w:rsidR="00D25008" w14:paraId="3B8D8080" w14:textId="77777777" w:rsidTr="00B86602">
        <w:trPr>
          <w:trHeight w:val="280"/>
        </w:trPr>
        <w:tc>
          <w:tcPr>
            <w:tcW w:w="1191" w:type="dxa"/>
            <w:gridSpan w:val="2"/>
            <w:vMerge/>
          </w:tcPr>
          <w:p w14:paraId="464DACB6" w14:textId="4F8F50BA" w:rsidR="00D25008" w:rsidRPr="00B86602" w:rsidRDefault="00D25008" w:rsidP="00B86602">
            <w:pPr>
              <w:rPr>
                <w:sz w:val="2"/>
              </w:rPr>
            </w:pPr>
          </w:p>
        </w:tc>
        <w:tc>
          <w:tcPr>
            <w:tcW w:w="1695" w:type="dxa"/>
          </w:tcPr>
          <w:p w14:paraId="2CE78B66" w14:textId="4818CECE" w:rsidR="00D25008" w:rsidRPr="00B86602" w:rsidRDefault="001C4737" w:rsidP="00B86602">
            <w:pPr>
              <w:widowControl w:val="0"/>
              <w:autoSpaceDE w:val="0"/>
              <w:autoSpaceDN w:val="0"/>
              <w:spacing w:before="34" w:line="236" w:lineRule="exact"/>
              <w:ind w:left="100"/>
            </w:pPr>
            <w:proofErr w:type="spellStart"/>
            <w:r w:rsidRPr="004A3BBC">
              <w:rPr>
                <w:szCs w:val="22"/>
              </w:rPr>
              <w:t>Faringitas</w:t>
            </w:r>
            <w:proofErr w:type="spellEnd"/>
          </w:p>
        </w:tc>
        <w:tc>
          <w:tcPr>
            <w:tcW w:w="1696" w:type="dxa"/>
          </w:tcPr>
          <w:p w14:paraId="49DB9442" w14:textId="52F8E186" w:rsidR="00D25008" w:rsidRPr="00B86602" w:rsidRDefault="001C4737" w:rsidP="00B86602">
            <w:pPr>
              <w:widowControl w:val="0"/>
              <w:autoSpaceDE w:val="0"/>
              <w:autoSpaceDN w:val="0"/>
              <w:spacing w:before="34" w:line="236" w:lineRule="exact"/>
              <w:ind w:left="103"/>
            </w:pPr>
            <w:r w:rsidRPr="004A3BBC">
              <w:rPr>
                <w:szCs w:val="22"/>
              </w:rPr>
              <w:t>retas</w:t>
            </w:r>
          </w:p>
        </w:tc>
        <w:tc>
          <w:tcPr>
            <w:tcW w:w="1696" w:type="dxa"/>
          </w:tcPr>
          <w:p w14:paraId="07D37768" w14:textId="77777777" w:rsidR="00D25008" w:rsidRPr="00B86602" w:rsidRDefault="00D25008" w:rsidP="00B86602">
            <w:pPr>
              <w:widowControl w:val="0"/>
              <w:autoSpaceDE w:val="0"/>
              <w:autoSpaceDN w:val="0"/>
            </w:pPr>
          </w:p>
        </w:tc>
        <w:tc>
          <w:tcPr>
            <w:tcW w:w="1696" w:type="dxa"/>
          </w:tcPr>
          <w:p w14:paraId="56987293" w14:textId="7AC28980" w:rsidR="00D25008" w:rsidRPr="00B86602" w:rsidRDefault="00D25008" w:rsidP="00B86602">
            <w:pPr>
              <w:widowControl w:val="0"/>
              <w:autoSpaceDE w:val="0"/>
              <w:autoSpaceDN w:val="0"/>
            </w:pPr>
          </w:p>
        </w:tc>
        <w:tc>
          <w:tcPr>
            <w:tcW w:w="1696" w:type="dxa"/>
          </w:tcPr>
          <w:p w14:paraId="3170482C" w14:textId="77777777" w:rsidR="00D25008" w:rsidRPr="00B86602" w:rsidRDefault="00D25008" w:rsidP="00B86602">
            <w:pPr>
              <w:widowControl w:val="0"/>
              <w:autoSpaceDE w:val="0"/>
              <w:autoSpaceDN w:val="0"/>
              <w:spacing w:before="34" w:line="233" w:lineRule="exact"/>
              <w:ind w:left="103"/>
            </w:pPr>
          </w:p>
        </w:tc>
      </w:tr>
      <w:tr w:rsidR="00D25008" w14:paraId="7DB2A300" w14:textId="77777777" w:rsidTr="00B86602">
        <w:trPr>
          <w:trHeight w:val="125"/>
        </w:trPr>
        <w:tc>
          <w:tcPr>
            <w:tcW w:w="1191" w:type="dxa"/>
            <w:gridSpan w:val="2"/>
            <w:vMerge/>
          </w:tcPr>
          <w:p w14:paraId="3E877109" w14:textId="1421FD72" w:rsidR="00D25008" w:rsidRPr="00B86602" w:rsidRDefault="00D25008" w:rsidP="00B86602">
            <w:pPr>
              <w:rPr>
                <w:sz w:val="2"/>
              </w:rPr>
            </w:pPr>
          </w:p>
        </w:tc>
        <w:tc>
          <w:tcPr>
            <w:tcW w:w="1695" w:type="dxa"/>
          </w:tcPr>
          <w:p w14:paraId="6D084B7F" w14:textId="7704C152" w:rsidR="00D25008" w:rsidRPr="00B86602" w:rsidRDefault="001C4737" w:rsidP="00B86602">
            <w:pPr>
              <w:widowControl w:val="0"/>
              <w:autoSpaceDE w:val="0"/>
              <w:autoSpaceDN w:val="0"/>
              <w:spacing w:before="34" w:line="233" w:lineRule="exact"/>
              <w:ind w:left="100"/>
            </w:pPr>
            <w:r w:rsidRPr="004A3BBC">
              <w:rPr>
                <w:szCs w:val="22"/>
              </w:rPr>
              <w:t>Sinusitas</w:t>
            </w:r>
          </w:p>
        </w:tc>
        <w:tc>
          <w:tcPr>
            <w:tcW w:w="1696" w:type="dxa"/>
          </w:tcPr>
          <w:p w14:paraId="7245302F" w14:textId="0C796EDD" w:rsidR="00D25008" w:rsidRPr="00B86602" w:rsidRDefault="001C4737" w:rsidP="00B86602">
            <w:pPr>
              <w:widowControl w:val="0"/>
              <w:autoSpaceDE w:val="0"/>
              <w:autoSpaceDN w:val="0"/>
              <w:spacing w:before="34" w:line="233" w:lineRule="exact"/>
              <w:ind w:left="103"/>
            </w:pPr>
            <w:r w:rsidRPr="004A3BBC">
              <w:rPr>
                <w:szCs w:val="22"/>
              </w:rPr>
              <w:t>retas</w:t>
            </w:r>
          </w:p>
        </w:tc>
        <w:tc>
          <w:tcPr>
            <w:tcW w:w="1696" w:type="dxa"/>
          </w:tcPr>
          <w:p w14:paraId="63566E63" w14:textId="77777777" w:rsidR="00D25008" w:rsidRPr="00B86602" w:rsidRDefault="00D25008" w:rsidP="00B86602">
            <w:pPr>
              <w:widowControl w:val="0"/>
              <w:autoSpaceDE w:val="0"/>
              <w:autoSpaceDN w:val="0"/>
            </w:pPr>
          </w:p>
        </w:tc>
        <w:tc>
          <w:tcPr>
            <w:tcW w:w="1696" w:type="dxa"/>
          </w:tcPr>
          <w:p w14:paraId="05D5BACA" w14:textId="77777777" w:rsidR="00D25008" w:rsidRPr="00B86602" w:rsidRDefault="00D25008" w:rsidP="00B86602">
            <w:pPr>
              <w:widowControl w:val="0"/>
              <w:autoSpaceDE w:val="0"/>
              <w:autoSpaceDN w:val="0"/>
            </w:pPr>
          </w:p>
        </w:tc>
        <w:tc>
          <w:tcPr>
            <w:tcW w:w="1696" w:type="dxa"/>
          </w:tcPr>
          <w:p w14:paraId="736B7D4B" w14:textId="77777777" w:rsidR="00D25008" w:rsidRPr="00B86602" w:rsidRDefault="00D25008" w:rsidP="00B86602">
            <w:pPr>
              <w:widowControl w:val="0"/>
              <w:autoSpaceDE w:val="0"/>
              <w:autoSpaceDN w:val="0"/>
              <w:spacing w:before="34" w:line="233" w:lineRule="exact"/>
              <w:ind w:left="103"/>
            </w:pPr>
          </w:p>
        </w:tc>
      </w:tr>
      <w:tr w:rsidR="00D25008" w14:paraId="361F4270" w14:textId="77777777" w:rsidTr="00B86602">
        <w:trPr>
          <w:trHeight w:val="500"/>
        </w:trPr>
        <w:tc>
          <w:tcPr>
            <w:tcW w:w="1191" w:type="dxa"/>
            <w:gridSpan w:val="2"/>
            <w:vMerge/>
          </w:tcPr>
          <w:p w14:paraId="49242179" w14:textId="77777777" w:rsidR="00D25008" w:rsidRPr="00B86602" w:rsidRDefault="00D25008" w:rsidP="00B86602">
            <w:pPr>
              <w:rPr>
                <w:sz w:val="2"/>
              </w:rPr>
            </w:pPr>
          </w:p>
        </w:tc>
        <w:tc>
          <w:tcPr>
            <w:tcW w:w="1695" w:type="dxa"/>
          </w:tcPr>
          <w:p w14:paraId="0A24FD25" w14:textId="299EC25E" w:rsidR="00D25008" w:rsidRPr="00B86602" w:rsidRDefault="001C4737" w:rsidP="00B86602">
            <w:pPr>
              <w:widowControl w:val="0"/>
              <w:autoSpaceDE w:val="0"/>
              <w:autoSpaceDN w:val="0"/>
              <w:spacing w:before="4" w:line="252" w:lineRule="exact"/>
              <w:ind w:left="100" w:right="364"/>
            </w:pPr>
            <w:r w:rsidRPr="004A3BBC">
              <w:rPr>
                <w:szCs w:val="22"/>
              </w:rPr>
              <w:t>Viršutinių kvėpavimo takų infekcija</w:t>
            </w:r>
          </w:p>
        </w:tc>
        <w:tc>
          <w:tcPr>
            <w:tcW w:w="1696" w:type="dxa"/>
          </w:tcPr>
          <w:p w14:paraId="48103448" w14:textId="4A935ED3" w:rsidR="00D25008" w:rsidRPr="00B86602" w:rsidRDefault="00D25008" w:rsidP="00B86602">
            <w:pPr>
              <w:widowControl w:val="0"/>
              <w:autoSpaceDE w:val="0"/>
              <w:autoSpaceDN w:val="0"/>
            </w:pPr>
          </w:p>
        </w:tc>
        <w:tc>
          <w:tcPr>
            <w:tcW w:w="1696" w:type="dxa"/>
          </w:tcPr>
          <w:p w14:paraId="30B27EB5" w14:textId="7115BC21" w:rsidR="00D25008" w:rsidRPr="00B86602" w:rsidRDefault="001C4737" w:rsidP="00B86602">
            <w:pPr>
              <w:widowControl w:val="0"/>
              <w:autoSpaceDE w:val="0"/>
              <w:autoSpaceDN w:val="0"/>
              <w:spacing w:line="233" w:lineRule="exact"/>
              <w:ind w:left="102"/>
            </w:pPr>
            <w:r w:rsidRPr="004A3BBC">
              <w:rPr>
                <w:szCs w:val="22"/>
              </w:rPr>
              <w:t>nedažnas</w:t>
            </w:r>
          </w:p>
        </w:tc>
        <w:tc>
          <w:tcPr>
            <w:tcW w:w="1696" w:type="dxa"/>
          </w:tcPr>
          <w:p w14:paraId="4AB3A358" w14:textId="12A993DB" w:rsidR="00D25008" w:rsidRPr="00B86602" w:rsidRDefault="00D25008" w:rsidP="00B86602">
            <w:pPr>
              <w:widowControl w:val="0"/>
              <w:autoSpaceDE w:val="0"/>
              <w:autoSpaceDN w:val="0"/>
            </w:pPr>
          </w:p>
        </w:tc>
        <w:tc>
          <w:tcPr>
            <w:tcW w:w="1696" w:type="dxa"/>
          </w:tcPr>
          <w:p w14:paraId="688E4CA5" w14:textId="77777777" w:rsidR="00D25008" w:rsidRPr="00B86602" w:rsidRDefault="00D25008" w:rsidP="00B86602">
            <w:pPr>
              <w:widowControl w:val="0"/>
              <w:autoSpaceDE w:val="0"/>
              <w:autoSpaceDN w:val="0"/>
              <w:spacing w:before="34" w:line="233" w:lineRule="exact"/>
              <w:ind w:left="103"/>
            </w:pPr>
          </w:p>
        </w:tc>
      </w:tr>
      <w:tr w:rsidR="00D25008" w14:paraId="587FE289" w14:textId="77777777" w:rsidTr="00B86602">
        <w:trPr>
          <w:trHeight w:val="497"/>
        </w:trPr>
        <w:tc>
          <w:tcPr>
            <w:tcW w:w="1191" w:type="dxa"/>
            <w:gridSpan w:val="2"/>
            <w:vMerge/>
          </w:tcPr>
          <w:p w14:paraId="68449D20" w14:textId="77777777" w:rsidR="00D25008" w:rsidRPr="00B86602" w:rsidRDefault="00D25008" w:rsidP="00B86602">
            <w:pPr>
              <w:rPr>
                <w:sz w:val="2"/>
              </w:rPr>
            </w:pPr>
          </w:p>
        </w:tc>
        <w:tc>
          <w:tcPr>
            <w:tcW w:w="1695" w:type="dxa"/>
          </w:tcPr>
          <w:p w14:paraId="2B4CB7AF" w14:textId="0E99EBD0" w:rsidR="00D25008" w:rsidRPr="00B86602" w:rsidRDefault="001C4737" w:rsidP="00B86602">
            <w:pPr>
              <w:widowControl w:val="0"/>
              <w:autoSpaceDE w:val="0"/>
              <w:autoSpaceDN w:val="0"/>
              <w:spacing w:before="1" w:line="252" w:lineRule="exact"/>
              <w:ind w:left="100" w:right="792"/>
            </w:pPr>
            <w:r w:rsidRPr="004A3BBC">
              <w:rPr>
                <w:szCs w:val="22"/>
              </w:rPr>
              <w:t>Šlapimo takų infekcija</w:t>
            </w:r>
          </w:p>
        </w:tc>
        <w:tc>
          <w:tcPr>
            <w:tcW w:w="1696" w:type="dxa"/>
          </w:tcPr>
          <w:p w14:paraId="392F6CFF" w14:textId="77777777" w:rsidR="00D25008" w:rsidRPr="00B86602" w:rsidRDefault="00D25008" w:rsidP="00B86602">
            <w:pPr>
              <w:widowControl w:val="0"/>
              <w:autoSpaceDE w:val="0"/>
              <w:autoSpaceDN w:val="0"/>
            </w:pPr>
          </w:p>
        </w:tc>
        <w:tc>
          <w:tcPr>
            <w:tcW w:w="1696" w:type="dxa"/>
          </w:tcPr>
          <w:p w14:paraId="6B7543DB" w14:textId="41F84754" w:rsidR="00D25008" w:rsidRPr="00B86602" w:rsidRDefault="001C4737" w:rsidP="00B86602">
            <w:pPr>
              <w:widowControl w:val="0"/>
              <w:autoSpaceDE w:val="0"/>
              <w:autoSpaceDN w:val="0"/>
              <w:spacing w:line="233" w:lineRule="exact"/>
              <w:ind w:left="102"/>
            </w:pPr>
            <w:r w:rsidRPr="004A3BBC">
              <w:rPr>
                <w:szCs w:val="22"/>
              </w:rPr>
              <w:t>nedažnas</w:t>
            </w:r>
          </w:p>
        </w:tc>
        <w:tc>
          <w:tcPr>
            <w:tcW w:w="1696" w:type="dxa"/>
          </w:tcPr>
          <w:p w14:paraId="0CB924DE" w14:textId="77777777" w:rsidR="00D25008" w:rsidRPr="00B86602" w:rsidRDefault="00D25008" w:rsidP="00B86602">
            <w:pPr>
              <w:widowControl w:val="0"/>
              <w:autoSpaceDE w:val="0"/>
              <w:autoSpaceDN w:val="0"/>
            </w:pPr>
          </w:p>
        </w:tc>
        <w:tc>
          <w:tcPr>
            <w:tcW w:w="1696" w:type="dxa"/>
          </w:tcPr>
          <w:p w14:paraId="35C81950" w14:textId="77777777" w:rsidR="00D25008" w:rsidRPr="00B86602" w:rsidRDefault="00D25008" w:rsidP="00B86602">
            <w:pPr>
              <w:widowControl w:val="0"/>
              <w:autoSpaceDE w:val="0"/>
              <w:autoSpaceDN w:val="0"/>
              <w:spacing w:before="34" w:line="233" w:lineRule="exact"/>
              <w:ind w:left="103"/>
            </w:pPr>
          </w:p>
        </w:tc>
      </w:tr>
      <w:tr w:rsidR="00D25008" w14:paraId="655FB12B" w14:textId="77777777" w:rsidTr="00B86602">
        <w:trPr>
          <w:trHeight w:val="277"/>
        </w:trPr>
        <w:tc>
          <w:tcPr>
            <w:tcW w:w="1191" w:type="dxa"/>
            <w:gridSpan w:val="2"/>
            <w:vMerge/>
          </w:tcPr>
          <w:p w14:paraId="3D227EC2" w14:textId="77777777" w:rsidR="00D25008" w:rsidRPr="00B86602" w:rsidRDefault="00D25008" w:rsidP="00B86602">
            <w:pPr>
              <w:rPr>
                <w:sz w:val="2"/>
              </w:rPr>
            </w:pPr>
          </w:p>
        </w:tc>
        <w:tc>
          <w:tcPr>
            <w:tcW w:w="1695" w:type="dxa"/>
          </w:tcPr>
          <w:p w14:paraId="6F659BE9" w14:textId="6CD54744" w:rsidR="00D25008" w:rsidRPr="00B86602" w:rsidRDefault="001C4737" w:rsidP="00B86602">
            <w:pPr>
              <w:widowControl w:val="0"/>
              <w:autoSpaceDE w:val="0"/>
              <w:autoSpaceDN w:val="0"/>
              <w:spacing w:before="34" w:line="234" w:lineRule="exact"/>
              <w:ind w:left="100"/>
            </w:pPr>
            <w:r w:rsidRPr="004A3BBC">
              <w:rPr>
                <w:szCs w:val="22"/>
              </w:rPr>
              <w:t>Cistitas</w:t>
            </w:r>
          </w:p>
        </w:tc>
        <w:tc>
          <w:tcPr>
            <w:tcW w:w="1696" w:type="dxa"/>
          </w:tcPr>
          <w:p w14:paraId="281B25C5" w14:textId="77777777" w:rsidR="00D25008" w:rsidRPr="00B86602" w:rsidRDefault="00D25008" w:rsidP="00B86602">
            <w:pPr>
              <w:widowControl w:val="0"/>
              <w:autoSpaceDE w:val="0"/>
              <w:autoSpaceDN w:val="0"/>
            </w:pPr>
          </w:p>
        </w:tc>
        <w:tc>
          <w:tcPr>
            <w:tcW w:w="1696" w:type="dxa"/>
          </w:tcPr>
          <w:p w14:paraId="3484AE3D" w14:textId="4E3937A6" w:rsidR="00D25008" w:rsidRPr="00B86602" w:rsidRDefault="001C4737" w:rsidP="00B86602">
            <w:pPr>
              <w:widowControl w:val="0"/>
              <w:autoSpaceDE w:val="0"/>
              <w:autoSpaceDN w:val="0"/>
              <w:spacing w:before="34" w:line="234" w:lineRule="exact"/>
              <w:ind w:left="102"/>
            </w:pPr>
            <w:r w:rsidRPr="004A3BBC">
              <w:rPr>
                <w:szCs w:val="22"/>
              </w:rPr>
              <w:t>nedažnas</w:t>
            </w:r>
          </w:p>
        </w:tc>
        <w:tc>
          <w:tcPr>
            <w:tcW w:w="1696" w:type="dxa"/>
          </w:tcPr>
          <w:p w14:paraId="611D326D" w14:textId="4D1BEF2B" w:rsidR="00D25008" w:rsidRPr="00B86602" w:rsidRDefault="00D25008" w:rsidP="00B86602">
            <w:pPr>
              <w:widowControl w:val="0"/>
              <w:autoSpaceDE w:val="0"/>
              <w:autoSpaceDN w:val="0"/>
            </w:pPr>
          </w:p>
        </w:tc>
        <w:tc>
          <w:tcPr>
            <w:tcW w:w="1696" w:type="dxa"/>
          </w:tcPr>
          <w:p w14:paraId="38245863" w14:textId="77777777" w:rsidR="00D25008" w:rsidRPr="00B86602" w:rsidRDefault="00D25008" w:rsidP="00B86602">
            <w:pPr>
              <w:widowControl w:val="0"/>
              <w:autoSpaceDE w:val="0"/>
              <w:autoSpaceDN w:val="0"/>
              <w:spacing w:before="34" w:line="233" w:lineRule="exact"/>
              <w:ind w:left="103"/>
            </w:pPr>
          </w:p>
        </w:tc>
      </w:tr>
      <w:tr w:rsidR="00D25008" w14:paraId="3B38F2B1" w14:textId="77777777" w:rsidTr="00B86602">
        <w:trPr>
          <w:trHeight w:val="1260"/>
        </w:trPr>
        <w:tc>
          <w:tcPr>
            <w:tcW w:w="1191" w:type="dxa"/>
            <w:gridSpan w:val="2"/>
          </w:tcPr>
          <w:p w14:paraId="231CAB58" w14:textId="43B31B03" w:rsidR="00D25008" w:rsidRPr="00B86602" w:rsidRDefault="00FE2A61" w:rsidP="00B86602">
            <w:pPr>
              <w:widowControl w:val="0"/>
              <w:autoSpaceDE w:val="0"/>
              <w:autoSpaceDN w:val="0"/>
              <w:ind w:left="102" w:right="163"/>
              <w:rPr>
                <w:b/>
              </w:rPr>
            </w:pPr>
            <w:r w:rsidRPr="00B86602">
              <w:rPr>
                <w:b/>
              </w:rPr>
              <w:t>Gerybiniai, piktybiniai ir nepatikslinti navikai (tarp jų cistos ir polipai)</w:t>
            </w:r>
          </w:p>
        </w:tc>
        <w:tc>
          <w:tcPr>
            <w:tcW w:w="1695" w:type="dxa"/>
          </w:tcPr>
          <w:p w14:paraId="41187310" w14:textId="77777777" w:rsidR="00DC4BB2" w:rsidRPr="004A3BBC" w:rsidRDefault="001C4737">
            <w:pPr>
              <w:widowControl w:val="0"/>
              <w:autoSpaceDE w:val="0"/>
              <w:autoSpaceDN w:val="0"/>
              <w:ind w:left="100" w:right="131"/>
              <w:rPr>
                <w:szCs w:val="22"/>
              </w:rPr>
            </w:pPr>
            <w:proofErr w:type="spellStart"/>
            <w:r w:rsidRPr="004A3BBC">
              <w:rPr>
                <w:szCs w:val="22"/>
              </w:rPr>
              <w:t>Nemelanominis</w:t>
            </w:r>
            <w:proofErr w:type="spellEnd"/>
            <w:r w:rsidRPr="004A3BBC">
              <w:rPr>
                <w:szCs w:val="22"/>
              </w:rPr>
              <w:t xml:space="preserve"> odos vėžys </w:t>
            </w:r>
          </w:p>
          <w:p w14:paraId="1DE617F4" w14:textId="49202C7D" w:rsidR="00D25008" w:rsidRPr="00B86602" w:rsidRDefault="001C4737" w:rsidP="00B86602">
            <w:pPr>
              <w:widowControl w:val="0"/>
              <w:autoSpaceDE w:val="0"/>
              <w:autoSpaceDN w:val="0"/>
              <w:ind w:left="100" w:right="131"/>
            </w:pPr>
            <w:r w:rsidRPr="004A3BBC">
              <w:rPr>
                <w:szCs w:val="22"/>
              </w:rPr>
              <w:t>(</w:t>
            </w:r>
            <w:proofErr w:type="spellStart"/>
            <w:r w:rsidRPr="004A3BBC">
              <w:rPr>
                <w:szCs w:val="22"/>
              </w:rPr>
              <w:t>bazalinių</w:t>
            </w:r>
            <w:proofErr w:type="spellEnd"/>
            <w:r w:rsidRPr="004A3BBC">
              <w:rPr>
                <w:szCs w:val="22"/>
              </w:rPr>
              <w:t xml:space="preserve"> ląstelių karcinoma ir plokščiųjų ląstelių karcinoma)</w:t>
            </w:r>
          </w:p>
        </w:tc>
        <w:tc>
          <w:tcPr>
            <w:tcW w:w="1696" w:type="dxa"/>
          </w:tcPr>
          <w:p w14:paraId="1F319BF9" w14:textId="72578E8D" w:rsidR="00D25008" w:rsidRPr="00B86602" w:rsidRDefault="00D25008" w:rsidP="00B86602">
            <w:pPr>
              <w:widowControl w:val="0"/>
              <w:autoSpaceDE w:val="0"/>
              <w:autoSpaceDN w:val="0"/>
            </w:pPr>
          </w:p>
        </w:tc>
        <w:tc>
          <w:tcPr>
            <w:tcW w:w="1696" w:type="dxa"/>
          </w:tcPr>
          <w:p w14:paraId="4D395900" w14:textId="77777777" w:rsidR="00D25008" w:rsidRPr="00B86602" w:rsidRDefault="00D25008" w:rsidP="00B86602">
            <w:pPr>
              <w:widowControl w:val="0"/>
              <w:autoSpaceDE w:val="0"/>
              <w:autoSpaceDN w:val="0"/>
            </w:pPr>
          </w:p>
        </w:tc>
        <w:tc>
          <w:tcPr>
            <w:tcW w:w="1696" w:type="dxa"/>
          </w:tcPr>
          <w:p w14:paraId="2C184206" w14:textId="2B61EC7A" w:rsidR="00D25008" w:rsidRPr="00B86602" w:rsidRDefault="001C4737" w:rsidP="00B86602">
            <w:pPr>
              <w:widowControl w:val="0"/>
              <w:autoSpaceDE w:val="0"/>
              <w:autoSpaceDN w:val="0"/>
              <w:spacing w:before="178" w:line="239" w:lineRule="exact"/>
              <w:ind w:left="102"/>
            </w:pPr>
            <w:r w:rsidRPr="004A3BBC">
              <w:rPr>
                <w:szCs w:val="22"/>
              </w:rPr>
              <w:t>nedažnas</w:t>
            </w:r>
            <w:r w:rsidRPr="004A3BBC">
              <w:rPr>
                <w:szCs w:val="22"/>
                <w:vertAlign w:val="superscript"/>
              </w:rPr>
              <w:t>2</w:t>
            </w:r>
          </w:p>
        </w:tc>
        <w:tc>
          <w:tcPr>
            <w:tcW w:w="1696" w:type="dxa"/>
          </w:tcPr>
          <w:p w14:paraId="39A99EAC" w14:textId="5FAAF435" w:rsidR="00D25008" w:rsidRPr="00B86602" w:rsidRDefault="00D25008" w:rsidP="00B86602">
            <w:pPr>
              <w:widowControl w:val="0"/>
              <w:autoSpaceDE w:val="0"/>
              <w:autoSpaceDN w:val="0"/>
              <w:spacing w:before="34" w:line="233" w:lineRule="exact"/>
              <w:ind w:left="103"/>
            </w:pPr>
          </w:p>
        </w:tc>
      </w:tr>
      <w:tr w:rsidR="00D25008" w14:paraId="7106555C" w14:textId="77777777" w:rsidTr="00B86602">
        <w:trPr>
          <w:trHeight w:val="280"/>
        </w:trPr>
        <w:tc>
          <w:tcPr>
            <w:tcW w:w="1191" w:type="dxa"/>
            <w:gridSpan w:val="2"/>
            <w:vMerge w:val="restart"/>
          </w:tcPr>
          <w:p w14:paraId="12C351B6" w14:textId="66B9CB20" w:rsidR="00D25008" w:rsidRPr="00B86602" w:rsidRDefault="00FE2A61" w:rsidP="00B86602">
            <w:pPr>
              <w:widowControl w:val="0"/>
              <w:autoSpaceDE w:val="0"/>
              <w:autoSpaceDN w:val="0"/>
              <w:ind w:left="102" w:right="120"/>
              <w:rPr>
                <w:b/>
              </w:rPr>
            </w:pPr>
            <w:r w:rsidRPr="00B86602">
              <w:rPr>
                <w:b/>
              </w:rPr>
              <w:t>Kraujo ir limfinės sistemos sutrikimai</w:t>
            </w:r>
          </w:p>
        </w:tc>
        <w:tc>
          <w:tcPr>
            <w:tcW w:w="1695" w:type="dxa"/>
          </w:tcPr>
          <w:p w14:paraId="6A226BB0" w14:textId="3C678A4B" w:rsidR="00D25008" w:rsidRPr="00B86602" w:rsidRDefault="00FE2A61" w:rsidP="00B86602">
            <w:pPr>
              <w:widowControl w:val="0"/>
              <w:autoSpaceDE w:val="0"/>
              <w:autoSpaceDN w:val="0"/>
              <w:spacing w:before="34" w:line="236" w:lineRule="exact"/>
              <w:ind w:left="100"/>
            </w:pPr>
            <w:bookmarkStart w:id="4" w:name="_Hlk188618290"/>
            <w:r w:rsidRPr="00B86602">
              <w:t>An</w:t>
            </w:r>
            <w:bookmarkEnd w:id="4"/>
            <w:r w:rsidRPr="00B86602">
              <w:t>emija</w:t>
            </w:r>
          </w:p>
        </w:tc>
        <w:tc>
          <w:tcPr>
            <w:tcW w:w="1696" w:type="dxa"/>
          </w:tcPr>
          <w:p w14:paraId="458A1E19" w14:textId="77777777" w:rsidR="00D25008" w:rsidRPr="00B86602" w:rsidRDefault="00D25008" w:rsidP="00B86602">
            <w:pPr>
              <w:widowControl w:val="0"/>
              <w:autoSpaceDE w:val="0"/>
              <w:autoSpaceDN w:val="0"/>
            </w:pPr>
          </w:p>
        </w:tc>
        <w:tc>
          <w:tcPr>
            <w:tcW w:w="1696" w:type="dxa"/>
          </w:tcPr>
          <w:p w14:paraId="5EB172C8" w14:textId="6B312E71" w:rsidR="00D25008" w:rsidRPr="00B86602" w:rsidRDefault="001C4737" w:rsidP="00B86602">
            <w:pPr>
              <w:widowControl w:val="0"/>
              <w:autoSpaceDE w:val="0"/>
              <w:autoSpaceDN w:val="0"/>
              <w:spacing w:before="34" w:line="236" w:lineRule="exact"/>
              <w:ind w:left="102"/>
            </w:pPr>
            <w:r w:rsidRPr="004A3BBC">
              <w:rPr>
                <w:szCs w:val="22"/>
              </w:rPr>
              <w:t>nedažnas</w:t>
            </w:r>
          </w:p>
        </w:tc>
        <w:tc>
          <w:tcPr>
            <w:tcW w:w="1696" w:type="dxa"/>
          </w:tcPr>
          <w:p w14:paraId="588D4A5B" w14:textId="77777777" w:rsidR="00D25008" w:rsidRPr="00B86602" w:rsidRDefault="00D25008" w:rsidP="00B86602">
            <w:pPr>
              <w:widowControl w:val="0"/>
              <w:autoSpaceDE w:val="0"/>
              <w:autoSpaceDN w:val="0"/>
            </w:pPr>
          </w:p>
        </w:tc>
        <w:tc>
          <w:tcPr>
            <w:tcW w:w="1696" w:type="dxa"/>
          </w:tcPr>
          <w:p w14:paraId="3F6A6DE2" w14:textId="77777777" w:rsidR="00D25008" w:rsidRPr="00B86602" w:rsidRDefault="00D25008" w:rsidP="00B86602">
            <w:pPr>
              <w:widowControl w:val="0"/>
              <w:autoSpaceDE w:val="0"/>
              <w:autoSpaceDN w:val="0"/>
              <w:spacing w:before="34" w:line="233" w:lineRule="exact"/>
              <w:ind w:left="103"/>
            </w:pPr>
          </w:p>
        </w:tc>
      </w:tr>
      <w:tr w:rsidR="00D25008" w14:paraId="38F24D8C" w14:textId="77777777" w:rsidTr="00B86602">
        <w:trPr>
          <w:trHeight w:val="280"/>
        </w:trPr>
        <w:tc>
          <w:tcPr>
            <w:tcW w:w="1191" w:type="dxa"/>
            <w:gridSpan w:val="2"/>
            <w:vMerge/>
            <w:tcBorders>
              <w:top w:val="nil"/>
            </w:tcBorders>
          </w:tcPr>
          <w:p w14:paraId="1B059798" w14:textId="77777777" w:rsidR="00D25008" w:rsidRPr="00B86602" w:rsidRDefault="00D25008" w:rsidP="00B86602">
            <w:pPr>
              <w:rPr>
                <w:sz w:val="2"/>
              </w:rPr>
            </w:pPr>
          </w:p>
        </w:tc>
        <w:tc>
          <w:tcPr>
            <w:tcW w:w="1695" w:type="dxa"/>
          </w:tcPr>
          <w:p w14:paraId="40956EB9" w14:textId="58CFA507" w:rsidR="00D25008" w:rsidRPr="00B86602" w:rsidRDefault="001C4737" w:rsidP="00B86602">
            <w:pPr>
              <w:widowControl w:val="0"/>
              <w:autoSpaceDE w:val="0"/>
              <w:autoSpaceDN w:val="0"/>
              <w:spacing w:before="34" w:line="233" w:lineRule="exact"/>
              <w:ind w:left="100"/>
            </w:pPr>
            <w:bookmarkStart w:id="5" w:name="_Hlk188618297"/>
            <w:proofErr w:type="spellStart"/>
            <w:r w:rsidRPr="004A3BBC">
              <w:rPr>
                <w:szCs w:val="22"/>
              </w:rPr>
              <w:t>Eo</w:t>
            </w:r>
            <w:bookmarkEnd w:id="5"/>
            <w:r w:rsidRPr="004A3BBC">
              <w:rPr>
                <w:szCs w:val="22"/>
              </w:rPr>
              <w:t>zinofilija</w:t>
            </w:r>
            <w:proofErr w:type="spellEnd"/>
          </w:p>
        </w:tc>
        <w:tc>
          <w:tcPr>
            <w:tcW w:w="1696" w:type="dxa"/>
          </w:tcPr>
          <w:p w14:paraId="3FC57424" w14:textId="77777777" w:rsidR="00D25008" w:rsidRPr="00B86602" w:rsidRDefault="00D25008" w:rsidP="00B86602">
            <w:pPr>
              <w:widowControl w:val="0"/>
              <w:autoSpaceDE w:val="0"/>
              <w:autoSpaceDN w:val="0"/>
            </w:pPr>
          </w:p>
        </w:tc>
        <w:tc>
          <w:tcPr>
            <w:tcW w:w="1696" w:type="dxa"/>
          </w:tcPr>
          <w:p w14:paraId="1505671E" w14:textId="647F88E8" w:rsidR="00D25008" w:rsidRPr="00B86602" w:rsidRDefault="001C4737" w:rsidP="00B86602">
            <w:pPr>
              <w:widowControl w:val="0"/>
              <w:autoSpaceDE w:val="0"/>
              <w:autoSpaceDN w:val="0"/>
              <w:spacing w:before="34" w:line="233" w:lineRule="exact"/>
              <w:ind w:left="102"/>
            </w:pPr>
            <w:r w:rsidRPr="004A3BBC">
              <w:rPr>
                <w:szCs w:val="22"/>
              </w:rPr>
              <w:t>retas</w:t>
            </w:r>
          </w:p>
        </w:tc>
        <w:tc>
          <w:tcPr>
            <w:tcW w:w="1696" w:type="dxa"/>
          </w:tcPr>
          <w:p w14:paraId="0B519BCE" w14:textId="30FAE0AD" w:rsidR="00D25008" w:rsidRPr="00B86602" w:rsidRDefault="00D25008" w:rsidP="00B86602">
            <w:pPr>
              <w:widowControl w:val="0"/>
              <w:autoSpaceDE w:val="0"/>
              <w:autoSpaceDN w:val="0"/>
            </w:pPr>
          </w:p>
        </w:tc>
        <w:tc>
          <w:tcPr>
            <w:tcW w:w="1696" w:type="dxa"/>
          </w:tcPr>
          <w:p w14:paraId="54D2E043" w14:textId="77777777" w:rsidR="00D25008" w:rsidRPr="00B86602" w:rsidRDefault="00D25008" w:rsidP="00B86602">
            <w:pPr>
              <w:widowControl w:val="0"/>
              <w:autoSpaceDE w:val="0"/>
              <w:autoSpaceDN w:val="0"/>
              <w:spacing w:before="34" w:line="233" w:lineRule="exact"/>
              <w:ind w:left="103"/>
            </w:pPr>
          </w:p>
        </w:tc>
      </w:tr>
      <w:tr w:rsidR="00D25008" w14:paraId="64816691" w14:textId="77777777" w:rsidTr="00B86602">
        <w:trPr>
          <w:trHeight w:val="280"/>
        </w:trPr>
        <w:tc>
          <w:tcPr>
            <w:tcW w:w="1191" w:type="dxa"/>
            <w:gridSpan w:val="2"/>
            <w:vMerge/>
            <w:tcBorders>
              <w:top w:val="nil"/>
            </w:tcBorders>
          </w:tcPr>
          <w:p w14:paraId="4295BA38" w14:textId="238A0C3D" w:rsidR="00D25008" w:rsidRPr="00B86602" w:rsidRDefault="00D25008" w:rsidP="00B86602">
            <w:pPr>
              <w:rPr>
                <w:sz w:val="2"/>
              </w:rPr>
            </w:pPr>
          </w:p>
        </w:tc>
        <w:tc>
          <w:tcPr>
            <w:tcW w:w="1695" w:type="dxa"/>
          </w:tcPr>
          <w:p w14:paraId="0515BF54" w14:textId="02044D44" w:rsidR="00D25008" w:rsidRPr="00B86602" w:rsidRDefault="001C4737" w:rsidP="00B86602">
            <w:pPr>
              <w:widowControl w:val="0"/>
              <w:autoSpaceDE w:val="0"/>
              <w:autoSpaceDN w:val="0"/>
              <w:spacing w:before="37" w:line="233" w:lineRule="exact"/>
              <w:ind w:left="100"/>
            </w:pPr>
            <w:proofErr w:type="spellStart"/>
            <w:r w:rsidRPr="004A3BBC">
              <w:rPr>
                <w:szCs w:val="22"/>
              </w:rPr>
              <w:t>Trombocitopenija</w:t>
            </w:r>
            <w:proofErr w:type="spellEnd"/>
          </w:p>
        </w:tc>
        <w:tc>
          <w:tcPr>
            <w:tcW w:w="1696" w:type="dxa"/>
          </w:tcPr>
          <w:p w14:paraId="2E59A9D9" w14:textId="77777777" w:rsidR="00D25008" w:rsidRPr="00B86602" w:rsidRDefault="00D25008" w:rsidP="00B86602">
            <w:pPr>
              <w:widowControl w:val="0"/>
              <w:autoSpaceDE w:val="0"/>
              <w:autoSpaceDN w:val="0"/>
            </w:pPr>
          </w:p>
        </w:tc>
        <w:tc>
          <w:tcPr>
            <w:tcW w:w="1696" w:type="dxa"/>
          </w:tcPr>
          <w:p w14:paraId="40D5A361" w14:textId="1946AC4B" w:rsidR="00D25008" w:rsidRPr="00B86602" w:rsidRDefault="001C4737" w:rsidP="00B86602">
            <w:pPr>
              <w:widowControl w:val="0"/>
              <w:autoSpaceDE w:val="0"/>
              <w:autoSpaceDN w:val="0"/>
              <w:spacing w:before="37" w:line="233" w:lineRule="exact"/>
              <w:ind w:left="102"/>
            </w:pPr>
            <w:r w:rsidRPr="004A3BBC">
              <w:rPr>
                <w:szCs w:val="22"/>
              </w:rPr>
              <w:t>retas</w:t>
            </w:r>
          </w:p>
        </w:tc>
        <w:tc>
          <w:tcPr>
            <w:tcW w:w="1696" w:type="dxa"/>
          </w:tcPr>
          <w:p w14:paraId="5EE986E5" w14:textId="7A14D9A7" w:rsidR="00D25008" w:rsidRPr="00B86602" w:rsidRDefault="001C4737" w:rsidP="00B86602">
            <w:pPr>
              <w:widowControl w:val="0"/>
              <w:autoSpaceDE w:val="0"/>
              <w:autoSpaceDN w:val="0"/>
              <w:spacing w:before="37" w:line="233" w:lineRule="exact"/>
              <w:ind w:left="102"/>
            </w:pPr>
            <w:r w:rsidRPr="004A3BBC">
              <w:rPr>
                <w:szCs w:val="22"/>
              </w:rPr>
              <w:t>retas</w:t>
            </w:r>
          </w:p>
        </w:tc>
        <w:tc>
          <w:tcPr>
            <w:tcW w:w="1696" w:type="dxa"/>
          </w:tcPr>
          <w:p w14:paraId="3FE8E40C" w14:textId="5997CB04" w:rsidR="00D25008" w:rsidRPr="00B86602" w:rsidRDefault="001C4737" w:rsidP="00B86602">
            <w:pPr>
              <w:widowControl w:val="0"/>
              <w:autoSpaceDE w:val="0"/>
              <w:autoSpaceDN w:val="0"/>
              <w:spacing w:before="34" w:line="233" w:lineRule="exact"/>
              <w:ind w:left="103"/>
            </w:pPr>
            <w:r w:rsidRPr="004A3BBC">
              <w:rPr>
                <w:szCs w:val="22"/>
              </w:rPr>
              <w:t>labai retas</w:t>
            </w:r>
          </w:p>
        </w:tc>
      </w:tr>
      <w:tr w:rsidR="00D25008" w14:paraId="7FB9F6BC" w14:textId="77777777" w:rsidTr="00B86602">
        <w:trPr>
          <w:trHeight w:val="500"/>
        </w:trPr>
        <w:tc>
          <w:tcPr>
            <w:tcW w:w="1191" w:type="dxa"/>
            <w:gridSpan w:val="2"/>
            <w:vMerge/>
            <w:tcBorders>
              <w:top w:val="nil"/>
            </w:tcBorders>
          </w:tcPr>
          <w:p w14:paraId="5348AA15" w14:textId="0CEEE578" w:rsidR="00D25008" w:rsidRPr="00B86602" w:rsidRDefault="00D25008" w:rsidP="00B86602">
            <w:pPr>
              <w:rPr>
                <w:sz w:val="2"/>
              </w:rPr>
            </w:pPr>
          </w:p>
        </w:tc>
        <w:tc>
          <w:tcPr>
            <w:tcW w:w="1695" w:type="dxa"/>
          </w:tcPr>
          <w:p w14:paraId="25B1C691" w14:textId="43E5D222" w:rsidR="00D25008" w:rsidRPr="00B86602" w:rsidRDefault="001C4737" w:rsidP="00B86602">
            <w:pPr>
              <w:widowControl w:val="0"/>
              <w:autoSpaceDE w:val="0"/>
              <w:autoSpaceDN w:val="0"/>
              <w:spacing w:line="254" w:lineRule="exact"/>
              <w:ind w:left="100" w:right="248"/>
            </w:pPr>
            <w:proofErr w:type="spellStart"/>
            <w:r w:rsidRPr="004A3BBC">
              <w:rPr>
                <w:szCs w:val="22"/>
              </w:rPr>
              <w:t>Trombocitopeninė</w:t>
            </w:r>
            <w:proofErr w:type="spellEnd"/>
            <w:r w:rsidRPr="004A3BBC">
              <w:rPr>
                <w:szCs w:val="22"/>
              </w:rPr>
              <w:t xml:space="preserve"> purpura</w:t>
            </w:r>
          </w:p>
        </w:tc>
        <w:tc>
          <w:tcPr>
            <w:tcW w:w="1696" w:type="dxa"/>
          </w:tcPr>
          <w:p w14:paraId="301B6179" w14:textId="77777777" w:rsidR="00D25008" w:rsidRPr="00B86602" w:rsidRDefault="00D25008" w:rsidP="00B86602">
            <w:pPr>
              <w:widowControl w:val="0"/>
              <w:autoSpaceDE w:val="0"/>
              <w:autoSpaceDN w:val="0"/>
            </w:pPr>
          </w:p>
        </w:tc>
        <w:tc>
          <w:tcPr>
            <w:tcW w:w="1696" w:type="dxa"/>
          </w:tcPr>
          <w:p w14:paraId="25772CA9" w14:textId="77777777" w:rsidR="00D25008" w:rsidRPr="00B86602" w:rsidRDefault="00D25008" w:rsidP="00B86602">
            <w:pPr>
              <w:widowControl w:val="0"/>
              <w:autoSpaceDE w:val="0"/>
              <w:autoSpaceDN w:val="0"/>
            </w:pPr>
          </w:p>
        </w:tc>
        <w:tc>
          <w:tcPr>
            <w:tcW w:w="1696" w:type="dxa"/>
          </w:tcPr>
          <w:p w14:paraId="4E8CDCB9" w14:textId="62BB3C44" w:rsidR="00DC4BB2" w:rsidRPr="004A3BBC" w:rsidRDefault="00DC4BB2">
            <w:pPr>
              <w:widowControl w:val="0"/>
              <w:autoSpaceDE w:val="0"/>
              <w:autoSpaceDN w:val="0"/>
              <w:spacing w:before="11"/>
              <w:rPr>
                <w:szCs w:val="22"/>
              </w:rPr>
            </w:pPr>
          </w:p>
          <w:p w14:paraId="67F910BB" w14:textId="0CFC94EE" w:rsidR="00D25008" w:rsidRPr="00B86602" w:rsidRDefault="001C4737" w:rsidP="00B86602">
            <w:pPr>
              <w:widowControl w:val="0"/>
              <w:autoSpaceDE w:val="0"/>
              <w:autoSpaceDN w:val="0"/>
              <w:spacing w:line="233" w:lineRule="exact"/>
              <w:ind w:left="102"/>
            </w:pPr>
            <w:r w:rsidRPr="004A3BBC">
              <w:rPr>
                <w:szCs w:val="22"/>
              </w:rPr>
              <w:t>retas</w:t>
            </w:r>
          </w:p>
        </w:tc>
        <w:tc>
          <w:tcPr>
            <w:tcW w:w="1696" w:type="dxa"/>
          </w:tcPr>
          <w:p w14:paraId="5903BEC2" w14:textId="77777777" w:rsidR="00D25008" w:rsidRPr="00B86602" w:rsidRDefault="00D25008" w:rsidP="00B86602">
            <w:pPr>
              <w:widowControl w:val="0"/>
              <w:autoSpaceDE w:val="0"/>
              <w:autoSpaceDN w:val="0"/>
              <w:spacing w:before="34" w:line="233" w:lineRule="exact"/>
              <w:ind w:left="103"/>
            </w:pPr>
          </w:p>
        </w:tc>
      </w:tr>
      <w:tr w:rsidR="00D25008" w14:paraId="6C7B2A6B" w14:textId="77777777" w:rsidTr="00B86602">
        <w:trPr>
          <w:trHeight w:val="276"/>
        </w:trPr>
        <w:tc>
          <w:tcPr>
            <w:tcW w:w="1191" w:type="dxa"/>
            <w:gridSpan w:val="2"/>
            <w:vMerge/>
            <w:tcBorders>
              <w:top w:val="nil"/>
            </w:tcBorders>
          </w:tcPr>
          <w:p w14:paraId="1C3B7778" w14:textId="77777777" w:rsidR="00D25008" w:rsidRPr="00B86602" w:rsidRDefault="00D25008" w:rsidP="00B86602">
            <w:pPr>
              <w:rPr>
                <w:sz w:val="2"/>
              </w:rPr>
            </w:pPr>
          </w:p>
        </w:tc>
        <w:tc>
          <w:tcPr>
            <w:tcW w:w="1695" w:type="dxa"/>
          </w:tcPr>
          <w:p w14:paraId="30630319" w14:textId="4403D558" w:rsidR="00D25008" w:rsidRPr="00B86602" w:rsidRDefault="001C4737" w:rsidP="00B86602">
            <w:pPr>
              <w:widowControl w:val="0"/>
              <w:autoSpaceDE w:val="0"/>
              <w:autoSpaceDN w:val="0"/>
              <w:spacing w:before="31" w:line="236" w:lineRule="exact"/>
              <w:ind w:left="100"/>
            </w:pPr>
            <w:proofErr w:type="spellStart"/>
            <w:r w:rsidRPr="004A3BBC">
              <w:rPr>
                <w:szCs w:val="22"/>
              </w:rPr>
              <w:t>Aplazinė</w:t>
            </w:r>
            <w:proofErr w:type="spellEnd"/>
            <w:r w:rsidRPr="004A3BBC">
              <w:rPr>
                <w:szCs w:val="22"/>
              </w:rPr>
              <w:t xml:space="preserve"> anemija</w:t>
            </w:r>
          </w:p>
        </w:tc>
        <w:tc>
          <w:tcPr>
            <w:tcW w:w="1696" w:type="dxa"/>
          </w:tcPr>
          <w:p w14:paraId="617A9B04" w14:textId="621C663C" w:rsidR="00D25008" w:rsidRPr="00B86602" w:rsidRDefault="00D25008" w:rsidP="00B86602">
            <w:pPr>
              <w:widowControl w:val="0"/>
              <w:autoSpaceDE w:val="0"/>
              <w:autoSpaceDN w:val="0"/>
            </w:pPr>
          </w:p>
        </w:tc>
        <w:tc>
          <w:tcPr>
            <w:tcW w:w="1696" w:type="dxa"/>
          </w:tcPr>
          <w:p w14:paraId="3799C67D" w14:textId="77777777" w:rsidR="00D25008" w:rsidRPr="00B86602" w:rsidRDefault="00D25008" w:rsidP="00B86602">
            <w:pPr>
              <w:widowControl w:val="0"/>
              <w:autoSpaceDE w:val="0"/>
              <w:autoSpaceDN w:val="0"/>
            </w:pPr>
          </w:p>
        </w:tc>
        <w:tc>
          <w:tcPr>
            <w:tcW w:w="1696" w:type="dxa"/>
          </w:tcPr>
          <w:p w14:paraId="216081AE" w14:textId="78FE3845" w:rsidR="00D25008" w:rsidRPr="00B86602" w:rsidRDefault="001C4737" w:rsidP="00B86602">
            <w:pPr>
              <w:widowControl w:val="0"/>
              <w:autoSpaceDE w:val="0"/>
              <w:autoSpaceDN w:val="0"/>
              <w:spacing w:before="31" w:line="236" w:lineRule="exact"/>
              <w:ind w:left="102"/>
            </w:pPr>
            <w:r w:rsidRPr="004A3BBC">
              <w:rPr>
                <w:szCs w:val="22"/>
              </w:rPr>
              <w:t>nežinomas</w:t>
            </w:r>
          </w:p>
        </w:tc>
        <w:tc>
          <w:tcPr>
            <w:tcW w:w="1696" w:type="dxa"/>
          </w:tcPr>
          <w:p w14:paraId="0E5BA2A4" w14:textId="768B00C2" w:rsidR="00D25008" w:rsidRPr="00B86602" w:rsidRDefault="00D25008" w:rsidP="00B86602">
            <w:pPr>
              <w:widowControl w:val="0"/>
              <w:autoSpaceDE w:val="0"/>
              <w:autoSpaceDN w:val="0"/>
              <w:spacing w:before="34" w:line="233" w:lineRule="exact"/>
              <w:ind w:left="103"/>
            </w:pPr>
          </w:p>
        </w:tc>
      </w:tr>
      <w:tr w:rsidR="00D25008" w14:paraId="734AE7D9" w14:textId="77777777" w:rsidTr="00B86602">
        <w:trPr>
          <w:trHeight w:val="280"/>
        </w:trPr>
        <w:tc>
          <w:tcPr>
            <w:tcW w:w="1191" w:type="dxa"/>
            <w:gridSpan w:val="2"/>
            <w:vMerge/>
            <w:tcBorders>
              <w:top w:val="nil"/>
            </w:tcBorders>
          </w:tcPr>
          <w:p w14:paraId="4C173797" w14:textId="77777777" w:rsidR="00D25008" w:rsidRPr="00B86602" w:rsidRDefault="00D25008" w:rsidP="00B86602">
            <w:pPr>
              <w:rPr>
                <w:sz w:val="2"/>
              </w:rPr>
            </w:pPr>
          </w:p>
        </w:tc>
        <w:tc>
          <w:tcPr>
            <w:tcW w:w="1695" w:type="dxa"/>
          </w:tcPr>
          <w:p w14:paraId="31BC8B46" w14:textId="4DA90112" w:rsidR="00D25008" w:rsidRPr="00B86602" w:rsidRDefault="001C4737" w:rsidP="00B86602">
            <w:pPr>
              <w:widowControl w:val="0"/>
              <w:autoSpaceDE w:val="0"/>
              <w:autoSpaceDN w:val="0"/>
              <w:spacing w:before="34" w:line="233" w:lineRule="exact"/>
              <w:ind w:left="100"/>
            </w:pPr>
            <w:r w:rsidRPr="004A3BBC">
              <w:rPr>
                <w:szCs w:val="22"/>
              </w:rPr>
              <w:t>Hemolizinė anemija</w:t>
            </w:r>
          </w:p>
        </w:tc>
        <w:tc>
          <w:tcPr>
            <w:tcW w:w="1696" w:type="dxa"/>
          </w:tcPr>
          <w:p w14:paraId="2937DA17" w14:textId="679AED46" w:rsidR="00D25008" w:rsidRPr="00B86602" w:rsidRDefault="00D25008" w:rsidP="00B86602">
            <w:pPr>
              <w:widowControl w:val="0"/>
              <w:autoSpaceDE w:val="0"/>
              <w:autoSpaceDN w:val="0"/>
            </w:pPr>
          </w:p>
        </w:tc>
        <w:tc>
          <w:tcPr>
            <w:tcW w:w="1696" w:type="dxa"/>
          </w:tcPr>
          <w:p w14:paraId="5EB68024" w14:textId="77777777" w:rsidR="00D25008" w:rsidRPr="00B86602" w:rsidRDefault="00D25008" w:rsidP="00B86602">
            <w:pPr>
              <w:widowControl w:val="0"/>
              <w:autoSpaceDE w:val="0"/>
              <w:autoSpaceDN w:val="0"/>
            </w:pPr>
          </w:p>
        </w:tc>
        <w:tc>
          <w:tcPr>
            <w:tcW w:w="1696" w:type="dxa"/>
          </w:tcPr>
          <w:p w14:paraId="1A5ED27A" w14:textId="3D8D7930" w:rsidR="00D25008" w:rsidRPr="00B86602" w:rsidRDefault="001C4737" w:rsidP="00B86602">
            <w:pPr>
              <w:widowControl w:val="0"/>
              <w:autoSpaceDE w:val="0"/>
              <w:autoSpaceDN w:val="0"/>
              <w:spacing w:before="34" w:line="233" w:lineRule="exact"/>
              <w:ind w:left="102"/>
            </w:pPr>
            <w:r w:rsidRPr="004A3BBC">
              <w:rPr>
                <w:szCs w:val="22"/>
              </w:rPr>
              <w:t>labai retas</w:t>
            </w:r>
          </w:p>
        </w:tc>
        <w:tc>
          <w:tcPr>
            <w:tcW w:w="1696" w:type="dxa"/>
          </w:tcPr>
          <w:p w14:paraId="42BD4D4A" w14:textId="776EE958" w:rsidR="00D25008" w:rsidRPr="00B86602" w:rsidRDefault="00D25008" w:rsidP="00B86602">
            <w:pPr>
              <w:widowControl w:val="0"/>
              <w:autoSpaceDE w:val="0"/>
              <w:autoSpaceDN w:val="0"/>
              <w:spacing w:before="34" w:line="233" w:lineRule="exact"/>
              <w:ind w:left="103"/>
            </w:pPr>
          </w:p>
        </w:tc>
      </w:tr>
      <w:tr w:rsidR="00D25008" w14:paraId="5E93D069" w14:textId="77777777" w:rsidTr="00B86602">
        <w:trPr>
          <w:trHeight w:val="280"/>
        </w:trPr>
        <w:tc>
          <w:tcPr>
            <w:tcW w:w="1191" w:type="dxa"/>
            <w:gridSpan w:val="2"/>
            <w:vMerge/>
            <w:tcBorders>
              <w:top w:val="nil"/>
            </w:tcBorders>
          </w:tcPr>
          <w:p w14:paraId="1BAD531D" w14:textId="77777777" w:rsidR="00D25008" w:rsidRPr="00B86602" w:rsidRDefault="00D25008" w:rsidP="00B86602">
            <w:pPr>
              <w:rPr>
                <w:sz w:val="2"/>
              </w:rPr>
            </w:pPr>
          </w:p>
        </w:tc>
        <w:tc>
          <w:tcPr>
            <w:tcW w:w="1695" w:type="dxa"/>
          </w:tcPr>
          <w:p w14:paraId="635A4CEF" w14:textId="74FADD09" w:rsidR="00D25008" w:rsidRPr="00B86602" w:rsidRDefault="001C4737" w:rsidP="00B86602">
            <w:pPr>
              <w:widowControl w:val="0"/>
              <w:autoSpaceDE w:val="0"/>
              <w:autoSpaceDN w:val="0"/>
              <w:spacing w:before="34" w:line="236" w:lineRule="exact"/>
              <w:ind w:left="100"/>
            </w:pPr>
            <w:r w:rsidRPr="004A3BBC">
              <w:rPr>
                <w:szCs w:val="22"/>
              </w:rPr>
              <w:t>Kaulų čiulpų funkcijos nepakankamumas</w:t>
            </w:r>
          </w:p>
        </w:tc>
        <w:tc>
          <w:tcPr>
            <w:tcW w:w="1696" w:type="dxa"/>
          </w:tcPr>
          <w:p w14:paraId="1A465F04" w14:textId="77777777" w:rsidR="00D25008" w:rsidRPr="00B86602" w:rsidRDefault="00D25008" w:rsidP="00B86602">
            <w:pPr>
              <w:widowControl w:val="0"/>
              <w:autoSpaceDE w:val="0"/>
              <w:autoSpaceDN w:val="0"/>
            </w:pPr>
          </w:p>
        </w:tc>
        <w:tc>
          <w:tcPr>
            <w:tcW w:w="1696" w:type="dxa"/>
          </w:tcPr>
          <w:p w14:paraId="18B7EF67" w14:textId="00DCD705" w:rsidR="00D25008" w:rsidRPr="00B86602" w:rsidRDefault="00D25008" w:rsidP="00B86602">
            <w:pPr>
              <w:widowControl w:val="0"/>
              <w:autoSpaceDE w:val="0"/>
              <w:autoSpaceDN w:val="0"/>
            </w:pPr>
          </w:p>
        </w:tc>
        <w:tc>
          <w:tcPr>
            <w:tcW w:w="1696" w:type="dxa"/>
          </w:tcPr>
          <w:p w14:paraId="6367F8D0" w14:textId="33318A9F" w:rsidR="00D25008" w:rsidRPr="00B86602" w:rsidRDefault="001C4737" w:rsidP="00B86602">
            <w:pPr>
              <w:widowControl w:val="0"/>
              <w:autoSpaceDE w:val="0"/>
              <w:autoSpaceDN w:val="0"/>
              <w:spacing w:before="34" w:line="236" w:lineRule="exact"/>
              <w:ind w:left="102"/>
            </w:pPr>
            <w:r w:rsidRPr="004A3BBC">
              <w:rPr>
                <w:szCs w:val="22"/>
              </w:rPr>
              <w:t>labai retas</w:t>
            </w:r>
          </w:p>
        </w:tc>
        <w:tc>
          <w:tcPr>
            <w:tcW w:w="1696" w:type="dxa"/>
          </w:tcPr>
          <w:p w14:paraId="26C13ED2" w14:textId="77777777" w:rsidR="00D25008" w:rsidRPr="00B86602" w:rsidRDefault="00D25008" w:rsidP="00B86602">
            <w:pPr>
              <w:widowControl w:val="0"/>
              <w:autoSpaceDE w:val="0"/>
              <w:autoSpaceDN w:val="0"/>
              <w:spacing w:before="34" w:line="233" w:lineRule="exact"/>
              <w:ind w:left="103"/>
            </w:pPr>
          </w:p>
        </w:tc>
      </w:tr>
      <w:tr w:rsidR="00D25008" w14:paraId="61F48408" w14:textId="77777777" w:rsidTr="00B86602">
        <w:trPr>
          <w:trHeight w:val="280"/>
        </w:trPr>
        <w:tc>
          <w:tcPr>
            <w:tcW w:w="1191" w:type="dxa"/>
            <w:gridSpan w:val="2"/>
            <w:vMerge/>
            <w:tcBorders>
              <w:top w:val="nil"/>
            </w:tcBorders>
          </w:tcPr>
          <w:p w14:paraId="67AF28FB" w14:textId="77777777" w:rsidR="00D25008" w:rsidRPr="00B86602" w:rsidRDefault="00D25008" w:rsidP="00B86602">
            <w:pPr>
              <w:rPr>
                <w:sz w:val="2"/>
              </w:rPr>
            </w:pPr>
          </w:p>
        </w:tc>
        <w:tc>
          <w:tcPr>
            <w:tcW w:w="1695" w:type="dxa"/>
          </w:tcPr>
          <w:p w14:paraId="45C4010C" w14:textId="0E9FCB42" w:rsidR="00D25008" w:rsidRPr="00B86602" w:rsidRDefault="001C4737" w:rsidP="00B86602">
            <w:pPr>
              <w:widowControl w:val="0"/>
              <w:autoSpaceDE w:val="0"/>
              <w:autoSpaceDN w:val="0"/>
              <w:spacing w:before="34" w:line="233" w:lineRule="exact"/>
              <w:ind w:left="100"/>
            </w:pPr>
            <w:proofErr w:type="spellStart"/>
            <w:r w:rsidRPr="004A3BBC">
              <w:rPr>
                <w:szCs w:val="22"/>
              </w:rPr>
              <w:t>Leukopenija</w:t>
            </w:r>
            <w:proofErr w:type="spellEnd"/>
          </w:p>
        </w:tc>
        <w:tc>
          <w:tcPr>
            <w:tcW w:w="1696" w:type="dxa"/>
          </w:tcPr>
          <w:p w14:paraId="0B68F75D" w14:textId="77777777" w:rsidR="00D25008" w:rsidRPr="00B86602" w:rsidRDefault="00D25008" w:rsidP="00B86602">
            <w:pPr>
              <w:widowControl w:val="0"/>
              <w:autoSpaceDE w:val="0"/>
              <w:autoSpaceDN w:val="0"/>
            </w:pPr>
          </w:p>
        </w:tc>
        <w:tc>
          <w:tcPr>
            <w:tcW w:w="1696" w:type="dxa"/>
          </w:tcPr>
          <w:p w14:paraId="54E661A2" w14:textId="77777777" w:rsidR="00D25008" w:rsidRPr="00B86602" w:rsidRDefault="00D25008" w:rsidP="00B86602">
            <w:pPr>
              <w:widowControl w:val="0"/>
              <w:autoSpaceDE w:val="0"/>
              <w:autoSpaceDN w:val="0"/>
            </w:pPr>
          </w:p>
        </w:tc>
        <w:tc>
          <w:tcPr>
            <w:tcW w:w="1696" w:type="dxa"/>
          </w:tcPr>
          <w:p w14:paraId="253C5C32" w14:textId="23456B9F" w:rsidR="00D25008" w:rsidRPr="00B86602" w:rsidRDefault="001C4737" w:rsidP="00B86602">
            <w:pPr>
              <w:widowControl w:val="0"/>
              <w:autoSpaceDE w:val="0"/>
              <w:autoSpaceDN w:val="0"/>
              <w:spacing w:before="34" w:line="233" w:lineRule="exact"/>
              <w:ind w:left="102"/>
            </w:pPr>
            <w:r w:rsidRPr="004A3BBC">
              <w:rPr>
                <w:szCs w:val="22"/>
              </w:rPr>
              <w:t>laba</w:t>
            </w:r>
            <w:r w:rsidR="00D62116">
              <w:rPr>
                <w:szCs w:val="22"/>
              </w:rPr>
              <w:t>i</w:t>
            </w:r>
            <w:r w:rsidRPr="004A3BBC">
              <w:rPr>
                <w:szCs w:val="22"/>
              </w:rPr>
              <w:t xml:space="preserve"> retas</w:t>
            </w:r>
          </w:p>
        </w:tc>
        <w:tc>
          <w:tcPr>
            <w:tcW w:w="1696" w:type="dxa"/>
          </w:tcPr>
          <w:p w14:paraId="17A9A390" w14:textId="4210B85B" w:rsidR="00D25008" w:rsidRPr="00B86602" w:rsidRDefault="001C4737" w:rsidP="00B86602">
            <w:pPr>
              <w:widowControl w:val="0"/>
              <w:autoSpaceDE w:val="0"/>
              <w:autoSpaceDN w:val="0"/>
              <w:spacing w:before="34" w:line="233" w:lineRule="exact"/>
              <w:ind w:left="103"/>
            </w:pPr>
            <w:r w:rsidRPr="004A3BBC">
              <w:rPr>
                <w:szCs w:val="22"/>
              </w:rPr>
              <w:t>labai retas</w:t>
            </w:r>
          </w:p>
        </w:tc>
      </w:tr>
      <w:tr w:rsidR="00D25008" w14:paraId="255B19E9" w14:textId="77777777" w:rsidTr="00B86602">
        <w:trPr>
          <w:trHeight w:val="280"/>
        </w:trPr>
        <w:tc>
          <w:tcPr>
            <w:tcW w:w="1191" w:type="dxa"/>
            <w:gridSpan w:val="2"/>
            <w:vMerge/>
            <w:tcBorders>
              <w:top w:val="nil"/>
            </w:tcBorders>
          </w:tcPr>
          <w:p w14:paraId="7C7A1400" w14:textId="393E7D47" w:rsidR="00D25008" w:rsidRPr="00B86602" w:rsidRDefault="00D25008" w:rsidP="00B86602">
            <w:pPr>
              <w:rPr>
                <w:sz w:val="2"/>
              </w:rPr>
            </w:pPr>
          </w:p>
        </w:tc>
        <w:tc>
          <w:tcPr>
            <w:tcW w:w="1695" w:type="dxa"/>
          </w:tcPr>
          <w:p w14:paraId="725E2FD2" w14:textId="2D58EC11" w:rsidR="00D25008" w:rsidRPr="00B86602" w:rsidRDefault="001C4737" w:rsidP="00B86602">
            <w:pPr>
              <w:widowControl w:val="0"/>
              <w:autoSpaceDE w:val="0"/>
              <w:autoSpaceDN w:val="0"/>
              <w:spacing w:before="34" w:line="236" w:lineRule="exact"/>
              <w:ind w:left="100"/>
            </w:pPr>
            <w:proofErr w:type="spellStart"/>
            <w:r w:rsidRPr="004A3BBC">
              <w:rPr>
                <w:szCs w:val="22"/>
              </w:rPr>
              <w:t>Agranulocitozė</w:t>
            </w:r>
            <w:proofErr w:type="spellEnd"/>
          </w:p>
        </w:tc>
        <w:tc>
          <w:tcPr>
            <w:tcW w:w="1696" w:type="dxa"/>
          </w:tcPr>
          <w:p w14:paraId="225D73D1" w14:textId="77777777" w:rsidR="00D25008" w:rsidRPr="00B86602" w:rsidRDefault="00D25008" w:rsidP="00B86602">
            <w:pPr>
              <w:widowControl w:val="0"/>
              <w:autoSpaceDE w:val="0"/>
              <w:autoSpaceDN w:val="0"/>
            </w:pPr>
          </w:p>
        </w:tc>
        <w:tc>
          <w:tcPr>
            <w:tcW w:w="1696" w:type="dxa"/>
          </w:tcPr>
          <w:p w14:paraId="7630DB62" w14:textId="47650D1C" w:rsidR="00D25008" w:rsidRPr="00B86602" w:rsidRDefault="00D25008" w:rsidP="00B86602">
            <w:pPr>
              <w:widowControl w:val="0"/>
              <w:autoSpaceDE w:val="0"/>
              <w:autoSpaceDN w:val="0"/>
            </w:pPr>
          </w:p>
        </w:tc>
        <w:tc>
          <w:tcPr>
            <w:tcW w:w="1696" w:type="dxa"/>
          </w:tcPr>
          <w:p w14:paraId="4B5D4339" w14:textId="608814BA" w:rsidR="00D25008" w:rsidRPr="00B86602" w:rsidRDefault="001C4737" w:rsidP="00B86602">
            <w:pPr>
              <w:widowControl w:val="0"/>
              <w:autoSpaceDE w:val="0"/>
              <w:autoSpaceDN w:val="0"/>
              <w:spacing w:before="34" w:line="236" w:lineRule="exact"/>
              <w:ind w:left="102"/>
            </w:pPr>
            <w:r w:rsidRPr="004A3BBC">
              <w:rPr>
                <w:szCs w:val="22"/>
              </w:rPr>
              <w:t>labai retas</w:t>
            </w:r>
          </w:p>
        </w:tc>
        <w:tc>
          <w:tcPr>
            <w:tcW w:w="1696" w:type="dxa"/>
          </w:tcPr>
          <w:p w14:paraId="53E8CF07" w14:textId="0AB4C936" w:rsidR="00D25008" w:rsidRPr="00B86602" w:rsidRDefault="00D25008" w:rsidP="00B86602">
            <w:pPr>
              <w:widowControl w:val="0"/>
              <w:autoSpaceDE w:val="0"/>
              <w:autoSpaceDN w:val="0"/>
              <w:spacing w:before="34" w:line="233" w:lineRule="exact"/>
              <w:ind w:left="103"/>
            </w:pPr>
          </w:p>
        </w:tc>
      </w:tr>
      <w:tr w:rsidR="00D25008" w14:paraId="77AC51FB" w14:textId="77777777" w:rsidTr="00B86602">
        <w:trPr>
          <w:trHeight w:val="500"/>
        </w:trPr>
        <w:tc>
          <w:tcPr>
            <w:tcW w:w="1191" w:type="dxa"/>
            <w:gridSpan w:val="2"/>
            <w:vMerge w:val="restart"/>
          </w:tcPr>
          <w:p w14:paraId="32FDB55F" w14:textId="5F9005CD" w:rsidR="00D25008" w:rsidRPr="00B86602" w:rsidRDefault="00FE2A61" w:rsidP="00B86602">
            <w:pPr>
              <w:widowControl w:val="0"/>
              <w:autoSpaceDE w:val="0"/>
              <w:autoSpaceDN w:val="0"/>
              <w:ind w:left="102" w:right="267"/>
              <w:rPr>
                <w:b/>
              </w:rPr>
            </w:pPr>
            <w:r w:rsidRPr="00B86602">
              <w:rPr>
                <w:b/>
              </w:rPr>
              <w:t>Imuninės sistemos sutrikimai</w:t>
            </w:r>
          </w:p>
        </w:tc>
        <w:tc>
          <w:tcPr>
            <w:tcW w:w="1695" w:type="dxa"/>
          </w:tcPr>
          <w:p w14:paraId="4A23BA0E" w14:textId="5497CE85" w:rsidR="00D25008" w:rsidRPr="00B86602" w:rsidRDefault="001C4737" w:rsidP="00B86602">
            <w:pPr>
              <w:widowControl w:val="0"/>
              <w:autoSpaceDE w:val="0"/>
              <w:autoSpaceDN w:val="0"/>
              <w:spacing w:before="2" w:line="252" w:lineRule="exact"/>
              <w:ind w:left="100" w:right="749"/>
            </w:pPr>
            <w:r w:rsidRPr="004A3BBC">
              <w:rPr>
                <w:szCs w:val="22"/>
              </w:rPr>
              <w:t>Anafilaksinė reakcija</w:t>
            </w:r>
          </w:p>
        </w:tc>
        <w:tc>
          <w:tcPr>
            <w:tcW w:w="1696" w:type="dxa"/>
          </w:tcPr>
          <w:p w14:paraId="57A57BEF" w14:textId="77777777" w:rsidR="00D25008" w:rsidRPr="00B86602" w:rsidRDefault="00D25008" w:rsidP="00B86602">
            <w:pPr>
              <w:widowControl w:val="0"/>
              <w:autoSpaceDE w:val="0"/>
              <w:autoSpaceDN w:val="0"/>
            </w:pPr>
          </w:p>
        </w:tc>
        <w:tc>
          <w:tcPr>
            <w:tcW w:w="1696" w:type="dxa"/>
          </w:tcPr>
          <w:p w14:paraId="0290594B" w14:textId="03C9F805" w:rsidR="00D25008" w:rsidRPr="00B86602" w:rsidRDefault="001C4737" w:rsidP="00B86602">
            <w:pPr>
              <w:widowControl w:val="0"/>
              <w:autoSpaceDE w:val="0"/>
              <w:autoSpaceDN w:val="0"/>
              <w:spacing w:before="1" w:line="236" w:lineRule="exact"/>
              <w:ind w:left="102"/>
            </w:pPr>
            <w:r w:rsidRPr="004A3BBC">
              <w:rPr>
                <w:szCs w:val="22"/>
              </w:rPr>
              <w:t>retas</w:t>
            </w:r>
          </w:p>
        </w:tc>
        <w:tc>
          <w:tcPr>
            <w:tcW w:w="1696" w:type="dxa"/>
          </w:tcPr>
          <w:p w14:paraId="76BE4113" w14:textId="77777777" w:rsidR="00D25008" w:rsidRPr="00B86602" w:rsidRDefault="00D25008" w:rsidP="00B86602">
            <w:pPr>
              <w:widowControl w:val="0"/>
              <w:autoSpaceDE w:val="0"/>
              <w:autoSpaceDN w:val="0"/>
            </w:pPr>
          </w:p>
        </w:tc>
        <w:tc>
          <w:tcPr>
            <w:tcW w:w="1696" w:type="dxa"/>
          </w:tcPr>
          <w:p w14:paraId="7BD363E5" w14:textId="763C77CF" w:rsidR="00D25008" w:rsidRPr="00B86602" w:rsidRDefault="00D25008" w:rsidP="00B86602">
            <w:pPr>
              <w:widowControl w:val="0"/>
              <w:autoSpaceDE w:val="0"/>
              <w:autoSpaceDN w:val="0"/>
              <w:spacing w:before="34" w:line="233" w:lineRule="exact"/>
              <w:ind w:left="103"/>
            </w:pPr>
          </w:p>
        </w:tc>
      </w:tr>
      <w:tr w:rsidR="00D25008" w14:paraId="003AC1EA" w14:textId="77777777" w:rsidTr="00B86602">
        <w:trPr>
          <w:trHeight w:val="280"/>
        </w:trPr>
        <w:tc>
          <w:tcPr>
            <w:tcW w:w="1191" w:type="dxa"/>
            <w:gridSpan w:val="2"/>
            <w:vMerge/>
          </w:tcPr>
          <w:p w14:paraId="28D20BE3" w14:textId="77777777" w:rsidR="00D25008" w:rsidRPr="00B86602" w:rsidRDefault="00D25008" w:rsidP="00B86602">
            <w:pPr>
              <w:rPr>
                <w:sz w:val="2"/>
              </w:rPr>
            </w:pPr>
          </w:p>
        </w:tc>
        <w:tc>
          <w:tcPr>
            <w:tcW w:w="1695" w:type="dxa"/>
          </w:tcPr>
          <w:p w14:paraId="1D1EC721" w14:textId="08CD2F8C" w:rsidR="00D25008" w:rsidRPr="00B86602" w:rsidRDefault="001C4737" w:rsidP="00B86602">
            <w:pPr>
              <w:widowControl w:val="0"/>
              <w:autoSpaceDE w:val="0"/>
              <w:autoSpaceDN w:val="0"/>
              <w:spacing w:before="34" w:line="233" w:lineRule="exact"/>
              <w:ind w:left="100"/>
            </w:pPr>
            <w:r w:rsidRPr="004A3BBC">
              <w:rPr>
                <w:szCs w:val="22"/>
              </w:rPr>
              <w:t>Padidėjęs jautrumas</w:t>
            </w:r>
          </w:p>
        </w:tc>
        <w:tc>
          <w:tcPr>
            <w:tcW w:w="1696" w:type="dxa"/>
          </w:tcPr>
          <w:p w14:paraId="40C9F14A" w14:textId="77777777" w:rsidR="00D25008" w:rsidRPr="00B86602" w:rsidRDefault="00D25008" w:rsidP="00B86602">
            <w:pPr>
              <w:widowControl w:val="0"/>
              <w:autoSpaceDE w:val="0"/>
              <w:autoSpaceDN w:val="0"/>
            </w:pPr>
          </w:p>
        </w:tc>
        <w:tc>
          <w:tcPr>
            <w:tcW w:w="1696" w:type="dxa"/>
          </w:tcPr>
          <w:p w14:paraId="1E3A757B" w14:textId="33D5A9C0" w:rsidR="00D25008" w:rsidRPr="00B86602" w:rsidRDefault="001C4737" w:rsidP="00B86602">
            <w:pPr>
              <w:widowControl w:val="0"/>
              <w:autoSpaceDE w:val="0"/>
              <w:autoSpaceDN w:val="0"/>
              <w:spacing w:before="34" w:line="233" w:lineRule="exact"/>
              <w:ind w:left="102"/>
            </w:pPr>
            <w:r w:rsidRPr="004A3BBC">
              <w:rPr>
                <w:szCs w:val="22"/>
              </w:rPr>
              <w:t>retas</w:t>
            </w:r>
          </w:p>
        </w:tc>
        <w:tc>
          <w:tcPr>
            <w:tcW w:w="1696" w:type="dxa"/>
          </w:tcPr>
          <w:p w14:paraId="43B9C21B" w14:textId="42A5BE57" w:rsidR="00D25008" w:rsidRPr="00B86602" w:rsidRDefault="001C4737" w:rsidP="00B86602">
            <w:pPr>
              <w:widowControl w:val="0"/>
              <w:autoSpaceDE w:val="0"/>
              <w:autoSpaceDN w:val="0"/>
              <w:spacing w:before="34" w:line="233" w:lineRule="exact"/>
              <w:ind w:left="102"/>
            </w:pPr>
            <w:r w:rsidRPr="004A3BBC">
              <w:rPr>
                <w:szCs w:val="22"/>
              </w:rPr>
              <w:t>labai retas</w:t>
            </w:r>
          </w:p>
        </w:tc>
        <w:tc>
          <w:tcPr>
            <w:tcW w:w="1696" w:type="dxa"/>
          </w:tcPr>
          <w:p w14:paraId="48585828" w14:textId="77777777" w:rsidR="00D25008" w:rsidRPr="00B86602" w:rsidRDefault="00D25008" w:rsidP="00B86602">
            <w:pPr>
              <w:widowControl w:val="0"/>
              <w:autoSpaceDE w:val="0"/>
              <w:autoSpaceDN w:val="0"/>
              <w:spacing w:before="34" w:line="233" w:lineRule="exact"/>
              <w:ind w:left="103"/>
            </w:pPr>
          </w:p>
        </w:tc>
      </w:tr>
      <w:tr w:rsidR="00D25008" w14:paraId="29ED92AC" w14:textId="77777777" w:rsidTr="00B86602">
        <w:trPr>
          <w:trHeight w:val="280"/>
        </w:trPr>
        <w:tc>
          <w:tcPr>
            <w:tcW w:w="1191" w:type="dxa"/>
            <w:gridSpan w:val="2"/>
            <w:vMerge/>
          </w:tcPr>
          <w:p w14:paraId="692DD724" w14:textId="6B83D716" w:rsidR="00D25008" w:rsidRPr="00B86602" w:rsidRDefault="00D25008" w:rsidP="00B86602">
            <w:pPr>
              <w:rPr>
                <w:sz w:val="2"/>
              </w:rPr>
            </w:pPr>
          </w:p>
        </w:tc>
        <w:tc>
          <w:tcPr>
            <w:tcW w:w="1695" w:type="dxa"/>
          </w:tcPr>
          <w:p w14:paraId="1EA37592" w14:textId="3BDF4BC5" w:rsidR="00D25008" w:rsidRPr="00B86602" w:rsidRDefault="00FE2A61" w:rsidP="00B86602">
            <w:pPr>
              <w:widowControl w:val="0"/>
              <w:autoSpaceDE w:val="0"/>
              <w:autoSpaceDN w:val="0"/>
              <w:spacing w:before="34" w:line="233" w:lineRule="exact"/>
              <w:ind w:left="100"/>
            </w:pPr>
            <w:bookmarkStart w:id="6" w:name="_Hlk188618358"/>
            <w:r w:rsidRPr="00B86602">
              <w:t>Al</w:t>
            </w:r>
            <w:bookmarkEnd w:id="6"/>
            <w:r w:rsidRPr="00B86602">
              <w:t>erginės reakcijos</w:t>
            </w:r>
          </w:p>
        </w:tc>
        <w:tc>
          <w:tcPr>
            <w:tcW w:w="1696" w:type="dxa"/>
          </w:tcPr>
          <w:p w14:paraId="7FE21CB4" w14:textId="77777777" w:rsidR="00D25008" w:rsidRPr="00B86602" w:rsidRDefault="00D25008" w:rsidP="00B86602">
            <w:pPr>
              <w:widowControl w:val="0"/>
              <w:autoSpaceDE w:val="0"/>
              <w:autoSpaceDN w:val="0"/>
            </w:pPr>
          </w:p>
        </w:tc>
        <w:tc>
          <w:tcPr>
            <w:tcW w:w="1696" w:type="dxa"/>
          </w:tcPr>
          <w:p w14:paraId="20742E36" w14:textId="006AAA40" w:rsidR="00D25008" w:rsidRPr="00B86602" w:rsidRDefault="00D25008" w:rsidP="00B86602">
            <w:pPr>
              <w:widowControl w:val="0"/>
              <w:autoSpaceDE w:val="0"/>
              <w:autoSpaceDN w:val="0"/>
              <w:spacing w:before="34" w:line="233" w:lineRule="exact"/>
              <w:ind w:left="102"/>
            </w:pPr>
          </w:p>
        </w:tc>
        <w:tc>
          <w:tcPr>
            <w:tcW w:w="1696" w:type="dxa"/>
          </w:tcPr>
          <w:p w14:paraId="241D9B2C" w14:textId="77777777" w:rsidR="00D25008" w:rsidRPr="00B86602" w:rsidRDefault="00D25008" w:rsidP="00B86602">
            <w:pPr>
              <w:widowControl w:val="0"/>
              <w:autoSpaceDE w:val="0"/>
              <w:autoSpaceDN w:val="0"/>
              <w:spacing w:before="34" w:line="233" w:lineRule="exact"/>
              <w:ind w:left="102"/>
            </w:pPr>
          </w:p>
        </w:tc>
        <w:tc>
          <w:tcPr>
            <w:tcW w:w="1696" w:type="dxa"/>
          </w:tcPr>
          <w:p w14:paraId="1ED69A63" w14:textId="1711F906" w:rsidR="00D25008" w:rsidRPr="00B86602" w:rsidRDefault="001C4737" w:rsidP="00B86602">
            <w:pPr>
              <w:widowControl w:val="0"/>
              <w:autoSpaceDE w:val="0"/>
              <w:autoSpaceDN w:val="0"/>
              <w:spacing w:before="34" w:line="233" w:lineRule="exact"/>
              <w:ind w:left="103"/>
            </w:pPr>
            <w:r w:rsidRPr="004A3BBC">
              <w:rPr>
                <w:szCs w:val="22"/>
              </w:rPr>
              <w:t>labai retas</w:t>
            </w:r>
          </w:p>
        </w:tc>
      </w:tr>
      <w:tr w:rsidR="00D25008" w14:paraId="5097333E" w14:textId="77777777" w:rsidTr="00B86602">
        <w:trPr>
          <w:trHeight w:val="280"/>
        </w:trPr>
        <w:tc>
          <w:tcPr>
            <w:tcW w:w="1191" w:type="dxa"/>
            <w:gridSpan w:val="2"/>
            <w:vMerge w:val="restart"/>
          </w:tcPr>
          <w:p w14:paraId="1A2087A2" w14:textId="01DB9506" w:rsidR="00D25008" w:rsidRPr="00B86602" w:rsidRDefault="00FE2A61" w:rsidP="00B86602">
            <w:pPr>
              <w:widowControl w:val="0"/>
              <w:autoSpaceDE w:val="0"/>
              <w:autoSpaceDN w:val="0"/>
              <w:spacing w:before="1"/>
              <w:ind w:left="102" w:right="230"/>
              <w:rPr>
                <w:b/>
              </w:rPr>
            </w:pPr>
            <w:r w:rsidRPr="00B86602">
              <w:rPr>
                <w:b/>
              </w:rPr>
              <w:t>Metabolizmo ir mitybos sutrikimai</w:t>
            </w:r>
          </w:p>
        </w:tc>
        <w:tc>
          <w:tcPr>
            <w:tcW w:w="1695" w:type="dxa"/>
          </w:tcPr>
          <w:p w14:paraId="6D001FB3" w14:textId="278B0F42" w:rsidR="00D25008" w:rsidRPr="00B86602" w:rsidRDefault="00FE2A61" w:rsidP="00B86602">
            <w:pPr>
              <w:widowControl w:val="0"/>
              <w:autoSpaceDE w:val="0"/>
              <w:autoSpaceDN w:val="0"/>
              <w:spacing w:before="37" w:line="233" w:lineRule="exact"/>
              <w:ind w:left="100"/>
            </w:pPr>
            <w:bookmarkStart w:id="7" w:name="_Hlk188618367"/>
            <w:proofErr w:type="spellStart"/>
            <w:r w:rsidRPr="00B86602">
              <w:t>H</w:t>
            </w:r>
            <w:bookmarkEnd w:id="7"/>
            <w:r w:rsidRPr="00B86602">
              <w:t>ipokalemija</w:t>
            </w:r>
            <w:proofErr w:type="spellEnd"/>
          </w:p>
        </w:tc>
        <w:tc>
          <w:tcPr>
            <w:tcW w:w="1696" w:type="dxa"/>
          </w:tcPr>
          <w:p w14:paraId="38CD0BAA" w14:textId="30721980" w:rsidR="00D25008" w:rsidRPr="00B86602" w:rsidRDefault="001C4737" w:rsidP="00B86602">
            <w:pPr>
              <w:widowControl w:val="0"/>
              <w:autoSpaceDE w:val="0"/>
              <w:autoSpaceDN w:val="0"/>
              <w:spacing w:before="37" w:line="233" w:lineRule="exact"/>
              <w:ind w:left="103"/>
            </w:pPr>
            <w:r w:rsidRPr="004A3BBC">
              <w:rPr>
                <w:szCs w:val="22"/>
              </w:rPr>
              <w:t>nedažnas</w:t>
            </w:r>
          </w:p>
        </w:tc>
        <w:tc>
          <w:tcPr>
            <w:tcW w:w="1696" w:type="dxa"/>
          </w:tcPr>
          <w:p w14:paraId="2D45597E" w14:textId="1CD51F2C" w:rsidR="00D25008" w:rsidRPr="00B86602" w:rsidRDefault="00D25008" w:rsidP="00B86602">
            <w:pPr>
              <w:widowControl w:val="0"/>
              <w:autoSpaceDE w:val="0"/>
              <w:autoSpaceDN w:val="0"/>
            </w:pPr>
          </w:p>
        </w:tc>
        <w:tc>
          <w:tcPr>
            <w:tcW w:w="1696" w:type="dxa"/>
          </w:tcPr>
          <w:p w14:paraId="5886FD5B" w14:textId="24491938" w:rsidR="00D25008" w:rsidRPr="00B86602" w:rsidRDefault="001C4737" w:rsidP="00B86602">
            <w:pPr>
              <w:widowControl w:val="0"/>
              <w:autoSpaceDE w:val="0"/>
              <w:autoSpaceDN w:val="0"/>
              <w:spacing w:before="37" w:line="233" w:lineRule="exact"/>
              <w:ind w:left="102"/>
            </w:pPr>
            <w:r w:rsidRPr="004A3BBC">
              <w:rPr>
                <w:szCs w:val="22"/>
              </w:rPr>
              <w:t>labai dažnas</w:t>
            </w:r>
          </w:p>
        </w:tc>
        <w:tc>
          <w:tcPr>
            <w:tcW w:w="1696" w:type="dxa"/>
          </w:tcPr>
          <w:p w14:paraId="4DB269F1" w14:textId="3719A20E" w:rsidR="00D25008" w:rsidRPr="00B86602" w:rsidRDefault="00D25008" w:rsidP="00B86602">
            <w:pPr>
              <w:widowControl w:val="0"/>
              <w:autoSpaceDE w:val="0"/>
              <w:autoSpaceDN w:val="0"/>
              <w:spacing w:before="34" w:line="233" w:lineRule="exact"/>
              <w:ind w:left="103"/>
            </w:pPr>
          </w:p>
        </w:tc>
      </w:tr>
      <w:tr w:rsidR="00D25008" w14:paraId="3BC56328" w14:textId="77777777" w:rsidTr="00B86602">
        <w:trPr>
          <w:trHeight w:val="280"/>
        </w:trPr>
        <w:tc>
          <w:tcPr>
            <w:tcW w:w="1191" w:type="dxa"/>
            <w:gridSpan w:val="2"/>
            <w:vMerge/>
            <w:tcBorders>
              <w:top w:val="nil"/>
            </w:tcBorders>
          </w:tcPr>
          <w:p w14:paraId="5395B28E" w14:textId="77777777" w:rsidR="00D25008" w:rsidRPr="00B86602" w:rsidRDefault="00D25008" w:rsidP="00B86602">
            <w:pPr>
              <w:rPr>
                <w:sz w:val="2"/>
              </w:rPr>
            </w:pPr>
          </w:p>
        </w:tc>
        <w:tc>
          <w:tcPr>
            <w:tcW w:w="1695" w:type="dxa"/>
          </w:tcPr>
          <w:p w14:paraId="30EFD40B" w14:textId="6D6AC4B8" w:rsidR="00D25008" w:rsidRPr="00B86602" w:rsidRDefault="001C4737" w:rsidP="00B86602">
            <w:pPr>
              <w:widowControl w:val="0"/>
              <w:autoSpaceDE w:val="0"/>
              <w:autoSpaceDN w:val="0"/>
              <w:spacing w:before="34" w:line="236" w:lineRule="exact"/>
              <w:ind w:left="100"/>
            </w:pPr>
            <w:bookmarkStart w:id="8" w:name="_Hlk188618373"/>
            <w:proofErr w:type="spellStart"/>
            <w:r w:rsidRPr="004A3BBC">
              <w:rPr>
                <w:szCs w:val="22"/>
              </w:rPr>
              <w:t>H</w:t>
            </w:r>
            <w:bookmarkEnd w:id="8"/>
            <w:r w:rsidRPr="004A3BBC">
              <w:rPr>
                <w:szCs w:val="22"/>
              </w:rPr>
              <w:t>iperurikemija</w:t>
            </w:r>
            <w:proofErr w:type="spellEnd"/>
          </w:p>
        </w:tc>
        <w:tc>
          <w:tcPr>
            <w:tcW w:w="1696" w:type="dxa"/>
          </w:tcPr>
          <w:p w14:paraId="7BA67765" w14:textId="3409AFE5" w:rsidR="00D25008" w:rsidRPr="00B86602" w:rsidRDefault="001C4737" w:rsidP="00B86602">
            <w:pPr>
              <w:widowControl w:val="0"/>
              <w:autoSpaceDE w:val="0"/>
              <w:autoSpaceDN w:val="0"/>
              <w:spacing w:before="34" w:line="236" w:lineRule="exact"/>
              <w:ind w:left="103"/>
            </w:pPr>
            <w:r w:rsidRPr="004A3BBC">
              <w:rPr>
                <w:szCs w:val="22"/>
              </w:rPr>
              <w:t>retas</w:t>
            </w:r>
          </w:p>
        </w:tc>
        <w:tc>
          <w:tcPr>
            <w:tcW w:w="1696" w:type="dxa"/>
          </w:tcPr>
          <w:p w14:paraId="3C3F4FE2" w14:textId="77777777" w:rsidR="00D25008" w:rsidRPr="00B86602" w:rsidRDefault="00D25008" w:rsidP="00B86602">
            <w:pPr>
              <w:widowControl w:val="0"/>
              <w:autoSpaceDE w:val="0"/>
              <w:autoSpaceDN w:val="0"/>
            </w:pPr>
          </w:p>
        </w:tc>
        <w:tc>
          <w:tcPr>
            <w:tcW w:w="1696" w:type="dxa"/>
          </w:tcPr>
          <w:p w14:paraId="63E8640C" w14:textId="72ADB124" w:rsidR="00D25008" w:rsidRPr="00B86602" w:rsidRDefault="001C4737" w:rsidP="00B86602">
            <w:pPr>
              <w:widowControl w:val="0"/>
              <w:autoSpaceDE w:val="0"/>
              <w:autoSpaceDN w:val="0"/>
              <w:spacing w:before="34" w:line="236" w:lineRule="exact"/>
              <w:ind w:left="102"/>
            </w:pPr>
            <w:r w:rsidRPr="004A3BBC">
              <w:rPr>
                <w:szCs w:val="22"/>
              </w:rPr>
              <w:t>dažnas</w:t>
            </w:r>
          </w:p>
        </w:tc>
        <w:tc>
          <w:tcPr>
            <w:tcW w:w="1696" w:type="dxa"/>
          </w:tcPr>
          <w:p w14:paraId="6552FD1E" w14:textId="0C71A0D3" w:rsidR="00D25008" w:rsidRPr="00B86602" w:rsidRDefault="00D25008" w:rsidP="00B86602">
            <w:pPr>
              <w:widowControl w:val="0"/>
              <w:autoSpaceDE w:val="0"/>
              <w:autoSpaceDN w:val="0"/>
              <w:spacing w:before="34" w:line="233" w:lineRule="exact"/>
              <w:ind w:left="103"/>
            </w:pPr>
          </w:p>
        </w:tc>
      </w:tr>
      <w:tr w:rsidR="00D25008" w14:paraId="0937289E" w14:textId="77777777" w:rsidTr="00B86602">
        <w:trPr>
          <w:trHeight w:val="280"/>
        </w:trPr>
        <w:tc>
          <w:tcPr>
            <w:tcW w:w="1191" w:type="dxa"/>
            <w:gridSpan w:val="2"/>
            <w:vMerge/>
            <w:tcBorders>
              <w:top w:val="nil"/>
            </w:tcBorders>
          </w:tcPr>
          <w:p w14:paraId="1E79C7A8" w14:textId="77777777" w:rsidR="00D25008" w:rsidRPr="00B86602" w:rsidRDefault="00D25008" w:rsidP="00B86602">
            <w:pPr>
              <w:rPr>
                <w:sz w:val="2"/>
              </w:rPr>
            </w:pPr>
          </w:p>
        </w:tc>
        <w:tc>
          <w:tcPr>
            <w:tcW w:w="1695" w:type="dxa"/>
          </w:tcPr>
          <w:p w14:paraId="40ED2E81" w14:textId="7E33841B" w:rsidR="00D25008" w:rsidRPr="00B86602" w:rsidRDefault="001C4737" w:rsidP="00B86602">
            <w:pPr>
              <w:widowControl w:val="0"/>
              <w:autoSpaceDE w:val="0"/>
              <w:autoSpaceDN w:val="0"/>
              <w:spacing w:before="34" w:line="233" w:lineRule="exact"/>
              <w:ind w:left="100"/>
            </w:pPr>
            <w:bookmarkStart w:id="9" w:name="_Hlk188618381"/>
            <w:proofErr w:type="spellStart"/>
            <w:r w:rsidRPr="004A3BBC">
              <w:rPr>
                <w:szCs w:val="22"/>
              </w:rPr>
              <w:t>H</w:t>
            </w:r>
            <w:bookmarkEnd w:id="9"/>
            <w:r w:rsidRPr="004A3BBC">
              <w:rPr>
                <w:szCs w:val="22"/>
              </w:rPr>
              <w:t>iponatremija</w:t>
            </w:r>
            <w:proofErr w:type="spellEnd"/>
          </w:p>
        </w:tc>
        <w:tc>
          <w:tcPr>
            <w:tcW w:w="1696" w:type="dxa"/>
          </w:tcPr>
          <w:p w14:paraId="661DE6B9" w14:textId="20C1A2B2" w:rsidR="00D25008" w:rsidRPr="00B86602" w:rsidRDefault="001C4737" w:rsidP="00B86602">
            <w:pPr>
              <w:widowControl w:val="0"/>
              <w:autoSpaceDE w:val="0"/>
              <w:autoSpaceDN w:val="0"/>
              <w:spacing w:before="34" w:line="233" w:lineRule="exact"/>
              <w:ind w:left="103"/>
            </w:pPr>
            <w:r w:rsidRPr="004A3BBC">
              <w:rPr>
                <w:szCs w:val="22"/>
              </w:rPr>
              <w:t>retas</w:t>
            </w:r>
          </w:p>
        </w:tc>
        <w:tc>
          <w:tcPr>
            <w:tcW w:w="1696" w:type="dxa"/>
          </w:tcPr>
          <w:p w14:paraId="24293B93" w14:textId="19600EA0" w:rsidR="00D25008" w:rsidRPr="00B86602" w:rsidRDefault="001C4737" w:rsidP="00B86602">
            <w:pPr>
              <w:widowControl w:val="0"/>
              <w:autoSpaceDE w:val="0"/>
              <w:autoSpaceDN w:val="0"/>
              <w:spacing w:before="34" w:line="233" w:lineRule="exact"/>
              <w:ind w:left="102"/>
            </w:pPr>
            <w:r w:rsidRPr="004A3BBC">
              <w:rPr>
                <w:szCs w:val="22"/>
              </w:rPr>
              <w:t>retas</w:t>
            </w:r>
          </w:p>
        </w:tc>
        <w:tc>
          <w:tcPr>
            <w:tcW w:w="1696" w:type="dxa"/>
          </w:tcPr>
          <w:p w14:paraId="5CDF2D40" w14:textId="5E1F47C5" w:rsidR="00D25008" w:rsidRPr="00B86602" w:rsidRDefault="001C4737" w:rsidP="00B86602">
            <w:pPr>
              <w:widowControl w:val="0"/>
              <w:autoSpaceDE w:val="0"/>
              <w:autoSpaceDN w:val="0"/>
              <w:spacing w:before="34" w:line="233" w:lineRule="exact"/>
              <w:ind w:left="102"/>
            </w:pPr>
            <w:r w:rsidRPr="004A3BBC">
              <w:rPr>
                <w:szCs w:val="22"/>
              </w:rPr>
              <w:t>dažnas</w:t>
            </w:r>
          </w:p>
        </w:tc>
        <w:tc>
          <w:tcPr>
            <w:tcW w:w="1696" w:type="dxa"/>
          </w:tcPr>
          <w:p w14:paraId="78D7C896" w14:textId="77777777" w:rsidR="00D25008" w:rsidRPr="00B86602" w:rsidRDefault="00D25008" w:rsidP="00B86602">
            <w:pPr>
              <w:widowControl w:val="0"/>
              <w:autoSpaceDE w:val="0"/>
              <w:autoSpaceDN w:val="0"/>
              <w:spacing w:before="34" w:line="233" w:lineRule="exact"/>
              <w:ind w:left="103"/>
            </w:pPr>
          </w:p>
        </w:tc>
      </w:tr>
      <w:tr w:rsidR="00D25008" w14:paraId="1A2AD13E" w14:textId="77777777" w:rsidTr="00B86602">
        <w:trPr>
          <w:trHeight w:val="280"/>
        </w:trPr>
        <w:tc>
          <w:tcPr>
            <w:tcW w:w="1191" w:type="dxa"/>
            <w:gridSpan w:val="2"/>
            <w:vMerge/>
            <w:tcBorders>
              <w:top w:val="nil"/>
            </w:tcBorders>
          </w:tcPr>
          <w:p w14:paraId="241DEE45" w14:textId="77777777" w:rsidR="00D25008" w:rsidRPr="00B86602" w:rsidRDefault="00D25008" w:rsidP="00B86602">
            <w:pPr>
              <w:rPr>
                <w:sz w:val="2"/>
              </w:rPr>
            </w:pPr>
          </w:p>
        </w:tc>
        <w:tc>
          <w:tcPr>
            <w:tcW w:w="1695" w:type="dxa"/>
          </w:tcPr>
          <w:p w14:paraId="2B4AA1BD" w14:textId="151DCBB2" w:rsidR="00D25008" w:rsidRPr="00B86602" w:rsidRDefault="00FE2A61" w:rsidP="00B86602">
            <w:pPr>
              <w:widowControl w:val="0"/>
              <w:autoSpaceDE w:val="0"/>
              <w:autoSpaceDN w:val="0"/>
              <w:spacing w:before="34" w:line="236" w:lineRule="exact"/>
              <w:ind w:left="100"/>
            </w:pPr>
            <w:proofErr w:type="spellStart"/>
            <w:r w:rsidRPr="00B86602">
              <w:t>Hiperkalemija</w:t>
            </w:r>
            <w:proofErr w:type="spellEnd"/>
          </w:p>
        </w:tc>
        <w:tc>
          <w:tcPr>
            <w:tcW w:w="1696" w:type="dxa"/>
          </w:tcPr>
          <w:p w14:paraId="692B8CE0" w14:textId="77777777" w:rsidR="00D25008" w:rsidRPr="00B86602" w:rsidRDefault="00D25008" w:rsidP="00B86602">
            <w:pPr>
              <w:widowControl w:val="0"/>
              <w:autoSpaceDE w:val="0"/>
              <w:autoSpaceDN w:val="0"/>
            </w:pPr>
          </w:p>
        </w:tc>
        <w:tc>
          <w:tcPr>
            <w:tcW w:w="1696" w:type="dxa"/>
          </w:tcPr>
          <w:p w14:paraId="46C85693" w14:textId="331C2EA7" w:rsidR="00D25008" w:rsidRPr="00B86602" w:rsidRDefault="001C4737" w:rsidP="00B86602">
            <w:pPr>
              <w:widowControl w:val="0"/>
              <w:autoSpaceDE w:val="0"/>
              <w:autoSpaceDN w:val="0"/>
              <w:spacing w:before="34" w:line="236" w:lineRule="exact"/>
              <w:ind w:left="102"/>
            </w:pPr>
            <w:r w:rsidRPr="004A3BBC">
              <w:rPr>
                <w:szCs w:val="22"/>
              </w:rPr>
              <w:t>nedažnas</w:t>
            </w:r>
          </w:p>
        </w:tc>
        <w:tc>
          <w:tcPr>
            <w:tcW w:w="1696" w:type="dxa"/>
          </w:tcPr>
          <w:p w14:paraId="0EAE2025" w14:textId="5B367EFA" w:rsidR="00D25008" w:rsidRPr="00B86602" w:rsidRDefault="00D25008" w:rsidP="00B86602">
            <w:pPr>
              <w:widowControl w:val="0"/>
              <w:autoSpaceDE w:val="0"/>
              <w:autoSpaceDN w:val="0"/>
            </w:pPr>
          </w:p>
        </w:tc>
        <w:tc>
          <w:tcPr>
            <w:tcW w:w="1696" w:type="dxa"/>
          </w:tcPr>
          <w:p w14:paraId="4913DDA5" w14:textId="77777777" w:rsidR="00D25008" w:rsidRPr="00B86602" w:rsidRDefault="00D25008" w:rsidP="00B86602">
            <w:pPr>
              <w:widowControl w:val="0"/>
              <w:autoSpaceDE w:val="0"/>
              <w:autoSpaceDN w:val="0"/>
              <w:spacing w:before="34" w:line="233" w:lineRule="exact"/>
              <w:ind w:left="103"/>
            </w:pPr>
          </w:p>
        </w:tc>
      </w:tr>
      <w:tr w:rsidR="00D25008" w14:paraId="04CBB2E6" w14:textId="77777777" w:rsidTr="00B86602">
        <w:trPr>
          <w:trHeight w:val="500"/>
        </w:trPr>
        <w:tc>
          <w:tcPr>
            <w:tcW w:w="1191" w:type="dxa"/>
            <w:gridSpan w:val="2"/>
            <w:vMerge/>
            <w:tcBorders>
              <w:top w:val="nil"/>
            </w:tcBorders>
          </w:tcPr>
          <w:p w14:paraId="77AA0A3E" w14:textId="54B23381" w:rsidR="00D25008" w:rsidRPr="00B86602" w:rsidRDefault="00D25008" w:rsidP="00B86602">
            <w:pPr>
              <w:rPr>
                <w:sz w:val="2"/>
              </w:rPr>
            </w:pPr>
          </w:p>
        </w:tc>
        <w:tc>
          <w:tcPr>
            <w:tcW w:w="1695" w:type="dxa"/>
          </w:tcPr>
          <w:p w14:paraId="5157DABE" w14:textId="536ED146" w:rsidR="00D25008" w:rsidRPr="00B86602" w:rsidRDefault="001C4737" w:rsidP="00B86602">
            <w:pPr>
              <w:widowControl w:val="0"/>
              <w:autoSpaceDE w:val="0"/>
              <w:autoSpaceDN w:val="0"/>
              <w:spacing w:before="2" w:line="252" w:lineRule="exact"/>
              <w:ind w:left="100" w:right="229"/>
            </w:pPr>
            <w:r w:rsidRPr="004A3BBC">
              <w:rPr>
                <w:szCs w:val="22"/>
              </w:rPr>
              <w:t>Hipoglikemija (sergantiems cukriniu diabetu)</w:t>
            </w:r>
          </w:p>
        </w:tc>
        <w:tc>
          <w:tcPr>
            <w:tcW w:w="1696" w:type="dxa"/>
          </w:tcPr>
          <w:p w14:paraId="326F8C5B" w14:textId="77777777" w:rsidR="00D25008" w:rsidRPr="00B86602" w:rsidRDefault="00D25008" w:rsidP="00B86602">
            <w:pPr>
              <w:widowControl w:val="0"/>
              <w:autoSpaceDE w:val="0"/>
              <w:autoSpaceDN w:val="0"/>
            </w:pPr>
          </w:p>
        </w:tc>
        <w:tc>
          <w:tcPr>
            <w:tcW w:w="1696" w:type="dxa"/>
          </w:tcPr>
          <w:p w14:paraId="7C685705" w14:textId="5D5F5C78" w:rsidR="00D25008" w:rsidRPr="00B86602" w:rsidRDefault="001C4737" w:rsidP="00B86602">
            <w:pPr>
              <w:widowControl w:val="0"/>
              <w:autoSpaceDE w:val="0"/>
              <w:autoSpaceDN w:val="0"/>
              <w:spacing w:before="1" w:line="236" w:lineRule="exact"/>
              <w:ind w:left="102"/>
            </w:pPr>
            <w:r w:rsidRPr="004A3BBC">
              <w:rPr>
                <w:szCs w:val="22"/>
              </w:rPr>
              <w:t>retas</w:t>
            </w:r>
          </w:p>
        </w:tc>
        <w:tc>
          <w:tcPr>
            <w:tcW w:w="1696" w:type="dxa"/>
          </w:tcPr>
          <w:p w14:paraId="49DF6476" w14:textId="77777777" w:rsidR="00D25008" w:rsidRPr="00B86602" w:rsidRDefault="00D25008" w:rsidP="00B86602">
            <w:pPr>
              <w:widowControl w:val="0"/>
              <w:autoSpaceDE w:val="0"/>
              <w:autoSpaceDN w:val="0"/>
            </w:pPr>
          </w:p>
        </w:tc>
        <w:tc>
          <w:tcPr>
            <w:tcW w:w="1696" w:type="dxa"/>
          </w:tcPr>
          <w:p w14:paraId="1A1DD045" w14:textId="77777777" w:rsidR="00D25008" w:rsidRPr="00B86602" w:rsidRDefault="00D25008" w:rsidP="00B86602">
            <w:pPr>
              <w:widowControl w:val="0"/>
              <w:autoSpaceDE w:val="0"/>
              <w:autoSpaceDN w:val="0"/>
              <w:spacing w:before="34" w:line="233" w:lineRule="exact"/>
              <w:ind w:left="103"/>
            </w:pPr>
          </w:p>
        </w:tc>
      </w:tr>
      <w:tr w:rsidR="00D25008" w14:paraId="6A079804" w14:textId="77777777" w:rsidTr="00B86602">
        <w:trPr>
          <w:trHeight w:val="280"/>
        </w:trPr>
        <w:tc>
          <w:tcPr>
            <w:tcW w:w="1191" w:type="dxa"/>
            <w:gridSpan w:val="2"/>
            <w:vMerge/>
            <w:tcBorders>
              <w:top w:val="nil"/>
            </w:tcBorders>
          </w:tcPr>
          <w:p w14:paraId="159ACE24" w14:textId="77777777" w:rsidR="00D25008" w:rsidRPr="00B86602" w:rsidRDefault="00D25008" w:rsidP="00B86602">
            <w:pPr>
              <w:rPr>
                <w:sz w:val="2"/>
              </w:rPr>
            </w:pPr>
          </w:p>
        </w:tc>
        <w:tc>
          <w:tcPr>
            <w:tcW w:w="1695" w:type="dxa"/>
          </w:tcPr>
          <w:p w14:paraId="6EE2F179" w14:textId="2E6B52F8" w:rsidR="00D25008" w:rsidRPr="00B86602" w:rsidRDefault="00FE2A61" w:rsidP="00B86602">
            <w:pPr>
              <w:widowControl w:val="0"/>
              <w:autoSpaceDE w:val="0"/>
              <w:autoSpaceDN w:val="0"/>
              <w:spacing w:before="34" w:line="233" w:lineRule="exact"/>
              <w:ind w:left="100"/>
            </w:pPr>
            <w:bookmarkStart w:id="10" w:name="_Hlk188618439"/>
            <w:proofErr w:type="spellStart"/>
            <w:r w:rsidRPr="00B86602">
              <w:t>H</w:t>
            </w:r>
            <w:bookmarkEnd w:id="10"/>
            <w:r w:rsidRPr="00B86602">
              <w:t>ipomagnezemija</w:t>
            </w:r>
            <w:proofErr w:type="spellEnd"/>
          </w:p>
        </w:tc>
        <w:tc>
          <w:tcPr>
            <w:tcW w:w="1696" w:type="dxa"/>
          </w:tcPr>
          <w:p w14:paraId="1356AA38" w14:textId="77777777" w:rsidR="00D25008" w:rsidRPr="00B86602" w:rsidRDefault="00D25008" w:rsidP="00B86602">
            <w:pPr>
              <w:widowControl w:val="0"/>
              <w:autoSpaceDE w:val="0"/>
              <w:autoSpaceDN w:val="0"/>
            </w:pPr>
          </w:p>
        </w:tc>
        <w:tc>
          <w:tcPr>
            <w:tcW w:w="1696" w:type="dxa"/>
          </w:tcPr>
          <w:p w14:paraId="7ECCD22C" w14:textId="77777777" w:rsidR="00D25008" w:rsidRPr="00B86602" w:rsidRDefault="00D25008" w:rsidP="00B86602">
            <w:pPr>
              <w:widowControl w:val="0"/>
              <w:autoSpaceDE w:val="0"/>
              <w:autoSpaceDN w:val="0"/>
            </w:pPr>
          </w:p>
        </w:tc>
        <w:tc>
          <w:tcPr>
            <w:tcW w:w="1696" w:type="dxa"/>
          </w:tcPr>
          <w:p w14:paraId="12A7EC28" w14:textId="25369DF4" w:rsidR="00D25008" w:rsidRPr="00B86602" w:rsidRDefault="001C4737" w:rsidP="00B86602">
            <w:pPr>
              <w:widowControl w:val="0"/>
              <w:autoSpaceDE w:val="0"/>
              <w:autoSpaceDN w:val="0"/>
              <w:spacing w:before="34" w:line="233" w:lineRule="exact"/>
              <w:ind w:left="102"/>
            </w:pPr>
            <w:r w:rsidRPr="004A3BBC">
              <w:rPr>
                <w:szCs w:val="22"/>
              </w:rPr>
              <w:t>dažnas</w:t>
            </w:r>
          </w:p>
        </w:tc>
        <w:tc>
          <w:tcPr>
            <w:tcW w:w="1696" w:type="dxa"/>
          </w:tcPr>
          <w:p w14:paraId="4F1B6BE9" w14:textId="665AB2BB" w:rsidR="00D25008" w:rsidRPr="00B86602" w:rsidRDefault="00D25008" w:rsidP="00B86602">
            <w:pPr>
              <w:widowControl w:val="0"/>
              <w:autoSpaceDE w:val="0"/>
              <w:autoSpaceDN w:val="0"/>
              <w:spacing w:before="34" w:line="233" w:lineRule="exact"/>
              <w:ind w:left="103"/>
            </w:pPr>
          </w:p>
        </w:tc>
      </w:tr>
      <w:tr w:rsidR="00D25008" w14:paraId="02325547" w14:textId="77777777" w:rsidTr="00B86602">
        <w:trPr>
          <w:trHeight w:val="280"/>
        </w:trPr>
        <w:tc>
          <w:tcPr>
            <w:tcW w:w="1191" w:type="dxa"/>
            <w:gridSpan w:val="2"/>
            <w:vMerge/>
            <w:tcBorders>
              <w:top w:val="nil"/>
            </w:tcBorders>
          </w:tcPr>
          <w:p w14:paraId="405FD182" w14:textId="77777777" w:rsidR="00D25008" w:rsidRPr="00B86602" w:rsidRDefault="00D25008" w:rsidP="00B86602">
            <w:pPr>
              <w:rPr>
                <w:sz w:val="2"/>
              </w:rPr>
            </w:pPr>
          </w:p>
        </w:tc>
        <w:tc>
          <w:tcPr>
            <w:tcW w:w="1695" w:type="dxa"/>
          </w:tcPr>
          <w:p w14:paraId="36F52BF6" w14:textId="4087AA71" w:rsidR="00D25008" w:rsidRPr="00B86602" w:rsidRDefault="00FE2A61" w:rsidP="00B86602">
            <w:pPr>
              <w:widowControl w:val="0"/>
              <w:autoSpaceDE w:val="0"/>
              <w:autoSpaceDN w:val="0"/>
              <w:spacing w:before="35" w:line="236" w:lineRule="exact"/>
              <w:ind w:left="100"/>
            </w:pPr>
            <w:bookmarkStart w:id="11" w:name="_Hlk188618443"/>
            <w:proofErr w:type="spellStart"/>
            <w:r w:rsidRPr="00B86602">
              <w:t>H</w:t>
            </w:r>
            <w:bookmarkEnd w:id="11"/>
            <w:r w:rsidRPr="00B86602">
              <w:t>iperkalcemija</w:t>
            </w:r>
            <w:proofErr w:type="spellEnd"/>
          </w:p>
        </w:tc>
        <w:tc>
          <w:tcPr>
            <w:tcW w:w="1696" w:type="dxa"/>
          </w:tcPr>
          <w:p w14:paraId="76A45DFF" w14:textId="77777777" w:rsidR="00D25008" w:rsidRPr="00B86602" w:rsidRDefault="00D25008" w:rsidP="00B86602">
            <w:pPr>
              <w:widowControl w:val="0"/>
              <w:autoSpaceDE w:val="0"/>
              <w:autoSpaceDN w:val="0"/>
            </w:pPr>
          </w:p>
        </w:tc>
        <w:tc>
          <w:tcPr>
            <w:tcW w:w="1696" w:type="dxa"/>
          </w:tcPr>
          <w:p w14:paraId="1AB6F37A" w14:textId="77777777" w:rsidR="00D25008" w:rsidRPr="00B86602" w:rsidRDefault="00D25008" w:rsidP="00B86602">
            <w:pPr>
              <w:widowControl w:val="0"/>
              <w:autoSpaceDE w:val="0"/>
              <w:autoSpaceDN w:val="0"/>
            </w:pPr>
          </w:p>
        </w:tc>
        <w:tc>
          <w:tcPr>
            <w:tcW w:w="1696" w:type="dxa"/>
          </w:tcPr>
          <w:p w14:paraId="77A76243" w14:textId="2FA28A37" w:rsidR="00D25008" w:rsidRPr="00B86602" w:rsidRDefault="001C4737" w:rsidP="00B86602">
            <w:pPr>
              <w:widowControl w:val="0"/>
              <w:autoSpaceDE w:val="0"/>
              <w:autoSpaceDN w:val="0"/>
              <w:spacing w:before="35" w:line="236" w:lineRule="exact"/>
              <w:ind w:left="102"/>
            </w:pPr>
            <w:r w:rsidRPr="004A3BBC">
              <w:rPr>
                <w:szCs w:val="22"/>
              </w:rPr>
              <w:t>retas</w:t>
            </w:r>
          </w:p>
        </w:tc>
        <w:tc>
          <w:tcPr>
            <w:tcW w:w="1696" w:type="dxa"/>
          </w:tcPr>
          <w:p w14:paraId="6B71A776" w14:textId="77777777" w:rsidR="00D25008" w:rsidRPr="00B86602" w:rsidRDefault="00D25008" w:rsidP="00B86602">
            <w:pPr>
              <w:widowControl w:val="0"/>
              <w:autoSpaceDE w:val="0"/>
              <w:autoSpaceDN w:val="0"/>
              <w:spacing w:before="34" w:line="233" w:lineRule="exact"/>
              <w:ind w:left="103"/>
            </w:pPr>
          </w:p>
        </w:tc>
      </w:tr>
      <w:tr w:rsidR="00D25008" w14:paraId="26E8EA3E" w14:textId="77777777" w:rsidTr="00B86602">
        <w:trPr>
          <w:trHeight w:val="500"/>
        </w:trPr>
        <w:tc>
          <w:tcPr>
            <w:tcW w:w="1191" w:type="dxa"/>
            <w:gridSpan w:val="2"/>
            <w:vMerge/>
            <w:tcBorders>
              <w:top w:val="nil"/>
            </w:tcBorders>
          </w:tcPr>
          <w:p w14:paraId="5FFE3E90" w14:textId="099D3FAB" w:rsidR="00D25008" w:rsidRPr="00B86602" w:rsidRDefault="00D25008" w:rsidP="00B86602">
            <w:pPr>
              <w:rPr>
                <w:sz w:val="2"/>
              </w:rPr>
            </w:pPr>
          </w:p>
        </w:tc>
        <w:tc>
          <w:tcPr>
            <w:tcW w:w="1695" w:type="dxa"/>
          </w:tcPr>
          <w:p w14:paraId="37B2F5E1" w14:textId="70A034DF" w:rsidR="00D25008" w:rsidRPr="00B86602" w:rsidRDefault="00FE2A61" w:rsidP="00B86602">
            <w:pPr>
              <w:widowControl w:val="0"/>
              <w:autoSpaceDE w:val="0"/>
              <w:autoSpaceDN w:val="0"/>
              <w:spacing w:before="2" w:line="252" w:lineRule="exact"/>
              <w:ind w:left="100" w:right="504"/>
            </w:pPr>
            <w:proofErr w:type="spellStart"/>
            <w:r w:rsidRPr="00B86602">
              <w:t>Hipochloreminė</w:t>
            </w:r>
            <w:proofErr w:type="spellEnd"/>
            <w:r w:rsidRPr="00B86602">
              <w:t xml:space="preserve"> </w:t>
            </w:r>
            <w:proofErr w:type="spellStart"/>
            <w:r w:rsidRPr="00B86602">
              <w:t>alkalozė</w:t>
            </w:r>
            <w:proofErr w:type="spellEnd"/>
          </w:p>
        </w:tc>
        <w:tc>
          <w:tcPr>
            <w:tcW w:w="1696" w:type="dxa"/>
          </w:tcPr>
          <w:p w14:paraId="678F81DE" w14:textId="77777777" w:rsidR="00D25008" w:rsidRPr="00B86602" w:rsidRDefault="00D25008" w:rsidP="00B86602">
            <w:pPr>
              <w:widowControl w:val="0"/>
              <w:autoSpaceDE w:val="0"/>
              <w:autoSpaceDN w:val="0"/>
            </w:pPr>
          </w:p>
        </w:tc>
        <w:tc>
          <w:tcPr>
            <w:tcW w:w="1696" w:type="dxa"/>
          </w:tcPr>
          <w:p w14:paraId="07760648" w14:textId="14387FCC" w:rsidR="00D25008" w:rsidRPr="00B86602" w:rsidRDefault="00D25008" w:rsidP="00B86602">
            <w:pPr>
              <w:widowControl w:val="0"/>
              <w:autoSpaceDE w:val="0"/>
              <w:autoSpaceDN w:val="0"/>
            </w:pPr>
          </w:p>
        </w:tc>
        <w:tc>
          <w:tcPr>
            <w:tcW w:w="1696" w:type="dxa"/>
          </w:tcPr>
          <w:p w14:paraId="55DBA975" w14:textId="61141374" w:rsidR="00D25008" w:rsidRPr="00B86602" w:rsidRDefault="001C4737" w:rsidP="00B86602">
            <w:pPr>
              <w:widowControl w:val="0"/>
              <w:autoSpaceDE w:val="0"/>
              <w:autoSpaceDN w:val="0"/>
              <w:spacing w:before="1" w:line="236" w:lineRule="exact"/>
              <w:ind w:left="102"/>
            </w:pPr>
            <w:r w:rsidRPr="004A3BBC">
              <w:rPr>
                <w:szCs w:val="22"/>
              </w:rPr>
              <w:t>labai retas</w:t>
            </w:r>
          </w:p>
        </w:tc>
        <w:tc>
          <w:tcPr>
            <w:tcW w:w="1696" w:type="dxa"/>
          </w:tcPr>
          <w:p w14:paraId="6700DB46" w14:textId="568B8103" w:rsidR="00D25008" w:rsidRPr="00B86602" w:rsidRDefault="00D25008" w:rsidP="00B86602">
            <w:pPr>
              <w:widowControl w:val="0"/>
              <w:autoSpaceDE w:val="0"/>
              <w:autoSpaceDN w:val="0"/>
              <w:spacing w:before="34" w:line="233" w:lineRule="exact"/>
              <w:ind w:left="103"/>
            </w:pPr>
          </w:p>
        </w:tc>
      </w:tr>
      <w:tr w:rsidR="00D25008" w14:paraId="23D92924" w14:textId="77777777" w:rsidTr="00B86602">
        <w:trPr>
          <w:trHeight w:val="280"/>
        </w:trPr>
        <w:tc>
          <w:tcPr>
            <w:tcW w:w="1191" w:type="dxa"/>
            <w:gridSpan w:val="2"/>
            <w:vMerge/>
            <w:tcBorders>
              <w:top w:val="nil"/>
            </w:tcBorders>
          </w:tcPr>
          <w:p w14:paraId="506F0FE2" w14:textId="40E12A01" w:rsidR="00D25008" w:rsidRPr="00B86602" w:rsidRDefault="00D25008" w:rsidP="00B86602">
            <w:pPr>
              <w:rPr>
                <w:sz w:val="2"/>
              </w:rPr>
            </w:pPr>
          </w:p>
        </w:tc>
        <w:tc>
          <w:tcPr>
            <w:tcW w:w="1695" w:type="dxa"/>
          </w:tcPr>
          <w:p w14:paraId="4FC13641" w14:textId="19154102" w:rsidR="00D25008" w:rsidRPr="00B86602" w:rsidRDefault="001C4737" w:rsidP="00B86602">
            <w:pPr>
              <w:widowControl w:val="0"/>
              <w:autoSpaceDE w:val="0"/>
              <w:autoSpaceDN w:val="0"/>
              <w:spacing w:before="34" w:line="233" w:lineRule="exact"/>
              <w:ind w:left="100"/>
            </w:pPr>
            <w:r w:rsidRPr="004A3BBC">
              <w:rPr>
                <w:szCs w:val="22"/>
              </w:rPr>
              <w:t>Sumažėjęs apetitas</w:t>
            </w:r>
          </w:p>
        </w:tc>
        <w:tc>
          <w:tcPr>
            <w:tcW w:w="1696" w:type="dxa"/>
          </w:tcPr>
          <w:p w14:paraId="424B3DB2" w14:textId="77777777" w:rsidR="00D25008" w:rsidRPr="00B86602" w:rsidRDefault="00D25008" w:rsidP="00B86602">
            <w:pPr>
              <w:widowControl w:val="0"/>
              <w:autoSpaceDE w:val="0"/>
              <w:autoSpaceDN w:val="0"/>
            </w:pPr>
          </w:p>
        </w:tc>
        <w:tc>
          <w:tcPr>
            <w:tcW w:w="1696" w:type="dxa"/>
          </w:tcPr>
          <w:p w14:paraId="5B8AA696" w14:textId="5F6B98A1" w:rsidR="00D25008" w:rsidRPr="00B86602" w:rsidRDefault="00D25008" w:rsidP="00B86602">
            <w:pPr>
              <w:widowControl w:val="0"/>
              <w:autoSpaceDE w:val="0"/>
              <w:autoSpaceDN w:val="0"/>
            </w:pPr>
          </w:p>
        </w:tc>
        <w:tc>
          <w:tcPr>
            <w:tcW w:w="1696" w:type="dxa"/>
          </w:tcPr>
          <w:p w14:paraId="7125A8EC" w14:textId="2CE18484" w:rsidR="00D25008" w:rsidRPr="00B86602" w:rsidRDefault="001C4737" w:rsidP="00B86602">
            <w:pPr>
              <w:widowControl w:val="0"/>
              <w:autoSpaceDE w:val="0"/>
              <w:autoSpaceDN w:val="0"/>
              <w:spacing w:before="34" w:line="233" w:lineRule="exact"/>
              <w:ind w:left="102"/>
            </w:pPr>
            <w:r w:rsidRPr="004A3BBC">
              <w:rPr>
                <w:szCs w:val="22"/>
              </w:rPr>
              <w:t>dažnas</w:t>
            </w:r>
          </w:p>
        </w:tc>
        <w:tc>
          <w:tcPr>
            <w:tcW w:w="1696" w:type="dxa"/>
          </w:tcPr>
          <w:p w14:paraId="4CCE5D2B" w14:textId="77777777" w:rsidR="00D25008" w:rsidRPr="00B86602" w:rsidRDefault="00D25008" w:rsidP="00B86602">
            <w:pPr>
              <w:widowControl w:val="0"/>
              <w:autoSpaceDE w:val="0"/>
              <w:autoSpaceDN w:val="0"/>
              <w:spacing w:before="34" w:line="233" w:lineRule="exact"/>
              <w:ind w:left="103"/>
            </w:pPr>
          </w:p>
        </w:tc>
      </w:tr>
      <w:tr w:rsidR="00D25008" w14:paraId="55F5B3DC" w14:textId="77777777" w:rsidTr="00B86602">
        <w:trPr>
          <w:trHeight w:val="280"/>
        </w:trPr>
        <w:tc>
          <w:tcPr>
            <w:tcW w:w="1191" w:type="dxa"/>
            <w:gridSpan w:val="2"/>
            <w:vMerge/>
            <w:tcBorders>
              <w:top w:val="nil"/>
            </w:tcBorders>
          </w:tcPr>
          <w:p w14:paraId="5D0C20D8" w14:textId="77777777" w:rsidR="00D25008" w:rsidRPr="00B86602" w:rsidRDefault="00D25008" w:rsidP="00B86602">
            <w:pPr>
              <w:rPr>
                <w:sz w:val="2"/>
              </w:rPr>
            </w:pPr>
          </w:p>
        </w:tc>
        <w:tc>
          <w:tcPr>
            <w:tcW w:w="1695" w:type="dxa"/>
          </w:tcPr>
          <w:p w14:paraId="3554E559" w14:textId="3DCB4D74" w:rsidR="00D25008" w:rsidRPr="00B86602" w:rsidRDefault="001C4737" w:rsidP="00B86602">
            <w:pPr>
              <w:widowControl w:val="0"/>
              <w:autoSpaceDE w:val="0"/>
              <w:autoSpaceDN w:val="0"/>
              <w:spacing w:before="37" w:line="233" w:lineRule="exact"/>
              <w:ind w:left="100"/>
            </w:pPr>
            <w:bookmarkStart w:id="12" w:name="_Hlk188618466"/>
            <w:proofErr w:type="spellStart"/>
            <w:r w:rsidRPr="004A3BBC">
              <w:rPr>
                <w:szCs w:val="22"/>
              </w:rPr>
              <w:t>H</w:t>
            </w:r>
            <w:bookmarkEnd w:id="12"/>
            <w:r w:rsidRPr="004A3BBC">
              <w:rPr>
                <w:szCs w:val="22"/>
              </w:rPr>
              <w:t>iperlipidemija</w:t>
            </w:r>
            <w:proofErr w:type="spellEnd"/>
          </w:p>
        </w:tc>
        <w:tc>
          <w:tcPr>
            <w:tcW w:w="1696" w:type="dxa"/>
          </w:tcPr>
          <w:p w14:paraId="14EF49DF" w14:textId="3B67235F" w:rsidR="00D25008" w:rsidRPr="00B86602" w:rsidRDefault="00D25008" w:rsidP="00B86602">
            <w:pPr>
              <w:widowControl w:val="0"/>
              <w:autoSpaceDE w:val="0"/>
              <w:autoSpaceDN w:val="0"/>
            </w:pPr>
          </w:p>
        </w:tc>
        <w:tc>
          <w:tcPr>
            <w:tcW w:w="1696" w:type="dxa"/>
          </w:tcPr>
          <w:p w14:paraId="3AF1AEE1" w14:textId="7EC4D13E" w:rsidR="00D25008" w:rsidRPr="00B86602" w:rsidRDefault="00D25008" w:rsidP="00B86602">
            <w:pPr>
              <w:widowControl w:val="0"/>
              <w:autoSpaceDE w:val="0"/>
              <w:autoSpaceDN w:val="0"/>
            </w:pPr>
          </w:p>
        </w:tc>
        <w:tc>
          <w:tcPr>
            <w:tcW w:w="1696" w:type="dxa"/>
          </w:tcPr>
          <w:p w14:paraId="64CEB06C" w14:textId="044E0B7C" w:rsidR="00D25008" w:rsidRPr="00B86602" w:rsidRDefault="001C4737" w:rsidP="00B86602">
            <w:pPr>
              <w:widowControl w:val="0"/>
              <w:autoSpaceDE w:val="0"/>
              <w:autoSpaceDN w:val="0"/>
              <w:spacing w:before="37" w:line="233" w:lineRule="exact"/>
              <w:ind w:left="102"/>
            </w:pPr>
            <w:r w:rsidRPr="004A3BBC">
              <w:rPr>
                <w:szCs w:val="22"/>
              </w:rPr>
              <w:t>labai dažnas</w:t>
            </w:r>
          </w:p>
        </w:tc>
        <w:tc>
          <w:tcPr>
            <w:tcW w:w="1696" w:type="dxa"/>
          </w:tcPr>
          <w:p w14:paraId="68531266" w14:textId="5F9C40A4" w:rsidR="00D25008" w:rsidRPr="00B86602" w:rsidRDefault="00D25008" w:rsidP="00B86602">
            <w:pPr>
              <w:widowControl w:val="0"/>
              <w:autoSpaceDE w:val="0"/>
              <w:autoSpaceDN w:val="0"/>
              <w:spacing w:before="34" w:line="233" w:lineRule="exact"/>
              <w:ind w:left="103"/>
            </w:pPr>
          </w:p>
        </w:tc>
      </w:tr>
      <w:tr w:rsidR="00D25008" w14:paraId="1BA3D90B" w14:textId="77777777" w:rsidTr="00B86602">
        <w:trPr>
          <w:trHeight w:val="280"/>
        </w:trPr>
        <w:tc>
          <w:tcPr>
            <w:tcW w:w="1191" w:type="dxa"/>
            <w:gridSpan w:val="2"/>
            <w:vMerge/>
            <w:tcBorders>
              <w:top w:val="nil"/>
            </w:tcBorders>
          </w:tcPr>
          <w:p w14:paraId="4E01F2D6" w14:textId="77777777" w:rsidR="00D25008" w:rsidRPr="00B86602" w:rsidRDefault="00D25008" w:rsidP="00B86602">
            <w:pPr>
              <w:rPr>
                <w:sz w:val="2"/>
              </w:rPr>
            </w:pPr>
          </w:p>
        </w:tc>
        <w:tc>
          <w:tcPr>
            <w:tcW w:w="1695" w:type="dxa"/>
          </w:tcPr>
          <w:p w14:paraId="3BCDD582" w14:textId="0868BD02" w:rsidR="00D25008" w:rsidRPr="00B86602" w:rsidRDefault="00FE2A61" w:rsidP="00B86602">
            <w:pPr>
              <w:widowControl w:val="0"/>
              <w:autoSpaceDE w:val="0"/>
              <w:autoSpaceDN w:val="0"/>
              <w:spacing w:before="34" w:line="236" w:lineRule="exact"/>
              <w:ind w:left="100"/>
            </w:pPr>
            <w:bookmarkStart w:id="13" w:name="_Hlk188618472"/>
            <w:r w:rsidRPr="00B86602">
              <w:t>H</w:t>
            </w:r>
            <w:bookmarkEnd w:id="13"/>
            <w:r w:rsidRPr="00B86602">
              <w:t>iperglikemija</w:t>
            </w:r>
          </w:p>
        </w:tc>
        <w:tc>
          <w:tcPr>
            <w:tcW w:w="1696" w:type="dxa"/>
          </w:tcPr>
          <w:p w14:paraId="6284A6EE" w14:textId="77777777" w:rsidR="00D25008" w:rsidRPr="00B86602" w:rsidRDefault="00D25008" w:rsidP="00B86602">
            <w:pPr>
              <w:widowControl w:val="0"/>
              <w:autoSpaceDE w:val="0"/>
              <w:autoSpaceDN w:val="0"/>
            </w:pPr>
          </w:p>
        </w:tc>
        <w:tc>
          <w:tcPr>
            <w:tcW w:w="1696" w:type="dxa"/>
          </w:tcPr>
          <w:p w14:paraId="1604D5F9" w14:textId="352798A5" w:rsidR="00D25008" w:rsidRPr="00B86602" w:rsidRDefault="00D25008" w:rsidP="00B86602">
            <w:pPr>
              <w:widowControl w:val="0"/>
              <w:autoSpaceDE w:val="0"/>
              <w:autoSpaceDN w:val="0"/>
            </w:pPr>
          </w:p>
        </w:tc>
        <w:tc>
          <w:tcPr>
            <w:tcW w:w="1696" w:type="dxa"/>
          </w:tcPr>
          <w:p w14:paraId="52917F4F" w14:textId="4DA51C16" w:rsidR="00D25008" w:rsidRPr="00B86602" w:rsidRDefault="001C4737" w:rsidP="00B86602">
            <w:pPr>
              <w:widowControl w:val="0"/>
              <w:autoSpaceDE w:val="0"/>
              <w:autoSpaceDN w:val="0"/>
              <w:spacing w:before="34" w:line="236" w:lineRule="exact"/>
              <w:ind w:left="102"/>
            </w:pPr>
            <w:r w:rsidRPr="004A3BBC">
              <w:rPr>
                <w:szCs w:val="22"/>
              </w:rPr>
              <w:t>retas</w:t>
            </w:r>
          </w:p>
        </w:tc>
        <w:tc>
          <w:tcPr>
            <w:tcW w:w="1696" w:type="dxa"/>
          </w:tcPr>
          <w:p w14:paraId="32CDC8F9" w14:textId="52334E29" w:rsidR="00D25008" w:rsidRPr="00B86602" w:rsidRDefault="001C4737" w:rsidP="00B86602">
            <w:pPr>
              <w:widowControl w:val="0"/>
              <w:autoSpaceDE w:val="0"/>
              <w:autoSpaceDN w:val="0"/>
              <w:spacing w:before="34" w:line="233" w:lineRule="exact"/>
              <w:ind w:left="103"/>
            </w:pPr>
            <w:r w:rsidRPr="004A3BBC">
              <w:rPr>
                <w:szCs w:val="22"/>
              </w:rPr>
              <w:t>labai retas</w:t>
            </w:r>
          </w:p>
        </w:tc>
      </w:tr>
      <w:tr w:rsidR="00D25008" w14:paraId="686C63F5" w14:textId="77777777" w:rsidTr="00B86602">
        <w:trPr>
          <w:trHeight w:val="500"/>
        </w:trPr>
        <w:tc>
          <w:tcPr>
            <w:tcW w:w="1191" w:type="dxa"/>
            <w:gridSpan w:val="2"/>
            <w:vMerge/>
            <w:tcBorders>
              <w:top w:val="nil"/>
            </w:tcBorders>
          </w:tcPr>
          <w:p w14:paraId="77CA33A4" w14:textId="4B17BE25" w:rsidR="00D25008" w:rsidRPr="00B86602" w:rsidRDefault="00D25008" w:rsidP="00B86602">
            <w:pPr>
              <w:rPr>
                <w:sz w:val="2"/>
              </w:rPr>
            </w:pPr>
          </w:p>
        </w:tc>
        <w:tc>
          <w:tcPr>
            <w:tcW w:w="1695" w:type="dxa"/>
          </w:tcPr>
          <w:p w14:paraId="232C00B5" w14:textId="68E660DD" w:rsidR="00D25008" w:rsidRPr="00B86602" w:rsidRDefault="001C4737" w:rsidP="00B86602">
            <w:pPr>
              <w:widowControl w:val="0"/>
              <w:autoSpaceDE w:val="0"/>
              <w:autoSpaceDN w:val="0"/>
              <w:spacing w:before="2" w:line="252" w:lineRule="exact"/>
              <w:ind w:left="100" w:right="291"/>
            </w:pPr>
            <w:r w:rsidRPr="004A3BBC">
              <w:rPr>
                <w:szCs w:val="22"/>
              </w:rPr>
              <w:t>Nepakankama cukrinio diabeto kontrolė</w:t>
            </w:r>
          </w:p>
        </w:tc>
        <w:tc>
          <w:tcPr>
            <w:tcW w:w="1696" w:type="dxa"/>
          </w:tcPr>
          <w:p w14:paraId="6A23E968" w14:textId="77777777" w:rsidR="00D25008" w:rsidRPr="00B86602" w:rsidRDefault="00D25008" w:rsidP="00B86602">
            <w:pPr>
              <w:widowControl w:val="0"/>
              <w:autoSpaceDE w:val="0"/>
              <w:autoSpaceDN w:val="0"/>
            </w:pPr>
          </w:p>
        </w:tc>
        <w:tc>
          <w:tcPr>
            <w:tcW w:w="1696" w:type="dxa"/>
          </w:tcPr>
          <w:p w14:paraId="7EBE29D2" w14:textId="626F719A" w:rsidR="00D25008" w:rsidRPr="00B86602" w:rsidRDefault="00D25008" w:rsidP="00B86602">
            <w:pPr>
              <w:widowControl w:val="0"/>
              <w:autoSpaceDE w:val="0"/>
              <w:autoSpaceDN w:val="0"/>
            </w:pPr>
          </w:p>
        </w:tc>
        <w:tc>
          <w:tcPr>
            <w:tcW w:w="1696" w:type="dxa"/>
          </w:tcPr>
          <w:p w14:paraId="605764D5" w14:textId="5EFAC978" w:rsidR="00D25008" w:rsidRPr="00B86602" w:rsidRDefault="001C4737" w:rsidP="00B86602">
            <w:pPr>
              <w:widowControl w:val="0"/>
              <w:autoSpaceDE w:val="0"/>
              <w:autoSpaceDN w:val="0"/>
              <w:spacing w:before="1" w:line="236" w:lineRule="exact"/>
              <w:ind w:left="102"/>
            </w:pPr>
            <w:r w:rsidRPr="004A3BBC">
              <w:rPr>
                <w:szCs w:val="22"/>
              </w:rPr>
              <w:t>retas</w:t>
            </w:r>
          </w:p>
        </w:tc>
        <w:tc>
          <w:tcPr>
            <w:tcW w:w="1696" w:type="dxa"/>
          </w:tcPr>
          <w:p w14:paraId="13C42FD9" w14:textId="77777777" w:rsidR="00D25008" w:rsidRPr="00B86602" w:rsidRDefault="00D25008" w:rsidP="00B86602">
            <w:pPr>
              <w:widowControl w:val="0"/>
              <w:autoSpaceDE w:val="0"/>
              <w:autoSpaceDN w:val="0"/>
              <w:spacing w:before="34" w:line="233" w:lineRule="exact"/>
              <w:ind w:left="103"/>
            </w:pPr>
          </w:p>
        </w:tc>
      </w:tr>
      <w:tr w:rsidR="00D25008" w14:paraId="1BB7D776" w14:textId="77777777" w:rsidTr="00B86602">
        <w:trPr>
          <w:trHeight w:val="280"/>
        </w:trPr>
        <w:tc>
          <w:tcPr>
            <w:tcW w:w="1191" w:type="dxa"/>
            <w:gridSpan w:val="2"/>
            <w:vMerge w:val="restart"/>
          </w:tcPr>
          <w:p w14:paraId="21439CD3" w14:textId="560FE2D3" w:rsidR="00D25008" w:rsidRPr="00B86602" w:rsidRDefault="00FE2A61" w:rsidP="00B86602">
            <w:pPr>
              <w:widowControl w:val="0"/>
              <w:autoSpaceDE w:val="0"/>
              <w:autoSpaceDN w:val="0"/>
              <w:ind w:left="102" w:right="701"/>
              <w:rPr>
                <w:b/>
              </w:rPr>
            </w:pPr>
            <w:r w:rsidRPr="00B86602">
              <w:rPr>
                <w:b/>
              </w:rPr>
              <w:t>Psichikos sutrikimai</w:t>
            </w:r>
          </w:p>
        </w:tc>
        <w:tc>
          <w:tcPr>
            <w:tcW w:w="1695" w:type="dxa"/>
          </w:tcPr>
          <w:p w14:paraId="39E416EE" w14:textId="686607D2" w:rsidR="00D25008" w:rsidRPr="00B86602" w:rsidRDefault="00FE2A61" w:rsidP="00B86602">
            <w:pPr>
              <w:widowControl w:val="0"/>
              <w:autoSpaceDE w:val="0"/>
              <w:autoSpaceDN w:val="0"/>
              <w:spacing w:before="34" w:line="233" w:lineRule="exact"/>
              <w:ind w:left="100"/>
            </w:pPr>
            <w:r w:rsidRPr="00B86602">
              <w:t>Nerimas</w:t>
            </w:r>
          </w:p>
        </w:tc>
        <w:tc>
          <w:tcPr>
            <w:tcW w:w="1696" w:type="dxa"/>
          </w:tcPr>
          <w:p w14:paraId="7E507EDA" w14:textId="7F2A54C7" w:rsidR="00D25008" w:rsidRPr="00B86602" w:rsidRDefault="001C4737" w:rsidP="00B86602">
            <w:pPr>
              <w:widowControl w:val="0"/>
              <w:autoSpaceDE w:val="0"/>
              <w:autoSpaceDN w:val="0"/>
              <w:spacing w:before="34" w:line="233" w:lineRule="exact"/>
              <w:ind w:left="103"/>
            </w:pPr>
            <w:r w:rsidRPr="004A3BBC">
              <w:rPr>
                <w:szCs w:val="22"/>
              </w:rPr>
              <w:t>neda</w:t>
            </w:r>
            <w:r w:rsidRPr="00CF5157">
              <w:rPr>
                <w:szCs w:val="22"/>
              </w:rPr>
              <w:t>žnas</w:t>
            </w:r>
          </w:p>
        </w:tc>
        <w:tc>
          <w:tcPr>
            <w:tcW w:w="1696" w:type="dxa"/>
          </w:tcPr>
          <w:p w14:paraId="711F5B97" w14:textId="14DFD2AB" w:rsidR="00D25008" w:rsidRPr="00B86602" w:rsidRDefault="001C4737" w:rsidP="00B86602">
            <w:pPr>
              <w:widowControl w:val="0"/>
              <w:autoSpaceDE w:val="0"/>
              <w:autoSpaceDN w:val="0"/>
              <w:spacing w:before="34" w:line="233" w:lineRule="exact"/>
              <w:ind w:left="102"/>
            </w:pPr>
            <w:r w:rsidRPr="004A3BBC">
              <w:rPr>
                <w:szCs w:val="22"/>
              </w:rPr>
              <w:t>retas</w:t>
            </w:r>
          </w:p>
        </w:tc>
        <w:tc>
          <w:tcPr>
            <w:tcW w:w="1696" w:type="dxa"/>
          </w:tcPr>
          <w:p w14:paraId="5B09AD5C" w14:textId="77777777" w:rsidR="00D25008" w:rsidRPr="00B86602" w:rsidRDefault="00D25008" w:rsidP="00B86602">
            <w:pPr>
              <w:widowControl w:val="0"/>
              <w:autoSpaceDE w:val="0"/>
              <w:autoSpaceDN w:val="0"/>
            </w:pPr>
          </w:p>
        </w:tc>
        <w:tc>
          <w:tcPr>
            <w:tcW w:w="1696" w:type="dxa"/>
          </w:tcPr>
          <w:p w14:paraId="1D4C85DB" w14:textId="69A1ACCE" w:rsidR="00D25008" w:rsidRPr="00B86602" w:rsidRDefault="001C4737" w:rsidP="00B86602">
            <w:pPr>
              <w:widowControl w:val="0"/>
              <w:autoSpaceDE w:val="0"/>
              <w:autoSpaceDN w:val="0"/>
              <w:spacing w:before="34" w:line="233" w:lineRule="exact"/>
              <w:ind w:left="103"/>
            </w:pPr>
            <w:r w:rsidRPr="004A3BBC">
              <w:rPr>
                <w:szCs w:val="22"/>
              </w:rPr>
              <w:t>nedažnas</w:t>
            </w:r>
          </w:p>
        </w:tc>
      </w:tr>
      <w:tr w:rsidR="00D25008" w14:paraId="62BB58AE" w14:textId="77777777" w:rsidTr="00B86602">
        <w:trPr>
          <w:trHeight w:val="280"/>
        </w:trPr>
        <w:tc>
          <w:tcPr>
            <w:tcW w:w="1191" w:type="dxa"/>
            <w:gridSpan w:val="2"/>
            <w:vMerge/>
          </w:tcPr>
          <w:p w14:paraId="76D1867B" w14:textId="77777777" w:rsidR="00D25008" w:rsidRPr="00B86602" w:rsidRDefault="00D25008" w:rsidP="00B86602">
            <w:pPr>
              <w:rPr>
                <w:sz w:val="2"/>
              </w:rPr>
            </w:pPr>
          </w:p>
        </w:tc>
        <w:tc>
          <w:tcPr>
            <w:tcW w:w="1695" w:type="dxa"/>
          </w:tcPr>
          <w:p w14:paraId="5F211ADC" w14:textId="7A6F4DFF" w:rsidR="00D25008" w:rsidRPr="00B86602" w:rsidRDefault="00FE2A61" w:rsidP="00B86602">
            <w:pPr>
              <w:widowControl w:val="0"/>
              <w:autoSpaceDE w:val="0"/>
              <w:autoSpaceDN w:val="0"/>
              <w:spacing w:before="34" w:line="236" w:lineRule="exact"/>
              <w:ind w:left="100"/>
            </w:pPr>
            <w:bookmarkStart w:id="14" w:name="_Hlk188618526"/>
            <w:r w:rsidRPr="00B86602">
              <w:t>Depres</w:t>
            </w:r>
            <w:bookmarkEnd w:id="14"/>
            <w:r w:rsidRPr="00B86602">
              <w:t>ija</w:t>
            </w:r>
          </w:p>
        </w:tc>
        <w:tc>
          <w:tcPr>
            <w:tcW w:w="1696" w:type="dxa"/>
          </w:tcPr>
          <w:p w14:paraId="141065A2" w14:textId="3D989E63" w:rsidR="00D25008" w:rsidRPr="00B86602" w:rsidRDefault="001C4737" w:rsidP="00B86602">
            <w:pPr>
              <w:widowControl w:val="0"/>
              <w:autoSpaceDE w:val="0"/>
              <w:autoSpaceDN w:val="0"/>
              <w:spacing w:before="34" w:line="236" w:lineRule="exact"/>
              <w:ind w:left="103"/>
            </w:pPr>
            <w:r w:rsidRPr="004A3BBC">
              <w:rPr>
                <w:szCs w:val="22"/>
              </w:rPr>
              <w:t>retas</w:t>
            </w:r>
          </w:p>
        </w:tc>
        <w:tc>
          <w:tcPr>
            <w:tcW w:w="1696" w:type="dxa"/>
          </w:tcPr>
          <w:p w14:paraId="5417A70E" w14:textId="1B1036CF" w:rsidR="00D25008" w:rsidRPr="00B86602" w:rsidRDefault="001C4737" w:rsidP="00B86602">
            <w:pPr>
              <w:widowControl w:val="0"/>
              <w:autoSpaceDE w:val="0"/>
              <w:autoSpaceDN w:val="0"/>
              <w:spacing w:before="34" w:line="236" w:lineRule="exact"/>
              <w:ind w:left="102"/>
            </w:pPr>
            <w:r w:rsidRPr="004A3BBC">
              <w:rPr>
                <w:szCs w:val="22"/>
              </w:rPr>
              <w:t>nedažnas</w:t>
            </w:r>
          </w:p>
        </w:tc>
        <w:tc>
          <w:tcPr>
            <w:tcW w:w="1696" w:type="dxa"/>
          </w:tcPr>
          <w:p w14:paraId="2A70AE90" w14:textId="788C610D" w:rsidR="00D25008" w:rsidRPr="00B86602" w:rsidRDefault="001C4737" w:rsidP="00B86602">
            <w:pPr>
              <w:widowControl w:val="0"/>
              <w:autoSpaceDE w:val="0"/>
              <w:autoSpaceDN w:val="0"/>
              <w:spacing w:before="34" w:line="236" w:lineRule="exact"/>
              <w:ind w:left="102"/>
            </w:pPr>
            <w:r w:rsidRPr="004A3BBC">
              <w:rPr>
                <w:szCs w:val="22"/>
              </w:rPr>
              <w:t>retas</w:t>
            </w:r>
          </w:p>
        </w:tc>
        <w:tc>
          <w:tcPr>
            <w:tcW w:w="1696" w:type="dxa"/>
          </w:tcPr>
          <w:p w14:paraId="3FE5820F" w14:textId="3C742656" w:rsidR="00D25008" w:rsidRPr="00B86602" w:rsidRDefault="001C4737" w:rsidP="00B86602">
            <w:pPr>
              <w:widowControl w:val="0"/>
              <w:autoSpaceDE w:val="0"/>
              <w:autoSpaceDN w:val="0"/>
              <w:spacing w:before="34" w:line="233" w:lineRule="exact"/>
              <w:ind w:left="103"/>
            </w:pPr>
            <w:r w:rsidRPr="004A3BBC">
              <w:rPr>
                <w:szCs w:val="22"/>
              </w:rPr>
              <w:t>nedažnas</w:t>
            </w:r>
          </w:p>
        </w:tc>
      </w:tr>
      <w:tr w:rsidR="00D25008" w14:paraId="5D703AAE" w14:textId="77777777" w:rsidTr="00B86602">
        <w:trPr>
          <w:trHeight w:val="280"/>
        </w:trPr>
        <w:tc>
          <w:tcPr>
            <w:tcW w:w="1191" w:type="dxa"/>
            <w:gridSpan w:val="2"/>
            <w:vMerge/>
          </w:tcPr>
          <w:p w14:paraId="4846063E" w14:textId="77777777" w:rsidR="00D25008" w:rsidRPr="00B86602" w:rsidRDefault="00D25008" w:rsidP="00B86602">
            <w:pPr>
              <w:rPr>
                <w:sz w:val="2"/>
              </w:rPr>
            </w:pPr>
          </w:p>
        </w:tc>
        <w:tc>
          <w:tcPr>
            <w:tcW w:w="1695" w:type="dxa"/>
          </w:tcPr>
          <w:p w14:paraId="416A5C1A" w14:textId="581370C0" w:rsidR="00D25008" w:rsidRPr="00B86602" w:rsidRDefault="001C4737" w:rsidP="00B86602">
            <w:pPr>
              <w:widowControl w:val="0"/>
              <w:autoSpaceDE w:val="0"/>
              <w:autoSpaceDN w:val="0"/>
              <w:spacing w:before="34" w:line="233" w:lineRule="exact"/>
              <w:ind w:left="100"/>
            </w:pPr>
            <w:r w:rsidRPr="004A3BBC">
              <w:rPr>
                <w:szCs w:val="22"/>
              </w:rPr>
              <w:t>Nemiga</w:t>
            </w:r>
          </w:p>
        </w:tc>
        <w:tc>
          <w:tcPr>
            <w:tcW w:w="1696" w:type="dxa"/>
          </w:tcPr>
          <w:p w14:paraId="285C3AA5" w14:textId="541114D2" w:rsidR="00D25008" w:rsidRPr="00B86602" w:rsidRDefault="001C4737" w:rsidP="00B86602">
            <w:pPr>
              <w:widowControl w:val="0"/>
              <w:autoSpaceDE w:val="0"/>
              <w:autoSpaceDN w:val="0"/>
              <w:spacing w:before="34" w:line="233" w:lineRule="exact"/>
              <w:ind w:left="103"/>
            </w:pPr>
            <w:r w:rsidRPr="004A3BBC">
              <w:rPr>
                <w:szCs w:val="22"/>
              </w:rPr>
              <w:t>retas</w:t>
            </w:r>
          </w:p>
        </w:tc>
        <w:tc>
          <w:tcPr>
            <w:tcW w:w="1696" w:type="dxa"/>
          </w:tcPr>
          <w:p w14:paraId="7542A6AD" w14:textId="2E58A32B" w:rsidR="00D25008" w:rsidRPr="00B86602" w:rsidRDefault="001C4737" w:rsidP="00B86602">
            <w:pPr>
              <w:widowControl w:val="0"/>
              <w:autoSpaceDE w:val="0"/>
              <w:autoSpaceDN w:val="0"/>
              <w:spacing w:before="34" w:line="233" w:lineRule="exact"/>
              <w:ind w:left="102"/>
            </w:pPr>
            <w:r w:rsidRPr="004A3BBC">
              <w:rPr>
                <w:szCs w:val="22"/>
              </w:rPr>
              <w:t>nedažnas</w:t>
            </w:r>
          </w:p>
        </w:tc>
        <w:tc>
          <w:tcPr>
            <w:tcW w:w="1696" w:type="dxa"/>
          </w:tcPr>
          <w:p w14:paraId="190139C7" w14:textId="7CD94F83" w:rsidR="00D25008" w:rsidRPr="00B86602" w:rsidRDefault="00D25008" w:rsidP="00B86602">
            <w:pPr>
              <w:widowControl w:val="0"/>
              <w:autoSpaceDE w:val="0"/>
              <w:autoSpaceDN w:val="0"/>
            </w:pPr>
          </w:p>
        </w:tc>
        <w:tc>
          <w:tcPr>
            <w:tcW w:w="1696" w:type="dxa"/>
          </w:tcPr>
          <w:p w14:paraId="5F1255BE" w14:textId="19786B29" w:rsidR="00D25008" w:rsidRPr="00B86602" w:rsidRDefault="001C4737" w:rsidP="00B86602">
            <w:pPr>
              <w:widowControl w:val="0"/>
              <w:autoSpaceDE w:val="0"/>
              <w:autoSpaceDN w:val="0"/>
              <w:spacing w:before="34" w:line="233" w:lineRule="exact"/>
              <w:ind w:left="103"/>
            </w:pPr>
            <w:r w:rsidRPr="004A3BBC">
              <w:rPr>
                <w:szCs w:val="22"/>
              </w:rPr>
              <w:t>nedažnas</w:t>
            </w:r>
          </w:p>
        </w:tc>
      </w:tr>
      <w:tr w:rsidR="00D25008" w14:paraId="2638198A" w14:textId="77777777" w:rsidTr="00B86602">
        <w:trPr>
          <w:trHeight w:val="280"/>
        </w:trPr>
        <w:tc>
          <w:tcPr>
            <w:tcW w:w="1191" w:type="dxa"/>
            <w:gridSpan w:val="2"/>
            <w:vMerge/>
          </w:tcPr>
          <w:p w14:paraId="35880B30" w14:textId="37CC45A8" w:rsidR="00D25008" w:rsidRPr="00B86602" w:rsidRDefault="00D25008" w:rsidP="00B86602">
            <w:pPr>
              <w:rPr>
                <w:sz w:val="2"/>
              </w:rPr>
            </w:pPr>
          </w:p>
        </w:tc>
        <w:tc>
          <w:tcPr>
            <w:tcW w:w="1695" w:type="dxa"/>
          </w:tcPr>
          <w:p w14:paraId="3F221272" w14:textId="32991B9E" w:rsidR="00D25008" w:rsidRPr="00B86602" w:rsidRDefault="001C4737" w:rsidP="00B86602">
            <w:pPr>
              <w:widowControl w:val="0"/>
              <w:autoSpaceDE w:val="0"/>
              <w:autoSpaceDN w:val="0"/>
              <w:spacing w:before="37" w:line="233" w:lineRule="exact"/>
              <w:ind w:left="100"/>
            </w:pPr>
            <w:r w:rsidRPr="004A3BBC">
              <w:rPr>
                <w:szCs w:val="22"/>
              </w:rPr>
              <w:t>Miego sutrikimai</w:t>
            </w:r>
          </w:p>
        </w:tc>
        <w:tc>
          <w:tcPr>
            <w:tcW w:w="1696" w:type="dxa"/>
          </w:tcPr>
          <w:p w14:paraId="192A695F" w14:textId="7A437586" w:rsidR="00D25008" w:rsidRPr="00B86602" w:rsidRDefault="001C4737" w:rsidP="00B86602">
            <w:pPr>
              <w:widowControl w:val="0"/>
              <w:autoSpaceDE w:val="0"/>
              <w:autoSpaceDN w:val="0"/>
              <w:spacing w:before="37" w:line="233" w:lineRule="exact"/>
              <w:ind w:left="103"/>
            </w:pPr>
            <w:r w:rsidRPr="004A3BBC">
              <w:rPr>
                <w:szCs w:val="22"/>
              </w:rPr>
              <w:t>retas</w:t>
            </w:r>
          </w:p>
        </w:tc>
        <w:tc>
          <w:tcPr>
            <w:tcW w:w="1696" w:type="dxa"/>
          </w:tcPr>
          <w:p w14:paraId="0B191FB5" w14:textId="36C55138" w:rsidR="00D25008" w:rsidRPr="00B86602" w:rsidRDefault="00D25008" w:rsidP="00B86602">
            <w:pPr>
              <w:widowControl w:val="0"/>
              <w:autoSpaceDE w:val="0"/>
              <w:autoSpaceDN w:val="0"/>
            </w:pPr>
          </w:p>
        </w:tc>
        <w:tc>
          <w:tcPr>
            <w:tcW w:w="1696" w:type="dxa"/>
          </w:tcPr>
          <w:p w14:paraId="5DE20D16" w14:textId="090088D9" w:rsidR="00D25008" w:rsidRPr="00B86602" w:rsidRDefault="001C4737" w:rsidP="00B86602">
            <w:pPr>
              <w:widowControl w:val="0"/>
              <w:autoSpaceDE w:val="0"/>
              <w:autoSpaceDN w:val="0"/>
              <w:spacing w:before="37" w:line="233" w:lineRule="exact"/>
              <w:ind w:left="102"/>
            </w:pPr>
            <w:r w:rsidRPr="004A3BBC">
              <w:rPr>
                <w:szCs w:val="22"/>
              </w:rPr>
              <w:t>retas</w:t>
            </w:r>
          </w:p>
        </w:tc>
        <w:tc>
          <w:tcPr>
            <w:tcW w:w="1696" w:type="dxa"/>
          </w:tcPr>
          <w:p w14:paraId="441CF6E2" w14:textId="77777777" w:rsidR="00D25008" w:rsidRPr="00B86602" w:rsidRDefault="00D25008" w:rsidP="00B86602">
            <w:pPr>
              <w:widowControl w:val="0"/>
              <w:autoSpaceDE w:val="0"/>
              <w:autoSpaceDN w:val="0"/>
              <w:spacing w:before="34" w:line="233" w:lineRule="exact"/>
              <w:ind w:left="103"/>
            </w:pPr>
          </w:p>
        </w:tc>
      </w:tr>
      <w:tr w:rsidR="00D25008" w14:paraId="57D7EEA0" w14:textId="77777777" w:rsidTr="00B86602">
        <w:trPr>
          <w:trHeight w:val="280"/>
        </w:trPr>
        <w:tc>
          <w:tcPr>
            <w:tcW w:w="1191" w:type="dxa"/>
            <w:gridSpan w:val="2"/>
            <w:vMerge/>
          </w:tcPr>
          <w:p w14:paraId="51388A04" w14:textId="77777777" w:rsidR="00D25008" w:rsidRPr="00B86602" w:rsidRDefault="00D25008" w:rsidP="00B86602">
            <w:pPr>
              <w:rPr>
                <w:sz w:val="2"/>
              </w:rPr>
            </w:pPr>
          </w:p>
        </w:tc>
        <w:tc>
          <w:tcPr>
            <w:tcW w:w="1695" w:type="dxa"/>
          </w:tcPr>
          <w:p w14:paraId="01138EDA" w14:textId="4AC99C7F" w:rsidR="00D25008" w:rsidRPr="00B86602" w:rsidRDefault="00FE2A61" w:rsidP="00B86602">
            <w:pPr>
              <w:widowControl w:val="0"/>
              <w:autoSpaceDE w:val="0"/>
              <w:autoSpaceDN w:val="0"/>
              <w:spacing w:before="37" w:line="233" w:lineRule="exact"/>
              <w:ind w:left="100"/>
            </w:pPr>
            <w:r w:rsidRPr="00B86602">
              <w:t>Sumišimas</w:t>
            </w:r>
          </w:p>
        </w:tc>
        <w:tc>
          <w:tcPr>
            <w:tcW w:w="1696" w:type="dxa"/>
          </w:tcPr>
          <w:p w14:paraId="665BFB0A" w14:textId="33859518" w:rsidR="00D25008" w:rsidRPr="00B86602" w:rsidRDefault="00D25008" w:rsidP="00B86602">
            <w:pPr>
              <w:widowControl w:val="0"/>
              <w:autoSpaceDE w:val="0"/>
              <w:autoSpaceDN w:val="0"/>
              <w:spacing w:before="37" w:line="233" w:lineRule="exact"/>
              <w:ind w:left="103"/>
            </w:pPr>
          </w:p>
        </w:tc>
        <w:tc>
          <w:tcPr>
            <w:tcW w:w="1696" w:type="dxa"/>
          </w:tcPr>
          <w:p w14:paraId="71BA9129" w14:textId="26B59535" w:rsidR="00D25008" w:rsidRPr="00B86602" w:rsidRDefault="00D25008" w:rsidP="00B86602">
            <w:pPr>
              <w:widowControl w:val="0"/>
              <w:autoSpaceDE w:val="0"/>
              <w:autoSpaceDN w:val="0"/>
            </w:pPr>
          </w:p>
        </w:tc>
        <w:tc>
          <w:tcPr>
            <w:tcW w:w="1696" w:type="dxa"/>
          </w:tcPr>
          <w:p w14:paraId="1D5FD818" w14:textId="77777777" w:rsidR="00D25008" w:rsidRPr="00B86602" w:rsidRDefault="00D25008" w:rsidP="00B86602">
            <w:pPr>
              <w:widowControl w:val="0"/>
              <w:autoSpaceDE w:val="0"/>
              <w:autoSpaceDN w:val="0"/>
              <w:spacing w:before="37" w:line="233" w:lineRule="exact"/>
              <w:ind w:left="102"/>
            </w:pPr>
          </w:p>
        </w:tc>
        <w:tc>
          <w:tcPr>
            <w:tcW w:w="1696" w:type="dxa"/>
          </w:tcPr>
          <w:p w14:paraId="00F1D07D" w14:textId="1F29E3C7" w:rsidR="00D25008" w:rsidRPr="00B86602" w:rsidRDefault="001C4737" w:rsidP="00B86602">
            <w:pPr>
              <w:widowControl w:val="0"/>
              <w:autoSpaceDE w:val="0"/>
              <w:autoSpaceDN w:val="0"/>
              <w:spacing w:before="34" w:line="233" w:lineRule="exact"/>
              <w:ind w:left="103"/>
            </w:pPr>
            <w:r w:rsidRPr="004A3BBC">
              <w:rPr>
                <w:szCs w:val="22"/>
              </w:rPr>
              <w:t>retas</w:t>
            </w:r>
          </w:p>
        </w:tc>
      </w:tr>
      <w:tr w:rsidR="00D25008" w14:paraId="27A48B67" w14:textId="77777777" w:rsidTr="00B86602">
        <w:trPr>
          <w:trHeight w:val="280"/>
        </w:trPr>
        <w:tc>
          <w:tcPr>
            <w:tcW w:w="1191" w:type="dxa"/>
            <w:gridSpan w:val="2"/>
            <w:vMerge w:val="restart"/>
          </w:tcPr>
          <w:p w14:paraId="11EA5834" w14:textId="49F69FA0" w:rsidR="00D25008" w:rsidRPr="00B86602" w:rsidRDefault="00FE2A61" w:rsidP="00B86602">
            <w:pPr>
              <w:widowControl w:val="0"/>
              <w:autoSpaceDE w:val="0"/>
              <w:autoSpaceDN w:val="0"/>
              <w:ind w:left="102" w:right="279"/>
              <w:rPr>
                <w:b/>
              </w:rPr>
            </w:pPr>
            <w:r w:rsidRPr="00B86602">
              <w:rPr>
                <w:b/>
              </w:rPr>
              <w:t>Nervų sistemos sutrikimai</w:t>
            </w:r>
          </w:p>
        </w:tc>
        <w:tc>
          <w:tcPr>
            <w:tcW w:w="1695" w:type="dxa"/>
          </w:tcPr>
          <w:p w14:paraId="66468D4B" w14:textId="251414BF" w:rsidR="00D25008" w:rsidRPr="00B86602" w:rsidRDefault="00FE2A61" w:rsidP="00B86602">
            <w:pPr>
              <w:widowControl w:val="0"/>
              <w:autoSpaceDE w:val="0"/>
              <w:autoSpaceDN w:val="0"/>
              <w:spacing w:before="31" w:line="239" w:lineRule="exact"/>
              <w:ind w:left="100"/>
            </w:pPr>
            <w:r w:rsidRPr="00B86602">
              <w:t>Svaigulys</w:t>
            </w:r>
          </w:p>
        </w:tc>
        <w:tc>
          <w:tcPr>
            <w:tcW w:w="1696" w:type="dxa"/>
          </w:tcPr>
          <w:p w14:paraId="3BA75E3F" w14:textId="33B40CE1" w:rsidR="00D25008" w:rsidRPr="00B86602" w:rsidRDefault="001C4737" w:rsidP="00B86602">
            <w:pPr>
              <w:widowControl w:val="0"/>
              <w:autoSpaceDE w:val="0"/>
              <w:autoSpaceDN w:val="0"/>
              <w:spacing w:before="31" w:line="239" w:lineRule="exact"/>
              <w:ind w:left="103"/>
            </w:pPr>
            <w:r w:rsidRPr="004A3BBC">
              <w:rPr>
                <w:szCs w:val="22"/>
              </w:rPr>
              <w:t>dažnas</w:t>
            </w:r>
          </w:p>
        </w:tc>
        <w:tc>
          <w:tcPr>
            <w:tcW w:w="1696" w:type="dxa"/>
          </w:tcPr>
          <w:p w14:paraId="1ED77539" w14:textId="77777777" w:rsidR="00D25008" w:rsidRPr="00B86602" w:rsidRDefault="00D25008" w:rsidP="00B86602">
            <w:pPr>
              <w:widowControl w:val="0"/>
              <w:autoSpaceDE w:val="0"/>
              <w:autoSpaceDN w:val="0"/>
            </w:pPr>
          </w:p>
        </w:tc>
        <w:tc>
          <w:tcPr>
            <w:tcW w:w="1696" w:type="dxa"/>
          </w:tcPr>
          <w:p w14:paraId="4AB8D97B" w14:textId="1D5EF359" w:rsidR="00D25008" w:rsidRPr="00B86602" w:rsidRDefault="001C4737" w:rsidP="00B86602">
            <w:pPr>
              <w:widowControl w:val="0"/>
              <w:autoSpaceDE w:val="0"/>
              <w:autoSpaceDN w:val="0"/>
              <w:spacing w:before="31" w:line="239" w:lineRule="exact"/>
              <w:ind w:left="102"/>
            </w:pPr>
            <w:r w:rsidRPr="004A3BBC">
              <w:rPr>
                <w:szCs w:val="22"/>
              </w:rPr>
              <w:t>retas</w:t>
            </w:r>
          </w:p>
        </w:tc>
        <w:tc>
          <w:tcPr>
            <w:tcW w:w="1696" w:type="dxa"/>
          </w:tcPr>
          <w:p w14:paraId="307C325B" w14:textId="0E6CB9DB" w:rsidR="00D25008" w:rsidRPr="00B86602" w:rsidRDefault="001C4737" w:rsidP="00B86602">
            <w:pPr>
              <w:widowControl w:val="0"/>
              <w:autoSpaceDE w:val="0"/>
              <w:autoSpaceDN w:val="0"/>
              <w:spacing w:before="34" w:line="233" w:lineRule="exact"/>
              <w:ind w:left="103"/>
            </w:pPr>
            <w:r w:rsidRPr="004A3BBC">
              <w:rPr>
                <w:szCs w:val="22"/>
              </w:rPr>
              <w:t>dažnas</w:t>
            </w:r>
          </w:p>
        </w:tc>
      </w:tr>
      <w:tr w:rsidR="00D25008" w14:paraId="2807F070" w14:textId="77777777" w:rsidTr="00B86602">
        <w:trPr>
          <w:trHeight w:val="280"/>
        </w:trPr>
        <w:tc>
          <w:tcPr>
            <w:tcW w:w="1191" w:type="dxa"/>
            <w:gridSpan w:val="2"/>
            <w:vMerge/>
          </w:tcPr>
          <w:p w14:paraId="6E84A6B0" w14:textId="77777777" w:rsidR="00D25008" w:rsidRPr="00B86602" w:rsidRDefault="00D25008" w:rsidP="00B86602">
            <w:pPr>
              <w:rPr>
                <w:sz w:val="2"/>
              </w:rPr>
            </w:pPr>
          </w:p>
        </w:tc>
        <w:tc>
          <w:tcPr>
            <w:tcW w:w="1695" w:type="dxa"/>
          </w:tcPr>
          <w:p w14:paraId="71FB9795" w14:textId="7C22D18F" w:rsidR="00D25008" w:rsidRPr="00B86602" w:rsidRDefault="001C4737" w:rsidP="00B86602">
            <w:pPr>
              <w:widowControl w:val="0"/>
              <w:autoSpaceDE w:val="0"/>
              <w:autoSpaceDN w:val="0"/>
              <w:spacing w:before="29" w:line="241" w:lineRule="exact"/>
              <w:ind w:left="100"/>
            </w:pPr>
            <w:r w:rsidRPr="004A3BBC">
              <w:rPr>
                <w:szCs w:val="22"/>
              </w:rPr>
              <w:t>Apalpimas (sinkopė)</w:t>
            </w:r>
          </w:p>
        </w:tc>
        <w:tc>
          <w:tcPr>
            <w:tcW w:w="1696" w:type="dxa"/>
          </w:tcPr>
          <w:p w14:paraId="5BF333D3" w14:textId="2C86249C" w:rsidR="00D25008" w:rsidRPr="00B86602" w:rsidRDefault="001C4737" w:rsidP="00B86602">
            <w:pPr>
              <w:widowControl w:val="0"/>
              <w:autoSpaceDE w:val="0"/>
              <w:autoSpaceDN w:val="0"/>
              <w:spacing w:before="29" w:line="241" w:lineRule="exact"/>
              <w:ind w:left="103"/>
            </w:pPr>
            <w:r w:rsidRPr="004A3BBC">
              <w:rPr>
                <w:szCs w:val="22"/>
              </w:rPr>
              <w:t>nedažnas</w:t>
            </w:r>
          </w:p>
        </w:tc>
        <w:tc>
          <w:tcPr>
            <w:tcW w:w="1696" w:type="dxa"/>
          </w:tcPr>
          <w:p w14:paraId="1C1819DE" w14:textId="274B97F1" w:rsidR="00D25008" w:rsidRPr="00B86602" w:rsidRDefault="001C4737" w:rsidP="00B86602">
            <w:pPr>
              <w:widowControl w:val="0"/>
              <w:autoSpaceDE w:val="0"/>
              <w:autoSpaceDN w:val="0"/>
              <w:spacing w:before="29" w:line="241" w:lineRule="exact"/>
              <w:ind w:left="102"/>
            </w:pPr>
            <w:r w:rsidRPr="004A3BBC">
              <w:rPr>
                <w:szCs w:val="22"/>
              </w:rPr>
              <w:t>nedažnas</w:t>
            </w:r>
          </w:p>
        </w:tc>
        <w:tc>
          <w:tcPr>
            <w:tcW w:w="1696" w:type="dxa"/>
          </w:tcPr>
          <w:p w14:paraId="63A528EC" w14:textId="31374572" w:rsidR="00D25008" w:rsidRPr="00B86602" w:rsidRDefault="00D25008" w:rsidP="00B86602">
            <w:pPr>
              <w:widowControl w:val="0"/>
              <w:autoSpaceDE w:val="0"/>
              <w:autoSpaceDN w:val="0"/>
            </w:pPr>
          </w:p>
        </w:tc>
        <w:tc>
          <w:tcPr>
            <w:tcW w:w="1696" w:type="dxa"/>
          </w:tcPr>
          <w:p w14:paraId="521FC651" w14:textId="1A10B6D2" w:rsidR="00D25008" w:rsidRPr="00B86602" w:rsidRDefault="001C4737" w:rsidP="00B86602">
            <w:pPr>
              <w:widowControl w:val="0"/>
              <w:autoSpaceDE w:val="0"/>
              <w:autoSpaceDN w:val="0"/>
              <w:spacing w:before="34" w:line="233" w:lineRule="exact"/>
              <w:ind w:left="103"/>
            </w:pPr>
            <w:r w:rsidRPr="004A3BBC">
              <w:rPr>
                <w:szCs w:val="22"/>
              </w:rPr>
              <w:t>nedažnas</w:t>
            </w:r>
          </w:p>
        </w:tc>
      </w:tr>
      <w:tr w:rsidR="00D25008" w14:paraId="556A11D4" w14:textId="77777777" w:rsidTr="00B86602">
        <w:trPr>
          <w:trHeight w:val="280"/>
        </w:trPr>
        <w:tc>
          <w:tcPr>
            <w:tcW w:w="1191" w:type="dxa"/>
            <w:gridSpan w:val="2"/>
            <w:vMerge/>
          </w:tcPr>
          <w:p w14:paraId="539FB873" w14:textId="306FF8E9" w:rsidR="00D25008" w:rsidRPr="00B86602" w:rsidRDefault="00D25008" w:rsidP="00B86602">
            <w:pPr>
              <w:rPr>
                <w:sz w:val="2"/>
              </w:rPr>
            </w:pPr>
          </w:p>
        </w:tc>
        <w:tc>
          <w:tcPr>
            <w:tcW w:w="1695" w:type="dxa"/>
          </w:tcPr>
          <w:p w14:paraId="317403B9" w14:textId="52ACDBF5" w:rsidR="00D25008" w:rsidRPr="00B86602" w:rsidRDefault="001C4737" w:rsidP="00B86602">
            <w:pPr>
              <w:widowControl w:val="0"/>
              <w:autoSpaceDE w:val="0"/>
              <w:autoSpaceDN w:val="0"/>
              <w:spacing w:before="29" w:line="239" w:lineRule="exact"/>
              <w:ind w:left="100"/>
            </w:pPr>
            <w:bookmarkStart w:id="15" w:name="_Hlk188618568"/>
            <w:proofErr w:type="spellStart"/>
            <w:r w:rsidRPr="004A3BBC">
              <w:rPr>
                <w:szCs w:val="22"/>
              </w:rPr>
              <w:t>Par</w:t>
            </w:r>
            <w:bookmarkEnd w:id="15"/>
            <w:r w:rsidRPr="004A3BBC">
              <w:rPr>
                <w:szCs w:val="22"/>
              </w:rPr>
              <w:t>estezija</w:t>
            </w:r>
            <w:proofErr w:type="spellEnd"/>
          </w:p>
        </w:tc>
        <w:tc>
          <w:tcPr>
            <w:tcW w:w="1696" w:type="dxa"/>
          </w:tcPr>
          <w:p w14:paraId="4ABF91EB" w14:textId="1FC159A1" w:rsidR="00D25008" w:rsidRPr="00B86602" w:rsidRDefault="001C4737" w:rsidP="00B86602">
            <w:pPr>
              <w:widowControl w:val="0"/>
              <w:autoSpaceDE w:val="0"/>
              <w:autoSpaceDN w:val="0"/>
              <w:spacing w:before="29" w:line="239" w:lineRule="exact"/>
              <w:ind w:left="103"/>
            </w:pPr>
            <w:r w:rsidRPr="004A3BBC">
              <w:rPr>
                <w:szCs w:val="22"/>
              </w:rPr>
              <w:t>nedažnas</w:t>
            </w:r>
          </w:p>
        </w:tc>
        <w:tc>
          <w:tcPr>
            <w:tcW w:w="1696" w:type="dxa"/>
          </w:tcPr>
          <w:p w14:paraId="324DC9AD" w14:textId="4C7F33A0" w:rsidR="00D25008" w:rsidRPr="00B86602" w:rsidRDefault="00D25008" w:rsidP="00B86602">
            <w:pPr>
              <w:widowControl w:val="0"/>
              <w:autoSpaceDE w:val="0"/>
              <w:autoSpaceDN w:val="0"/>
            </w:pPr>
          </w:p>
        </w:tc>
        <w:tc>
          <w:tcPr>
            <w:tcW w:w="1696" w:type="dxa"/>
          </w:tcPr>
          <w:p w14:paraId="6D3EBB80" w14:textId="46EC5100" w:rsidR="00D25008" w:rsidRPr="00B86602" w:rsidRDefault="001C4737" w:rsidP="00B86602">
            <w:pPr>
              <w:widowControl w:val="0"/>
              <w:autoSpaceDE w:val="0"/>
              <w:autoSpaceDN w:val="0"/>
              <w:spacing w:before="29" w:line="239" w:lineRule="exact"/>
              <w:ind w:left="102"/>
            </w:pPr>
            <w:r w:rsidRPr="004A3BBC">
              <w:rPr>
                <w:szCs w:val="22"/>
              </w:rPr>
              <w:t>retas</w:t>
            </w:r>
          </w:p>
        </w:tc>
        <w:tc>
          <w:tcPr>
            <w:tcW w:w="1696" w:type="dxa"/>
          </w:tcPr>
          <w:p w14:paraId="1AAC0C8C" w14:textId="0400B68D" w:rsidR="00D25008" w:rsidRPr="00B86602" w:rsidRDefault="001C4737" w:rsidP="00B86602">
            <w:pPr>
              <w:widowControl w:val="0"/>
              <w:autoSpaceDE w:val="0"/>
              <w:autoSpaceDN w:val="0"/>
              <w:spacing w:before="34" w:line="233" w:lineRule="exact"/>
              <w:ind w:left="103"/>
            </w:pPr>
            <w:r w:rsidRPr="004A3BBC">
              <w:rPr>
                <w:szCs w:val="22"/>
              </w:rPr>
              <w:t>nedažnas</w:t>
            </w:r>
          </w:p>
        </w:tc>
      </w:tr>
      <w:tr w:rsidR="00D25008" w14:paraId="57F31CD8" w14:textId="77777777" w:rsidTr="00B86602">
        <w:trPr>
          <w:trHeight w:val="280"/>
        </w:trPr>
        <w:tc>
          <w:tcPr>
            <w:tcW w:w="1191" w:type="dxa"/>
            <w:gridSpan w:val="2"/>
            <w:vMerge/>
          </w:tcPr>
          <w:p w14:paraId="613AC9FB" w14:textId="77777777" w:rsidR="00D25008" w:rsidRPr="00B86602" w:rsidRDefault="00D25008" w:rsidP="00B86602">
            <w:pPr>
              <w:rPr>
                <w:sz w:val="2"/>
              </w:rPr>
            </w:pPr>
          </w:p>
        </w:tc>
        <w:tc>
          <w:tcPr>
            <w:tcW w:w="1695" w:type="dxa"/>
          </w:tcPr>
          <w:p w14:paraId="27638577" w14:textId="72EC389A" w:rsidR="00D25008" w:rsidRPr="00B86602" w:rsidRDefault="001C4737" w:rsidP="00B86602">
            <w:pPr>
              <w:widowControl w:val="0"/>
              <w:autoSpaceDE w:val="0"/>
              <w:autoSpaceDN w:val="0"/>
              <w:spacing w:before="29" w:line="239" w:lineRule="exact"/>
              <w:ind w:left="100"/>
            </w:pPr>
            <w:r w:rsidRPr="004A3BBC">
              <w:rPr>
                <w:szCs w:val="22"/>
              </w:rPr>
              <w:t>Mieguistumas (</w:t>
            </w:r>
            <w:proofErr w:type="spellStart"/>
            <w:r w:rsidRPr="004A3BBC">
              <w:rPr>
                <w:szCs w:val="22"/>
              </w:rPr>
              <w:t>somnolencija</w:t>
            </w:r>
            <w:proofErr w:type="spellEnd"/>
            <w:r w:rsidRPr="004A3BBC">
              <w:rPr>
                <w:szCs w:val="22"/>
              </w:rPr>
              <w:t>)</w:t>
            </w:r>
          </w:p>
        </w:tc>
        <w:tc>
          <w:tcPr>
            <w:tcW w:w="1696" w:type="dxa"/>
          </w:tcPr>
          <w:p w14:paraId="3003F38F" w14:textId="77777777" w:rsidR="00D25008" w:rsidRPr="00B86602" w:rsidRDefault="00D25008" w:rsidP="00B86602">
            <w:pPr>
              <w:widowControl w:val="0"/>
              <w:autoSpaceDE w:val="0"/>
              <w:autoSpaceDN w:val="0"/>
            </w:pPr>
          </w:p>
        </w:tc>
        <w:tc>
          <w:tcPr>
            <w:tcW w:w="1696" w:type="dxa"/>
          </w:tcPr>
          <w:p w14:paraId="22A379CF" w14:textId="6B445059" w:rsidR="00D25008" w:rsidRPr="00B86602" w:rsidRDefault="001C4737" w:rsidP="00B86602">
            <w:pPr>
              <w:widowControl w:val="0"/>
              <w:autoSpaceDE w:val="0"/>
              <w:autoSpaceDN w:val="0"/>
              <w:spacing w:before="29" w:line="239" w:lineRule="exact"/>
              <w:ind w:left="102"/>
            </w:pPr>
            <w:r w:rsidRPr="004A3BBC">
              <w:rPr>
                <w:szCs w:val="22"/>
              </w:rPr>
              <w:t>retas</w:t>
            </w:r>
          </w:p>
        </w:tc>
        <w:tc>
          <w:tcPr>
            <w:tcW w:w="1696" w:type="dxa"/>
          </w:tcPr>
          <w:p w14:paraId="7484D143" w14:textId="77777777" w:rsidR="00D25008" w:rsidRPr="00B86602" w:rsidRDefault="00D25008" w:rsidP="00B86602">
            <w:pPr>
              <w:widowControl w:val="0"/>
              <w:autoSpaceDE w:val="0"/>
              <w:autoSpaceDN w:val="0"/>
            </w:pPr>
          </w:p>
        </w:tc>
        <w:tc>
          <w:tcPr>
            <w:tcW w:w="1696" w:type="dxa"/>
          </w:tcPr>
          <w:p w14:paraId="265CFA17" w14:textId="36CB4F75" w:rsidR="00D25008" w:rsidRPr="00B86602" w:rsidRDefault="001C4737" w:rsidP="00B86602">
            <w:pPr>
              <w:widowControl w:val="0"/>
              <w:autoSpaceDE w:val="0"/>
              <w:autoSpaceDN w:val="0"/>
              <w:spacing w:before="34" w:line="233" w:lineRule="exact"/>
              <w:ind w:left="103"/>
            </w:pPr>
            <w:r w:rsidRPr="004A3BBC">
              <w:rPr>
                <w:szCs w:val="22"/>
              </w:rPr>
              <w:t>dažnas</w:t>
            </w:r>
          </w:p>
        </w:tc>
      </w:tr>
      <w:tr w:rsidR="00D25008" w14:paraId="595F56C8" w14:textId="77777777" w:rsidTr="00B86602">
        <w:trPr>
          <w:trHeight w:val="280"/>
        </w:trPr>
        <w:tc>
          <w:tcPr>
            <w:tcW w:w="1191" w:type="dxa"/>
            <w:gridSpan w:val="2"/>
            <w:vMerge/>
          </w:tcPr>
          <w:p w14:paraId="24A6782A" w14:textId="77777777" w:rsidR="00D25008" w:rsidRPr="00B86602" w:rsidRDefault="00D25008" w:rsidP="00B86602">
            <w:pPr>
              <w:rPr>
                <w:sz w:val="2"/>
              </w:rPr>
            </w:pPr>
          </w:p>
        </w:tc>
        <w:tc>
          <w:tcPr>
            <w:tcW w:w="1695" w:type="dxa"/>
          </w:tcPr>
          <w:p w14:paraId="215CBA1A" w14:textId="30B40F5A" w:rsidR="00D25008" w:rsidRPr="00B86602" w:rsidRDefault="00FE2A61" w:rsidP="00B86602">
            <w:pPr>
              <w:widowControl w:val="0"/>
              <w:autoSpaceDE w:val="0"/>
              <w:autoSpaceDN w:val="0"/>
              <w:spacing w:before="31" w:line="239" w:lineRule="exact"/>
              <w:ind w:left="100"/>
            </w:pPr>
            <w:r w:rsidRPr="00B86602">
              <w:t>Galvos skausmas</w:t>
            </w:r>
          </w:p>
        </w:tc>
        <w:tc>
          <w:tcPr>
            <w:tcW w:w="1696" w:type="dxa"/>
          </w:tcPr>
          <w:p w14:paraId="7D5C3EEC" w14:textId="06BDACFE" w:rsidR="00D25008" w:rsidRPr="00B86602" w:rsidRDefault="00D25008" w:rsidP="00B86602">
            <w:pPr>
              <w:widowControl w:val="0"/>
              <w:autoSpaceDE w:val="0"/>
              <w:autoSpaceDN w:val="0"/>
            </w:pPr>
          </w:p>
        </w:tc>
        <w:tc>
          <w:tcPr>
            <w:tcW w:w="1696" w:type="dxa"/>
          </w:tcPr>
          <w:p w14:paraId="56E6EEE0" w14:textId="77777777" w:rsidR="00D25008" w:rsidRPr="00B86602" w:rsidRDefault="00D25008" w:rsidP="00B86602">
            <w:pPr>
              <w:widowControl w:val="0"/>
              <w:autoSpaceDE w:val="0"/>
              <w:autoSpaceDN w:val="0"/>
            </w:pPr>
          </w:p>
        </w:tc>
        <w:tc>
          <w:tcPr>
            <w:tcW w:w="1696" w:type="dxa"/>
          </w:tcPr>
          <w:p w14:paraId="7466ED0D" w14:textId="729680A0" w:rsidR="00D25008" w:rsidRPr="00B86602" w:rsidRDefault="001C4737" w:rsidP="00B86602">
            <w:pPr>
              <w:widowControl w:val="0"/>
              <w:autoSpaceDE w:val="0"/>
              <w:autoSpaceDN w:val="0"/>
              <w:spacing w:before="31" w:line="239" w:lineRule="exact"/>
              <w:ind w:left="102"/>
            </w:pPr>
            <w:r w:rsidRPr="004A3BBC">
              <w:rPr>
                <w:szCs w:val="22"/>
              </w:rPr>
              <w:t>retas</w:t>
            </w:r>
          </w:p>
        </w:tc>
        <w:tc>
          <w:tcPr>
            <w:tcW w:w="1696" w:type="dxa"/>
          </w:tcPr>
          <w:p w14:paraId="2BA0F838" w14:textId="35A22FB7" w:rsidR="00D25008" w:rsidRPr="00B86602" w:rsidRDefault="001C4737" w:rsidP="00B86602">
            <w:pPr>
              <w:widowControl w:val="0"/>
              <w:autoSpaceDE w:val="0"/>
              <w:autoSpaceDN w:val="0"/>
              <w:spacing w:before="34" w:line="233" w:lineRule="exact"/>
              <w:ind w:left="103"/>
            </w:pPr>
            <w:r w:rsidRPr="004A3BBC">
              <w:rPr>
                <w:szCs w:val="22"/>
              </w:rPr>
              <w:t>dažnas</w:t>
            </w:r>
          </w:p>
        </w:tc>
      </w:tr>
      <w:tr w:rsidR="00D25008" w14:paraId="115DE764" w14:textId="77777777" w:rsidTr="00B86602">
        <w:trPr>
          <w:trHeight w:val="280"/>
        </w:trPr>
        <w:tc>
          <w:tcPr>
            <w:tcW w:w="1191" w:type="dxa"/>
            <w:gridSpan w:val="2"/>
            <w:vMerge/>
          </w:tcPr>
          <w:p w14:paraId="399119B6" w14:textId="77777777" w:rsidR="00D25008" w:rsidRPr="00B86602" w:rsidRDefault="00D25008" w:rsidP="00B86602">
            <w:pPr>
              <w:rPr>
                <w:sz w:val="2"/>
              </w:rPr>
            </w:pPr>
          </w:p>
        </w:tc>
        <w:tc>
          <w:tcPr>
            <w:tcW w:w="1695" w:type="dxa"/>
          </w:tcPr>
          <w:p w14:paraId="0E9439E8" w14:textId="2A0D5619" w:rsidR="00D25008" w:rsidRPr="00B86602" w:rsidRDefault="001C4737" w:rsidP="00B86602">
            <w:pPr>
              <w:widowControl w:val="0"/>
              <w:autoSpaceDE w:val="0"/>
              <w:autoSpaceDN w:val="0"/>
              <w:spacing w:before="31" w:line="239" w:lineRule="exact"/>
              <w:ind w:left="100"/>
            </w:pPr>
            <w:r w:rsidRPr="00CF5157">
              <w:t xml:space="preserve">Tremoras, skonio sutrikimas, </w:t>
            </w:r>
            <w:proofErr w:type="spellStart"/>
            <w:r w:rsidRPr="00CF5157">
              <w:t>hipoesezija</w:t>
            </w:r>
            <w:proofErr w:type="spellEnd"/>
          </w:p>
        </w:tc>
        <w:tc>
          <w:tcPr>
            <w:tcW w:w="1696" w:type="dxa"/>
          </w:tcPr>
          <w:p w14:paraId="677E2423" w14:textId="77777777" w:rsidR="00D25008" w:rsidRPr="00B86602" w:rsidRDefault="00D25008" w:rsidP="00B86602">
            <w:pPr>
              <w:widowControl w:val="0"/>
              <w:autoSpaceDE w:val="0"/>
              <w:autoSpaceDN w:val="0"/>
            </w:pPr>
          </w:p>
        </w:tc>
        <w:tc>
          <w:tcPr>
            <w:tcW w:w="1696" w:type="dxa"/>
          </w:tcPr>
          <w:p w14:paraId="6D3D4F05" w14:textId="5CACD605" w:rsidR="00D25008" w:rsidRPr="00B86602" w:rsidRDefault="00D25008" w:rsidP="00B86602">
            <w:pPr>
              <w:widowControl w:val="0"/>
              <w:autoSpaceDE w:val="0"/>
              <w:autoSpaceDN w:val="0"/>
            </w:pPr>
          </w:p>
        </w:tc>
        <w:tc>
          <w:tcPr>
            <w:tcW w:w="1696" w:type="dxa"/>
          </w:tcPr>
          <w:p w14:paraId="640D59C4" w14:textId="77777777" w:rsidR="00D25008" w:rsidRPr="00B86602" w:rsidRDefault="00D25008" w:rsidP="00B86602">
            <w:pPr>
              <w:widowControl w:val="0"/>
              <w:autoSpaceDE w:val="0"/>
              <w:autoSpaceDN w:val="0"/>
              <w:spacing w:before="31" w:line="239" w:lineRule="exact"/>
              <w:ind w:left="102"/>
            </w:pPr>
          </w:p>
        </w:tc>
        <w:tc>
          <w:tcPr>
            <w:tcW w:w="1696" w:type="dxa"/>
          </w:tcPr>
          <w:p w14:paraId="6F39A438" w14:textId="366D626C" w:rsidR="00D25008" w:rsidRPr="00B86602" w:rsidRDefault="001C4737" w:rsidP="00B86602">
            <w:pPr>
              <w:widowControl w:val="0"/>
              <w:autoSpaceDE w:val="0"/>
              <w:autoSpaceDN w:val="0"/>
              <w:spacing w:before="34" w:line="233" w:lineRule="exact"/>
              <w:ind w:left="103"/>
            </w:pPr>
            <w:r w:rsidRPr="004A3BBC">
              <w:rPr>
                <w:szCs w:val="22"/>
              </w:rPr>
              <w:t>nedažnas</w:t>
            </w:r>
          </w:p>
        </w:tc>
      </w:tr>
      <w:tr w:rsidR="00D25008" w14:paraId="497C95CF" w14:textId="77777777" w:rsidTr="00B86602">
        <w:trPr>
          <w:trHeight w:val="280"/>
        </w:trPr>
        <w:tc>
          <w:tcPr>
            <w:tcW w:w="1191" w:type="dxa"/>
            <w:gridSpan w:val="2"/>
            <w:vMerge/>
          </w:tcPr>
          <w:p w14:paraId="5A82A24C" w14:textId="77777777" w:rsidR="00D25008" w:rsidRPr="00B86602" w:rsidRDefault="00D25008" w:rsidP="00B86602">
            <w:pPr>
              <w:rPr>
                <w:sz w:val="2"/>
              </w:rPr>
            </w:pPr>
          </w:p>
        </w:tc>
        <w:tc>
          <w:tcPr>
            <w:tcW w:w="1695" w:type="dxa"/>
          </w:tcPr>
          <w:p w14:paraId="60991593" w14:textId="6D9B6EF5" w:rsidR="00D25008" w:rsidRPr="00B86602" w:rsidRDefault="00FE2A61" w:rsidP="00B86602">
            <w:pPr>
              <w:widowControl w:val="0"/>
              <w:autoSpaceDE w:val="0"/>
              <w:autoSpaceDN w:val="0"/>
              <w:spacing w:before="31" w:line="239" w:lineRule="exact"/>
              <w:ind w:left="100"/>
            </w:pPr>
            <w:r w:rsidRPr="00B86602">
              <w:t>Hipertonija, periferinė neuropatija</w:t>
            </w:r>
          </w:p>
        </w:tc>
        <w:tc>
          <w:tcPr>
            <w:tcW w:w="1696" w:type="dxa"/>
          </w:tcPr>
          <w:p w14:paraId="6BDD8BAE" w14:textId="77777777" w:rsidR="00D25008" w:rsidRPr="00B86602" w:rsidRDefault="00D25008" w:rsidP="00B86602">
            <w:pPr>
              <w:widowControl w:val="0"/>
              <w:autoSpaceDE w:val="0"/>
              <w:autoSpaceDN w:val="0"/>
            </w:pPr>
          </w:p>
        </w:tc>
        <w:tc>
          <w:tcPr>
            <w:tcW w:w="1696" w:type="dxa"/>
          </w:tcPr>
          <w:p w14:paraId="2D4485E7" w14:textId="77777777" w:rsidR="00D25008" w:rsidRPr="00B86602" w:rsidRDefault="00D25008" w:rsidP="00B86602">
            <w:pPr>
              <w:widowControl w:val="0"/>
              <w:autoSpaceDE w:val="0"/>
              <w:autoSpaceDN w:val="0"/>
            </w:pPr>
          </w:p>
        </w:tc>
        <w:tc>
          <w:tcPr>
            <w:tcW w:w="1696" w:type="dxa"/>
          </w:tcPr>
          <w:p w14:paraId="38D1B3C7" w14:textId="7EFC917B" w:rsidR="00D25008" w:rsidRPr="00B86602" w:rsidRDefault="00D25008" w:rsidP="00B86602">
            <w:pPr>
              <w:widowControl w:val="0"/>
              <w:autoSpaceDE w:val="0"/>
              <w:autoSpaceDN w:val="0"/>
              <w:spacing w:before="31" w:line="239" w:lineRule="exact"/>
              <w:ind w:left="102"/>
            </w:pPr>
          </w:p>
        </w:tc>
        <w:tc>
          <w:tcPr>
            <w:tcW w:w="1696" w:type="dxa"/>
          </w:tcPr>
          <w:p w14:paraId="5FEAB05C" w14:textId="5F8F9D2D" w:rsidR="00D25008" w:rsidRPr="00B86602" w:rsidRDefault="001C4737" w:rsidP="00B86602">
            <w:pPr>
              <w:widowControl w:val="0"/>
              <w:autoSpaceDE w:val="0"/>
              <w:autoSpaceDN w:val="0"/>
              <w:spacing w:before="34" w:line="233" w:lineRule="exact"/>
              <w:ind w:left="103"/>
            </w:pPr>
            <w:r w:rsidRPr="004A3BBC">
              <w:rPr>
                <w:szCs w:val="22"/>
              </w:rPr>
              <w:t>labai retas</w:t>
            </w:r>
          </w:p>
        </w:tc>
      </w:tr>
      <w:tr w:rsidR="00D25008" w14:paraId="272EE64A" w14:textId="77777777" w:rsidTr="00B86602">
        <w:trPr>
          <w:trHeight w:val="280"/>
        </w:trPr>
        <w:tc>
          <w:tcPr>
            <w:tcW w:w="1191" w:type="dxa"/>
            <w:gridSpan w:val="2"/>
            <w:vMerge/>
          </w:tcPr>
          <w:p w14:paraId="4B8BFE9D" w14:textId="3A660BDA" w:rsidR="00D25008" w:rsidRPr="00B86602" w:rsidRDefault="00D25008" w:rsidP="00B86602">
            <w:pPr>
              <w:rPr>
                <w:sz w:val="2"/>
              </w:rPr>
            </w:pPr>
          </w:p>
        </w:tc>
        <w:tc>
          <w:tcPr>
            <w:tcW w:w="1695" w:type="dxa"/>
          </w:tcPr>
          <w:p w14:paraId="54B3B3C3" w14:textId="77E180E2" w:rsidR="00D25008" w:rsidRPr="00B86602" w:rsidRDefault="00FE2A61" w:rsidP="00B86602">
            <w:pPr>
              <w:widowControl w:val="0"/>
              <w:autoSpaceDE w:val="0"/>
              <w:autoSpaceDN w:val="0"/>
              <w:spacing w:before="31" w:line="239" w:lineRule="exact"/>
              <w:ind w:left="100"/>
            </w:pPr>
            <w:proofErr w:type="spellStart"/>
            <w:r w:rsidRPr="00B86602">
              <w:t>Ekstrapiramidinis</w:t>
            </w:r>
            <w:proofErr w:type="spellEnd"/>
            <w:r w:rsidRPr="00B86602">
              <w:t xml:space="preserve"> sutrikimas</w:t>
            </w:r>
          </w:p>
        </w:tc>
        <w:tc>
          <w:tcPr>
            <w:tcW w:w="1696" w:type="dxa"/>
          </w:tcPr>
          <w:p w14:paraId="0D041ACE" w14:textId="77777777" w:rsidR="00D25008" w:rsidRPr="00B86602" w:rsidRDefault="00D25008" w:rsidP="00B86602">
            <w:pPr>
              <w:widowControl w:val="0"/>
              <w:autoSpaceDE w:val="0"/>
              <w:autoSpaceDN w:val="0"/>
            </w:pPr>
          </w:p>
        </w:tc>
        <w:tc>
          <w:tcPr>
            <w:tcW w:w="1696" w:type="dxa"/>
          </w:tcPr>
          <w:p w14:paraId="718517F1" w14:textId="77777777" w:rsidR="00D25008" w:rsidRPr="00B86602" w:rsidRDefault="00D25008" w:rsidP="00B86602">
            <w:pPr>
              <w:widowControl w:val="0"/>
              <w:autoSpaceDE w:val="0"/>
              <w:autoSpaceDN w:val="0"/>
            </w:pPr>
          </w:p>
        </w:tc>
        <w:tc>
          <w:tcPr>
            <w:tcW w:w="1696" w:type="dxa"/>
          </w:tcPr>
          <w:p w14:paraId="19F460DB" w14:textId="77777777" w:rsidR="00D25008" w:rsidRPr="00B86602" w:rsidRDefault="00D25008" w:rsidP="00B86602">
            <w:pPr>
              <w:widowControl w:val="0"/>
              <w:autoSpaceDE w:val="0"/>
              <w:autoSpaceDN w:val="0"/>
              <w:spacing w:before="31" w:line="239" w:lineRule="exact"/>
              <w:ind w:left="102"/>
            </w:pPr>
          </w:p>
        </w:tc>
        <w:tc>
          <w:tcPr>
            <w:tcW w:w="1696" w:type="dxa"/>
          </w:tcPr>
          <w:p w14:paraId="4F345F0A" w14:textId="0C897D89" w:rsidR="00D25008" w:rsidRPr="00B86602" w:rsidRDefault="001C4737" w:rsidP="00B86602">
            <w:pPr>
              <w:widowControl w:val="0"/>
              <w:autoSpaceDE w:val="0"/>
              <w:autoSpaceDN w:val="0"/>
              <w:spacing w:before="34" w:line="233" w:lineRule="exact"/>
              <w:ind w:left="103"/>
            </w:pPr>
            <w:r w:rsidRPr="004A3BBC">
              <w:rPr>
                <w:szCs w:val="22"/>
              </w:rPr>
              <w:t>dažnis nežinomas</w:t>
            </w:r>
          </w:p>
        </w:tc>
      </w:tr>
      <w:tr w:rsidR="00D25008" w14:paraId="10A375DA" w14:textId="77777777" w:rsidTr="00B86602">
        <w:trPr>
          <w:trHeight w:val="280"/>
        </w:trPr>
        <w:tc>
          <w:tcPr>
            <w:tcW w:w="1191" w:type="dxa"/>
            <w:gridSpan w:val="2"/>
            <w:vMerge w:val="restart"/>
          </w:tcPr>
          <w:p w14:paraId="4D456EB0" w14:textId="1A27B0C2" w:rsidR="00D25008" w:rsidRPr="00B86602" w:rsidRDefault="00FE2A61" w:rsidP="00B86602">
            <w:pPr>
              <w:widowControl w:val="0"/>
              <w:autoSpaceDE w:val="0"/>
              <w:autoSpaceDN w:val="0"/>
              <w:spacing w:line="246" w:lineRule="exact"/>
              <w:ind w:left="102"/>
              <w:rPr>
                <w:b/>
              </w:rPr>
            </w:pPr>
            <w:r w:rsidRPr="00B86602">
              <w:rPr>
                <w:b/>
              </w:rPr>
              <w:t>Akių sutrikimai</w:t>
            </w:r>
          </w:p>
        </w:tc>
        <w:tc>
          <w:tcPr>
            <w:tcW w:w="1695" w:type="dxa"/>
          </w:tcPr>
          <w:p w14:paraId="7BB42C8D" w14:textId="11A1AF43" w:rsidR="00D25008" w:rsidRPr="00B86602" w:rsidRDefault="001C4737" w:rsidP="00B86602">
            <w:pPr>
              <w:widowControl w:val="0"/>
              <w:autoSpaceDE w:val="0"/>
              <w:autoSpaceDN w:val="0"/>
              <w:spacing w:before="29" w:line="241" w:lineRule="exact"/>
              <w:ind w:left="100"/>
            </w:pPr>
            <w:r w:rsidRPr="004A3BBC">
              <w:rPr>
                <w:szCs w:val="22"/>
              </w:rPr>
              <w:t>Regos sutrikimas</w:t>
            </w:r>
          </w:p>
        </w:tc>
        <w:tc>
          <w:tcPr>
            <w:tcW w:w="1696" w:type="dxa"/>
          </w:tcPr>
          <w:p w14:paraId="4A1E1C87" w14:textId="54DFEA5A" w:rsidR="00D25008" w:rsidRPr="00B86602" w:rsidRDefault="001C4737" w:rsidP="00B86602">
            <w:pPr>
              <w:widowControl w:val="0"/>
              <w:autoSpaceDE w:val="0"/>
              <w:autoSpaceDN w:val="0"/>
              <w:spacing w:before="29" w:line="241" w:lineRule="exact"/>
              <w:ind w:left="103"/>
            </w:pPr>
            <w:r w:rsidRPr="004A3BBC">
              <w:rPr>
                <w:szCs w:val="22"/>
              </w:rPr>
              <w:t>retas</w:t>
            </w:r>
          </w:p>
        </w:tc>
        <w:tc>
          <w:tcPr>
            <w:tcW w:w="1696" w:type="dxa"/>
          </w:tcPr>
          <w:p w14:paraId="003931E7" w14:textId="1C70D345" w:rsidR="00D25008" w:rsidRPr="00B86602" w:rsidRDefault="001C4737" w:rsidP="00B86602">
            <w:pPr>
              <w:widowControl w:val="0"/>
              <w:autoSpaceDE w:val="0"/>
              <w:autoSpaceDN w:val="0"/>
              <w:spacing w:before="29" w:line="241" w:lineRule="exact"/>
              <w:ind w:left="102"/>
            </w:pPr>
            <w:r w:rsidRPr="004A3BBC">
              <w:rPr>
                <w:szCs w:val="22"/>
              </w:rPr>
              <w:t>retas</w:t>
            </w:r>
          </w:p>
        </w:tc>
        <w:tc>
          <w:tcPr>
            <w:tcW w:w="1696" w:type="dxa"/>
          </w:tcPr>
          <w:p w14:paraId="2D3C09A4" w14:textId="6782C05E" w:rsidR="00D25008" w:rsidRPr="00B86602" w:rsidRDefault="001C4737" w:rsidP="00B86602">
            <w:pPr>
              <w:widowControl w:val="0"/>
              <w:autoSpaceDE w:val="0"/>
              <w:autoSpaceDN w:val="0"/>
              <w:spacing w:before="29" w:line="241" w:lineRule="exact"/>
              <w:ind w:left="102"/>
            </w:pPr>
            <w:r w:rsidRPr="004A3BBC">
              <w:rPr>
                <w:szCs w:val="22"/>
              </w:rPr>
              <w:t>retas</w:t>
            </w:r>
          </w:p>
        </w:tc>
        <w:tc>
          <w:tcPr>
            <w:tcW w:w="1696" w:type="dxa"/>
          </w:tcPr>
          <w:p w14:paraId="734A9E2F" w14:textId="1E1ACF03" w:rsidR="00D25008" w:rsidRPr="00B86602" w:rsidRDefault="001C4737" w:rsidP="00B86602">
            <w:pPr>
              <w:widowControl w:val="0"/>
              <w:autoSpaceDE w:val="0"/>
              <w:autoSpaceDN w:val="0"/>
              <w:spacing w:before="34" w:line="233" w:lineRule="exact"/>
              <w:ind w:left="103"/>
            </w:pPr>
            <w:r w:rsidRPr="004A3BBC">
              <w:rPr>
                <w:szCs w:val="22"/>
              </w:rPr>
              <w:t>dažnas</w:t>
            </w:r>
          </w:p>
        </w:tc>
      </w:tr>
      <w:tr w:rsidR="00D25008" w14:paraId="0C89A10B" w14:textId="77777777" w:rsidTr="00B86602">
        <w:trPr>
          <w:trHeight w:val="280"/>
        </w:trPr>
        <w:tc>
          <w:tcPr>
            <w:tcW w:w="1191" w:type="dxa"/>
            <w:gridSpan w:val="2"/>
            <w:vMerge/>
            <w:tcBorders>
              <w:top w:val="nil"/>
            </w:tcBorders>
          </w:tcPr>
          <w:p w14:paraId="69ECDA93" w14:textId="77777777" w:rsidR="00D25008" w:rsidRPr="00B86602" w:rsidRDefault="00D25008" w:rsidP="00B86602">
            <w:pPr>
              <w:rPr>
                <w:sz w:val="2"/>
              </w:rPr>
            </w:pPr>
          </w:p>
        </w:tc>
        <w:tc>
          <w:tcPr>
            <w:tcW w:w="1695" w:type="dxa"/>
          </w:tcPr>
          <w:p w14:paraId="3E8A23F3" w14:textId="2F65B6A4" w:rsidR="00D25008" w:rsidRPr="00B86602" w:rsidRDefault="001C4737" w:rsidP="00B86602">
            <w:pPr>
              <w:widowControl w:val="0"/>
              <w:autoSpaceDE w:val="0"/>
              <w:autoSpaceDN w:val="0"/>
              <w:spacing w:before="29" w:line="239" w:lineRule="exact"/>
              <w:ind w:left="100"/>
            </w:pPr>
            <w:r w:rsidRPr="004A3BBC">
              <w:rPr>
                <w:szCs w:val="22"/>
              </w:rPr>
              <w:t>Matymas lyg per miglą</w:t>
            </w:r>
          </w:p>
        </w:tc>
        <w:tc>
          <w:tcPr>
            <w:tcW w:w="1696" w:type="dxa"/>
          </w:tcPr>
          <w:p w14:paraId="5492065B" w14:textId="4158C241" w:rsidR="00D25008" w:rsidRPr="00B86602" w:rsidRDefault="001C4737" w:rsidP="00B86602">
            <w:pPr>
              <w:widowControl w:val="0"/>
              <w:autoSpaceDE w:val="0"/>
              <w:autoSpaceDN w:val="0"/>
              <w:spacing w:before="29" w:line="239" w:lineRule="exact"/>
              <w:ind w:left="103"/>
            </w:pPr>
            <w:r w:rsidRPr="004A3BBC">
              <w:rPr>
                <w:szCs w:val="22"/>
              </w:rPr>
              <w:t>retas</w:t>
            </w:r>
          </w:p>
        </w:tc>
        <w:tc>
          <w:tcPr>
            <w:tcW w:w="1696" w:type="dxa"/>
          </w:tcPr>
          <w:p w14:paraId="010AAC2D" w14:textId="77777777" w:rsidR="00D25008" w:rsidRPr="00B86602" w:rsidRDefault="00D25008" w:rsidP="00B86602">
            <w:pPr>
              <w:widowControl w:val="0"/>
              <w:autoSpaceDE w:val="0"/>
              <w:autoSpaceDN w:val="0"/>
            </w:pPr>
          </w:p>
        </w:tc>
        <w:tc>
          <w:tcPr>
            <w:tcW w:w="1696" w:type="dxa"/>
          </w:tcPr>
          <w:p w14:paraId="117BE908" w14:textId="6C1C8160" w:rsidR="00D25008" w:rsidRPr="00B86602" w:rsidRDefault="00D25008" w:rsidP="00B86602">
            <w:pPr>
              <w:widowControl w:val="0"/>
              <w:autoSpaceDE w:val="0"/>
              <w:autoSpaceDN w:val="0"/>
            </w:pPr>
          </w:p>
        </w:tc>
        <w:tc>
          <w:tcPr>
            <w:tcW w:w="1696" w:type="dxa"/>
          </w:tcPr>
          <w:p w14:paraId="59A7919A" w14:textId="77777777" w:rsidR="00D25008" w:rsidRPr="00B86602" w:rsidRDefault="00D25008" w:rsidP="00B86602">
            <w:pPr>
              <w:widowControl w:val="0"/>
              <w:autoSpaceDE w:val="0"/>
              <w:autoSpaceDN w:val="0"/>
              <w:spacing w:before="34" w:line="233" w:lineRule="exact"/>
              <w:ind w:left="103"/>
            </w:pPr>
          </w:p>
        </w:tc>
      </w:tr>
      <w:tr w:rsidR="00D25008" w14:paraId="66A52E0C" w14:textId="77777777" w:rsidTr="00B86602">
        <w:trPr>
          <w:trHeight w:val="500"/>
        </w:trPr>
        <w:tc>
          <w:tcPr>
            <w:tcW w:w="1191" w:type="dxa"/>
            <w:gridSpan w:val="2"/>
            <w:vMerge/>
            <w:tcBorders>
              <w:top w:val="nil"/>
            </w:tcBorders>
          </w:tcPr>
          <w:p w14:paraId="16F3E7EF" w14:textId="1C9C2AE0" w:rsidR="00D25008" w:rsidRPr="00B86602" w:rsidRDefault="00D25008" w:rsidP="00B86602">
            <w:pPr>
              <w:rPr>
                <w:sz w:val="2"/>
              </w:rPr>
            </w:pPr>
          </w:p>
        </w:tc>
        <w:tc>
          <w:tcPr>
            <w:tcW w:w="1695" w:type="dxa"/>
          </w:tcPr>
          <w:p w14:paraId="2615737F" w14:textId="2E25958A" w:rsidR="00D25008" w:rsidRPr="00B86602" w:rsidRDefault="001C4737" w:rsidP="00B86602">
            <w:pPr>
              <w:widowControl w:val="0"/>
              <w:autoSpaceDE w:val="0"/>
              <w:autoSpaceDN w:val="0"/>
              <w:spacing w:line="246" w:lineRule="exact"/>
              <w:ind w:left="100"/>
            </w:pPr>
            <w:r w:rsidRPr="004A3BBC">
              <w:rPr>
                <w:szCs w:val="22"/>
              </w:rPr>
              <w:t>Ūminė uždaro kampo glaukoma</w:t>
            </w:r>
          </w:p>
        </w:tc>
        <w:tc>
          <w:tcPr>
            <w:tcW w:w="1696" w:type="dxa"/>
          </w:tcPr>
          <w:p w14:paraId="1FFCA768" w14:textId="77777777" w:rsidR="00D25008" w:rsidRPr="00B86602" w:rsidRDefault="00D25008" w:rsidP="00B86602">
            <w:pPr>
              <w:widowControl w:val="0"/>
              <w:autoSpaceDE w:val="0"/>
              <w:autoSpaceDN w:val="0"/>
            </w:pPr>
          </w:p>
        </w:tc>
        <w:tc>
          <w:tcPr>
            <w:tcW w:w="1696" w:type="dxa"/>
          </w:tcPr>
          <w:p w14:paraId="3AAEF335" w14:textId="72E69184" w:rsidR="00D25008" w:rsidRPr="00B86602" w:rsidRDefault="00D25008" w:rsidP="00B86602">
            <w:pPr>
              <w:widowControl w:val="0"/>
              <w:autoSpaceDE w:val="0"/>
              <w:autoSpaceDN w:val="0"/>
            </w:pPr>
          </w:p>
        </w:tc>
        <w:tc>
          <w:tcPr>
            <w:tcW w:w="1696" w:type="dxa"/>
          </w:tcPr>
          <w:p w14:paraId="64B51B75" w14:textId="348D19DA" w:rsidR="00D25008" w:rsidRPr="00B86602" w:rsidRDefault="001C4737" w:rsidP="00B86602">
            <w:pPr>
              <w:widowControl w:val="0"/>
              <w:autoSpaceDE w:val="0"/>
              <w:autoSpaceDN w:val="0"/>
              <w:spacing w:line="239" w:lineRule="exact"/>
              <w:ind w:left="102"/>
            </w:pPr>
            <w:r w:rsidRPr="004A3BBC">
              <w:rPr>
                <w:szCs w:val="22"/>
              </w:rPr>
              <w:t>nežinomas</w:t>
            </w:r>
          </w:p>
        </w:tc>
        <w:tc>
          <w:tcPr>
            <w:tcW w:w="1696" w:type="dxa"/>
          </w:tcPr>
          <w:p w14:paraId="12EB443A" w14:textId="77777777" w:rsidR="00D25008" w:rsidRPr="00B86602" w:rsidRDefault="00D25008" w:rsidP="00B86602">
            <w:pPr>
              <w:widowControl w:val="0"/>
              <w:autoSpaceDE w:val="0"/>
              <w:autoSpaceDN w:val="0"/>
              <w:spacing w:before="34" w:line="233" w:lineRule="exact"/>
              <w:ind w:left="103"/>
            </w:pPr>
          </w:p>
        </w:tc>
      </w:tr>
      <w:tr w:rsidR="00D25008" w14:paraId="13ED9207" w14:textId="77777777" w:rsidTr="00B86602">
        <w:trPr>
          <w:trHeight w:val="280"/>
        </w:trPr>
        <w:tc>
          <w:tcPr>
            <w:tcW w:w="1191" w:type="dxa"/>
            <w:gridSpan w:val="2"/>
            <w:vMerge/>
            <w:tcBorders>
              <w:top w:val="nil"/>
            </w:tcBorders>
          </w:tcPr>
          <w:p w14:paraId="69E47F6A" w14:textId="77777777" w:rsidR="00D25008" w:rsidRPr="00B86602" w:rsidRDefault="00D25008" w:rsidP="00B86602">
            <w:pPr>
              <w:rPr>
                <w:sz w:val="2"/>
              </w:rPr>
            </w:pPr>
          </w:p>
        </w:tc>
        <w:tc>
          <w:tcPr>
            <w:tcW w:w="1695" w:type="dxa"/>
          </w:tcPr>
          <w:p w14:paraId="45A4E17E" w14:textId="77777777" w:rsidR="00DC4BB2" w:rsidRPr="004A3BBC" w:rsidRDefault="001C4737">
            <w:pPr>
              <w:widowControl w:val="0"/>
              <w:autoSpaceDE w:val="0"/>
              <w:autoSpaceDN w:val="0"/>
              <w:spacing w:before="29" w:line="241" w:lineRule="exact"/>
              <w:ind w:left="100"/>
              <w:rPr>
                <w:szCs w:val="22"/>
              </w:rPr>
            </w:pPr>
            <w:r w:rsidRPr="004A3BBC">
              <w:rPr>
                <w:szCs w:val="22"/>
              </w:rPr>
              <w:t xml:space="preserve">Skysčio susikaupimas tarp akies </w:t>
            </w:r>
            <w:proofErr w:type="spellStart"/>
            <w:r w:rsidRPr="004A3BBC">
              <w:rPr>
                <w:szCs w:val="22"/>
              </w:rPr>
              <w:t>gyslainės</w:t>
            </w:r>
            <w:proofErr w:type="spellEnd"/>
            <w:r w:rsidRPr="004A3BBC">
              <w:rPr>
                <w:szCs w:val="22"/>
              </w:rPr>
              <w:t xml:space="preserve"> ir </w:t>
            </w:r>
          </w:p>
          <w:p w14:paraId="7DF8E56A" w14:textId="1269729C" w:rsidR="00D25008" w:rsidRPr="00B86602" w:rsidRDefault="001C4737" w:rsidP="00B86602">
            <w:pPr>
              <w:widowControl w:val="0"/>
              <w:autoSpaceDE w:val="0"/>
              <w:autoSpaceDN w:val="0"/>
              <w:spacing w:before="29" w:line="241" w:lineRule="exact"/>
              <w:ind w:left="100"/>
            </w:pPr>
            <w:proofErr w:type="spellStart"/>
            <w:r w:rsidRPr="004A3BBC">
              <w:rPr>
                <w:szCs w:val="22"/>
              </w:rPr>
              <w:t>skleros</w:t>
            </w:r>
            <w:proofErr w:type="spellEnd"/>
          </w:p>
        </w:tc>
        <w:tc>
          <w:tcPr>
            <w:tcW w:w="1696" w:type="dxa"/>
          </w:tcPr>
          <w:p w14:paraId="50860087" w14:textId="725E95AC" w:rsidR="00D25008" w:rsidRPr="00B86602" w:rsidRDefault="00D25008" w:rsidP="00B86602">
            <w:pPr>
              <w:widowControl w:val="0"/>
              <w:autoSpaceDE w:val="0"/>
              <w:autoSpaceDN w:val="0"/>
            </w:pPr>
          </w:p>
        </w:tc>
        <w:tc>
          <w:tcPr>
            <w:tcW w:w="1696" w:type="dxa"/>
          </w:tcPr>
          <w:p w14:paraId="3FCF1FF9" w14:textId="77777777" w:rsidR="00D25008" w:rsidRPr="00B86602" w:rsidRDefault="00D25008" w:rsidP="00B86602">
            <w:pPr>
              <w:widowControl w:val="0"/>
              <w:autoSpaceDE w:val="0"/>
              <w:autoSpaceDN w:val="0"/>
            </w:pPr>
          </w:p>
        </w:tc>
        <w:tc>
          <w:tcPr>
            <w:tcW w:w="1696" w:type="dxa"/>
          </w:tcPr>
          <w:p w14:paraId="080A60A3" w14:textId="7BA073CD" w:rsidR="00D25008" w:rsidRPr="00B86602" w:rsidRDefault="001C4737" w:rsidP="00B86602">
            <w:pPr>
              <w:widowControl w:val="0"/>
              <w:autoSpaceDE w:val="0"/>
              <w:autoSpaceDN w:val="0"/>
              <w:spacing w:before="29" w:line="241" w:lineRule="exact"/>
              <w:ind w:left="102"/>
            </w:pPr>
            <w:r w:rsidRPr="004A3BBC">
              <w:rPr>
                <w:szCs w:val="22"/>
              </w:rPr>
              <w:t>nežinomas</w:t>
            </w:r>
          </w:p>
        </w:tc>
        <w:tc>
          <w:tcPr>
            <w:tcW w:w="1696" w:type="dxa"/>
          </w:tcPr>
          <w:p w14:paraId="112A0424" w14:textId="31A0E0DF" w:rsidR="00D25008" w:rsidRPr="00B86602" w:rsidRDefault="00D25008" w:rsidP="00B86602">
            <w:pPr>
              <w:widowControl w:val="0"/>
              <w:autoSpaceDE w:val="0"/>
              <w:autoSpaceDN w:val="0"/>
              <w:spacing w:before="34" w:line="233" w:lineRule="exact"/>
              <w:ind w:left="103"/>
            </w:pPr>
          </w:p>
        </w:tc>
      </w:tr>
      <w:tr w:rsidR="00D25008" w14:paraId="3A9126B8" w14:textId="77777777" w:rsidTr="00B86602">
        <w:trPr>
          <w:trHeight w:val="429"/>
        </w:trPr>
        <w:tc>
          <w:tcPr>
            <w:tcW w:w="1191" w:type="dxa"/>
            <w:gridSpan w:val="2"/>
            <w:vMerge w:val="restart"/>
          </w:tcPr>
          <w:p w14:paraId="1C07CBD2" w14:textId="19818AD7" w:rsidR="00D25008" w:rsidRPr="00B86602" w:rsidRDefault="00FE2A61" w:rsidP="00B86602">
            <w:pPr>
              <w:widowControl w:val="0"/>
              <w:autoSpaceDE w:val="0"/>
              <w:autoSpaceDN w:val="0"/>
              <w:ind w:left="102" w:right="872"/>
              <w:rPr>
                <w:b/>
              </w:rPr>
            </w:pPr>
            <w:r w:rsidRPr="00B86602">
              <w:rPr>
                <w:b/>
              </w:rPr>
              <w:t>Ausų ir labirintų sutriki</w:t>
            </w:r>
            <w:r w:rsidRPr="00B86602">
              <w:rPr>
                <w:b/>
              </w:rPr>
              <w:lastRenderedPageBreak/>
              <w:t>mai</w:t>
            </w:r>
          </w:p>
        </w:tc>
        <w:tc>
          <w:tcPr>
            <w:tcW w:w="1695" w:type="dxa"/>
          </w:tcPr>
          <w:p w14:paraId="7222F062" w14:textId="03DF8862" w:rsidR="00D25008" w:rsidRPr="00B86602" w:rsidRDefault="00FE2A61" w:rsidP="00B86602">
            <w:pPr>
              <w:widowControl w:val="0"/>
              <w:autoSpaceDE w:val="0"/>
              <w:autoSpaceDN w:val="0"/>
              <w:spacing w:before="31" w:line="239" w:lineRule="exact"/>
              <w:ind w:left="100"/>
            </w:pPr>
            <w:bookmarkStart w:id="16" w:name="_Hlk188618644"/>
            <w:r w:rsidRPr="00B86602">
              <w:lastRenderedPageBreak/>
              <w:t>Svaigimas (</w:t>
            </w:r>
            <w:proofErr w:type="spellStart"/>
            <w:r w:rsidRPr="00B86602">
              <w:rPr>
                <w:i/>
              </w:rPr>
              <w:t>vertigo</w:t>
            </w:r>
            <w:bookmarkEnd w:id="16"/>
            <w:proofErr w:type="spellEnd"/>
            <w:r w:rsidRPr="00B86602">
              <w:t>)</w:t>
            </w:r>
          </w:p>
        </w:tc>
        <w:tc>
          <w:tcPr>
            <w:tcW w:w="1696" w:type="dxa"/>
          </w:tcPr>
          <w:p w14:paraId="416CC92D" w14:textId="48E77105" w:rsidR="00D25008" w:rsidRPr="00B86602" w:rsidRDefault="001C4737" w:rsidP="00B86602">
            <w:pPr>
              <w:widowControl w:val="0"/>
              <w:autoSpaceDE w:val="0"/>
              <w:autoSpaceDN w:val="0"/>
              <w:spacing w:line="239" w:lineRule="exact"/>
              <w:ind w:left="103"/>
            </w:pPr>
            <w:r w:rsidRPr="004A3BBC">
              <w:rPr>
                <w:szCs w:val="22"/>
              </w:rPr>
              <w:t>nedažnas</w:t>
            </w:r>
          </w:p>
        </w:tc>
        <w:tc>
          <w:tcPr>
            <w:tcW w:w="1696" w:type="dxa"/>
          </w:tcPr>
          <w:p w14:paraId="056E9AA5" w14:textId="54BCB6CE" w:rsidR="00D25008" w:rsidRPr="00B86602" w:rsidRDefault="001C4737" w:rsidP="00B86602">
            <w:pPr>
              <w:widowControl w:val="0"/>
              <w:autoSpaceDE w:val="0"/>
              <w:autoSpaceDN w:val="0"/>
              <w:spacing w:line="239" w:lineRule="exact"/>
              <w:ind w:left="102"/>
            </w:pPr>
            <w:r w:rsidRPr="004A3BBC">
              <w:rPr>
                <w:szCs w:val="22"/>
              </w:rPr>
              <w:t>nedažnas</w:t>
            </w:r>
          </w:p>
        </w:tc>
        <w:tc>
          <w:tcPr>
            <w:tcW w:w="1696" w:type="dxa"/>
          </w:tcPr>
          <w:p w14:paraId="7F2F5081" w14:textId="77777777" w:rsidR="00D25008" w:rsidRPr="00B86602" w:rsidRDefault="00D25008" w:rsidP="00B86602">
            <w:pPr>
              <w:widowControl w:val="0"/>
              <w:autoSpaceDE w:val="0"/>
              <w:autoSpaceDN w:val="0"/>
            </w:pPr>
          </w:p>
        </w:tc>
        <w:tc>
          <w:tcPr>
            <w:tcW w:w="1696" w:type="dxa"/>
          </w:tcPr>
          <w:p w14:paraId="55305747" w14:textId="77777777" w:rsidR="00D25008" w:rsidRPr="00B86602" w:rsidRDefault="00D25008" w:rsidP="00B86602">
            <w:pPr>
              <w:widowControl w:val="0"/>
              <w:autoSpaceDE w:val="0"/>
              <w:autoSpaceDN w:val="0"/>
              <w:spacing w:before="34" w:line="233" w:lineRule="exact"/>
              <w:ind w:left="103"/>
            </w:pPr>
          </w:p>
        </w:tc>
      </w:tr>
      <w:tr w:rsidR="00D25008" w14:paraId="5AE155CF" w14:textId="77777777" w:rsidTr="00B86602">
        <w:trPr>
          <w:trHeight w:val="50"/>
        </w:trPr>
        <w:tc>
          <w:tcPr>
            <w:tcW w:w="1191" w:type="dxa"/>
            <w:gridSpan w:val="2"/>
            <w:vMerge/>
          </w:tcPr>
          <w:p w14:paraId="6D873835" w14:textId="77777777" w:rsidR="00D25008" w:rsidRPr="00B86602" w:rsidRDefault="00D25008" w:rsidP="00B86602">
            <w:pPr>
              <w:widowControl w:val="0"/>
              <w:autoSpaceDE w:val="0"/>
              <w:autoSpaceDN w:val="0"/>
              <w:ind w:left="102" w:right="872"/>
              <w:rPr>
                <w:b/>
              </w:rPr>
            </w:pPr>
          </w:p>
        </w:tc>
        <w:tc>
          <w:tcPr>
            <w:tcW w:w="1695" w:type="dxa"/>
          </w:tcPr>
          <w:p w14:paraId="77844183" w14:textId="66BDEA74" w:rsidR="00D25008" w:rsidRPr="00B86602" w:rsidRDefault="001C4737" w:rsidP="00B86602">
            <w:pPr>
              <w:widowControl w:val="0"/>
              <w:autoSpaceDE w:val="0"/>
              <w:autoSpaceDN w:val="0"/>
              <w:spacing w:before="31" w:line="239" w:lineRule="exact"/>
              <w:ind w:left="100"/>
            </w:pPr>
            <w:r w:rsidRPr="004A3BBC">
              <w:rPr>
                <w:szCs w:val="22"/>
              </w:rPr>
              <w:t>Spengimas ausyse</w:t>
            </w:r>
          </w:p>
        </w:tc>
        <w:tc>
          <w:tcPr>
            <w:tcW w:w="1696" w:type="dxa"/>
          </w:tcPr>
          <w:p w14:paraId="27D22CF6" w14:textId="77777777" w:rsidR="00D25008" w:rsidRPr="00B86602" w:rsidRDefault="00D25008" w:rsidP="00B86602">
            <w:pPr>
              <w:widowControl w:val="0"/>
              <w:autoSpaceDE w:val="0"/>
              <w:autoSpaceDN w:val="0"/>
            </w:pPr>
          </w:p>
        </w:tc>
        <w:tc>
          <w:tcPr>
            <w:tcW w:w="1696" w:type="dxa"/>
          </w:tcPr>
          <w:p w14:paraId="4513A246" w14:textId="1ED85A61" w:rsidR="00D25008" w:rsidRPr="00B86602" w:rsidRDefault="00D25008" w:rsidP="00B86602">
            <w:pPr>
              <w:widowControl w:val="0"/>
              <w:autoSpaceDE w:val="0"/>
              <w:autoSpaceDN w:val="0"/>
            </w:pPr>
          </w:p>
        </w:tc>
        <w:tc>
          <w:tcPr>
            <w:tcW w:w="1696" w:type="dxa"/>
          </w:tcPr>
          <w:p w14:paraId="1D452728" w14:textId="6D1006D7" w:rsidR="00D25008" w:rsidRPr="00B86602" w:rsidRDefault="00D25008" w:rsidP="00B86602">
            <w:pPr>
              <w:widowControl w:val="0"/>
              <w:autoSpaceDE w:val="0"/>
              <w:autoSpaceDN w:val="0"/>
            </w:pPr>
          </w:p>
        </w:tc>
        <w:tc>
          <w:tcPr>
            <w:tcW w:w="1696" w:type="dxa"/>
          </w:tcPr>
          <w:p w14:paraId="00FBE734" w14:textId="4C98291E" w:rsidR="00D25008" w:rsidRPr="00B86602" w:rsidRDefault="001C4737" w:rsidP="00B86602">
            <w:pPr>
              <w:widowControl w:val="0"/>
              <w:autoSpaceDE w:val="0"/>
              <w:autoSpaceDN w:val="0"/>
              <w:spacing w:before="34" w:line="233" w:lineRule="exact"/>
              <w:ind w:left="103"/>
            </w:pPr>
            <w:r w:rsidRPr="004A3BBC">
              <w:rPr>
                <w:szCs w:val="22"/>
              </w:rPr>
              <w:t>nedažnas</w:t>
            </w:r>
          </w:p>
        </w:tc>
      </w:tr>
      <w:tr w:rsidR="00D25008" w14:paraId="591483DF" w14:textId="77777777" w:rsidTr="00B86602">
        <w:trPr>
          <w:trHeight w:val="280"/>
        </w:trPr>
        <w:tc>
          <w:tcPr>
            <w:tcW w:w="1191" w:type="dxa"/>
            <w:gridSpan w:val="2"/>
            <w:vMerge w:val="restart"/>
          </w:tcPr>
          <w:p w14:paraId="11A5CE94" w14:textId="1AE34A83" w:rsidR="00D25008" w:rsidRPr="00B86602" w:rsidRDefault="001C4737" w:rsidP="00B86602">
            <w:pPr>
              <w:widowControl w:val="0"/>
              <w:autoSpaceDE w:val="0"/>
              <w:autoSpaceDN w:val="0"/>
              <w:spacing w:line="242" w:lineRule="auto"/>
              <w:ind w:left="102" w:right="872"/>
              <w:rPr>
                <w:b/>
              </w:rPr>
            </w:pPr>
            <w:r w:rsidRPr="004A3BBC">
              <w:rPr>
                <w:b/>
                <w:szCs w:val="22"/>
              </w:rPr>
              <w:t>Širdies</w:t>
            </w:r>
            <w:r w:rsidR="00FE2A61" w:rsidRPr="00B86602">
              <w:rPr>
                <w:b/>
              </w:rPr>
              <w:t xml:space="preserve"> sutrikimai</w:t>
            </w:r>
          </w:p>
        </w:tc>
        <w:tc>
          <w:tcPr>
            <w:tcW w:w="1695" w:type="dxa"/>
          </w:tcPr>
          <w:p w14:paraId="20F2C3AF" w14:textId="1CAE465A" w:rsidR="00D25008" w:rsidRPr="00B86602" w:rsidRDefault="001C4737" w:rsidP="00B86602">
            <w:pPr>
              <w:widowControl w:val="0"/>
              <w:autoSpaceDE w:val="0"/>
              <w:autoSpaceDN w:val="0"/>
              <w:spacing w:before="31" w:line="239" w:lineRule="exact"/>
              <w:ind w:left="100"/>
            </w:pPr>
            <w:bookmarkStart w:id="17" w:name="_Hlk188618656"/>
            <w:r w:rsidRPr="004A3BBC">
              <w:rPr>
                <w:szCs w:val="22"/>
              </w:rPr>
              <w:t>Tach</w:t>
            </w:r>
            <w:bookmarkEnd w:id="17"/>
            <w:r w:rsidRPr="004A3BBC">
              <w:rPr>
                <w:szCs w:val="22"/>
              </w:rPr>
              <w:t>ikardija</w:t>
            </w:r>
          </w:p>
        </w:tc>
        <w:tc>
          <w:tcPr>
            <w:tcW w:w="1696" w:type="dxa"/>
          </w:tcPr>
          <w:p w14:paraId="1C49C1BB" w14:textId="3C0004D0" w:rsidR="00D25008" w:rsidRPr="00B86602" w:rsidRDefault="001C4737" w:rsidP="00B86602">
            <w:pPr>
              <w:widowControl w:val="0"/>
              <w:autoSpaceDE w:val="0"/>
              <w:autoSpaceDN w:val="0"/>
              <w:spacing w:before="29" w:line="241" w:lineRule="exact"/>
              <w:ind w:left="103"/>
            </w:pPr>
            <w:r w:rsidRPr="004A3BBC">
              <w:rPr>
                <w:szCs w:val="22"/>
              </w:rPr>
              <w:t>nedažnas</w:t>
            </w:r>
          </w:p>
        </w:tc>
        <w:tc>
          <w:tcPr>
            <w:tcW w:w="1696" w:type="dxa"/>
          </w:tcPr>
          <w:p w14:paraId="5499DC67" w14:textId="64CDBE77" w:rsidR="00D25008" w:rsidRPr="00B86602" w:rsidRDefault="001C4737" w:rsidP="00B86602">
            <w:pPr>
              <w:widowControl w:val="0"/>
              <w:autoSpaceDE w:val="0"/>
              <w:autoSpaceDN w:val="0"/>
              <w:spacing w:before="29" w:line="241" w:lineRule="exact"/>
              <w:ind w:left="102"/>
            </w:pPr>
            <w:r w:rsidRPr="004A3BBC">
              <w:rPr>
                <w:szCs w:val="22"/>
              </w:rPr>
              <w:t>retas</w:t>
            </w:r>
          </w:p>
        </w:tc>
        <w:tc>
          <w:tcPr>
            <w:tcW w:w="1696" w:type="dxa"/>
          </w:tcPr>
          <w:p w14:paraId="2DA94179" w14:textId="77777777" w:rsidR="00D25008" w:rsidRPr="00B86602" w:rsidRDefault="00D25008" w:rsidP="00B86602">
            <w:pPr>
              <w:widowControl w:val="0"/>
              <w:autoSpaceDE w:val="0"/>
              <w:autoSpaceDN w:val="0"/>
            </w:pPr>
          </w:p>
        </w:tc>
        <w:tc>
          <w:tcPr>
            <w:tcW w:w="1696" w:type="dxa"/>
          </w:tcPr>
          <w:p w14:paraId="51418191" w14:textId="1DF1B48A" w:rsidR="00D25008" w:rsidRPr="00B86602" w:rsidRDefault="001C4737" w:rsidP="00B86602">
            <w:pPr>
              <w:widowControl w:val="0"/>
              <w:autoSpaceDE w:val="0"/>
              <w:autoSpaceDN w:val="0"/>
              <w:spacing w:before="34" w:line="233" w:lineRule="exact"/>
              <w:ind w:left="103"/>
            </w:pPr>
            <w:r w:rsidRPr="00CF5157">
              <w:t>nedažnas</w:t>
            </w:r>
          </w:p>
        </w:tc>
      </w:tr>
      <w:tr w:rsidR="00D25008" w14:paraId="16704F89" w14:textId="77777777" w:rsidTr="00B86602">
        <w:trPr>
          <w:trHeight w:val="280"/>
        </w:trPr>
        <w:tc>
          <w:tcPr>
            <w:tcW w:w="1191" w:type="dxa"/>
            <w:gridSpan w:val="2"/>
            <w:vMerge/>
          </w:tcPr>
          <w:p w14:paraId="0313E6F2" w14:textId="77777777" w:rsidR="00D25008" w:rsidRPr="00B86602" w:rsidRDefault="00D25008" w:rsidP="00B86602">
            <w:pPr>
              <w:rPr>
                <w:sz w:val="2"/>
              </w:rPr>
            </w:pPr>
          </w:p>
        </w:tc>
        <w:tc>
          <w:tcPr>
            <w:tcW w:w="1695" w:type="dxa"/>
          </w:tcPr>
          <w:p w14:paraId="2D8F78BA" w14:textId="4410B7EB" w:rsidR="00D25008" w:rsidRPr="00B86602" w:rsidRDefault="001C4737" w:rsidP="00B86602">
            <w:pPr>
              <w:widowControl w:val="0"/>
              <w:autoSpaceDE w:val="0"/>
              <w:autoSpaceDN w:val="0"/>
              <w:spacing w:before="31" w:line="239" w:lineRule="exact"/>
              <w:ind w:left="100"/>
            </w:pPr>
            <w:bookmarkStart w:id="18" w:name="_Hlk188618662"/>
            <w:r w:rsidRPr="004A3BBC">
              <w:rPr>
                <w:szCs w:val="22"/>
              </w:rPr>
              <w:t>Ar</w:t>
            </w:r>
            <w:bookmarkEnd w:id="18"/>
            <w:r w:rsidRPr="004A3BBC">
              <w:rPr>
                <w:szCs w:val="22"/>
              </w:rPr>
              <w:t>itmijos</w:t>
            </w:r>
          </w:p>
        </w:tc>
        <w:tc>
          <w:tcPr>
            <w:tcW w:w="1696" w:type="dxa"/>
          </w:tcPr>
          <w:p w14:paraId="741754DB" w14:textId="2F59D50C" w:rsidR="00D25008" w:rsidRPr="00B86602" w:rsidRDefault="001C4737" w:rsidP="00B86602">
            <w:pPr>
              <w:widowControl w:val="0"/>
              <w:autoSpaceDE w:val="0"/>
              <w:autoSpaceDN w:val="0"/>
              <w:spacing w:before="29" w:line="239" w:lineRule="exact"/>
              <w:ind w:left="103"/>
            </w:pPr>
            <w:r w:rsidRPr="004A3BBC">
              <w:rPr>
                <w:szCs w:val="22"/>
              </w:rPr>
              <w:t>nedažnas</w:t>
            </w:r>
          </w:p>
        </w:tc>
        <w:tc>
          <w:tcPr>
            <w:tcW w:w="1696" w:type="dxa"/>
          </w:tcPr>
          <w:p w14:paraId="3E1F4BDF" w14:textId="506C804C" w:rsidR="00D25008" w:rsidRPr="00B86602" w:rsidRDefault="00D25008" w:rsidP="00B86602">
            <w:pPr>
              <w:widowControl w:val="0"/>
              <w:autoSpaceDE w:val="0"/>
              <w:autoSpaceDN w:val="0"/>
            </w:pPr>
          </w:p>
        </w:tc>
        <w:tc>
          <w:tcPr>
            <w:tcW w:w="1696" w:type="dxa"/>
          </w:tcPr>
          <w:p w14:paraId="51AE7CA8" w14:textId="244EF538" w:rsidR="00D25008" w:rsidRPr="00B86602" w:rsidRDefault="001C4737" w:rsidP="00B86602">
            <w:pPr>
              <w:widowControl w:val="0"/>
              <w:autoSpaceDE w:val="0"/>
              <w:autoSpaceDN w:val="0"/>
              <w:spacing w:before="29" w:line="239" w:lineRule="exact"/>
              <w:ind w:left="102"/>
            </w:pPr>
            <w:r w:rsidRPr="004A3BBC">
              <w:rPr>
                <w:szCs w:val="22"/>
              </w:rPr>
              <w:t>retas</w:t>
            </w:r>
          </w:p>
        </w:tc>
        <w:tc>
          <w:tcPr>
            <w:tcW w:w="1696" w:type="dxa"/>
          </w:tcPr>
          <w:p w14:paraId="2DF12049" w14:textId="6D82B9D9" w:rsidR="00D25008" w:rsidRPr="00B86602" w:rsidRDefault="001C4737" w:rsidP="00B86602">
            <w:pPr>
              <w:widowControl w:val="0"/>
              <w:autoSpaceDE w:val="0"/>
              <w:autoSpaceDN w:val="0"/>
              <w:spacing w:before="34" w:line="233" w:lineRule="exact"/>
              <w:ind w:left="103"/>
            </w:pPr>
            <w:r w:rsidRPr="00CF5157">
              <w:t>nedažnas</w:t>
            </w:r>
          </w:p>
        </w:tc>
      </w:tr>
      <w:tr w:rsidR="00D25008" w14:paraId="373D2F22" w14:textId="77777777" w:rsidTr="00B86602">
        <w:trPr>
          <w:trHeight w:val="280"/>
        </w:trPr>
        <w:tc>
          <w:tcPr>
            <w:tcW w:w="1191" w:type="dxa"/>
            <w:gridSpan w:val="2"/>
            <w:vMerge/>
          </w:tcPr>
          <w:p w14:paraId="6DA80B64" w14:textId="77777777" w:rsidR="00D25008" w:rsidRPr="00B86602" w:rsidRDefault="00D25008" w:rsidP="00B86602">
            <w:pPr>
              <w:rPr>
                <w:sz w:val="2"/>
              </w:rPr>
            </w:pPr>
          </w:p>
        </w:tc>
        <w:tc>
          <w:tcPr>
            <w:tcW w:w="1695" w:type="dxa"/>
          </w:tcPr>
          <w:p w14:paraId="62C9E640" w14:textId="4B20BCA8" w:rsidR="00D25008" w:rsidRPr="00B86602" w:rsidRDefault="00FE2A61" w:rsidP="00B86602">
            <w:pPr>
              <w:widowControl w:val="0"/>
              <w:autoSpaceDE w:val="0"/>
              <w:autoSpaceDN w:val="0"/>
              <w:spacing w:before="31" w:line="239" w:lineRule="exact"/>
              <w:ind w:left="100"/>
            </w:pPr>
            <w:bookmarkStart w:id="19" w:name="_Hlk188618668"/>
            <w:r w:rsidRPr="00B86602">
              <w:t>Brad</w:t>
            </w:r>
            <w:bookmarkEnd w:id="19"/>
            <w:r w:rsidRPr="00B86602">
              <w:t>ikardija</w:t>
            </w:r>
          </w:p>
        </w:tc>
        <w:tc>
          <w:tcPr>
            <w:tcW w:w="1696" w:type="dxa"/>
          </w:tcPr>
          <w:p w14:paraId="769306E1" w14:textId="41F25891" w:rsidR="00D25008" w:rsidRPr="00B86602" w:rsidRDefault="00D25008" w:rsidP="00B86602">
            <w:pPr>
              <w:widowControl w:val="0"/>
              <w:autoSpaceDE w:val="0"/>
              <w:autoSpaceDN w:val="0"/>
            </w:pPr>
          </w:p>
        </w:tc>
        <w:tc>
          <w:tcPr>
            <w:tcW w:w="1696" w:type="dxa"/>
          </w:tcPr>
          <w:p w14:paraId="017BD995" w14:textId="04D606F0" w:rsidR="00D25008" w:rsidRPr="00B86602" w:rsidRDefault="001C4737" w:rsidP="00B86602">
            <w:pPr>
              <w:widowControl w:val="0"/>
              <w:autoSpaceDE w:val="0"/>
              <w:autoSpaceDN w:val="0"/>
              <w:spacing w:before="29" w:line="241" w:lineRule="exact"/>
              <w:ind w:left="102"/>
            </w:pPr>
            <w:r w:rsidRPr="004A3BBC">
              <w:rPr>
                <w:szCs w:val="22"/>
              </w:rPr>
              <w:t>nedažnas</w:t>
            </w:r>
          </w:p>
        </w:tc>
        <w:tc>
          <w:tcPr>
            <w:tcW w:w="1696" w:type="dxa"/>
          </w:tcPr>
          <w:p w14:paraId="0756D5B7" w14:textId="77777777" w:rsidR="00D25008" w:rsidRPr="00B86602" w:rsidRDefault="00D25008" w:rsidP="00B86602">
            <w:pPr>
              <w:widowControl w:val="0"/>
              <w:autoSpaceDE w:val="0"/>
              <w:autoSpaceDN w:val="0"/>
            </w:pPr>
          </w:p>
        </w:tc>
        <w:tc>
          <w:tcPr>
            <w:tcW w:w="1696" w:type="dxa"/>
          </w:tcPr>
          <w:p w14:paraId="295183E2" w14:textId="093C7CDC" w:rsidR="00D25008" w:rsidRPr="00B86602" w:rsidRDefault="001C4737" w:rsidP="00B86602">
            <w:pPr>
              <w:widowControl w:val="0"/>
              <w:autoSpaceDE w:val="0"/>
              <w:autoSpaceDN w:val="0"/>
              <w:spacing w:before="34" w:line="233" w:lineRule="exact"/>
              <w:ind w:left="103"/>
            </w:pPr>
            <w:r w:rsidRPr="00CF5157">
              <w:t>nedažnas</w:t>
            </w:r>
          </w:p>
        </w:tc>
      </w:tr>
      <w:tr w:rsidR="00D25008" w14:paraId="5FAF7AA5" w14:textId="77777777" w:rsidTr="00B86602">
        <w:trPr>
          <w:trHeight w:val="280"/>
        </w:trPr>
        <w:tc>
          <w:tcPr>
            <w:tcW w:w="1191" w:type="dxa"/>
            <w:gridSpan w:val="2"/>
            <w:vMerge/>
          </w:tcPr>
          <w:p w14:paraId="41460C1F" w14:textId="77777777" w:rsidR="00D25008" w:rsidRPr="00B86602" w:rsidRDefault="00D25008" w:rsidP="00B86602">
            <w:pPr>
              <w:rPr>
                <w:sz w:val="2"/>
              </w:rPr>
            </w:pPr>
          </w:p>
        </w:tc>
        <w:tc>
          <w:tcPr>
            <w:tcW w:w="1695" w:type="dxa"/>
          </w:tcPr>
          <w:p w14:paraId="374BDE79" w14:textId="708EB0A7" w:rsidR="00D25008" w:rsidRPr="00B86602" w:rsidRDefault="00FE2A61" w:rsidP="00B86602">
            <w:pPr>
              <w:widowControl w:val="0"/>
              <w:autoSpaceDE w:val="0"/>
              <w:autoSpaceDN w:val="0"/>
              <w:spacing w:before="31" w:line="239" w:lineRule="exact"/>
              <w:ind w:left="100"/>
            </w:pPr>
            <w:proofErr w:type="spellStart"/>
            <w:r w:rsidRPr="00B86602">
              <w:t>Palpitacijos</w:t>
            </w:r>
            <w:proofErr w:type="spellEnd"/>
          </w:p>
        </w:tc>
        <w:tc>
          <w:tcPr>
            <w:tcW w:w="1696" w:type="dxa"/>
          </w:tcPr>
          <w:p w14:paraId="74A2A04B" w14:textId="77777777" w:rsidR="00D25008" w:rsidRPr="00B86602" w:rsidRDefault="00D25008" w:rsidP="00B86602">
            <w:pPr>
              <w:widowControl w:val="0"/>
              <w:autoSpaceDE w:val="0"/>
              <w:autoSpaceDN w:val="0"/>
            </w:pPr>
          </w:p>
        </w:tc>
        <w:tc>
          <w:tcPr>
            <w:tcW w:w="1696" w:type="dxa"/>
          </w:tcPr>
          <w:p w14:paraId="1DEC635F" w14:textId="77777777" w:rsidR="00D25008" w:rsidRPr="00B86602" w:rsidRDefault="00D25008" w:rsidP="00B86602">
            <w:pPr>
              <w:widowControl w:val="0"/>
              <w:autoSpaceDE w:val="0"/>
              <w:autoSpaceDN w:val="0"/>
              <w:spacing w:before="29" w:line="241" w:lineRule="exact"/>
              <w:ind w:left="102"/>
            </w:pPr>
          </w:p>
        </w:tc>
        <w:tc>
          <w:tcPr>
            <w:tcW w:w="1696" w:type="dxa"/>
          </w:tcPr>
          <w:p w14:paraId="10ACEC63" w14:textId="2D1BE15E" w:rsidR="00D25008" w:rsidRPr="00B86602" w:rsidRDefault="00D25008" w:rsidP="00B86602">
            <w:pPr>
              <w:widowControl w:val="0"/>
              <w:autoSpaceDE w:val="0"/>
              <w:autoSpaceDN w:val="0"/>
            </w:pPr>
          </w:p>
        </w:tc>
        <w:tc>
          <w:tcPr>
            <w:tcW w:w="1696" w:type="dxa"/>
          </w:tcPr>
          <w:p w14:paraId="54F54045" w14:textId="6B6F0727" w:rsidR="00D25008" w:rsidRPr="00B86602" w:rsidRDefault="001C4737" w:rsidP="00B86602">
            <w:pPr>
              <w:widowControl w:val="0"/>
              <w:autoSpaceDE w:val="0"/>
              <w:autoSpaceDN w:val="0"/>
              <w:spacing w:before="34" w:line="233" w:lineRule="exact"/>
              <w:ind w:left="103"/>
            </w:pPr>
            <w:r w:rsidRPr="004A3BBC">
              <w:rPr>
                <w:szCs w:val="22"/>
              </w:rPr>
              <w:t>dažnas</w:t>
            </w:r>
          </w:p>
        </w:tc>
      </w:tr>
      <w:tr w:rsidR="00D25008" w14:paraId="1121D872" w14:textId="77777777" w:rsidTr="00B86602">
        <w:trPr>
          <w:trHeight w:val="280"/>
        </w:trPr>
        <w:tc>
          <w:tcPr>
            <w:tcW w:w="1191" w:type="dxa"/>
            <w:gridSpan w:val="2"/>
            <w:vMerge/>
          </w:tcPr>
          <w:p w14:paraId="6A00F523" w14:textId="21A19FCD" w:rsidR="00D25008" w:rsidRPr="00B86602" w:rsidRDefault="00D25008" w:rsidP="00B86602">
            <w:pPr>
              <w:rPr>
                <w:sz w:val="2"/>
              </w:rPr>
            </w:pPr>
          </w:p>
        </w:tc>
        <w:tc>
          <w:tcPr>
            <w:tcW w:w="1695" w:type="dxa"/>
          </w:tcPr>
          <w:p w14:paraId="41C940D1" w14:textId="507C4E58" w:rsidR="00D25008" w:rsidRPr="00B86602" w:rsidRDefault="001C4737" w:rsidP="00B86602">
            <w:pPr>
              <w:widowControl w:val="0"/>
              <w:autoSpaceDE w:val="0"/>
              <w:autoSpaceDN w:val="0"/>
              <w:spacing w:before="31" w:line="239" w:lineRule="exact"/>
              <w:ind w:left="100"/>
            </w:pPr>
            <w:r w:rsidRPr="00CF5157">
              <w:t>Prieširdžių virpėjimas</w:t>
            </w:r>
          </w:p>
        </w:tc>
        <w:tc>
          <w:tcPr>
            <w:tcW w:w="1696" w:type="dxa"/>
          </w:tcPr>
          <w:p w14:paraId="60C86A7D" w14:textId="4BD65BC3" w:rsidR="00D25008" w:rsidRPr="00B86602" w:rsidRDefault="00D25008" w:rsidP="00B86602">
            <w:pPr>
              <w:widowControl w:val="0"/>
              <w:autoSpaceDE w:val="0"/>
              <w:autoSpaceDN w:val="0"/>
            </w:pPr>
          </w:p>
        </w:tc>
        <w:tc>
          <w:tcPr>
            <w:tcW w:w="1696" w:type="dxa"/>
          </w:tcPr>
          <w:p w14:paraId="03AA3214" w14:textId="798B20DA" w:rsidR="00D25008" w:rsidRPr="00B86602" w:rsidRDefault="00D25008" w:rsidP="00B86602">
            <w:pPr>
              <w:widowControl w:val="0"/>
              <w:autoSpaceDE w:val="0"/>
              <w:autoSpaceDN w:val="0"/>
              <w:spacing w:before="29" w:line="241" w:lineRule="exact"/>
              <w:ind w:left="102"/>
            </w:pPr>
          </w:p>
        </w:tc>
        <w:tc>
          <w:tcPr>
            <w:tcW w:w="1696" w:type="dxa"/>
          </w:tcPr>
          <w:p w14:paraId="334FD5A0" w14:textId="77777777" w:rsidR="00D25008" w:rsidRPr="00B86602" w:rsidRDefault="00D25008" w:rsidP="00B86602">
            <w:pPr>
              <w:widowControl w:val="0"/>
              <w:autoSpaceDE w:val="0"/>
              <w:autoSpaceDN w:val="0"/>
            </w:pPr>
          </w:p>
        </w:tc>
        <w:tc>
          <w:tcPr>
            <w:tcW w:w="1696" w:type="dxa"/>
          </w:tcPr>
          <w:p w14:paraId="18C322FC" w14:textId="4877C3F7" w:rsidR="00D25008" w:rsidRPr="00B86602" w:rsidRDefault="001C4737" w:rsidP="00B86602">
            <w:pPr>
              <w:widowControl w:val="0"/>
              <w:autoSpaceDE w:val="0"/>
              <w:autoSpaceDN w:val="0"/>
              <w:spacing w:before="34" w:line="233" w:lineRule="exact"/>
              <w:ind w:left="103"/>
            </w:pPr>
            <w:r w:rsidRPr="004A3BBC">
              <w:rPr>
                <w:szCs w:val="22"/>
              </w:rPr>
              <w:t>nedažnas</w:t>
            </w:r>
          </w:p>
        </w:tc>
      </w:tr>
      <w:tr w:rsidR="00D25008" w14:paraId="22DCA640" w14:textId="77777777" w:rsidTr="00B86602">
        <w:trPr>
          <w:trHeight w:val="280"/>
        </w:trPr>
        <w:tc>
          <w:tcPr>
            <w:tcW w:w="1191" w:type="dxa"/>
            <w:gridSpan w:val="2"/>
            <w:vMerge/>
          </w:tcPr>
          <w:p w14:paraId="5A79380C" w14:textId="77777777" w:rsidR="00D25008" w:rsidRPr="00B86602" w:rsidRDefault="00D25008" w:rsidP="00B86602">
            <w:pPr>
              <w:rPr>
                <w:sz w:val="2"/>
              </w:rPr>
            </w:pPr>
          </w:p>
        </w:tc>
        <w:tc>
          <w:tcPr>
            <w:tcW w:w="1695" w:type="dxa"/>
          </w:tcPr>
          <w:p w14:paraId="77680BC2" w14:textId="6978434E" w:rsidR="00D25008" w:rsidRPr="00B86602" w:rsidRDefault="00FE2A61" w:rsidP="00B86602">
            <w:pPr>
              <w:widowControl w:val="0"/>
              <w:autoSpaceDE w:val="0"/>
              <w:autoSpaceDN w:val="0"/>
              <w:spacing w:before="31" w:line="239" w:lineRule="exact"/>
              <w:ind w:left="100"/>
            </w:pPr>
            <w:r w:rsidRPr="00B86602">
              <w:t>Miokardo infarktas</w:t>
            </w:r>
          </w:p>
        </w:tc>
        <w:tc>
          <w:tcPr>
            <w:tcW w:w="1696" w:type="dxa"/>
          </w:tcPr>
          <w:p w14:paraId="6D9804CA" w14:textId="77777777" w:rsidR="00D25008" w:rsidRPr="00B86602" w:rsidRDefault="00D25008" w:rsidP="00B86602">
            <w:pPr>
              <w:widowControl w:val="0"/>
              <w:autoSpaceDE w:val="0"/>
              <w:autoSpaceDN w:val="0"/>
            </w:pPr>
          </w:p>
        </w:tc>
        <w:tc>
          <w:tcPr>
            <w:tcW w:w="1696" w:type="dxa"/>
          </w:tcPr>
          <w:p w14:paraId="7BFCA833" w14:textId="77777777" w:rsidR="00D25008" w:rsidRPr="00B86602" w:rsidRDefault="00D25008" w:rsidP="00B86602">
            <w:pPr>
              <w:widowControl w:val="0"/>
              <w:autoSpaceDE w:val="0"/>
              <w:autoSpaceDN w:val="0"/>
              <w:spacing w:before="29" w:line="241" w:lineRule="exact"/>
              <w:ind w:left="102"/>
            </w:pPr>
          </w:p>
        </w:tc>
        <w:tc>
          <w:tcPr>
            <w:tcW w:w="1696" w:type="dxa"/>
          </w:tcPr>
          <w:p w14:paraId="26CD9F3F" w14:textId="45BAE7C5" w:rsidR="00D25008" w:rsidRPr="00B86602" w:rsidRDefault="00D25008" w:rsidP="00B86602">
            <w:pPr>
              <w:widowControl w:val="0"/>
              <w:autoSpaceDE w:val="0"/>
              <w:autoSpaceDN w:val="0"/>
            </w:pPr>
          </w:p>
        </w:tc>
        <w:tc>
          <w:tcPr>
            <w:tcW w:w="1696" w:type="dxa"/>
          </w:tcPr>
          <w:p w14:paraId="3962EAF6" w14:textId="3199F060" w:rsidR="00D25008" w:rsidRPr="00B86602" w:rsidRDefault="001C4737" w:rsidP="00B86602">
            <w:pPr>
              <w:widowControl w:val="0"/>
              <w:autoSpaceDE w:val="0"/>
              <w:autoSpaceDN w:val="0"/>
              <w:spacing w:before="34" w:line="233" w:lineRule="exact"/>
              <w:ind w:left="103"/>
            </w:pPr>
            <w:r w:rsidRPr="004A3BBC">
              <w:rPr>
                <w:szCs w:val="22"/>
              </w:rPr>
              <w:t>labai retas</w:t>
            </w:r>
          </w:p>
        </w:tc>
      </w:tr>
      <w:tr w:rsidR="00D25008" w14:paraId="3C34D435" w14:textId="77777777" w:rsidTr="00B86602">
        <w:trPr>
          <w:trHeight w:val="280"/>
        </w:trPr>
        <w:tc>
          <w:tcPr>
            <w:tcW w:w="1191" w:type="dxa"/>
            <w:gridSpan w:val="2"/>
            <w:vMerge w:val="restart"/>
          </w:tcPr>
          <w:p w14:paraId="05E2B8A6" w14:textId="2E5A41A4" w:rsidR="00D25008" w:rsidRPr="00B86602" w:rsidRDefault="001C4737" w:rsidP="00B86602">
            <w:pPr>
              <w:widowControl w:val="0"/>
              <w:autoSpaceDE w:val="0"/>
              <w:autoSpaceDN w:val="0"/>
              <w:ind w:left="102" w:right="872"/>
              <w:rPr>
                <w:b/>
              </w:rPr>
            </w:pPr>
            <w:r w:rsidRPr="004A3BBC">
              <w:rPr>
                <w:b/>
                <w:szCs w:val="22"/>
              </w:rPr>
              <w:t>Kraujagyslių</w:t>
            </w:r>
            <w:r w:rsidR="00FE2A61" w:rsidRPr="00B86602">
              <w:rPr>
                <w:b/>
              </w:rPr>
              <w:t xml:space="preserve"> sutrikimai</w:t>
            </w:r>
          </w:p>
        </w:tc>
        <w:tc>
          <w:tcPr>
            <w:tcW w:w="1695" w:type="dxa"/>
          </w:tcPr>
          <w:p w14:paraId="65D27226" w14:textId="5794F895" w:rsidR="00D25008" w:rsidRPr="00B86602" w:rsidRDefault="00FE2A61" w:rsidP="00B86602">
            <w:pPr>
              <w:widowControl w:val="0"/>
              <w:autoSpaceDE w:val="0"/>
              <w:autoSpaceDN w:val="0"/>
              <w:spacing w:before="29" w:line="239" w:lineRule="exact"/>
              <w:ind w:left="100"/>
            </w:pPr>
            <w:bookmarkStart w:id="20" w:name="_Hlk188618690"/>
            <w:proofErr w:type="spellStart"/>
            <w:r w:rsidRPr="00B86602">
              <w:t>H</w:t>
            </w:r>
            <w:bookmarkEnd w:id="20"/>
            <w:r w:rsidRPr="00B86602">
              <w:t>ipotenzija</w:t>
            </w:r>
            <w:proofErr w:type="spellEnd"/>
          </w:p>
        </w:tc>
        <w:tc>
          <w:tcPr>
            <w:tcW w:w="1696" w:type="dxa"/>
          </w:tcPr>
          <w:p w14:paraId="5571FE56" w14:textId="684CB10C" w:rsidR="00D25008" w:rsidRPr="00B86602" w:rsidRDefault="001C4737" w:rsidP="00B86602">
            <w:pPr>
              <w:widowControl w:val="0"/>
              <w:autoSpaceDE w:val="0"/>
              <w:autoSpaceDN w:val="0"/>
              <w:spacing w:before="29" w:line="239" w:lineRule="exact"/>
              <w:ind w:left="103"/>
            </w:pPr>
            <w:r w:rsidRPr="00CF5157">
              <w:t>nedažnas</w:t>
            </w:r>
          </w:p>
        </w:tc>
        <w:tc>
          <w:tcPr>
            <w:tcW w:w="1696" w:type="dxa"/>
          </w:tcPr>
          <w:p w14:paraId="1136FD9D" w14:textId="09115B53" w:rsidR="00D25008" w:rsidRPr="00B86602" w:rsidRDefault="001C4737" w:rsidP="00B86602">
            <w:pPr>
              <w:widowControl w:val="0"/>
              <w:autoSpaceDE w:val="0"/>
              <w:autoSpaceDN w:val="0"/>
              <w:spacing w:before="29" w:line="239" w:lineRule="exact"/>
              <w:ind w:left="102"/>
            </w:pPr>
            <w:r w:rsidRPr="00CF5157">
              <w:t>nedažnas</w:t>
            </w:r>
          </w:p>
        </w:tc>
        <w:tc>
          <w:tcPr>
            <w:tcW w:w="1696" w:type="dxa"/>
          </w:tcPr>
          <w:p w14:paraId="05AC37BF" w14:textId="77777777" w:rsidR="00D25008" w:rsidRPr="00B86602" w:rsidRDefault="00D25008" w:rsidP="00B86602">
            <w:pPr>
              <w:widowControl w:val="0"/>
              <w:autoSpaceDE w:val="0"/>
              <w:autoSpaceDN w:val="0"/>
            </w:pPr>
          </w:p>
        </w:tc>
        <w:tc>
          <w:tcPr>
            <w:tcW w:w="1696" w:type="dxa"/>
          </w:tcPr>
          <w:p w14:paraId="3AE34758" w14:textId="79E947E8" w:rsidR="00D25008" w:rsidRPr="00B86602" w:rsidRDefault="001C4737" w:rsidP="00B86602">
            <w:pPr>
              <w:widowControl w:val="0"/>
              <w:autoSpaceDE w:val="0"/>
              <w:autoSpaceDN w:val="0"/>
              <w:spacing w:before="34" w:line="233" w:lineRule="exact"/>
              <w:ind w:left="103"/>
            </w:pPr>
            <w:r w:rsidRPr="004A3BBC">
              <w:rPr>
                <w:szCs w:val="22"/>
              </w:rPr>
              <w:t>nedažnas</w:t>
            </w:r>
          </w:p>
        </w:tc>
      </w:tr>
      <w:tr w:rsidR="00D25008" w14:paraId="4DF41C00" w14:textId="77777777" w:rsidTr="00B86602">
        <w:trPr>
          <w:trHeight w:val="500"/>
        </w:trPr>
        <w:tc>
          <w:tcPr>
            <w:tcW w:w="1191" w:type="dxa"/>
            <w:gridSpan w:val="2"/>
            <w:vMerge/>
          </w:tcPr>
          <w:p w14:paraId="51BDDBE8" w14:textId="0578776F" w:rsidR="00D25008" w:rsidRPr="00B86602" w:rsidRDefault="00D25008" w:rsidP="00B86602">
            <w:pPr>
              <w:rPr>
                <w:sz w:val="2"/>
              </w:rPr>
            </w:pPr>
          </w:p>
        </w:tc>
        <w:tc>
          <w:tcPr>
            <w:tcW w:w="1695" w:type="dxa"/>
          </w:tcPr>
          <w:p w14:paraId="7BAA2746" w14:textId="798AA361" w:rsidR="00D25008" w:rsidRPr="00B86602" w:rsidRDefault="001C4737" w:rsidP="00B86602">
            <w:pPr>
              <w:widowControl w:val="0"/>
              <w:autoSpaceDE w:val="0"/>
              <w:autoSpaceDN w:val="0"/>
              <w:spacing w:line="248" w:lineRule="exact"/>
              <w:ind w:left="100"/>
            </w:pPr>
            <w:proofErr w:type="spellStart"/>
            <w:r w:rsidRPr="004A3BBC">
              <w:rPr>
                <w:szCs w:val="22"/>
              </w:rPr>
              <w:t>Ortostatinė</w:t>
            </w:r>
            <w:proofErr w:type="spellEnd"/>
            <w:r w:rsidRPr="004A3BBC">
              <w:rPr>
                <w:szCs w:val="22"/>
              </w:rPr>
              <w:t xml:space="preserve"> </w:t>
            </w:r>
            <w:proofErr w:type="spellStart"/>
            <w:r w:rsidRPr="004A3BBC">
              <w:rPr>
                <w:szCs w:val="22"/>
              </w:rPr>
              <w:t>hipotenzija</w:t>
            </w:r>
            <w:proofErr w:type="spellEnd"/>
          </w:p>
        </w:tc>
        <w:tc>
          <w:tcPr>
            <w:tcW w:w="1696" w:type="dxa"/>
          </w:tcPr>
          <w:p w14:paraId="49B19A05" w14:textId="20C757B6" w:rsidR="00D25008" w:rsidRPr="00B86602" w:rsidRDefault="001C4737" w:rsidP="00B86602">
            <w:pPr>
              <w:widowControl w:val="0"/>
              <w:autoSpaceDE w:val="0"/>
              <w:autoSpaceDN w:val="0"/>
              <w:spacing w:line="239" w:lineRule="exact"/>
              <w:ind w:left="103"/>
            </w:pPr>
            <w:r w:rsidRPr="00CF5157">
              <w:t>nedažnas</w:t>
            </w:r>
          </w:p>
        </w:tc>
        <w:tc>
          <w:tcPr>
            <w:tcW w:w="1696" w:type="dxa"/>
          </w:tcPr>
          <w:p w14:paraId="3D6E99BE" w14:textId="6EB12BDD" w:rsidR="00D25008" w:rsidRPr="00B86602" w:rsidRDefault="001C4737" w:rsidP="00B86602">
            <w:pPr>
              <w:widowControl w:val="0"/>
              <w:autoSpaceDE w:val="0"/>
              <w:autoSpaceDN w:val="0"/>
              <w:spacing w:line="239" w:lineRule="exact"/>
              <w:ind w:left="102"/>
            </w:pPr>
            <w:r w:rsidRPr="00CF5157">
              <w:t>nedažnas</w:t>
            </w:r>
          </w:p>
        </w:tc>
        <w:tc>
          <w:tcPr>
            <w:tcW w:w="1696" w:type="dxa"/>
          </w:tcPr>
          <w:p w14:paraId="570CE564" w14:textId="389C9A0C" w:rsidR="00D25008" w:rsidRPr="00B86602" w:rsidRDefault="001C4737" w:rsidP="00B86602">
            <w:pPr>
              <w:widowControl w:val="0"/>
              <w:autoSpaceDE w:val="0"/>
              <w:autoSpaceDN w:val="0"/>
              <w:spacing w:line="239" w:lineRule="exact"/>
              <w:ind w:left="102"/>
            </w:pPr>
            <w:r w:rsidRPr="004A3BBC">
              <w:rPr>
                <w:szCs w:val="22"/>
              </w:rPr>
              <w:t>dažnas</w:t>
            </w:r>
          </w:p>
        </w:tc>
        <w:tc>
          <w:tcPr>
            <w:tcW w:w="1696" w:type="dxa"/>
          </w:tcPr>
          <w:p w14:paraId="24C8FF3A" w14:textId="77777777" w:rsidR="00D25008" w:rsidRPr="00B86602" w:rsidRDefault="00D25008" w:rsidP="00B86602">
            <w:pPr>
              <w:widowControl w:val="0"/>
              <w:autoSpaceDE w:val="0"/>
              <w:autoSpaceDN w:val="0"/>
              <w:spacing w:before="34" w:line="233" w:lineRule="exact"/>
              <w:ind w:left="103"/>
            </w:pPr>
          </w:p>
        </w:tc>
      </w:tr>
      <w:tr w:rsidR="00D25008" w14:paraId="4B0067E6" w14:textId="77777777" w:rsidTr="00B86602">
        <w:trPr>
          <w:trHeight w:val="250"/>
        </w:trPr>
        <w:tc>
          <w:tcPr>
            <w:tcW w:w="1191" w:type="dxa"/>
            <w:gridSpan w:val="2"/>
            <w:vMerge/>
          </w:tcPr>
          <w:p w14:paraId="28E3143A" w14:textId="77777777" w:rsidR="00D25008" w:rsidRPr="00B86602" w:rsidRDefault="00D25008" w:rsidP="00B86602">
            <w:pPr>
              <w:rPr>
                <w:sz w:val="2"/>
              </w:rPr>
            </w:pPr>
          </w:p>
        </w:tc>
        <w:tc>
          <w:tcPr>
            <w:tcW w:w="1695" w:type="dxa"/>
          </w:tcPr>
          <w:p w14:paraId="2A8BC1F3" w14:textId="1DECA9A2" w:rsidR="00D25008" w:rsidRPr="00B86602" w:rsidRDefault="00FE2A61" w:rsidP="00B86602">
            <w:pPr>
              <w:widowControl w:val="0"/>
              <w:autoSpaceDE w:val="0"/>
              <w:autoSpaceDN w:val="0"/>
              <w:spacing w:line="248" w:lineRule="exact"/>
              <w:ind w:left="100"/>
            </w:pPr>
            <w:proofErr w:type="spellStart"/>
            <w:r w:rsidRPr="00B86602">
              <w:t>Nekrozuojantis</w:t>
            </w:r>
            <w:proofErr w:type="spellEnd"/>
            <w:r w:rsidRPr="00B86602">
              <w:t xml:space="preserve"> </w:t>
            </w:r>
            <w:proofErr w:type="spellStart"/>
            <w:r w:rsidRPr="00B86602">
              <w:t>vaskulitas</w:t>
            </w:r>
            <w:proofErr w:type="spellEnd"/>
          </w:p>
        </w:tc>
        <w:tc>
          <w:tcPr>
            <w:tcW w:w="1696" w:type="dxa"/>
          </w:tcPr>
          <w:p w14:paraId="4E9C48B0" w14:textId="77777777" w:rsidR="00D25008" w:rsidRPr="00B86602" w:rsidRDefault="00D25008" w:rsidP="00B86602">
            <w:pPr>
              <w:widowControl w:val="0"/>
              <w:autoSpaceDE w:val="0"/>
              <w:autoSpaceDN w:val="0"/>
            </w:pPr>
          </w:p>
        </w:tc>
        <w:tc>
          <w:tcPr>
            <w:tcW w:w="1696" w:type="dxa"/>
          </w:tcPr>
          <w:p w14:paraId="5C9D77BB" w14:textId="1B347881" w:rsidR="00D25008" w:rsidRPr="00B86602" w:rsidRDefault="00D25008" w:rsidP="00B86602">
            <w:pPr>
              <w:widowControl w:val="0"/>
              <w:autoSpaceDE w:val="0"/>
              <w:autoSpaceDN w:val="0"/>
            </w:pPr>
          </w:p>
        </w:tc>
        <w:tc>
          <w:tcPr>
            <w:tcW w:w="1696" w:type="dxa"/>
          </w:tcPr>
          <w:p w14:paraId="20071B13" w14:textId="1089C708" w:rsidR="00D25008" w:rsidRPr="00B86602" w:rsidRDefault="001C4737" w:rsidP="00B86602">
            <w:pPr>
              <w:widowControl w:val="0"/>
              <w:autoSpaceDE w:val="0"/>
              <w:autoSpaceDN w:val="0"/>
              <w:spacing w:line="239" w:lineRule="exact"/>
              <w:ind w:left="102"/>
            </w:pPr>
            <w:r w:rsidRPr="004A3BBC">
              <w:rPr>
                <w:szCs w:val="22"/>
              </w:rPr>
              <w:t>labai retas</w:t>
            </w:r>
          </w:p>
        </w:tc>
        <w:tc>
          <w:tcPr>
            <w:tcW w:w="1696" w:type="dxa"/>
          </w:tcPr>
          <w:p w14:paraId="4BA66F15" w14:textId="77777777" w:rsidR="00D25008" w:rsidRPr="00B86602" w:rsidRDefault="00D25008" w:rsidP="00B86602">
            <w:pPr>
              <w:widowControl w:val="0"/>
              <w:autoSpaceDE w:val="0"/>
              <w:autoSpaceDN w:val="0"/>
              <w:spacing w:before="34" w:line="233" w:lineRule="exact"/>
              <w:ind w:left="103"/>
            </w:pPr>
          </w:p>
        </w:tc>
      </w:tr>
      <w:tr w:rsidR="00D25008" w14:paraId="69ED2954" w14:textId="77777777" w:rsidTr="00B86602">
        <w:trPr>
          <w:trHeight w:val="243"/>
        </w:trPr>
        <w:tc>
          <w:tcPr>
            <w:tcW w:w="1191" w:type="dxa"/>
            <w:gridSpan w:val="2"/>
            <w:vMerge/>
          </w:tcPr>
          <w:p w14:paraId="699EB247" w14:textId="77777777" w:rsidR="00D25008" w:rsidRPr="00B86602" w:rsidRDefault="00D25008" w:rsidP="00B86602">
            <w:pPr>
              <w:rPr>
                <w:sz w:val="2"/>
              </w:rPr>
            </w:pPr>
          </w:p>
        </w:tc>
        <w:tc>
          <w:tcPr>
            <w:tcW w:w="1695" w:type="dxa"/>
          </w:tcPr>
          <w:p w14:paraId="082A31D3" w14:textId="46FFBFBC" w:rsidR="00D25008" w:rsidRPr="00B86602" w:rsidRDefault="00FE2A61" w:rsidP="00B86602">
            <w:pPr>
              <w:widowControl w:val="0"/>
              <w:autoSpaceDE w:val="0"/>
              <w:autoSpaceDN w:val="0"/>
              <w:spacing w:line="248" w:lineRule="exact"/>
              <w:ind w:left="100"/>
            </w:pPr>
            <w:r w:rsidRPr="00B86602">
              <w:t>Paraudimas</w:t>
            </w:r>
          </w:p>
        </w:tc>
        <w:tc>
          <w:tcPr>
            <w:tcW w:w="1696" w:type="dxa"/>
          </w:tcPr>
          <w:p w14:paraId="55C631EF" w14:textId="5C6B6517" w:rsidR="00D25008" w:rsidRPr="00B86602" w:rsidRDefault="00D25008" w:rsidP="00B86602">
            <w:pPr>
              <w:widowControl w:val="0"/>
              <w:autoSpaceDE w:val="0"/>
              <w:autoSpaceDN w:val="0"/>
            </w:pPr>
          </w:p>
        </w:tc>
        <w:tc>
          <w:tcPr>
            <w:tcW w:w="1696" w:type="dxa"/>
          </w:tcPr>
          <w:p w14:paraId="2F768633" w14:textId="1F11FC5F" w:rsidR="00D25008" w:rsidRPr="00B86602" w:rsidRDefault="00D25008" w:rsidP="00B86602">
            <w:pPr>
              <w:widowControl w:val="0"/>
              <w:autoSpaceDE w:val="0"/>
              <w:autoSpaceDN w:val="0"/>
            </w:pPr>
          </w:p>
        </w:tc>
        <w:tc>
          <w:tcPr>
            <w:tcW w:w="1696" w:type="dxa"/>
          </w:tcPr>
          <w:p w14:paraId="71072D56" w14:textId="77777777" w:rsidR="00D25008" w:rsidRPr="00B86602" w:rsidRDefault="00D25008" w:rsidP="00B86602">
            <w:pPr>
              <w:widowControl w:val="0"/>
              <w:autoSpaceDE w:val="0"/>
              <w:autoSpaceDN w:val="0"/>
              <w:spacing w:before="5"/>
            </w:pPr>
          </w:p>
        </w:tc>
        <w:tc>
          <w:tcPr>
            <w:tcW w:w="1696" w:type="dxa"/>
          </w:tcPr>
          <w:p w14:paraId="3B634224" w14:textId="100B9A43" w:rsidR="00D25008" w:rsidRPr="00B86602" w:rsidRDefault="001C4737" w:rsidP="00B86602">
            <w:pPr>
              <w:widowControl w:val="0"/>
              <w:autoSpaceDE w:val="0"/>
              <w:autoSpaceDN w:val="0"/>
              <w:spacing w:before="34" w:line="233" w:lineRule="exact"/>
              <w:ind w:left="103"/>
            </w:pPr>
            <w:r w:rsidRPr="004A3BBC">
              <w:rPr>
                <w:szCs w:val="22"/>
              </w:rPr>
              <w:t>dažnas</w:t>
            </w:r>
          </w:p>
        </w:tc>
      </w:tr>
      <w:tr w:rsidR="00D25008" w14:paraId="49004791" w14:textId="77777777" w:rsidTr="00B86602">
        <w:trPr>
          <w:trHeight w:val="204"/>
        </w:trPr>
        <w:tc>
          <w:tcPr>
            <w:tcW w:w="1191" w:type="dxa"/>
            <w:gridSpan w:val="2"/>
            <w:vMerge/>
          </w:tcPr>
          <w:p w14:paraId="4A577BF1" w14:textId="77777777" w:rsidR="00D25008" w:rsidRPr="00B86602" w:rsidRDefault="00D25008" w:rsidP="00B86602">
            <w:pPr>
              <w:rPr>
                <w:sz w:val="2"/>
              </w:rPr>
            </w:pPr>
          </w:p>
        </w:tc>
        <w:tc>
          <w:tcPr>
            <w:tcW w:w="1695" w:type="dxa"/>
          </w:tcPr>
          <w:p w14:paraId="193AB321" w14:textId="2829B656" w:rsidR="00D25008" w:rsidRPr="00B86602" w:rsidRDefault="00FE2A61" w:rsidP="00B86602">
            <w:pPr>
              <w:widowControl w:val="0"/>
              <w:autoSpaceDE w:val="0"/>
              <w:autoSpaceDN w:val="0"/>
              <w:spacing w:line="248" w:lineRule="exact"/>
              <w:ind w:left="100"/>
            </w:pPr>
            <w:proofErr w:type="spellStart"/>
            <w:r w:rsidRPr="00B86602">
              <w:t>Vaskulitas</w:t>
            </w:r>
            <w:proofErr w:type="spellEnd"/>
          </w:p>
        </w:tc>
        <w:tc>
          <w:tcPr>
            <w:tcW w:w="1696" w:type="dxa"/>
          </w:tcPr>
          <w:p w14:paraId="7BF6C603" w14:textId="77777777" w:rsidR="00D25008" w:rsidRPr="00B86602" w:rsidRDefault="00D25008" w:rsidP="00B86602">
            <w:pPr>
              <w:widowControl w:val="0"/>
              <w:autoSpaceDE w:val="0"/>
              <w:autoSpaceDN w:val="0"/>
            </w:pPr>
          </w:p>
        </w:tc>
        <w:tc>
          <w:tcPr>
            <w:tcW w:w="1696" w:type="dxa"/>
          </w:tcPr>
          <w:p w14:paraId="451756CD" w14:textId="77777777" w:rsidR="00D25008" w:rsidRPr="00B86602" w:rsidRDefault="00D25008" w:rsidP="00B86602">
            <w:pPr>
              <w:widowControl w:val="0"/>
              <w:autoSpaceDE w:val="0"/>
              <w:autoSpaceDN w:val="0"/>
            </w:pPr>
          </w:p>
        </w:tc>
        <w:tc>
          <w:tcPr>
            <w:tcW w:w="1696" w:type="dxa"/>
          </w:tcPr>
          <w:p w14:paraId="2B69DE1A" w14:textId="77777777" w:rsidR="00D25008" w:rsidRPr="00B86602" w:rsidRDefault="00D25008" w:rsidP="00B86602">
            <w:pPr>
              <w:widowControl w:val="0"/>
              <w:autoSpaceDE w:val="0"/>
              <w:autoSpaceDN w:val="0"/>
              <w:spacing w:before="5"/>
            </w:pPr>
          </w:p>
        </w:tc>
        <w:tc>
          <w:tcPr>
            <w:tcW w:w="1696" w:type="dxa"/>
          </w:tcPr>
          <w:p w14:paraId="177A46F1" w14:textId="6344CB58" w:rsidR="00D25008" w:rsidRPr="00B86602" w:rsidRDefault="001C4737" w:rsidP="00B86602">
            <w:pPr>
              <w:widowControl w:val="0"/>
              <w:autoSpaceDE w:val="0"/>
              <w:autoSpaceDN w:val="0"/>
              <w:spacing w:before="34" w:line="233" w:lineRule="exact"/>
              <w:ind w:left="103"/>
            </w:pPr>
            <w:r w:rsidRPr="004A3BBC">
              <w:rPr>
                <w:szCs w:val="22"/>
              </w:rPr>
              <w:t>labai retas</w:t>
            </w:r>
          </w:p>
        </w:tc>
      </w:tr>
      <w:tr w:rsidR="00D25008" w14:paraId="79E38349" w14:textId="77777777" w:rsidTr="00B86602">
        <w:trPr>
          <w:trHeight w:val="280"/>
        </w:trPr>
        <w:tc>
          <w:tcPr>
            <w:tcW w:w="1191" w:type="dxa"/>
            <w:gridSpan w:val="2"/>
            <w:vMerge w:val="restart"/>
          </w:tcPr>
          <w:p w14:paraId="2AC67279" w14:textId="69D9E64E" w:rsidR="00D25008" w:rsidRPr="00B86602" w:rsidRDefault="00FE2A61" w:rsidP="00B86602">
            <w:pPr>
              <w:widowControl w:val="0"/>
              <w:autoSpaceDE w:val="0"/>
              <w:autoSpaceDN w:val="0"/>
              <w:ind w:left="102" w:right="573"/>
              <w:rPr>
                <w:b/>
              </w:rPr>
            </w:pPr>
            <w:r w:rsidRPr="00B86602">
              <w:rPr>
                <w:b/>
              </w:rPr>
              <w:t>Kvėpavimo sistemos, krūtinės ląstos ir tarpuplaučio sutrikimai</w:t>
            </w:r>
          </w:p>
        </w:tc>
        <w:tc>
          <w:tcPr>
            <w:tcW w:w="1695" w:type="dxa"/>
          </w:tcPr>
          <w:p w14:paraId="1A225BE8" w14:textId="6139E175" w:rsidR="00D25008" w:rsidRPr="00B86602" w:rsidRDefault="001C4737" w:rsidP="00B86602">
            <w:pPr>
              <w:widowControl w:val="0"/>
              <w:autoSpaceDE w:val="0"/>
              <w:autoSpaceDN w:val="0"/>
              <w:spacing w:before="31" w:line="239" w:lineRule="exact"/>
              <w:ind w:left="100"/>
            </w:pPr>
            <w:bookmarkStart w:id="21" w:name="_Hlk188618733"/>
            <w:r w:rsidRPr="004A3BBC">
              <w:rPr>
                <w:szCs w:val="22"/>
              </w:rPr>
              <w:t>D</w:t>
            </w:r>
            <w:bookmarkEnd w:id="21"/>
            <w:r w:rsidRPr="004A3BBC">
              <w:rPr>
                <w:szCs w:val="22"/>
              </w:rPr>
              <w:t>usulys</w:t>
            </w:r>
          </w:p>
        </w:tc>
        <w:tc>
          <w:tcPr>
            <w:tcW w:w="1696" w:type="dxa"/>
          </w:tcPr>
          <w:p w14:paraId="332CA5DA" w14:textId="319BABA0" w:rsidR="00D25008" w:rsidRPr="00B86602" w:rsidRDefault="001C4737" w:rsidP="00B86602">
            <w:pPr>
              <w:widowControl w:val="0"/>
              <w:autoSpaceDE w:val="0"/>
              <w:autoSpaceDN w:val="0"/>
              <w:spacing w:before="31" w:line="239" w:lineRule="exact"/>
              <w:ind w:left="103"/>
            </w:pPr>
            <w:r w:rsidRPr="00CF5157">
              <w:t>nedažnas</w:t>
            </w:r>
          </w:p>
        </w:tc>
        <w:tc>
          <w:tcPr>
            <w:tcW w:w="1696" w:type="dxa"/>
          </w:tcPr>
          <w:p w14:paraId="52E37C7A" w14:textId="3C13EC25" w:rsidR="00D25008" w:rsidRPr="00B86602" w:rsidRDefault="001C4737" w:rsidP="00B86602">
            <w:pPr>
              <w:widowControl w:val="0"/>
              <w:autoSpaceDE w:val="0"/>
              <w:autoSpaceDN w:val="0"/>
              <w:spacing w:before="31" w:line="239" w:lineRule="exact"/>
              <w:ind w:left="102"/>
            </w:pPr>
            <w:r w:rsidRPr="00CF5157">
              <w:t>nedažnas</w:t>
            </w:r>
          </w:p>
        </w:tc>
        <w:tc>
          <w:tcPr>
            <w:tcW w:w="1696" w:type="dxa"/>
          </w:tcPr>
          <w:p w14:paraId="7C2B3DD1" w14:textId="048B3454" w:rsidR="00D25008" w:rsidRPr="00B86602" w:rsidRDefault="00D25008" w:rsidP="00B86602">
            <w:pPr>
              <w:widowControl w:val="0"/>
              <w:autoSpaceDE w:val="0"/>
              <w:autoSpaceDN w:val="0"/>
            </w:pPr>
          </w:p>
        </w:tc>
        <w:tc>
          <w:tcPr>
            <w:tcW w:w="1696" w:type="dxa"/>
          </w:tcPr>
          <w:p w14:paraId="21EF718A" w14:textId="63572B2B" w:rsidR="00D25008" w:rsidRPr="00B86602" w:rsidRDefault="001C4737" w:rsidP="00B86602">
            <w:pPr>
              <w:widowControl w:val="0"/>
              <w:autoSpaceDE w:val="0"/>
              <w:autoSpaceDN w:val="0"/>
              <w:spacing w:before="34" w:line="233" w:lineRule="exact"/>
              <w:ind w:left="103"/>
            </w:pPr>
            <w:r w:rsidRPr="004A3BBC">
              <w:rPr>
                <w:szCs w:val="22"/>
              </w:rPr>
              <w:t>dažnas</w:t>
            </w:r>
          </w:p>
        </w:tc>
      </w:tr>
      <w:tr w:rsidR="00D25008" w14:paraId="3EB3C2AF" w14:textId="77777777" w:rsidTr="00B86602">
        <w:trPr>
          <w:trHeight w:val="280"/>
        </w:trPr>
        <w:tc>
          <w:tcPr>
            <w:tcW w:w="1191" w:type="dxa"/>
            <w:gridSpan w:val="2"/>
            <w:vMerge/>
          </w:tcPr>
          <w:p w14:paraId="283084A7" w14:textId="6B63206D" w:rsidR="00D25008" w:rsidRPr="00B86602" w:rsidRDefault="00D25008" w:rsidP="00B86602">
            <w:pPr>
              <w:rPr>
                <w:sz w:val="2"/>
              </w:rPr>
            </w:pPr>
          </w:p>
        </w:tc>
        <w:tc>
          <w:tcPr>
            <w:tcW w:w="1695" w:type="dxa"/>
          </w:tcPr>
          <w:p w14:paraId="685DBB54" w14:textId="54DFF25A" w:rsidR="00D25008" w:rsidRPr="00B86602" w:rsidRDefault="003C50F0" w:rsidP="00B86602">
            <w:pPr>
              <w:widowControl w:val="0"/>
              <w:autoSpaceDE w:val="0"/>
              <w:autoSpaceDN w:val="0"/>
              <w:spacing w:before="29" w:line="241" w:lineRule="exact"/>
              <w:ind w:left="100"/>
            </w:pPr>
            <w:r>
              <w:rPr>
                <w:szCs w:val="22"/>
              </w:rPr>
              <w:t>K</w:t>
            </w:r>
            <w:r w:rsidR="001C4737" w:rsidRPr="004A3BBC">
              <w:rPr>
                <w:szCs w:val="22"/>
              </w:rPr>
              <w:t xml:space="preserve">vėpavimo </w:t>
            </w:r>
            <w:proofErr w:type="spellStart"/>
            <w:r w:rsidR="001C4737" w:rsidRPr="004A3BBC">
              <w:rPr>
                <w:szCs w:val="22"/>
              </w:rPr>
              <w:t>distreso</w:t>
            </w:r>
            <w:proofErr w:type="spellEnd"/>
            <w:r w:rsidR="001C4737" w:rsidRPr="004A3BBC">
              <w:rPr>
                <w:szCs w:val="22"/>
              </w:rPr>
              <w:t xml:space="preserve"> būklė</w:t>
            </w:r>
          </w:p>
        </w:tc>
        <w:tc>
          <w:tcPr>
            <w:tcW w:w="1696" w:type="dxa"/>
          </w:tcPr>
          <w:p w14:paraId="6EE87C59" w14:textId="41D66FF9" w:rsidR="00D25008" w:rsidRPr="00B86602" w:rsidRDefault="001C4737" w:rsidP="00B86602">
            <w:pPr>
              <w:widowControl w:val="0"/>
              <w:autoSpaceDE w:val="0"/>
              <w:autoSpaceDN w:val="0"/>
              <w:spacing w:before="29" w:line="241" w:lineRule="exact"/>
              <w:ind w:left="103"/>
            </w:pPr>
            <w:r w:rsidRPr="004A3BBC">
              <w:rPr>
                <w:szCs w:val="22"/>
              </w:rPr>
              <w:t>retas</w:t>
            </w:r>
          </w:p>
        </w:tc>
        <w:tc>
          <w:tcPr>
            <w:tcW w:w="1696" w:type="dxa"/>
          </w:tcPr>
          <w:p w14:paraId="67F765AE" w14:textId="2E61512B" w:rsidR="00D25008" w:rsidRPr="00B86602" w:rsidRDefault="00D25008" w:rsidP="00B86602">
            <w:pPr>
              <w:widowControl w:val="0"/>
              <w:autoSpaceDE w:val="0"/>
              <w:autoSpaceDN w:val="0"/>
            </w:pPr>
          </w:p>
        </w:tc>
        <w:tc>
          <w:tcPr>
            <w:tcW w:w="1696" w:type="dxa"/>
          </w:tcPr>
          <w:p w14:paraId="1904AE16" w14:textId="5A927CC5" w:rsidR="00D25008" w:rsidRPr="00B86602" w:rsidRDefault="001C4737" w:rsidP="00B86602">
            <w:pPr>
              <w:widowControl w:val="0"/>
              <w:autoSpaceDE w:val="0"/>
              <w:autoSpaceDN w:val="0"/>
              <w:spacing w:before="29" w:line="241" w:lineRule="exact"/>
              <w:ind w:left="102"/>
            </w:pPr>
            <w:r w:rsidRPr="004A3BBC">
              <w:rPr>
                <w:szCs w:val="22"/>
              </w:rPr>
              <w:t>labai retas</w:t>
            </w:r>
          </w:p>
        </w:tc>
        <w:tc>
          <w:tcPr>
            <w:tcW w:w="1696" w:type="dxa"/>
          </w:tcPr>
          <w:p w14:paraId="63974EB8" w14:textId="6673BCBB" w:rsidR="00D25008" w:rsidRPr="00B86602" w:rsidRDefault="00D25008" w:rsidP="00B86602">
            <w:pPr>
              <w:widowControl w:val="0"/>
              <w:autoSpaceDE w:val="0"/>
              <w:autoSpaceDN w:val="0"/>
              <w:spacing w:before="34" w:line="233" w:lineRule="exact"/>
              <w:ind w:left="103"/>
            </w:pPr>
          </w:p>
        </w:tc>
      </w:tr>
      <w:tr w:rsidR="00D25008" w14:paraId="564326C3" w14:textId="77777777" w:rsidTr="00B86602">
        <w:trPr>
          <w:trHeight w:val="280"/>
        </w:trPr>
        <w:tc>
          <w:tcPr>
            <w:tcW w:w="1191" w:type="dxa"/>
            <w:gridSpan w:val="2"/>
            <w:vMerge/>
          </w:tcPr>
          <w:p w14:paraId="11408540" w14:textId="77777777" w:rsidR="00D25008" w:rsidRPr="00B86602" w:rsidRDefault="00D25008" w:rsidP="00B86602">
            <w:pPr>
              <w:rPr>
                <w:sz w:val="2"/>
              </w:rPr>
            </w:pPr>
          </w:p>
        </w:tc>
        <w:tc>
          <w:tcPr>
            <w:tcW w:w="1695" w:type="dxa"/>
          </w:tcPr>
          <w:p w14:paraId="73449B46" w14:textId="011C312C" w:rsidR="00D25008" w:rsidRPr="00B86602" w:rsidRDefault="001C4737" w:rsidP="00B86602">
            <w:pPr>
              <w:widowControl w:val="0"/>
              <w:autoSpaceDE w:val="0"/>
              <w:autoSpaceDN w:val="0"/>
              <w:spacing w:before="29" w:line="239" w:lineRule="exact"/>
              <w:ind w:left="100"/>
            </w:pPr>
            <w:bookmarkStart w:id="22" w:name="_Hlk188618745"/>
            <w:proofErr w:type="spellStart"/>
            <w:r w:rsidRPr="004A3BBC">
              <w:rPr>
                <w:szCs w:val="22"/>
              </w:rPr>
              <w:t>Pneumonit</w:t>
            </w:r>
            <w:bookmarkEnd w:id="22"/>
            <w:r w:rsidRPr="004A3BBC">
              <w:rPr>
                <w:szCs w:val="22"/>
              </w:rPr>
              <w:t>as</w:t>
            </w:r>
            <w:proofErr w:type="spellEnd"/>
          </w:p>
        </w:tc>
        <w:tc>
          <w:tcPr>
            <w:tcW w:w="1696" w:type="dxa"/>
          </w:tcPr>
          <w:p w14:paraId="2A05C105" w14:textId="3197134B" w:rsidR="00D25008" w:rsidRPr="00B86602" w:rsidRDefault="001C4737" w:rsidP="00B86602">
            <w:pPr>
              <w:widowControl w:val="0"/>
              <w:autoSpaceDE w:val="0"/>
              <w:autoSpaceDN w:val="0"/>
              <w:spacing w:before="29" w:line="239" w:lineRule="exact"/>
              <w:ind w:left="103"/>
            </w:pPr>
            <w:r w:rsidRPr="004A3BBC">
              <w:rPr>
                <w:szCs w:val="22"/>
              </w:rPr>
              <w:t>retas</w:t>
            </w:r>
          </w:p>
        </w:tc>
        <w:tc>
          <w:tcPr>
            <w:tcW w:w="1696" w:type="dxa"/>
          </w:tcPr>
          <w:p w14:paraId="39CAA892" w14:textId="77777777" w:rsidR="00D25008" w:rsidRPr="00B86602" w:rsidRDefault="00D25008" w:rsidP="00B86602">
            <w:pPr>
              <w:widowControl w:val="0"/>
              <w:autoSpaceDE w:val="0"/>
              <w:autoSpaceDN w:val="0"/>
            </w:pPr>
          </w:p>
        </w:tc>
        <w:tc>
          <w:tcPr>
            <w:tcW w:w="1696" w:type="dxa"/>
          </w:tcPr>
          <w:p w14:paraId="2EB1B505" w14:textId="4B7ADCAA" w:rsidR="00D25008" w:rsidRPr="00B86602" w:rsidRDefault="001C4737" w:rsidP="00B86602">
            <w:pPr>
              <w:widowControl w:val="0"/>
              <w:autoSpaceDE w:val="0"/>
              <w:autoSpaceDN w:val="0"/>
              <w:spacing w:before="29" w:line="239" w:lineRule="exact"/>
              <w:ind w:left="102"/>
            </w:pPr>
            <w:r w:rsidRPr="004A3BBC">
              <w:rPr>
                <w:szCs w:val="22"/>
              </w:rPr>
              <w:t>labai retas</w:t>
            </w:r>
          </w:p>
        </w:tc>
        <w:tc>
          <w:tcPr>
            <w:tcW w:w="1696" w:type="dxa"/>
          </w:tcPr>
          <w:p w14:paraId="727A3B55" w14:textId="0BCBE178" w:rsidR="00D25008" w:rsidRPr="00B86602" w:rsidRDefault="00D25008" w:rsidP="00B86602">
            <w:pPr>
              <w:widowControl w:val="0"/>
              <w:autoSpaceDE w:val="0"/>
              <w:autoSpaceDN w:val="0"/>
              <w:spacing w:before="34" w:line="233" w:lineRule="exact"/>
              <w:ind w:left="103"/>
            </w:pPr>
          </w:p>
        </w:tc>
      </w:tr>
      <w:tr w:rsidR="00D25008" w14:paraId="3E345097" w14:textId="77777777" w:rsidTr="00B86602">
        <w:trPr>
          <w:trHeight w:val="194"/>
        </w:trPr>
        <w:tc>
          <w:tcPr>
            <w:tcW w:w="1191" w:type="dxa"/>
            <w:gridSpan w:val="2"/>
            <w:vMerge/>
          </w:tcPr>
          <w:p w14:paraId="6932DC7B" w14:textId="77777777" w:rsidR="00D25008" w:rsidRPr="00B86602" w:rsidRDefault="00D25008" w:rsidP="00B86602">
            <w:pPr>
              <w:rPr>
                <w:sz w:val="2"/>
              </w:rPr>
            </w:pPr>
          </w:p>
        </w:tc>
        <w:tc>
          <w:tcPr>
            <w:tcW w:w="1695" w:type="dxa"/>
          </w:tcPr>
          <w:p w14:paraId="5F414C20" w14:textId="27956092" w:rsidR="00D25008" w:rsidRPr="00B86602" w:rsidRDefault="001C4737" w:rsidP="00B86602">
            <w:pPr>
              <w:widowControl w:val="0"/>
              <w:autoSpaceDE w:val="0"/>
              <w:autoSpaceDN w:val="0"/>
              <w:spacing w:line="246" w:lineRule="exact"/>
              <w:ind w:left="100"/>
            </w:pPr>
            <w:r w:rsidRPr="004A3BBC">
              <w:rPr>
                <w:szCs w:val="22"/>
              </w:rPr>
              <w:t>Plau</w:t>
            </w:r>
            <w:r w:rsidRPr="00CF5157">
              <w:rPr>
                <w:szCs w:val="22"/>
              </w:rPr>
              <w:t>čių edema</w:t>
            </w:r>
          </w:p>
        </w:tc>
        <w:tc>
          <w:tcPr>
            <w:tcW w:w="1696" w:type="dxa"/>
          </w:tcPr>
          <w:p w14:paraId="6712419D" w14:textId="45D9F005" w:rsidR="00D25008" w:rsidRPr="00B86602" w:rsidRDefault="001C4737" w:rsidP="00B86602">
            <w:pPr>
              <w:widowControl w:val="0"/>
              <w:autoSpaceDE w:val="0"/>
              <w:autoSpaceDN w:val="0"/>
              <w:spacing w:line="239" w:lineRule="exact"/>
              <w:ind w:left="103"/>
            </w:pPr>
            <w:r w:rsidRPr="004A3BBC">
              <w:rPr>
                <w:szCs w:val="22"/>
              </w:rPr>
              <w:t>retas</w:t>
            </w:r>
          </w:p>
        </w:tc>
        <w:tc>
          <w:tcPr>
            <w:tcW w:w="1696" w:type="dxa"/>
          </w:tcPr>
          <w:p w14:paraId="426C03A5" w14:textId="77777777" w:rsidR="00D25008" w:rsidRPr="00B86602" w:rsidRDefault="00D25008" w:rsidP="00B86602">
            <w:pPr>
              <w:widowControl w:val="0"/>
              <w:autoSpaceDE w:val="0"/>
              <w:autoSpaceDN w:val="0"/>
            </w:pPr>
          </w:p>
        </w:tc>
        <w:tc>
          <w:tcPr>
            <w:tcW w:w="1696" w:type="dxa"/>
          </w:tcPr>
          <w:p w14:paraId="44D4A217" w14:textId="28A68410" w:rsidR="00D25008" w:rsidRPr="00B86602" w:rsidRDefault="001C4737" w:rsidP="00B86602">
            <w:pPr>
              <w:widowControl w:val="0"/>
              <w:autoSpaceDE w:val="0"/>
              <w:autoSpaceDN w:val="0"/>
              <w:spacing w:line="239" w:lineRule="exact"/>
              <w:ind w:left="102"/>
            </w:pPr>
            <w:r w:rsidRPr="004A3BBC">
              <w:rPr>
                <w:szCs w:val="22"/>
              </w:rPr>
              <w:t>labai retas</w:t>
            </w:r>
          </w:p>
        </w:tc>
        <w:tc>
          <w:tcPr>
            <w:tcW w:w="1696" w:type="dxa"/>
          </w:tcPr>
          <w:p w14:paraId="2C5B1B55" w14:textId="77777777" w:rsidR="00D25008" w:rsidRPr="00B86602" w:rsidRDefault="00D25008" w:rsidP="00B86602">
            <w:pPr>
              <w:widowControl w:val="0"/>
              <w:autoSpaceDE w:val="0"/>
              <w:autoSpaceDN w:val="0"/>
              <w:spacing w:before="34" w:line="233" w:lineRule="exact"/>
              <w:ind w:left="103"/>
            </w:pPr>
          </w:p>
        </w:tc>
      </w:tr>
      <w:tr w:rsidR="00DC4BB2" w:rsidRPr="00CF5157" w14:paraId="0112D96B" w14:textId="77777777" w:rsidTr="00D77DC4">
        <w:trPr>
          <w:trHeight w:val="280"/>
        </w:trPr>
        <w:tc>
          <w:tcPr>
            <w:tcW w:w="1191" w:type="dxa"/>
            <w:gridSpan w:val="2"/>
            <w:vMerge/>
          </w:tcPr>
          <w:p w14:paraId="41312E2E" w14:textId="77777777" w:rsidR="00DC4BB2" w:rsidRPr="004A3BBC" w:rsidRDefault="00DC4BB2">
            <w:pPr>
              <w:rPr>
                <w:sz w:val="2"/>
                <w:szCs w:val="2"/>
                <w:lang w:eastAsia="sl-SI"/>
              </w:rPr>
            </w:pPr>
          </w:p>
        </w:tc>
        <w:tc>
          <w:tcPr>
            <w:tcW w:w="1695" w:type="dxa"/>
          </w:tcPr>
          <w:p w14:paraId="16C568A4" w14:textId="77777777" w:rsidR="00DC4BB2" w:rsidRPr="004A3BBC" w:rsidRDefault="001C4737">
            <w:pPr>
              <w:widowControl w:val="0"/>
              <w:autoSpaceDE w:val="0"/>
              <w:autoSpaceDN w:val="0"/>
              <w:spacing w:before="29" w:line="241" w:lineRule="exact"/>
              <w:ind w:left="100"/>
              <w:rPr>
                <w:szCs w:val="22"/>
              </w:rPr>
            </w:pPr>
            <w:r w:rsidRPr="004A3BBC">
              <w:rPr>
                <w:szCs w:val="22"/>
              </w:rPr>
              <w:t>Kosulys</w:t>
            </w:r>
          </w:p>
        </w:tc>
        <w:tc>
          <w:tcPr>
            <w:tcW w:w="1696" w:type="dxa"/>
          </w:tcPr>
          <w:p w14:paraId="2E4C0B75" w14:textId="77777777" w:rsidR="00DC4BB2" w:rsidRPr="004A3BBC" w:rsidRDefault="00DC4BB2">
            <w:pPr>
              <w:widowControl w:val="0"/>
              <w:autoSpaceDE w:val="0"/>
              <w:autoSpaceDN w:val="0"/>
              <w:rPr>
                <w:szCs w:val="22"/>
              </w:rPr>
            </w:pPr>
          </w:p>
        </w:tc>
        <w:tc>
          <w:tcPr>
            <w:tcW w:w="1696" w:type="dxa"/>
          </w:tcPr>
          <w:p w14:paraId="366063F7" w14:textId="77777777" w:rsidR="00DC4BB2" w:rsidRPr="004A3BBC" w:rsidRDefault="001C4737">
            <w:pPr>
              <w:widowControl w:val="0"/>
              <w:autoSpaceDE w:val="0"/>
              <w:autoSpaceDN w:val="0"/>
              <w:spacing w:before="29" w:line="241" w:lineRule="exact"/>
              <w:ind w:left="102"/>
              <w:rPr>
                <w:szCs w:val="22"/>
              </w:rPr>
            </w:pPr>
            <w:r w:rsidRPr="00CF5157">
              <w:t>nedažnas</w:t>
            </w:r>
          </w:p>
        </w:tc>
        <w:tc>
          <w:tcPr>
            <w:tcW w:w="1696" w:type="dxa"/>
          </w:tcPr>
          <w:p w14:paraId="2AE7DA1E" w14:textId="77777777" w:rsidR="00DC4BB2" w:rsidRPr="004A3BBC" w:rsidRDefault="001C4737">
            <w:pPr>
              <w:widowControl w:val="0"/>
              <w:autoSpaceDE w:val="0"/>
              <w:autoSpaceDN w:val="0"/>
              <w:rPr>
                <w:szCs w:val="22"/>
              </w:rPr>
            </w:pPr>
            <w:r w:rsidRPr="00CF5157">
              <w:t>nedažnas</w:t>
            </w:r>
          </w:p>
        </w:tc>
        <w:tc>
          <w:tcPr>
            <w:tcW w:w="1696" w:type="dxa"/>
          </w:tcPr>
          <w:p w14:paraId="1BA76D25" w14:textId="77777777" w:rsidR="00DC4BB2" w:rsidRPr="004A3BBC" w:rsidRDefault="001C4737">
            <w:pPr>
              <w:widowControl w:val="0"/>
              <w:autoSpaceDE w:val="0"/>
              <w:autoSpaceDN w:val="0"/>
              <w:spacing w:before="34" w:line="233" w:lineRule="exact"/>
              <w:ind w:left="103"/>
              <w:rPr>
                <w:szCs w:val="22"/>
              </w:rPr>
            </w:pPr>
            <w:r w:rsidRPr="00CF5157">
              <w:t>nedažnas</w:t>
            </w:r>
          </w:p>
        </w:tc>
      </w:tr>
      <w:tr w:rsidR="00DC4BB2" w:rsidRPr="00CF5157" w14:paraId="2CF7A29A" w14:textId="77777777" w:rsidTr="00D77DC4">
        <w:trPr>
          <w:trHeight w:val="500"/>
        </w:trPr>
        <w:tc>
          <w:tcPr>
            <w:tcW w:w="1191" w:type="dxa"/>
            <w:gridSpan w:val="2"/>
            <w:vMerge/>
          </w:tcPr>
          <w:p w14:paraId="4B2BA175" w14:textId="77777777" w:rsidR="00DC4BB2" w:rsidRPr="004A3BBC" w:rsidRDefault="00DC4BB2">
            <w:pPr>
              <w:rPr>
                <w:sz w:val="2"/>
                <w:szCs w:val="2"/>
                <w:lang w:eastAsia="sl-SI"/>
              </w:rPr>
            </w:pPr>
          </w:p>
        </w:tc>
        <w:tc>
          <w:tcPr>
            <w:tcW w:w="1695" w:type="dxa"/>
          </w:tcPr>
          <w:p w14:paraId="63DDD933" w14:textId="77777777" w:rsidR="00DC4BB2" w:rsidRPr="004A3BBC" w:rsidRDefault="001C4737">
            <w:pPr>
              <w:widowControl w:val="0"/>
              <w:autoSpaceDE w:val="0"/>
              <w:autoSpaceDN w:val="0"/>
              <w:spacing w:line="245" w:lineRule="exact"/>
              <w:ind w:left="100"/>
              <w:rPr>
                <w:szCs w:val="22"/>
              </w:rPr>
            </w:pPr>
            <w:proofErr w:type="spellStart"/>
            <w:r w:rsidRPr="004A3BBC">
              <w:rPr>
                <w:szCs w:val="22"/>
              </w:rPr>
              <w:t>Intersticinė</w:t>
            </w:r>
            <w:proofErr w:type="spellEnd"/>
            <w:r w:rsidRPr="004A3BBC">
              <w:rPr>
                <w:szCs w:val="22"/>
              </w:rPr>
              <w:t xml:space="preserve"> plaučių liga</w:t>
            </w:r>
          </w:p>
        </w:tc>
        <w:tc>
          <w:tcPr>
            <w:tcW w:w="1696" w:type="dxa"/>
          </w:tcPr>
          <w:p w14:paraId="50E25AB5" w14:textId="77777777" w:rsidR="00DC4BB2" w:rsidRPr="004A3BBC" w:rsidRDefault="00DC4BB2">
            <w:pPr>
              <w:widowControl w:val="0"/>
              <w:autoSpaceDE w:val="0"/>
              <w:autoSpaceDN w:val="0"/>
              <w:rPr>
                <w:szCs w:val="22"/>
              </w:rPr>
            </w:pPr>
          </w:p>
        </w:tc>
        <w:tc>
          <w:tcPr>
            <w:tcW w:w="1696" w:type="dxa"/>
          </w:tcPr>
          <w:p w14:paraId="16BEC226" w14:textId="77777777" w:rsidR="00DC4BB2" w:rsidRPr="004A3BBC" w:rsidRDefault="001C4737">
            <w:pPr>
              <w:widowControl w:val="0"/>
              <w:autoSpaceDE w:val="0"/>
              <w:autoSpaceDN w:val="0"/>
              <w:spacing w:line="247" w:lineRule="exact"/>
              <w:ind w:left="102"/>
              <w:rPr>
                <w:szCs w:val="22"/>
              </w:rPr>
            </w:pPr>
            <w:r w:rsidRPr="004A3BBC">
              <w:rPr>
                <w:szCs w:val="22"/>
              </w:rPr>
              <w:t>labai retas</w:t>
            </w:r>
            <w:r w:rsidRPr="004A3BBC">
              <w:rPr>
                <w:szCs w:val="22"/>
                <w:vertAlign w:val="superscript"/>
              </w:rPr>
              <w:t>1,2</w:t>
            </w:r>
          </w:p>
        </w:tc>
        <w:tc>
          <w:tcPr>
            <w:tcW w:w="1696" w:type="dxa"/>
          </w:tcPr>
          <w:p w14:paraId="2F2AF0F7" w14:textId="77777777" w:rsidR="00DC4BB2" w:rsidRPr="004A3BBC" w:rsidRDefault="00DC4BB2">
            <w:pPr>
              <w:widowControl w:val="0"/>
              <w:autoSpaceDE w:val="0"/>
              <w:autoSpaceDN w:val="0"/>
              <w:rPr>
                <w:szCs w:val="22"/>
              </w:rPr>
            </w:pPr>
          </w:p>
        </w:tc>
        <w:tc>
          <w:tcPr>
            <w:tcW w:w="1696" w:type="dxa"/>
          </w:tcPr>
          <w:p w14:paraId="1D6B004F" w14:textId="77777777" w:rsidR="00DC4BB2" w:rsidRPr="004A3BBC" w:rsidRDefault="00DC4BB2">
            <w:pPr>
              <w:widowControl w:val="0"/>
              <w:autoSpaceDE w:val="0"/>
              <w:autoSpaceDN w:val="0"/>
              <w:spacing w:before="34" w:line="233" w:lineRule="exact"/>
              <w:ind w:left="103"/>
              <w:rPr>
                <w:szCs w:val="22"/>
              </w:rPr>
            </w:pPr>
          </w:p>
        </w:tc>
      </w:tr>
      <w:tr w:rsidR="00DC4BB2" w:rsidRPr="00CF5157" w14:paraId="4F589B07" w14:textId="77777777" w:rsidTr="00D77DC4">
        <w:trPr>
          <w:trHeight w:val="1000"/>
        </w:trPr>
        <w:tc>
          <w:tcPr>
            <w:tcW w:w="1191" w:type="dxa"/>
            <w:gridSpan w:val="2"/>
            <w:vMerge/>
          </w:tcPr>
          <w:p w14:paraId="3325C7DC" w14:textId="77777777" w:rsidR="00DC4BB2" w:rsidRPr="004A3BBC" w:rsidRDefault="00DC4BB2">
            <w:pPr>
              <w:rPr>
                <w:sz w:val="2"/>
                <w:szCs w:val="2"/>
                <w:lang w:eastAsia="sl-SI"/>
              </w:rPr>
            </w:pPr>
          </w:p>
        </w:tc>
        <w:tc>
          <w:tcPr>
            <w:tcW w:w="1695" w:type="dxa"/>
          </w:tcPr>
          <w:p w14:paraId="4B711B90" w14:textId="77777777" w:rsidR="00DC4BB2" w:rsidRPr="00CF5157" w:rsidRDefault="001C4737" w:rsidP="004A3BBC">
            <w:pPr>
              <w:widowControl w:val="0"/>
              <w:autoSpaceDE w:val="0"/>
              <w:autoSpaceDN w:val="0"/>
              <w:ind w:left="100" w:right="356"/>
              <w:jc w:val="both"/>
            </w:pPr>
            <w:r w:rsidRPr="00CF5157">
              <w:rPr>
                <w:szCs w:val="22"/>
              </w:rPr>
              <w:t xml:space="preserve">Ūminis respiracinis </w:t>
            </w:r>
            <w:proofErr w:type="spellStart"/>
            <w:r w:rsidRPr="00CF5157">
              <w:rPr>
                <w:szCs w:val="22"/>
              </w:rPr>
              <w:t>distreso</w:t>
            </w:r>
            <w:proofErr w:type="spellEnd"/>
            <w:r w:rsidRPr="00CF5157">
              <w:rPr>
                <w:szCs w:val="22"/>
              </w:rPr>
              <w:t xml:space="preserve"> sindromas (ŪRDS) (žr. 4.4 skyrių)</w:t>
            </w:r>
          </w:p>
        </w:tc>
        <w:tc>
          <w:tcPr>
            <w:tcW w:w="1696" w:type="dxa"/>
          </w:tcPr>
          <w:p w14:paraId="4D3B3895" w14:textId="77777777" w:rsidR="00DC4BB2" w:rsidRPr="004A3BBC" w:rsidRDefault="00DC4BB2">
            <w:pPr>
              <w:widowControl w:val="0"/>
              <w:autoSpaceDE w:val="0"/>
              <w:autoSpaceDN w:val="0"/>
              <w:rPr>
                <w:szCs w:val="22"/>
              </w:rPr>
            </w:pPr>
          </w:p>
        </w:tc>
        <w:tc>
          <w:tcPr>
            <w:tcW w:w="1696" w:type="dxa"/>
          </w:tcPr>
          <w:p w14:paraId="73F67ABA" w14:textId="77777777" w:rsidR="00DC4BB2" w:rsidRPr="004A3BBC" w:rsidRDefault="00DC4BB2">
            <w:pPr>
              <w:widowControl w:val="0"/>
              <w:autoSpaceDE w:val="0"/>
              <w:autoSpaceDN w:val="0"/>
              <w:rPr>
                <w:szCs w:val="22"/>
              </w:rPr>
            </w:pPr>
          </w:p>
        </w:tc>
        <w:tc>
          <w:tcPr>
            <w:tcW w:w="1696" w:type="dxa"/>
          </w:tcPr>
          <w:p w14:paraId="51CF202A" w14:textId="77777777" w:rsidR="00DC4BB2" w:rsidRPr="004A3BBC" w:rsidRDefault="001C4737">
            <w:pPr>
              <w:widowControl w:val="0"/>
              <w:autoSpaceDE w:val="0"/>
              <w:autoSpaceDN w:val="0"/>
              <w:spacing w:before="199" w:line="241" w:lineRule="exact"/>
              <w:ind w:left="102"/>
              <w:rPr>
                <w:szCs w:val="22"/>
              </w:rPr>
            </w:pPr>
            <w:r w:rsidRPr="004A3BBC">
              <w:rPr>
                <w:szCs w:val="22"/>
              </w:rPr>
              <w:t>labai retas</w:t>
            </w:r>
          </w:p>
        </w:tc>
        <w:tc>
          <w:tcPr>
            <w:tcW w:w="1696" w:type="dxa"/>
          </w:tcPr>
          <w:p w14:paraId="1211C8FF" w14:textId="77777777" w:rsidR="00DC4BB2" w:rsidRPr="004A3BBC" w:rsidRDefault="00DC4BB2">
            <w:pPr>
              <w:widowControl w:val="0"/>
              <w:autoSpaceDE w:val="0"/>
              <w:autoSpaceDN w:val="0"/>
              <w:spacing w:before="34" w:line="233" w:lineRule="exact"/>
              <w:ind w:left="103"/>
              <w:rPr>
                <w:szCs w:val="22"/>
              </w:rPr>
            </w:pPr>
          </w:p>
        </w:tc>
      </w:tr>
      <w:tr w:rsidR="00DC4BB2" w:rsidRPr="00CF5157" w14:paraId="49147EA2" w14:textId="77777777" w:rsidTr="00D77DC4">
        <w:trPr>
          <w:trHeight w:val="274"/>
        </w:trPr>
        <w:tc>
          <w:tcPr>
            <w:tcW w:w="1191" w:type="dxa"/>
            <w:gridSpan w:val="2"/>
            <w:vMerge/>
          </w:tcPr>
          <w:p w14:paraId="154044D2" w14:textId="77777777" w:rsidR="00DC4BB2" w:rsidRPr="004A3BBC" w:rsidRDefault="00DC4BB2">
            <w:pPr>
              <w:rPr>
                <w:sz w:val="2"/>
                <w:szCs w:val="2"/>
                <w:lang w:eastAsia="sl-SI"/>
              </w:rPr>
            </w:pPr>
          </w:p>
        </w:tc>
        <w:tc>
          <w:tcPr>
            <w:tcW w:w="1695" w:type="dxa"/>
          </w:tcPr>
          <w:p w14:paraId="5D9CE7A1" w14:textId="77777777" w:rsidR="00DC4BB2" w:rsidRPr="004A3BBC" w:rsidRDefault="001C4737">
            <w:pPr>
              <w:widowControl w:val="0"/>
              <w:autoSpaceDE w:val="0"/>
              <w:autoSpaceDN w:val="0"/>
              <w:ind w:left="100" w:right="356"/>
              <w:jc w:val="both"/>
              <w:rPr>
                <w:szCs w:val="22"/>
              </w:rPr>
            </w:pPr>
            <w:bookmarkStart w:id="23" w:name="_Hlk188618798"/>
            <w:r w:rsidRPr="004A3BBC">
              <w:rPr>
                <w:szCs w:val="22"/>
              </w:rPr>
              <w:t>R</w:t>
            </w:r>
            <w:bookmarkEnd w:id="23"/>
            <w:r w:rsidRPr="004A3BBC">
              <w:rPr>
                <w:szCs w:val="22"/>
              </w:rPr>
              <w:t>initas</w:t>
            </w:r>
          </w:p>
        </w:tc>
        <w:tc>
          <w:tcPr>
            <w:tcW w:w="1696" w:type="dxa"/>
          </w:tcPr>
          <w:p w14:paraId="676F064B" w14:textId="77777777" w:rsidR="00DC4BB2" w:rsidRPr="004A3BBC" w:rsidRDefault="00DC4BB2">
            <w:pPr>
              <w:widowControl w:val="0"/>
              <w:autoSpaceDE w:val="0"/>
              <w:autoSpaceDN w:val="0"/>
              <w:rPr>
                <w:szCs w:val="22"/>
              </w:rPr>
            </w:pPr>
          </w:p>
        </w:tc>
        <w:tc>
          <w:tcPr>
            <w:tcW w:w="1696" w:type="dxa"/>
          </w:tcPr>
          <w:p w14:paraId="29516049" w14:textId="77777777" w:rsidR="00DC4BB2" w:rsidRPr="004A3BBC" w:rsidRDefault="00DC4BB2">
            <w:pPr>
              <w:widowControl w:val="0"/>
              <w:autoSpaceDE w:val="0"/>
              <w:autoSpaceDN w:val="0"/>
              <w:rPr>
                <w:szCs w:val="22"/>
              </w:rPr>
            </w:pPr>
          </w:p>
        </w:tc>
        <w:tc>
          <w:tcPr>
            <w:tcW w:w="1696" w:type="dxa"/>
          </w:tcPr>
          <w:p w14:paraId="31E79FB8" w14:textId="77777777" w:rsidR="00DC4BB2" w:rsidRPr="004A3BBC" w:rsidRDefault="00DC4BB2">
            <w:pPr>
              <w:widowControl w:val="0"/>
              <w:autoSpaceDE w:val="0"/>
              <w:autoSpaceDN w:val="0"/>
              <w:rPr>
                <w:szCs w:val="22"/>
              </w:rPr>
            </w:pPr>
          </w:p>
        </w:tc>
        <w:tc>
          <w:tcPr>
            <w:tcW w:w="1696" w:type="dxa"/>
          </w:tcPr>
          <w:p w14:paraId="1DE72F76" w14:textId="77777777" w:rsidR="00DC4BB2" w:rsidRPr="004A3BBC" w:rsidRDefault="001C4737">
            <w:pPr>
              <w:widowControl w:val="0"/>
              <w:autoSpaceDE w:val="0"/>
              <w:autoSpaceDN w:val="0"/>
              <w:spacing w:before="34" w:line="236" w:lineRule="exact"/>
              <w:ind w:left="103"/>
              <w:rPr>
                <w:szCs w:val="22"/>
              </w:rPr>
            </w:pPr>
            <w:r w:rsidRPr="004A3BBC">
              <w:rPr>
                <w:szCs w:val="22"/>
              </w:rPr>
              <w:t>nedažnas</w:t>
            </w:r>
          </w:p>
        </w:tc>
      </w:tr>
      <w:tr w:rsidR="00DC4BB2" w:rsidRPr="00CF5157" w14:paraId="7D3B2318" w14:textId="77777777" w:rsidTr="00D77DC4">
        <w:trPr>
          <w:trHeight w:val="280"/>
        </w:trPr>
        <w:tc>
          <w:tcPr>
            <w:tcW w:w="1191" w:type="dxa"/>
            <w:gridSpan w:val="2"/>
            <w:vMerge w:val="restart"/>
          </w:tcPr>
          <w:p w14:paraId="324AF29B" w14:textId="77777777" w:rsidR="00DC4BB2" w:rsidRPr="004A3BBC" w:rsidRDefault="001C4737">
            <w:pPr>
              <w:widowControl w:val="0"/>
              <w:autoSpaceDE w:val="0"/>
              <w:autoSpaceDN w:val="0"/>
              <w:ind w:left="102" w:right="237"/>
              <w:rPr>
                <w:b/>
                <w:szCs w:val="22"/>
              </w:rPr>
            </w:pPr>
            <w:r w:rsidRPr="004A3BBC">
              <w:rPr>
                <w:b/>
                <w:szCs w:val="22"/>
              </w:rPr>
              <w:t>Virškinimo trakto sutrikimai</w:t>
            </w:r>
          </w:p>
        </w:tc>
        <w:tc>
          <w:tcPr>
            <w:tcW w:w="1695" w:type="dxa"/>
          </w:tcPr>
          <w:p w14:paraId="0049F16A" w14:textId="77777777" w:rsidR="00DC4BB2" w:rsidRPr="004A3BBC" w:rsidRDefault="001C4737">
            <w:pPr>
              <w:widowControl w:val="0"/>
              <w:autoSpaceDE w:val="0"/>
              <w:autoSpaceDN w:val="0"/>
              <w:spacing w:before="29" w:line="239" w:lineRule="exact"/>
              <w:ind w:left="100"/>
              <w:rPr>
                <w:szCs w:val="22"/>
              </w:rPr>
            </w:pPr>
            <w:r w:rsidRPr="004A3BBC">
              <w:rPr>
                <w:szCs w:val="22"/>
              </w:rPr>
              <w:t>Viduriavimas</w:t>
            </w:r>
          </w:p>
        </w:tc>
        <w:tc>
          <w:tcPr>
            <w:tcW w:w="1696" w:type="dxa"/>
          </w:tcPr>
          <w:p w14:paraId="2FBF1F77" w14:textId="77777777" w:rsidR="00DC4BB2" w:rsidRPr="004A3BBC" w:rsidRDefault="001C4737">
            <w:pPr>
              <w:widowControl w:val="0"/>
              <w:autoSpaceDE w:val="0"/>
              <w:autoSpaceDN w:val="0"/>
              <w:spacing w:before="29" w:line="239" w:lineRule="exact"/>
              <w:ind w:left="103"/>
              <w:rPr>
                <w:szCs w:val="22"/>
              </w:rPr>
            </w:pPr>
            <w:r w:rsidRPr="00CF5157">
              <w:t>nedažnas</w:t>
            </w:r>
          </w:p>
        </w:tc>
        <w:tc>
          <w:tcPr>
            <w:tcW w:w="1696" w:type="dxa"/>
          </w:tcPr>
          <w:p w14:paraId="5226D54C" w14:textId="77777777" w:rsidR="00DC4BB2" w:rsidRPr="004A3BBC" w:rsidRDefault="001C4737">
            <w:pPr>
              <w:widowControl w:val="0"/>
              <w:autoSpaceDE w:val="0"/>
              <w:autoSpaceDN w:val="0"/>
              <w:spacing w:before="29" w:line="239" w:lineRule="exact"/>
              <w:ind w:left="102"/>
              <w:rPr>
                <w:szCs w:val="22"/>
              </w:rPr>
            </w:pPr>
            <w:r w:rsidRPr="00CF5157">
              <w:t>nedažnas</w:t>
            </w:r>
          </w:p>
        </w:tc>
        <w:tc>
          <w:tcPr>
            <w:tcW w:w="1696" w:type="dxa"/>
          </w:tcPr>
          <w:p w14:paraId="36D1AE42" w14:textId="77777777" w:rsidR="00DC4BB2" w:rsidRPr="004A3BBC" w:rsidRDefault="001C4737">
            <w:pPr>
              <w:widowControl w:val="0"/>
              <w:autoSpaceDE w:val="0"/>
              <w:autoSpaceDN w:val="0"/>
              <w:spacing w:before="29" w:line="239" w:lineRule="exact"/>
              <w:ind w:left="102"/>
              <w:rPr>
                <w:szCs w:val="22"/>
              </w:rPr>
            </w:pPr>
            <w:r w:rsidRPr="004A3BBC">
              <w:rPr>
                <w:szCs w:val="22"/>
              </w:rPr>
              <w:t>dažnas</w:t>
            </w:r>
          </w:p>
        </w:tc>
        <w:tc>
          <w:tcPr>
            <w:tcW w:w="1696" w:type="dxa"/>
          </w:tcPr>
          <w:p w14:paraId="2516F82A" w14:textId="77777777" w:rsidR="00DC4BB2" w:rsidRPr="004A3BBC" w:rsidRDefault="001C4737">
            <w:pPr>
              <w:widowControl w:val="0"/>
              <w:autoSpaceDE w:val="0"/>
              <w:autoSpaceDN w:val="0"/>
              <w:spacing w:before="34" w:line="236" w:lineRule="exact"/>
              <w:ind w:left="103"/>
              <w:rPr>
                <w:szCs w:val="22"/>
              </w:rPr>
            </w:pPr>
            <w:r w:rsidRPr="004A3BBC">
              <w:rPr>
                <w:szCs w:val="22"/>
              </w:rPr>
              <w:t>dažnas</w:t>
            </w:r>
          </w:p>
        </w:tc>
      </w:tr>
      <w:tr w:rsidR="00DC4BB2" w:rsidRPr="00CF5157" w14:paraId="05E66675" w14:textId="77777777" w:rsidTr="00D77DC4">
        <w:trPr>
          <w:trHeight w:val="280"/>
        </w:trPr>
        <w:tc>
          <w:tcPr>
            <w:tcW w:w="1191" w:type="dxa"/>
            <w:gridSpan w:val="2"/>
            <w:vMerge/>
          </w:tcPr>
          <w:p w14:paraId="60BE46A1" w14:textId="77777777" w:rsidR="00DC4BB2" w:rsidRPr="004A3BBC" w:rsidRDefault="00DC4BB2">
            <w:pPr>
              <w:rPr>
                <w:sz w:val="2"/>
                <w:szCs w:val="2"/>
                <w:lang w:eastAsia="sl-SI"/>
              </w:rPr>
            </w:pPr>
          </w:p>
        </w:tc>
        <w:tc>
          <w:tcPr>
            <w:tcW w:w="1695" w:type="dxa"/>
          </w:tcPr>
          <w:p w14:paraId="7EA87284" w14:textId="77777777" w:rsidR="00DC4BB2" w:rsidRPr="004A3BBC" w:rsidRDefault="001C4737">
            <w:pPr>
              <w:widowControl w:val="0"/>
              <w:autoSpaceDE w:val="0"/>
              <w:autoSpaceDN w:val="0"/>
              <w:spacing w:before="29" w:line="241" w:lineRule="exact"/>
              <w:ind w:left="100"/>
              <w:rPr>
                <w:szCs w:val="22"/>
              </w:rPr>
            </w:pPr>
            <w:r w:rsidRPr="004A3BBC">
              <w:rPr>
                <w:szCs w:val="22"/>
              </w:rPr>
              <w:t>Burnos džiūvimas</w:t>
            </w:r>
          </w:p>
        </w:tc>
        <w:tc>
          <w:tcPr>
            <w:tcW w:w="1696" w:type="dxa"/>
          </w:tcPr>
          <w:p w14:paraId="1F3E1E9A" w14:textId="77777777" w:rsidR="00DC4BB2" w:rsidRPr="004A3BBC" w:rsidRDefault="001C4737">
            <w:pPr>
              <w:widowControl w:val="0"/>
              <w:autoSpaceDE w:val="0"/>
              <w:autoSpaceDN w:val="0"/>
              <w:spacing w:before="29" w:line="241" w:lineRule="exact"/>
              <w:ind w:left="103"/>
              <w:rPr>
                <w:szCs w:val="22"/>
              </w:rPr>
            </w:pPr>
            <w:r w:rsidRPr="00CF5157">
              <w:t>nedažnas</w:t>
            </w:r>
          </w:p>
        </w:tc>
        <w:tc>
          <w:tcPr>
            <w:tcW w:w="1696" w:type="dxa"/>
          </w:tcPr>
          <w:p w14:paraId="2D28BC1C" w14:textId="77777777" w:rsidR="00DC4BB2" w:rsidRPr="004A3BBC" w:rsidRDefault="001C4737">
            <w:pPr>
              <w:widowControl w:val="0"/>
              <w:autoSpaceDE w:val="0"/>
              <w:autoSpaceDN w:val="0"/>
              <w:spacing w:before="29" w:line="241" w:lineRule="exact"/>
              <w:ind w:left="102"/>
              <w:rPr>
                <w:szCs w:val="22"/>
              </w:rPr>
            </w:pPr>
            <w:r w:rsidRPr="004A3BBC">
              <w:rPr>
                <w:szCs w:val="22"/>
              </w:rPr>
              <w:t>retas</w:t>
            </w:r>
          </w:p>
        </w:tc>
        <w:tc>
          <w:tcPr>
            <w:tcW w:w="1696" w:type="dxa"/>
          </w:tcPr>
          <w:p w14:paraId="0EC54090" w14:textId="77777777" w:rsidR="00DC4BB2" w:rsidRPr="004A3BBC" w:rsidRDefault="00DC4BB2">
            <w:pPr>
              <w:widowControl w:val="0"/>
              <w:autoSpaceDE w:val="0"/>
              <w:autoSpaceDN w:val="0"/>
              <w:rPr>
                <w:szCs w:val="22"/>
              </w:rPr>
            </w:pPr>
          </w:p>
        </w:tc>
        <w:tc>
          <w:tcPr>
            <w:tcW w:w="1696" w:type="dxa"/>
          </w:tcPr>
          <w:p w14:paraId="404A853E" w14:textId="77777777" w:rsidR="00DC4BB2" w:rsidRPr="004A3BBC" w:rsidRDefault="001C4737">
            <w:pPr>
              <w:widowControl w:val="0"/>
              <w:autoSpaceDE w:val="0"/>
              <w:autoSpaceDN w:val="0"/>
              <w:spacing w:before="34" w:line="236" w:lineRule="exact"/>
              <w:ind w:left="103"/>
              <w:rPr>
                <w:szCs w:val="22"/>
              </w:rPr>
            </w:pPr>
            <w:r w:rsidRPr="004A3BBC">
              <w:rPr>
                <w:szCs w:val="22"/>
              </w:rPr>
              <w:t>nedažnas</w:t>
            </w:r>
          </w:p>
        </w:tc>
      </w:tr>
      <w:tr w:rsidR="00DC4BB2" w:rsidRPr="00CF5157" w14:paraId="3BA1C413" w14:textId="77777777" w:rsidTr="00D77DC4">
        <w:trPr>
          <w:trHeight w:val="280"/>
        </w:trPr>
        <w:tc>
          <w:tcPr>
            <w:tcW w:w="1191" w:type="dxa"/>
            <w:gridSpan w:val="2"/>
            <w:vMerge/>
          </w:tcPr>
          <w:p w14:paraId="72F53C31" w14:textId="77777777" w:rsidR="00DC4BB2" w:rsidRPr="004A3BBC" w:rsidRDefault="00DC4BB2">
            <w:pPr>
              <w:rPr>
                <w:sz w:val="2"/>
                <w:szCs w:val="2"/>
                <w:lang w:eastAsia="sl-SI"/>
              </w:rPr>
            </w:pPr>
          </w:p>
        </w:tc>
        <w:tc>
          <w:tcPr>
            <w:tcW w:w="1695" w:type="dxa"/>
          </w:tcPr>
          <w:p w14:paraId="45130BA7" w14:textId="77777777" w:rsidR="00DC4BB2" w:rsidRPr="004A3BBC" w:rsidRDefault="001C4737">
            <w:pPr>
              <w:widowControl w:val="0"/>
              <w:autoSpaceDE w:val="0"/>
              <w:autoSpaceDN w:val="0"/>
              <w:spacing w:before="29" w:line="239" w:lineRule="exact"/>
              <w:ind w:left="100"/>
              <w:rPr>
                <w:szCs w:val="22"/>
              </w:rPr>
            </w:pPr>
            <w:r w:rsidRPr="004A3BBC">
              <w:rPr>
                <w:szCs w:val="22"/>
              </w:rPr>
              <w:t>Pilvo pūtimas</w:t>
            </w:r>
          </w:p>
        </w:tc>
        <w:tc>
          <w:tcPr>
            <w:tcW w:w="1696" w:type="dxa"/>
          </w:tcPr>
          <w:p w14:paraId="06B2D638" w14:textId="77777777" w:rsidR="00DC4BB2" w:rsidRPr="004A3BBC" w:rsidRDefault="001C4737">
            <w:pPr>
              <w:widowControl w:val="0"/>
              <w:autoSpaceDE w:val="0"/>
              <w:autoSpaceDN w:val="0"/>
              <w:spacing w:before="29" w:line="239" w:lineRule="exact"/>
              <w:ind w:left="103"/>
              <w:rPr>
                <w:szCs w:val="22"/>
              </w:rPr>
            </w:pPr>
            <w:r w:rsidRPr="00CF5157">
              <w:t>nedažnas</w:t>
            </w:r>
          </w:p>
        </w:tc>
        <w:tc>
          <w:tcPr>
            <w:tcW w:w="1696" w:type="dxa"/>
          </w:tcPr>
          <w:p w14:paraId="15D0DFF0" w14:textId="77777777" w:rsidR="00DC4BB2" w:rsidRPr="004A3BBC" w:rsidRDefault="001C4737">
            <w:pPr>
              <w:widowControl w:val="0"/>
              <w:autoSpaceDE w:val="0"/>
              <w:autoSpaceDN w:val="0"/>
              <w:spacing w:before="29" w:line="239" w:lineRule="exact"/>
              <w:ind w:left="102"/>
              <w:rPr>
                <w:szCs w:val="22"/>
              </w:rPr>
            </w:pPr>
            <w:r w:rsidRPr="00CF5157">
              <w:t>nedažnas</w:t>
            </w:r>
          </w:p>
        </w:tc>
        <w:tc>
          <w:tcPr>
            <w:tcW w:w="1696" w:type="dxa"/>
          </w:tcPr>
          <w:p w14:paraId="092BB981" w14:textId="77777777" w:rsidR="00DC4BB2" w:rsidRPr="004A3BBC" w:rsidRDefault="00DC4BB2">
            <w:pPr>
              <w:widowControl w:val="0"/>
              <w:autoSpaceDE w:val="0"/>
              <w:autoSpaceDN w:val="0"/>
              <w:rPr>
                <w:szCs w:val="22"/>
              </w:rPr>
            </w:pPr>
          </w:p>
        </w:tc>
        <w:tc>
          <w:tcPr>
            <w:tcW w:w="1696" w:type="dxa"/>
          </w:tcPr>
          <w:p w14:paraId="6D784FFE" w14:textId="77777777" w:rsidR="00DC4BB2" w:rsidRPr="004A3BBC" w:rsidRDefault="00DC4BB2">
            <w:pPr>
              <w:widowControl w:val="0"/>
              <w:autoSpaceDE w:val="0"/>
              <w:autoSpaceDN w:val="0"/>
              <w:spacing w:before="34" w:line="236" w:lineRule="exact"/>
              <w:ind w:left="103"/>
              <w:rPr>
                <w:szCs w:val="22"/>
              </w:rPr>
            </w:pPr>
          </w:p>
        </w:tc>
      </w:tr>
      <w:tr w:rsidR="00DC4BB2" w:rsidRPr="00CF5157" w14:paraId="441A041A" w14:textId="77777777" w:rsidTr="00D77DC4">
        <w:trPr>
          <w:trHeight w:val="280"/>
        </w:trPr>
        <w:tc>
          <w:tcPr>
            <w:tcW w:w="1191" w:type="dxa"/>
            <w:gridSpan w:val="2"/>
            <w:vMerge/>
          </w:tcPr>
          <w:p w14:paraId="47EBF008" w14:textId="77777777" w:rsidR="00DC4BB2" w:rsidRPr="004A3BBC" w:rsidRDefault="00DC4BB2">
            <w:pPr>
              <w:rPr>
                <w:sz w:val="2"/>
                <w:szCs w:val="2"/>
                <w:lang w:eastAsia="sl-SI"/>
              </w:rPr>
            </w:pPr>
          </w:p>
        </w:tc>
        <w:tc>
          <w:tcPr>
            <w:tcW w:w="1695" w:type="dxa"/>
          </w:tcPr>
          <w:p w14:paraId="416448A9" w14:textId="77777777" w:rsidR="00DC4BB2" w:rsidRPr="004A3BBC" w:rsidRDefault="001C4737">
            <w:pPr>
              <w:widowControl w:val="0"/>
              <w:autoSpaceDE w:val="0"/>
              <w:autoSpaceDN w:val="0"/>
              <w:spacing w:before="29" w:line="241" w:lineRule="exact"/>
              <w:ind w:left="100"/>
              <w:rPr>
                <w:szCs w:val="22"/>
              </w:rPr>
            </w:pPr>
            <w:r w:rsidRPr="004A3BBC">
              <w:rPr>
                <w:szCs w:val="22"/>
              </w:rPr>
              <w:t>Pilvo skausmas</w:t>
            </w:r>
          </w:p>
        </w:tc>
        <w:tc>
          <w:tcPr>
            <w:tcW w:w="1696" w:type="dxa"/>
          </w:tcPr>
          <w:p w14:paraId="3F44487F" w14:textId="77777777" w:rsidR="00DC4BB2" w:rsidRPr="004A3BBC" w:rsidRDefault="001C4737">
            <w:pPr>
              <w:widowControl w:val="0"/>
              <w:autoSpaceDE w:val="0"/>
              <w:autoSpaceDN w:val="0"/>
              <w:spacing w:before="29" w:line="241" w:lineRule="exact"/>
              <w:ind w:left="103"/>
              <w:rPr>
                <w:szCs w:val="22"/>
              </w:rPr>
            </w:pPr>
            <w:r w:rsidRPr="004A3BBC">
              <w:rPr>
                <w:szCs w:val="22"/>
              </w:rPr>
              <w:t>retas</w:t>
            </w:r>
          </w:p>
        </w:tc>
        <w:tc>
          <w:tcPr>
            <w:tcW w:w="1696" w:type="dxa"/>
          </w:tcPr>
          <w:p w14:paraId="399E0674" w14:textId="77777777" w:rsidR="00DC4BB2" w:rsidRPr="004A3BBC" w:rsidRDefault="001C4737">
            <w:pPr>
              <w:widowControl w:val="0"/>
              <w:autoSpaceDE w:val="0"/>
              <w:autoSpaceDN w:val="0"/>
              <w:spacing w:before="29" w:line="241" w:lineRule="exact"/>
              <w:ind w:left="102"/>
              <w:rPr>
                <w:szCs w:val="22"/>
              </w:rPr>
            </w:pPr>
            <w:r w:rsidRPr="00CF5157">
              <w:t>nedažnas</w:t>
            </w:r>
          </w:p>
        </w:tc>
        <w:tc>
          <w:tcPr>
            <w:tcW w:w="1696" w:type="dxa"/>
          </w:tcPr>
          <w:p w14:paraId="7E6A7391" w14:textId="77777777" w:rsidR="00DC4BB2" w:rsidRPr="004A3BBC" w:rsidRDefault="00DC4BB2">
            <w:pPr>
              <w:widowControl w:val="0"/>
              <w:autoSpaceDE w:val="0"/>
              <w:autoSpaceDN w:val="0"/>
              <w:rPr>
                <w:szCs w:val="22"/>
              </w:rPr>
            </w:pPr>
          </w:p>
        </w:tc>
        <w:tc>
          <w:tcPr>
            <w:tcW w:w="1696" w:type="dxa"/>
          </w:tcPr>
          <w:p w14:paraId="54E0834D" w14:textId="77777777" w:rsidR="00DC4BB2" w:rsidRPr="004A3BBC" w:rsidRDefault="001C4737">
            <w:pPr>
              <w:widowControl w:val="0"/>
              <w:autoSpaceDE w:val="0"/>
              <w:autoSpaceDN w:val="0"/>
              <w:spacing w:before="34" w:line="236" w:lineRule="exact"/>
              <w:ind w:left="103"/>
              <w:rPr>
                <w:szCs w:val="22"/>
              </w:rPr>
            </w:pPr>
            <w:r w:rsidRPr="004A3BBC">
              <w:rPr>
                <w:szCs w:val="22"/>
              </w:rPr>
              <w:t>dažnas</w:t>
            </w:r>
          </w:p>
        </w:tc>
      </w:tr>
      <w:tr w:rsidR="00DC4BB2" w:rsidRPr="00CF5157" w14:paraId="080FB2F0" w14:textId="77777777" w:rsidTr="00D77DC4">
        <w:trPr>
          <w:trHeight w:val="280"/>
        </w:trPr>
        <w:tc>
          <w:tcPr>
            <w:tcW w:w="1191" w:type="dxa"/>
            <w:gridSpan w:val="2"/>
            <w:vMerge/>
          </w:tcPr>
          <w:p w14:paraId="351C3F33" w14:textId="77777777" w:rsidR="00DC4BB2" w:rsidRPr="004A3BBC" w:rsidRDefault="00DC4BB2">
            <w:pPr>
              <w:rPr>
                <w:sz w:val="2"/>
                <w:szCs w:val="2"/>
                <w:lang w:eastAsia="sl-SI"/>
              </w:rPr>
            </w:pPr>
          </w:p>
        </w:tc>
        <w:tc>
          <w:tcPr>
            <w:tcW w:w="1695" w:type="dxa"/>
          </w:tcPr>
          <w:p w14:paraId="17B154A2" w14:textId="77777777" w:rsidR="00DC4BB2" w:rsidRPr="004A3BBC" w:rsidRDefault="001C4737">
            <w:pPr>
              <w:widowControl w:val="0"/>
              <w:autoSpaceDE w:val="0"/>
              <w:autoSpaceDN w:val="0"/>
              <w:spacing w:before="29" w:line="239" w:lineRule="exact"/>
              <w:ind w:left="100"/>
              <w:rPr>
                <w:szCs w:val="22"/>
              </w:rPr>
            </w:pPr>
            <w:r w:rsidRPr="004A3BBC">
              <w:rPr>
                <w:szCs w:val="22"/>
              </w:rPr>
              <w:t>Vidurių užkietėjimas</w:t>
            </w:r>
          </w:p>
        </w:tc>
        <w:tc>
          <w:tcPr>
            <w:tcW w:w="1696" w:type="dxa"/>
          </w:tcPr>
          <w:p w14:paraId="09087ACF" w14:textId="77777777" w:rsidR="00DC4BB2" w:rsidRPr="004A3BBC" w:rsidRDefault="001C4737">
            <w:pPr>
              <w:widowControl w:val="0"/>
              <w:autoSpaceDE w:val="0"/>
              <w:autoSpaceDN w:val="0"/>
              <w:spacing w:before="29" w:line="239" w:lineRule="exact"/>
              <w:ind w:left="103"/>
              <w:rPr>
                <w:szCs w:val="22"/>
              </w:rPr>
            </w:pPr>
            <w:r w:rsidRPr="004A3BBC">
              <w:rPr>
                <w:szCs w:val="22"/>
              </w:rPr>
              <w:t>retas</w:t>
            </w:r>
          </w:p>
        </w:tc>
        <w:tc>
          <w:tcPr>
            <w:tcW w:w="1696" w:type="dxa"/>
          </w:tcPr>
          <w:p w14:paraId="255C1445" w14:textId="77777777" w:rsidR="00DC4BB2" w:rsidRPr="004A3BBC" w:rsidRDefault="00DC4BB2">
            <w:pPr>
              <w:widowControl w:val="0"/>
              <w:autoSpaceDE w:val="0"/>
              <w:autoSpaceDN w:val="0"/>
              <w:rPr>
                <w:szCs w:val="22"/>
              </w:rPr>
            </w:pPr>
          </w:p>
        </w:tc>
        <w:tc>
          <w:tcPr>
            <w:tcW w:w="1696" w:type="dxa"/>
          </w:tcPr>
          <w:p w14:paraId="58824FF7" w14:textId="77777777" w:rsidR="00DC4BB2" w:rsidRPr="004A3BBC" w:rsidRDefault="001C4737">
            <w:pPr>
              <w:widowControl w:val="0"/>
              <w:autoSpaceDE w:val="0"/>
              <w:autoSpaceDN w:val="0"/>
              <w:spacing w:before="29" w:line="239" w:lineRule="exact"/>
              <w:ind w:left="102"/>
              <w:rPr>
                <w:szCs w:val="22"/>
              </w:rPr>
            </w:pPr>
            <w:r w:rsidRPr="004A3BBC">
              <w:rPr>
                <w:szCs w:val="22"/>
              </w:rPr>
              <w:t>retas</w:t>
            </w:r>
          </w:p>
        </w:tc>
        <w:tc>
          <w:tcPr>
            <w:tcW w:w="1696" w:type="dxa"/>
          </w:tcPr>
          <w:p w14:paraId="1A4299B7" w14:textId="77777777" w:rsidR="00DC4BB2" w:rsidRPr="004A3BBC" w:rsidRDefault="001C4737">
            <w:pPr>
              <w:widowControl w:val="0"/>
              <w:autoSpaceDE w:val="0"/>
              <w:autoSpaceDN w:val="0"/>
              <w:spacing w:before="34" w:line="236" w:lineRule="exact"/>
              <w:ind w:left="103"/>
              <w:rPr>
                <w:szCs w:val="22"/>
              </w:rPr>
            </w:pPr>
            <w:r w:rsidRPr="004A3BBC">
              <w:rPr>
                <w:szCs w:val="22"/>
              </w:rPr>
              <w:t>dažnas</w:t>
            </w:r>
          </w:p>
        </w:tc>
      </w:tr>
      <w:tr w:rsidR="00DC4BB2" w:rsidRPr="00CF5157" w14:paraId="2C36B3DC" w14:textId="77777777" w:rsidTr="00D77DC4">
        <w:trPr>
          <w:trHeight w:val="280"/>
        </w:trPr>
        <w:tc>
          <w:tcPr>
            <w:tcW w:w="1191" w:type="dxa"/>
            <w:gridSpan w:val="2"/>
            <w:vMerge/>
          </w:tcPr>
          <w:p w14:paraId="5D50502B" w14:textId="77777777" w:rsidR="00DC4BB2" w:rsidRPr="004A3BBC" w:rsidRDefault="00DC4BB2">
            <w:pPr>
              <w:rPr>
                <w:sz w:val="2"/>
                <w:szCs w:val="2"/>
                <w:lang w:eastAsia="sl-SI"/>
              </w:rPr>
            </w:pPr>
          </w:p>
        </w:tc>
        <w:tc>
          <w:tcPr>
            <w:tcW w:w="1695" w:type="dxa"/>
          </w:tcPr>
          <w:p w14:paraId="6D205730" w14:textId="77777777" w:rsidR="00DC4BB2" w:rsidRPr="004A3BBC" w:rsidRDefault="001C4737">
            <w:pPr>
              <w:widowControl w:val="0"/>
              <w:autoSpaceDE w:val="0"/>
              <w:autoSpaceDN w:val="0"/>
              <w:spacing w:before="31" w:line="239" w:lineRule="exact"/>
              <w:ind w:left="100"/>
              <w:rPr>
                <w:szCs w:val="22"/>
              </w:rPr>
            </w:pPr>
            <w:bookmarkStart w:id="24" w:name="_Hlk188618839"/>
            <w:r w:rsidRPr="004A3BBC">
              <w:rPr>
                <w:szCs w:val="22"/>
              </w:rPr>
              <w:t>D</w:t>
            </w:r>
            <w:bookmarkEnd w:id="24"/>
            <w:r w:rsidRPr="004A3BBC">
              <w:rPr>
                <w:szCs w:val="22"/>
              </w:rPr>
              <w:t>ispepsija</w:t>
            </w:r>
          </w:p>
        </w:tc>
        <w:tc>
          <w:tcPr>
            <w:tcW w:w="1696" w:type="dxa"/>
          </w:tcPr>
          <w:p w14:paraId="0CBDB6EA" w14:textId="77777777" w:rsidR="00DC4BB2" w:rsidRPr="004A3BBC" w:rsidRDefault="001C4737">
            <w:pPr>
              <w:widowControl w:val="0"/>
              <w:autoSpaceDE w:val="0"/>
              <w:autoSpaceDN w:val="0"/>
              <w:spacing w:before="31" w:line="239" w:lineRule="exact"/>
              <w:ind w:left="103"/>
              <w:rPr>
                <w:szCs w:val="22"/>
              </w:rPr>
            </w:pPr>
            <w:r w:rsidRPr="004A3BBC">
              <w:rPr>
                <w:szCs w:val="22"/>
              </w:rPr>
              <w:t>retas</w:t>
            </w:r>
          </w:p>
        </w:tc>
        <w:tc>
          <w:tcPr>
            <w:tcW w:w="1696" w:type="dxa"/>
          </w:tcPr>
          <w:p w14:paraId="651EE6D4" w14:textId="77777777" w:rsidR="00DC4BB2" w:rsidRPr="004A3BBC" w:rsidRDefault="001C4737">
            <w:pPr>
              <w:widowControl w:val="0"/>
              <w:autoSpaceDE w:val="0"/>
              <w:autoSpaceDN w:val="0"/>
              <w:spacing w:before="31" w:line="239" w:lineRule="exact"/>
              <w:ind w:left="102"/>
              <w:rPr>
                <w:szCs w:val="22"/>
              </w:rPr>
            </w:pPr>
            <w:r w:rsidRPr="00CF5157">
              <w:t>nedažnas</w:t>
            </w:r>
          </w:p>
        </w:tc>
        <w:tc>
          <w:tcPr>
            <w:tcW w:w="1696" w:type="dxa"/>
          </w:tcPr>
          <w:p w14:paraId="6D8A3937" w14:textId="77777777" w:rsidR="00DC4BB2" w:rsidRPr="004A3BBC" w:rsidRDefault="00DC4BB2">
            <w:pPr>
              <w:widowControl w:val="0"/>
              <w:autoSpaceDE w:val="0"/>
              <w:autoSpaceDN w:val="0"/>
              <w:rPr>
                <w:szCs w:val="22"/>
              </w:rPr>
            </w:pPr>
          </w:p>
        </w:tc>
        <w:tc>
          <w:tcPr>
            <w:tcW w:w="1696" w:type="dxa"/>
          </w:tcPr>
          <w:p w14:paraId="6AC1E9E4" w14:textId="77777777" w:rsidR="00DC4BB2" w:rsidRPr="004A3BBC" w:rsidRDefault="001C4737">
            <w:pPr>
              <w:widowControl w:val="0"/>
              <w:autoSpaceDE w:val="0"/>
              <w:autoSpaceDN w:val="0"/>
              <w:spacing w:before="34" w:line="236" w:lineRule="exact"/>
              <w:ind w:left="103"/>
              <w:rPr>
                <w:szCs w:val="22"/>
              </w:rPr>
            </w:pPr>
            <w:r w:rsidRPr="004A3BBC">
              <w:rPr>
                <w:szCs w:val="22"/>
              </w:rPr>
              <w:t>dažnas</w:t>
            </w:r>
          </w:p>
        </w:tc>
      </w:tr>
      <w:tr w:rsidR="00DC4BB2" w:rsidRPr="00CF5157" w14:paraId="719BBAF9" w14:textId="77777777" w:rsidTr="00D77DC4">
        <w:trPr>
          <w:trHeight w:val="280"/>
        </w:trPr>
        <w:tc>
          <w:tcPr>
            <w:tcW w:w="1191" w:type="dxa"/>
            <w:gridSpan w:val="2"/>
            <w:vMerge/>
          </w:tcPr>
          <w:p w14:paraId="499EC534" w14:textId="77777777" w:rsidR="00DC4BB2" w:rsidRPr="004A3BBC" w:rsidRDefault="00DC4BB2">
            <w:pPr>
              <w:rPr>
                <w:sz w:val="2"/>
                <w:szCs w:val="2"/>
                <w:lang w:eastAsia="sl-SI"/>
              </w:rPr>
            </w:pPr>
          </w:p>
        </w:tc>
        <w:tc>
          <w:tcPr>
            <w:tcW w:w="1695" w:type="dxa"/>
          </w:tcPr>
          <w:p w14:paraId="6B004443" w14:textId="77777777" w:rsidR="00DC4BB2" w:rsidRPr="004A3BBC" w:rsidRDefault="001C4737">
            <w:pPr>
              <w:widowControl w:val="0"/>
              <w:autoSpaceDE w:val="0"/>
              <w:autoSpaceDN w:val="0"/>
              <w:spacing w:before="29" w:line="241" w:lineRule="exact"/>
              <w:ind w:left="100"/>
              <w:rPr>
                <w:szCs w:val="22"/>
              </w:rPr>
            </w:pPr>
            <w:bookmarkStart w:id="25" w:name="_Hlk188618844"/>
            <w:r w:rsidRPr="004A3BBC">
              <w:rPr>
                <w:szCs w:val="22"/>
              </w:rPr>
              <w:t>V</w:t>
            </w:r>
            <w:bookmarkEnd w:id="25"/>
            <w:r w:rsidRPr="004A3BBC">
              <w:rPr>
                <w:szCs w:val="22"/>
              </w:rPr>
              <w:t>ėmimas</w:t>
            </w:r>
          </w:p>
        </w:tc>
        <w:tc>
          <w:tcPr>
            <w:tcW w:w="1696" w:type="dxa"/>
          </w:tcPr>
          <w:p w14:paraId="0447BF85" w14:textId="77777777" w:rsidR="00DC4BB2" w:rsidRPr="004A3BBC" w:rsidRDefault="001C4737">
            <w:pPr>
              <w:widowControl w:val="0"/>
              <w:autoSpaceDE w:val="0"/>
              <w:autoSpaceDN w:val="0"/>
              <w:spacing w:before="29" w:line="241" w:lineRule="exact"/>
              <w:ind w:left="103"/>
              <w:rPr>
                <w:szCs w:val="22"/>
              </w:rPr>
            </w:pPr>
            <w:r w:rsidRPr="004A3BBC">
              <w:rPr>
                <w:szCs w:val="22"/>
              </w:rPr>
              <w:t>retas</w:t>
            </w:r>
          </w:p>
        </w:tc>
        <w:tc>
          <w:tcPr>
            <w:tcW w:w="1696" w:type="dxa"/>
          </w:tcPr>
          <w:p w14:paraId="4F8B0A7C" w14:textId="77777777" w:rsidR="00DC4BB2" w:rsidRPr="004A3BBC" w:rsidRDefault="001C4737">
            <w:pPr>
              <w:widowControl w:val="0"/>
              <w:autoSpaceDE w:val="0"/>
              <w:autoSpaceDN w:val="0"/>
              <w:spacing w:before="29" w:line="241" w:lineRule="exact"/>
              <w:ind w:left="102"/>
              <w:rPr>
                <w:szCs w:val="22"/>
              </w:rPr>
            </w:pPr>
            <w:r w:rsidRPr="00CF5157">
              <w:t>nedažnas</w:t>
            </w:r>
          </w:p>
        </w:tc>
        <w:tc>
          <w:tcPr>
            <w:tcW w:w="1696" w:type="dxa"/>
          </w:tcPr>
          <w:p w14:paraId="241E2797" w14:textId="77777777" w:rsidR="00DC4BB2" w:rsidRPr="004A3BBC" w:rsidRDefault="001C4737">
            <w:pPr>
              <w:widowControl w:val="0"/>
              <w:autoSpaceDE w:val="0"/>
              <w:autoSpaceDN w:val="0"/>
              <w:spacing w:before="29" w:line="241" w:lineRule="exact"/>
              <w:ind w:left="102"/>
              <w:rPr>
                <w:szCs w:val="22"/>
              </w:rPr>
            </w:pPr>
            <w:r w:rsidRPr="004A3BBC">
              <w:rPr>
                <w:szCs w:val="22"/>
              </w:rPr>
              <w:t>dažnas</w:t>
            </w:r>
          </w:p>
        </w:tc>
        <w:tc>
          <w:tcPr>
            <w:tcW w:w="1696" w:type="dxa"/>
          </w:tcPr>
          <w:p w14:paraId="33E19EF4" w14:textId="77777777" w:rsidR="00DC4BB2" w:rsidRPr="004A3BBC" w:rsidRDefault="001C4737">
            <w:pPr>
              <w:widowControl w:val="0"/>
              <w:autoSpaceDE w:val="0"/>
              <w:autoSpaceDN w:val="0"/>
              <w:spacing w:before="34" w:line="236" w:lineRule="exact"/>
              <w:ind w:left="103"/>
              <w:rPr>
                <w:szCs w:val="22"/>
              </w:rPr>
            </w:pPr>
            <w:r w:rsidRPr="004A3BBC">
              <w:rPr>
                <w:szCs w:val="22"/>
              </w:rPr>
              <w:t>nedažnas</w:t>
            </w:r>
          </w:p>
        </w:tc>
      </w:tr>
      <w:tr w:rsidR="00DC4BB2" w:rsidRPr="00CF5157" w14:paraId="5A0279D7" w14:textId="77777777" w:rsidTr="00D77DC4">
        <w:trPr>
          <w:trHeight w:val="280"/>
        </w:trPr>
        <w:tc>
          <w:tcPr>
            <w:tcW w:w="1191" w:type="dxa"/>
            <w:gridSpan w:val="2"/>
            <w:vMerge/>
          </w:tcPr>
          <w:p w14:paraId="7E60D578" w14:textId="77777777" w:rsidR="00DC4BB2" w:rsidRPr="004A3BBC" w:rsidRDefault="00DC4BB2">
            <w:pPr>
              <w:rPr>
                <w:sz w:val="2"/>
                <w:szCs w:val="2"/>
                <w:lang w:eastAsia="sl-SI"/>
              </w:rPr>
            </w:pPr>
          </w:p>
        </w:tc>
        <w:tc>
          <w:tcPr>
            <w:tcW w:w="1695" w:type="dxa"/>
          </w:tcPr>
          <w:p w14:paraId="63EA55E7" w14:textId="77777777" w:rsidR="00DC4BB2" w:rsidRPr="004A3BBC" w:rsidRDefault="001C4737">
            <w:pPr>
              <w:widowControl w:val="0"/>
              <w:autoSpaceDE w:val="0"/>
              <w:autoSpaceDN w:val="0"/>
              <w:spacing w:before="29" w:line="239" w:lineRule="exact"/>
              <w:ind w:left="100"/>
              <w:rPr>
                <w:szCs w:val="22"/>
              </w:rPr>
            </w:pPr>
            <w:bookmarkStart w:id="26" w:name="_Hlk188618849"/>
            <w:r w:rsidRPr="004A3BBC">
              <w:rPr>
                <w:szCs w:val="22"/>
              </w:rPr>
              <w:t>Gastrit</w:t>
            </w:r>
            <w:bookmarkEnd w:id="26"/>
            <w:r w:rsidRPr="004A3BBC">
              <w:rPr>
                <w:szCs w:val="22"/>
              </w:rPr>
              <w:t>as</w:t>
            </w:r>
          </w:p>
        </w:tc>
        <w:tc>
          <w:tcPr>
            <w:tcW w:w="1696" w:type="dxa"/>
          </w:tcPr>
          <w:p w14:paraId="2FEE5BC1" w14:textId="77777777" w:rsidR="00DC4BB2" w:rsidRPr="004A3BBC" w:rsidRDefault="001C4737">
            <w:pPr>
              <w:widowControl w:val="0"/>
              <w:autoSpaceDE w:val="0"/>
              <w:autoSpaceDN w:val="0"/>
              <w:spacing w:before="29" w:line="239" w:lineRule="exact"/>
              <w:ind w:left="103"/>
              <w:rPr>
                <w:szCs w:val="22"/>
              </w:rPr>
            </w:pPr>
            <w:r w:rsidRPr="004A3BBC">
              <w:rPr>
                <w:szCs w:val="22"/>
              </w:rPr>
              <w:t>retas</w:t>
            </w:r>
          </w:p>
        </w:tc>
        <w:tc>
          <w:tcPr>
            <w:tcW w:w="1696" w:type="dxa"/>
          </w:tcPr>
          <w:p w14:paraId="6642D6F9" w14:textId="77777777" w:rsidR="00DC4BB2" w:rsidRPr="004A3BBC" w:rsidRDefault="00DC4BB2">
            <w:pPr>
              <w:widowControl w:val="0"/>
              <w:autoSpaceDE w:val="0"/>
              <w:autoSpaceDN w:val="0"/>
              <w:rPr>
                <w:szCs w:val="22"/>
              </w:rPr>
            </w:pPr>
          </w:p>
        </w:tc>
        <w:tc>
          <w:tcPr>
            <w:tcW w:w="1696" w:type="dxa"/>
          </w:tcPr>
          <w:p w14:paraId="2D3E02D2" w14:textId="77777777" w:rsidR="00DC4BB2" w:rsidRPr="004A3BBC" w:rsidRDefault="00DC4BB2">
            <w:pPr>
              <w:widowControl w:val="0"/>
              <w:autoSpaceDE w:val="0"/>
              <w:autoSpaceDN w:val="0"/>
              <w:rPr>
                <w:szCs w:val="22"/>
              </w:rPr>
            </w:pPr>
          </w:p>
        </w:tc>
        <w:tc>
          <w:tcPr>
            <w:tcW w:w="1696" w:type="dxa"/>
          </w:tcPr>
          <w:p w14:paraId="3EFF0F80" w14:textId="77777777" w:rsidR="00DC4BB2" w:rsidRPr="004A3BBC" w:rsidRDefault="001C4737">
            <w:pPr>
              <w:widowControl w:val="0"/>
              <w:autoSpaceDE w:val="0"/>
              <w:autoSpaceDN w:val="0"/>
              <w:spacing w:before="34" w:line="236" w:lineRule="exact"/>
              <w:ind w:left="103"/>
              <w:rPr>
                <w:szCs w:val="22"/>
              </w:rPr>
            </w:pPr>
            <w:r w:rsidRPr="004A3BBC">
              <w:rPr>
                <w:szCs w:val="22"/>
              </w:rPr>
              <w:t>labai retas</w:t>
            </w:r>
          </w:p>
        </w:tc>
      </w:tr>
      <w:tr w:rsidR="00DC4BB2" w:rsidRPr="00CF5157" w14:paraId="40ED1A61" w14:textId="77777777" w:rsidTr="00D77DC4">
        <w:trPr>
          <w:trHeight w:val="500"/>
        </w:trPr>
        <w:tc>
          <w:tcPr>
            <w:tcW w:w="1191" w:type="dxa"/>
            <w:gridSpan w:val="2"/>
            <w:vMerge/>
          </w:tcPr>
          <w:p w14:paraId="2C090CDE" w14:textId="77777777" w:rsidR="00DC4BB2" w:rsidRPr="004A3BBC" w:rsidRDefault="00DC4BB2">
            <w:pPr>
              <w:rPr>
                <w:sz w:val="2"/>
                <w:szCs w:val="2"/>
                <w:lang w:eastAsia="sl-SI"/>
              </w:rPr>
            </w:pPr>
          </w:p>
        </w:tc>
        <w:tc>
          <w:tcPr>
            <w:tcW w:w="1695" w:type="dxa"/>
          </w:tcPr>
          <w:p w14:paraId="723F595E" w14:textId="77777777" w:rsidR="00DC4BB2" w:rsidRPr="004A3BBC" w:rsidRDefault="001C4737">
            <w:pPr>
              <w:widowControl w:val="0"/>
              <w:autoSpaceDE w:val="0"/>
              <w:autoSpaceDN w:val="0"/>
              <w:spacing w:line="246" w:lineRule="exact"/>
              <w:ind w:left="100"/>
              <w:rPr>
                <w:szCs w:val="22"/>
              </w:rPr>
            </w:pPr>
            <w:r w:rsidRPr="004A3BBC">
              <w:rPr>
                <w:szCs w:val="22"/>
              </w:rPr>
              <w:t>Nemalonus pojūtis pilve</w:t>
            </w:r>
          </w:p>
        </w:tc>
        <w:tc>
          <w:tcPr>
            <w:tcW w:w="1696" w:type="dxa"/>
          </w:tcPr>
          <w:p w14:paraId="03545840" w14:textId="77777777" w:rsidR="00DC4BB2" w:rsidRPr="004A3BBC" w:rsidRDefault="00DC4BB2">
            <w:pPr>
              <w:widowControl w:val="0"/>
              <w:autoSpaceDE w:val="0"/>
              <w:autoSpaceDN w:val="0"/>
              <w:rPr>
                <w:szCs w:val="22"/>
              </w:rPr>
            </w:pPr>
          </w:p>
        </w:tc>
        <w:tc>
          <w:tcPr>
            <w:tcW w:w="1696" w:type="dxa"/>
          </w:tcPr>
          <w:p w14:paraId="55CA2E58" w14:textId="77777777" w:rsidR="00DC4BB2" w:rsidRPr="004A3BBC" w:rsidRDefault="001C4737">
            <w:pPr>
              <w:widowControl w:val="0"/>
              <w:autoSpaceDE w:val="0"/>
              <w:autoSpaceDN w:val="0"/>
              <w:spacing w:line="239" w:lineRule="exact"/>
              <w:ind w:left="102"/>
              <w:rPr>
                <w:szCs w:val="22"/>
              </w:rPr>
            </w:pPr>
            <w:r w:rsidRPr="004A3BBC">
              <w:rPr>
                <w:szCs w:val="22"/>
              </w:rPr>
              <w:t>retas</w:t>
            </w:r>
          </w:p>
        </w:tc>
        <w:tc>
          <w:tcPr>
            <w:tcW w:w="1696" w:type="dxa"/>
          </w:tcPr>
          <w:p w14:paraId="4860CE6C" w14:textId="77777777" w:rsidR="00DC4BB2" w:rsidRPr="004A3BBC" w:rsidRDefault="001C4737">
            <w:pPr>
              <w:widowControl w:val="0"/>
              <w:autoSpaceDE w:val="0"/>
              <w:autoSpaceDN w:val="0"/>
              <w:spacing w:line="239" w:lineRule="exact"/>
              <w:ind w:left="102"/>
              <w:rPr>
                <w:szCs w:val="22"/>
              </w:rPr>
            </w:pPr>
            <w:r w:rsidRPr="004A3BBC">
              <w:rPr>
                <w:szCs w:val="22"/>
              </w:rPr>
              <w:t>retas</w:t>
            </w:r>
          </w:p>
        </w:tc>
        <w:tc>
          <w:tcPr>
            <w:tcW w:w="1696" w:type="dxa"/>
          </w:tcPr>
          <w:p w14:paraId="44DBD7A8" w14:textId="77777777" w:rsidR="00DC4BB2" w:rsidRPr="004A3BBC" w:rsidRDefault="00DC4BB2">
            <w:pPr>
              <w:widowControl w:val="0"/>
              <w:autoSpaceDE w:val="0"/>
              <w:autoSpaceDN w:val="0"/>
              <w:spacing w:before="34" w:line="236" w:lineRule="exact"/>
              <w:ind w:left="103"/>
              <w:rPr>
                <w:szCs w:val="22"/>
              </w:rPr>
            </w:pPr>
          </w:p>
        </w:tc>
      </w:tr>
      <w:tr w:rsidR="00DC4BB2" w:rsidRPr="00CF5157" w14:paraId="1D7EA36E" w14:textId="77777777" w:rsidTr="00D77DC4">
        <w:trPr>
          <w:trHeight w:val="280"/>
        </w:trPr>
        <w:tc>
          <w:tcPr>
            <w:tcW w:w="1191" w:type="dxa"/>
            <w:gridSpan w:val="2"/>
            <w:vMerge/>
          </w:tcPr>
          <w:p w14:paraId="6319C69D" w14:textId="77777777" w:rsidR="00DC4BB2" w:rsidRPr="004A3BBC" w:rsidRDefault="00DC4BB2">
            <w:pPr>
              <w:rPr>
                <w:sz w:val="2"/>
                <w:szCs w:val="2"/>
                <w:lang w:eastAsia="sl-SI"/>
              </w:rPr>
            </w:pPr>
          </w:p>
        </w:tc>
        <w:tc>
          <w:tcPr>
            <w:tcW w:w="1695" w:type="dxa"/>
          </w:tcPr>
          <w:p w14:paraId="6EE56AE5" w14:textId="77777777" w:rsidR="00DC4BB2" w:rsidRPr="004A3BBC" w:rsidRDefault="001C4737">
            <w:pPr>
              <w:widowControl w:val="0"/>
              <w:autoSpaceDE w:val="0"/>
              <w:autoSpaceDN w:val="0"/>
              <w:spacing w:before="29" w:line="241" w:lineRule="exact"/>
              <w:ind w:left="100"/>
              <w:rPr>
                <w:szCs w:val="22"/>
              </w:rPr>
            </w:pPr>
            <w:r w:rsidRPr="004A3BBC">
              <w:rPr>
                <w:szCs w:val="22"/>
              </w:rPr>
              <w:t>Pykinimas</w:t>
            </w:r>
          </w:p>
        </w:tc>
        <w:tc>
          <w:tcPr>
            <w:tcW w:w="1696" w:type="dxa"/>
          </w:tcPr>
          <w:p w14:paraId="7242C8AD" w14:textId="77777777" w:rsidR="00DC4BB2" w:rsidRPr="004A3BBC" w:rsidRDefault="00DC4BB2">
            <w:pPr>
              <w:widowControl w:val="0"/>
              <w:autoSpaceDE w:val="0"/>
              <w:autoSpaceDN w:val="0"/>
              <w:rPr>
                <w:szCs w:val="22"/>
              </w:rPr>
            </w:pPr>
          </w:p>
        </w:tc>
        <w:tc>
          <w:tcPr>
            <w:tcW w:w="1696" w:type="dxa"/>
          </w:tcPr>
          <w:p w14:paraId="07198DDC" w14:textId="77777777" w:rsidR="00DC4BB2" w:rsidRPr="004A3BBC" w:rsidRDefault="00DC4BB2">
            <w:pPr>
              <w:widowControl w:val="0"/>
              <w:autoSpaceDE w:val="0"/>
              <w:autoSpaceDN w:val="0"/>
              <w:rPr>
                <w:szCs w:val="22"/>
              </w:rPr>
            </w:pPr>
          </w:p>
        </w:tc>
        <w:tc>
          <w:tcPr>
            <w:tcW w:w="1696" w:type="dxa"/>
          </w:tcPr>
          <w:p w14:paraId="7A63F1E2" w14:textId="77777777" w:rsidR="00DC4BB2" w:rsidRPr="004A3BBC" w:rsidRDefault="001C4737">
            <w:pPr>
              <w:widowControl w:val="0"/>
              <w:autoSpaceDE w:val="0"/>
              <w:autoSpaceDN w:val="0"/>
              <w:spacing w:before="29" w:line="241" w:lineRule="exact"/>
              <w:ind w:left="102"/>
              <w:rPr>
                <w:szCs w:val="22"/>
              </w:rPr>
            </w:pPr>
            <w:r w:rsidRPr="004A3BBC">
              <w:rPr>
                <w:szCs w:val="22"/>
              </w:rPr>
              <w:t>dažnas</w:t>
            </w:r>
          </w:p>
        </w:tc>
        <w:tc>
          <w:tcPr>
            <w:tcW w:w="1696" w:type="dxa"/>
          </w:tcPr>
          <w:p w14:paraId="67435772" w14:textId="77777777" w:rsidR="00DC4BB2" w:rsidRPr="004A3BBC" w:rsidRDefault="001C4737">
            <w:pPr>
              <w:widowControl w:val="0"/>
              <w:autoSpaceDE w:val="0"/>
              <w:autoSpaceDN w:val="0"/>
              <w:spacing w:before="34" w:line="236" w:lineRule="exact"/>
              <w:ind w:left="103"/>
              <w:rPr>
                <w:szCs w:val="22"/>
              </w:rPr>
            </w:pPr>
            <w:r w:rsidRPr="004A3BBC">
              <w:rPr>
                <w:szCs w:val="22"/>
              </w:rPr>
              <w:t>dažnas</w:t>
            </w:r>
          </w:p>
        </w:tc>
      </w:tr>
      <w:tr w:rsidR="00DC4BB2" w:rsidRPr="00CF5157" w14:paraId="600E89E6" w14:textId="77777777" w:rsidTr="00D77DC4">
        <w:trPr>
          <w:trHeight w:val="280"/>
        </w:trPr>
        <w:tc>
          <w:tcPr>
            <w:tcW w:w="1191" w:type="dxa"/>
            <w:gridSpan w:val="2"/>
            <w:vMerge/>
          </w:tcPr>
          <w:p w14:paraId="1E5085D6" w14:textId="77777777" w:rsidR="00DC4BB2" w:rsidRPr="004A3BBC" w:rsidRDefault="00DC4BB2">
            <w:pPr>
              <w:rPr>
                <w:sz w:val="2"/>
                <w:szCs w:val="2"/>
                <w:lang w:eastAsia="sl-SI"/>
              </w:rPr>
            </w:pPr>
          </w:p>
        </w:tc>
        <w:tc>
          <w:tcPr>
            <w:tcW w:w="1695" w:type="dxa"/>
          </w:tcPr>
          <w:p w14:paraId="122B122D" w14:textId="77777777" w:rsidR="00DC4BB2" w:rsidRPr="004A3BBC" w:rsidRDefault="001C4737">
            <w:pPr>
              <w:widowControl w:val="0"/>
              <w:autoSpaceDE w:val="0"/>
              <w:autoSpaceDN w:val="0"/>
              <w:spacing w:before="29" w:line="239" w:lineRule="exact"/>
              <w:ind w:left="100"/>
              <w:rPr>
                <w:szCs w:val="22"/>
              </w:rPr>
            </w:pPr>
            <w:bookmarkStart w:id="27" w:name="_Hlk188618870"/>
            <w:r w:rsidRPr="004A3BBC">
              <w:rPr>
                <w:szCs w:val="22"/>
              </w:rPr>
              <w:t>Pan</w:t>
            </w:r>
            <w:bookmarkEnd w:id="27"/>
            <w:r w:rsidRPr="004A3BBC">
              <w:rPr>
                <w:szCs w:val="22"/>
              </w:rPr>
              <w:t>kreatitas</w:t>
            </w:r>
          </w:p>
        </w:tc>
        <w:tc>
          <w:tcPr>
            <w:tcW w:w="1696" w:type="dxa"/>
          </w:tcPr>
          <w:p w14:paraId="1964FB00" w14:textId="77777777" w:rsidR="00DC4BB2" w:rsidRPr="004A3BBC" w:rsidRDefault="00DC4BB2">
            <w:pPr>
              <w:widowControl w:val="0"/>
              <w:autoSpaceDE w:val="0"/>
              <w:autoSpaceDN w:val="0"/>
              <w:rPr>
                <w:szCs w:val="22"/>
              </w:rPr>
            </w:pPr>
          </w:p>
        </w:tc>
        <w:tc>
          <w:tcPr>
            <w:tcW w:w="1696" w:type="dxa"/>
          </w:tcPr>
          <w:p w14:paraId="51FE00BF" w14:textId="77777777" w:rsidR="00DC4BB2" w:rsidRPr="004A3BBC" w:rsidRDefault="00DC4BB2">
            <w:pPr>
              <w:widowControl w:val="0"/>
              <w:autoSpaceDE w:val="0"/>
              <w:autoSpaceDN w:val="0"/>
              <w:rPr>
                <w:szCs w:val="22"/>
              </w:rPr>
            </w:pPr>
          </w:p>
        </w:tc>
        <w:tc>
          <w:tcPr>
            <w:tcW w:w="1696" w:type="dxa"/>
          </w:tcPr>
          <w:p w14:paraId="186F7FBF" w14:textId="77777777" w:rsidR="00DC4BB2" w:rsidRPr="004A3BBC" w:rsidRDefault="001C4737">
            <w:pPr>
              <w:widowControl w:val="0"/>
              <w:autoSpaceDE w:val="0"/>
              <w:autoSpaceDN w:val="0"/>
              <w:spacing w:before="29" w:line="239" w:lineRule="exact"/>
              <w:ind w:left="102"/>
              <w:rPr>
                <w:szCs w:val="22"/>
              </w:rPr>
            </w:pPr>
            <w:r w:rsidRPr="00CF5157">
              <w:t>labai retas</w:t>
            </w:r>
          </w:p>
        </w:tc>
        <w:tc>
          <w:tcPr>
            <w:tcW w:w="1696" w:type="dxa"/>
          </w:tcPr>
          <w:p w14:paraId="08848C7F" w14:textId="77777777" w:rsidR="00DC4BB2" w:rsidRPr="004A3BBC" w:rsidRDefault="001C4737">
            <w:pPr>
              <w:widowControl w:val="0"/>
              <w:autoSpaceDE w:val="0"/>
              <w:autoSpaceDN w:val="0"/>
              <w:spacing w:before="34" w:line="236" w:lineRule="exact"/>
              <w:ind w:left="103"/>
              <w:rPr>
                <w:szCs w:val="22"/>
              </w:rPr>
            </w:pPr>
            <w:r w:rsidRPr="00CF5157">
              <w:t>labai retas</w:t>
            </w:r>
          </w:p>
        </w:tc>
      </w:tr>
      <w:tr w:rsidR="00DC4BB2" w:rsidRPr="00CF5157" w14:paraId="0737735C" w14:textId="77777777" w:rsidTr="00D77DC4">
        <w:trPr>
          <w:trHeight w:val="280"/>
        </w:trPr>
        <w:tc>
          <w:tcPr>
            <w:tcW w:w="1191" w:type="dxa"/>
            <w:gridSpan w:val="2"/>
            <w:vMerge/>
          </w:tcPr>
          <w:p w14:paraId="28CD2B60" w14:textId="77777777" w:rsidR="00DC4BB2" w:rsidRPr="004A3BBC" w:rsidRDefault="00DC4BB2">
            <w:pPr>
              <w:rPr>
                <w:sz w:val="2"/>
                <w:szCs w:val="2"/>
                <w:lang w:eastAsia="sl-SI"/>
              </w:rPr>
            </w:pPr>
          </w:p>
        </w:tc>
        <w:tc>
          <w:tcPr>
            <w:tcW w:w="1695" w:type="dxa"/>
          </w:tcPr>
          <w:p w14:paraId="6205CE26" w14:textId="77777777" w:rsidR="00DC4BB2" w:rsidRPr="004A3BBC" w:rsidRDefault="001C4737">
            <w:pPr>
              <w:widowControl w:val="0"/>
              <w:autoSpaceDE w:val="0"/>
              <w:autoSpaceDN w:val="0"/>
              <w:spacing w:before="29" w:line="239" w:lineRule="exact"/>
              <w:ind w:left="100"/>
              <w:rPr>
                <w:szCs w:val="22"/>
              </w:rPr>
            </w:pPr>
            <w:r w:rsidRPr="00CF5157">
              <w:t>Pasikeitęs tuštinimosi įpročiai</w:t>
            </w:r>
          </w:p>
        </w:tc>
        <w:tc>
          <w:tcPr>
            <w:tcW w:w="1696" w:type="dxa"/>
          </w:tcPr>
          <w:p w14:paraId="13C28490" w14:textId="77777777" w:rsidR="00DC4BB2" w:rsidRPr="004A3BBC" w:rsidRDefault="00DC4BB2">
            <w:pPr>
              <w:widowControl w:val="0"/>
              <w:autoSpaceDE w:val="0"/>
              <w:autoSpaceDN w:val="0"/>
              <w:rPr>
                <w:szCs w:val="22"/>
              </w:rPr>
            </w:pPr>
          </w:p>
        </w:tc>
        <w:tc>
          <w:tcPr>
            <w:tcW w:w="1696" w:type="dxa"/>
          </w:tcPr>
          <w:p w14:paraId="28644C59" w14:textId="77777777" w:rsidR="00DC4BB2" w:rsidRPr="004A3BBC" w:rsidRDefault="00DC4BB2">
            <w:pPr>
              <w:widowControl w:val="0"/>
              <w:autoSpaceDE w:val="0"/>
              <w:autoSpaceDN w:val="0"/>
              <w:rPr>
                <w:szCs w:val="22"/>
              </w:rPr>
            </w:pPr>
          </w:p>
        </w:tc>
        <w:tc>
          <w:tcPr>
            <w:tcW w:w="1696" w:type="dxa"/>
          </w:tcPr>
          <w:p w14:paraId="2AD1C97A" w14:textId="77777777" w:rsidR="00DC4BB2" w:rsidRPr="004A3BBC" w:rsidRDefault="00DC4BB2">
            <w:pPr>
              <w:widowControl w:val="0"/>
              <w:autoSpaceDE w:val="0"/>
              <w:autoSpaceDN w:val="0"/>
              <w:spacing w:before="29" w:line="239" w:lineRule="exact"/>
              <w:ind w:left="102"/>
              <w:rPr>
                <w:szCs w:val="22"/>
              </w:rPr>
            </w:pPr>
          </w:p>
        </w:tc>
        <w:tc>
          <w:tcPr>
            <w:tcW w:w="1696" w:type="dxa"/>
          </w:tcPr>
          <w:p w14:paraId="4D2B0A50" w14:textId="77777777" w:rsidR="00DC4BB2" w:rsidRPr="004A3BBC" w:rsidRDefault="001C4737">
            <w:pPr>
              <w:widowControl w:val="0"/>
              <w:autoSpaceDE w:val="0"/>
              <w:autoSpaceDN w:val="0"/>
              <w:spacing w:before="34" w:line="236" w:lineRule="exact"/>
              <w:ind w:left="103"/>
              <w:rPr>
                <w:szCs w:val="22"/>
              </w:rPr>
            </w:pPr>
            <w:r w:rsidRPr="004A3BBC">
              <w:rPr>
                <w:szCs w:val="22"/>
              </w:rPr>
              <w:t>dažnas</w:t>
            </w:r>
          </w:p>
        </w:tc>
      </w:tr>
      <w:tr w:rsidR="00DC4BB2" w:rsidRPr="00CF5157" w14:paraId="56653C6A" w14:textId="77777777" w:rsidTr="00D77DC4">
        <w:trPr>
          <w:trHeight w:val="280"/>
        </w:trPr>
        <w:tc>
          <w:tcPr>
            <w:tcW w:w="1191" w:type="dxa"/>
            <w:gridSpan w:val="2"/>
            <w:vMerge/>
          </w:tcPr>
          <w:p w14:paraId="75515128" w14:textId="77777777" w:rsidR="00DC4BB2" w:rsidRPr="004A3BBC" w:rsidRDefault="00DC4BB2">
            <w:pPr>
              <w:rPr>
                <w:sz w:val="2"/>
                <w:szCs w:val="2"/>
                <w:lang w:eastAsia="sl-SI"/>
              </w:rPr>
            </w:pPr>
          </w:p>
        </w:tc>
        <w:tc>
          <w:tcPr>
            <w:tcW w:w="1695" w:type="dxa"/>
          </w:tcPr>
          <w:p w14:paraId="4BA36956" w14:textId="77777777" w:rsidR="00DC4BB2" w:rsidRPr="004A3BBC" w:rsidRDefault="001C4737">
            <w:pPr>
              <w:widowControl w:val="0"/>
              <w:autoSpaceDE w:val="0"/>
              <w:autoSpaceDN w:val="0"/>
              <w:spacing w:before="29" w:line="239" w:lineRule="exact"/>
              <w:ind w:left="100"/>
              <w:rPr>
                <w:szCs w:val="22"/>
              </w:rPr>
            </w:pPr>
            <w:r w:rsidRPr="00CF5157">
              <w:t xml:space="preserve">Dantenų </w:t>
            </w:r>
            <w:proofErr w:type="spellStart"/>
            <w:r w:rsidRPr="00CF5157">
              <w:t>hiperplazija</w:t>
            </w:r>
            <w:proofErr w:type="spellEnd"/>
          </w:p>
        </w:tc>
        <w:tc>
          <w:tcPr>
            <w:tcW w:w="1696" w:type="dxa"/>
          </w:tcPr>
          <w:p w14:paraId="570CE12E" w14:textId="77777777" w:rsidR="00DC4BB2" w:rsidRPr="004A3BBC" w:rsidRDefault="00DC4BB2">
            <w:pPr>
              <w:widowControl w:val="0"/>
              <w:autoSpaceDE w:val="0"/>
              <w:autoSpaceDN w:val="0"/>
              <w:rPr>
                <w:szCs w:val="22"/>
              </w:rPr>
            </w:pPr>
          </w:p>
        </w:tc>
        <w:tc>
          <w:tcPr>
            <w:tcW w:w="1696" w:type="dxa"/>
          </w:tcPr>
          <w:p w14:paraId="242792DB" w14:textId="77777777" w:rsidR="00DC4BB2" w:rsidRPr="004A3BBC" w:rsidRDefault="00DC4BB2">
            <w:pPr>
              <w:widowControl w:val="0"/>
              <w:autoSpaceDE w:val="0"/>
              <w:autoSpaceDN w:val="0"/>
              <w:rPr>
                <w:szCs w:val="22"/>
              </w:rPr>
            </w:pPr>
          </w:p>
        </w:tc>
        <w:tc>
          <w:tcPr>
            <w:tcW w:w="1696" w:type="dxa"/>
          </w:tcPr>
          <w:p w14:paraId="1D3999AD" w14:textId="77777777" w:rsidR="00DC4BB2" w:rsidRPr="004A3BBC" w:rsidRDefault="00DC4BB2">
            <w:pPr>
              <w:widowControl w:val="0"/>
              <w:autoSpaceDE w:val="0"/>
              <w:autoSpaceDN w:val="0"/>
              <w:spacing w:before="29" w:line="239" w:lineRule="exact"/>
              <w:ind w:left="102"/>
              <w:rPr>
                <w:szCs w:val="22"/>
              </w:rPr>
            </w:pPr>
          </w:p>
        </w:tc>
        <w:tc>
          <w:tcPr>
            <w:tcW w:w="1696" w:type="dxa"/>
          </w:tcPr>
          <w:p w14:paraId="45C94B94" w14:textId="77777777" w:rsidR="00DC4BB2" w:rsidRPr="004A3BBC" w:rsidRDefault="001C4737">
            <w:pPr>
              <w:widowControl w:val="0"/>
              <w:autoSpaceDE w:val="0"/>
              <w:autoSpaceDN w:val="0"/>
              <w:spacing w:before="34" w:line="236" w:lineRule="exact"/>
              <w:ind w:left="103"/>
              <w:rPr>
                <w:szCs w:val="22"/>
              </w:rPr>
            </w:pPr>
            <w:r w:rsidRPr="004A3BBC">
              <w:rPr>
                <w:szCs w:val="22"/>
              </w:rPr>
              <w:t>labai retas</w:t>
            </w:r>
          </w:p>
        </w:tc>
      </w:tr>
      <w:tr w:rsidR="00DC4BB2" w:rsidRPr="00CF5157" w14:paraId="7134EF93" w14:textId="77777777" w:rsidTr="00D77DC4">
        <w:trPr>
          <w:trHeight w:val="760"/>
        </w:trPr>
        <w:tc>
          <w:tcPr>
            <w:tcW w:w="1191" w:type="dxa"/>
            <w:gridSpan w:val="2"/>
            <w:vMerge w:val="restart"/>
          </w:tcPr>
          <w:p w14:paraId="04CB8B93" w14:textId="77777777" w:rsidR="00DC4BB2" w:rsidRPr="004A3BBC" w:rsidRDefault="001C4737">
            <w:pPr>
              <w:widowControl w:val="0"/>
              <w:autoSpaceDE w:val="0"/>
              <w:autoSpaceDN w:val="0"/>
              <w:spacing w:line="242" w:lineRule="auto"/>
              <w:ind w:left="102" w:right="444"/>
              <w:rPr>
                <w:b/>
                <w:szCs w:val="22"/>
              </w:rPr>
            </w:pPr>
            <w:r w:rsidRPr="004A3BBC">
              <w:rPr>
                <w:b/>
                <w:szCs w:val="22"/>
              </w:rPr>
              <w:t>Kepenų, tulžies pūslės ir latakų sutrikimai</w:t>
            </w:r>
          </w:p>
        </w:tc>
        <w:tc>
          <w:tcPr>
            <w:tcW w:w="1695" w:type="dxa"/>
          </w:tcPr>
          <w:p w14:paraId="0FB62A72" w14:textId="77777777" w:rsidR="00DC4BB2" w:rsidRPr="004A3BBC" w:rsidRDefault="001C4737">
            <w:pPr>
              <w:widowControl w:val="0"/>
              <w:autoSpaceDE w:val="0"/>
              <w:autoSpaceDN w:val="0"/>
              <w:spacing w:line="246" w:lineRule="exact"/>
              <w:ind w:left="100"/>
              <w:rPr>
                <w:szCs w:val="22"/>
              </w:rPr>
            </w:pPr>
            <w:r w:rsidRPr="004A3BBC">
              <w:rPr>
                <w:szCs w:val="22"/>
              </w:rPr>
              <w:t>Nenormali kepenų funkcija (kepenų funkcijos sutrikimas)</w:t>
            </w:r>
          </w:p>
        </w:tc>
        <w:tc>
          <w:tcPr>
            <w:tcW w:w="1696" w:type="dxa"/>
          </w:tcPr>
          <w:p w14:paraId="5A87190D" w14:textId="77777777" w:rsidR="00DC4BB2" w:rsidRPr="004A3BBC" w:rsidRDefault="001C4737">
            <w:pPr>
              <w:widowControl w:val="0"/>
              <w:autoSpaceDE w:val="0"/>
              <w:autoSpaceDN w:val="0"/>
              <w:spacing w:before="1" w:line="246" w:lineRule="exact"/>
              <w:ind w:left="103"/>
              <w:rPr>
                <w:szCs w:val="22"/>
              </w:rPr>
            </w:pPr>
            <w:r w:rsidRPr="004A3BBC">
              <w:rPr>
                <w:szCs w:val="22"/>
              </w:rPr>
              <w:t>retas</w:t>
            </w:r>
            <w:r w:rsidRPr="004A3BBC">
              <w:rPr>
                <w:szCs w:val="22"/>
                <w:vertAlign w:val="superscript"/>
              </w:rPr>
              <w:t>2</w:t>
            </w:r>
          </w:p>
        </w:tc>
        <w:tc>
          <w:tcPr>
            <w:tcW w:w="1696" w:type="dxa"/>
          </w:tcPr>
          <w:p w14:paraId="0BD8E610" w14:textId="77777777" w:rsidR="00DC4BB2" w:rsidRPr="004A3BBC" w:rsidRDefault="001C4737">
            <w:pPr>
              <w:widowControl w:val="0"/>
              <w:autoSpaceDE w:val="0"/>
              <w:autoSpaceDN w:val="0"/>
              <w:spacing w:before="1" w:line="246" w:lineRule="exact"/>
              <w:ind w:left="102"/>
              <w:rPr>
                <w:szCs w:val="22"/>
              </w:rPr>
            </w:pPr>
            <w:r w:rsidRPr="004A3BBC">
              <w:rPr>
                <w:szCs w:val="22"/>
              </w:rPr>
              <w:t>retas</w:t>
            </w:r>
            <w:r w:rsidRPr="004A3BBC">
              <w:rPr>
                <w:szCs w:val="22"/>
                <w:vertAlign w:val="superscript"/>
              </w:rPr>
              <w:t>2</w:t>
            </w:r>
          </w:p>
        </w:tc>
        <w:tc>
          <w:tcPr>
            <w:tcW w:w="1696" w:type="dxa"/>
          </w:tcPr>
          <w:p w14:paraId="1AFE9B3A" w14:textId="77777777" w:rsidR="00DC4BB2" w:rsidRPr="004A3BBC" w:rsidRDefault="00DC4BB2">
            <w:pPr>
              <w:widowControl w:val="0"/>
              <w:autoSpaceDE w:val="0"/>
              <w:autoSpaceDN w:val="0"/>
              <w:rPr>
                <w:szCs w:val="22"/>
              </w:rPr>
            </w:pPr>
          </w:p>
        </w:tc>
        <w:tc>
          <w:tcPr>
            <w:tcW w:w="1696" w:type="dxa"/>
          </w:tcPr>
          <w:p w14:paraId="3495C861" w14:textId="77777777" w:rsidR="00DC4BB2" w:rsidRPr="004A3BBC" w:rsidRDefault="00DC4BB2">
            <w:pPr>
              <w:widowControl w:val="0"/>
              <w:autoSpaceDE w:val="0"/>
              <w:autoSpaceDN w:val="0"/>
              <w:spacing w:before="34" w:line="236" w:lineRule="exact"/>
              <w:ind w:left="103"/>
              <w:rPr>
                <w:szCs w:val="22"/>
              </w:rPr>
            </w:pPr>
          </w:p>
        </w:tc>
      </w:tr>
      <w:tr w:rsidR="00DC4BB2" w:rsidRPr="00CF5157" w14:paraId="733B3EA7" w14:textId="77777777" w:rsidTr="00D77DC4">
        <w:trPr>
          <w:trHeight w:val="280"/>
        </w:trPr>
        <w:tc>
          <w:tcPr>
            <w:tcW w:w="1191" w:type="dxa"/>
            <w:gridSpan w:val="2"/>
            <w:vMerge/>
          </w:tcPr>
          <w:p w14:paraId="16D7DF67" w14:textId="77777777" w:rsidR="00DC4BB2" w:rsidRPr="004A3BBC" w:rsidRDefault="00DC4BB2">
            <w:pPr>
              <w:rPr>
                <w:sz w:val="2"/>
                <w:szCs w:val="2"/>
                <w:lang w:eastAsia="sl-SI"/>
              </w:rPr>
            </w:pPr>
          </w:p>
        </w:tc>
        <w:tc>
          <w:tcPr>
            <w:tcW w:w="1695" w:type="dxa"/>
          </w:tcPr>
          <w:p w14:paraId="72A235C7" w14:textId="77777777" w:rsidR="00DC4BB2" w:rsidRPr="004A3BBC" w:rsidRDefault="001C4737">
            <w:pPr>
              <w:widowControl w:val="0"/>
              <w:autoSpaceDE w:val="0"/>
              <w:autoSpaceDN w:val="0"/>
              <w:spacing w:before="29" w:line="239" w:lineRule="exact"/>
              <w:ind w:left="100"/>
              <w:rPr>
                <w:szCs w:val="22"/>
              </w:rPr>
            </w:pPr>
            <w:r w:rsidRPr="004A3BBC">
              <w:rPr>
                <w:szCs w:val="22"/>
              </w:rPr>
              <w:t>Gelta</w:t>
            </w:r>
          </w:p>
        </w:tc>
        <w:tc>
          <w:tcPr>
            <w:tcW w:w="1696" w:type="dxa"/>
          </w:tcPr>
          <w:p w14:paraId="53F5F872" w14:textId="77777777" w:rsidR="00DC4BB2" w:rsidRPr="004A3BBC" w:rsidRDefault="00DC4BB2">
            <w:pPr>
              <w:widowControl w:val="0"/>
              <w:autoSpaceDE w:val="0"/>
              <w:autoSpaceDN w:val="0"/>
              <w:rPr>
                <w:szCs w:val="22"/>
              </w:rPr>
            </w:pPr>
          </w:p>
        </w:tc>
        <w:tc>
          <w:tcPr>
            <w:tcW w:w="1696" w:type="dxa"/>
          </w:tcPr>
          <w:p w14:paraId="1E490FA6" w14:textId="77777777" w:rsidR="00DC4BB2" w:rsidRPr="004A3BBC" w:rsidRDefault="00DC4BB2">
            <w:pPr>
              <w:widowControl w:val="0"/>
              <w:autoSpaceDE w:val="0"/>
              <w:autoSpaceDN w:val="0"/>
              <w:rPr>
                <w:szCs w:val="22"/>
              </w:rPr>
            </w:pPr>
          </w:p>
        </w:tc>
        <w:tc>
          <w:tcPr>
            <w:tcW w:w="1696" w:type="dxa"/>
          </w:tcPr>
          <w:p w14:paraId="73EA0BCC" w14:textId="77777777" w:rsidR="00DC4BB2" w:rsidRPr="004A3BBC" w:rsidRDefault="001C4737">
            <w:pPr>
              <w:widowControl w:val="0"/>
              <w:autoSpaceDE w:val="0"/>
              <w:autoSpaceDN w:val="0"/>
              <w:spacing w:before="29" w:line="239" w:lineRule="exact"/>
              <w:ind w:left="102"/>
              <w:rPr>
                <w:szCs w:val="22"/>
              </w:rPr>
            </w:pPr>
            <w:r w:rsidRPr="004A3BBC">
              <w:rPr>
                <w:szCs w:val="22"/>
              </w:rPr>
              <w:t>retas</w:t>
            </w:r>
          </w:p>
        </w:tc>
        <w:tc>
          <w:tcPr>
            <w:tcW w:w="1696" w:type="dxa"/>
          </w:tcPr>
          <w:p w14:paraId="74D38FA9" w14:textId="77777777" w:rsidR="00DC4BB2" w:rsidRPr="004A3BBC" w:rsidRDefault="001C4737">
            <w:pPr>
              <w:widowControl w:val="0"/>
              <w:autoSpaceDE w:val="0"/>
              <w:autoSpaceDN w:val="0"/>
              <w:spacing w:before="34" w:line="236" w:lineRule="exact"/>
              <w:ind w:left="103"/>
              <w:rPr>
                <w:szCs w:val="22"/>
              </w:rPr>
            </w:pPr>
            <w:r w:rsidRPr="00CF5157">
              <w:t>labai retas</w:t>
            </w:r>
          </w:p>
        </w:tc>
      </w:tr>
      <w:tr w:rsidR="00DC4BB2" w:rsidRPr="00CF5157" w14:paraId="1513983F" w14:textId="77777777" w:rsidTr="00D77DC4">
        <w:trPr>
          <w:trHeight w:val="280"/>
        </w:trPr>
        <w:tc>
          <w:tcPr>
            <w:tcW w:w="1191" w:type="dxa"/>
            <w:gridSpan w:val="2"/>
            <w:vMerge/>
          </w:tcPr>
          <w:p w14:paraId="42DF7B0A" w14:textId="77777777" w:rsidR="00DC4BB2" w:rsidRPr="004A3BBC" w:rsidRDefault="00DC4BB2">
            <w:pPr>
              <w:rPr>
                <w:sz w:val="2"/>
                <w:szCs w:val="2"/>
                <w:lang w:eastAsia="sl-SI"/>
              </w:rPr>
            </w:pPr>
          </w:p>
        </w:tc>
        <w:tc>
          <w:tcPr>
            <w:tcW w:w="1695" w:type="dxa"/>
          </w:tcPr>
          <w:p w14:paraId="127FF78B" w14:textId="77777777" w:rsidR="00DC4BB2" w:rsidRPr="004A3BBC" w:rsidRDefault="001C4737">
            <w:pPr>
              <w:widowControl w:val="0"/>
              <w:autoSpaceDE w:val="0"/>
              <w:autoSpaceDN w:val="0"/>
              <w:spacing w:before="29" w:line="241" w:lineRule="exact"/>
              <w:ind w:left="100"/>
              <w:rPr>
                <w:szCs w:val="22"/>
              </w:rPr>
            </w:pPr>
            <w:bookmarkStart w:id="28" w:name="_Hlk188618904"/>
            <w:proofErr w:type="spellStart"/>
            <w:r w:rsidRPr="004A3BBC">
              <w:rPr>
                <w:szCs w:val="22"/>
              </w:rPr>
              <w:t>Cholesta</w:t>
            </w:r>
            <w:bookmarkEnd w:id="28"/>
            <w:r w:rsidRPr="004A3BBC">
              <w:rPr>
                <w:szCs w:val="22"/>
              </w:rPr>
              <w:t>zė</w:t>
            </w:r>
            <w:proofErr w:type="spellEnd"/>
          </w:p>
        </w:tc>
        <w:tc>
          <w:tcPr>
            <w:tcW w:w="1696" w:type="dxa"/>
          </w:tcPr>
          <w:p w14:paraId="524838DB" w14:textId="77777777" w:rsidR="00DC4BB2" w:rsidRPr="004A3BBC" w:rsidRDefault="00DC4BB2">
            <w:pPr>
              <w:widowControl w:val="0"/>
              <w:autoSpaceDE w:val="0"/>
              <w:autoSpaceDN w:val="0"/>
              <w:rPr>
                <w:szCs w:val="22"/>
              </w:rPr>
            </w:pPr>
          </w:p>
        </w:tc>
        <w:tc>
          <w:tcPr>
            <w:tcW w:w="1696" w:type="dxa"/>
          </w:tcPr>
          <w:p w14:paraId="37BA0D97" w14:textId="77777777" w:rsidR="00DC4BB2" w:rsidRPr="004A3BBC" w:rsidRDefault="00DC4BB2">
            <w:pPr>
              <w:widowControl w:val="0"/>
              <w:autoSpaceDE w:val="0"/>
              <w:autoSpaceDN w:val="0"/>
              <w:rPr>
                <w:szCs w:val="22"/>
              </w:rPr>
            </w:pPr>
          </w:p>
        </w:tc>
        <w:tc>
          <w:tcPr>
            <w:tcW w:w="1696" w:type="dxa"/>
          </w:tcPr>
          <w:p w14:paraId="77A82023" w14:textId="77777777" w:rsidR="00DC4BB2" w:rsidRPr="004A3BBC" w:rsidRDefault="001C4737">
            <w:pPr>
              <w:widowControl w:val="0"/>
              <w:autoSpaceDE w:val="0"/>
              <w:autoSpaceDN w:val="0"/>
              <w:spacing w:before="29" w:line="241" w:lineRule="exact"/>
              <w:ind w:left="102"/>
              <w:rPr>
                <w:szCs w:val="22"/>
              </w:rPr>
            </w:pPr>
            <w:r w:rsidRPr="004A3BBC">
              <w:rPr>
                <w:szCs w:val="22"/>
              </w:rPr>
              <w:t>retas</w:t>
            </w:r>
          </w:p>
        </w:tc>
        <w:tc>
          <w:tcPr>
            <w:tcW w:w="1696" w:type="dxa"/>
          </w:tcPr>
          <w:p w14:paraId="07E5C718" w14:textId="77777777" w:rsidR="00DC4BB2" w:rsidRPr="004A3BBC" w:rsidRDefault="001C4737">
            <w:pPr>
              <w:widowControl w:val="0"/>
              <w:autoSpaceDE w:val="0"/>
              <w:autoSpaceDN w:val="0"/>
              <w:spacing w:before="34" w:line="236" w:lineRule="exact"/>
              <w:ind w:left="103"/>
              <w:rPr>
                <w:szCs w:val="22"/>
              </w:rPr>
            </w:pPr>
            <w:r w:rsidRPr="00CF5157">
              <w:t>labai retas</w:t>
            </w:r>
          </w:p>
        </w:tc>
      </w:tr>
      <w:tr w:rsidR="00DC4BB2" w:rsidRPr="00CF5157" w14:paraId="560F776E" w14:textId="77777777" w:rsidTr="00D77DC4">
        <w:trPr>
          <w:trHeight w:val="280"/>
        </w:trPr>
        <w:tc>
          <w:tcPr>
            <w:tcW w:w="1191" w:type="dxa"/>
            <w:gridSpan w:val="2"/>
            <w:vMerge/>
          </w:tcPr>
          <w:p w14:paraId="2BC46907" w14:textId="77777777" w:rsidR="00DC4BB2" w:rsidRPr="004A3BBC" w:rsidRDefault="00DC4BB2">
            <w:pPr>
              <w:rPr>
                <w:sz w:val="2"/>
                <w:szCs w:val="2"/>
                <w:lang w:eastAsia="sl-SI"/>
              </w:rPr>
            </w:pPr>
          </w:p>
        </w:tc>
        <w:tc>
          <w:tcPr>
            <w:tcW w:w="1695" w:type="dxa"/>
          </w:tcPr>
          <w:p w14:paraId="28FDF79A" w14:textId="77777777" w:rsidR="00DC4BB2" w:rsidRPr="004A3BBC" w:rsidRDefault="001C4737">
            <w:pPr>
              <w:widowControl w:val="0"/>
              <w:autoSpaceDE w:val="0"/>
              <w:autoSpaceDN w:val="0"/>
              <w:spacing w:before="29" w:line="241" w:lineRule="exact"/>
              <w:ind w:left="100"/>
              <w:rPr>
                <w:szCs w:val="22"/>
              </w:rPr>
            </w:pPr>
            <w:bookmarkStart w:id="29" w:name="_Hlk188618909"/>
            <w:r w:rsidRPr="004A3BBC">
              <w:rPr>
                <w:szCs w:val="22"/>
              </w:rPr>
              <w:t>Hepatit</w:t>
            </w:r>
            <w:bookmarkEnd w:id="29"/>
            <w:r w:rsidRPr="004A3BBC">
              <w:rPr>
                <w:szCs w:val="22"/>
              </w:rPr>
              <w:t>as</w:t>
            </w:r>
          </w:p>
        </w:tc>
        <w:tc>
          <w:tcPr>
            <w:tcW w:w="1696" w:type="dxa"/>
          </w:tcPr>
          <w:p w14:paraId="3210A26B" w14:textId="77777777" w:rsidR="00DC4BB2" w:rsidRPr="004A3BBC" w:rsidRDefault="00DC4BB2">
            <w:pPr>
              <w:widowControl w:val="0"/>
              <w:autoSpaceDE w:val="0"/>
              <w:autoSpaceDN w:val="0"/>
              <w:rPr>
                <w:szCs w:val="22"/>
              </w:rPr>
            </w:pPr>
          </w:p>
        </w:tc>
        <w:tc>
          <w:tcPr>
            <w:tcW w:w="1696" w:type="dxa"/>
          </w:tcPr>
          <w:p w14:paraId="4333A3AF" w14:textId="77777777" w:rsidR="00DC4BB2" w:rsidRPr="004A3BBC" w:rsidRDefault="00DC4BB2">
            <w:pPr>
              <w:widowControl w:val="0"/>
              <w:autoSpaceDE w:val="0"/>
              <w:autoSpaceDN w:val="0"/>
              <w:rPr>
                <w:szCs w:val="22"/>
              </w:rPr>
            </w:pPr>
          </w:p>
        </w:tc>
        <w:tc>
          <w:tcPr>
            <w:tcW w:w="1696" w:type="dxa"/>
          </w:tcPr>
          <w:p w14:paraId="2F1B4EFC" w14:textId="77777777" w:rsidR="00DC4BB2" w:rsidRPr="004A3BBC" w:rsidRDefault="00DC4BB2">
            <w:pPr>
              <w:widowControl w:val="0"/>
              <w:autoSpaceDE w:val="0"/>
              <w:autoSpaceDN w:val="0"/>
              <w:spacing w:before="29" w:line="241" w:lineRule="exact"/>
              <w:ind w:left="102"/>
              <w:rPr>
                <w:szCs w:val="22"/>
              </w:rPr>
            </w:pPr>
          </w:p>
        </w:tc>
        <w:tc>
          <w:tcPr>
            <w:tcW w:w="1696" w:type="dxa"/>
          </w:tcPr>
          <w:p w14:paraId="45B1EE4A" w14:textId="77777777" w:rsidR="00DC4BB2" w:rsidRPr="004A3BBC" w:rsidRDefault="001C4737">
            <w:pPr>
              <w:widowControl w:val="0"/>
              <w:autoSpaceDE w:val="0"/>
              <w:autoSpaceDN w:val="0"/>
              <w:spacing w:before="34" w:line="236" w:lineRule="exact"/>
              <w:ind w:left="103"/>
              <w:rPr>
                <w:szCs w:val="22"/>
              </w:rPr>
            </w:pPr>
            <w:r w:rsidRPr="00CF5157">
              <w:t>labai retas</w:t>
            </w:r>
          </w:p>
        </w:tc>
      </w:tr>
      <w:tr w:rsidR="00DC4BB2" w:rsidRPr="00CF5157" w14:paraId="0A0E5370" w14:textId="77777777" w:rsidTr="00D77DC4">
        <w:trPr>
          <w:trHeight w:val="301"/>
        </w:trPr>
        <w:tc>
          <w:tcPr>
            <w:tcW w:w="1191" w:type="dxa"/>
            <w:gridSpan w:val="2"/>
            <w:vMerge w:val="restart"/>
          </w:tcPr>
          <w:p w14:paraId="2A659C0A" w14:textId="77777777" w:rsidR="00DC4BB2" w:rsidRPr="004A3BBC" w:rsidRDefault="001C4737">
            <w:pPr>
              <w:widowControl w:val="0"/>
              <w:autoSpaceDE w:val="0"/>
              <w:autoSpaceDN w:val="0"/>
              <w:ind w:left="102" w:right="291"/>
              <w:rPr>
                <w:b/>
                <w:szCs w:val="22"/>
              </w:rPr>
            </w:pPr>
            <w:r w:rsidRPr="004A3BBC">
              <w:rPr>
                <w:b/>
                <w:szCs w:val="22"/>
              </w:rPr>
              <w:t>Odos ir poodinio audinio sutrikimai</w:t>
            </w:r>
          </w:p>
        </w:tc>
        <w:tc>
          <w:tcPr>
            <w:tcW w:w="1695" w:type="dxa"/>
          </w:tcPr>
          <w:p w14:paraId="172006C0" w14:textId="77777777" w:rsidR="00DC4BB2" w:rsidRPr="004A3BBC" w:rsidRDefault="001C4737">
            <w:pPr>
              <w:widowControl w:val="0"/>
              <w:autoSpaceDE w:val="0"/>
              <w:autoSpaceDN w:val="0"/>
              <w:ind w:left="100" w:right="571"/>
              <w:rPr>
                <w:szCs w:val="22"/>
              </w:rPr>
            </w:pPr>
            <w:proofErr w:type="spellStart"/>
            <w:r w:rsidRPr="004A3BBC">
              <w:rPr>
                <w:szCs w:val="22"/>
              </w:rPr>
              <w:t>Angioneurozinė</w:t>
            </w:r>
            <w:proofErr w:type="spellEnd"/>
            <w:r w:rsidRPr="004A3BBC">
              <w:rPr>
                <w:szCs w:val="22"/>
              </w:rPr>
              <w:t xml:space="preserve"> edema (įskaitant mirtiną)</w:t>
            </w:r>
          </w:p>
        </w:tc>
        <w:tc>
          <w:tcPr>
            <w:tcW w:w="1696" w:type="dxa"/>
          </w:tcPr>
          <w:p w14:paraId="42AFA26E" w14:textId="77777777" w:rsidR="00DC4BB2" w:rsidRPr="004A3BBC" w:rsidRDefault="001C4737">
            <w:pPr>
              <w:widowControl w:val="0"/>
              <w:autoSpaceDE w:val="0"/>
              <w:autoSpaceDN w:val="0"/>
              <w:spacing w:line="241" w:lineRule="exact"/>
              <w:ind w:left="103"/>
              <w:rPr>
                <w:szCs w:val="22"/>
              </w:rPr>
            </w:pPr>
            <w:r w:rsidRPr="004A3BBC">
              <w:rPr>
                <w:szCs w:val="22"/>
              </w:rPr>
              <w:t>retas</w:t>
            </w:r>
          </w:p>
        </w:tc>
        <w:tc>
          <w:tcPr>
            <w:tcW w:w="1696" w:type="dxa"/>
          </w:tcPr>
          <w:p w14:paraId="66F73604" w14:textId="77777777" w:rsidR="00DC4BB2" w:rsidRPr="004A3BBC" w:rsidRDefault="001C4737">
            <w:pPr>
              <w:widowControl w:val="0"/>
              <w:autoSpaceDE w:val="0"/>
              <w:autoSpaceDN w:val="0"/>
              <w:spacing w:line="241" w:lineRule="exact"/>
              <w:ind w:left="103"/>
              <w:rPr>
                <w:szCs w:val="22"/>
              </w:rPr>
            </w:pPr>
            <w:r w:rsidRPr="004A3BBC">
              <w:rPr>
                <w:szCs w:val="22"/>
              </w:rPr>
              <w:t>retas</w:t>
            </w:r>
          </w:p>
        </w:tc>
        <w:tc>
          <w:tcPr>
            <w:tcW w:w="1696" w:type="dxa"/>
          </w:tcPr>
          <w:p w14:paraId="34E03269" w14:textId="77777777" w:rsidR="00DC4BB2" w:rsidRPr="004A3BBC" w:rsidRDefault="00DC4BB2">
            <w:pPr>
              <w:widowControl w:val="0"/>
              <w:autoSpaceDE w:val="0"/>
              <w:autoSpaceDN w:val="0"/>
              <w:rPr>
                <w:szCs w:val="22"/>
              </w:rPr>
            </w:pPr>
          </w:p>
        </w:tc>
        <w:tc>
          <w:tcPr>
            <w:tcW w:w="1696" w:type="dxa"/>
          </w:tcPr>
          <w:p w14:paraId="17FAC2C2" w14:textId="77777777" w:rsidR="00DC4BB2" w:rsidRPr="004A3BBC" w:rsidRDefault="001C4737">
            <w:pPr>
              <w:widowControl w:val="0"/>
              <w:autoSpaceDE w:val="0"/>
              <w:autoSpaceDN w:val="0"/>
              <w:spacing w:before="34" w:line="236" w:lineRule="exact"/>
              <w:ind w:left="103"/>
              <w:rPr>
                <w:szCs w:val="22"/>
              </w:rPr>
            </w:pPr>
            <w:r w:rsidRPr="00CF5157">
              <w:t>labai retas</w:t>
            </w:r>
          </w:p>
        </w:tc>
      </w:tr>
      <w:tr w:rsidR="00DC4BB2" w:rsidRPr="00CF5157" w14:paraId="5CC3586D" w14:textId="77777777" w:rsidTr="00D77DC4">
        <w:trPr>
          <w:trHeight w:val="280"/>
        </w:trPr>
        <w:tc>
          <w:tcPr>
            <w:tcW w:w="1191" w:type="dxa"/>
            <w:gridSpan w:val="2"/>
            <w:vMerge/>
          </w:tcPr>
          <w:p w14:paraId="62A3A3B0" w14:textId="77777777" w:rsidR="00DC4BB2" w:rsidRPr="004A3BBC" w:rsidRDefault="00DC4BB2">
            <w:pPr>
              <w:rPr>
                <w:sz w:val="2"/>
                <w:szCs w:val="2"/>
                <w:lang w:eastAsia="sl-SI"/>
              </w:rPr>
            </w:pPr>
          </w:p>
        </w:tc>
        <w:tc>
          <w:tcPr>
            <w:tcW w:w="1695" w:type="dxa"/>
          </w:tcPr>
          <w:p w14:paraId="3ACB7306" w14:textId="77777777" w:rsidR="00DC4BB2" w:rsidRPr="004A3BBC" w:rsidRDefault="001C4737">
            <w:pPr>
              <w:widowControl w:val="0"/>
              <w:autoSpaceDE w:val="0"/>
              <w:autoSpaceDN w:val="0"/>
              <w:spacing w:before="29" w:line="239" w:lineRule="exact"/>
              <w:ind w:left="100"/>
              <w:rPr>
                <w:szCs w:val="22"/>
              </w:rPr>
            </w:pPr>
            <w:r w:rsidRPr="004A3BBC">
              <w:rPr>
                <w:szCs w:val="22"/>
              </w:rPr>
              <w:t>Raudonė (</w:t>
            </w:r>
            <w:proofErr w:type="spellStart"/>
            <w:r w:rsidRPr="004A3BBC">
              <w:rPr>
                <w:szCs w:val="22"/>
              </w:rPr>
              <w:t>eritema</w:t>
            </w:r>
            <w:proofErr w:type="spellEnd"/>
            <w:r w:rsidRPr="004A3BBC">
              <w:rPr>
                <w:szCs w:val="22"/>
              </w:rPr>
              <w:t>)</w:t>
            </w:r>
          </w:p>
        </w:tc>
        <w:tc>
          <w:tcPr>
            <w:tcW w:w="1696" w:type="dxa"/>
          </w:tcPr>
          <w:p w14:paraId="2A089016" w14:textId="77777777" w:rsidR="00DC4BB2" w:rsidRPr="004A3BBC" w:rsidRDefault="001C4737">
            <w:pPr>
              <w:widowControl w:val="0"/>
              <w:autoSpaceDE w:val="0"/>
              <w:autoSpaceDN w:val="0"/>
              <w:spacing w:before="29" w:line="239" w:lineRule="exact"/>
              <w:ind w:left="103"/>
              <w:rPr>
                <w:szCs w:val="22"/>
              </w:rPr>
            </w:pPr>
            <w:r w:rsidRPr="004A3BBC">
              <w:rPr>
                <w:szCs w:val="22"/>
              </w:rPr>
              <w:t>retas</w:t>
            </w:r>
          </w:p>
        </w:tc>
        <w:tc>
          <w:tcPr>
            <w:tcW w:w="1696" w:type="dxa"/>
          </w:tcPr>
          <w:p w14:paraId="258C6CD7" w14:textId="77777777" w:rsidR="00DC4BB2" w:rsidRPr="004A3BBC" w:rsidRDefault="001C4737">
            <w:pPr>
              <w:widowControl w:val="0"/>
              <w:autoSpaceDE w:val="0"/>
              <w:autoSpaceDN w:val="0"/>
              <w:spacing w:line="241" w:lineRule="exact"/>
              <w:ind w:left="103"/>
              <w:rPr>
                <w:szCs w:val="22"/>
              </w:rPr>
            </w:pPr>
            <w:r w:rsidRPr="004A3BBC">
              <w:rPr>
                <w:szCs w:val="22"/>
              </w:rPr>
              <w:t>retas</w:t>
            </w:r>
          </w:p>
        </w:tc>
        <w:tc>
          <w:tcPr>
            <w:tcW w:w="1696" w:type="dxa"/>
          </w:tcPr>
          <w:p w14:paraId="17384D93" w14:textId="77777777" w:rsidR="00DC4BB2" w:rsidRPr="004A3BBC" w:rsidRDefault="00DC4BB2">
            <w:pPr>
              <w:widowControl w:val="0"/>
              <w:autoSpaceDE w:val="0"/>
              <w:autoSpaceDN w:val="0"/>
              <w:rPr>
                <w:szCs w:val="22"/>
              </w:rPr>
            </w:pPr>
          </w:p>
        </w:tc>
        <w:tc>
          <w:tcPr>
            <w:tcW w:w="1696" w:type="dxa"/>
          </w:tcPr>
          <w:p w14:paraId="6604AF3B" w14:textId="77777777" w:rsidR="00DC4BB2" w:rsidRPr="004A3BBC" w:rsidRDefault="00DC4BB2">
            <w:pPr>
              <w:widowControl w:val="0"/>
              <w:autoSpaceDE w:val="0"/>
              <w:autoSpaceDN w:val="0"/>
              <w:spacing w:before="34" w:line="236" w:lineRule="exact"/>
              <w:ind w:left="103"/>
              <w:rPr>
                <w:szCs w:val="22"/>
              </w:rPr>
            </w:pPr>
          </w:p>
        </w:tc>
      </w:tr>
      <w:tr w:rsidR="00DC4BB2" w:rsidRPr="00CF5157" w14:paraId="2EF011E6" w14:textId="77777777" w:rsidTr="00D77DC4">
        <w:trPr>
          <w:trHeight w:val="280"/>
        </w:trPr>
        <w:tc>
          <w:tcPr>
            <w:tcW w:w="1191" w:type="dxa"/>
            <w:gridSpan w:val="2"/>
            <w:vMerge/>
          </w:tcPr>
          <w:p w14:paraId="4D244050" w14:textId="77777777" w:rsidR="00DC4BB2" w:rsidRPr="004A3BBC" w:rsidRDefault="00DC4BB2">
            <w:pPr>
              <w:rPr>
                <w:sz w:val="2"/>
                <w:szCs w:val="2"/>
                <w:lang w:eastAsia="sl-SI"/>
              </w:rPr>
            </w:pPr>
          </w:p>
        </w:tc>
        <w:tc>
          <w:tcPr>
            <w:tcW w:w="1695" w:type="dxa"/>
          </w:tcPr>
          <w:p w14:paraId="02C41A6D" w14:textId="77777777" w:rsidR="00DC4BB2" w:rsidRPr="004A3BBC" w:rsidRDefault="001C4737">
            <w:pPr>
              <w:widowControl w:val="0"/>
              <w:autoSpaceDE w:val="0"/>
              <w:autoSpaceDN w:val="0"/>
              <w:spacing w:before="31" w:line="239" w:lineRule="exact"/>
              <w:ind w:left="100"/>
              <w:rPr>
                <w:szCs w:val="22"/>
              </w:rPr>
            </w:pPr>
            <w:r w:rsidRPr="004A3BBC">
              <w:rPr>
                <w:szCs w:val="22"/>
              </w:rPr>
              <w:t>Niežėjimas</w:t>
            </w:r>
          </w:p>
        </w:tc>
        <w:tc>
          <w:tcPr>
            <w:tcW w:w="1696" w:type="dxa"/>
          </w:tcPr>
          <w:p w14:paraId="38368783" w14:textId="77777777" w:rsidR="00DC4BB2" w:rsidRPr="004A3BBC" w:rsidRDefault="001C4737">
            <w:pPr>
              <w:widowControl w:val="0"/>
              <w:autoSpaceDE w:val="0"/>
              <w:autoSpaceDN w:val="0"/>
              <w:spacing w:before="31" w:line="239" w:lineRule="exact"/>
              <w:ind w:left="103"/>
              <w:rPr>
                <w:szCs w:val="22"/>
              </w:rPr>
            </w:pPr>
            <w:r w:rsidRPr="004A3BBC">
              <w:rPr>
                <w:szCs w:val="22"/>
              </w:rPr>
              <w:t>retas</w:t>
            </w:r>
          </w:p>
        </w:tc>
        <w:tc>
          <w:tcPr>
            <w:tcW w:w="1696" w:type="dxa"/>
          </w:tcPr>
          <w:p w14:paraId="1EF9841C" w14:textId="77777777" w:rsidR="00DC4BB2" w:rsidRPr="004A3BBC" w:rsidRDefault="001C4737">
            <w:pPr>
              <w:widowControl w:val="0"/>
              <w:autoSpaceDE w:val="0"/>
              <w:autoSpaceDN w:val="0"/>
              <w:spacing w:before="31" w:line="239" w:lineRule="exact"/>
              <w:ind w:left="102"/>
              <w:rPr>
                <w:szCs w:val="22"/>
              </w:rPr>
            </w:pPr>
            <w:r w:rsidRPr="00CF5157">
              <w:t>nedažnas</w:t>
            </w:r>
          </w:p>
        </w:tc>
        <w:tc>
          <w:tcPr>
            <w:tcW w:w="1696" w:type="dxa"/>
          </w:tcPr>
          <w:p w14:paraId="654DF6A5" w14:textId="77777777" w:rsidR="00DC4BB2" w:rsidRPr="004A3BBC" w:rsidRDefault="00DC4BB2">
            <w:pPr>
              <w:widowControl w:val="0"/>
              <w:autoSpaceDE w:val="0"/>
              <w:autoSpaceDN w:val="0"/>
              <w:rPr>
                <w:szCs w:val="22"/>
              </w:rPr>
            </w:pPr>
          </w:p>
        </w:tc>
        <w:tc>
          <w:tcPr>
            <w:tcW w:w="1696" w:type="dxa"/>
          </w:tcPr>
          <w:p w14:paraId="7AFBF4ED" w14:textId="77777777" w:rsidR="00DC4BB2" w:rsidRPr="004A3BBC" w:rsidRDefault="001C4737">
            <w:pPr>
              <w:widowControl w:val="0"/>
              <w:autoSpaceDE w:val="0"/>
              <w:autoSpaceDN w:val="0"/>
              <w:spacing w:before="34" w:line="236" w:lineRule="exact"/>
              <w:ind w:left="103"/>
              <w:rPr>
                <w:szCs w:val="22"/>
              </w:rPr>
            </w:pPr>
            <w:r w:rsidRPr="00CF5157">
              <w:t>nedažnas</w:t>
            </w:r>
          </w:p>
        </w:tc>
      </w:tr>
      <w:tr w:rsidR="00DC4BB2" w:rsidRPr="00CF5157" w14:paraId="204446B7" w14:textId="77777777" w:rsidTr="00D77DC4">
        <w:trPr>
          <w:trHeight w:val="280"/>
        </w:trPr>
        <w:tc>
          <w:tcPr>
            <w:tcW w:w="1191" w:type="dxa"/>
            <w:gridSpan w:val="2"/>
            <w:vMerge/>
          </w:tcPr>
          <w:p w14:paraId="4AEB6A50" w14:textId="77777777" w:rsidR="00DC4BB2" w:rsidRPr="004A3BBC" w:rsidRDefault="00DC4BB2">
            <w:pPr>
              <w:rPr>
                <w:sz w:val="2"/>
                <w:szCs w:val="2"/>
                <w:lang w:eastAsia="sl-SI"/>
              </w:rPr>
            </w:pPr>
          </w:p>
        </w:tc>
        <w:tc>
          <w:tcPr>
            <w:tcW w:w="1695" w:type="dxa"/>
          </w:tcPr>
          <w:p w14:paraId="445A5D06" w14:textId="77777777" w:rsidR="00DC4BB2" w:rsidRPr="004A3BBC" w:rsidRDefault="001C4737">
            <w:pPr>
              <w:widowControl w:val="0"/>
              <w:autoSpaceDE w:val="0"/>
              <w:autoSpaceDN w:val="0"/>
              <w:spacing w:before="29" w:line="241" w:lineRule="exact"/>
              <w:ind w:left="100"/>
              <w:rPr>
                <w:szCs w:val="22"/>
              </w:rPr>
            </w:pPr>
            <w:r w:rsidRPr="004A3BBC">
              <w:rPr>
                <w:szCs w:val="22"/>
              </w:rPr>
              <w:t>Išbėrimas</w:t>
            </w:r>
          </w:p>
        </w:tc>
        <w:tc>
          <w:tcPr>
            <w:tcW w:w="1696" w:type="dxa"/>
          </w:tcPr>
          <w:p w14:paraId="59AF807A" w14:textId="77777777" w:rsidR="00DC4BB2" w:rsidRPr="004A3BBC" w:rsidRDefault="001C4737">
            <w:pPr>
              <w:widowControl w:val="0"/>
              <w:autoSpaceDE w:val="0"/>
              <w:autoSpaceDN w:val="0"/>
              <w:spacing w:before="29" w:line="241" w:lineRule="exact"/>
              <w:ind w:left="103"/>
              <w:rPr>
                <w:szCs w:val="22"/>
              </w:rPr>
            </w:pPr>
            <w:r w:rsidRPr="004A3BBC">
              <w:rPr>
                <w:szCs w:val="22"/>
              </w:rPr>
              <w:t>retas</w:t>
            </w:r>
          </w:p>
        </w:tc>
        <w:tc>
          <w:tcPr>
            <w:tcW w:w="1696" w:type="dxa"/>
          </w:tcPr>
          <w:p w14:paraId="3CE0A53B" w14:textId="77777777" w:rsidR="00DC4BB2" w:rsidRPr="004A3BBC" w:rsidRDefault="001C4737">
            <w:pPr>
              <w:widowControl w:val="0"/>
              <w:autoSpaceDE w:val="0"/>
              <w:autoSpaceDN w:val="0"/>
              <w:spacing w:before="29" w:line="241" w:lineRule="exact"/>
              <w:ind w:left="102"/>
              <w:rPr>
                <w:szCs w:val="22"/>
              </w:rPr>
            </w:pPr>
            <w:r w:rsidRPr="00CF5157">
              <w:t>nedažnas</w:t>
            </w:r>
          </w:p>
        </w:tc>
        <w:tc>
          <w:tcPr>
            <w:tcW w:w="1696" w:type="dxa"/>
          </w:tcPr>
          <w:p w14:paraId="112FAB44" w14:textId="77777777" w:rsidR="00DC4BB2" w:rsidRPr="004A3BBC" w:rsidRDefault="001C4737">
            <w:pPr>
              <w:widowControl w:val="0"/>
              <w:autoSpaceDE w:val="0"/>
              <w:autoSpaceDN w:val="0"/>
              <w:spacing w:before="29" w:line="241" w:lineRule="exact"/>
              <w:ind w:left="102"/>
              <w:rPr>
                <w:szCs w:val="22"/>
              </w:rPr>
            </w:pPr>
            <w:r w:rsidRPr="004A3BBC">
              <w:rPr>
                <w:szCs w:val="22"/>
              </w:rPr>
              <w:t>dažnas</w:t>
            </w:r>
          </w:p>
        </w:tc>
        <w:tc>
          <w:tcPr>
            <w:tcW w:w="1696" w:type="dxa"/>
          </w:tcPr>
          <w:p w14:paraId="6CCA1994" w14:textId="77777777" w:rsidR="00DC4BB2" w:rsidRPr="004A3BBC" w:rsidRDefault="001C4737">
            <w:pPr>
              <w:widowControl w:val="0"/>
              <w:autoSpaceDE w:val="0"/>
              <w:autoSpaceDN w:val="0"/>
              <w:spacing w:before="34" w:line="236" w:lineRule="exact"/>
              <w:ind w:left="103"/>
              <w:rPr>
                <w:szCs w:val="22"/>
              </w:rPr>
            </w:pPr>
            <w:r w:rsidRPr="00CF5157">
              <w:t>nedažnas</w:t>
            </w:r>
          </w:p>
        </w:tc>
      </w:tr>
      <w:tr w:rsidR="00DC4BB2" w:rsidRPr="00CF5157" w14:paraId="6858BA0F" w14:textId="77777777" w:rsidTr="00D77DC4">
        <w:trPr>
          <w:trHeight w:val="280"/>
        </w:trPr>
        <w:tc>
          <w:tcPr>
            <w:tcW w:w="1191" w:type="dxa"/>
            <w:gridSpan w:val="2"/>
            <w:vMerge/>
          </w:tcPr>
          <w:p w14:paraId="7659AF5F" w14:textId="77777777" w:rsidR="00DC4BB2" w:rsidRPr="004A3BBC" w:rsidRDefault="00DC4BB2">
            <w:pPr>
              <w:rPr>
                <w:sz w:val="2"/>
                <w:szCs w:val="2"/>
                <w:lang w:eastAsia="sl-SI"/>
              </w:rPr>
            </w:pPr>
          </w:p>
        </w:tc>
        <w:tc>
          <w:tcPr>
            <w:tcW w:w="1695" w:type="dxa"/>
          </w:tcPr>
          <w:p w14:paraId="69A9C7FF" w14:textId="77777777" w:rsidR="00DC4BB2" w:rsidRPr="004A3BBC" w:rsidRDefault="001C4737">
            <w:pPr>
              <w:widowControl w:val="0"/>
              <w:autoSpaceDE w:val="0"/>
              <w:autoSpaceDN w:val="0"/>
              <w:spacing w:before="29" w:line="239" w:lineRule="exact"/>
              <w:ind w:left="100"/>
              <w:rPr>
                <w:szCs w:val="22"/>
              </w:rPr>
            </w:pPr>
            <w:bookmarkStart w:id="30" w:name="_Hlk188618948"/>
            <w:proofErr w:type="spellStart"/>
            <w:r w:rsidRPr="004A3BBC">
              <w:rPr>
                <w:szCs w:val="22"/>
              </w:rPr>
              <w:t>H</w:t>
            </w:r>
            <w:bookmarkEnd w:id="30"/>
            <w:r w:rsidRPr="004A3BBC">
              <w:rPr>
                <w:szCs w:val="22"/>
              </w:rPr>
              <w:t>iperhidrozė</w:t>
            </w:r>
            <w:proofErr w:type="spellEnd"/>
          </w:p>
        </w:tc>
        <w:tc>
          <w:tcPr>
            <w:tcW w:w="1696" w:type="dxa"/>
          </w:tcPr>
          <w:p w14:paraId="316A5E79" w14:textId="77777777" w:rsidR="00DC4BB2" w:rsidRPr="004A3BBC" w:rsidRDefault="001C4737">
            <w:pPr>
              <w:widowControl w:val="0"/>
              <w:autoSpaceDE w:val="0"/>
              <w:autoSpaceDN w:val="0"/>
              <w:spacing w:before="29" w:line="239" w:lineRule="exact"/>
              <w:ind w:left="103"/>
              <w:rPr>
                <w:szCs w:val="22"/>
              </w:rPr>
            </w:pPr>
            <w:r w:rsidRPr="004A3BBC">
              <w:rPr>
                <w:szCs w:val="22"/>
              </w:rPr>
              <w:t>retas</w:t>
            </w:r>
          </w:p>
        </w:tc>
        <w:tc>
          <w:tcPr>
            <w:tcW w:w="1696" w:type="dxa"/>
          </w:tcPr>
          <w:p w14:paraId="58B723D1" w14:textId="77777777" w:rsidR="00DC4BB2" w:rsidRPr="004A3BBC" w:rsidRDefault="001C4737">
            <w:pPr>
              <w:widowControl w:val="0"/>
              <w:autoSpaceDE w:val="0"/>
              <w:autoSpaceDN w:val="0"/>
              <w:spacing w:before="29" w:line="239" w:lineRule="exact"/>
              <w:ind w:left="102"/>
              <w:rPr>
                <w:szCs w:val="22"/>
              </w:rPr>
            </w:pPr>
            <w:r w:rsidRPr="00CF5157">
              <w:t>nedažnas</w:t>
            </w:r>
          </w:p>
        </w:tc>
        <w:tc>
          <w:tcPr>
            <w:tcW w:w="1696" w:type="dxa"/>
          </w:tcPr>
          <w:p w14:paraId="04E5FD4B" w14:textId="77777777" w:rsidR="00DC4BB2" w:rsidRPr="004A3BBC" w:rsidRDefault="00DC4BB2">
            <w:pPr>
              <w:widowControl w:val="0"/>
              <w:autoSpaceDE w:val="0"/>
              <w:autoSpaceDN w:val="0"/>
              <w:rPr>
                <w:szCs w:val="22"/>
              </w:rPr>
            </w:pPr>
          </w:p>
        </w:tc>
        <w:tc>
          <w:tcPr>
            <w:tcW w:w="1696" w:type="dxa"/>
          </w:tcPr>
          <w:p w14:paraId="0632DD19" w14:textId="77777777" w:rsidR="00DC4BB2" w:rsidRPr="004A3BBC" w:rsidRDefault="001C4737">
            <w:pPr>
              <w:widowControl w:val="0"/>
              <w:autoSpaceDE w:val="0"/>
              <w:autoSpaceDN w:val="0"/>
              <w:spacing w:before="34" w:line="236" w:lineRule="exact"/>
              <w:ind w:left="103"/>
              <w:rPr>
                <w:szCs w:val="22"/>
              </w:rPr>
            </w:pPr>
            <w:r w:rsidRPr="00CF5157">
              <w:t>nedažnas</w:t>
            </w:r>
          </w:p>
        </w:tc>
      </w:tr>
      <w:tr w:rsidR="00DC4BB2" w:rsidRPr="00CF5157" w14:paraId="1C5F2EAD" w14:textId="77777777" w:rsidTr="00D77DC4">
        <w:trPr>
          <w:trHeight w:val="280"/>
        </w:trPr>
        <w:tc>
          <w:tcPr>
            <w:tcW w:w="1191" w:type="dxa"/>
            <w:gridSpan w:val="2"/>
            <w:vMerge/>
          </w:tcPr>
          <w:p w14:paraId="2EE6B135" w14:textId="77777777" w:rsidR="00DC4BB2" w:rsidRPr="004A3BBC" w:rsidRDefault="00DC4BB2">
            <w:pPr>
              <w:rPr>
                <w:sz w:val="2"/>
                <w:szCs w:val="2"/>
                <w:lang w:eastAsia="sl-SI"/>
              </w:rPr>
            </w:pPr>
          </w:p>
        </w:tc>
        <w:tc>
          <w:tcPr>
            <w:tcW w:w="1695" w:type="dxa"/>
          </w:tcPr>
          <w:p w14:paraId="63291D56" w14:textId="77777777" w:rsidR="00DC4BB2" w:rsidRPr="004A3BBC" w:rsidRDefault="001C4737">
            <w:pPr>
              <w:widowControl w:val="0"/>
              <w:autoSpaceDE w:val="0"/>
              <w:autoSpaceDN w:val="0"/>
              <w:spacing w:before="29" w:line="241" w:lineRule="exact"/>
              <w:ind w:left="100"/>
              <w:rPr>
                <w:szCs w:val="22"/>
              </w:rPr>
            </w:pPr>
            <w:r w:rsidRPr="004A3BBC">
              <w:rPr>
                <w:szCs w:val="22"/>
              </w:rPr>
              <w:t>Dilgėlinė</w:t>
            </w:r>
          </w:p>
        </w:tc>
        <w:tc>
          <w:tcPr>
            <w:tcW w:w="1696" w:type="dxa"/>
          </w:tcPr>
          <w:p w14:paraId="3B575957" w14:textId="77777777" w:rsidR="00DC4BB2" w:rsidRPr="004A3BBC" w:rsidRDefault="001C4737">
            <w:pPr>
              <w:widowControl w:val="0"/>
              <w:autoSpaceDE w:val="0"/>
              <w:autoSpaceDN w:val="0"/>
              <w:spacing w:before="29" w:line="241" w:lineRule="exact"/>
              <w:ind w:left="103"/>
              <w:rPr>
                <w:szCs w:val="22"/>
              </w:rPr>
            </w:pPr>
            <w:r w:rsidRPr="004A3BBC">
              <w:rPr>
                <w:szCs w:val="22"/>
              </w:rPr>
              <w:t>retas</w:t>
            </w:r>
          </w:p>
        </w:tc>
        <w:tc>
          <w:tcPr>
            <w:tcW w:w="1696" w:type="dxa"/>
          </w:tcPr>
          <w:p w14:paraId="210B2411" w14:textId="77777777" w:rsidR="00DC4BB2" w:rsidRPr="004A3BBC" w:rsidRDefault="001C4737">
            <w:pPr>
              <w:widowControl w:val="0"/>
              <w:autoSpaceDE w:val="0"/>
              <w:autoSpaceDN w:val="0"/>
              <w:spacing w:before="29" w:line="241" w:lineRule="exact"/>
              <w:ind w:left="102"/>
              <w:rPr>
                <w:szCs w:val="22"/>
              </w:rPr>
            </w:pPr>
            <w:r w:rsidRPr="004A3BBC">
              <w:rPr>
                <w:szCs w:val="22"/>
              </w:rPr>
              <w:t>retas</w:t>
            </w:r>
          </w:p>
        </w:tc>
        <w:tc>
          <w:tcPr>
            <w:tcW w:w="1696" w:type="dxa"/>
          </w:tcPr>
          <w:p w14:paraId="43736243" w14:textId="77777777" w:rsidR="00DC4BB2" w:rsidRPr="004A3BBC" w:rsidRDefault="001C4737">
            <w:pPr>
              <w:widowControl w:val="0"/>
              <w:autoSpaceDE w:val="0"/>
              <w:autoSpaceDN w:val="0"/>
              <w:spacing w:before="29" w:line="241" w:lineRule="exact"/>
              <w:ind w:left="102"/>
              <w:rPr>
                <w:szCs w:val="22"/>
              </w:rPr>
            </w:pPr>
            <w:r w:rsidRPr="004A3BBC">
              <w:rPr>
                <w:szCs w:val="22"/>
              </w:rPr>
              <w:t>dažnas</w:t>
            </w:r>
          </w:p>
        </w:tc>
        <w:tc>
          <w:tcPr>
            <w:tcW w:w="1696" w:type="dxa"/>
          </w:tcPr>
          <w:p w14:paraId="3C8D861F" w14:textId="77777777" w:rsidR="00DC4BB2" w:rsidRPr="004A3BBC" w:rsidRDefault="001C4737">
            <w:pPr>
              <w:widowControl w:val="0"/>
              <w:autoSpaceDE w:val="0"/>
              <w:autoSpaceDN w:val="0"/>
              <w:spacing w:before="34" w:line="236" w:lineRule="exact"/>
              <w:ind w:left="103"/>
              <w:rPr>
                <w:szCs w:val="22"/>
              </w:rPr>
            </w:pPr>
            <w:r w:rsidRPr="00CF5157">
              <w:t>nedažnas</w:t>
            </w:r>
          </w:p>
        </w:tc>
      </w:tr>
      <w:tr w:rsidR="00DC4BB2" w:rsidRPr="00CF5157" w14:paraId="6BF315EC" w14:textId="77777777" w:rsidTr="00D77DC4">
        <w:trPr>
          <w:trHeight w:val="280"/>
        </w:trPr>
        <w:tc>
          <w:tcPr>
            <w:tcW w:w="1191" w:type="dxa"/>
            <w:gridSpan w:val="2"/>
            <w:vMerge/>
          </w:tcPr>
          <w:p w14:paraId="0A8E6D68" w14:textId="77777777" w:rsidR="00DC4BB2" w:rsidRPr="004A3BBC" w:rsidRDefault="00DC4BB2">
            <w:pPr>
              <w:rPr>
                <w:sz w:val="2"/>
                <w:szCs w:val="2"/>
                <w:lang w:eastAsia="sl-SI"/>
              </w:rPr>
            </w:pPr>
          </w:p>
        </w:tc>
        <w:tc>
          <w:tcPr>
            <w:tcW w:w="1695" w:type="dxa"/>
          </w:tcPr>
          <w:p w14:paraId="1507D7FF" w14:textId="77777777" w:rsidR="00DC4BB2" w:rsidRPr="004A3BBC" w:rsidRDefault="001C4737">
            <w:pPr>
              <w:widowControl w:val="0"/>
              <w:autoSpaceDE w:val="0"/>
              <w:autoSpaceDN w:val="0"/>
              <w:spacing w:before="29" w:line="239" w:lineRule="exact"/>
              <w:ind w:left="100"/>
              <w:rPr>
                <w:szCs w:val="22"/>
              </w:rPr>
            </w:pPr>
            <w:bookmarkStart w:id="31" w:name="_Hlk188618960"/>
            <w:r w:rsidRPr="004A3BBC">
              <w:rPr>
                <w:szCs w:val="22"/>
              </w:rPr>
              <w:t>E</w:t>
            </w:r>
            <w:bookmarkEnd w:id="31"/>
            <w:r w:rsidRPr="004A3BBC">
              <w:rPr>
                <w:szCs w:val="22"/>
              </w:rPr>
              <w:t>gzema</w:t>
            </w:r>
          </w:p>
        </w:tc>
        <w:tc>
          <w:tcPr>
            <w:tcW w:w="1696" w:type="dxa"/>
          </w:tcPr>
          <w:p w14:paraId="68F6015D" w14:textId="77777777" w:rsidR="00DC4BB2" w:rsidRPr="004A3BBC" w:rsidRDefault="00DC4BB2">
            <w:pPr>
              <w:widowControl w:val="0"/>
              <w:autoSpaceDE w:val="0"/>
              <w:autoSpaceDN w:val="0"/>
              <w:rPr>
                <w:szCs w:val="22"/>
              </w:rPr>
            </w:pPr>
          </w:p>
        </w:tc>
        <w:tc>
          <w:tcPr>
            <w:tcW w:w="1696" w:type="dxa"/>
          </w:tcPr>
          <w:p w14:paraId="409F41AC" w14:textId="77777777" w:rsidR="00DC4BB2" w:rsidRPr="004A3BBC" w:rsidRDefault="001C4737">
            <w:pPr>
              <w:widowControl w:val="0"/>
              <w:autoSpaceDE w:val="0"/>
              <w:autoSpaceDN w:val="0"/>
              <w:spacing w:before="29" w:line="239" w:lineRule="exact"/>
              <w:ind w:left="102"/>
              <w:rPr>
                <w:szCs w:val="22"/>
              </w:rPr>
            </w:pPr>
            <w:r w:rsidRPr="004A3BBC">
              <w:rPr>
                <w:szCs w:val="22"/>
              </w:rPr>
              <w:t>retas</w:t>
            </w:r>
          </w:p>
        </w:tc>
        <w:tc>
          <w:tcPr>
            <w:tcW w:w="1696" w:type="dxa"/>
          </w:tcPr>
          <w:p w14:paraId="38A74B1C" w14:textId="77777777" w:rsidR="00DC4BB2" w:rsidRPr="004A3BBC" w:rsidRDefault="00DC4BB2">
            <w:pPr>
              <w:widowControl w:val="0"/>
              <w:autoSpaceDE w:val="0"/>
              <w:autoSpaceDN w:val="0"/>
              <w:rPr>
                <w:szCs w:val="22"/>
              </w:rPr>
            </w:pPr>
          </w:p>
        </w:tc>
        <w:tc>
          <w:tcPr>
            <w:tcW w:w="1696" w:type="dxa"/>
          </w:tcPr>
          <w:p w14:paraId="04F95308" w14:textId="77777777" w:rsidR="00DC4BB2" w:rsidRPr="004A3BBC" w:rsidRDefault="00DC4BB2">
            <w:pPr>
              <w:widowControl w:val="0"/>
              <w:autoSpaceDE w:val="0"/>
              <w:autoSpaceDN w:val="0"/>
              <w:spacing w:before="34" w:line="236" w:lineRule="exact"/>
              <w:ind w:left="103"/>
              <w:rPr>
                <w:szCs w:val="22"/>
              </w:rPr>
            </w:pPr>
          </w:p>
        </w:tc>
      </w:tr>
      <w:tr w:rsidR="00DC4BB2" w:rsidRPr="00CF5157" w14:paraId="7442EF91" w14:textId="77777777" w:rsidTr="00D77DC4">
        <w:trPr>
          <w:trHeight w:val="280"/>
        </w:trPr>
        <w:tc>
          <w:tcPr>
            <w:tcW w:w="1191" w:type="dxa"/>
            <w:gridSpan w:val="2"/>
            <w:vMerge/>
          </w:tcPr>
          <w:p w14:paraId="679CEB87" w14:textId="77777777" w:rsidR="00DC4BB2" w:rsidRPr="004A3BBC" w:rsidRDefault="00DC4BB2">
            <w:pPr>
              <w:rPr>
                <w:sz w:val="2"/>
                <w:szCs w:val="2"/>
                <w:lang w:eastAsia="sl-SI"/>
              </w:rPr>
            </w:pPr>
          </w:p>
        </w:tc>
        <w:tc>
          <w:tcPr>
            <w:tcW w:w="1695" w:type="dxa"/>
          </w:tcPr>
          <w:p w14:paraId="0A04905C" w14:textId="77777777" w:rsidR="00DC4BB2" w:rsidRPr="004A3BBC" w:rsidRDefault="001C4737">
            <w:pPr>
              <w:widowControl w:val="0"/>
              <w:autoSpaceDE w:val="0"/>
              <w:autoSpaceDN w:val="0"/>
              <w:spacing w:before="31" w:line="239" w:lineRule="exact"/>
              <w:ind w:left="100"/>
              <w:rPr>
                <w:szCs w:val="22"/>
              </w:rPr>
            </w:pPr>
            <w:r w:rsidRPr="004A3BBC">
              <w:rPr>
                <w:szCs w:val="22"/>
              </w:rPr>
              <w:t>Medikamentinis išbėrimas</w:t>
            </w:r>
          </w:p>
        </w:tc>
        <w:tc>
          <w:tcPr>
            <w:tcW w:w="1696" w:type="dxa"/>
          </w:tcPr>
          <w:p w14:paraId="6C22C5A1" w14:textId="77777777" w:rsidR="00DC4BB2" w:rsidRPr="004A3BBC" w:rsidRDefault="00DC4BB2">
            <w:pPr>
              <w:widowControl w:val="0"/>
              <w:autoSpaceDE w:val="0"/>
              <w:autoSpaceDN w:val="0"/>
              <w:rPr>
                <w:szCs w:val="22"/>
              </w:rPr>
            </w:pPr>
          </w:p>
        </w:tc>
        <w:tc>
          <w:tcPr>
            <w:tcW w:w="1696" w:type="dxa"/>
          </w:tcPr>
          <w:p w14:paraId="0D0491C6" w14:textId="77777777" w:rsidR="00DC4BB2" w:rsidRPr="004A3BBC" w:rsidRDefault="001C4737">
            <w:pPr>
              <w:widowControl w:val="0"/>
              <w:autoSpaceDE w:val="0"/>
              <w:autoSpaceDN w:val="0"/>
              <w:spacing w:before="31" w:line="239" w:lineRule="exact"/>
              <w:ind w:left="102"/>
              <w:rPr>
                <w:szCs w:val="22"/>
              </w:rPr>
            </w:pPr>
            <w:r w:rsidRPr="004A3BBC">
              <w:rPr>
                <w:szCs w:val="22"/>
              </w:rPr>
              <w:t>retas</w:t>
            </w:r>
          </w:p>
        </w:tc>
        <w:tc>
          <w:tcPr>
            <w:tcW w:w="1696" w:type="dxa"/>
          </w:tcPr>
          <w:p w14:paraId="03591C25" w14:textId="77777777" w:rsidR="00DC4BB2" w:rsidRPr="004A3BBC" w:rsidRDefault="00DC4BB2">
            <w:pPr>
              <w:widowControl w:val="0"/>
              <w:autoSpaceDE w:val="0"/>
              <w:autoSpaceDN w:val="0"/>
              <w:rPr>
                <w:szCs w:val="22"/>
              </w:rPr>
            </w:pPr>
          </w:p>
        </w:tc>
        <w:tc>
          <w:tcPr>
            <w:tcW w:w="1696" w:type="dxa"/>
          </w:tcPr>
          <w:p w14:paraId="0C99684C" w14:textId="77777777" w:rsidR="00DC4BB2" w:rsidRPr="004A3BBC" w:rsidRDefault="00DC4BB2">
            <w:pPr>
              <w:widowControl w:val="0"/>
              <w:autoSpaceDE w:val="0"/>
              <w:autoSpaceDN w:val="0"/>
              <w:spacing w:before="34" w:line="236" w:lineRule="exact"/>
              <w:ind w:left="103"/>
              <w:rPr>
                <w:szCs w:val="22"/>
              </w:rPr>
            </w:pPr>
          </w:p>
        </w:tc>
      </w:tr>
      <w:tr w:rsidR="00DC4BB2" w:rsidRPr="00CF5157" w14:paraId="2989651C" w14:textId="77777777" w:rsidTr="00D77DC4">
        <w:trPr>
          <w:trHeight w:val="280"/>
        </w:trPr>
        <w:tc>
          <w:tcPr>
            <w:tcW w:w="1191" w:type="dxa"/>
            <w:gridSpan w:val="2"/>
            <w:vMerge/>
          </w:tcPr>
          <w:p w14:paraId="46ED8436" w14:textId="77777777" w:rsidR="00DC4BB2" w:rsidRPr="004A3BBC" w:rsidRDefault="00DC4BB2">
            <w:pPr>
              <w:rPr>
                <w:sz w:val="2"/>
                <w:szCs w:val="2"/>
                <w:lang w:eastAsia="sl-SI"/>
              </w:rPr>
            </w:pPr>
          </w:p>
        </w:tc>
        <w:tc>
          <w:tcPr>
            <w:tcW w:w="1695" w:type="dxa"/>
          </w:tcPr>
          <w:p w14:paraId="20F5F33F" w14:textId="77777777" w:rsidR="00DC4BB2" w:rsidRPr="004A3BBC" w:rsidRDefault="001C4737">
            <w:pPr>
              <w:widowControl w:val="0"/>
              <w:autoSpaceDE w:val="0"/>
              <w:autoSpaceDN w:val="0"/>
              <w:spacing w:before="29" w:line="241" w:lineRule="exact"/>
              <w:ind w:left="100"/>
              <w:rPr>
                <w:szCs w:val="22"/>
              </w:rPr>
            </w:pPr>
            <w:r w:rsidRPr="004A3BBC">
              <w:rPr>
                <w:szCs w:val="22"/>
              </w:rPr>
              <w:t>Toksinis odos išbėrimas</w:t>
            </w:r>
          </w:p>
        </w:tc>
        <w:tc>
          <w:tcPr>
            <w:tcW w:w="1696" w:type="dxa"/>
          </w:tcPr>
          <w:p w14:paraId="16817362" w14:textId="77777777" w:rsidR="00DC4BB2" w:rsidRPr="004A3BBC" w:rsidRDefault="00DC4BB2">
            <w:pPr>
              <w:widowControl w:val="0"/>
              <w:autoSpaceDE w:val="0"/>
              <w:autoSpaceDN w:val="0"/>
              <w:rPr>
                <w:szCs w:val="22"/>
              </w:rPr>
            </w:pPr>
          </w:p>
        </w:tc>
        <w:tc>
          <w:tcPr>
            <w:tcW w:w="1696" w:type="dxa"/>
          </w:tcPr>
          <w:p w14:paraId="7F34329E" w14:textId="77777777" w:rsidR="00DC4BB2" w:rsidRPr="004A3BBC" w:rsidRDefault="001C4737">
            <w:pPr>
              <w:widowControl w:val="0"/>
              <w:autoSpaceDE w:val="0"/>
              <w:autoSpaceDN w:val="0"/>
              <w:spacing w:before="29" w:line="241" w:lineRule="exact"/>
              <w:ind w:left="102"/>
              <w:rPr>
                <w:szCs w:val="22"/>
              </w:rPr>
            </w:pPr>
            <w:r w:rsidRPr="004A3BBC">
              <w:rPr>
                <w:szCs w:val="22"/>
              </w:rPr>
              <w:t>retas</w:t>
            </w:r>
          </w:p>
        </w:tc>
        <w:tc>
          <w:tcPr>
            <w:tcW w:w="1696" w:type="dxa"/>
          </w:tcPr>
          <w:p w14:paraId="1086C433" w14:textId="77777777" w:rsidR="00DC4BB2" w:rsidRPr="004A3BBC" w:rsidRDefault="00DC4BB2">
            <w:pPr>
              <w:widowControl w:val="0"/>
              <w:autoSpaceDE w:val="0"/>
              <w:autoSpaceDN w:val="0"/>
              <w:rPr>
                <w:szCs w:val="22"/>
              </w:rPr>
            </w:pPr>
          </w:p>
        </w:tc>
        <w:tc>
          <w:tcPr>
            <w:tcW w:w="1696" w:type="dxa"/>
          </w:tcPr>
          <w:p w14:paraId="1D21821D" w14:textId="77777777" w:rsidR="00DC4BB2" w:rsidRPr="004A3BBC" w:rsidRDefault="00DC4BB2">
            <w:pPr>
              <w:widowControl w:val="0"/>
              <w:autoSpaceDE w:val="0"/>
              <w:autoSpaceDN w:val="0"/>
              <w:spacing w:before="34" w:line="236" w:lineRule="exact"/>
              <w:ind w:left="103"/>
              <w:rPr>
                <w:szCs w:val="22"/>
              </w:rPr>
            </w:pPr>
          </w:p>
        </w:tc>
      </w:tr>
      <w:tr w:rsidR="00DC4BB2" w:rsidRPr="00CF5157" w14:paraId="49B72BBD" w14:textId="77777777" w:rsidTr="00D77DC4">
        <w:trPr>
          <w:trHeight w:val="190"/>
        </w:trPr>
        <w:tc>
          <w:tcPr>
            <w:tcW w:w="1191" w:type="dxa"/>
            <w:gridSpan w:val="2"/>
            <w:vMerge/>
          </w:tcPr>
          <w:p w14:paraId="16F89D18" w14:textId="77777777" w:rsidR="00DC4BB2" w:rsidRPr="004A3BBC" w:rsidRDefault="00DC4BB2">
            <w:pPr>
              <w:rPr>
                <w:sz w:val="2"/>
                <w:szCs w:val="2"/>
                <w:lang w:eastAsia="sl-SI"/>
              </w:rPr>
            </w:pPr>
          </w:p>
        </w:tc>
        <w:tc>
          <w:tcPr>
            <w:tcW w:w="1695" w:type="dxa"/>
          </w:tcPr>
          <w:p w14:paraId="5AAF64DA" w14:textId="77777777" w:rsidR="00DC4BB2" w:rsidRPr="004A3BBC" w:rsidRDefault="001C4737">
            <w:pPr>
              <w:widowControl w:val="0"/>
              <w:autoSpaceDE w:val="0"/>
              <w:autoSpaceDN w:val="0"/>
              <w:spacing w:line="245" w:lineRule="exact"/>
              <w:ind w:left="100"/>
              <w:rPr>
                <w:szCs w:val="22"/>
              </w:rPr>
            </w:pPr>
            <w:r w:rsidRPr="004A3BBC">
              <w:rPr>
                <w:szCs w:val="22"/>
              </w:rPr>
              <w:t>Į vilkligę panašus sindromas</w:t>
            </w:r>
          </w:p>
        </w:tc>
        <w:tc>
          <w:tcPr>
            <w:tcW w:w="1696" w:type="dxa"/>
          </w:tcPr>
          <w:p w14:paraId="15BCF5CF" w14:textId="77777777" w:rsidR="00DC4BB2" w:rsidRPr="004A3BBC" w:rsidRDefault="00DC4BB2">
            <w:pPr>
              <w:widowControl w:val="0"/>
              <w:autoSpaceDE w:val="0"/>
              <w:autoSpaceDN w:val="0"/>
              <w:rPr>
                <w:szCs w:val="22"/>
              </w:rPr>
            </w:pPr>
          </w:p>
        </w:tc>
        <w:tc>
          <w:tcPr>
            <w:tcW w:w="1696" w:type="dxa"/>
          </w:tcPr>
          <w:p w14:paraId="0D2ECE49" w14:textId="77777777" w:rsidR="00DC4BB2" w:rsidRPr="004A3BBC" w:rsidRDefault="00DC4BB2">
            <w:pPr>
              <w:widowControl w:val="0"/>
              <w:autoSpaceDE w:val="0"/>
              <w:autoSpaceDN w:val="0"/>
              <w:rPr>
                <w:szCs w:val="22"/>
              </w:rPr>
            </w:pPr>
          </w:p>
        </w:tc>
        <w:tc>
          <w:tcPr>
            <w:tcW w:w="1696" w:type="dxa"/>
          </w:tcPr>
          <w:p w14:paraId="57AC6FF4" w14:textId="77777777" w:rsidR="00DC4BB2" w:rsidRPr="004A3BBC" w:rsidRDefault="001C4737">
            <w:pPr>
              <w:widowControl w:val="0"/>
              <w:autoSpaceDE w:val="0"/>
              <w:autoSpaceDN w:val="0"/>
              <w:spacing w:line="241" w:lineRule="exact"/>
              <w:ind w:left="102"/>
              <w:rPr>
                <w:szCs w:val="22"/>
              </w:rPr>
            </w:pPr>
            <w:r w:rsidRPr="004A3BBC">
              <w:rPr>
                <w:szCs w:val="22"/>
              </w:rPr>
              <w:t>labai retas</w:t>
            </w:r>
          </w:p>
        </w:tc>
        <w:tc>
          <w:tcPr>
            <w:tcW w:w="1696" w:type="dxa"/>
          </w:tcPr>
          <w:p w14:paraId="0D4FCEA4" w14:textId="77777777" w:rsidR="00DC4BB2" w:rsidRPr="004A3BBC" w:rsidRDefault="00DC4BB2">
            <w:pPr>
              <w:widowControl w:val="0"/>
              <w:autoSpaceDE w:val="0"/>
              <w:autoSpaceDN w:val="0"/>
              <w:spacing w:before="34" w:line="236" w:lineRule="exact"/>
              <w:ind w:left="103"/>
              <w:rPr>
                <w:szCs w:val="22"/>
              </w:rPr>
            </w:pPr>
          </w:p>
        </w:tc>
      </w:tr>
      <w:tr w:rsidR="00DC4BB2" w:rsidRPr="00CF5157" w14:paraId="1333B060" w14:textId="77777777" w:rsidTr="00D77DC4">
        <w:trPr>
          <w:trHeight w:val="500"/>
        </w:trPr>
        <w:tc>
          <w:tcPr>
            <w:tcW w:w="1191" w:type="dxa"/>
            <w:gridSpan w:val="2"/>
            <w:vMerge/>
          </w:tcPr>
          <w:p w14:paraId="1315DA6A" w14:textId="77777777" w:rsidR="00DC4BB2" w:rsidRPr="004A3BBC" w:rsidRDefault="00DC4BB2">
            <w:pPr>
              <w:rPr>
                <w:sz w:val="2"/>
                <w:szCs w:val="2"/>
                <w:lang w:eastAsia="sl-SI"/>
              </w:rPr>
            </w:pPr>
          </w:p>
        </w:tc>
        <w:tc>
          <w:tcPr>
            <w:tcW w:w="1695" w:type="dxa"/>
          </w:tcPr>
          <w:p w14:paraId="4868C570" w14:textId="77777777" w:rsidR="00DC4BB2" w:rsidRPr="004A3BBC" w:rsidRDefault="001C4737">
            <w:pPr>
              <w:widowControl w:val="0"/>
              <w:autoSpaceDE w:val="0"/>
              <w:autoSpaceDN w:val="0"/>
              <w:spacing w:line="246" w:lineRule="exact"/>
              <w:ind w:left="100"/>
              <w:rPr>
                <w:szCs w:val="22"/>
              </w:rPr>
            </w:pPr>
            <w:r w:rsidRPr="004A3BBC">
              <w:rPr>
                <w:szCs w:val="22"/>
              </w:rPr>
              <w:t>Padidėjusio jautrumo šviesai reakcijos</w:t>
            </w:r>
          </w:p>
        </w:tc>
        <w:tc>
          <w:tcPr>
            <w:tcW w:w="1696" w:type="dxa"/>
          </w:tcPr>
          <w:p w14:paraId="766B249D" w14:textId="77777777" w:rsidR="00DC4BB2" w:rsidRPr="004A3BBC" w:rsidRDefault="00DC4BB2">
            <w:pPr>
              <w:widowControl w:val="0"/>
              <w:autoSpaceDE w:val="0"/>
              <w:autoSpaceDN w:val="0"/>
              <w:rPr>
                <w:szCs w:val="22"/>
              </w:rPr>
            </w:pPr>
          </w:p>
        </w:tc>
        <w:tc>
          <w:tcPr>
            <w:tcW w:w="1696" w:type="dxa"/>
          </w:tcPr>
          <w:p w14:paraId="07688D74" w14:textId="77777777" w:rsidR="00DC4BB2" w:rsidRPr="004A3BBC" w:rsidRDefault="00DC4BB2">
            <w:pPr>
              <w:widowControl w:val="0"/>
              <w:autoSpaceDE w:val="0"/>
              <w:autoSpaceDN w:val="0"/>
              <w:rPr>
                <w:szCs w:val="22"/>
              </w:rPr>
            </w:pPr>
          </w:p>
        </w:tc>
        <w:tc>
          <w:tcPr>
            <w:tcW w:w="1696" w:type="dxa"/>
          </w:tcPr>
          <w:p w14:paraId="51075CB4" w14:textId="77777777" w:rsidR="00DC4BB2" w:rsidRPr="004A3BBC" w:rsidRDefault="001C4737">
            <w:pPr>
              <w:widowControl w:val="0"/>
              <w:autoSpaceDE w:val="0"/>
              <w:autoSpaceDN w:val="0"/>
              <w:spacing w:before="1" w:line="241" w:lineRule="exact"/>
              <w:ind w:left="102"/>
              <w:rPr>
                <w:szCs w:val="22"/>
              </w:rPr>
            </w:pPr>
            <w:r w:rsidRPr="004A3BBC">
              <w:rPr>
                <w:szCs w:val="22"/>
              </w:rPr>
              <w:t>retas</w:t>
            </w:r>
          </w:p>
        </w:tc>
        <w:tc>
          <w:tcPr>
            <w:tcW w:w="1696" w:type="dxa"/>
          </w:tcPr>
          <w:p w14:paraId="227C3CC2" w14:textId="77777777" w:rsidR="00DC4BB2" w:rsidRPr="004A3BBC" w:rsidRDefault="001C4737">
            <w:pPr>
              <w:widowControl w:val="0"/>
              <w:autoSpaceDE w:val="0"/>
              <w:autoSpaceDN w:val="0"/>
              <w:spacing w:before="34" w:line="236" w:lineRule="exact"/>
              <w:ind w:left="103"/>
              <w:rPr>
                <w:szCs w:val="22"/>
              </w:rPr>
            </w:pPr>
            <w:r w:rsidRPr="004A3BBC">
              <w:rPr>
                <w:szCs w:val="22"/>
              </w:rPr>
              <w:t>labai retas</w:t>
            </w:r>
          </w:p>
        </w:tc>
      </w:tr>
      <w:tr w:rsidR="00DC4BB2" w:rsidRPr="00CF5157" w14:paraId="5E581B17" w14:textId="77777777" w:rsidTr="00D77DC4">
        <w:trPr>
          <w:trHeight w:val="500"/>
        </w:trPr>
        <w:tc>
          <w:tcPr>
            <w:tcW w:w="1191" w:type="dxa"/>
            <w:gridSpan w:val="2"/>
            <w:vMerge/>
          </w:tcPr>
          <w:p w14:paraId="41021ACE" w14:textId="77777777" w:rsidR="00DC4BB2" w:rsidRPr="004A3BBC" w:rsidRDefault="00DC4BB2">
            <w:pPr>
              <w:rPr>
                <w:sz w:val="2"/>
                <w:szCs w:val="2"/>
                <w:lang w:eastAsia="sl-SI"/>
              </w:rPr>
            </w:pPr>
          </w:p>
        </w:tc>
        <w:tc>
          <w:tcPr>
            <w:tcW w:w="1695" w:type="dxa"/>
          </w:tcPr>
          <w:p w14:paraId="08CB3911" w14:textId="77777777" w:rsidR="00DC4BB2" w:rsidRPr="004A3BBC" w:rsidRDefault="001C4737">
            <w:pPr>
              <w:widowControl w:val="0"/>
              <w:autoSpaceDE w:val="0"/>
              <w:autoSpaceDN w:val="0"/>
              <w:spacing w:line="245" w:lineRule="exact"/>
              <w:ind w:left="100"/>
              <w:rPr>
                <w:szCs w:val="22"/>
              </w:rPr>
            </w:pPr>
            <w:r w:rsidRPr="004A3BBC">
              <w:rPr>
                <w:szCs w:val="22"/>
              </w:rPr>
              <w:t xml:space="preserve">Toksinė epidermio </w:t>
            </w:r>
            <w:proofErr w:type="spellStart"/>
            <w:r w:rsidRPr="004A3BBC">
              <w:rPr>
                <w:szCs w:val="22"/>
              </w:rPr>
              <w:t>nekrolizė</w:t>
            </w:r>
            <w:proofErr w:type="spellEnd"/>
          </w:p>
        </w:tc>
        <w:tc>
          <w:tcPr>
            <w:tcW w:w="1696" w:type="dxa"/>
          </w:tcPr>
          <w:p w14:paraId="7758E7B0" w14:textId="77777777" w:rsidR="00DC4BB2" w:rsidRPr="004A3BBC" w:rsidRDefault="00DC4BB2">
            <w:pPr>
              <w:widowControl w:val="0"/>
              <w:autoSpaceDE w:val="0"/>
              <w:autoSpaceDN w:val="0"/>
              <w:rPr>
                <w:szCs w:val="22"/>
              </w:rPr>
            </w:pPr>
          </w:p>
        </w:tc>
        <w:tc>
          <w:tcPr>
            <w:tcW w:w="1696" w:type="dxa"/>
          </w:tcPr>
          <w:p w14:paraId="28BD32B7" w14:textId="77777777" w:rsidR="00DC4BB2" w:rsidRPr="004A3BBC" w:rsidRDefault="00DC4BB2">
            <w:pPr>
              <w:widowControl w:val="0"/>
              <w:autoSpaceDE w:val="0"/>
              <w:autoSpaceDN w:val="0"/>
              <w:rPr>
                <w:szCs w:val="22"/>
              </w:rPr>
            </w:pPr>
          </w:p>
        </w:tc>
        <w:tc>
          <w:tcPr>
            <w:tcW w:w="1696" w:type="dxa"/>
          </w:tcPr>
          <w:p w14:paraId="7D4F5FFB" w14:textId="77777777" w:rsidR="00DC4BB2" w:rsidRPr="004A3BBC" w:rsidRDefault="001C4737">
            <w:pPr>
              <w:widowControl w:val="0"/>
              <w:autoSpaceDE w:val="0"/>
              <w:autoSpaceDN w:val="0"/>
              <w:spacing w:line="239" w:lineRule="exact"/>
              <w:ind w:left="102"/>
              <w:rPr>
                <w:szCs w:val="22"/>
              </w:rPr>
            </w:pPr>
            <w:r w:rsidRPr="004A3BBC">
              <w:rPr>
                <w:szCs w:val="22"/>
              </w:rPr>
              <w:t>labai retas</w:t>
            </w:r>
          </w:p>
        </w:tc>
        <w:tc>
          <w:tcPr>
            <w:tcW w:w="1696" w:type="dxa"/>
          </w:tcPr>
          <w:p w14:paraId="692227A7" w14:textId="5EDA1F62" w:rsidR="00DC4BB2" w:rsidRPr="004A3BBC" w:rsidRDefault="001C4737">
            <w:pPr>
              <w:widowControl w:val="0"/>
              <w:autoSpaceDE w:val="0"/>
              <w:autoSpaceDN w:val="0"/>
              <w:spacing w:before="34" w:line="236" w:lineRule="exact"/>
              <w:ind w:left="103"/>
              <w:rPr>
                <w:szCs w:val="22"/>
              </w:rPr>
            </w:pPr>
            <w:r w:rsidRPr="004A3BBC">
              <w:rPr>
                <w:szCs w:val="22"/>
              </w:rPr>
              <w:t>nežinomas</w:t>
            </w:r>
          </w:p>
        </w:tc>
      </w:tr>
      <w:tr w:rsidR="00DC4BB2" w:rsidRPr="00CF5157" w14:paraId="59139498" w14:textId="77777777" w:rsidTr="00D77DC4">
        <w:trPr>
          <w:trHeight w:val="354"/>
        </w:trPr>
        <w:tc>
          <w:tcPr>
            <w:tcW w:w="1191" w:type="dxa"/>
            <w:gridSpan w:val="2"/>
            <w:vMerge/>
          </w:tcPr>
          <w:p w14:paraId="751430FF" w14:textId="77777777" w:rsidR="00DC4BB2" w:rsidRPr="004A3BBC" w:rsidRDefault="00DC4BB2">
            <w:pPr>
              <w:rPr>
                <w:sz w:val="2"/>
                <w:szCs w:val="2"/>
                <w:lang w:eastAsia="sl-SI"/>
              </w:rPr>
            </w:pPr>
          </w:p>
        </w:tc>
        <w:tc>
          <w:tcPr>
            <w:tcW w:w="1695" w:type="dxa"/>
          </w:tcPr>
          <w:p w14:paraId="22A89934" w14:textId="77777777" w:rsidR="00DC4BB2" w:rsidRPr="004A3BBC" w:rsidRDefault="001C4737">
            <w:pPr>
              <w:widowControl w:val="0"/>
              <w:autoSpaceDE w:val="0"/>
              <w:autoSpaceDN w:val="0"/>
              <w:spacing w:line="248" w:lineRule="exact"/>
              <w:ind w:left="100"/>
              <w:rPr>
                <w:szCs w:val="22"/>
              </w:rPr>
            </w:pPr>
            <w:r w:rsidRPr="004A3BBC">
              <w:rPr>
                <w:szCs w:val="22"/>
              </w:rPr>
              <w:t>Daugiaformė raudonė (</w:t>
            </w:r>
            <w:proofErr w:type="spellStart"/>
            <w:r w:rsidRPr="004A3BBC">
              <w:rPr>
                <w:szCs w:val="22"/>
              </w:rPr>
              <w:t>eritema</w:t>
            </w:r>
            <w:proofErr w:type="spellEnd"/>
            <w:r w:rsidRPr="004A3BBC">
              <w:rPr>
                <w:szCs w:val="22"/>
              </w:rPr>
              <w:t>)</w:t>
            </w:r>
          </w:p>
        </w:tc>
        <w:tc>
          <w:tcPr>
            <w:tcW w:w="1696" w:type="dxa"/>
          </w:tcPr>
          <w:p w14:paraId="390A2F64" w14:textId="77777777" w:rsidR="00DC4BB2" w:rsidRPr="004A3BBC" w:rsidRDefault="00DC4BB2">
            <w:pPr>
              <w:widowControl w:val="0"/>
              <w:autoSpaceDE w:val="0"/>
              <w:autoSpaceDN w:val="0"/>
              <w:rPr>
                <w:szCs w:val="22"/>
              </w:rPr>
            </w:pPr>
          </w:p>
        </w:tc>
        <w:tc>
          <w:tcPr>
            <w:tcW w:w="1696" w:type="dxa"/>
          </w:tcPr>
          <w:p w14:paraId="56C8DE74" w14:textId="77777777" w:rsidR="00DC4BB2" w:rsidRPr="004A3BBC" w:rsidRDefault="00DC4BB2">
            <w:pPr>
              <w:widowControl w:val="0"/>
              <w:autoSpaceDE w:val="0"/>
              <w:autoSpaceDN w:val="0"/>
              <w:rPr>
                <w:szCs w:val="22"/>
              </w:rPr>
            </w:pPr>
          </w:p>
        </w:tc>
        <w:tc>
          <w:tcPr>
            <w:tcW w:w="1696" w:type="dxa"/>
          </w:tcPr>
          <w:p w14:paraId="730ADAC9" w14:textId="5D47ED4D" w:rsidR="00DC4BB2" w:rsidRPr="004A3BBC" w:rsidRDefault="001C4737">
            <w:pPr>
              <w:widowControl w:val="0"/>
              <w:autoSpaceDE w:val="0"/>
              <w:autoSpaceDN w:val="0"/>
              <w:spacing w:line="239" w:lineRule="exact"/>
              <w:ind w:left="102"/>
              <w:rPr>
                <w:szCs w:val="22"/>
              </w:rPr>
            </w:pPr>
            <w:r w:rsidRPr="004A3BBC">
              <w:rPr>
                <w:szCs w:val="22"/>
              </w:rPr>
              <w:t>nežinomas</w:t>
            </w:r>
          </w:p>
        </w:tc>
        <w:tc>
          <w:tcPr>
            <w:tcW w:w="1696" w:type="dxa"/>
          </w:tcPr>
          <w:p w14:paraId="02783846" w14:textId="77777777" w:rsidR="00DC4BB2" w:rsidRPr="004A3BBC" w:rsidRDefault="001C4737">
            <w:pPr>
              <w:widowControl w:val="0"/>
              <w:autoSpaceDE w:val="0"/>
              <w:autoSpaceDN w:val="0"/>
              <w:spacing w:before="34" w:line="236" w:lineRule="exact"/>
              <w:ind w:left="103"/>
              <w:rPr>
                <w:szCs w:val="22"/>
              </w:rPr>
            </w:pPr>
            <w:r w:rsidRPr="004A3BBC">
              <w:rPr>
                <w:szCs w:val="22"/>
              </w:rPr>
              <w:t>labai retas</w:t>
            </w:r>
          </w:p>
        </w:tc>
      </w:tr>
      <w:tr w:rsidR="00DC4BB2" w:rsidRPr="00CF5157" w14:paraId="5BF99CB8" w14:textId="77777777" w:rsidTr="00D77DC4">
        <w:trPr>
          <w:trHeight w:val="500"/>
        </w:trPr>
        <w:tc>
          <w:tcPr>
            <w:tcW w:w="1191" w:type="dxa"/>
            <w:gridSpan w:val="2"/>
            <w:vMerge/>
          </w:tcPr>
          <w:p w14:paraId="5F3869C7" w14:textId="77777777" w:rsidR="00DC4BB2" w:rsidRPr="004A3BBC" w:rsidRDefault="00DC4BB2">
            <w:pPr>
              <w:rPr>
                <w:sz w:val="2"/>
                <w:szCs w:val="2"/>
                <w:lang w:eastAsia="sl-SI"/>
              </w:rPr>
            </w:pPr>
          </w:p>
        </w:tc>
        <w:tc>
          <w:tcPr>
            <w:tcW w:w="1695" w:type="dxa"/>
          </w:tcPr>
          <w:p w14:paraId="123EF0FB" w14:textId="77777777" w:rsidR="00DC4BB2" w:rsidRPr="004A3BBC" w:rsidRDefault="001C4737">
            <w:pPr>
              <w:widowControl w:val="0"/>
              <w:autoSpaceDE w:val="0"/>
              <w:autoSpaceDN w:val="0"/>
              <w:spacing w:line="248" w:lineRule="exact"/>
              <w:ind w:left="100"/>
              <w:rPr>
                <w:szCs w:val="22"/>
              </w:rPr>
            </w:pPr>
            <w:proofErr w:type="spellStart"/>
            <w:r w:rsidRPr="00CF5157">
              <w:t>Alopecija</w:t>
            </w:r>
            <w:proofErr w:type="spellEnd"/>
            <w:r w:rsidRPr="00CF5157">
              <w:t xml:space="preserve">, purpura, odos spalvos pakitimas, </w:t>
            </w:r>
            <w:proofErr w:type="spellStart"/>
            <w:r w:rsidRPr="00CF5157">
              <w:t>egzantema</w:t>
            </w:r>
            <w:proofErr w:type="spellEnd"/>
          </w:p>
        </w:tc>
        <w:tc>
          <w:tcPr>
            <w:tcW w:w="1696" w:type="dxa"/>
          </w:tcPr>
          <w:p w14:paraId="13AF8010" w14:textId="77777777" w:rsidR="00DC4BB2" w:rsidRPr="004A3BBC" w:rsidRDefault="00DC4BB2">
            <w:pPr>
              <w:widowControl w:val="0"/>
              <w:autoSpaceDE w:val="0"/>
              <w:autoSpaceDN w:val="0"/>
              <w:rPr>
                <w:szCs w:val="22"/>
              </w:rPr>
            </w:pPr>
          </w:p>
        </w:tc>
        <w:tc>
          <w:tcPr>
            <w:tcW w:w="1696" w:type="dxa"/>
          </w:tcPr>
          <w:p w14:paraId="4ED0A61A" w14:textId="77777777" w:rsidR="00DC4BB2" w:rsidRPr="004A3BBC" w:rsidRDefault="00DC4BB2">
            <w:pPr>
              <w:widowControl w:val="0"/>
              <w:autoSpaceDE w:val="0"/>
              <w:autoSpaceDN w:val="0"/>
              <w:rPr>
                <w:szCs w:val="22"/>
              </w:rPr>
            </w:pPr>
          </w:p>
        </w:tc>
        <w:tc>
          <w:tcPr>
            <w:tcW w:w="1696" w:type="dxa"/>
          </w:tcPr>
          <w:p w14:paraId="35810771" w14:textId="77777777" w:rsidR="00DC4BB2" w:rsidRPr="004A3BBC" w:rsidRDefault="00DC4BB2">
            <w:pPr>
              <w:widowControl w:val="0"/>
              <w:autoSpaceDE w:val="0"/>
              <w:autoSpaceDN w:val="0"/>
              <w:spacing w:before="5"/>
              <w:rPr>
                <w:szCs w:val="22"/>
              </w:rPr>
            </w:pPr>
          </w:p>
        </w:tc>
        <w:tc>
          <w:tcPr>
            <w:tcW w:w="1696" w:type="dxa"/>
          </w:tcPr>
          <w:p w14:paraId="32074548" w14:textId="77777777" w:rsidR="00DC4BB2" w:rsidRPr="004A3BBC" w:rsidRDefault="001C4737">
            <w:pPr>
              <w:widowControl w:val="0"/>
              <w:autoSpaceDE w:val="0"/>
              <w:autoSpaceDN w:val="0"/>
              <w:spacing w:before="34" w:line="236" w:lineRule="exact"/>
              <w:ind w:left="103"/>
              <w:rPr>
                <w:szCs w:val="22"/>
              </w:rPr>
            </w:pPr>
            <w:r w:rsidRPr="004A3BBC">
              <w:rPr>
                <w:szCs w:val="22"/>
              </w:rPr>
              <w:t>nedažnas</w:t>
            </w:r>
          </w:p>
        </w:tc>
      </w:tr>
      <w:tr w:rsidR="00DC4BB2" w:rsidRPr="00CF5157" w14:paraId="4AEFDC3D" w14:textId="77777777" w:rsidTr="00D77DC4">
        <w:trPr>
          <w:trHeight w:val="500"/>
        </w:trPr>
        <w:tc>
          <w:tcPr>
            <w:tcW w:w="1191" w:type="dxa"/>
            <w:gridSpan w:val="2"/>
            <w:vMerge/>
          </w:tcPr>
          <w:p w14:paraId="11FE1637" w14:textId="77777777" w:rsidR="00DC4BB2" w:rsidRPr="004A3BBC" w:rsidRDefault="00DC4BB2">
            <w:pPr>
              <w:rPr>
                <w:sz w:val="2"/>
                <w:szCs w:val="2"/>
                <w:lang w:eastAsia="sl-SI"/>
              </w:rPr>
            </w:pPr>
          </w:p>
        </w:tc>
        <w:tc>
          <w:tcPr>
            <w:tcW w:w="1695" w:type="dxa"/>
          </w:tcPr>
          <w:p w14:paraId="5BA6E783" w14:textId="77777777" w:rsidR="00DC4BB2" w:rsidRPr="00CF5157" w:rsidRDefault="001C4737">
            <w:pPr>
              <w:widowControl w:val="0"/>
              <w:autoSpaceDE w:val="0"/>
              <w:autoSpaceDN w:val="0"/>
              <w:spacing w:line="248" w:lineRule="exact"/>
              <w:ind w:left="100"/>
              <w:rPr>
                <w:szCs w:val="22"/>
              </w:rPr>
            </w:pPr>
            <w:proofErr w:type="spellStart"/>
            <w:r w:rsidRPr="00CF5157">
              <w:t>Stivenso</w:t>
            </w:r>
            <w:proofErr w:type="spellEnd"/>
            <w:r w:rsidRPr="00CF5157">
              <w:t xml:space="preserve">-Džonsono sindromas, </w:t>
            </w:r>
            <w:proofErr w:type="spellStart"/>
            <w:r w:rsidRPr="00CF5157">
              <w:t>Kvinkės</w:t>
            </w:r>
            <w:proofErr w:type="spellEnd"/>
            <w:r w:rsidRPr="00CF5157">
              <w:t xml:space="preserve"> edema</w:t>
            </w:r>
          </w:p>
        </w:tc>
        <w:tc>
          <w:tcPr>
            <w:tcW w:w="1696" w:type="dxa"/>
          </w:tcPr>
          <w:p w14:paraId="2D0C7AE3" w14:textId="77777777" w:rsidR="00DC4BB2" w:rsidRPr="00CF5157" w:rsidRDefault="00DC4BB2">
            <w:pPr>
              <w:widowControl w:val="0"/>
              <w:autoSpaceDE w:val="0"/>
              <w:autoSpaceDN w:val="0"/>
              <w:rPr>
                <w:szCs w:val="22"/>
              </w:rPr>
            </w:pPr>
          </w:p>
        </w:tc>
        <w:tc>
          <w:tcPr>
            <w:tcW w:w="1696" w:type="dxa"/>
          </w:tcPr>
          <w:p w14:paraId="52D31853" w14:textId="77777777" w:rsidR="00DC4BB2" w:rsidRPr="00CF5157" w:rsidRDefault="00DC4BB2">
            <w:pPr>
              <w:widowControl w:val="0"/>
              <w:autoSpaceDE w:val="0"/>
              <w:autoSpaceDN w:val="0"/>
              <w:rPr>
                <w:szCs w:val="22"/>
              </w:rPr>
            </w:pPr>
          </w:p>
        </w:tc>
        <w:tc>
          <w:tcPr>
            <w:tcW w:w="1696" w:type="dxa"/>
          </w:tcPr>
          <w:p w14:paraId="07591B65" w14:textId="77777777" w:rsidR="00DC4BB2" w:rsidRPr="00CF5157" w:rsidRDefault="00DC4BB2">
            <w:pPr>
              <w:widowControl w:val="0"/>
              <w:autoSpaceDE w:val="0"/>
              <w:autoSpaceDN w:val="0"/>
              <w:spacing w:before="5"/>
              <w:rPr>
                <w:szCs w:val="22"/>
              </w:rPr>
            </w:pPr>
          </w:p>
        </w:tc>
        <w:tc>
          <w:tcPr>
            <w:tcW w:w="1696" w:type="dxa"/>
          </w:tcPr>
          <w:p w14:paraId="007CB31C" w14:textId="77777777" w:rsidR="00DC4BB2" w:rsidRPr="004A3BBC" w:rsidRDefault="001C4737">
            <w:pPr>
              <w:widowControl w:val="0"/>
              <w:autoSpaceDE w:val="0"/>
              <w:autoSpaceDN w:val="0"/>
              <w:spacing w:before="34" w:line="236" w:lineRule="exact"/>
              <w:ind w:left="103"/>
              <w:rPr>
                <w:szCs w:val="22"/>
              </w:rPr>
            </w:pPr>
            <w:r w:rsidRPr="004A3BBC">
              <w:rPr>
                <w:szCs w:val="22"/>
              </w:rPr>
              <w:t>labai retas</w:t>
            </w:r>
          </w:p>
        </w:tc>
      </w:tr>
      <w:tr w:rsidR="00DC4BB2" w:rsidRPr="00CF5157" w14:paraId="07FBB6EC" w14:textId="77777777" w:rsidTr="00D77DC4">
        <w:trPr>
          <w:trHeight w:val="280"/>
        </w:trPr>
        <w:tc>
          <w:tcPr>
            <w:tcW w:w="1191" w:type="dxa"/>
            <w:gridSpan w:val="2"/>
            <w:vMerge w:val="restart"/>
          </w:tcPr>
          <w:p w14:paraId="6EE0EA4C" w14:textId="77777777" w:rsidR="00DC4BB2" w:rsidRPr="004A3BBC" w:rsidRDefault="001C4737">
            <w:pPr>
              <w:widowControl w:val="0"/>
              <w:autoSpaceDE w:val="0"/>
              <w:autoSpaceDN w:val="0"/>
              <w:ind w:left="102" w:right="182"/>
              <w:rPr>
                <w:b/>
                <w:szCs w:val="22"/>
              </w:rPr>
            </w:pPr>
            <w:r w:rsidRPr="004A3BBC">
              <w:rPr>
                <w:b/>
                <w:szCs w:val="22"/>
              </w:rPr>
              <w:t xml:space="preserve">Skeleto, raumenų ir jungiamojo audinio </w:t>
            </w:r>
            <w:r w:rsidRPr="004A3BBC">
              <w:rPr>
                <w:b/>
                <w:szCs w:val="22"/>
              </w:rPr>
              <w:lastRenderedPageBreak/>
              <w:t>sutrikimai</w:t>
            </w:r>
          </w:p>
        </w:tc>
        <w:tc>
          <w:tcPr>
            <w:tcW w:w="1695" w:type="dxa"/>
          </w:tcPr>
          <w:p w14:paraId="45895E9E" w14:textId="77777777" w:rsidR="00DC4BB2" w:rsidRPr="004A3BBC" w:rsidRDefault="001C4737">
            <w:pPr>
              <w:widowControl w:val="0"/>
              <w:autoSpaceDE w:val="0"/>
              <w:autoSpaceDN w:val="0"/>
              <w:spacing w:before="31" w:line="239" w:lineRule="exact"/>
              <w:ind w:left="100"/>
              <w:rPr>
                <w:szCs w:val="22"/>
              </w:rPr>
            </w:pPr>
            <w:r w:rsidRPr="004A3BBC">
              <w:rPr>
                <w:szCs w:val="22"/>
              </w:rPr>
              <w:lastRenderedPageBreak/>
              <w:t>Nugaros skausmas</w:t>
            </w:r>
          </w:p>
        </w:tc>
        <w:tc>
          <w:tcPr>
            <w:tcW w:w="1696" w:type="dxa"/>
          </w:tcPr>
          <w:p w14:paraId="41FFBABA" w14:textId="77777777" w:rsidR="00DC4BB2" w:rsidRPr="004A3BBC" w:rsidRDefault="001C4737">
            <w:pPr>
              <w:widowControl w:val="0"/>
              <w:autoSpaceDE w:val="0"/>
              <w:autoSpaceDN w:val="0"/>
              <w:spacing w:before="31" w:line="239" w:lineRule="exact"/>
              <w:ind w:left="103"/>
              <w:rPr>
                <w:szCs w:val="22"/>
              </w:rPr>
            </w:pPr>
            <w:r w:rsidRPr="00CF5157">
              <w:t>nedažnas</w:t>
            </w:r>
          </w:p>
        </w:tc>
        <w:tc>
          <w:tcPr>
            <w:tcW w:w="1696" w:type="dxa"/>
          </w:tcPr>
          <w:p w14:paraId="0AAB378F" w14:textId="77777777" w:rsidR="00DC4BB2" w:rsidRPr="004A3BBC" w:rsidRDefault="001C4737">
            <w:pPr>
              <w:widowControl w:val="0"/>
              <w:autoSpaceDE w:val="0"/>
              <w:autoSpaceDN w:val="0"/>
              <w:spacing w:before="31" w:line="239" w:lineRule="exact"/>
              <w:ind w:left="102"/>
              <w:rPr>
                <w:szCs w:val="22"/>
              </w:rPr>
            </w:pPr>
            <w:r w:rsidRPr="00CF5157">
              <w:t>nedažnas</w:t>
            </w:r>
          </w:p>
        </w:tc>
        <w:tc>
          <w:tcPr>
            <w:tcW w:w="1696" w:type="dxa"/>
          </w:tcPr>
          <w:p w14:paraId="657F0F16" w14:textId="77777777" w:rsidR="00DC4BB2" w:rsidRPr="004A3BBC" w:rsidRDefault="00DC4BB2">
            <w:pPr>
              <w:widowControl w:val="0"/>
              <w:autoSpaceDE w:val="0"/>
              <w:autoSpaceDN w:val="0"/>
              <w:rPr>
                <w:szCs w:val="22"/>
              </w:rPr>
            </w:pPr>
          </w:p>
        </w:tc>
        <w:tc>
          <w:tcPr>
            <w:tcW w:w="1696" w:type="dxa"/>
          </w:tcPr>
          <w:p w14:paraId="5672AA4A" w14:textId="77777777" w:rsidR="00DC4BB2" w:rsidRPr="004A3BBC" w:rsidRDefault="001C4737">
            <w:pPr>
              <w:widowControl w:val="0"/>
              <w:autoSpaceDE w:val="0"/>
              <w:autoSpaceDN w:val="0"/>
              <w:spacing w:before="34" w:line="236" w:lineRule="exact"/>
              <w:ind w:left="103"/>
              <w:rPr>
                <w:szCs w:val="22"/>
              </w:rPr>
            </w:pPr>
            <w:r w:rsidRPr="004A3BBC">
              <w:rPr>
                <w:szCs w:val="22"/>
              </w:rPr>
              <w:t>nedažnas</w:t>
            </w:r>
          </w:p>
        </w:tc>
      </w:tr>
      <w:tr w:rsidR="00DC4BB2" w:rsidRPr="00CF5157" w14:paraId="551BBDB5" w14:textId="77777777" w:rsidTr="00D77DC4">
        <w:trPr>
          <w:trHeight w:val="500"/>
        </w:trPr>
        <w:tc>
          <w:tcPr>
            <w:tcW w:w="1191" w:type="dxa"/>
            <w:gridSpan w:val="2"/>
            <w:vMerge/>
          </w:tcPr>
          <w:p w14:paraId="5EA52DA3" w14:textId="77777777" w:rsidR="00DC4BB2" w:rsidRPr="004A3BBC" w:rsidRDefault="00DC4BB2">
            <w:pPr>
              <w:rPr>
                <w:sz w:val="2"/>
                <w:szCs w:val="2"/>
                <w:lang w:eastAsia="sl-SI"/>
              </w:rPr>
            </w:pPr>
          </w:p>
        </w:tc>
        <w:tc>
          <w:tcPr>
            <w:tcW w:w="1695" w:type="dxa"/>
          </w:tcPr>
          <w:p w14:paraId="01D49F02" w14:textId="77777777" w:rsidR="00DC4BB2" w:rsidRPr="004A3BBC" w:rsidRDefault="001C4737">
            <w:pPr>
              <w:widowControl w:val="0"/>
              <w:autoSpaceDE w:val="0"/>
              <w:autoSpaceDN w:val="0"/>
              <w:spacing w:line="246" w:lineRule="exact"/>
              <w:ind w:left="100"/>
              <w:rPr>
                <w:szCs w:val="22"/>
              </w:rPr>
            </w:pPr>
            <w:r w:rsidRPr="004A3BBC">
              <w:rPr>
                <w:szCs w:val="22"/>
              </w:rPr>
              <w:t>Raumenų spazmai (kojų mėšlungis)</w:t>
            </w:r>
          </w:p>
        </w:tc>
        <w:tc>
          <w:tcPr>
            <w:tcW w:w="1696" w:type="dxa"/>
          </w:tcPr>
          <w:p w14:paraId="54E4CC91" w14:textId="77777777" w:rsidR="00DC4BB2" w:rsidRPr="004A3BBC" w:rsidRDefault="001C4737">
            <w:pPr>
              <w:widowControl w:val="0"/>
              <w:autoSpaceDE w:val="0"/>
              <w:autoSpaceDN w:val="0"/>
              <w:spacing w:line="239" w:lineRule="exact"/>
              <w:ind w:left="103"/>
              <w:rPr>
                <w:szCs w:val="22"/>
              </w:rPr>
            </w:pPr>
            <w:r w:rsidRPr="00CF5157">
              <w:t>nedažnas</w:t>
            </w:r>
          </w:p>
        </w:tc>
        <w:tc>
          <w:tcPr>
            <w:tcW w:w="1696" w:type="dxa"/>
          </w:tcPr>
          <w:p w14:paraId="6888C366" w14:textId="77777777" w:rsidR="00DC4BB2" w:rsidRPr="004A3BBC" w:rsidRDefault="001C4737">
            <w:pPr>
              <w:widowControl w:val="0"/>
              <w:autoSpaceDE w:val="0"/>
              <w:autoSpaceDN w:val="0"/>
              <w:spacing w:line="239" w:lineRule="exact"/>
              <w:ind w:left="102"/>
              <w:rPr>
                <w:szCs w:val="22"/>
              </w:rPr>
            </w:pPr>
            <w:r w:rsidRPr="00CF5157">
              <w:t>nedažnas</w:t>
            </w:r>
          </w:p>
        </w:tc>
        <w:tc>
          <w:tcPr>
            <w:tcW w:w="1696" w:type="dxa"/>
          </w:tcPr>
          <w:p w14:paraId="61BD0009" w14:textId="69F91CA9" w:rsidR="00DC4BB2" w:rsidRPr="004A3BBC" w:rsidRDefault="001C4737">
            <w:pPr>
              <w:widowControl w:val="0"/>
              <w:autoSpaceDE w:val="0"/>
              <w:autoSpaceDN w:val="0"/>
              <w:spacing w:line="239" w:lineRule="exact"/>
              <w:ind w:left="102"/>
              <w:rPr>
                <w:szCs w:val="22"/>
              </w:rPr>
            </w:pPr>
            <w:r w:rsidRPr="004A3BBC">
              <w:rPr>
                <w:szCs w:val="22"/>
              </w:rPr>
              <w:t>nežinomas</w:t>
            </w:r>
          </w:p>
        </w:tc>
        <w:tc>
          <w:tcPr>
            <w:tcW w:w="1696" w:type="dxa"/>
          </w:tcPr>
          <w:p w14:paraId="2AB74D43" w14:textId="77777777" w:rsidR="00DC4BB2" w:rsidRPr="004A3BBC" w:rsidRDefault="001C4737">
            <w:pPr>
              <w:widowControl w:val="0"/>
              <w:autoSpaceDE w:val="0"/>
              <w:autoSpaceDN w:val="0"/>
              <w:spacing w:before="34" w:line="236" w:lineRule="exact"/>
              <w:ind w:left="103"/>
              <w:rPr>
                <w:szCs w:val="22"/>
              </w:rPr>
            </w:pPr>
            <w:r w:rsidRPr="004A3BBC">
              <w:rPr>
                <w:szCs w:val="22"/>
              </w:rPr>
              <w:t>dažnas</w:t>
            </w:r>
          </w:p>
        </w:tc>
      </w:tr>
      <w:tr w:rsidR="00835C0F" w:rsidRPr="00CF5157" w14:paraId="50AED3A7" w14:textId="77777777" w:rsidTr="00D77DC4">
        <w:trPr>
          <w:trHeight w:val="500"/>
        </w:trPr>
        <w:tc>
          <w:tcPr>
            <w:tcW w:w="1191" w:type="dxa"/>
            <w:gridSpan w:val="2"/>
            <w:vMerge/>
          </w:tcPr>
          <w:p w14:paraId="27E14558" w14:textId="77777777" w:rsidR="00835C0F" w:rsidRPr="004A3BBC" w:rsidRDefault="00835C0F">
            <w:pPr>
              <w:rPr>
                <w:sz w:val="2"/>
                <w:szCs w:val="2"/>
                <w:lang w:eastAsia="sl-SI"/>
              </w:rPr>
            </w:pPr>
          </w:p>
        </w:tc>
        <w:tc>
          <w:tcPr>
            <w:tcW w:w="1695" w:type="dxa"/>
          </w:tcPr>
          <w:p w14:paraId="082E12CB" w14:textId="3F17A0A4" w:rsidR="00835C0F" w:rsidRPr="004A3BBC" w:rsidRDefault="00835C0F">
            <w:pPr>
              <w:widowControl w:val="0"/>
              <w:autoSpaceDE w:val="0"/>
              <w:autoSpaceDN w:val="0"/>
              <w:spacing w:line="246" w:lineRule="exact"/>
              <w:ind w:left="100"/>
              <w:rPr>
                <w:szCs w:val="22"/>
              </w:rPr>
            </w:pPr>
            <w:r>
              <w:rPr>
                <w:szCs w:val="22"/>
              </w:rPr>
              <w:t xml:space="preserve">Raumenų skausmas </w:t>
            </w:r>
            <w:r>
              <w:rPr>
                <w:szCs w:val="22"/>
              </w:rPr>
              <w:lastRenderedPageBreak/>
              <w:t>(</w:t>
            </w:r>
            <w:proofErr w:type="spellStart"/>
            <w:r>
              <w:rPr>
                <w:szCs w:val="22"/>
              </w:rPr>
              <w:t>mialgija</w:t>
            </w:r>
            <w:proofErr w:type="spellEnd"/>
            <w:r>
              <w:rPr>
                <w:szCs w:val="22"/>
              </w:rPr>
              <w:t>)</w:t>
            </w:r>
          </w:p>
        </w:tc>
        <w:tc>
          <w:tcPr>
            <w:tcW w:w="1696" w:type="dxa"/>
          </w:tcPr>
          <w:p w14:paraId="6A93B6B5" w14:textId="34F67237" w:rsidR="00835C0F" w:rsidRPr="00CF5157" w:rsidRDefault="00835C0F">
            <w:pPr>
              <w:widowControl w:val="0"/>
              <w:autoSpaceDE w:val="0"/>
              <w:autoSpaceDN w:val="0"/>
              <w:spacing w:line="239" w:lineRule="exact"/>
              <w:ind w:left="103"/>
            </w:pPr>
            <w:r w:rsidRPr="00CF5157">
              <w:lastRenderedPageBreak/>
              <w:t>nedažnas</w:t>
            </w:r>
          </w:p>
        </w:tc>
        <w:tc>
          <w:tcPr>
            <w:tcW w:w="1696" w:type="dxa"/>
          </w:tcPr>
          <w:p w14:paraId="3FD52A1A" w14:textId="4862C4CF" w:rsidR="00835C0F" w:rsidRPr="00CF5157" w:rsidRDefault="00835C0F">
            <w:pPr>
              <w:widowControl w:val="0"/>
              <w:autoSpaceDE w:val="0"/>
              <w:autoSpaceDN w:val="0"/>
              <w:spacing w:line="239" w:lineRule="exact"/>
              <w:ind w:left="102"/>
            </w:pPr>
            <w:r w:rsidRPr="00CF5157">
              <w:t>nedažnas</w:t>
            </w:r>
          </w:p>
        </w:tc>
        <w:tc>
          <w:tcPr>
            <w:tcW w:w="1696" w:type="dxa"/>
          </w:tcPr>
          <w:p w14:paraId="6FBCF3F2" w14:textId="062CF51C" w:rsidR="00835C0F" w:rsidRPr="004A3BBC" w:rsidRDefault="00835C0F">
            <w:pPr>
              <w:widowControl w:val="0"/>
              <w:autoSpaceDE w:val="0"/>
              <w:autoSpaceDN w:val="0"/>
              <w:spacing w:line="239" w:lineRule="exact"/>
              <w:ind w:left="102"/>
              <w:rPr>
                <w:szCs w:val="22"/>
              </w:rPr>
            </w:pPr>
          </w:p>
        </w:tc>
        <w:tc>
          <w:tcPr>
            <w:tcW w:w="1696" w:type="dxa"/>
          </w:tcPr>
          <w:p w14:paraId="3EE77636" w14:textId="7236158E" w:rsidR="00835C0F" w:rsidRPr="004A3BBC" w:rsidRDefault="00835C0F">
            <w:pPr>
              <w:widowControl w:val="0"/>
              <w:autoSpaceDE w:val="0"/>
              <w:autoSpaceDN w:val="0"/>
              <w:spacing w:before="34" w:line="236" w:lineRule="exact"/>
              <w:ind w:left="103"/>
              <w:rPr>
                <w:szCs w:val="22"/>
              </w:rPr>
            </w:pPr>
            <w:r w:rsidRPr="00CF5157">
              <w:t>nedažnas</w:t>
            </w:r>
          </w:p>
        </w:tc>
      </w:tr>
      <w:tr w:rsidR="00DC4BB2" w:rsidRPr="00CF5157" w14:paraId="2D5E5B82" w14:textId="77777777" w:rsidTr="00D77DC4">
        <w:trPr>
          <w:trHeight w:val="280"/>
        </w:trPr>
        <w:tc>
          <w:tcPr>
            <w:tcW w:w="1191" w:type="dxa"/>
            <w:gridSpan w:val="2"/>
            <w:vMerge/>
          </w:tcPr>
          <w:p w14:paraId="52517F0C" w14:textId="77777777" w:rsidR="00DC4BB2" w:rsidRPr="004A3BBC" w:rsidRDefault="00DC4BB2">
            <w:pPr>
              <w:rPr>
                <w:sz w:val="2"/>
                <w:szCs w:val="2"/>
                <w:lang w:eastAsia="sl-SI"/>
              </w:rPr>
            </w:pPr>
          </w:p>
        </w:tc>
        <w:tc>
          <w:tcPr>
            <w:tcW w:w="1695" w:type="dxa"/>
          </w:tcPr>
          <w:p w14:paraId="1B83CCDF" w14:textId="77777777" w:rsidR="00DC4BB2" w:rsidRPr="004A3BBC" w:rsidRDefault="001C4737">
            <w:pPr>
              <w:widowControl w:val="0"/>
              <w:autoSpaceDE w:val="0"/>
              <w:autoSpaceDN w:val="0"/>
              <w:spacing w:before="29" w:line="239" w:lineRule="exact"/>
              <w:ind w:left="100"/>
              <w:rPr>
                <w:szCs w:val="22"/>
              </w:rPr>
            </w:pPr>
            <w:proofErr w:type="spellStart"/>
            <w:r w:rsidRPr="004A3BBC">
              <w:rPr>
                <w:szCs w:val="22"/>
              </w:rPr>
              <w:t>Artralgija</w:t>
            </w:r>
            <w:proofErr w:type="spellEnd"/>
          </w:p>
        </w:tc>
        <w:tc>
          <w:tcPr>
            <w:tcW w:w="1696" w:type="dxa"/>
          </w:tcPr>
          <w:p w14:paraId="2A5754DD" w14:textId="77777777" w:rsidR="00DC4BB2" w:rsidRPr="004A3BBC" w:rsidRDefault="001C4737">
            <w:pPr>
              <w:widowControl w:val="0"/>
              <w:autoSpaceDE w:val="0"/>
              <w:autoSpaceDN w:val="0"/>
              <w:spacing w:before="29" w:line="239" w:lineRule="exact"/>
              <w:ind w:left="103"/>
              <w:rPr>
                <w:szCs w:val="22"/>
              </w:rPr>
            </w:pPr>
            <w:r w:rsidRPr="004A3BBC">
              <w:rPr>
                <w:szCs w:val="22"/>
              </w:rPr>
              <w:t>retas</w:t>
            </w:r>
          </w:p>
        </w:tc>
        <w:tc>
          <w:tcPr>
            <w:tcW w:w="1696" w:type="dxa"/>
          </w:tcPr>
          <w:p w14:paraId="735F718E" w14:textId="77777777" w:rsidR="00DC4BB2" w:rsidRPr="004A3BBC" w:rsidRDefault="001C4737">
            <w:pPr>
              <w:widowControl w:val="0"/>
              <w:autoSpaceDE w:val="0"/>
              <w:autoSpaceDN w:val="0"/>
              <w:spacing w:before="29" w:line="239" w:lineRule="exact"/>
              <w:ind w:left="102"/>
              <w:rPr>
                <w:szCs w:val="22"/>
              </w:rPr>
            </w:pPr>
            <w:r w:rsidRPr="004A3BBC">
              <w:rPr>
                <w:szCs w:val="22"/>
              </w:rPr>
              <w:t>retas</w:t>
            </w:r>
          </w:p>
        </w:tc>
        <w:tc>
          <w:tcPr>
            <w:tcW w:w="1696" w:type="dxa"/>
          </w:tcPr>
          <w:p w14:paraId="2F945B88" w14:textId="77777777" w:rsidR="00DC4BB2" w:rsidRPr="004A3BBC" w:rsidRDefault="00DC4BB2">
            <w:pPr>
              <w:widowControl w:val="0"/>
              <w:autoSpaceDE w:val="0"/>
              <w:autoSpaceDN w:val="0"/>
              <w:rPr>
                <w:szCs w:val="22"/>
              </w:rPr>
            </w:pPr>
          </w:p>
        </w:tc>
        <w:tc>
          <w:tcPr>
            <w:tcW w:w="1696" w:type="dxa"/>
          </w:tcPr>
          <w:p w14:paraId="69884F7D" w14:textId="77777777" w:rsidR="00DC4BB2" w:rsidRPr="004A3BBC" w:rsidRDefault="001C4737">
            <w:pPr>
              <w:widowControl w:val="0"/>
              <w:autoSpaceDE w:val="0"/>
              <w:autoSpaceDN w:val="0"/>
              <w:spacing w:before="34" w:line="236" w:lineRule="exact"/>
              <w:ind w:left="103"/>
              <w:rPr>
                <w:szCs w:val="22"/>
              </w:rPr>
            </w:pPr>
            <w:r w:rsidRPr="00CF5157">
              <w:t>nedažnas</w:t>
            </w:r>
          </w:p>
        </w:tc>
      </w:tr>
      <w:tr w:rsidR="00DC4BB2" w:rsidRPr="00CF5157" w14:paraId="6900C418" w14:textId="77777777" w:rsidTr="00D77DC4">
        <w:trPr>
          <w:trHeight w:val="500"/>
        </w:trPr>
        <w:tc>
          <w:tcPr>
            <w:tcW w:w="1191" w:type="dxa"/>
            <w:gridSpan w:val="2"/>
            <w:vMerge/>
          </w:tcPr>
          <w:p w14:paraId="17E94FB0" w14:textId="77777777" w:rsidR="00DC4BB2" w:rsidRPr="004A3BBC" w:rsidRDefault="00DC4BB2">
            <w:pPr>
              <w:rPr>
                <w:sz w:val="2"/>
                <w:szCs w:val="2"/>
                <w:lang w:eastAsia="sl-SI"/>
              </w:rPr>
            </w:pPr>
          </w:p>
        </w:tc>
        <w:tc>
          <w:tcPr>
            <w:tcW w:w="1695" w:type="dxa"/>
          </w:tcPr>
          <w:p w14:paraId="6CA2D506" w14:textId="77777777" w:rsidR="00DC4BB2" w:rsidRPr="004A3BBC" w:rsidRDefault="001C4737">
            <w:pPr>
              <w:widowControl w:val="0"/>
              <w:autoSpaceDE w:val="0"/>
              <w:autoSpaceDN w:val="0"/>
              <w:spacing w:line="246" w:lineRule="exact"/>
              <w:ind w:left="100"/>
              <w:rPr>
                <w:szCs w:val="22"/>
              </w:rPr>
            </w:pPr>
            <w:r w:rsidRPr="004A3BBC">
              <w:rPr>
                <w:szCs w:val="22"/>
              </w:rPr>
              <w:t>Galūnių skausmas (kojų skausmas)</w:t>
            </w:r>
          </w:p>
        </w:tc>
        <w:tc>
          <w:tcPr>
            <w:tcW w:w="1696" w:type="dxa"/>
          </w:tcPr>
          <w:p w14:paraId="3DD328F6" w14:textId="77777777" w:rsidR="00DC4BB2" w:rsidRPr="004A3BBC" w:rsidRDefault="001C4737">
            <w:pPr>
              <w:widowControl w:val="0"/>
              <w:autoSpaceDE w:val="0"/>
              <w:autoSpaceDN w:val="0"/>
              <w:spacing w:line="239" w:lineRule="exact"/>
              <w:ind w:left="103"/>
              <w:rPr>
                <w:szCs w:val="22"/>
              </w:rPr>
            </w:pPr>
            <w:r w:rsidRPr="004A3BBC">
              <w:rPr>
                <w:szCs w:val="22"/>
              </w:rPr>
              <w:t>retas</w:t>
            </w:r>
          </w:p>
        </w:tc>
        <w:tc>
          <w:tcPr>
            <w:tcW w:w="1696" w:type="dxa"/>
          </w:tcPr>
          <w:p w14:paraId="68D740DA" w14:textId="77777777" w:rsidR="00DC4BB2" w:rsidRPr="004A3BBC" w:rsidRDefault="001C4737">
            <w:pPr>
              <w:widowControl w:val="0"/>
              <w:autoSpaceDE w:val="0"/>
              <w:autoSpaceDN w:val="0"/>
              <w:spacing w:line="239" w:lineRule="exact"/>
              <w:ind w:left="102"/>
              <w:rPr>
                <w:szCs w:val="22"/>
              </w:rPr>
            </w:pPr>
            <w:r w:rsidRPr="004A3BBC">
              <w:rPr>
                <w:szCs w:val="22"/>
              </w:rPr>
              <w:t>retas</w:t>
            </w:r>
          </w:p>
        </w:tc>
        <w:tc>
          <w:tcPr>
            <w:tcW w:w="1696" w:type="dxa"/>
          </w:tcPr>
          <w:p w14:paraId="24DFE315" w14:textId="77777777" w:rsidR="00DC4BB2" w:rsidRPr="004A3BBC" w:rsidRDefault="00DC4BB2">
            <w:pPr>
              <w:widowControl w:val="0"/>
              <w:autoSpaceDE w:val="0"/>
              <w:autoSpaceDN w:val="0"/>
              <w:rPr>
                <w:szCs w:val="22"/>
              </w:rPr>
            </w:pPr>
          </w:p>
        </w:tc>
        <w:tc>
          <w:tcPr>
            <w:tcW w:w="1696" w:type="dxa"/>
          </w:tcPr>
          <w:p w14:paraId="3C176815" w14:textId="77777777" w:rsidR="00DC4BB2" w:rsidRPr="004A3BBC" w:rsidRDefault="00DC4BB2">
            <w:pPr>
              <w:widowControl w:val="0"/>
              <w:autoSpaceDE w:val="0"/>
              <w:autoSpaceDN w:val="0"/>
              <w:spacing w:before="34" w:line="236" w:lineRule="exact"/>
              <w:ind w:left="103"/>
              <w:rPr>
                <w:szCs w:val="22"/>
              </w:rPr>
            </w:pPr>
          </w:p>
        </w:tc>
      </w:tr>
      <w:tr w:rsidR="00DC4BB2" w:rsidRPr="00CF5157" w14:paraId="535CE070" w14:textId="77777777" w:rsidTr="00D77DC4">
        <w:trPr>
          <w:trHeight w:val="760"/>
        </w:trPr>
        <w:tc>
          <w:tcPr>
            <w:tcW w:w="1191" w:type="dxa"/>
            <w:gridSpan w:val="2"/>
            <w:vMerge/>
          </w:tcPr>
          <w:p w14:paraId="5D6FBE15" w14:textId="77777777" w:rsidR="00DC4BB2" w:rsidRPr="004A3BBC" w:rsidRDefault="00DC4BB2">
            <w:pPr>
              <w:rPr>
                <w:sz w:val="2"/>
                <w:szCs w:val="2"/>
                <w:lang w:eastAsia="sl-SI"/>
              </w:rPr>
            </w:pPr>
          </w:p>
        </w:tc>
        <w:tc>
          <w:tcPr>
            <w:tcW w:w="1695" w:type="dxa"/>
          </w:tcPr>
          <w:p w14:paraId="22DC2504" w14:textId="77777777" w:rsidR="00DC4BB2" w:rsidRPr="004A3BBC" w:rsidRDefault="001C4737">
            <w:pPr>
              <w:widowControl w:val="0"/>
              <w:autoSpaceDE w:val="0"/>
              <w:autoSpaceDN w:val="0"/>
              <w:spacing w:line="246" w:lineRule="exact"/>
              <w:ind w:left="100"/>
              <w:rPr>
                <w:szCs w:val="22"/>
              </w:rPr>
            </w:pPr>
            <w:r w:rsidRPr="004A3BBC">
              <w:rPr>
                <w:szCs w:val="22"/>
              </w:rPr>
              <w:t xml:space="preserve">Sausgyslių skausmas (į </w:t>
            </w:r>
            <w:proofErr w:type="spellStart"/>
            <w:r w:rsidRPr="004A3BBC">
              <w:rPr>
                <w:szCs w:val="22"/>
              </w:rPr>
              <w:t>tendinitą</w:t>
            </w:r>
            <w:proofErr w:type="spellEnd"/>
            <w:r w:rsidRPr="004A3BBC">
              <w:rPr>
                <w:szCs w:val="22"/>
              </w:rPr>
              <w:t xml:space="preserve"> panašūs simptomai)</w:t>
            </w:r>
          </w:p>
        </w:tc>
        <w:tc>
          <w:tcPr>
            <w:tcW w:w="1696" w:type="dxa"/>
          </w:tcPr>
          <w:p w14:paraId="7284C7D1" w14:textId="77777777" w:rsidR="00DC4BB2" w:rsidRPr="004A3BBC" w:rsidRDefault="00DC4BB2">
            <w:pPr>
              <w:widowControl w:val="0"/>
              <w:autoSpaceDE w:val="0"/>
              <w:autoSpaceDN w:val="0"/>
              <w:rPr>
                <w:szCs w:val="22"/>
              </w:rPr>
            </w:pPr>
          </w:p>
        </w:tc>
        <w:tc>
          <w:tcPr>
            <w:tcW w:w="1696" w:type="dxa"/>
          </w:tcPr>
          <w:p w14:paraId="6AF2940F" w14:textId="77777777" w:rsidR="00DC4BB2" w:rsidRPr="004A3BBC" w:rsidRDefault="001C4737">
            <w:pPr>
              <w:widowControl w:val="0"/>
              <w:autoSpaceDE w:val="0"/>
              <w:autoSpaceDN w:val="0"/>
              <w:spacing w:line="241" w:lineRule="exact"/>
              <w:ind w:left="102"/>
              <w:rPr>
                <w:szCs w:val="22"/>
              </w:rPr>
            </w:pPr>
            <w:r w:rsidRPr="004A3BBC">
              <w:rPr>
                <w:szCs w:val="22"/>
              </w:rPr>
              <w:t>retas</w:t>
            </w:r>
          </w:p>
        </w:tc>
        <w:tc>
          <w:tcPr>
            <w:tcW w:w="1696" w:type="dxa"/>
          </w:tcPr>
          <w:p w14:paraId="7726FC75" w14:textId="77777777" w:rsidR="00DC4BB2" w:rsidRPr="004A3BBC" w:rsidRDefault="00DC4BB2">
            <w:pPr>
              <w:widowControl w:val="0"/>
              <w:autoSpaceDE w:val="0"/>
              <w:autoSpaceDN w:val="0"/>
              <w:rPr>
                <w:szCs w:val="22"/>
              </w:rPr>
            </w:pPr>
          </w:p>
        </w:tc>
        <w:tc>
          <w:tcPr>
            <w:tcW w:w="1696" w:type="dxa"/>
          </w:tcPr>
          <w:p w14:paraId="2DAFFBD5" w14:textId="77777777" w:rsidR="00DC4BB2" w:rsidRPr="004A3BBC" w:rsidRDefault="00DC4BB2">
            <w:pPr>
              <w:widowControl w:val="0"/>
              <w:autoSpaceDE w:val="0"/>
              <w:autoSpaceDN w:val="0"/>
              <w:spacing w:before="34" w:line="236" w:lineRule="exact"/>
              <w:ind w:left="103"/>
              <w:rPr>
                <w:szCs w:val="22"/>
              </w:rPr>
            </w:pPr>
          </w:p>
        </w:tc>
      </w:tr>
      <w:tr w:rsidR="00DC4BB2" w:rsidRPr="00CF5157" w14:paraId="0BC32A4E" w14:textId="77777777" w:rsidTr="00D77DC4">
        <w:trPr>
          <w:trHeight w:val="500"/>
        </w:trPr>
        <w:tc>
          <w:tcPr>
            <w:tcW w:w="1191" w:type="dxa"/>
            <w:gridSpan w:val="2"/>
            <w:vMerge/>
          </w:tcPr>
          <w:p w14:paraId="2D1AFC29" w14:textId="77777777" w:rsidR="00DC4BB2" w:rsidRPr="004A3BBC" w:rsidRDefault="00DC4BB2">
            <w:pPr>
              <w:rPr>
                <w:sz w:val="2"/>
                <w:szCs w:val="2"/>
                <w:lang w:eastAsia="sl-SI"/>
              </w:rPr>
            </w:pPr>
          </w:p>
        </w:tc>
        <w:tc>
          <w:tcPr>
            <w:tcW w:w="1695" w:type="dxa"/>
          </w:tcPr>
          <w:p w14:paraId="7F4871B4" w14:textId="77777777" w:rsidR="00DC4BB2" w:rsidRPr="004A3BBC" w:rsidRDefault="001C4737">
            <w:pPr>
              <w:widowControl w:val="0"/>
              <w:autoSpaceDE w:val="0"/>
              <w:autoSpaceDN w:val="0"/>
              <w:spacing w:line="245" w:lineRule="exact"/>
              <w:ind w:left="100"/>
              <w:rPr>
                <w:szCs w:val="22"/>
              </w:rPr>
            </w:pPr>
            <w:r w:rsidRPr="004A3BBC">
              <w:rPr>
                <w:szCs w:val="22"/>
              </w:rPr>
              <w:t>Sisteminė raudonoji vilkligė</w:t>
            </w:r>
          </w:p>
        </w:tc>
        <w:tc>
          <w:tcPr>
            <w:tcW w:w="1696" w:type="dxa"/>
          </w:tcPr>
          <w:p w14:paraId="193F0B2B" w14:textId="77777777" w:rsidR="00DC4BB2" w:rsidRPr="004A3BBC" w:rsidRDefault="001C4737">
            <w:pPr>
              <w:widowControl w:val="0"/>
              <w:autoSpaceDE w:val="0"/>
              <w:autoSpaceDN w:val="0"/>
              <w:spacing w:line="247" w:lineRule="exact"/>
              <w:ind w:left="103"/>
              <w:rPr>
                <w:szCs w:val="22"/>
              </w:rPr>
            </w:pPr>
            <w:r w:rsidRPr="004A3BBC">
              <w:rPr>
                <w:szCs w:val="22"/>
              </w:rPr>
              <w:t>retas</w:t>
            </w:r>
            <w:r w:rsidRPr="004A3BBC">
              <w:rPr>
                <w:szCs w:val="22"/>
                <w:vertAlign w:val="superscript"/>
              </w:rPr>
              <w:t>1</w:t>
            </w:r>
          </w:p>
        </w:tc>
        <w:tc>
          <w:tcPr>
            <w:tcW w:w="1696" w:type="dxa"/>
          </w:tcPr>
          <w:p w14:paraId="229C1F01" w14:textId="77777777" w:rsidR="00DC4BB2" w:rsidRPr="004A3BBC" w:rsidRDefault="00DC4BB2">
            <w:pPr>
              <w:widowControl w:val="0"/>
              <w:autoSpaceDE w:val="0"/>
              <w:autoSpaceDN w:val="0"/>
              <w:rPr>
                <w:szCs w:val="22"/>
              </w:rPr>
            </w:pPr>
          </w:p>
        </w:tc>
        <w:tc>
          <w:tcPr>
            <w:tcW w:w="1696" w:type="dxa"/>
          </w:tcPr>
          <w:p w14:paraId="5A5E2D8C" w14:textId="77777777" w:rsidR="00DC4BB2" w:rsidRPr="004A3BBC" w:rsidRDefault="001C4737">
            <w:pPr>
              <w:widowControl w:val="0"/>
              <w:autoSpaceDE w:val="0"/>
              <w:autoSpaceDN w:val="0"/>
              <w:spacing w:line="241" w:lineRule="exact"/>
              <w:ind w:left="102"/>
              <w:rPr>
                <w:szCs w:val="22"/>
              </w:rPr>
            </w:pPr>
            <w:r w:rsidRPr="004A3BBC">
              <w:rPr>
                <w:szCs w:val="22"/>
              </w:rPr>
              <w:t>labai retas</w:t>
            </w:r>
          </w:p>
        </w:tc>
        <w:tc>
          <w:tcPr>
            <w:tcW w:w="1696" w:type="dxa"/>
          </w:tcPr>
          <w:p w14:paraId="6A0638EF" w14:textId="77777777" w:rsidR="00DC4BB2" w:rsidRPr="004A3BBC" w:rsidRDefault="00DC4BB2">
            <w:pPr>
              <w:widowControl w:val="0"/>
              <w:autoSpaceDE w:val="0"/>
              <w:autoSpaceDN w:val="0"/>
              <w:spacing w:before="34" w:line="236" w:lineRule="exact"/>
              <w:ind w:left="103"/>
              <w:rPr>
                <w:szCs w:val="22"/>
              </w:rPr>
            </w:pPr>
          </w:p>
        </w:tc>
      </w:tr>
      <w:tr w:rsidR="00DC4BB2" w:rsidRPr="00CF5157" w14:paraId="29290F8C" w14:textId="77777777" w:rsidTr="00D77DC4">
        <w:trPr>
          <w:trHeight w:val="500"/>
        </w:trPr>
        <w:tc>
          <w:tcPr>
            <w:tcW w:w="1191" w:type="dxa"/>
            <w:gridSpan w:val="2"/>
            <w:vMerge/>
          </w:tcPr>
          <w:p w14:paraId="593AA104" w14:textId="77777777" w:rsidR="00DC4BB2" w:rsidRPr="004A3BBC" w:rsidRDefault="00DC4BB2">
            <w:pPr>
              <w:rPr>
                <w:sz w:val="2"/>
                <w:szCs w:val="2"/>
                <w:lang w:eastAsia="sl-SI"/>
              </w:rPr>
            </w:pPr>
          </w:p>
        </w:tc>
        <w:tc>
          <w:tcPr>
            <w:tcW w:w="1695" w:type="dxa"/>
          </w:tcPr>
          <w:p w14:paraId="393FF683" w14:textId="77777777" w:rsidR="00DC4BB2" w:rsidRPr="004A3BBC" w:rsidRDefault="001C4737">
            <w:pPr>
              <w:widowControl w:val="0"/>
              <w:autoSpaceDE w:val="0"/>
              <w:autoSpaceDN w:val="0"/>
              <w:spacing w:line="245" w:lineRule="exact"/>
              <w:ind w:left="100"/>
              <w:rPr>
                <w:szCs w:val="22"/>
              </w:rPr>
            </w:pPr>
            <w:r w:rsidRPr="004A3BBC">
              <w:rPr>
                <w:szCs w:val="22"/>
              </w:rPr>
              <w:t>Čiurnos patinimas</w:t>
            </w:r>
          </w:p>
        </w:tc>
        <w:tc>
          <w:tcPr>
            <w:tcW w:w="1696" w:type="dxa"/>
          </w:tcPr>
          <w:p w14:paraId="65E0D42F" w14:textId="77777777" w:rsidR="00DC4BB2" w:rsidRPr="004A3BBC" w:rsidRDefault="00DC4BB2">
            <w:pPr>
              <w:widowControl w:val="0"/>
              <w:autoSpaceDE w:val="0"/>
              <w:autoSpaceDN w:val="0"/>
              <w:spacing w:line="247" w:lineRule="exact"/>
              <w:ind w:left="103"/>
              <w:rPr>
                <w:szCs w:val="22"/>
              </w:rPr>
            </w:pPr>
          </w:p>
        </w:tc>
        <w:tc>
          <w:tcPr>
            <w:tcW w:w="1696" w:type="dxa"/>
          </w:tcPr>
          <w:p w14:paraId="7D38EBAF" w14:textId="77777777" w:rsidR="00DC4BB2" w:rsidRPr="004A3BBC" w:rsidRDefault="00DC4BB2">
            <w:pPr>
              <w:widowControl w:val="0"/>
              <w:autoSpaceDE w:val="0"/>
              <w:autoSpaceDN w:val="0"/>
              <w:rPr>
                <w:szCs w:val="22"/>
              </w:rPr>
            </w:pPr>
          </w:p>
        </w:tc>
        <w:tc>
          <w:tcPr>
            <w:tcW w:w="1696" w:type="dxa"/>
          </w:tcPr>
          <w:p w14:paraId="0BB685E6" w14:textId="77777777" w:rsidR="00DC4BB2" w:rsidRPr="004A3BBC" w:rsidRDefault="00DC4BB2">
            <w:pPr>
              <w:widowControl w:val="0"/>
              <w:autoSpaceDE w:val="0"/>
              <w:autoSpaceDN w:val="0"/>
              <w:spacing w:line="241" w:lineRule="exact"/>
              <w:ind w:left="102"/>
              <w:rPr>
                <w:szCs w:val="22"/>
              </w:rPr>
            </w:pPr>
          </w:p>
        </w:tc>
        <w:tc>
          <w:tcPr>
            <w:tcW w:w="1696" w:type="dxa"/>
          </w:tcPr>
          <w:p w14:paraId="743B7CA1" w14:textId="77777777" w:rsidR="00DC4BB2" w:rsidRPr="004A3BBC" w:rsidRDefault="001C4737">
            <w:pPr>
              <w:widowControl w:val="0"/>
              <w:autoSpaceDE w:val="0"/>
              <w:autoSpaceDN w:val="0"/>
              <w:spacing w:before="34" w:line="236" w:lineRule="exact"/>
              <w:ind w:left="103"/>
              <w:rPr>
                <w:szCs w:val="22"/>
              </w:rPr>
            </w:pPr>
            <w:r w:rsidRPr="004A3BBC">
              <w:rPr>
                <w:szCs w:val="22"/>
              </w:rPr>
              <w:t>dažnas</w:t>
            </w:r>
          </w:p>
        </w:tc>
      </w:tr>
      <w:tr w:rsidR="00DC4BB2" w:rsidRPr="00CF5157" w14:paraId="07F33427" w14:textId="77777777" w:rsidTr="00D77DC4">
        <w:trPr>
          <w:trHeight w:val="280"/>
        </w:trPr>
        <w:tc>
          <w:tcPr>
            <w:tcW w:w="1191" w:type="dxa"/>
            <w:gridSpan w:val="2"/>
            <w:vMerge w:val="restart"/>
          </w:tcPr>
          <w:p w14:paraId="2746266F" w14:textId="77777777" w:rsidR="00DC4BB2" w:rsidRPr="004A3BBC" w:rsidRDefault="001C4737">
            <w:pPr>
              <w:widowControl w:val="0"/>
              <w:autoSpaceDE w:val="0"/>
              <w:autoSpaceDN w:val="0"/>
              <w:ind w:left="102" w:right="96"/>
              <w:rPr>
                <w:b/>
                <w:szCs w:val="22"/>
              </w:rPr>
            </w:pPr>
            <w:r w:rsidRPr="004A3BBC">
              <w:rPr>
                <w:b/>
                <w:szCs w:val="22"/>
              </w:rPr>
              <w:t>Inkstų ir šlapimo takų sutrikimai</w:t>
            </w:r>
          </w:p>
        </w:tc>
        <w:tc>
          <w:tcPr>
            <w:tcW w:w="1695" w:type="dxa"/>
          </w:tcPr>
          <w:p w14:paraId="493D291F" w14:textId="77777777" w:rsidR="00DC4BB2" w:rsidRPr="004A3BBC" w:rsidRDefault="001C4737">
            <w:pPr>
              <w:widowControl w:val="0"/>
              <w:autoSpaceDE w:val="0"/>
              <w:autoSpaceDN w:val="0"/>
              <w:spacing w:before="29" w:line="239" w:lineRule="exact"/>
              <w:ind w:left="100"/>
              <w:rPr>
                <w:szCs w:val="22"/>
              </w:rPr>
            </w:pPr>
            <w:r w:rsidRPr="004A3BBC">
              <w:rPr>
                <w:szCs w:val="22"/>
              </w:rPr>
              <w:t>Inkstų funkcijos sutrikimas</w:t>
            </w:r>
          </w:p>
        </w:tc>
        <w:tc>
          <w:tcPr>
            <w:tcW w:w="1696" w:type="dxa"/>
          </w:tcPr>
          <w:p w14:paraId="4A5F57F6" w14:textId="77777777" w:rsidR="00DC4BB2" w:rsidRPr="004A3BBC" w:rsidRDefault="00DC4BB2">
            <w:pPr>
              <w:widowControl w:val="0"/>
              <w:autoSpaceDE w:val="0"/>
              <w:autoSpaceDN w:val="0"/>
              <w:rPr>
                <w:szCs w:val="22"/>
              </w:rPr>
            </w:pPr>
          </w:p>
        </w:tc>
        <w:tc>
          <w:tcPr>
            <w:tcW w:w="1696" w:type="dxa"/>
          </w:tcPr>
          <w:p w14:paraId="46BE6011" w14:textId="77777777" w:rsidR="00DC4BB2" w:rsidRPr="004A3BBC" w:rsidRDefault="001C4737">
            <w:pPr>
              <w:widowControl w:val="0"/>
              <w:autoSpaceDE w:val="0"/>
              <w:autoSpaceDN w:val="0"/>
              <w:spacing w:before="29" w:line="239" w:lineRule="exact"/>
              <w:ind w:left="102"/>
              <w:rPr>
                <w:szCs w:val="22"/>
              </w:rPr>
            </w:pPr>
            <w:r w:rsidRPr="00CF5157">
              <w:t>nedažnas</w:t>
            </w:r>
          </w:p>
        </w:tc>
        <w:tc>
          <w:tcPr>
            <w:tcW w:w="1696" w:type="dxa"/>
          </w:tcPr>
          <w:p w14:paraId="10785501" w14:textId="7874320B" w:rsidR="00DC4BB2" w:rsidRPr="004A3BBC" w:rsidRDefault="001C4737">
            <w:pPr>
              <w:widowControl w:val="0"/>
              <w:autoSpaceDE w:val="0"/>
              <w:autoSpaceDN w:val="0"/>
              <w:spacing w:before="29" w:line="239" w:lineRule="exact"/>
              <w:ind w:left="102"/>
              <w:rPr>
                <w:szCs w:val="22"/>
              </w:rPr>
            </w:pPr>
            <w:r w:rsidRPr="004A3BBC">
              <w:rPr>
                <w:szCs w:val="22"/>
              </w:rPr>
              <w:t>nežinomas</w:t>
            </w:r>
          </w:p>
        </w:tc>
        <w:tc>
          <w:tcPr>
            <w:tcW w:w="1696" w:type="dxa"/>
          </w:tcPr>
          <w:p w14:paraId="7361BF42" w14:textId="77777777" w:rsidR="00DC4BB2" w:rsidRPr="004A3BBC" w:rsidRDefault="00DC4BB2">
            <w:pPr>
              <w:widowControl w:val="0"/>
              <w:autoSpaceDE w:val="0"/>
              <w:autoSpaceDN w:val="0"/>
              <w:spacing w:before="34" w:line="236" w:lineRule="exact"/>
              <w:ind w:left="103"/>
              <w:rPr>
                <w:szCs w:val="22"/>
              </w:rPr>
            </w:pPr>
          </w:p>
        </w:tc>
      </w:tr>
      <w:tr w:rsidR="00DC4BB2" w:rsidRPr="00CF5157" w14:paraId="0A6363DE" w14:textId="77777777" w:rsidTr="00D77DC4">
        <w:trPr>
          <w:trHeight w:val="280"/>
        </w:trPr>
        <w:tc>
          <w:tcPr>
            <w:tcW w:w="1191" w:type="dxa"/>
            <w:gridSpan w:val="2"/>
            <w:vMerge/>
          </w:tcPr>
          <w:p w14:paraId="1824624F" w14:textId="77777777" w:rsidR="00DC4BB2" w:rsidRPr="004A3BBC" w:rsidRDefault="00DC4BB2">
            <w:pPr>
              <w:rPr>
                <w:sz w:val="2"/>
                <w:szCs w:val="2"/>
                <w:lang w:eastAsia="sl-SI"/>
              </w:rPr>
            </w:pPr>
          </w:p>
        </w:tc>
        <w:tc>
          <w:tcPr>
            <w:tcW w:w="1695" w:type="dxa"/>
          </w:tcPr>
          <w:p w14:paraId="46DC35A2" w14:textId="77777777" w:rsidR="00DC4BB2" w:rsidRPr="004A3BBC" w:rsidRDefault="001C4737">
            <w:pPr>
              <w:widowControl w:val="0"/>
              <w:autoSpaceDE w:val="0"/>
              <w:autoSpaceDN w:val="0"/>
              <w:spacing w:before="29" w:line="241" w:lineRule="exact"/>
              <w:ind w:left="100"/>
              <w:rPr>
                <w:szCs w:val="22"/>
              </w:rPr>
            </w:pPr>
            <w:r w:rsidRPr="004A3BBC">
              <w:rPr>
                <w:szCs w:val="22"/>
              </w:rPr>
              <w:t>Ūminis inkstų nepakankamumas</w:t>
            </w:r>
          </w:p>
        </w:tc>
        <w:tc>
          <w:tcPr>
            <w:tcW w:w="1696" w:type="dxa"/>
          </w:tcPr>
          <w:p w14:paraId="090265E4" w14:textId="77777777" w:rsidR="00DC4BB2" w:rsidRPr="004A3BBC" w:rsidRDefault="00DC4BB2">
            <w:pPr>
              <w:widowControl w:val="0"/>
              <w:autoSpaceDE w:val="0"/>
              <w:autoSpaceDN w:val="0"/>
              <w:rPr>
                <w:szCs w:val="22"/>
              </w:rPr>
            </w:pPr>
          </w:p>
        </w:tc>
        <w:tc>
          <w:tcPr>
            <w:tcW w:w="1696" w:type="dxa"/>
          </w:tcPr>
          <w:p w14:paraId="3C0B8DBB" w14:textId="77777777" w:rsidR="00DC4BB2" w:rsidRPr="004A3BBC" w:rsidRDefault="001C4737">
            <w:pPr>
              <w:widowControl w:val="0"/>
              <w:autoSpaceDE w:val="0"/>
              <w:autoSpaceDN w:val="0"/>
              <w:spacing w:before="29" w:line="241" w:lineRule="exact"/>
              <w:ind w:left="102"/>
              <w:rPr>
                <w:szCs w:val="22"/>
              </w:rPr>
            </w:pPr>
            <w:r w:rsidRPr="00CF5157">
              <w:t>nedažnas</w:t>
            </w:r>
          </w:p>
        </w:tc>
        <w:tc>
          <w:tcPr>
            <w:tcW w:w="1696" w:type="dxa"/>
          </w:tcPr>
          <w:p w14:paraId="224917BA" w14:textId="77777777" w:rsidR="00DC4BB2" w:rsidRPr="004A3BBC" w:rsidRDefault="001C4737">
            <w:pPr>
              <w:widowControl w:val="0"/>
              <w:autoSpaceDE w:val="0"/>
              <w:autoSpaceDN w:val="0"/>
              <w:spacing w:before="29" w:line="241" w:lineRule="exact"/>
              <w:ind w:left="102"/>
              <w:rPr>
                <w:szCs w:val="22"/>
              </w:rPr>
            </w:pPr>
            <w:r w:rsidRPr="004A3BBC">
              <w:rPr>
                <w:szCs w:val="22"/>
              </w:rPr>
              <w:t>nedažnas</w:t>
            </w:r>
          </w:p>
        </w:tc>
        <w:tc>
          <w:tcPr>
            <w:tcW w:w="1696" w:type="dxa"/>
          </w:tcPr>
          <w:p w14:paraId="691FF769" w14:textId="77777777" w:rsidR="00DC4BB2" w:rsidRPr="004A3BBC" w:rsidRDefault="00DC4BB2">
            <w:pPr>
              <w:widowControl w:val="0"/>
              <w:autoSpaceDE w:val="0"/>
              <w:autoSpaceDN w:val="0"/>
              <w:spacing w:before="34" w:line="236" w:lineRule="exact"/>
              <w:ind w:left="103"/>
              <w:rPr>
                <w:szCs w:val="22"/>
              </w:rPr>
            </w:pPr>
          </w:p>
        </w:tc>
      </w:tr>
      <w:tr w:rsidR="00DC4BB2" w:rsidRPr="00CF5157" w14:paraId="05C83898" w14:textId="77777777" w:rsidTr="00D77DC4">
        <w:trPr>
          <w:trHeight w:val="280"/>
        </w:trPr>
        <w:tc>
          <w:tcPr>
            <w:tcW w:w="1191" w:type="dxa"/>
            <w:gridSpan w:val="2"/>
            <w:vMerge/>
          </w:tcPr>
          <w:p w14:paraId="21FB04A1" w14:textId="77777777" w:rsidR="00DC4BB2" w:rsidRPr="004A3BBC" w:rsidRDefault="00DC4BB2">
            <w:pPr>
              <w:rPr>
                <w:sz w:val="2"/>
                <w:szCs w:val="2"/>
                <w:lang w:eastAsia="sl-SI"/>
              </w:rPr>
            </w:pPr>
          </w:p>
        </w:tc>
        <w:tc>
          <w:tcPr>
            <w:tcW w:w="1695" w:type="dxa"/>
          </w:tcPr>
          <w:p w14:paraId="35ED6B2E" w14:textId="77777777" w:rsidR="00DC4BB2" w:rsidRPr="004A3BBC" w:rsidRDefault="001C4737">
            <w:pPr>
              <w:widowControl w:val="0"/>
              <w:autoSpaceDE w:val="0"/>
              <w:autoSpaceDN w:val="0"/>
              <w:spacing w:before="29" w:line="239" w:lineRule="exact"/>
              <w:ind w:left="100"/>
              <w:rPr>
                <w:szCs w:val="22"/>
              </w:rPr>
            </w:pPr>
            <w:bookmarkStart w:id="32" w:name="_Hlk188619128"/>
            <w:proofErr w:type="spellStart"/>
            <w:r w:rsidRPr="004A3BBC">
              <w:rPr>
                <w:szCs w:val="22"/>
              </w:rPr>
              <w:t>Gl</w:t>
            </w:r>
            <w:bookmarkEnd w:id="32"/>
            <w:r w:rsidRPr="004A3BBC">
              <w:rPr>
                <w:szCs w:val="22"/>
              </w:rPr>
              <w:t>ikozurija</w:t>
            </w:r>
            <w:proofErr w:type="spellEnd"/>
          </w:p>
        </w:tc>
        <w:tc>
          <w:tcPr>
            <w:tcW w:w="1696" w:type="dxa"/>
          </w:tcPr>
          <w:p w14:paraId="7035A39E" w14:textId="77777777" w:rsidR="00DC4BB2" w:rsidRPr="004A3BBC" w:rsidRDefault="00DC4BB2">
            <w:pPr>
              <w:widowControl w:val="0"/>
              <w:autoSpaceDE w:val="0"/>
              <w:autoSpaceDN w:val="0"/>
              <w:rPr>
                <w:szCs w:val="22"/>
              </w:rPr>
            </w:pPr>
          </w:p>
        </w:tc>
        <w:tc>
          <w:tcPr>
            <w:tcW w:w="1696" w:type="dxa"/>
          </w:tcPr>
          <w:p w14:paraId="54D2D16B" w14:textId="77777777" w:rsidR="00DC4BB2" w:rsidRPr="004A3BBC" w:rsidRDefault="00DC4BB2">
            <w:pPr>
              <w:widowControl w:val="0"/>
              <w:autoSpaceDE w:val="0"/>
              <w:autoSpaceDN w:val="0"/>
              <w:rPr>
                <w:szCs w:val="22"/>
              </w:rPr>
            </w:pPr>
          </w:p>
        </w:tc>
        <w:tc>
          <w:tcPr>
            <w:tcW w:w="1696" w:type="dxa"/>
          </w:tcPr>
          <w:p w14:paraId="36B8DACD" w14:textId="77777777" w:rsidR="00DC4BB2" w:rsidRPr="004A3BBC" w:rsidRDefault="001C4737">
            <w:pPr>
              <w:widowControl w:val="0"/>
              <w:autoSpaceDE w:val="0"/>
              <w:autoSpaceDN w:val="0"/>
              <w:spacing w:before="29" w:line="239" w:lineRule="exact"/>
              <w:ind w:left="102"/>
              <w:rPr>
                <w:szCs w:val="22"/>
              </w:rPr>
            </w:pPr>
            <w:r w:rsidRPr="004A3BBC">
              <w:rPr>
                <w:szCs w:val="22"/>
              </w:rPr>
              <w:t>retas</w:t>
            </w:r>
          </w:p>
        </w:tc>
        <w:tc>
          <w:tcPr>
            <w:tcW w:w="1696" w:type="dxa"/>
          </w:tcPr>
          <w:p w14:paraId="6CAEB7A5" w14:textId="77777777" w:rsidR="00DC4BB2" w:rsidRPr="004A3BBC" w:rsidRDefault="00DC4BB2">
            <w:pPr>
              <w:widowControl w:val="0"/>
              <w:autoSpaceDE w:val="0"/>
              <w:autoSpaceDN w:val="0"/>
              <w:spacing w:before="34" w:line="236" w:lineRule="exact"/>
              <w:ind w:left="103"/>
              <w:rPr>
                <w:szCs w:val="22"/>
              </w:rPr>
            </w:pPr>
          </w:p>
        </w:tc>
      </w:tr>
      <w:tr w:rsidR="00DC4BB2" w:rsidRPr="00CF5157" w14:paraId="6FB59AD6" w14:textId="77777777" w:rsidTr="00D77DC4">
        <w:trPr>
          <w:trHeight w:val="280"/>
        </w:trPr>
        <w:tc>
          <w:tcPr>
            <w:tcW w:w="1191" w:type="dxa"/>
            <w:gridSpan w:val="2"/>
            <w:vMerge/>
          </w:tcPr>
          <w:p w14:paraId="6D2FD83D" w14:textId="77777777" w:rsidR="00DC4BB2" w:rsidRPr="004A3BBC" w:rsidRDefault="00DC4BB2">
            <w:pPr>
              <w:rPr>
                <w:sz w:val="2"/>
                <w:szCs w:val="2"/>
                <w:lang w:eastAsia="sl-SI"/>
              </w:rPr>
            </w:pPr>
          </w:p>
        </w:tc>
        <w:tc>
          <w:tcPr>
            <w:tcW w:w="1695" w:type="dxa"/>
          </w:tcPr>
          <w:p w14:paraId="5F877EC4" w14:textId="77777777" w:rsidR="00DC4BB2" w:rsidRPr="004A3BBC" w:rsidRDefault="001C4737">
            <w:pPr>
              <w:widowControl w:val="0"/>
              <w:autoSpaceDE w:val="0"/>
              <w:autoSpaceDN w:val="0"/>
              <w:spacing w:before="29" w:line="239" w:lineRule="exact"/>
              <w:ind w:left="100"/>
              <w:rPr>
                <w:szCs w:val="22"/>
              </w:rPr>
            </w:pPr>
            <w:r w:rsidRPr="004A3BBC">
              <w:rPr>
                <w:szCs w:val="22"/>
              </w:rPr>
              <w:t xml:space="preserve">Šlapinimosi sutrikimas, </w:t>
            </w:r>
            <w:proofErr w:type="spellStart"/>
            <w:r w:rsidRPr="004A3BBC">
              <w:rPr>
                <w:szCs w:val="22"/>
              </w:rPr>
              <w:t>nikturija</w:t>
            </w:r>
            <w:proofErr w:type="spellEnd"/>
            <w:r w:rsidRPr="004A3BBC">
              <w:rPr>
                <w:szCs w:val="22"/>
              </w:rPr>
              <w:t>, padažnėjęs šlapinimasis</w:t>
            </w:r>
          </w:p>
        </w:tc>
        <w:tc>
          <w:tcPr>
            <w:tcW w:w="1696" w:type="dxa"/>
          </w:tcPr>
          <w:p w14:paraId="6C17008A" w14:textId="77777777" w:rsidR="00DC4BB2" w:rsidRPr="004A3BBC" w:rsidRDefault="00DC4BB2">
            <w:pPr>
              <w:widowControl w:val="0"/>
              <w:autoSpaceDE w:val="0"/>
              <w:autoSpaceDN w:val="0"/>
              <w:rPr>
                <w:szCs w:val="22"/>
              </w:rPr>
            </w:pPr>
          </w:p>
        </w:tc>
        <w:tc>
          <w:tcPr>
            <w:tcW w:w="1696" w:type="dxa"/>
          </w:tcPr>
          <w:p w14:paraId="497C9815" w14:textId="77777777" w:rsidR="00DC4BB2" w:rsidRPr="004A3BBC" w:rsidRDefault="00DC4BB2">
            <w:pPr>
              <w:widowControl w:val="0"/>
              <w:autoSpaceDE w:val="0"/>
              <w:autoSpaceDN w:val="0"/>
              <w:rPr>
                <w:szCs w:val="22"/>
              </w:rPr>
            </w:pPr>
          </w:p>
        </w:tc>
        <w:tc>
          <w:tcPr>
            <w:tcW w:w="1696" w:type="dxa"/>
          </w:tcPr>
          <w:p w14:paraId="4BE33179" w14:textId="77777777" w:rsidR="00DC4BB2" w:rsidRPr="004A3BBC" w:rsidRDefault="00DC4BB2">
            <w:pPr>
              <w:widowControl w:val="0"/>
              <w:autoSpaceDE w:val="0"/>
              <w:autoSpaceDN w:val="0"/>
              <w:spacing w:before="29" w:line="239" w:lineRule="exact"/>
              <w:ind w:left="102"/>
              <w:rPr>
                <w:szCs w:val="22"/>
              </w:rPr>
            </w:pPr>
          </w:p>
        </w:tc>
        <w:tc>
          <w:tcPr>
            <w:tcW w:w="1696" w:type="dxa"/>
          </w:tcPr>
          <w:p w14:paraId="65EDD29C" w14:textId="77777777" w:rsidR="00DC4BB2" w:rsidRPr="004A3BBC" w:rsidRDefault="001C4737">
            <w:pPr>
              <w:widowControl w:val="0"/>
              <w:autoSpaceDE w:val="0"/>
              <w:autoSpaceDN w:val="0"/>
              <w:spacing w:before="34" w:line="236" w:lineRule="exact"/>
              <w:ind w:left="103"/>
              <w:rPr>
                <w:szCs w:val="22"/>
              </w:rPr>
            </w:pPr>
            <w:r w:rsidRPr="00CF5157">
              <w:t>nedažnas</w:t>
            </w:r>
          </w:p>
        </w:tc>
      </w:tr>
      <w:tr w:rsidR="00DC4BB2" w:rsidRPr="00CF5157" w14:paraId="21B02291" w14:textId="77777777" w:rsidTr="00D77DC4">
        <w:trPr>
          <w:trHeight w:val="458"/>
        </w:trPr>
        <w:tc>
          <w:tcPr>
            <w:tcW w:w="1191" w:type="dxa"/>
            <w:gridSpan w:val="2"/>
            <w:vMerge w:val="restart"/>
          </w:tcPr>
          <w:p w14:paraId="250200B9" w14:textId="77777777" w:rsidR="00DC4BB2" w:rsidRPr="00CF5157" w:rsidRDefault="001C4737" w:rsidP="004A3BBC">
            <w:pPr>
              <w:widowControl w:val="0"/>
              <w:autoSpaceDE w:val="0"/>
              <w:autoSpaceDN w:val="0"/>
              <w:spacing w:line="246" w:lineRule="exact"/>
              <w:ind w:left="102"/>
              <w:rPr>
                <w:b/>
              </w:rPr>
            </w:pPr>
            <w:r w:rsidRPr="00CF5157">
              <w:rPr>
                <w:b/>
                <w:szCs w:val="22"/>
              </w:rPr>
              <w:t>Lytinės sistemos ir krūties sutrikimai</w:t>
            </w:r>
          </w:p>
        </w:tc>
        <w:tc>
          <w:tcPr>
            <w:tcW w:w="1695" w:type="dxa"/>
          </w:tcPr>
          <w:p w14:paraId="58E29225" w14:textId="77777777" w:rsidR="00DC4BB2" w:rsidRPr="004A3BBC" w:rsidRDefault="001C4737">
            <w:pPr>
              <w:widowControl w:val="0"/>
              <w:autoSpaceDE w:val="0"/>
              <w:autoSpaceDN w:val="0"/>
              <w:spacing w:line="241" w:lineRule="exact"/>
              <w:ind w:left="100"/>
              <w:rPr>
                <w:szCs w:val="22"/>
              </w:rPr>
            </w:pPr>
            <w:r w:rsidRPr="004A3BBC">
              <w:rPr>
                <w:szCs w:val="22"/>
              </w:rPr>
              <w:t xml:space="preserve">Erekcijos </w:t>
            </w:r>
          </w:p>
          <w:p w14:paraId="070D8696" w14:textId="77777777" w:rsidR="00DC4BB2" w:rsidRPr="004A3BBC" w:rsidRDefault="001C4737">
            <w:pPr>
              <w:widowControl w:val="0"/>
              <w:autoSpaceDE w:val="0"/>
              <w:autoSpaceDN w:val="0"/>
              <w:spacing w:line="241" w:lineRule="exact"/>
              <w:ind w:left="100"/>
              <w:rPr>
                <w:szCs w:val="22"/>
              </w:rPr>
            </w:pPr>
            <w:r w:rsidRPr="004A3BBC">
              <w:rPr>
                <w:szCs w:val="22"/>
              </w:rPr>
              <w:t>sutrikimas</w:t>
            </w:r>
          </w:p>
        </w:tc>
        <w:tc>
          <w:tcPr>
            <w:tcW w:w="1696" w:type="dxa"/>
          </w:tcPr>
          <w:p w14:paraId="2CF0E69C" w14:textId="77777777" w:rsidR="00DC4BB2" w:rsidRPr="004A3BBC" w:rsidRDefault="001C4737">
            <w:pPr>
              <w:widowControl w:val="0"/>
              <w:autoSpaceDE w:val="0"/>
              <w:autoSpaceDN w:val="0"/>
              <w:spacing w:line="241" w:lineRule="exact"/>
              <w:ind w:left="103"/>
              <w:rPr>
                <w:szCs w:val="22"/>
              </w:rPr>
            </w:pPr>
            <w:r w:rsidRPr="004A3BBC">
              <w:rPr>
                <w:szCs w:val="22"/>
              </w:rPr>
              <w:t>nedažnas</w:t>
            </w:r>
          </w:p>
        </w:tc>
        <w:tc>
          <w:tcPr>
            <w:tcW w:w="1696" w:type="dxa"/>
          </w:tcPr>
          <w:p w14:paraId="30CBB867" w14:textId="77777777" w:rsidR="00DC4BB2" w:rsidRPr="004A3BBC" w:rsidRDefault="00DC4BB2">
            <w:pPr>
              <w:widowControl w:val="0"/>
              <w:autoSpaceDE w:val="0"/>
              <w:autoSpaceDN w:val="0"/>
              <w:rPr>
                <w:szCs w:val="22"/>
              </w:rPr>
            </w:pPr>
          </w:p>
        </w:tc>
        <w:tc>
          <w:tcPr>
            <w:tcW w:w="1696" w:type="dxa"/>
          </w:tcPr>
          <w:p w14:paraId="126E1712" w14:textId="77777777" w:rsidR="00DC4BB2" w:rsidRPr="004A3BBC" w:rsidRDefault="001C4737">
            <w:pPr>
              <w:widowControl w:val="0"/>
              <w:autoSpaceDE w:val="0"/>
              <w:autoSpaceDN w:val="0"/>
              <w:spacing w:line="241" w:lineRule="exact"/>
              <w:ind w:left="102"/>
              <w:rPr>
                <w:szCs w:val="22"/>
              </w:rPr>
            </w:pPr>
            <w:r w:rsidRPr="004A3BBC">
              <w:rPr>
                <w:szCs w:val="22"/>
              </w:rPr>
              <w:t>dažnas</w:t>
            </w:r>
          </w:p>
        </w:tc>
        <w:tc>
          <w:tcPr>
            <w:tcW w:w="1696" w:type="dxa"/>
          </w:tcPr>
          <w:p w14:paraId="2477C43D" w14:textId="77777777" w:rsidR="00DC4BB2" w:rsidRPr="004A3BBC" w:rsidRDefault="001C4737">
            <w:pPr>
              <w:widowControl w:val="0"/>
              <w:autoSpaceDE w:val="0"/>
              <w:autoSpaceDN w:val="0"/>
              <w:spacing w:before="34" w:line="236" w:lineRule="exact"/>
              <w:ind w:left="103"/>
              <w:rPr>
                <w:szCs w:val="22"/>
              </w:rPr>
            </w:pPr>
            <w:r w:rsidRPr="00CF5157">
              <w:t>nedažnas</w:t>
            </w:r>
          </w:p>
        </w:tc>
      </w:tr>
      <w:tr w:rsidR="00DC4BB2" w:rsidRPr="00CF5157" w14:paraId="20280890" w14:textId="77777777" w:rsidTr="00D77DC4">
        <w:trPr>
          <w:trHeight w:val="241"/>
        </w:trPr>
        <w:tc>
          <w:tcPr>
            <w:tcW w:w="1191" w:type="dxa"/>
            <w:gridSpan w:val="2"/>
            <w:vMerge/>
          </w:tcPr>
          <w:p w14:paraId="7D2AD64F" w14:textId="77777777" w:rsidR="00DC4BB2" w:rsidRPr="004A3BBC" w:rsidRDefault="00DC4BB2">
            <w:pPr>
              <w:widowControl w:val="0"/>
              <w:autoSpaceDE w:val="0"/>
              <w:autoSpaceDN w:val="0"/>
              <w:spacing w:line="246" w:lineRule="exact"/>
              <w:ind w:left="102"/>
              <w:rPr>
                <w:b/>
                <w:szCs w:val="22"/>
              </w:rPr>
            </w:pPr>
          </w:p>
        </w:tc>
        <w:tc>
          <w:tcPr>
            <w:tcW w:w="1695" w:type="dxa"/>
          </w:tcPr>
          <w:p w14:paraId="6F6C9965" w14:textId="77777777" w:rsidR="00DC4BB2" w:rsidRPr="004A3BBC" w:rsidRDefault="001C4737">
            <w:pPr>
              <w:widowControl w:val="0"/>
              <w:autoSpaceDE w:val="0"/>
              <w:autoSpaceDN w:val="0"/>
              <w:spacing w:line="241" w:lineRule="exact"/>
              <w:ind w:left="100"/>
              <w:rPr>
                <w:szCs w:val="22"/>
              </w:rPr>
            </w:pPr>
            <w:proofErr w:type="spellStart"/>
            <w:r w:rsidRPr="004A3BBC">
              <w:rPr>
                <w:szCs w:val="22"/>
              </w:rPr>
              <w:t>Ginekomastija</w:t>
            </w:r>
            <w:proofErr w:type="spellEnd"/>
          </w:p>
        </w:tc>
        <w:tc>
          <w:tcPr>
            <w:tcW w:w="1696" w:type="dxa"/>
          </w:tcPr>
          <w:p w14:paraId="3445ABE8" w14:textId="77777777" w:rsidR="00DC4BB2" w:rsidRPr="004A3BBC" w:rsidRDefault="00DC4BB2">
            <w:pPr>
              <w:widowControl w:val="0"/>
              <w:autoSpaceDE w:val="0"/>
              <w:autoSpaceDN w:val="0"/>
              <w:spacing w:line="241" w:lineRule="exact"/>
              <w:ind w:left="103"/>
              <w:rPr>
                <w:szCs w:val="22"/>
              </w:rPr>
            </w:pPr>
          </w:p>
        </w:tc>
        <w:tc>
          <w:tcPr>
            <w:tcW w:w="1696" w:type="dxa"/>
          </w:tcPr>
          <w:p w14:paraId="6FE0B2A1" w14:textId="77777777" w:rsidR="00DC4BB2" w:rsidRPr="004A3BBC" w:rsidRDefault="00DC4BB2">
            <w:pPr>
              <w:widowControl w:val="0"/>
              <w:autoSpaceDE w:val="0"/>
              <w:autoSpaceDN w:val="0"/>
              <w:rPr>
                <w:szCs w:val="22"/>
              </w:rPr>
            </w:pPr>
          </w:p>
        </w:tc>
        <w:tc>
          <w:tcPr>
            <w:tcW w:w="1696" w:type="dxa"/>
          </w:tcPr>
          <w:p w14:paraId="1A31B20B" w14:textId="77777777" w:rsidR="00DC4BB2" w:rsidRPr="004A3BBC" w:rsidRDefault="00DC4BB2">
            <w:pPr>
              <w:widowControl w:val="0"/>
              <w:autoSpaceDE w:val="0"/>
              <w:autoSpaceDN w:val="0"/>
              <w:spacing w:line="241" w:lineRule="exact"/>
              <w:ind w:left="102"/>
              <w:rPr>
                <w:szCs w:val="22"/>
              </w:rPr>
            </w:pPr>
          </w:p>
        </w:tc>
        <w:tc>
          <w:tcPr>
            <w:tcW w:w="1696" w:type="dxa"/>
          </w:tcPr>
          <w:p w14:paraId="7F8804AB" w14:textId="77777777" w:rsidR="00DC4BB2" w:rsidRPr="004A3BBC" w:rsidRDefault="001C4737">
            <w:pPr>
              <w:widowControl w:val="0"/>
              <w:autoSpaceDE w:val="0"/>
              <w:autoSpaceDN w:val="0"/>
              <w:spacing w:before="34" w:line="236" w:lineRule="exact"/>
              <w:ind w:left="103"/>
              <w:rPr>
                <w:szCs w:val="22"/>
              </w:rPr>
            </w:pPr>
            <w:r w:rsidRPr="00CF5157">
              <w:t>nedažnas</w:t>
            </w:r>
          </w:p>
        </w:tc>
      </w:tr>
      <w:tr w:rsidR="00DC4BB2" w:rsidRPr="00CF5157" w14:paraId="3D8EC878" w14:textId="77777777" w:rsidTr="00D77DC4">
        <w:trPr>
          <w:trHeight w:val="280"/>
        </w:trPr>
        <w:tc>
          <w:tcPr>
            <w:tcW w:w="1191" w:type="dxa"/>
            <w:gridSpan w:val="2"/>
            <w:vMerge w:val="restart"/>
          </w:tcPr>
          <w:p w14:paraId="3ADD3A47" w14:textId="77777777" w:rsidR="00DC4BB2" w:rsidRPr="004A3BBC" w:rsidRDefault="001C4737">
            <w:pPr>
              <w:widowControl w:val="0"/>
              <w:autoSpaceDE w:val="0"/>
              <w:autoSpaceDN w:val="0"/>
              <w:ind w:left="102" w:right="359"/>
              <w:rPr>
                <w:b/>
                <w:szCs w:val="22"/>
              </w:rPr>
            </w:pPr>
            <w:r w:rsidRPr="004A3BBC">
              <w:rPr>
                <w:b/>
                <w:szCs w:val="22"/>
              </w:rPr>
              <w:t>Bendrieji sutrikimai ir vartojimo vietos pažeidimai</w:t>
            </w:r>
          </w:p>
        </w:tc>
        <w:tc>
          <w:tcPr>
            <w:tcW w:w="1695" w:type="dxa"/>
          </w:tcPr>
          <w:p w14:paraId="541197F3" w14:textId="77777777" w:rsidR="00DC4BB2" w:rsidRPr="004A3BBC" w:rsidRDefault="001C4737">
            <w:pPr>
              <w:widowControl w:val="0"/>
              <w:autoSpaceDE w:val="0"/>
              <w:autoSpaceDN w:val="0"/>
              <w:spacing w:before="29" w:line="239" w:lineRule="exact"/>
              <w:ind w:left="100"/>
              <w:rPr>
                <w:szCs w:val="22"/>
              </w:rPr>
            </w:pPr>
            <w:r w:rsidRPr="004A3BBC">
              <w:rPr>
                <w:szCs w:val="22"/>
              </w:rPr>
              <w:t>Krūtinės skausmas</w:t>
            </w:r>
          </w:p>
        </w:tc>
        <w:tc>
          <w:tcPr>
            <w:tcW w:w="1696" w:type="dxa"/>
          </w:tcPr>
          <w:p w14:paraId="41FF1D2B" w14:textId="77777777" w:rsidR="00DC4BB2" w:rsidRPr="004A3BBC" w:rsidRDefault="001C4737">
            <w:pPr>
              <w:widowControl w:val="0"/>
              <w:autoSpaceDE w:val="0"/>
              <w:autoSpaceDN w:val="0"/>
              <w:spacing w:before="29" w:line="239" w:lineRule="exact"/>
              <w:ind w:left="103"/>
              <w:rPr>
                <w:szCs w:val="22"/>
              </w:rPr>
            </w:pPr>
            <w:r w:rsidRPr="00CF5157">
              <w:t>nedažnas</w:t>
            </w:r>
          </w:p>
        </w:tc>
        <w:tc>
          <w:tcPr>
            <w:tcW w:w="1696" w:type="dxa"/>
          </w:tcPr>
          <w:p w14:paraId="730ED6EE" w14:textId="77777777" w:rsidR="00DC4BB2" w:rsidRPr="004A3BBC" w:rsidRDefault="001C4737">
            <w:pPr>
              <w:widowControl w:val="0"/>
              <w:autoSpaceDE w:val="0"/>
              <w:autoSpaceDN w:val="0"/>
              <w:spacing w:before="29" w:line="239" w:lineRule="exact"/>
              <w:ind w:left="102"/>
              <w:rPr>
                <w:szCs w:val="22"/>
              </w:rPr>
            </w:pPr>
            <w:r w:rsidRPr="00CF5157">
              <w:t>nedažnas</w:t>
            </w:r>
          </w:p>
        </w:tc>
        <w:tc>
          <w:tcPr>
            <w:tcW w:w="1696" w:type="dxa"/>
          </w:tcPr>
          <w:p w14:paraId="1B586046" w14:textId="77777777" w:rsidR="00DC4BB2" w:rsidRPr="004A3BBC" w:rsidRDefault="00DC4BB2">
            <w:pPr>
              <w:widowControl w:val="0"/>
              <w:autoSpaceDE w:val="0"/>
              <w:autoSpaceDN w:val="0"/>
              <w:rPr>
                <w:szCs w:val="22"/>
              </w:rPr>
            </w:pPr>
          </w:p>
        </w:tc>
        <w:tc>
          <w:tcPr>
            <w:tcW w:w="1696" w:type="dxa"/>
          </w:tcPr>
          <w:p w14:paraId="287221FE" w14:textId="77777777" w:rsidR="00DC4BB2" w:rsidRPr="004A3BBC" w:rsidRDefault="001C4737">
            <w:pPr>
              <w:widowControl w:val="0"/>
              <w:autoSpaceDE w:val="0"/>
              <w:autoSpaceDN w:val="0"/>
              <w:spacing w:before="34" w:line="236" w:lineRule="exact"/>
              <w:ind w:left="103"/>
              <w:rPr>
                <w:szCs w:val="22"/>
              </w:rPr>
            </w:pPr>
            <w:r w:rsidRPr="00CF5157">
              <w:t>nedažnas</w:t>
            </w:r>
          </w:p>
        </w:tc>
      </w:tr>
      <w:tr w:rsidR="00DC4BB2" w:rsidRPr="00CF5157" w14:paraId="4AC1E02E" w14:textId="77777777" w:rsidTr="00D77DC4">
        <w:trPr>
          <w:trHeight w:val="177"/>
        </w:trPr>
        <w:tc>
          <w:tcPr>
            <w:tcW w:w="1191" w:type="dxa"/>
            <w:gridSpan w:val="2"/>
            <w:vMerge/>
          </w:tcPr>
          <w:p w14:paraId="29AD6A1A" w14:textId="77777777" w:rsidR="00DC4BB2" w:rsidRPr="004A3BBC" w:rsidRDefault="00DC4BB2">
            <w:pPr>
              <w:rPr>
                <w:sz w:val="2"/>
                <w:szCs w:val="2"/>
                <w:lang w:eastAsia="sl-SI"/>
              </w:rPr>
            </w:pPr>
          </w:p>
        </w:tc>
        <w:tc>
          <w:tcPr>
            <w:tcW w:w="1695" w:type="dxa"/>
          </w:tcPr>
          <w:p w14:paraId="7CCC3E5C" w14:textId="77777777" w:rsidR="00DC4BB2" w:rsidRPr="004A3BBC" w:rsidRDefault="001C4737">
            <w:pPr>
              <w:widowControl w:val="0"/>
              <w:autoSpaceDE w:val="0"/>
              <w:autoSpaceDN w:val="0"/>
              <w:spacing w:line="246" w:lineRule="exact"/>
              <w:ind w:left="100"/>
              <w:rPr>
                <w:szCs w:val="22"/>
              </w:rPr>
            </w:pPr>
            <w:r w:rsidRPr="004A3BBC">
              <w:rPr>
                <w:szCs w:val="22"/>
              </w:rPr>
              <w:t>Į gripą panaši liga</w:t>
            </w:r>
          </w:p>
        </w:tc>
        <w:tc>
          <w:tcPr>
            <w:tcW w:w="1696" w:type="dxa"/>
          </w:tcPr>
          <w:p w14:paraId="4281443C" w14:textId="77777777" w:rsidR="00DC4BB2" w:rsidRPr="004A3BBC" w:rsidRDefault="001C4737">
            <w:pPr>
              <w:widowControl w:val="0"/>
              <w:autoSpaceDE w:val="0"/>
              <w:autoSpaceDN w:val="0"/>
              <w:spacing w:line="239" w:lineRule="exact"/>
              <w:ind w:left="103"/>
              <w:rPr>
                <w:szCs w:val="22"/>
              </w:rPr>
            </w:pPr>
            <w:r w:rsidRPr="004A3BBC">
              <w:rPr>
                <w:szCs w:val="22"/>
              </w:rPr>
              <w:t>retas</w:t>
            </w:r>
          </w:p>
        </w:tc>
        <w:tc>
          <w:tcPr>
            <w:tcW w:w="1696" w:type="dxa"/>
          </w:tcPr>
          <w:p w14:paraId="74239287" w14:textId="77777777" w:rsidR="00DC4BB2" w:rsidRPr="004A3BBC" w:rsidRDefault="001C4737">
            <w:pPr>
              <w:widowControl w:val="0"/>
              <w:autoSpaceDE w:val="0"/>
              <w:autoSpaceDN w:val="0"/>
              <w:spacing w:line="239" w:lineRule="exact"/>
              <w:ind w:left="102"/>
              <w:rPr>
                <w:szCs w:val="22"/>
              </w:rPr>
            </w:pPr>
            <w:r w:rsidRPr="004A3BBC">
              <w:rPr>
                <w:szCs w:val="22"/>
              </w:rPr>
              <w:t>retas</w:t>
            </w:r>
          </w:p>
        </w:tc>
        <w:tc>
          <w:tcPr>
            <w:tcW w:w="1696" w:type="dxa"/>
          </w:tcPr>
          <w:p w14:paraId="13B931FE" w14:textId="77777777" w:rsidR="00DC4BB2" w:rsidRPr="004A3BBC" w:rsidRDefault="00DC4BB2">
            <w:pPr>
              <w:widowControl w:val="0"/>
              <w:autoSpaceDE w:val="0"/>
              <w:autoSpaceDN w:val="0"/>
              <w:rPr>
                <w:szCs w:val="22"/>
              </w:rPr>
            </w:pPr>
          </w:p>
        </w:tc>
        <w:tc>
          <w:tcPr>
            <w:tcW w:w="1696" w:type="dxa"/>
          </w:tcPr>
          <w:p w14:paraId="42BF94F2" w14:textId="77777777" w:rsidR="00DC4BB2" w:rsidRPr="004A3BBC" w:rsidRDefault="00DC4BB2">
            <w:pPr>
              <w:widowControl w:val="0"/>
              <w:autoSpaceDE w:val="0"/>
              <w:autoSpaceDN w:val="0"/>
              <w:spacing w:before="34" w:line="236" w:lineRule="exact"/>
              <w:ind w:left="103"/>
              <w:rPr>
                <w:szCs w:val="22"/>
              </w:rPr>
            </w:pPr>
          </w:p>
        </w:tc>
      </w:tr>
      <w:tr w:rsidR="00DC4BB2" w:rsidRPr="00CF5157" w14:paraId="71B911DA" w14:textId="77777777" w:rsidTr="00D77DC4">
        <w:trPr>
          <w:trHeight w:val="280"/>
        </w:trPr>
        <w:tc>
          <w:tcPr>
            <w:tcW w:w="1191" w:type="dxa"/>
            <w:gridSpan w:val="2"/>
            <w:vMerge/>
          </w:tcPr>
          <w:p w14:paraId="0AC21D81" w14:textId="77777777" w:rsidR="00DC4BB2" w:rsidRPr="004A3BBC" w:rsidRDefault="00DC4BB2">
            <w:pPr>
              <w:rPr>
                <w:sz w:val="2"/>
                <w:szCs w:val="2"/>
                <w:lang w:eastAsia="sl-SI"/>
              </w:rPr>
            </w:pPr>
          </w:p>
        </w:tc>
        <w:tc>
          <w:tcPr>
            <w:tcW w:w="1695" w:type="dxa"/>
          </w:tcPr>
          <w:p w14:paraId="53F29AB4" w14:textId="77777777" w:rsidR="00DC4BB2" w:rsidRPr="004A3BBC" w:rsidRDefault="001C4737">
            <w:pPr>
              <w:widowControl w:val="0"/>
              <w:autoSpaceDE w:val="0"/>
              <w:autoSpaceDN w:val="0"/>
              <w:spacing w:before="29" w:line="242" w:lineRule="exact"/>
              <w:ind w:left="100"/>
              <w:rPr>
                <w:szCs w:val="22"/>
              </w:rPr>
            </w:pPr>
            <w:r w:rsidRPr="004A3BBC">
              <w:rPr>
                <w:szCs w:val="22"/>
              </w:rPr>
              <w:t>Skausmas</w:t>
            </w:r>
          </w:p>
        </w:tc>
        <w:tc>
          <w:tcPr>
            <w:tcW w:w="1696" w:type="dxa"/>
          </w:tcPr>
          <w:p w14:paraId="1D25D81D" w14:textId="77777777" w:rsidR="00DC4BB2" w:rsidRPr="004A3BBC" w:rsidRDefault="001C4737">
            <w:pPr>
              <w:widowControl w:val="0"/>
              <w:autoSpaceDE w:val="0"/>
              <w:autoSpaceDN w:val="0"/>
              <w:spacing w:before="29" w:line="242" w:lineRule="exact"/>
              <w:ind w:left="103"/>
              <w:rPr>
                <w:szCs w:val="22"/>
              </w:rPr>
            </w:pPr>
            <w:r w:rsidRPr="004A3BBC">
              <w:rPr>
                <w:szCs w:val="22"/>
              </w:rPr>
              <w:t>retas</w:t>
            </w:r>
          </w:p>
        </w:tc>
        <w:tc>
          <w:tcPr>
            <w:tcW w:w="1696" w:type="dxa"/>
          </w:tcPr>
          <w:p w14:paraId="4FE09984" w14:textId="77777777" w:rsidR="00DC4BB2" w:rsidRPr="004A3BBC" w:rsidRDefault="00DC4BB2">
            <w:pPr>
              <w:widowControl w:val="0"/>
              <w:autoSpaceDE w:val="0"/>
              <w:autoSpaceDN w:val="0"/>
              <w:rPr>
                <w:szCs w:val="22"/>
              </w:rPr>
            </w:pPr>
          </w:p>
        </w:tc>
        <w:tc>
          <w:tcPr>
            <w:tcW w:w="1696" w:type="dxa"/>
          </w:tcPr>
          <w:p w14:paraId="766E33A4" w14:textId="77777777" w:rsidR="00DC4BB2" w:rsidRPr="004A3BBC" w:rsidRDefault="00DC4BB2">
            <w:pPr>
              <w:widowControl w:val="0"/>
              <w:autoSpaceDE w:val="0"/>
              <w:autoSpaceDN w:val="0"/>
              <w:rPr>
                <w:szCs w:val="22"/>
              </w:rPr>
            </w:pPr>
          </w:p>
        </w:tc>
        <w:tc>
          <w:tcPr>
            <w:tcW w:w="1696" w:type="dxa"/>
          </w:tcPr>
          <w:p w14:paraId="7CC020D9" w14:textId="77777777" w:rsidR="00DC4BB2" w:rsidRPr="004A3BBC" w:rsidRDefault="001C4737">
            <w:pPr>
              <w:widowControl w:val="0"/>
              <w:autoSpaceDE w:val="0"/>
              <w:autoSpaceDN w:val="0"/>
              <w:spacing w:before="34" w:line="236" w:lineRule="exact"/>
              <w:ind w:left="103"/>
              <w:rPr>
                <w:szCs w:val="22"/>
              </w:rPr>
            </w:pPr>
            <w:r w:rsidRPr="004A3BBC">
              <w:rPr>
                <w:szCs w:val="22"/>
              </w:rPr>
              <w:t>nedažnas</w:t>
            </w:r>
          </w:p>
        </w:tc>
      </w:tr>
      <w:tr w:rsidR="00DC4BB2" w:rsidRPr="00CF5157" w14:paraId="79DC14E3" w14:textId="77777777" w:rsidTr="00D77DC4">
        <w:trPr>
          <w:trHeight w:val="280"/>
        </w:trPr>
        <w:tc>
          <w:tcPr>
            <w:tcW w:w="1191" w:type="dxa"/>
            <w:gridSpan w:val="2"/>
            <w:vMerge/>
          </w:tcPr>
          <w:p w14:paraId="63EEBD1F" w14:textId="77777777" w:rsidR="00DC4BB2" w:rsidRPr="004A3BBC" w:rsidRDefault="00DC4BB2">
            <w:pPr>
              <w:rPr>
                <w:sz w:val="2"/>
                <w:szCs w:val="2"/>
                <w:lang w:eastAsia="sl-SI"/>
              </w:rPr>
            </w:pPr>
          </w:p>
        </w:tc>
        <w:tc>
          <w:tcPr>
            <w:tcW w:w="1695" w:type="dxa"/>
          </w:tcPr>
          <w:p w14:paraId="58DA41E0" w14:textId="77777777" w:rsidR="00DC4BB2" w:rsidRPr="004A3BBC" w:rsidRDefault="001C4737">
            <w:pPr>
              <w:widowControl w:val="0"/>
              <w:autoSpaceDE w:val="0"/>
              <w:autoSpaceDN w:val="0"/>
              <w:spacing w:before="29" w:line="239" w:lineRule="exact"/>
              <w:ind w:left="100"/>
              <w:rPr>
                <w:szCs w:val="22"/>
              </w:rPr>
            </w:pPr>
            <w:proofErr w:type="spellStart"/>
            <w:r w:rsidRPr="004A3BBC">
              <w:rPr>
                <w:szCs w:val="22"/>
              </w:rPr>
              <w:t>Astenija</w:t>
            </w:r>
            <w:proofErr w:type="spellEnd"/>
            <w:r w:rsidRPr="004A3BBC">
              <w:rPr>
                <w:szCs w:val="22"/>
              </w:rPr>
              <w:t xml:space="preserve"> (silpnumas)</w:t>
            </w:r>
          </w:p>
        </w:tc>
        <w:tc>
          <w:tcPr>
            <w:tcW w:w="1696" w:type="dxa"/>
          </w:tcPr>
          <w:p w14:paraId="481E12A1" w14:textId="77777777" w:rsidR="00DC4BB2" w:rsidRPr="004A3BBC" w:rsidRDefault="00DC4BB2">
            <w:pPr>
              <w:widowControl w:val="0"/>
              <w:autoSpaceDE w:val="0"/>
              <w:autoSpaceDN w:val="0"/>
              <w:rPr>
                <w:szCs w:val="22"/>
              </w:rPr>
            </w:pPr>
          </w:p>
        </w:tc>
        <w:tc>
          <w:tcPr>
            <w:tcW w:w="1696" w:type="dxa"/>
          </w:tcPr>
          <w:p w14:paraId="44BD85AD" w14:textId="77777777" w:rsidR="00DC4BB2" w:rsidRPr="004A3BBC" w:rsidRDefault="001C4737">
            <w:pPr>
              <w:widowControl w:val="0"/>
              <w:autoSpaceDE w:val="0"/>
              <w:autoSpaceDN w:val="0"/>
              <w:spacing w:before="29" w:line="239" w:lineRule="exact"/>
              <w:ind w:left="102"/>
              <w:rPr>
                <w:szCs w:val="22"/>
              </w:rPr>
            </w:pPr>
            <w:r w:rsidRPr="004A3BBC">
              <w:rPr>
                <w:szCs w:val="22"/>
              </w:rPr>
              <w:t>nedažnas</w:t>
            </w:r>
          </w:p>
        </w:tc>
        <w:tc>
          <w:tcPr>
            <w:tcW w:w="1696" w:type="dxa"/>
          </w:tcPr>
          <w:p w14:paraId="35BE19DC" w14:textId="64C5FF0B" w:rsidR="00DC4BB2" w:rsidRPr="004A3BBC" w:rsidRDefault="001C4737">
            <w:pPr>
              <w:widowControl w:val="0"/>
              <w:autoSpaceDE w:val="0"/>
              <w:autoSpaceDN w:val="0"/>
              <w:spacing w:before="29" w:line="239" w:lineRule="exact"/>
              <w:ind w:left="102"/>
              <w:rPr>
                <w:szCs w:val="22"/>
              </w:rPr>
            </w:pPr>
            <w:r w:rsidRPr="004A3BBC">
              <w:rPr>
                <w:szCs w:val="22"/>
              </w:rPr>
              <w:t>nežinomas</w:t>
            </w:r>
          </w:p>
        </w:tc>
        <w:tc>
          <w:tcPr>
            <w:tcW w:w="1696" w:type="dxa"/>
          </w:tcPr>
          <w:p w14:paraId="58F2E8DC" w14:textId="77777777" w:rsidR="00DC4BB2" w:rsidRPr="004A3BBC" w:rsidRDefault="001C4737">
            <w:pPr>
              <w:widowControl w:val="0"/>
              <w:autoSpaceDE w:val="0"/>
              <w:autoSpaceDN w:val="0"/>
              <w:spacing w:before="34" w:line="236" w:lineRule="exact"/>
              <w:ind w:left="103"/>
              <w:rPr>
                <w:szCs w:val="22"/>
              </w:rPr>
            </w:pPr>
            <w:r w:rsidRPr="004A3BBC">
              <w:rPr>
                <w:szCs w:val="22"/>
              </w:rPr>
              <w:t>dažnas</w:t>
            </w:r>
          </w:p>
        </w:tc>
      </w:tr>
      <w:tr w:rsidR="00DC4BB2" w:rsidRPr="00CF5157" w14:paraId="1ADCD262" w14:textId="77777777" w:rsidTr="00D77DC4">
        <w:trPr>
          <w:trHeight w:val="280"/>
        </w:trPr>
        <w:tc>
          <w:tcPr>
            <w:tcW w:w="1191" w:type="dxa"/>
            <w:gridSpan w:val="2"/>
            <w:vMerge/>
          </w:tcPr>
          <w:p w14:paraId="0B1A47EC" w14:textId="77777777" w:rsidR="00DC4BB2" w:rsidRPr="004A3BBC" w:rsidRDefault="00DC4BB2">
            <w:pPr>
              <w:rPr>
                <w:sz w:val="2"/>
                <w:szCs w:val="2"/>
                <w:lang w:eastAsia="sl-SI"/>
              </w:rPr>
            </w:pPr>
          </w:p>
        </w:tc>
        <w:tc>
          <w:tcPr>
            <w:tcW w:w="1695" w:type="dxa"/>
          </w:tcPr>
          <w:p w14:paraId="0A45DB2A" w14:textId="77777777" w:rsidR="00DC4BB2" w:rsidRPr="004A3BBC" w:rsidRDefault="001C4737">
            <w:pPr>
              <w:widowControl w:val="0"/>
              <w:autoSpaceDE w:val="0"/>
              <w:autoSpaceDN w:val="0"/>
              <w:spacing w:before="31" w:line="239" w:lineRule="exact"/>
              <w:ind w:left="100"/>
              <w:rPr>
                <w:szCs w:val="22"/>
              </w:rPr>
            </w:pPr>
            <w:proofErr w:type="spellStart"/>
            <w:r w:rsidRPr="00CF5157">
              <w:t>Pireksija</w:t>
            </w:r>
            <w:proofErr w:type="spellEnd"/>
          </w:p>
        </w:tc>
        <w:tc>
          <w:tcPr>
            <w:tcW w:w="1696" w:type="dxa"/>
          </w:tcPr>
          <w:p w14:paraId="34F5971A" w14:textId="77777777" w:rsidR="00DC4BB2" w:rsidRPr="004A3BBC" w:rsidRDefault="00DC4BB2">
            <w:pPr>
              <w:widowControl w:val="0"/>
              <w:autoSpaceDE w:val="0"/>
              <w:autoSpaceDN w:val="0"/>
              <w:rPr>
                <w:szCs w:val="22"/>
              </w:rPr>
            </w:pPr>
          </w:p>
        </w:tc>
        <w:tc>
          <w:tcPr>
            <w:tcW w:w="1696" w:type="dxa"/>
          </w:tcPr>
          <w:p w14:paraId="4CB286CD" w14:textId="77777777" w:rsidR="00DC4BB2" w:rsidRPr="004A3BBC" w:rsidRDefault="00DC4BB2">
            <w:pPr>
              <w:widowControl w:val="0"/>
              <w:autoSpaceDE w:val="0"/>
              <w:autoSpaceDN w:val="0"/>
              <w:rPr>
                <w:szCs w:val="22"/>
              </w:rPr>
            </w:pPr>
          </w:p>
        </w:tc>
        <w:tc>
          <w:tcPr>
            <w:tcW w:w="1696" w:type="dxa"/>
          </w:tcPr>
          <w:p w14:paraId="77EA55D0" w14:textId="595D8397" w:rsidR="00DC4BB2" w:rsidRPr="004A3BBC" w:rsidRDefault="001C4737">
            <w:pPr>
              <w:widowControl w:val="0"/>
              <w:autoSpaceDE w:val="0"/>
              <w:autoSpaceDN w:val="0"/>
              <w:spacing w:before="31" w:line="239" w:lineRule="exact"/>
              <w:ind w:left="102"/>
              <w:rPr>
                <w:szCs w:val="22"/>
              </w:rPr>
            </w:pPr>
            <w:r w:rsidRPr="004A3BBC">
              <w:rPr>
                <w:szCs w:val="22"/>
              </w:rPr>
              <w:t>nežinomas</w:t>
            </w:r>
          </w:p>
        </w:tc>
        <w:tc>
          <w:tcPr>
            <w:tcW w:w="1696" w:type="dxa"/>
          </w:tcPr>
          <w:p w14:paraId="73EB099D" w14:textId="77777777" w:rsidR="00DC4BB2" w:rsidRPr="004A3BBC" w:rsidRDefault="00DC4BB2">
            <w:pPr>
              <w:widowControl w:val="0"/>
              <w:autoSpaceDE w:val="0"/>
              <w:autoSpaceDN w:val="0"/>
              <w:spacing w:before="34" w:line="236" w:lineRule="exact"/>
              <w:ind w:left="103"/>
              <w:rPr>
                <w:szCs w:val="22"/>
              </w:rPr>
            </w:pPr>
          </w:p>
        </w:tc>
      </w:tr>
      <w:tr w:rsidR="00DC4BB2" w:rsidRPr="00CF5157" w14:paraId="1AADE543" w14:textId="77777777" w:rsidTr="00D77DC4">
        <w:trPr>
          <w:trHeight w:val="280"/>
        </w:trPr>
        <w:tc>
          <w:tcPr>
            <w:tcW w:w="1191" w:type="dxa"/>
            <w:gridSpan w:val="2"/>
            <w:vMerge/>
          </w:tcPr>
          <w:p w14:paraId="247FC74E" w14:textId="77777777" w:rsidR="00DC4BB2" w:rsidRPr="004A3BBC" w:rsidRDefault="00DC4BB2">
            <w:pPr>
              <w:rPr>
                <w:sz w:val="2"/>
                <w:szCs w:val="2"/>
                <w:lang w:eastAsia="sl-SI"/>
              </w:rPr>
            </w:pPr>
          </w:p>
        </w:tc>
        <w:tc>
          <w:tcPr>
            <w:tcW w:w="1695" w:type="dxa"/>
          </w:tcPr>
          <w:p w14:paraId="550DBCAC" w14:textId="77777777" w:rsidR="00DC4BB2" w:rsidRPr="004A3BBC" w:rsidRDefault="001C4737">
            <w:pPr>
              <w:widowControl w:val="0"/>
              <w:autoSpaceDE w:val="0"/>
              <w:autoSpaceDN w:val="0"/>
              <w:spacing w:before="31" w:line="239" w:lineRule="exact"/>
              <w:ind w:left="100"/>
              <w:rPr>
                <w:szCs w:val="22"/>
              </w:rPr>
            </w:pPr>
            <w:r w:rsidRPr="00CF5157">
              <w:t>Edema</w:t>
            </w:r>
          </w:p>
        </w:tc>
        <w:tc>
          <w:tcPr>
            <w:tcW w:w="1696" w:type="dxa"/>
          </w:tcPr>
          <w:p w14:paraId="0B0BFB50" w14:textId="77777777" w:rsidR="00DC4BB2" w:rsidRPr="004A3BBC" w:rsidRDefault="00DC4BB2">
            <w:pPr>
              <w:widowControl w:val="0"/>
              <w:autoSpaceDE w:val="0"/>
              <w:autoSpaceDN w:val="0"/>
              <w:rPr>
                <w:szCs w:val="22"/>
              </w:rPr>
            </w:pPr>
          </w:p>
        </w:tc>
        <w:tc>
          <w:tcPr>
            <w:tcW w:w="1696" w:type="dxa"/>
          </w:tcPr>
          <w:p w14:paraId="65B4E3F5" w14:textId="77777777" w:rsidR="00DC4BB2" w:rsidRPr="004A3BBC" w:rsidRDefault="00DC4BB2">
            <w:pPr>
              <w:widowControl w:val="0"/>
              <w:autoSpaceDE w:val="0"/>
              <w:autoSpaceDN w:val="0"/>
              <w:rPr>
                <w:szCs w:val="22"/>
              </w:rPr>
            </w:pPr>
          </w:p>
        </w:tc>
        <w:tc>
          <w:tcPr>
            <w:tcW w:w="1696" w:type="dxa"/>
          </w:tcPr>
          <w:p w14:paraId="679A1B2C" w14:textId="77777777" w:rsidR="00DC4BB2" w:rsidRPr="004A3BBC" w:rsidRDefault="00DC4BB2">
            <w:pPr>
              <w:widowControl w:val="0"/>
              <w:autoSpaceDE w:val="0"/>
              <w:autoSpaceDN w:val="0"/>
              <w:spacing w:before="31" w:line="239" w:lineRule="exact"/>
              <w:ind w:left="102"/>
              <w:rPr>
                <w:szCs w:val="22"/>
              </w:rPr>
            </w:pPr>
          </w:p>
        </w:tc>
        <w:tc>
          <w:tcPr>
            <w:tcW w:w="1696" w:type="dxa"/>
          </w:tcPr>
          <w:p w14:paraId="1E1159C7" w14:textId="77777777" w:rsidR="00DC4BB2" w:rsidRPr="004A3BBC" w:rsidRDefault="001C4737">
            <w:pPr>
              <w:widowControl w:val="0"/>
              <w:autoSpaceDE w:val="0"/>
              <w:autoSpaceDN w:val="0"/>
              <w:spacing w:before="34" w:line="236" w:lineRule="exact"/>
              <w:ind w:left="103"/>
              <w:rPr>
                <w:szCs w:val="22"/>
              </w:rPr>
            </w:pPr>
            <w:r w:rsidRPr="004A3BBC">
              <w:rPr>
                <w:szCs w:val="22"/>
              </w:rPr>
              <w:t>labai dažnas</w:t>
            </w:r>
          </w:p>
        </w:tc>
      </w:tr>
      <w:tr w:rsidR="00DC4BB2" w:rsidRPr="00CF5157" w14:paraId="2CC87BCD" w14:textId="77777777" w:rsidTr="00D77DC4">
        <w:trPr>
          <w:trHeight w:val="280"/>
        </w:trPr>
        <w:tc>
          <w:tcPr>
            <w:tcW w:w="1191" w:type="dxa"/>
            <w:gridSpan w:val="2"/>
            <w:vMerge/>
          </w:tcPr>
          <w:p w14:paraId="1C40F723" w14:textId="77777777" w:rsidR="00DC4BB2" w:rsidRPr="004A3BBC" w:rsidRDefault="00DC4BB2">
            <w:pPr>
              <w:rPr>
                <w:sz w:val="2"/>
                <w:szCs w:val="2"/>
                <w:lang w:eastAsia="sl-SI"/>
              </w:rPr>
            </w:pPr>
          </w:p>
        </w:tc>
        <w:tc>
          <w:tcPr>
            <w:tcW w:w="1695" w:type="dxa"/>
          </w:tcPr>
          <w:p w14:paraId="0355AB3F" w14:textId="77777777" w:rsidR="00DC4BB2" w:rsidRPr="004A3BBC" w:rsidRDefault="001C4737">
            <w:pPr>
              <w:widowControl w:val="0"/>
              <w:autoSpaceDE w:val="0"/>
              <w:autoSpaceDN w:val="0"/>
              <w:spacing w:before="31" w:line="239" w:lineRule="exact"/>
              <w:ind w:left="100"/>
              <w:rPr>
                <w:szCs w:val="22"/>
              </w:rPr>
            </w:pPr>
            <w:r w:rsidRPr="00CF5157">
              <w:t>Nuovargis</w:t>
            </w:r>
          </w:p>
        </w:tc>
        <w:tc>
          <w:tcPr>
            <w:tcW w:w="1696" w:type="dxa"/>
          </w:tcPr>
          <w:p w14:paraId="089745D7" w14:textId="77777777" w:rsidR="00DC4BB2" w:rsidRPr="004A3BBC" w:rsidRDefault="00DC4BB2">
            <w:pPr>
              <w:widowControl w:val="0"/>
              <w:autoSpaceDE w:val="0"/>
              <w:autoSpaceDN w:val="0"/>
              <w:rPr>
                <w:szCs w:val="22"/>
              </w:rPr>
            </w:pPr>
          </w:p>
        </w:tc>
        <w:tc>
          <w:tcPr>
            <w:tcW w:w="1696" w:type="dxa"/>
          </w:tcPr>
          <w:p w14:paraId="2E5EF431" w14:textId="77777777" w:rsidR="00DC4BB2" w:rsidRPr="004A3BBC" w:rsidRDefault="00DC4BB2">
            <w:pPr>
              <w:widowControl w:val="0"/>
              <w:autoSpaceDE w:val="0"/>
              <w:autoSpaceDN w:val="0"/>
              <w:rPr>
                <w:szCs w:val="22"/>
              </w:rPr>
            </w:pPr>
          </w:p>
        </w:tc>
        <w:tc>
          <w:tcPr>
            <w:tcW w:w="1696" w:type="dxa"/>
          </w:tcPr>
          <w:p w14:paraId="0BCAC04A" w14:textId="77777777" w:rsidR="00DC4BB2" w:rsidRPr="004A3BBC" w:rsidRDefault="00DC4BB2">
            <w:pPr>
              <w:widowControl w:val="0"/>
              <w:autoSpaceDE w:val="0"/>
              <w:autoSpaceDN w:val="0"/>
              <w:spacing w:before="31" w:line="239" w:lineRule="exact"/>
              <w:ind w:left="102"/>
              <w:rPr>
                <w:szCs w:val="22"/>
              </w:rPr>
            </w:pPr>
          </w:p>
        </w:tc>
        <w:tc>
          <w:tcPr>
            <w:tcW w:w="1696" w:type="dxa"/>
          </w:tcPr>
          <w:p w14:paraId="7C3F8B1B" w14:textId="77777777" w:rsidR="00DC4BB2" w:rsidRPr="004A3BBC" w:rsidRDefault="001C4737">
            <w:pPr>
              <w:widowControl w:val="0"/>
              <w:autoSpaceDE w:val="0"/>
              <w:autoSpaceDN w:val="0"/>
              <w:spacing w:before="34" w:line="236" w:lineRule="exact"/>
              <w:ind w:left="103"/>
              <w:rPr>
                <w:szCs w:val="22"/>
              </w:rPr>
            </w:pPr>
            <w:r w:rsidRPr="004A3BBC">
              <w:rPr>
                <w:szCs w:val="22"/>
              </w:rPr>
              <w:t>dažnas</w:t>
            </w:r>
          </w:p>
        </w:tc>
      </w:tr>
      <w:tr w:rsidR="00DC4BB2" w:rsidRPr="00CF5157" w14:paraId="605B6269" w14:textId="77777777" w:rsidTr="00D77DC4">
        <w:trPr>
          <w:trHeight w:val="280"/>
        </w:trPr>
        <w:tc>
          <w:tcPr>
            <w:tcW w:w="1191" w:type="dxa"/>
            <w:gridSpan w:val="2"/>
            <w:vMerge/>
          </w:tcPr>
          <w:p w14:paraId="22423E04" w14:textId="77777777" w:rsidR="00DC4BB2" w:rsidRPr="004A3BBC" w:rsidRDefault="00DC4BB2">
            <w:pPr>
              <w:rPr>
                <w:sz w:val="2"/>
                <w:szCs w:val="2"/>
                <w:lang w:eastAsia="sl-SI"/>
              </w:rPr>
            </w:pPr>
          </w:p>
        </w:tc>
        <w:tc>
          <w:tcPr>
            <w:tcW w:w="1695" w:type="dxa"/>
          </w:tcPr>
          <w:p w14:paraId="6251F16C" w14:textId="77777777" w:rsidR="00DC4BB2" w:rsidRPr="004A3BBC" w:rsidRDefault="001C4737">
            <w:pPr>
              <w:widowControl w:val="0"/>
              <w:autoSpaceDE w:val="0"/>
              <w:autoSpaceDN w:val="0"/>
              <w:spacing w:before="31" w:line="239" w:lineRule="exact"/>
              <w:ind w:left="100"/>
              <w:rPr>
                <w:szCs w:val="22"/>
              </w:rPr>
            </w:pPr>
            <w:r w:rsidRPr="00CF5157">
              <w:t>Negalavimas</w:t>
            </w:r>
          </w:p>
        </w:tc>
        <w:tc>
          <w:tcPr>
            <w:tcW w:w="1696" w:type="dxa"/>
          </w:tcPr>
          <w:p w14:paraId="7CA7B17E" w14:textId="77777777" w:rsidR="00DC4BB2" w:rsidRPr="004A3BBC" w:rsidRDefault="00DC4BB2">
            <w:pPr>
              <w:widowControl w:val="0"/>
              <w:autoSpaceDE w:val="0"/>
              <w:autoSpaceDN w:val="0"/>
              <w:rPr>
                <w:szCs w:val="22"/>
              </w:rPr>
            </w:pPr>
          </w:p>
        </w:tc>
        <w:tc>
          <w:tcPr>
            <w:tcW w:w="1696" w:type="dxa"/>
          </w:tcPr>
          <w:p w14:paraId="4851393E" w14:textId="77777777" w:rsidR="00DC4BB2" w:rsidRPr="004A3BBC" w:rsidRDefault="00DC4BB2">
            <w:pPr>
              <w:widowControl w:val="0"/>
              <w:autoSpaceDE w:val="0"/>
              <w:autoSpaceDN w:val="0"/>
              <w:rPr>
                <w:szCs w:val="22"/>
              </w:rPr>
            </w:pPr>
          </w:p>
        </w:tc>
        <w:tc>
          <w:tcPr>
            <w:tcW w:w="1696" w:type="dxa"/>
          </w:tcPr>
          <w:p w14:paraId="6F0DCCC6" w14:textId="77777777" w:rsidR="00DC4BB2" w:rsidRPr="004A3BBC" w:rsidRDefault="00DC4BB2">
            <w:pPr>
              <w:widowControl w:val="0"/>
              <w:autoSpaceDE w:val="0"/>
              <w:autoSpaceDN w:val="0"/>
              <w:spacing w:before="31" w:line="239" w:lineRule="exact"/>
              <w:ind w:left="102"/>
              <w:rPr>
                <w:szCs w:val="22"/>
              </w:rPr>
            </w:pPr>
          </w:p>
        </w:tc>
        <w:tc>
          <w:tcPr>
            <w:tcW w:w="1696" w:type="dxa"/>
          </w:tcPr>
          <w:p w14:paraId="7F75AC2E" w14:textId="77777777" w:rsidR="00DC4BB2" w:rsidRPr="004A3BBC" w:rsidRDefault="001C4737">
            <w:pPr>
              <w:widowControl w:val="0"/>
              <w:autoSpaceDE w:val="0"/>
              <w:autoSpaceDN w:val="0"/>
              <w:spacing w:before="34" w:line="236" w:lineRule="exact"/>
              <w:ind w:left="103"/>
              <w:rPr>
                <w:szCs w:val="22"/>
              </w:rPr>
            </w:pPr>
            <w:r w:rsidRPr="004A3BBC">
              <w:rPr>
                <w:szCs w:val="22"/>
              </w:rPr>
              <w:t>nedažnas</w:t>
            </w:r>
          </w:p>
        </w:tc>
      </w:tr>
      <w:tr w:rsidR="00DC4BB2" w:rsidRPr="00CF5157" w14:paraId="3EF1E96C" w14:textId="77777777" w:rsidTr="00D77DC4">
        <w:trPr>
          <w:trHeight w:val="500"/>
        </w:trPr>
        <w:tc>
          <w:tcPr>
            <w:tcW w:w="1191" w:type="dxa"/>
            <w:gridSpan w:val="2"/>
            <w:vMerge w:val="restart"/>
          </w:tcPr>
          <w:p w14:paraId="2CDB402B" w14:textId="77777777" w:rsidR="00DC4BB2" w:rsidRPr="004A3BBC" w:rsidRDefault="001C4737">
            <w:pPr>
              <w:widowControl w:val="0"/>
              <w:autoSpaceDE w:val="0"/>
              <w:autoSpaceDN w:val="0"/>
              <w:spacing w:line="246" w:lineRule="exact"/>
              <w:ind w:left="102"/>
              <w:rPr>
                <w:b/>
                <w:szCs w:val="22"/>
              </w:rPr>
            </w:pPr>
            <w:r w:rsidRPr="004A3BBC">
              <w:rPr>
                <w:b/>
                <w:szCs w:val="22"/>
              </w:rPr>
              <w:t>Tyrimai</w:t>
            </w:r>
          </w:p>
        </w:tc>
        <w:tc>
          <w:tcPr>
            <w:tcW w:w="1695" w:type="dxa"/>
          </w:tcPr>
          <w:p w14:paraId="72398C48" w14:textId="77777777" w:rsidR="00DC4BB2" w:rsidRPr="004A3BBC" w:rsidRDefault="001C4737">
            <w:pPr>
              <w:widowControl w:val="0"/>
              <w:autoSpaceDE w:val="0"/>
              <w:autoSpaceDN w:val="0"/>
              <w:spacing w:line="246" w:lineRule="exact"/>
              <w:ind w:left="100"/>
              <w:rPr>
                <w:szCs w:val="22"/>
              </w:rPr>
            </w:pPr>
            <w:r w:rsidRPr="004A3BBC">
              <w:rPr>
                <w:szCs w:val="22"/>
              </w:rPr>
              <w:t>Šlapimo rūgšties kiekio padidėjimas kraujyje</w:t>
            </w:r>
          </w:p>
        </w:tc>
        <w:tc>
          <w:tcPr>
            <w:tcW w:w="1696" w:type="dxa"/>
          </w:tcPr>
          <w:p w14:paraId="24C79E1E" w14:textId="77777777" w:rsidR="00DC4BB2" w:rsidRPr="004A3BBC" w:rsidRDefault="001C4737">
            <w:pPr>
              <w:widowControl w:val="0"/>
              <w:autoSpaceDE w:val="0"/>
              <w:autoSpaceDN w:val="0"/>
              <w:spacing w:line="239" w:lineRule="exact"/>
              <w:ind w:left="103"/>
              <w:rPr>
                <w:szCs w:val="22"/>
              </w:rPr>
            </w:pPr>
            <w:r w:rsidRPr="004A3BBC">
              <w:rPr>
                <w:szCs w:val="22"/>
              </w:rPr>
              <w:t>nedažnas</w:t>
            </w:r>
          </w:p>
        </w:tc>
        <w:tc>
          <w:tcPr>
            <w:tcW w:w="1696" w:type="dxa"/>
          </w:tcPr>
          <w:p w14:paraId="1909B766" w14:textId="77777777" w:rsidR="00DC4BB2" w:rsidRPr="004A3BBC" w:rsidRDefault="001C4737">
            <w:pPr>
              <w:widowControl w:val="0"/>
              <w:autoSpaceDE w:val="0"/>
              <w:autoSpaceDN w:val="0"/>
              <w:spacing w:line="239" w:lineRule="exact"/>
              <w:ind w:left="102"/>
              <w:rPr>
                <w:szCs w:val="22"/>
              </w:rPr>
            </w:pPr>
            <w:r w:rsidRPr="004A3BBC">
              <w:rPr>
                <w:szCs w:val="22"/>
              </w:rPr>
              <w:t>retas</w:t>
            </w:r>
          </w:p>
        </w:tc>
        <w:tc>
          <w:tcPr>
            <w:tcW w:w="1696" w:type="dxa"/>
          </w:tcPr>
          <w:p w14:paraId="24CD7702" w14:textId="77777777" w:rsidR="00DC4BB2" w:rsidRPr="004A3BBC" w:rsidRDefault="00DC4BB2">
            <w:pPr>
              <w:widowControl w:val="0"/>
              <w:autoSpaceDE w:val="0"/>
              <w:autoSpaceDN w:val="0"/>
              <w:rPr>
                <w:szCs w:val="22"/>
              </w:rPr>
            </w:pPr>
          </w:p>
        </w:tc>
        <w:tc>
          <w:tcPr>
            <w:tcW w:w="1696" w:type="dxa"/>
          </w:tcPr>
          <w:p w14:paraId="795B4EFB" w14:textId="77777777" w:rsidR="00DC4BB2" w:rsidRPr="004A3BBC" w:rsidRDefault="00DC4BB2">
            <w:pPr>
              <w:widowControl w:val="0"/>
              <w:autoSpaceDE w:val="0"/>
              <w:autoSpaceDN w:val="0"/>
              <w:spacing w:before="34" w:line="236" w:lineRule="exact"/>
              <w:ind w:left="103"/>
              <w:rPr>
                <w:szCs w:val="22"/>
              </w:rPr>
            </w:pPr>
          </w:p>
        </w:tc>
      </w:tr>
      <w:tr w:rsidR="00DC4BB2" w:rsidRPr="00CF5157" w14:paraId="31695B10" w14:textId="77777777" w:rsidTr="00D77DC4">
        <w:trPr>
          <w:trHeight w:val="500"/>
        </w:trPr>
        <w:tc>
          <w:tcPr>
            <w:tcW w:w="1191" w:type="dxa"/>
            <w:gridSpan w:val="2"/>
            <w:vMerge/>
          </w:tcPr>
          <w:p w14:paraId="61949FFC" w14:textId="77777777" w:rsidR="00DC4BB2" w:rsidRPr="004A3BBC" w:rsidRDefault="00DC4BB2">
            <w:pPr>
              <w:rPr>
                <w:sz w:val="2"/>
                <w:szCs w:val="2"/>
                <w:lang w:eastAsia="sl-SI"/>
              </w:rPr>
            </w:pPr>
          </w:p>
        </w:tc>
        <w:tc>
          <w:tcPr>
            <w:tcW w:w="1695" w:type="dxa"/>
          </w:tcPr>
          <w:p w14:paraId="1DCA78E4" w14:textId="77777777" w:rsidR="00DC4BB2" w:rsidRPr="004A3BBC" w:rsidRDefault="001C4737">
            <w:pPr>
              <w:widowControl w:val="0"/>
              <w:autoSpaceDE w:val="0"/>
              <w:autoSpaceDN w:val="0"/>
              <w:spacing w:line="246" w:lineRule="exact"/>
              <w:ind w:left="100"/>
              <w:rPr>
                <w:szCs w:val="22"/>
              </w:rPr>
            </w:pPr>
            <w:r w:rsidRPr="004A3BBC">
              <w:rPr>
                <w:szCs w:val="22"/>
              </w:rPr>
              <w:t>Kreatinino kiekio padidėjimas kraujyje</w:t>
            </w:r>
          </w:p>
        </w:tc>
        <w:tc>
          <w:tcPr>
            <w:tcW w:w="1696" w:type="dxa"/>
          </w:tcPr>
          <w:p w14:paraId="7B8C7D58" w14:textId="77777777" w:rsidR="00DC4BB2" w:rsidRPr="004A3BBC" w:rsidRDefault="001C4737">
            <w:pPr>
              <w:widowControl w:val="0"/>
              <w:autoSpaceDE w:val="0"/>
              <w:autoSpaceDN w:val="0"/>
              <w:spacing w:line="239" w:lineRule="exact"/>
              <w:ind w:left="103"/>
              <w:rPr>
                <w:szCs w:val="22"/>
              </w:rPr>
            </w:pPr>
            <w:r w:rsidRPr="004A3BBC">
              <w:rPr>
                <w:szCs w:val="22"/>
              </w:rPr>
              <w:t>retas</w:t>
            </w:r>
          </w:p>
        </w:tc>
        <w:tc>
          <w:tcPr>
            <w:tcW w:w="1696" w:type="dxa"/>
          </w:tcPr>
          <w:p w14:paraId="57B193DA" w14:textId="77777777" w:rsidR="00DC4BB2" w:rsidRPr="004A3BBC" w:rsidRDefault="001C4737">
            <w:pPr>
              <w:widowControl w:val="0"/>
              <w:autoSpaceDE w:val="0"/>
              <w:autoSpaceDN w:val="0"/>
              <w:spacing w:line="239" w:lineRule="exact"/>
              <w:ind w:left="102"/>
              <w:rPr>
                <w:szCs w:val="22"/>
              </w:rPr>
            </w:pPr>
            <w:r w:rsidRPr="004A3BBC">
              <w:rPr>
                <w:szCs w:val="22"/>
              </w:rPr>
              <w:t>nedažnas</w:t>
            </w:r>
          </w:p>
        </w:tc>
        <w:tc>
          <w:tcPr>
            <w:tcW w:w="1696" w:type="dxa"/>
          </w:tcPr>
          <w:p w14:paraId="5281E7D6" w14:textId="77777777" w:rsidR="00DC4BB2" w:rsidRPr="004A3BBC" w:rsidRDefault="00DC4BB2">
            <w:pPr>
              <w:widowControl w:val="0"/>
              <w:autoSpaceDE w:val="0"/>
              <w:autoSpaceDN w:val="0"/>
              <w:rPr>
                <w:szCs w:val="22"/>
              </w:rPr>
            </w:pPr>
          </w:p>
        </w:tc>
        <w:tc>
          <w:tcPr>
            <w:tcW w:w="1696" w:type="dxa"/>
          </w:tcPr>
          <w:p w14:paraId="5CA7EE2F" w14:textId="77777777" w:rsidR="00DC4BB2" w:rsidRPr="004A3BBC" w:rsidRDefault="00DC4BB2">
            <w:pPr>
              <w:widowControl w:val="0"/>
              <w:autoSpaceDE w:val="0"/>
              <w:autoSpaceDN w:val="0"/>
              <w:spacing w:before="34" w:line="236" w:lineRule="exact"/>
              <w:ind w:left="103"/>
              <w:rPr>
                <w:szCs w:val="22"/>
              </w:rPr>
            </w:pPr>
          </w:p>
        </w:tc>
      </w:tr>
      <w:tr w:rsidR="00DC4BB2" w:rsidRPr="00CF5157" w14:paraId="6FC23272" w14:textId="77777777" w:rsidTr="00D77DC4">
        <w:trPr>
          <w:trHeight w:val="740"/>
        </w:trPr>
        <w:tc>
          <w:tcPr>
            <w:tcW w:w="1191" w:type="dxa"/>
            <w:gridSpan w:val="2"/>
            <w:vMerge/>
          </w:tcPr>
          <w:p w14:paraId="31D7546C" w14:textId="77777777" w:rsidR="00DC4BB2" w:rsidRPr="004A3BBC" w:rsidRDefault="00DC4BB2">
            <w:pPr>
              <w:rPr>
                <w:sz w:val="2"/>
                <w:szCs w:val="2"/>
                <w:lang w:eastAsia="sl-SI"/>
              </w:rPr>
            </w:pPr>
          </w:p>
        </w:tc>
        <w:tc>
          <w:tcPr>
            <w:tcW w:w="1695" w:type="dxa"/>
          </w:tcPr>
          <w:p w14:paraId="2CCE8462" w14:textId="77777777" w:rsidR="00DC4BB2" w:rsidRPr="004A3BBC" w:rsidRDefault="001C4737">
            <w:pPr>
              <w:widowControl w:val="0"/>
              <w:autoSpaceDE w:val="0"/>
              <w:autoSpaceDN w:val="0"/>
              <w:spacing w:line="246" w:lineRule="exact"/>
              <w:ind w:left="100"/>
              <w:rPr>
                <w:szCs w:val="22"/>
              </w:rPr>
            </w:pPr>
            <w:proofErr w:type="spellStart"/>
            <w:r w:rsidRPr="004A3BBC">
              <w:rPr>
                <w:szCs w:val="22"/>
              </w:rPr>
              <w:t>Kreatinfosfokinazės</w:t>
            </w:r>
            <w:proofErr w:type="spellEnd"/>
            <w:r w:rsidRPr="004A3BBC">
              <w:rPr>
                <w:szCs w:val="22"/>
              </w:rPr>
              <w:t xml:space="preserve"> aktyvumo padidėjimas kraujyje</w:t>
            </w:r>
          </w:p>
        </w:tc>
        <w:tc>
          <w:tcPr>
            <w:tcW w:w="1696" w:type="dxa"/>
          </w:tcPr>
          <w:p w14:paraId="09B97294" w14:textId="77777777" w:rsidR="00DC4BB2" w:rsidRPr="004A3BBC" w:rsidRDefault="001C4737">
            <w:pPr>
              <w:widowControl w:val="0"/>
              <w:autoSpaceDE w:val="0"/>
              <w:autoSpaceDN w:val="0"/>
              <w:spacing w:line="239" w:lineRule="exact"/>
              <w:ind w:left="103"/>
              <w:rPr>
                <w:szCs w:val="22"/>
              </w:rPr>
            </w:pPr>
            <w:r w:rsidRPr="004A3BBC">
              <w:rPr>
                <w:szCs w:val="22"/>
              </w:rPr>
              <w:t>retas</w:t>
            </w:r>
          </w:p>
        </w:tc>
        <w:tc>
          <w:tcPr>
            <w:tcW w:w="1696" w:type="dxa"/>
          </w:tcPr>
          <w:p w14:paraId="2A6D5C7A" w14:textId="77777777" w:rsidR="00DC4BB2" w:rsidRPr="004A3BBC" w:rsidRDefault="001C4737">
            <w:pPr>
              <w:widowControl w:val="0"/>
              <w:autoSpaceDE w:val="0"/>
              <w:autoSpaceDN w:val="0"/>
              <w:spacing w:line="239" w:lineRule="exact"/>
              <w:ind w:left="102"/>
              <w:rPr>
                <w:szCs w:val="22"/>
              </w:rPr>
            </w:pPr>
            <w:r w:rsidRPr="004A3BBC">
              <w:rPr>
                <w:szCs w:val="22"/>
              </w:rPr>
              <w:t>retas</w:t>
            </w:r>
          </w:p>
        </w:tc>
        <w:tc>
          <w:tcPr>
            <w:tcW w:w="1696" w:type="dxa"/>
          </w:tcPr>
          <w:p w14:paraId="40817D73" w14:textId="77777777" w:rsidR="00DC4BB2" w:rsidRPr="004A3BBC" w:rsidRDefault="00DC4BB2">
            <w:pPr>
              <w:widowControl w:val="0"/>
              <w:autoSpaceDE w:val="0"/>
              <w:autoSpaceDN w:val="0"/>
              <w:rPr>
                <w:szCs w:val="22"/>
              </w:rPr>
            </w:pPr>
          </w:p>
        </w:tc>
        <w:tc>
          <w:tcPr>
            <w:tcW w:w="1696" w:type="dxa"/>
          </w:tcPr>
          <w:p w14:paraId="42B68968" w14:textId="77777777" w:rsidR="00DC4BB2" w:rsidRPr="004A3BBC" w:rsidRDefault="00DC4BB2">
            <w:pPr>
              <w:widowControl w:val="0"/>
              <w:autoSpaceDE w:val="0"/>
              <w:autoSpaceDN w:val="0"/>
              <w:spacing w:before="34" w:line="236" w:lineRule="exact"/>
              <w:ind w:left="103"/>
              <w:rPr>
                <w:szCs w:val="22"/>
              </w:rPr>
            </w:pPr>
          </w:p>
        </w:tc>
      </w:tr>
      <w:tr w:rsidR="00DC4BB2" w:rsidRPr="00CF5157" w14:paraId="0140FB55" w14:textId="77777777" w:rsidTr="00D77DC4">
        <w:trPr>
          <w:trHeight w:val="500"/>
        </w:trPr>
        <w:tc>
          <w:tcPr>
            <w:tcW w:w="1191" w:type="dxa"/>
            <w:gridSpan w:val="2"/>
            <w:vMerge/>
          </w:tcPr>
          <w:p w14:paraId="08162D30" w14:textId="77777777" w:rsidR="00DC4BB2" w:rsidRPr="004A3BBC" w:rsidRDefault="00DC4BB2">
            <w:pPr>
              <w:rPr>
                <w:sz w:val="2"/>
                <w:szCs w:val="2"/>
                <w:lang w:eastAsia="sl-SI"/>
              </w:rPr>
            </w:pPr>
          </w:p>
        </w:tc>
        <w:tc>
          <w:tcPr>
            <w:tcW w:w="1695" w:type="dxa"/>
          </w:tcPr>
          <w:p w14:paraId="55D041F5" w14:textId="77777777" w:rsidR="00DC4BB2" w:rsidRPr="004A3BBC" w:rsidRDefault="001C4737">
            <w:pPr>
              <w:widowControl w:val="0"/>
              <w:autoSpaceDE w:val="0"/>
              <w:autoSpaceDN w:val="0"/>
              <w:spacing w:line="248" w:lineRule="exact"/>
              <w:ind w:left="100"/>
              <w:rPr>
                <w:szCs w:val="22"/>
              </w:rPr>
            </w:pPr>
            <w:r w:rsidRPr="004A3BBC">
              <w:rPr>
                <w:szCs w:val="22"/>
              </w:rPr>
              <w:t>Kepenų fermentų aktyvumo padidėjimas</w:t>
            </w:r>
          </w:p>
        </w:tc>
        <w:tc>
          <w:tcPr>
            <w:tcW w:w="1696" w:type="dxa"/>
          </w:tcPr>
          <w:p w14:paraId="317F44B3" w14:textId="77777777" w:rsidR="00DC4BB2" w:rsidRPr="004A3BBC" w:rsidRDefault="001C4737">
            <w:pPr>
              <w:widowControl w:val="0"/>
              <w:autoSpaceDE w:val="0"/>
              <w:autoSpaceDN w:val="0"/>
              <w:spacing w:line="239" w:lineRule="exact"/>
              <w:ind w:left="103"/>
              <w:rPr>
                <w:szCs w:val="22"/>
              </w:rPr>
            </w:pPr>
            <w:r w:rsidRPr="004A3BBC">
              <w:rPr>
                <w:szCs w:val="22"/>
              </w:rPr>
              <w:t>retas</w:t>
            </w:r>
          </w:p>
        </w:tc>
        <w:tc>
          <w:tcPr>
            <w:tcW w:w="1696" w:type="dxa"/>
          </w:tcPr>
          <w:p w14:paraId="7A7B41B1" w14:textId="77777777" w:rsidR="00DC4BB2" w:rsidRPr="004A3BBC" w:rsidRDefault="001C4737">
            <w:pPr>
              <w:widowControl w:val="0"/>
              <w:autoSpaceDE w:val="0"/>
              <w:autoSpaceDN w:val="0"/>
              <w:spacing w:line="239" w:lineRule="exact"/>
              <w:ind w:left="102"/>
              <w:rPr>
                <w:szCs w:val="22"/>
              </w:rPr>
            </w:pPr>
            <w:r w:rsidRPr="004A3BBC">
              <w:rPr>
                <w:szCs w:val="22"/>
              </w:rPr>
              <w:t>retas</w:t>
            </w:r>
          </w:p>
        </w:tc>
        <w:tc>
          <w:tcPr>
            <w:tcW w:w="1696" w:type="dxa"/>
          </w:tcPr>
          <w:p w14:paraId="65942C1E" w14:textId="77777777" w:rsidR="00DC4BB2" w:rsidRPr="004A3BBC" w:rsidRDefault="00DC4BB2">
            <w:pPr>
              <w:widowControl w:val="0"/>
              <w:autoSpaceDE w:val="0"/>
              <w:autoSpaceDN w:val="0"/>
              <w:rPr>
                <w:szCs w:val="22"/>
              </w:rPr>
            </w:pPr>
          </w:p>
        </w:tc>
        <w:tc>
          <w:tcPr>
            <w:tcW w:w="1696" w:type="dxa"/>
          </w:tcPr>
          <w:p w14:paraId="006D6ED1" w14:textId="77777777" w:rsidR="00DC4BB2" w:rsidRPr="004A3BBC" w:rsidRDefault="001C4737">
            <w:pPr>
              <w:widowControl w:val="0"/>
              <w:autoSpaceDE w:val="0"/>
              <w:autoSpaceDN w:val="0"/>
              <w:spacing w:before="34" w:line="236" w:lineRule="exact"/>
              <w:ind w:left="103"/>
              <w:rPr>
                <w:szCs w:val="22"/>
              </w:rPr>
            </w:pPr>
            <w:r w:rsidRPr="004A3BBC">
              <w:rPr>
                <w:szCs w:val="22"/>
              </w:rPr>
              <w:t>labai retas</w:t>
            </w:r>
            <w:r w:rsidRPr="004A3BBC">
              <w:rPr>
                <w:szCs w:val="22"/>
                <w:vertAlign w:val="superscript"/>
              </w:rPr>
              <w:t>3</w:t>
            </w:r>
          </w:p>
        </w:tc>
      </w:tr>
      <w:tr w:rsidR="00DC4BB2" w:rsidRPr="00CF5157" w14:paraId="215EE8F8" w14:textId="77777777" w:rsidTr="00D77DC4">
        <w:trPr>
          <w:trHeight w:val="280"/>
        </w:trPr>
        <w:tc>
          <w:tcPr>
            <w:tcW w:w="1191" w:type="dxa"/>
            <w:gridSpan w:val="2"/>
            <w:vMerge/>
          </w:tcPr>
          <w:p w14:paraId="34F69039" w14:textId="77777777" w:rsidR="00DC4BB2" w:rsidRPr="004A3BBC" w:rsidRDefault="00DC4BB2">
            <w:pPr>
              <w:rPr>
                <w:sz w:val="2"/>
                <w:szCs w:val="2"/>
                <w:lang w:eastAsia="sl-SI"/>
              </w:rPr>
            </w:pPr>
          </w:p>
        </w:tc>
        <w:tc>
          <w:tcPr>
            <w:tcW w:w="1695" w:type="dxa"/>
          </w:tcPr>
          <w:p w14:paraId="72079D5A" w14:textId="77777777" w:rsidR="00DC4BB2" w:rsidRPr="004A3BBC" w:rsidRDefault="001C4737">
            <w:pPr>
              <w:widowControl w:val="0"/>
              <w:autoSpaceDE w:val="0"/>
              <w:autoSpaceDN w:val="0"/>
              <w:spacing w:before="31" w:line="239" w:lineRule="exact"/>
              <w:ind w:left="100"/>
              <w:rPr>
                <w:szCs w:val="22"/>
              </w:rPr>
            </w:pPr>
            <w:r w:rsidRPr="004A3BBC">
              <w:rPr>
                <w:szCs w:val="22"/>
              </w:rPr>
              <w:t>Hemoglobino kiekio sumažėjimas</w:t>
            </w:r>
          </w:p>
        </w:tc>
        <w:tc>
          <w:tcPr>
            <w:tcW w:w="1696" w:type="dxa"/>
          </w:tcPr>
          <w:p w14:paraId="292C718E" w14:textId="77777777" w:rsidR="00DC4BB2" w:rsidRPr="004A3BBC" w:rsidRDefault="00DC4BB2">
            <w:pPr>
              <w:widowControl w:val="0"/>
              <w:autoSpaceDE w:val="0"/>
              <w:autoSpaceDN w:val="0"/>
              <w:rPr>
                <w:szCs w:val="22"/>
              </w:rPr>
            </w:pPr>
          </w:p>
        </w:tc>
        <w:tc>
          <w:tcPr>
            <w:tcW w:w="1696" w:type="dxa"/>
          </w:tcPr>
          <w:p w14:paraId="290D2D61" w14:textId="77777777" w:rsidR="00DC4BB2" w:rsidRPr="004A3BBC" w:rsidRDefault="001C4737">
            <w:pPr>
              <w:widowControl w:val="0"/>
              <w:autoSpaceDE w:val="0"/>
              <w:autoSpaceDN w:val="0"/>
              <w:spacing w:before="31" w:line="239" w:lineRule="exact"/>
              <w:ind w:left="102"/>
              <w:rPr>
                <w:szCs w:val="22"/>
              </w:rPr>
            </w:pPr>
            <w:r w:rsidRPr="004A3BBC">
              <w:rPr>
                <w:szCs w:val="22"/>
              </w:rPr>
              <w:t>retas</w:t>
            </w:r>
          </w:p>
        </w:tc>
        <w:tc>
          <w:tcPr>
            <w:tcW w:w="1696" w:type="dxa"/>
          </w:tcPr>
          <w:p w14:paraId="79929F14" w14:textId="77777777" w:rsidR="00DC4BB2" w:rsidRPr="004A3BBC" w:rsidRDefault="00DC4BB2">
            <w:pPr>
              <w:widowControl w:val="0"/>
              <w:autoSpaceDE w:val="0"/>
              <w:autoSpaceDN w:val="0"/>
              <w:rPr>
                <w:szCs w:val="22"/>
              </w:rPr>
            </w:pPr>
          </w:p>
        </w:tc>
        <w:tc>
          <w:tcPr>
            <w:tcW w:w="1696" w:type="dxa"/>
          </w:tcPr>
          <w:p w14:paraId="08EDAEFE" w14:textId="77777777" w:rsidR="00DC4BB2" w:rsidRPr="004A3BBC" w:rsidRDefault="00DC4BB2">
            <w:pPr>
              <w:widowControl w:val="0"/>
              <w:autoSpaceDE w:val="0"/>
              <w:autoSpaceDN w:val="0"/>
              <w:spacing w:before="34" w:line="236" w:lineRule="exact"/>
              <w:ind w:left="103"/>
              <w:rPr>
                <w:szCs w:val="22"/>
              </w:rPr>
            </w:pPr>
          </w:p>
        </w:tc>
      </w:tr>
      <w:tr w:rsidR="00DC4BB2" w:rsidRPr="00CF5157" w14:paraId="58159B61" w14:textId="77777777" w:rsidTr="00D77DC4">
        <w:trPr>
          <w:trHeight w:val="280"/>
        </w:trPr>
        <w:tc>
          <w:tcPr>
            <w:tcW w:w="1191" w:type="dxa"/>
            <w:gridSpan w:val="2"/>
            <w:vMerge/>
          </w:tcPr>
          <w:p w14:paraId="511C2964" w14:textId="77777777" w:rsidR="00DC4BB2" w:rsidRPr="004A3BBC" w:rsidRDefault="00DC4BB2">
            <w:pPr>
              <w:rPr>
                <w:sz w:val="2"/>
                <w:szCs w:val="2"/>
                <w:lang w:eastAsia="sl-SI"/>
              </w:rPr>
            </w:pPr>
          </w:p>
        </w:tc>
        <w:tc>
          <w:tcPr>
            <w:tcW w:w="1695" w:type="dxa"/>
          </w:tcPr>
          <w:p w14:paraId="406CBD1E" w14:textId="77777777" w:rsidR="00DC4BB2" w:rsidRPr="004A3BBC" w:rsidRDefault="001C4737">
            <w:pPr>
              <w:widowControl w:val="0"/>
              <w:autoSpaceDE w:val="0"/>
              <w:autoSpaceDN w:val="0"/>
              <w:spacing w:before="31" w:line="239" w:lineRule="exact"/>
              <w:ind w:left="100"/>
              <w:rPr>
                <w:szCs w:val="22"/>
              </w:rPr>
            </w:pPr>
            <w:r w:rsidRPr="004A3BBC">
              <w:rPr>
                <w:szCs w:val="22"/>
              </w:rPr>
              <w:t xml:space="preserve">Kūno svorio </w:t>
            </w:r>
            <w:r w:rsidRPr="004A3BBC">
              <w:rPr>
                <w:szCs w:val="22"/>
              </w:rPr>
              <w:lastRenderedPageBreak/>
              <w:t>padidėjimas, kūno svorio sumažėjimas</w:t>
            </w:r>
          </w:p>
        </w:tc>
        <w:tc>
          <w:tcPr>
            <w:tcW w:w="1696" w:type="dxa"/>
          </w:tcPr>
          <w:p w14:paraId="269FEEEF" w14:textId="77777777" w:rsidR="00DC4BB2" w:rsidRPr="004A3BBC" w:rsidRDefault="00DC4BB2">
            <w:pPr>
              <w:widowControl w:val="0"/>
              <w:autoSpaceDE w:val="0"/>
              <w:autoSpaceDN w:val="0"/>
              <w:rPr>
                <w:szCs w:val="22"/>
              </w:rPr>
            </w:pPr>
          </w:p>
        </w:tc>
        <w:tc>
          <w:tcPr>
            <w:tcW w:w="1696" w:type="dxa"/>
          </w:tcPr>
          <w:p w14:paraId="609E01CB" w14:textId="77777777" w:rsidR="00DC4BB2" w:rsidRPr="004A3BBC" w:rsidRDefault="00DC4BB2">
            <w:pPr>
              <w:widowControl w:val="0"/>
              <w:autoSpaceDE w:val="0"/>
              <w:autoSpaceDN w:val="0"/>
              <w:spacing w:before="31" w:line="239" w:lineRule="exact"/>
              <w:ind w:left="102"/>
              <w:rPr>
                <w:szCs w:val="22"/>
              </w:rPr>
            </w:pPr>
          </w:p>
        </w:tc>
        <w:tc>
          <w:tcPr>
            <w:tcW w:w="1696" w:type="dxa"/>
          </w:tcPr>
          <w:p w14:paraId="28B7A0B7" w14:textId="77777777" w:rsidR="00DC4BB2" w:rsidRPr="004A3BBC" w:rsidRDefault="00DC4BB2">
            <w:pPr>
              <w:widowControl w:val="0"/>
              <w:autoSpaceDE w:val="0"/>
              <w:autoSpaceDN w:val="0"/>
              <w:rPr>
                <w:szCs w:val="22"/>
              </w:rPr>
            </w:pPr>
          </w:p>
        </w:tc>
        <w:tc>
          <w:tcPr>
            <w:tcW w:w="1696" w:type="dxa"/>
          </w:tcPr>
          <w:p w14:paraId="279D4966" w14:textId="77777777" w:rsidR="00DC4BB2" w:rsidRPr="004A3BBC" w:rsidRDefault="001C4737">
            <w:pPr>
              <w:widowControl w:val="0"/>
              <w:autoSpaceDE w:val="0"/>
              <w:autoSpaceDN w:val="0"/>
              <w:spacing w:before="34" w:line="236" w:lineRule="exact"/>
              <w:ind w:left="103"/>
              <w:rPr>
                <w:szCs w:val="22"/>
              </w:rPr>
            </w:pPr>
            <w:r w:rsidRPr="004A3BBC">
              <w:rPr>
                <w:szCs w:val="22"/>
              </w:rPr>
              <w:t>nedažnas</w:t>
            </w:r>
          </w:p>
        </w:tc>
      </w:tr>
    </w:tbl>
    <w:p w14:paraId="4FF6C376" w14:textId="77777777" w:rsidR="00DC4BB2" w:rsidRDefault="00DC4BB2">
      <w:pPr>
        <w:autoSpaceDE w:val="0"/>
        <w:autoSpaceDN w:val="0"/>
        <w:adjustRightInd w:val="0"/>
        <w:rPr>
          <w:szCs w:val="22"/>
          <w:lang w:eastAsia="sl-SI"/>
        </w:rPr>
      </w:pPr>
    </w:p>
    <w:p w14:paraId="48B55CEF" w14:textId="77777777" w:rsidR="00DC4BB2" w:rsidRDefault="00DC4BB2">
      <w:pPr>
        <w:autoSpaceDE w:val="0"/>
        <w:autoSpaceDN w:val="0"/>
        <w:adjustRightInd w:val="0"/>
        <w:rPr>
          <w:szCs w:val="22"/>
          <w:lang w:eastAsia="sl-SI"/>
        </w:rPr>
      </w:pPr>
    </w:p>
    <w:p w14:paraId="70BB1935" w14:textId="03373E0E" w:rsidR="00DC4BB2" w:rsidRDefault="00FE2A61">
      <w:pPr>
        <w:rPr>
          <w:szCs w:val="22"/>
        </w:rPr>
      </w:pPr>
      <w:r>
        <w:rPr>
          <w:szCs w:val="22"/>
          <w:vertAlign w:val="superscript"/>
          <w:lang w:eastAsia="sl-SI"/>
        </w:rPr>
        <w:t>1</w:t>
      </w:r>
      <w:r>
        <w:rPr>
          <w:szCs w:val="22"/>
          <w:lang w:eastAsia="sl-SI"/>
        </w:rPr>
        <w:t xml:space="preserve"> </w:t>
      </w:r>
      <w:r w:rsidR="001C4737">
        <w:rPr>
          <w:szCs w:val="22"/>
        </w:rPr>
        <w:t>Remiantis stebėsenos, vaistinį preparatą pati</w:t>
      </w:r>
      <w:r w:rsidR="0006780B">
        <w:rPr>
          <w:szCs w:val="22"/>
        </w:rPr>
        <w:t>e</w:t>
      </w:r>
      <w:r w:rsidR="001C4737">
        <w:rPr>
          <w:szCs w:val="22"/>
        </w:rPr>
        <w:t>kus į rinką, duomenimis</w:t>
      </w:r>
    </w:p>
    <w:p w14:paraId="54C30508" w14:textId="77777777" w:rsidR="00DC4BB2" w:rsidRDefault="001C4737">
      <w:pPr>
        <w:rPr>
          <w:szCs w:val="22"/>
        </w:rPr>
      </w:pPr>
      <w:r w:rsidRPr="004A3BBC">
        <w:rPr>
          <w:szCs w:val="22"/>
          <w:vertAlign w:val="superscript"/>
        </w:rPr>
        <w:t>2</w:t>
      </w:r>
      <w:r>
        <w:rPr>
          <w:szCs w:val="22"/>
        </w:rPr>
        <w:t xml:space="preserve"> Daugiau informacijos pateikta tolesniuose poskyriuose</w:t>
      </w:r>
    </w:p>
    <w:p w14:paraId="777BD71A" w14:textId="3F562DD0" w:rsidR="00CB0928" w:rsidRDefault="00CB0928">
      <w:pPr>
        <w:rPr>
          <w:szCs w:val="22"/>
        </w:rPr>
      </w:pPr>
      <w:r w:rsidRPr="00B86602">
        <w:rPr>
          <w:szCs w:val="22"/>
          <w:vertAlign w:val="superscript"/>
        </w:rPr>
        <w:t>3</w:t>
      </w:r>
      <w:r>
        <w:rPr>
          <w:szCs w:val="22"/>
        </w:rPr>
        <w:t xml:space="preserve"> dažniausiai atit</w:t>
      </w:r>
      <w:r w:rsidR="00AF3F54">
        <w:rPr>
          <w:szCs w:val="22"/>
        </w:rPr>
        <w:t xml:space="preserve">inkantys </w:t>
      </w:r>
      <w:proofErr w:type="spellStart"/>
      <w:r w:rsidR="00AF3F54">
        <w:rPr>
          <w:szCs w:val="22"/>
        </w:rPr>
        <w:t>cholestazę</w:t>
      </w:r>
      <w:proofErr w:type="spellEnd"/>
    </w:p>
    <w:p w14:paraId="03DE03BC" w14:textId="79384175" w:rsidR="00D25008" w:rsidRDefault="001C4737">
      <w:pPr>
        <w:autoSpaceDE w:val="0"/>
        <w:autoSpaceDN w:val="0"/>
        <w:adjustRightInd w:val="0"/>
        <w:rPr>
          <w:szCs w:val="22"/>
          <w:lang w:eastAsia="sl-SI"/>
        </w:rPr>
      </w:pPr>
      <w:r w:rsidRPr="004A3BBC">
        <w:rPr>
          <w:szCs w:val="22"/>
          <w:vertAlign w:val="superscript"/>
        </w:rPr>
        <w:t>a</w:t>
      </w:r>
      <w:r>
        <w:rPr>
          <w:szCs w:val="22"/>
        </w:rPr>
        <w:t xml:space="preserve"> Nepageidaujamų </w:t>
      </w:r>
      <w:proofErr w:type="spellStart"/>
      <w:r>
        <w:rPr>
          <w:szCs w:val="22"/>
        </w:rPr>
        <w:t>telmisartano</w:t>
      </w:r>
      <w:proofErr w:type="spellEnd"/>
      <w:r>
        <w:rPr>
          <w:szCs w:val="22"/>
        </w:rPr>
        <w:t xml:space="preserve"> reakcijų dažnis yra panašus į placebo. Placebu kontroliuojamų tyrimų metu bendras </w:t>
      </w:r>
      <w:proofErr w:type="spellStart"/>
      <w:r>
        <w:rPr>
          <w:szCs w:val="22"/>
        </w:rPr>
        <w:t>telmisartano</w:t>
      </w:r>
      <w:proofErr w:type="spellEnd"/>
      <w:r>
        <w:rPr>
          <w:szCs w:val="22"/>
        </w:rPr>
        <w:t xml:space="preserve"> sukeliamų</w:t>
      </w:r>
      <w:r w:rsidR="00FE2A61">
        <w:rPr>
          <w:szCs w:val="22"/>
          <w:lang w:eastAsia="sl-SI"/>
        </w:rPr>
        <w:t xml:space="preserve"> nepageidaujamų reakcijų </w:t>
      </w:r>
      <w:r>
        <w:rPr>
          <w:szCs w:val="22"/>
        </w:rPr>
        <w:t xml:space="preserve">dažnis (41,4 %) paprastai buvo panašus į sukeliamą placebo (43,9 %). Pirmiau išvardytos nepageidaujamos reakcijos, visų klinikinių tyrimų metu pasireiškusios </w:t>
      </w:r>
      <w:proofErr w:type="spellStart"/>
      <w:r>
        <w:rPr>
          <w:szCs w:val="22"/>
        </w:rPr>
        <w:t>telmisartanu</w:t>
      </w:r>
      <w:proofErr w:type="spellEnd"/>
      <w:r>
        <w:rPr>
          <w:szCs w:val="22"/>
        </w:rPr>
        <w:t xml:space="preserve"> gydytiems pacientams, sergantiems hipertenzija, arba 50 metų ar vyresniems pacientams, kuriems buvo didelė širdies ir kraujagyslių reiškinių rizika</w:t>
      </w:r>
    </w:p>
    <w:p w14:paraId="7741F69F" w14:textId="77777777" w:rsidR="00D25008" w:rsidRDefault="00FE2A61">
      <w:pPr>
        <w:autoSpaceDE w:val="0"/>
        <w:autoSpaceDN w:val="0"/>
        <w:adjustRightInd w:val="0"/>
        <w:rPr>
          <w:rFonts w:eastAsia="Calibri"/>
          <w:szCs w:val="22"/>
          <w:u w:val="single"/>
          <w:lang w:eastAsia="sl-SI"/>
        </w:rPr>
      </w:pPr>
      <w:r>
        <w:rPr>
          <w:rFonts w:eastAsia="Calibri"/>
          <w:szCs w:val="22"/>
          <w:u w:val="single"/>
          <w:lang w:eastAsia="sl-SI"/>
        </w:rPr>
        <w:t>Atrinktų nepageidaujamų reakcijų apibūdinimas</w:t>
      </w:r>
    </w:p>
    <w:p w14:paraId="389F1BDC" w14:textId="77777777" w:rsidR="00D25008" w:rsidRDefault="00D25008">
      <w:pPr>
        <w:autoSpaceDE w:val="0"/>
        <w:autoSpaceDN w:val="0"/>
        <w:adjustRightInd w:val="0"/>
        <w:rPr>
          <w:szCs w:val="22"/>
          <w:lang w:eastAsia="sl-SI"/>
        </w:rPr>
      </w:pPr>
    </w:p>
    <w:p w14:paraId="4AFCA88E" w14:textId="77777777" w:rsidR="00D25008" w:rsidRDefault="00FE2A61">
      <w:pPr>
        <w:autoSpaceDE w:val="0"/>
        <w:autoSpaceDN w:val="0"/>
        <w:adjustRightInd w:val="0"/>
        <w:rPr>
          <w:szCs w:val="22"/>
          <w:u w:val="single"/>
          <w:lang w:eastAsia="sl-SI"/>
        </w:rPr>
      </w:pPr>
      <w:r>
        <w:rPr>
          <w:szCs w:val="22"/>
          <w:u w:val="single"/>
          <w:lang w:eastAsia="sl-SI"/>
        </w:rPr>
        <w:t>Nenormali kepenų funkcija / kepenų sutrikimas</w:t>
      </w:r>
    </w:p>
    <w:p w14:paraId="59DB1D0F" w14:textId="77777777" w:rsidR="00D25008" w:rsidRDefault="00FE2A61">
      <w:pPr>
        <w:autoSpaceDE w:val="0"/>
        <w:autoSpaceDN w:val="0"/>
        <w:adjustRightInd w:val="0"/>
        <w:rPr>
          <w:szCs w:val="22"/>
          <w:lang w:eastAsia="sl-SI"/>
        </w:rPr>
      </w:pPr>
      <w:r>
        <w:rPr>
          <w:szCs w:val="22"/>
          <w:lang w:eastAsia="sl-SI"/>
        </w:rPr>
        <w:t>Po vaistinio preparato pateikimo į rinką dauguma nenormalios kepenų funkcijos / kepenų sutrikimo atvejų pasireiškė pacientams japonams. Pacientams japonams šios nepageidaujamos reakcijos yra labiau tikėtinos.</w:t>
      </w:r>
    </w:p>
    <w:p w14:paraId="45F6C19C" w14:textId="77777777" w:rsidR="00D25008" w:rsidRDefault="00D25008">
      <w:pPr>
        <w:autoSpaceDE w:val="0"/>
        <w:autoSpaceDN w:val="0"/>
        <w:adjustRightInd w:val="0"/>
        <w:rPr>
          <w:szCs w:val="22"/>
          <w:lang w:eastAsia="sl-SI"/>
        </w:rPr>
      </w:pPr>
    </w:p>
    <w:p w14:paraId="266E4C80" w14:textId="77777777" w:rsidR="00D25008" w:rsidRDefault="00FE2A61">
      <w:pPr>
        <w:autoSpaceDE w:val="0"/>
        <w:autoSpaceDN w:val="0"/>
        <w:adjustRightInd w:val="0"/>
        <w:rPr>
          <w:szCs w:val="22"/>
          <w:u w:val="single"/>
          <w:lang w:eastAsia="sl-SI"/>
        </w:rPr>
      </w:pPr>
      <w:r>
        <w:rPr>
          <w:szCs w:val="22"/>
          <w:u w:val="single"/>
          <w:lang w:eastAsia="sl-SI"/>
        </w:rPr>
        <w:t>Sepsis</w:t>
      </w:r>
    </w:p>
    <w:p w14:paraId="70798145" w14:textId="77777777" w:rsidR="00D25008" w:rsidRDefault="00FE2A61">
      <w:pPr>
        <w:autoSpaceDE w:val="0"/>
        <w:autoSpaceDN w:val="0"/>
        <w:adjustRightInd w:val="0"/>
        <w:rPr>
          <w:szCs w:val="22"/>
          <w:lang w:eastAsia="sl-SI"/>
        </w:rPr>
      </w:pPr>
      <w:proofErr w:type="spellStart"/>
      <w:r>
        <w:rPr>
          <w:szCs w:val="22"/>
        </w:rPr>
        <w:t>PRoFESS</w:t>
      </w:r>
      <w:proofErr w:type="spellEnd"/>
      <w:r>
        <w:rPr>
          <w:szCs w:val="22"/>
        </w:rPr>
        <w:t xml:space="preserve"> tyrimo metu </w:t>
      </w:r>
      <w:proofErr w:type="spellStart"/>
      <w:r>
        <w:rPr>
          <w:szCs w:val="22"/>
        </w:rPr>
        <w:t>telmisartanu</w:t>
      </w:r>
      <w:proofErr w:type="spellEnd"/>
      <w:r>
        <w:rPr>
          <w:szCs w:val="22"/>
        </w:rPr>
        <w:t xml:space="preserve"> gydytiems pacientams, palyginti su vartojusiais placebo, sepsis pasireiškė dažniau. Reiškinys gali būti atsitiktinis arba susijęs su šiuo metu nežinomu mechanizmu (žr. 5.1 skyrių).</w:t>
      </w:r>
    </w:p>
    <w:p w14:paraId="00612BCE" w14:textId="77777777" w:rsidR="00D25008" w:rsidRDefault="00D25008">
      <w:pPr>
        <w:autoSpaceDE w:val="0"/>
        <w:autoSpaceDN w:val="0"/>
        <w:adjustRightInd w:val="0"/>
        <w:rPr>
          <w:szCs w:val="22"/>
          <w:lang w:eastAsia="sl-SI"/>
        </w:rPr>
      </w:pPr>
    </w:p>
    <w:p w14:paraId="2ADA3B81" w14:textId="77777777" w:rsidR="00D25008" w:rsidRDefault="00FE2A61">
      <w:pPr>
        <w:widowControl w:val="0"/>
        <w:tabs>
          <w:tab w:val="left" w:pos="567"/>
        </w:tabs>
        <w:autoSpaceDE w:val="0"/>
        <w:autoSpaceDN w:val="0"/>
        <w:adjustRightInd w:val="0"/>
        <w:rPr>
          <w:szCs w:val="22"/>
          <w:u w:val="single"/>
        </w:rPr>
      </w:pPr>
      <w:proofErr w:type="spellStart"/>
      <w:r>
        <w:rPr>
          <w:szCs w:val="22"/>
          <w:u w:val="single"/>
        </w:rPr>
        <w:t>Intersticinė</w:t>
      </w:r>
      <w:proofErr w:type="spellEnd"/>
      <w:r>
        <w:rPr>
          <w:szCs w:val="22"/>
          <w:u w:val="single"/>
        </w:rPr>
        <w:t xml:space="preserve"> plaučių liga</w:t>
      </w:r>
    </w:p>
    <w:p w14:paraId="11298A27" w14:textId="77777777" w:rsidR="00D25008" w:rsidRDefault="00FE2A61">
      <w:pPr>
        <w:autoSpaceDE w:val="0"/>
        <w:autoSpaceDN w:val="0"/>
        <w:adjustRightInd w:val="0"/>
        <w:rPr>
          <w:szCs w:val="22"/>
          <w:lang w:eastAsia="sl-SI"/>
        </w:rPr>
      </w:pPr>
      <w:r>
        <w:rPr>
          <w:szCs w:val="22"/>
          <w:lang w:eastAsia="sl-SI"/>
        </w:rPr>
        <w:t xml:space="preserve">Pranešta apie </w:t>
      </w:r>
      <w:proofErr w:type="spellStart"/>
      <w:r>
        <w:rPr>
          <w:szCs w:val="22"/>
          <w:lang w:eastAsia="sl-SI"/>
        </w:rPr>
        <w:t>intersticinės</w:t>
      </w:r>
      <w:proofErr w:type="spellEnd"/>
      <w:r>
        <w:rPr>
          <w:szCs w:val="22"/>
          <w:lang w:eastAsia="sl-SI"/>
        </w:rPr>
        <w:t xml:space="preserve"> plaučių ligos atvejus, laiko atžvilgiu susijusius su </w:t>
      </w:r>
      <w:proofErr w:type="spellStart"/>
      <w:r>
        <w:rPr>
          <w:szCs w:val="22"/>
          <w:lang w:eastAsia="sl-SI"/>
        </w:rPr>
        <w:t>telmisartano</w:t>
      </w:r>
      <w:proofErr w:type="spellEnd"/>
      <w:r>
        <w:rPr>
          <w:szCs w:val="22"/>
          <w:lang w:eastAsia="sl-SI"/>
        </w:rPr>
        <w:t xml:space="preserve"> vartojimu, po vaistinio preparato po pateikimo į rinką. Vis dėlto priežastinis ryšys nustatytas nebuvo.</w:t>
      </w:r>
    </w:p>
    <w:p w14:paraId="01A5A435" w14:textId="77777777" w:rsidR="00D25008" w:rsidRDefault="00D25008">
      <w:pPr>
        <w:autoSpaceDE w:val="0"/>
        <w:autoSpaceDN w:val="0"/>
        <w:adjustRightInd w:val="0"/>
        <w:rPr>
          <w:szCs w:val="22"/>
          <w:u w:val="single"/>
          <w:lang w:eastAsia="sl-SI"/>
        </w:rPr>
      </w:pPr>
    </w:p>
    <w:p w14:paraId="4A9934E8" w14:textId="77777777" w:rsidR="00D25008" w:rsidRDefault="00FE2A61">
      <w:pPr>
        <w:widowControl w:val="0"/>
        <w:tabs>
          <w:tab w:val="left" w:pos="567"/>
        </w:tabs>
        <w:autoSpaceDE w:val="0"/>
        <w:autoSpaceDN w:val="0"/>
        <w:adjustRightInd w:val="0"/>
        <w:rPr>
          <w:szCs w:val="22"/>
          <w:u w:val="single"/>
        </w:rPr>
      </w:pPr>
      <w:proofErr w:type="spellStart"/>
      <w:r>
        <w:rPr>
          <w:szCs w:val="22"/>
          <w:u w:val="single"/>
        </w:rPr>
        <w:t>Nemelanominis</w:t>
      </w:r>
      <w:proofErr w:type="spellEnd"/>
      <w:r>
        <w:rPr>
          <w:szCs w:val="22"/>
          <w:u w:val="single"/>
        </w:rPr>
        <w:t xml:space="preserve"> odos vėžys</w:t>
      </w:r>
    </w:p>
    <w:p w14:paraId="728F9633" w14:textId="77777777" w:rsidR="00D25008" w:rsidRDefault="00FE2A61">
      <w:pPr>
        <w:widowControl w:val="0"/>
        <w:tabs>
          <w:tab w:val="left" w:pos="567"/>
        </w:tabs>
        <w:autoSpaceDE w:val="0"/>
        <w:autoSpaceDN w:val="0"/>
        <w:adjustRightInd w:val="0"/>
        <w:rPr>
          <w:szCs w:val="22"/>
        </w:rPr>
      </w:pPr>
      <w:r>
        <w:rPr>
          <w:szCs w:val="22"/>
        </w:rPr>
        <w:t>Remiantis turimais epidemiologinių tyrimų duomenimis buvo nustatyta nuo kumuliacinės dozės priklausoma HCTZ sąsaja su NOV (taip pat žr. 4.4 ir 5.1 skyrius).</w:t>
      </w:r>
      <w:r>
        <w:rPr>
          <w:szCs w:val="22"/>
        </w:rPr>
        <w:cr/>
      </w:r>
    </w:p>
    <w:p w14:paraId="098219BE" w14:textId="77777777" w:rsidR="00D25008" w:rsidRPr="00120FB4" w:rsidRDefault="00FE2A61">
      <w:pPr>
        <w:widowControl w:val="0"/>
        <w:tabs>
          <w:tab w:val="left" w:pos="567"/>
        </w:tabs>
        <w:autoSpaceDE w:val="0"/>
        <w:autoSpaceDN w:val="0"/>
        <w:adjustRightInd w:val="0"/>
        <w:rPr>
          <w:szCs w:val="22"/>
          <w:u w:val="single"/>
        </w:rPr>
      </w:pPr>
      <w:r w:rsidRPr="00120FB4">
        <w:rPr>
          <w:szCs w:val="22"/>
          <w:u w:val="single"/>
        </w:rPr>
        <w:t xml:space="preserve">Žarnyno </w:t>
      </w:r>
      <w:proofErr w:type="spellStart"/>
      <w:r w:rsidRPr="00120FB4">
        <w:rPr>
          <w:szCs w:val="22"/>
          <w:u w:val="single"/>
        </w:rPr>
        <w:t>angioneurozinė</w:t>
      </w:r>
      <w:proofErr w:type="spellEnd"/>
      <w:r w:rsidRPr="00120FB4">
        <w:rPr>
          <w:szCs w:val="22"/>
          <w:u w:val="single"/>
        </w:rPr>
        <w:t xml:space="preserve"> edema</w:t>
      </w:r>
    </w:p>
    <w:p w14:paraId="5F224133" w14:textId="77777777" w:rsidR="00D25008" w:rsidRDefault="00FE2A61">
      <w:pPr>
        <w:widowControl w:val="0"/>
        <w:tabs>
          <w:tab w:val="left" w:pos="567"/>
        </w:tabs>
        <w:autoSpaceDE w:val="0"/>
        <w:autoSpaceDN w:val="0"/>
        <w:adjustRightInd w:val="0"/>
        <w:rPr>
          <w:szCs w:val="22"/>
        </w:rPr>
      </w:pPr>
      <w:r>
        <w:rPr>
          <w:szCs w:val="22"/>
        </w:rPr>
        <w:t xml:space="preserve">Gauta pranešimų apie žarnyno </w:t>
      </w:r>
      <w:proofErr w:type="spellStart"/>
      <w:r>
        <w:rPr>
          <w:szCs w:val="22"/>
        </w:rPr>
        <w:t>angioneurozinės</w:t>
      </w:r>
      <w:proofErr w:type="spellEnd"/>
      <w:r>
        <w:rPr>
          <w:szCs w:val="22"/>
        </w:rPr>
        <w:t xml:space="preserve"> edemos atvejus, pasireiškusius pavartojus </w:t>
      </w:r>
      <w:proofErr w:type="spellStart"/>
      <w:r>
        <w:rPr>
          <w:szCs w:val="22"/>
        </w:rPr>
        <w:t>angiotenzino</w:t>
      </w:r>
      <w:proofErr w:type="spellEnd"/>
      <w:r>
        <w:rPr>
          <w:szCs w:val="22"/>
        </w:rPr>
        <w:t xml:space="preserve"> II receptorių antagonistų (žr. 4.4 skyrių).</w:t>
      </w:r>
    </w:p>
    <w:p w14:paraId="402C1DB1" w14:textId="77777777" w:rsidR="00D25008" w:rsidRDefault="00D25008">
      <w:pPr>
        <w:widowControl w:val="0"/>
        <w:tabs>
          <w:tab w:val="left" w:pos="567"/>
        </w:tabs>
        <w:autoSpaceDE w:val="0"/>
        <w:autoSpaceDN w:val="0"/>
        <w:adjustRightInd w:val="0"/>
        <w:rPr>
          <w:szCs w:val="22"/>
          <w:u w:val="single"/>
        </w:rPr>
      </w:pPr>
    </w:p>
    <w:p w14:paraId="777BD2CF" w14:textId="77777777" w:rsidR="00D25008" w:rsidRDefault="00FE2A61">
      <w:pPr>
        <w:tabs>
          <w:tab w:val="left" w:pos="567"/>
        </w:tabs>
        <w:autoSpaceDE w:val="0"/>
        <w:autoSpaceDN w:val="0"/>
        <w:adjustRightInd w:val="0"/>
        <w:spacing w:line="260" w:lineRule="exact"/>
        <w:jc w:val="both"/>
        <w:rPr>
          <w:snapToGrid w:val="0"/>
          <w:u w:val="single"/>
        </w:rPr>
      </w:pPr>
      <w:r>
        <w:rPr>
          <w:snapToGrid w:val="0"/>
          <w:u w:val="single"/>
        </w:rPr>
        <w:t>Pranešimas apie įtariamas nepageidaujamas reakcijas</w:t>
      </w:r>
    </w:p>
    <w:p w14:paraId="6453424A" w14:textId="77777777" w:rsidR="00D25008" w:rsidRDefault="00FE2A61">
      <w:pPr>
        <w:tabs>
          <w:tab w:val="left" w:pos="567"/>
        </w:tabs>
        <w:spacing w:line="260" w:lineRule="exact"/>
        <w:jc w:val="both"/>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Cs w:val="22"/>
          <w:u w:val="single"/>
        </w:rPr>
        <w:t>https://vvkt.lrv.lt/lt/</w:t>
      </w:r>
      <w:r>
        <w:rPr>
          <w:szCs w:val="22"/>
        </w:rPr>
        <w:t xml:space="preserve"> nurodytais būdais.</w:t>
      </w:r>
    </w:p>
    <w:p w14:paraId="7B938CE0" w14:textId="77777777" w:rsidR="00D25008" w:rsidRDefault="00D25008">
      <w:pPr>
        <w:widowControl w:val="0"/>
        <w:tabs>
          <w:tab w:val="left" w:pos="567"/>
        </w:tabs>
        <w:rPr>
          <w:szCs w:val="22"/>
        </w:rPr>
      </w:pPr>
    </w:p>
    <w:p w14:paraId="66906D20" w14:textId="77777777" w:rsidR="00D25008" w:rsidRDefault="00FE2A61">
      <w:pPr>
        <w:widowControl w:val="0"/>
        <w:tabs>
          <w:tab w:val="left" w:pos="567"/>
        </w:tabs>
        <w:rPr>
          <w:szCs w:val="22"/>
        </w:rPr>
      </w:pPr>
      <w:r>
        <w:rPr>
          <w:b/>
          <w:szCs w:val="22"/>
        </w:rPr>
        <w:t>4.9</w:t>
      </w:r>
      <w:r>
        <w:rPr>
          <w:b/>
          <w:szCs w:val="22"/>
        </w:rPr>
        <w:tab/>
        <w:t>Perdozavimas</w:t>
      </w:r>
    </w:p>
    <w:p w14:paraId="4DB7594A" w14:textId="77777777" w:rsidR="00D25008" w:rsidRDefault="00D25008">
      <w:pPr>
        <w:widowControl w:val="0"/>
        <w:tabs>
          <w:tab w:val="left" w:pos="567"/>
        </w:tabs>
        <w:rPr>
          <w:szCs w:val="22"/>
        </w:rPr>
      </w:pPr>
    </w:p>
    <w:p w14:paraId="0DE93E9B" w14:textId="77777777" w:rsidR="00D25008" w:rsidRDefault="00FE2A61">
      <w:pPr>
        <w:autoSpaceDE w:val="0"/>
        <w:autoSpaceDN w:val="0"/>
        <w:adjustRightInd w:val="0"/>
        <w:rPr>
          <w:szCs w:val="22"/>
          <w:lang w:eastAsia="sl-SI"/>
        </w:rPr>
      </w:pPr>
      <w:r>
        <w:rPr>
          <w:szCs w:val="22"/>
          <w:lang w:eastAsia="sl-SI"/>
        </w:rPr>
        <w:t xml:space="preserve">Informacijos apie </w:t>
      </w:r>
      <w:proofErr w:type="spellStart"/>
      <w:r>
        <w:rPr>
          <w:szCs w:val="22"/>
          <w:lang w:eastAsia="sl-SI"/>
        </w:rPr>
        <w:t>telmisartano</w:t>
      </w:r>
      <w:proofErr w:type="spellEnd"/>
      <w:r>
        <w:rPr>
          <w:szCs w:val="22"/>
          <w:lang w:eastAsia="sl-SI"/>
        </w:rPr>
        <w:t xml:space="preserve"> perdozavimą žmonėms yra mažai. Žmonių tyčinio </w:t>
      </w:r>
      <w:proofErr w:type="spellStart"/>
      <w:r>
        <w:rPr>
          <w:szCs w:val="22"/>
          <w:lang w:eastAsia="sl-SI"/>
        </w:rPr>
        <w:t>amlodipino</w:t>
      </w:r>
      <w:proofErr w:type="spellEnd"/>
      <w:r>
        <w:rPr>
          <w:szCs w:val="22"/>
          <w:lang w:eastAsia="sl-SI"/>
        </w:rPr>
        <w:t xml:space="preserve"> perdozavimo patirtis yra ribota.</w:t>
      </w:r>
    </w:p>
    <w:p w14:paraId="4813882A" w14:textId="77777777" w:rsidR="00D25008" w:rsidRDefault="00D25008">
      <w:pPr>
        <w:autoSpaceDE w:val="0"/>
        <w:autoSpaceDN w:val="0"/>
        <w:adjustRightInd w:val="0"/>
        <w:rPr>
          <w:szCs w:val="22"/>
          <w:lang w:eastAsia="sl-SI"/>
        </w:rPr>
      </w:pPr>
    </w:p>
    <w:p w14:paraId="305B9484" w14:textId="77777777" w:rsidR="00D25008" w:rsidRDefault="00FE2A61">
      <w:pPr>
        <w:autoSpaceDE w:val="0"/>
        <w:autoSpaceDN w:val="0"/>
        <w:adjustRightInd w:val="0"/>
        <w:rPr>
          <w:szCs w:val="22"/>
          <w:lang w:eastAsia="sl-SI"/>
        </w:rPr>
      </w:pPr>
      <w:r>
        <w:rPr>
          <w:szCs w:val="22"/>
          <w:u w:val="single"/>
          <w:lang w:eastAsia="sl-SI"/>
        </w:rPr>
        <w:t>Simptomai</w:t>
      </w:r>
    </w:p>
    <w:p w14:paraId="445D5CF3" w14:textId="77777777" w:rsidR="00D25008" w:rsidRDefault="00FE2A61">
      <w:pPr>
        <w:autoSpaceDE w:val="0"/>
        <w:autoSpaceDN w:val="0"/>
        <w:adjustRightInd w:val="0"/>
        <w:rPr>
          <w:szCs w:val="22"/>
          <w:lang w:eastAsia="sl-SI"/>
        </w:rPr>
      </w:pPr>
      <w:r>
        <w:rPr>
          <w:szCs w:val="22"/>
          <w:lang w:eastAsia="sl-SI"/>
        </w:rPr>
        <w:t xml:space="preserve">Ryškiausi </w:t>
      </w:r>
      <w:proofErr w:type="spellStart"/>
      <w:r>
        <w:rPr>
          <w:szCs w:val="22"/>
          <w:lang w:eastAsia="sl-SI"/>
        </w:rPr>
        <w:t>telmisartano</w:t>
      </w:r>
      <w:proofErr w:type="spellEnd"/>
      <w:r>
        <w:rPr>
          <w:szCs w:val="22"/>
          <w:lang w:eastAsia="sl-SI"/>
        </w:rPr>
        <w:t xml:space="preserve"> perdozavimo simptomai buvo </w:t>
      </w:r>
      <w:proofErr w:type="spellStart"/>
      <w:r>
        <w:rPr>
          <w:szCs w:val="22"/>
          <w:lang w:eastAsia="sl-SI"/>
        </w:rPr>
        <w:t>hipotenzija</w:t>
      </w:r>
      <w:proofErr w:type="spellEnd"/>
      <w:r>
        <w:rPr>
          <w:szCs w:val="22"/>
          <w:lang w:eastAsia="sl-SI"/>
        </w:rPr>
        <w:t xml:space="preserve"> ir tachikardija; pranešta ir apie bradikardijos, svaigulio, vėmimo, kreatinino koncentracijos kraujo serume padidėjimo bei ūminio inkstų nepakankamumo atvejus. </w:t>
      </w:r>
      <w:proofErr w:type="spellStart"/>
      <w:r>
        <w:rPr>
          <w:szCs w:val="22"/>
          <w:lang w:eastAsia="sl-SI"/>
        </w:rPr>
        <w:t>Hidrochlorotiazido</w:t>
      </w:r>
      <w:proofErr w:type="spellEnd"/>
      <w:r>
        <w:rPr>
          <w:szCs w:val="22"/>
          <w:lang w:eastAsia="sl-SI"/>
        </w:rPr>
        <w:t xml:space="preserve"> perdozavimas būna susijęs su elektrolitų kiekio sumažėjimu (</w:t>
      </w:r>
      <w:proofErr w:type="spellStart"/>
      <w:r>
        <w:rPr>
          <w:szCs w:val="22"/>
          <w:lang w:eastAsia="sl-SI"/>
        </w:rPr>
        <w:t>hipokalemija</w:t>
      </w:r>
      <w:proofErr w:type="spellEnd"/>
      <w:r>
        <w:rPr>
          <w:szCs w:val="22"/>
          <w:lang w:eastAsia="sl-SI"/>
        </w:rPr>
        <w:t xml:space="preserve">, </w:t>
      </w:r>
      <w:proofErr w:type="spellStart"/>
      <w:r>
        <w:rPr>
          <w:szCs w:val="22"/>
          <w:lang w:eastAsia="sl-SI"/>
        </w:rPr>
        <w:t>hipochloremija</w:t>
      </w:r>
      <w:proofErr w:type="spellEnd"/>
      <w:r>
        <w:rPr>
          <w:szCs w:val="22"/>
          <w:lang w:eastAsia="sl-SI"/>
        </w:rPr>
        <w:t xml:space="preserve">) ir </w:t>
      </w:r>
      <w:proofErr w:type="spellStart"/>
      <w:r>
        <w:rPr>
          <w:szCs w:val="22"/>
          <w:lang w:eastAsia="sl-SI"/>
        </w:rPr>
        <w:t>hipovolemija</w:t>
      </w:r>
      <w:proofErr w:type="spellEnd"/>
      <w:r>
        <w:rPr>
          <w:szCs w:val="22"/>
          <w:lang w:eastAsia="sl-SI"/>
        </w:rPr>
        <w:t xml:space="preserve">, kadangi labai sustiprėja diurezė. Dažniausi perdozavimo požymiai ir simptomai yra pykinimas ir </w:t>
      </w:r>
      <w:proofErr w:type="spellStart"/>
      <w:r>
        <w:rPr>
          <w:szCs w:val="22"/>
          <w:lang w:eastAsia="sl-SI"/>
        </w:rPr>
        <w:t>somnolencija</w:t>
      </w:r>
      <w:proofErr w:type="spellEnd"/>
      <w:r>
        <w:rPr>
          <w:szCs w:val="22"/>
          <w:lang w:eastAsia="sl-SI"/>
        </w:rPr>
        <w:t xml:space="preserve">. Dėl </w:t>
      </w:r>
      <w:proofErr w:type="spellStart"/>
      <w:r>
        <w:rPr>
          <w:szCs w:val="22"/>
          <w:lang w:eastAsia="sl-SI"/>
        </w:rPr>
        <w:t>hipokalemijos</w:t>
      </w:r>
      <w:proofErr w:type="spellEnd"/>
      <w:r>
        <w:rPr>
          <w:szCs w:val="22"/>
          <w:lang w:eastAsia="sl-SI"/>
        </w:rPr>
        <w:t xml:space="preserve"> gali pasireikšti raumenų spazmai ir (arba) pasunkėti kartu vartojamų rusmenės glikozidų ar tam tikrų </w:t>
      </w:r>
      <w:proofErr w:type="spellStart"/>
      <w:r>
        <w:rPr>
          <w:szCs w:val="22"/>
          <w:lang w:eastAsia="sl-SI"/>
        </w:rPr>
        <w:t>antiaritminių</w:t>
      </w:r>
      <w:proofErr w:type="spellEnd"/>
      <w:r>
        <w:rPr>
          <w:szCs w:val="22"/>
          <w:lang w:eastAsia="sl-SI"/>
        </w:rPr>
        <w:t xml:space="preserve"> vaistinių preparatų sukeliama aritmija. Turimi duomenys rodo, kad didelio </w:t>
      </w:r>
      <w:proofErr w:type="spellStart"/>
      <w:r>
        <w:rPr>
          <w:szCs w:val="22"/>
          <w:lang w:eastAsia="sl-SI"/>
        </w:rPr>
        <w:t>amlodipino</w:t>
      </w:r>
      <w:proofErr w:type="spellEnd"/>
      <w:r>
        <w:rPr>
          <w:szCs w:val="22"/>
          <w:lang w:eastAsia="sl-SI"/>
        </w:rPr>
        <w:t xml:space="preserve"> </w:t>
      </w:r>
      <w:r>
        <w:rPr>
          <w:szCs w:val="22"/>
          <w:lang w:eastAsia="sl-SI"/>
        </w:rPr>
        <w:lastRenderedPageBreak/>
        <w:t xml:space="preserve">kiekio perdozavimas gali sukelti perteklinį periferinių kraujagyslių išsiplėtimą ir galbūt refleksinę tachikardiją. Pranešta apie ženklios ir tikriausiai ilgalaikės sisteminės </w:t>
      </w:r>
      <w:proofErr w:type="spellStart"/>
      <w:r>
        <w:rPr>
          <w:szCs w:val="22"/>
          <w:lang w:eastAsia="sl-SI"/>
        </w:rPr>
        <w:t>hipotenzijos</w:t>
      </w:r>
      <w:proofErr w:type="spellEnd"/>
      <w:r>
        <w:rPr>
          <w:szCs w:val="22"/>
          <w:lang w:eastAsia="sl-SI"/>
        </w:rPr>
        <w:t xml:space="preserve">, įskaitant šoką, kuris kartais buvo mirtinas, atvejus vartojant </w:t>
      </w:r>
      <w:proofErr w:type="spellStart"/>
      <w:r>
        <w:rPr>
          <w:szCs w:val="22"/>
          <w:lang w:eastAsia="sl-SI"/>
        </w:rPr>
        <w:t>amlodipiną</w:t>
      </w:r>
      <w:proofErr w:type="spellEnd"/>
      <w:r>
        <w:rPr>
          <w:szCs w:val="22"/>
          <w:lang w:eastAsia="sl-SI"/>
        </w:rPr>
        <w:t>.</w:t>
      </w:r>
    </w:p>
    <w:p w14:paraId="4CC3BDAE" w14:textId="77777777" w:rsidR="00D25008" w:rsidRDefault="00FE2A61">
      <w:pPr>
        <w:autoSpaceDE w:val="0"/>
        <w:autoSpaceDN w:val="0"/>
        <w:adjustRightInd w:val="0"/>
        <w:rPr>
          <w:szCs w:val="22"/>
          <w:lang w:eastAsia="sl-SI"/>
        </w:rPr>
      </w:pPr>
      <w:r>
        <w:rPr>
          <w:szCs w:val="22"/>
          <w:lang w:eastAsia="sl-SI"/>
        </w:rPr>
        <w:t xml:space="preserve">Gauta retų pranešimų apie </w:t>
      </w:r>
      <w:proofErr w:type="spellStart"/>
      <w:r>
        <w:rPr>
          <w:szCs w:val="22"/>
          <w:lang w:eastAsia="sl-SI"/>
        </w:rPr>
        <w:t>amlodipino</w:t>
      </w:r>
      <w:proofErr w:type="spellEnd"/>
      <w:r>
        <w:rPr>
          <w:szCs w:val="22"/>
          <w:lang w:eastAsia="sl-SI"/>
        </w:rPr>
        <w:t xml:space="preserve"> perdozavimo sukeltą </w:t>
      </w:r>
      <w:proofErr w:type="spellStart"/>
      <w:r>
        <w:rPr>
          <w:szCs w:val="22"/>
          <w:lang w:eastAsia="sl-SI"/>
        </w:rPr>
        <w:t>nekardiogeninę</w:t>
      </w:r>
      <w:proofErr w:type="spellEnd"/>
      <w:r>
        <w:rPr>
          <w:szCs w:val="22"/>
          <w:lang w:eastAsia="sl-SI"/>
        </w:rPr>
        <w:t xml:space="preserve"> plaučių edemą, kurios pradžia gali būti uždelsta (po pavartojimo praėjus 24</w:t>
      </w:r>
      <w:r>
        <w:rPr>
          <w:szCs w:val="22"/>
          <w:lang w:eastAsia="sl-SI"/>
        </w:rPr>
        <w:noBreakHyphen/>
        <w:t xml:space="preserve">48 valandoms) ir kuriai gydyti reikia pagalbinės plaučių ventiliacijos. Riziką didinantys veiksniai gali būti ankstyvos reanimacijos priemonės (įskaitant skysčių perteklių), skirtos </w:t>
      </w:r>
      <w:proofErr w:type="spellStart"/>
      <w:r>
        <w:rPr>
          <w:szCs w:val="22"/>
          <w:lang w:eastAsia="sl-SI"/>
        </w:rPr>
        <w:t>perfuzijai</w:t>
      </w:r>
      <w:proofErr w:type="spellEnd"/>
      <w:r>
        <w:rPr>
          <w:szCs w:val="22"/>
          <w:lang w:eastAsia="sl-SI"/>
        </w:rPr>
        <w:t xml:space="preserve"> ir širdies išstūmimui palaikyti.</w:t>
      </w:r>
    </w:p>
    <w:p w14:paraId="0C50892A" w14:textId="77777777" w:rsidR="00D25008" w:rsidRDefault="00D25008">
      <w:pPr>
        <w:autoSpaceDE w:val="0"/>
        <w:autoSpaceDN w:val="0"/>
        <w:adjustRightInd w:val="0"/>
        <w:rPr>
          <w:szCs w:val="22"/>
          <w:lang w:eastAsia="sl-SI"/>
        </w:rPr>
      </w:pPr>
    </w:p>
    <w:p w14:paraId="08AAD8A4" w14:textId="77777777" w:rsidR="00D25008" w:rsidRDefault="00FE2A61">
      <w:pPr>
        <w:widowControl w:val="0"/>
        <w:autoSpaceDE w:val="0"/>
        <w:autoSpaceDN w:val="0"/>
        <w:adjustRightInd w:val="0"/>
        <w:rPr>
          <w:szCs w:val="22"/>
          <w:u w:val="single"/>
          <w:lang w:eastAsia="sl-SI"/>
        </w:rPr>
      </w:pPr>
      <w:r>
        <w:rPr>
          <w:szCs w:val="22"/>
          <w:u w:val="single"/>
          <w:lang w:eastAsia="sl-SI"/>
        </w:rPr>
        <w:t>Gydymas</w:t>
      </w:r>
    </w:p>
    <w:p w14:paraId="1D45D0E4" w14:textId="77777777" w:rsidR="00D25008" w:rsidRDefault="00FE2A61">
      <w:pPr>
        <w:autoSpaceDE w:val="0"/>
        <w:autoSpaceDN w:val="0"/>
        <w:adjustRightInd w:val="0"/>
        <w:rPr>
          <w:szCs w:val="22"/>
          <w:lang w:eastAsia="sl-SI"/>
        </w:rPr>
      </w:pPr>
      <w:proofErr w:type="spellStart"/>
      <w:r>
        <w:rPr>
          <w:szCs w:val="22"/>
          <w:lang w:eastAsia="sl-SI"/>
        </w:rPr>
        <w:t>Telmisartanas</w:t>
      </w:r>
      <w:proofErr w:type="spellEnd"/>
      <w:r>
        <w:rPr>
          <w:szCs w:val="22"/>
          <w:lang w:eastAsia="sl-SI"/>
        </w:rPr>
        <w:t xml:space="preserve"> ir </w:t>
      </w:r>
      <w:proofErr w:type="spellStart"/>
      <w:r>
        <w:rPr>
          <w:szCs w:val="22"/>
          <w:lang w:eastAsia="sl-SI"/>
        </w:rPr>
        <w:t>amlodipinas</w:t>
      </w:r>
      <w:proofErr w:type="spellEnd"/>
      <w:r>
        <w:rPr>
          <w:szCs w:val="22"/>
          <w:lang w:eastAsia="sl-SI"/>
        </w:rPr>
        <w:t xml:space="preserve"> hemodializės metu nėra šalinami. Kiek </w:t>
      </w:r>
      <w:proofErr w:type="spellStart"/>
      <w:r>
        <w:rPr>
          <w:szCs w:val="22"/>
          <w:lang w:eastAsia="sl-SI"/>
        </w:rPr>
        <w:t>hidrochlorotiazido</w:t>
      </w:r>
      <w:proofErr w:type="spellEnd"/>
      <w:r>
        <w:rPr>
          <w:szCs w:val="22"/>
          <w:lang w:eastAsia="sl-SI"/>
        </w:rPr>
        <w:t xml:space="preserve"> pašalinama hemodializės metu, nenustatyta.</w:t>
      </w:r>
    </w:p>
    <w:p w14:paraId="1A6B6EFB" w14:textId="77777777" w:rsidR="00D25008" w:rsidRDefault="00FE2A61">
      <w:pPr>
        <w:autoSpaceDE w:val="0"/>
        <w:autoSpaceDN w:val="0"/>
        <w:adjustRightInd w:val="0"/>
        <w:rPr>
          <w:szCs w:val="22"/>
          <w:lang w:eastAsia="sl-SI"/>
        </w:rPr>
      </w:pPr>
      <w:r>
        <w:rPr>
          <w:szCs w:val="22"/>
          <w:lang w:eastAsia="sl-SI"/>
        </w:rPr>
        <w:t>Gydymas priklauso nuo laiko, praėjusio po nurijimo, ir simptomų sunkumo. Būtina atidžiai stebėti paciento širdies ir kvėpavimo funkciją bei skirti simptominį ir palaikomąjį gydymą. Rekomenduojamos priemonės yra vėmimo sukėlimas ir (arba) skrandžio plovimas. Gali būti naudinga perdozavimo gydymui skirti aktyvintosios anglies, jei nuo suvartojimo praėjo ne daugiau nei 2 valandos.</w:t>
      </w:r>
    </w:p>
    <w:p w14:paraId="268D56D9" w14:textId="77777777" w:rsidR="00D25008" w:rsidRDefault="00FE2A61">
      <w:pPr>
        <w:autoSpaceDE w:val="0"/>
        <w:autoSpaceDN w:val="0"/>
        <w:adjustRightInd w:val="0"/>
        <w:rPr>
          <w:szCs w:val="22"/>
          <w:lang w:eastAsia="sl-SI"/>
        </w:rPr>
      </w:pPr>
      <w:r>
        <w:rPr>
          <w:szCs w:val="22"/>
          <w:lang w:eastAsia="sl-SI"/>
        </w:rPr>
        <w:t xml:space="preserve">Reikia dažnai matuoti elektrolitų ir kreatinino koncentraciją kraujo serume bei stebėti cirkuliuojantį kraujo tūrį ir šlapimo išsiskyrimą. Jeigu pasireiškia </w:t>
      </w:r>
      <w:proofErr w:type="spellStart"/>
      <w:r>
        <w:rPr>
          <w:szCs w:val="22"/>
          <w:lang w:eastAsia="sl-SI"/>
        </w:rPr>
        <w:t>hipotenzija</w:t>
      </w:r>
      <w:proofErr w:type="spellEnd"/>
      <w:r>
        <w:rPr>
          <w:szCs w:val="22"/>
          <w:lang w:eastAsia="sl-SI"/>
        </w:rPr>
        <w:t xml:space="preserve">, pacientą reikia paguldyti ant nugaros ir nedelsiant skirti druskų bei kraujo kiekį papildančių skysčių. Kraujagyslių tonusui ir kraujospūdžiui atstatyti gali būti naudingi kraujagysles sutraukiantys vaistiniai preparatai, jeigu jų vartojimui nėra kontraindikacijų. Kalcio kanalų blokados poveikiui neutralizuoti gali būti naudinga į veną sušvirkšti kalcio </w:t>
      </w:r>
      <w:proofErr w:type="spellStart"/>
      <w:r>
        <w:rPr>
          <w:szCs w:val="22"/>
          <w:lang w:eastAsia="sl-SI"/>
        </w:rPr>
        <w:t>gliukonato</w:t>
      </w:r>
      <w:proofErr w:type="spellEnd"/>
      <w:r>
        <w:rPr>
          <w:szCs w:val="22"/>
          <w:lang w:eastAsia="sl-SI"/>
        </w:rPr>
        <w:t>.</w:t>
      </w:r>
    </w:p>
    <w:p w14:paraId="17497723" w14:textId="77777777" w:rsidR="00D25008" w:rsidRDefault="00D25008">
      <w:pPr>
        <w:autoSpaceDE w:val="0"/>
        <w:autoSpaceDN w:val="0"/>
        <w:adjustRightInd w:val="0"/>
        <w:rPr>
          <w:szCs w:val="22"/>
          <w:lang w:eastAsia="sl-SI"/>
        </w:rPr>
      </w:pPr>
    </w:p>
    <w:p w14:paraId="786C24F2" w14:textId="77777777" w:rsidR="00D25008" w:rsidRDefault="00D25008">
      <w:pPr>
        <w:widowControl w:val="0"/>
        <w:tabs>
          <w:tab w:val="left" w:pos="567"/>
        </w:tabs>
        <w:rPr>
          <w:szCs w:val="22"/>
          <w:lang w:eastAsia="sl-SI"/>
        </w:rPr>
      </w:pPr>
    </w:p>
    <w:p w14:paraId="67D250B2" w14:textId="77777777" w:rsidR="00D25008" w:rsidRDefault="00FE2A61">
      <w:pPr>
        <w:widowControl w:val="0"/>
        <w:tabs>
          <w:tab w:val="left" w:pos="567"/>
        </w:tabs>
        <w:rPr>
          <w:szCs w:val="22"/>
          <w:lang w:eastAsia="sl-SI"/>
        </w:rPr>
      </w:pPr>
      <w:r>
        <w:rPr>
          <w:b/>
          <w:szCs w:val="22"/>
          <w:lang w:eastAsia="sl-SI"/>
        </w:rPr>
        <w:t>5.</w:t>
      </w:r>
      <w:r>
        <w:rPr>
          <w:b/>
          <w:szCs w:val="22"/>
          <w:lang w:eastAsia="sl-SI"/>
        </w:rPr>
        <w:tab/>
        <w:t>FARMAKOLOGINĖS SAVYBĖS</w:t>
      </w:r>
    </w:p>
    <w:p w14:paraId="0A6EB561" w14:textId="77777777" w:rsidR="00D25008" w:rsidRDefault="00D25008">
      <w:pPr>
        <w:widowControl w:val="0"/>
        <w:tabs>
          <w:tab w:val="left" w:pos="567"/>
        </w:tabs>
        <w:rPr>
          <w:b/>
          <w:szCs w:val="22"/>
          <w:lang w:eastAsia="sl-SI"/>
        </w:rPr>
      </w:pPr>
    </w:p>
    <w:p w14:paraId="5430EF41" w14:textId="77777777" w:rsidR="00D25008" w:rsidRDefault="00FE2A61">
      <w:pPr>
        <w:widowControl w:val="0"/>
        <w:tabs>
          <w:tab w:val="left" w:pos="567"/>
        </w:tabs>
        <w:rPr>
          <w:szCs w:val="22"/>
          <w:lang w:eastAsia="sl-SI"/>
        </w:rPr>
      </w:pPr>
      <w:r>
        <w:rPr>
          <w:b/>
          <w:szCs w:val="22"/>
          <w:lang w:eastAsia="sl-SI"/>
        </w:rPr>
        <w:t xml:space="preserve">5.1 </w:t>
      </w:r>
      <w:r>
        <w:rPr>
          <w:b/>
          <w:szCs w:val="22"/>
          <w:lang w:eastAsia="sl-SI"/>
        </w:rPr>
        <w:tab/>
      </w:r>
      <w:proofErr w:type="spellStart"/>
      <w:r>
        <w:rPr>
          <w:b/>
          <w:szCs w:val="22"/>
          <w:lang w:eastAsia="sl-SI"/>
        </w:rPr>
        <w:t>Farmakodinaminės</w:t>
      </w:r>
      <w:proofErr w:type="spellEnd"/>
      <w:r>
        <w:rPr>
          <w:b/>
          <w:szCs w:val="22"/>
          <w:lang w:eastAsia="sl-SI"/>
        </w:rPr>
        <w:t xml:space="preserve"> savybės</w:t>
      </w:r>
    </w:p>
    <w:p w14:paraId="7457601C" w14:textId="77777777" w:rsidR="00D25008" w:rsidRDefault="00D25008">
      <w:pPr>
        <w:widowControl w:val="0"/>
        <w:tabs>
          <w:tab w:val="left" w:pos="567"/>
        </w:tabs>
        <w:rPr>
          <w:szCs w:val="22"/>
          <w:lang w:eastAsia="sl-SI"/>
        </w:rPr>
      </w:pPr>
    </w:p>
    <w:p w14:paraId="570F07A9" w14:textId="77777777" w:rsidR="00D25008" w:rsidRDefault="00FE2A61">
      <w:pPr>
        <w:widowControl w:val="0"/>
        <w:outlineLvl w:val="0"/>
        <w:rPr>
          <w:szCs w:val="22"/>
          <w:lang w:eastAsia="sl-SI"/>
        </w:rPr>
      </w:pPr>
      <w:proofErr w:type="spellStart"/>
      <w:r>
        <w:rPr>
          <w:szCs w:val="22"/>
          <w:lang w:eastAsia="sl-SI"/>
        </w:rPr>
        <w:t>Farmakoterapinė</w:t>
      </w:r>
      <w:proofErr w:type="spellEnd"/>
      <w:r>
        <w:rPr>
          <w:szCs w:val="22"/>
          <w:lang w:eastAsia="sl-SI"/>
        </w:rPr>
        <w:t xml:space="preserve"> grupė </w:t>
      </w:r>
      <w:r>
        <w:rPr>
          <w:szCs w:val="22"/>
          <w:lang w:eastAsia="sl-SI"/>
        </w:rPr>
        <w:sym w:font="Symbol" w:char="F02D"/>
      </w:r>
      <w:r>
        <w:rPr>
          <w:szCs w:val="22"/>
          <w:lang w:eastAsia="sl-SI"/>
        </w:rPr>
        <w:t xml:space="preserve"> </w:t>
      </w:r>
      <w:proofErr w:type="spellStart"/>
      <w:r>
        <w:rPr>
          <w:szCs w:val="22"/>
          <w:lang w:eastAsia="sl-SI"/>
        </w:rPr>
        <w:t>renino</w:t>
      </w:r>
      <w:proofErr w:type="spellEnd"/>
      <w:r>
        <w:rPr>
          <w:szCs w:val="22"/>
          <w:lang w:eastAsia="sl-SI"/>
        </w:rPr>
        <w:t xml:space="preserve"> ir </w:t>
      </w:r>
      <w:proofErr w:type="spellStart"/>
      <w:r>
        <w:rPr>
          <w:szCs w:val="22"/>
          <w:lang w:eastAsia="sl-SI"/>
        </w:rPr>
        <w:t>angiotenzino</w:t>
      </w:r>
      <w:proofErr w:type="spellEnd"/>
      <w:r>
        <w:rPr>
          <w:szCs w:val="22"/>
          <w:lang w:eastAsia="sl-SI"/>
        </w:rPr>
        <w:t xml:space="preserve"> sistemą veikiantys vaistiniai preparatai, </w:t>
      </w:r>
      <w:proofErr w:type="spellStart"/>
      <w:r>
        <w:rPr>
          <w:szCs w:val="22"/>
          <w:lang w:eastAsia="sl-SI"/>
        </w:rPr>
        <w:t>angiotenzino</w:t>
      </w:r>
      <w:proofErr w:type="spellEnd"/>
      <w:r>
        <w:rPr>
          <w:szCs w:val="22"/>
          <w:lang w:eastAsia="sl-SI"/>
        </w:rPr>
        <w:t xml:space="preserve"> II receptorių blokatoriai (ARB), kiti deriniai, ATC kodas </w:t>
      </w:r>
      <w:r>
        <w:rPr>
          <w:szCs w:val="22"/>
          <w:lang w:eastAsia="sl-SI"/>
        </w:rPr>
        <w:sym w:font="Symbol" w:char="F02D"/>
      </w:r>
      <w:r>
        <w:rPr>
          <w:szCs w:val="22"/>
          <w:lang w:eastAsia="sl-SI"/>
        </w:rPr>
        <w:t xml:space="preserve"> C09DX08.</w:t>
      </w:r>
    </w:p>
    <w:p w14:paraId="76A5B10A" w14:textId="77777777" w:rsidR="00D25008" w:rsidRDefault="00D25008">
      <w:pPr>
        <w:widowControl w:val="0"/>
        <w:rPr>
          <w:szCs w:val="22"/>
        </w:rPr>
      </w:pPr>
    </w:p>
    <w:p w14:paraId="4D85B3E2" w14:textId="7E342734" w:rsidR="00D25008" w:rsidRDefault="00FE2A61">
      <w:pPr>
        <w:autoSpaceDE w:val="0"/>
        <w:autoSpaceDN w:val="0"/>
        <w:adjustRightInd w:val="0"/>
        <w:rPr>
          <w:szCs w:val="22"/>
          <w:lang w:eastAsia="sl-SI"/>
        </w:rPr>
      </w:pPr>
      <w:proofErr w:type="spellStart"/>
      <w:r>
        <w:rPr>
          <w:szCs w:val="22"/>
          <w:lang w:eastAsia="sl-SI"/>
        </w:rPr>
        <w:t>Tolvecom</w:t>
      </w:r>
      <w:proofErr w:type="spellEnd"/>
      <w:r>
        <w:rPr>
          <w:szCs w:val="22"/>
          <w:lang w:eastAsia="sl-SI"/>
        </w:rPr>
        <w:t xml:space="preserve"> yra </w:t>
      </w:r>
      <w:proofErr w:type="spellStart"/>
      <w:r>
        <w:rPr>
          <w:szCs w:val="22"/>
          <w:lang w:eastAsia="sl-SI"/>
        </w:rPr>
        <w:t>angiotenzino</w:t>
      </w:r>
      <w:proofErr w:type="spellEnd"/>
      <w:r>
        <w:rPr>
          <w:szCs w:val="22"/>
          <w:lang w:eastAsia="sl-SI"/>
        </w:rPr>
        <w:t xml:space="preserve"> II receptorių </w:t>
      </w:r>
      <w:r w:rsidR="001C4737">
        <w:rPr>
          <w:szCs w:val="22"/>
          <w:lang w:eastAsia="sl-SI"/>
        </w:rPr>
        <w:t>blokatoriaus</w:t>
      </w:r>
      <w:r>
        <w:rPr>
          <w:szCs w:val="22"/>
          <w:lang w:eastAsia="sl-SI"/>
        </w:rPr>
        <w:t xml:space="preserve"> </w:t>
      </w:r>
      <w:proofErr w:type="spellStart"/>
      <w:r>
        <w:rPr>
          <w:szCs w:val="22"/>
          <w:lang w:eastAsia="sl-SI"/>
        </w:rPr>
        <w:t>telmisartano</w:t>
      </w:r>
      <w:proofErr w:type="spellEnd"/>
      <w:r>
        <w:rPr>
          <w:szCs w:val="22"/>
          <w:lang w:eastAsia="sl-SI"/>
        </w:rPr>
        <w:t xml:space="preserve">, kalcio kanalų srauto inhibitoriaus </w:t>
      </w:r>
      <w:proofErr w:type="spellStart"/>
      <w:r>
        <w:rPr>
          <w:szCs w:val="22"/>
          <w:lang w:eastAsia="sl-SI"/>
        </w:rPr>
        <w:t>amlodipino</w:t>
      </w:r>
      <w:proofErr w:type="spellEnd"/>
      <w:r>
        <w:rPr>
          <w:szCs w:val="22"/>
          <w:lang w:eastAsia="sl-SI"/>
        </w:rPr>
        <w:t xml:space="preserve"> ir </w:t>
      </w:r>
      <w:proofErr w:type="spellStart"/>
      <w:r>
        <w:rPr>
          <w:szCs w:val="22"/>
          <w:lang w:eastAsia="sl-SI"/>
        </w:rPr>
        <w:t>tiazidinio</w:t>
      </w:r>
      <w:proofErr w:type="spellEnd"/>
      <w:r>
        <w:rPr>
          <w:szCs w:val="22"/>
          <w:lang w:eastAsia="sl-SI"/>
        </w:rPr>
        <w:t xml:space="preserve"> diuretiko </w:t>
      </w:r>
      <w:proofErr w:type="spellStart"/>
      <w:r>
        <w:rPr>
          <w:szCs w:val="22"/>
          <w:lang w:eastAsia="sl-SI"/>
        </w:rPr>
        <w:t>hidrochlorotiazido</w:t>
      </w:r>
      <w:proofErr w:type="spellEnd"/>
      <w:r>
        <w:rPr>
          <w:szCs w:val="22"/>
          <w:lang w:eastAsia="sl-SI"/>
        </w:rPr>
        <w:t xml:space="preserve"> derinys.</w:t>
      </w:r>
    </w:p>
    <w:p w14:paraId="1D52CAA2" w14:textId="77777777" w:rsidR="00D25008" w:rsidRDefault="00D25008">
      <w:pPr>
        <w:autoSpaceDE w:val="0"/>
        <w:autoSpaceDN w:val="0"/>
        <w:adjustRightInd w:val="0"/>
        <w:rPr>
          <w:szCs w:val="22"/>
          <w:lang w:eastAsia="sl-SI"/>
        </w:rPr>
      </w:pPr>
    </w:p>
    <w:p w14:paraId="0C34610D" w14:textId="77777777" w:rsidR="00D25008" w:rsidRDefault="00FE2A61">
      <w:pPr>
        <w:autoSpaceDE w:val="0"/>
        <w:autoSpaceDN w:val="0"/>
        <w:adjustRightInd w:val="0"/>
        <w:rPr>
          <w:szCs w:val="22"/>
          <w:u w:val="single"/>
          <w:lang w:eastAsia="sl-SI"/>
        </w:rPr>
      </w:pPr>
      <w:r>
        <w:rPr>
          <w:szCs w:val="22"/>
          <w:u w:val="single"/>
          <w:lang w:eastAsia="sl-SI"/>
        </w:rPr>
        <w:t>Veikimo mechanizmas</w:t>
      </w:r>
    </w:p>
    <w:p w14:paraId="507BEC0A" w14:textId="77777777" w:rsidR="00D25008" w:rsidRDefault="00D25008">
      <w:pPr>
        <w:autoSpaceDE w:val="0"/>
        <w:autoSpaceDN w:val="0"/>
        <w:adjustRightInd w:val="0"/>
        <w:rPr>
          <w:szCs w:val="22"/>
          <w:u w:val="single"/>
          <w:lang w:eastAsia="sl-SI"/>
        </w:rPr>
      </w:pPr>
    </w:p>
    <w:p w14:paraId="3D1B1DF0" w14:textId="31D0DFEA" w:rsidR="00D25008" w:rsidRDefault="00FE2A61">
      <w:pPr>
        <w:autoSpaceDE w:val="0"/>
        <w:autoSpaceDN w:val="0"/>
        <w:adjustRightInd w:val="0"/>
        <w:rPr>
          <w:szCs w:val="22"/>
          <w:lang w:eastAsia="sl-SI"/>
        </w:rPr>
      </w:pPr>
      <w:proofErr w:type="spellStart"/>
      <w:r>
        <w:rPr>
          <w:szCs w:val="22"/>
          <w:lang w:eastAsia="sl-SI"/>
        </w:rPr>
        <w:t>Telmisartanas</w:t>
      </w:r>
      <w:proofErr w:type="spellEnd"/>
      <w:r>
        <w:rPr>
          <w:szCs w:val="22"/>
          <w:lang w:eastAsia="sl-SI"/>
        </w:rPr>
        <w:t xml:space="preserve"> yra pavartojus per burną poveikį sukeliantis specifinis 1 potipio </w:t>
      </w:r>
      <w:proofErr w:type="spellStart"/>
      <w:r>
        <w:rPr>
          <w:szCs w:val="22"/>
          <w:lang w:eastAsia="sl-SI"/>
        </w:rPr>
        <w:t>angiotenzino</w:t>
      </w:r>
      <w:proofErr w:type="spellEnd"/>
      <w:r>
        <w:rPr>
          <w:szCs w:val="22"/>
          <w:lang w:eastAsia="sl-SI"/>
        </w:rPr>
        <w:t> II receptorių (AT</w:t>
      </w:r>
      <w:r>
        <w:rPr>
          <w:szCs w:val="22"/>
          <w:vertAlign w:val="subscript"/>
          <w:lang w:eastAsia="sl-SI"/>
        </w:rPr>
        <w:t>1</w:t>
      </w:r>
      <w:r>
        <w:rPr>
          <w:szCs w:val="22"/>
          <w:lang w:eastAsia="sl-SI"/>
        </w:rPr>
        <w:t xml:space="preserve">) </w:t>
      </w:r>
      <w:r w:rsidR="001C4737">
        <w:rPr>
          <w:szCs w:val="22"/>
          <w:lang w:eastAsia="sl-SI"/>
        </w:rPr>
        <w:t>blokatorius</w:t>
      </w:r>
      <w:r>
        <w:rPr>
          <w:szCs w:val="22"/>
          <w:lang w:eastAsia="sl-SI"/>
        </w:rPr>
        <w:t xml:space="preserve">. </w:t>
      </w:r>
      <w:proofErr w:type="spellStart"/>
      <w:r>
        <w:rPr>
          <w:szCs w:val="22"/>
          <w:lang w:eastAsia="sl-SI"/>
        </w:rPr>
        <w:t>Telmisartanas</w:t>
      </w:r>
      <w:proofErr w:type="spellEnd"/>
      <w:r>
        <w:rPr>
          <w:szCs w:val="22"/>
          <w:lang w:eastAsia="sl-SI"/>
        </w:rPr>
        <w:t xml:space="preserve"> išstumia </w:t>
      </w:r>
      <w:proofErr w:type="spellStart"/>
      <w:r>
        <w:rPr>
          <w:szCs w:val="22"/>
          <w:lang w:eastAsia="sl-SI"/>
        </w:rPr>
        <w:t>angiotenziną</w:t>
      </w:r>
      <w:proofErr w:type="spellEnd"/>
      <w:r>
        <w:rPr>
          <w:szCs w:val="22"/>
          <w:lang w:eastAsia="sl-SI"/>
        </w:rPr>
        <w:t xml:space="preserve"> II; </w:t>
      </w:r>
      <w:proofErr w:type="spellStart"/>
      <w:r>
        <w:rPr>
          <w:szCs w:val="22"/>
          <w:lang w:eastAsia="sl-SI"/>
        </w:rPr>
        <w:t>telmisartanui</w:t>
      </w:r>
      <w:proofErr w:type="spellEnd"/>
      <w:r>
        <w:rPr>
          <w:szCs w:val="22"/>
          <w:lang w:eastAsia="sl-SI"/>
        </w:rPr>
        <w:t xml:space="preserve"> yra būdingas labai didelis </w:t>
      </w:r>
      <w:proofErr w:type="spellStart"/>
      <w:r>
        <w:rPr>
          <w:szCs w:val="22"/>
          <w:lang w:eastAsia="sl-SI"/>
        </w:rPr>
        <w:t>afinitetas</w:t>
      </w:r>
      <w:proofErr w:type="spellEnd"/>
      <w:r>
        <w:rPr>
          <w:szCs w:val="22"/>
          <w:lang w:eastAsia="sl-SI"/>
        </w:rPr>
        <w:t xml:space="preserve"> </w:t>
      </w:r>
      <w:proofErr w:type="spellStart"/>
      <w:r>
        <w:rPr>
          <w:szCs w:val="22"/>
          <w:lang w:eastAsia="sl-SI"/>
        </w:rPr>
        <w:t>angiotenzino</w:t>
      </w:r>
      <w:proofErr w:type="spellEnd"/>
      <w:r>
        <w:rPr>
          <w:szCs w:val="22"/>
          <w:lang w:eastAsia="sl-SI"/>
        </w:rPr>
        <w:t> II jungimosi vietai AT</w:t>
      </w:r>
      <w:r>
        <w:rPr>
          <w:szCs w:val="22"/>
          <w:vertAlign w:val="subscript"/>
          <w:lang w:eastAsia="sl-SI"/>
        </w:rPr>
        <w:t>1</w:t>
      </w:r>
      <w:r>
        <w:rPr>
          <w:szCs w:val="22"/>
          <w:lang w:eastAsia="sl-SI"/>
        </w:rPr>
        <w:t xml:space="preserve"> potipio receptoriuose, nuo kurių priklauso </w:t>
      </w:r>
      <w:proofErr w:type="spellStart"/>
      <w:r>
        <w:rPr>
          <w:szCs w:val="22"/>
          <w:lang w:eastAsia="sl-SI"/>
        </w:rPr>
        <w:t>angiotenzino</w:t>
      </w:r>
      <w:proofErr w:type="spellEnd"/>
      <w:r>
        <w:rPr>
          <w:szCs w:val="22"/>
          <w:lang w:eastAsia="sl-SI"/>
        </w:rPr>
        <w:t xml:space="preserve"> II sukeliamas poveikis. Dalinio </w:t>
      </w:r>
      <w:proofErr w:type="spellStart"/>
      <w:r>
        <w:rPr>
          <w:szCs w:val="22"/>
          <w:lang w:eastAsia="sl-SI"/>
        </w:rPr>
        <w:t>agonistinio</w:t>
      </w:r>
      <w:proofErr w:type="spellEnd"/>
      <w:r>
        <w:rPr>
          <w:szCs w:val="22"/>
          <w:lang w:eastAsia="sl-SI"/>
        </w:rPr>
        <w:t xml:space="preserve"> poveikio AT</w:t>
      </w:r>
      <w:r>
        <w:rPr>
          <w:szCs w:val="22"/>
          <w:vertAlign w:val="subscript"/>
          <w:lang w:eastAsia="sl-SI"/>
        </w:rPr>
        <w:t>1</w:t>
      </w:r>
      <w:r>
        <w:rPr>
          <w:szCs w:val="22"/>
          <w:lang w:eastAsia="sl-SI"/>
        </w:rPr>
        <w:t xml:space="preserve"> receptoriams </w:t>
      </w:r>
      <w:proofErr w:type="spellStart"/>
      <w:r>
        <w:rPr>
          <w:szCs w:val="22"/>
          <w:lang w:eastAsia="sl-SI"/>
        </w:rPr>
        <w:t>telmisartanas</w:t>
      </w:r>
      <w:proofErr w:type="spellEnd"/>
      <w:r>
        <w:rPr>
          <w:szCs w:val="22"/>
          <w:lang w:eastAsia="sl-SI"/>
        </w:rPr>
        <w:t xml:space="preserve"> nesukelia. Prie AT</w:t>
      </w:r>
      <w:r>
        <w:rPr>
          <w:szCs w:val="22"/>
          <w:vertAlign w:val="subscript"/>
          <w:lang w:eastAsia="sl-SI"/>
        </w:rPr>
        <w:t>1</w:t>
      </w:r>
      <w:r>
        <w:rPr>
          <w:szCs w:val="22"/>
          <w:lang w:eastAsia="sl-SI"/>
        </w:rPr>
        <w:t xml:space="preserve"> receptorių </w:t>
      </w:r>
      <w:proofErr w:type="spellStart"/>
      <w:r>
        <w:rPr>
          <w:szCs w:val="22"/>
          <w:lang w:eastAsia="sl-SI"/>
        </w:rPr>
        <w:t>telmisartanas</w:t>
      </w:r>
      <w:proofErr w:type="spellEnd"/>
      <w:r>
        <w:rPr>
          <w:szCs w:val="22"/>
          <w:lang w:eastAsia="sl-SI"/>
        </w:rPr>
        <w:t xml:space="preserve"> jungiasi selektyviai. Prisijungimas būna ilgalaikis. Kitiems receptoriams, įskaitant ir AT</w:t>
      </w:r>
      <w:r>
        <w:rPr>
          <w:szCs w:val="22"/>
          <w:vertAlign w:val="subscript"/>
          <w:lang w:eastAsia="sl-SI"/>
        </w:rPr>
        <w:t>2</w:t>
      </w:r>
      <w:r>
        <w:rPr>
          <w:szCs w:val="22"/>
          <w:lang w:eastAsia="sl-SI"/>
        </w:rPr>
        <w:t xml:space="preserve"> bei kitokius mažiau apibūdintus AT receptorius, </w:t>
      </w:r>
      <w:proofErr w:type="spellStart"/>
      <w:r>
        <w:rPr>
          <w:szCs w:val="22"/>
          <w:lang w:eastAsia="sl-SI"/>
        </w:rPr>
        <w:t>telmisartano</w:t>
      </w:r>
      <w:proofErr w:type="spellEnd"/>
      <w:r>
        <w:rPr>
          <w:szCs w:val="22"/>
          <w:lang w:eastAsia="sl-SI"/>
        </w:rPr>
        <w:t xml:space="preserve"> </w:t>
      </w:r>
      <w:proofErr w:type="spellStart"/>
      <w:r>
        <w:rPr>
          <w:szCs w:val="22"/>
          <w:lang w:eastAsia="sl-SI"/>
        </w:rPr>
        <w:t>afinitetas</w:t>
      </w:r>
      <w:proofErr w:type="spellEnd"/>
      <w:r>
        <w:rPr>
          <w:szCs w:val="22"/>
          <w:lang w:eastAsia="sl-SI"/>
        </w:rPr>
        <w:t xml:space="preserve"> nėra būdingas. Kokia minėtų receptorių funkcija ir koks galimas poveikis, jeigu juos per daug stimuliuoja </w:t>
      </w:r>
      <w:proofErr w:type="spellStart"/>
      <w:r>
        <w:rPr>
          <w:szCs w:val="22"/>
          <w:lang w:eastAsia="sl-SI"/>
        </w:rPr>
        <w:t>angiotenzinas</w:t>
      </w:r>
      <w:proofErr w:type="spellEnd"/>
      <w:r>
        <w:rPr>
          <w:szCs w:val="22"/>
          <w:lang w:eastAsia="sl-SI"/>
        </w:rPr>
        <w:t xml:space="preserve"> II (jo kiekis veikiant </w:t>
      </w:r>
      <w:proofErr w:type="spellStart"/>
      <w:r>
        <w:rPr>
          <w:szCs w:val="22"/>
          <w:lang w:eastAsia="sl-SI"/>
        </w:rPr>
        <w:t>telmisartanui</w:t>
      </w:r>
      <w:proofErr w:type="spellEnd"/>
      <w:r>
        <w:rPr>
          <w:szCs w:val="22"/>
          <w:lang w:eastAsia="sl-SI"/>
        </w:rPr>
        <w:t xml:space="preserve"> padidėja), nežinoma. </w:t>
      </w:r>
      <w:proofErr w:type="spellStart"/>
      <w:r>
        <w:rPr>
          <w:szCs w:val="22"/>
          <w:lang w:eastAsia="sl-SI"/>
        </w:rPr>
        <w:t>Telmisartanas</w:t>
      </w:r>
      <w:proofErr w:type="spellEnd"/>
      <w:r>
        <w:rPr>
          <w:szCs w:val="22"/>
          <w:lang w:eastAsia="sl-SI"/>
        </w:rPr>
        <w:t xml:space="preserve"> mažina </w:t>
      </w:r>
      <w:proofErr w:type="spellStart"/>
      <w:r>
        <w:rPr>
          <w:szCs w:val="22"/>
          <w:lang w:eastAsia="sl-SI"/>
        </w:rPr>
        <w:t>aldosterono</w:t>
      </w:r>
      <w:proofErr w:type="spellEnd"/>
      <w:r>
        <w:rPr>
          <w:szCs w:val="22"/>
          <w:lang w:eastAsia="sl-SI"/>
        </w:rPr>
        <w:t xml:space="preserve"> koncentraciją kraujo plazmoje. Žmogaus kraujo plazmoje esančio </w:t>
      </w:r>
      <w:proofErr w:type="spellStart"/>
      <w:r>
        <w:rPr>
          <w:szCs w:val="22"/>
          <w:lang w:eastAsia="sl-SI"/>
        </w:rPr>
        <w:t>renino</w:t>
      </w:r>
      <w:proofErr w:type="spellEnd"/>
      <w:r>
        <w:rPr>
          <w:szCs w:val="22"/>
          <w:lang w:eastAsia="sl-SI"/>
        </w:rPr>
        <w:t xml:space="preserve"> aktyvumo </w:t>
      </w:r>
      <w:proofErr w:type="spellStart"/>
      <w:r>
        <w:rPr>
          <w:szCs w:val="22"/>
          <w:lang w:eastAsia="sl-SI"/>
        </w:rPr>
        <w:t>telmisartanas</w:t>
      </w:r>
      <w:proofErr w:type="spellEnd"/>
      <w:r>
        <w:rPr>
          <w:szCs w:val="22"/>
          <w:lang w:eastAsia="sl-SI"/>
        </w:rPr>
        <w:t xml:space="preserve"> neslopina ir jonų kanalų neblokuoja. </w:t>
      </w:r>
      <w:proofErr w:type="spellStart"/>
      <w:r>
        <w:rPr>
          <w:szCs w:val="22"/>
          <w:lang w:eastAsia="sl-SI"/>
        </w:rPr>
        <w:t>Angiotenziną</w:t>
      </w:r>
      <w:proofErr w:type="spellEnd"/>
      <w:r>
        <w:rPr>
          <w:szCs w:val="22"/>
          <w:lang w:eastAsia="sl-SI"/>
        </w:rPr>
        <w:t xml:space="preserve"> konvertuojančio fermento (</w:t>
      </w:r>
      <w:proofErr w:type="spellStart"/>
      <w:r>
        <w:rPr>
          <w:szCs w:val="22"/>
          <w:lang w:eastAsia="sl-SI"/>
        </w:rPr>
        <w:t>kininazės</w:t>
      </w:r>
      <w:proofErr w:type="spellEnd"/>
      <w:r>
        <w:rPr>
          <w:szCs w:val="22"/>
          <w:lang w:eastAsia="sl-SI"/>
        </w:rPr>
        <w:t xml:space="preserve"> II), kuris taip pat ir skaido </w:t>
      </w:r>
      <w:proofErr w:type="spellStart"/>
      <w:r>
        <w:rPr>
          <w:szCs w:val="22"/>
          <w:lang w:eastAsia="sl-SI"/>
        </w:rPr>
        <w:t>bradikininą</w:t>
      </w:r>
      <w:proofErr w:type="spellEnd"/>
      <w:r>
        <w:rPr>
          <w:szCs w:val="22"/>
          <w:lang w:eastAsia="sl-SI"/>
        </w:rPr>
        <w:t xml:space="preserve">, </w:t>
      </w:r>
      <w:proofErr w:type="spellStart"/>
      <w:r>
        <w:rPr>
          <w:szCs w:val="22"/>
          <w:lang w:eastAsia="sl-SI"/>
        </w:rPr>
        <w:t>telmisartanas</w:t>
      </w:r>
      <w:proofErr w:type="spellEnd"/>
      <w:r>
        <w:rPr>
          <w:szCs w:val="22"/>
          <w:lang w:eastAsia="sl-SI"/>
        </w:rPr>
        <w:t xml:space="preserve"> neslopina, todėl </w:t>
      </w:r>
      <w:proofErr w:type="spellStart"/>
      <w:r>
        <w:rPr>
          <w:szCs w:val="22"/>
          <w:lang w:eastAsia="sl-SI"/>
        </w:rPr>
        <w:t>bradikinino</w:t>
      </w:r>
      <w:proofErr w:type="spellEnd"/>
      <w:r>
        <w:rPr>
          <w:szCs w:val="22"/>
          <w:lang w:eastAsia="sl-SI"/>
        </w:rPr>
        <w:t xml:space="preserve"> sukeliamo nepageidaujamo poveikio sustiprėjimas nėra tikėtinas.</w:t>
      </w:r>
    </w:p>
    <w:p w14:paraId="54586604" w14:textId="77777777" w:rsidR="00D25008" w:rsidRDefault="00D25008">
      <w:pPr>
        <w:autoSpaceDE w:val="0"/>
        <w:autoSpaceDN w:val="0"/>
        <w:adjustRightInd w:val="0"/>
        <w:rPr>
          <w:szCs w:val="22"/>
          <w:lang w:eastAsia="sl-SI"/>
        </w:rPr>
      </w:pPr>
    </w:p>
    <w:p w14:paraId="5E4E7B85" w14:textId="77777777" w:rsidR="00D25008" w:rsidRDefault="00FE2A61">
      <w:pPr>
        <w:rPr>
          <w:szCs w:val="22"/>
          <w:lang w:eastAsia="sl-SI"/>
        </w:rPr>
      </w:pPr>
      <w:proofErr w:type="spellStart"/>
      <w:r>
        <w:rPr>
          <w:szCs w:val="22"/>
          <w:lang w:eastAsia="sl-SI"/>
        </w:rPr>
        <w:t>Amlodipinas</w:t>
      </w:r>
      <w:proofErr w:type="spellEnd"/>
      <w:r>
        <w:rPr>
          <w:szCs w:val="22"/>
          <w:lang w:eastAsia="sl-SI"/>
        </w:rPr>
        <w:t xml:space="preserve"> yra </w:t>
      </w:r>
      <w:proofErr w:type="spellStart"/>
      <w:r>
        <w:rPr>
          <w:szCs w:val="22"/>
          <w:lang w:eastAsia="sl-SI"/>
        </w:rPr>
        <w:t>dihidropiridino</w:t>
      </w:r>
      <w:proofErr w:type="spellEnd"/>
      <w:r>
        <w:rPr>
          <w:szCs w:val="22"/>
          <w:lang w:eastAsia="sl-SI"/>
        </w:rPr>
        <w:t xml:space="preserve"> grupės kalcio jonų srauto inhibitorius (lėtųjų kanalų blokatorius arba kalcio jonų antagonistas), slopinantis kalcio jonų srautą per membraną į širdies ir lygiųjų kraujagyslių raumenų ląsteles. </w:t>
      </w:r>
      <w:proofErr w:type="spellStart"/>
      <w:r>
        <w:rPr>
          <w:szCs w:val="22"/>
          <w:lang w:eastAsia="sl-SI"/>
        </w:rPr>
        <w:t>Antihipertenzinis</w:t>
      </w:r>
      <w:proofErr w:type="spellEnd"/>
      <w:r>
        <w:rPr>
          <w:szCs w:val="22"/>
          <w:lang w:eastAsia="sl-SI"/>
        </w:rPr>
        <w:t xml:space="preserve"> </w:t>
      </w:r>
      <w:proofErr w:type="spellStart"/>
      <w:r>
        <w:rPr>
          <w:szCs w:val="22"/>
          <w:lang w:eastAsia="sl-SI"/>
        </w:rPr>
        <w:t>amlodipino</w:t>
      </w:r>
      <w:proofErr w:type="spellEnd"/>
      <w:r>
        <w:rPr>
          <w:szCs w:val="22"/>
          <w:lang w:eastAsia="sl-SI"/>
        </w:rPr>
        <w:t xml:space="preserve"> poveikis pasireiškia dėl tiesioginio kraujagyslių lygiuosius raumenis atpalaiduojančio poveikio.</w:t>
      </w:r>
    </w:p>
    <w:p w14:paraId="03E595E1" w14:textId="77777777" w:rsidR="00D25008" w:rsidRDefault="00D25008">
      <w:pPr>
        <w:widowControl w:val="0"/>
        <w:rPr>
          <w:szCs w:val="22"/>
          <w:lang w:eastAsia="sl-SI"/>
        </w:rPr>
      </w:pPr>
    </w:p>
    <w:p w14:paraId="19B3962F" w14:textId="77777777" w:rsidR="00D25008" w:rsidRDefault="00FE2A61">
      <w:pPr>
        <w:autoSpaceDE w:val="0"/>
        <w:autoSpaceDN w:val="0"/>
        <w:adjustRightInd w:val="0"/>
        <w:rPr>
          <w:szCs w:val="22"/>
          <w:lang w:eastAsia="sl-SI"/>
        </w:rPr>
      </w:pPr>
      <w:proofErr w:type="spellStart"/>
      <w:r>
        <w:rPr>
          <w:szCs w:val="22"/>
          <w:lang w:eastAsia="sl-SI"/>
        </w:rPr>
        <w:t>Hidrochlorotiazidas</w:t>
      </w:r>
      <w:proofErr w:type="spellEnd"/>
      <w:r>
        <w:rPr>
          <w:szCs w:val="22"/>
          <w:lang w:eastAsia="sl-SI"/>
        </w:rPr>
        <w:t xml:space="preserve"> yra </w:t>
      </w:r>
      <w:proofErr w:type="spellStart"/>
      <w:r>
        <w:rPr>
          <w:szCs w:val="22"/>
          <w:lang w:eastAsia="sl-SI"/>
        </w:rPr>
        <w:t>tiazidų</w:t>
      </w:r>
      <w:proofErr w:type="spellEnd"/>
      <w:r>
        <w:rPr>
          <w:szCs w:val="22"/>
          <w:lang w:eastAsia="sl-SI"/>
        </w:rPr>
        <w:t xml:space="preserve"> grupės diuretikas. </w:t>
      </w:r>
      <w:proofErr w:type="spellStart"/>
      <w:r>
        <w:rPr>
          <w:szCs w:val="22"/>
          <w:lang w:eastAsia="sl-SI"/>
        </w:rPr>
        <w:t>Tiazidų</w:t>
      </w:r>
      <w:proofErr w:type="spellEnd"/>
      <w:r>
        <w:rPr>
          <w:szCs w:val="22"/>
          <w:lang w:eastAsia="sl-SI"/>
        </w:rPr>
        <w:t xml:space="preserve"> grupės diuretikų kraujospūdį mažinančio poveikio mechanizmas nėra iki galo aiškus. </w:t>
      </w:r>
      <w:proofErr w:type="spellStart"/>
      <w:r>
        <w:rPr>
          <w:szCs w:val="22"/>
          <w:lang w:eastAsia="sl-SI"/>
        </w:rPr>
        <w:t>Tiazidai</w:t>
      </w:r>
      <w:proofErr w:type="spellEnd"/>
      <w:r>
        <w:rPr>
          <w:szCs w:val="22"/>
          <w:lang w:eastAsia="sl-SI"/>
        </w:rPr>
        <w:t xml:space="preserve"> inkstų kanalėliuose veikia elektrolitų reabsorbcijos mechanizmus ir tiesiogiai maždaug vienodai didina natrio ir chloro išsiskyrimą. Dėl </w:t>
      </w:r>
      <w:r>
        <w:rPr>
          <w:szCs w:val="22"/>
          <w:lang w:eastAsia="sl-SI"/>
        </w:rPr>
        <w:lastRenderedPageBreak/>
        <w:t xml:space="preserve">šlapimo išsiskyrimą skatinančio </w:t>
      </w:r>
      <w:proofErr w:type="spellStart"/>
      <w:r>
        <w:rPr>
          <w:szCs w:val="22"/>
          <w:lang w:eastAsia="sl-SI"/>
        </w:rPr>
        <w:t>hidrochlorotiazido</w:t>
      </w:r>
      <w:proofErr w:type="spellEnd"/>
      <w:r>
        <w:rPr>
          <w:szCs w:val="22"/>
          <w:lang w:eastAsia="sl-SI"/>
        </w:rPr>
        <w:t xml:space="preserve"> poveikio sumažėja kraujo plazmos tūris, padidėja </w:t>
      </w:r>
      <w:proofErr w:type="spellStart"/>
      <w:r>
        <w:rPr>
          <w:szCs w:val="22"/>
          <w:lang w:eastAsia="sl-SI"/>
        </w:rPr>
        <w:t>renino</w:t>
      </w:r>
      <w:proofErr w:type="spellEnd"/>
      <w:r>
        <w:rPr>
          <w:szCs w:val="22"/>
          <w:lang w:eastAsia="sl-SI"/>
        </w:rPr>
        <w:t xml:space="preserve"> aktyvumas kraujo plazmoje ir </w:t>
      </w:r>
      <w:proofErr w:type="spellStart"/>
      <w:r>
        <w:rPr>
          <w:szCs w:val="22"/>
          <w:lang w:eastAsia="sl-SI"/>
        </w:rPr>
        <w:t>aldosterono</w:t>
      </w:r>
      <w:proofErr w:type="spellEnd"/>
      <w:r>
        <w:rPr>
          <w:szCs w:val="22"/>
          <w:lang w:eastAsia="sl-SI"/>
        </w:rPr>
        <w:t xml:space="preserve"> sekrecija. Dėl to su šlapimu daugiau išsiskiria kalio ir </w:t>
      </w:r>
      <w:proofErr w:type="spellStart"/>
      <w:r>
        <w:rPr>
          <w:szCs w:val="22"/>
          <w:lang w:eastAsia="sl-SI"/>
        </w:rPr>
        <w:t>bikarbonato</w:t>
      </w:r>
      <w:proofErr w:type="spellEnd"/>
      <w:r>
        <w:rPr>
          <w:szCs w:val="22"/>
          <w:lang w:eastAsia="sl-SI"/>
        </w:rPr>
        <w:t xml:space="preserve"> bei sumažėja kalio koncentracija kraujo serume. Tikėtina, kad dėl </w:t>
      </w:r>
      <w:proofErr w:type="spellStart"/>
      <w:r>
        <w:rPr>
          <w:szCs w:val="22"/>
          <w:lang w:eastAsia="sl-SI"/>
        </w:rPr>
        <w:t>renino</w:t>
      </w:r>
      <w:proofErr w:type="spellEnd"/>
      <w:r>
        <w:rPr>
          <w:szCs w:val="22"/>
          <w:lang w:eastAsia="sl-SI"/>
        </w:rPr>
        <w:t xml:space="preserve">, </w:t>
      </w:r>
      <w:proofErr w:type="spellStart"/>
      <w:r>
        <w:rPr>
          <w:szCs w:val="22"/>
          <w:lang w:eastAsia="sl-SI"/>
        </w:rPr>
        <w:t>angiotenzino</w:t>
      </w:r>
      <w:proofErr w:type="spellEnd"/>
      <w:r>
        <w:rPr>
          <w:szCs w:val="22"/>
          <w:lang w:eastAsia="sl-SI"/>
        </w:rPr>
        <w:t xml:space="preserve"> ir </w:t>
      </w:r>
      <w:proofErr w:type="spellStart"/>
      <w:r>
        <w:rPr>
          <w:szCs w:val="22"/>
          <w:lang w:eastAsia="sl-SI"/>
        </w:rPr>
        <w:t>aldosterono</w:t>
      </w:r>
      <w:proofErr w:type="spellEnd"/>
      <w:r>
        <w:rPr>
          <w:szCs w:val="22"/>
          <w:lang w:eastAsia="sl-SI"/>
        </w:rPr>
        <w:t xml:space="preserve"> blokados kartu vartojamas </w:t>
      </w:r>
      <w:proofErr w:type="spellStart"/>
      <w:r>
        <w:rPr>
          <w:szCs w:val="22"/>
          <w:lang w:eastAsia="sl-SI"/>
        </w:rPr>
        <w:t>telmisartanas</w:t>
      </w:r>
      <w:proofErr w:type="spellEnd"/>
      <w:r>
        <w:rPr>
          <w:szCs w:val="22"/>
          <w:lang w:eastAsia="sl-SI"/>
        </w:rPr>
        <w:t xml:space="preserve"> gali neutralizuoti su tokių diuretikų vartojimu susijusį kalio netekimą.</w:t>
      </w:r>
    </w:p>
    <w:p w14:paraId="19953A74" w14:textId="77777777" w:rsidR="00D25008" w:rsidRDefault="00D25008">
      <w:pPr>
        <w:autoSpaceDE w:val="0"/>
        <w:autoSpaceDN w:val="0"/>
        <w:adjustRightInd w:val="0"/>
        <w:rPr>
          <w:szCs w:val="22"/>
          <w:lang w:eastAsia="sl-SI"/>
        </w:rPr>
      </w:pPr>
    </w:p>
    <w:p w14:paraId="0CF04285" w14:textId="77777777" w:rsidR="00D25008" w:rsidRDefault="00FE2A61">
      <w:pPr>
        <w:autoSpaceDE w:val="0"/>
        <w:autoSpaceDN w:val="0"/>
        <w:adjustRightInd w:val="0"/>
        <w:rPr>
          <w:szCs w:val="22"/>
          <w:u w:val="single"/>
          <w:lang w:eastAsia="sl-SI"/>
        </w:rPr>
      </w:pPr>
      <w:proofErr w:type="spellStart"/>
      <w:r>
        <w:rPr>
          <w:szCs w:val="22"/>
          <w:u w:val="single"/>
          <w:lang w:eastAsia="sl-SI"/>
        </w:rPr>
        <w:t>Farmakodinaminis</w:t>
      </w:r>
      <w:proofErr w:type="spellEnd"/>
      <w:r>
        <w:rPr>
          <w:szCs w:val="22"/>
          <w:u w:val="single"/>
          <w:lang w:eastAsia="sl-SI"/>
        </w:rPr>
        <w:t xml:space="preserve"> poveikis</w:t>
      </w:r>
    </w:p>
    <w:p w14:paraId="78349BA4" w14:textId="77777777" w:rsidR="00D25008" w:rsidRDefault="00D25008">
      <w:pPr>
        <w:autoSpaceDE w:val="0"/>
        <w:autoSpaceDN w:val="0"/>
        <w:adjustRightInd w:val="0"/>
        <w:rPr>
          <w:szCs w:val="22"/>
          <w:lang w:eastAsia="sl-SI"/>
        </w:rPr>
      </w:pPr>
    </w:p>
    <w:p w14:paraId="1543CCAE" w14:textId="77777777" w:rsidR="00D25008" w:rsidRDefault="00FE2A61">
      <w:pPr>
        <w:autoSpaceDE w:val="0"/>
        <w:autoSpaceDN w:val="0"/>
        <w:adjustRightInd w:val="0"/>
        <w:rPr>
          <w:szCs w:val="22"/>
          <w:lang w:eastAsia="sl-SI"/>
        </w:rPr>
      </w:pPr>
      <w:r>
        <w:rPr>
          <w:szCs w:val="22"/>
          <w:lang w:eastAsia="sl-SI"/>
        </w:rPr>
        <w:t xml:space="preserve">Sveikiems savanoriams paskirta 80 mg </w:t>
      </w:r>
      <w:proofErr w:type="spellStart"/>
      <w:r>
        <w:rPr>
          <w:szCs w:val="22"/>
          <w:lang w:eastAsia="sl-SI"/>
        </w:rPr>
        <w:t>telmisartano</w:t>
      </w:r>
      <w:proofErr w:type="spellEnd"/>
      <w:r>
        <w:rPr>
          <w:szCs w:val="22"/>
          <w:lang w:eastAsia="sl-SI"/>
        </w:rPr>
        <w:t xml:space="preserve"> dozė beveik visiškai slopina </w:t>
      </w:r>
      <w:proofErr w:type="spellStart"/>
      <w:r>
        <w:rPr>
          <w:szCs w:val="22"/>
          <w:lang w:eastAsia="sl-SI"/>
        </w:rPr>
        <w:t>angiotenzino</w:t>
      </w:r>
      <w:proofErr w:type="spellEnd"/>
      <w:r>
        <w:rPr>
          <w:szCs w:val="22"/>
          <w:lang w:eastAsia="sl-SI"/>
        </w:rPr>
        <w:t> II sukeltą kraujospūdžio padidėjimą. Slopinamasis poveikis yra palaikomas 24 valandų laikotarpiu ir išlieka išmatuojamas iki 48 valandų.</w:t>
      </w:r>
    </w:p>
    <w:p w14:paraId="650FEA7A" w14:textId="77777777" w:rsidR="00D25008" w:rsidRDefault="00FE2A61">
      <w:pPr>
        <w:autoSpaceDE w:val="0"/>
        <w:autoSpaceDN w:val="0"/>
        <w:adjustRightInd w:val="0"/>
        <w:rPr>
          <w:szCs w:val="22"/>
          <w:lang w:eastAsia="sl-SI"/>
        </w:rPr>
      </w:pPr>
      <w:r>
        <w:rPr>
          <w:szCs w:val="22"/>
          <w:lang w:eastAsia="sl-SI"/>
        </w:rPr>
        <w:t xml:space="preserve">Išgėrus pirmą </w:t>
      </w:r>
      <w:proofErr w:type="spellStart"/>
      <w:r>
        <w:rPr>
          <w:szCs w:val="22"/>
          <w:lang w:eastAsia="sl-SI"/>
        </w:rPr>
        <w:t>telmisartano</w:t>
      </w:r>
      <w:proofErr w:type="spellEnd"/>
      <w:r>
        <w:rPr>
          <w:szCs w:val="22"/>
          <w:lang w:eastAsia="sl-SI"/>
        </w:rPr>
        <w:t xml:space="preserve"> dozę, </w:t>
      </w:r>
      <w:proofErr w:type="spellStart"/>
      <w:r>
        <w:rPr>
          <w:szCs w:val="22"/>
          <w:lang w:eastAsia="sl-SI"/>
        </w:rPr>
        <w:t>antihipertenzinis</w:t>
      </w:r>
      <w:proofErr w:type="spellEnd"/>
      <w:r>
        <w:rPr>
          <w:szCs w:val="22"/>
          <w:lang w:eastAsia="sl-SI"/>
        </w:rPr>
        <w:t xml:space="preserve"> poveikis palaipsniui tampa akivaizdus 3 valandų laikotarpiu. Maksimalus kraujospūdžio sumažėjimas paprastai pasiekiamas praėjus 4</w:t>
      </w:r>
      <w:r>
        <w:rPr>
          <w:szCs w:val="22"/>
          <w:lang w:eastAsia="sl-SI"/>
        </w:rPr>
        <w:noBreakHyphen/>
        <w:t xml:space="preserve">8 savaitėms nuo gydymo pradžios ir išlieka ilgalaikio gydymo metu. Ambulatoriniais kraujospūdžio matavimais nustatyta, jog vienkartinės dozės stabilus </w:t>
      </w:r>
      <w:proofErr w:type="spellStart"/>
      <w:r>
        <w:rPr>
          <w:szCs w:val="22"/>
          <w:lang w:eastAsia="sl-SI"/>
        </w:rPr>
        <w:t>antihipertenzinis</w:t>
      </w:r>
      <w:proofErr w:type="spellEnd"/>
      <w:r>
        <w:rPr>
          <w:szCs w:val="22"/>
          <w:lang w:eastAsia="sl-SI"/>
        </w:rPr>
        <w:t xml:space="preserve"> poveikis išlieka 24 valandų laikotarpiu, įskaitant paskutines 4 valandas prieš kitos dozės vartojimą. Tai patvirtina ir matavimai, atlikti maksimalaus poveikio laiko taške ir prieš pat kitos dozės vartojimą (placebu kontroliuotų klinikinių tyrimų metu po 40 mg ir 80 mg </w:t>
      </w:r>
      <w:proofErr w:type="spellStart"/>
      <w:r>
        <w:rPr>
          <w:szCs w:val="22"/>
          <w:lang w:eastAsia="sl-SI"/>
        </w:rPr>
        <w:t>telmisartano</w:t>
      </w:r>
      <w:proofErr w:type="spellEnd"/>
      <w:r>
        <w:rPr>
          <w:szCs w:val="22"/>
          <w:lang w:eastAsia="sl-SI"/>
        </w:rPr>
        <w:t xml:space="preserve"> dozės pavartojimo mažiausios ir didžiausios koncentracijos kraujo plazmoje santykis stabiliai išliko didesnis nei 80 %).</w:t>
      </w:r>
    </w:p>
    <w:p w14:paraId="2EA33E29" w14:textId="77777777" w:rsidR="00D25008" w:rsidRDefault="00FE2A61">
      <w:pPr>
        <w:autoSpaceDE w:val="0"/>
        <w:autoSpaceDN w:val="0"/>
        <w:adjustRightInd w:val="0"/>
        <w:rPr>
          <w:szCs w:val="22"/>
          <w:lang w:eastAsia="sl-SI"/>
        </w:rPr>
      </w:pPr>
      <w:r>
        <w:rPr>
          <w:szCs w:val="22"/>
          <w:lang w:eastAsia="sl-SI"/>
        </w:rPr>
        <w:t xml:space="preserve">Hipertenzija sergantiems pacientams </w:t>
      </w:r>
      <w:proofErr w:type="spellStart"/>
      <w:r>
        <w:rPr>
          <w:szCs w:val="22"/>
          <w:lang w:eastAsia="sl-SI"/>
        </w:rPr>
        <w:t>telmisartanas</w:t>
      </w:r>
      <w:proofErr w:type="spellEnd"/>
      <w:r>
        <w:rPr>
          <w:szCs w:val="22"/>
          <w:lang w:eastAsia="sl-SI"/>
        </w:rPr>
        <w:t xml:space="preserve"> mažina ir </w:t>
      </w:r>
      <w:proofErr w:type="spellStart"/>
      <w:r>
        <w:rPr>
          <w:szCs w:val="22"/>
          <w:lang w:eastAsia="sl-SI"/>
        </w:rPr>
        <w:t>sistolinį</w:t>
      </w:r>
      <w:proofErr w:type="spellEnd"/>
      <w:r>
        <w:rPr>
          <w:szCs w:val="22"/>
          <w:lang w:eastAsia="sl-SI"/>
        </w:rPr>
        <w:t xml:space="preserve">, ir </w:t>
      </w:r>
      <w:proofErr w:type="spellStart"/>
      <w:r>
        <w:rPr>
          <w:szCs w:val="22"/>
          <w:lang w:eastAsia="sl-SI"/>
        </w:rPr>
        <w:t>diastolinį</w:t>
      </w:r>
      <w:proofErr w:type="spellEnd"/>
      <w:r>
        <w:rPr>
          <w:szCs w:val="22"/>
          <w:lang w:eastAsia="sl-SI"/>
        </w:rPr>
        <w:t xml:space="preserve"> kraujospūdį, tačiau pulso dažnio nekeičia. </w:t>
      </w:r>
      <w:proofErr w:type="spellStart"/>
      <w:r>
        <w:rPr>
          <w:szCs w:val="22"/>
          <w:lang w:eastAsia="sl-SI"/>
        </w:rPr>
        <w:t>Telmisartano</w:t>
      </w:r>
      <w:proofErr w:type="spellEnd"/>
      <w:r>
        <w:rPr>
          <w:szCs w:val="22"/>
          <w:lang w:eastAsia="sl-SI"/>
        </w:rPr>
        <w:t xml:space="preserve"> </w:t>
      </w:r>
      <w:proofErr w:type="spellStart"/>
      <w:r>
        <w:rPr>
          <w:szCs w:val="22"/>
          <w:lang w:eastAsia="sl-SI"/>
        </w:rPr>
        <w:t>antihipertenzinis</w:t>
      </w:r>
      <w:proofErr w:type="spellEnd"/>
      <w:r>
        <w:rPr>
          <w:szCs w:val="22"/>
          <w:lang w:eastAsia="sl-SI"/>
        </w:rPr>
        <w:t xml:space="preserve"> veiksmingumas yra panašus į kitoms </w:t>
      </w:r>
      <w:proofErr w:type="spellStart"/>
      <w:r>
        <w:rPr>
          <w:szCs w:val="22"/>
          <w:lang w:eastAsia="sl-SI"/>
        </w:rPr>
        <w:t>antihipertenzinių</w:t>
      </w:r>
      <w:proofErr w:type="spellEnd"/>
      <w:r>
        <w:rPr>
          <w:szCs w:val="22"/>
          <w:lang w:eastAsia="sl-SI"/>
        </w:rPr>
        <w:t xml:space="preserve"> vaistinių preparatų klasėms priklausančių medžiagų veiksmingumą (tai įrodyta klinikiniais tyrimais, kurių metu </w:t>
      </w:r>
      <w:proofErr w:type="spellStart"/>
      <w:r>
        <w:rPr>
          <w:szCs w:val="22"/>
          <w:lang w:eastAsia="sl-SI"/>
        </w:rPr>
        <w:t>telmisartanas</w:t>
      </w:r>
      <w:proofErr w:type="spellEnd"/>
      <w:r>
        <w:rPr>
          <w:szCs w:val="22"/>
          <w:lang w:eastAsia="sl-SI"/>
        </w:rPr>
        <w:t xml:space="preserve"> lygintas su </w:t>
      </w:r>
      <w:proofErr w:type="spellStart"/>
      <w:r>
        <w:rPr>
          <w:szCs w:val="22"/>
          <w:lang w:eastAsia="sl-SI"/>
        </w:rPr>
        <w:t>amlodipinu</w:t>
      </w:r>
      <w:proofErr w:type="spellEnd"/>
      <w:r>
        <w:rPr>
          <w:szCs w:val="22"/>
          <w:lang w:eastAsia="sl-SI"/>
        </w:rPr>
        <w:t xml:space="preserve">, </w:t>
      </w:r>
      <w:proofErr w:type="spellStart"/>
      <w:r>
        <w:rPr>
          <w:szCs w:val="22"/>
          <w:lang w:eastAsia="sl-SI"/>
        </w:rPr>
        <w:t>atenololiu</w:t>
      </w:r>
      <w:proofErr w:type="spellEnd"/>
      <w:r>
        <w:rPr>
          <w:szCs w:val="22"/>
          <w:lang w:eastAsia="sl-SI"/>
        </w:rPr>
        <w:t xml:space="preserve">, </w:t>
      </w:r>
      <w:proofErr w:type="spellStart"/>
      <w:r>
        <w:rPr>
          <w:szCs w:val="22"/>
          <w:lang w:eastAsia="sl-SI"/>
        </w:rPr>
        <w:t>enalapriliu</w:t>
      </w:r>
      <w:proofErr w:type="spellEnd"/>
      <w:r>
        <w:rPr>
          <w:szCs w:val="22"/>
          <w:lang w:eastAsia="sl-SI"/>
        </w:rPr>
        <w:t xml:space="preserve">, </w:t>
      </w:r>
      <w:proofErr w:type="spellStart"/>
      <w:r>
        <w:rPr>
          <w:szCs w:val="22"/>
          <w:lang w:eastAsia="sl-SI"/>
        </w:rPr>
        <w:t>hidrochlorotiazidu</w:t>
      </w:r>
      <w:proofErr w:type="spellEnd"/>
      <w:r>
        <w:rPr>
          <w:szCs w:val="22"/>
          <w:lang w:eastAsia="sl-SI"/>
        </w:rPr>
        <w:t xml:space="preserve"> bei </w:t>
      </w:r>
      <w:proofErr w:type="spellStart"/>
      <w:r>
        <w:rPr>
          <w:szCs w:val="22"/>
          <w:lang w:eastAsia="sl-SI"/>
        </w:rPr>
        <w:t>lizinopriliu</w:t>
      </w:r>
      <w:proofErr w:type="spellEnd"/>
      <w:r>
        <w:rPr>
          <w:szCs w:val="22"/>
          <w:lang w:eastAsia="sl-SI"/>
        </w:rPr>
        <w:t>).</w:t>
      </w:r>
    </w:p>
    <w:p w14:paraId="47947DB1" w14:textId="77777777" w:rsidR="00D25008" w:rsidRDefault="00D25008">
      <w:pPr>
        <w:autoSpaceDE w:val="0"/>
        <w:autoSpaceDN w:val="0"/>
        <w:adjustRightInd w:val="0"/>
        <w:rPr>
          <w:szCs w:val="22"/>
          <w:lang w:eastAsia="sl-SI"/>
        </w:rPr>
      </w:pPr>
    </w:p>
    <w:p w14:paraId="26A6BE21" w14:textId="77777777" w:rsidR="00D25008" w:rsidRDefault="00FE2A61">
      <w:pPr>
        <w:autoSpaceDE w:val="0"/>
        <w:autoSpaceDN w:val="0"/>
        <w:adjustRightInd w:val="0"/>
        <w:rPr>
          <w:szCs w:val="22"/>
          <w:lang w:eastAsia="sl-SI"/>
        </w:rPr>
      </w:pPr>
      <w:r>
        <w:rPr>
          <w:szCs w:val="22"/>
          <w:lang w:eastAsia="sl-SI"/>
        </w:rPr>
        <w:t xml:space="preserve">Staigiai nutraukus </w:t>
      </w:r>
      <w:proofErr w:type="spellStart"/>
      <w:r>
        <w:rPr>
          <w:szCs w:val="22"/>
          <w:lang w:eastAsia="sl-SI"/>
        </w:rPr>
        <w:t>telmisartano</w:t>
      </w:r>
      <w:proofErr w:type="spellEnd"/>
      <w:r>
        <w:rPr>
          <w:szCs w:val="22"/>
          <w:lang w:eastAsia="sl-SI"/>
        </w:rPr>
        <w:t xml:space="preserve"> vartojimą, kraujospūdis palaipsniui per kelias dienas tampa toks, koks buvo prieš gydymą, atoveiksmio hipertenzija nepasireiškia.</w:t>
      </w:r>
    </w:p>
    <w:p w14:paraId="65D8AEC2" w14:textId="77777777" w:rsidR="00D25008" w:rsidRDefault="00FE2A61">
      <w:pPr>
        <w:autoSpaceDE w:val="0"/>
        <w:autoSpaceDN w:val="0"/>
        <w:adjustRightInd w:val="0"/>
        <w:rPr>
          <w:szCs w:val="22"/>
          <w:lang w:eastAsia="sl-SI"/>
        </w:rPr>
      </w:pPr>
      <w:r>
        <w:rPr>
          <w:szCs w:val="22"/>
          <w:lang w:eastAsia="sl-SI"/>
        </w:rPr>
        <w:t xml:space="preserve">Klinikinių tyrimų metu </w:t>
      </w:r>
      <w:proofErr w:type="spellStart"/>
      <w:r>
        <w:rPr>
          <w:szCs w:val="22"/>
          <w:lang w:eastAsia="sl-SI"/>
        </w:rPr>
        <w:t>telmisartano</w:t>
      </w:r>
      <w:proofErr w:type="spellEnd"/>
      <w:r>
        <w:rPr>
          <w:szCs w:val="22"/>
          <w:lang w:eastAsia="sl-SI"/>
        </w:rPr>
        <w:t xml:space="preserve"> vartojantiems pacientams sausas kosulys pasireikšdavo daug rečiau negu pacientams, vartojantiems </w:t>
      </w:r>
      <w:proofErr w:type="spellStart"/>
      <w:r>
        <w:rPr>
          <w:szCs w:val="22"/>
          <w:lang w:eastAsia="sl-SI"/>
        </w:rPr>
        <w:t>angiotenziną</w:t>
      </w:r>
      <w:proofErr w:type="spellEnd"/>
      <w:r>
        <w:rPr>
          <w:szCs w:val="22"/>
          <w:lang w:eastAsia="sl-SI"/>
        </w:rPr>
        <w:t xml:space="preserve"> konvertuojančio fermento inhibitorių (vaistinių preparatų poveikis lygintas tiesiogiai).</w:t>
      </w:r>
    </w:p>
    <w:p w14:paraId="44B54036" w14:textId="77777777" w:rsidR="00D25008" w:rsidRDefault="00D25008">
      <w:pPr>
        <w:autoSpaceDE w:val="0"/>
        <w:autoSpaceDN w:val="0"/>
        <w:adjustRightInd w:val="0"/>
        <w:rPr>
          <w:szCs w:val="22"/>
          <w:lang w:eastAsia="sl-SI"/>
        </w:rPr>
      </w:pPr>
    </w:p>
    <w:p w14:paraId="786D3B7E" w14:textId="77777777" w:rsidR="00D25008" w:rsidRDefault="00FE2A61">
      <w:pPr>
        <w:autoSpaceDE w:val="0"/>
        <w:autoSpaceDN w:val="0"/>
        <w:adjustRightInd w:val="0"/>
        <w:rPr>
          <w:szCs w:val="22"/>
          <w:lang w:eastAsia="sl-SI"/>
        </w:rPr>
      </w:pPr>
      <w:r>
        <w:rPr>
          <w:szCs w:val="22"/>
          <w:lang w:eastAsia="sl-SI"/>
        </w:rPr>
        <w:t xml:space="preserve">Hipertenzija sergantiems pacientams kartą per parą vartojamas </w:t>
      </w:r>
      <w:proofErr w:type="spellStart"/>
      <w:r>
        <w:rPr>
          <w:szCs w:val="22"/>
          <w:lang w:eastAsia="sl-SI"/>
        </w:rPr>
        <w:t>amlodipinas</w:t>
      </w:r>
      <w:proofErr w:type="spellEnd"/>
      <w:r>
        <w:rPr>
          <w:szCs w:val="22"/>
          <w:lang w:eastAsia="sl-SI"/>
        </w:rPr>
        <w:t xml:space="preserve"> kraujospūdį tiek gulint, tiek stovint kliniškai reikšmingai mažina 24 valandų laikotarpiu. Staigios </w:t>
      </w:r>
      <w:proofErr w:type="spellStart"/>
      <w:r>
        <w:rPr>
          <w:szCs w:val="22"/>
          <w:lang w:eastAsia="sl-SI"/>
        </w:rPr>
        <w:t>hipotenzijos</w:t>
      </w:r>
      <w:proofErr w:type="spellEnd"/>
      <w:r>
        <w:rPr>
          <w:szCs w:val="22"/>
          <w:lang w:eastAsia="sl-SI"/>
        </w:rPr>
        <w:t xml:space="preserve"> </w:t>
      </w:r>
      <w:proofErr w:type="spellStart"/>
      <w:r>
        <w:rPr>
          <w:szCs w:val="22"/>
          <w:lang w:eastAsia="sl-SI"/>
        </w:rPr>
        <w:t>amlodipinas</w:t>
      </w:r>
      <w:proofErr w:type="spellEnd"/>
      <w:r>
        <w:rPr>
          <w:szCs w:val="22"/>
          <w:lang w:eastAsia="sl-SI"/>
        </w:rPr>
        <w:t xml:space="preserve"> nesukelia, nes poveikis prasideda lėtai. </w:t>
      </w:r>
      <w:proofErr w:type="spellStart"/>
      <w:r>
        <w:rPr>
          <w:szCs w:val="22"/>
          <w:lang w:eastAsia="sl-SI"/>
        </w:rPr>
        <w:t>Amlodipino</w:t>
      </w:r>
      <w:proofErr w:type="spellEnd"/>
      <w:r>
        <w:rPr>
          <w:szCs w:val="22"/>
          <w:lang w:eastAsia="sl-SI"/>
        </w:rPr>
        <w:t xml:space="preserve"> vartojimas nesiejamas su nepageidaujamu poveikiu medžiagų apykaitai ar kraujo plazmos lipidų kiekio pokyčiais, jis tinka pacientams, sergantiems astma, cukriniu diabetu bei podagra.</w:t>
      </w:r>
      <w:r>
        <w:rPr>
          <w:szCs w:val="22"/>
          <w:lang w:eastAsia="sl-SI"/>
        </w:rPr>
        <w:cr/>
      </w:r>
    </w:p>
    <w:p w14:paraId="119055D9" w14:textId="77777777" w:rsidR="00D25008" w:rsidRDefault="00FE2A61">
      <w:pPr>
        <w:autoSpaceDE w:val="0"/>
        <w:autoSpaceDN w:val="0"/>
        <w:adjustRightInd w:val="0"/>
        <w:rPr>
          <w:szCs w:val="22"/>
          <w:lang w:eastAsia="sl-SI"/>
        </w:rPr>
      </w:pPr>
      <w:r>
        <w:rPr>
          <w:szCs w:val="22"/>
          <w:lang w:eastAsia="sl-SI"/>
        </w:rPr>
        <w:t xml:space="preserve">Pavartojus </w:t>
      </w:r>
      <w:proofErr w:type="spellStart"/>
      <w:r>
        <w:rPr>
          <w:szCs w:val="22"/>
          <w:lang w:eastAsia="sl-SI"/>
        </w:rPr>
        <w:t>hidrochlorotiazido</w:t>
      </w:r>
      <w:proofErr w:type="spellEnd"/>
      <w:r>
        <w:rPr>
          <w:szCs w:val="22"/>
          <w:lang w:eastAsia="sl-SI"/>
        </w:rPr>
        <w:t>, diurezė prasideda 2 valandų laikotarpiu, stipriausias poveikis būna maždaug po 4 valandų, poveikis išlieka maždaug 6</w:t>
      </w:r>
      <w:r>
        <w:rPr>
          <w:szCs w:val="22"/>
          <w:lang w:eastAsia="sl-SI"/>
        </w:rPr>
        <w:noBreakHyphen/>
        <w:t>12 valandų.</w:t>
      </w:r>
    </w:p>
    <w:p w14:paraId="693A3015" w14:textId="77777777" w:rsidR="00D25008" w:rsidRDefault="00D25008">
      <w:pPr>
        <w:autoSpaceDE w:val="0"/>
        <w:autoSpaceDN w:val="0"/>
        <w:adjustRightInd w:val="0"/>
        <w:rPr>
          <w:szCs w:val="22"/>
          <w:lang w:eastAsia="sl-SI"/>
        </w:rPr>
      </w:pPr>
    </w:p>
    <w:p w14:paraId="7853960E" w14:textId="77777777" w:rsidR="00D25008" w:rsidRDefault="00FE2A61">
      <w:pPr>
        <w:autoSpaceDE w:val="0"/>
        <w:autoSpaceDN w:val="0"/>
        <w:adjustRightInd w:val="0"/>
        <w:rPr>
          <w:szCs w:val="22"/>
          <w:u w:val="single"/>
          <w:lang w:eastAsia="sl-SI"/>
        </w:rPr>
      </w:pPr>
      <w:r>
        <w:rPr>
          <w:szCs w:val="22"/>
          <w:u w:val="single"/>
          <w:lang w:eastAsia="sl-SI"/>
        </w:rPr>
        <w:t>Trigubo derinio klinikinis veiksmingumas ir saugumas</w:t>
      </w:r>
    </w:p>
    <w:p w14:paraId="39B07DAA" w14:textId="77777777" w:rsidR="00D25008" w:rsidRDefault="00D25008">
      <w:pPr>
        <w:autoSpaceDE w:val="0"/>
        <w:autoSpaceDN w:val="0"/>
        <w:adjustRightInd w:val="0"/>
        <w:rPr>
          <w:szCs w:val="22"/>
          <w:lang w:eastAsia="sl-SI"/>
        </w:rPr>
      </w:pPr>
    </w:p>
    <w:p w14:paraId="42D1AFDC" w14:textId="77777777" w:rsidR="00D25008" w:rsidRDefault="00FE2A61">
      <w:pPr>
        <w:autoSpaceDE w:val="0"/>
        <w:autoSpaceDN w:val="0"/>
        <w:adjustRightInd w:val="0"/>
        <w:rPr>
          <w:szCs w:val="22"/>
          <w:lang w:eastAsia="sl-SI"/>
        </w:rPr>
      </w:pPr>
      <w:r>
        <w:rPr>
          <w:szCs w:val="22"/>
          <w:lang w:eastAsia="sl-SI"/>
        </w:rPr>
        <w:t xml:space="preserve">Klinikinio tyrimo (N=393) metu vertinant </w:t>
      </w:r>
      <w:proofErr w:type="spellStart"/>
      <w:r>
        <w:rPr>
          <w:szCs w:val="22"/>
          <w:lang w:eastAsia="sl-SI"/>
        </w:rPr>
        <w:t>telmisartano</w:t>
      </w:r>
      <w:proofErr w:type="spellEnd"/>
      <w:r>
        <w:rPr>
          <w:szCs w:val="22"/>
          <w:lang w:eastAsia="sl-SI"/>
        </w:rPr>
        <w:t xml:space="preserve"> 80 mg/</w:t>
      </w:r>
      <w:proofErr w:type="spellStart"/>
      <w:r>
        <w:rPr>
          <w:szCs w:val="22"/>
          <w:lang w:eastAsia="sl-SI"/>
        </w:rPr>
        <w:t>amlodipino</w:t>
      </w:r>
      <w:proofErr w:type="spellEnd"/>
      <w:r>
        <w:rPr>
          <w:szCs w:val="22"/>
          <w:lang w:eastAsia="sl-SI"/>
        </w:rPr>
        <w:t xml:space="preserve"> 5 mg/</w:t>
      </w:r>
      <w:proofErr w:type="spellStart"/>
      <w:r>
        <w:rPr>
          <w:szCs w:val="22"/>
          <w:lang w:eastAsia="sl-SI"/>
        </w:rPr>
        <w:t>hidrochlorotiazido</w:t>
      </w:r>
      <w:proofErr w:type="spellEnd"/>
      <w:r>
        <w:rPr>
          <w:szCs w:val="22"/>
          <w:lang w:eastAsia="sl-SI"/>
        </w:rPr>
        <w:t xml:space="preserve"> 12,5 mg (TAH 80/5/12,5 mg) veiksmingumą ir saugumą gydant pacientus, kurių hipertenzija nebuvo sureguliuota </w:t>
      </w:r>
      <w:proofErr w:type="spellStart"/>
      <w:r>
        <w:rPr>
          <w:szCs w:val="22"/>
          <w:lang w:eastAsia="sl-SI"/>
        </w:rPr>
        <w:t>telmisartanu</w:t>
      </w:r>
      <w:proofErr w:type="spellEnd"/>
      <w:r>
        <w:rPr>
          <w:szCs w:val="22"/>
          <w:lang w:eastAsia="sl-SI"/>
        </w:rPr>
        <w:t xml:space="preserve"> 80 mg/</w:t>
      </w:r>
      <w:proofErr w:type="spellStart"/>
      <w:r>
        <w:rPr>
          <w:szCs w:val="22"/>
          <w:lang w:eastAsia="sl-SI"/>
        </w:rPr>
        <w:t>amlodipinu</w:t>
      </w:r>
      <w:proofErr w:type="spellEnd"/>
      <w:r>
        <w:rPr>
          <w:szCs w:val="22"/>
          <w:lang w:eastAsia="sl-SI"/>
        </w:rPr>
        <w:t xml:space="preserve"> 5 mg (TA 80/5 mg), pacientai, kuriems kraujospūdis buvo nuolat padidėjęs, buvo įtraukti į 8 savaičių dvigubai koduotą laikotarpį. Tie pacientai, kurie nepasiekė tikslinio rodmens po 6 savaičių įtraukimo laikotarpio, atsitiktine tvarka buvo priskirti vartoti arba TAH 80/5/12,5 mg, arba TA 80/5 mg. Po 8 gydymo savaičių trigubo derinio grupėje nustatytas žymiai didesnis pakoreguotas vidutinis sėdint išmatuoto DKS ir SKS sumažėjimas, palyginti su dviejų derinių grupe, skirtumas buvo -3,9 </w:t>
      </w:r>
      <w:proofErr w:type="spellStart"/>
      <w:r>
        <w:rPr>
          <w:szCs w:val="22"/>
          <w:lang w:eastAsia="sl-SI"/>
        </w:rPr>
        <w:t>mmHg</w:t>
      </w:r>
      <w:proofErr w:type="spellEnd"/>
      <w:r>
        <w:rPr>
          <w:szCs w:val="22"/>
          <w:lang w:eastAsia="sl-SI"/>
        </w:rPr>
        <w:t xml:space="preserve"> (95 % PI: nuo -5,3 iki -2,4; P &lt; 0,0001). ir -5,3 </w:t>
      </w:r>
      <w:proofErr w:type="spellStart"/>
      <w:r>
        <w:rPr>
          <w:szCs w:val="22"/>
          <w:lang w:eastAsia="sl-SI"/>
        </w:rPr>
        <w:t>mmHg</w:t>
      </w:r>
      <w:proofErr w:type="spellEnd"/>
      <w:r>
        <w:rPr>
          <w:szCs w:val="22"/>
          <w:lang w:eastAsia="sl-SI"/>
        </w:rPr>
        <w:t xml:space="preserve"> (95 PI: nuo -7,6 iki -3,1; P &lt; 0,000l), atitinkamai.</w:t>
      </w:r>
    </w:p>
    <w:p w14:paraId="0154613E" w14:textId="77777777" w:rsidR="00D25008" w:rsidRDefault="00D25008">
      <w:pPr>
        <w:autoSpaceDE w:val="0"/>
        <w:autoSpaceDN w:val="0"/>
        <w:adjustRightInd w:val="0"/>
        <w:rPr>
          <w:szCs w:val="22"/>
          <w:lang w:eastAsia="sl-SI"/>
        </w:rPr>
      </w:pPr>
    </w:p>
    <w:p w14:paraId="1D234498" w14:textId="77777777" w:rsidR="00D25008" w:rsidRDefault="00FE2A61">
      <w:pPr>
        <w:autoSpaceDE w:val="0"/>
        <w:autoSpaceDN w:val="0"/>
        <w:adjustRightInd w:val="0"/>
        <w:rPr>
          <w:szCs w:val="22"/>
          <w:lang w:eastAsia="sl-SI"/>
        </w:rPr>
      </w:pPr>
      <w:r>
        <w:rPr>
          <w:szCs w:val="22"/>
          <w:lang w:eastAsia="sl-SI"/>
        </w:rPr>
        <w:t xml:space="preserve">Kito tyrimo (N=132) tikslas buvo palyginti kraujospūdį mažinantį TAH 80/5/12,5 poveikį ir </w:t>
      </w:r>
      <w:proofErr w:type="spellStart"/>
      <w:r>
        <w:rPr>
          <w:szCs w:val="22"/>
          <w:lang w:eastAsia="sl-SI"/>
        </w:rPr>
        <w:t>telmisartano</w:t>
      </w:r>
      <w:proofErr w:type="spellEnd"/>
      <w:r>
        <w:rPr>
          <w:szCs w:val="22"/>
          <w:lang w:eastAsia="sl-SI"/>
        </w:rPr>
        <w:t xml:space="preserve"> 80 mg/</w:t>
      </w:r>
      <w:proofErr w:type="spellStart"/>
      <w:r>
        <w:rPr>
          <w:szCs w:val="22"/>
          <w:lang w:eastAsia="sl-SI"/>
        </w:rPr>
        <w:t>hidrochlorotiazido</w:t>
      </w:r>
      <w:proofErr w:type="spellEnd"/>
      <w:r>
        <w:rPr>
          <w:szCs w:val="22"/>
          <w:lang w:eastAsia="sl-SI"/>
        </w:rPr>
        <w:t xml:space="preserve"> 12,5 mg (TH 80/12,5) poveikį nepakankamai sureguliuota pirmine hipertenzija sergantiems pacientams. Pacientai buvo suskirstyti į atsitiktines imtis ir jiems buvo skirtas dvigubai koduotas gydymas arba TAH, arba TH 8 savaitėms po 6 savaičių įtraukimo laikotarpio vartojant TH 80/12,5 mg. Po 8 gydymo savaičių trigubo derinio grupėje nustatytas žymiai </w:t>
      </w:r>
      <w:r>
        <w:rPr>
          <w:szCs w:val="22"/>
          <w:lang w:eastAsia="sl-SI"/>
        </w:rPr>
        <w:lastRenderedPageBreak/>
        <w:t>didesnis pakoreguotas vidutinis sėdint išmatuoto DKS ir SKS sumažėjimas, palyginti su dviejų derinių grupe, skirtumas buvo -6,2 </w:t>
      </w:r>
      <w:proofErr w:type="spellStart"/>
      <w:r>
        <w:rPr>
          <w:szCs w:val="22"/>
          <w:lang w:eastAsia="sl-SI"/>
        </w:rPr>
        <w:t>mmHg</w:t>
      </w:r>
      <w:proofErr w:type="spellEnd"/>
      <w:r>
        <w:rPr>
          <w:szCs w:val="22"/>
          <w:lang w:eastAsia="sl-SI"/>
        </w:rPr>
        <w:t xml:space="preserve"> (95 % PI: -8,6 iki -3,8; P &lt; 0,0001). ir -8,6 </w:t>
      </w:r>
      <w:proofErr w:type="spellStart"/>
      <w:r>
        <w:rPr>
          <w:szCs w:val="22"/>
          <w:lang w:eastAsia="sl-SI"/>
        </w:rPr>
        <w:t>mmHg</w:t>
      </w:r>
      <w:proofErr w:type="spellEnd"/>
      <w:r>
        <w:rPr>
          <w:szCs w:val="22"/>
          <w:lang w:eastAsia="sl-SI"/>
        </w:rPr>
        <w:t xml:space="preserve"> (95 PI: nuo -13,0 iki -4,1; P = 0,0002).</w:t>
      </w:r>
    </w:p>
    <w:p w14:paraId="6D0B301E" w14:textId="77777777" w:rsidR="00D25008" w:rsidRDefault="00D25008">
      <w:pPr>
        <w:autoSpaceDE w:val="0"/>
        <w:autoSpaceDN w:val="0"/>
        <w:adjustRightInd w:val="0"/>
        <w:rPr>
          <w:szCs w:val="22"/>
          <w:lang w:eastAsia="sl-SI"/>
        </w:rPr>
      </w:pPr>
    </w:p>
    <w:p w14:paraId="6141DD61" w14:textId="77777777" w:rsidR="00D25008" w:rsidRDefault="00FE2A61">
      <w:pPr>
        <w:autoSpaceDE w:val="0"/>
        <w:autoSpaceDN w:val="0"/>
        <w:adjustRightInd w:val="0"/>
        <w:rPr>
          <w:szCs w:val="22"/>
          <w:lang w:eastAsia="sl-SI"/>
        </w:rPr>
      </w:pPr>
      <w:r>
        <w:rPr>
          <w:szCs w:val="22"/>
          <w:lang w:eastAsia="sl-SI"/>
        </w:rPr>
        <w:t xml:space="preserve">8 savaičių trukmės tyrime (N=310) hipertenzija sergantys pacientai dalyvavo 4 savaičių trukmės įtraukimo laikotarpyje ir vartojo TA 40/5 mg. Pacientai, kurių hipertenzija po 4 savaičių buvo nesureguliuota, nepaisant gydymo TA, buvo suskirstyti į atsitiktines imtis ir 2 savaites vartojo arba TAH 40/5/12,5 mg, arba TA 40/5 mg. Po to pacientai 6 savaites buvo gydomi didesne TAH 80/10/12,5 mg ir TA 80/10 mg doze. TAH grupėje buvo nustatytas reikšmingai didesnis vidutinio sėdint išmatuoto SKS sumažėjimas, palyginti su rezultatais TA grupėje (-18,7, [1,1] palyginti su -12,2 [1,1] mm </w:t>
      </w:r>
      <w:proofErr w:type="spellStart"/>
      <w:r>
        <w:rPr>
          <w:szCs w:val="22"/>
          <w:lang w:eastAsia="sl-SI"/>
        </w:rPr>
        <w:t>Hg</w:t>
      </w:r>
      <w:proofErr w:type="spellEnd"/>
      <w:r>
        <w:rPr>
          <w:szCs w:val="22"/>
          <w:lang w:eastAsia="sl-SI"/>
        </w:rPr>
        <w:t xml:space="preserve"> P &lt; 0,001). Panašūs rezultatai buvo gauti vertinant vidutinį sėdint išmatuoto DKS pokytį (9,3 [0,6] prieš -7,0 [0,6] </w:t>
      </w:r>
      <w:proofErr w:type="spellStart"/>
      <w:r>
        <w:rPr>
          <w:szCs w:val="22"/>
          <w:lang w:eastAsia="sl-SI"/>
        </w:rPr>
        <w:t>mmHg</w:t>
      </w:r>
      <w:proofErr w:type="spellEnd"/>
      <w:r>
        <w:rPr>
          <w:szCs w:val="22"/>
          <w:lang w:eastAsia="sl-SI"/>
        </w:rPr>
        <w:t>; P = 0,013).</w:t>
      </w:r>
    </w:p>
    <w:p w14:paraId="36D6B8D1" w14:textId="77777777" w:rsidR="00D25008" w:rsidRDefault="00D25008">
      <w:pPr>
        <w:autoSpaceDE w:val="0"/>
        <w:autoSpaceDN w:val="0"/>
        <w:adjustRightInd w:val="0"/>
        <w:rPr>
          <w:szCs w:val="22"/>
          <w:lang w:eastAsia="sl-SI"/>
        </w:rPr>
      </w:pPr>
    </w:p>
    <w:p w14:paraId="667CF6F3" w14:textId="77777777" w:rsidR="00D25008" w:rsidRDefault="00FE2A61">
      <w:pPr>
        <w:autoSpaceDE w:val="0"/>
        <w:autoSpaceDN w:val="0"/>
        <w:adjustRightInd w:val="0"/>
        <w:rPr>
          <w:szCs w:val="22"/>
          <w:u w:val="single"/>
          <w:lang w:eastAsia="sl-SI"/>
        </w:rPr>
      </w:pPr>
      <w:r>
        <w:rPr>
          <w:szCs w:val="22"/>
          <w:u w:val="single"/>
          <w:lang w:eastAsia="sl-SI"/>
        </w:rPr>
        <w:t>Klinikinis dviejų derinių veiksmingumas ir saugumas</w:t>
      </w:r>
    </w:p>
    <w:p w14:paraId="631ABDFD" w14:textId="77777777" w:rsidR="00D25008" w:rsidRDefault="00D25008">
      <w:pPr>
        <w:autoSpaceDE w:val="0"/>
        <w:autoSpaceDN w:val="0"/>
        <w:adjustRightInd w:val="0"/>
        <w:rPr>
          <w:szCs w:val="22"/>
          <w:lang w:eastAsia="sl-SI"/>
        </w:rPr>
      </w:pPr>
    </w:p>
    <w:p w14:paraId="13F77A77" w14:textId="77777777" w:rsidR="00D25008" w:rsidRDefault="00FE2A61">
      <w:pPr>
        <w:autoSpaceDE w:val="0"/>
        <w:autoSpaceDN w:val="0"/>
        <w:adjustRightInd w:val="0"/>
        <w:rPr>
          <w:szCs w:val="22"/>
          <w:lang w:eastAsia="sl-SI"/>
        </w:rPr>
      </w:pPr>
      <w:r>
        <w:rPr>
          <w:szCs w:val="22"/>
          <w:lang w:eastAsia="sl-SI"/>
        </w:rPr>
        <w:t xml:space="preserve">Dvigubai koduoto kontroliuoto klinikinio tyrimo (veiksmingumas vertintas 687 pacientams), kuriame dalyvavo į gydymą </w:t>
      </w:r>
      <w:proofErr w:type="spellStart"/>
      <w:r>
        <w:rPr>
          <w:szCs w:val="22"/>
          <w:lang w:eastAsia="sl-SI"/>
        </w:rPr>
        <w:t>telmisartano</w:t>
      </w:r>
      <w:proofErr w:type="spellEnd"/>
      <w:r>
        <w:rPr>
          <w:szCs w:val="22"/>
          <w:lang w:eastAsia="sl-SI"/>
        </w:rPr>
        <w:t>/</w:t>
      </w:r>
      <w:proofErr w:type="spellStart"/>
      <w:r>
        <w:rPr>
          <w:szCs w:val="22"/>
          <w:lang w:eastAsia="sl-SI"/>
        </w:rPr>
        <w:t>hidrochlorotiazido</w:t>
      </w:r>
      <w:proofErr w:type="spellEnd"/>
      <w:r>
        <w:rPr>
          <w:szCs w:val="22"/>
          <w:lang w:eastAsia="sl-SI"/>
        </w:rPr>
        <w:t xml:space="preserve"> 80 mg/12,5 mg deriniu nereagavę pacientai, metu buvo nustatytas stiprėjantis kraujospūdį mažinantis poveikis vartojant 80 mg/25 mg derinį, palyginti su gydymo 80 mg/12,5 mg derinio tęsimu (2,7/1,6 </w:t>
      </w:r>
      <w:proofErr w:type="spellStart"/>
      <w:r>
        <w:rPr>
          <w:szCs w:val="22"/>
          <w:lang w:eastAsia="sl-SI"/>
        </w:rPr>
        <w:t>mmHg</w:t>
      </w:r>
      <w:proofErr w:type="spellEnd"/>
      <w:r>
        <w:rPr>
          <w:szCs w:val="22"/>
          <w:lang w:eastAsia="sl-SI"/>
        </w:rPr>
        <w:t xml:space="preserve"> (SKS/DKS) (koreguoto vidutinio pokyčio nuo pradinio rodmens skirtumas). Tolesnio stebėjimo tyrime vartojant 80 mg/25 mg derinį, kraujospūdis sumažėjo dar labiau (bendrasis sumažėjimas 11,5/9,9 mm </w:t>
      </w:r>
      <w:proofErr w:type="spellStart"/>
      <w:r>
        <w:rPr>
          <w:szCs w:val="22"/>
          <w:lang w:eastAsia="sl-SI"/>
        </w:rPr>
        <w:t>Hg</w:t>
      </w:r>
      <w:proofErr w:type="spellEnd"/>
      <w:r>
        <w:rPr>
          <w:szCs w:val="22"/>
          <w:lang w:eastAsia="sl-SI"/>
        </w:rPr>
        <w:t xml:space="preserve"> (SKS/DKS).</w:t>
      </w:r>
    </w:p>
    <w:p w14:paraId="1821DBC2" w14:textId="77777777" w:rsidR="00D25008" w:rsidRDefault="00D25008">
      <w:pPr>
        <w:autoSpaceDE w:val="0"/>
        <w:autoSpaceDN w:val="0"/>
        <w:adjustRightInd w:val="0"/>
        <w:rPr>
          <w:szCs w:val="22"/>
          <w:lang w:eastAsia="sl-SI"/>
        </w:rPr>
      </w:pPr>
    </w:p>
    <w:p w14:paraId="65F8619D" w14:textId="77777777" w:rsidR="00D25008" w:rsidRDefault="00FE2A61">
      <w:pPr>
        <w:autoSpaceDE w:val="0"/>
        <w:autoSpaceDN w:val="0"/>
        <w:adjustRightInd w:val="0"/>
        <w:rPr>
          <w:szCs w:val="22"/>
          <w:lang w:eastAsia="sl-SI"/>
        </w:rPr>
      </w:pPr>
      <w:r>
        <w:rPr>
          <w:szCs w:val="22"/>
          <w:lang w:eastAsia="sl-SI"/>
        </w:rPr>
        <w:t xml:space="preserve">Atlikus apibendrintą dviejų panašių 8 savaičių trukmės dvigubai koduotų placebu kontroliuotų klinikinių tyrimų, kai poveikis lygintas su </w:t>
      </w:r>
      <w:proofErr w:type="spellStart"/>
      <w:r>
        <w:rPr>
          <w:szCs w:val="22"/>
          <w:lang w:eastAsia="sl-SI"/>
        </w:rPr>
        <w:t>valsartanu</w:t>
      </w:r>
      <w:proofErr w:type="spellEnd"/>
      <w:r>
        <w:rPr>
          <w:szCs w:val="22"/>
          <w:lang w:eastAsia="sl-SI"/>
        </w:rPr>
        <w:t>/</w:t>
      </w:r>
      <w:proofErr w:type="spellStart"/>
      <w:r>
        <w:rPr>
          <w:szCs w:val="22"/>
          <w:lang w:eastAsia="sl-SI"/>
        </w:rPr>
        <w:t>hidrochlorotiazidu</w:t>
      </w:r>
      <w:proofErr w:type="spellEnd"/>
      <w:r>
        <w:rPr>
          <w:szCs w:val="22"/>
          <w:lang w:eastAsia="sl-SI"/>
        </w:rPr>
        <w:t xml:space="preserve"> 160 mg/25 mg (veiksmingumas vertintas 2121 pacientui), analizę, nustatytas reikšmingai stipresnis kraujospūdį mažinantis poveikis (2,2/1,2 mm </w:t>
      </w:r>
      <w:proofErr w:type="spellStart"/>
      <w:r>
        <w:rPr>
          <w:szCs w:val="22"/>
          <w:lang w:eastAsia="sl-SI"/>
        </w:rPr>
        <w:t>Hg</w:t>
      </w:r>
      <w:proofErr w:type="spellEnd"/>
      <w:r>
        <w:rPr>
          <w:szCs w:val="22"/>
          <w:lang w:eastAsia="sl-SI"/>
        </w:rPr>
        <w:t xml:space="preserve"> (SKS/DKS) (atitinkamai koreguoto vidutinio pokyčio nuo pradinio rodmens skirtumas) vartojant </w:t>
      </w:r>
      <w:proofErr w:type="spellStart"/>
      <w:r>
        <w:rPr>
          <w:szCs w:val="22"/>
          <w:lang w:eastAsia="sl-SI"/>
        </w:rPr>
        <w:t>telmisartano</w:t>
      </w:r>
      <w:proofErr w:type="spellEnd"/>
      <w:r>
        <w:rPr>
          <w:szCs w:val="22"/>
          <w:lang w:eastAsia="sl-SI"/>
        </w:rPr>
        <w:t>/</w:t>
      </w:r>
      <w:proofErr w:type="spellStart"/>
      <w:r>
        <w:rPr>
          <w:szCs w:val="22"/>
          <w:lang w:eastAsia="sl-SI"/>
        </w:rPr>
        <w:t>hidrochlorotiazido</w:t>
      </w:r>
      <w:proofErr w:type="spellEnd"/>
      <w:r>
        <w:rPr>
          <w:szCs w:val="22"/>
          <w:lang w:eastAsia="sl-SI"/>
        </w:rPr>
        <w:t xml:space="preserve"> 80 mg/25 mg derinį.</w:t>
      </w:r>
    </w:p>
    <w:p w14:paraId="04C5B076" w14:textId="77777777" w:rsidR="00D25008" w:rsidRDefault="00D25008">
      <w:pPr>
        <w:autoSpaceDE w:val="0"/>
        <w:autoSpaceDN w:val="0"/>
        <w:adjustRightInd w:val="0"/>
        <w:rPr>
          <w:szCs w:val="22"/>
          <w:lang w:eastAsia="sl-SI"/>
        </w:rPr>
      </w:pPr>
    </w:p>
    <w:p w14:paraId="2F0F4BFA" w14:textId="77777777" w:rsidR="00D25008" w:rsidRDefault="00FE2A61">
      <w:pPr>
        <w:widowControl w:val="0"/>
        <w:autoSpaceDE w:val="0"/>
        <w:autoSpaceDN w:val="0"/>
        <w:adjustRightInd w:val="0"/>
        <w:rPr>
          <w:i/>
          <w:iCs/>
          <w:szCs w:val="22"/>
          <w:u w:val="single"/>
          <w:lang w:eastAsia="sl-SI"/>
        </w:rPr>
      </w:pPr>
      <w:r>
        <w:rPr>
          <w:i/>
          <w:iCs/>
          <w:szCs w:val="22"/>
          <w:u w:val="single"/>
          <w:lang w:eastAsia="sl-SI"/>
        </w:rPr>
        <w:t>Širdies ir kraujagyslių sutrikimų profilaktika</w:t>
      </w:r>
    </w:p>
    <w:p w14:paraId="78E276A1" w14:textId="77777777" w:rsidR="00D25008" w:rsidRDefault="00FE2A61">
      <w:pPr>
        <w:autoSpaceDE w:val="0"/>
        <w:autoSpaceDN w:val="0"/>
        <w:adjustRightInd w:val="0"/>
        <w:rPr>
          <w:szCs w:val="22"/>
          <w:lang w:eastAsia="sl-SI"/>
        </w:rPr>
      </w:pPr>
      <w:r>
        <w:rPr>
          <w:szCs w:val="22"/>
          <w:lang w:eastAsia="sl-SI"/>
        </w:rPr>
        <w:t>Tyrimo ONTARGET (</w:t>
      </w:r>
      <w:proofErr w:type="spellStart"/>
      <w:r>
        <w:rPr>
          <w:i/>
          <w:iCs/>
          <w:szCs w:val="22"/>
          <w:lang w:eastAsia="sl-SI"/>
        </w:rPr>
        <w:t>ONgoing</w:t>
      </w:r>
      <w:proofErr w:type="spellEnd"/>
      <w:r>
        <w:rPr>
          <w:i/>
          <w:iCs/>
          <w:szCs w:val="22"/>
          <w:lang w:eastAsia="sl-SI"/>
        </w:rPr>
        <w:t xml:space="preserve"> </w:t>
      </w:r>
      <w:proofErr w:type="spellStart"/>
      <w:r>
        <w:rPr>
          <w:i/>
          <w:iCs/>
          <w:szCs w:val="22"/>
          <w:lang w:eastAsia="sl-SI"/>
        </w:rPr>
        <w:t>Telmisartan</w:t>
      </w:r>
      <w:proofErr w:type="spellEnd"/>
      <w:r>
        <w:rPr>
          <w:i/>
          <w:iCs/>
          <w:szCs w:val="22"/>
          <w:lang w:eastAsia="sl-SI"/>
        </w:rPr>
        <w:t xml:space="preserve"> </w:t>
      </w:r>
      <w:proofErr w:type="spellStart"/>
      <w:r>
        <w:rPr>
          <w:i/>
          <w:iCs/>
          <w:szCs w:val="22"/>
          <w:lang w:eastAsia="sl-SI"/>
        </w:rPr>
        <w:t>Alone</w:t>
      </w:r>
      <w:proofErr w:type="spellEnd"/>
      <w:r>
        <w:rPr>
          <w:i/>
          <w:iCs/>
          <w:szCs w:val="22"/>
          <w:lang w:eastAsia="sl-SI"/>
        </w:rPr>
        <w:t xml:space="preserve"> </w:t>
      </w:r>
      <w:proofErr w:type="spellStart"/>
      <w:r>
        <w:rPr>
          <w:i/>
          <w:iCs/>
          <w:szCs w:val="22"/>
          <w:lang w:eastAsia="sl-SI"/>
        </w:rPr>
        <w:t>and</w:t>
      </w:r>
      <w:proofErr w:type="spellEnd"/>
      <w:r>
        <w:rPr>
          <w:i/>
          <w:iCs/>
          <w:szCs w:val="22"/>
          <w:lang w:eastAsia="sl-SI"/>
        </w:rPr>
        <w:t xml:space="preserve"> </w:t>
      </w:r>
      <w:proofErr w:type="spellStart"/>
      <w:r>
        <w:rPr>
          <w:i/>
          <w:iCs/>
          <w:szCs w:val="22"/>
          <w:lang w:eastAsia="sl-SI"/>
        </w:rPr>
        <w:t>in</w:t>
      </w:r>
      <w:proofErr w:type="spellEnd"/>
      <w:r>
        <w:rPr>
          <w:i/>
          <w:iCs/>
          <w:szCs w:val="22"/>
          <w:lang w:eastAsia="sl-SI"/>
        </w:rPr>
        <w:t xml:space="preserve"> </w:t>
      </w:r>
      <w:proofErr w:type="spellStart"/>
      <w:r>
        <w:rPr>
          <w:i/>
          <w:iCs/>
          <w:szCs w:val="22"/>
          <w:lang w:eastAsia="sl-SI"/>
        </w:rPr>
        <w:t>Combination</w:t>
      </w:r>
      <w:proofErr w:type="spellEnd"/>
      <w:r>
        <w:rPr>
          <w:i/>
          <w:iCs/>
          <w:szCs w:val="22"/>
          <w:lang w:eastAsia="sl-SI"/>
        </w:rPr>
        <w:t xml:space="preserve"> </w:t>
      </w:r>
      <w:proofErr w:type="spellStart"/>
      <w:r>
        <w:rPr>
          <w:i/>
          <w:iCs/>
          <w:szCs w:val="22"/>
          <w:lang w:eastAsia="sl-SI"/>
        </w:rPr>
        <w:t>with</w:t>
      </w:r>
      <w:proofErr w:type="spellEnd"/>
      <w:r>
        <w:rPr>
          <w:i/>
          <w:iCs/>
          <w:szCs w:val="22"/>
          <w:lang w:eastAsia="sl-SI"/>
        </w:rPr>
        <w:t xml:space="preserve"> </w:t>
      </w:r>
      <w:proofErr w:type="spellStart"/>
      <w:r>
        <w:rPr>
          <w:i/>
          <w:iCs/>
          <w:szCs w:val="22"/>
          <w:lang w:eastAsia="sl-SI"/>
        </w:rPr>
        <w:t>Ramipril</w:t>
      </w:r>
      <w:proofErr w:type="spellEnd"/>
      <w:r>
        <w:rPr>
          <w:i/>
          <w:iCs/>
          <w:szCs w:val="22"/>
          <w:lang w:eastAsia="sl-SI"/>
        </w:rPr>
        <w:t xml:space="preserve"> Global </w:t>
      </w:r>
      <w:proofErr w:type="spellStart"/>
      <w:r>
        <w:rPr>
          <w:i/>
          <w:iCs/>
          <w:szCs w:val="22"/>
          <w:lang w:eastAsia="sl-SI"/>
        </w:rPr>
        <w:t>Endpoint</w:t>
      </w:r>
      <w:proofErr w:type="spellEnd"/>
      <w:r>
        <w:rPr>
          <w:i/>
          <w:iCs/>
          <w:szCs w:val="22"/>
          <w:lang w:eastAsia="sl-SI"/>
        </w:rPr>
        <w:t xml:space="preserve"> </w:t>
      </w:r>
      <w:proofErr w:type="spellStart"/>
      <w:r>
        <w:rPr>
          <w:i/>
          <w:iCs/>
          <w:szCs w:val="22"/>
          <w:lang w:eastAsia="sl-SI"/>
        </w:rPr>
        <w:t>Trial</w:t>
      </w:r>
      <w:proofErr w:type="spellEnd"/>
      <w:r>
        <w:rPr>
          <w:szCs w:val="22"/>
          <w:lang w:eastAsia="sl-SI"/>
        </w:rPr>
        <w:t xml:space="preserve">) metu buvo lygintas </w:t>
      </w:r>
      <w:proofErr w:type="spellStart"/>
      <w:r>
        <w:rPr>
          <w:szCs w:val="22"/>
          <w:lang w:eastAsia="sl-SI"/>
        </w:rPr>
        <w:t>telmisartano</w:t>
      </w:r>
      <w:proofErr w:type="spellEnd"/>
      <w:r>
        <w:rPr>
          <w:szCs w:val="22"/>
          <w:lang w:eastAsia="sl-SI"/>
        </w:rPr>
        <w:t xml:space="preserve">, </w:t>
      </w:r>
      <w:proofErr w:type="spellStart"/>
      <w:r>
        <w:rPr>
          <w:szCs w:val="22"/>
          <w:lang w:eastAsia="sl-SI"/>
        </w:rPr>
        <w:t>ramiprilio</w:t>
      </w:r>
      <w:proofErr w:type="spellEnd"/>
      <w:r>
        <w:rPr>
          <w:szCs w:val="22"/>
          <w:lang w:eastAsia="sl-SI"/>
        </w:rPr>
        <w:t xml:space="preserve"> bei </w:t>
      </w:r>
      <w:proofErr w:type="spellStart"/>
      <w:r>
        <w:rPr>
          <w:szCs w:val="22"/>
          <w:lang w:eastAsia="sl-SI"/>
        </w:rPr>
        <w:t>telmisartano</w:t>
      </w:r>
      <w:proofErr w:type="spellEnd"/>
      <w:r>
        <w:rPr>
          <w:szCs w:val="22"/>
          <w:lang w:eastAsia="sl-SI"/>
        </w:rPr>
        <w:t xml:space="preserve"> ir </w:t>
      </w:r>
      <w:proofErr w:type="spellStart"/>
      <w:r>
        <w:rPr>
          <w:szCs w:val="22"/>
          <w:lang w:eastAsia="sl-SI"/>
        </w:rPr>
        <w:t>ramiprilio</w:t>
      </w:r>
      <w:proofErr w:type="spellEnd"/>
      <w:r>
        <w:rPr>
          <w:szCs w:val="22"/>
          <w:lang w:eastAsia="sl-SI"/>
        </w:rPr>
        <w:t xml:space="preserve"> derinio poveikis kardiovaskulinėms baigtims 25620 pacientų (55 metų arba vyresnių), kuriems anksčiau buvo diagnozuota vainikinių arterijų liga, insultas, praeinantysis smegenų išemijos priepuolis, periferinių arterijų liga arba 2 tipo cukrinis diabetas, susijęs su organų taikinių pažaidos požymiais (pvz., </w:t>
      </w:r>
      <w:proofErr w:type="spellStart"/>
      <w:r>
        <w:rPr>
          <w:szCs w:val="22"/>
          <w:lang w:eastAsia="sl-SI"/>
        </w:rPr>
        <w:t>retinopatija</w:t>
      </w:r>
      <w:proofErr w:type="spellEnd"/>
      <w:r>
        <w:rPr>
          <w:szCs w:val="22"/>
          <w:lang w:eastAsia="sl-SI"/>
        </w:rPr>
        <w:t xml:space="preserve">, kairiojo širdies skilvelio hipertrofija, </w:t>
      </w:r>
      <w:proofErr w:type="spellStart"/>
      <w:r>
        <w:rPr>
          <w:szCs w:val="22"/>
          <w:lang w:eastAsia="sl-SI"/>
        </w:rPr>
        <w:t>makroalbuminurija</w:t>
      </w:r>
      <w:proofErr w:type="spellEnd"/>
      <w:r>
        <w:rPr>
          <w:szCs w:val="22"/>
          <w:lang w:eastAsia="sl-SI"/>
        </w:rPr>
        <w:t xml:space="preserve"> arba </w:t>
      </w:r>
      <w:proofErr w:type="spellStart"/>
      <w:r>
        <w:rPr>
          <w:szCs w:val="22"/>
          <w:lang w:eastAsia="sl-SI"/>
        </w:rPr>
        <w:t>mikroalbuminurija</w:t>
      </w:r>
      <w:proofErr w:type="spellEnd"/>
      <w:r>
        <w:rPr>
          <w:szCs w:val="22"/>
          <w:lang w:eastAsia="sl-SI"/>
        </w:rPr>
        <w:t>) ir kurie priklausė širdies ir kraujagyslių reiškinių rizikos populiacijai.</w:t>
      </w:r>
    </w:p>
    <w:p w14:paraId="22EE0343" w14:textId="77777777" w:rsidR="00D25008" w:rsidRDefault="00D25008">
      <w:pPr>
        <w:autoSpaceDE w:val="0"/>
        <w:autoSpaceDN w:val="0"/>
        <w:adjustRightInd w:val="0"/>
        <w:rPr>
          <w:szCs w:val="22"/>
          <w:lang w:eastAsia="sl-SI"/>
        </w:rPr>
      </w:pPr>
    </w:p>
    <w:p w14:paraId="1FFFF616" w14:textId="77777777" w:rsidR="00D25008" w:rsidRDefault="00FE2A61">
      <w:pPr>
        <w:autoSpaceDE w:val="0"/>
        <w:autoSpaceDN w:val="0"/>
        <w:adjustRightInd w:val="0"/>
        <w:rPr>
          <w:szCs w:val="22"/>
          <w:lang w:eastAsia="sl-SI"/>
        </w:rPr>
      </w:pPr>
      <w:r>
        <w:rPr>
          <w:szCs w:val="22"/>
          <w:lang w:eastAsia="sl-SI"/>
        </w:rPr>
        <w:t xml:space="preserve">Pacientai atsitiktinių imčių būdu buvo suskirstyti į 3 grupes ir buvo gydomi arba 80 mg </w:t>
      </w:r>
      <w:proofErr w:type="spellStart"/>
      <w:r>
        <w:rPr>
          <w:szCs w:val="22"/>
          <w:lang w:eastAsia="sl-SI"/>
        </w:rPr>
        <w:t>telmisartano</w:t>
      </w:r>
      <w:proofErr w:type="spellEnd"/>
      <w:r>
        <w:rPr>
          <w:szCs w:val="22"/>
          <w:lang w:eastAsia="sl-SI"/>
        </w:rPr>
        <w:t xml:space="preserve"> doze (n=8542), arba 10 mg </w:t>
      </w:r>
      <w:proofErr w:type="spellStart"/>
      <w:r>
        <w:rPr>
          <w:szCs w:val="22"/>
          <w:lang w:eastAsia="sl-SI"/>
        </w:rPr>
        <w:t>ramiprilio</w:t>
      </w:r>
      <w:proofErr w:type="spellEnd"/>
      <w:r>
        <w:rPr>
          <w:szCs w:val="22"/>
          <w:lang w:eastAsia="sl-SI"/>
        </w:rPr>
        <w:t xml:space="preserve"> doze (n=8576), arba 80 mg </w:t>
      </w:r>
      <w:proofErr w:type="spellStart"/>
      <w:r>
        <w:rPr>
          <w:szCs w:val="22"/>
          <w:lang w:eastAsia="sl-SI"/>
        </w:rPr>
        <w:t>telmisartano</w:t>
      </w:r>
      <w:proofErr w:type="spellEnd"/>
      <w:r>
        <w:rPr>
          <w:szCs w:val="22"/>
          <w:lang w:eastAsia="sl-SI"/>
        </w:rPr>
        <w:t xml:space="preserve"> ir 10 mg </w:t>
      </w:r>
      <w:proofErr w:type="spellStart"/>
      <w:r>
        <w:rPr>
          <w:szCs w:val="22"/>
          <w:lang w:eastAsia="sl-SI"/>
        </w:rPr>
        <w:t>ramiprilio</w:t>
      </w:r>
      <w:proofErr w:type="spellEnd"/>
      <w:r>
        <w:rPr>
          <w:szCs w:val="22"/>
          <w:lang w:eastAsia="sl-SI"/>
        </w:rPr>
        <w:t xml:space="preserve"> dozių deriniu (n=8502). Vidutinis tiriamųjų stebėjimo laikas buvo 4,5 metų.</w:t>
      </w:r>
    </w:p>
    <w:p w14:paraId="39906E2D" w14:textId="77777777" w:rsidR="00D25008" w:rsidRDefault="00D25008">
      <w:pPr>
        <w:autoSpaceDE w:val="0"/>
        <w:autoSpaceDN w:val="0"/>
        <w:adjustRightInd w:val="0"/>
        <w:rPr>
          <w:szCs w:val="22"/>
          <w:lang w:eastAsia="sl-SI"/>
        </w:rPr>
      </w:pPr>
    </w:p>
    <w:p w14:paraId="74DF996C" w14:textId="77777777" w:rsidR="00D25008" w:rsidRDefault="00FE2A61">
      <w:pPr>
        <w:autoSpaceDE w:val="0"/>
        <w:autoSpaceDN w:val="0"/>
        <w:adjustRightInd w:val="0"/>
        <w:rPr>
          <w:szCs w:val="22"/>
          <w:lang w:eastAsia="sl-SI"/>
        </w:rPr>
      </w:pPr>
      <w:proofErr w:type="spellStart"/>
      <w:r>
        <w:rPr>
          <w:szCs w:val="22"/>
          <w:lang w:eastAsia="sl-SI"/>
        </w:rPr>
        <w:t>Telmisartano</w:t>
      </w:r>
      <w:proofErr w:type="spellEnd"/>
      <w:r>
        <w:rPr>
          <w:szCs w:val="22"/>
          <w:lang w:eastAsia="sl-SI"/>
        </w:rPr>
        <w:t xml:space="preserve"> poveikis sudėtinės pagrindinės vertinamosios baigties (mirties nuo širdies ir kraujagyslių sutrikimų, nemirtino miokardo infarkto, nemirtino insulto ar hospitalizavimo dėl </w:t>
      </w:r>
      <w:proofErr w:type="spellStart"/>
      <w:r>
        <w:rPr>
          <w:szCs w:val="22"/>
          <w:lang w:eastAsia="sl-SI"/>
        </w:rPr>
        <w:t>stazinio</w:t>
      </w:r>
      <w:proofErr w:type="spellEnd"/>
      <w:r>
        <w:rPr>
          <w:szCs w:val="22"/>
          <w:lang w:eastAsia="sl-SI"/>
        </w:rPr>
        <w:t xml:space="preserve"> širdies nepakankamumo) dažnio mažinimui buvo panašus į </w:t>
      </w:r>
      <w:proofErr w:type="spellStart"/>
      <w:r>
        <w:rPr>
          <w:szCs w:val="22"/>
          <w:lang w:eastAsia="sl-SI"/>
        </w:rPr>
        <w:t>ramiprilio</w:t>
      </w:r>
      <w:proofErr w:type="spellEnd"/>
      <w:r>
        <w:rPr>
          <w:szCs w:val="22"/>
          <w:lang w:eastAsia="sl-SI"/>
        </w:rPr>
        <w:t xml:space="preserve"> poveikį. Pagrindinės vertinamosios baigties dažnis pacientams, gydytiems </w:t>
      </w:r>
      <w:proofErr w:type="spellStart"/>
      <w:r>
        <w:rPr>
          <w:szCs w:val="22"/>
          <w:lang w:eastAsia="sl-SI"/>
        </w:rPr>
        <w:t>telmisartanu</w:t>
      </w:r>
      <w:proofErr w:type="spellEnd"/>
      <w:r>
        <w:rPr>
          <w:szCs w:val="22"/>
          <w:lang w:eastAsia="sl-SI"/>
        </w:rPr>
        <w:t xml:space="preserve"> (16,7 %) ar </w:t>
      </w:r>
      <w:proofErr w:type="spellStart"/>
      <w:r>
        <w:rPr>
          <w:szCs w:val="22"/>
          <w:lang w:eastAsia="sl-SI"/>
        </w:rPr>
        <w:t>ramipriliu</w:t>
      </w:r>
      <w:proofErr w:type="spellEnd"/>
      <w:r>
        <w:rPr>
          <w:szCs w:val="22"/>
          <w:lang w:eastAsia="sl-SI"/>
        </w:rPr>
        <w:t xml:space="preserve"> (16,5 %) buvo panašus. </w:t>
      </w:r>
      <w:proofErr w:type="spellStart"/>
      <w:r>
        <w:rPr>
          <w:szCs w:val="22"/>
          <w:lang w:eastAsia="sl-SI"/>
        </w:rPr>
        <w:t>Telmisartano</w:t>
      </w:r>
      <w:proofErr w:type="spellEnd"/>
      <w:r>
        <w:rPr>
          <w:szCs w:val="22"/>
          <w:lang w:eastAsia="sl-SI"/>
        </w:rPr>
        <w:t xml:space="preserve">, palyginti su </w:t>
      </w:r>
      <w:proofErr w:type="spellStart"/>
      <w:r>
        <w:rPr>
          <w:szCs w:val="22"/>
          <w:lang w:eastAsia="sl-SI"/>
        </w:rPr>
        <w:t>ramipriliu</w:t>
      </w:r>
      <w:proofErr w:type="spellEnd"/>
      <w:r>
        <w:rPr>
          <w:szCs w:val="22"/>
          <w:lang w:eastAsia="sl-SI"/>
        </w:rPr>
        <w:t>, rizikos santykis buvo 1,01 (97,5 % PI: 0,93</w:t>
      </w:r>
      <w:r>
        <w:rPr>
          <w:szCs w:val="22"/>
          <w:lang w:eastAsia="sl-SI"/>
        </w:rPr>
        <w:noBreakHyphen/>
        <w:t xml:space="preserve">1,1; p (neprastesnis poveikis, angl. </w:t>
      </w:r>
      <w:proofErr w:type="spellStart"/>
      <w:r>
        <w:rPr>
          <w:i/>
          <w:iCs/>
          <w:szCs w:val="22"/>
          <w:lang w:eastAsia="sl-SI"/>
        </w:rPr>
        <w:t>non-inferiority</w:t>
      </w:r>
      <w:proofErr w:type="spellEnd"/>
      <w:r>
        <w:rPr>
          <w:szCs w:val="22"/>
          <w:lang w:eastAsia="sl-SI"/>
        </w:rPr>
        <w:t xml:space="preserve">) = 0,0019, kai riba 1,13). </w:t>
      </w:r>
      <w:proofErr w:type="spellStart"/>
      <w:r>
        <w:rPr>
          <w:szCs w:val="22"/>
          <w:lang w:eastAsia="sl-SI"/>
        </w:rPr>
        <w:t>Telmisartanu</w:t>
      </w:r>
      <w:proofErr w:type="spellEnd"/>
      <w:r>
        <w:rPr>
          <w:szCs w:val="22"/>
          <w:lang w:eastAsia="sl-SI"/>
        </w:rPr>
        <w:t xml:space="preserve"> ar </w:t>
      </w:r>
      <w:proofErr w:type="spellStart"/>
      <w:r>
        <w:rPr>
          <w:szCs w:val="22"/>
          <w:lang w:eastAsia="sl-SI"/>
        </w:rPr>
        <w:t>ramipriliu</w:t>
      </w:r>
      <w:proofErr w:type="spellEnd"/>
      <w:r>
        <w:rPr>
          <w:szCs w:val="22"/>
          <w:lang w:eastAsia="sl-SI"/>
        </w:rPr>
        <w:t xml:space="preserve"> gydytų pacientų mirties nuo bet kokios priežasties dažnis buvo atitinkamai 11,6 % ir 11,8 %.</w:t>
      </w:r>
    </w:p>
    <w:p w14:paraId="410DC5B6" w14:textId="77777777" w:rsidR="00D25008" w:rsidRDefault="00D25008">
      <w:pPr>
        <w:autoSpaceDE w:val="0"/>
        <w:autoSpaceDN w:val="0"/>
        <w:adjustRightInd w:val="0"/>
        <w:rPr>
          <w:szCs w:val="22"/>
          <w:lang w:eastAsia="sl-SI"/>
        </w:rPr>
      </w:pPr>
    </w:p>
    <w:p w14:paraId="4866AC29" w14:textId="77777777" w:rsidR="00D25008" w:rsidRDefault="00FE2A61">
      <w:pPr>
        <w:autoSpaceDE w:val="0"/>
        <w:autoSpaceDN w:val="0"/>
        <w:adjustRightInd w:val="0"/>
        <w:rPr>
          <w:szCs w:val="22"/>
          <w:lang w:eastAsia="sl-SI"/>
        </w:rPr>
      </w:pPr>
      <w:r>
        <w:rPr>
          <w:szCs w:val="22"/>
          <w:lang w:eastAsia="sl-SI"/>
        </w:rPr>
        <w:t xml:space="preserve">Nustatyta, kad </w:t>
      </w:r>
      <w:proofErr w:type="spellStart"/>
      <w:r>
        <w:rPr>
          <w:szCs w:val="22"/>
          <w:lang w:eastAsia="sl-SI"/>
        </w:rPr>
        <w:t>telmisartano</w:t>
      </w:r>
      <w:proofErr w:type="spellEnd"/>
      <w:r>
        <w:rPr>
          <w:szCs w:val="22"/>
          <w:lang w:eastAsia="sl-SI"/>
        </w:rPr>
        <w:t xml:space="preserve"> veiksmingumas yra panašus į </w:t>
      </w:r>
      <w:proofErr w:type="spellStart"/>
      <w:r>
        <w:rPr>
          <w:szCs w:val="22"/>
          <w:lang w:eastAsia="sl-SI"/>
        </w:rPr>
        <w:t>ramiprilio</w:t>
      </w:r>
      <w:proofErr w:type="spellEnd"/>
      <w:r>
        <w:rPr>
          <w:szCs w:val="22"/>
          <w:lang w:eastAsia="sl-SI"/>
        </w:rPr>
        <w:t>, vertinant į iš anksto numatytas antrines vertinamąsias baigtis, t. y. mirties dėl širdies ir kraujagyslių sutrikimų, nemirtino miokardo infarkto ir nemirtino insulto dažnį [0,99 (97,5 % PI: 0,9</w:t>
      </w:r>
      <w:r>
        <w:rPr>
          <w:szCs w:val="22"/>
          <w:lang w:eastAsia="sl-SI"/>
        </w:rPr>
        <w:noBreakHyphen/>
        <w:t>1,08; p (</w:t>
      </w:r>
      <w:proofErr w:type="spellStart"/>
      <w:r>
        <w:rPr>
          <w:i/>
          <w:iCs/>
          <w:szCs w:val="22"/>
          <w:lang w:eastAsia="sl-SI"/>
        </w:rPr>
        <w:t>non-inferiority</w:t>
      </w:r>
      <w:proofErr w:type="spellEnd"/>
      <w:r>
        <w:rPr>
          <w:szCs w:val="22"/>
          <w:lang w:eastAsia="sl-SI"/>
        </w:rPr>
        <w:t>) = 0,0004)], kuri buvo referentinio tyrimo HOPE (</w:t>
      </w:r>
      <w:proofErr w:type="spellStart"/>
      <w:r>
        <w:rPr>
          <w:i/>
          <w:iCs/>
          <w:szCs w:val="22"/>
          <w:lang w:eastAsia="sl-SI"/>
        </w:rPr>
        <w:t>The</w:t>
      </w:r>
      <w:proofErr w:type="spellEnd"/>
      <w:r>
        <w:rPr>
          <w:i/>
          <w:iCs/>
          <w:szCs w:val="22"/>
          <w:lang w:eastAsia="sl-SI"/>
        </w:rPr>
        <w:t xml:space="preserve"> </w:t>
      </w:r>
      <w:proofErr w:type="spellStart"/>
      <w:r>
        <w:rPr>
          <w:i/>
          <w:iCs/>
          <w:szCs w:val="22"/>
          <w:lang w:eastAsia="sl-SI"/>
        </w:rPr>
        <w:t>Heart</w:t>
      </w:r>
      <w:proofErr w:type="spellEnd"/>
      <w:r>
        <w:rPr>
          <w:i/>
          <w:iCs/>
          <w:szCs w:val="22"/>
          <w:lang w:eastAsia="sl-SI"/>
        </w:rPr>
        <w:t xml:space="preserve"> </w:t>
      </w:r>
      <w:proofErr w:type="spellStart"/>
      <w:r>
        <w:rPr>
          <w:i/>
          <w:iCs/>
          <w:szCs w:val="22"/>
          <w:lang w:eastAsia="sl-SI"/>
        </w:rPr>
        <w:t>Outcomes</w:t>
      </w:r>
      <w:proofErr w:type="spellEnd"/>
      <w:r>
        <w:rPr>
          <w:i/>
          <w:iCs/>
          <w:szCs w:val="22"/>
          <w:lang w:eastAsia="sl-SI"/>
        </w:rPr>
        <w:t xml:space="preserve"> </w:t>
      </w:r>
      <w:proofErr w:type="spellStart"/>
      <w:r>
        <w:rPr>
          <w:i/>
          <w:iCs/>
          <w:szCs w:val="22"/>
          <w:lang w:eastAsia="sl-SI"/>
        </w:rPr>
        <w:t>Prevention</w:t>
      </w:r>
      <w:proofErr w:type="spellEnd"/>
      <w:r>
        <w:rPr>
          <w:i/>
          <w:iCs/>
          <w:szCs w:val="22"/>
          <w:lang w:eastAsia="sl-SI"/>
        </w:rPr>
        <w:t xml:space="preserve"> </w:t>
      </w:r>
      <w:proofErr w:type="spellStart"/>
      <w:r>
        <w:rPr>
          <w:i/>
          <w:iCs/>
          <w:szCs w:val="22"/>
          <w:lang w:eastAsia="sl-SI"/>
        </w:rPr>
        <w:t>Evaluation</w:t>
      </w:r>
      <w:proofErr w:type="spellEnd"/>
      <w:r>
        <w:rPr>
          <w:i/>
          <w:iCs/>
          <w:szCs w:val="22"/>
          <w:lang w:eastAsia="sl-SI"/>
        </w:rPr>
        <w:t xml:space="preserve"> </w:t>
      </w:r>
      <w:proofErr w:type="spellStart"/>
      <w:r>
        <w:rPr>
          <w:i/>
          <w:iCs/>
          <w:szCs w:val="22"/>
          <w:lang w:eastAsia="sl-SI"/>
        </w:rPr>
        <w:t>Study</w:t>
      </w:r>
      <w:proofErr w:type="spellEnd"/>
      <w:r>
        <w:rPr>
          <w:szCs w:val="22"/>
          <w:lang w:eastAsia="sl-SI"/>
        </w:rPr>
        <w:t xml:space="preserve">), kuriuo lygintas </w:t>
      </w:r>
      <w:proofErr w:type="spellStart"/>
      <w:r>
        <w:rPr>
          <w:szCs w:val="22"/>
          <w:lang w:eastAsia="sl-SI"/>
        </w:rPr>
        <w:t>ramiprilio</w:t>
      </w:r>
      <w:proofErr w:type="spellEnd"/>
      <w:r>
        <w:rPr>
          <w:szCs w:val="22"/>
          <w:lang w:eastAsia="sl-SI"/>
        </w:rPr>
        <w:t xml:space="preserve"> ir placebo poveikis, pagrindinė vertinamoji baigtis.</w:t>
      </w:r>
    </w:p>
    <w:p w14:paraId="25E780F4" w14:textId="77777777" w:rsidR="00D25008" w:rsidRDefault="00D25008">
      <w:pPr>
        <w:autoSpaceDE w:val="0"/>
        <w:autoSpaceDN w:val="0"/>
        <w:adjustRightInd w:val="0"/>
        <w:rPr>
          <w:szCs w:val="22"/>
          <w:lang w:eastAsia="sl-SI"/>
        </w:rPr>
      </w:pPr>
    </w:p>
    <w:p w14:paraId="3D4AE53C" w14:textId="77777777" w:rsidR="00D25008" w:rsidRDefault="00FE2A61">
      <w:pPr>
        <w:autoSpaceDE w:val="0"/>
        <w:autoSpaceDN w:val="0"/>
        <w:adjustRightInd w:val="0"/>
        <w:rPr>
          <w:szCs w:val="22"/>
          <w:lang w:eastAsia="sl-SI"/>
        </w:rPr>
      </w:pPr>
      <w:r>
        <w:rPr>
          <w:szCs w:val="22"/>
          <w:lang w:eastAsia="sl-SI"/>
        </w:rPr>
        <w:t xml:space="preserve">Atsitiktinių imčių tyrimo TRANSCEND, kuriame dalyvavo AKF inhibitorių netoleruojantys pacientai ir kurio įtraukimo į tyrimą kriterijai kitais atžvilgiais buvo panašūs į įtraukimo į tyrimą ONTARGET </w:t>
      </w:r>
      <w:r>
        <w:rPr>
          <w:szCs w:val="22"/>
          <w:lang w:eastAsia="sl-SI"/>
        </w:rPr>
        <w:lastRenderedPageBreak/>
        <w:t xml:space="preserve">kriterijus, metu 80 mg </w:t>
      </w:r>
      <w:proofErr w:type="spellStart"/>
      <w:r>
        <w:rPr>
          <w:szCs w:val="22"/>
          <w:lang w:eastAsia="sl-SI"/>
        </w:rPr>
        <w:t>telmisartano</w:t>
      </w:r>
      <w:proofErr w:type="spellEnd"/>
      <w:r>
        <w:rPr>
          <w:szCs w:val="22"/>
          <w:lang w:eastAsia="sl-SI"/>
        </w:rPr>
        <w:t xml:space="preserve"> dozės (n=2954) poveikis buvo lygintas su placebo poveikiu (n=2972), kartu tęsiant įprastinį gydymą. Vidutinė tiriamųjų stebėjimo trukmė buvo 4 metai ir 8 mėnesiai. Sudėtinės pagrindinės vertinamosios baigties (mirties dėl širdies ir kraujagyslių sutrikimų, nemirtino miokardo infarkto, nemirtino insulto ar hospitalizavimo dėl </w:t>
      </w:r>
      <w:proofErr w:type="spellStart"/>
      <w:r>
        <w:rPr>
          <w:szCs w:val="22"/>
          <w:lang w:eastAsia="sl-SI"/>
        </w:rPr>
        <w:t>stazinio</w:t>
      </w:r>
      <w:proofErr w:type="spellEnd"/>
      <w:r>
        <w:rPr>
          <w:szCs w:val="22"/>
          <w:lang w:eastAsia="sl-SI"/>
        </w:rPr>
        <w:t xml:space="preserve"> širdies nepakankamumo) dažnis statistiškai reikšmingai nesiskyrė (15,7 %</w:t>
      </w:r>
      <w:proofErr w:type="spellStart"/>
      <w:r>
        <w:rPr>
          <w:szCs w:val="22"/>
          <w:lang w:eastAsia="sl-SI"/>
        </w:rPr>
        <w:t>telmisartano</w:t>
      </w:r>
      <w:proofErr w:type="spellEnd"/>
      <w:r>
        <w:rPr>
          <w:szCs w:val="22"/>
          <w:lang w:eastAsia="sl-SI"/>
        </w:rPr>
        <w:t xml:space="preserve"> grupėje ir 17 % placebo grupėje, rizikos santykis: 0,92 (95 % PI: 0,81</w:t>
      </w:r>
      <w:r>
        <w:rPr>
          <w:szCs w:val="22"/>
          <w:lang w:eastAsia="sl-SI"/>
        </w:rPr>
        <w:noBreakHyphen/>
        <w:t xml:space="preserve">1,05; p=0,22). Buvo įrodyta gydymo </w:t>
      </w:r>
      <w:proofErr w:type="spellStart"/>
      <w:r>
        <w:rPr>
          <w:szCs w:val="22"/>
          <w:lang w:eastAsia="sl-SI"/>
        </w:rPr>
        <w:t>telmisartanu</w:t>
      </w:r>
      <w:proofErr w:type="spellEnd"/>
      <w:r>
        <w:rPr>
          <w:szCs w:val="22"/>
          <w:lang w:eastAsia="sl-SI"/>
        </w:rPr>
        <w:t>, palyginti su placebu, nauda, vertinant iš anksto numatytą sudėtinę antrinę vertinamąją baigtį, t. y. mirties dėl širdies ir kraujagyslių sutrikimų, nemirtino miokardo infarkto ir nemirtino insulto dažnį [0,87 (95  PI: 0,76</w:t>
      </w:r>
      <w:r>
        <w:rPr>
          <w:szCs w:val="22"/>
          <w:lang w:eastAsia="sl-SI"/>
        </w:rPr>
        <w:noBreakHyphen/>
        <w:t>1; p=0,048)]. Palankus poveikis vertinant mirštamumą nuo širdies ir kraujagyslių sutrikimų neįrodytas (rizikos santykis: 1,03; 95 % PI: 0,85</w:t>
      </w:r>
      <w:r>
        <w:rPr>
          <w:szCs w:val="22"/>
          <w:lang w:eastAsia="sl-SI"/>
        </w:rPr>
        <w:noBreakHyphen/>
        <w:t>1,24).</w:t>
      </w:r>
    </w:p>
    <w:p w14:paraId="7D490B68" w14:textId="77777777" w:rsidR="00D25008" w:rsidRDefault="00D25008">
      <w:pPr>
        <w:autoSpaceDE w:val="0"/>
        <w:autoSpaceDN w:val="0"/>
        <w:adjustRightInd w:val="0"/>
        <w:rPr>
          <w:szCs w:val="22"/>
          <w:lang w:eastAsia="sl-SI"/>
        </w:rPr>
      </w:pPr>
    </w:p>
    <w:p w14:paraId="76478219" w14:textId="77777777" w:rsidR="00D25008" w:rsidRDefault="00FE2A61">
      <w:pPr>
        <w:autoSpaceDE w:val="0"/>
        <w:autoSpaceDN w:val="0"/>
        <w:adjustRightInd w:val="0"/>
        <w:rPr>
          <w:szCs w:val="22"/>
          <w:lang w:eastAsia="sl-SI"/>
        </w:rPr>
      </w:pPr>
      <w:proofErr w:type="spellStart"/>
      <w:r>
        <w:rPr>
          <w:szCs w:val="22"/>
          <w:lang w:eastAsia="sl-SI"/>
        </w:rPr>
        <w:t>Telmisartanu</w:t>
      </w:r>
      <w:proofErr w:type="spellEnd"/>
      <w:r>
        <w:rPr>
          <w:szCs w:val="22"/>
          <w:lang w:eastAsia="sl-SI"/>
        </w:rPr>
        <w:t xml:space="preserve">, palyginti </w:t>
      </w:r>
      <w:proofErr w:type="spellStart"/>
      <w:r>
        <w:rPr>
          <w:szCs w:val="22"/>
          <w:lang w:eastAsia="sl-SI"/>
        </w:rPr>
        <w:t>ramipriliu</w:t>
      </w:r>
      <w:proofErr w:type="spellEnd"/>
      <w:r>
        <w:rPr>
          <w:szCs w:val="22"/>
          <w:lang w:eastAsia="sl-SI"/>
        </w:rPr>
        <w:t xml:space="preserve">, gydytiems pacientams kosulys ir </w:t>
      </w:r>
      <w:proofErr w:type="spellStart"/>
      <w:r>
        <w:rPr>
          <w:szCs w:val="22"/>
          <w:lang w:eastAsia="sl-SI"/>
        </w:rPr>
        <w:t>angioneurozinė</w:t>
      </w:r>
      <w:proofErr w:type="spellEnd"/>
      <w:r>
        <w:rPr>
          <w:szCs w:val="22"/>
          <w:lang w:eastAsia="sl-SI"/>
        </w:rPr>
        <w:t xml:space="preserve"> edema pasireiškė rečiau, o </w:t>
      </w:r>
      <w:proofErr w:type="spellStart"/>
      <w:r>
        <w:rPr>
          <w:szCs w:val="22"/>
          <w:lang w:eastAsia="sl-SI"/>
        </w:rPr>
        <w:t>hipotenzija</w:t>
      </w:r>
      <w:proofErr w:type="spellEnd"/>
      <w:r>
        <w:rPr>
          <w:szCs w:val="22"/>
          <w:lang w:eastAsia="sl-SI"/>
        </w:rPr>
        <w:t xml:space="preserve"> – dažniau.</w:t>
      </w:r>
    </w:p>
    <w:p w14:paraId="3056F9E3" w14:textId="77777777" w:rsidR="00D25008" w:rsidRDefault="00D25008">
      <w:pPr>
        <w:autoSpaceDE w:val="0"/>
        <w:autoSpaceDN w:val="0"/>
        <w:adjustRightInd w:val="0"/>
        <w:rPr>
          <w:szCs w:val="22"/>
          <w:lang w:eastAsia="sl-SI"/>
        </w:rPr>
      </w:pPr>
    </w:p>
    <w:p w14:paraId="13BD363C" w14:textId="77777777" w:rsidR="00D25008" w:rsidRDefault="00FE2A61">
      <w:pPr>
        <w:autoSpaceDE w:val="0"/>
        <w:autoSpaceDN w:val="0"/>
        <w:adjustRightInd w:val="0"/>
        <w:rPr>
          <w:szCs w:val="22"/>
          <w:lang w:eastAsia="sl-SI"/>
        </w:rPr>
      </w:pPr>
      <w:r>
        <w:rPr>
          <w:szCs w:val="22"/>
          <w:lang w:eastAsia="sl-SI"/>
        </w:rPr>
        <w:t xml:space="preserve">Gydymas </w:t>
      </w:r>
      <w:proofErr w:type="spellStart"/>
      <w:r>
        <w:rPr>
          <w:szCs w:val="22"/>
          <w:lang w:eastAsia="sl-SI"/>
        </w:rPr>
        <w:t>telmisartano</w:t>
      </w:r>
      <w:proofErr w:type="spellEnd"/>
      <w:r>
        <w:rPr>
          <w:szCs w:val="22"/>
          <w:lang w:eastAsia="sl-SI"/>
        </w:rPr>
        <w:t xml:space="preserve"> ir </w:t>
      </w:r>
      <w:proofErr w:type="spellStart"/>
      <w:r>
        <w:rPr>
          <w:szCs w:val="22"/>
          <w:lang w:eastAsia="sl-SI"/>
        </w:rPr>
        <w:t>ramiprilio</w:t>
      </w:r>
      <w:proofErr w:type="spellEnd"/>
      <w:r>
        <w:rPr>
          <w:szCs w:val="22"/>
          <w:lang w:eastAsia="sl-SI"/>
        </w:rPr>
        <w:t xml:space="preserve"> deriniu nebuvo naudingesnis už gydymą vien </w:t>
      </w:r>
      <w:proofErr w:type="spellStart"/>
      <w:r>
        <w:rPr>
          <w:szCs w:val="22"/>
          <w:lang w:eastAsia="sl-SI"/>
        </w:rPr>
        <w:t>telmisartanu</w:t>
      </w:r>
      <w:proofErr w:type="spellEnd"/>
      <w:r>
        <w:rPr>
          <w:szCs w:val="22"/>
          <w:lang w:eastAsia="sl-SI"/>
        </w:rPr>
        <w:t xml:space="preserve"> arba vien </w:t>
      </w:r>
      <w:proofErr w:type="spellStart"/>
      <w:r>
        <w:rPr>
          <w:szCs w:val="22"/>
          <w:lang w:eastAsia="sl-SI"/>
        </w:rPr>
        <w:t>ramipriliu</w:t>
      </w:r>
      <w:proofErr w:type="spellEnd"/>
      <w:r>
        <w:rPr>
          <w:szCs w:val="22"/>
          <w:lang w:eastAsia="sl-SI"/>
        </w:rPr>
        <w:t xml:space="preserve">. Gydant deriniu, mirštamumas nuo širdies ir kraujagyslių sutrikimų bei mirtingumas nuo bet kokios priežasties skaitiniu atžvilgiu buvo didesni. Be to, reikšmingai didesnis buvo </w:t>
      </w:r>
      <w:proofErr w:type="spellStart"/>
      <w:r>
        <w:rPr>
          <w:szCs w:val="22"/>
          <w:lang w:eastAsia="sl-SI"/>
        </w:rPr>
        <w:t>hiperkalemijos</w:t>
      </w:r>
      <w:proofErr w:type="spellEnd"/>
      <w:r>
        <w:rPr>
          <w:szCs w:val="22"/>
          <w:lang w:eastAsia="sl-SI"/>
        </w:rPr>
        <w:t xml:space="preserve">, inkstų nepakankamumo, </w:t>
      </w:r>
      <w:proofErr w:type="spellStart"/>
      <w:r>
        <w:rPr>
          <w:szCs w:val="22"/>
          <w:lang w:eastAsia="sl-SI"/>
        </w:rPr>
        <w:t>hipotenzijos</w:t>
      </w:r>
      <w:proofErr w:type="spellEnd"/>
      <w:r>
        <w:rPr>
          <w:szCs w:val="22"/>
          <w:lang w:eastAsia="sl-SI"/>
        </w:rPr>
        <w:t xml:space="preserve"> ir apalpimo dažnis. Dėl to tokios populiacijos pacientų gydyti </w:t>
      </w:r>
      <w:proofErr w:type="spellStart"/>
      <w:r>
        <w:rPr>
          <w:szCs w:val="22"/>
          <w:lang w:eastAsia="sl-SI"/>
        </w:rPr>
        <w:t>telmisartano</w:t>
      </w:r>
      <w:proofErr w:type="spellEnd"/>
      <w:r>
        <w:rPr>
          <w:szCs w:val="22"/>
          <w:lang w:eastAsia="sl-SI"/>
        </w:rPr>
        <w:t xml:space="preserve"> ir </w:t>
      </w:r>
      <w:proofErr w:type="spellStart"/>
      <w:r>
        <w:rPr>
          <w:szCs w:val="22"/>
          <w:lang w:eastAsia="sl-SI"/>
        </w:rPr>
        <w:t>ramiprilio</w:t>
      </w:r>
      <w:proofErr w:type="spellEnd"/>
      <w:r>
        <w:rPr>
          <w:szCs w:val="22"/>
          <w:lang w:eastAsia="sl-SI"/>
        </w:rPr>
        <w:t xml:space="preserve"> deriniu nerekomenduojama.</w:t>
      </w:r>
    </w:p>
    <w:p w14:paraId="5CD65B2F" w14:textId="77777777" w:rsidR="00D25008" w:rsidRDefault="00D25008">
      <w:pPr>
        <w:autoSpaceDE w:val="0"/>
        <w:autoSpaceDN w:val="0"/>
        <w:adjustRightInd w:val="0"/>
        <w:rPr>
          <w:szCs w:val="22"/>
          <w:lang w:eastAsia="sl-SI"/>
        </w:rPr>
      </w:pPr>
    </w:p>
    <w:p w14:paraId="26750D8A" w14:textId="77777777" w:rsidR="00D25008" w:rsidRDefault="00FE2A61">
      <w:pPr>
        <w:autoSpaceDE w:val="0"/>
        <w:autoSpaceDN w:val="0"/>
        <w:adjustRightInd w:val="0"/>
        <w:rPr>
          <w:szCs w:val="22"/>
          <w:lang w:eastAsia="sl-SI"/>
        </w:rPr>
      </w:pPr>
      <w:r>
        <w:rPr>
          <w:szCs w:val="22"/>
          <w:lang w:eastAsia="sl-SI"/>
        </w:rPr>
        <w:t xml:space="preserve">Tyrimo </w:t>
      </w:r>
      <w:proofErr w:type="spellStart"/>
      <w:r>
        <w:rPr>
          <w:i/>
          <w:iCs/>
          <w:szCs w:val="22"/>
          <w:lang w:eastAsia="sl-SI"/>
        </w:rPr>
        <w:t>Prevention</w:t>
      </w:r>
      <w:proofErr w:type="spellEnd"/>
      <w:r>
        <w:rPr>
          <w:i/>
          <w:iCs/>
          <w:szCs w:val="22"/>
          <w:lang w:eastAsia="sl-SI"/>
        </w:rPr>
        <w:t xml:space="preserve"> </w:t>
      </w:r>
      <w:proofErr w:type="spellStart"/>
      <w:r>
        <w:rPr>
          <w:i/>
          <w:iCs/>
          <w:szCs w:val="22"/>
          <w:lang w:eastAsia="sl-SI"/>
        </w:rPr>
        <w:t>Regimen</w:t>
      </w:r>
      <w:proofErr w:type="spellEnd"/>
      <w:r>
        <w:rPr>
          <w:i/>
          <w:iCs/>
          <w:szCs w:val="22"/>
          <w:lang w:eastAsia="sl-SI"/>
        </w:rPr>
        <w:t xml:space="preserve"> </w:t>
      </w:r>
      <w:proofErr w:type="spellStart"/>
      <w:r>
        <w:rPr>
          <w:i/>
          <w:iCs/>
          <w:szCs w:val="22"/>
          <w:lang w:eastAsia="sl-SI"/>
        </w:rPr>
        <w:t>For</w:t>
      </w:r>
      <w:proofErr w:type="spellEnd"/>
      <w:r>
        <w:rPr>
          <w:i/>
          <w:iCs/>
          <w:szCs w:val="22"/>
          <w:lang w:eastAsia="sl-SI"/>
        </w:rPr>
        <w:t xml:space="preserve"> </w:t>
      </w:r>
      <w:proofErr w:type="spellStart"/>
      <w:r>
        <w:rPr>
          <w:i/>
          <w:iCs/>
          <w:szCs w:val="22"/>
          <w:lang w:eastAsia="sl-SI"/>
        </w:rPr>
        <w:t>Effectively</w:t>
      </w:r>
      <w:proofErr w:type="spellEnd"/>
      <w:r>
        <w:rPr>
          <w:i/>
          <w:iCs/>
          <w:szCs w:val="22"/>
          <w:lang w:eastAsia="sl-SI"/>
        </w:rPr>
        <w:t xml:space="preserve"> </w:t>
      </w:r>
      <w:proofErr w:type="spellStart"/>
      <w:r>
        <w:rPr>
          <w:i/>
          <w:iCs/>
          <w:szCs w:val="22"/>
          <w:lang w:eastAsia="sl-SI"/>
        </w:rPr>
        <w:t>avoiding</w:t>
      </w:r>
      <w:proofErr w:type="spellEnd"/>
      <w:r>
        <w:rPr>
          <w:i/>
          <w:iCs/>
          <w:szCs w:val="22"/>
          <w:lang w:eastAsia="sl-SI"/>
        </w:rPr>
        <w:t xml:space="preserve"> </w:t>
      </w:r>
      <w:proofErr w:type="spellStart"/>
      <w:r>
        <w:rPr>
          <w:i/>
          <w:iCs/>
          <w:szCs w:val="22"/>
          <w:lang w:eastAsia="sl-SI"/>
        </w:rPr>
        <w:t>Second</w:t>
      </w:r>
      <w:proofErr w:type="spellEnd"/>
      <w:r>
        <w:rPr>
          <w:i/>
          <w:iCs/>
          <w:szCs w:val="22"/>
          <w:lang w:eastAsia="sl-SI"/>
        </w:rPr>
        <w:t xml:space="preserve"> </w:t>
      </w:r>
      <w:proofErr w:type="spellStart"/>
      <w:r>
        <w:rPr>
          <w:i/>
          <w:iCs/>
          <w:szCs w:val="22"/>
          <w:lang w:eastAsia="sl-SI"/>
        </w:rPr>
        <w:t>Strokes</w:t>
      </w:r>
      <w:proofErr w:type="spellEnd"/>
      <w:r>
        <w:rPr>
          <w:szCs w:val="22"/>
          <w:lang w:eastAsia="sl-SI"/>
        </w:rPr>
        <w:t xml:space="preserve"> (</w:t>
      </w:r>
      <w:proofErr w:type="spellStart"/>
      <w:r>
        <w:rPr>
          <w:szCs w:val="22"/>
          <w:lang w:eastAsia="sl-SI"/>
        </w:rPr>
        <w:t>PRoFESS</w:t>
      </w:r>
      <w:proofErr w:type="spellEnd"/>
      <w:r>
        <w:rPr>
          <w:szCs w:val="22"/>
          <w:lang w:eastAsia="sl-SI"/>
        </w:rPr>
        <w:t xml:space="preserve">), kuriame dalyvavo 50 metų ir vyresni pacientai, neseniai patyrę smegenų insultą, metu </w:t>
      </w:r>
      <w:proofErr w:type="spellStart"/>
      <w:r>
        <w:rPr>
          <w:szCs w:val="22"/>
          <w:lang w:eastAsia="sl-SI"/>
        </w:rPr>
        <w:t>telmisartanu</w:t>
      </w:r>
      <w:proofErr w:type="spellEnd"/>
      <w:r>
        <w:rPr>
          <w:szCs w:val="22"/>
          <w:lang w:eastAsia="sl-SI"/>
        </w:rPr>
        <w:t xml:space="preserve"> gydomiems tiriamiesiems sepsis pasireiškė dažniau negu vartojusiems placebo, atitinkamai 0,7 % ir 0,49 % [RS: 1,43 (95 % PI: 1</w:t>
      </w:r>
      <w:r>
        <w:rPr>
          <w:szCs w:val="22"/>
          <w:lang w:eastAsia="sl-SI"/>
        </w:rPr>
        <w:noBreakHyphen/>
        <w:t xml:space="preserve">2,06)]; mirtino sepsio dažnis </w:t>
      </w:r>
      <w:proofErr w:type="spellStart"/>
      <w:r>
        <w:rPr>
          <w:szCs w:val="22"/>
          <w:lang w:eastAsia="sl-SI"/>
        </w:rPr>
        <w:t>telmisartanu</w:t>
      </w:r>
      <w:proofErr w:type="spellEnd"/>
      <w:r>
        <w:rPr>
          <w:szCs w:val="22"/>
          <w:lang w:eastAsia="sl-SI"/>
        </w:rPr>
        <w:t xml:space="preserve"> gydomiems pacientams buvo didesnis, palyginti su vartojusiais placebo, atitinkamai 0,33 % ir 0,16 % [RS:2,07 (95 % PI: 1,14</w:t>
      </w:r>
      <w:r>
        <w:rPr>
          <w:szCs w:val="22"/>
          <w:lang w:eastAsia="sl-SI"/>
        </w:rPr>
        <w:noBreakHyphen/>
        <w:t xml:space="preserve">3,76)]. Pastebėtas sepsio pasireiškimo dažnio padidėjimas, susijęs su </w:t>
      </w:r>
      <w:proofErr w:type="spellStart"/>
      <w:r>
        <w:rPr>
          <w:szCs w:val="22"/>
          <w:lang w:eastAsia="sl-SI"/>
        </w:rPr>
        <w:t>telmisartano</w:t>
      </w:r>
      <w:proofErr w:type="spellEnd"/>
      <w:r>
        <w:rPr>
          <w:szCs w:val="22"/>
          <w:lang w:eastAsia="sl-SI"/>
        </w:rPr>
        <w:t xml:space="preserve"> vartojimu, galėjo būti arba atsitiktinis, arba priklausomas nuo kol kas nežinomų mechanizmų.</w:t>
      </w:r>
    </w:p>
    <w:p w14:paraId="73953D73" w14:textId="77777777" w:rsidR="00D25008" w:rsidRDefault="00D25008">
      <w:pPr>
        <w:autoSpaceDE w:val="0"/>
        <w:autoSpaceDN w:val="0"/>
        <w:adjustRightInd w:val="0"/>
        <w:rPr>
          <w:szCs w:val="22"/>
          <w:lang w:eastAsia="sl-SI"/>
        </w:rPr>
      </w:pPr>
    </w:p>
    <w:p w14:paraId="3F634835" w14:textId="77777777" w:rsidR="00D25008" w:rsidRDefault="00FE2A61">
      <w:pPr>
        <w:autoSpaceDE w:val="0"/>
        <w:autoSpaceDN w:val="0"/>
        <w:adjustRightInd w:val="0"/>
        <w:rPr>
          <w:szCs w:val="22"/>
          <w:lang w:eastAsia="sl-SI"/>
        </w:rPr>
      </w:pPr>
      <w:r>
        <w:rPr>
          <w:szCs w:val="22"/>
          <w:lang w:eastAsia="sl-SI"/>
        </w:rPr>
        <w:t>Dviem dideliais atsitiktinių imčių, kontroliuotais tyrimais (ONTARGET (</w:t>
      </w:r>
      <w:proofErr w:type="spellStart"/>
      <w:r>
        <w:rPr>
          <w:i/>
          <w:iCs/>
          <w:szCs w:val="22"/>
          <w:lang w:eastAsia="sl-SI"/>
        </w:rPr>
        <w:t>ONgoing</w:t>
      </w:r>
      <w:proofErr w:type="spellEnd"/>
      <w:r>
        <w:rPr>
          <w:i/>
          <w:iCs/>
          <w:szCs w:val="22"/>
          <w:lang w:eastAsia="sl-SI"/>
        </w:rPr>
        <w:t xml:space="preserve"> </w:t>
      </w:r>
      <w:proofErr w:type="spellStart"/>
      <w:r>
        <w:rPr>
          <w:i/>
          <w:iCs/>
          <w:szCs w:val="22"/>
          <w:lang w:eastAsia="sl-SI"/>
        </w:rPr>
        <w:t>Telmisartan</w:t>
      </w:r>
      <w:proofErr w:type="spellEnd"/>
      <w:r>
        <w:rPr>
          <w:i/>
          <w:iCs/>
          <w:szCs w:val="22"/>
          <w:lang w:eastAsia="sl-SI"/>
        </w:rPr>
        <w:t xml:space="preserve"> </w:t>
      </w:r>
      <w:proofErr w:type="spellStart"/>
      <w:r>
        <w:rPr>
          <w:i/>
          <w:iCs/>
          <w:szCs w:val="22"/>
          <w:lang w:eastAsia="sl-SI"/>
        </w:rPr>
        <w:t>Alone</w:t>
      </w:r>
      <w:proofErr w:type="spellEnd"/>
      <w:r>
        <w:rPr>
          <w:i/>
          <w:iCs/>
          <w:szCs w:val="22"/>
          <w:lang w:eastAsia="sl-SI"/>
        </w:rPr>
        <w:t xml:space="preserve"> </w:t>
      </w:r>
      <w:proofErr w:type="spellStart"/>
      <w:r>
        <w:rPr>
          <w:i/>
          <w:iCs/>
          <w:szCs w:val="22"/>
          <w:lang w:eastAsia="sl-SI"/>
        </w:rPr>
        <w:t>and</w:t>
      </w:r>
      <w:proofErr w:type="spellEnd"/>
      <w:r>
        <w:rPr>
          <w:i/>
          <w:iCs/>
          <w:szCs w:val="22"/>
          <w:lang w:eastAsia="sl-SI"/>
        </w:rPr>
        <w:t xml:space="preserve"> </w:t>
      </w:r>
      <w:proofErr w:type="spellStart"/>
      <w:r>
        <w:rPr>
          <w:i/>
          <w:iCs/>
          <w:szCs w:val="22"/>
          <w:lang w:eastAsia="sl-SI"/>
        </w:rPr>
        <w:t>in</w:t>
      </w:r>
      <w:proofErr w:type="spellEnd"/>
      <w:r>
        <w:rPr>
          <w:i/>
          <w:iCs/>
          <w:szCs w:val="22"/>
          <w:lang w:eastAsia="sl-SI"/>
        </w:rPr>
        <w:t xml:space="preserve"> </w:t>
      </w:r>
      <w:proofErr w:type="spellStart"/>
      <w:r>
        <w:rPr>
          <w:i/>
          <w:iCs/>
          <w:szCs w:val="22"/>
          <w:lang w:eastAsia="sl-SI"/>
        </w:rPr>
        <w:t>combination</w:t>
      </w:r>
      <w:proofErr w:type="spellEnd"/>
      <w:r>
        <w:rPr>
          <w:i/>
          <w:iCs/>
          <w:szCs w:val="22"/>
          <w:lang w:eastAsia="sl-SI"/>
        </w:rPr>
        <w:t xml:space="preserve"> </w:t>
      </w:r>
      <w:proofErr w:type="spellStart"/>
      <w:r>
        <w:rPr>
          <w:i/>
          <w:iCs/>
          <w:szCs w:val="22"/>
          <w:lang w:eastAsia="sl-SI"/>
        </w:rPr>
        <w:t>with</w:t>
      </w:r>
      <w:proofErr w:type="spellEnd"/>
      <w:r>
        <w:rPr>
          <w:i/>
          <w:iCs/>
          <w:szCs w:val="22"/>
          <w:lang w:eastAsia="sl-SI"/>
        </w:rPr>
        <w:t xml:space="preserve"> </w:t>
      </w:r>
      <w:proofErr w:type="spellStart"/>
      <w:r>
        <w:rPr>
          <w:i/>
          <w:iCs/>
          <w:szCs w:val="22"/>
          <w:lang w:eastAsia="sl-SI"/>
        </w:rPr>
        <w:t>Ramipril</w:t>
      </w:r>
      <w:proofErr w:type="spellEnd"/>
      <w:r>
        <w:rPr>
          <w:i/>
          <w:iCs/>
          <w:szCs w:val="22"/>
          <w:lang w:eastAsia="sl-SI"/>
        </w:rPr>
        <w:t xml:space="preserve"> Global </w:t>
      </w:r>
      <w:proofErr w:type="spellStart"/>
      <w:r>
        <w:rPr>
          <w:i/>
          <w:iCs/>
          <w:szCs w:val="22"/>
          <w:lang w:eastAsia="sl-SI"/>
        </w:rPr>
        <w:t>Endpoint</w:t>
      </w:r>
      <w:proofErr w:type="spellEnd"/>
      <w:r>
        <w:rPr>
          <w:i/>
          <w:iCs/>
          <w:szCs w:val="22"/>
          <w:lang w:eastAsia="sl-SI"/>
        </w:rPr>
        <w:t xml:space="preserve"> </w:t>
      </w:r>
      <w:proofErr w:type="spellStart"/>
      <w:r>
        <w:rPr>
          <w:i/>
          <w:iCs/>
          <w:szCs w:val="22"/>
          <w:lang w:eastAsia="sl-SI"/>
        </w:rPr>
        <w:t>Trial</w:t>
      </w:r>
      <w:proofErr w:type="spellEnd"/>
      <w:r>
        <w:rPr>
          <w:szCs w:val="22"/>
          <w:lang w:eastAsia="sl-SI"/>
        </w:rPr>
        <w:t>) ir VA NEPHRON-D (</w:t>
      </w:r>
      <w:proofErr w:type="spellStart"/>
      <w:r>
        <w:rPr>
          <w:i/>
          <w:iCs/>
          <w:szCs w:val="22"/>
          <w:lang w:eastAsia="sl-SI"/>
        </w:rPr>
        <w:t>The</w:t>
      </w:r>
      <w:proofErr w:type="spellEnd"/>
      <w:r>
        <w:rPr>
          <w:i/>
          <w:iCs/>
          <w:szCs w:val="22"/>
          <w:lang w:eastAsia="sl-SI"/>
        </w:rPr>
        <w:t xml:space="preserve"> </w:t>
      </w:r>
      <w:proofErr w:type="spellStart"/>
      <w:r>
        <w:rPr>
          <w:i/>
          <w:iCs/>
          <w:szCs w:val="22"/>
          <w:lang w:eastAsia="sl-SI"/>
        </w:rPr>
        <w:t>Veterans</w:t>
      </w:r>
      <w:proofErr w:type="spellEnd"/>
      <w:r>
        <w:rPr>
          <w:i/>
          <w:iCs/>
          <w:szCs w:val="22"/>
          <w:lang w:eastAsia="sl-SI"/>
        </w:rPr>
        <w:t xml:space="preserve"> Affairs </w:t>
      </w:r>
      <w:proofErr w:type="spellStart"/>
      <w:r>
        <w:rPr>
          <w:i/>
          <w:iCs/>
          <w:szCs w:val="22"/>
          <w:lang w:eastAsia="sl-SI"/>
        </w:rPr>
        <w:t>Nephropathy</w:t>
      </w:r>
      <w:proofErr w:type="spellEnd"/>
      <w:r>
        <w:rPr>
          <w:i/>
          <w:iCs/>
          <w:szCs w:val="22"/>
          <w:lang w:eastAsia="sl-SI"/>
        </w:rPr>
        <w:t xml:space="preserve"> </w:t>
      </w:r>
      <w:proofErr w:type="spellStart"/>
      <w:r>
        <w:rPr>
          <w:i/>
          <w:iCs/>
          <w:szCs w:val="22"/>
          <w:lang w:eastAsia="sl-SI"/>
        </w:rPr>
        <w:t>in</w:t>
      </w:r>
      <w:proofErr w:type="spellEnd"/>
      <w:r>
        <w:rPr>
          <w:i/>
          <w:iCs/>
          <w:szCs w:val="22"/>
          <w:lang w:eastAsia="sl-SI"/>
        </w:rPr>
        <w:t xml:space="preserve"> </w:t>
      </w:r>
      <w:proofErr w:type="spellStart"/>
      <w:r>
        <w:rPr>
          <w:i/>
          <w:iCs/>
          <w:szCs w:val="22"/>
          <w:lang w:eastAsia="sl-SI"/>
        </w:rPr>
        <w:t>Diabetes</w:t>
      </w:r>
      <w:proofErr w:type="spellEnd"/>
      <w:r>
        <w:rPr>
          <w:szCs w:val="22"/>
          <w:lang w:eastAsia="sl-SI"/>
        </w:rPr>
        <w:t xml:space="preserve">)) buvo vertinamas AKF inhibitoriaus ir </w:t>
      </w:r>
      <w:proofErr w:type="spellStart"/>
      <w:r>
        <w:rPr>
          <w:szCs w:val="22"/>
          <w:lang w:eastAsia="sl-SI"/>
        </w:rPr>
        <w:t>angiotenzino</w:t>
      </w:r>
      <w:proofErr w:type="spellEnd"/>
      <w:r>
        <w:rPr>
          <w:szCs w:val="22"/>
          <w:lang w:eastAsia="sl-SI"/>
        </w:rPr>
        <w:t> II receptorių blokatoriaus derinio vartojimas.</w:t>
      </w:r>
    </w:p>
    <w:p w14:paraId="5ED5F497" w14:textId="77777777" w:rsidR="00D25008" w:rsidRDefault="00FE2A61">
      <w:pPr>
        <w:autoSpaceDE w:val="0"/>
        <w:autoSpaceDN w:val="0"/>
        <w:adjustRightInd w:val="0"/>
        <w:rPr>
          <w:szCs w:val="22"/>
          <w:lang w:eastAsia="sl-SI"/>
        </w:rPr>
      </w:pPr>
      <w:r>
        <w:rPr>
          <w:szCs w:val="22"/>
          <w:lang w:eastAsia="sl-SI"/>
        </w:rPr>
        <w:t>ONTARGET tyrime dalyvavo pacientai, kuriems anksčiau buvo diagnozuota širdies ir kraujagyslių ar smegenų kraujagyslių liga arba 2 tipo cukrinis diabetas, susijęs su organų-taikinių pažaida.</w:t>
      </w:r>
    </w:p>
    <w:p w14:paraId="51152ECE" w14:textId="77777777" w:rsidR="00D25008" w:rsidRDefault="00D25008">
      <w:pPr>
        <w:autoSpaceDE w:val="0"/>
        <w:autoSpaceDN w:val="0"/>
        <w:adjustRightInd w:val="0"/>
        <w:rPr>
          <w:szCs w:val="22"/>
          <w:lang w:eastAsia="sl-SI"/>
        </w:rPr>
      </w:pPr>
    </w:p>
    <w:p w14:paraId="34B16888" w14:textId="77777777" w:rsidR="00D25008" w:rsidRDefault="00FE2A61">
      <w:pPr>
        <w:autoSpaceDE w:val="0"/>
        <w:autoSpaceDN w:val="0"/>
        <w:adjustRightInd w:val="0"/>
        <w:rPr>
          <w:szCs w:val="22"/>
          <w:lang w:eastAsia="sl-SI"/>
        </w:rPr>
      </w:pPr>
      <w:r>
        <w:rPr>
          <w:szCs w:val="22"/>
          <w:lang w:eastAsia="sl-SI"/>
        </w:rPr>
        <w:t xml:space="preserve">VA NEPHRON-D tyrime dalyvavo pacientai, sergantys 2 tipo cukriniu diabetu ir diabetine </w:t>
      </w:r>
      <w:proofErr w:type="spellStart"/>
      <w:r>
        <w:rPr>
          <w:szCs w:val="22"/>
          <w:lang w:eastAsia="sl-SI"/>
        </w:rPr>
        <w:t>nefropatija</w:t>
      </w:r>
      <w:proofErr w:type="spellEnd"/>
      <w:r>
        <w:rPr>
          <w:szCs w:val="22"/>
          <w:lang w:eastAsia="sl-SI"/>
        </w:rPr>
        <w:t>.</w:t>
      </w:r>
    </w:p>
    <w:p w14:paraId="1503FF21" w14:textId="77777777" w:rsidR="00D25008" w:rsidRDefault="00FE2A61">
      <w:pPr>
        <w:autoSpaceDE w:val="0"/>
        <w:autoSpaceDN w:val="0"/>
        <w:adjustRightInd w:val="0"/>
        <w:rPr>
          <w:szCs w:val="22"/>
          <w:lang w:eastAsia="sl-SI"/>
        </w:rPr>
      </w:pPr>
      <w:r>
        <w:rPr>
          <w:szCs w:val="22"/>
          <w:lang w:eastAsia="sl-SI"/>
        </w:rPr>
        <w:t xml:space="preserve">Šie tyrimai neparodė reikšmingo palankaus poveikio inkstų ir (arba) širdies ir kraujagyslių ligų baigtims ir mirtingumui, bet, palyginti su </w:t>
      </w:r>
      <w:proofErr w:type="spellStart"/>
      <w:r>
        <w:rPr>
          <w:szCs w:val="22"/>
          <w:lang w:eastAsia="sl-SI"/>
        </w:rPr>
        <w:t>monoterapija</w:t>
      </w:r>
      <w:proofErr w:type="spellEnd"/>
      <w:r>
        <w:rPr>
          <w:szCs w:val="22"/>
          <w:lang w:eastAsia="sl-SI"/>
        </w:rPr>
        <w:t xml:space="preserve">, buvo pastebėta didesnė </w:t>
      </w:r>
      <w:proofErr w:type="spellStart"/>
      <w:r>
        <w:rPr>
          <w:szCs w:val="22"/>
          <w:lang w:eastAsia="sl-SI"/>
        </w:rPr>
        <w:t>hiperkalemijos</w:t>
      </w:r>
      <w:proofErr w:type="spellEnd"/>
      <w:r>
        <w:rPr>
          <w:szCs w:val="22"/>
          <w:lang w:eastAsia="sl-SI"/>
        </w:rPr>
        <w:t xml:space="preserve">, ūminio inkstų pažeidimo ir (arba) </w:t>
      </w:r>
      <w:proofErr w:type="spellStart"/>
      <w:r>
        <w:rPr>
          <w:szCs w:val="22"/>
          <w:lang w:eastAsia="sl-SI"/>
        </w:rPr>
        <w:t>hipotenzijos</w:t>
      </w:r>
      <w:proofErr w:type="spellEnd"/>
      <w:r>
        <w:rPr>
          <w:szCs w:val="22"/>
          <w:lang w:eastAsia="sl-SI"/>
        </w:rPr>
        <w:t xml:space="preserve"> rizika. Atsižvelgiant į panašias </w:t>
      </w:r>
      <w:proofErr w:type="spellStart"/>
      <w:r>
        <w:rPr>
          <w:szCs w:val="22"/>
          <w:lang w:eastAsia="sl-SI"/>
        </w:rPr>
        <w:t>farmakodinamines</w:t>
      </w:r>
      <w:proofErr w:type="spellEnd"/>
      <w:r>
        <w:rPr>
          <w:szCs w:val="22"/>
          <w:lang w:eastAsia="sl-SI"/>
        </w:rPr>
        <w:t xml:space="preserve"> savybes, šie rezultatai taip pat yra aktualūs kitiems AKF inhibitoriams ir </w:t>
      </w:r>
      <w:proofErr w:type="spellStart"/>
      <w:r>
        <w:rPr>
          <w:szCs w:val="22"/>
          <w:lang w:eastAsia="sl-SI"/>
        </w:rPr>
        <w:t>angiotenzino</w:t>
      </w:r>
      <w:proofErr w:type="spellEnd"/>
      <w:r>
        <w:rPr>
          <w:szCs w:val="22"/>
          <w:lang w:eastAsia="sl-SI"/>
        </w:rPr>
        <w:t> II receptorių blokatoriams.</w:t>
      </w:r>
    </w:p>
    <w:p w14:paraId="555F40AC" w14:textId="77777777" w:rsidR="00D25008" w:rsidRDefault="00FE2A61">
      <w:pPr>
        <w:autoSpaceDE w:val="0"/>
        <w:autoSpaceDN w:val="0"/>
        <w:adjustRightInd w:val="0"/>
        <w:rPr>
          <w:szCs w:val="22"/>
          <w:lang w:eastAsia="sl-SI"/>
        </w:rPr>
      </w:pPr>
      <w:r>
        <w:rPr>
          <w:szCs w:val="22"/>
          <w:lang w:eastAsia="sl-SI"/>
        </w:rPr>
        <w:t xml:space="preserve">Dėl to pacientams, sergantiems diabetine </w:t>
      </w:r>
      <w:proofErr w:type="spellStart"/>
      <w:r>
        <w:rPr>
          <w:szCs w:val="22"/>
          <w:lang w:eastAsia="sl-SI"/>
        </w:rPr>
        <w:t>nefropatija</w:t>
      </w:r>
      <w:proofErr w:type="spellEnd"/>
      <w:r>
        <w:rPr>
          <w:szCs w:val="22"/>
          <w:lang w:eastAsia="sl-SI"/>
        </w:rPr>
        <w:t xml:space="preserve">, kartu vartoti AKF inhibitorių ir </w:t>
      </w:r>
      <w:proofErr w:type="spellStart"/>
      <w:r>
        <w:rPr>
          <w:szCs w:val="22"/>
          <w:lang w:eastAsia="sl-SI"/>
        </w:rPr>
        <w:t>angiotenzino</w:t>
      </w:r>
      <w:proofErr w:type="spellEnd"/>
      <w:r>
        <w:rPr>
          <w:szCs w:val="22"/>
          <w:lang w:eastAsia="sl-SI"/>
        </w:rPr>
        <w:t> II receptorių blokatorių negalima.</w:t>
      </w:r>
    </w:p>
    <w:p w14:paraId="4240DC5A" w14:textId="77777777" w:rsidR="00D25008" w:rsidRDefault="00D25008">
      <w:pPr>
        <w:autoSpaceDE w:val="0"/>
        <w:autoSpaceDN w:val="0"/>
        <w:adjustRightInd w:val="0"/>
        <w:rPr>
          <w:szCs w:val="22"/>
          <w:lang w:eastAsia="sl-SI"/>
        </w:rPr>
      </w:pPr>
    </w:p>
    <w:p w14:paraId="4D5248AE" w14:textId="77777777" w:rsidR="00D25008" w:rsidRDefault="00FE2A61">
      <w:pPr>
        <w:autoSpaceDE w:val="0"/>
        <w:autoSpaceDN w:val="0"/>
        <w:adjustRightInd w:val="0"/>
        <w:rPr>
          <w:i/>
          <w:iCs/>
          <w:szCs w:val="22"/>
          <w:lang w:eastAsia="sl-SI"/>
        </w:rPr>
      </w:pPr>
      <w:r>
        <w:rPr>
          <w:szCs w:val="22"/>
          <w:lang w:eastAsia="sl-SI"/>
        </w:rPr>
        <w:t>ALTITUDE (</w:t>
      </w:r>
      <w:proofErr w:type="spellStart"/>
      <w:r>
        <w:rPr>
          <w:i/>
          <w:iCs/>
          <w:szCs w:val="22"/>
          <w:lang w:eastAsia="sl-SI"/>
        </w:rPr>
        <w:t>Aliskiren</w:t>
      </w:r>
      <w:proofErr w:type="spellEnd"/>
      <w:r>
        <w:rPr>
          <w:i/>
          <w:iCs/>
          <w:szCs w:val="22"/>
          <w:lang w:eastAsia="sl-SI"/>
        </w:rPr>
        <w:t xml:space="preserve"> </w:t>
      </w:r>
      <w:proofErr w:type="spellStart"/>
      <w:r>
        <w:rPr>
          <w:i/>
          <w:iCs/>
          <w:szCs w:val="22"/>
          <w:lang w:eastAsia="sl-SI"/>
        </w:rPr>
        <w:t>Trial</w:t>
      </w:r>
      <w:proofErr w:type="spellEnd"/>
      <w:r>
        <w:rPr>
          <w:i/>
          <w:iCs/>
          <w:szCs w:val="22"/>
          <w:lang w:eastAsia="sl-SI"/>
        </w:rPr>
        <w:t xml:space="preserve"> </w:t>
      </w:r>
      <w:proofErr w:type="spellStart"/>
      <w:r>
        <w:rPr>
          <w:i/>
          <w:iCs/>
          <w:szCs w:val="22"/>
          <w:lang w:eastAsia="sl-SI"/>
        </w:rPr>
        <w:t>in</w:t>
      </w:r>
      <w:proofErr w:type="spellEnd"/>
      <w:r>
        <w:rPr>
          <w:i/>
          <w:iCs/>
          <w:szCs w:val="22"/>
          <w:lang w:eastAsia="sl-SI"/>
        </w:rPr>
        <w:t xml:space="preserve"> Type 2 </w:t>
      </w:r>
      <w:proofErr w:type="spellStart"/>
      <w:r>
        <w:rPr>
          <w:i/>
          <w:iCs/>
          <w:szCs w:val="22"/>
          <w:lang w:eastAsia="sl-SI"/>
        </w:rPr>
        <w:t>Diabetes</w:t>
      </w:r>
      <w:proofErr w:type="spellEnd"/>
      <w:r>
        <w:rPr>
          <w:i/>
          <w:iCs/>
          <w:szCs w:val="22"/>
          <w:lang w:eastAsia="sl-SI"/>
        </w:rPr>
        <w:t xml:space="preserve"> </w:t>
      </w:r>
      <w:proofErr w:type="spellStart"/>
      <w:r>
        <w:rPr>
          <w:i/>
          <w:iCs/>
          <w:szCs w:val="22"/>
          <w:lang w:eastAsia="sl-SI"/>
        </w:rPr>
        <w:t>Using</w:t>
      </w:r>
      <w:proofErr w:type="spellEnd"/>
      <w:r>
        <w:rPr>
          <w:i/>
          <w:iCs/>
          <w:szCs w:val="22"/>
          <w:lang w:eastAsia="sl-SI"/>
        </w:rPr>
        <w:t xml:space="preserve"> </w:t>
      </w:r>
      <w:proofErr w:type="spellStart"/>
      <w:r>
        <w:rPr>
          <w:i/>
          <w:iCs/>
          <w:szCs w:val="22"/>
          <w:lang w:eastAsia="sl-SI"/>
        </w:rPr>
        <w:t>Cardiovascular</w:t>
      </w:r>
      <w:proofErr w:type="spellEnd"/>
      <w:r>
        <w:rPr>
          <w:i/>
          <w:iCs/>
          <w:szCs w:val="22"/>
          <w:lang w:eastAsia="sl-SI"/>
        </w:rPr>
        <w:t xml:space="preserve"> </w:t>
      </w:r>
      <w:proofErr w:type="spellStart"/>
      <w:r>
        <w:rPr>
          <w:i/>
          <w:iCs/>
          <w:szCs w:val="22"/>
          <w:lang w:eastAsia="sl-SI"/>
        </w:rPr>
        <w:t>and</w:t>
      </w:r>
      <w:proofErr w:type="spellEnd"/>
      <w:r>
        <w:rPr>
          <w:i/>
          <w:iCs/>
          <w:szCs w:val="22"/>
          <w:lang w:eastAsia="sl-SI"/>
        </w:rPr>
        <w:t xml:space="preserve"> </w:t>
      </w:r>
      <w:proofErr w:type="spellStart"/>
      <w:r>
        <w:rPr>
          <w:i/>
          <w:iCs/>
          <w:szCs w:val="22"/>
          <w:lang w:eastAsia="sl-SI"/>
        </w:rPr>
        <w:t>Renal</w:t>
      </w:r>
      <w:proofErr w:type="spellEnd"/>
      <w:r>
        <w:rPr>
          <w:i/>
          <w:iCs/>
          <w:szCs w:val="22"/>
          <w:lang w:eastAsia="sl-SI"/>
        </w:rPr>
        <w:t xml:space="preserve"> </w:t>
      </w:r>
      <w:proofErr w:type="spellStart"/>
      <w:r>
        <w:rPr>
          <w:i/>
          <w:iCs/>
          <w:szCs w:val="22"/>
          <w:lang w:eastAsia="sl-SI"/>
        </w:rPr>
        <w:t>Disease</w:t>
      </w:r>
      <w:proofErr w:type="spellEnd"/>
    </w:p>
    <w:p w14:paraId="68BB08D6" w14:textId="77777777" w:rsidR="00D25008" w:rsidRDefault="00FE2A61">
      <w:pPr>
        <w:autoSpaceDE w:val="0"/>
        <w:autoSpaceDN w:val="0"/>
        <w:adjustRightInd w:val="0"/>
        <w:rPr>
          <w:szCs w:val="22"/>
          <w:lang w:eastAsia="sl-SI"/>
        </w:rPr>
      </w:pPr>
      <w:proofErr w:type="spellStart"/>
      <w:r>
        <w:rPr>
          <w:i/>
          <w:iCs/>
          <w:szCs w:val="22"/>
          <w:lang w:eastAsia="sl-SI"/>
        </w:rPr>
        <w:t>Endpoints</w:t>
      </w:r>
      <w:proofErr w:type="spellEnd"/>
      <w:r>
        <w:rPr>
          <w:szCs w:val="22"/>
          <w:lang w:eastAsia="sl-SI"/>
        </w:rPr>
        <w:t xml:space="preserve">) tyrimu buvo siekiama ištirti, ar būtų naudingas </w:t>
      </w:r>
      <w:proofErr w:type="spellStart"/>
      <w:r>
        <w:rPr>
          <w:szCs w:val="22"/>
          <w:lang w:eastAsia="sl-SI"/>
        </w:rPr>
        <w:t>aliskireno</w:t>
      </w:r>
      <w:proofErr w:type="spellEnd"/>
      <w:r>
        <w:rPr>
          <w:szCs w:val="22"/>
          <w:lang w:eastAsia="sl-SI"/>
        </w:rPr>
        <w:t xml:space="preserve"> įtraukimas į standartinį pacientų, sergančių 2 tipo cukriniu diabetu ir lėtine inkstų liga, širdies ir kraujagyslių liga arba abiem ligomis, gydymą AKF inhibitoriumi arba </w:t>
      </w:r>
      <w:proofErr w:type="spellStart"/>
      <w:r>
        <w:rPr>
          <w:szCs w:val="22"/>
          <w:lang w:eastAsia="sl-SI"/>
        </w:rPr>
        <w:t>angiotenzino</w:t>
      </w:r>
      <w:proofErr w:type="spellEnd"/>
      <w:r>
        <w:rPr>
          <w:szCs w:val="22"/>
          <w:lang w:eastAsia="sl-SI"/>
        </w:rPr>
        <w:t xml:space="preserve"> II receptorių blokatoriumi. Tyrimas buvo nutrauktas pirma laiko, nes padidėjo nepageidaujamų baigčių rizika. Mirčių nuo širdies ir kraujagyslių ligų ir insulto atvejų skaičius </w:t>
      </w:r>
      <w:proofErr w:type="spellStart"/>
      <w:r>
        <w:rPr>
          <w:szCs w:val="22"/>
          <w:lang w:eastAsia="sl-SI"/>
        </w:rPr>
        <w:t>aliskireno</w:t>
      </w:r>
      <w:proofErr w:type="spellEnd"/>
      <w:r>
        <w:rPr>
          <w:szCs w:val="22"/>
          <w:lang w:eastAsia="sl-SI"/>
        </w:rPr>
        <w:t xml:space="preserve"> grupėje buvo didesnis nei placebo grupėje, o nepageidaujami reiškiniai ir sunkūs nepageidaujami reiškiniai (</w:t>
      </w:r>
      <w:proofErr w:type="spellStart"/>
      <w:r>
        <w:rPr>
          <w:szCs w:val="22"/>
          <w:lang w:eastAsia="sl-SI"/>
        </w:rPr>
        <w:t>hiperkalemija</w:t>
      </w:r>
      <w:proofErr w:type="spellEnd"/>
      <w:r>
        <w:rPr>
          <w:szCs w:val="22"/>
          <w:lang w:eastAsia="sl-SI"/>
        </w:rPr>
        <w:t xml:space="preserve">, </w:t>
      </w:r>
      <w:proofErr w:type="spellStart"/>
      <w:r>
        <w:rPr>
          <w:szCs w:val="22"/>
          <w:lang w:eastAsia="sl-SI"/>
        </w:rPr>
        <w:t>hipotenzija</w:t>
      </w:r>
      <w:proofErr w:type="spellEnd"/>
      <w:r>
        <w:rPr>
          <w:szCs w:val="22"/>
          <w:lang w:eastAsia="sl-SI"/>
        </w:rPr>
        <w:t xml:space="preserve"> ir inkstų funkcijos sutrikimai) </w:t>
      </w:r>
      <w:proofErr w:type="spellStart"/>
      <w:r>
        <w:rPr>
          <w:szCs w:val="22"/>
          <w:lang w:eastAsia="sl-SI"/>
        </w:rPr>
        <w:t>aliskireno</w:t>
      </w:r>
      <w:proofErr w:type="spellEnd"/>
      <w:r>
        <w:rPr>
          <w:szCs w:val="22"/>
          <w:lang w:eastAsia="sl-SI"/>
        </w:rPr>
        <w:t xml:space="preserve"> grupėje taip pat pasireiškė dažniau nei placebo grupėje.</w:t>
      </w:r>
    </w:p>
    <w:p w14:paraId="6A4EDA79" w14:textId="77777777" w:rsidR="00D25008" w:rsidRDefault="00D25008">
      <w:pPr>
        <w:autoSpaceDE w:val="0"/>
        <w:autoSpaceDN w:val="0"/>
        <w:adjustRightInd w:val="0"/>
        <w:rPr>
          <w:szCs w:val="22"/>
          <w:lang w:eastAsia="sl-SI"/>
        </w:rPr>
      </w:pPr>
    </w:p>
    <w:p w14:paraId="6E2040E6" w14:textId="77777777" w:rsidR="00D25008" w:rsidRDefault="00FE2A61">
      <w:pPr>
        <w:autoSpaceDE w:val="0"/>
        <w:autoSpaceDN w:val="0"/>
        <w:adjustRightInd w:val="0"/>
        <w:rPr>
          <w:szCs w:val="22"/>
          <w:lang w:eastAsia="sl-SI"/>
        </w:rPr>
      </w:pPr>
      <w:r>
        <w:rPr>
          <w:szCs w:val="22"/>
          <w:lang w:eastAsia="sl-SI"/>
        </w:rPr>
        <w:t xml:space="preserve">Epidemiologinių tyrimų duomenys rodo, jog ilgai vartojamas </w:t>
      </w:r>
      <w:proofErr w:type="spellStart"/>
      <w:r>
        <w:rPr>
          <w:szCs w:val="22"/>
          <w:lang w:eastAsia="sl-SI"/>
        </w:rPr>
        <w:t>hidrochlorotiazidas</w:t>
      </w:r>
      <w:proofErr w:type="spellEnd"/>
      <w:r>
        <w:rPr>
          <w:szCs w:val="22"/>
          <w:lang w:eastAsia="sl-SI"/>
        </w:rPr>
        <w:t xml:space="preserve"> sumažina sergamumo širdies ir kraujagyslių sistemos ligomis ir mirštamumo nuo jų riziką.</w:t>
      </w:r>
    </w:p>
    <w:p w14:paraId="6666BBCD" w14:textId="77777777" w:rsidR="00D25008" w:rsidRDefault="00D25008">
      <w:pPr>
        <w:autoSpaceDE w:val="0"/>
        <w:autoSpaceDN w:val="0"/>
        <w:adjustRightInd w:val="0"/>
        <w:rPr>
          <w:szCs w:val="22"/>
          <w:lang w:eastAsia="sl-SI"/>
        </w:rPr>
      </w:pPr>
    </w:p>
    <w:p w14:paraId="0E3F983E" w14:textId="77777777" w:rsidR="00D25008" w:rsidRDefault="00FE2A61">
      <w:pPr>
        <w:autoSpaceDE w:val="0"/>
        <w:autoSpaceDN w:val="0"/>
        <w:adjustRightInd w:val="0"/>
        <w:rPr>
          <w:szCs w:val="22"/>
          <w:lang w:eastAsia="sl-SI"/>
        </w:rPr>
      </w:pPr>
      <w:r>
        <w:rPr>
          <w:szCs w:val="22"/>
          <w:lang w:eastAsia="sl-SI"/>
        </w:rPr>
        <w:lastRenderedPageBreak/>
        <w:t xml:space="preserve">Kokį poveikį sergamumui širdies ir kraujagyslių sistemos ligomis ir mirštamumui nuo jų daro </w:t>
      </w:r>
      <w:proofErr w:type="spellStart"/>
      <w:r>
        <w:rPr>
          <w:szCs w:val="22"/>
          <w:lang w:eastAsia="sl-SI"/>
        </w:rPr>
        <w:t>telmisartano</w:t>
      </w:r>
      <w:proofErr w:type="spellEnd"/>
      <w:r>
        <w:rPr>
          <w:szCs w:val="22"/>
          <w:lang w:eastAsia="sl-SI"/>
        </w:rPr>
        <w:t xml:space="preserve"> ir </w:t>
      </w:r>
      <w:proofErr w:type="spellStart"/>
      <w:r>
        <w:rPr>
          <w:szCs w:val="22"/>
          <w:lang w:eastAsia="sl-SI"/>
        </w:rPr>
        <w:t>hidrochlorotiazido</w:t>
      </w:r>
      <w:proofErr w:type="spellEnd"/>
      <w:r>
        <w:rPr>
          <w:szCs w:val="22"/>
          <w:lang w:eastAsia="sl-SI"/>
        </w:rPr>
        <w:t xml:space="preserve"> fiksuotų dozių derinys, nežinoma.</w:t>
      </w:r>
    </w:p>
    <w:p w14:paraId="38C04429" w14:textId="77777777" w:rsidR="00D25008" w:rsidRDefault="00D25008">
      <w:pPr>
        <w:autoSpaceDE w:val="0"/>
        <w:autoSpaceDN w:val="0"/>
        <w:adjustRightInd w:val="0"/>
        <w:rPr>
          <w:szCs w:val="22"/>
          <w:lang w:eastAsia="sl-SI"/>
        </w:rPr>
      </w:pPr>
    </w:p>
    <w:p w14:paraId="4303B73B" w14:textId="77777777" w:rsidR="00D25008" w:rsidRDefault="00FE2A61">
      <w:pPr>
        <w:widowControl w:val="0"/>
        <w:autoSpaceDE w:val="0"/>
        <w:autoSpaceDN w:val="0"/>
        <w:adjustRightInd w:val="0"/>
        <w:rPr>
          <w:i/>
          <w:iCs/>
          <w:szCs w:val="22"/>
          <w:u w:val="single"/>
          <w:lang w:eastAsia="sl-SI"/>
        </w:rPr>
      </w:pPr>
      <w:r>
        <w:rPr>
          <w:i/>
          <w:iCs/>
          <w:szCs w:val="22"/>
          <w:u w:val="single"/>
          <w:lang w:eastAsia="sl-SI"/>
        </w:rPr>
        <w:t>Profilaktinio gydymo siekiant apsaugoti nuo širdies priepuolio tyrimas (ALLHAT)</w:t>
      </w:r>
    </w:p>
    <w:p w14:paraId="00992037" w14:textId="77777777" w:rsidR="00D25008" w:rsidRDefault="00FE2A61">
      <w:pPr>
        <w:rPr>
          <w:szCs w:val="22"/>
          <w:lang w:eastAsia="ja-JP"/>
        </w:rPr>
      </w:pPr>
      <w:r>
        <w:rPr>
          <w:color w:val="000000"/>
          <w:szCs w:val="22"/>
          <w:lang w:eastAsia="lt-LT"/>
        </w:rPr>
        <w:t xml:space="preserve">Siekiant palyginti naujesnius vaistinius preparatus, atliktas atsitiktinių imčių dvigubai koduotas sergamumo ir mirtingumo klinikinis tyrimas </w:t>
      </w:r>
      <w:proofErr w:type="spellStart"/>
      <w:r>
        <w:rPr>
          <w:i/>
          <w:szCs w:val="22"/>
          <w:lang w:eastAsia="ja-JP"/>
        </w:rPr>
        <w:t>Antihypertensive</w:t>
      </w:r>
      <w:proofErr w:type="spellEnd"/>
      <w:r>
        <w:rPr>
          <w:i/>
          <w:szCs w:val="22"/>
          <w:lang w:eastAsia="ja-JP"/>
        </w:rPr>
        <w:t xml:space="preserve"> </w:t>
      </w:r>
      <w:proofErr w:type="spellStart"/>
      <w:r>
        <w:rPr>
          <w:i/>
          <w:szCs w:val="22"/>
          <w:lang w:eastAsia="ja-JP"/>
        </w:rPr>
        <w:t>and</w:t>
      </w:r>
      <w:proofErr w:type="spellEnd"/>
      <w:r>
        <w:rPr>
          <w:i/>
          <w:szCs w:val="22"/>
          <w:lang w:eastAsia="ja-JP"/>
        </w:rPr>
        <w:t xml:space="preserve"> </w:t>
      </w:r>
      <w:proofErr w:type="spellStart"/>
      <w:r>
        <w:rPr>
          <w:i/>
          <w:szCs w:val="22"/>
          <w:lang w:eastAsia="ja-JP"/>
        </w:rPr>
        <w:t>Lipid-Lowering</w:t>
      </w:r>
      <w:proofErr w:type="spellEnd"/>
      <w:r>
        <w:rPr>
          <w:i/>
          <w:szCs w:val="22"/>
          <w:lang w:eastAsia="ja-JP"/>
        </w:rPr>
        <w:t xml:space="preserve"> </w:t>
      </w:r>
      <w:proofErr w:type="spellStart"/>
      <w:r>
        <w:rPr>
          <w:i/>
          <w:szCs w:val="22"/>
          <w:lang w:eastAsia="ja-JP"/>
        </w:rPr>
        <w:t>Treatment</w:t>
      </w:r>
      <w:proofErr w:type="spellEnd"/>
      <w:r>
        <w:rPr>
          <w:i/>
          <w:szCs w:val="22"/>
          <w:lang w:eastAsia="ja-JP"/>
        </w:rPr>
        <w:t xml:space="preserve"> to </w:t>
      </w:r>
      <w:proofErr w:type="spellStart"/>
      <w:r>
        <w:rPr>
          <w:i/>
          <w:szCs w:val="22"/>
          <w:lang w:eastAsia="ja-JP"/>
        </w:rPr>
        <w:t>Prevent</w:t>
      </w:r>
      <w:proofErr w:type="spellEnd"/>
      <w:r>
        <w:rPr>
          <w:i/>
          <w:szCs w:val="22"/>
          <w:lang w:eastAsia="ja-JP"/>
        </w:rPr>
        <w:t xml:space="preserve"> </w:t>
      </w:r>
      <w:proofErr w:type="spellStart"/>
      <w:r>
        <w:rPr>
          <w:i/>
          <w:szCs w:val="22"/>
          <w:lang w:eastAsia="ja-JP"/>
        </w:rPr>
        <w:t>Heart</w:t>
      </w:r>
      <w:proofErr w:type="spellEnd"/>
      <w:r>
        <w:rPr>
          <w:i/>
          <w:szCs w:val="22"/>
          <w:lang w:eastAsia="ja-JP"/>
        </w:rPr>
        <w:t xml:space="preserve"> </w:t>
      </w:r>
      <w:proofErr w:type="spellStart"/>
      <w:r>
        <w:rPr>
          <w:i/>
          <w:szCs w:val="22"/>
          <w:lang w:eastAsia="ja-JP"/>
        </w:rPr>
        <w:t>Attack</w:t>
      </w:r>
      <w:proofErr w:type="spellEnd"/>
      <w:r>
        <w:rPr>
          <w:i/>
          <w:szCs w:val="22"/>
          <w:lang w:eastAsia="ja-JP"/>
        </w:rPr>
        <w:t xml:space="preserve"> </w:t>
      </w:r>
      <w:proofErr w:type="spellStart"/>
      <w:r>
        <w:rPr>
          <w:i/>
          <w:szCs w:val="22"/>
          <w:lang w:eastAsia="ja-JP"/>
        </w:rPr>
        <w:t>Trial</w:t>
      </w:r>
      <w:proofErr w:type="spellEnd"/>
      <w:r>
        <w:rPr>
          <w:i/>
          <w:szCs w:val="22"/>
          <w:lang w:eastAsia="ja-JP"/>
        </w:rPr>
        <w:t xml:space="preserve"> </w:t>
      </w:r>
      <w:r>
        <w:rPr>
          <w:iCs/>
          <w:szCs w:val="22"/>
          <w:lang w:eastAsia="ja-JP"/>
        </w:rPr>
        <w:t>(</w:t>
      </w:r>
      <w:r>
        <w:rPr>
          <w:szCs w:val="22"/>
          <w:lang w:eastAsia="ja-JP"/>
        </w:rPr>
        <w:t xml:space="preserve">ALLHAT): lyginti pirmojo pasirinkimo vaistiniai preparatai </w:t>
      </w:r>
      <w:proofErr w:type="spellStart"/>
      <w:r>
        <w:rPr>
          <w:szCs w:val="22"/>
          <w:lang w:eastAsia="ja-JP"/>
        </w:rPr>
        <w:t>amlodipinas</w:t>
      </w:r>
      <w:proofErr w:type="spellEnd"/>
      <w:r>
        <w:rPr>
          <w:szCs w:val="22"/>
          <w:lang w:eastAsia="ja-JP"/>
        </w:rPr>
        <w:t xml:space="preserve"> 2,5-10 mg/parą (kalcio kanalų blokatorius) arba </w:t>
      </w:r>
      <w:proofErr w:type="spellStart"/>
      <w:r>
        <w:rPr>
          <w:szCs w:val="22"/>
          <w:lang w:eastAsia="ja-JP"/>
        </w:rPr>
        <w:t>lizinoprilis</w:t>
      </w:r>
      <w:proofErr w:type="spellEnd"/>
      <w:r>
        <w:rPr>
          <w:szCs w:val="22"/>
          <w:lang w:eastAsia="ja-JP"/>
        </w:rPr>
        <w:t xml:space="preserve"> 10-40 mg/parą (AKF inhibitorius) su </w:t>
      </w:r>
      <w:proofErr w:type="spellStart"/>
      <w:r>
        <w:rPr>
          <w:szCs w:val="22"/>
          <w:lang w:eastAsia="ja-JP"/>
        </w:rPr>
        <w:t>tiazidiniu</w:t>
      </w:r>
      <w:proofErr w:type="spellEnd"/>
      <w:r>
        <w:rPr>
          <w:szCs w:val="22"/>
          <w:lang w:eastAsia="ja-JP"/>
        </w:rPr>
        <w:t xml:space="preserve"> diuretiku </w:t>
      </w:r>
      <w:proofErr w:type="spellStart"/>
      <w:r>
        <w:rPr>
          <w:szCs w:val="22"/>
          <w:lang w:eastAsia="ja-JP"/>
        </w:rPr>
        <w:t>chlortalidonu</w:t>
      </w:r>
      <w:proofErr w:type="spellEnd"/>
      <w:r>
        <w:rPr>
          <w:szCs w:val="22"/>
          <w:lang w:eastAsia="ja-JP"/>
        </w:rPr>
        <w:t xml:space="preserve"> 12,5</w:t>
      </w:r>
      <w:r>
        <w:rPr>
          <w:szCs w:val="22"/>
          <w:lang w:eastAsia="ja-JP"/>
        </w:rPr>
        <w:noBreakHyphen/>
        <w:t>25 mg/parą gydant lengvą ir vidutinio sunkumo hipertenziją.</w:t>
      </w:r>
    </w:p>
    <w:p w14:paraId="0D757FED" w14:textId="77777777" w:rsidR="00D25008" w:rsidRDefault="00D25008">
      <w:pPr>
        <w:rPr>
          <w:szCs w:val="22"/>
          <w:lang w:eastAsia="ja-JP"/>
        </w:rPr>
      </w:pPr>
    </w:p>
    <w:p w14:paraId="6FB96570" w14:textId="77777777" w:rsidR="00D25008" w:rsidRDefault="00FE2A61">
      <w:pPr>
        <w:rPr>
          <w:szCs w:val="22"/>
          <w:lang w:eastAsia="ja-JP"/>
        </w:rPr>
      </w:pPr>
      <w:r>
        <w:rPr>
          <w:szCs w:val="22"/>
          <w:lang w:eastAsia="ja-JP"/>
        </w:rPr>
        <w:t>Iš viso atsitiktinėms imtims priskirti 33 357 hipertenzija sergantys 55 metų ir vyresni pacientai, stebėti vidutiniškai 4,9 metų. Pacientams buvo bent vienas papildomas vainikinės širdies ligos rizikos veiksnys: anksčiau patirtas miokardo infarktas arba insultas (daugiau kaip prieš 6 mėnesius iki tyrimo pradžios) arba patvirtinta kita aterosklerozinės kilmės kardiovaskulinė liga (iš viso 51,5 %), 2 tipo cukrinis diabetas (36,1 %), didelio tankio lipoproteinų cholesterolio kiekis &lt;35 mg/dl (11,6 %), elektrokardiograma ar ultragarsiniu širdies tyrimu nustatyta kairiojo širdies skilvelio hipertrofija (20,9 %), esamas cigarečių rūkymas (21,9 %).</w:t>
      </w:r>
    </w:p>
    <w:p w14:paraId="367563D3" w14:textId="77777777" w:rsidR="00D25008" w:rsidRDefault="00FE2A61">
      <w:pPr>
        <w:rPr>
          <w:color w:val="000000"/>
          <w:szCs w:val="22"/>
          <w:lang w:eastAsia="lt-LT"/>
        </w:rPr>
      </w:pPr>
      <w:r>
        <w:rPr>
          <w:szCs w:val="22"/>
          <w:lang w:eastAsia="ja-JP"/>
        </w:rPr>
        <w:t xml:space="preserve">Pagrindinė vertinamoji baigtis buvo sudėtinė, ją sudarė mirtį sukėlusi vainikinė širdies liga arba nemirtinas miokardo infarktas. Tiek </w:t>
      </w:r>
      <w:proofErr w:type="spellStart"/>
      <w:r>
        <w:rPr>
          <w:szCs w:val="22"/>
          <w:lang w:eastAsia="ja-JP"/>
        </w:rPr>
        <w:t>amlodipinu</w:t>
      </w:r>
      <w:proofErr w:type="spellEnd"/>
      <w:r>
        <w:rPr>
          <w:szCs w:val="22"/>
          <w:lang w:eastAsia="ja-JP"/>
        </w:rPr>
        <w:t xml:space="preserve">, tiek </w:t>
      </w:r>
      <w:proofErr w:type="spellStart"/>
      <w:r>
        <w:rPr>
          <w:szCs w:val="22"/>
          <w:lang w:eastAsia="ja-JP"/>
        </w:rPr>
        <w:t>chlortalidonu</w:t>
      </w:r>
      <w:proofErr w:type="spellEnd"/>
      <w:r>
        <w:rPr>
          <w:szCs w:val="22"/>
          <w:lang w:eastAsia="ja-JP"/>
        </w:rPr>
        <w:t xml:space="preserve"> paremtas gydymas pagrindinės vertinamosios baigties atžvilgiu reikšmingai nesiskyrė: RR 0,98 95 % PI (0,9-1,07) p=0,65. Antrinė vertinamoji baigtis širdies nepakankamumo dažnis (sudėtinės vertinamosios baigties komponentas) reikšmingai dažniau pasireiškė </w:t>
      </w:r>
      <w:proofErr w:type="spellStart"/>
      <w:r>
        <w:rPr>
          <w:szCs w:val="22"/>
          <w:lang w:eastAsia="ja-JP"/>
        </w:rPr>
        <w:t>amlodipino</w:t>
      </w:r>
      <w:proofErr w:type="spellEnd"/>
      <w:r>
        <w:rPr>
          <w:szCs w:val="22"/>
          <w:lang w:eastAsia="ja-JP"/>
        </w:rPr>
        <w:t xml:space="preserve"> grupėje, palyginti su </w:t>
      </w:r>
      <w:proofErr w:type="spellStart"/>
      <w:r>
        <w:rPr>
          <w:szCs w:val="22"/>
          <w:lang w:eastAsia="ja-JP"/>
        </w:rPr>
        <w:t>chlortalidono</w:t>
      </w:r>
      <w:proofErr w:type="spellEnd"/>
      <w:r>
        <w:rPr>
          <w:szCs w:val="22"/>
          <w:lang w:eastAsia="ja-JP"/>
        </w:rPr>
        <w:t xml:space="preserve"> grupe (10,2 % palyginti su 7,7 %, RR 1,38, 95 % PI [1,25-1,52] p&lt; 0,001). Vis dėlto vertinant mirtis nuo bet kokios priežasties, reikšmingo skirtumo tarp </w:t>
      </w:r>
      <w:proofErr w:type="spellStart"/>
      <w:r>
        <w:rPr>
          <w:szCs w:val="22"/>
          <w:lang w:eastAsia="ja-JP"/>
        </w:rPr>
        <w:t>amlodipinu</w:t>
      </w:r>
      <w:proofErr w:type="spellEnd"/>
      <w:r>
        <w:rPr>
          <w:szCs w:val="22"/>
          <w:lang w:eastAsia="ja-JP"/>
        </w:rPr>
        <w:t xml:space="preserve"> ir </w:t>
      </w:r>
      <w:proofErr w:type="spellStart"/>
      <w:r>
        <w:rPr>
          <w:szCs w:val="22"/>
          <w:lang w:eastAsia="ja-JP"/>
        </w:rPr>
        <w:t>chlortalidonu</w:t>
      </w:r>
      <w:proofErr w:type="spellEnd"/>
      <w:r>
        <w:rPr>
          <w:szCs w:val="22"/>
          <w:lang w:eastAsia="ja-JP"/>
        </w:rPr>
        <w:t xml:space="preserve"> paremto gydymo grupių nenustatyta: RR 0,96 95 % PI [0,89-1,02] p=0,20.</w:t>
      </w:r>
    </w:p>
    <w:p w14:paraId="508367B3" w14:textId="77777777" w:rsidR="00D25008" w:rsidRDefault="00D25008">
      <w:pPr>
        <w:autoSpaceDE w:val="0"/>
        <w:autoSpaceDN w:val="0"/>
        <w:adjustRightInd w:val="0"/>
        <w:rPr>
          <w:szCs w:val="22"/>
          <w:lang w:eastAsia="sl-SI"/>
        </w:rPr>
      </w:pPr>
    </w:p>
    <w:p w14:paraId="5C2E13E5" w14:textId="77777777" w:rsidR="00D25008" w:rsidRDefault="00FE2A61">
      <w:pPr>
        <w:autoSpaceDE w:val="0"/>
        <w:autoSpaceDN w:val="0"/>
        <w:adjustRightInd w:val="0"/>
        <w:rPr>
          <w:i/>
          <w:iCs/>
          <w:szCs w:val="22"/>
          <w:u w:val="single"/>
          <w:lang w:eastAsia="sl-SI"/>
        </w:rPr>
      </w:pPr>
      <w:proofErr w:type="spellStart"/>
      <w:r>
        <w:rPr>
          <w:i/>
          <w:iCs/>
          <w:szCs w:val="22"/>
          <w:u w:val="single"/>
          <w:lang w:eastAsia="sl-SI"/>
        </w:rPr>
        <w:t>Nemelanominis</w:t>
      </w:r>
      <w:proofErr w:type="spellEnd"/>
      <w:r>
        <w:rPr>
          <w:i/>
          <w:iCs/>
          <w:szCs w:val="22"/>
          <w:u w:val="single"/>
          <w:lang w:eastAsia="sl-SI"/>
        </w:rPr>
        <w:t xml:space="preserve"> odos vėžys</w:t>
      </w:r>
    </w:p>
    <w:p w14:paraId="6EBE182C" w14:textId="77777777" w:rsidR="00D25008" w:rsidRDefault="00FE2A61">
      <w:pPr>
        <w:autoSpaceDE w:val="0"/>
        <w:autoSpaceDN w:val="0"/>
        <w:adjustRightInd w:val="0"/>
        <w:rPr>
          <w:szCs w:val="22"/>
          <w:lang w:eastAsia="sl-SI"/>
        </w:rPr>
      </w:pPr>
      <w:r>
        <w:rPr>
          <w:szCs w:val="22"/>
          <w:lang w:eastAsia="sl-SI"/>
        </w:rPr>
        <w:t>Remiantis turimais epidemiologinių tyrimų duomenimis buvo nustatyta nuo kumuliacinės dozės priklausoma HCTZ sąsaja su NOV. Atliekant vieną tyrimą, buvo tiriama populiacija, sudaryta iš 71533 BLK ir 8629 PLK sergančių pacientų, kurie buvo lyginami su atitinkamai 1430833 ir 172462 kontroliniais pacientais. Vartojant dideles HCTZ dozes (kumuliacinė dozė – ≥50000 mg) koreguotas BLK rizikos santykis (RS) buvo 1,29 (95 % PI: 1,23</w:t>
      </w:r>
      <w:r>
        <w:rPr>
          <w:szCs w:val="22"/>
          <w:lang w:eastAsia="sl-SI"/>
        </w:rPr>
        <w:noBreakHyphen/>
        <w:t>1,35) ir PLK RS – 3,98 (95 % PI: 3,68</w:t>
      </w:r>
      <w:r>
        <w:rPr>
          <w:szCs w:val="22"/>
          <w:lang w:eastAsia="sl-SI"/>
        </w:rPr>
        <w:noBreakHyphen/>
        <w:t>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63067 kontroliniais pacientais. Kumuliacinės dozės ir organizmo atsako ryšys buvo įrodytas nustačius koreguotą RS, kuris buvo 2,1 (95 % PI: 1,7–2,6), RS padidėjo iki 3,9 (3,0-4,9), vartojant dideles vaistinio preparato dozes (~25000 mg) ir iki 7,7 (5,7</w:t>
      </w:r>
      <w:r>
        <w:rPr>
          <w:szCs w:val="22"/>
          <w:lang w:eastAsia="sl-SI"/>
        </w:rPr>
        <w:noBreakHyphen/>
        <w:t>10,5), esant didžiausiai kumuliacinei dozei (~100000 mg) (taip pat žr. 4.4 skyrių).</w:t>
      </w:r>
    </w:p>
    <w:p w14:paraId="0DB243FA" w14:textId="77777777" w:rsidR="00D25008" w:rsidRDefault="00D25008">
      <w:pPr>
        <w:widowControl w:val="0"/>
        <w:rPr>
          <w:szCs w:val="22"/>
          <w:lang w:eastAsia="sl-SI"/>
        </w:rPr>
      </w:pPr>
    </w:p>
    <w:p w14:paraId="0AE68831" w14:textId="77777777" w:rsidR="00D25008" w:rsidRDefault="00FE2A61">
      <w:pPr>
        <w:widowControl w:val="0"/>
        <w:tabs>
          <w:tab w:val="left" w:pos="567"/>
        </w:tabs>
        <w:rPr>
          <w:szCs w:val="22"/>
          <w:lang w:eastAsia="sl-SI"/>
        </w:rPr>
      </w:pPr>
      <w:r>
        <w:rPr>
          <w:b/>
          <w:szCs w:val="22"/>
          <w:lang w:eastAsia="sl-SI"/>
        </w:rPr>
        <w:t>5.2</w:t>
      </w:r>
      <w:r>
        <w:rPr>
          <w:b/>
          <w:szCs w:val="22"/>
          <w:lang w:eastAsia="sl-SI"/>
        </w:rPr>
        <w:tab/>
      </w:r>
      <w:proofErr w:type="spellStart"/>
      <w:r>
        <w:rPr>
          <w:b/>
          <w:szCs w:val="22"/>
          <w:lang w:eastAsia="sl-SI"/>
        </w:rPr>
        <w:t>Farmakokinetinės</w:t>
      </w:r>
      <w:proofErr w:type="spellEnd"/>
      <w:r>
        <w:rPr>
          <w:b/>
          <w:szCs w:val="22"/>
          <w:lang w:eastAsia="sl-SI"/>
        </w:rPr>
        <w:t xml:space="preserve"> savybės</w:t>
      </w:r>
    </w:p>
    <w:p w14:paraId="49038662" w14:textId="77777777" w:rsidR="00D25008" w:rsidRDefault="00D25008">
      <w:pPr>
        <w:widowControl w:val="0"/>
        <w:tabs>
          <w:tab w:val="left" w:pos="567"/>
        </w:tabs>
        <w:rPr>
          <w:b/>
          <w:szCs w:val="22"/>
          <w:lang w:eastAsia="sl-SI"/>
        </w:rPr>
      </w:pPr>
    </w:p>
    <w:p w14:paraId="27473B7D" w14:textId="77777777" w:rsidR="00D25008" w:rsidRDefault="00FE2A61">
      <w:pPr>
        <w:autoSpaceDE w:val="0"/>
        <w:autoSpaceDN w:val="0"/>
        <w:adjustRightInd w:val="0"/>
        <w:rPr>
          <w:szCs w:val="22"/>
          <w:lang w:eastAsia="sl-SI"/>
        </w:rPr>
      </w:pPr>
      <w:r>
        <w:rPr>
          <w:szCs w:val="22"/>
          <w:lang w:eastAsia="sl-SI"/>
        </w:rPr>
        <w:t xml:space="preserve">Negauta duomenų, kad kartu vartojami </w:t>
      </w:r>
      <w:proofErr w:type="spellStart"/>
      <w:r>
        <w:rPr>
          <w:szCs w:val="22"/>
          <w:lang w:eastAsia="sl-SI"/>
        </w:rPr>
        <w:t>amlodipinas</w:t>
      </w:r>
      <w:proofErr w:type="spellEnd"/>
      <w:r>
        <w:rPr>
          <w:szCs w:val="22"/>
          <w:lang w:eastAsia="sl-SI"/>
        </w:rPr>
        <w:t xml:space="preserve">, </w:t>
      </w:r>
      <w:proofErr w:type="spellStart"/>
      <w:r>
        <w:rPr>
          <w:szCs w:val="22"/>
          <w:lang w:eastAsia="sl-SI"/>
        </w:rPr>
        <w:t>hidrochlorotiazidas</w:t>
      </w:r>
      <w:proofErr w:type="spellEnd"/>
      <w:r>
        <w:rPr>
          <w:szCs w:val="22"/>
          <w:lang w:eastAsia="sl-SI"/>
        </w:rPr>
        <w:t xml:space="preserve"> ir </w:t>
      </w:r>
      <w:proofErr w:type="spellStart"/>
      <w:r>
        <w:rPr>
          <w:szCs w:val="22"/>
          <w:lang w:eastAsia="sl-SI"/>
        </w:rPr>
        <w:t>telmisartanas</w:t>
      </w:r>
      <w:proofErr w:type="spellEnd"/>
      <w:r>
        <w:rPr>
          <w:szCs w:val="22"/>
          <w:lang w:eastAsia="sl-SI"/>
        </w:rPr>
        <w:t xml:space="preserve"> veiktų kurios nors medžiagos farmakokinetiką sveikiems asmenims.</w:t>
      </w:r>
    </w:p>
    <w:p w14:paraId="72C1F4BC" w14:textId="77777777" w:rsidR="00D25008" w:rsidRDefault="00D25008">
      <w:pPr>
        <w:autoSpaceDE w:val="0"/>
        <w:autoSpaceDN w:val="0"/>
        <w:adjustRightInd w:val="0"/>
        <w:rPr>
          <w:szCs w:val="22"/>
          <w:lang w:eastAsia="sl-SI"/>
        </w:rPr>
      </w:pPr>
    </w:p>
    <w:p w14:paraId="15D6D7B2" w14:textId="77777777" w:rsidR="00D25008" w:rsidRDefault="00FE2A61">
      <w:pPr>
        <w:autoSpaceDE w:val="0"/>
        <w:autoSpaceDN w:val="0"/>
        <w:adjustRightInd w:val="0"/>
        <w:rPr>
          <w:szCs w:val="22"/>
          <w:u w:val="single"/>
          <w:lang w:eastAsia="sl-SI"/>
        </w:rPr>
      </w:pPr>
      <w:r>
        <w:rPr>
          <w:szCs w:val="22"/>
          <w:u w:val="single"/>
          <w:lang w:eastAsia="sl-SI"/>
        </w:rPr>
        <w:t>Absorbcija</w:t>
      </w:r>
    </w:p>
    <w:p w14:paraId="6E1D83D4" w14:textId="77777777" w:rsidR="00D25008" w:rsidRDefault="00FE2A61">
      <w:pPr>
        <w:autoSpaceDE w:val="0"/>
        <w:autoSpaceDN w:val="0"/>
        <w:adjustRightInd w:val="0"/>
        <w:rPr>
          <w:szCs w:val="22"/>
          <w:lang w:eastAsia="sl-SI"/>
        </w:rPr>
      </w:pPr>
      <w:proofErr w:type="spellStart"/>
      <w:r>
        <w:rPr>
          <w:szCs w:val="22"/>
          <w:lang w:eastAsia="sl-SI"/>
        </w:rPr>
        <w:t>Telmisartanas</w:t>
      </w:r>
      <w:proofErr w:type="spellEnd"/>
      <w:r>
        <w:rPr>
          <w:szCs w:val="22"/>
          <w:lang w:eastAsia="sl-SI"/>
        </w:rPr>
        <w:t xml:space="preserve">. </w:t>
      </w:r>
      <w:proofErr w:type="spellStart"/>
      <w:r>
        <w:rPr>
          <w:szCs w:val="22"/>
          <w:lang w:eastAsia="sl-SI"/>
        </w:rPr>
        <w:t>Telmisartano</w:t>
      </w:r>
      <w:proofErr w:type="spellEnd"/>
      <w:r>
        <w:rPr>
          <w:szCs w:val="22"/>
          <w:lang w:eastAsia="sl-SI"/>
        </w:rPr>
        <w:t xml:space="preserve"> išgėrus, didžiausia koncentracija kraujo plazmoje (</w:t>
      </w:r>
      <w:proofErr w:type="spellStart"/>
      <w:r>
        <w:rPr>
          <w:szCs w:val="22"/>
          <w:lang w:eastAsia="sl-SI"/>
        </w:rPr>
        <w:t>C</w:t>
      </w:r>
      <w:r>
        <w:rPr>
          <w:szCs w:val="22"/>
          <w:vertAlign w:val="subscript"/>
          <w:lang w:eastAsia="sl-SI"/>
        </w:rPr>
        <w:t>max</w:t>
      </w:r>
      <w:proofErr w:type="spellEnd"/>
      <w:r>
        <w:rPr>
          <w:szCs w:val="22"/>
          <w:lang w:eastAsia="sl-SI"/>
        </w:rPr>
        <w:t>) atsiranda po 0,5</w:t>
      </w:r>
      <w:r>
        <w:rPr>
          <w:szCs w:val="22"/>
          <w:lang w:eastAsia="sl-SI"/>
        </w:rPr>
        <w:noBreakHyphen/>
        <w:t xml:space="preserve">1,5 valandos. Absoliutus biologinis 40 mg arba 160 mg dozės prieinamumas buvo atitinkamai 42 % ir 58 %. Maistas biologinį prieinamumą šiek tiek mažina: pavartojus 40 mg tabletę, dozės plotas po koncentracijos kraujo plazmoje laiko atžvilgiu kreive (AUC) sumažėja maždaug 6 %, o pavartojus160 mg dozę − maždaug 19 %. Praėjus 3 valandoms po </w:t>
      </w:r>
      <w:proofErr w:type="spellStart"/>
      <w:r>
        <w:rPr>
          <w:szCs w:val="22"/>
          <w:lang w:eastAsia="sl-SI"/>
        </w:rPr>
        <w:t>telmisartano</w:t>
      </w:r>
      <w:proofErr w:type="spellEnd"/>
      <w:r>
        <w:rPr>
          <w:szCs w:val="22"/>
          <w:lang w:eastAsia="sl-SI"/>
        </w:rPr>
        <w:t xml:space="preserve"> pavartojimo, koncentracija kraujo plazmoje būna panaši ir tuo atveju, kai jo geriama nevalgius, ir tuo atveju, kai geriama valgio metu. Manoma, kad dėl nedidelio AUC sumažėjimo terapinis veiksmingumas neturi mažėti.</w:t>
      </w:r>
    </w:p>
    <w:p w14:paraId="7D5756BF" w14:textId="77777777" w:rsidR="00D25008" w:rsidRDefault="00FE2A61">
      <w:pPr>
        <w:autoSpaceDE w:val="0"/>
        <w:autoSpaceDN w:val="0"/>
        <w:adjustRightInd w:val="0"/>
        <w:rPr>
          <w:szCs w:val="22"/>
          <w:lang w:eastAsia="sl-SI"/>
        </w:rPr>
      </w:pPr>
      <w:proofErr w:type="spellStart"/>
      <w:r>
        <w:rPr>
          <w:szCs w:val="22"/>
          <w:lang w:eastAsia="sl-SI"/>
        </w:rPr>
        <w:t>Amlodipinas</w:t>
      </w:r>
      <w:proofErr w:type="spellEnd"/>
      <w:r>
        <w:rPr>
          <w:szCs w:val="22"/>
          <w:lang w:eastAsia="sl-SI"/>
        </w:rPr>
        <w:t xml:space="preserve">. Per burną pavartojus terapines dozes, </w:t>
      </w:r>
      <w:proofErr w:type="spellStart"/>
      <w:r>
        <w:rPr>
          <w:szCs w:val="22"/>
          <w:lang w:eastAsia="sl-SI"/>
        </w:rPr>
        <w:t>amlodipinas</w:t>
      </w:r>
      <w:proofErr w:type="spellEnd"/>
      <w:r>
        <w:rPr>
          <w:szCs w:val="22"/>
          <w:lang w:eastAsia="sl-SI"/>
        </w:rPr>
        <w:t xml:space="preserve"> absorbuojamas gerai ir didžiausia koncentracija kraujyje susidaro po dozės pavartojimo praėjus 6</w:t>
      </w:r>
      <w:r>
        <w:rPr>
          <w:szCs w:val="22"/>
          <w:lang w:eastAsia="sl-SI"/>
        </w:rPr>
        <w:noBreakHyphen/>
        <w:t xml:space="preserve">12 valandų. Apskaičiuotasis absoliutus </w:t>
      </w:r>
      <w:r>
        <w:rPr>
          <w:szCs w:val="22"/>
          <w:lang w:eastAsia="sl-SI"/>
        </w:rPr>
        <w:lastRenderedPageBreak/>
        <w:t>biologinis prieinamumas yra 64</w:t>
      </w:r>
      <w:r>
        <w:rPr>
          <w:szCs w:val="22"/>
          <w:lang w:eastAsia="sl-SI"/>
        </w:rPr>
        <w:noBreakHyphen/>
        <w:t xml:space="preserve">80 %. Kartu vartojamas maistas </w:t>
      </w:r>
      <w:proofErr w:type="spellStart"/>
      <w:r>
        <w:rPr>
          <w:szCs w:val="22"/>
          <w:lang w:eastAsia="sl-SI"/>
        </w:rPr>
        <w:t>amlodipino</w:t>
      </w:r>
      <w:proofErr w:type="spellEnd"/>
      <w:r>
        <w:rPr>
          <w:szCs w:val="22"/>
          <w:lang w:eastAsia="sl-SI"/>
        </w:rPr>
        <w:t xml:space="preserve"> biologinio prieinamumo neveikia.</w:t>
      </w:r>
    </w:p>
    <w:p w14:paraId="1AA7CB9C" w14:textId="77777777" w:rsidR="00D25008" w:rsidRDefault="00FE2A61">
      <w:pPr>
        <w:autoSpaceDE w:val="0"/>
        <w:autoSpaceDN w:val="0"/>
        <w:adjustRightInd w:val="0"/>
        <w:rPr>
          <w:szCs w:val="22"/>
          <w:lang w:eastAsia="sl-SI"/>
        </w:rPr>
      </w:pPr>
      <w:proofErr w:type="spellStart"/>
      <w:r>
        <w:rPr>
          <w:szCs w:val="22"/>
          <w:lang w:eastAsia="sl-SI"/>
        </w:rPr>
        <w:t>Hidrochlorotiazidas</w:t>
      </w:r>
      <w:proofErr w:type="spellEnd"/>
      <w:r>
        <w:rPr>
          <w:szCs w:val="22"/>
          <w:lang w:eastAsia="sl-SI"/>
        </w:rPr>
        <w:t xml:space="preserve">. </w:t>
      </w:r>
      <w:proofErr w:type="spellStart"/>
      <w:r>
        <w:rPr>
          <w:szCs w:val="22"/>
          <w:lang w:eastAsia="sl-SI"/>
        </w:rPr>
        <w:t>Tolvecom</w:t>
      </w:r>
      <w:proofErr w:type="spellEnd"/>
      <w:r>
        <w:rPr>
          <w:szCs w:val="22"/>
          <w:lang w:eastAsia="sl-SI"/>
        </w:rPr>
        <w:t xml:space="preserve"> pavartojus per burną, </w:t>
      </w:r>
      <w:proofErr w:type="spellStart"/>
      <w:r>
        <w:rPr>
          <w:szCs w:val="22"/>
          <w:lang w:eastAsia="sl-SI"/>
        </w:rPr>
        <w:t>hidrochlorotiazido</w:t>
      </w:r>
      <w:proofErr w:type="spellEnd"/>
      <w:r>
        <w:rPr>
          <w:szCs w:val="22"/>
          <w:lang w:eastAsia="sl-SI"/>
        </w:rPr>
        <w:t xml:space="preserve"> </w:t>
      </w:r>
      <w:proofErr w:type="spellStart"/>
      <w:r>
        <w:rPr>
          <w:szCs w:val="22"/>
          <w:lang w:eastAsia="sl-SI"/>
        </w:rPr>
        <w:t>C</w:t>
      </w:r>
      <w:r>
        <w:rPr>
          <w:szCs w:val="22"/>
          <w:vertAlign w:val="subscript"/>
          <w:lang w:eastAsia="sl-SI"/>
        </w:rPr>
        <w:t>max</w:t>
      </w:r>
      <w:proofErr w:type="spellEnd"/>
      <w:r>
        <w:rPr>
          <w:szCs w:val="22"/>
          <w:vertAlign w:val="subscript"/>
          <w:lang w:eastAsia="sl-SI"/>
        </w:rPr>
        <w:t xml:space="preserve"> </w:t>
      </w:r>
      <w:r>
        <w:rPr>
          <w:szCs w:val="22"/>
          <w:lang w:eastAsia="sl-SI"/>
        </w:rPr>
        <w:t>atsiranda maždaug po 1</w:t>
      </w:r>
      <w:r>
        <w:rPr>
          <w:szCs w:val="22"/>
          <w:lang w:eastAsia="sl-SI"/>
        </w:rPr>
        <w:noBreakHyphen/>
        <w:t xml:space="preserve">3 valandų. Remiantis kumuliacine </w:t>
      </w:r>
      <w:proofErr w:type="spellStart"/>
      <w:r>
        <w:rPr>
          <w:szCs w:val="22"/>
          <w:lang w:eastAsia="sl-SI"/>
        </w:rPr>
        <w:t>hidrochlorotiazido</w:t>
      </w:r>
      <w:proofErr w:type="spellEnd"/>
      <w:r>
        <w:rPr>
          <w:szCs w:val="22"/>
          <w:lang w:eastAsia="sl-SI"/>
        </w:rPr>
        <w:t xml:space="preserve"> </w:t>
      </w:r>
      <w:proofErr w:type="spellStart"/>
      <w:r>
        <w:rPr>
          <w:szCs w:val="22"/>
          <w:lang w:eastAsia="sl-SI"/>
        </w:rPr>
        <w:t>ekskrecija</w:t>
      </w:r>
      <w:proofErr w:type="spellEnd"/>
      <w:r>
        <w:rPr>
          <w:szCs w:val="22"/>
          <w:lang w:eastAsia="sl-SI"/>
        </w:rPr>
        <w:t xml:space="preserve"> pro inkstus, galima daryti išvadą, jog absoliutus biologinis jo prieinamumas yra maždaug 60 %.</w:t>
      </w:r>
    </w:p>
    <w:p w14:paraId="323ADAA4" w14:textId="77777777" w:rsidR="00D25008" w:rsidRDefault="00D25008">
      <w:pPr>
        <w:autoSpaceDE w:val="0"/>
        <w:autoSpaceDN w:val="0"/>
        <w:adjustRightInd w:val="0"/>
        <w:rPr>
          <w:szCs w:val="22"/>
          <w:lang w:eastAsia="sl-SI"/>
        </w:rPr>
      </w:pPr>
    </w:p>
    <w:p w14:paraId="16E29D8C" w14:textId="77777777" w:rsidR="00D25008" w:rsidRDefault="00FE2A61">
      <w:pPr>
        <w:autoSpaceDE w:val="0"/>
        <w:autoSpaceDN w:val="0"/>
        <w:adjustRightInd w:val="0"/>
        <w:rPr>
          <w:szCs w:val="22"/>
          <w:lang w:eastAsia="sl-SI"/>
        </w:rPr>
      </w:pPr>
      <w:r>
        <w:rPr>
          <w:szCs w:val="22"/>
          <w:u w:val="single"/>
          <w:lang w:eastAsia="sl-SI"/>
        </w:rPr>
        <w:t>Pasiskirstymas</w:t>
      </w:r>
    </w:p>
    <w:p w14:paraId="0EC2C0C8" w14:textId="77777777" w:rsidR="00D25008" w:rsidRDefault="00FE2A61">
      <w:pPr>
        <w:autoSpaceDE w:val="0"/>
        <w:autoSpaceDN w:val="0"/>
        <w:adjustRightInd w:val="0"/>
        <w:rPr>
          <w:szCs w:val="22"/>
          <w:lang w:eastAsia="sl-SI"/>
        </w:rPr>
      </w:pPr>
      <w:r>
        <w:rPr>
          <w:szCs w:val="22"/>
          <w:lang w:eastAsia="sl-SI"/>
        </w:rPr>
        <w:t xml:space="preserve">Didelė dalis </w:t>
      </w:r>
      <w:proofErr w:type="spellStart"/>
      <w:r>
        <w:rPr>
          <w:szCs w:val="22"/>
          <w:lang w:eastAsia="sl-SI"/>
        </w:rPr>
        <w:t>telmisartano</w:t>
      </w:r>
      <w:proofErr w:type="spellEnd"/>
      <w:r>
        <w:rPr>
          <w:szCs w:val="22"/>
          <w:lang w:eastAsia="sl-SI"/>
        </w:rPr>
        <w:t xml:space="preserve"> (&gt;99,5 %) jungiasi prie kraujo plazmos baltymų, daugiausia </w:t>
      </w:r>
      <w:proofErr w:type="spellStart"/>
      <w:r>
        <w:rPr>
          <w:szCs w:val="22"/>
          <w:lang w:eastAsia="sl-SI"/>
        </w:rPr>
        <w:t>albumino</w:t>
      </w:r>
      <w:proofErr w:type="spellEnd"/>
      <w:r>
        <w:rPr>
          <w:szCs w:val="22"/>
          <w:lang w:eastAsia="sl-SI"/>
        </w:rPr>
        <w:t xml:space="preserve"> ir alfa-l rūgščiųjų </w:t>
      </w:r>
      <w:proofErr w:type="spellStart"/>
      <w:r>
        <w:rPr>
          <w:szCs w:val="22"/>
          <w:lang w:eastAsia="sl-SI"/>
        </w:rPr>
        <w:t>glikoproteinų</w:t>
      </w:r>
      <w:proofErr w:type="spellEnd"/>
      <w:r>
        <w:rPr>
          <w:szCs w:val="22"/>
          <w:lang w:eastAsia="sl-SI"/>
        </w:rPr>
        <w:t xml:space="preserve">. Tariamasis </w:t>
      </w:r>
      <w:proofErr w:type="spellStart"/>
      <w:r>
        <w:rPr>
          <w:szCs w:val="22"/>
          <w:lang w:eastAsia="sl-SI"/>
        </w:rPr>
        <w:t>telmisartano</w:t>
      </w:r>
      <w:proofErr w:type="spellEnd"/>
      <w:r>
        <w:rPr>
          <w:szCs w:val="22"/>
          <w:lang w:eastAsia="sl-SI"/>
        </w:rPr>
        <w:t xml:space="preserve"> pasiskirstymo tūris yra maždaug 500 l, tai rodo papildomą jungimąsi audiniuose.</w:t>
      </w:r>
    </w:p>
    <w:p w14:paraId="606A5F9E" w14:textId="77777777" w:rsidR="00D25008" w:rsidRDefault="00FE2A61">
      <w:pPr>
        <w:autoSpaceDE w:val="0"/>
        <w:autoSpaceDN w:val="0"/>
        <w:adjustRightInd w:val="0"/>
        <w:rPr>
          <w:szCs w:val="22"/>
          <w:lang w:eastAsia="sl-SI"/>
        </w:rPr>
      </w:pPr>
      <w:proofErr w:type="spellStart"/>
      <w:r>
        <w:rPr>
          <w:szCs w:val="22"/>
          <w:lang w:eastAsia="sl-SI"/>
        </w:rPr>
        <w:t>Amlodipinas</w:t>
      </w:r>
      <w:proofErr w:type="spellEnd"/>
      <w:r>
        <w:rPr>
          <w:szCs w:val="22"/>
          <w:lang w:eastAsia="sl-SI"/>
        </w:rPr>
        <w:t xml:space="preserve">. Pasiskirstymo tūris yra maždaug 21 l/kg. Tyrimais </w:t>
      </w:r>
      <w:proofErr w:type="spellStart"/>
      <w:r>
        <w:rPr>
          <w:i/>
          <w:iCs/>
          <w:szCs w:val="22"/>
          <w:lang w:eastAsia="sl-SI"/>
        </w:rPr>
        <w:t>in</w:t>
      </w:r>
      <w:proofErr w:type="spellEnd"/>
      <w:r>
        <w:rPr>
          <w:i/>
          <w:iCs/>
          <w:szCs w:val="22"/>
          <w:lang w:eastAsia="sl-SI"/>
        </w:rPr>
        <w:t xml:space="preserve"> </w:t>
      </w:r>
      <w:proofErr w:type="spellStart"/>
      <w:r>
        <w:rPr>
          <w:i/>
          <w:iCs/>
          <w:szCs w:val="22"/>
          <w:lang w:eastAsia="sl-SI"/>
        </w:rPr>
        <w:t>vitro</w:t>
      </w:r>
      <w:proofErr w:type="spellEnd"/>
      <w:r>
        <w:rPr>
          <w:szCs w:val="22"/>
          <w:lang w:eastAsia="sl-SI"/>
        </w:rPr>
        <w:t xml:space="preserve"> nustatyta, kad maždaug 97,5 % </w:t>
      </w:r>
      <w:proofErr w:type="spellStart"/>
      <w:r>
        <w:rPr>
          <w:szCs w:val="22"/>
          <w:lang w:eastAsia="sl-SI"/>
        </w:rPr>
        <w:t>amlodipino</w:t>
      </w:r>
      <w:proofErr w:type="spellEnd"/>
      <w:r>
        <w:rPr>
          <w:szCs w:val="22"/>
          <w:lang w:eastAsia="sl-SI"/>
        </w:rPr>
        <w:t xml:space="preserve"> susijungia su kraujo plazmos baltymais.</w:t>
      </w:r>
    </w:p>
    <w:p w14:paraId="6BE31B9E" w14:textId="4B15EDF4" w:rsidR="00D25008" w:rsidRDefault="00FE2A61">
      <w:pPr>
        <w:autoSpaceDE w:val="0"/>
        <w:autoSpaceDN w:val="0"/>
        <w:adjustRightInd w:val="0"/>
        <w:rPr>
          <w:szCs w:val="22"/>
          <w:lang w:eastAsia="sl-SI"/>
        </w:rPr>
      </w:pPr>
      <w:proofErr w:type="spellStart"/>
      <w:r>
        <w:rPr>
          <w:szCs w:val="22"/>
          <w:lang w:eastAsia="sl-SI"/>
        </w:rPr>
        <w:t>Hidrochlorotiazido</w:t>
      </w:r>
      <w:proofErr w:type="spellEnd"/>
      <w:r>
        <w:rPr>
          <w:szCs w:val="22"/>
          <w:lang w:eastAsia="sl-SI"/>
        </w:rPr>
        <w:t xml:space="preserve"> prie kraujo plazmos baltymų jungiasi </w:t>
      </w:r>
      <w:r w:rsidR="001C4737">
        <w:rPr>
          <w:szCs w:val="22"/>
          <w:lang w:eastAsia="sl-SI"/>
        </w:rPr>
        <w:t>64</w:t>
      </w:r>
      <w:r>
        <w:rPr>
          <w:szCs w:val="22"/>
          <w:lang w:eastAsia="sl-SI"/>
        </w:rPr>
        <w:t> %, jo tariamasis pasiskirstymo tūris yra 0,83</w:t>
      </w:r>
      <w:r w:rsidR="001C4737" w:rsidRPr="004A3BBC">
        <w:rPr>
          <w:szCs w:val="22"/>
          <w:lang w:eastAsia="sl-SI"/>
        </w:rPr>
        <w:t>±0,3</w:t>
      </w:r>
      <w:r w:rsidR="001C4737">
        <w:rPr>
          <w:szCs w:val="22"/>
          <w:lang w:eastAsia="sl-SI"/>
        </w:rPr>
        <w:t>l</w:t>
      </w:r>
      <w:r>
        <w:rPr>
          <w:szCs w:val="22"/>
          <w:lang w:eastAsia="sl-SI"/>
        </w:rPr>
        <w:t>/kg.</w:t>
      </w:r>
    </w:p>
    <w:p w14:paraId="02A779D5" w14:textId="77777777" w:rsidR="00D25008" w:rsidRDefault="00D25008">
      <w:pPr>
        <w:autoSpaceDE w:val="0"/>
        <w:autoSpaceDN w:val="0"/>
        <w:adjustRightInd w:val="0"/>
        <w:rPr>
          <w:szCs w:val="22"/>
          <w:lang w:eastAsia="sl-SI"/>
        </w:rPr>
      </w:pPr>
    </w:p>
    <w:p w14:paraId="6DF9968D" w14:textId="77777777" w:rsidR="00D25008" w:rsidRDefault="00FE2A61">
      <w:pPr>
        <w:autoSpaceDE w:val="0"/>
        <w:autoSpaceDN w:val="0"/>
        <w:adjustRightInd w:val="0"/>
        <w:rPr>
          <w:szCs w:val="22"/>
          <w:u w:val="single"/>
          <w:lang w:eastAsia="sl-SI"/>
        </w:rPr>
      </w:pPr>
      <w:proofErr w:type="spellStart"/>
      <w:r>
        <w:rPr>
          <w:szCs w:val="22"/>
          <w:u w:val="single"/>
          <w:lang w:eastAsia="sl-SI"/>
        </w:rPr>
        <w:t>Biotransformacija</w:t>
      </w:r>
      <w:proofErr w:type="spellEnd"/>
    </w:p>
    <w:p w14:paraId="1B118594" w14:textId="77777777" w:rsidR="00D25008" w:rsidRDefault="00FE2A61">
      <w:pPr>
        <w:autoSpaceDE w:val="0"/>
        <w:autoSpaceDN w:val="0"/>
        <w:adjustRightInd w:val="0"/>
        <w:rPr>
          <w:szCs w:val="22"/>
          <w:lang w:eastAsia="sl-SI"/>
        </w:rPr>
      </w:pPr>
      <w:proofErr w:type="spellStart"/>
      <w:r>
        <w:rPr>
          <w:szCs w:val="22"/>
          <w:lang w:eastAsia="sl-SI"/>
        </w:rPr>
        <w:t>Telmisartanas</w:t>
      </w:r>
      <w:proofErr w:type="spellEnd"/>
      <w:r>
        <w:rPr>
          <w:szCs w:val="22"/>
          <w:lang w:eastAsia="sl-SI"/>
        </w:rPr>
        <w:t xml:space="preserve"> </w:t>
      </w:r>
      <w:proofErr w:type="spellStart"/>
      <w:r>
        <w:rPr>
          <w:szCs w:val="22"/>
          <w:lang w:eastAsia="sl-SI"/>
        </w:rPr>
        <w:t>metabolizuojamas</w:t>
      </w:r>
      <w:proofErr w:type="spellEnd"/>
      <w:r>
        <w:rPr>
          <w:szCs w:val="22"/>
          <w:lang w:eastAsia="sl-SI"/>
        </w:rPr>
        <w:t xml:space="preserve"> </w:t>
      </w:r>
      <w:proofErr w:type="spellStart"/>
      <w:r>
        <w:rPr>
          <w:szCs w:val="22"/>
          <w:lang w:eastAsia="sl-SI"/>
        </w:rPr>
        <w:t>konjugacijos</w:t>
      </w:r>
      <w:proofErr w:type="spellEnd"/>
      <w:r>
        <w:rPr>
          <w:szCs w:val="22"/>
          <w:lang w:eastAsia="sl-SI"/>
        </w:rPr>
        <w:t xml:space="preserve"> būdu į farmakologiniu požiūriu neveiklų metabolitą </w:t>
      </w:r>
      <w:proofErr w:type="spellStart"/>
      <w:r>
        <w:rPr>
          <w:szCs w:val="22"/>
          <w:lang w:eastAsia="sl-SI"/>
        </w:rPr>
        <w:t>acilgliukuronidą</w:t>
      </w:r>
      <w:proofErr w:type="spellEnd"/>
      <w:r>
        <w:rPr>
          <w:szCs w:val="22"/>
          <w:lang w:eastAsia="sl-SI"/>
        </w:rPr>
        <w:t xml:space="preserve">, pirminės medžiagos </w:t>
      </w:r>
      <w:proofErr w:type="spellStart"/>
      <w:r>
        <w:rPr>
          <w:szCs w:val="22"/>
          <w:lang w:eastAsia="sl-SI"/>
        </w:rPr>
        <w:t>gliukuronidas</w:t>
      </w:r>
      <w:proofErr w:type="spellEnd"/>
      <w:r>
        <w:rPr>
          <w:szCs w:val="22"/>
          <w:lang w:eastAsia="sl-SI"/>
        </w:rPr>
        <w:t xml:space="preserve"> yra vienintelis žmogaus organizme identifikuotas metabolitas. Po vienos žymėto (</w:t>
      </w:r>
      <w:r>
        <w:rPr>
          <w:szCs w:val="22"/>
          <w:vertAlign w:val="superscript"/>
          <w:lang w:eastAsia="sl-SI"/>
        </w:rPr>
        <w:t>14</w:t>
      </w:r>
      <w:r>
        <w:rPr>
          <w:szCs w:val="22"/>
          <w:lang w:eastAsia="sl-SI"/>
        </w:rPr>
        <w:t xml:space="preserve">C) </w:t>
      </w:r>
      <w:proofErr w:type="spellStart"/>
      <w:r>
        <w:rPr>
          <w:szCs w:val="22"/>
          <w:lang w:eastAsia="sl-SI"/>
        </w:rPr>
        <w:t>telmisartano</w:t>
      </w:r>
      <w:proofErr w:type="spellEnd"/>
      <w:r>
        <w:rPr>
          <w:szCs w:val="22"/>
          <w:lang w:eastAsia="sl-SI"/>
        </w:rPr>
        <w:t xml:space="preserve"> dozės pavartojimo su </w:t>
      </w:r>
      <w:proofErr w:type="spellStart"/>
      <w:r>
        <w:rPr>
          <w:szCs w:val="22"/>
          <w:lang w:eastAsia="sl-SI"/>
        </w:rPr>
        <w:t>gliukuronidu</w:t>
      </w:r>
      <w:proofErr w:type="spellEnd"/>
      <w:r>
        <w:rPr>
          <w:szCs w:val="22"/>
          <w:lang w:eastAsia="sl-SI"/>
        </w:rPr>
        <w:t xml:space="preserve"> būna susiję maždaug 11 % viso kraujo plazmoje nustatomo radioaktyvumo. </w:t>
      </w:r>
      <w:proofErr w:type="spellStart"/>
      <w:r>
        <w:rPr>
          <w:szCs w:val="22"/>
          <w:lang w:eastAsia="sl-SI"/>
        </w:rPr>
        <w:t>Citochromo</w:t>
      </w:r>
      <w:proofErr w:type="spellEnd"/>
      <w:r>
        <w:rPr>
          <w:szCs w:val="22"/>
          <w:lang w:eastAsia="sl-SI"/>
        </w:rPr>
        <w:t xml:space="preserve"> P450 </w:t>
      </w:r>
      <w:proofErr w:type="spellStart"/>
      <w:r>
        <w:rPr>
          <w:szCs w:val="22"/>
          <w:lang w:eastAsia="sl-SI"/>
        </w:rPr>
        <w:t>izofermentai</w:t>
      </w:r>
      <w:proofErr w:type="spellEnd"/>
      <w:r>
        <w:rPr>
          <w:szCs w:val="22"/>
          <w:lang w:eastAsia="sl-SI"/>
        </w:rPr>
        <w:t xml:space="preserve"> </w:t>
      </w:r>
      <w:proofErr w:type="spellStart"/>
      <w:r>
        <w:rPr>
          <w:szCs w:val="22"/>
          <w:lang w:eastAsia="sl-SI"/>
        </w:rPr>
        <w:t>telmisartano</w:t>
      </w:r>
      <w:proofErr w:type="spellEnd"/>
      <w:r>
        <w:rPr>
          <w:szCs w:val="22"/>
          <w:lang w:eastAsia="sl-SI"/>
        </w:rPr>
        <w:t xml:space="preserve"> metabolizme nedalyvauja.</w:t>
      </w:r>
      <w:r>
        <w:rPr>
          <w:szCs w:val="22"/>
          <w:lang w:eastAsia="sl-SI"/>
        </w:rPr>
        <w:cr/>
      </w:r>
      <w:proofErr w:type="spellStart"/>
      <w:r>
        <w:rPr>
          <w:szCs w:val="22"/>
          <w:lang w:eastAsia="sl-SI"/>
        </w:rPr>
        <w:t>Amlodipinas</w:t>
      </w:r>
      <w:proofErr w:type="spellEnd"/>
      <w:r>
        <w:rPr>
          <w:szCs w:val="22"/>
          <w:lang w:eastAsia="sl-SI"/>
        </w:rPr>
        <w:t xml:space="preserve">. </w:t>
      </w:r>
      <w:r>
        <w:rPr>
          <w:szCs w:val="22"/>
          <w:lang w:eastAsia="lt-LT"/>
        </w:rPr>
        <w:t>Galutinis pusinis eliminacijos iš kraujo plazmos laikas yra maždaug 35-50 valandų, tai atitinka vartojimą kartą per parą</w:t>
      </w:r>
      <w:r>
        <w:rPr>
          <w:szCs w:val="22"/>
          <w:lang w:eastAsia="sl-SI"/>
        </w:rPr>
        <w:t xml:space="preserve">. </w:t>
      </w:r>
    </w:p>
    <w:p w14:paraId="0A3E4DF8" w14:textId="77777777" w:rsidR="00D25008" w:rsidRDefault="00FE2A61">
      <w:pPr>
        <w:autoSpaceDE w:val="0"/>
        <w:autoSpaceDN w:val="0"/>
        <w:adjustRightInd w:val="0"/>
        <w:rPr>
          <w:szCs w:val="22"/>
          <w:lang w:eastAsia="sl-SI"/>
        </w:rPr>
      </w:pPr>
      <w:proofErr w:type="spellStart"/>
      <w:r>
        <w:rPr>
          <w:szCs w:val="22"/>
          <w:lang w:eastAsia="sl-SI"/>
        </w:rPr>
        <w:t>Hidrochlorotiazidas</w:t>
      </w:r>
      <w:proofErr w:type="spellEnd"/>
      <w:r>
        <w:rPr>
          <w:szCs w:val="22"/>
          <w:lang w:eastAsia="sl-SI"/>
        </w:rPr>
        <w:t xml:space="preserve"> žmogaus organizme </w:t>
      </w:r>
      <w:proofErr w:type="spellStart"/>
      <w:r>
        <w:rPr>
          <w:szCs w:val="22"/>
          <w:lang w:eastAsia="sl-SI"/>
        </w:rPr>
        <w:t>nemetabolizuojamas</w:t>
      </w:r>
      <w:proofErr w:type="spellEnd"/>
      <w:r>
        <w:rPr>
          <w:szCs w:val="22"/>
          <w:lang w:eastAsia="sl-SI"/>
        </w:rPr>
        <w:t>.</w:t>
      </w:r>
    </w:p>
    <w:p w14:paraId="1341D659" w14:textId="77777777" w:rsidR="00D25008" w:rsidRDefault="00D25008">
      <w:pPr>
        <w:autoSpaceDE w:val="0"/>
        <w:autoSpaceDN w:val="0"/>
        <w:adjustRightInd w:val="0"/>
        <w:rPr>
          <w:szCs w:val="22"/>
          <w:lang w:eastAsia="sl-SI"/>
        </w:rPr>
      </w:pPr>
    </w:p>
    <w:p w14:paraId="5FC8D119" w14:textId="77777777" w:rsidR="00D25008" w:rsidRDefault="00FE2A61">
      <w:pPr>
        <w:autoSpaceDE w:val="0"/>
        <w:autoSpaceDN w:val="0"/>
        <w:adjustRightInd w:val="0"/>
        <w:rPr>
          <w:szCs w:val="22"/>
          <w:lang w:eastAsia="sl-SI"/>
        </w:rPr>
      </w:pPr>
      <w:r>
        <w:rPr>
          <w:szCs w:val="22"/>
          <w:u w:val="single"/>
          <w:lang w:eastAsia="sl-SI"/>
        </w:rPr>
        <w:t>Eliminacija</w:t>
      </w:r>
    </w:p>
    <w:p w14:paraId="360A91D6" w14:textId="77777777" w:rsidR="00D25008" w:rsidRDefault="00FE2A61">
      <w:pPr>
        <w:autoSpaceDE w:val="0"/>
        <w:autoSpaceDN w:val="0"/>
        <w:adjustRightInd w:val="0"/>
        <w:rPr>
          <w:szCs w:val="22"/>
          <w:lang w:eastAsia="sl-SI"/>
        </w:rPr>
      </w:pPr>
      <w:proofErr w:type="spellStart"/>
      <w:r>
        <w:rPr>
          <w:szCs w:val="22"/>
          <w:lang w:eastAsia="sl-SI"/>
        </w:rPr>
        <w:t>Telmisartanas</w:t>
      </w:r>
      <w:proofErr w:type="spellEnd"/>
      <w:r>
        <w:rPr>
          <w:szCs w:val="22"/>
          <w:lang w:eastAsia="sl-SI"/>
        </w:rPr>
        <w:t>. Didžioji per burną pavartotos arba į veną suleistos žymėto (</w:t>
      </w:r>
      <w:r>
        <w:rPr>
          <w:szCs w:val="22"/>
          <w:vertAlign w:val="superscript"/>
          <w:lang w:eastAsia="sl-SI"/>
        </w:rPr>
        <w:t>14</w:t>
      </w:r>
      <w:r>
        <w:rPr>
          <w:szCs w:val="22"/>
          <w:lang w:eastAsia="sl-SI"/>
        </w:rPr>
        <w:t xml:space="preserve">C) </w:t>
      </w:r>
      <w:proofErr w:type="spellStart"/>
      <w:r>
        <w:rPr>
          <w:szCs w:val="22"/>
          <w:lang w:eastAsia="sl-SI"/>
        </w:rPr>
        <w:t>telmisartano</w:t>
      </w:r>
      <w:proofErr w:type="spellEnd"/>
      <w:r>
        <w:rPr>
          <w:szCs w:val="22"/>
          <w:lang w:eastAsia="sl-SI"/>
        </w:rPr>
        <w:t xml:space="preserve"> dozės dalis (&gt;97 %) išskiriama su išmatomis vykstant </w:t>
      </w:r>
      <w:proofErr w:type="spellStart"/>
      <w:r>
        <w:rPr>
          <w:szCs w:val="22"/>
          <w:lang w:eastAsia="sl-SI"/>
        </w:rPr>
        <w:t>ekskrecijai</w:t>
      </w:r>
      <w:proofErr w:type="spellEnd"/>
      <w:r>
        <w:rPr>
          <w:szCs w:val="22"/>
          <w:lang w:eastAsia="sl-SI"/>
        </w:rPr>
        <w:t xml:space="preserve"> su tulžimi. Su šlapimu išsiskiria labai maža dozės dalis. Bendras išgerto </w:t>
      </w:r>
      <w:proofErr w:type="spellStart"/>
      <w:r>
        <w:rPr>
          <w:szCs w:val="22"/>
          <w:lang w:eastAsia="sl-SI"/>
        </w:rPr>
        <w:t>telmisartano</w:t>
      </w:r>
      <w:proofErr w:type="spellEnd"/>
      <w:r>
        <w:rPr>
          <w:szCs w:val="22"/>
          <w:lang w:eastAsia="sl-SI"/>
        </w:rPr>
        <w:t xml:space="preserve"> klirensas kraujo plazmoje yra &gt;1500 ml/min. Galutinis pusinės eliminacijos laikas buvo &gt;20 valandų.</w:t>
      </w:r>
    </w:p>
    <w:p w14:paraId="4E898BD8" w14:textId="77777777" w:rsidR="00D25008" w:rsidRDefault="00FE2A61">
      <w:pPr>
        <w:autoSpaceDE w:val="0"/>
        <w:autoSpaceDN w:val="0"/>
        <w:adjustRightInd w:val="0"/>
        <w:rPr>
          <w:szCs w:val="22"/>
          <w:lang w:eastAsia="sl-SI"/>
        </w:rPr>
      </w:pPr>
      <w:proofErr w:type="spellStart"/>
      <w:r>
        <w:rPr>
          <w:szCs w:val="22"/>
          <w:lang w:eastAsia="sl-SI"/>
        </w:rPr>
        <w:t>Amlodipinas</w:t>
      </w:r>
      <w:proofErr w:type="spellEnd"/>
      <w:r>
        <w:rPr>
          <w:szCs w:val="22"/>
          <w:lang w:eastAsia="sl-SI"/>
        </w:rPr>
        <w:t xml:space="preserve"> yra ekstensyviai </w:t>
      </w:r>
      <w:proofErr w:type="spellStart"/>
      <w:r>
        <w:rPr>
          <w:szCs w:val="22"/>
          <w:lang w:eastAsia="sl-SI"/>
        </w:rPr>
        <w:t>metabolizuojamas</w:t>
      </w:r>
      <w:proofErr w:type="spellEnd"/>
      <w:r>
        <w:rPr>
          <w:szCs w:val="22"/>
          <w:lang w:eastAsia="sl-SI"/>
        </w:rPr>
        <w:t xml:space="preserve"> kepenyse į neaktyvius metabolitus; su šlapimu išsiskiria 10 % pirminės medžiagos ir 60 % metabolitų.</w:t>
      </w:r>
    </w:p>
    <w:p w14:paraId="0DC6B3CA" w14:textId="77777777" w:rsidR="00D25008" w:rsidRDefault="00FE2A61">
      <w:pPr>
        <w:autoSpaceDE w:val="0"/>
        <w:autoSpaceDN w:val="0"/>
        <w:adjustRightInd w:val="0"/>
        <w:rPr>
          <w:szCs w:val="22"/>
          <w:lang w:eastAsia="sl-SI"/>
        </w:rPr>
      </w:pPr>
      <w:proofErr w:type="spellStart"/>
      <w:r>
        <w:rPr>
          <w:szCs w:val="22"/>
          <w:lang w:eastAsia="sl-SI"/>
        </w:rPr>
        <w:t>Hidrochlorotiazidas</w:t>
      </w:r>
      <w:proofErr w:type="spellEnd"/>
      <w:r>
        <w:rPr>
          <w:szCs w:val="22"/>
          <w:lang w:eastAsia="sl-SI"/>
        </w:rPr>
        <w:t xml:space="preserve"> beveik visas išsiskiria nepakitęs su šlapimu. Per 48 valandas pašalinama maždaug 60 % išgertos dozės. Inkstų klirensas yra maždaug 250</w:t>
      </w:r>
      <w:r>
        <w:rPr>
          <w:szCs w:val="22"/>
          <w:lang w:eastAsia="sl-SI"/>
        </w:rPr>
        <w:noBreakHyphen/>
        <w:t xml:space="preserve">300 ml/min. </w:t>
      </w:r>
      <w:proofErr w:type="spellStart"/>
      <w:r>
        <w:rPr>
          <w:szCs w:val="22"/>
          <w:lang w:eastAsia="sl-SI"/>
        </w:rPr>
        <w:t>Hidrochlorotiazido</w:t>
      </w:r>
      <w:proofErr w:type="spellEnd"/>
      <w:r>
        <w:rPr>
          <w:szCs w:val="22"/>
          <w:lang w:eastAsia="sl-SI"/>
        </w:rPr>
        <w:t xml:space="preserve"> galutinis pusinės eliminacijos laikas yra 10</w:t>
      </w:r>
      <w:r>
        <w:rPr>
          <w:szCs w:val="22"/>
          <w:lang w:eastAsia="sl-SI"/>
        </w:rPr>
        <w:noBreakHyphen/>
        <w:t>15 valandų.</w:t>
      </w:r>
      <w:r>
        <w:rPr>
          <w:szCs w:val="22"/>
          <w:lang w:eastAsia="sl-SI"/>
        </w:rPr>
        <w:cr/>
      </w:r>
    </w:p>
    <w:p w14:paraId="1AEC0974" w14:textId="77777777" w:rsidR="00D25008" w:rsidRDefault="00FE2A61">
      <w:pPr>
        <w:rPr>
          <w:szCs w:val="22"/>
          <w:u w:val="single"/>
          <w:lang w:eastAsia="sl-SI"/>
        </w:rPr>
      </w:pPr>
      <w:r>
        <w:rPr>
          <w:szCs w:val="22"/>
          <w:u w:val="single"/>
          <w:lang w:eastAsia="sl-SI"/>
        </w:rPr>
        <w:t>Tiesinis / netiesinis pobūdis</w:t>
      </w:r>
    </w:p>
    <w:p w14:paraId="6C335C0A" w14:textId="6243FA76" w:rsidR="00D25008" w:rsidRDefault="00FE2A61">
      <w:pPr>
        <w:rPr>
          <w:szCs w:val="22"/>
          <w:lang w:eastAsia="sl-SI"/>
        </w:rPr>
      </w:pPr>
      <w:proofErr w:type="spellStart"/>
      <w:r>
        <w:rPr>
          <w:szCs w:val="22"/>
          <w:lang w:eastAsia="sl-SI"/>
        </w:rPr>
        <w:t>Telmisartanas</w:t>
      </w:r>
      <w:proofErr w:type="spellEnd"/>
      <w:r>
        <w:rPr>
          <w:szCs w:val="22"/>
          <w:lang w:eastAsia="sl-SI"/>
        </w:rPr>
        <w:t xml:space="preserve">. Per burną vartojamo </w:t>
      </w:r>
      <w:proofErr w:type="spellStart"/>
      <w:r>
        <w:rPr>
          <w:szCs w:val="22"/>
          <w:lang w:eastAsia="sl-SI"/>
        </w:rPr>
        <w:t>telmisartano</w:t>
      </w:r>
      <w:proofErr w:type="spellEnd"/>
      <w:r>
        <w:rPr>
          <w:szCs w:val="22"/>
          <w:lang w:eastAsia="sl-SI"/>
        </w:rPr>
        <w:t xml:space="preserve"> farmakokinetikos pobūdis 20</w:t>
      </w:r>
      <w:r>
        <w:rPr>
          <w:szCs w:val="22"/>
          <w:lang w:eastAsia="sl-SI"/>
        </w:rPr>
        <w:noBreakHyphen/>
        <w:t>160 mg dozių intervale nėra tiesinio pobūdžio: didinant dozę, koncentracija kraujo plazmoje (</w:t>
      </w:r>
      <w:proofErr w:type="spellStart"/>
      <w:r>
        <w:rPr>
          <w:szCs w:val="22"/>
          <w:lang w:eastAsia="sl-SI"/>
        </w:rPr>
        <w:t>C</w:t>
      </w:r>
      <w:r>
        <w:rPr>
          <w:szCs w:val="22"/>
          <w:vertAlign w:val="subscript"/>
          <w:lang w:eastAsia="sl-SI"/>
        </w:rPr>
        <w:t>max</w:t>
      </w:r>
      <w:proofErr w:type="spellEnd"/>
      <w:r>
        <w:rPr>
          <w:szCs w:val="22"/>
          <w:lang w:eastAsia="sl-SI"/>
        </w:rPr>
        <w:t xml:space="preserve"> ir AUC) didėja daugiau negu proporcingai dozei.</w:t>
      </w:r>
      <w:r w:rsidR="001C4737">
        <w:t xml:space="preserve"> Vartojant kartotines dozes, </w:t>
      </w:r>
      <w:proofErr w:type="spellStart"/>
      <w:r w:rsidR="001C4737">
        <w:t>telmisartanas</w:t>
      </w:r>
      <w:proofErr w:type="spellEnd"/>
      <w:r w:rsidR="001C4737">
        <w:t xml:space="preserve"> kraujo plazmoje reikšmingai nesikaupia.</w:t>
      </w:r>
    </w:p>
    <w:p w14:paraId="64EC7DD8" w14:textId="77777777" w:rsidR="00DC4BB2" w:rsidRDefault="00DC4BB2">
      <w:pPr>
        <w:widowControl w:val="0"/>
        <w:autoSpaceDE w:val="0"/>
        <w:autoSpaceDN w:val="0"/>
        <w:adjustRightInd w:val="0"/>
        <w:rPr>
          <w:szCs w:val="22"/>
          <w:lang w:eastAsia="sl-SI"/>
        </w:rPr>
      </w:pPr>
    </w:p>
    <w:p w14:paraId="095ECE9E" w14:textId="77777777" w:rsidR="00D25008" w:rsidRDefault="00FE2A61">
      <w:pPr>
        <w:widowControl w:val="0"/>
        <w:autoSpaceDE w:val="0"/>
        <w:autoSpaceDN w:val="0"/>
        <w:adjustRightInd w:val="0"/>
        <w:rPr>
          <w:szCs w:val="22"/>
          <w:lang w:eastAsia="sl-SI"/>
        </w:rPr>
      </w:pPr>
      <w:proofErr w:type="spellStart"/>
      <w:r>
        <w:rPr>
          <w:szCs w:val="22"/>
          <w:lang w:eastAsia="sl-SI"/>
        </w:rPr>
        <w:t>Amlodipino</w:t>
      </w:r>
      <w:proofErr w:type="spellEnd"/>
      <w:r>
        <w:rPr>
          <w:szCs w:val="22"/>
          <w:lang w:eastAsia="sl-SI"/>
        </w:rPr>
        <w:t xml:space="preserve"> ir </w:t>
      </w:r>
      <w:proofErr w:type="spellStart"/>
      <w:r>
        <w:rPr>
          <w:szCs w:val="22"/>
          <w:lang w:eastAsia="sl-SI"/>
        </w:rPr>
        <w:t>hidrochlorotiazido</w:t>
      </w:r>
      <w:proofErr w:type="spellEnd"/>
      <w:r>
        <w:rPr>
          <w:szCs w:val="22"/>
          <w:lang w:eastAsia="sl-SI"/>
        </w:rPr>
        <w:t xml:space="preserve"> farmakokinetikos pobūdis yra tiesinis.</w:t>
      </w:r>
    </w:p>
    <w:p w14:paraId="152934EE" w14:textId="77777777" w:rsidR="00D25008" w:rsidRDefault="00D25008">
      <w:pPr>
        <w:autoSpaceDE w:val="0"/>
        <w:autoSpaceDN w:val="0"/>
        <w:adjustRightInd w:val="0"/>
        <w:rPr>
          <w:szCs w:val="22"/>
          <w:u w:val="single"/>
          <w:lang w:eastAsia="sl-SI"/>
        </w:rPr>
      </w:pPr>
    </w:p>
    <w:p w14:paraId="68E04468" w14:textId="77777777" w:rsidR="00D25008" w:rsidRDefault="00FE2A61">
      <w:pPr>
        <w:autoSpaceDE w:val="0"/>
        <w:autoSpaceDN w:val="0"/>
        <w:adjustRightInd w:val="0"/>
        <w:rPr>
          <w:i/>
          <w:szCs w:val="22"/>
          <w:u w:val="single"/>
          <w:lang w:eastAsia="sl-SI"/>
        </w:rPr>
      </w:pPr>
      <w:r>
        <w:rPr>
          <w:i/>
          <w:szCs w:val="22"/>
          <w:u w:val="single"/>
          <w:lang w:eastAsia="sl-SI"/>
        </w:rPr>
        <w:t>Farmakokinetika ypatingose populiacijose</w:t>
      </w:r>
    </w:p>
    <w:p w14:paraId="7EAD4197" w14:textId="77777777" w:rsidR="00D25008" w:rsidRDefault="00FE2A61">
      <w:pPr>
        <w:autoSpaceDE w:val="0"/>
        <w:autoSpaceDN w:val="0"/>
        <w:adjustRightInd w:val="0"/>
        <w:rPr>
          <w:szCs w:val="22"/>
          <w:lang w:eastAsia="sl-SI"/>
        </w:rPr>
      </w:pPr>
      <w:r>
        <w:rPr>
          <w:szCs w:val="22"/>
          <w:u w:val="single"/>
          <w:lang w:eastAsia="sl-SI"/>
        </w:rPr>
        <w:t>Senyvi žmonės</w:t>
      </w:r>
    </w:p>
    <w:p w14:paraId="57BA28B4" w14:textId="235677F1" w:rsidR="00D25008" w:rsidRDefault="00FE2A61">
      <w:pPr>
        <w:autoSpaceDE w:val="0"/>
        <w:autoSpaceDN w:val="0"/>
        <w:adjustRightInd w:val="0"/>
        <w:rPr>
          <w:szCs w:val="22"/>
          <w:lang w:eastAsia="sl-SI"/>
        </w:rPr>
      </w:pPr>
      <w:proofErr w:type="spellStart"/>
      <w:r>
        <w:rPr>
          <w:szCs w:val="22"/>
          <w:lang w:eastAsia="sl-SI"/>
        </w:rPr>
        <w:t>Telmisartano</w:t>
      </w:r>
      <w:proofErr w:type="spellEnd"/>
      <w:r>
        <w:rPr>
          <w:szCs w:val="22"/>
          <w:lang w:eastAsia="sl-SI"/>
        </w:rPr>
        <w:t xml:space="preserve"> farmakokinetika senyvų ir jaunesnių pacientų organizme nesiskiria.</w:t>
      </w:r>
    </w:p>
    <w:p w14:paraId="1BB85C22" w14:textId="77777777" w:rsidR="00D25008" w:rsidRDefault="00D25008">
      <w:pPr>
        <w:autoSpaceDE w:val="0"/>
        <w:autoSpaceDN w:val="0"/>
        <w:adjustRightInd w:val="0"/>
        <w:rPr>
          <w:szCs w:val="22"/>
          <w:lang w:eastAsia="sl-SI"/>
        </w:rPr>
      </w:pPr>
    </w:p>
    <w:p w14:paraId="0AB3368F" w14:textId="77777777" w:rsidR="00D25008" w:rsidRDefault="00FE2A61">
      <w:pPr>
        <w:autoSpaceDE w:val="0"/>
        <w:autoSpaceDN w:val="0"/>
        <w:adjustRightInd w:val="0"/>
        <w:rPr>
          <w:szCs w:val="22"/>
          <w:lang w:eastAsia="sl-SI"/>
        </w:rPr>
      </w:pPr>
      <w:r>
        <w:rPr>
          <w:szCs w:val="22"/>
          <w:lang w:eastAsia="sl-SI"/>
        </w:rPr>
        <w:t xml:space="preserve">Laikas, per kurį susidaro didžiausia </w:t>
      </w:r>
      <w:proofErr w:type="spellStart"/>
      <w:r>
        <w:rPr>
          <w:szCs w:val="22"/>
          <w:lang w:eastAsia="sl-SI"/>
        </w:rPr>
        <w:t>amlodipino</w:t>
      </w:r>
      <w:proofErr w:type="spellEnd"/>
      <w:r>
        <w:rPr>
          <w:szCs w:val="22"/>
          <w:lang w:eastAsia="sl-SI"/>
        </w:rPr>
        <w:t xml:space="preserve"> koncentracija senyvų ir jaunesnių pacientų kraujo plazmoje, yra panašus. Senyvų pacientų klirensas linkęs mažėti, todėl didėja AUC ir ilgėja pusinės eliminacijos laikas. Šio tyrimo metu stebėtas padidėjęs AUC ir ilgesnis pusinės eliminacijos laikas sergant </w:t>
      </w:r>
      <w:proofErr w:type="spellStart"/>
      <w:r>
        <w:rPr>
          <w:szCs w:val="22"/>
          <w:lang w:eastAsia="sl-SI"/>
        </w:rPr>
        <w:t>staziniu</w:t>
      </w:r>
      <w:proofErr w:type="spellEnd"/>
      <w:r>
        <w:rPr>
          <w:szCs w:val="22"/>
          <w:lang w:eastAsia="sl-SI"/>
        </w:rPr>
        <w:t xml:space="preserve"> širdies nepakankamumu buvo tikėtinas tokios amžiaus grupės pacientams (žr. 4.4 skyrių).</w:t>
      </w:r>
    </w:p>
    <w:p w14:paraId="1840B3E4" w14:textId="77777777" w:rsidR="00D25008" w:rsidRDefault="00D25008">
      <w:pPr>
        <w:autoSpaceDE w:val="0"/>
        <w:autoSpaceDN w:val="0"/>
        <w:adjustRightInd w:val="0"/>
        <w:rPr>
          <w:szCs w:val="22"/>
          <w:lang w:eastAsia="sl-SI"/>
        </w:rPr>
      </w:pPr>
    </w:p>
    <w:p w14:paraId="0541DE31" w14:textId="77777777" w:rsidR="00D25008" w:rsidRDefault="00FE2A61">
      <w:pPr>
        <w:autoSpaceDE w:val="0"/>
        <w:autoSpaceDN w:val="0"/>
        <w:adjustRightInd w:val="0"/>
        <w:rPr>
          <w:szCs w:val="22"/>
          <w:lang w:eastAsia="sl-SI"/>
        </w:rPr>
      </w:pPr>
      <w:r>
        <w:rPr>
          <w:szCs w:val="22"/>
          <w:u w:val="single"/>
          <w:lang w:eastAsia="sl-SI"/>
        </w:rPr>
        <w:t>Lytis</w:t>
      </w:r>
    </w:p>
    <w:p w14:paraId="4AF59F4B" w14:textId="77777777" w:rsidR="00D25008" w:rsidRDefault="00FE2A61">
      <w:pPr>
        <w:autoSpaceDE w:val="0"/>
        <w:autoSpaceDN w:val="0"/>
        <w:adjustRightInd w:val="0"/>
        <w:rPr>
          <w:szCs w:val="22"/>
          <w:lang w:eastAsia="sl-SI"/>
        </w:rPr>
      </w:pPr>
      <w:r>
        <w:rPr>
          <w:szCs w:val="22"/>
          <w:lang w:eastAsia="sl-SI"/>
        </w:rPr>
        <w:lastRenderedPageBreak/>
        <w:t xml:space="preserve">Moterų kraujo plazmoje </w:t>
      </w:r>
      <w:proofErr w:type="spellStart"/>
      <w:r>
        <w:rPr>
          <w:szCs w:val="22"/>
          <w:lang w:eastAsia="sl-SI"/>
        </w:rPr>
        <w:t>telmisartano</w:t>
      </w:r>
      <w:proofErr w:type="spellEnd"/>
      <w:r>
        <w:rPr>
          <w:szCs w:val="22"/>
          <w:lang w:eastAsia="sl-SI"/>
        </w:rPr>
        <w:t xml:space="preserve"> koncentracija paprastai būna 2</w:t>
      </w:r>
      <w:r>
        <w:rPr>
          <w:szCs w:val="22"/>
          <w:lang w:eastAsia="sl-SI"/>
        </w:rPr>
        <w:noBreakHyphen/>
        <w:t xml:space="preserve">3 kartus didesnė negu vyrų kraujo plazmoje. Vis dėlto klinikinių tyrimų metu moterims kraujospūdžio atsakas reikšmingai nesustiprėjo, </w:t>
      </w:r>
      <w:proofErr w:type="spellStart"/>
      <w:r>
        <w:rPr>
          <w:szCs w:val="22"/>
          <w:lang w:eastAsia="sl-SI"/>
        </w:rPr>
        <w:t>ortostatinės</w:t>
      </w:r>
      <w:proofErr w:type="spellEnd"/>
      <w:r>
        <w:rPr>
          <w:szCs w:val="22"/>
          <w:lang w:eastAsia="sl-SI"/>
        </w:rPr>
        <w:t xml:space="preserve"> </w:t>
      </w:r>
      <w:proofErr w:type="spellStart"/>
      <w:r>
        <w:rPr>
          <w:szCs w:val="22"/>
          <w:lang w:eastAsia="sl-SI"/>
        </w:rPr>
        <w:t>hipotenzijos</w:t>
      </w:r>
      <w:proofErr w:type="spellEnd"/>
      <w:r>
        <w:rPr>
          <w:szCs w:val="22"/>
          <w:lang w:eastAsia="sl-SI"/>
        </w:rPr>
        <w:t xml:space="preserve"> dažniau neatsirado. Dozės keisti nereikia.</w:t>
      </w:r>
    </w:p>
    <w:p w14:paraId="4BECE181" w14:textId="77777777" w:rsidR="00D25008" w:rsidRDefault="00D25008">
      <w:pPr>
        <w:autoSpaceDE w:val="0"/>
        <w:autoSpaceDN w:val="0"/>
        <w:adjustRightInd w:val="0"/>
        <w:rPr>
          <w:szCs w:val="22"/>
          <w:lang w:eastAsia="sl-SI"/>
        </w:rPr>
      </w:pPr>
    </w:p>
    <w:p w14:paraId="5993E2DC" w14:textId="77777777" w:rsidR="00D25008" w:rsidRDefault="00FE2A61">
      <w:pPr>
        <w:autoSpaceDE w:val="0"/>
        <w:autoSpaceDN w:val="0"/>
        <w:adjustRightInd w:val="0"/>
        <w:rPr>
          <w:szCs w:val="22"/>
          <w:lang w:eastAsia="sl-SI"/>
        </w:rPr>
      </w:pPr>
      <w:r>
        <w:rPr>
          <w:szCs w:val="22"/>
          <w:lang w:eastAsia="sl-SI"/>
        </w:rPr>
        <w:t xml:space="preserve">Nustatyta tendencija, kad </w:t>
      </w:r>
      <w:proofErr w:type="spellStart"/>
      <w:r>
        <w:rPr>
          <w:szCs w:val="22"/>
          <w:lang w:eastAsia="sl-SI"/>
        </w:rPr>
        <w:t>hidrochlorotiazido</w:t>
      </w:r>
      <w:proofErr w:type="spellEnd"/>
      <w:r>
        <w:rPr>
          <w:szCs w:val="22"/>
          <w:lang w:eastAsia="sl-SI"/>
        </w:rPr>
        <w:t xml:space="preserve"> koncentracija moterų kraujo plazmoje būna didesnė negu vyrų kraujo plazmoje. Toks poveikis nelaikomas kliniškai reikšmingu.</w:t>
      </w:r>
      <w:r>
        <w:rPr>
          <w:szCs w:val="22"/>
          <w:lang w:eastAsia="sl-SI"/>
        </w:rPr>
        <w:cr/>
      </w:r>
    </w:p>
    <w:p w14:paraId="1972F953" w14:textId="77777777" w:rsidR="00D25008" w:rsidRDefault="00FE2A61">
      <w:pPr>
        <w:autoSpaceDE w:val="0"/>
        <w:autoSpaceDN w:val="0"/>
        <w:adjustRightInd w:val="0"/>
        <w:rPr>
          <w:szCs w:val="22"/>
          <w:lang w:eastAsia="sl-SI"/>
        </w:rPr>
      </w:pPr>
      <w:r>
        <w:rPr>
          <w:szCs w:val="22"/>
          <w:u w:val="single"/>
          <w:lang w:eastAsia="sl-SI"/>
        </w:rPr>
        <w:t>Sutrikusi inkstų funkcija</w:t>
      </w:r>
    </w:p>
    <w:p w14:paraId="56647E30" w14:textId="1D3CE44A" w:rsidR="00D25008" w:rsidRDefault="001C4737">
      <w:pPr>
        <w:autoSpaceDE w:val="0"/>
        <w:autoSpaceDN w:val="0"/>
        <w:adjustRightInd w:val="0"/>
        <w:rPr>
          <w:szCs w:val="22"/>
          <w:lang w:eastAsia="sl-SI"/>
        </w:rPr>
      </w:pPr>
      <w:r>
        <w:t xml:space="preserve">Mažesnė koncentracija kraujo plazmoje nustatyta inkstų nepakankamumu sergantiems pacientams, kuriems atliekama dializė. Pacientams, sergantiems inkstų nepakankamumu, didžioji dalis </w:t>
      </w:r>
      <w:proofErr w:type="spellStart"/>
      <w:r>
        <w:t>telmisartano</w:t>
      </w:r>
      <w:proofErr w:type="spellEnd"/>
      <w:r>
        <w:t xml:space="preserve"> jungiasi prie kraujo plazmos baltymų ir nepašalinama dializės metu. Pusinės eliminacijos laikas pacientams, kurių inkstų funkcija sutrikusi, nekinta. Pacientų, kurių inkstų funkcija sutrikusi, organizme HCTZ eliminacija yra lėtesnė. </w:t>
      </w:r>
    </w:p>
    <w:p w14:paraId="6849E342" w14:textId="77777777" w:rsidR="00D25008" w:rsidRDefault="00FE2A61">
      <w:pPr>
        <w:autoSpaceDE w:val="0"/>
        <w:autoSpaceDN w:val="0"/>
        <w:adjustRightInd w:val="0"/>
        <w:rPr>
          <w:szCs w:val="22"/>
          <w:lang w:eastAsia="sl-SI"/>
        </w:rPr>
      </w:pPr>
      <w:r>
        <w:rPr>
          <w:szCs w:val="22"/>
          <w:lang w:eastAsia="sl-SI"/>
        </w:rPr>
        <w:t xml:space="preserve">Pacientų, kurių inkstų funkcija sutrikusi, organizme </w:t>
      </w:r>
      <w:proofErr w:type="spellStart"/>
      <w:r>
        <w:rPr>
          <w:szCs w:val="22"/>
          <w:lang w:eastAsia="sl-SI"/>
        </w:rPr>
        <w:t>hidrochortiazido</w:t>
      </w:r>
      <w:proofErr w:type="spellEnd"/>
      <w:r>
        <w:rPr>
          <w:szCs w:val="22"/>
          <w:lang w:eastAsia="sl-SI"/>
        </w:rPr>
        <w:t xml:space="preserve"> eliminacija yra lėtesnė. Įprastinio tyrimo metu pacientų, kurių vidutinis kreatinino klirensas buvo 90 ml/min., organizme </w:t>
      </w:r>
      <w:proofErr w:type="spellStart"/>
      <w:r>
        <w:rPr>
          <w:szCs w:val="22"/>
          <w:lang w:eastAsia="sl-SI"/>
        </w:rPr>
        <w:t>hidrochlorotiazido</w:t>
      </w:r>
      <w:proofErr w:type="spellEnd"/>
      <w:r>
        <w:rPr>
          <w:szCs w:val="22"/>
          <w:lang w:eastAsia="sl-SI"/>
        </w:rPr>
        <w:t xml:space="preserve"> pusinės eliminacijos laikas pailgėjo. Jeigu inkstai nefunkcionuoja, pusinės eliminacijos laikas yra maždaug 34 valandos.</w:t>
      </w:r>
    </w:p>
    <w:p w14:paraId="75A0436C" w14:textId="77777777" w:rsidR="00D25008" w:rsidRDefault="00D25008">
      <w:pPr>
        <w:autoSpaceDE w:val="0"/>
        <w:autoSpaceDN w:val="0"/>
        <w:adjustRightInd w:val="0"/>
        <w:rPr>
          <w:szCs w:val="22"/>
          <w:lang w:eastAsia="sl-SI"/>
        </w:rPr>
      </w:pPr>
    </w:p>
    <w:p w14:paraId="20478E62" w14:textId="77777777" w:rsidR="00D25008" w:rsidRDefault="00FE2A61">
      <w:pPr>
        <w:autoSpaceDE w:val="0"/>
        <w:autoSpaceDN w:val="0"/>
        <w:adjustRightInd w:val="0"/>
        <w:rPr>
          <w:szCs w:val="22"/>
          <w:lang w:eastAsia="sl-SI"/>
        </w:rPr>
      </w:pPr>
      <w:r>
        <w:rPr>
          <w:szCs w:val="22"/>
          <w:u w:val="single"/>
          <w:lang w:eastAsia="sl-SI"/>
        </w:rPr>
        <w:t>Sutrikusi kepenų funkcija</w:t>
      </w:r>
    </w:p>
    <w:p w14:paraId="742DFAB9" w14:textId="77777777" w:rsidR="00D25008" w:rsidRDefault="00FE2A61">
      <w:pPr>
        <w:autoSpaceDE w:val="0"/>
        <w:autoSpaceDN w:val="0"/>
        <w:adjustRightInd w:val="0"/>
        <w:rPr>
          <w:szCs w:val="22"/>
          <w:lang w:eastAsia="sl-SI"/>
        </w:rPr>
      </w:pPr>
      <w:r>
        <w:rPr>
          <w:szCs w:val="22"/>
          <w:lang w:eastAsia="sl-SI"/>
        </w:rPr>
        <w:t xml:space="preserve">Farmakokinetikos tyrimai parodė, kad pacientų, kurių kepenų funkcija sutrikusi, organizme absoliutus biologinis </w:t>
      </w:r>
      <w:proofErr w:type="spellStart"/>
      <w:r>
        <w:rPr>
          <w:szCs w:val="22"/>
          <w:lang w:eastAsia="sl-SI"/>
        </w:rPr>
        <w:t>telmisartano</w:t>
      </w:r>
      <w:proofErr w:type="spellEnd"/>
      <w:r>
        <w:rPr>
          <w:szCs w:val="22"/>
          <w:lang w:eastAsia="sl-SI"/>
        </w:rPr>
        <w:t xml:space="preserve"> prieinamumas padidėja ir būna beveik 100 %. Pacientams, kurių kepenų funkcija sutrikusi, pusinės eliminacijos laikas nepakinta.</w:t>
      </w:r>
    </w:p>
    <w:p w14:paraId="22F88318" w14:textId="77777777" w:rsidR="00D25008" w:rsidRDefault="00D25008">
      <w:pPr>
        <w:autoSpaceDE w:val="0"/>
        <w:autoSpaceDN w:val="0"/>
        <w:adjustRightInd w:val="0"/>
        <w:rPr>
          <w:szCs w:val="22"/>
          <w:lang w:eastAsia="sl-SI"/>
        </w:rPr>
      </w:pPr>
    </w:p>
    <w:p w14:paraId="32C9FB2C" w14:textId="77777777" w:rsidR="00D25008" w:rsidRDefault="00FE2A61">
      <w:pPr>
        <w:widowControl w:val="0"/>
        <w:numPr>
          <w:ilvl w:val="12"/>
          <w:numId w:val="0"/>
        </w:numPr>
        <w:tabs>
          <w:tab w:val="left" w:pos="567"/>
        </w:tabs>
        <w:ind w:right="-2"/>
        <w:rPr>
          <w:iCs/>
          <w:szCs w:val="22"/>
        </w:rPr>
      </w:pPr>
      <w:r>
        <w:rPr>
          <w:iCs/>
          <w:szCs w:val="22"/>
        </w:rPr>
        <w:t xml:space="preserve">Klinikinių duomenų apie </w:t>
      </w:r>
      <w:proofErr w:type="spellStart"/>
      <w:r>
        <w:rPr>
          <w:iCs/>
          <w:szCs w:val="22"/>
        </w:rPr>
        <w:t>amlodipino</w:t>
      </w:r>
      <w:proofErr w:type="spellEnd"/>
      <w:r>
        <w:rPr>
          <w:iCs/>
          <w:szCs w:val="22"/>
        </w:rPr>
        <w:t xml:space="preserve"> vartojimą esant kepenų funkcijos sutrikimui yra labai nedaug. Pacientams, kurių kepenų funkcija sutrikusi, sumažėja </w:t>
      </w:r>
      <w:proofErr w:type="spellStart"/>
      <w:r>
        <w:rPr>
          <w:iCs/>
          <w:szCs w:val="22"/>
        </w:rPr>
        <w:t>amlodipino</w:t>
      </w:r>
      <w:proofErr w:type="spellEnd"/>
      <w:r>
        <w:rPr>
          <w:iCs/>
          <w:szCs w:val="22"/>
        </w:rPr>
        <w:t xml:space="preserve"> klirensas ir todėl pailgėja pusinės eliminacijos laikas ir maždaug 40</w:t>
      </w:r>
      <w:r>
        <w:rPr>
          <w:iCs/>
          <w:szCs w:val="22"/>
        </w:rPr>
        <w:noBreakHyphen/>
        <w:t>60 % padidėja AUC.</w:t>
      </w:r>
    </w:p>
    <w:p w14:paraId="09B59D75" w14:textId="77777777" w:rsidR="00D25008" w:rsidRDefault="00D25008">
      <w:pPr>
        <w:widowControl w:val="0"/>
        <w:numPr>
          <w:ilvl w:val="12"/>
          <w:numId w:val="0"/>
        </w:numPr>
        <w:tabs>
          <w:tab w:val="left" w:pos="567"/>
        </w:tabs>
        <w:ind w:right="-2"/>
        <w:rPr>
          <w:iCs/>
          <w:szCs w:val="22"/>
        </w:rPr>
      </w:pPr>
    </w:p>
    <w:p w14:paraId="17663626" w14:textId="77777777" w:rsidR="00D25008" w:rsidRDefault="00FE2A61">
      <w:pPr>
        <w:widowControl w:val="0"/>
        <w:numPr>
          <w:ilvl w:val="12"/>
          <w:numId w:val="0"/>
        </w:numPr>
        <w:tabs>
          <w:tab w:val="left" w:pos="567"/>
        </w:tabs>
        <w:ind w:right="-2"/>
        <w:rPr>
          <w:iCs/>
          <w:szCs w:val="22"/>
          <w:u w:val="single"/>
        </w:rPr>
      </w:pPr>
      <w:r>
        <w:rPr>
          <w:iCs/>
          <w:szCs w:val="22"/>
          <w:u w:val="single"/>
        </w:rPr>
        <w:t>Vaikų populiacija</w:t>
      </w:r>
    </w:p>
    <w:p w14:paraId="4737FC76" w14:textId="77777777" w:rsidR="00D25008" w:rsidRDefault="00FE2A61">
      <w:pPr>
        <w:widowControl w:val="0"/>
        <w:autoSpaceDE w:val="0"/>
        <w:autoSpaceDN w:val="0"/>
        <w:adjustRightInd w:val="0"/>
        <w:rPr>
          <w:snapToGrid w:val="0"/>
          <w:szCs w:val="22"/>
          <w:lang w:eastAsia="sl-SI"/>
        </w:rPr>
      </w:pPr>
      <w:r>
        <w:rPr>
          <w:snapToGrid w:val="0"/>
          <w:szCs w:val="22"/>
          <w:lang w:eastAsia="sl-SI"/>
        </w:rPr>
        <w:t>Populiacijos farmakokinetikos tyrime dalyvavo 74 hipertenzija sirgę 1</w:t>
      </w:r>
      <w:r>
        <w:rPr>
          <w:snapToGrid w:val="0"/>
          <w:szCs w:val="22"/>
          <w:lang w:eastAsia="sl-SI"/>
        </w:rPr>
        <w:noBreakHyphen/>
        <w:t>17 metų vaikai (34 pacientai buvo 6</w:t>
      </w:r>
      <w:r>
        <w:rPr>
          <w:snapToGrid w:val="0"/>
          <w:szCs w:val="22"/>
          <w:lang w:eastAsia="sl-SI"/>
        </w:rPr>
        <w:noBreakHyphen/>
        <w:t>12 metų, 28 – 13</w:t>
      </w:r>
      <w:r>
        <w:rPr>
          <w:snapToGrid w:val="0"/>
          <w:szCs w:val="22"/>
          <w:lang w:eastAsia="sl-SI"/>
        </w:rPr>
        <w:noBreakHyphen/>
        <w:t>17 metų), kurie kartą arba du kartus per parą vartojo 1,25</w:t>
      </w:r>
      <w:r>
        <w:rPr>
          <w:snapToGrid w:val="0"/>
          <w:szCs w:val="22"/>
          <w:lang w:eastAsia="sl-SI"/>
        </w:rPr>
        <w:noBreakHyphen/>
        <w:t xml:space="preserve">20 mg </w:t>
      </w:r>
      <w:proofErr w:type="spellStart"/>
      <w:r>
        <w:rPr>
          <w:snapToGrid w:val="0"/>
          <w:szCs w:val="22"/>
          <w:lang w:eastAsia="sl-SI"/>
        </w:rPr>
        <w:t>amlodipino</w:t>
      </w:r>
      <w:proofErr w:type="spellEnd"/>
      <w:r>
        <w:rPr>
          <w:snapToGrid w:val="0"/>
          <w:szCs w:val="22"/>
          <w:lang w:eastAsia="sl-SI"/>
        </w:rPr>
        <w:t xml:space="preserve"> dozę. 6</w:t>
      </w:r>
      <w:r>
        <w:rPr>
          <w:snapToGrid w:val="0"/>
          <w:szCs w:val="22"/>
          <w:lang w:eastAsia="sl-SI"/>
        </w:rPr>
        <w:noBreakHyphen/>
        <w:t>12 metų vaikų ir 13</w:t>
      </w:r>
      <w:r>
        <w:rPr>
          <w:snapToGrid w:val="0"/>
          <w:szCs w:val="22"/>
          <w:lang w:eastAsia="sl-SI"/>
        </w:rPr>
        <w:noBreakHyphen/>
        <w:t>17 metų paauglių tipinis geriamojo preparato klirensas (CL/F) buvo atitinkamai 22,5 l/val. ir 27,4 l/val. berniukams bei 16,4 l/val. ir 21,3 l/val. mergaitėms. Ekspozicija atskirų pacientų organizme labai skyrėsi. Duomenų apie jaunesnius kaip 6 metų vaikus yra nedaug.</w:t>
      </w:r>
    </w:p>
    <w:p w14:paraId="49DD1E99" w14:textId="77777777" w:rsidR="00D25008" w:rsidRDefault="00D25008">
      <w:pPr>
        <w:widowControl w:val="0"/>
        <w:tabs>
          <w:tab w:val="left" w:pos="567"/>
        </w:tabs>
        <w:rPr>
          <w:szCs w:val="22"/>
          <w:lang w:eastAsia="sl-SI"/>
        </w:rPr>
      </w:pPr>
    </w:p>
    <w:p w14:paraId="42EBA45B" w14:textId="77777777" w:rsidR="00D25008" w:rsidRDefault="00FE2A61">
      <w:pPr>
        <w:widowControl w:val="0"/>
        <w:tabs>
          <w:tab w:val="left" w:pos="567"/>
        </w:tabs>
        <w:rPr>
          <w:szCs w:val="22"/>
          <w:lang w:eastAsia="sl-SI"/>
        </w:rPr>
      </w:pPr>
      <w:r>
        <w:rPr>
          <w:b/>
          <w:szCs w:val="22"/>
          <w:lang w:eastAsia="sl-SI"/>
        </w:rPr>
        <w:t>5.3</w:t>
      </w:r>
      <w:r>
        <w:rPr>
          <w:b/>
          <w:szCs w:val="22"/>
          <w:lang w:eastAsia="sl-SI"/>
        </w:rPr>
        <w:tab/>
      </w:r>
      <w:proofErr w:type="spellStart"/>
      <w:r>
        <w:rPr>
          <w:b/>
          <w:szCs w:val="22"/>
          <w:lang w:eastAsia="sl-SI"/>
        </w:rPr>
        <w:t>Ikiklinikinių</w:t>
      </w:r>
      <w:proofErr w:type="spellEnd"/>
      <w:r>
        <w:rPr>
          <w:b/>
          <w:szCs w:val="22"/>
          <w:lang w:eastAsia="sl-SI"/>
        </w:rPr>
        <w:t xml:space="preserve"> saugumo tyrimų duomenys</w:t>
      </w:r>
    </w:p>
    <w:p w14:paraId="650D098D" w14:textId="77777777" w:rsidR="00D25008" w:rsidRDefault="00D25008">
      <w:pPr>
        <w:widowControl w:val="0"/>
        <w:tabs>
          <w:tab w:val="left" w:pos="567"/>
        </w:tabs>
        <w:rPr>
          <w:szCs w:val="22"/>
          <w:lang w:eastAsia="sl-SI"/>
        </w:rPr>
      </w:pPr>
    </w:p>
    <w:p w14:paraId="403465E7" w14:textId="77777777" w:rsidR="00D25008" w:rsidRDefault="00FE2A61">
      <w:pPr>
        <w:autoSpaceDE w:val="0"/>
        <w:autoSpaceDN w:val="0"/>
        <w:adjustRightInd w:val="0"/>
        <w:rPr>
          <w:b/>
          <w:i/>
          <w:szCs w:val="22"/>
          <w:lang w:eastAsia="sl-SI"/>
        </w:rPr>
      </w:pPr>
      <w:r>
        <w:rPr>
          <w:b/>
          <w:i/>
          <w:szCs w:val="22"/>
          <w:lang w:eastAsia="sl-SI"/>
        </w:rPr>
        <w:t xml:space="preserve">Susiję su </w:t>
      </w:r>
      <w:proofErr w:type="spellStart"/>
      <w:r>
        <w:rPr>
          <w:b/>
          <w:i/>
          <w:szCs w:val="22"/>
          <w:lang w:eastAsia="sl-SI"/>
        </w:rPr>
        <w:t>telmisartanu</w:t>
      </w:r>
      <w:proofErr w:type="spellEnd"/>
      <w:r>
        <w:rPr>
          <w:b/>
          <w:i/>
          <w:szCs w:val="22"/>
          <w:lang w:eastAsia="sl-SI"/>
        </w:rPr>
        <w:t xml:space="preserve"> ir </w:t>
      </w:r>
      <w:proofErr w:type="spellStart"/>
      <w:r>
        <w:rPr>
          <w:b/>
          <w:i/>
          <w:szCs w:val="22"/>
          <w:lang w:eastAsia="sl-SI"/>
        </w:rPr>
        <w:t>hidrochlorotiazidu</w:t>
      </w:r>
      <w:proofErr w:type="spellEnd"/>
    </w:p>
    <w:p w14:paraId="3536162D" w14:textId="77777777" w:rsidR="00D25008" w:rsidRDefault="00D25008">
      <w:pPr>
        <w:autoSpaceDE w:val="0"/>
        <w:autoSpaceDN w:val="0"/>
        <w:adjustRightInd w:val="0"/>
        <w:rPr>
          <w:szCs w:val="22"/>
          <w:lang w:eastAsia="sl-SI"/>
        </w:rPr>
      </w:pPr>
    </w:p>
    <w:p w14:paraId="76FD8C38" w14:textId="77777777" w:rsidR="00D25008" w:rsidRDefault="00FE2A61">
      <w:pPr>
        <w:autoSpaceDE w:val="0"/>
        <w:autoSpaceDN w:val="0"/>
        <w:adjustRightInd w:val="0"/>
        <w:rPr>
          <w:szCs w:val="22"/>
          <w:lang w:eastAsia="sl-SI"/>
        </w:rPr>
      </w:pPr>
      <w:proofErr w:type="spellStart"/>
      <w:r>
        <w:rPr>
          <w:szCs w:val="22"/>
          <w:lang w:eastAsia="sl-SI"/>
        </w:rPr>
        <w:t>Ikiklinikinių</w:t>
      </w:r>
      <w:proofErr w:type="spellEnd"/>
      <w:r>
        <w:rPr>
          <w:szCs w:val="22"/>
          <w:lang w:eastAsia="sl-SI"/>
        </w:rPr>
        <w:t xml:space="preserve"> tyrimų metu žiurkėms ir šunims, kurių kraujospūdis buvo normalus, kartu skiriant </w:t>
      </w:r>
      <w:proofErr w:type="spellStart"/>
      <w:r>
        <w:rPr>
          <w:szCs w:val="22"/>
          <w:lang w:eastAsia="sl-SI"/>
        </w:rPr>
        <w:t>telmisartano</w:t>
      </w:r>
      <w:proofErr w:type="spellEnd"/>
      <w:r>
        <w:rPr>
          <w:szCs w:val="22"/>
          <w:lang w:eastAsia="sl-SI"/>
        </w:rPr>
        <w:t xml:space="preserve"> ir </w:t>
      </w:r>
      <w:proofErr w:type="spellStart"/>
      <w:r>
        <w:rPr>
          <w:szCs w:val="22"/>
          <w:lang w:eastAsia="sl-SI"/>
        </w:rPr>
        <w:t>hidrochlorotiazido</w:t>
      </w:r>
      <w:proofErr w:type="spellEnd"/>
      <w:r>
        <w:rPr>
          <w:szCs w:val="22"/>
          <w:lang w:eastAsia="sl-SI"/>
        </w:rPr>
        <w:t xml:space="preserve"> dozes, kai ekspozicija buvo panaši į nustatomą žmonėms, vartojantiems terapinę dozę, papildomo poveikio, nei būdingo kiekvienai veikliajai medžiagai, nepasireiškė. Toksinio poveikio tyrimų duomenys žmogui, vartojančiam terapinę dozę, nėra reikšmingi.</w:t>
      </w:r>
    </w:p>
    <w:p w14:paraId="77F9324E" w14:textId="77777777" w:rsidR="00D25008" w:rsidRDefault="00D25008">
      <w:pPr>
        <w:autoSpaceDE w:val="0"/>
        <w:autoSpaceDN w:val="0"/>
        <w:adjustRightInd w:val="0"/>
        <w:rPr>
          <w:szCs w:val="22"/>
          <w:lang w:eastAsia="sl-SI"/>
        </w:rPr>
      </w:pPr>
    </w:p>
    <w:p w14:paraId="2E0BE52E" w14:textId="440EA5C7" w:rsidR="00D25008" w:rsidRDefault="00FE2A61">
      <w:pPr>
        <w:autoSpaceDE w:val="0"/>
        <w:autoSpaceDN w:val="0"/>
        <w:adjustRightInd w:val="0"/>
        <w:rPr>
          <w:szCs w:val="22"/>
          <w:lang w:eastAsia="sl-SI"/>
        </w:rPr>
      </w:pPr>
      <w:r>
        <w:rPr>
          <w:szCs w:val="22"/>
          <w:lang w:eastAsia="sl-SI"/>
        </w:rPr>
        <w:t xml:space="preserve">Toksinio poveikio simptomai, atitinkantys </w:t>
      </w:r>
      <w:proofErr w:type="spellStart"/>
      <w:r>
        <w:rPr>
          <w:szCs w:val="22"/>
          <w:lang w:eastAsia="sl-SI"/>
        </w:rPr>
        <w:t>ikiklinikinių</w:t>
      </w:r>
      <w:proofErr w:type="spellEnd"/>
      <w:r>
        <w:rPr>
          <w:szCs w:val="22"/>
          <w:lang w:eastAsia="sl-SI"/>
        </w:rPr>
        <w:t xml:space="preserve"> tyrimų metu sukeltus </w:t>
      </w:r>
      <w:proofErr w:type="spellStart"/>
      <w:r>
        <w:rPr>
          <w:szCs w:val="22"/>
          <w:lang w:eastAsia="sl-SI"/>
        </w:rPr>
        <w:t>angiotenziną</w:t>
      </w:r>
      <w:proofErr w:type="spellEnd"/>
      <w:r>
        <w:rPr>
          <w:szCs w:val="22"/>
          <w:lang w:eastAsia="sl-SI"/>
        </w:rPr>
        <w:t xml:space="preserve"> konvertuojančio fermento inhibitorių ir </w:t>
      </w:r>
      <w:proofErr w:type="spellStart"/>
      <w:r>
        <w:rPr>
          <w:szCs w:val="22"/>
          <w:lang w:eastAsia="sl-SI"/>
        </w:rPr>
        <w:t>angiotenzino</w:t>
      </w:r>
      <w:proofErr w:type="spellEnd"/>
      <w:r>
        <w:rPr>
          <w:szCs w:val="22"/>
          <w:lang w:eastAsia="sl-SI"/>
        </w:rPr>
        <w:t xml:space="preserve"> receptorių </w:t>
      </w:r>
      <w:r w:rsidR="001C4737">
        <w:rPr>
          <w:szCs w:val="22"/>
          <w:lang w:eastAsia="sl-SI"/>
        </w:rPr>
        <w:t>blokatorių</w:t>
      </w:r>
      <w:r>
        <w:rPr>
          <w:szCs w:val="22"/>
          <w:lang w:eastAsia="sl-SI"/>
        </w:rPr>
        <w:t xml:space="preserve"> poveikį, buvo: eritrocitų parametrų eritrocitų kiekio, hemoglobino koncentracijos bei </w:t>
      </w:r>
      <w:proofErr w:type="spellStart"/>
      <w:r>
        <w:rPr>
          <w:szCs w:val="22"/>
          <w:lang w:eastAsia="sl-SI"/>
        </w:rPr>
        <w:t>hematokrito</w:t>
      </w:r>
      <w:proofErr w:type="spellEnd"/>
      <w:r>
        <w:rPr>
          <w:szCs w:val="22"/>
          <w:lang w:eastAsia="sl-SI"/>
        </w:rPr>
        <w:t xml:space="preserve"> rodmens) sumažėjimas, inkstų kraujotakos pokyčiai (karbamido azoto ir kreatinino koncentracijos kraujyje padidėjimas), </w:t>
      </w:r>
      <w:proofErr w:type="spellStart"/>
      <w:r>
        <w:rPr>
          <w:szCs w:val="22"/>
          <w:lang w:eastAsia="sl-SI"/>
        </w:rPr>
        <w:t>renino</w:t>
      </w:r>
      <w:proofErr w:type="spellEnd"/>
      <w:r>
        <w:rPr>
          <w:szCs w:val="22"/>
          <w:lang w:eastAsia="sl-SI"/>
        </w:rPr>
        <w:t xml:space="preserve"> aktyvumo padidėjimas kraujo plazmoje, </w:t>
      </w:r>
      <w:proofErr w:type="spellStart"/>
      <w:r>
        <w:rPr>
          <w:szCs w:val="22"/>
          <w:lang w:eastAsia="sl-SI"/>
        </w:rPr>
        <w:t>jukstaglomerulinių</w:t>
      </w:r>
      <w:proofErr w:type="spellEnd"/>
      <w:r>
        <w:rPr>
          <w:szCs w:val="22"/>
          <w:lang w:eastAsia="sl-SI"/>
        </w:rPr>
        <w:t xml:space="preserve"> ląstelių hipertrofija / </w:t>
      </w:r>
      <w:proofErr w:type="spellStart"/>
      <w:r>
        <w:rPr>
          <w:szCs w:val="22"/>
          <w:lang w:eastAsia="sl-SI"/>
        </w:rPr>
        <w:t>hiperplazija</w:t>
      </w:r>
      <w:proofErr w:type="spellEnd"/>
      <w:r>
        <w:rPr>
          <w:szCs w:val="22"/>
          <w:lang w:eastAsia="sl-SI"/>
        </w:rPr>
        <w:t xml:space="preserve"> ir skrandžio gleivinės pažaida. Skrandžio pažaidų neatsirado arba jos buvo lengvesnės, kai gyvūnai buvo laikomi grupėmis ir papildomai vartojo natrio chlorido tirpalo. Šunims buvo nustatytas inkstų kanalėlių </w:t>
      </w:r>
      <w:proofErr w:type="spellStart"/>
      <w:r>
        <w:rPr>
          <w:szCs w:val="22"/>
          <w:lang w:eastAsia="sl-SI"/>
        </w:rPr>
        <w:t>dilatacija</w:t>
      </w:r>
      <w:proofErr w:type="spellEnd"/>
      <w:r>
        <w:rPr>
          <w:szCs w:val="22"/>
          <w:lang w:eastAsia="sl-SI"/>
        </w:rPr>
        <w:t xml:space="preserve"> ir atrofija. Manoma, jog toks poveikis priklauso nuo farmakologinio </w:t>
      </w:r>
      <w:proofErr w:type="spellStart"/>
      <w:r>
        <w:rPr>
          <w:szCs w:val="22"/>
          <w:lang w:eastAsia="sl-SI"/>
        </w:rPr>
        <w:t>telmisartano</w:t>
      </w:r>
      <w:proofErr w:type="spellEnd"/>
      <w:r>
        <w:rPr>
          <w:szCs w:val="22"/>
          <w:lang w:eastAsia="sl-SI"/>
        </w:rPr>
        <w:t xml:space="preserve"> aktyvumo.</w:t>
      </w:r>
      <w:r w:rsidR="001C4737">
        <w:t xml:space="preserve"> </w:t>
      </w:r>
      <w:proofErr w:type="spellStart"/>
      <w:r w:rsidR="001C4737">
        <w:rPr>
          <w:szCs w:val="22"/>
          <w:lang w:eastAsia="sl-SI"/>
        </w:rPr>
        <w:t>Telmisartano</w:t>
      </w:r>
      <w:proofErr w:type="spellEnd"/>
      <w:r w:rsidR="001C4737">
        <w:rPr>
          <w:szCs w:val="22"/>
          <w:lang w:eastAsia="sl-SI"/>
        </w:rPr>
        <w:t xml:space="preserve"> poveikio patinų ir patelių vaisingumui nestebėta.</w:t>
      </w:r>
    </w:p>
    <w:p w14:paraId="1963DF85" w14:textId="77777777" w:rsidR="00D25008" w:rsidRDefault="00D25008">
      <w:pPr>
        <w:autoSpaceDE w:val="0"/>
        <w:autoSpaceDN w:val="0"/>
        <w:adjustRightInd w:val="0"/>
        <w:rPr>
          <w:szCs w:val="22"/>
          <w:lang w:eastAsia="sl-SI"/>
        </w:rPr>
      </w:pPr>
    </w:p>
    <w:p w14:paraId="2782A192" w14:textId="77777777" w:rsidR="00D25008" w:rsidRDefault="00FE2A61">
      <w:pPr>
        <w:autoSpaceDE w:val="0"/>
        <w:autoSpaceDN w:val="0"/>
        <w:adjustRightInd w:val="0"/>
        <w:rPr>
          <w:szCs w:val="22"/>
          <w:lang w:eastAsia="sl-SI"/>
        </w:rPr>
      </w:pPr>
      <w:r>
        <w:rPr>
          <w:szCs w:val="22"/>
          <w:lang w:eastAsia="sl-SI"/>
        </w:rPr>
        <w:t xml:space="preserve">Aiškių </w:t>
      </w:r>
      <w:proofErr w:type="spellStart"/>
      <w:r>
        <w:rPr>
          <w:szCs w:val="22"/>
          <w:lang w:eastAsia="sl-SI"/>
        </w:rPr>
        <w:t>teratogeninio</w:t>
      </w:r>
      <w:proofErr w:type="spellEnd"/>
      <w:r>
        <w:rPr>
          <w:szCs w:val="22"/>
          <w:lang w:eastAsia="sl-SI"/>
        </w:rPr>
        <w:t xml:space="preserve"> poveikio įrodymų nebuvo gauta, tačiau toksinės </w:t>
      </w:r>
      <w:proofErr w:type="spellStart"/>
      <w:r>
        <w:rPr>
          <w:szCs w:val="22"/>
          <w:lang w:eastAsia="sl-SI"/>
        </w:rPr>
        <w:t>telmisartano</w:t>
      </w:r>
      <w:proofErr w:type="spellEnd"/>
      <w:r>
        <w:rPr>
          <w:szCs w:val="22"/>
          <w:lang w:eastAsia="sl-SI"/>
        </w:rPr>
        <w:t xml:space="preserve"> dozės darė poveikį </w:t>
      </w:r>
      <w:proofErr w:type="spellStart"/>
      <w:r>
        <w:rPr>
          <w:szCs w:val="22"/>
          <w:lang w:eastAsia="sl-SI"/>
        </w:rPr>
        <w:t>postnataliniam</w:t>
      </w:r>
      <w:proofErr w:type="spellEnd"/>
      <w:r>
        <w:rPr>
          <w:szCs w:val="22"/>
          <w:lang w:eastAsia="sl-SI"/>
        </w:rPr>
        <w:t xml:space="preserve"> jauniklių vystymuisi, pavyzdžiui, mažino jų kūno svorį ir vėlino atsimerkimą.</w:t>
      </w:r>
    </w:p>
    <w:p w14:paraId="597D36FA" w14:textId="77777777" w:rsidR="00D25008" w:rsidRDefault="00FE2A61">
      <w:pPr>
        <w:autoSpaceDE w:val="0"/>
        <w:autoSpaceDN w:val="0"/>
        <w:adjustRightInd w:val="0"/>
        <w:rPr>
          <w:szCs w:val="22"/>
          <w:lang w:eastAsia="sl-SI"/>
        </w:rPr>
      </w:pPr>
      <w:r>
        <w:rPr>
          <w:szCs w:val="22"/>
          <w:lang w:eastAsia="sl-SI"/>
        </w:rPr>
        <w:lastRenderedPageBreak/>
        <w:t xml:space="preserve">Tyrimų </w:t>
      </w:r>
      <w:proofErr w:type="spellStart"/>
      <w:r>
        <w:rPr>
          <w:i/>
          <w:iCs/>
          <w:szCs w:val="22"/>
          <w:lang w:eastAsia="sl-SI"/>
        </w:rPr>
        <w:t>in</w:t>
      </w:r>
      <w:proofErr w:type="spellEnd"/>
      <w:r>
        <w:rPr>
          <w:i/>
          <w:iCs/>
          <w:szCs w:val="22"/>
          <w:lang w:eastAsia="sl-SI"/>
        </w:rPr>
        <w:t xml:space="preserve"> </w:t>
      </w:r>
      <w:proofErr w:type="spellStart"/>
      <w:r>
        <w:rPr>
          <w:i/>
          <w:iCs/>
          <w:szCs w:val="22"/>
          <w:lang w:eastAsia="sl-SI"/>
        </w:rPr>
        <w:t>vitro</w:t>
      </w:r>
      <w:proofErr w:type="spellEnd"/>
      <w:r>
        <w:rPr>
          <w:szCs w:val="22"/>
          <w:lang w:eastAsia="sl-SI"/>
        </w:rPr>
        <w:t xml:space="preserve"> metu mutageninio ar reikšmingo </w:t>
      </w:r>
      <w:proofErr w:type="spellStart"/>
      <w:r>
        <w:rPr>
          <w:szCs w:val="22"/>
          <w:lang w:eastAsia="sl-SI"/>
        </w:rPr>
        <w:t>klastogeninio</w:t>
      </w:r>
      <w:proofErr w:type="spellEnd"/>
      <w:r>
        <w:rPr>
          <w:szCs w:val="22"/>
          <w:lang w:eastAsia="sl-SI"/>
        </w:rPr>
        <w:t xml:space="preserve"> </w:t>
      </w:r>
      <w:proofErr w:type="spellStart"/>
      <w:r>
        <w:rPr>
          <w:szCs w:val="22"/>
          <w:lang w:eastAsia="sl-SI"/>
        </w:rPr>
        <w:t>telmisartano</w:t>
      </w:r>
      <w:proofErr w:type="spellEnd"/>
      <w:r>
        <w:rPr>
          <w:szCs w:val="22"/>
          <w:lang w:eastAsia="sl-SI"/>
        </w:rPr>
        <w:t xml:space="preserve"> poveikio nepastebėta, žiurkėms ir pelėms kancerogeninio poveikio neatsirado.</w:t>
      </w:r>
      <w:r>
        <w:rPr>
          <w:sz w:val="24"/>
          <w:szCs w:val="20"/>
          <w:lang w:val="sl-SI" w:eastAsia="sl-SI"/>
        </w:rPr>
        <w:t xml:space="preserve"> </w:t>
      </w:r>
      <w:proofErr w:type="spellStart"/>
      <w:r>
        <w:rPr>
          <w:szCs w:val="22"/>
          <w:lang w:eastAsia="sl-SI"/>
        </w:rPr>
        <w:t>Hidrochlorotiazido</w:t>
      </w:r>
      <w:proofErr w:type="spellEnd"/>
      <w:r>
        <w:rPr>
          <w:szCs w:val="22"/>
          <w:lang w:eastAsia="sl-SI"/>
        </w:rPr>
        <w:t xml:space="preserve"> tyrimų metu nustatyta, kad kai kuriems eksperimentiniams modeliams pasireiškė abejotinas </w:t>
      </w:r>
      <w:proofErr w:type="spellStart"/>
      <w:r>
        <w:rPr>
          <w:szCs w:val="22"/>
          <w:lang w:eastAsia="sl-SI"/>
        </w:rPr>
        <w:t>genotoksinis</w:t>
      </w:r>
      <w:proofErr w:type="spellEnd"/>
      <w:r>
        <w:rPr>
          <w:szCs w:val="22"/>
          <w:lang w:eastAsia="sl-SI"/>
        </w:rPr>
        <w:t xml:space="preserve"> arba kancerogeninis poveikis.</w:t>
      </w:r>
    </w:p>
    <w:p w14:paraId="33B305F7" w14:textId="77777777" w:rsidR="00D25008" w:rsidRDefault="00FE2A61">
      <w:pPr>
        <w:autoSpaceDE w:val="0"/>
        <w:autoSpaceDN w:val="0"/>
        <w:adjustRightInd w:val="0"/>
        <w:rPr>
          <w:szCs w:val="22"/>
          <w:lang w:eastAsia="sl-SI"/>
        </w:rPr>
      </w:pPr>
      <w:r>
        <w:rPr>
          <w:szCs w:val="22"/>
          <w:lang w:eastAsia="sl-SI"/>
        </w:rPr>
        <w:t xml:space="preserve">Apie galimą toksinį </w:t>
      </w:r>
      <w:proofErr w:type="spellStart"/>
      <w:r>
        <w:rPr>
          <w:szCs w:val="22"/>
          <w:lang w:eastAsia="sl-SI"/>
        </w:rPr>
        <w:t>telmisartano</w:t>
      </w:r>
      <w:proofErr w:type="spellEnd"/>
      <w:r>
        <w:rPr>
          <w:szCs w:val="22"/>
          <w:lang w:eastAsia="sl-SI"/>
        </w:rPr>
        <w:t xml:space="preserve"> / </w:t>
      </w:r>
      <w:proofErr w:type="spellStart"/>
      <w:r>
        <w:rPr>
          <w:szCs w:val="22"/>
          <w:lang w:eastAsia="sl-SI"/>
        </w:rPr>
        <w:t>hidrochlorotiazidu</w:t>
      </w:r>
      <w:proofErr w:type="spellEnd"/>
      <w:r>
        <w:rPr>
          <w:szCs w:val="22"/>
          <w:lang w:eastAsia="sl-SI"/>
        </w:rPr>
        <w:t xml:space="preserve"> derinio poveikį vaisiui žr. 4.6 skyriuje.</w:t>
      </w:r>
    </w:p>
    <w:p w14:paraId="75F892D8" w14:textId="77777777" w:rsidR="00D25008" w:rsidRDefault="00D25008">
      <w:pPr>
        <w:autoSpaceDE w:val="0"/>
        <w:autoSpaceDN w:val="0"/>
        <w:adjustRightInd w:val="0"/>
        <w:rPr>
          <w:szCs w:val="22"/>
          <w:lang w:eastAsia="sl-SI"/>
        </w:rPr>
      </w:pPr>
    </w:p>
    <w:p w14:paraId="5C26588F" w14:textId="77777777" w:rsidR="00D25008" w:rsidRDefault="00FE2A61">
      <w:pPr>
        <w:autoSpaceDE w:val="0"/>
        <w:autoSpaceDN w:val="0"/>
        <w:adjustRightInd w:val="0"/>
        <w:rPr>
          <w:b/>
          <w:i/>
          <w:szCs w:val="22"/>
          <w:lang w:eastAsia="sl-SI"/>
        </w:rPr>
      </w:pPr>
      <w:r>
        <w:rPr>
          <w:b/>
          <w:i/>
          <w:szCs w:val="22"/>
          <w:lang w:eastAsia="sl-SI"/>
        </w:rPr>
        <w:t xml:space="preserve">Susiję su </w:t>
      </w:r>
      <w:proofErr w:type="spellStart"/>
      <w:r>
        <w:rPr>
          <w:b/>
          <w:i/>
          <w:szCs w:val="22"/>
          <w:lang w:eastAsia="sl-SI"/>
        </w:rPr>
        <w:t>amlodipinu</w:t>
      </w:r>
      <w:proofErr w:type="spellEnd"/>
    </w:p>
    <w:p w14:paraId="46205BF6" w14:textId="77777777" w:rsidR="00D25008" w:rsidRDefault="00D25008">
      <w:pPr>
        <w:widowControl w:val="0"/>
        <w:tabs>
          <w:tab w:val="left" w:pos="567"/>
        </w:tabs>
        <w:rPr>
          <w:szCs w:val="22"/>
        </w:rPr>
      </w:pPr>
    </w:p>
    <w:p w14:paraId="6274C96D" w14:textId="77777777" w:rsidR="00D25008" w:rsidRDefault="00FE2A61">
      <w:pPr>
        <w:rPr>
          <w:i/>
          <w:szCs w:val="22"/>
          <w:lang w:eastAsia="lt-LT"/>
        </w:rPr>
      </w:pPr>
      <w:r>
        <w:rPr>
          <w:i/>
          <w:szCs w:val="22"/>
          <w:lang w:eastAsia="lt-LT"/>
        </w:rPr>
        <w:t>Toksinis poveikis reprodukcijai</w:t>
      </w:r>
    </w:p>
    <w:p w14:paraId="35604B5E" w14:textId="77777777" w:rsidR="00D25008" w:rsidRDefault="00FE2A61">
      <w:pPr>
        <w:widowControl w:val="0"/>
        <w:rPr>
          <w:snapToGrid w:val="0"/>
          <w:szCs w:val="22"/>
        </w:rPr>
      </w:pPr>
      <w:r>
        <w:rPr>
          <w:snapToGrid w:val="0"/>
          <w:szCs w:val="22"/>
        </w:rPr>
        <w:t>Reprodukcijos tyrimai su žiurkėmis ir pelėmis parodė vėlesnį atsivedimo laiką, atsivedimo pailgėjimą ir jauniklių išgyvenamumo sumažėjimą vartojant dozes, apytiksliai 50 kartų didesnes už didžiausią rekomenduojamą dozę žmogui, apskaičiavus mg/kg.</w:t>
      </w:r>
    </w:p>
    <w:p w14:paraId="4A3816C9" w14:textId="77777777" w:rsidR="00D25008" w:rsidRDefault="00D25008">
      <w:pPr>
        <w:rPr>
          <w:szCs w:val="22"/>
          <w:lang w:eastAsia="lt-LT"/>
        </w:rPr>
      </w:pPr>
    </w:p>
    <w:p w14:paraId="64CEFB5A" w14:textId="77777777" w:rsidR="00D25008" w:rsidRDefault="00FE2A61">
      <w:pPr>
        <w:widowControl w:val="0"/>
        <w:rPr>
          <w:snapToGrid w:val="0"/>
          <w:szCs w:val="22"/>
        </w:rPr>
      </w:pPr>
      <w:r>
        <w:rPr>
          <w:i/>
          <w:snapToGrid w:val="0"/>
          <w:szCs w:val="22"/>
        </w:rPr>
        <w:t>Vaisingumo sutrikimas</w:t>
      </w:r>
    </w:p>
    <w:p w14:paraId="738D9FD5" w14:textId="77777777" w:rsidR="00D25008" w:rsidRDefault="00FE2A61">
      <w:pPr>
        <w:widowControl w:val="0"/>
        <w:rPr>
          <w:snapToGrid w:val="0"/>
          <w:szCs w:val="22"/>
        </w:rPr>
      </w:pPr>
      <w:r>
        <w:rPr>
          <w:snapToGrid w:val="0"/>
          <w:szCs w:val="22"/>
        </w:rPr>
        <w:t xml:space="preserve">Žiurkėms vartojant (patinams 64 dienas ir patelėms 14 dienų prieš susiporavimą) iki 10 mg/kg </w:t>
      </w:r>
      <w:proofErr w:type="spellStart"/>
      <w:r>
        <w:rPr>
          <w:snapToGrid w:val="0"/>
          <w:szCs w:val="22"/>
        </w:rPr>
        <w:t>amlodipino</w:t>
      </w:r>
      <w:proofErr w:type="spellEnd"/>
      <w:r>
        <w:rPr>
          <w:snapToGrid w:val="0"/>
          <w:szCs w:val="22"/>
        </w:rPr>
        <w:t xml:space="preserve"> paros dozes (tokia dozė yra 8 kartus didesnė* už didžiausią rekomenduojamą dozę žmogui, apskaičiavus mg/m</w:t>
      </w:r>
      <w:r>
        <w:rPr>
          <w:snapToGrid w:val="0"/>
          <w:szCs w:val="22"/>
          <w:vertAlign w:val="superscript"/>
        </w:rPr>
        <w:t>2</w:t>
      </w:r>
      <w:r>
        <w:rPr>
          <w:snapToGrid w:val="0"/>
          <w:szCs w:val="22"/>
        </w:rPr>
        <w:t xml:space="preserve"> kūno paviršiaus ploto), poveikio vaisingumui nebuvo. Kito tyrimo su žiurkėmis metu, kai žiurkių patinai 30 dienų vartojo </w:t>
      </w:r>
      <w:proofErr w:type="spellStart"/>
      <w:r>
        <w:rPr>
          <w:snapToGrid w:val="0"/>
          <w:szCs w:val="22"/>
        </w:rPr>
        <w:t>amlodipino</w:t>
      </w:r>
      <w:proofErr w:type="spellEnd"/>
      <w:r>
        <w:rPr>
          <w:snapToGrid w:val="0"/>
          <w:szCs w:val="22"/>
        </w:rPr>
        <w:t xml:space="preserve"> </w:t>
      </w:r>
      <w:proofErr w:type="spellStart"/>
      <w:r>
        <w:rPr>
          <w:snapToGrid w:val="0"/>
          <w:szCs w:val="22"/>
        </w:rPr>
        <w:t>besilato</w:t>
      </w:r>
      <w:proofErr w:type="spellEnd"/>
      <w:r>
        <w:rPr>
          <w:snapToGrid w:val="0"/>
          <w:szCs w:val="22"/>
        </w:rPr>
        <w:t xml:space="preserve"> dozę, panašią į žmonių vartojamą dozę, apskaičiavus mg/kg, buvo nustatyta mažesnė folikulus stimuliuojančio hormono ir testosterono koncentracija kraujo plazmoje, mažesnis spermos tankis ir subrendusių </w:t>
      </w:r>
      <w:proofErr w:type="spellStart"/>
      <w:r>
        <w:rPr>
          <w:snapToGrid w:val="0"/>
          <w:szCs w:val="22"/>
        </w:rPr>
        <w:t>spermatidų</w:t>
      </w:r>
      <w:proofErr w:type="spellEnd"/>
      <w:r>
        <w:rPr>
          <w:snapToGrid w:val="0"/>
          <w:szCs w:val="22"/>
        </w:rPr>
        <w:t xml:space="preserve"> bei </w:t>
      </w:r>
      <w:proofErr w:type="spellStart"/>
      <w:r>
        <w:rPr>
          <w:snapToGrid w:val="0"/>
          <w:szCs w:val="22"/>
        </w:rPr>
        <w:t>Sertoli</w:t>
      </w:r>
      <w:proofErr w:type="spellEnd"/>
      <w:r>
        <w:rPr>
          <w:snapToGrid w:val="0"/>
          <w:szCs w:val="22"/>
        </w:rPr>
        <w:t xml:space="preserve"> ląstelių kiekis.</w:t>
      </w:r>
    </w:p>
    <w:p w14:paraId="1B399D0D" w14:textId="77777777" w:rsidR="00D25008" w:rsidRDefault="00D25008">
      <w:pPr>
        <w:rPr>
          <w:szCs w:val="22"/>
          <w:lang w:eastAsia="lt-LT"/>
        </w:rPr>
      </w:pPr>
    </w:p>
    <w:p w14:paraId="0C4ABA24" w14:textId="77777777" w:rsidR="00D25008" w:rsidRDefault="00FE2A61">
      <w:pPr>
        <w:widowControl w:val="0"/>
        <w:rPr>
          <w:snapToGrid w:val="0"/>
          <w:szCs w:val="22"/>
        </w:rPr>
      </w:pPr>
      <w:r>
        <w:rPr>
          <w:i/>
          <w:snapToGrid w:val="0"/>
          <w:szCs w:val="22"/>
        </w:rPr>
        <w:t>Kancerogeninis ir mutageninis poveikis</w:t>
      </w:r>
    </w:p>
    <w:p w14:paraId="29D3B652" w14:textId="77777777" w:rsidR="00D25008" w:rsidRDefault="00FE2A61">
      <w:pPr>
        <w:widowControl w:val="0"/>
        <w:rPr>
          <w:snapToGrid w:val="0"/>
          <w:szCs w:val="22"/>
        </w:rPr>
      </w:pPr>
      <w:r>
        <w:rPr>
          <w:snapToGrid w:val="0"/>
          <w:szCs w:val="22"/>
        </w:rPr>
        <w:t xml:space="preserve">Žiurkėms ir pelėms, dvejus metus su ėdalu vartojusioms 0,5 mg/kg, 1,25 mg/kg ar 2,5 mg/kg </w:t>
      </w:r>
      <w:proofErr w:type="spellStart"/>
      <w:r>
        <w:rPr>
          <w:snapToGrid w:val="0"/>
          <w:szCs w:val="22"/>
        </w:rPr>
        <w:t>amlodipino</w:t>
      </w:r>
      <w:proofErr w:type="spellEnd"/>
      <w:r>
        <w:rPr>
          <w:snapToGrid w:val="0"/>
          <w:szCs w:val="22"/>
        </w:rPr>
        <w:t xml:space="preserve"> paros dozes, kancerogeninio poveikio nebuvo pastebėta. Didžiausia vartota dozė (pelėms ji apytiksliai atitiko didžiausią žmogui rekomenduojamą 10 mg klinikinę dozę, apskaičiavus mg/m</w:t>
      </w:r>
      <w:r>
        <w:rPr>
          <w:snapToGrid w:val="0"/>
          <w:szCs w:val="22"/>
          <w:vertAlign w:val="superscript"/>
        </w:rPr>
        <w:t xml:space="preserve">2 </w:t>
      </w:r>
      <w:r>
        <w:rPr>
          <w:snapToGrid w:val="0"/>
          <w:szCs w:val="22"/>
        </w:rPr>
        <w:t>kūno paviršiaus ploto, o žiurkėms ją 2 kartus* viršijo) buvo artima didžiausiai toleruojamai dozei pelėms, bet ne žiurkėms.</w:t>
      </w:r>
    </w:p>
    <w:p w14:paraId="3A0626F4" w14:textId="77777777" w:rsidR="00D25008" w:rsidRDefault="00D25008">
      <w:pPr>
        <w:widowControl w:val="0"/>
        <w:rPr>
          <w:snapToGrid w:val="0"/>
          <w:szCs w:val="22"/>
        </w:rPr>
      </w:pPr>
    </w:p>
    <w:p w14:paraId="19113D34" w14:textId="77777777" w:rsidR="00D25008" w:rsidRDefault="00FE2A61">
      <w:pPr>
        <w:widowControl w:val="0"/>
        <w:rPr>
          <w:snapToGrid w:val="0"/>
          <w:szCs w:val="22"/>
        </w:rPr>
      </w:pPr>
      <w:r>
        <w:rPr>
          <w:snapToGrid w:val="0"/>
          <w:szCs w:val="22"/>
        </w:rPr>
        <w:t>Mutageninio poveikio tyrimai su vaistiniu preparatu susijusio poveikio genų ar chromosomų lygmenyje neparodė.</w:t>
      </w:r>
    </w:p>
    <w:p w14:paraId="4565B035" w14:textId="77777777" w:rsidR="00D25008" w:rsidRDefault="00D25008">
      <w:pPr>
        <w:widowControl w:val="0"/>
        <w:rPr>
          <w:snapToGrid w:val="0"/>
          <w:szCs w:val="22"/>
        </w:rPr>
      </w:pPr>
    </w:p>
    <w:p w14:paraId="6925C38F" w14:textId="77777777" w:rsidR="00D25008" w:rsidRDefault="00FE2A61">
      <w:pPr>
        <w:widowControl w:val="0"/>
        <w:rPr>
          <w:snapToGrid w:val="0"/>
          <w:szCs w:val="22"/>
        </w:rPr>
      </w:pPr>
      <w:r>
        <w:rPr>
          <w:snapToGrid w:val="0"/>
          <w:szCs w:val="22"/>
        </w:rPr>
        <w:t>*Apskaičiuota pacientui, kurio kūno svoris yra 50 kg.</w:t>
      </w:r>
    </w:p>
    <w:p w14:paraId="68CC2AC6" w14:textId="77777777" w:rsidR="00D25008" w:rsidRDefault="00D25008"/>
    <w:p w14:paraId="7B91E85C" w14:textId="77777777" w:rsidR="00D25008" w:rsidRDefault="00D25008">
      <w:pPr>
        <w:ind w:left="567" w:hanging="567"/>
      </w:pPr>
    </w:p>
    <w:p w14:paraId="278C09FC" w14:textId="77777777" w:rsidR="00D25008" w:rsidRDefault="00FE2A61">
      <w:pPr>
        <w:ind w:left="567" w:hanging="567"/>
        <w:rPr>
          <w:b/>
          <w:caps/>
        </w:rPr>
      </w:pPr>
      <w:r>
        <w:rPr>
          <w:b/>
          <w:caps/>
        </w:rPr>
        <w:t>6.</w:t>
      </w:r>
      <w:r>
        <w:rPr>
          <w:b/>
          <w:caps/>
        </w:rPr>
        <w:tab/>
        <w:t>farmacinė informacija</w:t>
      </w:r>
    </w:p>
    <w:p w14:paraId="4267C610" w14:textId="77777777" w:rsidR="00D25008" w:rsidRDefault="00D25008">
      <w:pPr>
        <w:ind w:left="567" w:hanging="567"/>
      </w:pPr>
    </w:p>
    <w:p w14:paraId="22263286" w14:textId="77777777" w:rsidR="00D25008" w:rsidRDefault="00FE2A61">
      <w:pPr>
        <w:ind w:left="567" w:hanging="567"/>
        <w:rPr>
          <w:b/>
        </w:rPr>
      </w:pPr>
      <w:r>
        <w:rPr>
          <w:b/>
        </w:rPr>
        <w:t>6.1</w:t>
      </w:r>
      <w:r>
        <w:rPr>
          <w:b/>
        </w:rPr>
        <w:tab/>
        <w:t>Pagalbinių medžiagų sąrašas</w:t>
      </w:r>
    </w:p>
    <w:p w14:paraId="2E6D08EF" w14:textId="77777777" w:rsidR="00D25008" w:rsidRDefault="00D25008"/>
    <w:p w14:paraId="27FC92E4" w14:textId="77777777" w:rsidR="00D25008" w:rsidRDefault="00FE2A61">
      <w:pPr>
        <w:ind w:left="567" w:hanging="567"/>
      </w:pPr>
      <w:bookmarkStart w:id="33" w:name="_Hlk152758141"/>
      <w:proofErr w:type="spellStart"/>
      <w:r>
        <w:t>Povidonas</w:t>
      </w:r>
      <w:proofErr w:type="spellEnd"/>
      <w:r>
        <w:t xml:space="preserve"> K30</w:t>
      </w:r>
    </w:p>
    <w:p w14:paraId="1F9BF50B" w14:textId="77777777" w:rsidR="00D25008" w:rsidRDefault="00FE2A61">
      <w:pPr>
        <w:ind w:left="567" w:hanging="567"/>
      </w:pPr>
      <w:r>
        <w:t>Natrio hidroksidas</w:t>
      </w:r>
    </w:p>
    <w:p w14:paraId="3D147406" w14:textId="77777777" w:rsidR="00D25008" w:rsidRDefault="00FE2A61">
      <w:pPr>
        <w:ind w:left="567" w:hanging="567"/>
      </w:pPr>
      <w:r>
        <w:t xml:space="preserve">Laktozė </w:t>
      </w:r>
      <w:proofErr w:type="spellStart"/>
      <w:r>
        <w:t>monohidratas</w:t>
      </w:r>
      <w:proofErr w:type="spellEnd"/>
    </w:p>
    <w:p w14:paraId="54B3D987" w14:textId="77777777" w:rsidR="00D25008" w:rsidRDefault="00FE2A61">
      <w:pPr>
        <w:ind w:left="567" w:hanging="567"/>
      </w:pPr>
      <w:proofErr w:type="spellStart"/>
      <w:r>
        <w:t>Megliuminas</w:t>
      </w:r>
      <w:proofErr w:type="spellEnd"/>
    </w:p>
    <w:p w14:paraId="12ACF799" w14:textId="77777777" w:rsidR="00D25008" w:rsidRDefault="00FE2A61">
      <w:pPr>
        <w:ind w:left="567" w:hanging="567"/>
      </w:pPr>
      <w:proofErr w:type="spellStart"/>
      <w:r>
        <w:t>Krospovidonas</w:t>
      </w:r>
      <w:proofErr w:type="spellEnd"/>
    </w:p>
    <w:p w14:paraId="10A35D1C" w14:textId="77777777" w:rsidR="00D25008" w:rsidRDefault="00FE2A61">
      <w:pPr>
        <w:ind w:left="567" w:hanging="567"/>
      </w:pPr>
      <w:proofErr w:type="spellStart"/>
      <w:r>
        <w:t>Mikrokristalinė</w:t>
      </w:r>
      <w:proofErr w:type="spellEnd"/>
      <w:r>
        <w:t xml:space="preserve"> celiuliozė</w:t>
      </w:r>
    </w:p>
    <w:p w14:paraId="6637BB4F" w14:textId="77777777" w:rsidR="00D25008" w:rsidRDefault="00FE2A61">
      <w:pPr>
        <w:ind w:left="567" w:hanging="567"/>
      </w:pPr>
      <w:r>
        <w:t xml:space="preserve">Natrio </w:t>
      </w:r>
      <w:proofErr w:type="spellStart"/>
      <w:r>
        <w:t>stearilfumaratas</w:t>
      </w:r>
      <w:proofErr w:type="spellEnd"/>
    </w:p>
    <w:p w14:paraId="0319B220" w14:textId="77777777" w:rsidR="00D25008" w:rsidRDefault="00FE2A61">
      <w:pPr>
        <w:ind w:left="567" w:hanging="567"/>
      </w:pPr>
      <w:proofErr w:type="spellStart"/>
      <w:r>
        <w:t>Pregelifikuotas</w:t>
      </w:r>
      <w:proofErr w:type="spellEnd"/>
      <w:r>
        <w:t xml:space="preserve"> krakmolas</w:t>
      </w:r>
    </w:p>
    <w:p w14:paraId="0BD322BC" w14:textId="77777777" w:rsidR="00D25008" w:rsidRDefault="00FE2A61">
      <w:pPr>
        <w:ind w:left="567" w:hanging="567"/>
      </w:pPr>
      <w:proofErr w:type="spellStart"/>
      <w:r>
        <w:t>Karboksimetilkrakmolo</w:t>
      </w:r>
      <w:proofErr w:type="spellEnd"/>
      <w:r>
        <w:t xml:space="preserve"> A natrio druska</w:t>
      </w:r>
    </w:p>
    <w:p w14:paraId="3DE8471D" w14:textId="77777777" w:rsidR="00D25008" w:rsidRDefault="00FE2A61">
      <w:pPr>
        <w:ind w:left="567" w:hanging="567"/>
      </w:pPr>
      <w:r>
        <w:t xml:space="preserve">Magnio </w:t>
      </w:r>
      <w:proofErr w:type="spellStart"/>
      <w:r>
        <w:t>stearatas</w:t>
      </w:r>
      <w:proofErr w:type="spellEnd"/>
    </w:p>
    <w:p w14:paraId="12FCF294" w14:textId="77777777" w:rsidR="00D25008" w:rsidRDefault="00FE2A61">
      <w:pPr>
        <w:ind w:left="567" w:hanging="567"/>
      </w:pPr>
      <w:r>
        <w:t>Koloidinis bevandenis silicio dioksidas</w:t>
      </w:r>
    </w:p>
    <w:p w14:paraId="0CF2D429" w14:textId="77777777" w:rsidR="00D25008" w:rsidRDefault="00FE2A61">
      <w:r>
        <w:t>Geltonasis geležies oksidas (E172) (</w:t>
      </w:r>
      <w:r>
        <w:rPr>
          <w:i/>
          <w:iCs/>
        </w:rPr>
        <w:t xml:space="preserve">tik </w:t>
      </w:r>
      <w:r>
        <w:rPr>
          <w:i/>
          <w:iCs/>
          <w:noProof/>
          <w:szCs w:val="22"/>
        </w:rPr>
        <w:t>40 mg/5 mg/12,5 mg, 80 mg/10 mg/12,5 mg ir 80 mg/10 mg/25 mg)</w:t>
      </w:r>
    </w:p>
    <w:p w14:paraId="5AC1EBCE" w14:textId="77777777" w:rsidR="00D25008" w:rsidRDefault="00FE2A61">
      <w:pPr>
        <w:ind w:left="567" w:hanging="567"/>
      </w:pPr>
      <w:r>
        <w:t xml:space="preserve">Raudonasis geležies oksidas (E172) </w:t>
      </w:r>
      <w:r>
        <w:rPr>
          <w:i/>
          <w:iCs/>
          <w:noProof/>
          <w:szCs w:val="22"/>
        </w:rPr>
        <w:t>(tik 80 mg/5 mg/12,5 mg ir 80 mg/10 mg/12,5 mg)</w:t>
      </w:r>
    </w:p>
    <w:bookmarkEnd w:id="33"/>
    <w:p w14:paraId="5C801F8A" w14:textId="77777777" w:rsidR="00D25008" w:rsidRDefault="00D25008">
      <w:pPr>
        <w:ind w:left="567" w:hanging="567"/>
      </w:pPr>
    </w:p>
    <w:p w14:paraId="3A46EBF1" w14:textId="77777777" w:rsidR="00D25008" w:rsidRDefault="00FE2A61">
      <w:pPr>
        <w:ind w:left="567" w:hanging="567"/>
        <w:rPr>
          <w:b/>
        </w:rPr>
      </w:pPr>
      <w:r>
        <w:rPr>
          <w:b/>
        </w:rPr>
        <w:t>6.2</w:t>
      </w:r>
      <w:r>
        <w:rPr>
          <w:b/>
        </w:rPr>
        <w:tab/>
        <w:t>Nesuderinamumas</w:t>
      </w:r>
    </w:p>
    <w:p w14:paraId="4DD64B3A" w14:textId="77777777" w:rsidR="00D25008" w:rsidRDefault="00D25008">
      <w:pPr>
        <w:ind w:left="567" w:hanging="567"/>
      </w:pPr>
    </w:p>
    <w:p w14:paraId="3110BF45" w14:textId="77777777" w:rsidR="00D25008" w:rsidRDefault="00FE2A61">
      <w:pPr>
        <w:ind w:left="567" w:hanging="567"/>
      </w:pPr>
      <w:r>
        <w:t>Duomenys nebūtini.</w:t>
      </w:r>
    </w:p>
    <w:p w14:paraId="6A8693AE" w14:textId="77777777" w:rsidR="00D25008" w:rsidRDefault="00D25008">
      <w:pPr>
        <w:ind w:left="567" w:hanging="567"/>
      </w:pPr>
    </w:p>
    <w:p w14:paraId="47DC5D57" w14:textId="77777777" w:rsidR="00D25008" w:rsidRDefault="00FE2A61">
      <w:pPr>
        <w:ind w:left="567" w:hanging="567"/>
        <w:rPr>
          <w:b/>
        </w:rPr>
      </w:pPr>
      <w:r>
        <w:rPr>
          <w:b/>
        </w:rPr>
        <w:t>6.3</w:t>
      </w:r>
      <w:r>
        <w:rPr>
          <w:b/>
        </w:rPr>
        <w:tab/>
        <w:t>Tinkamumo laikas</w:t>
      </w:r>
    </w:p>
    <w:p w14:paraId="6BF5B85B" w14:textId="77777777" w:rsidR="00D25008" w:rsidRDefault="00D25008">
      <w:pPr>
        <w:ind w:left="567" w:hanging="567"/>
      </w:pPr>
    </w:p>
    <w:p w14:paraId="4CAE6E86" w14:textId="77777777" w:rsidR="00D25008" w:rsidRDefault="00FE2A61">
      <w:pPr>
        <w:ind w:left="567" w:hanging="567"/>
      </w:pPr>
      <w:r>
        <w:t>3 metai.</w:t>
      </w:r>
    </w:p>
    <w:p w14:paraId="5AD2E112" w14:textId="77777777" w:rsidR="00D25008" w:rsidRDefault="00D25008">
      <w:pPr>
        <w:ind w:left="567" w:hanging="567"/>
      </w:pPr>
    </w:p>
    <w:p w14:paraId="671159EF" w14:textId="77777777" w:rsidR="00D25008" w:rsidRDefault="00FE2A61">
      <w:pPr>
        <w:ind w:left="567" w:hanging="567"/>
        <w:rPr>
          <w:b/>
        </w:rPr>
      </w:pPr>
      <w:r>
        <w:rPr>
          <w:b/>
        </w:rPr>
        <w:t>6.4</w:t>
      </w:r>
      <w:r>
        <w:rPr>
          <w:b/>
        </w:rPr>
        <w:tab/>
        <w:t>Specialios laikymo sąlygos</w:t>
      </w:r>
    </w:p>
    <w:p w14:paraId="1FB42355" w14:textId="77777777" w:rsidR="00D25008" w:rsidRDefault="00D25008">
      <w:pPr>
        <w:rPr>
          <w:i/>
          <w:iCs/>
        </w:rPr>
      </w:pPr>
    </w:p>
    <w:p w14:paraId="5CBC30DE" w14:textId="77777777" w:rsidR="00D25008" w:rsidRDefault="00FE2A61">
      <w:pPr>
        <w:ind w:left="567" w:hanging="567"/>
      </w:pPr>
      <w:r>
        <w:t>Laikyti gamintojo pakuotėje, kad vaistinis preparatas būtų apsaugotas nuo šviesos ir drėgmės.</w:t>
      </w:r>
    </w:p>
    <w:p w14:paraId="3AABAF4F" w14:textId="77777777" w:rsidR="00D25008" w:rsidRDefault="00FE2A61">
      <w:pPr>
        <w:ind w:left="567" w:hanging="567"/>
      </w:pPr>
      <w:r>
        <w:t>Šio vaistinio preparato laikymui specialių temperatūros sąlygų nereikalaujama.</w:t>
      </w:r>
    </w:p>
    <w:p w14:paraId="67712A6F" w14:textId="77777777" w:rsidR="00D25008" w:rsidRDefault="00D25008">
      <w:pPr>
        <w:ind w:left="567" w:hanging="567"/>
        <w:rPr>
          <w:u w:val="single"/>
        </w:rPr>
      </w:pPr>
    </w:p>
    <w:p w14:paraId="7B75E220" w14:textId="77777777" w:rsidR="00D25008" w:rsidRDefault="00FE2A61">
      <w:pPr>
        <w:ind w:left="567" w:hanging="567"/>
        <w:rPr>
          <w:b/>
        </w:rPr>
      </w:pPr>
      <w:r>
        <w:rPr>
          <w:b/>
        </w:rPr>
        <w:t>6.5</w:t>
      </w:r>
      <w:r>
        <w:rPr>
          <w:b/>
        </w:rPr>
        <w:tab/>
      </w:r>
      <w:proofErr w:type="spellStart"/>
      <w:r>
        <w:rPr>
          <w:b/>
        </w:rPr>
        <w:t>Talpyklės</w:t>
      </w:r>
      <w:proofErr w:type="spellEnd"/>
      <w:r>
        <w:rPr>
          <w:b/>
        </w:rPr>
        <w:t xml:space="preserve"> pobūdis ir jos turinys</w:t>
      </w:r>
    </w:p>
    <w:p w14:paraId="7470E4DA" w14:textId="77777777" w:rsidR="00D25008" w:rsidRDefault="00D25008"/>
    <w:p w14:paraId="2A086985" w14:textId="77777777" w:rsidR="00D25008" w:rsidRDefault="00FE2A61">
      <w:pPr>
        <w:ind w:left="567" w:hanging="567"/>
        <w:rPr>
          <w:szCs w:val="22"/>
        </w:rPr>
      </w:pPr>
      <w:r>
        <w:t xml:space="preserve">Lizdinės plokštelės OPA/aliuminio/PVC/aliuminio: </w:t>
      </w:r>
      <w:r>
        <w:rPr>
          <w:szCs w:val="22"/>
        </w:rPr>
        <w:t>28, 30, 56, 60, 84 arba 90 tablečių dėžutėje.</w:t>
      </w:r>
    </w:p>
    <w:p w14:paraId="1FC4E391" w14:textId="77777777" w:rsidR="00D25008" w:rsidRDefault="00FE2A61">
      <w:pPr>
        <w:rPr>
          <w:szCs w:val="22"/>
        </w:rPr>
      </w:pPr>
      <w:r>
        <w:t xml:space="preserve">Lizdinės plokštelės OPA/aliuminio/PVC/aliuminio kalendorinėje pakuotėje: </w:t>
      </w:r>
      <w:r>
        <w:rPr>
          <w:szCs w:val="22"/>
        </w:rPr>
        <w:t>28, 56 arba 84 tabletės dėžutėje.</w:t>
      </w:r>
    </w:p>
    <w:p w14:paraId="5F5AF9C1" w14:textId="77777777" w:rsidR="00D25008" w:rsidRDefault="00D25008">
      <w:pPr>
        <w:ind w:left="567" w:hanging="567"/>
      </w:pPr>
    </w:p>
    <w:p w14:paraId="402C5747" w14:textId="77777777" w:rsidR="00D25008" w:rsidRDefault="00FE2A61">
      <w:pPr>
        <w:ind w:left="567" w:hanging="567"/>
      </w:pPr>
      <w:r>
        <w:t>Gali būti tiekiamos ne visų dydžių pakuotės.</w:t>
      </w:r>
    </w:p>
    <w:p w14:paraId="001D036E" w14:textId="77777777" w:rsidR="00D25008" w:rsidRDefault="00D25008">
      <w:pPr>
        <w:ind w:left="567" w:hanging="567"/>
      </w:pPr>
    </w:p>
    <w:p w14:paraId="7419551F" w14:textId="77777777" w:rsidR="00D25008" w:rsidRDefault="00FE2A61">
      <w:pPr>
        <w:ind w:left="567" w:hanging="567"/>
        <w:outlineLvl w:val="0"/>
        <w:rPr>
          <w:noProof/>
        </w:rPr>
      </w:pPr>
      <w:r>
        <w:rPr>
          <w:b/>
        </w:rPr>
        <w:t>6.6</w:t>
      </w:r>
      <w:r>
        <w:rPr>
          <w:b/>
        </w:rPr>
        <w:tab/>
      </w:r>
      <w:r>
        <w:rPr>
          <w:rStyle w:val="Grietas"/>
          <w:color w:val="000000"/>
        </w:rPr>
        <w:t>Specialūs reikalavimai atliekoms tvarkyti</w:t>
      </w:r>
    </w:p>
    <w:p w14:paraId="0AE36F04" w14:textId="77777777" w:rsidR="00D25008" w:rsidRDefault="00D25008">
      <w:pPr>
        <w:ind w:left="567" w:hanging="567"/>
        <w:rPr>
          <w:bCs/>
        </w:rPr>
      </w:pPr>
    </w:p>
    <w:p w14:paraId="5226ABC4" w14:textId="77777777" w:rsidR="00D25008" w:rsidRDefault="00FE2A61">
      <w:pPr>
        <w:ind w:left="567" w:hanging="567"/>
      </w:pPr>
      <w:r>
        <w:rPr>
          <w:noProof/>
          <w:snapToGrid w:val="0"/>
        </w:rPr>
        <w:t>Specialių reikalavimų atliekoms tvarkyti nėra</w:t>
      </w:r>
      <w:r>
        <w:t>.</w:t>
      </w:r>
    </w:p>
    <w:p w14:paraId="30986AB3" w14:textId="77777777" w:rsidR="00D25008" w:rsidRDefault="00D25008">
      <w:pPr>
        <w:ind w:left="567" w:hanging="567"/>
      </w:pPr>
    </w:p>
    <w:p w14:paraId="62422F77" w14:textId="77777777" w:rsidR="00D25008" w:rsidRDefault="00D25008">
      <w:pPr>
        <w:ind w:left="567" w:hanging="567"/>
      </w:pPr>
    </w:p>
    <w:p w14:paraId="2023CB4A" w14:textId="77777777" w:rsidR="00D25008" w:rsidRDefault="00FE2A61">
      <w:pPr>
        <w:ind w:left="567" w:hanging="567"/>
        <w:rPr>
          <w:b/>
          <w:caps/>
        </w:rPr>
      </w:pPr>
      <w:r>
        <w:rPr>
          <w:b/>
          <w:caps/>
        </w:rPr>
        <w:t>7.</w:t>
      </w:r>
      <w:r>
        <w:rPr>
          <w:b/>
          <w:caps/>
        </w:rPr>
        <w:tab/>
      </w:r>
      <w:r>
        <w:rPr>
          <w:b/>
          <w:caps/>
          <w:noProof/>
        </w:rPr>
        <w:t>REGISTRUOTOJAS</w:t>
      </w:r>
    </w:p>
    <w:p w14:paraId="183A8E4E" w14:textId="77777777" w:rsidR="00D25008" w:rsidRDefault="00D25008"/>
    <w:p w14:paraId="19721790" w14:textId="77777777" w:rsidR="00D25008" w:rsidRDefault="00FE2A61">
      <w:pPr>
        <w:widowControl w:val="0"/>
        <w:tabs>
          <w:tab w:val="left" w:pos="567"/>
        </w:tabs>
        <w:rPr>
          <w:szCs w:val="20"/>
          <w:lang w:eastAsia="sl-SI"/>
        </w:rPr>
      </w:pPr>
      <w:r>
        <w:rPr>
          <w:szCs w:val="20"/>
          <w:lang w:eastAsia="sl-SI"/>
        </w:rPr>
        <w:t>KRKA</w:t>
      </w:r>
      <w:r>
        <w:rPr>
          <w:snapToGrid w:val="0"/>
          <w:szCs w:val="22"/>
        </w:rPr>
        <w:t xml:space="preserve">, </w:t>
      </w:r>
      <w:proofErr w:type="spellStart"/>
      <w:r>
        <w:rPr>
          <w:snapToGrid w:val="0"/>
          <w:szCs w:val="22"/>
        </w:rPr>
        <w:t>d.d</w:t>
      </w:r>
      <w:proofErr w:type="spellEnd"/>
      <w:r>
        <w:rPr>
          <w:snapToGrid w:val="0"/>
          <w:szCs w:val="22"/>
        </w:rPr>
        <w:t>., Novo mesto</w:t>
      </w:r>
    </w:p>
    <w:p w14:paraId="48FE9EE4" w14:textId="77777777" w:rsidR="00D25008" w:rsidRDefault="00FE2A61">
      <w:pPr>
        <w:widowControl w:val="0"/>
        <w:tabs>
          <w:tab w:val="left" w:pos="567"/>
        </w:tabs>
        <w:rPr>
          <w:szCs w:val="20"/>
          <w:lang w:eastAsia="sl-SI"/>
        </w:rPr>
      </w:pPr>
      <w:proofErr w:type="spellStart"/>
      <w:r>
        <w:rPr>
          <w:snapToGrid w:val="0"/>
          <w:szCs w:val="22"/>
        </w:rPr>
        <w:t>Šmarješka</w:t>
      </w:r>
      <w:proofErr w:type="spellEnd"/>
      <w:r>
        <w:rPr>
          <w:snapToGrid w:val="0"/>
          <w:szCs w:val="22"/>
        </w:rPr>
        <w:t xml:space="preserve"> </w:t>
      </w:r>
      <w:proofErr w:type="spellStart"/>
      <w:r>
        <w:rPr>
          <w:snapToGrid w:val="0"/>
          <w:szCs w:val="22"/>
        </w:rPr>
        <w:t>cesta</w:t>
      </w:r>
      <w:proofErr w:type="spellEnd"/>
      <w:r>
        <w:rPr>
          <w:snapToGrid w:val="0"/>
          <w:szCs w:val="22"/>
        </w:rPr>
        <w:t xml:space="preserve"> 6</w:t>
      </w:r>
    </w:p>
    <w:p w14:paraId="6B2277C7" w14:textId="77777777" w:rsidR="00D25008" w:rsidRDefault="00FE2A61">
      <w:pPr>
        <w:widowControl w:val="0"/>
        <w:tabs>
          <w:tab w:val="left" w:pos="567"/>
        </w:tabs>
        <w:rPr>
          <w:szCs w:val="20"/>
          <w:lang w:eastAsia="sl-SI"/>
        </w:rPr>
      </w:pPr>
      <w:r>
        <w:rPr>
          <w:snapToGrid w:val="0"/>
          <w:szCs w:val="22"/>
        </w:rPr>
        <w:t>8501 Novo mesto</w:t>
      </w:r>
    </w:p>
    <w:p w14:paraId="2459FD2A" w14:textId="77777777" w:rsidR="00D25008" w:rsidRDefault="00FE2A61">
      <w:pPr>
        <w:widowControl w:val="0"/>
        <w:tabs>
          <w:tab w:val="left" w:pos="567"/>
        </w:tabs>
        <w:rPr>
          <w:snapToGrid w:val="0"/>
          <w:szCs w:val="22"/>
        </w:rPr>
      </w:pPr>
      <w:r>
        <w:rPr>
          <w:snapToGrid w:val="0"/>
          <w:szCs w:val="22"/>
        </w:rPr>
        <w:t>Slovėnija</w:t>
      </w:r>
    </w:p>
    <w:p w14:paraId="2B51EF14" w14:textId="77777777" w:rsidR="00D25008" w:rsidRDefault="00D25008">
      <w:pPr>
        <w:ind w:left="567" w:hanging="567"/>
      </w:pPr>
    </w:p>
    <w:p w14:paraId="014D9C4D" w14:textId="77777777" w:rsidR="00D25008" w:rsidRDefault="00D25008">
      <w:pPr>
        <w:ind w:left="567" w:hanging="567"/>
      </w:pPr>
    </w:p>
    <w:p w14:paraId="1971D4C5" w14:textId="77777777" w:rsidR="00D25008" w:rsidRDefault="00FE2A61">
      <w:pPr>
        <w:ind w:left="567" w:hanging="567"/>
        <w:rPr>
          <w:b/>
          <w:caps/>
        </w:rPr>
      </w:pPr>
      <w:r>
        <w:rPr>
          <w:b/>
          <w:caps/>
        </w:rPr>
        <w:t>8.</w:t>
      </w:r>
      <w:r>
        <w:rPr>
          <w:b/>
          <w:caps/>
        </w:rPr>
        <w:tab/>
      </w:r>
      <w:r>
        <w:rPr>
          <w:b/>
          <w:caps/>
          <w:noProof/>
        </w:rPr>
        <w:t xml:space="preserve">REGISTRACIJOS PAŽYMĖJIMO </w:t>
      </w:r>
      <w:r>
        <w:rPr>
          <w:b/>
          <w:caps/>
        </w:rPr>
        <w:t xml:space="preserve">numeris </w:t>
      </w:r>
      <w:r>
        <w:rPr>
          <w:b/>
          <w:caps/>
          <w:noProof/>
        </w:rPr>
        <w:t>(-IAI)</w:t>
      </w:r>
    </w:p>
    <w:p w14:paraId="3EFC5625" w14:textId="77777777" w:rsidR="00D25008" w:rsidRDefault="00D25008">
      <w:pPr>
        <w:rPr>
          <w: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25008" w14:paraId="08578418" w14:textId="77777777">
        <w:tc>
          <w:tcPr>
            <w:tcW w:w="4530" w:type="dxa"/>
          </w:tcPr>
          <w:p w14:paraId="7181A0D8" w14:textId="77777777" w:rsidR="00D25008" w:rsidRDefault="00FE2A61">
            <w:pPr>
              <w:rPr>
                <w:u w:val="single"/>
              </w:rPr>
            </w:pPr>
            <w:r>
              <w:rPr>
                <w:u w:val="single"/>
              </w:rPr>
              <w:t>40 mg/ 5 mg/12,5 mg</w:t>
            </w:r>
          </w:p>
          <w:p w14:paraId="15046712" w14:textId="77777777" w:rsidR="00D25008" w:rsidRDefault="00FE2A61">
            <w:pPr>
              <w:ind w:left="-103" w:right="-107"/>
              <w:rPr>
                <w:u w:val="single"/>
              </w:rPr>
            </w:pPr>
            <w:r>
              <w:rPr>
                <w:u w:val="single"/>
              </w:rPr>
              <w:t>Lizdinė plokštelė:</w:t>
            </w:r>
          </w:p>
          <w:p w14:paraId="64F2E6E4" w14:textId="77777777" w:rsidR="00D25008" w:rsidRDefault="00FE2A61">
            <w:pPr>
              <w:ind w:left="-103" w:right="-107"/>
            </w:pPr>
            <w:r>
              <w:t>LT/1/24/5345/001 – N28</w:t>
            </w:r>
          </w:p>
          <w:p w14:paraId="5590B25C" w14:textId="77777777" w:rsidR="00D25008" w:rsidRDefault="00FE2A61">
            <w:pPr>
              <w:ind w:left="-103" w:right="-107"/>
            </w:pPr>
            <w:r>
              <w:t>LT/1/24/5345/002 – N30</w:t>
            </w:r>
          </w:p>
          <w:p w14:paraId="2B176517" w14:textId="77777777" w:rsidR="00D25008" w:rsidRDefault="00FE2A61">
            <w:pPr>
              <w:ind w:left="-103" w:right="-107"/>
            </w:pPr>
            <w:r>
              <w:t>LT/1/24/5345/003 – N56</w:t>
            </w:r>
          </w:p>
          <w:p w14:paraId="3B8DEBE3" w14:textId="77777777" w:rsidR="00D25008" w:rsidRDefault="00FE2A61">
            <w:pPr>
              <w:ind w:left="-103" w:right="-107"/>
            </w:pPr>
            <w:r>
              <w:t>LT/1/24/5345/004 – N60</w:t>
            </w:r>
          </w:p>
          <w:p w14:paraId="4E9F36B6" w14:textId="77777777" w:rsidR="00D25008" w:rsidRDefault="00FE2A61">
            <w:pPr>
              <w:ind w:left="-103" w:right="-107"/>
            </w:pPr>
            <w:r>
              <w:t>LT/1/24/5345/005 – N84</w:t>
            </w:r>
          </w:p>
          <w:p w14:paraId="4D02B663" w14:textId="77777777" w:rsidR="00D25008" w:rsidRDefault="00FE2A61">
            <w:pPr>
              <w:ind w:left="-103" w:right="-107"/>
            </w:pPr>
            <w:r>
              <w:t>LT/1/24/5345/006 – N90</w:t>
            </w:r>
          </w:p>
          <w:p w14:paraId="7C1BDEBC" w14:textId="77777777" w:rsidR="00D25008" w:rsidRDefault="00FE2A61">
            <w:pPr>
              <w:ind w:left="-103" w:right="-107"/>
              <w:rPr>
                <w:u w:val="single"/>
              </w:rPr>
            </w:pPr>
            <w:r>
              <w:rPr>
                <w:u w:val="single"/>
              </w:rPr>
              <w:t>Lizdinė plokštelė (kalendorinė pakuotė):</w:t>
            </w:r>
          </w:p>
          <w:p w14:paraId="543CCC47" w14:textId="77777777" w:rsidR="00D25008" w:rsidRDefault="00FE2A61">
            <w:pPr>
              <w:ind w:left="-103" w:right="-107"/>
            </w:pPr>
            <w:r>
              <w:t>LT/1/24/5345/007 – N28</w:t>
            </w:r>
          </w:p>
          <w:p w14:paraId="3B75B4E8" w14:textId="77777777" w:rsidR="00D25008" w:rsidRDefault="00FE2A61">
            <w:pPr>
              <w:ind w:left="-103" w:right="-107"/>
            </w:pPr>
            <w:r>
              <w:t>LT/1/24/5345/008 – N56</w:t>
            </w:r>
          </w:p>
          <w:p w14:paraId="2DA9FE73" w14:textId="77777777" w:rsidR="00D25008" w:rsidRDefault="00FE2A61">
            <w:pPr>
              <w:spacing w:after="120"/>
              <w:ind w:left="-102" w:right="-108"/>
              <w:rPr>
                <w:i/>
              </w:rPr>
            </w:pPr>
            <w:r>
              <w:t>LT/1/24/5345/009 – N84</w:t>
            </w:r>
          </w:p>
        </w:tc>
        <w:tc>
          <w:tcPr>
            <w:tcW w:w="4530" w:type="dxa"/>
          </w:tcPr>
          <w:p w14:paraId="6D935745" w14:textId="77777777" w:rsidR="00D25008" w:rsidRDefault="00FE2A61">
            <w:pPr>
              <w:rPr>
                <w:u w:val="single"/>
              </w:rPr>
            </w:pPr>
            <w:r>
              <w:rPr>
                <w:u w:val="single"/>
              </w:rPr>
              <w:t>80 mg/ 5 mg/12,5 mg</w:t>
            </w:r>
          </w:p>
          <w:p w14:paraId="4887D592" w14:textId="77777777" w:rsidR="00D25008" w:rsidRDefault="00FE2A61">
            <w:pPr>
              <w:ind w:left="-103" w:right="-107"/>
            </w:pPr>
            <w:r>
              <w:rPr>
                <w:u w:val="single"/>
              </w:rPr>
              <w:t>Lizdinė plokštelė</w:t>
            </w:r>
            <w:r>
              <w:t>:</w:t>
            </w:r>
          </w:p>
          <w:p w14:paraId="1E192446" w14:textId="77777777" w:rsidR="00D25008" w:rsidRDefault="00FE2A61">
            <w:pPr>
              <w:ind w:left="-103" w:right="-107"/>
            </w:pPr>
            <w:r>
              <w:t>LT/1/24/5346/001 – N28</w:t>
            </w:r>
          </w:p>
          <w:p w14:paraId="459149ED" w14:textId="77777777" w:rsidR="00D25008" w:rsidRDefault="00FE2A61">
            <w:pPr>
              <w:ind w:left="-103" w:right="-107"/>
            </w:pPr>
            <w:r>
              <w:t>LT/1/24/5346/002 – N30</w:t>
            </w:r>
          </w:p>
          <w:p w14:paraId="71CDE149" w14:textId="77777777" w:rsidR="00D25008" w:rsidRDefault="00FE2A61">
            <w:pPr>
              <w:ind w:left="-103" w:right="-107"/>
            </w:pPr>
            <w:r>
              <w:t>LT/1/24/5346/003 – N56</w:t>
            </w:r>
          </w:p>
          <w:p w14:paraId="0248A5B5" w14:textId="77777777" w:rsidR="00D25008" w:rsidRDefault="00FE2A61">
            <w:pPr>
              <w:ind w:left="-103" w:right="-107"/>
            </w:pPr>
            <w:r>
              <w:t>LT/1/24/5346/004 – N60</w:t>
            </w:r>
          </w:p>
          <w:p w14:paraId="3809D1B8" w14:textId="77777777" w:rsidR="00D25008" w:rsidRDefault="00FE2A61">
            <w:pPr>
              <w:ind w:left="-103" w:right="-107"/>
            </w:pPr>
            <w:r>
              <w:t>LT/1/24/5346/005 – N84</w:t>
            </w:r>
          </w:p>
          <w:p w14:paraId="6BBF45D4" w14:textId="77777777" w:rsidR="00D25008" w:rsidRDefault="00FE2A61">
            <w:pPr>
              <w:ind w:left="-103" w:right="-107"/>
            </w:pPr>
            <w:r>
              <w:t>LT/1/24/5346/006 – N90</w:t>
            </w:r>
          </w:p>
          <w:p w14:paraId="23E6B986" w14:textId="77777777" w:rsidR="00D25008" w:rsidRDefault="00FE2A61">
            <w:pPr>
              <w:ind w:left="-103" w:right="-107"/>
              <w:rPr>
                <w:u w:val="single"/>
              </w:rPr>
            </w:pPr>
            <w:r>
              <w:rPr>
                <w:u w:val="single"/>
              </w:rPr>
              <w:t>Lizdinė plokštelė (kalendorinė pakuotė):</w:t>
            </w:r>
          </w:p>
          <w:p w14:paraId="6568058C" w14:textId="77777777" w:rsidR="00D25008" w:rsidRDefault="00FE2A61">
            <w:pPr>
              <w:ind w:left="-103" w:right="-107"/>
            </w:pPr>
            <w:r>
              <w:t>LT/1/24/5346/007 – N28</w:t>
            </w:r>
          </w:p>
          <w:p w14:paraId="62A9AAB8" w14:textId="77777777" w:rsidR="00D25008" w:rsidRDefault="00FE2A61">
            <w:pPr>
              <w:ind w:left="-103" w:right="-107"/>
            </w:pPr>
            <w:r>
              <w:t>LT/1/24/5346/008 – N56</w:t>
            </w:r>
          </w:p>
          <w:p w14:paraId="22072D09" w14:textId="77777777" w:rsidR="00D25008" w:rsidRDefault="00FE2A61">
            <w:pPr>
              <w:ind w:left="-103" w:right="-107"/>
              <w:rPr>
                <w:i/>
              </w:rPr>
            </w:pPr>
            <w:r>
              <w:t>LT/1/24/5346/009 – N84</w:t>
            </w:r>
          </w:p>
        </w:tc>
      </w:tr>
      <w:tr w:rsidR="00D25008" w14:paraId="54C5F327" w14:textId="77777777">
        <w:tc>
          <w:tcPr>
            <w:tcW w:w="4530" w:type="dxa"/>
          </w:tcPr>
          <w:p w14:paraId="20734DAF" w14:textId="77777777" w:rsidR="00D25008" w:rsidRDefault="00FE2A61">
            <w:pPr>
              <w:ind w:left="-103" w:right="-107"/>
              <w:rPr>
                <w:u w:val="single"/>
              </w:rPr>
            </w:pPr>
            <w:r>
              <w:rPr>
                <w:u w:val="single"/>
              </w:rPr>
              <w:t xml:space="preserve">80 mg/ 10 mg/12,5 mg </w:t>
            </w:r>
          </w:p>
          <w:p w14:paraId="0277F890" w14:textId="77777777" w:rsidR="00D25008" w:rsidRDefault="00FE2A61">
            <w:pPr>
              <w:ind w:left="-103" w:right="-107"/>
              <w:rPr>
                <w:u w:val="single"/>
              </w:rPr>
            </w:pPr>
            <w:r>
              <w:rPr>
                <w:u w:val="single"/>
              </w:rPr>
              <w:t>Lizdinė plokštelė:</w:t>
            </w:r>
          </w:p>
          <w:p w14:paraId="4F875273" w14:textId="77777777" w:rsidR="00D25008" w:rsidRDefault="00FE2A61">
            <w:pPr>
              <w:ind w:left="-103" w:right="-107"/>
            </w:pPr>
            <w:r>
              <w:t>LT/1/24/5347/001 – N28</w:t>
            </w:r>
          </w:p>
          <w:p w14:paraId="1572F114" w14:textId="77777777" w:rsidR="00D25008" w:rsidRDefault="00FE2A61">
            <w:pPr>
              <w:ind w:left="-103" w:right="-107"/>
            </w:pPr>
            <w:r>
              <w:t>LT/1/24/5347/002 – N30</w:t>
            </w:r>
          </w:p>
          <w:p w14:paraId="75975AF0" w14:textId="77777777" w:rsidR="00D25008" w:rsidRDefault="00FE2A61">
            <w:pPr>
              <w:ind w:left="-103" w:right="-107"/>
            </w:pPr>
            <w:r>
              <w:t>LT/1/24/5347/003 – N56</w:t>
            </w:r>
          </w:p>
          <w:p w14:paraId="4A889EC0" w14:textId="77777777" w:rsidR="00D25008" w:rsidRDefault="00FE2A61">
            <w:pPr>
              <w:ind w:left="-103" w:right="-107"/>
            </w:pPr>
            <w:r>
              <w:t>LT/1/24/5347/004 – N60</w:t>
            </w:r>
          </w:p>
          <w:p w14:paraId="763F0570" w14:textId="77777777" w:rsidR="00D25008" w:rsidRDefault="00FE2A61">
            <w:pPr>
              <w:ind w:left="-103" w:right="-107"/>
            </w:pPr>
            <w:r>
              <w:t>LT/1/24/5347/005 – N84</w:t>
            </w:r>
          </w:p>
          <w:p w14:paraId="6AC083C9" w14:textId="77777777" w:rsidR="00D25008" w:rsidRDefault="00FE2A61">
            <w:pPr>
              <w:ind w:left="-103" w:right="-107"/>
            </w:pPr>
            <w:r>
              <w:t>LT/1/24/5347/006 – N90</w:t>
            </w:r>
          </w:p>
          <w:p w14:paraId="768C97A6" w14:textId="77777777" w:rsidR="00D25008" w:rsidRDefault="00FE2A61">
            <w:pPr>
              <w:ind w:left="-103" w:right="-107"/>
              <w:rPr>
                <w:u w:val="single"/>
              </w:rPr>
            </w:pPr>
            <w:r>
              <w:rPr>
                <w:u w:val="single"/>
              </w:rPr>
              <w:t>Lizdinė plokštelė (kalendorinė pakuotė):</w:t>
            </w:r>
          </w:p>
          <w:p w14:paraId="0AA2AF26" w14:textId="77777777" w:rsidR="00D25008" w:rsidRDefault="00FE2A61">
            <w:pPr>
              <w:ind w:left="-103" w:right="-107"/>
            </w:pPr>
            <w:r>
              <w:t>LT/1/24/5347/007 – N28</w:t>
            </w:r>
          </w:p>
          <w:p w14:paraId="1E25F164" w14:textId="77777777" w:rsidR="00D25008" w:rsidRDefault="00FE2A61">
            <w:pPr>
              <w:ind w:left="-103" w:right="-107"/>
            </w:pPr>
            <w:r>
              <w:t>LT/1/24/5347/008 – N56</w:t>
            </w:r>
          </w:p>
          <w:p w14:paraId="30AA3FBA" w14:textId="77777777" w:rsidR="00D25008" w:rsidRDefault="00FE2A61">
            <w:pPr>
              <w:ind w:left="-103" w:right="-107"/>
              <w:rPr>
                <w:i/>
              </w:rPr>
            </w:pPr>
            <w:r>
              <w:t>LT/1/24/5347/009 – N84</w:t>
            </w:r>
          </w:p>
        </w:tc>
        <w:tc>
          <w:tcPr>
            <w:tcW w:w="4530" w:type="dxa"/>
          </w:tcPr>
          <w:p w14:paraId="0E5B9778" w14:textId="77777777" w:rsidR="00D25008" w:rsidRDefault="00FE2A61">
            <w:pPr>
              <w:rPr>
                <w:u w:val="single"/>
              </w:rPr>
            </w:pPr>
            <w:r>
              <w:rPr>
                <w:u w:val="single"/>
              </w:rPr>
              <w:t>80 mg/ 10 mg/25 mg</w:t>
            </w:r>
          </w:p>
          <w:p w14:paraId="6ACE8259" w14:textId="77777777" w:rsidR="00D25008" w:rsidRDefault="00FE2A61">
            <w:pPr>
              <w:ind w:left="-103" w:right="-107"/>
            </w:pPr>
            <w:r>
              <w:rPr>
                <w:u w:val="single"/>
              </w:rPr>
              <w:t>Lizdinė plokštelė</w:t>
            </w:r>
            <w:r>
              <w:t>:</w:t>
            </w:r>
          </w:p>
          <w:p w14:paraId="0F6B9389" w14:textId="77777777" w:rsidR="00D25008" w:rsidRDefault="00FE2A61">
            <w:pPr>
              <w:ind w:left="-103" w:right="-107"/>
            </w:pPr>
            <w:r>
              <w:t>LT/1/24/5348/001 – N28</w:t>
            </w:r>
          </w:p>
          <w:p w14:paraId="2D07A458" w14:textId="77777777" w:rsidR="00D25008" w:rsidRDefault="00FE2A61">
            <w:pPr>
              <w:ind w:left="-103" w:right="-107"/>
            </w:pPr>
            <w:r>
              <w:t>LT/1/24/5348/002 – N30</w:t>
            </w:r>
          </w:p>
          <w:p w14:paraId="193898F1" w14:textId="77777777" w:rsidR="00D25008" w:rsidRDefault="00FE2A61">
            <w:pPr>
              <w:ind w:left="-103" w:right="-107"/>
            </w:pPr>
            <w:r>
              <w:t>LT/1/24/5348/003 – N56</w:t>
            </w:r>
          </w:p>
          <w:p w14:paraId="2B500847" w14:textId="77777777" w:rsidR="00D25008" w:rsidRDefault="00FE2A61">
            <w:pPr>
              <w:ind w:left="-103" w:right="-107"/>
            </w:pPr>
            <w:r>
              <w:t>LT/1/24/5348/004 – N60</w:t>
            </w:r>
          </w:p>
          <w:p w14:paraId="385A6482" w14:textId="77777777" w:rsidR="00D25008" w:rsidRDefault="00FE2A61">
            <w:pPr>
              <w:ind w:left="-103" w:right="-107"/>
            </w:pPr>
            <w:r>
              <w:t>LT/1/24/5348/005 – N84</w:t>
            </w:r>
          </w:p>
          <w:p w14:paraId="7ECEAB76" w14:textId="77777777" w:rsidR="00D25008" w:rsidRDefault="00FE2A61">
            <w:pPr>
              <w:ind w:left="-103" w:right="-107"/>
            </w:pPr>
            <w:r>
              <w:t>LT/1/24/5348/006 – N90</w:t>
            </w:r>
          </w:p>
          <w:p w14:paraId="5994BEB5" w14:textId="77777777" w:rsidR="00D25008" w:rsidRDefault="00FE2A61">
            <w:pPr>
              <w:ind w:left="-103" w:right="-107"/>
              <w:rPr>
                <w:u w:val="single"/>
              </w:rPr>
            </w:pPr>
            <w:r>
              <w:rPr>
                <w:u w:val="single"/>
              </w:rPr>
              <w:t>Lizdinė plokštelė (kalendorinė pakuotė):</w:t>
            </w:r>
          </w:p>
          <w:p w14:paraId="3A6514E0" w14:textId="77777777" w:rsidR="00D25008" w:rsidRDefault="00FE2A61">
            <w:pPr>
              <w:ind w:left="-103" w:right="-107"/>
            </w:pPr>
            <w:r>
              <w:t>LT/1/24/5348/007 – N28</w:t>
            </w:r>
          </w:p>
          <w:p w14:paraId="52DE9729" w14:textId="77777777" w:rsidR="00D25008" w:rsidRDefault="00FE2A61">
            <w:pPr>
              <w:ind w:left="-103" w:right="-107"/>
            </w:pPr>
            <w:r>
              <w:t>LT/1/24/5348/008 – N56</w:t>
            </w:r>
          </w:p>
          <w:p w14:paraId="4059EC2B" w14:textId="77777777" w:rsidR="00D25008" w:rsidRDefault="00FE2A61">
            <w:pPr>
              <w:ind w:left="-103" w:right="-107"/>
              <w:rPr>
                <w:i/>
              </w:rPr>
            </w:pPr>
            <w:r>
              <w:t>LT/1/24/5348/009 – N84</w:t>
            </w:r>
          </w:p>
        </w:tc>
      </w:tr>
    </w:tbl>
    <w:p w14:paraId="490E0E96" w14:textId="77777777" w:rsidR="00D25008" w:rsidRDefault="00D25008">
      <w:pPr>
        <w:rPr>
          <w:i/>
        </w:rPr>
      </w:pPr>
    </w:p>
    <w:p w14:paraId="3B526E27" w14:textId="77777777" w:rsidR="00D25008" w:rsidRDefault="00D25008">
      <w:pPr>
        <w:ind w:left="567" w:hanging="567"/>
      </w:pPr>
    </w:p>
    <w:p w14:paraId="6458A9F4" w14:textId="77777777" w:rsidR="00D25008" w:rsidRDefault="00D25008">
      <w:pPr>
        <w:ind w:left="567" w:hanging="567"/>
      </w:pPr>
    </w:p>
    <w:p w14:paraId="387CE309" w14:textId="77777777" w:rsidR="00D25008" w:rsidRDefault="00FE2A61">
      <w:pPr>
        <w:ind w:left="567" w:hanging="567"/>
        <w:rPr>
          <w:b/>
          <w:caps/>
        </w:rPr>
      </w:pPr>
      <w:r>
        <w:rPr>
          <w:b/>
          <w:caps/>
        </w:rPr>
        <w:t>9.</w:t>
      </w:r>
      <w:r>
        <w:rPr>
          <w:b/>
          <w:caps/>
        </w:rPr>
        <w:tab/>
      </w:r>
      <w:r>
        <w:rPr>
          <w:b/>
          <w:caps/>
          <w:noProof/>
        </w:rPr>
        <w:t xml:space="preserve">REGISTRAVIMO / PERREGISTRAVIMO </w:t>
      </w:r>
      <w:r>
        <w:rPr>
          <w:b/>
          <w:caps/>
        </w:rPr>
        <w:t>data</w:t>
      </w:r>
    </w:p>
    <w:p w14:paraId="2A1EB19A" w14:textId="77777777" w:rsidR="00D25008" w:rsidRDefault="00D25008">
      <w:pPr>
        <w:ind w:left="567" w:hanging="567"/>
        <w:rPr>
          <w:b/>
          <w:caps/>
        </w:rPr>
      </w:pPr>
    </w:p>
    <w:p w14:paraId="769038E8" w14:textId="77777777" w:rsidR="00D25008" w:rsidRDefault="00FE2A61">
      <w:pPr>
        <w:rPr>
          <w:szCs w:val="22"/>
        </w:rPr>
      </w:pPr>
      <w:r>
        <w:rPr>
          <w:noProof/>
          <w:snapToGrid w:val="0"/>
        </w:rPr>
        <w:t xml:space="preserve">Registravimo data </w:t>
      </w:r>
      <w:r>
        <w:rPr>
          <w:szCs w:val="22"/>
        </w:rPr>
        <w:t>2024 m. vasario 14 d.</w:t>
      </w:r>
    </w:p>
    <w:p w14:paraId="15E425ED" w14:textId="77777777" w:rsidR="00D25008" w:rsidRDefault="00D25008">
      <w:pPr>
        <w:ind w:left="567" w:hanging="567"/>
      </w:pPr>
    </w:p>
    <w:p w14:paraId="6C8FC27F" w14:textId="77777777" w:rsidR="00D25008" w:rsidRDefault="00D25008">
      <w:pPr>
        <w:ind w:left="567" w:hanging="567"/>
      </w:pPr>
    </w:p>
    <w:p w14:paraId="62257453" w14:textId="77777777" w:rsidR="00D25008" w:rsidRDefault="00FE2A61">
      <w:pPr>
        <w:ind w:left="567" w:hanging="567"/>
        <w:rPr>
          <w:b/>
          <w:caps/>
        </w:rPr>
      </w:pPr>
      <w:r>
        <w:rPr>
          <w:b/>
          <w:caps/>
        </w:rPr>
        <w:t>10.</w:t>
      </w:r>
      <w:r>
        <w:rPr>
          <w:b/>
          <w:caps/>
        </w:rPr>
        <w:tab/>
        <w:t>teksto peržiūros data</w:t>
      </w:r>
    </w:p>
    <w:p w14:paraId="51EC8D76" w14:textId="77777777" w:rsidR="00D25008" w:rsidRDefault="00D25008">
      <w:pPr>
        <w:ind w:left="567" w:hanging="567"/>
        <w:rPr>
          <w:b/>
          <w:caps/>
        </w:rPr>
      </w:pPr>
    </w:p>
    <w:p w14:paraId="27B32962" w14:textId="00FA944B" w:rsidR="00D25008" w:rsidRDefault="00FE2A61">
      <w:pPr>
        <w:ind w:left="567" w:hanging="567"/>
      </w:pPr>
      <w:r>
        <w:rPr>
          <w:szCs w:val="22"/>
        </w:rPr>
        <w:t xml:space="preserve">2025 m. </w:t>
      </w:r>
      <w:r w:rsidR="001C4737">
        <w:rPr>
          <w:szCs w:val="22"/>
        </w:rPr>
        <w:t>rugsėjo 20</w:t>
      </w:r>
      <w:r>
        <w:rPr>
          <w:szCs w:val="22"/>
        </w:rPr>
        <w:t> d.</w:t>
      </w:r>
    </w:p>
    <w:p w14:paraId="1F4766CD" w14:textId="77777777" w:rsidR="00D25008" w:rsidRDefault="00D25008">
      <w:pPr>
        <w:rPr>
          <w:rFonts w:eastAsia="SimSun"/>
          <w:noProof/>
          <w:szCs w:val="22"/>
        </w:rPr>
      </w:pPr>
    </w:p>
    <w:p w14:paraId="113F83EB" w14:textId="1EE2191F" w:rsidR="00D25008" w:rsidRDefault="00FE2A61">
      <w:r>
        <w:rPr>
          <w:rFonts w:eastAsia="SimSun"/>
          <w:noProof/>
          <w:szCs w:val="22"/>
        </w:rPr>
        <w:t>Išsami informacija apie šį vaistinį preparatą pateikiama Valstybinės vaistų kontrolės tarnybos prie Lietuvos Respublikos sveikatos apsaugos ministerijos tinklalapyje</w:t>
      </w:r>
      <w:r>
        <w:rPr>
          <w:rFonts w:eastAsia="SimSun"/>
          <w:i/>
          <w:noProof/>
          <w:szCs w:val="22"/>
        </w:rPr>
        <w:t xml:space="preserve"> </w:t>
      </w:r>
      <w:r>
        <w:rPr>
          <w:color w:val="0000EE"/>
          <w:szCs w:val="22"/>
          <w:u w:val="single"/>
          <w:lang w:eastAsia="lt-LT"/>
        </w:rPr>
        <w:t>https://vvkt.lrv.lt/lt/</w:t>
      </w:r>
    </w:p>
    <w:p w14:paraId="4CB47FC0" w14:textId="77777777" w:rsidR="00D25008" w:rsidRDefault="00FE2A61">
      <w:pPr>
        <w:tabs>
          <w:tab w:val="left" w:pos="567"/>
        </w:tabs>
        <w:spacing w:line="260" w:lineRule="exact"/>
        <w:jc w:val="center"/>
      </w:pPr>
      <w:r>
        <w:br w:type="page"/>
      </w:r>
    </w:p>
    <w:p w14:paraId="4395B720" w14:textId="77777777" w:rsidR="00D25008" w:rsidRDefault="00D25008">
      <w:pPr>
        <w:widowControl w:val="0"/>
        <w:tabs>
          <w:tab w:val="left" w:pos="567"/>
        </w:tabs>
        <w:jc w:val="center"/>
        <w:rPr>
          <w:snapToGrid w:val="0"/>
          <w:szCs w:val="22"/>
        </w:rPr>
      </w:pPr>
    </w:p>
    <w:p w14:paraId="619F2050" w14:textId="77777777" w:rsidR="00D25008" w:rsidRDefault="00D25008">
      <w:pPr>
        <w:widowControl w:val="0"/>
        <w:tabs>
          <w:tab w:val="left" w:pos="567"/>
        </w:tabs>
        <w:jc w:val="center"/>
        <w:rPr>
          <w:snapToGrid w:val="0"/>
          <w:szCs w:val="22"/>
        </w:rPr>
      </w:pPr>
    </w:p>
    <w:p w14:paraId="30A7872A" w14:textId="77777777" w:rsidR="00D25008" w:rsidRDefault="00D25008">
      <w:pPr>
        <w:widowControl w:val="0"/>
        <w:tabs>
          <w:tab w:val="left" w:pos="567"/>
        </w:tabs>
        <w:jc w:val="center"/>
        <w:rPr>
          <w:snapToGrid w:val="0"/>
          <w:szCs w:val="22"/>
        </w:rPr>
      </w:pPr>
    </w:p>
    <w:p w14:paraId="25F91187" w14:textId="77777777" w:rsidR="00D25008" w:rsidRDefault="00D25008">
      <w:pPr>
        <w:widowControl w:val="0"/>
        <w:tabs>
          <w:tab w:val="left" w:pos="567"/>
        </w:tabs>
        <w:jc w:val="center"/>
        <w:rPr>
          <w:snapToGrid w:val="0"/>
          <w:szCs w:val="22"/>
        </w:rPr>
      </w:pPr>
    </w:p>
    <w:p w14:paraId="5F223584" w14:textId="77777777" w:rsidR="00D25008" w:rsidRDefault="00D25008">
      <w:pPr>
        <w:widowControl w:val="0"/>
        <w:tabs>
          <w:tab w:val="left" w:pos="567"/>
        </w:tabs>
        <w:jc w:val="center"/>
        <w:rPr>
          <w:snapToGrid w:val="0"/>
          <w:szCs w:val="22"/>
        </w:rPr>
      </w:pPr>
    </w:p>
    <w:p w14:paraId="3E6C021D" w14:textId="77777777" w:rsidR="00D25008" w:rsidRDefault="00D25008">
      <w:pPr>
        <w:widowControl w:val="0"/>
        <w:tabs>
          <w:tab w:val="left" w:pos="567"/>
        </w:tabs>
        <w:jc w:val="center"/>
        <w:rPr>
          <w:snapToGrid w:val="0"/>
          <w:szCs w:val="22"/>
        </w:rPr>
      </w:pPr>
    </w:p>
    <w:p w14:paraId="5099E15C" w14:textId="77777777" w:rsidR="00D25008" w:rsidRDefault="00D25008">
      <w:pPr>
        <w:widowControl w:val="0"/>
        <w:tabs>
          <w:tab w:val="left" w:pos="567"/>
        </w:tabs>
        <w:jc w:val="center"/>
        <w:rPr>
          <w:snapToGrid w:val="0"/>
          <w:szCs w:val="22"/>
        </w:rPr>
      </w:pPr>
    </w:p>
    <w:p w14:paraId="3A67638F" w14:textId="77777777" w:rsidR="00D25008" w:rsidRDefault="00D25008">
      <w:pPr>
        <w:widowControl w:val="0"/>
        <w:tabs>
          <w:tab w:val="left" w:pos="567"/>
        </w:tabs>
        <w:jc w:val="center"/>
        <w:rPr>
          <w:snapToGrid w:val="0"/>
          <w:szCs w:val="22"/>
        </w:rPr>
      </w:pPr>
    </w:p>
    <w:p w14:paraId="2B633653" w14:textId="77777777" w:rsidR="00D25008" w:rsidRDefault="00D25008">
      <w:pPr>
        <w:widowControl w:val="0"/>
        <w:tabs>
          <w:tab w:val="left" w:pos="567"/>
        </w:tabs>
        <w:jc w:val="center"/>
        <w:rPr>
          <w:snapToGrid w:val="0"/>
          <w:szCs w:val="22"/>
        </w:rPr>
      </w:pPr>
    </w:p>
    <w:p w14:paraId="1827CBAC" w14:textId="77777777" w:rsidR="00D25008" w:rsidRDefault="00D25008">
      <w:pPr>
        <w:widowControl w:val="0"/>
        <w:tabs>
          <w:tab w:val="left" w:pos="567"/>
        </w:tabs>
        <w:jc w:val="center"/>
        <w:rPr>
          <w:snapToGrid w:val="0"/>
          <w:szCs w:val="22"/>
        </w:rPr>
      </w:pPr>
    </w:p>
    <w:p w14:paraId="49BD3DD5" w14:textId="77777777" w:rsidR="00D25008" w:rsidRDefault="00D25008">
      <w:pPr>
        <w:widowControl w:val="0"/>
        <w:tabs>
          <w:tab w:val="left" w:pos="567"/>
        </w:tabs>
        <w:jc w:val="center"/>
        <w:rPr>
          <w:snapToGrid w:val="0"/>
          <w:szCs w:val="22"/>
        </w:rPr>
      </w:pPr>
    </w:p>
    <w:p w14:paraId="7BF9DEA1" w14:textId="77777777" w:rsidR="00D25008" w:rsidRDefault="00D25008">
      <w:pPr>
        <w:widowControl w:val="0"/>
        <w:tabs>
          <w:tab w:val="left" w:pos="567"/>
        </w:tabs>
        <w:jc w:val="center"/>
        <w:rPr>
          <w:snapToGrid w:val="0"/>
          <w:szCs w:val="22"/>
        </w:rPr>
      </w:pPr>
    </w:p>
    <w:p w14:paraId="3BDEC6EA" w14:textId="77777777" w:rsidR="00D25008" w:rsidRDefault="00D25008">
      <w:pPr>
        <w:widowControl w:val="0"/>
        <w:tabs>
          <w:tab w:val="left" w:pos="567"/>
        </w:tabs>
        <w:jc w:val="center"/>
        <w:rPr>
          <w:snapToGrid w:val="0"/>
          <w:szCs w:val="22"/>
        </w:rPr>
      </w:pPr>
    </w:p>
    <w:p w14:paraId="6C81E5BB" w14:textId="77777777" w:rsidR="00D25008" w:rsidRDefault="00D25008">
      <w:pPr>
        <w:widowControl w:val="0"/>
        <w:tabs>
          <w:tab w:val="left" w:pos="567"/>
        </w:tabs>
        <w:jc w:val="center"/>
        <w:rPr>
          <w:snapToGrid w:val="0"/>
          <w:szCs w:val="22"/>
        </w:rPr>
      </w:pPr>
    </w:p>
    <w:p w14:paraId="4E573842" w14:textId="77777777" w:rsidR="00D25008" w:rsidRDefault="00D25008">
      <w:pPr>
        <w:widowControl w:val="0"/>
        <w:tabs>
          <w:tab w:val="left" w:pos="567"/>
        </w:tabs>
        <w:jc w:val="center"/>
        <w:rPr>
          <w:snapToGrid w:val="0"/>
          <w:szCs w:val="22"/>
        </w:rPr>
      </w:pPr>
    </w:p>
    <w:p w14:paraId="0316299A" w14:textId="77777777" w:rsidR="00D25008" w:rsidRDefault="00D25008">
      <w:pPr>
        <w:widowControl w:val="0"/>
        <w:tabs>
          <w:tab w:val="left" w:pos="567"/>
        </w:tabs>
        <w:jc w:val="center"/>
        <w:rPr>
          <w:snapToGrid w:val="0"/>
          <w:szCs w:val="22"/>
        </w:rPr>
      </w:pPr>
    </w:p>
    <w:p w14:paraId="0446A276" w14:textId="77777777" w:rsidR="00D25008" w:rsidRDefault="00D25008">
      <w:pPr>
        <w:widowControl w:val="0"/>
        <w:tabs>
          <w:tab w:val="left" w:pos="567"/>
        </w:tabs>
        <w:jc w:val="center"/>
        <w:rPr>
          <w:snapToGrid w:val="0"/>
          <w:szCs w:val="22"/>
        </w:rPr>
      </w:pPr>
    </w:p>
    <w:p w14:paraId="24D32E1C" w14:textId="77777777" w:rsidR="00D25008" w:rsidRDefault="00D25008">
      <w:pPr>
        <w:widowControl w:val="0"/>
        <w:tabs>
          <w:tab w:val="left" w:pos="567"/>
        </w:tabs>
        <w:jc w:val="center"/>
        <w:rPr>
          <w:b/>
          <w:snapToGrid w:val="0"/>
          <w:szCs w:val="22"/>
        </w:rPr>
      </w:pPr>
    </w:p>
    <w:p w14:paraId="549CBD35" w14:textId="77777777" w:rsidR="00D25008" w:rsidRDefault="00D25008">
      <w:pPr>
        <w:widowControl w:val="0"/>
        <w:tabs>
          <w:tab w:val="left" w:pos="567"/>
        </w:tabs>
        <w:jc w:val="center"/>
        <w:rPr>
          <w:b/>
          <w:snapToGrid w:val="0"/>
          <w:szCs w:val="22"/>
        </w:rPr>
      </w:pPr>
    </w:p>
    <w:p w14:paraId="1C136B11" w14:textId="77777777" w:rsidR="00D25008" w:rsidRDefault="00D25008">
      <w:pPr>
        <w:widowControl w:val="0"/>
        <w:tabs>
          <w:tab w:val="left" w:pos="567"/>
        </w:tabs>
        <w:jc w:val="center"/>
        <w:rPr>
          <w:b/>
          <w:snapToGrid w:val="0"/>
          <w:szCs w:val="22"/>
        </w:rPr>
      </w:pPr>
    </w:p>
    <w:p w14:paraId="2FFF2E03" w14:textId="77777777" w:rsidR="00D25008" w:rsidRDefault="00D25008">
      <w:pPr>
        <w:widowControl w:val="0"/>
        <w:tabs>
          <w:tab w:val="left" w:pos="567"/>
        </w:tabs>
        <w:jc w:val="center"/>
        <w:rPr>
          <w:b/>
          <w:snapToGrid w:val="0"/>
          <w:szCs w:val="22"/>
        </w:rPr>
      </w:pPr>
    </w:p>
    <w:p w14:paraId="6B9503D3" w14:textId="77777777" w:rsidR="00D25008" w:rsidRDefault="00D25008">
      <w:pPr>
        <w:widowControl w:val="0"/>
        <w:tabs>
          <w:tab w:val="left" w:pos="567"/>
        </w:tabs>
        <w:jc w:val="center"/>
        <w:rPr>
          <w:b/>
          <w:snapToGrid w:val="0"/>
          <w:szCs w:val="22"/>
        </w:rPr>
      </w:pPr>
    </w:p>
    <w:p w14:paraId="4EC0B495" w14:textId="77777777" w:rsidR="00D25008" w:rsidRDefault="00D25008">
      <w:pPr>
        <w:widowControl w:val="0"/>
        <w:tabs>
          <w:tab w:val="left" w:pos="567"/>
        </w:tabs>
        <w:jc w:val="center"/>
        <w:rPr>
          <w:b/>
          <w:szCs w:val="20"/>
          <w:lang w:eastAsia="sl-SI"/>
        </w:rPr>
      </w:pPr>
    </w:p>
    <w:p w14:paraId="51DC8694" w14:textId="77777777" w:rsidR="00D25008" w:rsidRDefault="00FE2A61">
      <w:pPr>
        <w:widowControl w:val="0"/>
        <w:tabs>
          <w:tab w:val="left" w:pos="567"/>
        </w:tabs>
        <w:jc w:val="center"/>
        <w:rPr>
          <w:b/>
          <w:snapToGrid w:val="0"/>
          <w:szCs w:val="22"/>
        </w:rPr>
      </w:pPr>
      <w:r>
        <w:rPr>
          <w:b/>
          <w:snapToGrid w:val="0"/>
          <w:szCs w:val="22"/>
        </w:rPr>
        <w:t>II PRIEDAS</w:t>
      </w:r>
    </w:p>
    <w:p w14:paraId="1423BC6D" w14:textId="77777777" w:rsidR="00D25008" w:rsidRDefault="00D25008">
      <w:pPr>
        <w:widowControl w:val="0"/>
        <w:tabs>
          <w:tab w:val="left" w:pos="567"/>
        </w:tabs>
        <w:ind w:right="1416"/>
        <w:rPr>
          <w:snapToGrid w:val="0"/>
          <w:szCs w:val="22"/>
        </w:rPr>
      </w:pPr>
    </w:p>
    <w:p w14:paraId="3A006136" w14:textId="77777777" w:rsidR="00D25008" w:rsidRDefault="00FE2A61">
      <w:pPr>
        <w:widowControl w:val="0"/>
        <w:tabs>
          <w:tab w:val="left" w:pos="567"/>
        </w:tabs>
        <w:jc w:val="center"/>
        <w:rPr>
          <w:i/>
          <w:snapToGrid w:val="0"/>
          <w:szCs w:val="22"/>
        </w:rPr>
      </w:pPr>
      <w:r>
        <w:rPr>
          <w:b/>
          <w:snapToGrid w:val="0"/>
          <w:szCs w:val="22"/>
        </w:rPr>
        <w:t>REGISTRACIJOS SĄLYGOS</w:t>
      </w:r>
    </w:p>
    <w:p w14:paraId="3B9E36A0" w14:textId="77777777" w:rsidR="00D25008" w:rsidRDefault="00D25008">
      <w:pPr>
        <w:widowControl w:val="0"/>
        <w:tabs>
          <w:tab w:val="left" w:pos="567"/>
        </w:tabs>
        <w:jc w:val="center"/>
        <w:rPr>
          <w:snapToGrid w:val="0"/>
          <w:szCs w:val="22"/>
        </w:rPr>
      </w:pPr>
    </w:p>
    <w:p w14:paraId="3FA26214" w14:textId="77777777" w:rsidR="00D25008" w:rsidRDefault="00FE2A61">
      <w:pPr>
        <w:widowControl w:val="0"/>
        <w:tabs>
          <w:tab w:val="left" w:pos="1701"/>
        </w:tabs>
        <w:ind w:left="1701" w:right="567" w:hanging="567"/>
        <w:rPr>
          <w:b/>
          <w:snapToGrid w:val="0"/>
          <w:szCs w:val="22"/>
        </w:rPr>
      </w:pPr>
      <w:r>
        <w:rPr>
          <w:b/>
          <w:snapToGrid w:val="0"/>
          <w:szCs w:val="22"/>
        </w:rPr>
        <w:t>A.</w:t>
      </w:r>
      <w:r>
        <w:rPr>
          <w:b/>
          <w:snapToGrid w:val="0"/>
          <w:szCs w:val="22"/>
        </w:rPr>
        <w:tab/>
        <w:t>GAMINTOJAS (-AI), ATSAKINGAS (-I) UŽ SERIJŲ IŠLEIDIMĄ</w:t>
      </w:r>
    </w:p>
    <w:p w14:paraId="53997DD2" w14:textId="77777777" w:rsidR="00D25008" w:rsidRDefault="00D25008">
      <w:pPr>
        <w:widowControl w:val="0"/>
        <w:ind w:left="567" w:right="567" w:hanging="567"/>
        <w:rPr>
          <w:snapToGrid w:val="0"/>
          <w:szCs w:val="22"/>
        </w:rPr>
      </w:pPr>
    </w:p>
    <w:p w14:paraId="427CB1FD" w14:textId="77777777" w:rsidR="00D25008" w:rsidRDefault="00FE2A61">
      <w:pPr>
        <w:widowControl w:val="0"/>
        <w:tabs>
          <w:tab w:val="left" w:pos="1701"/>
        </w:tabs>
        <w:ind w:left="1701" w:right="567" w:hanging="567"/>
        <w:rPr>
          <w:b/>
          <w:snapToGrid w:val="0"/>
          <w:szCs w:val="22"/>
        </w:rPr>
      </w:pPr>
      <w:r>
        <w:rPr>
          <w:b/>
          <w:snapToGrid w:val="0"/>
          <w:szCs w:val="22"/>
        </w:rPr>
        <w:t>B.</w:t>
      </w:r>
      <w:r>
        <w:rPr>
          <w:b/>
          <w:snapToGrid w:val="0"/>
          <w:szCs w:val="22"/>
        </w:rPr>
        <w:tab/>
        <w:t>TIEKIMO IR VARTOJIMO SĄLYGOS AR APRIBOJIMAI</w:t>
      </w:r>
    </w:p>
    <w:p w14:paraId="44C50270" w14:textId="77777777" w:rsidR="00D25008" w:rsidRDefault="00FE2A61">
      <w:pPr>
        <w:widowControl w:val="0"/>
        <w:tabs>
          <w:tab w:val="left" w:pos="1701"/>
        </w:tabs>
        <w:ind w:left="1701" w:right="567" w:hanging="567"/>
        <w:rPr>
          <w:b/>
          <w:snapToGrid w:val="0"/>
          <w:szCs w:val="22"/>
        </w:rPr>
      </w:pPr>
      <w:r>
        <w:rPr>
          <w:snapToGrid w:val="0"/>
        </w:rPr>
        <w:br w:type="page"/>
      </w:r>
    </w:p>
    <w:p w14:paraId="54FB601F" w14:textId="77777777" w:rsidR="00D25008" w:rsidRDefault="00FE2A61">
      <w:pPr>
        <w:widowControl w:val="0"/>
        <w:tabs>
          <w:tab w:val="left" w:pos="567"/>
        </w:tabs>
        <w:ind w:left="567" w:hanging="567"/>
        <w:rPr>
          <w:b/>
          <w:snapToGrid w:val="0"/>
          <w:szCs w:val="22"/>
        </w:rPr>
      </w:pPr>
      <w:r>
        <w:rPr>
          <w:b/>
          <w:snapToGrid w:val="0"/>
          <w:szCs w:val="22"/>
        </w:rPr>
        <w:lastRenderedPageBreak/>
        <w:t>A.</w:t>
      </w:r>
      <w:r>
        <w:rPr>
          <w:b/>
          <w:snapToGrid w:val="0"/>
          <w:szCs w:val="22"/>
        </w:rPr>
        <w:tab/>
        <w:t>GAMINTOJAS (-AI), ATSAKINGAS (-I) UŽ SERIJŲ IŠLEIDIMĄ</w:t>
      </w:r>
    </w:p>
    <w:p w14:paraId="4AA37282" w14:textId="77777777" w:rsidR="00D25008" w:rsidRDefault="00D25008">
      <w:pPr>
        <w:widowControl w:val="0"/>
        <w:tabs>
          <w:tab w:val="left" w:pos="567"/>
        </w:tabs>
        <w:rPr>
          <w:snapToGrid w:val="0"/>
          <w:szCs w:val="22"/>
        </w:rPr>
      </w:pPr>
    </w:p>
    <w:p w14:paraId="7B6CB89E" w14:textId="77777777" w:rsidR="00D25008" w:rsidRDefault="00FE2A61">
      <w:pPr>
        <w:tabs>
          <w:tab w:val="left" w:pos="567"/>
        </w:tabs>
        <w:jc w:val="both"/>
        <w:rPr>
          <w:snapToGrid w:val="0"/>
        </w:rPr>
      </w:pPr>
      <w:r>
        <w:rPr>
          <w:noProof/>
          <w:snapToGrid w:val="0"/>
          <w:u w:val="single"/>
        </w:rPr>
        <w:t>Gamintojo (-ų), atsakingo (-ų) už serijų išleidimą, pavadinimas (-ai) ir adresas (-ai)</w:t>
      </w:r>
    </w:p>
    <w:p w14:paraId="14F38BF9" w14:textId="77777777" w:rsidR="00D25008" w:rsidRDefault="00D25008">
      <w:pPr>
        <w:widowControl w:val="0"/>
        <w:tabs>
          <w:tab w:val="left" w:pos="567"/>
        </w:tabs>
        <w:rPr>
          <w:snapToGrid w:val="0"/>
          <w:szCs w:val="22"/>
        </w:rPr>
      </w:pPr>
    </w:p>
    <w:p w14:paraId="5E4D8B9F" w14:textId="77777777" w:rsidR="00D25008" w:rsidRDefault="00FE2A61">
      <w:pPr>
        <w:widowControl w:val="0"/>
        <w:tabs>
          <w:tab w:val="left" w:pos="567"/>
        </w:tabs>
        <w:rPr>
          <w:szCs w:val="20"/>
          <w:lang w:eastAsia="sl-SI"/>
        </w:rPr>
      </w:pPr>
      <w:r>
        <w:rPr>
          <w:szCs w:val="20"/>
          <w:lang w:eastAsia="sl-SI"/>
        </w:rPr>
        <w:t>KRKA</w:t>
      </w:r>
      <w:r>
        <w:rPr>
          <w:snapToGrid w:val="0"/>
          <w:szCs w:val="22"/>
        </w:rPr>
        <w:t xml:space="preserve">, </w:t>
      </w:r>
      <w:proofErr w:type="spellStart"/>
      <w:r>
        <w:rPr>
          <w:snapToGrid w:val="0"/>
          <w:szCs w:val="22"/>
        </w:rPr>
        <w:t>d.d</w:t>
      </w:r>
      <w:proofErr w:type="spellEnd"/>
      <w:r>
        <w:rPr>
          <w:snapToGrid w:val="0"/>
          <w:szCs w:val="22"/>
        </w:rPr>
        <w:t>., Novo mesto</w:t>
      </w:r>
    </w:p>
    <w:p w14:paraId="5FF24D7E" w14:textId="77777777" w:rsidR="00D25008" w:rsidRDefault="00FE2A61">
      <w:pPr>
        <w:widowControl w:val="0"/>
        <w:tabs>
          <w:tab w:val="left" w:pos="567"/>
        </w:tabs>
        <w:rPr>
          <w:szCs w:val="20"/>
          <w:lang w:eastAsia="sl-SI"/>
        </w:rPr>
      </w:pPr>
      <w:proofErr w:type="spellStart"/>
      <w:r>
        <w:rPr>
          <w:snapToGrid w:val="0"/>
          <w:szCs w:val="22"/>
        </w:rPr>
        <w:t>Šmarješka</w:t>
      </w:r>
      <w:proofErr w:type="spellEnd"/>
      <w:r>
        <w:rPr>
          <w:snapToGrid w:val="0"/>
          <w:szCs w:val="22"/>
        </w:rPr>
        <w:t xml:space="preserve"> </w:t>
      </w:r>
      <w:proofErr w:type="spellStart"/>
      <w:r>
        <w:rPr>
          <w:snapToGrid w:val="0"/>
          <w:szCs w:val="22"/>
        </w:rPr>
        <w:t>cesta</w:t>
      </w:r>
      <w:proofErr w:type="spellEnd"/>
      <w:r>
        <w:rPr>
          <w:snapToGrid w:val="0"/>
          <w:szCs w:val="22"/>
        </w:rPr>
        <w:t xml:space="preserve"> 6</w:t>
      </w:r>
    </w:p>
    <w:p w14:paraId="6D93C8D7" w14:textId="77777777" w:rsidR="00D25008" w:rsidRDefault="00FE2A61">
      <w:pPr>
        <w:widowControl w:val="0"/>
        <w:tabs>
          <w:tab w:val="left" w:pos="567"/>
        </w:tabs>
        <w:rPr>
          <w:szCs w:val="20"/>
          <w:lang w:eastAsia="sl-SI"/>
        </w:rPr>
      </w:pPr>
      <w:r>
        <w:rPr>
          <w:snapToGrid w:val="0"/>
          <w:szCs w:val="22"/>
        </w:rPr>
        <w:t>8501 Novo mesto</w:t>
      </w:r>
    </w:p>
    <w:p w14:paraId="598CD9CA" w14:textId="77777777" w:rsidR="00D25008" w:rsidRDefault="00FE2A61">
      <w:pPr>
        <w:widowControl w:val="0"/>
        <w:tabs>
          <w:tab w:val="left" w:pos="567"/>
        </w:tabs>
        <w:rPr>
          <w:snapToGrid w:val="0"/>
          <w:szCs w:val="22"/>
        </w:rPr>
      </w:pPr>
      <w:r>
        <w:rPr>
          <w:snapToGrid w:val="0"/>
          <w:szCs w:val="22"/>
        </w:rPr>
        <w:t>Slovėnija</w:t>
      </w:r>
    </w:p>
    <w:p w14:paraId="0B8BF3A0" w14:textId="77777777" w:rsidR="00D25008" w:rsidRDefault="00D25008">
      <w:pPr>
        <w:widowControl w:val="0"/>
        <w:tabs>
          <w:tab w:val="left" w:pos="567"/>
        </w:tabs>
        <w:rPr>
          <w:snapToGrid w:val="0"/>
          <w:szCs w:val="22"/>
        </w:rPr>
      </w:pPr>
    </w:p>
    <w:p w14:paraId="130E016B" w14:textId="77777777" w:rsidR="00D25008" w:rsidRDefault="00D25008">
      <w:pPr>
        <w:widowControl w:val="0"/>
        <w:tabs>
          <w:tab w:val="left" w:pos="567"/>
        </w:tabs>
        <w:rPr>
          <w:snapToGrid w:val="0"/>
          <w:szCs w:val="22"/>
        </w:rPr>
      </w:pPr>
    </w:p>
    <w:p w14:paraId="1B591381" w14:textId="77777777" w:rsidR="00D25008" w:rsidRDefault="00FE2A61">
      <w:pPr>
        <w:widowControl w:val="0"/>
        <w:tabs>
          <w:tab w:val="left" w:pos="567"/>
        </w:tabs>
        <w:ind w:left="567" w:hanging="567"/>
        <w:rPr>
          <w:snapToGrid w:val="0"/>
          <w:szCs w:val="22"/>
        </w:rPr>
      </w:pPr>
      <w:r>
        <w:rPr>
          <w:b/>
          <w:snapToGrid w:val="0"/>
          <w:szCs w:val="22"/>
        </w:rPr>
        <w:t>B.</w:t>
      </w:r>
      <w:r>
        <w:rPr>
          <w:b/>
          <w:snapToGrid w:val="0"/>
          <w:szCs w:val="22"/>
        </w:rPr>
        <w:tab/>
        <w:t>TIEKIMO IR VARTOJIMO SĄLYGOS AR APRIBOJIMAI</w:t>
      </w:r>
    </w:p>
    <w:p w14:paraId="434E0717" w14:textId="77777777" w:rsidR="00D25008" w:rsidRDefault="00D25008">
      <w:pPr>
        <w:widowControl w:val="0"/>
        <w:tabs>
          <w:tab w:val="left" w:pos="567"/>
        </w:tabs>
        <w:rPr>
          <w:snapToGrid w:val="0"/>
          <w:szCs w:val="22"/>
        </w:rPr>
      </w:pPr>
    </w:p>
    <w:p w14:paraId="2372E548" w14:textId="77777777" w:rsidR="00D25008" w:rsidRDefault="00FE2A61">
      <w:pPr>
        <w:widowControl w:val="0"/>
        <w:tabs>
          <w:tab w:val="left" w:pos="567"/>
        </w:tabs>
        <w:rPr>
          <w:snapToGrid w:val="0"/>
          <w:szCs w:val="22"/>
        </w:rPr>
      </w:pPr>
      <w:r>
        <w:rPr>
          <w:snapToGrid w:val="0"/>
          <w:szCs w:val="22"/>
        </w:rPr>
        <w:t>Receptinis vaistinis preparatas.</w:t>
      </w:r>
    </w:p>
    <w:p w14:paraId="09D2D287" w14:textId="77777777" w:rsidR="00D25008" w:rsidRDefault="00D25008">
      <w:pPr>
        <w:widowControl w:val="0"/>
        <w:rPr>
          <w:snapToGrid w:val="0"/>
          <w:szCs w:val="22"/>
          <w:lang w:eastAsia="lt-LT"/>
        </w:rPr>
      </w:pPr>
    </w:p>
    <w:p w14:paraId="77E33093" w14:textId="77777777" w:rsidR="00D25008" w:rsidRDefault="00D25008">
      <w:pPr>
        <w:widowControl w:val="0"/>
        <w:tabs>
          <w:tab w:val="left" w:pos="567"/>
        </w:tabs>
        <w:rPr>
          <w:snapToGrid w:val="0"/>
          <w:szCs w:val="22"/>
        </w:rPr>
      </w:pPr>
    </w:p>
    <w:p w14:paraId="61CB65B2" w14:textId="77777777" w:rsidR="00D25008" w:rsidRDefault="00FE2A61">
      <w:pPr>
        <w:rPr>
          <w:rFonts w:eastAsia="SimSun"/>
          <w:b/>
          <w:szCs w:val="22"/>
        </w:rPr>
      </w:pPr>
      <w:r>
        <w:rPr>
          <w:rFonts w:eastAsia="SimSun"/>
          <w:b/>
          <w:szCs w:val="22"/>
        </w:rPr>
        <w:br w:type="page"/>
      </w:r>
    </w:p>
    <w:p w14:paraId="530945E3" w14:textId="77777777" w:rsidR="00D25008" w:rsidRDefault="00D25008">
      <w:pPr>
        <w:pStyle w:val="Paprastasistekstas"/>
        <w:tabs>
          <w:tab w:val="left" w:pos="4962"/>
        </w:tabs>
        <w:rPr>
          <w:rFonts w:ascii="Times New Roman" w:hAnsi="Times New Roman"/>
          <w:b/>
          <w:lang w:val="lt-LT"/>
        </w:rPr>
      </w:pPr>
    </w:p>
    <w:p w14:paraId="25CB08B5" w14:textId="77777777" w:rsidR="00D25008" w:rsidRDefault="00D25008">
      <w:pPr>
        <w:pStyle w:val="Paprastasistekstas"/>
        <w:tabs>
          <w:tab w:val="left" w:pos="4962"/>
        </w:tabs>
        <w:rPr>
          <w:rFonts w:ascii="Times New Roman" w:hAnsi="Times New Roman"/>
          <w:b/>
          <w:lang w:val="lt-LT"/>
        </w:rPr>
      </w:pPr>
    </w:p>
    <w:p w14:paraId="7919C92A" w14:textId="77777777" w:rsidR="00D25008" w:rsidRDefault="00D25008">
      <w:pPr>
        <w:pStyle w:val="Paprastasistekstas"/>
        <w:tabs>
          <w:tab w:val="left" w:pos="4962"/>
        </w:tabs>
        <w:rPr>
          <w:rFonts w:ascii="Times New Roman" w:hAnsi="Times New Roman"/>
          <w:b/>
          <w:lang w:val="lt-LT"/>
        </w:rPr>
      </w:pPr>
    </w:p>
    <w:p w14:paraId="6D47400C" w14:textId="77777777" w:rsidR="00D25008" w:rsidRDefault="00D25008">
      <w:pPr>
        <w:pStyle w:val="Paprastasistekstas"/>
        <w:tabs>
          <w:tab w:val="left" w:pos="4962"/>
        </w:tabs>
        <w:rPr>
          <w:rFonts w:ascii="Times New Roman" w:hAnsi="Times New Roman"/>
          <w:b/>
          <w:lang w:val="lt-LT"/>
        </w:rPr>
      </w:pPr>
    </w:p>
    <w:p w14:paraId="61710CDC" w14:textId="77777777" w:rsidR="00D25008" w:rsidRDefault="00D25008">
      <w:pPr>
        <w:pStyle w:val="Paprastasistekstas"/>
        <w:tabs>
          <w:tab w:val="left" w:pos="4962"/>
        </w:tabs>
        <w:rPr>
          <w:rFonts w:ascii="Times New Roman" w:hAnsi="Times New Roman"/>
          <w:b/>
          <w:lang w:val="lt-LT"/>
        </w:rPr>
      </w:pPr>
    </w:p>
    <w:p w14:paraId="4907418B" w14:textId="77777777" w:rsidR="00D25008" w:rsidRDefault="00D25008">
      <w:pPr>
        <w:pStyle w:val="Paprastasistekstas"/>
        <w:tabs>
          <w:tab w:val="left" w:pos="4962"/>
        </w:tabs>
        <w:rPr>
          <w:rFonts w:ascii="Times New Roman" w:hAnsi="Times New Roman"/>
          <w:b/>
          <w:lang w:val="lt-LT"/>
        </w:rPr>
      </w:pPr>
    </w:p>
    <w:p w14:paraId="366A415F" w14:textId="77777777" w:rsidR="00D25008" w:rsidRDefault="00D25008">
      <w:pPr>
        <w:pStyle w:val="Paprastasistekstas"/>
        <w:tabs>
          <w:tab w:val="left" w:pos="4962"/>
        </w:tabs>
        <w:rPr>
          <w:rFonts w:ascii="Times New Roman" w:hAnsi="Times New Roman"/>
          <w:b/>
          <w:lang w:val="lt-LT"/>
        </w:rPr>
      </w:pPr>
    </w:p>
    <w:p w14:paraId="255AA51E" w14:textId="77777777" w:rsidR="00D25008" w:rsidRDefault="00D25008">
      <w:pPr>
        <w:pStyle w:val="Paprastasistekstas"/>
        <w:tabs>
          <w:tab w:val="left" w:pos="4962"/>
        </w:tabs>
        <w:rPr>
          <w:rFonts w:ascii="Times New Roman" w:hAnsi="Times New Roman"/>
          <w:b/>
          <w:lang w:val="lt-LT"/>
        </w:rPr>
      </w:pPr>
    </w:p>
    <w:p w14:paraId="217D2DF1" w14:textId="77777777" w:rsidR="00D25008" w:rsidRDefault="00D25008">
      <w:pPr>
        <w:pStyle w:val="Paprastasistekstas"/>
        <w:tabs>
          <w:tab w:val="left" w:pos="4962"/>
        </w:tabs>
        <w:rPr>
          <w:rFonts w:ascii="Times New Roman" w:hAnsi="Times New Roman"/>
          <w:color w:val="000000"/>
          <w:sz w:val="24"/>
          <w:lang w:val="lt-LT"/>
        </w:rPr>
      </w:pPr>
    </w:p>
    <w:p w14:paraId="5A583950" w14:textId="77777777" w:rsidR="00D25008" w:rsidRDefault="00D25008">
      <w:pPr>
        <w:pStyle w:val="Paprastasistekstas"/>
        <w:tabs>
          <w:tab w:val="left" w:pos="4962"/>
        </w:tabs>
        <w:rPr>
          <w:rFonts w:ascii="Times New Roman" w:hAnsi="Times New Roman"/>
          <w:noProof/>
          <w:szCs w:val="24"/>
          <w:lang w:val="lt-LT"/>
        </w:rPr>
      </w:pPr>
    </w:p>
    <w:p w14:paraId="059B85D6" w14:textId="77777777" w:rsidR="00D25008" w:rsidRDefault="00D25008"/>
    <w:p w14:paraId="3A6A1911" w14:textId="77777777" w:rsidR="00D25008" w:rsidRDefault="00D25008"/>
    <w:p w14:paraId="13506F1B" w14:textId="77777777" w:rsidR="00D25008" w:rsidRDefault="00D25008"/>
    <w:p w14:paraId="0FC30EB1" w14:textId="77777777" w:rsidR="00D25008" w:rsidRDefault="00D25008"/>
    <w:p w14:paraId="49175266" w14:textId="77777777" w:rsidR="00D25008" w:rsidRDefault="00D25008"/>
    <w:p w14:paraId="1EC0F271" w14:textId="77777777" w:rsidR="00D25008" w:rsidRDefault="00D25008"/>
    <w:p w14:paraId="6B21954A" w14:textId="77777777" w:rsidR="00D25008" w:rsidRDefault="00D25008"/>
    <w:p w14:paraId="02693996" w14:textId="77777777" w:rsidR="00D25008" w:rsidRDefault="00D25008"/>
    <w:p w14:paraId="19D2F328" w14:textId="77777777" w:rsidR="00D25008" w:rsidRDefault="00D25008"/>
    <w:p w14:paraId="4CC6F9D5" w14:textId="77777777" w:rsidR="00D25008" w:rsidRDefault="00D25008"/>
    <w:p w14:paraId="086B48FC" w14:textId="77777777" w:rsidR="00D25008" w:rsidRDefault="00D25008"/>
    <w:p w14:paraId="16DB8E8B" w14:textId="77777777" w:rsidR="00D25008" w:rsidRDefault="00D25008"/>
    <w:p w14:paraId="7FF8174D" w14:textId="77777777" w:rsidR="00D25008" w:rsidRDefault="00D25008"/>
    <w:p w14:paraId="6BA2D6A3" w14:textId="77777777" w:rsidR="00D25008" w:rsidRDefault="00FE2A61">
      <w:pPr>
        <w:pStyle w:val="Antrat2"/>
        <w:spacing w:before="0" w:after="0" w:line="240" w:lineRule="auto"/>
        <w:jc w:val="center"/>
        <w:rPr>
          <w:rFonts w:ascii="Times New Roman" w:hAnsi="Times New Roman"/>
          <w:bCs/>
          <w:i w:val="0"/>
          <w:iCs/>
          <w:szCs w:val="24"/>
          <w:lang w:val="lt-LT"/>
        </w:rPr>
      </w:pPr>
      <w:r>
        <w:rPr>
          <w:rFonts w:ascii="Times New Roman" w:hAnsi="Times New Roman"/>
          <w:i w:val="0"/>
          <w:lang w:val="lt-LT"/>
        </w:rPr>
        <w:t>III PRIEDAS</w:t>
      </w:r>
    </w:p>
    <w:p w14:paraId="61111A2F" w14:textId="77777777" w:rsidR="00D25008" w:rsidRDefault="00D25008"/>
    <w:p w14:paraId="6826575C" w14:textId="77777777" w:rsidR="00D25008" w:rsidRDefault="00FE2A61">
      <w:pPr>
        <w:pStyle w:val="Antrat2"/>
        <w:spacing w:before="0" w:after="0" w:line="240" w:lineRule="auto"/>
        <w:jc w:val="center"/>
        <w:rPr>
          <w:bCs/>
          <w:iCs/>
        </w:rPr>
      </w:pPr>
      <w:r>
        <w:rPr>
          <w:rFonts w:ascii="Times New Roman" w:hAnsi="Times New Roman"/>
          <w:i w:val="0"/>
          <w:lang w:val="lt-LT"/>
        </w:rPr>
        <w:t>ŽENKLINIMAS IR PAKUOTĖS LAPELIS</w:t>
      </w:r>
    </w:p>
    <w:p w14:paraId="21F25FE8" w14:textId="77777777" w:rsidR="00D25008" w:rsidRDefault="00FE2A61">
      <w:pPr>
        <w:widowControl w:val="0"/>
        <w:tabs>
          <w:tab w:val="left" w:pos="4962"/>
        </w:tabs>
        <w:rPr>
          <w:rFonts w:eastAsia="SimSun"/>
          <w:color w:val="000000"/>
          <w:szCs w:val="22"/>
        </w:rPr>
      </w:pPr>
      <w:r>
        <w:rPr>
          <w:rFonts w:eastAsia="SimSun"/>
          <w:b/>
          <w:szCs w:val="22"/>
        </w:rPr>
        <w:br w:type="page"/>
      </w:r>
    </w:p>
    <w:p w14:paraId="6A5607F1" w14:textId="77777777" w:rsidR="00D25008" w:rsidRDefault="00D25008">
      <w:pPr>
        <w:rPr>
          <w:noProof/>
        </w:rPr>
      </w:pPr>
    </w:p>
    <w:p w14:paraId="017B9F64" w14:textId="77777777" w:rsidR="00D25008" w:rsidRDefault="00D25008">
      <w:pPr>
        <w:rPr>
          <w:noProof/>
        </w:rPr>
      </w:pPr>
    </w:p>
    <w:p w14:paraId="7E9E75F3" w14:textId="77777777" w:rsidR="00D25008" w:rsidRDefault="00D25008">
      <w:pPr>
        <w:rPr>
          <w:noProof/>
        </w:rPr>
      </w:pPr>
    </w:p>
    <w:p w14:paraId="201FD514" w14:textId="77777777" w:rsidR="00D25008" w:rsidRDefault="00D25008">
      <w:pPr>
        <w:rPr>
          <w:noProof/>
        </w:rPr>
      </w:pPr>
    </w:p>
    <w:p w14:paraId="003E3191" w14:textId="77777777" w:rsidR="00D25008" w:rsidRDefault="00D25008">
      <w:pPr>
        <w:rPr>
          <w:noProof/>
        </w:rPr>
      </w:pPr>
    </w:p>
    <w:p w14:paraId="6D003E39" w14:textId="77777777" w:rsidR="00D25008" w:rsidRDefault="00D25008">
      <w:pPr>
        <w:rPr>
          <w:noProof/>
        </w:rPr>
      </w:pPr>
    </w:p>
    <w:p w14:paraId="3D5FF38A" w14:textId="77777777" w:rsidR="00D25008" w:rsidRDefault="00D25008">
      <w:pPr>
        <w:rPr>
          <w:noProof/>
        </w:rPr>
      </w:pPr>
    </w:p>
    <w:p w14:paraId="250ECD7A" w14:textId="77777777" w:rsidR="00D25008" w:rsidRDefault="00D25008">
      <w:pPr>
        <w:rPr>
          <w:noProof/>
        </w:rPr>
      </w:pPr>
    </w:p>
    <w:p w14:paraId="43ED7AB7" w14:textId="77777777" w:rsidR="00D25008" w:rsidRDefault="00D25008">
      <w:pPr>
        <w:rPr>
          <w:noProof/>
        </w:rPr>
      </w:pPr>
    </w:p>
    <w:p w14:paraId="08899D91" w14:textId="77777777" w:rsidR="00D25008" w:rsidRDefault="00D25008">
      <w:pPr>
        <w:rPr>
          <w:noProof/>
        </w:rPr>
      </w:pPr>
    </w:p>
    <w:p w14:paraId="226E8A69" w14:textId="77777777" w:rsidR="00D25008" w:rsidRDefault="00D25008">
      <w:pPr>
        <w:rPr>
          <w:noProof/>
        </w:rPr>
      </w:pPr>
    </w:p>
    <w:p w14:paraId="05C0A39B" w14:textId="77777777" w:rsidR="00D25008" w:rsidRDefault="00D25008">
      <w:pPr>
        <w:rPr>
          <w:noProof/>
        </w:rPr>
      </w:pPr>
    </w:p>
    <w:p w14:paraId="4A513365" w14:textId="77777777" w:rsidR="00D25008" w:rsidRDefault="00D25008">
      <w:pPr>
        <w:rPr>
          <w:noProof/>
        </w:rPr>
      </w:pPr>
    </w:p>
    <w:p w14:paraId="282D8B79" w14:textId="77777777" w:rsidR="00D25008" w:rsidRDefault="00D25008">
      <w:pPr>
        <w:rPr>
          <w:noProof/>
        </w:rPr>
      </w:pPr>
    </w:p>
    <w:p w14:paraId="764C7C5E" w14:textId="77777777" w:rsidR="00D25008" w:rsidRDefault="00D25008">
      <w:pPr>
        <w:rPr>
          <w:noProof/>
        </w:rPr>
      </w:pPr>
    </w:p>
    <w:p w14:paraId="6F4C1310" w14:textId="77777777" w:rsidR="00D25008" w:rsidRDefault="00D25008">
      <w:pPr>
        <w:rPr>
          <w:noProof/>
        </w:rPr>
      </w:pPr>
    </w:p>
    <w:p w14:paraId="548442D3" w14:textId="77777777" w:rsidR="00D25008" w:rsidRDefault="00D25008">
      <w:pPr>
        <w:rPr>
          <w:noProof/>
        </w:rPr>
      </w:pPr>
    </w:p>
    <w:p w14:paraId="710475C9" w14:textId="77777777" w:rsidR="00D25008" w:rsidRDefault="00D25008">
      <w:pPr>
        <w:rPr>
          <w:noProof/>
        </w:rPr>
      </w:pPr>
    </w:p>
    <w:p w14:paraId="532797C1" w14:textId="77777777" w:rsidR="00D25008" w:rsidRDefault="00D25008">
      <w:pPr>
        <w:rPr>
          <w:noProof/>
        </w:rPr>
      </w:pPr>
    </w:p>
    <w:p w14:paraId="30F5AB25" w14:textId="77777777" w:rsidR="00D25008" w:rsidRDefault="00D25008">
      <w:pPr>
        <w:rPr>
          <w:noProof/>
        </w:rPr>
      </w:pPr>
    </w:p>
    <w:p w14:paraId="5BB370B9" w14:textId="77777777" w:rsidR="00D25008" w:rsidRDefault="00D25008">
      <w:pPr>
        <w:rPr>
          <w:noProof/>
        </w:rPr>
      </w:pPr>
    </w:p>
    <w:p w14:paraId="0DF85196" w14:textId="77777777" w:rsidR="00D25008" w:rsidRDefault="00D25008">
      <w:pPr>
        <w:rPr>
          <w:noProof/>
        </w:rPr>
      </w:pPr>
    </w:p>
    <w:p w14:paraId="0A5E9BF2" w14:textId="77777777" w:rsidR="00D25008" w:rsidRDefault="00D25008">
      <w:pPr>
        <w:rPr>
          <w:noProof/>
        </w:rPr>
      </w:pPr>
    </w:p>
    <w:p w14:paraId="6A914C15" w14:textId="77777777" w:rsidR="00D25008" w:rsidRDefault="00FE2A61">
      <w:pPr>
        <w:pStyle w:val="Sraopastraipa"/>
        <w:numPr>
          <w:ilvl w:val="0"/>
          <w:numId w:val="12"/>
        </w:numPr>
        <w:jc w:val="center"/>
        <w:outlineLvl w:val="0"/>
        <w:rPr>
          <w:noProof/>
        </w:rPr>
      </w:pPr>
      <w:r>
        <w:rPr>
          <w:b/>
          <w:noProof/>
        </w:rPr>
        <w:t>ŽENKLINIMAS</w:t>
      </w:r>
    </w:p>
    <w:p w14:paraId="6320B22B" w14:textId="77777777" w:rsidR="00D25008" w:rsidRDefault="00FE2A61">
      <w:pPr>
        <w:shd w:val="clear" w:color="auto" w:fill="FFFFFF"/>
        <w:rPr>
          <w:noProof/>
        </w:rPr>
      </w:pPr>
      <w:r>
        <w:rPr>
          <w:noProof/>
        </w:rPr>
        <w:br w:type="page"/>
      </w:r>
    </w:p>
    <w:p w14:paraId="78601514" w14:textId="77777777" w:rsidR="00D25008" w:rsidRDefault="00FE2A61">
      <w:pPr>
        <w:pBdr>
          <w:top w:val="single" w:sz="4" w:space="1" w:color="auto"/>
          <w:left w:val="single" w:sz="4" w:space="4" w:color="auto"/>
          <w:bottom w:val="single" w:sz="4" w:space="1" w:color="auto"/>
          <w:right w:val="single" w:sz="4" w:space="4" w:color="auto"/>
        </w:pBdr>
        <w:rPr>
          <w:b/>
          <w:noProof/>
        </w:rPr>
      </w:pPr>
      <w:r>
        <w:rPr>
          <w:b/>
          <w:noProof/>
        </w:rPr>
        <w:lastRenderedPageBreak/>
        <w:t>INFORMACIJA ANT IŠORINĖS PAKUOTĖS</w:t>
      </w:r>
    </w:p>
    <w:p w14:paraId="19158AF7" w14:textId="77777777" w:rsidR="00D25008" w:rsidRDefault="00D25008">
      <w:pPr>
        <w:pBdr>
          <w:top w:val="single" w:sz="4" w:space="1" w:color="auto"/>
          <w:left w:val="single" w:sz="4" w:space="4" w:color="auto"/>
          <w:bottom w:val="single" w:sz="4" w:space="1" w:color="auto"/>
          <w:right w:val="single" w:sz="4" w:space="4" w:color="auto"/>
        </w:pBdr>
        <w:ind w:left="567" w:hanging="567"/>
        <w:rPr>
          <w:bCs/>
          <w:noProof/>
        </w:rPr>
      </w:pPr>
    </w:p>
    <w:p w14:paraId="6A80F261" w14:textId="77777777" w:rsidR="00D25008" w:rsidRDefault="00FE2A61">
      <w:pPr>
        <w:pBdr>
          <w:top w:val="single" w:sz="4" w:space="1" w:color="auto"/>
          <w:left w:val="single" w:sz="4" w:space="4" w:color="auto"/>
          <w:bottom w:val="single" w:sz="4" w:space="1" w:color="auto"/>
          <w:right w:val="single" w:sz="4" w:space="4" w:color="auto"/>
        </w:pBdr>
        <w:rPr>
          <w:bCs/>
          <w:noProof/>
        </w:rPr>
      </w:pPr>
      <w:r>
        <w:rPr>
          <w:b/>
          <w:noProof/>
        </w:rPr>
        <w:t>DĖŽUTĖ</w:t>
      </w:r>
    </w:p>
    <w:p w14:paraId="6FDF6C78" w14:textId="77777777" w:rsidR="00D25008" w:rsidRDefault="00D25008">
      <w:pPr>
        <w:rPr>
          <w:noProof/>
        </w:rPr>
      </w:pPr>
    </w:p>
    <w:p w14:paraId="695133BF" w14:textId="77777777" w:rsidR="00D25008" w:rsidRDefault="00D25008">
      <w:pPr>
        <w:rPr>
          <w:noProof/>
        </w:rPr>
      </w:pPr>
    </w:p>
    <w:p w14:paraId="6B3B25D6" w14:textId="77777777" w:rsidR="00D25008" w:rsidRDefault="00FE2A61">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572781D2" w14:textId="77777777" w:rsidR="00D25008" w:rsidRDefault="00D25008">
      <w:pPr>
        <w:rPr>
          <w:noProof/>
        </w:rPr>
      </w:pPr>
    </w:p>
    <w:p w14:paraId="21AC3187" w14:textId="77777777" w:rsidR="00D25008" w:rsidRDefault="00FE2A61">
      <w:pPr>
        <w:widowControl w:val="0"/>
        <w:tabs>
          <w:tab w:val="left" w:pos="567"/>
        </w:tabs>
        <w:rPr>
          <w:noProof/>
          <w:szCs w:val="22"/>
          <w:lang w:val="en-GB"/>
        </w:rPr>
      </w:pPr>
      <w:r>
        <w:rPr>
          <w:noProof/>
          <w:szCs w:val="22"/>
          <w:lang w:val="en-GB"/>
        </w:rPr>
        <w:t>Tolvecom 40 mg/5 mg/12,5 mg tabletės</w:t>
      </w:r>
    </w:p>
    <w:p w14:paraId="65F4D285" w14:textId="77777777" w:rsidR="00D25008" w:rsidRDefault="00FE2A61">
      <w:pPr>
        <w:widowControl w:val="0"/>
        <w:tabs>
          <w:tab w:val="left" w:pos="567"/>
        </w:tabs>
        <w:rPr>
          <w:noProof/>
          <w:szCs w:val="22"/>
          <w:highlight w:val="lightGray"/>
          <w:lang w:val="en-GB"/>
        </w:rPr>
      </w:pPr>
      <w:r>
        <w:rPr>
          <w:noProof/>
          <w:szCs w:val="22"/>
          <w:highlight w:val="lightGray"/>
          <w:lang w:val="en-GB"/>
        </w:rPr>
        <w:t>Tolvecom 80 mg/5 mg/12,5 mg tabletės</w:t>
      </w:r>
    </w:p>
    <w:p w14:paraId="7C3D2748" w14:textId="77777777" w:rsidR="00D25008" w:rsidRDefault="00FE2A61">
      <w:pPr>
        <w:widowControl w:val="0"/>
        <w:tabs>
          <w:tab w:val="left" w:pos="567"/>
        </w:tabs>
        <w:rPr>
          <w:noProof/>
          <w:szCs w:val="22"/>
          <w:highlight w:val="lightGray"/>
          <w:lang w:val="en-GB"/>
        </w:rPr>
      </w:pPr>
      <w:r>
        <w:rPr>
          <w:noProof/>
          <w:szCs w:val="22"/>
          <w:highlight w:val="lightGray"/>
          <w:lang w:val="en-GB"/>
        </w:rPr>
        <w:t>Tolvecom 80 mg/10 mg/12,5 mg tabletės</w:t>
      </w:r>
    </w:p>
    <w:p w14:paraId="5118F5BC" w14:textId="77777777" w:rsidR="00D25008" w:rsidRDefault="00FE2A61">
      <w:pPr>
        <w:widowControl w:val="0"/>
        <w:tabs>
          <w:tab w:val="left" w:pos="567"/>
        </w:tabs>
        <w:rPr>
          <w:noProof/>
          <w:szCs w:val="22"/>
          <w:lang w:val="en-GB"/>
        </w:rPr>
      </w:pPr>
      <w:r>
        <w:rPr>
          <w:noProof/>
          <w:szCs w:val="22"/>
          <w:highlight w:val="lightGray"/>
          <w:lang w:val="en-GB"/>
        </w:rPr>
        <w:t>Tolvecom 80 mg/10 mg/25 mg tabletės</w:t>
      </w:r>
    </w:p>
    <w:p w14:paraId="4597FB72" w14:textId="77777777" w:rsidR="00D25008" w:rsidRDefault="00D25008">
      <w:pPr>
        <w:rPr>
          <w:noProof/>
        </w:rPr>
      </w:pPr>
    </w:p>
    <w:p w14:paraId="72962F8F" w14:textId="77777777" w:rsidR="00D25008" w:rsidRDefault="00FE2A61">
      <w:pPr>
        <w:widowControl w:val="0"/>
        <w:rPr>
          <w:noProof/>
          <w:szCs w:val="22"/>
          <w:lang w:val="en-GB"/>
        </w:rPr>
      </w:pPr>
      <w:r>
        <w:rPr>
          <w:noProof/>
          <w:szCs w:val="22"/>
          <w:lang w:val="en-GB"/>
        </w:rPr>
        <w:t>telmisartanas/amlodipinas/hidrochlorotiazidas</w:t>
      </w:r>
    </w:p>
    <w:p w14:paraId="06AB776A" w14:textId="77777777" w:rsidR="00D25008" w:rsidRDefault="00D25008">
      <w:pPr>
        <w:widowControl w:val="0"/>
        <w:rPr>
          <w:noProof/>
          <w:szCs w:val="22"/>
          <w:lang w:val="en-GB"/>
        </w:rPr>
      </w:pPr>
    </w:p>
    <w:p w14:paraId="7B10D7B9" w14:textId="77777777" w:rsidR="00D25008" w:rsidRDefault="00D25008">
      <w:pPr>
        <w:rPr>
          <w:noProof/>
        </w:rPr>
      </w:pPr>
    </w:p>
    <w:p w14:paraId="5030D994" w14:textId="77777777" w:rsidR="00D25008" w:rsidRDefault="00FE2A61">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7D17E8E4" w14:textId="77777777" w:rsidR="00D25008" w:rsidRDefault="00D25008">
      <w:pPr>
        <w:rPr>
          <w:noProof/>
        </w:rPr>
      </w:pPr>
    </w:p>
    <w:p w14:paraId="194E62C6" w14:textId="77777777" w:rsidR="00D25008" w:rsidRDefault="00FE2A61">
      <w:pPr>
        <w:widowControl w:val="0"/>
        <w:tabs>
          <w:tab w:val="left" w:pos="567"/>
        </w:tabs>
        <w:rPr>
          <w:i/>
          <w:iCs/>
          <w:noProof/>
          <w:szCs w:val="22"/>
          <w:highlight w:val="lightGray"/>
          <w:u w:val="single"/>
        </w:rPr>
      </w:pPr>
      <w:r>
        <w:rPr>
          <w:i/>
          <w:iCs/>
          <w:noProof/>
          <w:szCs w:val="22"/>
          <w:highlight w:val="lightGray"/>
          <w:u w:val="single"/>
        </w:rPr>
        <w:t>Tolvecom 40 mg/5 mg/12,5 mg tabletės</w:t>
      </w:r>
    </w:p>
    <w:p w14:paraId="6F3007CA" w14:textId="77777777" w:rsidR="00D25008" w:rsidRDefault="00FE2A61">
      <w:pPr>
        <w:widowControl w:val="0"/>
        <w:tabs>
          <w:tab w:val="left" w:pos="567"/>
        </w:tabs>
        <w:rPr>
          <w:rFonts w:eastAsia="TimesNewRoman"/>
          <w:szCs w:val="22"/>
          <w:lang w:eastAsia="lt-LT"/>
        </w:rPr>
      </w:pPr>
      <w:r>
        <w:rPr>
          <w:noProof/>
          <w:szCs w:val="22"/>
        </w:rPr>
        <w:t xml:space="preserve">Kiekvienoje tabletėje yra 40 mg telmisartano, 5 mg amlodipino (besilato pavidalu) ir 12,5 mg </w:t>
      </w:r>
      <w:proofErr w:type="spellStart"/>
      <w:r>
        <w:rPr>
          <w:rFonts w:eastAsia="TimesNewRoman"/>
          <w:szCs w:val="22"/>
          <w:lang w:eastAsia="lt-LT"/>
        </w:rPr>
        <w:t>hidrochlorotiazido</w:t>
      </w:r>
      <w:proofErr w:type="spellEnd"/>
      <w:r>
        <w:rPr>
          <w:rFonts w:eastAsia="TimesNewRoman"/>
          <w:szCs w:val="22"/>
          <w:lang w:eastAsia="lt-LT"/>
        </w:rPr>
        <w:t>.</w:t>
      </w:r>
    </w:p>
    <w:p w14:paraId="20A7C3A0" w14:textId="77777777" w:rsidR="00D25008" w:rsidRDefault="00FE2A61">
      <w:pPr>
        <w:widowControl w:val="0"/>
        <w:tabs>
          <w:tab w:val="left" w:pos="567"/>
        </w:tabs>
        <w:rPr>
          <w:i/>
          <w:iCs/>
          <w:noProof/>
          <w:szCs w:val="22"/>
          <w:highlight w:val="lightGray"/>
          <w:u w:val="single"/>
        </w:rPr>
      </w:pPr>
      <w:r>
        <w:rPr>
          <w:i/>
          <w:iCs/>
          <w:noProof/>
          <w:szCs w:val="22"/>
          <w:highlight w:val="lightGray"/>
          <w:u w:val="single"/>
        </w:rPr>
        <w:t>Tolvecom 80 mg/5 mg/12,5 mg tabletės</w:t>
      </w:r>
    </w:p>
    <w:p w14:paraId="5F0892B0" w14:textId="77777777" w:rsidR="00D25008" w:rsidRDefault="00FE2A61">
      <w:pPr>
        <w:widowControl w:val="0"/>
        <w:tabs>
          <w:tab w:val="left" w:pos="567"/>
        </w:tabs>
        <w:rPr>
          <w:i/>
          <w:iCs/>
          <w:noProof/>
          <w:szCs w:val="22"/>
          <w:highlight w:val="lightGray"/>
          <w:u w:val="single"/>
        </w:rPr>
      </w:pPr>
      <w:r>
        <w:rPr>
          <w:noProof/>
          <w:szCs w:val="22"/>
          <w:highlight w:val="lightGray"/>
        </w:rPr>
        <w:t xml:space="preserve">Kiekvienoje tabletėje yra 80 mg telmisartano, 5 mg amlodipino (besilato pavidalu) ir 12,5 mg </w:t>
      </w:r>
      <w:proofErr w:type="spellStart"/>
      <w:r>
        <w:rPr>
          <w:rFonts w:eastAsia="TimesNewRoman"/>
          <w:szCs w:val="22"/>
          <w:highlight w:val="lightGray"/>
          <w:lang w:eastAsia="lt-LT"/>
        </w:rPr>
        <w:t>hidrochlorotiazido</w:t>
      </w:r>
      <w:proofErr w:type="spellEnd"/>
      <w:r>
        <w:rPr>
          <w:rFonts w:eastAsia="TimesNewRoman"/>
          <w:szCs w:val="22"/>
          <w:highlight w:val="lightGray"/>
          <w:lang w:eastAsia="lt-LT"/>
        </w:rPr>
        <w:t>.</w:t>
      </w:r>
    </w:p>
    <w:p w14:paraId="66F0414D" w14:textId="77777777" w:rsidR="00D25008" w:rsidRDefault="00FE2A61">
      <w:pPr>
        <w:widowControl w:val="0"/>
        <w:tabs>
          <w:tab w:val="left" w:pos="567"/>
        </w:tabs>
        <w:rPr>
          <w:i/>
          <w:iCs/>
          <w:noProof/>
          <w:szCs w:val="22"/>
          <w:highlight w:val="lightGray"/>
          <w:u w:val="single"/>
        </w:rPr>
      </w:pPr>
      <w:r>
        <w:rPr>
          <w:i/>
          <w:iCs/>
          <w:noProof/>
          <w:szCs w:val="22"/>
          <w:highlight w:val="lightGray"/>
          <w:u w:val="single"/>
        </w:rPr>
        <w:t>Tolvecom 80 mg/10 mg/12,5 mg tabletės</w:t>
      </w:r>
    </w:p>
    <w:p w14:paraId="2A061F3C" w14:textId="77777777" w:rsidR="00D25008" w:rsidRDefault="00FE2A61">
      <w:pPr>
        <w:widowControl w:val="0"/>
        <w:tabs>
          <w:tab w:val="left" w:pos="567"/>
        </w:tabs>
        <w:rPr>
          <w:i/>
          <w:iCs/>
          <w:noProof/>
          <w:szCs w:val="22"/>
          <w:highlight w:val="lightGray"/>
          <w:u w:val="single"/>
        </w:rPr>
      </w:pPr>
      <w:r>
        <w:rPr>
          <w:noProof/>
          <w:szCs w:val="22"/>
          <w:highlight w:val="lightGray"/>
        </w:rPr>
        <w:t xml:space="preserve">Kiekvienoje tabletėje yra 80 mg telmisartano, 10 mg amlodipino (besilato pavidalu) ir 12,5 mg </w:t>
      </w:r>
      <w:proofErr w:type="spellStart"/>
      <w:r>
        <w:rPr>
          <w:rFonts w:eastAsia="TimesNewRoman"/>
          <w:szCs w:val="22"/>
          <w:highlight w:val="lightGray"/>
          <w:lang w:eastAsia="lt-LT"/>
        </w:rPr>
        <w:t>hidrochlorotiazido</w:t>
      </w:r>
      <w:proofErr w:type="spellEnd"/>
      <w:r>
        <w:rPr>
          <w:rFonts w:eastAsia="TimesNewRoman"/>
          <w:szCs w:val="22"/>
          <w:highlight w:val="lightGray"/>
          <w:lang w:eastAsia="lt-LT"/>
        </w:rPr>
        <w:t>.</w:t>
      </w:r>
    </w:p>
    <w:p w14:paraId="47E908BA" w14:textId="77777777" w:rsidR="00D25008" w:rsidRDefault="00FE2A61">
      <w:pPr>
        <w:widowControl w:val="0"/>
        <w:tabs>
          <w:tab w:val="left" w:pos="567"/>
        </w:tabs>
        <w:rPr>
          <w:i/>
          <w:iCs/>
          <w:noProof/>
          <w:szCs w:val="22"/>
          <w:u w:val="single"/>
        </w:rPr>
      </w:pPr>
      <w:r>
        <w:rPr>
          <w:i/>
          <w:iCs/>
          <w:noProof/>
          <w:szCs w:val="22"/>
          <w:highlight w:val="lightGray"/>
          <w:u w:val="single"/>
        </w:rPr>
        <w:t>Tolvecom 80 mg/10 mg/25 mg tabletės</w:t>
      </w:r>
    </w:p>
    <w:p w14:paraId="5200AFCB" w14:textId="77777777" w:rsidR="00D25008" w:rsidRDefault="00FE2A61">
      <w:r>
        <w:rPr>
          <w:noProof/>
          <w:szCs w:val="22"/>
          <w:highlight w:val="lightGray"/>
        </w:rPr>
        <w:t xml:space="preserve">Kiekvienoje tabletėje yra 80 mg telmisartano, 10 mg amlodipino (besilato pavidalu) ir 25 mg </w:t>
      </w:r>
      <w:proofErr w:type="spellStart"/>
      <w:r>
        <w:rPr>
          <w:rFonts w:eastAsia="TimesNewRoman"/>
          <w:szCs w:val="22"/>
          <w:highlight w:val="lightGray"/>
          <w:lang w:eastAsia="lt-LT"/>
        </w:rPr>
        <w:t>hidrochlorotiazido</w:t>
      </w:r>
      <w:proofErr w:type="spellEnd"/>
      <w:r>
        <w:rPr>
          <w:rFonts w:eastAsia="TimesNewRoman"/>
          <w:szCs w:val="22"/>
          <w:highlight w:val="lightGray"/>
          <w:lang w:eastAsia="lt-LT"/>
        </w:rPr>
        <w:t>.</w:t>
      </w:r>
    </w:p>
    <w:p w14:paraId="7F64F1FB" w14:textId="77777777" w:rsidR="00D25008" w:rsidRDefault="00D25008">
      <w:pPr>
        <w:rPr>
          <w:noProof/>
        </w:rPr>
      </w:pPr>
    </w:p>
    <w:p w14:paraId="5EA43852" w14:textId="77777777" w:rsidR="00D25008" w:rsidRDefault="00D25008">
      <w:pPr>
        <w:rPr>
          <w:noProof/>
        </w:rPr>
      </w:pPr>
    </w:p>
    <w:p w14:paraId="5D1191A8" w14:textId="77777777" w:rsidR="00D25008" w:rsidRDefault="00FE2A61">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060DBB24" w14:textId="77777777" w:rsidR="00D25008" w:rsidRDefault="00D25008">
      <w:pPr>
        <w:rPr>
          <w:noProof/>
        </w:rPr>
      </w:pPr>
    </w:p>
    <w:p w14:paraId="57D11723" w14:textId="77777777" w:rsidR="00D25008" w:rsidRDefault="00FE2A61">
      <w:pPr>
        <w:rPr>
          <w:noProof/>
        </w:rPr>
      </w:pPr>
      <w:r>
        <w:rPr>
          <w:noProof/>
        </w:rPr>
        <w:t>Sudėtyje yra laktozės.</w:t>
      </w:r>
    </w:p>
    <w:p w14:paraId="0B71895D" w14:textId="77777777" w:rsidR="00D25008" w:rsidRDefault="00FE2A61">
      <w:pPr>
        <w:rPr>
          <w:noProof/>
        </w:rPr>
      </w:pPr>
      <w:r>
        <w:rPr>
          <w:noProof/>
        </w:rPr>
        <w:t>Daugiau informacijos pateikta pakuotės lapelyje.</w:t>
      </w:r>
    </w:p>
    <w:p w14:paraId="1DAF5AA0" w14:textId="77777777" w:rsidR="00D25008" w:rsidRDefault="00D25008">
      <w:pPr>
        <w:rPr>
          <w:noProof/>
        </w:rPr>
      </w:pPr>
    </w:p>
    <w:p w14:paraId="6B347B8C" w14:textId="77777777" w:rsidR="00D25008" w:rsidRDefault="00D25008">
      <w:pPr>
        <w:rPr>
          <w:noProof/>
        </w:rPr>
      </w:pPr>
    </w:p>
    <w:p w14:paraId="57749861" w14:textId="77777777" w:rsidR="00D25008" w:rsidRDefault="00FE2A61">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2F069815" w14:textId="77777777" w:rsidR="00D25008" w:rsidRDefault="00D25008">
      <w:pPr>
        <w:rPr>
          <w:noProof/>
        </w:rPr>
      </w:pPr>
    </w:p>
    <w:p w14:paraId="2B05251D" w14:textId="77777777" w:rsidR="00D25008" w:rsidRDefault="00FE2A61">
      <w:pPr>
        <w:widowControl w:val="0"/>
        <w:tabs>
          <w:tab w:val="left" w:pos="1440"/>
        </w:tabs>
        <w:rPr>
          <w:iCs/>
          <w:szCs w:val="22"/>
        </w:rPr>
      </w:pPr>
      <w:r>
        <w:rPr>
          <w:iCs/>
          <w:szCs w:val="22"/>
          <w:highlight w:val="lightGray"/>
        </w:rPr>
        <w:t>tabletė</w:t>
      </w:r>
    </w:p>
    <w:p w14:paraId="7F6D87F2" w14:textId="77777777" w:rsidR="00D25008" w:rsidRDefault="00D25008">
      <w:pPr>
        <w:widowControl w:val="0"/>
        <w:tabs>
          <w:tab w:val="left" w:pos="1440"/>
        </w:tabs>
        <w:rPr>
          <w:iCs/>
          <w:szCs w:val="22"/>
          <w:highlight w:val="cyan"/>
        </w:rPr>
      </w:pPr>
    </w:p>
    <w:p w14:paraId="28055AE2" w14:textId="77777777" w:rsidR="00D25008" w:rsidRDefault="00FE2A61">
      <w:pPr>
        <w:widowControl w:val="0"/>
        <w:rPr>
          <w:noProof/>
          <w:szCs w:val="22"/>
          <w:lang w:val="en-GB"/>
        </w:rPr>
      </w:pPr>
      <w:r>
        <w:rPr>
          <w:noProof/>
          <w:szCs w:val="22"/>
          <w:lang w:val="en-GB"/>
        </w:rPr>
        <w:t>28 tabletės</w:t>
      </w:r>
    </w:p>
    <w:p w14:paraId="707C4F43" w14:textId="77777777" w:rsidR="00D25008" w:rsidRDefault="00FE2A61">
      <w:pPr>
        <w:widowControl w:val="0"/>
        <w:rPr>
          <w:noProof/>
          <w:szCs w:val="22"/>
          <w:highlight w:val="lightGray"/>
          <w:lang w:val="en-GB"/>
        </w:rPr>
      </w:pPr>
      <w:r>
        <w:rPr>
          <w:noProof/>
          <w:szCs w:val="22"/>
          <w:highlight w:val="lightGray"/>
          <w:lang w:val="en-GB"/>
        </w:rPr>
        <w:t>30 tablečių</w:t>
      </w:r>
    </w:p>
    <w:p w14:paraId="6BF9C243" w14:textId="77777777" w:rsidR="00D25008" w:rsidRDefault="00FE2A61">
      <w:pPr>
        <w:widowControl w:val="0"/>
        <w:rPr>
          <w:noProof/>
          <w:szCs w:val="22"/>
          <w:highlight w:val="lightGray"/>
          <w:lang w:val="en-GB"/>
        </w:rPr>
      </w:pPr>
      <w:r>
        <w:rPr>
          <w:noProof/>
          <w:szCs w:val="22"/>
          <w:highlight w:val="lightGray"/>
          <w:lang w:val="en-GB"/>
        </w:rPr>
        <w:t>56 tabletės</w:t>
      </w:r>
    </w:p>
    <w:p w14:paraId="679E672B" w14:textId="77777777" w:rsidR="00D25008" w:rsidRDefault="00FE2A61">
      <w:pPr>
        <w:widowControl w:val="0"/>
        <w:rPr>
          <w:noProof/>
          <w:szCs w:val="22"/>
          <w:highlight w:val="lightGray"/>
          <w:lang w:val="en-GB"/>
        </w:rPr>
      </w:pPr>
      <w:r>
        <w:rPr>
          <w:noProof/>
          <w:szCs w:val="22"/>
          <w:highlight w:val="lightGray"/>
          <w:lang w:val="en-GB"/>
        </w:rPr>
        <w:t>60 tablečių</w:t>
      </w:r>
    </w:p>
    <w:p w14:paraId="42E8CCF0" w14:textId="77777777" w:rsidR="00D25008" w:rsidRDefault="00FE2A61">
      <w:pPr>
        <w:widowControl w:val="0"/>
        <w:rPr>
          <w:noProof/>
          <w:szCs w:val="22"/>
          <w:highlight w:val="lightGray"/>
          <w:lang w:val="en-GB"/>
        </w:rPr>
      </w:pPr>
      <w:r>
        <w:rPr>
          <w:noProof/>
          <w:szCs w:val="22"/>
          <w:highlight w:val="lightGray"/>
          <w:lang w:val="en-GB"/>
        </w:rPr>
        <w:t>84 tabletės</w:t>
      </w:r>
    </w:p>
    <w:p w14:paraId="780AF7BD" w14:textId="77777777" w:rsidR="00D25008" w:rsidRDefault="00FE2A61">
      <w:pPr>
        <w:widowControl w:val="0"/>
        <w:rPr>
          <w:noProof/>
          <w:szCs w:val="22"/>
          <w:lang w:val="en-GB"/>
        </w:rPr>
      </w:pPr>
      <w:r>
        <w:rPr>
          <w:noProof/>
          <w:szCs w:val="22"/>
          <w:highlight w:val="lightGray"/>
          <w:lang w:val="en-GB"/>
        </w:rPr>
        <w:t>90 tablečių</w:t>
      </w:r>
    </w:p>
    <w:p w14:paraId="57CF04B8" w14:textId="77777777" w:rsidR="00D25008" w:rsidRDefault="00D25008">
      <w:pPr>
        <w:rPr>
          <w:noProof/>
        </w:rPr>
      </w:pPr>
    </w:p>
    <w:p w14:paraId="3BF4F8CF" w14:textId="77777777" w:rsidR="00D25008" w:rsidRDefault="00D25008">
      <w:pPr>
        <w:rPr>
          <w:noProof/>
        </w:rPr>
      </w:pPr>
    </w:p>
    <w:p w14:paraId="3FFA019A" w14:textId="77777777" w:rsidR="00D25008" w:rsidRDefault="00FE2A61">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751C5A11" w14:textId="77777777" w:rsidR="00D25008" w:rsidRDefault="00D25008">
      <w:pPr>
        <w:rPr>
          <w:i/>
          <w:noProof/>
        </w:rPr>
      </w:pPr>
    </w:p>
    <w:p w14:paraId="5BB8384F" w14:textId="77777777" w:rsidR="00D25008" w:rsidRDefault="00FE2A61">
      <w:pPr>
        <w:tabs>
          <w:tab w:val="left" w:pos="567"/>
        </w:tabs>
        <w:spacing w:line="260" w:lineRule="exact"/>
        <w:rPr>
          <w:szCs w:val="22"/>
        </w:rPr>
      </w:pPr>
      <w:r>
        <w:rPr>
          <w:szCs w:val="22"/>
        </w:rPr>
        <w:t>Prieš vartojimą perskaitykite pakuotės lapelį.</w:t>
      </w:r>
    </w:p>
    <w:p w14:paraId="45550B89" w14:textId="77777777" w:rsidR="00D25008" w:rsidRDefault="00FE2A61">
      <w:pPr>
        <w:rPr>
          <w:szCs w:val="22"/>
        </w:rPr>
      </w:pPr>
      <w:r>
        <w:rPr>
          <w:szCs w:val="22"/>
        </w:rPr>
        <w:t>Vartoti per burną.</w:t>
      </w:r>
    </w:p>
    <w:p w14:paraId="6AA862A1" w14:textId="77777777" w:rsidR="00D25008" w:rsidRDefault="00D25008">
      <w:pPr>
        <w:rPr>
          <w:noProof/>
        </w:rPr>
      </w:pPr>
    </w:p>
    <w:p w14:paraId="58DCAEDA" w14:textId="77777777" w:rsidR="00D25008" w:rsidRDefault="00FE2A61">
      <w:pPr>
        <w:pBdr>
          <w:top w:val="single" w:sz="4" w:space="0" w:color="auto"/>
          <w:left w:val="single" w:sz="4" w:space="4" w:color="auto"/>
          <w:bottom w:val="single" w:sz="4" w:space="1" w:color="auto"/>
          <w:right w:val="single" w:sz="4" w:space="4" w:color="auto"/>
        </w:pBdr>
        <w:ind w:left="567" w:hanging="567"/>
        <w:outlineLvl w:val="0"/>
        <w:rPr>
          <w:noProof/>
        </w:rPr>
      </w:pPr>
      <w:r>
        <w:rPr>
          <w:b/>
          <w:noProof/>
        </w:rPr>
        <w:lastRenderedPageBreak/>
        <w:t>6.</w:t>
      </w:r>
      <w:r>
        <w:rPr>
          <w:b/>
          <w:noProof/>
        </w:rPr>
        <w:tab/>
      </w:r>
      <w:r>
        <w:rPr>
          <w:b/>
          <w:bCs/>
          <w:noProof/>
        </w:rPr>
        <w:t>SPECIALUS ĮSPĖJIMAS, KAD VAISTINĮ PREPARATĄ BŪTINA LAIKYTI VAIKAMS NEPASTEBIMOJE IR NEPASIEKIAMOJE VIETOJE</w:t>
      </w:r>
    </w:p>
    <w:p w14:paraId="252CBE68" w14:textId="77777777" w:rsidR="00D25008" w:rsidRDefault="00D25008">
      <w:pPr>
        <w:rPr>
          <w:noProof/>
        </w:rPr>
      </w:pPr>
    </w:p>
    <w:p w14:paraId="4091741F" w14:textId="77777777" w:rsidR="00D25008" w:rsidRDefault="00FE2A61">
      <w:pPr>
        <w:rPr>
          <w:noProof/>
        </w:rPr>
      </w:pPr>
      <w:r>
        <w:rPr>
          <w:noProof/>
        </w:rPr>
        <w:t>Laikyti vaikams nepastebimoje ir nepasiekiamoje vietoje.</w:t>
      </w:r>
    </w:p>
    <w:p w14:paraId="2720A906" w14:textId="77777777" w:rsidR="00D25008" w:rsidRDefault="00D25008">
      <w:pPr>
        <w:rPr>
          <w:noProof/>
        </w:rPr>
      </w:pPr>
    </w:p>
    <w:p w14:paraId="2B0103E7" w14:textId="77777777" w:rsidR="00D25008" w:rsidRDefault="00D25008">
      <w:pPr>
        <w:rPr>
          <w:noProof/>
        </w:rPr>
      </w:pPr>
    </w:p>
    <w:p w14:paraId="60FF7BA6" w14:textId="77777777" w:rsidR="00D25008" w:rsidRDefault="00FE2A61">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44377B20" w14:textId="77777777" w:rsidR="00D25008" w:rsidRDefault="00D25008">
      <w:pPr>
        <w:rPr>
          <w:noProof/>
        </w:rPr>
      </w:pPr>
    </w:p>
    <w:p w14:paraId="1F7B6314" w14:textId="77777777" w:rsidR="00D25008" w:rsidRDefault="00D25008">
      <w:pPr>
        <w:rPr>
          <w:noProof/>
        </w:rPr>
      </w:pPr>
    </w:p>
    <w:p w14:paraId="5B94B1AF" w14:textId="77777777" w:rsidR="00D25008" w:rsidRDefault="00FE2A61">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727161FC" w14:textId="77777777" w:rsidR="00D25008" w:rsidRDefault="00D25008">
      <w:pPr>
        <w:rPr>
          <w:i/>
          <w:noProof/>
        </w:rPr>
      </w:pPr>
    </w:p>
    <w:p w14:paraId="02C8F178" w14:textId="77777777" w:rsidR="00D25008" w:rsidRDefault="00FE2A61">
      <w:pPr>
        <w:rPr>
          <w:iCs/>
          <w:noProof/>
        </w:rPr>
      </w:pPr>
      <w:r>
        <w:rPr>
          <w:iCs/>
          <w:noProof/>
        </w:rPr>
        <w:t xml:space="preserve">EXP </w:t>
      </w:r>
      <w:r>
        <w:rPr>
          <w:snapToGrid w:val="0"/>
        </w:rPr>
        <w:t>(mm/MMMM)</w:t>
      </w:r>
    </w:p>
    <w:p w14:paraId="71E431E0" w14:textId="77777777" w:rsidR="00D25008" w:rsidRDefault="00D25008">
      <w:pPr>
        <w:rPr>
          <w:noProof/>
        </w:rPr>
      </w:pPr>
    </w:p>
    <w:p w14:paraId="5A5A61CD" w14:textId="77777777" w:rsidR="00D25008" w:rsidRDefault="00D25008">
      <w:pPr>
        <w:rPr>
          <w:noProof/>
        </w:rPr>
      </w:pPr>
    </w:p>
    <w:p w14:paraId="5866D6F4" w14:textId="77777777" w:rsidR="00D25008" w:rsidRDefault="00FE2A61">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7C51348A" w14:textId="77777777" w:rsidR="00D25008" w:rsidRDefault="00D25008">
      <w:pPr>
        <w:rPr>
          <w:i/>
          <w:noProof/>
        </w:rPr>
      </w:pPr>
    </w:p>
    <w:p w14:paraId="52599388" w14:textId="77777777" w:rsidR="00D25008" w:rsidRDefault="00FE2A61">
      <w:pPr>
        <w:ind w:left="567" w:hanging="567"/>
      </w:pPr>
      <w:r>
        <w:t>Laikyti gamintojo pakuotėje, kad vaistas būtų apsaugotas nuo šviesos ir drėgmės.</w:t>
      </w:r>
    </w:p>
    <w:p w14:paraId="517DBCEB" w14:textId="77777777" w:rsidR="00D25008" w:rsidRDefault="00D25008">
      <w:pPr>
        <w:ind w:left="567" w:hanging="567"/>
        <w:rPr>
          <w:i/>
          <w:iCs/>
        </w:rPr>
      </w:pPr>
    </w:p>
    <w:p w14:paraId="5FC56E84" w14:textId="77777777" w:rsidR="00D25008" w:rsidRDefault="00D25008">
      <w:pPr>
        <w:ind w:left="567" w:hanging="567"/>
        <w:rPr>
          <w:noProof/>
        </w:rPr>
      </w:pPr>
    </w:p>
    <w:p w14:paraId="342DB46A" w14:textId="77777777" w:rsidR="00D25008" w:rsidRDefault="00FE2A61">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ATLIEKŲ</w:t>
      </w:r>
      <w:r>
        <w:rPr>
          <w:caps/>
          <w:noProof/>
        </w:rPr>
        <w:t xml:space="preserve"> </w:t>
      </w:r>
      <w:r>
        <w:rPr>
          <w:b/>
          <w:bCs/>
          <w:caps/>
          <w:noProof/>
        </w:rPr>
        <w:t>TVARKYMO</w:t>
      </w:r>
      <w:r>
        <w:rPr>
          <w:b/>
          <w:caps/>
          <w:noProof/>
        </w:rPr>
        <w:t xml:space="preserve"> (jei reikia)</w:t>
      </w:r>
    </w:p>
    <w:p w14:paraId="586F2704" w14:textId="77777777" w:rsidR="00D25008" w:rsidRDefault="00D25008">
      <w:pPr>
        <w:rPr>
          <w:noProof/>
        </w:rPr>
      </w:pPr>
    </w:p>
    <w:p w14:paraId="3B389C7F" w14:textId="77777777" w:rsidR="00D25008" w:rsidRDefault="00D25008">
      <w:pPr>
        <w:rPr>
          <w:noProof/>
        </w:rPr>
      </w:pPr>
    </w:p>
    <w:p w14:paraId="05D87807" w14:textId="77777777" w:rsidR="00D25008" w:rsidRDefault="00FE2A61">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5C814762" w14:textId="77777777" w:rsidR="00D25008" w:rsidRDefault="00D25008"/>
    <w:p w14:paraId="669C6632" w14:textId="77777777" w:rsidR="00D25008" w:rsidRDefault="00FE2A61">
      <w:pPr>
        <w:widowControl w:val="0"/>
        <w:tabs>
          <w:tab w:val="left" w:pos="567"/>
        </w:tabs>
        <w:rPr>
          <w:szCs w:val="20"/>
          <w:lang w:eastAsia="sl-SI"/>
        </w:rPr>
      </w:pPr>
      <w:r>
        <w:rPr>
          <w:szCs w:val="20"/>
          <w:lang w:eastAsia="sl-SI"/>
        </w:rPr>
        <w:t>KRKA</w:t>
      </w:r>
      <w:r>
        <w:rPr>
          <w:snapToGrid w:val="0"/>
          <w:szCs w:val="22"/>
        </w:rPr>
        <w:t xml:space="preserve">, </w:t>
      </w:r>
      <w:proofErr w:type="spellStart"/>
      <w:r>
        <w:rPr>
          <w:snapToGrid w:val="0"/>
          <w:szCs w:val="22"/>
        </w:rPr>
        <w:t>d.d</w:t>
      </w:r>
      <w:proofErr w:type="spellEnd"/>
      <w:r>
        <w:rPr>
          <w:snapToGrid w:val="0"/>
          <w:szCs w:val="22"/>
        </w:rPr>
        <w:t>., Novo mesto</w:t>
      </w:r>
    </w:p>
    <w:p w14:paraId="19098613" w14:textId="77777777" w:rsidR="00D25008" w:rsidRDefault="00FE2A61">
      <w:pPr>
        <w:widowControl w:val="0"/>
        <w:tabs>
          <w:tab w:val="left" w:pos="567"/>
        </w:tabs>
        <w:rPr>
          <w:szCs w:val="20"/>
          <w:lang w:eastAsia="sl-SI"/>
        </w:rPr>
      </w:pPr>
      <w:proofErr w:type="spellStart"/>
      <w:r>
        <w:rPr>
          <w:snapToGrid w:val="0"/>
          <w:szCs w:val="22"/>
        </w:rPr>
        <w:t>Šmarješka</w:t>
      </w:r>
      <w:proofErr w:type="spellEnd"/>
      <w:r>
        <w:rPr>
          <w:snapToGrid w:val="0"/>
          <w:szCs w:val="22"/>
        </w:rPr>
        <w:t xml:space="preserve"> </w:t>
      </w:r>
      <w:proofErr w:type="spellStart"/>
      <w:r>
        <w:rPr>
          <w:snapToGrid w:val="0"/>
          <w:szCs w:val="22"/>
        </w:rPr>
        <w:t>cesta</w:t>
      </w:r>
      <w:proofErr w:type="spellEnd"/>
      <w:r>
        <w:rPr>
          <w:snapToGrid w:val="0"/>
          <w:szCs w:val="22"/>
        </w:rPr>
        <w:t xml:space="preserve"> 6</w:t>
      </w:r>
    </w:p>
    <w:p w14:paraId="1D694EB0" w14:textId="77777777" w:rsidR="00D25008" w:rsidRDefault="00FE2A61">
      <w:pPr>
        <w:widowControl w:val="0"/>
        <w:tabs>
          <w:tab w:val="left" w:pos="567"/>
        </w:tabs>
        <w:rPr>
          <w:szCs w:val="20"/>
          <w:lang w:eastAsia="sl-SI"/>
        </w:rPr>
      </w:pPr>
      <w:r>
        <w:rPr>
          <w:snapToGrid w:val="0"/>
          <w:szCs w:val="22"/>
        </w:rPr>
        <w:t>8501 Novo mesto</w:t>
      </w:r>
    </w:p>
    <w:p w14:paraId="6BFC69DC" w14:textId="77777777" w:rsidR="00D25008" w:rsidRDefault="00FE2A61">
      <w:pPr>
        <w:widowControl w:val="0"/>
        <w:tabs>
          <w:tab w:val="left" w:pos="567"/>
        </w:tabs>
        <w:rPr>
          <w:snapToGrid w:val="0"/>
          <w:szCs w:val="22"/>
        </w:rPr>
      </w:pPr>
      <w:r>
        <w:rPr>
          <w:snapToGrid w:val="0"/>
          <w:szCs w:val="22"/>
        </w:rPr>
        <w:t>Slovėnija</w:t>
      </w:r>
    </w:p>
    <w:p w14:paraId="4D761867" w14:textId="77777777" w:rsidR="00D25008" w:rsidRDefault="00D25008">
      <w:pPr>
        <w:rPr>
          <w:noProof/>
        </w:rPr>
      </w:pPr>
    </w:p>
    <w:p w14:paraId="46930E72" w14:textId="77777777" w:rsidR="00D25008" w:rsidRDefault="00D25008">
      <w:pPr>
        <w:rPr>
          <w:noProof/>
        </w:rPr>
      </w:pPr>
    </w:p>
    <w:p w14:paraId="129DFBE4" w14:textId="77777777" w:rsidR="00D25008" w:rsidRDefault="00FE2A61">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51D51073" w14:textId="77777777" w:rsidR="00D25008" w:rsidRDefault="00D25008">
      <w:pPr>
        <w:rPr>
          <w:noProof/>
        </w:rPr>
      </w:pPr>
    </w:p>
    <w:p w14:paraId="75E4F593" w14:textId="77777777" w:rsidR="00D25008" w:rsidRDefault="00FE2A61">
      <w:pPr>
        <w:rPr>
          <w:shd w:val="clear" w:color="auto" w:fill="F2F2F2" w:themeFill="background1" w:themeFillShade="F2"/>
        </w:rPr>
      </w:pPr>
      <w:r>
        <w:rPr>
          <w:shd w:val="clear" w:color="auto" w:fill="F2F2F2" w:themeFill="background1" w:themeFillShade="F2"/>
        </w:rPr>
        <w:t>&lt;40 mg/ 5 mg/12,5 mg&gt;</w:t>
      </w:r>
    </w:p>
    <w:p w14:paraId="6BADF486" w14:textId="77777777" w:rsidR="00D25008" w:rsidRDefault="00FE2A61">
      <w:pPr>
        <w:rPr>
          <w:shd w:val="clear" w:color="auto" w:fill="F2F2F2" w:themeFill="background1" w:themeFillShade="F2"/>
        </w:rPr>
      </w:pPr>
      <w:r>
        <w:rPr>
          <w:shd w:val="clear" w:color="auto" w:fill="F2F2F2" w:themeFill="background1" w:themeFillShade="F2"/>
        </w:rPr>
        <w:t>&lt;Lizdinė plokštelė&gt;</w:t>
      </w:r>
    </w:p>
    <w:p w14:paraId="0B8A96B8" w14:textId="77777777" w:rsidR="00D25008" w:rsidRDefault="00FE2A61">
      <w:pPr>
        <w:rPr>
          <w:shd w:val="clear" w:color="auto" w:fill="F2F2F2" w:themeFill="background1" w:themeFillShade="F2"/>
        </w:rPr>
      </w:pPr>
      <w:r>
        <w:t xml:space="preserve">LT/1/24/5345/001 </w:t>
      </w:r>
      <w:r>
        <w:rPr>
          <w:shd w:val="clear" w:color="auto" w:fill="F2F2F2" w:themeFill="background1" w:themeFillShade="F2"/>
        </w:rPr>
        <w:t>– N28</w:t>
      </w:r>
    </w:p>
    <w:p w14:paraId="5EC4C2D2" w14:textId="77777777" w:rsidR="00D25008" w:rsidRDefault="00FE2A61">
      <w:pPr>
        <w:rPr>
          <w:shd w:val="clear" w:color="auto" w:fill="F2F2F2" w:themeFill="background1" w:themeFillShade="F2"/>
        </w:rPr>
      </w:pPr>
      <w:r>
        <w:rPr>
          <w:shd w:val="clear" w:color="auto" w:fill="F2F2F2" w:themeFill="background1" w:themeFillShade="F2"/>
        </w:rPr>
        <w:t>LT/1/24/5345/002 – N30</w:t>
      </w:r>
    </w:p>
    <w:p w14:paraId="3D72D20C" w14:textId="77777777" w:rsidR="00D25008" w:rsidRDefault="00FE2A61">
      <w:pPr>
        <w:rPr>
          <w:shd w:val="clear" w:color="auto" w:fill="F2F2F2" w:themeFill="background1" w:themeFillShade="F2"/>
        </w:rPr>
      </w:pPr>
      <w:r>
        <w:rPr>
          <w:shd w:val="clear" w:color="auto" w:fill="F2F2F2" w:themeFill="background1" w:themeFillShade="F2"/>
        </w:rPr>
        <w:t>LT/1/24/5345/003 – N56</w:t>
      </w:r>
    </w:p>
    <w:p w14:paraId="78F0F571" w14:textId="77777777" w:rsidR="00D25008" w:rsidRDefault="00FE2A61">
      <w:pPr>
        <w:rPr>
          <w:shd w:val="clear" w:color="auto" w:fill="F2F2F2" w:themeFill="background1" w:themeFillShade="F2"/>
        </w:rPr>
      </w:pPr>
      <w:r>
        <w:rPr>
          <w:shd w:val="clear" w:color="auto" w:fill="F2F2F2" w:themeFill="background1" w:themeFillShade="F2"/>
        </w:rPr>
        <w:t>LT/1/24/5345/004 – N60</w:t>
      </w:r>
    </w:p>
    <w:p w14:paraId="4F04DD25" w14:textId="77777777" w:rsidR="00D25008" w:rsidRDefault="00FE2A61">
      <w:pPr>
        <w:rPr>
          <w:shd w:val="clear" w:color="auto" w:fill="F2F2F2" w:themeFill="background1" w:themeFillShade="F2"/>
        </w:rPr>
      </w:pPr>
      <w:r>
        <w:rPr>
          <w:shd w:val="clear" w:color="auto" w:fill="F2F2F2" w:themeFill="background1" w:themeFillShade="F2"/>
        </w:rPr>
        <w:t>LT/1/24/5345/005 – N84</w:t>
      </w:r>
    </w:p>
    <w:p w14:paraId="08A4C044" w14:textId="77777777" w:rsidR="00D25008" w:rsidRDefault="00FE2A61">
      <w:pPr>
        <w:rPr>
          <w:shd w:val="clear" w:color="auto" w:fill="F2F2F2" w:themeFill="background1" w:themeFillShade="F2"/>
        </w:rPr>
      </w:pPr>
      <w:r>
        <w:rPr>
          <w:shd w:val="clear" w:color="auto" w:fill="F2F2F2" w:themeFill="background1" w:themeFillShade="F2"/>
        </w:rPr>
        <w:t>LT/1/24/5345/006 – N90</w:t>
      </w:r>
    </w:p>
    <w:p w14:paraId="3370B2CA" w14:textId="77777777" w:rsidR="00D25008" w:rsidRDefault="00FE2A61">
      <w:pPr>
        <w:rPr>
          <w:shd w:val="clear" w:color="auto" w:fill="F2F2F2" w:themeFill="background1" w:themeFillShade="F2"/>
        </w:rPr>
      </w:pPr>
      <w:r>
        <w:rPr>
          <w:shd w:val="clear" w:color="auto" w:fill="F2F2F2" w:themeFill="background1" w:themeFillShade="F2"/>
        </w:rPr>
        <w:t>&lt;Lizdinė plokštelė (kalendorinė pakuotė)&gt;</w:t>
      </w:r>
    </w:p>
    <w:p w14:paraId="0587D12B" w14:textId="77777777" w:rsidR="00D25008" w:rsidRDefault="00FE2A61">
      <w:pPr>
        <w:rPr>
          <w:shd w:val="clear" w:color="auto" w:fill="F2F2F2" w:themeFill="background1" w:themeFillShade="F2"/>
        </w:rPr>
      </w:pPr>
      <w:r>
        <w:rPr>
          <w:shd w:val="clear" w:color="auto" w:fill="F2F2F2" w:themeFill="background1" w:themeFillShade="F2"/>
        </w:rPr>
        <w:t>LT/1/24/5345/007 – N28</w:t>
      </w:r>
    </w:p>
    <w:p w14:paraId="467013AC" w14:textId="77777777" w:rsidR="00D25008" w:rsidRDefault="00FE2A61">
      <w:pPr>
        <w:rPr>
          <w:shd w:val="clear" w:color="auto" w:fill="F2F2F2" w:themeFill="background1" w:themeFillShade="F2"/>
        </w:rPr>
      </w:pPr>
      <w:r>
        <w:rPr>
          <w:shd w:val="clear" w:color="auto" w:fill="F2F2F2" w:themeFill="background1" w:themeFillShade="F2"/>
        </w:rPr>
        <w:t>LT/1/24/5345/008 – N56</w:t>
      </w:r>
    </w:p>
    <w:p w14:paraId="54AF7809" w14:textId="77777777" w:rsidR="00D25008" w:rsidRDefault="00FE2A61">
      <w:pPr>
        <w:rPr>
          <w:shd w:val="clear" w:color="auto" w:fill="F2F2F2" w:themeFill="background1" w:themeFillShade="F2"/>
        </w:rPr>
      </w:pPr>
      <w:r>
        <w:rPr>
          <w:shd w:val="clear" w:color="auto" w:fill="F2F2F2" w:themeFill="background1" w:themeFillShade="F2"/>
        </w:rPr>
        <w:t>LT/1/24/5345/009 – N84</w:t>
      </w:r>
    </w:p>
    <w:p w14:paraId="6A9CE734" w14:textId="77777777" w:rsidR="00D25008" w:rsidRDefault="00D25008">
      <w:pPr>
        <w:rPr>
          <w:shd w:val="clear" w:color="auto" w:fill="F2F2F2" w:themeFill="background1" w:themeFillShade="F2"/>
        </w:rPr>
      </w:pPr>
    </w:p>
    <w:p w14:paraId="205EB259" w14:textId="77777777" w:rsidR="00D25008" w:rsidRDefault="00FE2A61">
      <w:pPr>
        <w:rPr>
          <w:shd w:val="clear" w:color="auto" w:fill="F2F2F2" w:themeFill="background1" w:themeFillShade="F2"/>
        </w:rPr>
      </w:pPr>
      <w:r>
        <w:rPr>
          <w:shd w:val="clear" w:color="auto" w:fill="F2F2F2" w:themeFill="background1" w:themeFillShade="F2"/>
        </w:rPr>
        <w:t>&lt;80 mg/ 5 mg/12,5 mg&gt;</w:t>
      </w:r>
    </w:p>
    <w:p w14:paraId="6BECCEDB" w14:textId="77777777" w:rsidR="00D25008" w:rsidRDefault="00FE2A61">
      <w:pPr>
        <w:rPr>
          <w:shd w:val="clear" w:color="auto" w:fill="F2F2F2" w:themeFill="background1" w:themeFillShade="F2"/>
        </w:rPr>
      </w:pPr>
      <w:r>
        <w:rPr>
          <w:shd w:val="clear" w:color="auto" w:fill="F2F2F2" w:themeFill="background1" w:themeFillShade="F2"/>
        </w:rPr>
        <w:t>&lt;Lizdinė plokštelė&gt;</w:t>
      </w:r>
    </w:p>
    <w:p w14:paraId="76C88F2E" w14:textId="77777777" w:rsidR="00D25008" w:rsidRDefault="00FE2A61">
      <w:pPr>
        <w:rPr>
          <w:shd w:val="clear" w:color="auto" w:fill="F2F2F2" w:themeFill="background1" w:themeFillShade="F2"/>
        </w:rPr>
      </w:pPr>
      <w:r>
        <w:rPr>
          <w:shd w:val="clear" w:color="auto" w:fill="F2F2F2" w:themeFill="background1" w:themeFillShade="F2"/>
        </w:rPr>
        <w:t>LT/1/24/5346/001 – N28</w:t>
      </w:r>
    </w:p>
    <w:p w14:paraId="0729E002" w14:textId="77777777" w:rsidR="00D25008" w:rsidRDefault="00FE2A61">
      <w:pPr>
        <w:rPr>
          <w:shd w:val="clear" w:color="auto" w:fill="F2F2F2" w:themeFill="background1" w:themeFillShade="F2"/>
        </w:rPr>
      </w:pPr>
      <w:r>
        <w:rPr>
          <w:shd w:val="clear" w:color="auto" w:fill="F2F2F2" w:themeFill="background1" w:themeFillShade="F2"/>
        </w:rPr>
        <w:t>LT/1/24/5346/002 – N30</w:t>
      </w:r>
    </w:p>
    <w:p w14:paraId="6C836FC9" w14:textId="77777777" w:rsidR="00D25008" w:rsidRDefault="00FE2A61">
      <w:pPr>
        <w:rPr>
          <w:shd w:val="clear" w:color="auto" w:fill="F2F2F2" w:themeFill="background1" w:themeFillShade="F2"/>
        </w:rPr>
      </w:pPr>
      <w:r>
        <w:rPr>
          <w:shd w:val="clear" w:color="auto" w:fill="F2F2F2" w:themeFill="background1" w:themeFillShade="F2"/>
        </w:rPr>
        <w:t>LT/1/24/5346/003 – N56</w:t>
      </w:r>
    </w:p>
    <w:p w14:paraId="096461AB" w14:textId="77777777" w:rsidR="00D25008" w:rsidRDefault="00FE2A61">
      <w:pPr>
        <w:rPr>
          <w:shd w:val="clear" w:color="auto" w:fill="F2F2F2" w:themeFill="background1" w:themeFillShade="F2"/>
        </w:rPr>
      </w:pPr>
      <w:r>
        <w:rPr>
          <w:shd w:val="clear" w:color="auto" w:fill="F2F2F2" w:themeFill="background1" w:themeFillShade="F2"/>
        </w:rPr>
        <w:t>LT/1/24/5346/004 – N60</w:t>
      </w:r>
    </w:p>
    <w:p w14:paraId="6B03831C" w14:textId="77777777" w:rsidR="00D25008" w:rsidRDefault="00FE2A61">
      <w:pPr>
        <w:rPr>
          <w:shd w:val="clear" w:color="auto" w:fill="F2F2F2" w:themeFill="background1" w:themeFillShade="F2"/>
        </w:rPr>
      </w:pPr>
      <w:r>
        <w:rPr>
          <w:shd w:val="clear" w:color="auto" w:fill="F2F2F2" w:themeFill="background1" w:themeFillShade="F2"/>
        </w:rPr>
        <w:t>LT/1/24/5346/005 – N84</w:t>
      </w:r>
    </w:p>
    <w:p w14:paraId="00C9A689" w14:textId="77777777" w:rsidR="00D25008" w:rsidRDefault="00FE2A61">
      <w:pPr>
        <w:rPr>
          <w:shd w:val="clear" w:color="auto" w:fill="F2F2F2" w:themeFill="background1" w:themeFillShade="F2"/>
        </w:rPr>
      </w:pPr>
      <w:r>
        <w:rPr>
          <w:shd w:val="clear" w:color="auto" w:fill="F2F2F2" w:themeFill="background1" w:themeFillShade="F2"/>
        </w:rPr>
        <w:t>LT/1/24/5346/006 – N90</w:t>
      </w:r>
    </w:p>
    <w:p w14:paraId="530695D5" w14:textId="77777777" w:rsidR="00D25008" w:rsidRDefault="00FE2A61">
      <w:pPr>
        <w:rPr>
          <w:shd w:val="clear" w:color="auto" w:fill="F2F2F2" w:themeFill="background1" w:themeFillShade="F2"/>
        </w:rPr>
      </w:pPr>
      <w:r>
        <w:rPr>
          <w:shd w:val="clear" w:color="auto" w:fill="F2F2F2" w:themeFill="background1" w:themeFillShade="F2"/>
        </w:rPr>
        <w:t>&lt;Lizdinė plokštelė (kalendorinė pakuotė)&gt;</w:t>
      </w:r>
    </w:p>
    <w:p w14:paraId="3EAEF1D5" w14:textId="77777777" w:rsidR="00D25008" w:rsidRDefault="00FE2A61">
      <w:pPr>
        <w:rPr>
          <w:shd w:val="clear" w:color="auto" w:fill="F2F2F2" w:themeFill="background1" w:themeFillShade="F2"/>
        </w:rPr>
      </w:pPr>
      <w:r>
        <w:rPr>
          <w:shd w:val="clear" w:color="auto" w:fill="F2F2F2" w:themeFill="background1" w:themeFillShade="F2"/>
        </w:rPr>
        <w:t>LT/1/24/5346/007 – N28</w:t>
      </w:r>
    </w:p>
    <w:p w14:paraId="58805B6F" w14:textId="77777777" w:rsidR="00D25008" w:rsidRDefault="00FE2A61">
      <w:pPr>
        <w:rPr>
          <w:shd w:val="clear" w:color="auto" w:fill="F2F2F2" w:themeFill="background1" w:themeFillShade="F2"/>
        </w:rPr>
      </w:pPr>
      <w:r>
        <w:rPr>
          <w:shd w:val="clear" w:color="auto" w:fill="F2F2F2" w:themeFill="background1" w:themeFillShade="F2"/>
        </w:rPr>
        <w:lastRenderedPageBreak/>
        <w:t>LT/1/24/5346/008 – N56</w:t>
      </w:r>
    </w:p>
    <w:p w14:paraId="4F40901C" w14:textId="77777777" w:rsidR="00D25008" w:rsidRDefault="00FE2A61">
      <w:pPr>
        <w:rPr>
          <w:shd w:val="clear" w:color="auto" w:fill="F2F2F2" w:themeFill="background1" w:themeFillShade="F2"/>
        </w:rPr>
      </w:pPr>
      <w:r>
        <w:rPr>
          <w:shd w:val="clear" w:color="auto" w:fill="F2F2F2" w:themeFill="background1" w:themeFillShade="F2"/>
        </w:rPr>
        <w:t>LT/1/24/5346/009 – N84</w:t>
      </w:r>
    </w:p>
    <w:p w14:paraId="7AE55364" w14:textId="77777777" w:rsidR="00D25008" w:rsidRDefault="00D25008">
      <w:pPr>
        <w:rPr>
          <w:shd w:val="clear" w:color="auto" w:fill="F2F2F2" w:themeFill="background1" w:themeFillShade="F2"/>
        </w:rPr>
      </w:pPr>
    </w:p>
    <w:p w14:paraId="4ABD1FA2" w14:textId="77777777" w:rsidR="00D25008" w:rsidRDefault="00FE2A61">
      <w:pPr>
        <w:rPr>
          <w:shd w:val="clear" w:color="auto" w:fill="F2F2F2" w:themeFill="background1" w:themeFillShade="F2"/>
        </w:rPr>
      </w:pPr>
      <w:r>
        <w:rPr>
          <w:shd w:val="clear" w:color="auto" w:fill="F2F2F2" w:themeFill="background1" w:themeFillShade="F2"/>
        </w:rPr>
        <w:t xml:space="preserve">&lt;80 mg/ 10 mg/12,5 mg&gt; </w:t>
      </w:r>
    </w:p>
    <w:p w14:paraId="547370E1" w14:textId="77777777" w:rsidR="00D25008" w:rsidRDefault="00FE2A61">
      <w:pPr>
        <w:rPr>
          <w:shd w:val="clear" w:color="auto" w:fill="F2F2F2" w:themeFill="background1" w:themeFillShade="F2"/>
        </w:rPr>
      </w:pPr>
      <w:r>
        <w:rPr>
          <w:shd w:val="clear" w:color="auto" w:fill="F2F2F2" w:themeFill="background1" w:themeFillShade="F2"/>
        </w:rPr>
        <w:t>&lt;Lizdinė plokštelė&gt;</w:t>
      </w:r>
    </w:p>
    <w:p w14:paraId="6BBE3835" w14:textId="77777777" w:rsidR="00D25008" w:rsidRDefault="00FE2A61">
      <w:pPr>
        <w:rPr>
          <w:shd w:val="clear" w:color="auto" w:fill="F2F2F2" w:themeFill="background1" w:themeFillShade="F2"/>
        </w:rPr>
      </w:pPr>
      <w:r>
        <w:rPr>
          <w:shd w:val="clear" w:color="auto" w:fill="F2F2F2" w:themeFill="background1" w:themeFillShade="F2"/>
        </w:rPr>
        <w:t>LT/1/24/5347/001 – N28</w:t>
      </w:r>
    </w:p>
    <w:p w14:paraId="7B7F4C9A" w14:textId="77777777" w:rsidR="00D25008" w:rsidRDefault="00FE2A61">
      <w:pPr>
        <w:rPr>
          <w:shd w:val="clear" w:color="auto" w:fill="F2F2F2" w:themeFill="background1" w:themeFillShade="F2"/>
        </w:rPr>
      </w:pPr>
      <w:r>
        <w:rPr>
          <w:shd w:val="clear" w:color="auto" w:fill="F2F2F2" w:themeFill="background1" w:themeFillShade="F2"/>
        </w:rPr>
        <w:t>LT/1/24/5347/002 – N30</w:t>
      </w:r>
    </w:p>
    <w:p w14:paraId="5DAA99D1" w14:textId="77777777" w:rsidR="00D25008" w:rsidRDefault="00FE2A61">
      <w:pPr>
        <w:rPr>
          <w:shd w:val="clear" w:color="auto" w:fill="F2F2F2" w:themeFill="background1" w:themeFillShade="F2"/>
        </w:rPr>
      </w:pPr>
      <w:r>
        <w:rPr>
          <w:shd w:val="clear" w:color="auto" w:fill="F2F2F2" w:themeFill="background1" w:themeFillShade="F2"/>
        </w:rPr>
        <w:t>LT/1/24/5347/003 – N56</w:t>
      </w:r>
    </w:p>
    <w:p w14:paraId="74DBDA16" w14:textId="77777777" w:rsidR="00D25008" w:rsidRDefault="00FE2A61">
      <w:pPr>
        <w:rPr>
          <w:shd w:val="clear" w:color="auto" w:fill="F2F2F2" w:themeFill="background1" w:themeFillShade="F2"/>
        </w:rPr>
      </w:pPr>
      <w:r>
        <w:rPr>
          <w:shd w:val="clear" w:color="auto" w:fill="F2F2F2" w:themeFill="background1" w:themeFillShade="F2"/>
        </w:rPr>
        <w:t>LT/1/24/5347/004 – N60</w:t>
      </w:r>
    </w:p>
    <w:p w14:paraId="314A852A" w14:textId="77777777" w:rsidR="00D25008" w:rsidRDefault="00FE2A61">
      <w:pPr>
        <w:rPr>
          <w:shd w:val="clear" w:color="auto" w:fill="F2F2F2" w:themeFill="background1" w:themeFillShade="F2"/>
        </w:rPr>
      </w:pPr>
      <w:r>
        <w:rPr>
          <w:shd w:val="clear" w:color="auto" w:fill="F2F2F2" w:themeFill="background1" w:themeFillShade="F2"/>
        </w:rPr>
        <w:t>LT/1/24/5347/005 – N84</w:t>
      </w:r>
    </w:p>
    <w:p w14:paraId="12E369D0" w14:textId="77777777" w:rsidR="00D25008" w:rsidRDefault="00FE2A61">
      <w:pPr>
        <w:rPr>
          <w:shd w:val="clear" w:color="auto" w:fill="F2F2F2" w:themeFill="background1" w:themeFillShade="F2"/>
        </w:rPr>
      </w:pPr>
      <w:r>
        <w:rPr>
          <w:shd w:val="clear" w:color="auto" w:fill="F2F2F2" w:themeFill="background1" w:themeFillShade="F2"/>
        </w:rPr>
        <w:t>LT/1/24/5347/006 – N90</w:t>
      </w:r>
    </w:p>
    <w:p w14:paraId="395F03F7" w14:textId="77777777" w:rsidR="00D25008" w:rsidRDefault="00FE2A61">
      <w:pPr>
        <w:rPr>
          <w:shd w:val="clear" w:color="auto" w:fill="F2F2F2" w:themeFill="background1" w:themeFillShade="F2"/>
        </w:rPr>
      </w:pPr>
      <w:r>
        <w:rPr>
          <w:shd w:val="clear" w:color="auto" w:fill="F2F2F2" w:themeFill="background1" w:themeFillShade="F2"/>
        </w:rPr>
        <w:t>&lt;Lizdinė plokštelė (kalendorinė pakuotė)&gt;</w:t>
      </w:r>
    </w:p>
    <w:p w14:paraId="0D27E570" w14:textId="77777777" w:rsidR="00D25008" w:rsidRDefault="00FE2A61">
      <w:pPr>
        <w:rPr>
          <w:shd w:val="clear" w:color="auto" w:fill="F2F2F2" w:themeFill="background1" w:themeFillShade="F2"/>
        </w:rPr>
      </w:pPr>
      <w:r>
        <w:rPr>
          <w:shd w:val="clear" w:color="auto" w:fill="F2F2F2" w:themeFill="background1" w:themeFillShade="F2"/>
        </w:rPr>
        <w:t>LT/1/24/5347/007 – N28</w:t>
      </w:r>
    </w:p>
    <w:p w14:paraId="4E99B0D6" w14:textId="77777777" w:rsidR="00D25008" w:rsidRDefault="00FE2A61">
      <w:pPr>
        <w:rPr>
          <w:shd w:val="clear" w:color="auto" w:fill="F2F2F2" w:themeFill="background1" w:themeFillShade="F2"/>
        </w:rPr>
      </w:pPr>
      <w:r>
        <w:rPr>
          <w:shd w:val="clear" w:color="auto" w:fill="F2F2F2" w:themeFill="background1" w:themeFillShade="F2"/>
        </w:rPr>
        <w:t>LT/1/24/5347/008 – N56</w:t>
      </w:r>
    </w:p>
    <w:p w14:paraId="7921CF97" w14:textId="77777777" w:rsidR="00D25008" w:rsidRDefault="00FE2A61">
      <w:pPr>
        <w:rPr>
          <w:shd w:val="clear" w:color="auto" w:fill="F2F2F2" w:themeFill="background1" w:themeFillShade="F2"/>
        </w:rPr>
      </w:pPr>
      <w:r>
        <w:rPr>
          <w:shd w:val="clear" w:color="auto" w:fill="F2F2F2" w:themeFill="background1" w:themeFillShade="F2"/>
        </w:rPr>
        <w:t>LT/1/24/5347/009 – N84</w:t>
      </w:r>
    </w:p>
    <w:p w14:paraId="2125C97F" w14:textId="77777777" w:rsidR="00D25008" w:rsidRDefault="00D25008">
      <w:pPr>
        <w:rPr>
          <w:shd w:val="clear" w:color="auto" w:fill="F2F2F2" w:themeFill="background1" w:themeFillShade="F2"/>
        </w:rPr>
      </w:pPr>
    </w:p>
    <w:p w14:paraId="41AFC782" w14:textId="77777777" w:rsidR="00D25008" w:rsidRDefault="00FE2A61">
      <w:pPr>
        <w:rPr>
          <w:shd w:val="clear" w:color="auto" w:fill="F2F2F2" w:themeFill="background1" w:themeFillShade="F2"/>
        </w:rPr>
      </w:pPr>
      <w:r>
        <w:rPr>
          <w:shd w:val="clear" w:color="auto" w:fill="F2F2F2" w:themeFill="background1" w:themeFillShade="F2"/>
        </w:rPr>
        <w:t>&lt;80 mg/ 10 mg/25 mg&gt;</w:t>
      </w:r>
    </w:p>
    <w:p w14:paraId="0F858CD0" w14:textId="77777777" w:rsidR="00D25008" w:rsidRDefault="00FE2A61">
      <w:pPr>
        <w:rPr>
          <w:shd w:val="clear" w:color="auto" w:fill="F2F2F2" w:themeFill="background1" w:themeFillShade="F2"/>
        </w:rPr>
      </w:pPr>
      <w:r>
        <w:rPr>
          <w:shd w:val="clear" w:color="auto" w:fill="F2F2F2" w:themeFill="background1" w:themeFillShade="F2"/>
        </w:rPr>
        <w:t>&lt;Lizdinė plokštelė&gt;</w:t>
      </w:r>
    </w:p>
    <w:p w14:paraId="1177BF16" w14:textId="77777777" w:rsidR="00D25008" w:rsidRDefault="00FE2A61">
      <w:pPr>
        <w:rPr>
          <w:shd w:val="clear" w:color="auto" w:fill="F2F2F2" w:themeFill="background1" w:themeFillShade="F2"/>
        </w:rPr>
      </w:pPr>
      <w:r>
        <w:rPr>
          <w:shd w:val="clear" w:color="auto" w:fill="F2F2F2" w:themeFill="background1" w:themeFillShade="F2"/>
        </w:rPr>
        <w:t>LT/1/24/5348/001 – N28</w:t>
      </w:r>
    </w:p>
    <w:p w14:paraId="39EA7952" w14:textId="77777777" w:rsidR="00D25008" w:rsidRDefault="00FE2A61">
      <w:pPr>
        <w:rPr>
          <w:shd w:val="clear" w:color="auto" w:fill="F2F2F2" w:themeFill="background1" w:themeFillShade="F2"/>
        </w:rPr>
      </w:pPr>
      <w:r>
        <w:rPr>
          <w:shd w:val="clear" w:color="auto" w:fill="F2F2F2" w:themeFill="background1" w:themeFillShade="F2"/>
        </w:rPr>
        <w:t>LT/1/24/5348/002 – N30</w:t>
      </w:r>
    </w:p>
    <w:p w14:paraId="733D1FD2" w14:textId="77777777" w:rsidR="00D25008" w:rsidRDefault="00FE2A61">
      <w:pPr>
        <w:rPr>
          <w:shd w:val="clear" w:color="auto" w:fill="F2F2F2" w:themeFill="background1" w:themeFillShade="F2"/>
        </w:rPr>
      </w:pPr>
      <w:r>
        <w:rPr>
          <w:shd w:val="clear" w:color="auto" w:fill="F2F2F2" w:themeFill="background1" w:themeFillShade="F2"/>
        </w:rPr>
        <w:t>LT/1/24/5348/003 – N56</w:t>
      </w:r>
    </w:p>
    <w:p w14:paraId="0AFA9DC0" w14:textId="77777777" w:rsidR="00D25008" w:rsidRDefault="00FE2A61">
      <w:pPr>
        <w:rPr>
          <w:shd w:val="clear" w:color="auto" w:fill="F2F2F2" w:themeFill="background1" w:themeFillShade="F2"/>
        </w:rPr>
      </w:pPr>
      <w:r>
        <w:rPr>
          <w:shd w:val="clear" w:color="auto" w:fill="F2F2F2" w:themeFill="background1" w:themeFillShade="F2"/>
        </w:rPr>
        <w:t>LT/1/24/5348/004 – N60</w:t>
      </w:r>
    </w:p>
    <w:p w14:paraId="4B8275F0" w14:textId="77777777" w:rsidR="00D25008" w:rsidRDefault="00FE2A61">
      <w:pPr>
        <w:rPr>
          <w:shd w:val="clear" w:color="auto" w:fill="F2F2F2" w:themeFill="background1" w:themeFillShade="F2"/>
        </w:rPr>
      </w:pPr>
      <w:r>
        <w:rPr>
          <w:shd w:val="clear" w:color="auto" w:fill="F2F2F2" w:themeFill="background1" w:themeFillShade="F2"/>
        </w:rPr>
        <w:t>LT/1/24/5348/005 – N84</w:t>
      </w:r>
    </w:p>
    <w:p w14:paraId="66F351F3" w14:textId="77777777" w:rsidR="00D25008" w:rsidRDefault="00FE2A61">
      <w:pPr>
        <w:rPr>
          <w:shd w:val="clear" w:color="auto" w:fill="F2F2F2" w:themeFill="background1" w:themeFillShade="F2"/>
        </w:rPr>
      </w:pPr>
      <w:r>
        <w:rPr>
          <w:shd w:val="clear" w:color="auto" w:fill="F2F2F2" w:themeFill="background1" w:themeFillShade="F2"/>
        </w:rPr>
        <w:t>LT/1/24/5348/006 – N90</w:t>
      </w:r>
    </w:p>
    <w:p w14:paraId="1F9BC859" w14:textId="77777777" w:rsidR="00D25008" w:rsidRDefault="00FE2A61">
      <w:pPr>
        <w:rPr>
          <w:shd w:val="clear" w:color="auto" w:fill="F2F2F2" w:themeFill="background1" w:themeFillShade="F2"/>
        </w:rPr>
      </w:pPr>
      <w:r>
        <w:rPr>
          <w:shd w:val="clear" w:color="auto" w:fill="F2F2F2" w:themeFill="background1" w:themeFillShade="F2"/>
        </w:rPr>
        <w:t>&lt;Lizdinė plokštelė (kalendorinė pakuotė)&gt;</w:t>
      </w:r>
    </w:p>
    <w:p w14:paraId="3661B57B" w14:textId="77777777" w:rsidR="00D25008" w:rsidRDefault="00FE2A61">
      <w:pPr>
        <w:rPr>
          <w:shd w:val="clear" w:color="auto" w:fill="F2F2F2" w:themeFill="background1" w:themeFillShade="F2"/>
        </w:rPr>
      </w:pPr>
      <w:r>
        <w:rPr>
          <w:shd w:val="clear" w:color="auto" w:fill="F2F2F2" w:themeFill="background1" w:themeFillShade="F2"/>
        </w:rPr>
        <w:t>LT/1/24/5348/007 – N28</w:t>
      </w:r>
    </w:p>
    <w:p w14:paraId="5D7BFD88" w14:textId="77777777" w:rsidR="00D25008" w:rsidRDefault="00FE2A61">
      <w:pPr>
        <w:rPr>
          <w:shd w:val="clear" w:color="auto" w:fill="F2F2F2" w:themeFill="background1" w:themeFillShade="F2"/>
        </w:rPr>
      </w:pPr>
      <w:r>
        <w:rPr>
          <w:shd w:val="clear" w:color="auto" w:fill="F2F2F2" w:themeFill="background1" w:themeFillShade="F2"/>
        </w:rPr>
        <w:t>LT/1/24/5348/008 – N56</w:t>
      </w:r>
    </w:p>
    <w:p w14:paraId="78BA400A" w14:textId="77777777" w:rsidR="00D25008" w:rsidRDefault="00FE2A61">
      <w:pPr>
        <w:rPr>
          <w:shd w:val="clear" w:color="auto" w:fill="F2F2F2" w:themeFill="background1" w:themeFillShade="F2"/>
        </w:rPr>
      </w:pPr>
      <w:r>
        <w:rPr>
          <w:shd w:val="clear" w:color="auto" w:fill="F2F2F2" w:themeFill="background1" w:themeFillShade="F2"/>
        </w:rPr>
        <w:t>LT/1/24/5348/009 – N84</w:t>
      </w:r>
    </w:p>
    <w:p w14:paraId="1C37C695" w14:textId="77777777" w:rsidR="00D25008" w:rsidRDefault="00D25008">
      <w:pPr>
        <w:rPr>
          <w:shd w:val="clear" w:color="auto" w:fill="F2F2F2" w:themeFill="background1" w:themeFillShade="F2"/>
        </w:rPr>
      </w:pPr>
    </w:p>
    <w:p w14:paraId="22C9FADA" w14:textId="77777777" w:rsidR="00D25008" w:rsidRDefault="00D25008">
      <w:pPr>
        <w:rPr>
          <w:noProof/>
        </w:rPr>
      </w:pPr>
    </w:p>
    <w:p w14:paraId="39A943EE" w14:textId="77777777" w:rsidR="00D25008" w:rsidRDefault="00FE2A61">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2D9FC6EC" w14:textId="77777777" w:rsidR="00D25008" w:rsidRDefault="00D25008">
      <w:pPr>
        <w:rPr>
          <w:i/>
          <w:noProof/>
        </w:rPr>
      </w:pPr>
    </w:p>
    <w:p w14:paraId="659F0DD2" w14:textId="77777777" w:rsidR="00D25008" w:rsidRDefault="00FE2A61">
      <w:pPr>
        <w:rPr>
          <w:noProof/>
        </w:rPr>
      </w:pPr>
      <w:r>
        <w:rPr>
          <w:noProof/>
        </w:rPr>
        <w:t>Lot</w:t>
      </w:r>
    </w:p>
    <w:p w14:paraId="21E21313" w14:textId="77777777" w:rsidR="00D25008" w:rsidRDefault="00D25008">
      <w:pPr>
        <w:rPr>
          <w:noProof/>
        </w:rPr>
      </w:pPr>
    </w:p>
    <w:p w14:paraId="790274F3" w14:textId="77777777" w:rsidR="00D25008" w:rsidRDefault="00D25008">
      <w:pPr>
        <w:rPr>
          <w:noProof/>
        </w:rPr>
      </w:pPr>
    </w:p>
    <w:p w14:paraId="6E4D7F31" w14:textId="77777777" w:rsidR="00D25008" w:rsidRDefault="00FE2A61">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2E1570D0" w14:textId="77777777" w:rsidR="00D25008" w:rsidRDefault="00D25008">
      <w:pPr>
        <w:rPr>
          <w:noProof/>
        </w:rPr>
      </w:pPr>
    </w:p>
    <w:p w14:paraId="0795B8B4" w14:textId="77777777" w:rsidR="00D25008" w:rsidRDefault="00FE2A61">
      <w:pPr>
        <w:widowControl w:val="0"/>
        <w:tabs>
          <w:tab w:val="left" w:pos="567"/>
        </w:tabs>
        <w:rPr>
          <w:snapToGrid w:val="0"/>
          <w:szCs w:val="22"/>
        </w:rPr>
      </w:pPr>
      <w:r>
        <w:rPr>
          <w:snapToGrid w:val="0"/>
          <w:szCs w:val="22"/>
        </w:rPr>
        <w:t>Receptinis vaistas</w:t>
      </w:r>
    </w:p>
    <w:p w14:paraId="15DB7C67" w14:textId="77777777" w:rsidR="00D25008" w:rsidRDefault="00D25008">
      <w:pPr>
        <w:rPr>
          <w:noProof/>
        </w:rPr>
      </w:pPr>
    </w:p>
    <w:p w14:paraId="204038F0" w14:textId="77777777" w:rsidR="00D25008" w:rsidRDefault="00D25008">
      <w:pPr>
        <w:rPr>
          <w:noProof/>
        </w:rPr>
      </w:pPr>
    </w:p>
    <w:p w14:paraId="5AD50788" w14:textId="77777777" w:rsidR="00D25008" w:rsidRDefault="00FE2A61">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398EDD06" w14:textId="77777777" w:rsidR="00D25008" w:rsidRDefault="00D25008">
      <w:pPr>
        <w:rPr>
          <w:i/>
          <w:iCs/>
        </w:rPr>
      </w:pPr>
    </w:p>
    <w:p w14:paraId="38C2093F" w14:textId="77777777" w:rsidR="00D25008" w:rsidRDefault="00D25008">
      <w:pPr>
        <w:rPr>
          <w:noProof/>
        </w:rPr>
      </w:pPr>
    </w:p>
    <w:p w14:paraId="06E9761B" w14:textId="77777777" w:rsidR="00D25008" w:rsidRDefault="00FE2A61">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45649079" w14:textId="77777777" w:rsidR="00D25008" w:rsidRDefault="00D25008">
      <w:pPr>
        <w:rPr>
          <w:noProof/>
        </w:rPr>
      </w:pPr>
    </w:p>
    <w:p w14:paraId="3E07414E" w14:textId="77777777" w:rsidR="00D25008" w:rsidRDefault="00FE2A61">
      <w:pPr>
        <w:widowControl w:val="0"/>
        <w:tabs>
          <w:tab w:val="left" w:pos="567"/>
        </w:tabs>
        <w:rPr>
          <w:noProof/>
          <w:szCs w:val="22"/>
        </w:rPr>
      </w:pPr>
      <w:r>
        <w:rPr>
          <w:noProof/>
          <w:szCs w:val="22"/>
        </w:rPr>
        <w:t>Tolvecom 40 mg/5 mg/12,5 mg tabletės</w:t>
      </w:r>
    </w:p>
    <w:p w14:paraId="376134E3" w14:textId="77777777" w:rsidR="00D25008" w:rsidRDefault="00FE2A61">
      <w:pPr>
        <w:widowControl w:val="0"/>
        <w:tabs>
          <w:tab w:val="left" w:pos="567"/>
        </w:tabs>
        <w:rPr>
          <w:noProof/>
          <w:szCs w:val="22"/>
          <w:highlight w:val="lightGray"/>
        </w:rPr>
      </w:pPr>
      <w:r>
        <w:rPr>
          <w:noProof/>
          <w:szCs w:val="22"/>
          <w:highlight w:val="lightGray"/>
        </w:rPr>
        <w:t>Tolvecom 80 mg/5 mg/12,5 mg tabletės</w:t>
      </w:r>
    </w:p>
    <w:p w14:paraId="2736C35B" w14:textId="77777777" w:rsidR="00D25008" w:rsidRDefault="00FE2A61">
      <w:pPr>
        <w:widowControl w:val="0"/>
        <w:tabs>
          <w:tab w:val="left" w:pos="567"/>
        </w:tabs>
        <w:rPr>
          <w:noProof/>
          <w:szCs w:val="22"/>
          <w:highlight w:val="lightGray"/>
        </w:rPr>
      </w:pPr>
      <w:r>
        <w:rPr>
          <w:noProof/>
          <w:szCs w:val="22"/>
          <w:highlight w:val="lightGray"/>
        </w:rPr>
        <w:t>Tolvecom 80 mg/10 mg/12,5 mg tabletės</w:t>
      </w:r>
    </w:p>
    <w:p w14:paraId="7AF13A32" w14:textId="77777777" w:rsidR="00D25008" w:rsidRPr="00B86602" w:rsidRDefault="00FE2A61">
      <w:pPr>
        <w:widowControl w:val="0"/>
        <w:tabs>
          <w:tab w:val="left" w:pos="567"/>
        </w:tabs>
      </w:pPr>
      <w:proofErr w:type="spellStart"/>
      <w:r w:rsidRPr="00B86602">
        <w:rPr>
          <w:highlight w:val="lightGray"/>
        </w:rPr>
        <w:t>Tolvecom</w:t>
      </w:r>
      <w:proofErr w:type="spellEnd"/>
      <w:r w:rsidRPr="00B86602">
        <w:rPr>
          <w:highlight w:val="lightGray"/>
        </w:rPr>
        <w:t xml:space="preserve"> 80 mg/10 mg/25 mg tabletės</w:t>
      </w:r>
    </w:p>
    <w:p w14:paraId="13527C97" w14:textId="77777777" w:rsidR="00D25008" w:rsidRDefault="00D25008">
      <w:pPr>
        <w:rPr>
          <w:noProof/>
          <w:szCs w:val="22"/>
          <w:shd w:val="clear" w:color="auto" w:fill="CCCCCC"/>
        </w:rPr>
      </w:pPr>
    </w:p>
    <w:p w14:paraId="5E825A09" w14:textId="77777777" w:rsidR="00D25008" w:rsidRDefault="00D25008">
      <w:pPr>
        <w:rPr>
          <w:noProof/>
          <w:szCs w:val="22"/>
          <w:shd w:val="clear" w:color="auto" w:fill="CCCCCC"/>
        </w:rPr>
      </w:pPr>
    </w:p>
    <w:p w14:paraId="49C4F96A" w14:textId="77777777" w:rsidR="00D25008" w:rsidRDefault="00FE2A61">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24A131CC" w14:textId="77777777" w:rsidR="00D25008" w:rsidRDefault="00D25008">
      <w:pPr>
        <w:rPr>
          <w:noProof/>
        </w:rPr>
      </w:pPr>
    </w:p>
    <w:p w14:paraId="5700343A" w14:textId="77777777" w:rsidR="00D25008" w:rsidRDefault="00FE2A61">
      <w:pPr>
        <w:rPr>
          <w:noProof/>
          <w:szCs w:val="22"/>
          <w:shd w:val="clear" w:color="auto" w:fill="CCCCCC"/>
        </w:rPr>
      </w:pPr>
      <w:r>
        <w:rPr>
          <w:noProof/>
          <w:highlight w:val="lightGray"/>
        </w:rPr>
        <w:t>2D brūkšninis kodas su nurodytu unikaliu identifikatoriumi.</w:t>
      </w:r>
    </w:p>
    <w:p w14:paraId="3DE07C19" w14:textId="77777777" w:rsidR="00D25008" w:rsidRDefault="00D25008">
      <w:pPr>
        <w:rPr>
          <w:noProof/>
        </w:rPr>
      </w:pPr>
    </w:p>
    <w:p w14:paraId="68059B8E" w14:textId="77777777" w:rsidR="00D25008" w:rsidRDefault="00D25008">
      <w:pPr>
        <w:rPr>
          <w:noProof/>
        </w:rPr>
      </w:pPr>
    </w:p>
    <w:p w14:paraId="3A2D7393" w14:textId="77777777" w:rsidR="00D25008" w:rsidRDefault="00FE2A61">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lastRenderedPageBreak/>
        <w:t>18.</w:t>
      </w:r>
      <w:r>
        <w:rPr>
          <w:b/>
          <w:noProof/>
        </w:rPr>
        <w:tab/>
        <w:t>UNIKALUS IDENTIFIKATORIUS – ŽMONĖMS SUPRANTAMI DUOMENYS</w:t>
      </w:r>
    </w:p>
    <w:p w14:paraId="7CB791D6" w14:textId="77777777" w:rsidR="00D25008" w:rsidRDefault="00D25008">
      <w:pPr>
        <w:rPr>
          <w:noProof/>
        </w:rPr>
      </w:pPr>
    </w:p>
    <w:p w14:paraId="2962AADE" w14:textId="77777777" w:rsidR="00D25008" w:rsidRPr="00B86602" w:rsidRDefault="00FE2A61">
      <w:pPr>
        <w:widowControl w:val="0"/>
        <w:tabs>
          <w:tab w:val="left" w:pos="567"/>
        </w:tabs>
        <w:spacing w:line="260" w:lineRule="exact"/>
        <w:rPr>
          <w:color w:val="000000"/>
          <w:lang w:val="pl-PL"/>
        </w:rPr>
      </w:pPr>
      <w:r w:rsidRPr="00B86602">
        <w:rPr>
          <w:color w:val="000000"/>
          <w:lang w:val="pl-PL"/>
        </w:rPr>
        <w:t>PC</w:t>
      </w:r>
    </w:p>
    <w:p w14:paraId="4941BE52" w14:textId="77777777" w:rsidR="00D25008" w:rsidRDefault="00FE2A61">
      <w:pPr>
        <w:widowControl w:val="0"/>
        <w:tabs>
          <w:tab w:val="left" w:pos="567"/>
        </w:tabs>
        <w:spacing w:line="260" w:lineRule="exact"/>
        <w:rPr>
          <w:color w:val="000000"/>
          <w:szCs w:val="22"/>
          <w:lang w:val="en-GB"/>
        </w:rPr>
      </w:pPr>
      <w:r>
        <w:rPr>
          <w:color w:val="000000"/>
          <w:szCs w:val="22"/>
          <w:lang w:val="en-GB"/>
        </w:rPr>
        <w:t>SN</w:t>
      </w:r>
    </w:p>
    <w:p w14:paraId="7A2F280D" w14:textId="77777777" w:rsidR="00D25008" w:rsidRDefault="00FE2A61">
      <w:pPr>
        <w:widowControl w:val="0"/>
        <w:tabs>
          <w:tab w:val="left" w:pos="567"/>
        </w:tabs>
        <w:spacing w:line="260" w:lineRule="exact"/>
        <w:rPr>
          <w:color w:val="000000"/>
          <w:szCs w:val="22"/>
          <w:lang w:val="en-GB"/>
        </w:rPr>
      </w:pPr>
      <w:r>
        <w:rPr>
          <w:color w:val="000000"/>
          <w:szCs w:val="22"/>
          <w:highlight w:val="lightGray"/>
          <w:lang w:val="en-GB"/>
        </w:rPr>
        <w:t>NN</w:t>
      </w:r>
    </w:p>
    <w:p w14:paraId="7E2079DF" w14:textId="77777777" w:rsidR="00D25008" w:rsidRDefault="00FE2A61">
      <w:pPr>
        <w:rPr>
          <w:b/>
          <w:noProof/>
        </w:rPr>
      </w:pPr>
      <w:r>
        <w:rPr>
          <w:b/>
          <w:noProof/>
          <w:color w:val="FF0000"/>
        </w:rPr>
        <w:br w:type="page"/>
      </w:r>
    </w:p>
    <w:p w14:paraId="3EF069A8" w14:textId="77777777" w:rsidR="00D25008" w:rsidRDefault="00D2500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5008" w14:paraId="4A1F4D4C" w14:textId="77777777">
        <w:trPr>
          <w:trHeight w:val="785"/>
        </w:trPr>
        <w:tc>
          <w:tcPr>
            <w:tcW w:w="9287" w:type="dxa"/>
            <w:tcBorders>
              <w:bottom w:val="single" w:sz="4" w:space="0" w:color="auto"/>
            </w:tcBorders>
          </w:tcPr>
          <w:p w14:paraId="28121F6F" w14:textId="77777777" w:rsidR="00D25008" w:rsidRDefault="00FE2A61">
            <w:pPr>
              <w:rPr>
                <w:b/>
                <w:noProof/>
              </w:rPr>
            </w:pPr>
            <w:r>
              <w:rPr>
                <w:b/>
                <w:noProof/>
              </w:rPr>
              <w:t xml:space="preserve">MINIMALI </w:t>
            </w:r>
            <w:r>
              <w:rPr>
                <w:b/>
                <w:caps/>
                <w:noProof/>
              </w:rPr>
              <w:t xml:space="preserve">informacija ant </w:t>
            </w:r>
            <w:r>
              <w:rPr>
                <w:b/>
                <w:noProof/>
              </w:rPr>
              <w:t>LIZDINIŲ PLOKŠTELIŲ ARBA DVISLUOKSNIŲ JUOSTELIŲ</w:t>
            </w:r>
          </w:p>
          <w:p w14:paraId="5A4CB126" w14:textId="77777777" w:rsidR="00D25008" w:rsidRDefault="00D25008">
            <w:pPr>
              <w:rPr>
                <w:b/>
                <w:noProof/>
              </w:rPr>
            </w:pPr>
          </w:p>
          <w:p w14:paraId="4B34F81D" w14:textId="77777777" w:rsidR="00D25008" w:rsidRDefault="00FE2A61">
            <w:pPr>
              <w:rPr>
                <w:b/>
                <w:noProof/>
              </w:rPr>
            </w:pPr>
            <w:r>
              <w:rPr>
                <w:b/>
                <w:noProof/>
              </w:rPr>
              <w:t>LIZDINĖS PLOKŠTELĖS</w:t>
            </w:r>
          </w:p>
        </w:tc>
      </w:tr>
    </w:tbl>
    <w:p w14:paraId="2DE53181" w14:textId="77777777" w:rsidR="00D25008" w:rsidRDefault="00D25008">
      <w:pPr>
        <w:rPr>
          <w:b/>
          <w:noProof/>
        </w:rPr>
      </w:pPr>
    </w:p>
    <w:p w14:paraId="4CA8F3FC" w14:textId="77777777" w:rsidR="00D25008" w:rsidRDefault="00D25008">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5008" w14:paraId="394D7677" w14:textId="77777777">
        <w:tc>
          <w:tcPr>
            <w:tcW w:w="9287" w:type="dxa"/>
          </w:tcPr>
          <w:p w14:paraId="08A4E763" w14:textId="77777777" w:rsidR="00D25008" w:rsidRDefault="00FE2A61">
            <w:pPr>
              <w:tabs>
                <w:tab w:val="left" w:pos="142"/>
              </w:tabs>
              <w:ind w:left="567" w:hanging="567"/>
              <w:rPr>
                <w:b/>
                <w:noProof/>
              </w:rPr>
            </w:pPr>
            <w:r>
              <w:rPr>
                <w:b/>
                <w:noProof/>
              </w:rPr>
              <w:t>1.</w:t>
            </w:r>
            <w:r>
              <w:rPr>
                <w:b/>
                <w:noProof/>
              </w:rPr>
              <w:tab/>
            </w:r>
            <w:r>
              <w:rPr>
                <w:b/>
                <w:caps/>
                <w:noProof/>
              </w:rPr>
              <w:t>Vaistinio preparato pavadinimas</w:t>
            </w:r>
          </w:p>
        </w:tc>
      </w:tr>
    </w:tbl>
    <w:p w14:paraId="6BC6813A" w14:textId="77777777" w:rsidR="00D25008" w:rsidRDefault="00D25008">
      <w:pPr>
        <w:ind w:left="567" w:hanging="567"/>
        <w:rPr>
          <w:noProof/>
        </w:rPr>
      </w:pPr>
    </w:p>
    <w:p w14:paraId="395891A5" w14:textId="77777777" w:rsidR="00D25008" w:rsidRDefault="00FE2A61">
      <w:pPr>
        <w:widowControl w:val="0"/>
        <w:tabs>
          <w:tab w:val="left" w:pos="567"/>
        </w:tabs>
        <w:rPr>
          <w:noProof/>
          <w:szCs w:val="22"/>
          <w:lang w:val="en-GB"/>
        </w:rPr>
      </w:pPr>
      <w:r>
        <w:rPr>
          <w:noProof/>
          <w:szCs w:val="22"/>
          <w:lang w:val="en-GB"/>
        </w:rPr>
        <w:t>Tolvecom 40 mg/5 mg/12,5 mg tabletės</w:t>
      </w:r>
    </w:p>
    <w:p w14:paraId="15D83F49" w14:textId="77777777" w:rsidR="00D25008" w:rsidRDefault="00FE2A61">
      <w:pPr>
        <w:widowControl w:val="0"/>
        <w:tabs>
          <w:tab w:val="left" w:pos="567"/>
        </w:tabs>
        <w:rPr>
          <w:noProof/>
          <w:szCs w:val="22"/>
          <w:highlight w:val="lightGray"/>
          <w:lang w:val="en-GB"/>
        </w:rPr>
      </w:pPr>
      <w:r>
        <w:rPr>
          <w:noProof/>
          <w:szCs w:val="22"/>
          <w:highlight w:val="lightGray"/>
          <w:lang w:val="en-GB"/>
        </w:rPr>
        <w:t>Tolvecom 80 mg/5 mg/12,5 mg tabletės</w:t>
      </w:r>
    </w:p>
    <w:p w14:paraId="24008CEB" w14:textId="77777777" w:rsidR="00D25008" w:rsidRDefault="00FE2A61">
      <w:pPr>
        <w:widowControl w:val="0"/>
        <w:tabs>
          <w:tab w:val="left" w:pos="567"/>
        </w:tabs>
        <w:rPr>
          <w:noProof/>
          <w:szCs w:val="22"/>
          <w:highlight w:val="lightGray"/>
          <w:lang w:val="en-GB"/>
        </w:rPr>
      </w:pPr>
      <w:r>
        <w:rPr>
          <w:noProof/>
          <w:szCs w:val="22"/>
          <w:highlight w:val="lightGray"/>
          <w:lang w:val="en-GB"/>
        </w:rPr>
        <w:t>Tolvecom 80 mg/10 mg/12,5 mg tabletės</w:t>
      </w:r>
    </w:p>
    <w:p w14:paraId="442ACC18" w14:textId="77777777" w:rsidR="00D25008" w:rsidRDefault="00FE2A61">
      <w:pPr>
        <w:widowControl w:val="0"/>
        <w:tabs>
          <w:tab w:val="left" w:pos="567"/>
        </w:tabs>
        <w:rPr>
          <w:noProof/>
          <w:szCs w:val="22"/>
          <w:lang w:val="en-GB"/>
        </w:rPr>
      </w:pPr>
      <w:r>
        <w:rPr>
          <w:noProof/>
          <w:szCs w:val="22"/>
          <w:highlight w:val="lightGray"/>
          <w:lang w:val="en-GB"/>
        </w:rPr>
        <w:t>Tolvecom 80 mg/10 mg/25 mg tabletės</w:t>
      </w:r>
    </w:p>
    <w:p w14:paraId="38E47B74" w14:textId="77777777" w:rsidR="00D25008" w:rsidRDefault="00D25008">
      <w:pPr>
        <w:rPr>
          <w:noProof/>
        </w:rPr>
      </w:pPr>
    </w:p>
    <w:p w14:paraId="3060D69A" w14:textId="77777777" w:rsidR="00D25008" w:rsidRDefault="00FE2A61">
      <w:pPr>
        <w:widowControl w:val="0"/>
        <w:rPr>
          <w:noProof/>
          <w:szCs w:val="22"/>
          <w:lang w:val="en-GB"/>
        </w:rPr>
      </w:pPr>
      <w:r>
        <w:rPr>
          <w:noProof/>
          <w:szCs w:val="22"/>
          <w:lang w:val="en-GB"/>
        </w:rPr>
        <w:t>telmisartanas/amlodipinas/hidrochlorotiazidas</w:t>
      </w:r>
    </w:p>
    <w:p w14:paraId="0E159409" w14:textId="77777777" w:rsidR="00D25008" w:rsidRDefault="00D25008">
      <w:pPr>
        <w:rPr>
          <w:b/>
          <w:noProof/>
        </w:rPr>
      </w:pPr>
    </w:p>
    <w:p w14:paraId="6CDCD8AF" w14:textId="77777777" w:rsidR="00D25008" w:rsidRDefault="00D25008">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5008" w14:paraId="77FA4E3F" w14:textId="77777777">
        <w:tc>
          <w:tcPr>
            <w:tcW w:w="9287" w:type="dxa"/>
          </w:tcPr>
          <w:p w14:paraId="6F71B359" w14:textId="77777777" w:rsidR="00D25008" w:rsidRDefault="00FE2A61">
            <w:pPr>
              <w:tabs>
                <w:tab w:val="left" w:pos="142"/>
              </w:tabs>
              <w:ind w:left="567" w:hanging="567"/>
              <w:rPr>
                <w:b/>
                <w:noProof/>
              </w:rPr>
            </w:pPr>
            <w:r>
              <w:rPr>
                <w:b/>
                <w:noProof/>
              </w:rPr>
              <w:t>2.</w:t>
            </w:r>
            <w:r>
              <w:rPr>
                <w:b/>
                <w:noProof/>
              </w:rPr>
              <w:tab/>
            </w:r>
            <w:r>
              <w:rPr>
                <w:b/>
                <w:caps/>
                <w:noProof/>
                <w:snapToGrid w:val="0"/>
              </w:rPr>
              <w:t>REGISTRUOTOJO</w:t>
            </w:r>
            <w:r>
              <w:rPr>
                <w:b/>
                <w:caps/>
                <w:noProof/>
              </w:rPr>
              <w:t xml:space="preserve"> pavadinimas</w:t>
            </w:r>
          </w:p>
        </w:tc>
      </w:tr>
    </w:tbl>
    <w:p w14:paraId="5898BCE6" w14:textId="77777777" w:rsidR="00D25008" w:rsidRDefault="00D25008">
      <w:pPr>
        <w:rPr>
          <w:b/>
          <w:noProof/>
        </w:rPr>
      </w:pPr>
    </w:p>
    <w:p w14:paraId="7693A0B0" w14:textId="77777777" w:rsidR="00D25008" w:rsidRDefault="00FE2A61">
      <w:pPr>
        <w:widowControl w:val="0"/>
        <w:rPr>
          <w:rFonts w:eastAsia="Calibri"/>
          <w:szCs w:val="22"/>
          <w:lang w:eastAsia="lt-LT"/>
        </w:rPr>
      </w:pPr>
      <w:r>
        <w:rPr>
          <w:rFonts w:eastAsia="Calibri"/>
          <w:szCs w:val="22"/>
          <w:lang w:eastAsia="lt-LT"/>
        </w:rPr>
        <w:t>KRKA</w:t>
      </w:r>
    </w:p>
    <w:p w14:paraId="188877AD" w14:textId="77777777" w:rsidR="00D25008" w:rsidRDefault="00D25008">
      <w:pPr>
        <w:rPr>
          <w:b/>
          <w:noProof/>
        </w:rPr>
      </w:pPr>
    </w:p>
    <w:p w14:paraId="4663E583" w14:textId="77777777" w:rsidR="00D25008" w:rsidRDefault="00D25008">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5008" w14:paraId="2A7D492C" w14:textId="77777777">
        <w:tc>
          <w:tcPr>
            <w:tcW w:w="9287" w:type="dxa"/>
          </w:tcPr>
          <w:p w14:paraId="0168BF3D" w14:textId="77777777" w:rsidR="00D25008" w:rsidRDefault="00FE2A61">
            <w:pPr>
              <w:tabs>
                <w:tab w:val="left" w:pos="142"/>
              </w:tabs>
              <w:ind w:left="567" w:hanging="567"/>
              <w:rPr>
                <w:b/>
                <w:noProof/>
              </w:rPr>
            </w:pPr>
            <w:r>
              <w:rPr>
                <w:b/>
                <w:noProof/>
              </w:rPr>
              <w:t>3.</w:t>
            </w:r>
            <w:r>
              <w:rPr>
                <w:b/>
                <w:noProof/>
              </w:rPr>
              <w:tab/>
            </w:r>
            <w:r>
              <w:rPr>
                <w:b/>
                <w:caps/>
                <w:noProof/>
              </w:rPr>
              <w:t>tinkamumo laikas</w:t>
            </w:r>
          </w:p>
        </w:tc>
      </w:tr>
    </w:tbl>
    <w:p w14:paraId="236CF7CD" w14:textId="77777777" w:rsidR="00D25008" w:rsidRDefault="00D25008">
      <w:pPr>
        <w:rPr>
          <w:b/>
          <w:noProof/>
        </w:rPr>
      </w:pPr>
    </w:p>
    <w:p w14:paraId="266B3825" w14:textId="77777777" w:rsidR="00D25008" w:rsidRDefault="00FE2A61">
      <w:pPr>
        <w:rPr>
          <w:noProof/>
        </w:rPr>
      </w:pPr>
      <w:r>
        <w:rPr>
          <w:noProof/>
        </w:rPr>
        <w:t xml:space="preserve">EXP </w:t>
      </w:r>
      <w:r>
        <w:rPr>
          <w:snapToGrid w:val="0"/>
        </w:rPr>
        <w:t>(mm/MMMM)</w:t>
      </w:r>
    </w:p>
    <w:p w14:paraId="7A55BC44" w14:textId="77777777" w:rsidR="00D25008" w:rsidRDefault="00D25008">
      <w:pPr>
        <w:rPr>
          <w:noProof/>
        </w:rPr>
      </w:pPr>
    </w:p>
    <w:p w14:paraId="46247693" w14:textId="77777777" w:rsidR="00D25008" w:rsidRDefault="00D2500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5008" w14:paraId="2B904314" w14:textId="77777777">
        <w:tc>
          <w:tcPr>
            <w:tcW w:w="9287" w:type="dxa"/>
          </w:tcPr>
          <w:p w14:paraId="7FE5BCFD" w14:textId="77777777" w:rsidR="00D25008" w:rsidRDefault="00FE2A61">
            <w:pPr>
              <w:tabs>
                <w:tab w:val="left" w:pos="142"/>
              </w:tabs>
              <w:ind w:left="567" w:hanging="567"/>
              <w:rPr>
                <w:b/>
                <w:noProof/>
              </w:rPr>
            </w:pPr>
            <w:r>
              <w:rPr>
                <w:b/>
                <w:noProof/>
              </w:rPr>
              <w:t>4.</w:t>
            </w:r>
            <w:r>
              <w:rPr>
                <w:b/>
                <w:noProof/>
              </w:rPr>
              <w:tab/>
            </w:r>
            <w:r>
              <w:rPr>
                <w:b/>
                <w:caps/>
                <w:noProof/>
              </w:rPr>
              <w:t>serijos numeris</w:t>
            </w:r>
          </w:p>
        </w:tc>
      </w:tr>
    </w:tbl>
    <w:p w14:paraId="586A11D5" w14:textId="77777777" w:rsidR="00D25008" w:rsidRDefault="00D25008">
      <w:pPr>
        <w:ind w:right="113"/>
        <w:rPr>
          <w:i/>
          <w:noProof/>
          <w:highlight w:val="yellow"/>
        </w:rPr>
      </w:pPr>
    </w:p>
    <w:p w14:paraId="783B01BA" w14:textId="77777777" w:rsidR="00D25008" w:rsidRDefault="00FE2A61">
      <w:pPr>
        <w:ind w:right="113"/>
        <w:rPr>
          <w:noProof/>
        </w:rPr>
      </w:pPr>
      <w:r>
        <w:rPr>
          <w:noProof/>
        </w:rPr>
        <w:t>Lot</w:t>
      </w:r>
    </w:p>
    <w:p w14:paraId="0ABE2540" w14:textId="77777777" w:rsidR="00D25008" w:rsidRDefault="00D25008">
      <w:pPr>
        <w:ind w:right="113"/>
        <w:rPr>
          <w:noProof/>
        </w:rPr>
      </w:pPr>
    </w:p>
    <w:p w14:paraId="3BA7B249" w14:textId="77777777" w:rsidR="00D25008" w:rsidRDefault="00D25008">
      <w:pPr>
        <w:ind w:right="113"/>
        <w:rPr>
          <w:noProof/>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5008" w14:paraId="6D3D25B0" w14:textId="77777777">
        <w:tc>
          <w:tcPr>
            <w:tcW w:w="9287" w:type="dxa"/>
          </w:tcPr>
          <w:p w14:paraId="2B6F708A" w14:textId="77777777" w:rsidR="00D25008" w:rsidRDefault="00FE2A61">
            <w:pPr>
              <w:tabs>
                <w:tab w:val="left" w:pos="142"/>
              </w:tabs>
              <w:ind w:left="567" w:hanging="567"/>
              <w:rPr>
                <w:b/>
                <w:noProof/>
              </w:rPr>
            </w:pPr>
            <w:r>
              <w:rPr>
                <w:b/>
                <w:noProof/>
              </w:rPr>
              <w:t>5.</w:t>
            </w:r>
            <w:r>
              <w:rPr>
                <w:b/>
                <w:noProof/>
              </w:rPr>
              <w:tab/>
              <w:t>KITA</w:t>
            </w:r>
          </w:p>
        </w:tc>
      </w:tr>
    </w:tbl>
    <w:p w14:paraId="5DDBBCAF" w14:textId="77777777" w:rsidR="00D25008" w:rsidRDefault="00D25008">
      <w:pPr>
        <w:widowControl w:val="0"/>
        <w:ind w:left="567" w:hanging="567"/>
        <w:rPr>
          <w:noProof/>
          <w:color w:val="000000"/>
          <w:szCs w:val="22"/>
          <w:lang w:val="en-GB" w:eastAsia="sl-SI"/>
        </w:rPr>
      </w:pPr>
    </w:p>
    <w:p w14:paraId="51E26734" w14:textId="77777777" w:rsidR="00D25008" w:rsidRDefault="00FE2A61">
      <w:pPr>
        <w:ind w:right="113"/>
        <w:rPr>
          <w:noProof/>
          <w:highlight w:val="lightGray"/>
        </w:rPr>
      </w:pPr>
      <w:r>
        <w:rPr>
          <w:noProof/>
          <w:highlight w:val="lightGray"/>
        </w:rPr>
        <w:t>Kalendorinė pakuotė:</w:t>
      </w:r>
    </w:p>
    <w:p w14:paraId="759E29BA" w14:textId="77777777" w:rsidR="00D25008" w:rsidRDefault="00FE2A61">
      <w:pPr>
        <w:ind w:right="113"/>
        <w:rPr>
          <w:noProof/>
          <w:highlight w:val="lightGray"/>
        </w:rPr>
      </w:pPr>
      <w:r>
        <w:rPr>
          <w:noProof/>
          <w:highlight w:val="lightGray"/>
        </w:rPr>
        <w:t>P.</w:t>
      </w:r>
    </w:p>
    <w:p w14:paraId="4FB3BDBB" w14:textId="77777777" w:rsidR="00D25008" w:rsidRDefault="00FE2A61">
      <w:pPr>
        <w:ind w:right="113"/>
        <w:rPr>
          <w:noProof/>
          <w:highlight w:val="lightGray"/>
        </w:rPr>
      </w:pPr>
      <w:r>
        <w:rPr>
          <w:noProof/>
          <w:highlight w:val="lightGray"/>
        </w:rPr>
        <w:t>A.</w:t>
      </w:r>
    </w:p>
    <w:p w14:paraId="3D827DD5" w14:textId="77777777" w:rsidR="00D25008" w:rsidRDefault="00FE2A61">
      <w:pPr>
        <w:ind w:right="113"/>
        <w:rPr>
          <w:noProof/>
          <w:highlight w:val="lightGray"/>
        </w:rPr>
      </w:pPr>
      <w:r>
        <w:rPr>
          <w:noProof/>
          <w:highlight w:val="lightGray"/>
        </w:rPr>
        <w:t>T.</w:t>
      </w:r>
    </w:p>
    <w:p w14:paraId="5222387B" w14:textId="77777777" w:rsidR="00D25008" w:rsidRDefault="00FE2A61">
      <w:pPr>
        <w:ind w:right="113"/>
        <w:rPr>
          <w:noProof/>
          <w:highlight w:val="lightGray"/>
        </w:rPr>
      </w:pPr>
      <w:r>
        <w:rPr>
          <w:noProof/>
          <w:highlight w:val="lightGray"/>
        </w:rPr>
        <w:t>K.</w:t>
      </w:r>
    </w:p>
    <w:p w14:paraId="05DDBA4D" w14:textId="77777777" w:rsidR="00D25008" w:rsidRDefault="00FE2A61">
      <w:pPr>
        <w:ind w:right="113"/>
        <w:rPr>
          <w:noProof/>
        </w:rPr>
      </w:pPr>
      <w:r>
        <w:rPr>
          <w:noProof/>
          <w:highlight w:val="lightGray"/>
        </w:rPr>
        <w:t>Pn.</w:t>
      </w:r>
    </w:p>
    <w:p w14:paraId="2640D9DE" w14:textId="77777777" w:rsidR="00D25008" w:rsidRDefault="00FE2A61">
      <w:pPr>
        <w:ind w:right="113"/>
        <w:rPr>
          <w:noProof/>
          <w:highlight w:val="lightGray"/>
        </w:rPr>
      </w:pPr>
      <w:r>
        <w:rPr>
          <w:noProof/>
          <w:highlight w:val="lightGray"/>
        </w:rPr>
        <w:t>Š.</w:t>
      </w:r>
    </w:p>
    <w:p w14:paraId="20F2CE7A" w14:textId="77777777" w:rsidR="00D25008" w:rsidRDefault="00FE2A61">
      <w:pPr>
        <w:ind w:right="113"/>
        <w:rPr>
          <w:noProof/>
        </w:rPr>
      </w:pPr>
      <w:r>
        <w:rPr>
          <w:noProof/>
          <w:highlight w:val="lightGray"/>
        </w:rPr>
        <w:t>S.</w:t>
      </w:r>
    </w:p>
    <w:p w14:paraId="1DE7D3F9" w14:textId="77777777" w:rsidR="00D25008" w:rsidRDefault="00FE2A61">
      <w:pPr>
        <w:rPr>
          <w:b/>
          <w:noProof/>
          <w:color w:val="000000" w:themeColor="text1"/>
        </w:rPr>
      </w:pPr>
      <w:r>
        <w:rPr>
          <w:b/>
          <w:noProof/>
          <w:color w:val="FF0000"/>
        </w:rPr>
        <w:br w:type="page"/>
      </w:r>
    </w:p>
    <w:p w14:paraId="61BBAD07" w14:textId="77777777" w:rsidR="00D25008" w:rsidRDefault="00D25008">
      <w:pPr>
        <w:rPr>
          <w:noProof/>
        </w:rPr>
      </w:pPr>
    </w:p>
    <w:p w14:paraId="77E9E0DF" w14:textId="77777777" w:rsidR="00D25008" w:rsidRDefault="00D25008">
      <w:pPr>
        <w:rPr>
          <w:noProof/>
        </w:rPr>
      </w:pPr>
    </w:p>
    <w:p w14:paraId="6264CA77" w14:textId="77777777" w:rsidR="00D25008" w:rsidRDefault="00D25008">
      <w:pPr>
        <w:rPr>
          <w:noProof/>
        </w:rPr>
      </w:pPr>
    </w:p>
    <w:p w14:paraId="4FB81005" w14:textId="77777777" w:rsidR="00D25008" w:rsidRDefault="00D25008">
      <w:pPr>
        <w:rPr>
          <w:noProof/>
        </w:rPr>
      </w:pPr>
    </w:p>
    <w:p w14:paraId="634B7305" w14:textId="77777777" w:rsidR="00D25008" w:rsidRDefault="00D25008">
      <w:pPr>
        <w:rPr>
          <w:noProof/>
        </w:rPr>
      </w:pPr>
    </w:p>
    <w:p w14:paraId="60887389" w14:textId="77777777" w:rsidR="00D25008" w:rsidRDefault="00D25008">
      <w:pPr>
        <w:rPr>
          <w:noProof/>
        </w:rPr>
      </w:pPr>
    </w:p>
    <w:p w14:paraId="6DC53E1C" w14:textId="77777777" w:rsidR="00D25008" w:rsidRDefault="00D25008">
      <w:pPr>
        <w:rPr>
          <w:noProof/>
        </w:rPr>
      </w:pPr>
    </w:p>
    <w:p w14:paraId="42ECB53A" w14:textId="77777777" w:rsidR="00D25008" w:rsidRDefault="00D25008">
      <w:pPr>
        <w:rPr>
          <w:noProof/>
        </w:rPr>
      </w:pPr>
    </w:p>
    <w:p w14:paraId="0DF1520F" w14:textId="77777777" w:rsidR="00D25008" w:rsidRDefault="00D25008">
      <w:pPr>
        <w:rPr>
          <w:noProof/>
        </w:rPr>
      </w:pPr>
    </w:p>
    <w:p w14:paraId="7DE5B0B5" w14:textId="77777777" w:rsidR="00D25008" w:rsidRDefault="00D25008">
      <w:pPr>
        <w:rPr>
          <w:noProof/>
        </w:rPr>
      </w:pPr>
    </w:p>
    <w:p w14:paraId="6FB916D9" w14:textId="77777777" w:rsidR="00D25008" w:rsidRDefault="00D25008">
      <w:pPr>
        <w:rPr>
          <w:noProof/>
        </w:rPr>
      </w:pPr>
    </w:p>
    <w:p w14:paraId="2AAE6FDB" w14:textId="77777777" w:rsidR="00D25008" w:rsidRDefault="00D25008">
      <w:pPr>
        <w:rPr>
          <w:noProof/>
        </w:rPr>
      </w:pPr>
    </w:p>
    <w:p w14:paraId="0105E321" w14:textId="77777777" w:rsidR="00D25008" w:rsidRDefault="00D25008">
      <w:pPr>
        <w:rPr>
          <w:noProof/>
        </w:rPr>
      </w:pPr>
    </w:p>
    <w:p w14:paraId="59E70FCD" w14:textId="77777777" w:rsidR="00D25008" w:rsidRDefault="00D25008">
      <w:pPr>
        <w:rPr>
          <w:noProof/>
        </w:rPr>
      </w:pPr>
    </w:p>
    <w:p w14:paraId="105608C3" w14:textId="77777777" w:rsidR="00D25008" w:rsidRDefault="00D25008">
      <w:pPr>
        <w:rPr>
          <w:noProof/>
        </w:rPr>
      </w:pPr>
    </w:p>
    <w:p w14:paraId="4F9AE540" w14:textId="77777777" w:rsidR="00D25008" w:rsidRDefault="00D25008">
      <w:pPr>
        <w:rPr>
          <w:noProof/>
        </w:rPr>
      </w:pPr>
    </w:p>
    <w:p w14:paraId="04599BE0" w14:textId="77777777" w:rsidR="00D25008" w:rsidRDefault="00D25008">
      <w:pPr>
        <w:rPr>
          <w:noProof/>
        </w:rPr>
      </w:pPr>
    </w:p>
    <w:p w14:paraId="7CBD88C2" w14:textId="77777777" w:rsidR="00D25008" w:rsidRDefault="00D25008">
      <w:pPr>
        <w:rPr>
          <w:noProof/>
        </w:rPr>
      </w:pPr>
    </w:p>
    <w:p w14:paraId="0E347703" w14:textId="77777777" w:rsidR="00D25008" w:rsidRDefault="00D25008">
      <w:pPr>
        <w:rPr>
          <w:noProof/>
        </w:rPr>
      </w:pPr>
    </w:p>
    <w:p w14:paraId="0DC65D5F" w14:textId="77777777" w:rsidR="00D25008" w:rsidRDefault="00D25008">
      <w:pPr>
        <w:rPr>
          <w:noProof/>
        </w:rPr>
      </w:pPr>
    </w:p>
    <w:p w14:paraId="0DF8D098" w14:textId="77777777" w:rsidR="00D25008" w:rsidRDefault="00D25008">
      <w:pPr>
        <w:rPr>
          <w:noProof/>
        </w:rPr>
      </w:pPr>
    </w:p>
    <w:p w14:paraId="1D670AD9" w14:textId="77777777" w:rsidR="00D25008" w:rsidRDefault="00D25008">
      <w:pPr>
        <w:rPr>
          <w:noProof/>
        </w:rPr>
      </w:pPr>
    </w:p>
    <w:p w14:paraId="1517E015" w14:textId="77777777" w:rsidR="00D25008" w:rsidRDefault="00D25008">
      <w:pPr>
        <w:rPr>
          <w:noProof/>
        </w:rPr>
      </w:pPr>
    </w:p>
    <w:p w14:paraId="4FFC306A" w14:textId="77777777" w:rsidR="00D25008" w:rsidRDefault="00FE2A61">
      <w:pPr>
        <w:tabs>
          <w:tab w:val="left" w:pos="567"/>
        </w:tabs>
        <w:spacing w:line="260" w:lineRule="exact"/>
        <w:jc w:val="center"/>
        <w:outlineLvl w:val="0"/>
        <w:rPr>
          <w:b/>
          <w:snapToGrid w:val="0"/>
          <w:szCs w:val="20"/>
        </w:rPr>
      </w:pPr>
      <w:r>
        <w:rPr>
          <w:b/>
          <w:snapToGrid w:val="0"/>
          <w:szCs w:val="20"/>
        </w:rPr>
        <w:t>B. PAKUOTĖS LAPELIS</w:t>
      </w:r>
    </w:p>
    <w:p w14:paraId="18DA217C" w14:textId="77777777" w:rsidR="00D25008" w:rsidRDefault="00FE2A61">
      <w:pPr>
        <w:jc w:val="center"/>
        <w:outlineLvl w:val="0"/>
        <w:rPr>
          <w:b/>
          <w:noProof/>
        </w:rPr>
      </w:pPr>
      <w:r>
        <w:rPr>
          <w:b/>
          <w:noProof/>
        </w:rPr>
        <w:br w:type="page"/>
      </w:r>
      <w:r>
        <w:rPr>
          <w:b/>
        </w:rPr>
        <w:lastRenderedPageBreak/>
        <w:t>Pakuotės lapelis:</w:t>
      </w:r>
      <w:r>
        <w:rPr>
          <w:b/>
          <w:noProof/>
        </w:rPr>
        <w:t xml:space="preserve"> </w:t>
      </w:r>
      <w:r>
        <w:rPr>
          <w:b/>
        </w:rPr>
        <w:t>informacija pacientui</w:t>
      </w:r>
    </w:p>
    <w:p w14:paraId="034356C3" w14:textId="77777777" w:rsidR="00D25008" w:rsidRDefault="00D25008">
      <w:pPr>
        <w:jc w:val="center"/>
        <w:outlineLvl w:val="0"/>
        <w:rPr>
          <w:b/>
          <w:noProof/>
        </w:rPr>
      </w:pPr>
    </w:p>
    <w:p w14:paraId="4964199B" w14:textId="77777777" w:rsidR="00D25008" w:rsidRPr="00512427" w:rsidRDefault="00FE2A61">
      <w:pPr>
        <w:widowControl w:val="0"/>
        <w:tabs>
          <w:tab w:val="left" w:pos="567"/>
        </w:tabs>
        <w:jc w:val="center"/>
        <w:rPr>
          <w:b/>
          <w:bCs/>
          <w:noProof/>
          <w:szCs w:val="22"/>
        </w:rPr>
      </w:pPr>
      <w:r w:rsidRPr="00512427">
        <w:rPr>
          <w:b/>
          <w:bCs/>
          <w:noProof/>
          <w:szCs w:val="22"/>
        </w:rPr>
        <w:t>Tolvecom 40 mg/5 mg/12,5 mg tabletės</w:t>
      </w:r>
    </w:p>
    <w:p w14:paraId="203733F1" w14:textId="77777777" w:rsidR="00D25008" w:rsidRPr="00512427" w:rsidRDefault="00FE2A61">
      <w:pPr>
        <w:widowControl w:val="0"/>
        <w:tabs>
          <w:tab w:val="left" w:pos="567"/>
        </w:tabs>
        <w:jc w:val="center"/>
        <w:rPr>
          <w:b/>
          <w:bCs/>
          <w:noProof/>
          <w:szCs w:val="22"/>
        </w:rPr>
      </w:pPr>
      <w:r w:rsidRPr="00512427">
        <w:rPr>
          <w:b/>
          <w:bCs/>
          <w:noProof/>
          <w:szCs w:val="22"/>
        </w:rPr>
        <w:t>Tolvecom 80 mg/5 mg/12,5 mg tabletės</w:t>
      </w:r>
    </w:p>
    <w:p w14:paraId="00D06CDC" w14:textId="77777777" w:rsidR="00D25008" w:rsidRPr="00512427" w:rsidRDefault="00FE2A61">
      <w:pPr>
        <w:widowControl w:val="0"/>
        <w:tabs>
          <w:tab w:val="left" w:pos="567"/>
        </w:tabs>
        <w:jc w:val="center"/>
        <w:rPr>
          <w:b/>
          <w:bCs/>
          <w:noProof/>
          <w:szCs w:val="22"/>
        </w:rPr>
      </w:pPr>
      <w:r w:rsidRPr="00512427">
        <w:rPr>
          <w:b/>
          <w:bCs/>
          <w:noProof/>
          <w:szCs w:val="22"/>
        </w:rPr>
        <w:t>Tolvecom 80 mg/10 mg/12,5 mg tabletės</w:t>
      </w:r>
    </w:p>
    <w:p w14:paraId="56ECF243" w14:textId="77777777" w:rsidR="00D25008" w:rsidRPr="00512427" w:rsidRDefault="00FE2A61">
      <w:pPr>
        <w:widowControl w:val="0"/>
        <w:tabs>
          <w:tab w:val="left" w:pos="567"/>
        </w:tabs>
        <w:jc w:val="center"/>
        <w:rPr>
          <w:b/>
          <w:bCs/>
          <w:noProof/>
          <w:szCs w:val="22"/>
        </w:rPr>
      </w:pPr>
      <w:r w:rsidRPr="00512427">
        <w:rPr>
          <w:b/>
          <w:bCs/>
          <w:noProof/>
          <w:szCs w:val="22"/>
        </w:rPr>
        <w:t>Tolvecom 80 mg/10 mg/25 mg tabletės</w:t>
      </w:r>
    </w:p>
    <w:p w14:paraId="5B16D2F9" w14:textId="77777777" w:rsidR="00D25008" w:rsidRDefault="00FE2A61">
      <w:pPr>
        <w:jc w:val="center"/>
        <w:rPr>
          <w:noProof/>
        </w:rPr>
      </w:pPr>
      <w:r>
        <w:rPr>
          <w:noProof/>
        </w:rPr>
        <w:t>telmisartanas/amlodipinas/hidrochlorotiazidas</w:t>
      </w:r>
    </w:p>
    <w:p w14:paraId="15A88F93" w14:textId="77777777" w:rsidR="00D25008" w:rsidRDefault="00D25008">
      <w:pPr>
        <w:jc w:val="center"/>
        <w:rPr>
          <w:noProof/>
        </w:rPr>
      </w:pPr>
    </w:p>
    <w:p w14:paraId="7E98AA34" w14:textId="77777777" w:rsidR="00D25008" w:rsidRDefault="00FE2A61">
      <w:pPr>
        <w:suppressAutoHyphens/>
      </w:pPr>
      <w:r>
        <w:rPr>
          <w:b/>
          <w:noProof/>
        </w:rPr>
        <w:t>Atidžiai perskaitykite visą šį lapelį, prieš pradėdami vartoti vaistą,</w:t>
      </w:r>
      <w:r>
        <w:rPr>
          <w:b/>
        </w:rPr>
        <w:t xml:space="preserve"> nes jame pateikiama Jums svarbi informacija.</w:t>
      </w:r>
    </w:p>
    <w:p w14:paraId="41C688BF" w14:textId="77777777" w:rsidR="00D25008" w:rsidRDefault="00FE2A61">
      <w:pPr>
        <w:ind w:left="567" w:hanging="567"/>
        <w:rPr>
          <w:noProof/>
        </w:rPr>
      </w:pPr>
      <w:r>
        <w:rPr>
          <w:noProof/>
        </w:rPr>
        <w:t>-</w:t>
      </w:r>
      <w:r>
        <w:rPr>
          <w:noProof/>
        </w:rPr>
        <w:tab/>
        <w:t>Neišmeskite šio lapelio, nes vėl gali prireikti jį perskaityti.</w:t>
      </w:r>
    </w:p>
    <w:p w14:paraId="7878EAF7" w14:textId="77777777" w:rsidR="00D25008" w:rsidRDefault="00FE2A61">
      <w:pPr>
        <w:ind w:left="567" w:hanging="567"/>
        <w:rPr>
          <w:noProof/>
        </w:rPr>
      </w:pPr>
      <w:r>
        <w:rPr>
          <w:noProof/>
        </w:rPr>
        <w:t>-</w:t>
      </w:r>
      <w:r>
        <w:rPr>
          <w:noProof/>
        </w:rPr>
        <w:tab/>
        <w:t>Jeigu kiltų daugiau klausimų, kreipkitės į gydytoją arba vaistininką</w:t>
      </w:r>
      <w:r>
        <w:t>.</w:t>
      </w:r>
    </w:p>
    <w:p w14:paraId="51DAEEEE" w14:textId="77777777" w:rsidR="00D25008" w:rsidRDefault="00FE2A61">
      <w:pPr>
        <w:tabs>
          <w:tab w:val="left" w:pos="567"/>
        </w:tabs>
        <w:ind w:left="567" w:hanging="567"/>
        <w:rPr>
          <w:noProof/>
        </w:rPr>
      </w:pPr>
      <w:r>
        <w:rPr>
          <w:noProof/>
        </w:rPr>
        <w:t>-</w:t>
      </w:r>
      <w:r>
        <w:rPr>
          <w:noProof/>
        </w:rPr>
        <w:tab/>
        <w:t>Šis vaistas skirtas tik Jums, todėl kitiems žmonėms jo duoti negalima. Vaistas gali jiems pakenkti (net tiems, kurių ligos požymiai yra tokie patys kaip Jūsų).</w:t>
      </w:r>
    </w:p>
    <w:p w14:paraId="570CFB33" w14:textId="77777777" w:rsidR="00D25008" w:rsidRDefault="00FE2A61">
      <w:pPr>
        <w:numPr>
          <w:ilvl w:val="0"/>
          <w:numId w:val="1"/>
        </w:numPr>
        <w:tabs>
          <w:tab w:val="left" w:pos="567"/>
        </w:tabs>
        <w:ind w:left="540" w:hanging="540"/>
        <w:rPr>
          <w:szCs w:val="22"/>
        </w:rPr>
      </w:pPr>
      <w:r>
        <w:rPr>
          <w:noProof/>
        </w:rPr>
        <w:t xml:space="preserve">Jeigu pasireiškė šalutinis poveikis </w:t>
      </w:r>
      <w:r>
        <w:rPr>
          <w:szCs w:val="22"/>
        </w:rPr>
        <w:t xml:space="preserve">(net jeigu jis šiame lapelyje nenurodytas), kreipkitės į gydytoją arba vaistininką. </w:t>
      </w:r>
      <w:r>
        <w:rPr>
          <w:noProof/>
        </w:rPr>
        <w:t>Žr. 4 skyrių.</w:t>
      </w:r>
    </w:p>
    <w:p w14:paraId="280DAC18" w14:textId="77777777" w:rsidR="00D25008" w:rsidRDefault="00D25008">
      <w:pPr>
        <w:numPr>
          <w:ilvl w:val="12"/>
          <w:numId w:val="0"/>
        </w:numPr>
        <w:ind w:right="-2"/>
        <w:outlineLvl w:val="0"/>
        <w:rPr>
          <w:b/>
          <w:noProof/>
        </w:rPr>
      </w:pPr>
    </w:p>
    <w:p w14:paraId="2F8FE305" w14:textId="77777777" w:rsidR="00D25008" w:rsidRDefault="00FE2A61">
      <w:pPr>
        <w:ind w:left="567" w:hanging="567"/>
        <w:rPr>
          <w:b/>
          <w:szCs w:val="22"/>
        </w:rPr>
      </w:pPr>
      <w:r>
        <w:rPr>
          <w:b/>
          <w:szCs w:val="22"/>
        </w:rPr>
        <w:t>Apie ką rašoma šiame lapelyje?</w:t>
      </w:r>
    </w:p>
    <w:p w14:paraId="3E05098A" w14:textId="77777777" w:rsidR="00D25008" w:rsidRDefault="00D25008">
      <w:pPr>
        <w:rPr>
          <w:b/>
          <w:noProof/>
        </w:rPr>
      </w:pPr>
    </w:p>
    <w:p w14:paraId="624BBAFD" w14:textId="77777777" w:rsidR="00D25008" w:rsidRDefault="00FE2A61">
      <w:pPr>
        <w:ind w:left="567" w:hanging="567"/>
        <w:rPr>
          <w:noProof/>
        </w:rPr>
      </w:pPr>
      <w:r>
        <w:rPr>
          <w:noProof/>
        </w:rPr>
        <w:t>1.</w:t>
      </w:r>
      <w:r>
        <w:rPr>
          <w:noProof/>
        </w:rPr>
        <w:tab/>
        <w:t>Kas yra Tolvecom ir kam jis vartojamas</w:t>
      </w:r>
    </w:p>
    <w:p w14:paraId="0E515D2C" w14:textId="77777777" w:rsidR="00D25008" w:rsidRDefault="00FE2A61">
      <w:pPr>
        <w:ind w:left="567" w:hanging="567"/>
        <w:rPr>
          <w:noProof/>
        </w:rPr>
      </w:pPr>
      <w:r>
        <w:rPr>
          <w:noProof/>
        </w:rPr>
        <w:t>2.</w:t>
      </w:r>
      <w:r>
        <w:rPr>
          <w:noProof/>
        </w:rPr>
        <w:tab/>
        <w:t>Kas žinotina prieš vartojant Tolvecom</w:t>
      </w:r>
    </w:p>
    <w:p w14:paraId="62700B9E" w14:textId="77777777" w:rsidR="00D25008" w:rsidRDefault="00FE2A61">
      <w:pPr>
        <w:ind w:left="567" w:hanging="567"/>
        <w:rPr>
          <w:noProof/>
        </w:rPr>
      </w:pPr>
      <w:r>
        <w:rPr>
          <w:noProof/>
        </w:rPr>
        <w:t>3.</w:t>
      </w:r>
      <w:r>
        <w:rPr>
          <w:noProof/>
        </w:rPr>
        <w:tab/>
        <w:t>Kaip vartoti Tolvecom</w:t>
      </w:r>
    </w:p>
    <w:p w14:paraId="7F7A93CC" w14:textId="77777777" w:rsidR="00D25008" w:rsidRDefault="00FE2A61">
      <w:pPr>
        <w:ind w:left="567" w:hanging="567"/>
        <w:rPr>
          <w:noProof/>
        </w:rPr>
      </w:pPr>
      <w:r>
        <w:rPr>
          <w:noProof/>
        </w:rPr>
        <w:t>4.</w:t>
      </w:r>
      <w:r>
        <w:rPr>
          <w:noProof/>
        </w:rPr>
        <w:tab/>
        <w:t>Galimas šalutinis poveikis</w:t>
      </w:r>
    </w:p>
    <w:p w14:paraId="1C84EC6D" w14:textId="77777777" w:rsidR="00D25008" w:rsidRDefault="00FE2A61">
      <w:pPr>
        <w:ind w:left="567" w:hanging="567"/>
        <w:rPr>
          <w:noProof/>
        </w:rPr>
      </w:pPr>
      <w:r>
        <w:rPr>
          <w:noProof/>
        </w:rPr>
        <w:t>5.</w:t>
      </w:r>
      <w:r>
        <w:rPr>
          <w:noProof/>
        </w:rPr>
        <w:tab/>
        <w:t>Kaip laikyti Tolvecom</w:t>
      </w:r>
    </w:p>
    <w:p w14:paraId="326EDA0E" w14:textId="77777777" w:rsidR="00D25008" w:rsidRDefault="00FE2A61">
      <w:pPr>
        <w:ind w:left="567" w:hanging="567"/>
        <w:rPr>
          <w:noProof/>
        </w:rPr>
      </w:pPr>
      <w:r>
        <w:rPr>
          <w:noProof/>
        </w:rPr>
        <w:t>6.</w:t>
      </w:r>
      <w:r>
        <w:rPr>
          <w:noProof/>
        </w:rPr>
        <w:tab/>
      </w:r>
      <w:r>
        <w:t>Pakuotės turinys ir kita</w:t>
      </w:r>
      <w:r>
        <w:rPr>
          <w:noProof/>
        </w:rPr>
        <w:t xml:space="preserve"> informacija</w:t>
      </w:r>
    </w:p>
    <w:p w14:paraId="61B0175C" w14:textId="77777777" w:rsidR="00D25008" w:rsidRDefault="00D25008">
      <w:pPr>
        <w:numPr>
          <w:ilvl w:val="12"/>
          <w:numId w:val="0"/>
        </w:numPr>
        <w:rPr>
          <w:noProof/>
        </w:rPr>
      </w:pPr>
    </w:p>
    <w:p w14:paraId="3B7D212E" w14:textId="77777777" w:rsidR="00D25008" w:rsidRDefault="00FE2A61">
      <w:pPr>
        <w:widowControl w:val="0"/>
        <w:tabs>
          <w:tab w:val="left" w:pos="567"/>
        </w:tabs>
        <w:rPr>
          <w:b/>
          <w:szCs w:val="22"/>
          <w:lang w:eastAsia="sl-SI"/>
        </w:rPr>
      </w:pPr>
      <w:r>
        <w:rPr>
          <w:b/>
          <w:szCs w:val="22"/>
          <w:lang w:eastAsia="sl-SI"/>
        </w:rPr>
        <w:t>1.</w:t>
      </w:r>
      <w:r>
        <w:rPr>
          <w:b/>
          <w:szCs w:val="22"/>
          <w:lang w:eastAsia="sl-SI"/>
        </w:rPr>
        <w:tab/>
        <w:t xml:space="preserve">Kas yra </w:t>
      </w:r>
      <w:proofErr w:type="spellStart"/>
      <w:r>
        <w:rPr>
          <w:b/>
          <w:szCs w:val="22"/>
          <w:lang w:eastAsia="sl-SI"/>
        </w:rPr>
        <w:t>Tolvecom</w:t>
      </w:r>
      <w:proofErr w:type="spellEnd"/>
      <w:r>
        <w:rPr>
          <w:b/>
          <w:szCs w:val="22"/>
          <w:lang w:eastAsia="sl-SI"/>
        </w:rPr>
        <w:t xml:space="preserve"> ir kam jis vartojamas</w:t>
      </w:r>
    </w:p>
    <w:p w14:paraId="4A6EA5BF" w14:textId="77777777" w:rsidR="00D25008" w:rsidRDefault="00D25008">
      <w:pPr>
        <w:widowControl w:val="0"/>
        <w:numPr>
          <w:ilvl w:val="12"/>
          <w:numId w:val="0"/>
        </w:numPr>
        <w:rPr>
          <w:szCs w:val="22"/>
          <w:lang w:eastAsia="sl-SI"/>
        </w:rPr>
      </w:pPr>
    </w:p>
    <w:p w14:paraId="11D96788" w14:textId="77777777" w:rsidR="00D25008" w:rsidRDefault="00FE2A61">
      <w:pPr>
        <w:autoSpaceDE w:val="0"/>
        <w:autoSpaceDN w:val="0"/>
        <w:adjustRightInd w:val="0"/>
        <w:rPr>
          <w:szCs w:val="22"/>
          <w:lang w:eastAsia="sl-SI"/>
        </w:rPr>
      </w:pPr>
      <w:proofErr w:type="spellStart"/>
      <w:r>
        <w:rPr>
          <w:szCs w:val="22"/>
          <w:lang w:eastAsia="sl-SI"/>
        </w:rPr>
        <w:t>Tolvecom</w:t>
      </w:r>
      <w:proofErr w:type="spellEnd"/>
      <w:r>
        <w:rPr>
          <w:szCs w:val="22"/>
          <w:lang w:eastAsia="sl-SI"/>
        </w:rPr>
        <w:t xml:space="preserve"> yra trijų veikliųjų medžiagų </w:t>
      </w:r>
      <w:proofErr w:type="spellStart"/>
      <w:r>
        <w:rPr>
          <w:szCs w:val="22"/>
          <w:lang w:eastAsia="sl-SI"/>
        </w:rPr>
        <w:t>telmisartano</w:t>
      </w:r>
      <w:proofErr w:type="spellEnd"/>
      <w:r>
        <w:rPr>
          <w:szCs w:val="22"/>
          <w:lang w:eastAsia="sl-SI"/>
        </w:rPr>
        <w:t xml:space="preserve">, </w:t>
      </w:r>
      <w:proofErr w:type="spellStart"/>
      <w:r>
        <w:rPr>
          <w:szCs w:val="22"/>
          <w:lang w:eastAsia="sl-SI"/>
        </w:rPr>
        <w:t>amlodipino</w:t>
      </w:r>
      <w:proofErr w:type="spellEnd"/>
      <w:r>
        <w:rPr>
          <w:szCs w:val="22"/>
          <w:lang w:eastAsia="sl-SI"/>
        </w:rPr>
        <w:t xml:space="preserve"> ir </w:t>
      </w:r>
      <w:proofErr w:type="spellStart"/>
      <w:r>
        <w:rPr>
          <w:szCs w:val="22"/>
          <w:lang w:eastAsia="sl-SI"/>
        </w:rPr>
        <w:t>hidrochlorotiazido</w:t>
      </w:r>
      <w:proofErr w:type="spellEnd"/>
      <w:r>
        <w:rPr>
          <w:szCs w:val="22"/>
          <w:lang w:eastAsia="sl-SI"/>
        </w:rPr>
        <w:t xml:space="preserve"> derinys vienoje tabletėje. Visos šios medžiagos padeda sureguliuoti aukštą kraujospūdį.</w:t>
      </w:r>
    </w:p>
    <w:p w14:paraId="5C658965" w14:textId="77777777" w:rsidR="00D25008" w:rsidRDefault="00D25008">
      <w:pPr>
        <w:autoSpaceDE w:val="0"/>
        <w:autoSpaceDN w:val="0"/>
        <w:adjustRightInd w:val="0"/>
        <w:rPr>
          <w:szCs w:val="22"/>
          <w:lang w:eastAsia="sl-SI"/>
        </w:rPr>
      </w:pPr>
    </w:p>
    <w:p w14:paraId="3E54E259" w14:textId="2817C249" w:rsidR="00D25008" w:rsidRDefault="00FE2A61">
      <w:pPr>
        <w:numPr>
          <w:ilvl w:val="0"/>
          <w:numId w:val="20"/>
        </w:numPr>
        <w:tabs>
          <w:tab w:val="left" w:pos="567"/>
        </w:tabs>
        <w:autoSpaceDE w:val="0"/>
        <w:autoSpaceDN w:val="0"/>
        <w:adjustRightInd w:val="0"/>
        <w:ind w:left="567" w:hanging="567"/>
        <w:contextualSpacing/>
        <w:rPr>
          <w:rFonts w:eastAsia="Calibri"/>
          <w:szCs w:val="22"/>
          <w:lang w:eastAsia="sl-SI"/>
        </w:rPr>
      </w:pPr>
      <w:proofErr w:type="spellStart"/>
      <w:r>
        <w:rPr>
          <w:rFonts w:eastAsia="Calibri"/>
          <w:szCs w:val="22"/>
          <w:lang w:eastAsia="sl-SI"/>
        </w:rPr>
        <w:t>Telmisartanas</w:t>
      </w:r>
      <w:proofErr w:type="spellEnd"/>
      <w:r>
        <w:rPr>
          <w:rFonts w:eastAsia="Calibri"/>
          <w:szCs w:val="22"/>
          <w:lang w:eastAsia="sl-SI"/>
        </w:rPr>
        <w:t xml:space="preserve"> priklauso vaistų, vadinamų </w:t>
      </w:r>
      <w:proofErr w:type="spellStart"/>
      <w:r>
        <w:rPr>
          <w:rFonts w:eastAsia="Calibri"/>
          <w:szCs w:val="22"/>
          <w:lang w:eastAsia="sl-SI"/>
        </w:rPr>
        <w:t>angiotenzino</w:t>
      </w:r>
      <w:proofErr w:type="spellEnd"/>
      <w:r>
        <w:rPr>
          <w:rFonts w:eastAsia="Calibri"/>
          <w:szCs w:val="22"/>
          <w:lang w:eastAsia="sl-SI"/>
        </w:rPr>
        <w:t xml:space="preserve"> II receptorių </w:t>
      </w:r>
      <w:r w:rsidR="001C4737">
        <w:rPr>
          <w:rFonts w:eastAsia="Calibri"/>
          <w:szCs w:val="22"/>
          <w:lang w:eastAsia="sl-SI"/>
        </w:rPr>
        <w:t>blokatoriais</w:t>
      </w:r>
      <w:r>
        <w:rPr>
          <w:rFonts w:eastAsia="Calibri"/>
          <w:szCs w:val="22"/>
          <w:lang w:eastAsia="sl-SI"/>
        </w:rPr>
        <w:t>, grupei.</w:t>
      </w:r>
    </w:p>
    <w:p w14:paraId="597C576F" w14:textId="77777777" w:rsidR="00D25008" w:rsidRDefault="00FE2A61">
      <w:pPr>
        <w:tabs>
          <w:tab w:val="left" w:pos="567"/>
        </w:tabs>
        <w:autoSpaceDE w:val="0"/>
        <w:autoSpaceDN w:val="0"/>
        <w:adjustRightInd w:val="0"/>
        <w:ind w:left="567"/>
        <w:contextualSpacing/>
        <w:rPr>
          <w:rFonts w:eastAsia="Calibri"/>
          <w:szCs w:val="22"/>
          <w:lang w:eastAsia="sl-SI"/>
        </w:rPr>
      </w:pPr>
      <w:proofErr w:type="spellStart"/>
      <w:r>
        <w:rPr>
          <w:rFonts w:eastAsia="Calibri"/>
          <w:szCs w:val="22"/>
          <w:lang w:eastAsia="sl-SI"/>
        </w:rPr>
        <w:t>Angiotenzinas</w:t>
      </w:r>
      <w:proofErr w:type="spellEnd"/>
      <w:r>
        <w:rPr>
          <w:rFonts w:eastAsia="Calibri"/>
          <w:szCs w:val="22"/>
          <w:lang w:eastAsia="sl-SI"/>
        </w:rPr>
        <w:t xml:space="preserve"> II yra organizme gaminama medžiaga, kuri susiaurina kraujagysles ir todėl padidina kraujospūdį. </w:t>
      </w:r>
      <w:proofErr w:type="spellStart"/>
      <w:r>
        <w:rPr>
          <w:rFonts w:eastAsia="Calibri"/>
          <w:szCs w:val="22"/>
          <w:lang w:eastAsia="sl-SI"/>
        </w:rPr>
        <w:t>Telmisartanas</w:t>
      </w:r>
      <w:proofErr w:type="spellEnd"/>
      <w:r>
        <w:rPr>
          <w:rFonts w:eastAsia="Calibri"/>
          <w:szCs w:val="22"/>
          <w:lang w:eastAsia="sl-SI"/>
        </w:rPr>
        <w:t xml:space="preserve"> blokuoja </w:t>
      </w:r>
      <w:proofErr w:type="spellStart"/>
      <w:r>
        <w:rPr>
          <w:rFonts w:eastAsia="Calibri"/>
          <w:szCs w:val="22"/>
          <w:lang w:eastAsia="sl-SI"/>
        </w:rPr>
        <w:t>angiotenzino</w:t>
      </w:r>
      <w:proofErr w:type="spellEnd"/>
      <w:r>
        <w:rPr>
          <w:rFonts w:eastAsia="Calibri"/>
          <w:szCs w:val="22"/>
          <w:lang w:eastAsia="sl-SI"/>
        </w:rPr>
        <w:t> II sukeliamą poveikį, todėl kraujagyslės atsipalaiduoja ir kraujospūdis sumažėja.</w:t>
      </w:r>
    </w:p>
    <w:p w14:paraId="123314C5" w14:textId="77777777" w:rsidR="00D25008" w:rsidRDefault="00D25008">
      <w:pPr>
        <w:tabs>
          <w:tab w:val="left" w:pos="567"/>
        </w:tabs>
        <w:autoSpaceDE w:val="0"/>
        <w:autoSpaceDN w:val="0"/>
        <w:adjustRightInd w:val="0"/>
        <w:ind w:left="567"/>
        <w:contextualSpacing/>
        <w:rPr>
          <w:rFonts w:eastAsia="Calibri"/>
          <w:szCs w:val="22"/>
          <w:lang w:eastAsia="sl-SI"/>
        </w:rPr>
      </w:pPr>
    </w:p>
    <w:p w14:paraId="4CB07C11" w14:textId="77777777" w:rsidR="00D25008" w:rsidRDefault="00FE2A61">
      <w:pPr>
        <w:numPr>
          <w:ilvl w:val="0"/>
          <w:numId w:val="20"/>
        </w:numPr>
        <w:tabs>
          <w:tab w:val="left" w:pos="567"/>
        </w:tabs>
        <w:autoSpaceDE w:val="0"/>
        <w:autoSpaceDN w:val="0"/>
        <w:adjustRightInd w:val="0"/>
        <w:ind w:left="567" w:hanging="567"/>
        <w:contextualSpacing/>
        <w:rPr>
          <w:rFonts w:eastAsia="Calibri"/>
          <w:szCs w:val="22"/>
          <w:lang w:eastAsia="sl-SI"/>
        </w:rPr>
      </w:pPr>
      <w:proofErr w:type="spellStart"/>
      <w:r>
        <w:rPr>
          <w:rFonts w:eastAsia="Calibri"/>
          <w:szCs w:val="22"/>
          <w:lang w:eastAsia="sl-SI"/>
        </w:rPr>
        <w:t>Amlodipinas</w:t>
      </w:r>
      <w:proofErr w:type="spellEnd"/>
      <w:r>
        <w:rPr>
          <w:rFonts w:eastAsia="Calibri"/>
          <w:szCs w:val="22"/>
          <w:lang w:eastAsia="sl-SI"/>
        </w:rPr>
        <w:t xml:space="preserve"> priklauso vaistų, vadinamų kalcio kanalų blokatoriais, grupei. </w:t>
      </w:r>
      <w:proofErr w:type="spellStart"/>
      <w:r>
        <w:rPr>
          <w:rFonts w:eastAsia="Calibri"/>
          <w:szCs w:val="22"/>
          <w:lang w:eastAsia="sl-SI"/>
        </w:rPr>
        <w:t>Amlodipinas</w:t>
      </w:r>
      <w:proofErr w:type="spellEnd"/>
      <w:r>
        <w:rPr>
          <w:rFonts w:eastAsia="Calibri"/>
          <w:szCs w:val="22"/>
          <w:lang w:eastAsia="sl-SI"/>
        </w:rPr>
        <w:t xml:space="preserve"> atpalaiduoja ir praplečia kraujagysles, todėl kraujo tekėjimas jomis palengvėja.</w:t>
      </w:r>
    </w:p>
    <w:p w14:paraId="2994825A" w14:textId="77777777" w:rsidR="00D25008" w:rsidRDefault="00D25008">
      <w:pPr>
        <w:autoSpaceDE w:val="0"/>
        <w:autoSpaceDN w:val="0"/>
        <w:adjustRightInd w:val="0"/>
        <w:ind w:left="567" w:hanging="567"/>
        <w:rPr>
          <w:szCs w:val="22"/>
          <w:lang w:eastAsia="sl-SI"/>
        </w:rPr>
      </w:pPr>
    </w:p>
    <w:p w14:paraId="415978EF" w14:textId="77777777" w:rsidR="00D25008" w:rsidRDefault="00FE2A61">
      <w:pPr>
        <w:numPr>
          <w:ilvl w:val="0"/>
          <w:numId w:val="20"/>
        </w:numPr>
        <w:tabs>
          <w:tab w:val="left" w:pos="567"/>
        </w:tabs>
        <w:autoSpaceDE w:val="0"/>
        <w:autoSpaceDN w:val="0"/>
        <w:adjustRightInd w:val="0"/>
        <w:ind w:left="567" w:hanging="567"/>
        <w:contextualSpacing/>
        <w:rPr>
          <w:rFonts w:eastAsia="Calibri"/>
          <w:szCs w:val="22"/>
          <w:lang w:eastAsia="sl-SI"/>
        </w:rPr>
      </w:pPr>
      <w:proofErr w:type="spellStart"/>
      <w:r>
        <w:rPr>
          <w:rFonts w:eastAsia="Calibri"/>
          <w:szCs w:val="22"/>
          <w:lang w:eastAsia="sl-SI"/>
        </w:rPr>
        <w:t>Hidrochlorotiazidas</w:t>
      </w:r>
      <w:proofErr w:type="spellEnd"/>
      <w:r>
        <w:rPr>
          <w:rFonts w:eastAsia="Calibri"/>
          <w:szCs w:val="22"/>
          <w:lang w:eastAsia="sl-SI"/>
        </w:rPr>
        <w:t xml:space="preserve"> priklauso vaistų, vadinamų </w:t>
      </w:r>
      <w:proofErr w:type="spellStart"/>
      <w:r>
        <w:rPr>
          <w:rFonts w:eastAsia="Calibri"/>
          <w:szCs w:val="22"/>
          <w:lang w:eastAsia="sl-SI"/>
        </w:rPr>
        <w:t>tiazidiniais</w:t>
      </w:r>
      <w:proofErr w:type="spellEnd"/>
      <w:r>
        <w:rPr>
          <w:rFonts w:eastAsia="Calibri"/>
          <w:szCs w:val="22"/>
          <w:lang w:eastAsia="sl-SI"/>
        </w:rPr>
        <w:t xml:space="preserve"> diuretikais, grupei. </w:t>
      </w:r>
      <w:proofErr w:type="spellStart"/>
      <w:r>
        <w:rPr>
          <w:rFonts w:eastAsia="Calibri"/>
          <w:szCs w:val="22"/>
          <w:lang w:eastAsia="sl-SI"/>
        </w:rPr>
        <w:t>Hidrochlorotiazidas</w:t>
      </w:r>
      <w:proofErr w:type="spellEnd"/>
      <w:r>
        <w:rPr>
          <w:rFonts w:eastAsia="Calibri"/>
          <w:szCs w:val="22"/>
          <w:lang w:eastAsia="sl-SI"/>
        </w:rPr>
        <w:t xml:space="preserve"> skatina šlapimo išsiskyrimą ir taip sumažina kraujospūdį.</w:t>
      </w:r>
    </w:p>
    <w:p w14:paraId="2081322E" w14:textId="77777777" w:rsidR="00D25008" w:rsidRDefault="00D25008">
      <w:pPr>
        <w:autoSpaceDE w:val="0"/>
        <w:autoSpaceDN w:val="0"/>
        <w:adjustRightInd w:val="0"/>
        <w:rPr>
          <w:szCs w:val="22"/>
          <w:lang w:eastAsia="sl-SI"/>
        </w:rPr>
      </w:pPr>
    </w:p>
    <w:p w14:paraId="176EE1E2" w14:textId="77777777" w:rsidR="00D25008" w:rsidRDefault="00FE2A61">
      <w:pPr>
        <w:widowControl w:val="0"/>
        <w:numPr>
          <w:ilvl w:val="12"/>
          <w:numId w:val="0"/>
        </w:numPr>
        <w:rPr>
          <w:szCs w:val="22"/>
          <w:lang w:eastAsia="sl-SI"/>
        </w:rPr>
      </w:pPr>
      <w:proofErr w:type="spellStart"/>
      <w:r>
        <w:rPr>
          <w:szCs w:val="22"/>
          <w:lang w:eastAsia="sl-SI"/>
        </w:rPr>
        <w:t>Tolvecom</w:t>
      </w:r>
      <w:proofErr w:type="spellEnd"/>
      <w:r>
        <w:rPr>
          <w:szCs w:val="22"/>
          <w:lang w:eastAsia="sl-SI"/>
        </w:rPr>
        <w:t xml:space="preserve"> gali būti vartojamas didelio kraujospūdžio ligai (hipertenzijai) gydyti pacientams, kurių kraujospūdis yra tinkamai sureguliuotas kartu vartojant atskiras medžiagas tokiomis pačiomis dozėmis, kaip ir derinyje, tačiau atskiromis tabletėmis.</w:t>
      </w:r>
    </w:p>
    <w:p w14:paraId="13DC6668" w14:textId="77777777" w:rsidR="00D25008" w:rsidRDefault="00D25008">
      <w:pPr>
        <w:widowControl w:val="0"/>
        <w:numPr>
          <w:ilvl w:val="12"/>
          <w:numId w:val="0"/>
        </w:numPr>
        <w:rPr>
          <w:szCs w:val="22"/>
          <w:lang w:eastAsia="sl-SI"/>
        </w:rPr>
      </w:pPr>
    </w:p>
    <w:p w14:paraId="09516C51" w14:textId="77777777" w:rsidR="00D25008" w:rsidRDefault="00D25008">
      <w:pPr>
        <w:widowControl w:val="0"/>
        <w:numPr>
          <w:ilvl w:val="12"/>
          <w:numId w:val="0"/>
        </w:numPr>
        <w:rPr>
          <w:szCs w:val="22"/>
          <w:lang w:eastAsia="sl-SI"/>
        </w:rPr>
      </w:pPr>
    </w:p>
    <w:p w14:paraId="13B50C50" w14:textId="77777777" w:rsidR="00D25008" w:rsidRDefault="00FE2A61">
      <w:pPr>
        <w:widowControl w:val="0"/>
        <w:tabs>
          <w:tab w:val="left" w:pos="567"/>
        </w:tabs>
        <w:rPr>
          <w:b/>
          <w:szCs w:val="22"/>
          <w:lang w:eastAsia="sl-SI"/>
        </w:rPr>
      </w:pPr>
      <w:r>
        <w:rPr>
          <w:b/>
          <w:szCs w:val="22"/>
          <w:lang w:eastAsia="sl-SI"/>
        </w:rPr>
        <w:t>2.</w:t>
      </w:r>
      <w:r>
        <w:rPr>
          <w:b/>
          <w:szCs w:val="22"/>
          <w:lang w:eastAsia="sl-SI"/>
        </w:rPr>
        <w:tab/>
        <w:t xml:space="preserve">Kas žinotina prieš vartojant </w:t>
      </w:r>
      <w:proofErr w:type="spellStart"/>
      <w:r>
        <w:rPr>
          <w:b/>
          <w:szCs w:val="22"/>
          <w:lang w:eastAsia="sl-SI"/>
        </w:rPr>
        <w:t>Tolvecom</w:t>
      </w:r>
      <w:proofErr w:type="spellEnd"/>
      <w:r>
        <w:rPr>
          <w:b/>
          <w:szCs w:val="22"/>
          <w:lang w:eastAsia="sl-SI"/>
        </w:rPr>
        <w:t xml:space="preserve"> </w:t>
      </w:r>
    </w:p>
    <w:p w14:paraId="23A604F9" w14:textId="77777777" w:rsidR="00D25008" w:rsidRDefault="00D25008">
      <w:pPr>
        <w:widowControl w:val="0"/>
        <w:numPr>
          <w:ilvl w:val="12"/>
          <w:numId w:val="0"/>
        </w:numPr>
        <w:ind w:right="-2"/>
        <w:rPr>
          <w:szCs w:val="22"/>
          <w:lang w:eastAsia="sl-SI"/>
        </w:rPr>
      </w:pPr>
    </w:p>
    <w:p w14:paraId="331988DE" w14:textId="77777777" w:rsidR="00D25008" w:rsidRDefault="00FE2A61">
      <w:pPr>
        <w:widowControl w:val="0"/>
        <w:numPr>
          <w:ilvl w:val="12"/>
          <w:numId w:val="0"/>
        </w:numPr>
        <w:outlineLvl w:val="0"/>
        <w:rPr>
          <w:b/>
          <w:szCs w:val="22"/>
          <w:lang w:eastAsia="sl-SI"/>
        </w:rPr>
      </w:pPr>
      <w:proofErr w:type="spellStart"/>
      <w:r>
        <w:rPr>
          <w:b/>
          <w:szCs w:val="22"/>
          <w:lang w:eastAsia="sl-SI"/>
        </w:rPr>
        <w:t>Tolvecom</w:t>
      </w:r>
      <w:proofErr w:type="spellEnd"/>
      <w:r>
        <w:rPr>
          <w:sz w:val="24"/>
          <w:szCs w:val="20"/>
          <w:lang w:val="sl-SI" w:eastAsia="sl-SI"/>
        </w:rPr>
        <w:t xml:space="preserve"> </w:t>
      </w:r>
      <w:r>
        <w:rPr>
          <w:b/>
          <w:szCs w:val="22"/>
          <w:lang w:eastAsia="sl-SI"/>
        </w:rPr>
        <w:t>vartoti draudžiama</w:t>
      </w:r>
    </w:p>
    <w:p w14:paraId="75A48044" w14:textId="77777777" w:rsidR="00D25008" w:rsidRDefault="00FE2A61">
      <w:pPr>
        <w:numPr>
          <w:ilvl w:val="0"/>
          <w:numId w:val="21"/>
        </w:numPr>
        <w:autoSpaceDE w:val="0"/>
        <w:autoSpaceDN w:val="0"/>
        <w:adjustRightInd w:val="0"/>
        <w:ind w:left="567" w:hanging="567"/>
        <w:contextualSpacing/>
        <w:rPr>
          <w:rFonts w:eastAsia="Calibri"/>
          <w:szCs w:val="22"/>
          <w:lang w:eastAsia="sl-SI"/>
        </w:rPr>
      </w:pPr>
      <w:r>
        <w:rPr>
          <w:rFonts w:eastAsia="Calibri"/>
          <w:szCs w:val="22"/>
          <w:lang w:eastAsia="sl-SI"/>
        </w:rPr>
        <w:t xml:space="preserve">jeigu yra alergija </w:t>
      </w:r>
      <w:proofErr w:type="spellStart"/>
      <w:r>
        <w:rPr>
          <w:rFonts w:eastAsia="Calibri"/>
          <w:szCs w:val="22"/>
          <w:lang w:eastAsia="sl-SI"/>
        </w:rPr>
        <w:t>telmisartanui</w:t>
      </w:r>
      <w:proofErr w:type="spellEnd"/>
      <w:r>
        <w:rPr>
          <w:rFonts w:eastAsia="Calibri"/>
          <w:szCs w:val="22"/>
          <w:lang w:eastAsia="sl-SI"/>
        </w:rPr>
        <w:t xml:space="preserve"> arba bet kuriai pagalbinei šio vaisto medžiagai (jos išvardytos 6 skyriuje</w:t>
      </w:r>
      <w:r>
        <w:rPr>
          <w:rFonts w:eastAsia="Calibri"/>
          <w:szCs w:val="22"/>
        </w:rPr>
        <w:t>);</w:t>
      </w:r>
    </w:p>
    <w:p w14:paraId="42D9A5D1" w14:textId="77777777" w:rsidR="00D25008" w:rsidRDefault="00FE2A61">
      <w:pPr>
        <w:numPr>
          <w:ilvl w:val="0"/>
          <w:numId w:val="21"/>
        </w:numPr>
        <w:autoSpaceDE w:val="0"/>
        <w:autoSpaceDN w:val="0"/>
        <w:adjustRightInd w:val="0"/>
        <w:ind w:left="567" w:hanging="567"/>
        <w:contextualSpacing/>
        <w:rPr>
          <w:rFonts w:eastAsia="Calibri"/>
          <w:szCs w:val="22"/>
          <w:lang w:eastAsia="sl-SI"/>
        </w:rPr>
      </w:pPr>
      <w:r>
        <w:rPr>
          <w:rFonts w:eastAsia="Calibri"/>
          <w:szCs w:val="22"/>
          <w:lang w:eastAsia="sl-SI"/>
        </w:rPr>
        <w:t xml:space="preserve">jeigu yra alergija </w:t>
      </w:r>
      <w:proofErr w:type="spellStart"/>
      <w:r>
        <w:rPr>
          <w:rFonts w:eastAsia="Calibri"/>
          <w:szCs w:val="22"/>
          <w:lang w:eastAsia="sl-SI"/>
        </w:rPr>
        <w:t>hidrochlorotiazidui</w:t>
      </w:r>
      <w:proofErr w:type="spellEnd"/>
      <w:r>
        <w:rPr>
          <w:rFonts w:eastAsia="Calibri"/>
          <w:szCs w:val="22"/>
          <w:lang w:eastAsia="sl-SI"/>
        </w:rPr>
        <w:t xml:space="preserve"> arba bet kuriam kitam su </w:t>
      </w:r>
      <w:proofErr w:type="spellStart"/>
      <w:r>
        <w:rPr>
          <w:rFonts w:eastAsia="Calibri"/>
          <w:szCs w:val="22"/>
          <w:lang w:eastAsia="sl-SI"/>
        </w:rPr>
        <w:t>sulfonamidu</w:t>
      </w:r>
      <w:proofErr w:type="spellEnd"/>
      <w:r>
        <w:rPr>
          <w:rFonts w:eastAsia="Calibri"/>
          <w:szCs w:val="22"/>
          <w:lang w:eastAsia="sl-SI"/>
        </w:rPr>
        <w:t xml:space="preserve"> susijusiam vaistui;</w:t>
      </w:r>
    </w:p>
    <w:p w14:paraId="32BB192B" w14:textId="77777777" w:rsidR="00D25008" w:rsidRDefault="00FE2A61">
      <w:pPr>
        <w:numPr>
          <w:ilvl w:val="0"/>
          <w:numId w:val="21"/>
        </w:numPr>
        <w:autoSpaceDE w:val="0"/>
        <w:autoSpaceDN w:val="0"/>
        <w:adjustRightInd w:val="0"/>
        <w:ind w:left="567" w:hanging="567"/>
        <w:contextualSpacing/>
        <w:rPr>
          <w:rFonts w:eastAsia="Calibri"/>
          <w:szCs w:val="22"/>
          <w:lang w:eastAsia="sl-SI"/>
        </w:rPr>
      </w:pPr>
      <w:r>
        <w:rPr>
          <w:rFonts w:eastAsia="Calibri"/>
          <w:szCs w:val="22"/>
          <w:lang w:eastAsia="sl-SI"/>
        </w:rPr>
        <w:t xml:space="preserve">jeigu yra alergija </w:t>
      </w:r>
      <w:proofErr w:type="spellStart"/>
      <w:r>
        <w:rPr>
          <w:rFonts w:eastAsia="Calibri"/>
          <w:szCs w:val="22"/>
          <w:lang w:eastAsia="sl-SI"/>
        </w:rPr>
        <w:t>amlodipinui</w:t>
      </w:r>
      <w:proofErr w:type="spellEnd"/>
      <w:r>
        <w:rPr>
          <w:rFonts w:eastAsia="Calibri"/>
          <w:szCs w:val="22"/>
          <w:lang w:eastAsia="sl-SI"/>
        </w:rPr>
        <w:t xml:space="preserve"> arba bet kokiam kitam kalcio antagonistui;</w:t>
      </w:r>
    </w:p>
    <w:p w14:paraId="4EC16315" w14:textId="77777777" w:rsidR="00D25008" w:rsidRDefault="00FE2A61">
      <w:pPr>
        <w:numPr>
          <w:ilvl w:val="0"/>
          <w:numId w:val="21"/>
        </w:numPr>
        <w:autoSpaceDE w:val="0"/>
        <w:autoSpaceDN w:val="0"/>
        <w:adjustRightInd w:val="0"/>
        <w:ind w:left="567" w:hanging="567"/>
        <w:contextualSpacing/>
        <w:rPr>
          <w:rFonts w:eastAsia="Calibri"/>
          <w:szCs w:val="22"/>
          <w:lang w:eastAsia="sl-SI"/>
        </w:rPr>
      </w:pPr>
      <w:r>
        <w:rPr>
          <w:rFonts w:eastAsia="Calibri"/>
          <w:szCs w:val="22"/>
          <w:lang w:eastAsia="sl-SI"/>
        </w:rPr>
        <w:t xml:space="preserve">jeigu esate ilgiau kaip 3 mėnesius nėščia (geriausia vengti vartoti </w:t>
      </w:r>
      <w:proofErr w:type="spellStart"/>
      <w:r>
        <w:rPr>
          <w:rFonts w:eastAsia="Calibri"/>
          <w:szCs w:val="22"/>
          <w:lang w:eastAsia="sl-SI"/>
        </w:rPr>
        <w:t>Tolvecom</w:t>
      </w:r>
      <w:proofErr w:type="spellEnd"/>
      <w:r>
        <w:rPr>
          <w:rFonts w:eastAsia="Calibri"/>
          <w:szCs w:val="22"/>
          <w:lang w:eastAsia="sl-SI"/>
        </w:rPr>
        <w:t xml:space="preserve"> ir ankstyvuoju nėštumo laikotarpiu – žr. skyrių „Nėštumas ir žindymo laikotarpis“);</w:t>
      </w:r>
    </w:p>
    <w:p w14:paraId="6C02FC03" w14:textId="77777777" w:rsidR="00D25008" w:rsidRDefault="00FE2A61">
      <w:pPr>
        <w:numPr>
          <w:ilvl w:val="0"/>
          <w:numId w:val="21"/>
        </w:numPr>
        <w:autoSpaceDE w:val="0"/>
        <w:autoSpaceDN w:val="0"/>
        <w:adjustRightInd w:val="0"/>
        <w:ind w:left="567" w:hanging="567"/>
        <w:contextualSpacing/>
        <w:rPr>
          <w:rFonts w:eastAsia="Calibri"/>
          <w:szCs w:val="22"/>
          <w:lang w:eastAsia="sl-SI"/>
        </w:rPr>
      </w:pPr>
      <w:r>
        <w:rPr>
          <w:rFonts w:eastAsia="Calibri"/>
          <w:szCs w:val="22"/>
          <w:lang w:eastAsia="sl-SI"/>
        </w:rPr>
        <w:lastRenderedPageBreak/>
        <w:t>jeigu yra sunkus kepenų sutrikimas, pvz., tulžies sąstovis arba tulžies takų užsikimšimas (tulžies ištekėjimo iš kepenų ir tulžies pūslės sutrikimas) arba bet kokia kita sunki kepenų liga;</w:t>
      </w:r>
    </w:p>
    <w:p w14:paraId="498AE1B2" w14:textId="32853779" w:rsidR="00D25008" w:rsidRDefault="00FE2A61">
      <w:pPr>
        <w:numPr>
          <w:ilvl w:val="0"/>
          <w:numId w:val="21"/>
        </w:numPr>
        <w:autoSpaceDE w:val="0"/>
        <w:autoSpaceDN w:val="0"/>
        <w:adjustRightInd w:val="0"/>
        <w:ind w:left="567" w:hanging="567"/>
        <w:contextualSpacing/>
        <w:rPr>
          <w:rFonts w:eastAsia="Calibri"/>
          <w:szCs w:val="22"/>
          <w:lang w:eastAsia="sl-SI"/>
        </w:rPr>
      </w:pPr>
      <w:r>
        <w:rPr>
          <w:rFonts w:eastAsia="Calibri"/>
          <w:szCs w:val="22"/>
          <w:lang w:eastAsia="sl-SI"/>
        </w:rPr>
        <w:t>jeigu yra sunki inkstų liga</w:t>
      </w:r>
      <w:r w:rsidR="001C4737">
        <w:rPr>
          <w:rFonts w:eastAsia="Calibri"/>
          <w:szCs w:val="22"/>
          <w:lang w:eastAsia="sl-SI"/>
        </w:rPr>
        <w:t xml:space="preserve"> arba </w:t>
      </w:r>
      <w:proofErr w:type="spellStart"/>
      <w:r w:rsidR="001C4737">
        <w:rPr>
          <w:rFonts w:eastAsia="Calibri"/>
          <w:szCs w:val="22"/>
          <w:lang w:eastAsia="sl-SI"/>
        </w:rPr>
        <w:t>anurija</w:t>
      </w:r>
      <w:proofErr w:type="spellEnd"/>
      <w:r w:rsidR="001C4737">
        <w:rPr>
          <w:rFonts w:eastAsia="Calibri"/>
          <w:szCs w:val="22"/>
          <w:lang w:eastAsia="sl-SI"/>
        </w:rPr>
        <w:t xml:space="preserve"> </w:t>
      </w:r>
      <w:r w:rsidR="001C4737">
        <w:t>(kai išsiskiria mažiau kaip 100 ml šlapimo per parą)</w:t>
      </w:r>
      <w:r w:rsidR="001C4737">
        <w:rPr>
          <w:rFonts w:eastAsia="Calibri"/>
          <w:szCs w:val="22"/>
          <w:lang w:eastAsia="sl-SI"/>
        </w:rPr>
        <w:t>;</w:t>
      </w:r>
    </w:p>
    <w:p w14:paraId="70014500" w14:textId="77777777" w:rsidR="00D25008" w:rsidRDefault="00FE2A61">
      <w:pPr>
        <w:numPr>
          <w:ilvl w:val="0"/>
          <w:numId w:val="21"/>
        </w:numPr>
        <w:autoSpaceDE w:val="0"/>
        <w:autoSpaceDN w:val="0"/>
        <w:adjustRightInd w:val="0"/>
        <w:ind w:left="567" w:hanging="567"/>
        <w:contextualSpacing/>
        <w:rPr>
          <w:rFonts w:eastAsia="Calibri"/>
          <w:szCs w:val="22"/>
          <w:lang w:eastAsia="sl-SI"/>
        </w:rPr>
      </w:pPr>
      <w:r>
        <w:rPr>
          <w:rFonts w:eastAsia="Calibri"/>
          <w:szCs w:val="22"/>
          <w:lang w:eastAsia="sl-SI"/>
        </w:rPr>
        <w:t>jeigu gydytojas nustato, kad Jūsų kraujyje yra mažas kalio arba didelis kalcio kiekis ir skiriant gydymą toks sutrikimas nėra pašalinamas;</w:t>
      </w:r>
    </w:p>
    <w:p w14:paraId="7BC0FAF2" w14:textId="77777777" w:rsidR="00D25008" w:rsidRDefault="00FE2A61">
      <w:pPr>
        <w:numPr>
          <w:ilvl w:val="0"/>
          <w:numId w:val="21"/>
        </w:numPr>
        <w:autoSpaceDE w:val="0"/>
        <w:autoSpaceDN w:val="0"/>
        <w:adjustRightInd w:val="0"/>
        <w:ind w:left="567" w:hanging="567"/>
        <w:contextualSpacing/>
        <w:rPr>
          <w:rFonts w:eastAsia="Calibri"/>
          <w:szCs w:val="22"/>
          <w:lang w:eastAsia="sl-SI"/>
        </w:rPr>
      </w:pPr>
      <w:r>
        <w:rPr>
          <w:rFonts w:eastAsia="Calibri"/>
          <w:szCs w:val="22"/>
          <w:lang w:eastAsia="sl-SI"/>
        </w:rPr>
        <w:t xml:space="preserve">jeigu sergate cukriniu diabetu arba Jūsų inkstų funkcija sutrikusi ir Jums skirtas kraujospūdį mažinantis vaistas, kurio sudėtyje yra </w:t>
      </w:r>
      <w:proofErr w:type="spellStart"/>
      <w:r>
        <w:rPr>
          <w:rFonts w:eastAsia="Calibri"/>
          <w:szCs w:val="22"/>
          <w:lang w:eastAsia="sl-SI"/>
        </w:rPr>
        <w:t>aliskireno</w:t>
      </w:r>
      <w:proofErr w:type="spellEnd"/>
      <w:r>
        <w:rPr>
          <w:rFonts w:eastAsia="Calibri"/>
          <w:szCs w:val="22"/>
          <w:lang w:eastAsia="sl-SI"/>
        </w:rPr>
        <w:t>;</w:t>
      </w:r>
    </w:p>
    <w:p w14:paraId="35681020" w14:textId="77777777" w:rsidR="00D25008" w:rsidRDefault="00FE2A61">
      <w:pPr>
        <w:numPr>
          <w:ilvl w:val="0"/>
          <w:numId w:val="21"/>
        </w:numPr>
        <w:autoSpaceDE w:val="0"/>
        <w:autoSpaceDN w:val="0"/>
        <w:adjustRightInd w:val="0"/>
        <w:ind w:left="567" w:hanging="567"/>
        <w:contextualSpacing/>
        <w:rPr>
          <w:rFonts w:eastAsia="Calibri"/>
          <w:szCs w:val="22"/>
          <w:lang w:eastAsia="sl-SI"/>
        </w:rPr>
      </w:pPr>
      <w:r>
        <w:rPr>
          <w:rFonts w:eastAsia="Calibri"/>
          <w:szCs w:val="22"/>
          <w:lang w:eastAsia="sl-SI"/>
        </w:rPr>
        <w:t xml:space="preserve">jeigu yra labai mažas kraujospūdis (sunki </w:t>
      </w:r>
      <w:proofErr w:type="spellStart"/>
      <w:r>
        <w:rPr>
          <w:rFonts w:eastAsia="Calibri"/>
          <w:szCs w:val="22"/>
          <w:lang w:eastAsia="sl-SI"/>
        </w:rPr>
        <w:t>hipotenzija</w:t>
      </w:r>
      <w:proofErr w:type="spellEnd"/>
      <w:r>
        <w:rPr>
          <w:rFonts w:eastAsia="Calibri"/>
          <w:szCs w:val="22"/>
          <w:lang w:eastAsia="sl-SI"/>
        </w:rPr>
        <w:t>);</w:t>
      </w:r>
    </w:p>
    <w:p w14:paraId="743F58FD" w14:textId="77777777" w:rsidR="00D25008" w:rsidRDefault="00FE2A61">
      <w:pPr>
        <w:numPr>
          <w:ilvl w:val="0"/>
          <w:numId w:val="21"/>
        </w:numPr>
        <w:autoSpaceDE w:val="0"/>
        <w:autoSpaceDN w:val="0"/>
        <w:adjustRightInd w:val="0"/>
        <w:ind w:left="567" w:hanging="567"/>
        <w:contextualSpacing/>
        <w:rPr>
          <w:rFonts w:eastAsia="Calibri"/>
          <w:szCs w:val="22"/>
          <w:lang w:eastAsia="sl-SI"/>
        </w:rPr>
      </w:pPr>
      <w:r>
        <w:rPr>
          <w:rFonts w:eastAsia="Calibri"/>
          <w:szCs w:val="22"/>
          <w:lang w:eastAsia="sl-SI"/>
        </w:rPr>
        <w:t xml:space="preserve">jeigu yra susiaurėjęs širdies aortos vožtuvas (aortos stenozė) arba patyrėte </w:t>
      </w:r>
      <w:proofErr w:type="spellStart"/>
      <w:r>
        <w:rPr>
          <w:rFonts w:eastAsia="Calibri"/>
          <w:szCs w:val="22"/>
          <w:lang w:eastAsia="sl-SI"/>
        </w:rPr>
        <w:t>kardiogeninį</w:t>
      </w:r>
      <w:proofErr w:type="spellEnd"/>
      <w:r>
        <w:rPr>
          <w:rFonts w:eastAsia="Calibri"/>
          <w:szCs w:val="22"/>
          <w:lang w:eastAsia="sl-SI"/>
        </w:rPr>
        <w:t xml:space="preserve"> šoką (būklė, kai širdis nepajėgia organizmui tiekti pakankamai kraujo);</w:t>
      </w:r>
    </w:p>
    <w:p w14:paraId="3D45D90C" w14:textId="77777777" w:rsidR="00D25008" w:rsidRDefault="00FE2A61">
      <w:pPr>
        <w:numPr>
          <w:ilvl w:val="0"/>
          <w:numId w:val="21"/>
        </w:numPr>
        <w:autoSpaceDE w:val="0"/>
        <w:autoSpaceDN w:val="0"/>
        <w:adjustRightInd w:val="0"/>
        <w:ind w:left="567" w:hanging="567"/>
        <w:contextualSpacing/>
        <w:rPr>
          <w:rFonts w:eastAsia="Calibri"/>
          <w:szCs w:val="22"/>
          <w:lang w:eastAsia="sl-SI"/>
        </w:rPr>
      </w:pPr>
      <w:r>
        <w:rPr>
          <w:rFonts w:eastAsia="Calibri"/>
          <w:szCs w:val="22"/>
          <w:lang w:eastAsia="sl-SI"/>
        </w:rPr>
        <w:t>jeigu sergate širdies nepakankamumu po ūminio širdies priepuolio.</w:t>
      </w:r>
    </w:p>
    <w:p w14:paraId="3BA47402" w14:textId="77777777" w:rsidR="00D25008" w:rsidRDefault="00D25008">
      <w:pPr>
        <w:autoSpaceDE w:val="0"/>
        <w:autoSpaceDN w:val="0"/>
        <w:adjustRightInd w:val="0"/>
        <w:rPr>
          <w:szCs w:val="22"/>
          <w:lang w:eastAsia="sl-SI"/>
        </w:rPr>
      </w:pPr>
    </w:p>
    <w:p w14:paraId="2F03319E" w14:textId="77777777" w:rsidR="00D25008" w:rsidRDefault="00FE2A61">
      <w:pPr>
        <w:autoSpaceDE w:val="0"/>
        <w:autoSpaceDN w:val="0"/>
        <w:adjustRightInd w:val="0"/>
        <w:rPr>
          <w:szCs w:val="22"/>
          <w:lang w:eastAsia="sl-SI"/>
        </w:rPr>
      </w:pPr>
      <w:r>
        <w:rPr>
          <w:szCs w:val="22"/>
          <w:lang w:eastAsia="sl-SI"/>
        </w:rPr>
        <w:t xml:space="preserve">Jei bet kuri paminėta būklė Jums tinka, prieš vartodami </w:t>
      </w:r>
      <w:proofErr w:type="spellStart"/>
      <w:r>
        <w:rPr>
          <w:szCs w:val="22"/>
          <w:lang w:eastAsia="sl-SI"/>
        </w:rPr>
        <w:t>Tolvecom</w:t>
      </w:r>
      <w:proofErr w:type="spellEnd"/>
      <w:r>
        <w:rPr>
          <w:szCs w:val="22"/>
          <w:lang w:eastAsia="sl-SI"/>
        </w:rPr>
        <w:t xml:space="preserve"> pasitarkite su gydytoju arba vaistininku.</w:t>
      </w:r>
    </w:p>
    <w:p w14:paraId="2893396A" w14:textId="77777777" w:rsidR="00D25008" w:rsidRDefault="00D25008">
      <w:pPr>
        <w:autoSpaceDE w:val="0"/>
        <w:autoSpaceDN w:val="0"/>
        <w:adjustRightInd w:val="0"/>
        <w:rPr>
          <w:szCs w:val="22"/>
          <w:lang w:eastAsia="sl-SI"/>
        </w:rPr>
      </w:pPr>
    </w:p>
    <w:p w14:paraId="330E6822" w14:textId="77777777" w:rsidR="00D25008" w:rsidRDefault="00FE2A61">
      <w:pPr>
        <w:widowControl w:val="0"/>
        <w:numPr>
          <w:ilvl w:val="12"/>
          <w:numId w:val="0"/>
        </w:numPr>
        <w:rPr>
          <w:b/>
          <w:szCs w:val="22"/>
          <w:lang w:eastAsia="sl-SI"/>
        </w:rPr>
      </w:pPr>
      <w:r>
        <w:rPr>
          <w:b/>
          <w:szCs w:val="22"/>
          <w:lang w:eastAsia="sl-SI"/>
        </w:rPr>
        <w:t>Įspėjimai ir atsargumo priemonės</w:t>
      </w:r>
    </w:p>
    <w:p w14:paraId="4ABDA4E9" w14:textId="77777777" w:rsidR="00D25008" w:rsidRDefault="00FE2A61">
      <w:pPr>
        <w:autoSpaceDE w:val="0"/>
        <w:autoSpaceDN w:val="0"/>
        <w:adjustRightInd w:val="0"/>
        <w:rPr>
          <w:szCs w:val="22"/>
          <w:lang w:eastAsia="sl-SI"/>
        </w:rPr>
      </w:pPr>
      <w:r>
        <w:rPr>
          <w:sz w:val="24"/>
          <w:szCs w:val="20"/>
          <w:lang w:val="sl-SI" w:eastAsia="sl-SI"/>
        </w:rPr>
        <w:t>J</w:t>
      </w:r>
      <w:proofErr w:type="spellStart"/>
      <w:r>
        <w:rPr>
          <w:szCs w:val="22"/>
          <w:lang w:eastAsia="sl-SI"/>
        </w:rPr>
        <w:t>eigu</w:t>
      </w:r>
      <w:proofErr w:type="spellEnd"/>
      <w:r>
        <w:rPr>
          <w:szCs w:val="22"/>
          <w:lang w:eastAsia="sl-SI"/>
        </w:rPr>
        <w:t xml:space="preserve"> yra arba anksčiau buvo kuri nors iš toliau išvardytų būklių ar ligų, prieš vartojant </w:t>
      </w:r>
      <w:proofErr w:type="spellStart"/>
      <w:r>
        <w:rPr>
          <w:szCs w:val="22"/>
          <w:lang w:eastAsia="sl-SI"/>
        </w:rPr>
        <w:t>Tolvecom</w:t>
      </w:r>
      <w:proofErr w:type="spellEnd"/>
      <w:r>
        <w:rPr>
          <w:szCs w:val="22"/>
          <w:lang w:eastAsia="sl-SI"/>
        </w:rPr>
        <w:t xml:space="preserve"> apie tai pasakykite savo gydytojui.</w:t>
      </w:r>
    </w:p>
    <w:p w14:paraId="686C6033" w14:textId="77777777" w:rsidR="00D25008" w:rsidRDefault="00FE2A61">
      <w:pPr>
        <w:numPr>
          <w:ilvl w:val="0"/>
          <w:numId w:val="24"/>
        </w:numPr>
        <w:autoSpaceDE w:val="0"/>
        <w:autoSpaceDN w:val="0"/>
        <w:adjustRightInd w:val="0"/>
        <w:ind w:left="567" w:hanging="567"/>
        <w:contextualSpacing/>
        <w:rPr>
          <w:rFonts w:eastAsia="Calibri"/>
          <w:szCs w:val="22"/>
          <w:lang w:eastAsia="sl-SI"/>
        </w:rPr>
      </w:pPr>
      <w:r>
        <w:rPr>
          <w:rFonts w:eastAsia="Calibri"/>
          <w:szCs w:val="22"/>
          <w:lang w:eastAsia="sl-SI"/>
        </w:rPr>
        <w:t>Mažas kraujospūdis (</w:t>
      </w:r>
      <w:proofErr w:type="spellStart"/>
      <w:r>
        <w:rPr>
          <w:rFonts w:eastAsia="Calibri"/>
          <w:szCs w:val="22"/>
          <w:lang w:eastAsia="sl-SI"/>
        </w:rPr>
        <w:t>hipotenzija</w:t>
      </w:r>
      <w:proofErr w:type="spellEnd"/>
      <w:r>
        <w:rPr>
          <w:rFonts w:eastAsia="Calibri"/>
          <w:szCs w:val="22"/>
          <w:lang w:eastAsia="sl-SI"/>
        </w:rPr>
        <w:t>), kuris tikriausiai pasireiškia dėl to, kad Jums yra dehidratacija (organizmas neteko daug vandens) arba druskų trūkumas, atsiradęs dėl gydymo diuretikais (šlapimo išskyrimą didinančiomis tabletėmis), mažo druskos kiekio maiste, viduriavimo, vėmimo arba hemodializės.</w:t>
      </w:r>
    </w:p>
    <w:p w14:paraId="20B37166" w14:textId="77777777" w:rsidR="00D25008" w:rsidRDefault="00FE2A61">
      <w:pPr>
        <w:numPr>
          <w:ilvl w:val="0"/>
          <w:numId w:val="24"/>
        </w:numPr>
        <w:autoSpaceDE w:val="0"/>
        <w:autoSpaceDN w:val="0"/>
        <w:adjustRightInd w:val="0"/>
        <w:ind w:left="567" w:hanging="567"/>
        <w:contextualSpacing/>
        <w:rPr>
          <w:rFonts w:eastAsia="Calibri"/>
          <w:szCs w:val="22"/>
          <w:lang w:eastAsia="sl-SI"/>
        </w:rPr>
      </w:pPr>
      <w:r>
        <w:rPr>
          <w:rFonts w:eastAsia="Calibri"/>
          <w:szCs w:val="22"/>
          <w:lang w:eastAsia="sl-SI"/>
        </w:rPr>
        <w:t>Labai padidėjęs kraujospūdis (</w:t>
      </w:r>
      <w:proofErr w:type="spellStart"/>
      <w:r>
        <w:rPr>
          <w:rFonts w:eastAsia="Calibri"/>
          <w:szCs w:val="22"/>
          <w:lang w:eastAsia="sl-SI"/>
        </w:rPr>
        <w:t>hipertenzinė</w:t>
      </w:r>
      <w:proofErr w:type="spellEnd"/>
      <w:r>
        <w:rPr>
          <w:rFonts w:eastAsia="Calibri"/>
          <w:szCs w:val="22"/>
          <w:lang w:eastAsia="sl-SI"/>
        </w:rPr>
        <w:t xml:space="preserve"> krizė).</w:t>
      </w:r>
    </w:p>
    <w:p w14:paraId="1F122CF9" w14:textId="77777777" w:rsidR="00D25008" w:rsidRDefault="00FE2A61">
      <w:pPr>
        <w:numPr>
          <w:ilvl w:val="0"/>
          <w:numId w:val="24"/>
        </w:numPr>
        <w:autoSpaceDE w:val="0"/>
        <w:autoSpaceDN w:val="0"/>
        <w:adjustRightInd w:val="0"/>
        <w:ind w:left="567" w:hanging="567"/>
        <w:contextualSpacing/>
        <w:rPr>
          <w:rFonts w:eastAsia="Calibri"/>
          <w:szCs w:val="22"/>
          <w:lang w:eastAsia="sl-SI"/>
        </w:rPr>
      </w:pPr>
      <w:r>
        <w:rPr>
          <w:rFonts w:eastAsia="Calibri"/>
          <w:szCs w:val="22"/>
          <w:lang w:eastAsia="sl-SI"/>
        </w:rPr>
        <w:t>Inkstų liga arba persodintas inkstas.</w:t>
      </w:r>
    </w:p>
    <w:p w14:paraId="17541AE9" w14:textId="77777777" w:rsidR="00D25008" w:rsidRDefault="00FE2A61">
      <w:pPr>
        <w:numPr>
          <w:ilvl w:val="0"/>
          <w:numId w:val="24"/>
        </w:numPr>
        <w:autoSpaceDE w:val="0"/>
        <w:autoSpaceDN w:val="0"/>
        <w:adjustRightInd w:val="0"/>
        <w:ind w:left="567" w:hanging="567"/>
        <w:contextualSpacing/>
        <w:rPr>
          <w:rFonts w:eastAsia="Calibri"/>
          <w:szCs w:val="22"/>
          <w:lang w:eastAsia="sl-SI"/>
        </w:rPr>
      </w:pPr>
      <w:r>
        <w:rPr>
          <w:rFonts w:eastAsia="Calibri"/>
          <w:szCs w:val="22"/>
          <w:lang w:eastAsia="sl-SI"/>
        </w:rPr>
        <w:t>Inkstų arterijos stenozė (vieną arba abu inkstus krauju aprūpinančių kraujagyslių susiaurėjimas).</w:t>
      </w:r>
    </w:p>
    <w:p w14:paraId="109916F1" w14:textId="77777777" w:rsidR="00D25008" w:rsidRDefault="00FE2A61">
      <w:pPr>
        <w:numPr>
          <w:ilvl w:val="0"/>
          <w:numId w:val="24"/>
        </w:numPr>
        <w:autoSpaceDE w:val="0"/>
        <w:autoSpaceDN w:val="0"/>
        <w:adjustRightInd w:val="0"/>
        <w:ind w:left="567" w:hanging="567"/>
        <w:contextualSpacing/>
        <w:rPr>
          <w:rFonts w:eastAsia="Calibri"/>
          <w:szCs w:val="22"/>
          <w:lang w:eastAsia="sl-SI"/>
        </w:rPr>
      </w:pPr>
      <w:r>
        <w:rPr>
          <w:rFonts w:eastAsia="Calibri"/>
          <w:szCs w:val="22"/>
          <w:lang w:eastAsia="sl-SI"/>
        </w:rPr>
        <w:t>Kepenų liga.</w:t>
      </w:r>
    </w:p>
    <w:p w14:paraId="5C11DB2A" w14:textId="77777777" w:rsidR="00D25008" w:rsidRDefault="00FE2A61">
      <w:pPr>
        <w:numPr>
          <w:ilvl w:val="0"/>
          <w:numId w:val="24"/>
        </w:numPr>
        <w:autoSpaceDE w:val="0"/>
        <w:autoSpaceDN w:val="0"/>
        <w:adjustRightInd w:val="0"/>
        <w:ind w:left="567" w:hanging="567"/>
        <w:contextualSpacing/>
        <w:rPr>
          <w:rFonts w:eastAsia="Calibri"/>
          <w:szCs w:val="22"/>
          <w:lang w:eastAsia="sl-SI"/>
        </w:rPr>
      </w:pPr>
      <w:r>
        <w:rPr>
          <w:rFonts w:eastAsia="Calibri"/>
          <w:szCs w:val="22"/>
          <w:lang w:eastAsia="sl-SI"/>
        </w:rPr>
        <w:t>Širdies funkcijos sutrikimas, įskaitant širdies nepakankamumą ir neseniai ištikusį širdies priepuolį.</w:t>
      </w:r>
    </w:p>
    <w:p w14:paraId="3411BC44" w14:textId="77777777" w:rsidR="00D25008" w:rsidRDefault="00FE2A61">
      <w:pPr>
        <w:numPr>
          <w:ilvl w:val="0"/>
          <w:numId w:val="24"/>
        </w:numPr>
        <w:autoSpaceDE w:val="0"/>
        <w:autoSpaceDN w:val="0"/>
        <w:adjustRightInd w:val="0"/>
        <w:ind w:left="567" w:hanging="567"/>
        <w:contextualSpacing/>
        <w:rPr>
          <w:rFonts w:eastAsia="Calibri"/>
          <w:szCs w:val="22"/>
          <w:lang w:eastAsia="sl-SI"/>
        </w:rPr>
      </w:pPr>
      <w:r>
        <w:rPr>
          <w:rFonts w:eastAsia="Calibri"/>
          <w:szCs w:val="22"/>
          <w:lang w:eastAsia="sl-SI"/>
        </w:rPr>
        <w:t>Cukrinis diabetas.</w:t>
      </w:r>
    </w:p>
    <w:p w14:paraId="277046A9" w14:textId="77777777" w:rsidR="00D25008" w:rsidRDefault="00FE2A61">
      <w:pPr>
        <w:numPr>
          <w:ilvl w:val="0"/>
          <w:numId w:val="24"/>
        </w:numPr>
        <w:autoSpaceDE w:val="0"/>
        <w:autoSpaceDN w:val="0"/>
        <w:adjustRightInd w:val="0"/>
        <w:ind w:left="567" w:hanging="567"/>
        <w:contextualSpacing/>
        <w:rPr>
          <w:rFonts w:eastAsia="Calibri"/>
          <w:szCs w:val="22"/>
          <w:lang w:eastAsia="sl-SI"/>
        </w:rPr>
      </w:pPr>
      <w:r>
        <w:rPr>
          <w:rFonts w:eastAsia="Calibri"/>
          <w:szCs w:val="22"/>
          <w:lang w:eastAsia="sl-SI"/>
        </w:rPr>
        <w:t>Podagra.</w:t>
      </w:r>
    </w:p>
    <w:p w14:paraId="19537F96" w14:textId="77777777" w:rsidR="00D25008" w:rsidRDefault="00FE2A61">
      <w:pPr>
        <w:numPr>
          <w:ilvl w:val="0"/>
          <w:numId w:val="24"/>
        </w:numPr>
        <w:autoSpaceDE w:val="0"/>
        <w:autoSpaceDN w:val="0"/>
        <w:adjustRightInd w:val="0"/>
        <w:ind w:left="567" w:hanging="567"/>
        <w:contextualSpacing/>
        <w:rPr>
          <w:rFonts w:eastAsia="Calibri"/>
          <w:szCs w:val="22"/>
          <w:lang w:eastAsia="sl-SI"/>
        </w:rPr>
      </w:pPr>
      <w:r>
        <w:rPr>
          <w:rFonts w:eastAsia="Calibri"/>
          <w:szCs w:val="22"/>
          <w:lang w:eastAsia="sl-SI"/>
        </w:rPr>
        <w:t xml:space="preserve">Padidėjęs </w:t>
      </w:r>
      <w:proofErr w:type="spellStart"/>
      <w:r>
        <w:rPr>
          <w:rFonts w:eastAsia="Calibri"/>
          <w:szCs w:val="22"/>
          <w:lang w:eastAsia="sl-SI"/>
        </w:rPr>
        <w:t>aldosterono</w:t>
      </w:r>
      <w:proofErr w:type="spellEnd"/>
      <w:r>
        <w:rPr>
          <w:rFonts w:eastAsia="Calibri"/>
          <w:szCs w:val="22"/>
          <w:lang w:eastAsia="sl-SI"/>
        </w:rPr>
        <w:t xml:space="preserve"> kiekis (vandens ir druskos susilaikymas organizme, susijęs su įvairių mineralinių medžiagų pusiausvyros kraujyje sutrikimu).</w:t>
      </w:r>
    </w:p>
    <w:p w14:paraId="33526E31" w14:textId="77777777" w:rsidR="00D25008" w:rsidRDefault="00FE2A61">
      <w:pPr>
        <w:numPr>
          <w:ilvl w:val="0"/>
          <w:numId w:val="24"/>
        </w:numPr>
        <w:autoSpaceDE w:val="0"/>
        <w:autoSpaceDN w:val="0"/>
        <w:adjustRightInd w:val="0"/>
        <w:ind w:left="567" w:hanging="567"/>
        <w:contextualSpacing/>
        <w:rPr>
          <w:rFonts w:eastAsia="Calibri"/>
          <w:szCs w:val="22"/>
          <w:lang w:eastAsia="sl-SI"/>
        </w:rPr>
      </w:pPr>
      <w:r>
        <w:rPr>
          <w:rFonts w:eastAsia="Calibri"/>
          <w:szCs w:val="22"/>
          <w:lang w:eastAsia="sl-SI"/>
        </w:rPr>
        <w:t>Sisteminė raudonoji vilkligė (dar vadinama vilklige arba SRV), t. y. liga, kurios metu organizmą puola jo paties imuninė sistema.</w:t>
      </w:r>
    </w:p>
    <w:p w14:paraId="7C5A1953" w14:textId="77777777" w:rsidR="00D25008" w:rsidRDefault="00FE2A61">
      <w:pPr>
        <w:numPr>
          <w:ilvl w:val="0"/>
          <w:numId w:val="24"/>
        </w:numPr>
        <w:autoSpaceDE w:val="0"/>
        <w:autoSpaceDN w:val="0"/>
        <w:adjustRightInd w:val="0"/>
        <w:ind w:left="567" w:hanging="567"/>
        <w:contextualSpacing/>
        <w:rPr>
          <w:rFonts w:eastAsia="Calibri"/>
          <w:szCs w:val="22"/>
          <w:lang w:eastAsia="sl-SI"/>
        </w:rPr>
      </w:pPr>
      <w:r>
        <w:rPr>
          <w:rFonts w:eastAsia="Calibri"/>
          <w:szCs w:val="22"/>
          <w:lang w:eastAsia="sl-SI"/>
        </w:rPr>
        <w:t xml:space="preserve">Jums praeityje buvo diagnozuotas odos vėžys arba gydymo laikotarpiu ant Jūsų odos staiga atsirastų koks nors pakitimas. Taikant gydymą </w:t>
      </w:r>
      <w:proofErr w:type="spellStart"/>
      <w:r>
        <w:rPr>
          <w:rFonts w:eastAsia="Calibri"/>
          <w:szCs w:val="22"/>
          <w:lang w:eastAsia="sl-SI"/>
        </w:rPr>
        <w:t>hidrochlorotiazidu</w:t>
      </w:r>
      <w:proofErr w:type="spellEnd"/>
      <w:r>
        <w:rPr>
          <w:rFonts w:eastAsia="Calibri"/>
          <w:szCs w:val="22"/>
          <w:lang w:eastAsia="sl-SI"/>
        </w:rPr>
        <w:t>, ypač ilgalaikį gydymą didelėmis šio vaisto dozėmis, gali padidėti tam tikrų rūšių odos ir lūpos vėžio (</w:t>
      </w:r>
      <w:proofErr w:type="spellStart"/>
      <w:r>
        <w:rPr>
          <w:rFonts w:eastAsia="Calibri"/>
          <w:szCs w:val="22"/>
          <w:lang w:eastAsia="sl-SI"/>
        </w:rPr>
        <w:t>nemelanominio</w:t>
      </w:r>
      <w:proofErr w:type="spellEnd"/>
      <w:r>
        <w:rPr>
          <w:rFonts w:eastAsia="Calibri"/>
          <w:szCs w:val="22"/>
          <w:lang w:eastAsia="sl-SI"/>
        </w:rPr>
        <w:t xml:space="preserve"> odos vėžio) rizika. Vartodami </w:t>
      </w:r>
      <w:proofErr w:type="spellStart"/>
      <w:r>
        <w:rPr>
          <w:rFonts w:eastAsia="Calibri"/>
          <w:szCs w:val="22"/>
          <w:lang w:eastAsia="sl-SI"/>
        </w:rPr>
        <w:t>Tolvecom</w:t>
      </w:r>
      <w:proofErr w:type="spellEnd"/>
      <w:r>
        <w:rPr>
          <w:rFonts w:eastAsia="Calibri"/>
          <w:szCs w:val="22"/>
          <w:lang w:eastAsia="sl-SI"/>
        </w:rPr>
        <w:t>, saugokite savo odą nuo saulės ir ultravioletinių spindulių.</w:t>
      </w:r>
    </w:p>
    <w:p w14:paraId="278A88F4" w14:textId="77777777" w:rsidR="00D25008" w:rsidRDefault="00FE2A61">
      <w:pPr>
        <w:numPr>
          <w:ilvl w:val="0"/>
          <w:numId w:val="24"/>
        </w:numPr>
        <w:autoSpaceDE w:val="0"/>
        <w:autoSpaceDN w:val="0"/>
        <w:adjustRightInd w:val="0"/>
        <w:ind w:left="567" w:hanging="567"/>
        <w:contextualSpacing/>
        <w:rPr>
          <w:rFonts w:eastAsia="Calibri"/>
          <w:szCs w:val="22"/>
          <w:lang w:eastAsia="sl-SI"/>
        </w:rPr>
      </w:pPr>
      <w:r>
        <w:rPr>
          <w:rFonts w:eastAsia="Calibri"/>
          <w:szCs w:val="22"/>
          <w:lang w:eastAsia="sl-SI"/>
        </w:rPr>
        <w:t xml:space="preserve">Pasireiškia regos susilpnėjimas ar akių skausmas. Tai gali būti skysčio susikaupimo akies kraujagysliniame dangale (tarp </w:t>
      </w:r>
      <w:proofErr w:type="spellStart"/>
      <w:r>
        <w:rPr>
          <w:rFonts w:eastAsia="Calibri"/>
          <w:szCs w:val="22"/>
          <w:lang w:eastAsia="sl-SI"/>
        </w:rPr>
        <w:t>gyslainės</w:t>
      </w:r>
      <w:proofErr w:type="spellEnd"/>
      <w:r>
        <w:rPr>
          <w:rFonts w:eastAsia="Calibri"/>
          <w:szCs w:val="22"/>
          <w:lang w:eastAsia="sl-SI"/>
        </w:rPr>
        <w:t xml:space="preserve"> ir </w:t>
      </w:r>
      <w:proofErr w:type="spellStart"/>
      <w:r>
        <w:rPr>
          <w:rFonts w:eastAsia="Calibri"/>
          <w:szCs w:val="22"/>
          <w:lang w:eastAsia="sl-SI"/>
        </w:rPr>
        <w:t>skleros</w:t>
      </w:r>
      <w:proofErr w:type="spellEnd"/>
      <w:r>
        <w:rPr>
          <w:rFonts w:eastAsia="Calibri"/>
          <w:szCs w:val="22"/>
          <w:lang w:eastAsia="sl-SI"/>
        </w:rPr>
        <w:t xml:space="preserve">) arba akispūdžio padidėjimo simptomai ir jų gali atsirasti per kelias valandas arba savaites nuo </w:t>
      </w:r>
      <w:proofErr w:type="spellStart"/>
      <w:r>
        <w:rPr>
          <w:rFonts w:eastAsia="Calibri"/>
          <w:szCs w:val="22"/>
          <w:lang w:eastAsia="sl-SI"/>
        </w:rPr>
        <w:t>Tolvecom</w:t>
      </w:r>
      <w:proofErr w:type="spellEnd"/>
      <w:r>
        <w:rPr>
          <w:rFonts w:eastAsia="Calibri"/>
          <w:szCs w:val="22"/>
          <w:lang w:eastAsia="sl-SI"/>
        </w:rPr>
        <w:t xml:space="preserve"> vartojimo pradžios. Neskyrus gydymo, rega gali sutrikti visam laikui. Jei anksčiau Jums buvo pasireiškusi alerginė reakcija į peniciliną ar </w:t>
      </w:r>
      <w:proofErr w:type="spellStart"/>
      <w:r>
        <w:rPr>
          <w:rFonts w:eastAsia="Calibri"/>
          <w:szCs w:val="22"/>
          <w:lang w:eastAsia="sl-SI"/>
        </w:rPr>
        <w:t>sulfonamidą</w:t>
      </w:r>
      <w:proofErr w:type="spellEnd"/>
      <w:r>
        <w:rPr>
          <w:rFonts w:eastAsia="Calibri"/>
          <w:szCs w:val="22"/>
          <w:lang w:eastAsia="sl-SI"/>
        </w:rPr>
        <w:t>, tokio poveikio pasireiškimo rizika gali būti didesnė.</w:t>
      </w:r>
    </w:p>
    <w:p w14:paraId="08B4BF9A" w14:textId="77777777" w:rsidR="00D25008" w:rsidRDefault="00FE2A61">
      <w:pPr>
        <w:numPr>
          <w:ilvl w:val="0"/>
          <w:numId w:val="24"/>
        </w:numPr>
        <w:autoSpaceDE w:val="0"/>
        <w:autoSpaceDN w:val="0"/>
        <w:adjustRightInd w:val="0"/>
        <w:ind w:left="567" w:hanging="567"/>
        <w:contextualSpacing/>
        <w:rPr>
          <w:rFonts w:eastAsia="Calibri"/>
          <w:szCs w:val="22"/>
          <w:lang w:eastAsia="sl-SI"/>
        </w:rPr>
      </w:pPr>
      <w:r>
        <w:rPr>
          <w:rFonts w:eastAsia="Calibri"/>
          <w:szCs w:val="22"/>
          <w:lang w:eastAsia="sl-SI"/>
        </w:rPr>
        <w:t xml:space="preserve">Praeityje pavartojus </w:t>
      </w:r>
      <w:proofErr w:type="spellStart"/>
      <w:r>
        <w:rPr>
          <w:rFonts w:eastAsia="Calibri"/>
          <w:szCs w:val="22"/>
          <w:lang w:eastAsia="sl-SI"/>
        </w:rPr>
        <w:t>hidrochlorotiazido</w:t>
      </w:r>
      <w:proofErr w:type="spellEnd"/>
      <w:r>
        <w:rPr>
          <w:rFonts w:eastAsia="Calibri"/>
          <w:szCs w:val="22"/>
          <w:lang w:eastAsia="sl-SI"/>
        </w:rPr>
        <w:t xml:space="preserve">, Jums pasireiškė kvėpavimo ar plaučių funkcijos sutrikimų (įskaitant plaučių uždegimą ar skysčio kaupimąsi juose). Jeigu pavartojus </w:t>
      </w:r>
      <w:proofErr w:type="spellStart"/>
      <w:r>
        <w:rPr>
          <w:rFonts w:eastAsia="Calibri"/>
          <w:szCs w:val="22"/>
          <w:lang w:eastAsia="sl-SI"/>
        </w:rPr>
        <w:t>Tolvecom</w:t>
      </w:r>
      <w:proofErr w:type="spellEnd"/>
      <w:r>
        <w:rPr>
          <w:rFonts w:eastAsia="Calibri"/>
          <w:szCs w:val="22"/>
          <w:lang w:eastAsia="sl-SI"/>
        </w:rPr>
        <w:t xml:space="preserve"> atsiranda stiprus dusulys arba kvėpavimo sunkumų, būtina nedelsiant kreiptis į medikus.</w:t>
      </w:r>
    </w:p>
    <w:p w14:paraId="19272AF3" w14:textId="77777777" w:rsidR="00D25008" w:rsidRDefault="00FE2A61">
      <w:pPr>
        <w:numPr>
          <w:ilvl w:val="0"/>
          <w:numId w:val="24"/>
        </w:numPr>
        <w:autoSpaceDE w:val="0"/>
        <w:autoSpaceDN w:val="0"/>
        <w:adjustRightInd w:val="0"/>
        <w:ind w:left="567" w:hanging="567"/>
        <w:contextualSpacing/>
        <w:rPr>
          <w:rFonts w:eastAsia="Calibri"/>
          <w:szCs w:val="22"/>
          <w:lang w:eastAsia="sl-SI"/>
        </w:rPr>
      </w:pPr>
      <w:r>
        <w:rPr>
          <w:rFonts w:eastAsia="Calibri"/>
          <w:szCs w:val="22"/>
          <w:lang w:eastAsia="sl-SI"/>
        </w:rPr>
        <w:t>Esate senyvi ir reikia didinti Jums skiriamą dozę.</w:t>
      </w:r>
    </w:p>
    <w:p w14:paraId="0EA76201" w14:textId="77777777" w:rsidR="00D25008" w:rsidRDefault="00D25008">
      <w:pPr>
        <w:autoSpaceDE w:val="0"/>
        <w:autoSpaceDN w:val="0"/>
        <w:adjustRightInd w:val="0"/>
        <w:rPr>
          <w:szCs w:val="22"/>
          <w:lang w:eastAsia="sl-SI"/>
        </w:rPr>
      </w:pPr>
    </w:p>
    <w:p w14:paraId="46677CE8" w14:textId="77777777" w:rsidR="00D25008" w:rsidRDefault="00FE2A61">
      <w:pPr>
        <w:autoSpaceDE w:val="0"/>
        <w:autoSpaceDN w:val="0"/>
        <w:adjustRightInd w:val="0"/>
        <w:rPr>
          <w:szCs w:val="22"/>
          <w:lang w:eastAsia="sl-SI"/>
        </w:rPr>
      </w:pPr>
      <w:r>
        <w:rPr>
          <w:szCs w:val="22"/>
          <w:lang w:eastAsia="sl-SI"/>
        </w:rPr>
        <w:t xml:space="preserve">Pasitarkite su gydytoju, prieš pradėdami vartoti </w:t>
      </w:r>
      <w:proofErr w:type="spellStart"/>
      <w:r>
        <w:rPr>
          <w:szCs w:val="22"/>
          <w:lang w:eastAsia="sl-SI"/>
        </w:rPr>
        <w:t>Tolvecom</w:t>
      </w:r>
      <w:proofErr w:type="spellEnd"/>
      <w:r>
        <w:rPr>
          <w:szCs w:val="22"/>
          <w:lang w:eastAsia="sl-SI"/>
        </w:rPr>
        <w:t>, jeigu vartojate:</w:t>
      </w:r>
    </w:p>
    <w:p w14:paraId="0B2FA122" w14:textId="77777777" w:rsidR="00D25008" w:rsidRDefault="00FE2A61">
      <w:pPr>
        <w:numPr>
          <w:ilvl w:val="0"/>
          <w:numId w:val="23"/>
        </w:numPr>
        <w:tabs>
          <w:tab w:val="left" w:pos="567"/>
        </w:tabs>
        <w:autoSpaceDE w:val="0"/>
        <w:autoSpaceDN w:val="0"/>
        <w:adjustRightInd w:val="0"/>
        <w:ind w:left="567" w:hanging="567"/>
        <w:rPr>
          <w:szCs w:val="22"/>
          <w:lang w:eastAsia="sl-SI"/>
        </w:rPr>
      </w:pPr>
      <w:proofErr w:type="spellStart"/>
      <w:r>
        <w:rPr>
          <w:szCs w:val="22"/>
          <w:lang w:eastAsia="sl-SI"/>
        </w:rPr>
        <w:t>digoksiną</w:t>
      </w:r>
      <w:proofErr w:type="spellEnd"/>
      <w:r>
        <w:rPr>
          <w:szCs w:val="22"/>
          <w:lang w:eastAsia="sl-SI"/>
        </w:rPr>
        <w:t>.</w:t>
      </w:r>
    </w:p>
    <w:p w14:paraId="3D454874" w14:textId="77777777" w:rsidR="00D25008" w:rsidRDefault="00FE2A61">
      <w:pPr>
        <w:numPr>
          <w:ilvl w:val="0"/>
          <w:numId w:val="23"/>
        </w:numPr>
        <w:tabs>
          <w:tab w:val="left" w:pos="567"/>
        </w:tabs>
        <w:autoSpaceDE w:val="0"/>
        <w:autoSpaceDN w:val="0"/>
        <w:adjustRightInd w:val="0"/>
        <w:ind w:left="567" w:hanging="567"/>
        <w:rPr>
          <w:szCs w:val="22"/>
          <w:lang w:eastAsia="sl-SI"/>
        </w:rPr>
      </w:pPr>
      <w:r>
        <w:rPr>
          <w:szCs w:val="22"/>
          <w:lang w:eastAsia="sl-SI"/>
        </w:rPr>
        <w:t>kurį nors iš šių vaistų aukštam kraujospūdžiui gydyti:</w:t>
      </w:r>
    </w:p>
    <w:p w14:paraId="25F95F56" w14:textId="77777777" w:rsidR="00D25008" w:rsidRDefault="00FE2A61">
      <w:pPr>
        <w:numPr>
          <w:ilvl w:val="0"/>
          <w:numId w:val="23"/>
        </w:numPr>
        <w:tabs>
          <w:tab w:val="left" w:pos="1134"/>
        </w:tabs>
        <w:autoSpaceDE w:val="0"/>
        <w:autoSpaceDN w:val="0"/>
        <w:adjustRightInd w:val="0"/>
        <w:ind w:left="1134" w:hanging="567"/>
        <w:rPr>
          <w:szCs w:val="22"/>
          <w:lang w:eastAsia="sl-SI"/>
        </w:rPr>
      </w:pPr>
      <w:r>
        <w:rPr>
          <w:szCs w:val="22"/>
          <w:lang w:val="sl-SI" w:eastAsia="sl-SI"/>
        </w:rPr>
        <w:t>AKF inhibitorių (pavyzdžiui, enalaprilį, lizinoprilį, ramiprilį), ypač jei turite su cukriniu diabetu susijusių inkstų sutrikimų.</w:t>
      </w:r>
    </w:p>
    <w:p w14:paraId="6ACB2DDF" w14:textId="77777777" w:rsidR="00D25008" w:rsidRDefault="00FE2A61">
      <w:pPr>
        <w:numPr>
          <w:ilvl w:val="0"/>
          <w:numId w:val="23"/>
        </w:numPr>
        <w:tabs>
          <w:tab w:val="left" w:pos="1134"/>
        </w:tabs>
        <w:autoSpaceDE w:val="0"/>
        <w:autoSpaceDN w:val="0"/>
        <w:adjustRightInd w:val="0"/>
        <w:ind w:left="1134" w:hanging="567"/>
        <w:rPr>
          <w:szCs w:val="22"/>
          <w:lang w:eastAsia="sl-SI"/>
        </w:rPr>
      </w:pPr>
      <w:r>
        <w:rPr>
          <w:szCs w:val="22"/>
          <w:lang w:val="sl-SI" w:eastAsia="sl-SI"/>
        </w:rPr>
        <w:t>aliskireną</w:t>
      </w:r>
      <w:r>
        <w:rPr>
          <w:szCs w:val="22"/>
          <w:lang w:eastAsia="sl-SI"/>
        </w:rPr>
        <w:t>.</w:t>
      </w:r>
    </w:p>
    <w:p w14:paraId="0FABB6BB" w14:textId="77777777" w:rsidR="00D25008" w:rsidRDefault="00D25008">
      <w:pPr>
        <w:autoSpaceDE w:val="0"/>
        <w:autoSpaceDN w:val="0"/>
        <w:adjustRightInd w:val="0"/>
        <w:rPr>
          <w:szCs w:val="22"/>
          <w:lang w:eastAsia="sl-SI"/>
        </w:rPr>
      </w:pPr>
    </w:p>
    <w:p w14:paraId="498DDB01" w14:textId="77777777" w:rsidR="00D25008" w:rsidRDefault="00FE2A61">
      <w:pPr>
        <w:autoSpaceDE w:val="0"/>
        <w:autoSpaceDN w:val="0"/>
        <w:adjustRightInd w:val="0"/>
        <w:rPr>
          <w:szCs w:val="22"/>
          <w:lang w:eastAsia="sl-SI"/>
        </w:rPr>
      </w:pPr>
      <w:r>
        <w:rPr>
          <w:szCs w:val="22"/>
          <w:lang w:eastAsia="sl-SI"/>
        </w:rPr>
        <w:lastRenderedPageBreak/>
        <w:t xml:space="preserve">Vartojant </w:t>
      </w:r>
      <w:proofErr w:type="spellStart"/>
      <w:r>
        <w:rPr>
          <w:szCs w:val="22"/>
          <w:lang w:eastAsia="sl-SI"/>
        </w:rPr>
        <w:t>hidrochlorotiazido</w:t>
      </w:r>
      <w:proofErr w:type="spellEnd"/>
      <w:r>
        <w:rPr>
          <w:szCs w:val="22"/>
          <w:lang w:eastAsia="sl-SI"/>
        </w:rPr>
        <w:t>, organizme gali sutrikti elektrolitų pusiausvyra. Būdingi skysčių ir elektrolitų pusiausvyros sutrikimo simptomai yra burnos džiūvimas, silpnumas, letargija, apsnūdimas, neramumas, raumenų skausmas arba mėšlungis, pykinimas (šleikštulys), vėmimas, raumenų nuovargis ir pernelyg dažnas (dažnesnis negu 100 susitraukimų per minutę) širdies plakimas. Jeigu kuris nors iš minėtų simptomų pasireiškia, pasakykite gydytojui.</w:t>
      </w:r>
    </w:p>
    <w:p w14:paraId="6217A29B" w14:textId="77777777" w:rsidR="00D25008" w:rsidRDefault="00D25008">
      <w:pPr>
        <w:autoSpaceDE w:val="0"/>
        <w:autoSpaceDN w:val="0"/>
        <w:adjustRightInd w:val="0"/>
        <w:rPr>
          <w:szCs w:val="22"/>
          <w:lang w:eastAsia="sl-SI"/>
        </w:rPr>
      </w:pPr>
    </w:p>
    <w:p w14:paraId="3FC60E11" w14:textId="45CF3E29" w:rsidR="00D25008" w:rsidRDefault="00FE2A61">
      <w:pPr>
        <w:autoSpaceDE w:val="0"/>
        <w:autoSpaceDN w:val="0"/>
        <w:adjustRightInd w:val="0"/>
        <w:rPr>
          <w:szCs w:val="22"/>
          <w:lang w:eastAsia="sl-SI"/>
        </w:rPr>
      </w:pPr>
      <w:r>
        <w:rPr>
          <w:szCs w:val="22"/>
          <w:lang w:eastAsia="sl-SI"/>
        </w:rPr>
        <w:t xml:space="preserve">Pasitarkite su gydytoju, jei pavartojus </w:t>
      </w:r>
      <w:proofErr w:type="spellStart"/>
      <w:r>
        <w:rPr>
          <w:szCs w:val="22"/>
          <w:lang w:eastAsia="sl-SI"/>
        </w:rPr>
        <w:t>Tolvecom</w:t>
      </w:r>
      <w:proofErr w:type="spellEnd"/>
      <w:r>
        <w:rPr>
          <w:szCs w:val="22"/>
          <w:lang w:eastAsia="sl-SI"/>
        </w:rPr>
        <w:t xml:space="preserve"> jaučiate pilvo skausmą, pykinimą, vėmimą arba viduriavimą. Dėl tolesnio gydymo nuspręs Jūsų gydytojas. Nenustokite vartoti </w:t>
      </w:r>
      <w:proofErr w:type="spellStart"/>
      <w:r>
        <w:rPr>
          <w:szCs w:val="22"/>
          <w:lang w:eastAsia="sl-SI"/>
        </w:rPr>
        <w:t>Tolvecom</w:t>
      </w:r>
      <w:proofErr w:type="spellEnd"/>
      <w:r>
        <w:rPr>
          <w:szCs w:val="22"/>
          <w:lang w:eastAsia="sl-SI"/>
        </w:rPr>
        <w:t xml:space="preserve"> pat</w:t>
      </w:r>
      <w:r w:rsidR="00DA2EFF">
        <w:rPr>
          <w:szCs w:val="22"/>
          <w:lang w:eastAsia="sl-SI"/>
        </w:rPr>
        <w:t>y</w:t>
      </w:r>
      <w:r>
        <w:rPr>
          <w:szCs w:val="22"/>
          <w:lang w:eastAsia="sl-SI"/>
        </w:rPr>
        <w:t>s.</w:t>
      </w:r>
    </w:p>
    <w:p w14:paraId="2C168263" w14:textId="77777777" w:rsidR="00D25008" w:rsidRDefault="00D25008">
      <w:pPr>
        <w:autoSpaceDE w:val="0"/>
        <w:autoSpaceDN w:val="0"/>
        <w:adjustRightInd w:val="0"/>
        <w:rPr>
          <w:szCs w:val="22"/>
          <w:lang w:eastAsia="sl-SI"/>
        </w:rPr>
      </w:pPr>
    </w:p>
    <w:p w14:paraId="7694CC21" w14:textId="77777777" w:rsidR="00D25008" w:rsidRDefault="00FE2A61">
      <w:pPr>
        <w:autoSpaceDE w:val="0"/>
        <w:autoSpaceDN w:val="0"/>
        <w:adjustRightInd w:val="0"/>
        <w:rPr>
          <w:szCs w:val="22"/>
          <w:lang w:eastAsia="sl-SI"/>
        </w:rPr>
      </w:pPr>
      <w:r>
        <w:rPr>
          <w:szCs w:val="22"/>
          <w:lang w:eastAsia="sl-SI"/>
        </w:rPr>
        <w:t>Gydytojui turite pasakyti ir tuo atveju, jeigu padidėja odos jautrumas saulei ir dėl to greičiau negu paprastai atsiranda saulės sukelto nudegimo simptomų (tokių kaip paraudimas, niežulys, patinimas, pūslės).</w:t>
      </w:r>
    </w:p>
    <w:p w14:paraId="456808B9" w14:textId="77777777" w:rsidR="00D25008" w:rsidRDefault="00D25008">
      <w:pPr>
        <w:autoSpaceDE w:val="0"/>
        <w:autoSpaceDN w:val="0"/>
        <w:adjustRightInd w:val="0"/>
        <w:rPr>
          <w:szCs w:val="22"/>
          <w:lang w:eastAsia="sl-SI"/>
        </w:rPr>
      </w:pPr>
    </w:p>
    <w:p w14:paraId="43236910" w14:textId="77777777" w:rsidR="00D25008" w:rsidRDefault="00FE2A61">
      <w:pPr>
        <w:autoSpaceDE w:val="0"/>
        <w:autoSpaceDN w:val="0"/>
        <w:adjustRightInd w:val="0"/>
        <w:rPr>
          <w:szCs w:val="22"/>
          <w:lang w:eastAsia="sl-SI"/>
        </w:rPr>
      </w:pPr>
      <w:r>
        <w:rPr>
          <w:szCs w:val="22"/>
          <w:lang w:eastAsia="sl-SI"/>
        </w:rPr>
        <w:t xml:space="preserve">Prieš operaciją arba anesteziją reikia pasakyti gydytojui apie </w:t>
      </w:r>
      <w:proofErr w:type="spellStart"/>
      <w:r>
        <w:rPr>
          <w:szCs w:val="22"/>
          <w:lang w:eastAsia="sl-SI"/>
        </w:rPr>
        <w:t>Tolvecom</w:t>
      </w:r>
      <w:proofErr w:type="spellEnd"/>
      <w:r>
        <w:rPr>
          <w:szCs w:val="22"/>
          <w:lang w:eastAsia="sl-SI"/>
        </w:rPr>
        <w:t xml:space="preserve"> vartojimą.</w:t>
      </w:r>
    </w:p>
    <w:p w14:paraId="40826C12" w14:textId="77777777" w:rsidR="00D25008" w:rsidRDefault="00D25008">
      <w:pPr>
        <w:autoSpaceDE w:val="0"/>
        <w:autoSpaceDN w:val="0"/>
        <w:adjustRightInd w:val="0"/>
        <w:rPr>
          <w:szCs w:val="22"/>
          <w:lang w:eastAsia="sl-SI"/>
        </w:rPr>
      </w:pPr>
    </w:p>
    <w:p w14:paraId="6678BF89" w14:textId="77777777" w:rsidR="00D25008" w:rsidRDefault="00FE2A61">
      <w:pPr>
        <w:autoSpaceDE w:val="0"/>
        <w:autoSpaceDN w:val="0"/>
        <w:adjustRightInd w:val="0"/>
        <w:rPr>
          <w:szCs w:val="22"/>
          <w:lang w:eastAsia="sl-SI"/>
        </w:rPr>
      </w:pPr>
      <w:proofErr w:type="spellStart"/>
      <w:r>
        <w:rPr>
          <w:szCs w:val="22"/>
          <w:lang w:eastAsia="sl-SI"/>
        </w:rPr>
        <w:t>Tolvecom</w:t>
      </w:r>
      <w:proofErr w:type="spellEnd"/>
      <w:r>
        <w:rPr>
          <w:szCs w:val="22"/>
          <w:lang w:eastAsia="sl-SI"/>
        </w:rPr>
        <w:t xml:space="preserve"> gali būti mažiau veiksmingas mažinant kraujospūdį juodaodžiams pacientams.</w:t>
      </w:r>
    </w:p>
    <w:p w14:paraId="4158D22C" w14:textId="77777777" w:rsidR="00D25008" w:rsidRDefault="00D25008">
      <w:pPr>
        <w:widowControl w:val="0"/>
        <w:numPr>
          <w:ilvl w:val="12"/>
          <w:numId w:val="0"/>
        </w:numPr>
        <w:rPr>
          <w:szCs w:val="22"/>
          <w:lang w:eastAsia="sl-SI"/>
        </w:rPr>
      </w:pPr>
    </w:p>
    <w:p w14:paraId="0783AEF1" w14:textId="77777777" w:rsidR="00D25008" w:rsidRDefault="00FE2A61">
      <w:pPr>
        <w:widowControl w:val="0"/>
        <w:numPr>
          <w:ilvl w:val="12"/>
          <w:numId w:val="0"/>
        </w:numPr>
        <w:rPr>
          <w:szCs w:val="22"/>
          <w:lang w:eastAsia="sl-SI"/>
        </w:rPr>
      </w:pPr>
      <w:r>
        <w:rPr>
          <w:szCs w:val="22"/>
          <w:lang w:eastAsia="sl-SI"/>
        </w:rPr>
        <w:t>Jūsų gydytojas gali reguliariai tirti Jūsų inkstų funkciją, kraujospūdį ir elektrolitų (pvz., kalio) kiekį kraujyje.</w:t>
      </w:r>
    </w:p>
    <w:p w14:paraId="61DAF591" w14:textId="77777777" w:rsidR="00D25008" w:rsidRDefault="00FE2A61">
      <w:pPr>
        <w:widowControl w:val="0"/>
        <w:numPr>
          <w:ilvl w:val="12"/>
          <w:numId w:val="0"/>
        </w:numPr>
        <w:rPr>
          <w:szCs w:val="22"/>
          <w:lang w:eastAsia="sl-SI"/>
        </w:rPr>
      </w:pPr>
      <w:r>
        <w:rPr>
          <w:szCs w:val="22"/>
          <w:lang w:eastAsia="sl-SI"/>
        </w:rPr>
        <w:t>Taip pat žiūrėkite informaciją, pateiktą poskyryje „</w:t>
      </w:r>
      <w:proofErr w:type="spellStart"/>
      <w:r>
        <w:rPr>
          <w:szCs w:val="22"/>
          <w:lang w:eastAsia="sl-SI"/>
        </w:rPr>
        <w:t>Tolvecom</w:t>
      </w:r>
      <w:proofErr w:type="spellEnd"/>
      <w:r>
        <w:rPr>
          <w:szCs w:val="22"/>
          <w:lang w:eastAsia="sl-SI"/>
        </w:rPr>
        <w:t xml:space="preserve"> vartoti draudžiama“.</w:t>
      </w:r>
    </w:p>
    <w:p w14:paraId="280BA759" w14:textId="77777777" w:rsidR="00D25008" w:rsidRDefault="00D25008">
      <w:pPr>
        <w:widowControl w:val="0"/>
        <w:numPr>
          <w:ilvl w:val="12"/>
          <w:numId w:val="0"/>
        </w:numPr>
        <w:rPr>
          <w:szCs w:val="22"/>
          <w:lang w:eastAsia="sl-SI"/>
        </w:rPr>
      </w:pPr>
    </w:p>
    <w:p w14:paraId="621FDBD8" w14:textId="77777777" w:rsidR="00D25008" w:rsidRDefault="00FE2A61">
      <w:pPr>
        <w:widowControl w:val="0"/>
        <w:numPr>
          <w:ilvl w:val="12"/>
          <w:numId w:val="0"/>
        </w:numPr>
        <w:rPr>
          <w:b/>
          <w:bCs/>
          <w:szCs w:val="22"/>
          <w:lang w:eastAsia="sl-SI"/>
        </w:rPr>
      </w:pPr>
      <w:r>
        <w:rPr>
          <w:b/>
          <w:bCs/>
          <w:szCs w:val="22"/>
          <w:lang w:eastAsia="sl-SI"/>
        </w:rPr>
        <w:t>Vaikams ir paaugliams</w:t>
      </w:r>
    </w:p>
    <w:p w14:paraId="7B41D77D" w14:textId="77777777" w:rsidR="00D25008" w:rsidRDefault="00FE2A61">
      <w:pPr>
        <w:widowControl w:val="0"/>
        <w:numPr>
          <w:ilvl w:val="12"/>
          <w:numId w:val="0"/>
        </w:numPr>
        <w:rPr>
          <w:szCs w:val="22"/>
          <w:lang w:eastAsia="sl-SI"/>
        </w:rPr>
      </w:pPr>
      <w:r>
        <w:rPr>
          <w:szCs w:val="22"/>
          <w:lang w:eastAsia="sl-SI"/>
        </w:rPr>
        <w:t xml:space="preserve">Vaikams ir jaunesniems kaip 18 metų paaugliams </w:t>
      </w:r>
      <w:proofErr w:type="spellStart"/>
      <w:r>
        <w:rPr>
          <w:szCs w:val="22"/>
          <w:lang w:eastAsia="sl-SI"/>
        </w:rPr>
        <w:t>Tolvecom</w:t>
      </w:r>
      <w:proofErr w:type="spellEnd"/>
      <w:r>
        <w:rPr>
          <w:szCs w:val="22"/>
          <w:lang w:eastAsia="sl-SI"/>
        </w:rPr>
        <w:t xml:space="preserve"> vartoti nerekomenduojama.</w:t>
      </w:r>
    </w:p>
    <w:p w14:paraId="27F4D770" w14:textId="77777777" w:rsidR="00D25008" w:rsidRDefault="00D25008">
      <w:pPr>
        <w:widowControl w:val="0"/>
        <w:numPr>
          <w:ilvl w:val="12"/>
          <w:numId w:val="0"/>
        </w:numPr>
        <w:rPr>
          <w:szCs w:val="22"/>
          <w:lang w:eastAsia="sl-SI"/>
        </w:rPr>
      </w:pPr>
    </w:p>
    <w:p w14:paraId="76F9B56E" w14:textId="77777777" w:rsidR="00D25008" w:rsidRDefault="00FE2A61">
      <w:pPr>
        <w:widowControl w:val="0"/>
        <w:numPr>
          <w:ilvl w:val="12"/>
          <w:numId w:val="0"/>
        </w:numPr>
        <w:ind w:right="-2"/>
        <w:outlineLvl w:val="0"/>
        <w:rPr>
          <w:b/>
          <w:szCs w:val="22"/>
          <w:lang w:eastAsia="sl-SI"/>
        </w:rPr>
      </w:pPr>
      <w:r>
        <w:rPr>
          <w:b/>
          <w:szCs w:val="22"/>
          <w:lang w:eastAsia="sl-SI"/>
        </w:rPr>
        <w:t xml:space="preserve">Kiti vaistai ir </w:t>
      </w:r>
      <w:proofErr w:type="spellStart"/>
      <w:r>
        <w:rPr>
          <w:b/>
          <w:szCs w:val="22"/>
          <w:lang w:eastAsia="sl-SI"/>
        </w:rPr>
        <w:t>Tolvecom</w:t>
      </w:r>
      <w:proofErr w:type="spellEnd"/>
    </w:p>
    <w:p w14:paraId="64B243AE" w14:textId="77777777" w:rsidR="00D25008" w:rsidRDefault="00FE2A61">
      <w:pPr>
        <w:widowControl w:val="0"/>
        <w:numPr>
          <w:ilvl w:val="12"/>
          <w:numId w:val="0"/>
        </w:numPr>
        <w:rPr>
          <w:sz w:val="24"/>
          <w:szCs w:val="20"/>
          <w:lang w:val="sl-SI" w:eastAsia="sl-SI"/>
        </w:rPr>
      </w:pPr>
      <w:r>
        <w:rPr>
          <w:szCs w:val="22"/>
          <w:lang w:eastAsia="sl-SI"/>
        </w:rPr>
        <w:t xml:space="preserve">Jeigu vartojate ar neseniai vartojote kitų vaistų arba dėl to nesate tikri, apie tai pasakykite gydytojui arba vaistininkui. Gydytojas gali keisti kitų kartu vartojamų vaistų dozę arba nurodyti imtis kitokių atsargumo priemonių. Kai kuriais atvejais vieno iš vaistų vartojimą gali tekti nutraukti. Tai ypač taikoma toliau išvardintiems vaistams, vartojamiems kartu su </w:t>
      </w:r>
      <w:proofErr w:type="spellStart"/>
      <w:r>
        <w:rPr>
          <w:szCs w:val="22"/>
          <w:lang w:eastAsia="sl-SI"/>
        </w:rPr>
        <w:t>Tolvecom</w:t>
      </w:r>
      <w:proofErr w:type="spellEnd"/>
      <w:r>
        <w:rPr>
          <w:szCs w:val="22"/>
          <w:lang w:eastAsia="sl-SI"/>
        </w:rPr>
        <w:t>:</w:t>
      </w:r>
    </w:p>
    <w:p w14:paraId="25DB5AD5" w14:textId="77777777" w:rsidR="00D25008" w:rsidRDefault="00FE2A61">
      <w:pPr>
        <w:numPr>
          <w:ilvl w:val="0"/>
          <w:numId w:val="22"/>
        </w:numPr>
        <w:autoSpaceDE w:val="0"/>
        <w:autoSpaceDN w:val="0"/>
        <w:adjustRightInd w:val="0"/>
        <w:ind w:left="567" w:hanging="567"/>
        <w:contextualSpacing/>
        <w:rPr>
          <w:rFonts w:eastAsia="Calibri"/>
          <w:szCs w:val="22"/>
          <w:lang w:eastAsia="sl-SI"/>
        </w:rPr>
      </w:pPr>
      <w:r>
        <w:rPr>
          <w:rFonts w:eastAsia="Calibri"/>
          <w:szCs w:val="22"/>
          <w:lang w:eastAsia="sl-SI"/>
        </w:rPr>
        <w:t>Nuo tam tikros rūšies depresijos vartojami vaistai, kurių sudėtyje yra ličio.</w:t>
      </w:r>
    </w:p>
    <w:p w14:paraId="6B385114" w14:textId="77777777" w:rsidR="00D25008" w:rsidRDefault="00FE2A61">
      <w:pPr>
        <w:numPr>
          <w:ilvl w:val="0"/>
          <w:numId w:val="22"/>
        </w:numPr>
        <w:autoSpaceDE w:val="0"/>
        <w:autoSpaceDN w:val="0"/>
        <w:adjustRightInd w:val="0"/>
        <w:ind w:left="567" w:hanging="567"/>
        <w:contextualSpacing/>
        <w:rPr>
          <w:rFonts w:eastAsia="Calibri"/>
          <w:szCs w:val="22"/>
          <w:lang w:eastAsia="sl-SI"/>
        </w:rPr>
      </w:pPr>
      <w:r>
        <w:rPr>
          <w:rFonts w:eastAsia="Calibri"/>
          <w:szCs w:val="22"/>
          <w:lang w:eastAsia="sl-SI"/>
        </w:rPr>
        <w:t>Vaistai, kurių vartojimas siejamas su mažu kalio kiekiu kraujyje (</w:t>
      </w:r>
      <w:proofErr w:type="spellStart"/>
      <w:r>
        <w:rPr>
          <w:rFonts w:eastAsia="Calibri"/>
          <w:szCs w:val="22"/>
          <w:lang w:eastAsia="sl-SI"/>
        </w:rPr>
        <w:t>hipokalemija</w:t>
      </w:r>
      <w:proofErr w:type="spellEnd"/>
      <w:r>
        <w:rPr>
          <w:rFonts w:eastAsia="Calibri"/>
          <w:szCs w:val="22"/>
          <w:lang w:eastAsia="sl-SI"/>
        </w:rPr>
        <w:t xml:space="preserve">), pvz., kiti diuretikai (šlapimo išskyrimą skatinančios tabletės), vidurių laisvinamieji preparatai (pvz., ricinos aliejus), kortikosteroidai (pvz., prednizonas), </w:t>
      </w:r>
      <w:proofErr w:type="spellStart"/>
      <w:r>
        <w:rPr>
          <w:rFonts w:eastAsia="Calibri"/>
          <w:szCs w:val="22"/>
          <w:lang w:eastAsia="sl-SI"/>
        </w:rPr>
        <w:t>adrenokortikotropinis</w:t>
      </w:r>
      <w:proofErr w:type="spellEnd"/>
      <w:r>
        <w:rPr>
          <w:rFonts w:eastAsia="Calibri"/>
          <w:szCs w:val="22"/>
          <w:lang w:eastAsia="sl-SI"/>
        </w:rPr>
        <w:t xml:space="preserve"> hormonas (AKTH), </w:t>
      </w:r>
      <w:proofErr w:type="spellStart"/>
      <w:r>
        <w:rPr>
          <w:rFonts w:eastAsia="Calibri"/>
          <w:szCs w:val="22"/>
          <w:lang w:eastAsia="sl-SI"/>
        </w:rPr>
        <w:t>amfotericinas</w:t>
      </w:r>
      <w:proofErr w:type="spellEnd"/>
      <w:r>
        <w:rPr>
          <w:rFonts w:eastAsia="Calibri"/>
          <w:szCs w:val="22"/>
          <w:lang w:eastAsia="sl-SI"/>
        </w:rPr>
        <w:t xml:space="preserve"> (vaistas nuo grybelinių ligų), </w:t>
      </w:r>
      <w:proofErr w:type="spellStart"/>
      <w:r>
        <w:rPr>
          <w:rFonts w:eastAsia="Calibri"/>
          <w:szCs w:val="22"/>
          <w:lang w:eastAsia="sl-SI"/>
        </w:rPr>
        <w:t>karbenoksolonas</w:t>
      </w:r>
      <w:proofErr w:type="spellEnd"/>
      <w:r>
        <w:rPr>
          <w:rFonts w:eastAsia="Calibri"/>
          <w:szCs w:val="22"/>
          <w:lang w:eastAsia="sl-SI"/>
        </w:rPr>
        <w:t xml:space="preserve"> (vaistas nuo burnos opų), penicilino G natrio druska (antibiotikas), salicilo rūgštis ir jos dariniai. </w:t>
      </w:r>
    </w:p>
    <w:p w14:paraId="6A8B52D7" w14:textId="77777777" w:rsidR="00D25008" w:rsidRDefault="00FE2A61">
      <w:pPr>
        <w:numPr>
          <w:ilvl w:val="0"/>
          <w:numId w:val="22"/>
        </w:numPr>
        <w:autoSpaceDE w:val="0"/>
        <w:autoSpaceDN w:val="0"/>
        <w:adjustRightInd w:val="0"/>
        <w:ind w:left="567" w:hanging="567"/>
        <w:contextualSpacing/>
        <w:rPr>
          <w:rFonts w:eastAsia="Calibri"/>
          <w:szCs w:val="22"/>
          <w:lang w:eastAsia="sl-SI"/>
        </w:rPr>
      </w:pPr>
      <w:r>
        <w:rPr>
          <w:rFonts w:eastAsia="Calibri"/>
          <w:szCs w:val="22"/>
          <w:lang w:eastAsia="sl-SI"/>
        </w:rPr>
        <w:t xml:space="preserve">Vaistai, galintys padidinti kalio kiekį kraujyje, pvz., kalį organizme sulaikantys diuretikai, kalio papildai, druskų pakaitalai, kuriuose yra kalio, AKF inhibitoriai, </w:t>
      </w:r>
      <w:proofErr w:type="spellStart"/>
      <w:r>
        <w:rPr>
          <w:rFonts w:eastAsia="Calibri"/>
          <w:szCs w:val="22"/>
          <w:lang w:eastAsia="sl-SI"/>
        </w:rPr>
        <w:t>ciklosporinas</w:t>
      </w:r>
      <w:proofErr w:type="spellEnd"/>
      <w:r>
        <w:rPr>
          <w:rFonts w:eastAsia="Calibri"/>
          <w:szCs w:val="22"/>
          <w:lang w:eastAsia="sl-SI"/>
        </w:rPr>
        <w:t xml:space="preserve"> (imuninę sistemą slopinantis vaistas) bei kiti vaistai, tokie kaip heparino natrio druska (kraujo krešėjimą slopinantis vaistas). </w:t>
      </w:r>
    </w:p>
    <w:p w14:paraId="7DF5F591" w14:textId="77777777" w:rsidR="00D25008" w:rsidRDefault="00FE2A61">
      <w:pPr>
        <w:numPr>
          <w:ilvl w:val="0"/>
          <w:numId w:val="22"/>
        </w:numPr>
        <w:autoSpaceDE w:val="0"/>
        <w:autoSpaceDN w:val="0"/>
        <w:adjustRightInd w:val="0"/>
        <w:ind w:left="567" w:hanging="567"/>
        <w:contextualSpacing/>
        <w:rPr>
          <w:rFonts w:eastAsia="Calibri"/>
          <w:szCs w:val="22"/>
          <w:lang w:eastAsia="sl-SI"/>
        </w:rPr>
      </w:pPr>
      <w:r>
        <w:rPr>
          <w:rFonts w:eastAsia="Calibri"/>
          <w:szCs w:val="22"/>
          <w:lang w:eastAsia="sl-SI"/>
        </w:rPr>
        <w:t xml:space="preserve">Vaistai, kurių poveikiui daro įtaką kalio kiekio kraujyje pokyčiai, tokie kaip vaistai nuo širdies ligų (pvz., </w:t>
      </w:r>
      <w:proofErr w:type="spellStart"/>
      <w:r>
        <w:rPr>
          <w:rFonts w:eastAsia="Calibri"/>
          <w:szCs w:val="22"/>
          <w:lang w:eastAsia="sl-SI"/>
        </w:rPr>
        <w:t>digoksinas</w:t>
      </w:r>
      <w:proofErr w:type="spellEnd"/>
      <w:r>
        <w:rPr>
          <w:rFonts w:eastAsia="Calibri"/>
          <w:szCs w:val="22"/>
          <w:lang w:eastAsia="sl-SI"/>
        </w:rPr>
        <w:t xml:space="preserve">) ar vaistai širdies ritmui reguliuoti (pvz., </w:t>
      </w:r>
      <w:proofErr w:type="spellStart"/>
      <w:r>
        <w:rPr>
          <w:rFonts w:eastAsia="Calibri"/>
          <w:szCs w:val="22"/>
          <w:lang w:eastAsia="sl-SI"/>
        </w:rPr>
        <w:t>chinidinas</w:t>
      </w:r>
      <w:proofErr w:type="spellEnd"/>
      <w:r>
        <w:rPr>
          <w:rFonts w:eastAsia="Calibri"/>
          <w:szCs w:val="22"/>
          <w:lang w:eastAsia="sl-SI"/>
        </w:rPr>
        <w:t xml:space="preserve">, </w:t>
      </w:r>
      <w:proofErr w:type="spellStart"/>
      <w:r>
        <w:rPr>
          <w:rFonts w:eastAsia="Calibri"/>
          <w:szCs w:val="22"/>
          <w:lang w:eastAsia="sl-SI"/>
        </w:rPr>
        <w:t>dizopiramidas</w:t>
      </w:r>
      <w:proofErr w:type="spellEnd"/>
      <w:r>
        <w:rPr>
          <w:rFonts w:eastAsia="Calibri"/>
          <w:szCs w:val="22"/>
          <w:lang w:eastAsia="sl-SI"/>
        </w:rPr>
        <w:t xml:space="preserve">, </w:t>
      </w:r>
      <w:proofErr w:type="spellStart"/>
      <w:r>
        <w:rPr>
          <w:rFonts w:eastAsia="Calibri"/>
          <w:szCs w:val="22"/>
          <w:lang w:eastAsia="sl-SI"/>
        </w:rPr>
        <w:t>amjodaronas</w:t>
      </w:r>
      <w:proofErr w:type="spellEnd"/>
      <w:r>
        <w:rPr>
          <w:rFonts w:eastAsia="Calibri"/>
          <w:szCs w:val="22"/>
          <w:lang w:eastAsia="sl-SI"/>
        </w:rPr>
        <w:t xml:space="preserve">, </w:t>
      </w:r>
      <w:proofErr w:type="spellStart"/>
      <w:r>
        <w:rPr>
          <w:rFonts w:eastAsia="Calibri"/>
          <w:szCs w:val="22"/>
          <w:lang w:eastAsia="sl-SI"/>
        </w:rPr>
        <w:t>sotalolis</w:t>
      </w:r>
      <w:proofErr w:type="spellEnd"/>
      <w:r>
        <w:rPr>
          <w:rFonts w:eastAsia="Calibri"/>
          <w:szCs w:val="22"/>
          <w:lang w:eastAsia="sl-SI"/>
        </w:rPr>
        <w:t xml:space="preserve">), vaistai nuo psichikos ligų (pvz., </w:t>
      </w:r>
      <w:proofErr w:type="spellStart"/>
      <w:r>
        <w:rPr>
          <w:rFonts w:eastAsia="Calibri"/>
          <w:szCs w:val="22"/>
          <w:lang w:eastAsia="sl-SI"/>
        </w:rPr>
        <w:t>tioridazinas</w:t>
      </w:r>
      <w:proofErr w:type="spellEnd"/>
      <w:r>
        <w:rPr>
          <w:rFonts w:eastAsia="Calibri"/>
          <w:szCs w:val="22"/>
          <w:lang w:eastAsia="sl-SI"/>
        </w:rPr>
        <w:t xml:space="preserve">, </w:t>
      </w:r>
      <w:proofErr w:type="spellStart"/>
      <w:r>
        <w:rPr>
          <w:rFonts w:eastAsia="Calibri"/>
          <w:szCs w:val="22"/>
          <w:lang w:eastAsia="sl-SI"/>
        </w:rPr>
        <w:t>chlorpromazinas</w:t>
      </w:r>
      <w:proofErr w:type="spellEnd"/>
      <w:r>
        <w:rPr>
          <w:rFonts w:eastAsia="Calibri"/>
          <w:szCs w:val="22"/>
          <w:lang w:eastAsia="sl-SI"/>
        </w:rPr>
        <w:t xml:space="preserve">, </w:t>
      </w:r>
      <w:proofErr w:type="spellStart"/>
      <w:r>
        <w:rPr>
          <w:rFonts w:eastAsia="Calibri"/>
          <w:szCs w:val="22"/>
          <w:lang w:eastAsia="sl-SI"/>
        </w:rPr>
        <w:t>levomepromazinas</w:t>
      </w:r>
      <w:proofErr w:type="spellEnd"/>
      <w:r>
        <w:rPr>
          <w:rFonts w:eastAsia="Calibri"/>
          <w:szCs w:val="22"/>
          <w:lang w:eastAsia="sl-SI"/>
        </w:rPr>
        <w:t xml:space="preserve">) bei kitokie vaistai, tokie kaip tam tikri antibiotikai (pvz., </w:t>
      </w:r>
      <w:proofErr w:type="spellStart"/>
      <w:r>
        <w:rPr>
          <w:rFonts w:eastAsia="Calibri"/>
          <w:szCs w:val="22"/>
          <w:lang w:eastAsia="sl-SI"/>
        </w:rPr>
        <w:t>sparfloksacinas</w:t>
      </w:r>
      <w:proofErr w:type="spellEnd"/>
      <w:r>
        <w:rPr>
          <w:rFonts w:eastAsia="Calibri"/>
          <w:szCs w:val="22"/>
          <w:lang w:eastAsia="sl-SI"/>
        </w:rPr>
        <w:t xml:space="preserve">, </w:t>
      </w:r>
      <w:proofErr w:type="spellStart"/>
      <w:r>
        <w:rPr>
          <w:rFonts w:eastAsia="Calibri"/>
          <w:szCs w:val="22"/>
          <w:lang w:eastAsia="sl-SI"/>
        </w:rPr>
        <w:t>pentamidinas</w:t>
      </w:r>
      <w:proofErr w:type="spellEnd"/>
      <w:r>
        <w:rPr>
          <w:rFonts w:eastAsia="Calibri"/>
          <w:szCs w:val="22"/>
          <w:lang w:eastAsia="sl-SI"/>
        </w:rPr>
        <w:t xml:space="preserve">) arba vaistai alerginėms reakcijoms gydyti (pvz., </w:t>
      </w:r>
      <w:proofErr w:type="spellStart"/>
      <w:r>
        <w:rPr>
          <w:rFonts w:eastAsia="Calibri"/>
          <w:szCs w:val="22"/>
          <w:lang w:eastAsia="sl-SI"/>
        </w:rPr>
        <w:t>terfenadinas</w:t>
      </w:r>
      <w:proofErr w:type="spellEnd"/>
      <w:r>
        <w:rPr>
          <w:rFonts w:eastAsia="Calibri"/>
          <w:szCs w:val="22"/>
          <w:lang w:eastAsia="sl-SI"/>
        </w:rPr>
        <w:t xml:space="preserve">). </w:t>
      </w:r>
    </w:p>
    <w:p w14:paraId="5FDAB85B" w14:textId="77777777" w:rsidR="00D25008" w:rsidRDefault="00FE2A61">
      <w:pPr>
        <w:numPr>
          <w:ilvl w:val="0"/>
          <w:numId w:val="22"/>
        </w:numPr>
        <w:autoSpaceDE w:val="0"/>
        <w:autoSpaceDN w:val="0"/>
        <w:adjustRightInd w:val="0"/>
        <w:ind w:left="567" w:hanging="567"/>
        <w:contextualSpacing/>
        <w:rPr>
          <w:rFonts w:eastAsia="Calibri"/>
          <w:szCs w:val="22"/>
          <w:lang w:eastAsia="sl-SI"/>
        </w:rPr>
      </w:pPr>
      <w:r>
        <w:rPr>
          <w:rFonts w:eastAsia="Calibri"/>
          <w:szCs w:val="22"/>
          <w:lang w:eastAsia="sl-SI"/>
        </w:rPr>
        <w:t xml:space="preserve">Vaistai cukriniam diabetui gydyti (insulinas ar geriamieji preparatai, pvz., </w:t>
      </w:r>
      <w:proofErr w:type="spellStart"/>
      <w:r>
        <w:rPr>
          <w:rFonts w:eastAsia="Calibri"/>
          <w:szCs w:val="22"/>
          <w:lang w:eastAsia="sl-SI"/>
        </w:rPr>
        <w:t>metforminas</w:t>
      </w:r>
      <w:proofErr w:type="spellEnd"/>
      <w:r>
        <w:rPr>
          <w:rFonts w:eastAsia="Calibri"/>
          <w:szCs w:val="22"/>
          <w:lang w:eastAsia="sl-SI"/>
        </w:rPr>
        <w:t>).</w:t>
      </w:r>
    </w:p>
    <w:p w14:paraId="64DF5E7D" w14:textId="77777777" w:rsidR="00D25008" w:rsidRDefault="00FE2A61">
      <w:pPr>
        <w:numPr>
          <w:ilvl w:val="0"/>
          <w:numId w:val="22"/>
        </w:numPr>
        <w:autoSpaceDE w:val="0"/>
        <w:autoSpaceDN w:val="0"/>
        <w:adjustRightInd w:val="0"/>
        <w:ind w:left="567" w:hanging="567"/>
        <w:contextualSpacing/>
        <w:rPr>
          <w:rFonts w:eastAsia="Calibri"/>
          <w:szCs w:val="22"/>
          <w:lang w:eastAsia="sl-SI"/>
        </w:rPr>
      </w:pPr>
      <w:proofErr w:type="spellStart"/>
      <w:r>
        <w:rPr>
          <w:rFonts w:eastAsia="Calibri"/>
          <w:szCs w:val="22"/>
          <w:lang w:eastAsia="sl-SI"/>
        </w:rPr>
        <w:t>Kolestiraminas</w:t>
      </w:r>
      <w:proofErr w:type="spellEnd"/>
      <w:r>
        <w:rPr>
          <w:rFonts w:eastAsia="Calibri"/>
          <w:szCs w:val="22"/>
          <w:lang w:eastAsia="sl-SI"/>
        </w:rPr>
        <w:t xml:space="preserve">, </w:t>
      </w:r>
      <w:proofErr w:type="spellStart"/>
      <w:r>
        <w:rPr>
          <w:rFonts w:eastAsia="Calibri"/>
          <w:szCs w:val="22"/>
          <w:lang w:eastAsia="sl-SI"/>
        </w:rPr>
        <w:t>kolestipolis</w:t>
      </w:r>
      <w:proofErr w:type="spellEnd"/>
      <w:r>
        <w:rPr>
          <w:rFonts w:eastAsia="Calibri"/>
          <w:szCs w:val="22"/>
          <w:lang w:eastAsia="sl-SI"/>
        </w:rPr>
        <w:t xml:space="preserve"> ar </w:t>
      </w:r>
      <w:proofErr w:type="spellStart"/>
      <w:r>
        <w:rPr>
          <w:rFonts w:eastAsia="Calibri"/>
          <w:szCs w:val="22"/>
          <w:lang w:eastAsia="sl-SI"/>
        </w:rPr>
        <w:t>simvastatinas</w:t>
      </w:r>
      <w:proofErr w:type="spellEnd"/>
      <w:r>
        <w:rPr>
          <w:rFonts w:eastAsia="Calibri"/>
          <w:szCs w:val="22"/>
          <w:lang w:eastAsia="sl-SI"/>
        </w:rPr>
        <w:t xml:space="preserve"> (vaistai riebalų kiekiui kraujyje mažinti). </w:t>
      </w:r>
    </w:p>
    <w:p w14:paraId="6838BCAC" w14:textId="77777777" w:rsidR="00D25008" w:rsidRDefault="00FE2A61">
      <w:pPr>
        <w:numPr>
          <w:ilvl w:val="0"/>
          <w:numId w:val="22"/>
        </w:numPr>
        <w:autoSpaceDE w:val="0"/>
        <w:autoSpaceDN w:val="0"/>
        <w:adjustRightInd w:val="0"/>
        <w:ind w:left="567" w:hanging="567"/>
        <w:contextualSpacing/>
        <w:rPr>
          <w:rFonts w:eastAsia="Calibri"/>
          <w:szCs w:val="22"/>
          <w:lang w:eastAsia="sl-SI"/>
        </w:rPr>
      </w:pPr>
      <w:r>
        <w:rPr>
          <w:rFonts w:eastAsia="Calibri"/>
          <w:szCs w:val="22"/>
          <w:lang w:eastAsia="sl-SI"/>
        </w:rPr>
        <w:t xml:space="preserve">Kraujospūdį didinantys vaistai, pvz., </w:t>
      </w:r>
      <w:proofErr w:type="spellStart"/>
      <w:r>
        <w:rPr>
          <w:rFonts w:eastAsia="Calibri"/>
          <w:szCs w:val="22"/>
          <w:lang w:eastAsia="sl-SI"/>
        </w:rPr>
        <w:t>noradrenalinas</w:t>
      </w:r>
      <w:proofErr w:type="spellEnd"/>
      <w:r>
        <w:rPr>
          <w:rFonts w:eastAsia="Calibri"/>
          <w:szCs w:val="22"/>
          <w:lang w:eastAsia="sl-SI"/>
        </w:rPr>
        <w:t>.</w:t>
      </w:r>
    </w:p>
    <w:p w14:paraId="63AAF576" w14:textId="77777777" w:rsidR="00D25008" w:rsidRDefault="00FE2A61">
      <w:pPr>
        <w:numPr>
          <w:ilvl w:val="0"/>
          <w:numId w:val="22"/>
        </w:numPr>
        <w:autoSpaceDE w:val="0"/>
        <w:autoSpaceDN w:val="0"/>
        <w:adjustRightInd w:val="0"/>
        <w:ind w:left="567" w:hanging="567"/>
        <w:contextualSpacing/>
        <w:rPr>
          <w:rFonts w:eastAsia="Calibri"/>
          <w:szCs w:val="22"/>
          <w:lang w:eastAsia="sl-SI"/>
        </w:rPr>
      </w:pPr>
      <w:r>
        <w:rPr>
          <w:rFonts w:eastAsia="Calibri"/>
          <w:szCs w:val="22"/>
          <w:lang w:eastAsia="sl-SI"/>
        </w:rPr>
        <w:t xml:space="preserve">Raumenis atpalaiduojantys vaistai, pvz., </w:t>
      </w:r>
      <w:proofErr w:type="spellStart"/>
      <w:r>
        <w:rPr>
          <w:rFonts w:eastAsia="Calibri"/>
          <w:szCs w:val="22"/>
          <w:lang w:eastAsia="sl-SI"/>
        </w:rPr>
        <w:t>tubokurarinas</w:t>
      </w:r>
      <w:proofErr w:type="spellEnd"/>
      <w:r>
        <w:rPr>
          <w:rFonts w:eastAsia="Calibri"/>
          <w:szCs w:val="22"/>
          <w:lang w:eastAsia="sl-SI"/>
        </w:rPr>
        <w:t>.</w:t>
      </w:r>
    </w:p>
    <w:p w14:paraId="3097AE0C" w14:textId="77777777" w:rsidR="00D25008" w:rsidRDefault="00FE2A61">
      <w:pPr>
        <w:numPr>
          <w:ilvl w:val="0"/>
          <w:numId w:val="22"/>
        </w:numPr>
        <w:autoSpaceDE w:val="0"/>
        <w:autoSpaceDN w:val="0"/>
        <w:adjustRightInd w:val="0"/>
        <w:ind w:left="567" w:hanging="567"/>
        <w:contextualSpacing/>
        <w:rPr>
          <w:rFonts w:eastAsia="Calibri"/>
          <w:szCs w:val="22"/>
          <w:lang w:eastAsia="sl-SI"/>
        </w:rPr>
      </w:pPr>
      <w:r>
        <w:rPr>
          <w:rFonts w:eastAsia="Calibri"/>
          <w:szCs w:val="22"/>
          <w:lang w:eastAsia="sl-SI"/>
        </w:rPr>
        <w:t>Kalcio papildai ir (arba) vitamino D papildai.</w:t>
      </w:r>
    </w:p>
    <w:p w14:paraId="45FCD7B4" w14:textId="77777777" w:rsidR="00D25008" w:rsidRDefault="00FE2A61">
      <w:pPr>
        <w:numPr>
          <w:ilvl w:val="0"/>
          <w:numId w:val="22"/>
        </w:numPr>
        <w:autoSpaceDE w:val="0"/>
        <w:autoSpaceDN w:val="0"/>
        <w:adjustRightInd w:val="0"/>
        <w:ind w:left="567" w:hanging="567"/>
        <w:contextualSpacing/>
        <w:rPr>
          <w:rFonts w:eastAsia="Calibri"/>
          <w:szCs w:val="22"/>
          <w:lang w:val="sl-SI" w:eastAsia="sl-SI"/>
        </w:rPr>
      </w:pPr>
      <w:r>
        <w:rPr>
          <w:rFonts w:eastAsia="Calibri"/>
          <w:szCs w:val="22"/>
          <w:lang w:val="sl-SI" w:eastAsia="sl-SI"/>
        </w:rPr>
        <w:t>An</w:t>
      </w:r>
      <w:proofErr w:type="spellStart"/>
      <w:r>
        <w:rPr>
          <w:rFonts w:eastAsia="Calibri"/>
          <w:szCs w:val="22"/>
          <w:lang w:eastAsia="sl-SI"/>
        </w:rPr>
        <w:t>ticholinerginiai</w:t>
      </w:r>
      <w:proofErr w:type="spellEnd"/>
      <w:r>
        <w:rPr>
          <w:rFonts w:eastAsia="Calibri"/>
          <w:szCs w:val="22"/>
          <w:lang w:eastAsia="sl-SI"/>
        </w:rPr>
        <w:t xml:space="preserve"> vaistai (vaistai, vartojami įvairiems sutrikimams, pvz. virškinimo trakto diegliams, šlapimo pūslės spazmams, astmai, užsupimui transporte, raumenų spazmams, </w:t>
      </w:r>
      <w:proofErr w:type="spellStart"/>
      <w:r>
        <w:rPr>
          <w:rFonts w:eastAsia="Calibri"/>
          <w:szCs w:val="22"/>
          <w:lang w:eastAsia="sl-SI"/>
        </w:rPr>
        <w:t>Parkin</w:t>
      </w:r>
      <w:proofErr w:type="spellEnd"/>
      <w:r>
        <w:rPr>
          <w:rFonts w:eastAsia="Calibri"/>
          <w:szCs w:val="22"/>
          <w:lang w:val="sl-SI" w:eastAsia="sl-SI"/>
        </w:rPr>
        <w:t>sono ligai, gydyti bei kaip pagalbinis vaistas, taikant anesteziją), tokie kaip atropinas ir biperidenas.</w:t>
      </w:r>
    </w:p>
    <w:p w14:paraId="0FEBE9F6" w14:textId="77777777" w:rsidR="00D25008" w:rsidRDefault="00FE2A61">
      <w:pPr>
        <w:numPr>
          <w:ilvl w:val="0"/>
          <w:numId w:val="22"/>
        </w:numPr>
        <w:autoSpaceDE w:val="0"/>
        <w:autoSpaceDN w:val="0"/>
        <w:adjustRightInd w:val="0"/>
        <w:ind w:left="567" w:hanging="567"/>
        <w:contextualSpacing/>
        <w:rPr>
          <w:rFonts w:eastAsia="Calibri"/>
          <w:szCs w:val="22"/>
          <w:lang w:val="sl-SI" w:eastAsia="sl-SI"/>
        </w:rPr>
      </w:pPr>
      <w:r>
        <w:rPr>
          <w:rFonts w:eastAsia="Calibri"/>
          <w:szCs w:val="22"/>
          <w:lang w:val="sl-SI" w:eastAsia="sl-SI"/>
        </w:rPr>
        <w:t>Amantadinas (vaistas, vartojamas Parkinsono ligai gydyti bei kai kurių virusinių ligų gydymui arba profilaktikai</w:t>
      </w:r>
      <w:r>
        <w:rPr>
          <w:rFonts w:eastAsia="Calibri"/>
          <w:szCs w:val="22"/>
          <w:lang w:eastAsia="sl-SI"/>
        </w:rPr>
        <w:t>)</w:t>
      </w:r>
      <w:r>
        <w:rPr>
          <w:rFonts w:eastAsia="Calibri"/>
          <w:szCs w:val="22"/>
          <w:lang w:val="sl-SI" w:eastAsia="sl-SI"/>
        </w:rPr>
        <w:t xml:space="preserve">. </w:t>
      </w:r>
    </w:p>
    <w:p w14:paraId="687B467A" w14:textId="77777777" w:rsidR="00D25008" w:rsidRDefault="00FE2A61">
      <w:pPr>
        <w:numPr>
          <w:ilvl w:val="0"/>
          <w:numId w:val="22"/>
        </w:numPr>
        <w:autoSpaceDE w:val="0"/>
        <w:autoSpaceDN w:val="0"/>
        <w:adjustRightInd w:val="0"/>
        <w:ind w:left="567" w:hanging="567"/>
        <w:contextualSpacing/>
        <w:rPr>
          <w:rFonts w:eastAsia="Calibri"/>
          <w:szCs w:val="22"/>
          <w:lang w:eastAsia="sl-SI"/>
        </w:rPr>
      </w:pPr>
      <w:r>
        <w:rPr>
          <w:rFonts w:eastAsia="Calibri"/>
          <w:szCs w:val="22"/>
          <w:lang w:eastAsia="sl-SI"/>
        </w:rPr>
        <w:t>Kitokie vaistai nuo didelio kraujospūdžio ligos, kortikosteroidai, vaistai nuo skausmo (pvz., nesteroidiniai vaistai nuo uždegimo (NVNU), vaistai nuo vėžio, podagros ar artrito.</w:t>
      </w:r>
    </w:p>
    <w:p w14:paraId="5C4B946E" w14:textId="77777777" w:rsidR="00D25008" w:rsidRDefault="00FE2A61">
      <w:pPr>
        <w:numPr>
          <w:ilvl w:val="0"/>
          <w:numId w:val="22"/>
        </w:numPr>
        <w:autoSpaceDE w:val="0"/>
        <w:autoSpaceDN w:val="0"/>
        <w:adjustRightInd w:val="0"/>
        <w:ind w:left="567" w:hanging="567"/>
        <w:contextualSpacing/>
        <w:rPr>
          <w:rFonts w:eastAsia="Calibri"/>
          <w:szCs w:val="22"/>
          <w:lang w:eastAsia="sl-SI"/>
        </w:rPr>
      </w:pPr>
      <w:r>
        <w:rPr>
          <w:rFonts w:eastAsia="Calibri"/>
          <w:szCs w:val="22"/>
          <w:lang w:eastAsia="sl-SI"/>
        </w:rPr>
        <w:lastRenderedPageBreak/>
        <w:t xml:space="preserve">Jeigu vartojate AKF inhibitorių arba </w:t>
      </w:r>
      <w:proofErr w:type="spellStart"/>
      <w:r>
        <w:rPr>
          <w:rFonts w:eastAsia="Calibri"/>
          <w:szCs w:val="22"/>
          <w:lang w:eastAsia="sl-SI"/>
        </w:rPr>
        <w:t>aliskireną</w:t>
      </w:r>
      <w:proofErr w:type="spellEnd"/>
      <w:r>
        <w:rPr>
          <w:rFonts w:eastAsia="Calibri"/>
          <w:szCs w:val="22"/>
          <w:lang w:eastAsia="sl-SI"/>
        </w:rPr>
        <w:t xml:space="preserve"> (taip pat žiūrėkite informaciją, pateiktą poskyriuose „</w:t>
      </w:r>
      <w:proofErr w:type="spellStart"/>
      <w:r>
        <w:rPr>
          <w:rFonts w:eastAsia="Calibri"/>
          <w:szCs w:val="22"/>
          <w:lang w:eastAsia="sl-SI"/>
        </w:rPr>
        <w:t>Tolvecom</w:t>
      </w:r>
      <w:proofErr w:type="spellEnd"/>
      <w:r>
        <w:rPr>
          <w:rFonts w:eastAsia="Calibri"/>
          <w:szCs w:val="22"/>
          <w:lang w:eastAsia="sl-SI"/>
        </w:rPr>
        <w:t xml:space="preserve"> vartoti draudžiama“ ir „Įspėjimai ir atsargumo priemonės“).</w:t>
      </w:r>
    </w:p>
    <w:p w14:paraId="5A8A1F32" w14:textId="77777777" w:rsidR="00D25008" w:rsidRDefault="00FE2A61">
      <w:pPr>
        <w:numPr>
          <w:ilvl w:val="0"/>
          <w:numId w:val="22"/>
        </w:numPr>
        <w:autoSpaceDE w:val="0"/>
        <w:autoSpaceDN w:val="0"/>
        <w:adjustRightInd w:val="0"/>
        <w:ind w:left="567" w:hanging="567"/>
        <w:contextualSpacing/>
        <w:rPr>
          <w:rFonts w:eastAsia="Calibri"/>
          <w:szCs w:val="22"/>
          <w:lang w:eastAsia="sl-SI"/>
        </w:rPr>
      </w:pPr>
      <w:proofErr w:type="spellStart"/>
      <w:r>
        <w:rPr>
          <w:rFonts w:eastAsia="Calibri"/>
          <w:szCs w:val="22"/>
          <w:lang w:eastAsia="sl-SI"/>
        </w:rPr>
        <w:t>Ketokonazolas</w:t>
      </w:r>
      <w:proofErr w:type="spellEnd"/>
      <w:r>
        <w:rPr>
          <w:rFonts w:eastAsia="Calibri"/>
          <w:szCs w:val="22"/>
          <w:lang w:eastAsia="sl-SI"/>
        </w:rPr>
        <w:t xml:space="preserve">, </w:t>
      </w:r>
      <w:proofErr w:type="spellStart"/>
      <w:r>
        <w:rPr>
          <w:rFonts w:eastAsia="Calibri"/>
          <w:szCs w:val="22"/>
          <w:lang w:eastAsia="sl-SI"/>
        </w:rPr>
        <w:t>itrakonazolas</w:t>
      </w:r>
      <w:proofErr w:type="spellEnd"/>
      <w:r>
        <w:rPr>
          <w:rFonts w:eastAsia="Calibri"/>
          <w:szCs w:val="22"/>
          <w:lang w:eastAsia="sl-SI"/>
        </w:rPr>
        <w:t xml:space="preserve"> (priešgrybeliniai vaistai).</w:t>
      </w:r>
    </w:p>
    <w:p w14:paraId="7FDB95D4" w14:textId="77777777" w:rsidR="00D25008" w:rsidRDefault="00FE2A61">
      <w:pPr>
        <w:numPr>
          <w:ilvl w:val="0"/>
          <w:numId w:val="22"/>
        </w:numPr>
        <w:autoSpaceDE w:val="0"/>
        <w:autoSpaceDN w:val="0"/>
        <w:adjustRightInd w:val="0"/>
        <w:ind w:left="567" w:hanging="567"/>
        <w:contextualSpacing/>
        <w:rPr>
          <w:rFonts w:eastAsia="Calibri"/>
          <w:szCs w:val="22"/>
          <w:lang w:eastAsia="sl-SI"/>
        </w:rPr>
      </w:pPr>
      <w:r>
        <w:rPr>
          <w:rFonts w:eastAsia="Calibri"/>
          <w:szCs w:val="22"/>
          <w:lang w:eastAsia="sl-SI"/>
        </w:rPr>
        <w:t xml:space="preserve">Ritonaviras, </w:t>
      </w:r>
      <w:proofErr w:type="spellStart"/>
      <w:r>
        <w:rPr>
          <w:rFonts w:eastAsia="Calibri"/>
          <w:szCs w:val="22"/>
          <w:lang w:eastAsia="sl-SI"/>
        </w:rPr>
        <w:t>indinaviras</w:t>
      </w:r>
      <w:proofErr w:type="spellEnd"/>
      <w:r>
        <w:rPr>
          <w:rFonts w:eastAsia="Calibri"/>
          <w:szCs w:val="22"/>
          <w:lang w:eastAsia="sl-SI"/>
        </w:rPr>
        <w:t xml:space="preserve">, </w:t>
      </w:r>
      <w:proofErr w:type="spellStart"/>
      <w:r>
        <w:rPr>
          <w:rFonts w:eastAsia="Calibri"/>
          <w:szCs w:val="22"/>
          <w:lang w:eastAsia="sl-SI"/>
        </w:rPr>
        <w:t>nelfinaviras</w:t>
      </w:r>
      <w:proofErr w:type="spellEnd"/>
      <w:r>
        <w:rPr>
          <w:rFonts w:eastAsia="Calibri"/>
          <w:szCs w:val="22"/>
          <w:lang w:eastAsia="sl-SI"/>
        </w:rPr>
        <w:t xml:space="preserve"> (vadinamieji proteazės inhibitoriai, vartojami nuo ŽIV).</w:t>
      </w:r>
    </w:p>
    <w:p w14:paraId="260FEFF6" w14:textId="77777777" w:rsidR="00D25008" w:rsidRDefault="00FE2A61">
      <w:pPr>
        <w:numPr>
          <w:ilvl w:val="0"/>
          <w:numId w:val="22"/>
        </w:numPr>
        <w:autoSpaceDE w:val="0"/>
        <w:autoSpaceDN w:val="0"/>
        <w:adjustRightInd w:val="0"/>
        <w:ind w:left="567" w:hanging="567"/>
        <w:contextualSpacing/>
        <w:rPr>
          <w:rFonts w:eastAsia="Calibri"/>
          <w:szCs w:val="22"/>
          <w:lang w:eastAsia="sl-SI"/>
        </w:rPr>
      </w:pPr>
      <w:proofErr w:type="spellStart"/>
      <w:r>
        <w:rPr>
          <w:rFonts w:eastAsia="Calibri"/>
          <w:szCs w:val="22"/>
          <w:lang w:eastAsia="sl-SI"/>
        </w:rPr>
        <w:t>Rifampicinas</w:t>
      </w:r>
      <w:proofErr w:type="spellEnd"/>
      <w:r>
        <w:rPr>
          <w:rFonts w:eastAsia="Calibri"/>
          <w:szCs w:val="22"/>
          <w:lang w:eastAsia="sl-SI"/>
        </w:rPr>
        <w:t xml:space="preserve">, </w:t>
      </w:r>
      <w:proofErr w:type="spellStart"/>
      <w:r>
        <w:rPr>
          <w:rFonts w:eastAsia="Calibri"/>
          <w:szCs w:val="22"/>
          <w:lang w:eastAsia="sl-SI"/>
        </w:rPr>
        <w:t>eritromicinas</w:t>
      </w:r>
      <w:proofErr w:type="spellEnd"/>
      <w:r>
        <w:rPr>
          <w:rFonts w:eastAsia="Calibri"/>
          <w:szCs w:val="22"/>
          <w:lang w:eastAsia="sl-SI"/>
        </w:rPr>
        <w:t xml:space="preserve">, </w:t>
      </w:r>
      <w:proofErr w:type="spellStart"/>
      <w:r>
        <w:rPr>
          <w:rFonts w:eastAsia="Calibri"/>
          <w:szCs w:val="22"/>
          <w:lang w:eastAsia="sl-SI"/>
        </w:rPr>
        <w:t>klaritromicinas</w:t>
      </w:r>
      <w:proofErr w:type="spellEnd"/>
      <w:r>
        <w:rPr>
          <w:rFonts w:eastAsia="Calibri"/>
          <w:szCs w:val="22"/>
          <w:lang w:eastAsia="sl-SI"/>
        </w:rPr>
        <w:t xml:space="preserve"> (antibiotikai, vartojami nuo bakterijų sukeltų infekcinių ligų).</w:t>
      </w:r>
    </w:p>
    <w:p w14:paraId="4C757347" w14:textId="77777777" w:rsidR="00D25008" w:rsidRDefault="00FE2A61">
      <w:pPr>
        <w:numPr>
          <w:ilvl w:val="0"/>
          <w:numId w:val="22"/>
        </w:numPr>
        <w:autoSpaceDE w:val="0"/>
        <w:autoSpaceDN w:val="0"/>
        <w:adjustRightInd w:val="0"/>
        <w:ind w:left="567" w:hanging="567"/>
        <w:contextualSpacing/>
        <w:rPr>
          <w:rFonts w:eastAsia="Calibri"/>
          <w:szCs w:val="22"/>
          <w:lang w:eastAsia="sl-SI"/>
        </w:rPr>
      </w:pPr>
      <w:r>
        <w:rPr>
          <w:rFonts w:eastAsia="Calibri"/>
          <w:szCs w:val="22"/>
          <w:lang w:eastAsia="sl-SI"/>
        </w:rPr>
        <w:t>Paprastosios jonažolės (</w:t>
      </w:r>
      <w:proofErr w:type="spellStart"/>
      <w:r>
        <w:rPr>
          <w:rFonts w:eastAsia="Calibri"/>
          <w:i/>
          <w:iCs/>
          <w:szCs w:val="22"/>
          <w:lang w:eastAsia="sl-SI"/>
        </w:rPr>
        <w:t>Hypericum</w:t>
      </w:r>
      <w:proofErr w:type="spellEnd"/>
      <w:r>
        <w:rPr>
          <w:rFonts w:eastAsia="Calibri"/>
          <w:i/>
          <w:iCs/>
          <w:szCs w:val="22"/>
          <w:lang w:eastAsia="sl-SI"/>
        </w:rPr>
        <w:t xml:space="preserve"> </w:t>
      </w:r>
      <w:proofErr w:type="spellStart"/>
      <w:r>
        <w:rPr>
          <w:rFonts w:eastAsia="Calibri"/>
          <w:i/>
          <w:iCs/>
          <w:szCs w:val="22"/>
          <w:lang w:eastAsia="sl-SI"/>
        </w:rPr>
        <w:t>perforatum</w:t>
      </w:r>
      <w:proofErr w:type="spellEnd"/>
      <w:r>
        <w:rPr>
          <w:rFonts w:eastAsia="Calibri"/>
          <w:szCs w:val="22"/>
          <w:lang w:eastAsia="sl-SI"/>
        </w:rPr>
        <w:t>) preparatai.</w:t>
      </w:r>
    </w:p>
    <w:p w14:paraId="50D44C80" w14:textId="77777777" w:rsidR="00D25008" w:rsidRDefault="00FE2A61">
      <w:pPr>
        <w:numPr>
          <w:ilvl w:val="0"/>
          <w:numId w:val="22"/>
        </w:numPr>
        <w:autoSpaceDE w:val="0"/>
        <w:autoSpaceDN w:val="0"/>
        <w:adjustRightInd w:val="0"/>
        <w:ind w:left="567" w:hanging="567"/>
        <w:contextualSpacing/>
        <w:rPr>
          <w:rFonts w:eastAsia="Calibri"/>
          <w:szCs w:val="22"/>
          <w:lang w:eastAsia="sl-SI"/>
        </w:rPr>
      </w:pPr>
      <w:proofErr w:type="spellStart"/>
      <w:r>
        <w:rPr>
          <w:rFonts w:eastAsia="Calibri"/>
          <w:szCs w:val="22"/>
          <w:lang w:eastAsia="sl-SI"/>
        </w:rPr>
        <w:t>Verapamilis</w:t>
      </w:r>
      <w:proofErr w:type="spellEnd"/>
      <w:r>
        <w:rPr>
          <w:rFonts w:eastAsia="Calibri"/>
          <w:szCs w:val="22"/>
          <w:lang w:eastAsia="sl-SI"/>
        </w:rPr>
        <w:t xml:space="preserve">, </w:t>
      </w:r>
      <w:proofErr w:type="spellStart"/>
      <w:r>
        <w:rPr>
          <w:rFonts w:eastAsia="Calibri"/>
          <w:szCs w:val="22"/>
          <w:lang w:eastAsia="sl-SI"/>
        </w:rPr>
        <w:t>diltiazemas</w:t>
      </w:r>
      <w:proofErr w:type="spellEnd"/>
      <w:r>
        <w:rPr>
          <w:rFonts w:eastAsia="Calibri"/>
          <w:szCs w:val="22"/>
          <w:lang w:eastAsia="sl-SI"/>
        </w:rPr>
        <w:t xml:space="preserve"> (vaistai nuo širdies sutrikimų).</w:t>
      </w:r>
    </w:p>
    <w:p w14:paraId="7B879EF1" w14:textId="77777777" w:rsidR="00D25008" w:rsidRDefault="00FE2A61">
      <w:pPr>
        <w:numPr>
          <w:ilvl w:val="0"/>
          <w:numId w:val="22"/>
        </w:numPr>
        <w:autoSpaceDE w:val="0"/>
        <w:autoSpaceDN w:val="0"/>
        <w:adjustRightInd w:val="0"/>
        <w:ind w:left="567" w:hanging="567"/>
        <w:contextualSpacing/>
        <w:rPr>
          <w:rFonts w:eastAsia="Calibri"/>
          <w:szCs w:val="22"/>
          <w:lang w:eastAsia="sl-SI"/>
        </w:rPr>
      </w:pPr>
      <w:proofErr w:type="spellStart"/>
      <w:r>
        <w:rPr>
          <w:rFonts w:eastAsia="Calibri"/>
          <w:szCs w:val="22"/>
          <w:lang w:eastAsia="sl-SI"/>
        </w:rPr>
        <w:t>Dantrolenas</w:t>
      </w:r>
      <w:proofErr w:type="spellEnd"/>
      <w:r>
        <w:rPr>
          <w:rFonts w:eastAsia="Calibri"/>
          <w:szCs w:val="22"/>
          <w:lang w:eastAsia="sl-SI"/>
        </w:rPr>
        <w:t xml:space="preserve"> (infuzija, skiriama esant sunkiems kūno temperatūros sutrikimams).</w:t>
      </w:r>
    </w:p>
    <w:p w14:paraId="1CE97897" w14:textId="77777777" w:rsidR="00D25008" w:rsidRDefault="00FE2A61">
      <w:pPr>
        <w:numPr>
          <w:ilvl w:val="0"/>
          <w:numId w:val="22"/>
        </w:numPr>
        <w:autoSpaceDE w:val="0"/>
        <w:autoSpaceDN w:val="0"/>
        <w:adjustRightInd w:val="0"/>
        <w:ind w:left="567" w:hanging="567"/>
        <w:contextualSpacing/>
        <w:rPr>
          <w:rFonts w:eastAsia="Calibri"/>
          <w:szCs w:val="22"/>
          <w:lang w:eastAsia="sl-SI"/>
        </w:rPr>
      </w:pPr>
      <w:proofErr w:type="spellStart"/>
      <w:r>
        <w:rPr>
          <w:rFonts w:eastAsia="Calibri"/>
          <w:szCs w:val="22"/>
          <w:lang w:eastAsia="sl-SI"/>
        </w:rPr>
        <w:t>Takrolimuzas</w:t>
      </w:r>
      <w:proofErr w:type="spellEnd"/>
      <w:r>
        <w:rPr>
          <w:rFonts w:eastAsia="Calibri"/>
          <w:szCs w:val="22"/>
          <w:lang w:eastAsia="sl-SI"/>
        </w:rPr>
        <w:t xml:space="preserve">, </w:t>
      </w:r>
      <w:proofErr w:type="spellStart"/>
      <w:r>
        <w:rPr>
          <w:rFonts w:eastAsia="Calibri"/>
          <w:szCs w:val="22"/>
          <w:lang w:eastAsia="sl-SI"/>
        </w:rPr>
        <w:t>sirolimuzas</w:t>
      </w:r>
      <w:proofErr w:type="spellEnd"/>
      <w:r>
        <w:rPr>
          <w:rFonts w:eastAsia="Calibri"/>
          <w:szCs w:val="22"/>
          <w:lang w:eastAsia="sl-SI"/>
        </w:rPr>
        <w:t xml:space="preserve">, </w:t>
      </w:r>
      <w:proofErr w:type="spellStart"/>
      <w:r>
        <w:rPr>
          <w:rFonts w:eastAsia="Calibri"/>
          <w:szCs w:val="22"/>
          <w:lang w:eastAsia="sl-SI"/>
        </w:rPr>
        <w:t>temsirolimuzas</w:t>
      </w:r>
      <w:proofErr w:type="spellEnd"/>
      <w:r>
        <w:rPr>
          <w:rFonts w:eastAsia="Calibri"/>
          <w:szCs w:val="22"/>
          <w:lang w:eastAsia="sl-SI"/>
        </w:rPr>
        <w:t xml:space="preserve"> ir </w:t>
      </w:r>
      <w:proofErr w:type="spellStart"/>
      <w:r>
        <w:rPr>
          <w:rFonts w:eastAsia="Calibri"/>
          <w:szCs w:val="22"/>
          <w:lang w:eastAsia="sl-SI"/>
        </w:rPr>
        <w:t>everolimuzas</w:t>
      </w:r>
      <w:proofErr w:type="spellEnd"/>
      <w:r>
        <w:rPr>
          <w:rFonts w:eastAsia="Calibri"/>
          <w:szCs w:val="22"/>
          <w:lang w:eastAsia="sl-SI"/>
        </w:rPr>
        <w:t xml:space="preserve"> (vaistai, vartojami imuninės sistemos veikimui keisti).</w:t>
      </w:r>
    </w:p>
    <w:p w14:paraId="43C40834" w14:textId="77777777" w:rsidR="00D25008" w:rsidRDefault="00D25008">
      <w:pPr>
        <w:widowControl w:val="0"/>
        <w:autoSpaceDE w:val="0"/>
        <w:autoSpaceDN w:val="0"/>
        <w:adjustRightInd w:val="0"/>
        <w:contextualSpacing/>
        <w:rPr>
          <w:bCs/>
          <w:iCs/>
          <w:szCs w:val="22"/>
        </w:rPr>
      </w:pPr>
    </w:p>
    <w:p w14:paraId="527B9A71" w14:textId="77777777" w:rsidR="00D25008" w:rsidRDefault="00FE2A61">
      <w:pPr>
        <w:widowControl w:val="0"/>
        <w:numPr>
          <w:ilvl w:val="12"/>
          <w:numId w:val="0"/>
        </w:numPr>
        <w:ind w:right="-2"/>
        <w:outlineLvl w:val="0"/>
        <w:rPr>
          <w:szCs w:val="22"/>
          <w:lang w:eastAsia="sl-SI"/>
        </w:rPr>
      </w:pPr>
      <w:proofErr w:type="spellStart"/>
      <w:r>
        <w:rPr>
          <w:szCs w:val="22"/>
          <w:lang w:eastAsia="sl-SI"/>
        </w:rPr>
        <w:t>Tolvecom</w:t>
      </w:r>
      <w:proofErr w:type="spellEnd"/>
      <w:r>
        <w:rPr>
          <w:szCs w:val="22"/>
          <w:lang w:eastAsia="sl-SI"/>
        </w:rPr>
        <w:t xml:space="preserve"> gali sustiprinti kitų vaistų, vartojamų aukšto kraujospūdžio ligai gydyti, arba vaistų, galinčių mažinti kraujospūdį (pvz., </w:t>
      </w:r>
      <w:proofErr w:type="spellStart"/>
      <w:r>
        <w:rPr>
          <w:szCs w:val="22"/>
          <w:lang w:eastAsia="sl-SI"/>
        </w:rPr>
        <w:t>baklofeno</w:t>
      </w:r>
      <w:proofErr w:type="spellEnd"/>
      <w:r>
        <w:rPr>
          <w:szCs w:val="22"/>
          <w:lang w:eastAsia="sl-SI"/>
        </w:rPr>
        <w:t xml:space="preserve">, </w:t>
      </w:r>
      <w:proofErr w:type="spellStart"/>
      <w:r>
        <w:rPr>
          <w:szCs w:val="22"/>
          <w:lang w:eastAsia="sl-SI"/>
        </w:rPr>
        <w:t>amifostino</w:t>
      </w:r>
      <w:proofErr w:type="spellEnd"/>
      <w:r>
        <w:rPr>
          <w:szCs w:val="22"/>
          <w:lang w:eastAsia="sl-SI"/>
        </w:rPr>
        <w:t xml:space="preserve">), kraujospūdį mažinantį poveikį. Be to, žemą kraujospūdį gali sunkinti alkoholis, barbitūratai, narkotikai ar antidepresantai. Tai gali pasireikšti kaip svaigulys atsistojus. Jei vartojant </w:t>
      </w:r>
      <w:proofErr w:type="spellStart"/>
      <w:r>
        <w:rPr>
          <w:szCs w:val="22"/>
          <w:lang w:eastAsia="sl-SI"/>
        </w:rPr>
        <w:t>Tolvecom</w:t>
      </w:r>
      <w:proofErr w:type="spellEnd"/>
      <w:r>
        <w:rPr>
          <w:szCs w:val="22"/>
          <w:lang w:eastAsia="sl-SI"/>
        </w:rPr>
        <w:t xml:space="preserve"> reikia koreguoti kito vaisto dozę, turite pasitarti su gydytoju.</w:t>
      </w:r>
    </w:p>
    <w:p w14:paraId="6AE0BBF0" w14:textId="77777777" w:rsidR="00D25008" w:rsidRDefault="00D25008">
      <w:pPr>
        <w:widowControl w:val="0"/>
        <w:numPr>
          <w:ilvl w:val="12"/>
          <w:numId w:val="0"/>
        </w:numPr>
        <w:ind w:right="-2"/>
        <w:outlineLvl w:val="0"/>
        <w:rPr>
          <w:szCs w:val="22"/>
          <w:lang w:eastAsia="sl-SI"/>
        </w:rPr>
      </w:pPr>
    </w:p>
    <w:p w14:paraId="4A96CCB0" w14:textId="77777777" w:rsidR="00D25008" w:rsidRDefault="00FE2A61">
      <w:pPr>
        <w:widowControl w:val="0"/>
        <w:numPr>
          <w:ilvl w:val="12"/>
          <w:numId w:val="0"/>
        </w:numPr>
        <w:ind w:right="-2"/>
        <w:outlineLvl w:val="0"/>
        <w:rPr>
          <w:szCs w:val="22"/>
          <w:lang w:eastAsia="sl-SI"/>
        </w:rPr>
      </w:pPr>
      <w:proofErr w:type="spellStart"/>
      <w:r>
        <w:rPr>
          <w:szCs w:val="22"/>
          <w:lang w:eastAsia="sl-SI"/>
        </w:rPr>
        <w:t>Tolvecom</w:t>
      </w:r>
      <w:proofErr w:type="spellEnd"/>
      <w:r>
        <w:rPr>
          <w:szCs w:val="22"/>
          <w:lang w:eastAsia="sl-SI"/>
        </w:rPr>
        <w:t xml:space="preserve"> poveikis gali sumažėti, kai vartojate NVNU (nesteroidinius vaistus nuo uždegimo, pvz., aspiriną ar </w:t>
      </w:r>
      <w:proofErr w:type="spellStart"/>
      <w:r>
        <w:rPr>
          <w:szCs w:val="22"/>
          <w:lang w:eastAsia="sl-SI"/>
        </w:rPr>
        <w:t>ibuprofeną</w:t>
      </w:r>
      <w:proofErr w:type="spellEnd"/>
      <w:r>
        <w:rPr>
          <w:szCs w:val="22"/>
          <w:lang w:eastAsia="sl-SI"/>
        </w:rPr>
        <w:t>).</w:t>
      </w:r>
    </w:p>
    <w:p w14:paraId="1637685D" w14:textId="77777777" w:rsidR="00D25008" w:rsidRDefault="00D25008">
      <w:pPr>
        <w:widowControl w:val="0"/>
        <w:numPr>
          <w:ilvl w:val="12"/>
          <w:numId w:val="0"/>
        </w:numPr>
        <w:ind w:right="-2"/>
        <w:outlineLvl w:val="0"/>
        <w:rPr>
          <w:b/>
          <w:szCs w:val="22"/>
          <w:lang w:eastAsia="sl-SI"/>
        </w:rPr>
      </w:pPr>
    </w:p>
    <w:p w14:paraId="66AB64E4" w14:textId="77777777" w:rsidR="00D25008" w:rsidRDefault="00FE2A61">
      <w:pPr>
        <w:widowControl w:val="0"/>
        <w:numPr>
          <w:ilvl w:val="12"/>
          <w:numId w:val="0"/>
        </w:numPr>
        <w:ind w:right="-2"/>
        <w:outlineLvl w:val="0"/>
        <w:rPr>
          <w:b/>
          <w:bCs/>
          <w:szCs w:val="22"/>
          <w:lang w:eastAsia="sl-SI"/>
        </w:rPr>
      </w:pPr>
      <w:proofErr w:type="spellStart"/>
      <w:r>
        <w:rPr>
          <w:b/>
          <w:bCs/>
          <w:szCs w:val="22"/>
          <w:lang w:eastAsia="sl-SI"/>
        </w:rPr>
        <w:t>Tolvecom</w:t>
      </w:r>
      <w:proofErr w:type="spellEnd"/>
      <w:r>
        <w:rPr>
          <w:b/>
          <w:bCs/>
          <w:szCs w:val="22"/>
          <w:lang w:eastAsia="sl-SI"/>
        </w:rPr>
        <w:t xml:space="preserve"> vartojimas su maistu ir alkoholiu</w:t>
      </w:r>
    </w:p>
    <w:p w14:paraId="584A6601" w14:textId="77777777" w:rsidR="00D25008" w:rsidRDefault="00FE2A61">
      <w:pPr>
        <w:widowControl w:val="0"/>
        <w:numPr>
          <w:ilvl w:val="12"/>
          <w:numId w:val="0"/>
        </w:numPr>
        <w:ind w:right="-2"/>
        <w:outlineLvl w:val="0"/>
        <w:rPr>
          <w:szCs w:val="22"/>
          <w:lang w:eastAsia="sl-SI"/>
        </w:rPr>
      </w:pPr>
      <w:proofErr w:type="spellStart"/>
      <w:r>
        <w:rPr>
          <w:szCs w:val="22"/>
          <w:lang w:eastAsia="sl-SI"/>
        </w:rPr>
        <w:t>Tolvecom</w:t>
      </w:r>
      <w:proofErr w:type="spellEnd"/>
      <w:r>
        <w:rPr>
          <w:szCs w:val="22"/>
          <w:lang w:eastAsia="sl-SI"/>
        </w:rPr>
        <w:t xml:space="preserve"> galima vartoti valgio metu arba nevalgius.</w:t>
      </w:r>
    </w:p>
    <w:p w14:paraId="393812C6" w14:textId="77777777" w:rsidR="00D25008" w:rsidRDefault="00FE2A61">
      <w:pPr>
        <w:widowControl w:val="0"/>
        <w:numPr>
          <w:ilvl w:val="12"/>
          <w:numId w:val="0"/>
        </w:numPr>
        <w:ind w:right="-2"/>
        <w:outlineLvl w:val="0"/>
        <w:rPr>
          <w:szCs w:val="22"/>
          <w:lang w:eastAsia="sl-SI"/>
        </w:rPr>
      </w:pPr>
      <w:r>
        <w:rPr>
          <w:szCs w:val="22"/>
          <w:lang w:eastAsia="sl-SI"/>
        </w:rPr>
        <w:t>Alkoholio nevartokite, kol nepasitarėte su savo gydytoju. Dėl alkoholio poveikio gali labiau sumažėti Jūsų kraujospūdis ir (arba) padidėti svaigulio ir apalpimo rizika.</w:t>
      </w:r>
    </w:p>
    <w:p w14:paraId="37350AAD" w14:textId="77777777" w:rsidR="00D25008" w:rsidRDefault="00D25008">
      <w:pPr>
        <w:widowControl w:val="0"/>
        <w:numPr>
          <w:ilvl w:val="12"/>
          <w:numId w:val="0"/>
        </w:numPr>
        <w:ind w:right="-2"/>
        <w:outlineLvl w:val="0"/>
        <w:rPr>
          <w:szCs w:val="22"/>
          <w:lang w:eastAsia="sl-SI"/>
        </w:rPr>
      </w:pPr>
    </w:p>
    <w:p w14:paraId="08E75309" w14:textId="77777777" w:rsidR="00D25008" w:rsidRDefault="00FE2A61">
      <w:pPr>
        <w:widowControl w:val="0"/>
        <w:numPr>
          <w:ilvl w:val="12"/>
          <w:numId w:val="0"/>
        </w:numPr>
        <w:ind w:right="-2"/>
        <w:outlineLvl w:val="0"/>
        <w:rPr>
          <w:szCs w:val="22"/>
          <w:lang w:eastAsia="sl-SI"/>
        </w:rPr>
      </w:pPr>
      <w:r>
        <w:rPr>
          <w:szCs w:val="22"/>
          <w:lang w:eastAsia="sl-SI"/>
        </w:rPr>
        <w:t xml:space="preserve">Vartojant </w:t>
      </w:r>
      <w:proofErr w:type="spellStart"/>
      <w:r>
        <w:rPr>
          <w:szCs w:val="22"/>
          <w:lang w:eastAsia="sl-SI"/>
        </w:rPr>
        <w:t>Tolvecom</w:t>
      </w:r>
      <w:proofErr w:type="spellEnd"/>
      <w:r>
        <w:rPr>
          <w:szCs w:val="22"/>
          <w:lang w:eastAsia="sl-SI"/>
        </w:rPr>
        <w:t xml:space="preserve"> negalima gerti greipfrutų sulčių ir valgyti greipfrutų, nes greipfrutai ir jų sultys gali padidinti veikliosios medžiagos </w:t>
      </w:r>
      <w:proofErr w:type="spellStart"/>
      <w:r>
        <w:rPr>
          <w:szCs w:val="22"/>
          <w:lang w:eastAsia="sl-SI"/>
        </w:rPr>
        <w:t>amlodipino</w:t>
      </w:r>
      <w:proofErr w:type="spellEnd"/>
      <w:r>
        <w:rPr>
          <w:szCs w:val="22"/>
          <w:lang w:eastAsia="sl-SI"/>
        </w:rPr>
        <w:t xml:space="preserve"> kiekį kraujyje; dėl to gali neprognozuojamai sustiprėti kraujospūdį mažinantis </w:t>
      </w:r>
      <w:proofErr w:type="spellStart"/>
      <w:r>
        <w:rPr>
          <w:szCs w:val="22"/>
          <w:lang w:eastAsia="sl-SI"/>
        </w:rPr>
        <w:t>Tolvecom</w:t>
      </w:r>
      <w:proofErr w:type="spellEnd"/>
      <w:r>
        <w:rPr>
          <w:szCs w:val="22"/>
          <w:lang w:eastAsia="sl-SI"/>
        </w:rPr>
        <w:t xml:space="preserve"> poveikis.</w:t>
      </w:r>
    </w:p>
    <w:p w14:paraId="2D693EFC" w14:textId="77777777" w:rsidR="00D25008" w:rsidRDefault="00D25008">
      <w:pPr>
        <w:widowControl w:val="0"/>
        <w:numPr>
          <w:ilvl w:val="12"/>
          <w:numId w:val="0"/>
        </w:numPr>
        <w:ind w:right="-2"/>
        <w:outlineLvl w:val="0"/>
        <w:rPr>
          <w:b/>
          <w:szCs w:val="22"/>
          <w:lang w:eastAsia="sl-SI"/>
        </w:rPr>
      </w:pPr>
    </w:p>
    <w:p w14:paraId="39A224A9" w14:textId="77777777" w:rsidR="00D25008" w:rsidRDefault="00FE2A61">
      <w:pPr>
        <w:widowControl w:val="0"/>
        <w:numPr>
          <w:ilvl w:val="12"/>
          <w:numId w:val="0"/>
        </w:numPr>
        <w:ind w:right="-2"/>
        <w:outlineLvl w:val="0"/>
        <w:rPr>
          <w:b/>
          <w:szCs w:val="22"/>
          <w:lang w:eastAsia="sl-SI"/>
        </w:rPr>
      </w:pPr>
      <w:r>
        <w:rPr>
          <w:b/>
          <w:szCs w:val="22"/>
          <w:lang w:eastAsia="sl-SI"/>
        </w:rPr>
        <w:t>Nėštumas ir žindymo laikotarpis</w:t>
      </w:r>
    </w:p>
    <w:p w14:paraId="1C653C71" w14:textId="77777777" w:rsidR="00D25008" w:rsidRDefault="00FE2A61">
      <w:pPr>
        <w:autoSpaceDE w:val="0"/>
        <w:autoSpaceDN w:val="0"/>
        <w:adjustRightInd w:val="0"/>
        <w:rPr>
          <w:szCs w:val="22"/>
          <w:u w:val="single"/>
          <w:lang w:eastAsia="sl-SI"/>
        </w:rPr>
      </w:pPr>
      <w:r>
        <w:rPr>
          <w:szCs w:val="22"/>
          <w:u w:val="single"/>
          <w:lang w:eastAsia="sl-SI"/>
        </w:rPr>
        <w:t>Nėštumas</w:t>
      </w:r>
    </w:p>
    <w:p w14:paraId="72CC74BE" w14:textId="77777777" w:rsidR="00D25008" w:rsidRDefault="00FE2A61">
      <w:pPr>
        <w:autoSpaceDE w:val="0"/>
        <w:autoSpaceDN w:val="0"/>
        <w:adjustRightInd w:val="0"/>
        <w:jc w:val="both"/>
        <w:rPr>
          <w:szCs w:val="22"/>
          <w:lang w:eastAsia="sl-SI"/>
        </w:rPr>
      </w:pPr>
      <w:r>
        <w:rPr>
          <w:szCs w:val="22"/>
          <w:lang w:eastAsia="sl-SI"/>
        </w:rPr>
        <w:t>Jeigu manote, kad esate (</w:t>
      </w:r>
      <w:r>
        <w:rPr>
          <w:szCs w:val="22"/>
          <w:u w:val="single"/>
          <w:lang w:eastAsia="sl-SI"/>
        </w:rPr>
        <w:t>arba galite tapti</w:t>
      </w:r>
      <w:r>
        <w:rPr>
          <w:szCs w:val="22"/>
          <w:lang w:eastAsia="sl-SI"/>
        </w:rPr>
        <w:t xml:space="preserve">) nėščia, turite pasakyti gydytojui. Jūsų gydytojas paprastai Jums patars </w:t>
      </w:r>
      <w:proofErr w:type="spellStart"/>
      <w:r>
        <w:rPr>
          <w:szCs w:val="22"/>
          <w:lang w:eastAsia="sl-SI"/>
        </w:rPr>
        <w:t>Tolvecom</w:t>
      </w:r>
      <w:proofErr w:type="spellEnd"/>
      <w:r>
        <w:rPr>
          <w:szCs w:val="22"/>
          <w:lang w:eastAsia="sl-SI"/>
        </w:rPr>
        <w:t xml:space="preserve"> vartojimą nutraukti prieš pastojimą arba tuoj pat, kai tik sužinosite, kad tapote nėščia, ir patars vietoj </w:t>
      </w:r>
      <w:proofErr w:type="spellStart"/>
      <w:r>
        <w:rPr>
          <w:szCs w:val="22"/>
          <w:lang w:eastAsia="sl-SI"/>
        </w:rPr>
        <w:t>Tolvecom</w:t>
      </w:r>
      <w:proofErr w:type="spellEnd"/>
      <w:r>
        <w:rPr>
          <w:szCs w:val="22"/>
          <w:lang w:eastAsia="sl-SI"/>
        </w:rPr>
        <w:t xml:space="preserve"> vartoti kitokio vaisto. Nėštumo laikotarpiu </w:t>
      </w:r>
      <w:proofErr w:type="spellStart"/>
      <w:r>
        <w:rPr>
          <w:szCs w:val="22"/>
          <w:lang w:eastAsia="sl-SI"/>
        </w:rPr>
        <w:t>Tolvecom</w:t>
      </w:r>
      <w:proofErr w:type="spellEnd"/>
      <w:r>
        <w:rPr>
          <w:szCs w:val="22"/>
          <w:lang w:eastAsia="sl-SI"/>
        </w:rPr>
        <w:t xml:space="preserve"> vartoti nerekomenduojama. Jeigu nėščia esate ilgiau negu tris mėnesius, </w:t>
      </w:r>
      <w:proofErr w:type="spellStart"/>
      <w:r>
        <w:rPr>
          <w:szCs w:val="22"/>
          <w:lang w:eastAsia="sl-SI"/>
        </w:rPr>
        <w:t>Tolvecom</w:t>
      </w:r>
      <w:proofErr w:type="spellEnd"/>
      <w:r>
        <w:rPr>
          <w:szCs w:val="22"/>
          <w:lang w:eastAsia="sl-SI"/>
        </w:rPr>
        <w:t xml:space="preserve"> vartoti draudžiama, nes vartojamas po trečio nėštumo mėnesio šis vaistas gali sukelti sunkią žalą Jūsų vaikui.</w:t>
      </w:r>
    </w:p>
    <w:p w14:paraId="28A797FC" w14:textId="77777777" w:rsidR="00D25008" w:rsidRDefault="00D25008">
      <w:pPr>
        <w:autoSpaceDE w:val="0"/>
        <w:autoSpaceDN w:val="0"/>
        <w:adjustRightInd w:val="0"/>
        <w:rPr>
          <w:szCs w:val="22"/>
          <w:lang w:eastAsia="sl-SI"/>
        </w:rPr>
      </w:pPr>
    </w:p>
    <w:p w14:paraId="407E54DF" w14:textId="77777777" w:rsidR="00D25008" w:rsidRDefault="00FE2A61">
      <w:pPr>
        <w:autoSpaceDE w:val="0"/>
        <w:autoSpaceDN w:val="0"/>
        <w:adjustRightInd w:val="0"/>
        <w:rPr>
          <w:szCs w:val="22"/>
          <w:u w:val="single"/>
          <w:lang w:eastAsia="sl-SI"/>
        </w:rPr>
      </w:pPr>
      <w:r>
        <w:rPr>
          <w:szCs w:val="22"/>
          <w:u w:val="single"/>
          <w:lang w:eastAsia="sl-SI"/>
        </w:rPr>
        <w:t>Žindymo laikotarpis</w:t>
      </w:r>
    </w:p>
    <w:p w14:paraId="498ABCF0" w14:textId="77777777" w:rsidR="00D25008" w:rsidRDefault="00FE2A61">
      <w:pPr>
        <w:autoSpaceDE w:val="0"/>
        <w:autoSpaceDN w:val="0"/>
        <w:adjustRightInd w:val="0"/>
        <w:rPr>
          <w:szCs w:val="22"/>
          <w:lang w:eastAsia="sl-SI"/>
        </w:rPr>
      </w:pPr>
      <w:r>
        <w:rPr>
          <w:szCs w:val="22"/>
          <w:lang w:eastAsia="sl-SI"/>
        </w:rPr>
        <w:t xml:space="preserve">Pasakykite gydytojui, jei žindote kūdikį ar planuojate pradėti žindyti. </w:t>
      </w:r>
      <w:proofErr w:type="spellStart"/>
      <w:r>
        <w:rPr>
          <w:szCs w:val="22"/>
          <w:lang w:eastAsia="sl-SI"/>
        </w:rPr>
        <w:t>Tolvecom</w:t>
      </w:r>
      <w:proofErr w:type="spellEnd"/>
      <w:r>
        <w:rPr>
          <w:szCs w:val="22"/>
          <w:lang w:eastAsia="sl-SI"/>
        </w:rPr>
        <w:t xml:space="preserve"> nerekomenduojama vartoti krūtimi maitinančioms moterims ir, jei Jūs norite žindyti kūdikį, gydytojas gali paskirti kitą vaistą. Nustatyta, kad nedidelis kiekis </w:t>
      </w:r>
      <w:proofErr w:type="spellStart"/>
      <w:r>
        <w:rPr>
          <w:szCs w:val="22"/>
          <w:lang w:eastAsia="sl-SI"/>
        </w:rPr>
        <w:t>amlodipino</w:t>
      </w:r>
      <w:proofErr w:type="spellEnd"/>
      <w:r>
        <w:rPr>
          <w:szCs w:val="22"/>
          <w:lang w:eastAsia="sl-SI"/>
        </w:rPr>
        <w:t xml:space="preserve"> patenka į motinos pieną.</w:t>
      </w:r>
    </w:p>
    <w:p w14:paraId="6A7F196D" w14:textId="77777777" w:rsidR="00D25008" w:rsidRDefault="00D25008">
      <w:pPr>
        <w:widowControl w:val="0"/>
        <w:numPr>
          <w:ilvl w:val="12"/>
          <w:numId w:val="0"/>
        </w:numPr>
        <w:ind w:right="-2"/>
        <w:outlineLvl w:val="0"/>
        <w:rPr>
          <w:b/>
          <w:szCs w:val="22"/>
          <w:lang w:eastAsia="sl-SI"/>
        </w:rPr>
      </w:pPr>
    </w:p>
    <w:p w14:paraId="28FF6D6D" w14:textId="77777777" w:rsidR="00D25008" w:rsidRDefault="00FE2A61">
      <w:pPr>
        <w:widowControl w:val="0"/>
        <w:numPr>
          <w:ilvl w:val="12"/>
          <w:numId w:val="0"/>
        </w:numPr>
        <w:ind w:right="-2"/>
        <w:outlineLvl w:val="0"/>
        <w:rPr>
          <w:b/>
          <w:szCs w:val="22"/>
          <w:lang w:eastAsia="sl-SI"/>
        </w:rPr>
      </w:pPr>
      <w:r>
        <w:rPr>
          <w:b/>
          <w:szCs w:val="22"/>
          <w:lang w:eastAsia="sl-SI"/>
        </w:rPr>
        <w:t>Vairavimas ir mechanizmų valdymas</w:t>
      </w:r>
    </w:p>
    <w:p w14:paraId="6A15A79E" w14:textId="77777777" w:rsidR="00D25008" w:rsidRDefault="00FE2A61">
      <w:pPr>
        <w:autoSpaceDE w:val="0"/>
        <w:autoSpaceDN w:val="0"/>
        <w:adjustRightInd w:val="0"/>
        <w:rPr>
          <w:szCs w:val="22"/>
          <w:lang w:eastAsia="sl-SI"/>
        </w:rPr>
      </w:pPr>
      <w:proofErr w:type="spellStart"/>
      <w:r>
        <w:rPr>
          <w:szCs w:val="22"/>
          <w:lang w:eastAsia="sl-SI"/>
        </w:rPr>
        <w:t>Tolvecom</w:t>
      </w:r>
      <w:proofErr w:type="spellEnd"/>
      <w:r>
        <w:rPr>
          <w:szCs w:val="22"/>
          <w:lang w:eastAsia="sl-SI"/>
        </w:rPr>
        <w:t xml:space="preserve"> gali veikti Jūsų gebėjimą vairuoti ir valdyti mechanizmus. Jei vartojant tablečių Jus pykina, svaigsta galva, jaučiate nuovargį arba pradeda skaudėti galvą, nevairuokite ir nevaldykite mechanizmų bei nedelsdami kreipkitės į gydytoją.</w:t>
      </w:r>
    </w:p>
    <w:p w14:paraId="5BCC3B01" w14:textId="77777777" w:rsidR="00D25008" w:rsidRDefault="00D25008">
      <w:pPr>
        <w:autoSpaceDE w:val="0"/>
        <w:autoSpaceDN w:val="0"/>
        <w:adjustRightInd w:val="0"/>
        <w:rPr>
          <w:szCs w:val="22"/>
          <w:lang w:eastAsia="sl-SI"/>
        </w:rPr>
      </w:pPr>
    </w:p>
    <w:p w14:paraId="450070B3" w14:textId="77777777" w:rsidR="00D25008" w:rsidRDefault="00FE2A61">
      <w:pPr>
        <w:autoSpaceDE w:val="0"/>
        <w:autoSpaceDN w:val="0"/>
        <w:adjustRightInd w:val="0"/>
        <w:rPr>
          <w:b/>
          <w:szCs w:val="22"/>
        </w:rPr>
      </w:pPr>
      <w:proofErr w:type="spellStart"/>
      <w:r>
        <w:rPr>
          <w:b/>
          <w:szCs w:val="22"/>
        </w:rPr>
        <w:t>Tolvecom</w:t>
      </w:r>
      <w:proofErr w:type="spellEnd"/>
      <w:r>
        <w:rPr>
          <w:b/>
          <w:szCs w:val="22"/>
        </w:rPr>
        <w:t xml:space="preserve"> sudėtyje yra laktozės ir natrio</w:t>
      </w:r>
    </w:p>
    <w:p w14:paraId="3CF06CFA" w14:textId="77777777" w:rsidR="00D25008" w:rsidRDefault="00FE2A61">
      <w:pPr>
        <w:autoSpaceDE w:val="0"/>
        <w:autoSpaceDN w:val="0"/>
        <w:adjustRightInd w:val="0"/>
        <w:rPr>
          <w:szCs w:val="22"/>
          <w:lang w:eastAsia="sl-SI"/>
        </w:rPr>
      </w:pPr>
      <w:r>
        <w:rPr>
          <w:szCs w:val="22"/>
          <w:lang w:eastAsia="sl-SI"/>
        </w:rPr>
        <w:t>Šio vaisto sudėtyje yra laktozės. Jeigu gydytojas Jums yra sakęs, kad netoleruojate kokių nors angliavandenių, kreipkitės į jį prieš pradėdami vartoti šį vaistą.</w:t>
      </w:r>
    </w:p>
    <w:p w14:paraId="6E918683" w14:textId="77777777" w:rsidR="00D25008" w:rsidRDefault="00FE2A61">
      <w:pPr>
        <w:autoSpaceDE w:val="0"/>
        <w:autoSpaceDN w:val="0"/>
        <w:adjustRightInd w:val="0"/>
        <w:rPr>
          <w:sz w:val="24"/>
          <w:szCs w:val="22"/>
          <w:lang w:eastAsia="sl-SI"/>
        </w:rPr>
      </w:pPr>
      <w:r>
        <w:rPr>
          <w:szCs w:val="22"/>
          <w:lang w:eastAsia="sl-SI"/>
        </w:rPr>
        <w:t>Šio vaisto tabletėje yra mažiau kaip 1 </w:t>
      </w:r>
      <w:proofErr w:type="spellStart"/>
      <w:r>
        <w:rPr>
          <w:szCs w:val="22"/>
          <w:lang w:eastAsia="sl-SI"/>
        </w:rPr>
        <w:t>mmol</w:t>
      </w:r>
      <w:proofErr w:type="spellEnd"/>
      <w:r>
        <w:rPr>
          <w:szCs w:val="22"/>
          <w:lang w:eastAsia="sl-SI"/>
        </w:rPr>
        <w:t xml:space="preserve"> (23 mg) natrio, t. y. jis beveik neturi reikšmės.</w:t>
      </w:r>
    </w:p>
    <w:p w14:paraId="5FE24BAB" w14:textId="77777777" w:rsidR="00D25008" w:rsidRDefault="00D25008">
      <w:pPr>
        <w:autoSpaceDE w:val="0"/>
        <w:autoSpaceDN w:val="0"/>
        <w:adjustRightInd w:val="0"/>
        <w:rPr>
          <w:szCs w:val="22"/>
          <w:lang w:eastAsia="sl-SI"/>
        </w:rPr>
      </w:pPr>
    </w:p>
    <w:p w14:paraId="077DD789" w14:textId="77777777" w:rsidR="00D25008" w:rsidRDefault="00D25008">
      <w:pPr>
        <w:widowControl w:val="0"/>
        <w:numPr>
          <w:ilvl w:val="12"/>
          <w:numId w:val="0"/>
        </w:numPr>
        <w:tabs>
          <w:tab w:val="left" w:pos="6045"/>
        </w:tabs>
        <w:ind w:right="-2"/>
        <w:rPr>
          <w:szCs w:val="22"/>
          <w:lang w:eastAsia="sl-SI"/>
        </w:rPr>
      </w:pPr>
    </w:p>
    <w:p w14:paraId="01C25247" w14:textId="77777777" w:rsidR="00D25008" w:rsidRDefault="00FE2A61">
      <w:pPr>
        <w:widowControl w:val="0"/>
        <w:tabs>
          <w:tab w:val="left" w:pos="567"/>
        </w:tabs>
        <w:rPr>
          <w:b/>
          <w:szCs w:val="22"/>
          <w:lang w:eastAsia="sl-SI"/>
        </w:rPr>
      </w:pPr>
      <w:r>
        <w:rPr>
          <w:b/>
          <w:szCs w:val="22"/>
          <w:lang w:eastAsia="sl-SI"/>
        </w:rPr>
        <w:t>3.</w:t>
      </w:r>
      <w:r>
        <w:rPr>
          <w:b/>
          <w:szCs w:val="22"/>
          <w:lang w:eastAsia="sl-SI"/>
        </w:rPr>
        <w:tab/>
        <w:t xml:space="preserve">Kaip vartoti </w:t>
      </w:r>
      <w:proofErr w:type="spellStart"/>
      <w:r>
        <w:rPr>
          <w:b/>
          <w:szCs w:val="22"/>
          <w:lang w:eastAsia="sl-SI"/>
        </w:rPr>
        <w:t>Tolvecom</w:t>
      </w:r>
      <w:proofErr w:type="spellEnd"/>
    </w:p>
    <w:p w14:paraId="16DB276A" w14:textId="77777777" w:rsidR="00D25008" w:rsidRDefault="00D25008">
      <w:pPr>
        <w:widowControl w:val="0"/>
        <w:ind w:right="-2"/>
        <w:rPr>
          <w:szCs w:val="22"/>
          <w:lang w:eastAsia="sl-SI"/>
        </w:rPr>
      </w:pPr>
    </w:p>
    <w:p w14:paraId="7083DB22" w14:textId="77777777" w:rsidR="00D25008" w:rsidRDefault="00FE2A61">
      <w:pPr>
        <w:autoSpaceDE w:val="0"/>
        <w:autoSpaceDN w:val="0"/>
        <w:adjustRightInd w:val="0"/>
        <w:rPr>
          <w:szCs w:val="22"/>
          <w:lang w:eastAsia="sl-SI"/>
        </w:rPr>
      </w:pPr>
      <w:r>
        <w:rPr>
          <w:szCs w:val="22"/>
          <w:lang w:eastAsia="sl-SI"/>
        </w:rPr>
        <w:lastRenderedPageBreak/>
        <w:t>Visada vartokite šį vaistą tiksliai, kaip nurodė gydytojas. Jeigu abejojate, kreipkitės į gydytoją arba vaistininką.</w:t>
      </w:r>
    </w:p>
    <w:p w14:paraId="0D7A9F17" w14:textId="77777777" w:rsidR="00D25008" w:rsidRDefault="00D25008">
      <w:pPr>
        <w:autoSpaceDE w:val="0"/>
        <w:autoSpaceDN w:val="0"/>
        <w:adjustRightInd w:val="0"/>
        <w:rPr>
          <w:szCs w:val="22"/>
          <w:lang w:eastAsia="sl-SI"/>
        </w:rPr>
      </w:pPr>
    </w:p>
    <w:p w14:paraId="3435F306" w14:textId="77777777" w:rsidR="00D25008" w:rsidRDefault="00FE2A61">
      <w:pPr>
        <w:autoSpaceDE w:val="0"/>
        <w:autoSpaceDN w:val="0"/>
        <w:adjustRightInd w:val="0"/>
        <w:rPr>
          <w:szCs w:val="22"/>
          <w:lang w:eastAsia="sl-SI"/>
        </w:rPr>
      </w:pPr>
      <w:r>
        <w:rPr>
          <w:szCs w:val="22"/>
          <w:lang w:eastAsia="sl-SI"/>
        </w:rPr>
        <w:t xml:space="preserve">Rekomenduojama </w:t>
      </w:r>
      <w:proofErr w:type="spellStart"/>
      <w:r>
        <w:rPr>
          <w:szCs w:val="22"/>
          <w:lang w:eastAsia="sl-SI"/>
        </w:rPr>
        <w:t>Tolvecom</w:t>
      </w:r>
      <w:proofErr w:type="spellEnd"/>
      <w:r>
        <w:rPr>
          <w:szCs w:val="22"/>
          <w:lang w:eastAsia="sl-SI"/>
        </w:rPr>
        <w:t xml:space="preserve"> paros dozė yra viena tabletė. Stenkitės tabletę kasdien gerti tokiu pačiu laiku.</w:t>
      </w:r>
    </w:p>
    <w:p w14:paraId="14B8F377" w14:textId="77777777" w:rsidR="00D25008" w:rsidRDefault="00D25008">
      <w:pPr>
        <w:autoSpaceDE w:val="0"/>
        <w:autoSpaceDN w:val="0"/>
        <w:adjustRightInd w:val="0"/>
        <w:rPr>
          <w:szCs w:val="22"/>
          <w:lang w:eastAsia="sl-SI"/>
        </w:rPr>
      </w:pPr>
    </w:p>
    <w:p w14:paraId="1660DE3F" w14:textId="77777777" w:rsidR="00D25008" w:rsidRDefault="00FE2A61">
      <w:pPr>
        <w:widowControl w:val="0"/>
        <w:numPr>
          <w:ilvl w:val="12"/>
          <w:numId w:val="0"/>
        </w:numPr>
        <w:ind w:right="-2"/>
        <w:rPr>
          <w:szCs w:val="22"/>
          <w:lang w:eastAsia="sl-SI"/>
        </w:rPr>
      </w:pPr>
      <w:proofErr w:type="spellStart"/>
      <w:r>
        <w:rPr>
          <w:szCs w:val="22"/>
          <w:lang w:eastAsia="sl-SI"/>
        </w:rPr>
        <w:t>Tolvecom</w:t>
      </w:r>
      <w:proofErr w:type="spellEnd"/>
      <w:r>
        <w:rPr>
          <w:szCs w:val="22"/>
          <w:lang w:eastAsia="sl-SI"/>
        </w:rPr>
        <w:t xml:space="preserve"> galite vartoti prieš valgį arba po jo. Tabletes reikia nuryti užsigeriant vandeniu ar kitu nealkoholiniu gėrimu. Svarbu, kad </w:t>
      </w:r>
      <w:proofErr w:type="spellStart"/>
      <w:r>
        <w:rPr>
          <w:szCs w:val="22"/>
          <w:lang w:eastAsia="sl-SI"/>
        </w:rPr>
        <w:t>Tolvecom</w:t>
      </w:r>
      <w:proofErr w:type="spellEnd"/>
      <w:r>
        <w:rPr>
          <w:szCs w:val="22"/>
          <w:lang w:eastAsia="sl-SI"/>
        </w:rPr>
        <w:t xml:space="preserve"> vartotumėte kiekvieną dieną, kol gydytojas nepasakys kitaip. Nevartokite </w:t>
      </w:r>
      <w:proofErr w:type="spellStart"/>
      <w:r>
        <w:rPr>
          <w:szCs w:val="22"/>
          <w:lang w:eastAsia="sl-SI"/>
        </w:rPr>
        <w:t>Tolvecom</w:t>
      </w:r>
      <w:proofErr w:type="spellEnd"/>
      <w:r>
        <w:rPr>
          <w:szCs w:val="22"/>
          <w:lang w:eastAsia="sl-SI"/>
        </w:rPr>
        <w:t xml:space="preserve"> su greipfrutų sultimis.</w:t>
      </w:r>
    </w:p>
    <w:p w14:paraId="1D3ACB57" w14:textId="77777777" w:rsidR="00D25008" w:rsidRDefault="00D25008">
      <w:pPr>
        <w:widowControl w:val="0"/>
        <w:numPr>
          <w:ilvl w:val="12"/>
          <w:numId w:val="0"/>
        </w:numPr>
        <w:ind w:right="-2"/>
        <w:rPr>
          <w:b/>
          <w:bCs/>
          <w:szCs w:val="22"/>
          <w:lang w:eastAsia="sl-SI"/>
        </w:rPr>
      </w:pPr>
    </w:p>
    <w:p w14:paraId="739781C6" w14:textId="77777777" w:rsidR="00D25008" w:rsidRDefault="00FE2A61">
      <w:pPr>
        <w:autoSpaceDE w:val="0"/>
        <w:autoSpaceDN w:val="0"/>
        <w:adjustRightInd w:val="0"/>
        <w:rPr>
          <w:b/>
          <w:szCs w:val="22"/>
          <w:lang w:eastAsia="sl-SI"/>
        </w:rPr>
      </w:pPr>
      <w:r>
        <w:rPr>
          <w:b/>
          <w:szCs w:val="22"/>
          <w:lang w:eastAsia="sl-SI"/>
        </w:rPr>
        <w:t xml:space="preserve">Ką daryti pavartojus per didelę </w:t>
      </w:r>
      <w:proofErr w:type="spellStart"/>
      <w:r>
        <w:rPr>
          <w:b/>
          <w:szCs w:val="22"/>
          <w:lang w:eastAsia="sl-SI"/>
        </w:rPr>
        <w:t>Tolvecom</w:t>
      </w:r>
      <w:proofErr w:type="spellEnd"/>
      <w:r>
        <w:rPr>
          <w:b/>
          <w:szCs w:val="22"/>
          <w:lang w:eastAsia="sl-SI"/>
        </w:rPr>
        <w:t xml:space="preserve"> dozę</w:t>
      </w:r>
    </w:p>
    <w:p w14:paraId="165A797A" w14:textId="77777777" w:rsidR="00D25008" w:rsidRDefault="00FE2A61">
      <w:pPr>
        <w:rPr>
          <w:szCs w:val="22"/>
          <w:lang w:eastAsia="sl-SI"/>
        </w:rPr>
      </w:pPr>
      <w:r>
        <w:rPr>
          <w:szCs w:val="22"/>
          <w:lang w:eastAsia="sl-SI"/>
        </w:rPr>
        <w:t xml:space="preserve">Jeigu atsitiktinai išgersite per daug tablečių, Jums gali atsirasti tokių simptomų kaip mažas kraujospūdis ir dažnas širdies plakimas. Buvo pranešta ir apie reto širdies plakimo, svaigulio, vėmimo, inkstų funkcijos susilpnėjimo, įskaitant inkstų nepakankamumą, atvejus. Labai sumažėjus kraujospūdžiui, gali ištikti šokas. Jei kraujospūdis sumažėja pakankamai smarkiai, gali ištikti šokas. Jūsų oda gali būti vėsi ir drėgna, galite prarasti sąmonę. Jei išgėrėte per daug </w:t>
      </w:r>
      <w:proofErr w:type="spellStart"/>
      <w:r>
        <w:rPr>
          <w:szCs w:val="22"/>
          <w:lang w:eastAsia="sl-SI"/>
        </w:rPr>
        <w:t>Tolvecom</w:t>
      </w:r>
      <w:proofErr w:type="spellEnd"/>
      <w:r>
        <w:rPr>
          <w:szCs w:val="22"/>
          <w:lang w:eastAsia="sl-SI"/>
        </w:rPr>
        <w:t xml:space="preserve"> tablečių, nedelsdami kreipkitės į medikus.</w:t>
      </w:r>
    </w:p>
    <w:p w14:paraId="27F2EA34" w14:textId="77777777" w:rsidR="00D25008" w:rsidRDefault="00D25008">
      <w:pPr>
        <w:rPr>
          <w:szCs w:val="22"/>
          <w:lang w:eastAsia="sl-SI"/>
        </w:rPr>
      </w:pPr>
    </w:p>
    <w:p w14:paraId="2D0F9F2A" w14:textId="77777777" w:rsidR="00D25008" w:rsidRDefault="00FE2A61">
      <w:pPr>
        <w:autoSpaceDE w:val="0"/>
        <w:autoSpaceDN w:val="0"/>
        <w:adjustRightInd w:val="0"/>
        <w:rPr>
          <w:szCs w:val="22"/>
          <w:lang w:eastAsia="sl-SI"/>
        </w:rPr>
      </w:pPr>
      <w:r>
        <w:rPr>
          <w:szCs w:val="22"/>
          <w:lang w:eastAsia="sl-SI"/>
        </w:rPr>
        <w:t xml:space="preserve">Dėl sudėtyje esančio </w:t>
      </w:r>
      <w:proofErr w:type="spellStart"/>
      <w:r>
        <w:rPr>
          <w:szCs w:val="22"/>
          <w:lang w:eastAsia="sl-SI"/>
        </w:rPr>
        <w:t>hidrochlorotiazido</w:t>
      </w:r>
      <w:proofErr w:type="spellEnd"/>
      <w:r>
        <w:rPr>
          <w:szCs w:val="22"/>
          <w:lang w:eastAsia="sl-SI"/>
        </w:rPr>
        <w:t xml:space="preserve"> taip pat gali labai sumažėti kraujospūdis ir sumažėti kalio kiekis kraujyje, todėl gali atsirasti pykinimas, mieguistumas bei raumenų mėšlungis ir (arba) neritmiškas širdies plakimas, susijęs su kartu vartojamais vaistais, tokiais kaip rusmenės glikozidai ar tam tikri </w:t>
      </w:r>
      <w:proofErr w:type="spellStart"/>
      <w:r>
        <w:rPr>
          <w:szCs w:val="22"/>
          <w:lang w:eastAsia="sl-SI"/>
        </w:rPr>
        <w:t>antiaritminiai</w:t>
      </w:r>
      <w:proofErr w:type="spellEnd"/>
      <w:r>
        <w:rPr>
          <w:szCs w:val="22"/>
          <w:lang w:eastAsia="sl-SI"/>
        </w:rPr>
        <w:t xml:space="preserve"> vaistai. Nedelsdami kreipkitės į gydytoją, vaistininką arba artimiausios ligoninės skubios pagalbos skyrių.</w:t>
      </w:r>
    </w:p>
    <w:p w14:paraId="4B59D2AB" w14:textId="77777777" w:rsidR="00D25008" w:rsidRDefault="00D25008">
      <w:pPr>
        <w:autoSpaceDE w:val="0"/>
        <w:autoSpaceDN w:val="0"/>
        <w:adjustRightInd w:val="0"/>
        <w:rPr>
          <w:szCs w:val="22"/>
          <w:lang w:eastAsia="sl-SI"/>
        </w:rPr>
      </w:pPr>
    </w:p>
    <w:p w14:paraId="4FF3BDBE" w14:textId="77777777" w:rsidR="00D25008" w:rsidRDefault="00FE2A61">
      <w:pPr>
        <w:autoSpaceDE w:val="0"/>
        <w:autoSpaceDN w:val="0"/>
        <w:adjustRightInd w:val="0"/>
        <w:rPr>
          <w:szCs w:val="22"/>
          <w:lang w:eastAsia="sl-SI"/>
        </w:rPr>
      </w:pPr>
      <w:r>
        <w:rPr>
          <w:szCs w:val="22"/>
          <w:lang w:eastAsia="sl-SI"/>
        </w:rPr>
        <w:t>Jūsų plaučiuose gali susikaupti skysčio perteklius (plaučių edema), sukeliantis dusulį, kuris gali pasireikšti per 24</w:t>
      </w:r>
      <w:r>
        <w:rPr>
          <w:szCs w:val="22"/>
          <w:lang w:eastAsia="sl-SI"/>
        </w:rPr>
        <w:noBreakHyphen/>
        <w:t>48 valandas po vartojimo.</w:t>
      </w:r>
    </w:p>
    <w:p w14:paraId="54C2F0C6" w14:textId="77777777" w:rsidR="00D25008" w:rsidRDefault="00D25008">
      <w:pPr>
        <w:autoSpaceDE w:val="0"/>
        <w:autoSpaceDN w:val="0"/>
        <w:adjustRightInd w:val="0"/>
        <w:rPr>
          <w:szCs w:val="22"/>
          <w:lang w:eastAsia="sl-SI"/>
        </w:rPr>
      </w:pPr>
    </w:p>
    <w:p w14:paraId="559BB219" w14:textId="77777777" w:rsidR="00D25008" w:rsidRDefault="00FE2A61">
      <w:pPr>
        <w:autoSpaceDE w:val="0"/>
        <w:autoSpaceDN w:val="0"/>
        <w:adjustRightInd w:val="0"/>
        <w:rPr>
          <w:b/>
          <w:szCs w:val="22"/>
          <w:lang w:eastAsia="sl-SI"/>
        </w:rPr>
      </w:pPr>
      <w:r>
        <w:rPr>
          <w:b/>
          <w:szCs w:val="22"/>
          <w:lang w:eastAsia="sl-SI"/>
        </w:rPr>
        <w:t xml:space="preserve">Pamiršus pavartoti </w:t>
      </w:r>
      <w:proofErr w:type="spellStart"/>
      <w:r>
        <w:rPr>
          <w:b/>
          <w:szCs w:val="22"/>
          <w:lang w:eastAsia="sl-SI"/>
        </w:rPr>
        <w:t>Tolvecom</w:t>
      </w:r>
      <w:proofErr w:type="spellEnd"/>
    </w:p>
    <w:p w14:paraId="510C3E93" w14:textId="77777777" w:rsidR="00D25008" w:rsidRDefault="00FE2A61">
      <w:pPr>
        <w:autoSpaceDE w:val="0"/>
        <w:autoSpaceDN w:val="0"/>
        <w:adjustRightInd w:val="0"/>
        <w:rPr>
          <w:szCs w:val="22"/>
          <w:lang w:eastAsia="sl-SI"/>
        </w:rPr>
      </w:pPr>
      <w:r>
        <w:rPr>
          <w:szCs w:val="18"/>
          <w:lang w:val="sl-SI" w:eastAsia="sl-SI"/>
        </w:rPr>
        <w:t xml:space="preserve">Pamiršus išgerti dozę, nerimauti nereikia. Pamirštą tabletę gerkite tuoj pat, kai tik prisiminsite, o toliau vaisto vartokite įprastai. Jeigu tabletės neišgersite visą parą, kitą dieną gerkite įprastinę dozę. </w:t>
      </w:r>
      <w:r>
        <w:rPr>
          <w:b/>
          <w:bCs/>
          <w:i/>
          <w:iCs/>
          <w:szCs w:val="18"/>
          <w:lang w:val="sl-SI" w:eastAsia="sl-SI"/>
        </w:rPr>
        <w:t>Negalima</w:t>
      </w:r>
      <w:r>
        <w:rPr>
          <w:szCs w:val="18"/>
          <w:lang w:val="sl-SI" w:eastAsia="sl-SI"/>
        </w:rPr>
        <w:t xml:space="preserve"> vartoti dvigubos dozės norint kompensuoti praleistą dozę.</w:t>
      </w:r>
    </w:p>
    <w:p w14:paraId="5DC970E8" w14:textId="77777777" w:rsidR="00D25008" w:rsidRDefault="00D25008">
      <w:pPr>
        <w:autoSpaceDE w:val="0"/>
        <w:autoSpaceDN w:val="0"/>
        <w:adjustRightInd w:val="0"/>
        <w:rPr>
          <w:szCs w:val="22"/>
          <w:lang w:eastAsia="sl-SI"/>
        </w:rPr>
      </w:pPr>
    </w:p>
    <w:p w14:paraId="13FD5684" w14:textId="77777777" w:rsidR="00D25008" w:rsidRDefault="00FE2A61">
      <w:pPr>
        <w:autoSpaceDE w:val="0"/>
        <w:autoSpaceDN w:val="0"/>
        <w:adjustRightInd w:val="0"/>
        <w:rPr>
          <w:b/>
          <w:szCs w:val="22"/>
          <w:lang w:eastAsia="sl-SI"/>
        </w:rPr>
      </w:pPr>
      <w:r>
        <w:rPr>
          <w:b/>
          <w:szCs w:val="22"/>
          <w:lang w:eastAsia="sl-SI"/>
        </w:rPr>
        <w:t xml:space="preserve">Nustojus vartoti </w:t>
      </w:r>
      <w:proofErr w:type="spellStart"/>
      <w:r>
        <w:rPr>
          <w:b/>
          <w:szCs w:val="22"/>
          <w:lang w:eastAsia="sl-SI"/>
        </w:rPr>
        <w:t>Tolvecom</w:t>
      </w:r>
      <w:proofErr w:type="spellEnd"/>
    </w:p>
    <w:p w14:paraId="78ECBE72" w14:textId="77777777" w:rsidR="00D25008" w:rsidRDefault="00FE2A61">
      <w:pPr>
        <w:autoSpaceDE w:val="0"/>
        <w:autoSpaceDN w:val="0"/>
        <w:adjustRightInd w:val="0"/>
        <w:rPr>
          <w:szCs w:val="22"/>
          <w:lang w:eastAsia="sl-SI"/>
        </w:rPr>
      </w:pPr>
      <w:r>
        <w:rPr>
          <w:szCs w:val="22"/>
          <w:lang w:eastAsia="sl-SI"/>
        </w:rPr>
        <w:t>Gydytojas patars, kiek laiko vartoti vaistą. Jei nustosite vartoti vaistą anksčiau, nei Jums buvo patarta, Jūsų būklė gali atsinaujinti.</w:t>
      </w:r>
    </w:p>
    <w:p w14:paraId="2D5319F8" w14:textId="77777777" w:rsidR="00D25008" w:rsidRDefault="00D25008">
      <w:pPr>
        <w:autoSpaceDE w:val="0"/>
        <w:autoSpaceDN w:val="0"/>
        <w:adjustRightInd w:val="0"/>
        <w:rPr>
          <w:szCs w:val="22"/>
          <w:lang w:eastAsia="sl-SI"/>
        </w:rPr>
      </w:pPr>
    </w:p>
    <w:p w14:paraId="681810FD" w14:textId="77777777" w:rsidR="00D25008" w:rsidRDefault="00FE2A61">
      <w:pPr>
        <w:autoSpaceDE w:val="0"/>
        <w:autoSpaceDN w:val="0"/>
        <w:adjustRightInd w:val="0"/>
        <w:rPr>
          <w:szCs w:val="22"/>
          <w:lang w:eastAsia="sl-SI"/>
        </w:rPr>
      </w:pPr>
      <w:r>
        <w:rPr>
          <w:szCs w:val="22"/>
          <w:lang w:eastAsia="sl-SI"/>
        </w:rPr>
        <w:t>Jeigu kiltų daugiau klausimų dėl šio vaisto vartojimo, kreipkitės į gydytoją arba vaistininką.</w:t>
      </w:r>
    </w:p>
    <w:p w14:paraId="7E50A833" w14:textId="77777777" w:rsidR="00D25008" w:rsidRDefault="00D25008">
      <w:pPr>
        <w:widowControl w:val="0"/>
        <w:numPr>
          <w:ilvl w:val="12"/>
          <w:numId w:val="0"/>
        </w:numPr>
        <w:ind w:right="-2"/>
        <w:rPr>
          <w:szCs w:val="22"/>
          <w:lang w:eastAsia="sl-SI"/>
        </w:rPr>
      </w:pPr>
    </w:p>
    <w:p w14:paraId="7751BB1D" w14:textId="77777777" w:rsidR="00D25008" w:rsidRDefault="00D25008">
      <w:pPr>
        <w:widowControl w:val="0"/>
        <w:numPr>
          <w:ilvl w:val="12"/>
          <w:numId w:val="0"/>
        </w:numPr>
        <w:ind w:right="-2"/>
        <w:rPr>
          <w:szCs w:val="22"/>
          <w:lang w:eastAsia="sl-SI"/>
        </w:rPr>
      </w:pPr>
    </w:p>
    <w:p w14:paraId="15843ADA" w14:textId="77777777" w:rsidR="00D25008" w:rsidRDefault="00FE2A61">
      <w:pPr>
        <w:widowControl w:val="0"/>
        <w:numPr>
          <w:ilvl w:val="12"/>
          <w:numId w:val="0"/>
        </w:numPr>
        <w:tabs>
          <w:tab w:val="left" w:pos="567"/>
        </w:tabs>
        <w:rPr>
          <w:szCs w:val="22"/>
          <w:lang w:eastAsia="sl-SI"/>
        </w:rPr>
      </w:pPr>
      <w:r>
        <w:rPr>
          <w:b/>
          <w:szCs w:val="22"/>
          <w:lang w:eastAsia="sl-SI"/>
        </w:rPr>
        <w:t>4.</w:t>
      </w:r>
      <w:r>
        <w:rPr>
          <w:b/>
          <w:szCs w:val="22"/>
          <w:lang w:eastAsia="sl-SI"/>
        </w:rPr>
        <w:tab/>
        <w:t>Galimas šalutinis poveikis</w:t>
      </w:r>
    </w:p>
    <w:p w14:paraId="0CD285A8" w14:textId="77777777" w:rsidR="00D25008" w:rsidRDefault="00D25008">
      <w:pPr>
        <w:widowControl w:val="0"/>
        <w:numPr>
          <w:ilvl w:val="12"/>
          <w:numId w:val="0"/>
        </w:numPr>
        <w:ind w:right="-2"/>
        <w:rPr>
          <w:szCs w:val="22"/>
          <w:lang w:eastAsia="sl-SI"/>
        </w:rPr>
      </w:pPr>
    </w:p>
    <w:p w14:paraId="035E23F3" w14:textId="77777777" w:rsidR="00D25008" w:rsidRDefault="00FE2A61">
      <w:pPr>
        <w:widowControl w:val="0"/>
        <w:numPr>
          <w:ilvl w:val="12"/>
          <w:numId w:val="0"/>
        </w:numPr>
        <w:ind w:right="-29"/>
        <w:rPr>
          <w:szCs w:val="22"/>
          <w:lang w:eastAsia="sl-SI"/>
        </w:rPr>
      </w:pPr>
      <w:r>
        <w:rPr>
          <w:szCs w:val="22"/>
          <w:lang w:eastAsia="sl-SI"/>
        </w:rPr>
        <w:t>Šis vaistas, kaip ir visi kiti, gali sukelti šalutinį poveikį, nors jis pasireiškia ne visiems žmonėms.</w:t>
      </w:r>
    </w:p>
    <w:p w14:paraId="4D95D14E" w14:textId="77777777" w:rsidR="00D25008" w:rsidRDefault="00D25008">
      <w:pPr>
        <w:widowControl w:val="0"/>
        <w:rPr>
          <w:szCs w:val="22"/>
          <w:lang w:eastAsia="sl-SI"/>
        </w:rPr>
      </w:pPr>
    </w:p>
    <w:p w14:paraId="078B87BD" w14:textId="77777777" w:rsidR="00D25008" w:rsidRDefault="00FE2A61">
      <w:pPr>
        <w:autoSpaceDE w:val="0"/>
        <w:autoSpaceDN w:val="0"/>
        <w:adjustRightInd w:val="0"/>
        <w:rPr>
          <w:b/>
          <w:szCs w:val="22"/>
          <w:lang w:eastAsia="sl-SI"/>
        </w:rPr>
      </w:pPr>
      <w:r>
        <w:rPr>
          <w:b/>
          <w:szCs w:val="22"/>
          <w:lang w:eastAsia="sl-SI"/>
        </w:rPr>
        <w:t>Tam tikras šalutinis poveikis gali būti sunkus ir gali prireikti neatidėliotinos medicininės pagalbos.</w:t>
      </w:r>
    </w:p>
    <w:p w14:paraId="0EE30E71" w14:textId="77777777" w:rsidR="00D25008" w:rsidRDefault="00FE2A61">
      <w:pPr>
        <w:autoSpaceDE w:val="0"/>
        <w:autoSpaceDN w:val="0"/>
        <w:adjustRightInd w:val="0"/>
        <w:rPr>
          <w:szCs w:val="22"/>
          <w:lang w:eastAsia="sl-SI"/>
        </w:rPr>
      </w:pPr>
      <w:r>
        <w:rPr>
          <w:szCs w:val="22"/>
          <w:lang w:eastAsia="sl-SI"/>
        </w:rPr>
        <w:t>Nedelsdami turite kreiptis į savo gydytoją, jeigu atsiranda bet kuris iš toliau nurodytų simptomų.</w:t>
      </w:r>
    </w:p>
    <w:p w14:paraId="37ADC20B" w14:textId="77777777" w:rsidR="00D25008" w:rsidRDefault="00FE2A61">
      <w:pPr>
        <w:numPr>
          <w:ilvl w:val="0"/>
          <w:numId w:val="22"/>
        </w:numPr>
        <w:autoSpaceDE w:val="0"/>
        <w:autoSpaceDN w:val="0"/>
        <w:adjustRightInd w:val="0"/>
        <w:ind w:left="567" w:hanging="567"/>
        <w:contextualSpacing/>
        <w:rPr>
          <w:rFonts w:eastAsia="Calibri"/>
          <w:szCs w:val="22"/>
          <w:lang w:eastAsia="sl-SI"/>
        </w:rPr>
      </w:pPr>
      <w:r>
        <w:rPr>
          <w:rFonts w:eastAsia="Calibri"/>
          <w:szCs w:val="22"/>
          <w:lang w:eastAsia="sl-SI"/>
        </w:rPr>
        <w:t>Sepsis (dažnai vadinamas „kraujo užkrėtimu“; sunki infekcija su viso kūno uždegimine reakcija, kuri gali būti mirtina) (gali pasireikšti rečiau kaip 1 iš 1 000 asmenų).</w:t>
      </w:r>
    </w:p>
    <w:p w14:paraId="1FF9F44B" w14:textId="77777777" w:rsidR="00D25008" w:rsidRDefault="00FE2A61">
      <w:pPr>
        <w:numPr>
          <w:ilvl w:val="0"/>
          <w:numId w:val="22"/>
        </w:numPr>
        <w:autoSpaceDE w:val="0"/>
        <w:autoSpaceDN w:val="0"/>
        <w:adjustRightInd w:val="0"/>
        <w:ind w:left="567" w:hanging="567"/>
        <w:contextualSpacing/>
        <w:rPr>
          <w:rFonts w:eastAsia="Calibri"/>
          <w:szCs w:val="22"/>
          <w:lang w:eastAsia="sl-SI"/>
        </w:rPr>
      </w:pPr>
      <w:r>
        <w:rPr>
          <w:rFonts w:eastAsia="Calibri"/>
          <w:szCs w:val="22"/>
          <w:lang w:eastAsia="sl-SI"/>
        </w:rPr>
        <w:t>Sunkios odos reakcijos, įskaitant intensyvų odos išbėrimą, dilgėlinę, viso kūno odos paraudimą, stiprų niežulį, pūslių susidarymą, odos lupimąsi ir patinimą, gleivinės uždegimą (</w:t>
      </w:r>
      <w:proofErr w:type="spellStart"/>
      <w:r>
        <w:rPr>
          <w:rFonts w:eastAsia="Calibri"/>
          <w:szCs w:val="22"/>
          <w:lang w:eastAsia="sl-SI"/>
        </w:rPr>
        <w:t>Stivenso</w:t>
      </w:r>
      <w:proofErr w:type="spellEnd"/>
      <w:r>
        <w:rPr>
          <w:rFonts w:eastAsia="Calibri"/>
          <w:szCs w:val="22"/>
          <w:lang w:eastAsia="sl-SI"/>
        </w:rPr>
        <w:t xml:space="preserve"> ir Džonsono sindromas, </w:t>
      </w:r>
      <w:proofErr w:type="spellStart"/>
      <w:r>
        <w:rPr>
          <w:rFonts w:eastAsia="Calibri"/>
          <w:szCs w:val="22"/>
          <w:lang w:eastAsia="sl-SI"/>
        </w:rPr>
        <w:t>eksfoliacinis</w:t>
      </w:r>
      <w:proofErr w:type="spellEnd"/>
      <w:r>
        <w:rPr>
          <w:rFonts w:eastAsia="Calibri"/>
          <w:szCs w:val="22"/>
          <w:lang w:eastAsia="sl-SI"/>
        </w:rPr>
        <w:t xml:space="preserve"> dermatitas) (gali pasireikšti rečiau kaip 1 iš 10 000 asmenų).</w:t>
      </w:r>
    </w:p>
    <w:p w14:paraId="6C8C260F" w14:textId="77777777" w:rsidR="00DC4BB2" w:rsidRDefault="001C4737">
      <w:pPr>
        <w:numPr>
          <w:ilvl w:val="0"/>
          <w:numId w:val="22"/>
        </w:numPr>
        <w:autoSpaceDE w:val="0"/>
        <w:autoSpaceDN w:val="0"/>
        <w:adjustRightInd w:val="0"/>
        <w:ind w:left="567" w:hanging="567"/>
        <w:contextualSpacing/>
        <w:rPr>
          <w:rFonts w:eastAsia="Calibri"/>
          <w:szCs w:val="22"/>
          <w:lang w:eastAsia="sl-SI"/>
        </w:rPr>
      </w:pPr>
      <w:r>
        <w:rPr>
          <w:rFonts w:eastAsia="Calibri"/>
          <w:szCs w:val="22"/>
          <w:lang w:eastAsia="sl-SI"/>
        </w:rPr>
        <w:t>Greitas odos ir gleivinės patinimas (</w:t>
      </w:r>
      <w:proofErr w:type="spellStart"/>
      <w:r>
        <w:rPr>
          <w:rFonts w:eastAsia="Calibri"/>
          <w:szCs w:val="22"/>
          <w:lang w:eastAsia="sl-SI"/>
        </w:rPr>
        <w:t>angioneurozinė</w:t>
      </w:r>
      <w:proofErr w:type="spellEnd"/>
      <w:r>
        <w:rPr>
          <w:rFonts w:eastAsia="Calibri"/>
          <w:szCs w:val="22"/>
          <w:lang w:eastAsia="sl-SI"/>
        </w:rPr>
        <w:t xml:space="preserve"> edema) (gali pasireikšti ne daugiau kaip 1 iš 1 000 asmenų).</w:t>
      </w:r>
    </w:p>
    <w:p w14:paraId="531DA1FC" w14:textId="77777777" w:rsidR="00D25008" w:rsidRDefault="00FE2A61">
      <w:pPr>
        <w:numPr>
          <w:ilvl w:val="0"/>
          <w:numId w:val="22"/>
        </w:numPr>
        <w:autoSpaceDE w:val="0"/>
        <w:autoSpaceDN w:val="0"/>
        <w:adjustRightInd w:val="0"/>
        <w:ind w:left="567" w:hanging="567"/>
        <w:contextualSpacing/>
        <w:rPr>
          <w:rFonts w:eastAsia="Calibri"/>
          <w:szCs w:val="22"/>
          <w:lang w:eastAsia="sl-SI"/>
        </w:rPr>
      </w:pPr>
      <w:r>
        <w:rPr>
          <w:rFonts w:eastAsia="Calibri"/>
          <w:szCs w:val="22"/>
          <w:lang w:eastAsia="sl-SI"/>
        </w:rPr>
        <w:t>Akių vokų, veido ar lūpų patinimas (</w:t>
      </w:r>
      <w:proofErr w:type="spellStart"/>
      <w:r>
        <w:rPr>
          <w:rFonts w:eastAsia="Calibri"/>
          <w:szCs w:val="22"/>
          <w:lang w:eastAsia="sl-SI"/>
        </w:rPr>
        <w:t>Kvinkės</w:t>
      </w:r>
      <w:proofErr w:type="spellEnd"/>
      <w:r>
        <w:rPr>
          <w:rFonts w:eastAsia="Calibri"/>
          <w:szCs w:val="22"/>
          <w:lang w:eastAsia="sl-SI"/>
        </w:rPr>
        <w:t xml:space="preserve"> edema) (gali pasireikšti rečiau kaip 1 iš 10 000 asmenų).</w:t>
      </w:r>
    </w:p>
    <w:p w14:paraId="32DC17FD" w14:textId="77777777" w:rsidR="00D25008" w:rsidRDefault="00FE2A61">
      <w:pPr>
        <w:numPr>
          <w:ilvl w:val="0"/>
          <w:numId w:val="22"/>
        </w:numPr>
        <w:autoSpaceDE w:val="0"/>
        <w:autoSpaceDN w:val="0"/>
        <w:adjustRightInd w:val="0"/>
        <w:ind w:left="567" w:hanging="567"/>
        <w:contextualSpacing/>
        <w:rPr>
          <w:rFonts w:eastAsia="Calibri"/>
          <w:szCs w:val="22"/>
          <w:lang w:eastAsia="sl-SI"/>
        </w:rPr>
      </w:pPr>
      <w:r>
        <w:rPr>
          <w:rFonts w:eastAsia="Calibri"/>
          <w:szCs w:val="22"/>
          <w:lang w:eastAsia="sl-SI"/>
        </w:rPr>
        <w:t xml:space="preserve">Viršutinio odos sluoksnio pūslių susidarymas ir lupimasis (toksinė epidermio </w:t>
      </w:r>
      <w:proofErr w:type="spellStart"/>
      <w:r>
        <w:rPr>
          <w:rFonts w:eastAsia="Calibri"/>
          <w:szCs w:val="22"/>
          <w:lang w:eastAsia="sl-SI"/>
        </w:rPr>
        <w:t>nekrolizė</w:t>
      </w:r>
      <w:proofErr w:type="spellEnd"/>
      <w:r>
        <w:rPr>
          <w:rFonts w:eastAsia="Calibri"/>
          <w:szCs w:val="22"/>
          <w:lang w:eastAsia="sl-SI"/>
        </w:rPr>
        <w:t>) (dažnis negali būti apskaičiuotas pagal turimus duomenis).</w:t>
      </w:r>
    </w:p>
    <w:p w14:paraId="40911DC7" w14:textId="3BADF0D7" w:rsidR="00D25008" w:rsidRDefault="00FE2A61">
      <w:pPr>
        <w:numPr>
          <w:ilvl w:val="0"/>
          <w:numId w:val="22"/>
        </w:numPr>
        <w:autoSpaceDE w:val="0"/>
        <w:autoSpaceDN w:val="0"/>
        <w:adjustRightInd w:val="0"/>
        <w:ind w:left="567" w:hanging="567"/>
        <w:contextualSpacing/>
        <w:rPr>
          <w:rFonts w:eastAsia="Calibri"/>
          <w:szCs w:val="22"/>
          <w:lang w:eastAsia="sl-SI"/>
        </w:rPr>
      </w:pPr>
      <w:r>
        <w:rPr>
          <w:rFonts w:eastAsia="Calibri"/>
          <w:szCs w:val="22"/>
          <w:lang w:eastAsia="sl-SI"/>
        </w:rPr>
        <w:lastRenderedPageBreak/>
        <w:t>Širdies priepuolis (gali pasireikšti rečiau kaip 1 iš 10 000 asmenų).</w:t>
      </w:r>
    </w:p>
    <w:p w14:paraId="2042D0B3" w14:textId="77777777" w:rsidR="00DC4BB2" w:rsidRDefault="001C4737">
      <w:pPr>
        <w:numPr>
          <w:ilvl w:val="0"/>
          <w:numId w:val="22"/>
        </w:numPr>
        <w:autoSpaceDE w:val="0"/>
        <w:autoSpaceDN w:val="0"/>
        <w:adjustRightInd w:val="0"/>
        <w:ind w:left="567" w:hanging="567"/>
        <w:contextualSpacing/>
        <w:rPr>
          <w:rFonts w:eastAsia="Calibri"/>
          <w:szCs w:val="22"/>
          <w:lang w:eastAsia="sl-SI"/>
        </w:rPr>
      </w:pPr>
      <w:r>
        <w:rPr>
          <w:rFonts w:eastAsia="Calibri"/>
          <w:szCs w:val="22"/>
          <w:lang w:eastAsia="sl-SI"/>
        </w:rPr>
        <w:t>Nenormalus širdies plakimas (gali pasireikšti rečiau kaip 1 iš 100 asmenų).</w:t>
      </w:r>
    </w:p>
    <w:p w14:paraId="1A301F1B" w14:textId="77777777" w:rsidR="00D25008" w:rsidRDefault="00FE2A61">
      <w:pPr>
        <w:numPr>
          <w:ilvl w:val="0"/>
          <w:numId w:val="22"/>
        </w:numPr>
        <w:autoSpaceDE w:val="0"/>
        <w:autoSpaceDN w:val="0"/>
        <w:adjustRightInd w:val="0"/>
        <w:ind w:left="567" w:hanging="567"/>
        <w:contextualSpacing/>
        <w:rPr>
          <w:rFonts w:eastAsia="Calibri"/>
          <w:szCs w:val="22"/>
          <w:lang w:eastAsia="sl-SI"/>
        </w:rPr>
      </w:pPr>
      <w:r>
        <w:rPr>
          <w:rFonts w:eastAsia="Calibri"/>
          <w:szCs w:val="22"/>
          <w:lang w:eastAsia="sl-SI"/>
        </w:rPr>
        <w:t>Kasos uždegimas, galintis sukelti stiprų pilvo ir nugaros skausmą kartu su labai bloga savijauta (gali pasireikšti rečiau kaip 1 iš 10 000 asmenų).</w:t>
      </w:r>
    </w:p>
    <w:p w14:paraId="4326110C" w14:textId="77777777" w:rsidR="00D25008" w:rsidRDefault="00D25008">
      <w:pPr>
        <w:autoSpaceDE w:val="0"/>
        <w:autoSpaceDN w:val="0"/>
        <w:adjustRightInd w:val="0"/>
        <w:contextualSpacing/>
        <w:rPr>
          <w:rFonts w:eastAsia="Calibri"/>
          <w:szCs w:val="22"/>
          <w:lang w:eastAsia="sl-SI"/>
        </w:rPr>
      </w:pPr>
    </w:p>
    <w:p w14:paraId="2668C2B7" w14:textId="77777777" w:rsidR="00D25008" w:rsidRDefault="00FE2A61">
      <w:pPr>
        <w:autoSpaceDE w:val="0"/>
        <w:autoSpaceDN w:val="0"/>
        <w:adjustRightInd w:val="0"/>
        <w:rPr>
          <w:b/>
          <w:szCs w:val="22"/>
          <w:lang w:eastAsia="sl-SI"/>
        </w:rPr>
      </w:pPr>
      <w:r>
        <w:rPr>
          <w:b/>
          <w:szCs w:val="22"/>
          <w:lang w:eastAsia="sl-SI"/>
        </w:rPr>
        <w:t xml:space="preserve">Galimas </w:t>
      </w:r>
      <w:proofErr w:type="spellStart"/>
      <w:r>
        <w:rPr>
          <w:b/>
          <w:szCs w:val="22"/>
          <w:lang w:eastAsia="sl-SI"/>
        </w:rPr>
        <w:t>Tolvecom</w:t>
      </w:r>
      <w:proofErr w:type="spellEnd"/>
      <w:r>
        <w:rPr>
          <w:b/>
          <w:szCs w:val="22"/>
          <w:lang w:eastAsia="sl-SI"/>
        </w:rPr>
        <w:t xml:space="preserve"> šalutinis poveikis</w:t>
      </w:r>
    </w:p>
    <w:p w14:paraId="1C02B9A7" w14:textId="77777777" w:rsidR="00D25008" w:rsidRDefault="00D25008">
      <w:pPr>
        <w:autoSpaceDE w:val="0"/>
        <w:autoSpaceDN w:val="0"/>
        <w:adjustRightInd w:val="0"/>
        <w:rPr>
          <w:szCs w:val="22"/>
          <w:lang w:eastAsia="sl-SI"/>
        </w:rPr>
      </w:pPr>
    </w:p>
    <w:p w14:paraId="2F9906F9" w14:textId="77777777" w:rsidR="00D25008" w:rsidRDefault="00FE2A61">
      <w:pPr>
        <w:autoSpaceDE w:val="0"/>
        <w:autoSpaceDN w:val="0"/>
        <w:adjustRightInd w:val="0"/>
        <w:rPr>
          <w:szCs w:val="22"/>
          <w:u w:val="single"/>
          <w:lang w:eastAsia="sl-SI"/>
        </w:rPr>
      </w:pPr>
      <w:r>
        <w:rPr>
          <w:szCs w:val="22"/>
          <w:u w:val="single"/>
          <w:lang w:eastAsia="sl-SI"/>
        </w:rPr>
        <w:t>Labai dažni šalutinio poveikio reiškiniai (gali pasireikšti ne rečiau kaip 1 iš 10 asmenų):</w:t>
      </w:r>
    </w:p>
    <w:p w14:paraId="4EBE9799" w14:textId="77777777" w:rsidR="00DC4BB2" w:rsidRDefault="001C4737">
      <w:pPr>
        <w:autoSpaceDE w:val="0"/>
        <w:autoSpaceDN w:val="0"/>
        <w:adjustRightInd w:val="0"/>
        <w:rPr>
          <w:szCs w:val="22"/>
          <w:lang w:eastAsia="sl-SI"/>
        </w:rPr>
      </w:pPr>
      <w:r>
        <w:rPr>
          <w:szCs w:val="22"/>
          <w:lang w:eastAsia="sl-SI"/>
        </w:rPr>
        <w:t>Sumažėjęs kalio kiekis kraujyje, padidėjęs lipidų kiekis kraujyje, skysčių susilaikymas (edema).</w:t>
      </w:r>
    </w:p>
    <w:p w14:paraId="69962E68" w14:textId="77777777" w:rsidR="00926BD6" w:rsidRDefault="00926BD6">
      <w:pPr>
        <w:autoSpaceDE w:val="0"/>
        <w:autoSpaceDN w:val="0"/>
        <w:adjustRightInd w:val="0"/>
        <w:rPr>
          <w:szCs w:val="22"/>
          <w:lang w:eastAsia="sl-SI"/>
        </w:rPr>
      </w:pPr>
    </w:p>
    <w:p w14:paraId="2F496FCE" w14:textId="77777777" w:rsidR="00D25008" w:rsidRDefault="00FE2A61">
      <w:pPr>
        <w:autoSpaceDE w:val="0"/>
        <w:autoSpaceDN w:val="0"/>
        <w:adjustRightInd w:val="0"/>
        <w:rPr>
          <w:szCs w:val="22"/>
          <w:u w:val="single"/>
          <w:lang w:eastAsia="sl-SI"/>
        </w:rPr>
      </w:pPr>
      <w:r>
        <w:rPr>
          <w:szCs w:val="22"/>
          <w:u w:val="single"/>
          <w:lang w:eastAsia="sl-SI"/>
        </w:rPr>
        <w:t>Dažni šalutinio poveikio reiškiniai (gali pasireikšti rečiau kaip 1 iš 10 asmenų):</w:t>
      </w:r>
    </w:p>
    <w:p w14:paraId="2F52F63F" w14:textId="72ECF53D" w:rsidR="00D25008" w:rsidRDefault="001C4737">
      <w:pPr>
        <w:autoSpaceDE w:val="0"/>
        <w:autoSpaceDN w:val="0"/>
        <w:adjustRightInd w:val="0"/>
        <w:rPr>
          <w:szCs w:val="22"/>
          <w:lang w:eastAsia="sl-SI"/>
        </w:rPr>
      </w:pPr>
      <w:r>
        <w:rPr>
          <w:szCs w:val="22"/>
          <w:lang w:eastAsia="sl-SI"/>
        </w:rPr>
        <w:t>Padidėjęs šlapimo rūgšties kiekis kraujyje, mažas natrio kiekis,</w:t>
      </w:r>
      <w:r w:rsidR="00FE2A61">
        <w:rPr>
          <w:szCs w:val="22"/>
          <w:lang w:eastAsia="sl-SI"/>
        </w:rPr>
        <w:t xml:space="preserve"> mažas magnio kiekis kraujyje, </w:t>
      </w:r>
      <w:r>
        <w:rPr>
          <w:szCs w:val="22"/>
          <w:lang w:eastAsia="sl-SI"/>
        </w:rPr>
        <w:t xml:space="preserve">sumažėjęs apetitas, galvos svaigimas, mieguistumas, </w:t>
      </w:r>
      <w:r w:rsidR="00FE2A61">
        <w:rPr>
          <w:szCs w:val="22"/>
          <w:lang w:eastAsia="sl-SI"/>
        </w:rPr>
        <w:t xml:space="preserve">galvos skausmas, </w:t>
      </w:r>
      <w:r>
        <w:rPr>
          <w:szCs w:val="22"/>
          <w:lang w:eastAsia="sl-SI"/>
        </w:rPr>
        <w:t xml:space="preserve">regos sutrikimai, </w:t>
      </w:r>
      <w:proofErr w:type="spellStart"/>
      <w:r w:rsidR="00FE2A61">
        <w:rPr>
          <w:szCs w:val="22"/>
          <w:lang w:eastAsia="sl-SI"/>
        </w:rPr>
        <w:t>palpitacijos</w:t>
      </w:r>
      <w:proofErr w:type="spellEnd"/>
      <w:r w:rsidR="00FE2A61">
        <w:rPr>
          <w:szCs w:val="22"/>
          <w:lang w:eastAsia="sl-SI"/>
        </w:rPr>
        <w:t xml:space="preserve"> (širdies plakimo </w:t>
      </w:r>
      <w:r>
        <w:rPr>
          <w:szCs w:val="22"/>
          <w:lang w:eastAsia="sl-SI"/>
        </w:rPr>
        <w:t xml:space="preserve">jutimas), staigus kraujospūdžio kritimas atsistojus, paraudimas, </w:t>
      </w:r>
      <w:r w:rsidR="00FE2A61">
        <w:rPr>
          <w:szCs w:val="22"/>
          <w:lang w:eastAsia="sl-SI"/>
        </w:rPr>
        <w:t>dusulys (</w:t>
      </w:r>
      <w:proofErr w:type="spellStart"/>
      <w:r w:rsidR="00FE2A61">
        <w:rPr>
          <w:szCs w:val="22"/>
          <w:lang w:eastAsia="sl-SI"/>
        </w:rPr>
        <w:t>dispnėja</w:t>
      </w:r>
      <w:proofErr w:type="spellEnd"/>
      <w:r w:rsidR="00FE2A61">
        <w:rPr>
          <w:szCs w:val="22"/>
          <w:lang w:eastAsia="sl-SI"/>
        </w:rPr>
        <w:t xml:space="preserve">), </w:t>
      </w:r>
      <w:r>
        <w:rPr>
          <w:szCs w:val="22"/>
          <w:lang w:eastAsia="sl-SI"/>
        </w:rPr>
        <w:t>viduriavimas</w:t>
      </w:r>
      <w:r w:rsidR="00FE2A61">
        <w:rPr>
          <w:szCs w:val="22"/>
          <w:lang w:eastAsia="sl-SI"/>
        </w:rPr>
        <w:t xml:space="preserve">, pilvo skausmas, vidurių užkietėjimas, </w:t>
      </w:r>
      <w:proofErr w:type="spellStart"/>
      <w:r w:rsidR="00FE2A61">
        <w:rPr>
          <w:szCs w:val="22"/>
          <w:lang w:eastAsia="sl-SI"/>
        </w:rPr>
        <w:t>nevirškinimas</w:t>
      </w:r>
      <w:proofErr w:type="spellEnd"/>
      <w:r w:rsidR="00FE2A61">
        <w:rPr>
          <w:szCs w:val="22"/>
          <w:lang w:eastAsia="sl-SI"/>
        </w:rPr>
        <w:t xml:space="preserve">, </w:t>
      </w:r>
      <w:r>
        <w:rPr>
          <w:szCs w:val="22"/>
          <w:lang w:eastAsia="sl-SI"/>
        </w:rPr>
        <w:t>vėmimas, pykinimas, pakitusi tuštinimosi veikla, bėrimas, dilgėlinė (</w:t>
      </w:r>
      <w:proofErr w:type="spellStart"/>
      <w:r>
        <w:rPr>
          <w:szCs w:val="22"/>
          <w:lang w:eastAsia="sl-SI"/>
        </w:rPr>
        <w:t>urtikarija</w:t>
      </w:r>
      <w:proofErr w:type="spellEnd"/>
      <w:r>
        <w:rPr>
          <w:szCs w:val="22"/>
          <w:lang w:eastAsia="sl-SI"/>
        </w:rPr>
        <w:t>), raumenų spazmai (kojų mėšlungis),</w:t>
      </w:r>
      <w:r w:rsidR="00FE2A61">
        <w:rPr>
          <w:szCs w:val="22"/>
          <w:lang w:eastAsia="sl-SI"/>
        </w:rPr>
        <w:t xml:space="preserve"> kulkšnių patinimas, </w:t>
      </w:r>
      <w:r>
        <w:rPr>
          <w:szCs w:val="22"/>
          <w:lang w:eastAsia="sl-SI"/>
        </w:rPr>
        <w:t>erekcijos disfunkcija (nesugebėjimas pasiekti ar išlaikyti erekcijos), silpnumas, nuovargis</w:t>
      </w:r>
      <w:r w:rsidR="00FE2A61">
        <w:rPr>
          <w:szCs w:val="22"/>
          <w:lang w:eastAsia="sl-SI"/>
        </w:rPr>
        <w:t>.</w:t>
      </w:r>
    </w:p>
    <w:p w14:paraId="363FF395" w14:textId="77777777" w:rsidR="00926BD6" w:rsidRDefault="00926BD6">
      <w:pPr>
        <w:autoSpaceDE w:val="0"/>
        <w:autoSpaceDN w:val="0"/>
        <w:adjustRightInd w:val="0"/>
        <w:rPr>
          <w:szCs w:val="22"/>
          <w:lang w:eastAsia="sl-SI"/>
        </w:rPr>
      </w:pPr>
    </w:p>
    <w:p w14:paraId="321023FA" w14:textId="77777777" w:rsidR="00D25008" w:rsidRDefault="00FE2A61">
      <w:pPr>
        <w:autoSpaceDE w:val="0"/>
        <w:autoSpaceDN w:val="0"/>
        <w:adjustRightInd w:val="0"/>
        <w:rPr>
          <w:szCs w:val="22"/>
          <w:u w:val="single"/>
          <w:lang w:eastAsia="sl-SI"/>
        </w:rPr>
      </w:pPr>
      <w:r>
        <w:rPr>
          <w:szCs w:val="22"/>
          <w:u w:val="single"/>
          <w:lang w:eastAsia="sl-SI"/>
        </w:rPr>
        <w:t>Nedažni šalutinio poveikio reiškiniai (gali pasireikšti rečiau kaip 1 iš 100 asmenų):</w:t>
      </w:r>
    </w:p>
    <w:p w14:paraId="304103FD" w14:textId="2EC83D99" w:rsidR="00D25008" w:rsidRDefault="001C4737">
      <w:pPr>
        <w:autoSpaceDE w:val="0"/>
        <w:autoSpaceDN w:val="0"/>
        <w:adjustRightInd w:val="0"/>
        <w:rPr>
          <w:szCs w:val="22"/>
          <w:lang w:eastAsia="sl-SI"/>
        </w:rPr>
      </w:pPr>
      <w:r>
        <w:rPr>
          <w:szCs w:val="22"/>
          <w:lang w:eastAsia="sl-SI"/>
        </w:rPr>
        <w:t>Viršutinių</w:t>
      </w:r>
      <w:r w:rsidR="00FE2A61">
        <w:rPr>
          <w:szCs w:val="22"/>
          <w:lang w:eastAsia="sl-SI"/>
        </w:rPr>
        <w:t xml:space="preserve"> kvėpavimo takų infekcija (pvz., gerklės skausmas, sinusų uždegimas, peršalimas), šlapimo takų </w:t>
      </w:r>
      <w:r>
        <w:rPr>
          <w:szCs w:val="22"/>
          <w:lang w:eastAsia="sl-SI"/>
        </w:rPr>
        <w:t>infekcija, šlapimo pūslės uždegimas</w:t>
      </w:r>
      <w:r w:rsidR="00FE2A61">
        <w:rPr>
          <w:szCs w:val="22"/>
          <w:lang w:eastAsia="sl-SI"/>
        </w:rPr>
        <w:t xml:space="preserve">, raudonųjų kraujo </w:t>
      </w:r>
      <w:r>
        <w:rPr>
          <w:szCs w:val="22"/>
          <w:lang w:eastAsia="sl-SI"/>
        </w:rPr>
        <w:t>kūnelių</w:t>
      </w:r>
      <w:r w:rsidR="00FE2A61">
        <w:rPr>
          <w:szCs w:val="22"/>
          <w:lang w:eastAsia="sl-SI"/>
        </w:rPr>
        <w:t xml:space="preserve"> trūkumas (</w:t>
      </w:r>
      <w:r>
        <w:rPr>
          <w:szCs w:val="22"/>
          <w:lang w:eastAsia="sl-SI"/>
        </w:rPr>
        <w:t xml:space="preserve">anemija), padidėjęs kalio kiekis kraujyje, nerimas, </w:t>
      </w:r>
      <w:r w:rsidR="00FE2A61">
        <w:rPr>
          <w:szCs w:val="22"/>
          <w:lang w:eastAsia="sl-SI"/>
        </w:rPr>
        <w:t xml:space="preserve">depresija, nemiga, </w:t>
      </w:r>
      <w:r>
        <w:rPr>
          <w:szCs w:val="22"/>
          <w:lang w:eastAsia="sl-SI"/>
        </w:rPr>
        <w:t>alpimas (sinkopė), dilgčiojimo, dilgčiojimo ir dygimo pojūtis (</w:t>
      </w:r>
      <w:proofErr w:type="spellStart"/>
      <w:r>
        <w:rPr>
          <w:szCs w:val="22"/>
          <w:lang w:eastAsia="sl-SI"/>
        </w:rPr>
        <w:t>parestezija</w:t>
      </w:r>
      <w:proofErr w:type="spellEnd"/>
      <w:r>
        <w:rPr>
          <w:szCs w:val="22"/>
          <w:lang w:eastAsia="sl-SI"/>
        </w:rPr>
        <w:t xml:space="preserve">), </w:t>
      </w:r>
      <w:r w:rsidR="00FE2A61">
        <w:rPr>
          <w:szCs w:val="22"/>
          <w:lang w:eastAsia="sl-SI"/>
        </w:rPr>
        <w:t xml:space="preserve">drebulys, skonio sutrikimai, skausmo pojūčio praradimas, </w:t>
      </w:r>
      <w:r>
        <w:rPr>
          <w:szCs w:val="22"/>
          <w:lang w:eastAsia="sl-SI"/>
        </w:rPr>
        <w:t>sukimosi pojūtis (</w:t>
      </w:r>
      <w:proofErr w:type="spellStart"/>
      <w:r w:rsidRPr="00B86602">
        <w:rPr>
          <w:i/>
          <w:iCs/>
          <w:szCs w:val="22"/>
          <w:lang w:eastAsia="sl-SI"/>
        </w:rPr>
        <w:t>vertigo</w:t>
      </w:r>
      <w:proofErr w:type="spellEnd"/>
      <w:r>
        <w:rPr>
          <w:szCs w:val="22"/>
          <w:lang w:eastAsia="sl-SI"/>
        </w:rPr>
        <w:t xml:space="preserve">), </w:t>
      </w:r>
      <w:r w:rsidR="00FE2A61">
        <w:rPr>
          <w:szCs w:val="22"/>
          <w:lang w:eastAsia="sl-SI"/>
        </w:rPr>
        <w:t xml:space="preserve">spengimas ausyse, </w:t>
      </w:r>
      <w:r>
        <w:rPr>
          <w:szCs w:val="22"/>
          <w:lang w:eastAsia="sl-SI"/>
        </w:rPr>
        <w:t xml:space="preserve">dažnas širdies plakimas (tachikardija), retas širdies plakimas (bradikardija), žemas kraujospūdis, kosulys, </w:t>
      </w:r>
      <w:r w:rsidR="00FE2A61">
        <w:rPr>
          <w:szCs w:val="22"/>
          <w:lang w:eastAsia="sl-SI"/>
        </w:rPr>
        <w:t>čiaudulys</w:t>
      </w:r>
      <w:r w:rsidR="00C650B4">
        <w:rPr>
          <w:szCs w:val="22"/>
          <w:lang w:eastAsia="sl-SI"/>
        </w:rPr>
        <w:t> </w:t>
      </w:r>
      <w:r>
        <w:rPr>
          <w:szCs w:val="22"/>
          <w:lang w:eastAsia="sl-SI"/>
        </w:rPr>
        <w:t>/</w:t>
      </w:r>
      <w:r w:rsidR="00C650B4">
        <w:rPr>
          <w:szCs w:val="22"/>
          <w:lang w:eastAsia="sl-SI"/>
        </w:rPr>
        <w:t> </w:t>
      </w:r>
      <w:r w:rsidR="00FE2A61">
        <w:rPr>
          <w:szCs w:val="22"/>
          <w:lang w:eastAsia="sl-SI"/>
        </w:rPr>
        <w:t>sloga</w:t>
      </w:r>
      <w:r>
        <w:rPr>
          <w:szCs w:val="22"/>
          <w:lang w:eastAsia="sl-SI"/>
        </w:rPr>
        <w:t xml:space="preserve"> dėl</w:t>
      </w:r>
      <w:r w:rsidR="00FE2A61">
        <w:rPr>
          <w:szCs w:val="22"/>
          <w:lang w:eastAsia="sl-SI"/>
        </w:rPr>
        <w:t xml:space="preserve"> nosies gleivinės </w:t>
      </w:r>
      <w:r>
        <w:rPr>
          <w:szCs w:val="22"/>
          <w:lang w:eastAsia="sl-SI"/>
        </w:rPr>
        <w:t xml:space="preserve">uždegimo (rinito), burnos džiūvimas, pilvo pūtimas, niežulys, </w:t>
      </w:r>
      <w:r w:rsidR="00FE2A61">
        <w:rPr>
          <w:szCs w:val="22"/>
          <w:lang w:eastAsia="sl-SI"/>
        </w:rPr>
        <w:t xml:space="preserve">padidėjęs prakaitavimas, </w:t>
      </w:r>
      <w:r>
        <w:rPr>
          <w:szCs w:val="22"/>
          <w:lang w:eastAsia="sl-SI"/>
        </w:rPr>
        <w:t>plaukų slinkimas</w:t>
      </w:r>
      <w:r w:rsidR="00FE2A61">
        <w:rPr>
          <w:szCs w:val="22"/>
          <w:lang w:eastAsia="sl-SI"/>
        </w:rPr>
        <w:t xml:space="preserve">, raudonos dėmės ant odos, odos spalvos pakitimas, </w:t>
      </w:r>
      <w:r>
        <w:rPr>
          <w:szCs w:val="22"/>
          <w:lang w:eastAsia="sl-SI"/>
        </w:rPr>
        <w:t xml:space="preserve">išplitęs bėrimas, nugaros skausmas, raumenų skausmas, sąnarių skausmas, inkstų funkcijos sutrikimas, įskaitant ūminį inkstų nepakankamumą, </w:t>
      </w:r>
      <w:r w:rsidR="00FE2A61">
        <w:rPr>
          <w:szCs w:val="22"/>
          <w:lang w:eastAsia="sl-SI"/>
        </w:rPr>
        <w:t xml:space="preserve">šlapinimosi sutrikimas, </w:t>
      </w:r>
      <w:r>
        <w:rPr>
          <w:szCs w:val="22"/>
          <w:lang w:eastAsia="sl-SI"/>
        </w:rPr>
        <w:t>padažnėjęs</w:t>
      </w:r>
      <w:r w:rsidR="00FE2A61">
        <w:rPr>
          <w:szCs w:val="22"/>
          <w:lang w:eastAsia="sl-SI"/>
        </w:rPr>
        <w:t xml:space="preserve"> poreikis šlapintis naktį, padažnėjęs šlapinimasis, krūtų diskomfortas </w:t>
      </w:r>
      <w:r>
        <w:rPr>
          <w:szCs w:val="22"/>
          <w:lang w:eastAsia="sl-SI"/>
        </w:rPr>
        <w:t>arba</w:t>
      </w:r>
      <w:r w:rsidR="00FE2A61">
        <w:rPr>
          <w:szCs w:val="22"/>
          <w:lang w:eastAsia="sl-SI"/>
        </w:rPr>
        <w:t xml:space="preserve"> padidėjimas vyrams, </w:t>
      </w:r>
      <w:r>
        <w:rPr>
          <w:szCs w:val="22"/>
          <w:lang w:eastAsia="sl-SI"/>
        </w:rPr>
        <w:t xml:space="preserve">krūtinės skausmas, </w:t>
      </w:r>
      <w:r w:rsidR="00FE2A61">
        <w:rPr>
          <w:szCs w:val="22"/>
          <w:lang w:eastAsia="sl-SI"/>
        </w:rPr>
        <w:t xml:space="preserve">skausmas, bloga savijauta, </w:t>
      </w:r>
      <w:r>
        <w:rPr>
          <w:szCs w:val="22"/>
          <w:lang w:eastAsia="sl-SI"/>
        </w:rPr>
        <w:t>padidėjęs šlapimo rūgšties kiekis kraujyje, padidėjęs kreatinino kiekis kraujyje,</w:t>
      </w:r>
      <w:r w:rsidR="00FE2A61">
        <w:rPr>
          <w:szCs w:val="22"/>
          <w:lang w:eastAsia="sl-SI"/>
        </w:rPr>
        <w:t xml:space="preserve"> svorio padidėjimas </w:t>
      </w:r>
      <w:r>
        <w:rPr>
          <w:szCs w:val="22"/>
          <w:lang w:eastAsia="sl-SI"/>
        </w:rPr>
        <w:t>arba</w:t>
      </w:r>
      <w:r w:rsidR="00FE2A61">
        <w:rPr>
          <w:szCs w:val="22"/>
          <w:lang w:eastAsia="sl-SI"/>
        </w:rPr>
        <w:t xml:space="preserve"> sumažėjimas.</w:t>
      </w:r>
    </w:p>
    <w:p w14:paraId="224722B8" w14:textId="77777777" w:rsidR="00926BD6" w:rsidRDefault="00926BD6">
      <w:pPr>
        <w:autoSpaceDE w:val="0"/>
        <w:autoSpaceDN w:val="0"/>
        <w:adjustRightInd w:val="0"/>
        <w:rPr>
          <w:szCs w:val="22"/>
          <w:lang w:eastAsia="sl-SI"/>
        </w:rPr>
      </w:pPr>
    </w:p>
    <w:p w14:paraId="242810ED" w14:textId="77777777" w:rsidR="00D25008" w:rsidRDefault="00FE2A61">
      <w:pPr>
        <w:autoSpaceDE w:val="0"/>
        <w:autoSpaceDN w:val="0"/>
        <w:adjustRightInd w:val="0"/>
        <w:rPr>
          <w:szCs w:val="22"/>
          <w:u w:val="single"/>
          <w:lang w:eastAsia="sl-SI"/>
        </w:rPr>
      </w:pPr>
      <w:r>
        <w:rPr>
          <w:szCs w:val="22"/>
          <w:u w:val="single"/>
          <w:lang w:eastAsia="sl-SI"/>
        </w:rPr>
        <w:t>Reti šalutinio poveikio reiškiniai (gali pasireikšti rečiau kaip 1 iš 1 000 asmenų):</w:t>
      </w:r>
    </w:p>
    <w:p w14:paraId="301E0FF7" w14:textId="39AD9A97" w:rsidR="00D25008" w:rsidRDefault="00FE2A61">
      <w:pPr>
        <w:autoSpaceDE w:val="0"/>
        <w:autoSpaceDN w:val="0"/>
        <w:adjustRightInd w:val="0"/>
        <w:rPr>
          <w:szCs w:val="20"/>
          <w:lang w:eastAsia="sl-SI"/>
        </w:rPr>
      </w:pPr>
      <w:r>
        <w:rPr>
          <w:szCs w:val="20"/>
          <w:lang w:eastAsia="sl-SI"/>
        </w:rPr>
        <w:t xml:space="preserve">Plaučių, bronchų (bronchitas), gerklės ir (arba) sinusų uždegimas, tam tikrų baltųjų kraujo </w:t>
      </w:r>
      <w:r w:rsidR="001C4737">
        <w:rPr>
          <w:szCs w:val="20"/>
          <w:lang w:eastAsia="sl-SI"/>
        </w:rPr>
        <w:t>kūnelių</w:t>
      </w:r>
      <w:r>
        <w:rPr>
          <w:szCs w:val="20"/>
          <w:lang w:eastAsia="sl-SI"/>
        </w:rPr>
        <w:t xml:space="preserve"> kiekio padidėjimas (</w:t>
      </w:r>
      <w:proofErr w:type="spellStart"/>
      <w:r>
        <w:rPr>
          <w:szCs w:val="20"/>
          <w:lang w:eastAsia="sl-SI"/>
        </w:rPr>
        <w:t>eozinofilija</w:t>
      </w:r>
      <w:proofErr w:type="spellEnd"/>
      <w:r>
        <w:rPr>
          <w:szCs w:val="20"/>
          <w:lang w:eastAsia="sl-SI"/>
        </w:rPr>
        <w:t xml:space="preserve">), </w:t>
      </w:r>
      <w:r w:rsidR="001C4737">
        <w:rPr>
          <w:szCs w:val="20"/>
          <w:lang w:eastAsia="sl-SI"/>
        </w:rPr>
        <w:t>mažas trombocitų skaičius (</w:t>
      </w:r>
      <w:proofErr w:type="spellStart"/>
      <w:r w:rsidR="001C4737">
        <w:rPr>
          <w:szCs w:val="20"/>
          <w:lang w:eastAsia="sl-SI"/>
        </w:rPr>
        <w:t>trombocitopenija</w:t>
      </w:r>
      <w:proofErr w:type="spellEnd"/>
      <w:r w:rsidR="001C4737">
        <w:rPr>
          <w:szCs w:val="20"/>
          <w:lang w:eastAsia="sl-SI"/>
        </w:rPr>
        <w:t xml:space="preserve">), dėl kurio padidėja kraujavimo ar kraujosruvų rizika (maži violetiniai raudoni taškeliai odoje ar kituose audiniuose dėl kraujavimo), </w:t>
      </w:r>
      <w:r>
        <w:rPr>
          <w:szCs w:val="20"/>
          <w:lang w:eastAsia="sl-SI"/>
        </w:rPr>
        <w:t xml:space="preserve">sunki alerginė reakcija (pvz., padidėjęs jautrumas, anafilaksinė reakcija, vaistų sukeltas </w:t>
      </w:r>
      <w:r w:rsidR="001C4737">
        <w:rPr>
          <w:szCs w:val="20"/>
          <w:lang w:eastAsia="sl-SI"/>
        </w:rPr>
        <w:t>bėrimas</w:t>
      </w:r>
      <w:r>
        <w:rPr>
          <w:szCs w:val="20"/>
          <w:lang w:eastAsia="sl-SI"/>
        </w:rPr>
        <w:t xml:space="preserve">), mažas cukraus kiekis kraujyje (diabetu sergantiems pacientams), didelis kalcio kiekis kraujyje, </w:t>
      </w:r>
      <w:r w:rsidR="001C4737">
        <w:rPr>
          <w:szCs w:val="20"/>
          <w:lang w:eastAsia="sl-SI"/>
        </w:rPr>
        <w:t>per didelis cukraus kiekis kraujyje (hiperglikemija), miego sutrikimai, sumišimas, neryškus matymas, plaučių edema, skrandžio uždegimas, diskomfortas pilve, sutrikusi kepenų funkcija, gelta, tulžies medžiagų perteklius kraujyje (</w:t>
      </w:r>
      <w:proofErr w:type="spellStart"/>
      <w:r w:rsidR="001C4737">
        <w:rPr>
          <w:szCs w:val="20"/>
          <w:lang w:eastAsia="sl-SI"/>
        </w:rPr>
        <w:t>cholestazė</w:t>
      </w:r>
      <w:proofErr w:type="spellEnd"/>
      <w:r w:rsidR="001C4737">
        <w:rPr>
          <w:szCs w:val="20"/>
          <w:lang w:eastAsia="sl-SI"/>
        </w:rPr>
        <w:t>), odos paraudimas (</w:t>
      </w:r>
      <w:proofErr w:type="spellStart"/>
      <w:r w:rsidR="001C4737">
        <w:rPr>
          <w:szCs w:val="20"/>
          <w:lang w:eastAsia="sl-SI"/>
        </w:rPr>
        <w:t>eritema</w:t>
      </w:r>
      <w:proofErr w:type="spellEnd"/>
      <w:r w:rsidR="001C4737">
        <w:rPr>
          <w:szCs w:val="20"/>
          <w:lang w:eastAsia="sl-SI"/>
        </w:rPr>
        <w:t>), egzema (odos sutrikimas), vaistų sukeltas išbėrimas, toksinis odos išbėrimas, jautrumas šviesai, galūnių skausmas (kojų skausmas), sausgyslių skausmas (</w:t>
      </w:r>
      <w:proofErr w:type="spellStart"/>
      <w:r w:rsidR="001C4737">
        <w:rPr>
          <w:szCs w:val="20"/>
          <w:lang w:eastAsia="sl-SI"/>
        </w:rPr>
        <w:t>tendinito</w:t>
      </w:r>
      <w:proofErr w:type="spellEnd"/>
      <w:r w:rsidR="001C4737">
        <w:rPr>
          <w:szCs w:val="20"/>
          <w:lang w:eastAsia="sl-SI"/>
        </w:rPr>
        <w:t xml:space="preserve"> simptomai), sisteminė raudonoji vilkligė (liga, kai organizmo imuninė sistema atakuoja organizmą), gliukozė šlapime (</w:t>
      </w:r>
      <w:proofErr w:type="spellStart"/>
      <w:r w:rsidR="001C4737">
        <w:rPr>
          <w:szCs w:val="20"/>
          <w:lang w:eastAsia="sl-SI"/>
        </w:rPr>
        <w:t>gliukozurija</w:t>
      </w:r>
      <w:proofErr w:type="spellEnd"/>
      <w:r w:rsidR="001C4737">
        <w:rPr>
          <w:szCs w:val="20"/>
          <w:lang w:eastAsia="sl-SI"/>
        </w:rPr>
        <w:t xml:space="preserve">), į gripą panaši liga, kepenų fermentų ar </w:t>
      </w:r>
      <w:proofErr w:type="spellStart"/>
      <w:r w:rsidR="001C4737">
        <w:rPr>
          <w:szCs w:val="20"/>
          <w:lang w:eastAsia="sl-SI"/>
        </w:rPr>
        <w:t>kreatinfosfokinazės</w:t>
      </w:r>
      <w:proofErr w:type="spellEnd"/>
      <w:r w:rsidR="001C4737">
        <w:rPr>
          <w:szCs w:val="20"/>
          <w:lang w:eastAsia="sl-SI"/>
        </w:rPr>
        <w:t xml:space="preserve"> kiekis kraujyje, sumažėjęs hemoglobino (kraujo baltymo) kiekis</w:t>
      </w:r>
      <w:r>
        <w:rPr>
          <w:szCs w:val="20"/>
          <w:lang w:eastAsia="sl-SI"/>
        </w:rPr>
        <w:t>.</w:t>
      </w:r>
    </w:p>
    <w:p w14:paraId="38911AE5" w14:textId="77777777" w:rsidR="00926BD6" w:rsidRDefault="00926BD6">
      <w:pPr>
        <w:autoSpaceDE w:val="0"/>
        <w:autoSpaceDN w:val="0"/>
        <w:adjustRightInd w:val="0"/>
        <w:rPr>
          <w:szCs w:val="20"/>
          <w:lang w:eastAsia="sl-SI"/>
        </w:rPr>
      </w:pPr>
    </w:p>
    <w:p w14:paraId="0D7B5A0D" w14:textId="77777777" w:rsidR="00D25008" w:rsidRDefault="00FE2A61">
      <w:pPr>
        <w:autoSpaceDE w:val="0"/>
        <w:autoSpaceDN w:val="0"/>
        <w:adjustRightInd w:val="0"/>
        <w:rPr>
          <w:szCs w:val="22"/>
          <w:u w:val="single"/>
          <w:lang w:eastAsia="sl-SI"/>
        </w:rPr>
      </w:pPr>
      <w:r>
        <w:rPr>
          <w:szCs w:val="22"/>
          <w:u w:val="single"/>
          <w:lang w:eastAsia="sl-SI"/>
        </w:rPr>
        <w:t>Labai reti šalutinio poveikio reiškiniai (gali pasireikšti rečiau kaip 1 iš 10 000 asmenų):</w:t>
      </w:r>
    </w:p>
    <w:p w14:paraId="6822DC09" w14:textId="1854ED13" w:rsidR="00D25008" w:rsidRDefault="001C4737">
      <w:pPr>
        <w:autoSpaceDE w:val="0"/>
        <w:autoSpaceDN w:val="0"/>
        <w:adjustRightInd w:val="0"/>
        <w:rPr>
          <w:szCs w:val="22"/>
          <w:lang w:eastAsia="sl-SI"/>
        </w:rPr>
      </w:pPr>
      <w:r>
        <w:rPr>
          <w:szCs w:val="22"/>
          <w:lang w:eastAsia="sl-SI"/>
        </w:rPr>
        <w:t>Baltųjų kraujo kūnelių skaičiaus sumažėjimas (</w:t>
      </w:r>
      <w:proofErr w:type="spellStart"/>
      <w:r>
        <w:rPr>
          <w:szCs w:val="22"/>
          <w:lang w:eastAsia="sl-SI"/>
        </w:rPr>
        <w:t>leukocitopenija</w:t>
      </w:r>
      <w:proofErr w:type="spellEnd"/>
      <w:r>
        <w:rPr>
          <w:szCs w:val="22"/>
          <w:lang w:eastAsia="sl-SI"/>
        </w:rPr>
        <w:t xml:space="preserve">, </w:t>
      </w:r>
      <w:proofErr w:type="spellStart"/>
      <w:r>
        <w:rPr>
          <w:szCs w:val="22"/>
          <w:lang w:eastAsia="sl-SI"/>
        </w:rPr>
        <w:t>agranulocitozė</w:t>
      </w:r>
      <w:proofErr w:type="spellEnd"/>
      <w:r>
        <w:rPr>
          <w:szCs w:val="22"/>
          <w:lang w:eastAsia="sl-SI"/>
        </w:rPr>
        <w:t xml:space="preserve">), nenormalus raudonųjų kraujo kūnelių irimas, kaulų čiulpų nesugebėjimas tinkamai funkcionuoti, alerginės reakcijos, padidėjęs pH dėl mažo chloridų kiekio kraujyje (sutrikusi rūgščių ir šarmų pusiausvyra, </w:t>
      </w:r>
      <w:proofErr w:type="spellStart"/>
      <w:r>
        <w:rPr>
          <w:szCs w:val="22"/>
          <w:lang w:eastAsia="sl-SI"/>
        </w:rPr>
        <w:t>hipochloreminė</w:t>
      </w:r>
      <w:proofErr w:type="spellEnd"/>
      <w:r>
        <w:rPr>
          <w:szCs w:val="22"/>
          <w:lang w:eastAsia="sl-SI"/>
        </w:rPr>
        <w:t xml:space="preserve"> </w:t>
      </w:r>
      <w:proofErr w:type="spellStart"/>
      <w:r>
        <w:rPr>
          <w:szCs w:val="22"/>
          <w:lang w:eastAsia="sl-SI"/>
        </w:rPr>
        <w:t>alkalozė</w:t>
      </w:r>
      <w:proofErr w:type="spellEnd"/>
      <w:r>
        <w:rPr>
          <w:szCs w:val="22"/>
          <w:lang w:eastAsia="sl-SI"/>
        </w:rPr>
        <w:t>), padidėjęs raumenų įtempimas, nervų sutrikimas, galintis sukelti raumenų silpnumą, dilgčiojimą ar tirpimą, kraujagyslių uždegimas (</w:t>
      </w:r>
      <w:proofErr w:type="spellStart"/>
      <w:r>
        <w:rPr>
          <w:szCs w:val="22"/>
          <w:lang w:eastAsia="sl-SI"/>
        </w:rPr>
        <w:t>nekrotizuojantis</w:t>
      </w:r>
      <w:proofErr w:type="spellEnd"/>
      <w:r>
        <w:rPr>
          <w:szCs w:val="22"/>
          <w:lang w:eastAsia="sl-SI"/>
        </w:rPr>
        <w:t xml:space="preserve"> </w:t>
      </w:r>
      <w:proofErr w:type="spellStart"/>
      <w:r>
        <w:rPr>
          <w:szCs w:val="22"/>
          <w:lang w:eastAsia="sl-SI"/>
        </w:rPr>
        <w:t>vaskulitas</w:t>
      </w:r>
      <w:proofErr w:type="spellEnd"/>
      <w:r>
        <w:rPr>
          <w:szCs w:val="22"/>
          <w:lang w:eastAsia="sl-SI"/>
        </w:rPr>
        <w:t>), progresuojantis</w:t>
      </w:r>
      <w:r w:rsidR="00FE2A61">
        <w:rPr>
          <w:szCs w:val="22"/>
          <w:lang w:eastAsia="sl-SI"/>
        </w:rPr>
        <w:t xml:space="preserve"> plaučių audinio randėjimas (</w:t>
      </w:r>
      <w:proofErr w:type="spellStart"/>
      <w:r w:rsidR="00FE2A61">
        <w:rPr>
          <w:szCs w:val="22"/>
          <w:lang w:eastAsia="sl-SI"/>
        </w:rPr>
        <w:t>intersticinė</w:t>
      </w:r>
      <w:proofErr w:type="spellEnd"/>
      <w:r w:rsidR="00FE2A61">
        <w:rPr>
          <w:szCs w:val="22"/>
          <w:lang w:eastAsia="sl-SI"/>
        </w:rPr>
        <w:t xml:space="preserve"> plaučių liga)*, ūminis kvėpavimo sutrikimas (požymiai yra stiprus dusulys</w:t>
      </w:r>
      <w:r>
        <w:rPr>
          <w:szCs w:val="22"/>
          <w:lang w:eastAsia="sl-SI"/>
        </w:rPr>
        <w:t xml:space="preserve">), </w:t>
      </w:r>
      <w:r w:rsidR="00FE2A61">
        <w:rPr>
          <w:szCs w:val="22"/>
          <w:lang w:eastAsia="sl-SI"/>
        </w:rPr>
        <w:t xml:space="preserve">dantenų patinimas, kepenų uždegimas (hepatitas), </w:t>
      </w:r>
      <w:r>
        <w:rPr>
          <w:szCs w:val="22"/>
          <w:lang w:eastAsia="sl-SI"/>
        </w:rPr>
        <w:t xml:space="preserve">į vilkligę panašus sindromas (būklė, imituojanti ligą, vadinamą sistemine raudonąja vilklige, kai organizmo imuninė sistema </w:t>
      </w:r>
      <w:r>
        <w:rPr>
          <w:szCs w:val="22"/>
          <w:lang w:eastAsia="sl-SI"/>
        </w:rPr>
        <w:lastRenderedPageBreak/>
        <w:t>atakuoja organizmą), lūpų, akių ar burnos pūslės,</w:t>
      </w:r>
      <w:r w:rsidR="00FE2A61">
        <w:rPr>
          <w:szCs w:val="22"/>
          <w:lang w:eastAsia="sl-SI"/>
        </w:rPr>
        <w:t xml:space="preserve"> odos </w:t>
      </w:r>
      <w:r>
        <w:rPr>
          <w:szCs w:val="22"/>
          <w:lang w:eastAsia="sl-SI"/>
        </w:rPr>
        <w:t xml:space="preserve">lupimasis, karščiavimas (galimi daugiaformės </w:t>
      </w:r>
      <w:proofErr w:type="spellStart"/>
      <w:r>
        <w:rPr>
          <w:szCs w:val="22"/>
          <w:lang w:eastAsia="sl-SI"/>
        </w:rPr>
        <w:t>eritemos</w:t>
      </w:r>
      <w:proofErr w:type="spellEnd"/>
      <w:r>
        <w:rPr>
          <w:szCs w:val="22"/>
          <w:lang w:eastAsia="sl-SI"/>
        </w:rPr>
        <w:t xml:space="preserve"> požymiai).</w:t>
      </w:r>
    </w:p>
    <w:p w14:paraId="1C60319E" w14:textId="77777777" w:rsidR="00D25008" w:rsidRDefault="00FE2A61">
      <w:pPr>
        <w:autoSpaceDE w:val="0"/>
        <w:autoSpaceDN w:val="0"/>
        <w:adjustRightInd w:val="0"/>
        <w:rPr>
          <w:szCs w:val="22"/>
          <w:lang w:eastAsia="sl-SI"/>
        </w:rPr>
      </w:pPr>
      <w:r>
        <w:rPr>
          <w:szCs w:val="22"/>
          <w:lang w:eastAsia="sl-SI"/>
        </w:rPr>
        <w:t xml:space="preserve">*Vartojant </w:t>
      </w:r>
      <w:proofErr w:type="spellStart"/>
      <w:r>
        <w:rPr>
          <w:szCs w:val="22"/>
          <w:lang w:eastAsia="sl-SI"/>
        </w:rPr>
        <w:t>telmisartano</w:t>
      </w:r>
      <w:proofErr w:type="spellEnd"/>
      <w:r>
        <w:rPr>
          <w:szCs w:val="22"/>
          <w:lang w:eastAsia="sl-SI"/>
        </w:rPr>
        <w:t xml:space="preserve"> buvo pranešta apie progresuojančio plaučių audinio randėjimo atvejus. Vis dėlto nežinoma, ar </w:t>
      </w:r>
      <w:proofErr w:type="spellStart"/>
      <w:r>
        <w:rPr>
          <w:szCs w:val="22"/>
          <w:lang w:eastAsia="sl-SI"/>
        </w:rPr>
        <w:t>telmisartanas</w:t>
      </w:r>
      <w:proofErr w:type="spellEnd"/>
      <w:r>
        <w:rPr>
          <w:szCs w:val="22"/>
          <w:lang w:eastAsia="sl-SI"/>
        </w:rPr>
        <w:t xml:space="preserve"> buvo tokio poveikio priežastis.</w:t>
      </w:r>
    </w:p>
    <w:p w14:paraId="315C46E7" w14:textId="77777777" w:rsidR="00D25008" w:rsidRDefault="00D25008">
      <w:pPr>
        <w:autoSpaceDE w:val="0"/>
        <w:autoSpaceDN w:val="0"/>
        <w:adjustRightInd w:val="0"/>
        <w:rPr>
          <w:szCs w:val="22"/>
          <w:lang w:eastAsia="sl-SI"/>
        </w:rPr>
      </w:pPr>
    </w:p>
    <w:p w14:paraId="3C18D0DA" w14:textId="77777777" w:rsidR="00D25008" w:rsidRDefault="00FE2A61">
      <w:pPr>
        <w:autoSpaceDE w:val="0"/>
        <w:autoSpaceDN w:val="0"/>
        <w:adjustRightInd w:val="0"/>
        <w:rPr>
          <w:szCs w:val="22"/>
          <w:u w:val="single"/>
          <w:lang w:eastAsia="sl-SI"/>
        </w:rPr>
      </w:pPr>
      <w:r>
        <w:rPr>
          <w:szCs w:val="22"/>
          <w:u w:val="single"/>
          <w:lang w:eastAsia="sl-SI"/>
        </w:rPr>
        <w:t>Šalutinio poveikio reiškiniai, kurių dažnis nežinomas (negali būti apskaičiuotas pagal turimus duomenis):</w:t>
      </w:r>
    </w:p>
    <w:p w14:paraId="1F11193C" w14:textId="7E328C32" w:rsidR="00D25008" w:rsidRDefault="001C4737">
      <w:pPr>
        <w:widowControl w:val="0"/>
        <w:numPr>
          <w:ilvl w:val="12"/>
          <w:numId w:val="0"/>
        </w:numPr>
        <w:ind w:right="-2"/>
        <w:rPr>
          <w:szCs w:val="20"/>
          <w:lang w:eastAsia="sl-SI"/>
        </w:rPr>
      </w:pPr>
      <w:r>
        <w:rPr>
          <w:szCs w:val="20"/>
          <w:lang w:eastAsia="sl-SI"/>
        </w:rPr>
        <w:t xml:space="preserve">Odos </w:t>
      </w:r>
      <w:r w:rsidR="00FE2A61">
        <w:rPr>
          <w:szCs w:val="20"/>
          <w:lang w:eastAsia="sl-SI"/>
        </w:rPr>
        <w:t>ir lūpų vėžys (</w:t>
      </w:r>
      <w:proofErr w:type="spellStart"/>
      <w:r w:rsidR="00FE2A61">
        <w:rPr>
          <w:szCs w:val="20"/>
          <w:lang w:eastAsia="sl-SI"/>
        </w:rPr>
        <w:t>nemelanominis</w:t>
      </w:r>
      <w:proofErr w:type="spellEnd"/>
      <w:r w:rsidR="00FE2A61">
        <w:rPr>
          <w:szCs w:val="20"/>
          <w:lang w:eastAsia="sl-SI"/>
        </w:rPr>
        <w:t xml:space="preserve"> odos vėžys), </w:t>
      </w:r>
      <w:r>
        <w:rPr>
          <w:szCs w:val="20"/>
          <w:lang w:eastAsia="sl-SI"/>
        </w:rPr>
        <w:t>kraujo ląstelių trūkumas (</w:t>
      </w:r>
      <w:proofErr w:type="spellStart"/>
      <w:r>
        <w:rPr>
          <w:szCs w:val="20"/>
          <w:lang w:eastAsia="sl-SI"/>
        </w:rPr>
        <w:t>aplazinė</w:t>
      </w:r>
      <w:proofErr w:type="spellEnd"/>
      <w:r>
        <w:rPr>
          <w:szCs w:val="20"/>
          <w:lang w:eastAsia="sl-SI"/>
        </w:rPr>
        <w:t xml:space="preserve"> anemija), drebulys, sustingusi laikysena, kaukės tipo veidas, lėti judesiai ir šlubčiojimas, nesubalansuota eisena, </w:t>
      </w:r>
      <w:r w:rsidR="00FE2A61">
        <w:rPr>
          <w:szCs w:val="20"/>
          <w:lang w:eastAsia="sl-SI"/>
        </w:rPr>
        <w:t xml:space="preserve">regėjimo </w:t>
      </w:r>
      <w:r>
        <w:rPr>
          <w:szCs w:val="20"/>
          <w:lang w:eastAsia="sl-SI"/>
        </w:rPr>
        <w:t>sutrikimas</w:t>
      </w:r>
      <w:r w:rsidR="00FE2A61">
        <w:rPr>
          <w:szCs w:val="20"/>
          <w:lang w:eastAsia="sl-SI"/>
        </w:rPr>
        <w:t xml:space="preserve"> arba akių skausmas dėl </w:t>
      </w:r>
      <w:r>
        <w:rPr>
          <w:szCs w:val="20"/>
          <w:lang w:eastAsia="sl-SI"/>
        </w:rPr>
        <w:t>padidėjusio</w:t>
      </w:r>
      <w:r w:rsidR="00FE2A61">
        <w:rPr>
          <w:szCs w:val="20"/>
          <w:lang w:eastAsia="sl-SI"/>
        </w:rPr>
        <w:t xml:space="preserve"> spaudimo (galimi </w:t>
      </w:r>
      <w:r>
        <w:rPr>
          <w:szCs w:val="20"/>
          <w:lang w:eastAsia="sl-SI"/>
        </w:rPr>
        <w:t>skysčių kaupimosi</w:t>
      </w:r>
      <w:r w:rsidR="00FE2A61">
        <w:rPr>
          <w:rFonts w:eastAsia="Calibri"/>
          <w:szCs w:val="22"/>
          <w:lang w:eastAsia="sl-SI"/>
        </w:rPr>
        <w:t xml:space="preserve"> akies kraujagysliniame </w:t>
      </w:r>
      <w:r>
        <w:rPr>
          <w:szCs w:val="20"/>
          <w:lang w:eastAsia="sl-SI"/>
        </w:rPr>
        <w:t xml:space="preserve">sluoksnyje </w:t>
      </w:r>
      <w:r w:rsidR="009C0803">
        <w:rPr>
          <w:szCs w:val="20"/>
          <w:lang w:eastAsia="sl-SI"/>
        </w:rPr>
        <w:t>[</w:t>
      </w:r>
      <w:proofErr w:type="spellStart"/>
      <w:r w:rsidR="00FE2A61">
        <w:rPr>
          <w:rFonts w:eastAsia="Calibri"/>
          <w:szCs w:val="22"/>
          <w:lang w:eastAsia="sl-SI"/>
        </w:rPr>
        <w:t>gyslainės</w:t>
      </w:r>
      <w:proofErr w:type="spellEnd"/>
      <w:r w:rsidR="00FE2A61">
        <w:rPr>
          <w:rFonts w:eastAsia="Calibri"/>
          <w:szCs w:val="22"/>
          <w:lang w:eastAsia="sl-SI"/>
        </w:rPr>
        <w:t xml:space="preserve"> </w:t>
      </w:r>
      <w:proofErr w:type="spellStart"/>
      <w:r>
        <w:rPr>
          <w:szCs w:val="20"/>
          <w:lang w:eastAsia="sl-SI"/>
        </w:rPr>
        <w:t>efuzijos</w:t>
      </w:r>
      <w:proofErr w:type="spellEnd"/>
      <w:r w:rsidR="009C0803">
        <w:rPr>
          <w:rFonts w:eastAsia="Calibri"/>
          <w:szCs w:val="22"/>
          <w:lang w:eastAsia="sl-SI"/>
        </w:rPr>
        <w:t>]</w:t>
      </w:r>
      <w:r w:rsidR="00FE2A61">
        <w:rPr>
          <w:szCs w:val="20"/>
          <w:lang w:eastAsia="sl-SI"/>
        </w:rPr>
        <w:t xml:space="preserve"> arba ūminės trumparegystės ar ūminės </w:t>
      </w:r>
      <w:r>
        <w:rPr>
          <w:szCs w:val="20"/>
          <w:lang w:eastAsia="sl-SI"/>
        </w:rPr>
        <w:t xml:space="preserve">uždaro </w:t>
      </w:r>
      <w:r w:rsidR="00FE2A61">
        <w:rPr>
          <w:szCs w:val="20"/>
          <w:lang w:eastAsia="sl-SI"/>
        </w:rPr>
        <w:t>kampo glaukomos požymiai</w:t>
      </w:r>
      <w:r>
        <w:rPr>
          <w:szCs w:val="20"/>
          <w:lang w:eastAsia="sl-SI"/>
        </w:rPr>
        <w:t>).</w:t>
      </w:r>
      <w:r w:rsidR="00FE2A61">
        <w:t>ž</w:t>
      </w:r>
      <w:r w:rsidR="00FE2A61">
        <w:rPr>
          <w:szCs w:val="20"/>
          <w:lang w:eastAsia="sl-SI"/>
        </w:rPr>
        <w:t xml:space="preserve">arnyno </w:t>
      </w:r>
      <w:proofErr w:type="spellStart"/>
      <w:r w:rsidR="00FE2A61">
        <w:rPr>
          <w:szCs w:val="20"/>
          <w:lang w:eastAsia="sl-SI"/>
        </w:rPr>
        <w:t>angioneurozinė</w:t>
      </w:r>
      <w:proofErr w:type="spellEnd"/>
      <w:r w:rsidR="00FE2A61">
        <w:rPr>
          <w:szCs w:val="20"/>
          <w:lang w:eastAsia="sl-SI"/>
        </w:rPr>
        <w:t xml:space="preserve"> edema: gauta pranešimų apie vartojant panašius preparatus pasireiškusį tinimą žarnyne su tokiais simptomais kaip pilvo skausmas, pykinimas, vėmimas ir viduriavimas.</w:t>
      </w:r>
    </w:p>
    <w:p w14:paraId="4F325FAB" w14:textId="77777777" w:rsidR="00081981" w:rsidRDefault="00081981">
      <w:pPr>
        <w:widowControl w:val="0"/>
        <w:numPr>
          <w:ilvl w:val="12"/>
          <w:numId w:val="0"/>
        </w:numPr>
        <w:ind w:right="-2"/>
        <w:rPr>
          <w:szCs w:val="22"/>
          <w:lang w:eastAsia="sl-SI"/>
        </w:rPr>
      </w:pPr>
    </w:p>
    <w:p w14:paraId="6E01C4B2" w14:textId="77777777" w:rsidR="00D25008" w:rsidRDefault="00D25008">
      <w:pPr>
        <w:widowControl w:val="0"/>
        <w:numPr>
          <w:ilvl w:val="12"/>
          <w:numId w:val="0"/>
        </w:numPr>
        <w:ind w:right="-2"/>
        <w:rPr>
          <w:szCs w:val="22"/>
          <w:lang w:eastAsia="sl-SI"/>
        </w:rPr>
      </w:pPr>
    </w:p>
    <w:p w14:paraId="54E3DFD1" w14:textId="77777777" w:rsidR="00D25008" w:rsidRDefault="00FE2A61">
      <w:pPr>
        <w:jc w:val="both"/>
        <w:rPr>
          <w:szCs w:val="22"/>
          <w:lang w:eastAsia="lt-LT"/>
        </w:rPr>
      </w:pPr>
      <w:r>
        <w:rPr>
          <w:b/>
          <w:bCs/>
          <w:szCs w:val="22"/>
          <w:lang w:eastAsia="lt-LT"/>
        </w:rPr>
        <w:t>Pranešimas apie šalutinį poveikį</w:t>
      </w:r>
    </w:p>
    <w:p w14:paraId="450E3835" w14:textId="58D9824D" w:rsidR="00D25008" w:rsidRDefault="00FE2A61">
      <w:pPr>
        <w:tabs>
          <w:tab w:val="left" w:pos="567"/>
        </w:tabs>
        <w:spacing w:line="260" w:lineRule="exact"/>
        <w:ind w:right="-1"/>
        <w:rPr>
          <w:szCs w:val="20"/>
        </w:rPr>
      </w:pPr>
      <w:r>
        <w:rPr>
          <w:szCs w:val="22"/>
          <w:lang w:eastAsia="lt-LT"/>
        </w:rPr>
        <w:t xml:space="preserve">Jeigu pasireiškė šalutinis poveikis, įskaitant šiame lapelyje nenurodytą, pasakykite gydytojui, vaistininkui arba slaugytojui. </w:t>
      </w:r>
      <w:bookmarkStart w:id="34" w:name="_Hlk173407583"/>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w:t>
      </w:r>
      <w:r w:rsidR="00B90778">
        <w:rPr>
          <w:szCs w:val="22"/>
          <w:lang w:eastAsia="lt-LT"/>
        </w:rPr>
        <w:t>+370</w:t>
      </w:r>
      <w:r>
        <w:rPr>
          <w:szCs w:val="22"/>
          <w:lang w:eastAsia="lt-LT"/>
        </w:rPr>
        <w:t xml:space="preserve"> 800 73 568. Pranešdami apie šalutinį poveikį galite mums padėti gauti daugiau informacijos apie šio vaisto saugumą</w:t>
      </w:r>
      <w:r>
        <w:rPr>
          <w:szCs w:val="20"/>
        </w:rPr>
        <w:t>.</w:t>
      </w:r>
      <w:bookmarkEnd w:id="34"/>
    </w:p>
    <w:p w14:paraId="056216FE" w14:textId="77777777" w:rsidR="00D25008" w:rsidRDefault="00D25008">
      <w:pPr>
        <w:widowControl w:val="0"/>
        <w:autoSpaceDE w:val="0"/>
        <w:autoSpaceDN w:val="0"/>
        <w:rPr>
          <w:color w:val="000000"/>
          <w:szCs w:val="22"/>
        </w:rPr>
      </w:pPr>
    </w:p>
    <w:p w14:paraId="1F18BEFB" w14:textId="77777777" w:rsidR="00D25008" w:rsidRDefault="00D25008">
      <w:pPr>
        <w:widowControl w:val="0"/>
        <w:autoSpaceDE w:val="0"/>
        <w:autoSpaceDN w:val="0"/>
        <w:rPr>
          <w:color w:val="000000"/>
          <w:szCs w:val="22"/>
        </w:rPr>
      </w:pPr>
    </w:p>
    <w:p w14:paraId="13635936" w14:textId="77777777" w:rsidR="00D25008" w:rsidRDefault="00FE2A61">
      <w:pPr>
        <w:numPr>
          <w:ilvl w:val="12"/>
          <w:numId w:val="0"/>
        </w:numPr>
        <w:ind w:left="567" w:right="-2" w:hanging="567"/>
        <w:rPr>
          <w:noProof/>
        </w:rPr>
      </w:pPr>
      <w:r>
        <w:rPr>
          <w:b/>
          <w:noProof/>
        </w:rPr>
        <w:t>5.</w:t>
      </w:r>
      <w:r>
        <w:rPr>
          <w:b/>
          <w:noProof/>
        </w:rPr>
        <w:tab/>
        <w:t>Kaip laikyti Tolvecom</w:t>
      </w:r>
    </w:p>
    <w:p w14:paraId="65621EAB" w14:textId="77777777" w:rsidR="00D25008" w:rsidRDefault="00D25008">
      <w:pPr>
        <w:numPr>
          <w:ilvl w:val="12"/>
          <w:numId w:val="0"/>
        </w:numPr>
        <w:ind w:right="-2"/>
        <w:rPr>
          <w:noProof/>
        </w:rPr>
      </w:pPr>
    </w:p>
    <w:p w14:paraId="003F6CDA" w14:textId="77777777" w:rsidR="00D25008" w:rsidRDefault="00FE2A61">
      <w:pPr>
        <w:numPr>
          <w:ilvl w:val="12"/>
          <w:numId w:val="0"/>
        </w:numPr>
        <w:ind w:right="-2"/>
        <w:rPr>
          <w:noProof/>
        </w:rPr>
      </w:pPr>
      <w:r>
        <w:t>Šį vaistą laikykite</w:t>
      </w:r>
      <w:r>
        <w:rPr>
          <w:noProof/>
        </w:rPr>
        <w:t xml:space="preserve"> vaikams nepastebimoje ir nepasiekiamoje vietoje.</w:t>
      </w:r>
    </w:p>
    <w:p w14:paraId="1C3F9BCC" w14:textId="77777777" w:rsidR="00D25008" w:rsidRDefault="00D25008">
      <w:pPr>
        <w:numPr>
          <w:ilvl w:val="12"/>
          <w:numId w:val="0"/>
        </w:numPr>
        <w:ind w:right="-2"/>
        <w:rPr>
          <w:noProof/>
        </w:rPr>
      </w:pPr>
    </w:p>
    <w:p w14:paraId="4F48A838" w14:textId="77777777" w:rsidR="00D25008" w:rsidRDefault="00FE2A61">
      <w:pPr>
        <w:pStyle w:val="Pagrindinistekstas"/>
        <w:rPr>
          <w:i w:val="0"/>
          <w:iCs/>
          <w:noProof/>
          <w:color w:val="auto"/>
          <w:lang w:val="lt-LT"/>
        </w:rPr>
      </w:pPr>
      <w:r>
        <w:rPr>
          <w:i w:val="0"/>
          <w:iCs/>
          <w:noProof/>
          <w:color w:val="auto"/>
          <w:lang w:val="lt-LT"/>
        </w:rPr>
        <w:t>Ant dėžutės ir lizdinės plokštelės po „EXP“ nurodytam tinkamumo laikui pasibaigus, šio vaisto vartoti negalima. Vaistas tinkamas vartoti iki paskutinės nurodyto mėnesio dienos.</w:t>
      </w:r>
    </w:p>
    <w:p w14:paraId="316A3CAB" w14:textId="77777777" w:rsidR="00D25008" w:rsidRDefault="00D25008">
      <w:pPr>
        <w:numPr>
          <w:ilvl w:val="12"/>
          <w:numId w:val="0"/>
        </w:numPr>
        <w:ind w:right="-2"/>
        <w:rPr>
          <w:noProof/>
        </w:rPr>
      </w:pPr>
    </w:p>
    <w:p w14:paraId="53A63B2B" w14:textId="77777777" w:rsidR="00D25008" w:rsidRDefault="00FE2A61">
      <w:pPr>
        <w:numPr>
          <w:ilvl w:val="12"/>
          <w:numId w:val="0"/>
        </w:numPr>
        <w:ind w:right="-2"/>
        <w:rPr>
          <w:noProof/>
        </w:rPr>
      </w:pPr>
      <w:r>
        <w:rPr>
          <w:noProof/>
        </w:rPr>
        <w:t>Laikyti gamintojo pakuotėje, kad vaistas būtų apsaugotas nuo šviesos ir drėgmės.</w:t>
      </w:r>
    </w:p>
    <w:p w14:paraId="2B38D2AA" w14:textId="77777777" w:rsidR="00D25008" w:rsidRDefault="00FE2A61">
      <w:pPr>
        <w:numPr>
          <w:ilvl w:val="12"/>
          <w:numId w:val="0"/>
        </w:numPr>
        <w:ind w:right="-2"/>
        <w:rPr>
          <w:noProof/>
        </w:rPr>
      </w:pPr>
      <w:r>
        <w:rPr>
          <w:noProof/>
        </w:rPr>
        <w:t>Šio vaisto laikymui specialių temperatūros sąlygų nereikalaujama.</w:t>
      </w:r>
    </w:p>
    <w:p w14:paraId="3DF688C4" w14:textId="77777777" w:rsidR="00D25008" w:rsidRDefault="00D25008">
      <w:pPr>
        <w:numPr>
          <w:ilvl w:val="12"/>
          <w:numId w:val="0"/>
        </w:numPr>
        <w:ind w:right="-2"/>
        <w:rPr>
          <w:noProof/>
        </w:rPr>
      </w:pPr>
    </w:p>
    <w:p w14:paraId="35E9AC35" w14:textId="77777777" w:rsidR="00D25008" w:rsidRDefault="00FE2A61">
      <w:pPr>
        <w:numPr>
          <w:ilvl w:val="12"/>
          <w:numId w:val="0"/>
        </w:numPr>
        <w:ind w:right="-2"/>
      </w:pPr>
      <w:r>
        <w:t>Vaistų negalima išmesti į kanalizaciją arba su buitinėmis atliekomis. Kaip išmesti nereikalingus vaistus, klauskite vaistininko. Šios priemonės padės apsaugoti aplinką.</w:t>
      </w:r>
    </w:p>
    <w:p w14:paraId="60804166" w14:textId="77777777" w:rsidR="00D25008" w:rsidRDefault="00D25008">
      <w:pPr>
        <w:numPr>
          <w:ilvl w:val="12"/>
          <w:numId w:val="0"/>
        </w:numPr>
        <w:ind w:right="-2"/>
      </w:pPr>
    </w:p>
    <w:p w14:paraId="3359BF38" w14:textId="77777777" w:rsidR="00D25008" w:rsidRDefault="00D25008">
      <w:pPr>
        <w:numPr>
          <w:ilvl w:val="12"/>
          <w:numId w:val="0"/>
        </w:numPr>
        <w:ind w:right="-2"/>
        <w:rPr>
          <w:noProof/>
        </w:rPr>
      </w:pPr>
    </w:p>
    <w:p w14:paraId="1509A708" w14:textId="77777777" w:rsidR="00D25008" w:rsidRDefault="00FE2A61">
      <w:pPr>
        <w:numPr>
          <w:ilvl w:val="12"/>
          <w:numId w:val="0"/>
        </w:numPr>
        <w:ind w:right="-2"/>
        <w:rPr>
          <w:b/>
          <w:noProof/>
        </w:rPr>
      </w:pPr>
      <w:r>
        <w:rPr>
          <w:b/>
          <w:noProof/>
        </w:rPr>
        <w:t>6.</w:t>
      </w:r>
      <w:r>
        <w:rPr>
          <w:b/>
          <w:noProof/>
        </w:rPr>
        <w:tab/>
        <w:t>Pakuotės turinys ir kita informacija</w:t>
      </w:r>
    </w:p>
    <w:p w14:paraId="2E598FA9" w14:textId="77777777" w:rsidR="00D25008" w:rsidRDefault="00D25008">
      <w:pPr>
        <w:numPr>
          <w:ilvl w:val="12"/>
          <w:numId w:val="0"/>
        </w:numPr>
        <w:ind w:right="-2"/>
        <w:rPr>
          <w:noProof/>
        </w:rPr>
      </w:pPr>
    </w:p>
    <w:p w14:paraId="3CE91140" w14:textId="77777777" w:rsidR="00D25008" w:rsidRDefault="00FE2A61">
      <w:pPr>
        <w:numPr>
          <w:ilvl w:val="12"/>
          <w:numId w:val="0"/>
        </w:numPr>
        <w:ind w:right="-2"/>
        <w:rPr>
          <w:noProof/>
          <w:u w:val="single"/>
        </w:rPr>
      </w:pPr>
      <w:r>
        <w:rPr>
          <w:b/>
          <w:bCs/>
          <w:noProof/>
        </w:rPr>
        <w:t>Tolvecom sudėtis</w:t>
      </w:r>
    </w:p>
    <w:p w14:paraId="54478955" w14:textId="77777777" w:rsidR="00D25008" w:rsidRDefault="00FE2A61">
      <w:pPr>
        <w:numPr>
          <w:ilvl w:val="0"/>
          <w:numId w:val="1"/>
        </w:numPr>
        <w:ind w:left="567" w:right="-2" w:hanging="567"/>
        <w:rPr>
          <w:i/>
          <w:iCs/>
          <w:noProof/>
        </w:rPr>
      </w:pPr>
      <w:r>
        <w:rPr>
          <w:noProof/>
        </w:rPr>
        <w:t>Veikliosios medžiagos yra telmisartanas, amlodipinas ir hidrochlorotiazidas.</w:t>
      </w:r>
    </w:p>
    <w:p w14:paraId="576C6DD9" w14:textId="77777777" w:rsidR="00D25008" w:rsidRDefault="00FE2A61">
      <w:pPr>
        <w:ind w:left="567" w:right="-2"/>
        <w:rPr>
          <w:i/>
          <w:iCs/>
          <w:noProof/>
          <w:u w:val="single"/>
        </w:rPr>
      </w:pPr>
      <w:r>
        <w:rPr>
          <w:i/>
          <w:iCs/>
          <w:noProof/>
          <w:u w:val="single"/>
        </w:rPr>
        <w:t>Tolvecom 40 mg/5 mg/12,5 mg tabletės</w:t>
      </w:r>
    </w:p>
    <w:p w14:paraId="75BF1437" w14:textId="77777777" w:rsidR="00D25008" w:rsidRDefault="00FE2A61">
      <w:pPr>
        <w:ind w:left="567" w:right="-2"/>
        <w:rPr>
          <w:i/>
          <w:iCs/>
          <w:noProof/>
        </w:rPr>
      </w:pPr>
      <w:r>
        <w:rPr>
          <w:noProof/>
        </w:rPr>
        <w:t>Kiekvienoje tabletėje yra 40 mg telmisartano, 5 mg amlodipino (besilato pavidalu) ir 12,5 mg hidrochlorotiazido.</w:t>
      </w:r>
    </w:p>
    <w:p w14:paraId="3E7781E2" w14:textId="77777777" w:rsidR="00D25008" w:rsidRDefault="00FE2A61">
      <w:pPr>
        <w:ind w:left="567" w:right="-2"/>
        <w:rPr>
          <w:i/>
          <w:iCs/>
          <w:noProof/>
          <w:u w:val="single"/>
        </w:rPr>
      </w:pPr>
      <w:r>
        <w:rPr>
          <w:i/>
          <w:iCs/>
          <w:noProof/>
          <w:u w:val="single"/>
        </w:rPr>
        <w:t>Tolvecom 80 mg/5 mg/12,5 mg tabletės</w:t>
      </w:r>
    </w:p>
    <w:p w14:paraId="09BE9758" w14:textId="77777777" w:rsidR="00D25008" w:rsidRDefault="00FE2A61">
      <w:pPr>
        <w:ind w:left="567" w:right="-2"/>
        <w:rPr>
          <w:i/>
          <w:iCs/>
          <w:noProof/>
        </w:rPr>
      </w:pPr>
      <w:r>
        <w:rPr>
          <w:noProof/>
        </w:rPr>
        <w:t>Kiekvienoje tabletėje yra 80 mg telmisartano, 5 mg amlodipino (besilato pavidalu) ir 12,5 mg hidrochlorotiazido.</w:t>
      </w:r>
    </w:p>
    <w:p w14:paraId="6FC0AF15" w14:textId="77777777" w:rsidR="00D25008" w:rsidRDefault="00FE2A61">
      <w:pPr>
        <w:ind w:left="567" w:right="-2"/>
        <w:rPr>
          <w:i/>
          <w:iCs/>
          <w:noProof/>
          <w:u w:val="single"/>
        </w:rPr>
      </w:pPr>
      <w:r>
        <w:rPr>
          <w:i/>
          <w:iCs/>
          <w:noProof/>
          <w:u w:val="single"/>
        </w:rPr>
        <w:t>Tolvecom 80 mg/10 mg/12,5 mg tabletės</w:t>
      </w:r>
    </w:p>
    <w:p w14:paraId="4E09A799" w14:textId="77777777" w:rsidR="00D25008" w:rsidRDefault="00FE2A61">
      <w:pPr>
        <w:ind w:left="567" w:right="-2"/>
        <w:rPr>
          <w:i/>
          <w:iCs/>
          <w:noProof/>
        </w:rPr>
      </w:pPr>
      <w:r>
        <w:rPr>
          <w:noProof/>
        </w:rPr>
        <w:t>Kiekvienoje tabletėje yra 80 mg telmisartano, 10 mg amlodipino (besilato pavidalu) ir 12,5 mg hidrochlorotiazido.</w:t>
      </w:r>
    </w:p>
    <w:p w14:paraId="636F72DE" w14:textId="77777777" w:rsidR="00D25008" w:rsidRDefault="00FE2A61">
      <w:pPr>
        <w:ind w:left="567" w:right="-2"/>
        <w:rPr>
          <w:i/>
          <w:iCs/>
          <w:noProof/>
          <w:u w:val="single"/>
        </w:rPr>
      </w:pPr>
      <w:r>
        <w:rPr>
          <w:i/>
          <w:iCs/>
          <w:noProof/>
          <w:u w:val="single"/>
        </w:rPr>
        <w:t>Tolvecom 80 mg/10 mg/25 mg tabletės</w:t>
      </w:r>
    </w:p>
    <w:p w14:paraId="4596AA21" w14:textId="77777777" w:rsidR="00D25008" w:rsidRDefault="00FE2A61">
      <w:pPr>
        <w:ind w:left="567" w:right="-2"/>
        <w:rPr>
          <w:noProof/>
        </w:rPr>
      </w:pPr>
      <w:r>
        <w:rPr>
          <w:noProof/>
        </w:rPr>
        <w:t>Kiekvienoje tabletėje yra 80 mg telmisartano, 10 mg amlodipino (besilato pavidalu) ir 25 mg hidrochlorotiazido.</w:t>
      </w:r>
    </w:p>
    <w:p w14:paraId="40099B04" w14:textId="77777777" w:rsidR="00D25008" w:rsidRDefault="00FE2A61">
      <w:pPr>
        <w:widowControl w:val="0"/>
        <w:numPr>
          <w:ilvl w:val="0"/>
          <w:numId w:val="13"/>
        </w:numPr>
        <w:ind w:left="567" w:hanging="567"/>
        <w:contextualSpacing/>
        <w:rPr>
          <w:iCs/>
          <w:noProof/>
          <w:szCs w:val="22"/>
        </w:rPr>
      </w:pPr>
      <w:r>
        <w:rPr>
          <w:noProof/>
          <w:szCs w:val="22"/>
        </w:rPr>
        <w:t>Pagalbinės medžiagos yra povidonas K30, natrio hidroksidas, l</w:t>
      </w:r>
      <w:r>
        <w:rPr>
          <w:iCs/>
          <w:noProof/>
          <w:szCs w:val="22"/>
        </w:rPr>
        <w:t xml:space="preserve">aktozė monohidratas, megliuminas, krospovidonas, mikrokristalinė celiuliozė, natrio stearilfumaratas, pregelifikuotas </w:t>
      </w:r>
      <w:r>
        <w:rPr>
          <w:iCs/>
          <w:noProof/>
          <w:szCs w:val="22"/>
        </w:rPr>
        <w:lastRenderedPageBreak/>
        <w:t xml:space="preserve">krakmolas, karboksimetilkrakmolo A natrio druska, magnio stearatas, koloidinis bevandenis silicio dioksidas, geltonasis geležies oksidas (E172) (tik 40 mg/5 mg/12,5 mg, 80 mg/10 mg/12,5 mg ir 80 mg/10 mg/25 mg tabletėse) ir raudonasis geležies oksidas (E172) (tik 80 mg/5 mg/12,5 mg ir 80 mg/10 mg/12,5 mg tabletėse). </w:t>
      </w:r>
      <w:r>
        <w:rPr>
          <w:szCs w:val="22"/>
          <w:lang w:eastAsia="sl-SI"/>
        </w:rPr>
        <w:t>Žr. 2 skyrių „</w:t>
      </w:r>
      <w:proofErr w:type="spellStart"/>
      <w:r>
        <w:rPr>
          <w:szCs w:val="22"/>
          <w:lang w:eastAsia="sl-SI"/>
        </w:rPr>
        <w:t>Tolvecom</w:t>
      </w:r>
      <w:proofErr w:type="spellEnd"/>
      <w:r>
        <w:rPr>
          <w:szCs w:val="22"/>
          <w:lang w:eastAsia="sl-SI"/>
        </w:rPr>
        <w:t xml:space="preserve"> sudėtyje yra laktozės ir natrio“</w:t>
      </w:r>
      <w:r>
        <w:rPr>
          <w:szCs w:val="22"/>
        </w:rPr>
        <w:t>.</w:t>
      </w:r>
    </w:p>
    <w:p w14:paraId="4B8CB8ED" w14:textId="77777777" w:rsidR="00D25008" w:rsidRDefault="00D25008">
      <w:pPr>
        <w:ind w:right="-2"/>
        <w:rPr>
          <w:noProof/>
        </w:rPr>
      </w:pPr>
    </w:p>
    <w:p w14:paraId="709F3915" w14:textId="77777777" w:rsidR="00D25008" w:rsidRDefault="00FE2A61">
      <w:pPr>
        <w:numPr>
          <w:ilvl w:val="12"/>
          <w:numId w:val="0"/>
        </w:numPr>
        <w:ind w:right="-2"/>
        <w:rPr>
          <w:b/>
          <w:bCs/>
          <w:noProof/>
        </w:rPr>
      </w:pPr>
      <w:r>
        <w:rPr>
          <w:b/>
          <w:bCs/>
          <w:noProof/>
        </w:rPr>
        <w:t>Tolvecom išvaizda ir kiekis pakuotėje</w:t>
      </w:r>
    </w:p>
    <w:p w14:paraId="275DC46E" w14:textId="77777777" w:rsidR="00D25008" w:rsidRDefault="00FE2A61">
      <w:pPr>
        <w:widowControl w:val="0"/>
        <w:tabs>
          <w:tab w:val="left" w:pos="567"/>
        </w:tabs>
        <w:rPr>
          <w:i/>
          <w:iCs/>
          <w:noProof/>
          <w:szCs w:val="22"/>
          <w:u w:val="single"/>
          <w:lang w:val="en-GB"/>
        </w:rPr>
      </w:pPr>
      <w:r>
        <w:rPr>
          <w:i/>
          <w:iCs/>
          <w:noProof/>
          <w:szCs w:val="22"/>
          <w:u w:val="single"/>
          <w:lang w:val="en-GB"/>
        </w:rPr>
        <w:t>Tolvecom 40 mg/5 mg/12,5 mg tabletės</w:t>
      </w:r>
    </w:p>
    <w:p w14:paraId="534575B8" w14:textId="77777777" w:rsidR="00D25008" w:rsidRPr="00120FB4" w:rsidRDefault="00FE2A61">
      <w:pPr>
        <w:widowControl w:val="0"/>
        <w:tabs>
          <w:tab w:val="left" w:pos="567"/>
        </w:tabs>
        <w:rPr>
          <w:lang w:val="pt-PT"/>
        </w:rPr>
      </w:pPr>
      <w:r>
        <w:rPr>
          <w:noProof/>
          <w:szCs w:val="22"/>
          <w:lang w:val="en-GB"/>
        </w:rPr>
        <w:t xml:space="preserve">Apvalios, abipus išgaubtos, dviejų sluoksnių tabletės. </w:t>
      </w:r>
      <w:r w:rsidRPr="00120FB4">
        <w:rPr>
          <w:lang w:val="pt-PT"/>
        </w:rPr>
        <w:t>Vienas tabletės sluoksnis yra baltas arba beveik baltas, pažymėtas L1. Kitas tabletės sluoksnis yra rusvai geltonas, išmargintas.</w:t>
      </w:r>
    </w:p>
    <w:p w14:paraId="2AC1F1CE" w14:textId="77777777" w:rsidR="00D25008" w:rsidRPr="00120FB4" w:rsidRDefault="00FE2A61">
      <w:pPr>
        <w:widowControl w:val="0"/>
        <w:tabs>
          <w:tab w:val="left" w:pos="567"/>
        </w:tabs>
        <w:rPr>
          <w:lang w:val="pt-PT"/>
        </w:rPr>
      </w:pPr>
      <w:r w:rsidRPr="00120FB4">
        <w:rPr>
          <w:lang w:val="pt-PT"/>
        </w:rPr>
        <w:t>Tabletės matmenys: skersmuo apytiksliai 10 mm.</w:t>
      </w:r>
    </w:p>
    <w:p w14:paraId="6D663D21" w14:textId="77777777" w:rsidR="00D25008" w:rsidRPr="00120FB4" w:rsidRDefault="00FE2A61">
      <w:pPr>
        <w:widowControl w:val="0"/>
        <w:tabs>
          <w:tab w:val="left" w:pos="567"/>
        </w:tabs>
        <w:rPr>
          <w:i/>
          <w:u w:val="single"/>
          <w:lang w:val="pt-PT"/>
        </w:rPr>
      </w:pPr>
      <w:r w:rsidRPr="00120FB4">
        <w:rPr>
          <w:i/>
          <w:u w:val="single"/>
          <w:lang w:val="pt-PT"/>
        </w:rPr>
        <w:t>Tolvecom 80 mg/5 mg/12,5 mg tabletės</w:t>
      </w:r>
    </w:p>
    <w:p w14:paraId="06441E44" w14:textId="77777777" w:rsidR="00D25008" w:rsidRPr="00120FB4" w:rsidRDefault="00FE2A61">
      <w:pPr>
        <w:widowControl w:val="0"/>
        <w:tabs>
          <w:tab w:val="left" w:pos="567"/>
        </w:tabs>
        <w:rPr>
          <w:lang w:val="pt-PT"/>
        </w:rPr>
      </w:pPr>
      <w:r w:rsidRPr="00120FB4">
        <w:rPr>
          <w:lang w:val="pt-PT"/>
        </w:rPr>
        <w:t>Ovalios, abipus išgaubtos, dviejų sluoksnių tabletės. Vienas tabletės sluoksnis yra baltas arba beveik baltas, pažymėtas L2. Kitas tabletės sluoksnis yra rausvas, išmargintas.</w:t>
      </w:r>
    </w:p>
    <w:p w14:paraId="7E49D32B" w14:textId="77777777" w:rsidR="00D25008" w:rsidRPr="00120FB4" w:rsidRDefault="00FE2A61">
      <w:pPr>
        <w:widowControl w:val="0"/>
        <w:tabs>
          <w:tab w:val="left" w:pos="567"/>
        </w:tabs>
        <w:rPr>
          <w:lang w:val="pt-PT"/>
        </w:rPr>
      </w:pPr>
      <w:r w:rsidRPr="00120FB4">
        <w:rPr>
          <w:lang w:val="pt-PT"/>
        </w:rPr>
        <w:t>Tabletės dydis: apytiksliai 18 mm x 9 mm.</w:t>
      </w:r>
    </w:p>
    <w:p w14:paraId="713708DC" w14:textId="77777777" w:rsidR="00D25008" w:rsidRPr="00120FB4" w:rsidRDefault="00FE2A61">
      <w:pPr>
        <w:widowControl w:val="0"/>
        <w:tabs>
          <w:tab w:val="left" w:pos="567"/>
        </w:tabs>
        <w:rPr>
          <w:i/>
          <w:u w:val="single"/>
          <w:lang w:val="pt-PT"/>
        </w:rPr>
      </w:pPr>
      <w:r w:rsidRPr="00120FB4">
        <w:rPr>
          <w:i/>
          <w:u w:val="single"/>
          <w:lang w:val="pt-PT"/>
        </w:rPr>
        <w:t>Tolvecom 80 mg/10 mg/12,5 mg tabletės</w:t>
      </w:r>
    </w:p>
    <w:p w14:paraId="675BE405" w14:textId="77777777" w:rsidR="00D25008" w:rsidRPr="00120FB4" w:rsidRDefault="00FE2A61">
      <w:pPr>
        <w:widowControl w:val="0"/>
        <w:tabs>
          <w:tab w:val="left" w:pos="567"/>
        </w:tabs>
        <w:rPr>
          <w:lang w:val="pt-PT"/>
        </w:rPr>
      </w:pPr>
      <w:r w:rsidRPr="00120FB4">
        <w:rPr>
          <w:lang w:val="pt-PT"/>
        </w:rPr>
        <w:t>Ovalios, abipus išgaubtos, dviejų sluoksnių tabletės. Vienas tabletės sluoksnis yra baltas arba beveik baltas, pažymėtas L3. Kitas tabletės sluoksnis yra oranžinis, išmargintas.</w:t>
      </w:r>
    </w:p>
    <w:p w14:paraId="4B4776A5" w14:textId="77777777" w:rsidR="00D25008" w:rsidRPr="00120FB4" w:rsidRDefault="00FE2A61">
      <w:pPr>
        <w:widowControl w:val="0"/>
        <w:tabs>
          <w:tab w:val="left" w:pos="567"/>
        </w:tabs>
        <w:rPr>
          <w:lang w:val="pt-PT"/>
        </w:rPr>
      </w:pPr>
      <w:r w:rsidRPr="00120FB4">
        <w:rPr>
          <w:lang w:val="pt-PT"/>
        </w:rPr>
        <w:t>Tabletės dydis: apytiksliai 18 mm x 9 mm.</w:t>
      </w:r>
    </w:p>
    <w:p w14:paraId="0F9F8830" w14:textId="77777777" w:rsidR="00D25008" w:rsidRPr="00120FB4" w:rsidRDefault="00FE2A61">
      <w:pPr>
        <w:widowControl w:val="0"/>
        <w:tabs>
          <w:tab w:val="left" w:pos="567"/>
        </w:tabs>
        <w:rPr>
          <w:i/>
          <w:u w:val="single"/>
          <w:lang w:val="pt-PT"/>
        </w:rPr>
      </w:pPr>
      <w:r w:rsidRPr="00120FB4">
        <w:rPr>
          <w:i/>
          <w:u w:val="single"/>
          <w:lang w:val="pt-PT"/>
        </w:rPr>
        <w:t>Tolvecom 80 mg/10 mg/25 mg tabletės</w:t>
      </w:r>
    </w:p>
    <w:p w14:paraId="763850A8" w14:textId="77777777" w:rsidR="00D25008" w:rsidRDefault="00FE2A61">
      <w:r>
        <w:t>Ovalios, abipus išgaubtos, dviejų sluoksnių tabletės. Vienas tabletės sluoksnis yra baltas arba beveik baltas, pažymėtas L4. Kitas tabletės sluoksnis yra rusvai geltonas, išmargintas.</w:t>
      </w:r>
    </w:p>
    <w:p w14:paraId="697B3836" w14:textId="77777777" w:rsidR="00D25008" w:rsidRDefault="00FE2A61">
      <w:pPr>
        <w:ind w:left="567" w:hanging="567"/>
      </w:pPr>
      <w:r>
        <w:t>Tabletės dydis: apytiksliai 18 mm x 9 mm.</w:t>
      </w:r>
    </w:p>
    <w:p w14:paraId="37286122" w14:textId="77777777" w:rsidR="00D25008" w:rsidRDefault="00D25008">
      <w:pPr>
        <w:numPr>
          <w:ilvl w:val="12"/>
          <w:numId w:val="0"/>
        </w:numPr>
        <w:ind w:right="-2"/>
        <w:rPr>
          <w:noProof/>
        </w:rPr>
      </w:pPr>
    </w:p>
    <w:p w14:paraId="23233650" w14:textId="77777777" w:rsidR="00D25008" w:rsidRDefault="00FE2A61">
      <w:pPr>
        <w:numPr>
          <w:ilvl w:val="12"/>
          <w:numId w:val="0"/>
        </w:numPr>
        <w:ind w:right="-2"/>
        <w:rPr>
          <w:noProof/>
        </w:rPr>
      </w:pPr>
      <w:r>
        <w:rPr>
          <w:noProof/>
        </w:rPr>
        <w:t>Tolvecom tabletės tiekiamos dėžutėse, kuriose yra:</w:t>
      </w:r>
    </w:p>
    <w:p w14:paraId="18E75030" w14:textId="77777777" w:rsidR="00D25008" w:rsidRDefault="00FE2A61">
      <w:pPr>
        <w:widowControl w:val="0"/>
        <w:numPr>
          <w:ilvl w:val="0"/>
          <w:numId w:val="14"/>
        </w:numPr>
        <w:ind w:left="567" w:right="-2" w:hanging="567"/>
        <w:contextualSpacing/>
        <w:rPr>
          <w:noProof/>
          <w:szCs w:val="22"/>
          <w:lang w:val="en-GB"/>
        </w:rPr>
      </w:pPr>
      <w:r>
        <w:rPr>
          <w:noProof/>
          <w:szCs w:val="22"/>
          <w:lang w:val="en-GB"/>
        </w:rPr>
        <w:t>28, 30, 56, 60, 84 arba 90 tablečių lizdinėse plokštelėse.</w:t>
      </w:r>
    </w:p>
    <w:p w14:paraId="7CFC12F5" w14:textId="77777777" w:rsidR="00D25008" w:rsidRDefault="00FE2A61">
      <w:pPr>
        <w:widowControl w:val="0"/>
        <w:numPr>
          <w:ilvl w:val="0"/>
          <w:numId w:val="14"/>
        </w:numPr>
        <w:ind w:left="567" w:right="-2" w:hanging="567"/>
        <w:contextualSpacing/>
        <w:rPr>
          <w:noProof/>
          <w:szCs w:val="22"/>
          <w:lang w:val="en-GB"/>
        </w:rPr>
      </w:pPr>
      <w:r>
        <w:rPr>
          <w:noProof/>
          <w:szCs w:val="22"/>
          <w:lang w:val="en-GB"/>
        </w:rPr>
        <w:t>28, 56 arba 84 tabletės lizdinėse plokštelėse kalendorinėje pakuotėje.</w:t>
      </w:r>
    </w:p>
    <w:p w14:paraId="6D7032D1" w14:textId="77777777" w:rsidR="00D25008" w:rsidRDefault="00D25008">
      <w:pPr>
        <w:widowControl w:val="0"/>
        <w:rPr>
          <w:bCs/>
          <w:noProof/>
          <w:color w:val="000000"/>
          <w:szCs w:val="22"/>
          <w:lang w:val="en-GB" w:eastAsia="sl-SI"/>
        </w:rPr>
      </w:pPr>
    </w:p>
    <w:p w14:paraId="045A78D6" w14:textId="77777777" w:rsidR="00D25008" w:rsidRPr="00B86602" w:rsidRDefault="00FE2A61">
      <w:pPr>
        <w:widowControl w:val="0"/>
        <w:rPr>
          <w:color w:val="000000"/>
          <w:lang w:val="en-GB"/>
        </w:rPr>
      </w:pPr>
      <w:r w:rsidRPr="00B86602">
        <w:rPr>
          <w:color w:val="000000"/>
          <w:lang w:val="en-GB"/>
        </w:rPr>
        <w:t xml:space="preserve">Gali </w:t>
      </w:r>
      <w:proofErr w:type="spellStart"/>
      <w:r w:rsidRPr="00B86602">
        <w:rPr>
          <w:color w:val="000000"/>
          <w:lang w:val="en-GB"/>
        </w:rPr>
        <w:t>būti</w:t>
      </w:r>
      <w:proofErr w:type="spellEnd"/>
      <w:r w:rsidRPr="00B86602">
        <w:rPr>
          <w:color w:val="000000"/>
          <w:lang w:val="en-GB"/>
        </w:rPr>
        <w:t xml:space="preserve"> </w:t>
      </w:r>
      <w:proofErr w:type="spellStart"/>
      <w:r w:rsidRPr="00B86602">
        <w:rPr>
          <w:color w:val="000000"/>
          <w:lang w:val="en-GB"/>
        </w:rPr>
        <w:t>tiekiamos</w:t>
      </w:r>
      <w:proofErr w:type="spellEnd"/>
      <w:r w:rsidRPr="00B86602">
        <w:rPr>
          <w:color w:val="000000"/>
          <w:lang w:val="en-GB"/>
        </w:rPr>
        <w:t xml:space="preserve"> ne </w:t>
      </w:r>
      <w:proofErr w:type="spellStart"/>
      <w:r w:rsidRPr="00B86602">
        <w:rPr>
          <w:color w:val="000000"/>
          <w:lang w:val="en-GB"/>
        </w:rPr>
        <w:t>visų</w:t>
      </w:r>
      <w:proofErr w:type="spellEnd"/>
      <w:r w:rsidRPr="00B86602">
        <w:rPr>
          <w:color w:val="000000"/>
          <w:lang w:val="en-GB"/>
        </w:rPr>
        <w:t xml:space="preserve"> </w:t>
      </w:r>
      <w:proofErr w:type="spellStart"/>
      <w:r w:rsidRPr="00B86602">
        <w:rPr>
          <w:color w:val="000000"/>
          <w:lang w:val="en-GB"/>
        </w:rPr>
        <w:t>dydžių</w:t>
      </w:r>
      <w:proofErr w:type="spellEnd"/>
      <w:r w:rsidRPr="00B86602">
        <w:rPr>
          <w:color w:val="000000"/>
          <w:lang w:val="en-GB"/>
        </w:rPr>
        <w:t xml:space="preserve"> </w:t>
      </w:r>
      <w:proofErr w:type="spellStart"/>
      <w:r w:rsidRPr="00B86602">
        <w:rPr>
          <w:color w:val="000000"/>
          <w:lang w:val="en-GB"/>
        </w:rPr>
        <w:t>pakuotės</w:t>
      </w:r>
      <w:proofErr w:type="spellEnd"/>
      <w:r w:rsidRPr="00B86602">
        <w:rPr>
          <w:color w:val="000000"/>
          <w:lang w:val="en-GB"/>
        </w:rPr>
        <w:t>.</w:t>
      </w:r>
    </w:p>
    <w:p w14:paraId="1DDA556E" w14:textId="77777777" w:rsidR="00D25008" w:rsidRPr="00B86602" w:rsidRDefault="00D25008">
      <w:pPr>
        <w:widowControl w:val="0"/>
        <w:rPr>
          <w:color w:val="000000"/>
          <w:lang w:val="en-GB"/>
        </w:rPr>
      </w:pPr>
    </w:p>
    <w:p w14:paraId="5C0C0C77" w14:textId="77777777" w:rsidR="00D25008" w:rsidRDefault="00FE2A61">
      <w:pPr>
        <w:numPr>
          <w:ilvl w:val="12"/>
          <w:numId w:val="0"/>
        </w:numPr>
        <w:ind w:right="-2"/>
        <w:rPr>
          <w:b/>
          <w:bCs/>
          <w:noProof/>
        </w:rPr>
      </w:pPr>
      <w:r>
        <w:rPr>
          <w:b/>
          <w:bCs/>
          <w:noProof/>
        </w:rPr>
        <w:t>Registruotojas ir gamintojas</w:t>
      </w:r>
    </w:p>
    <w:p w14:paraId="55471136" w14:textId="77777777" w:rsidR="00D25008" w:rsidRDefault="00D25008">
      <w:pPr>
        <w:numPr>
          <w:ilvl w:val="12"/>
          <w:numId w:val="0"/>
        </w:numPr>
        <w:ind w:right="-2"/>
        <w:rPr>
          <w:noProof/>
        </w:rPr>
      </w:pPr>
    </w:p>
    <w:p w14:paraId="226C389C" w14:textId="77777777" w:rsidR="00D25008" w:rsidRDefault="00FE2A61">
      <w:pPr>
        <w:widowControl w:val="0"/>
        <w:tabs>
          <w:tab w:val="left" w:pos="567"/>
        </w:tabs>
        <w:rPr>
          <w:szCs w:val="20"/>
          <w:lang w:eastAsia="sl-SI"/>
        </w:rPr>
      </w:pPr>
      <w:r>
        <w:rPr>
          <w:szCs w:val="20"/>
          <w:lang w:eastAsia="sl-SI"/>
        </w:rPr>
        <w:t>KRKA</w:t>
      </w:r>
      <w:r>
        <w:rPr>
          <w:snapToGrid w:val="0"/>
          <w:szCs w:val="22"/>
        </w:rPr>
        <w:t xml:space="preserve">, </w:t>
      </w:r>
      <w:proofErr w:type="spellStart"/>
      <w:r>
        <w:rPr>
          <w:snapToGrid w:val="0"/>
          <w:szCs w:val="22"/>
        </w:rPr>
        <w:t>d.d</w:t>
      </w:r>
      <w:proofErr w:type="spellEnd"/>
      <w:r>
        <w:rPr>
          <w:snapToGrid w:val="0"/>
          <w:szCs w:val="22"/>
        </w:rPr>
        <w:t>., Novo mesto</w:t>
      </w:r>
    </w:p>
    <w:p w14:paraId="2CC4730B" w14:textId="77777777" w:rsidR="00D25008" w:rsidRDefault="00FE2A61">
      <w:pPr>
        <w:widowControl w:val="0"/>
        <w:tabs>
          <w:tab w:val="left" w:pos="567"/>
        </w:tabs>
        <w:rPr>
          <w:szCs w:val="20"/>
          <w:lang w:eastAsia="sl-SI"/>
        </w:rPr>
      </w:pPr>
      <w:proofErr w:type="spellStart"/>
      <w:r>
        <w:rPr>
          <w:snapToGrid w:val="0"/>
          <w:szCs w:val="22"/>
        </w:rPr>
        <w:t>Šmarješka</w:t>
      </w:r>
      <w:proofErr w:type="spellEnd"/>
      <w:r>
        <w:rPr>
          <w:snapToGrid w:val="0"/>
          <w:szCs w:val="22"/>
        </w:rPr>
        <w:t xml:space="preserve"> </w:t>
      </w:r>
      <w:proofErr w:type="spellStart"/>
      <w:r>
        <w:rPr>
          <w:snapToGrid w:val="0"/>
          <w:szCs w:val="22"/>
        </w:rPr>
        <w:t>cesta</w:t>
      </w:r>
      <w:proofErr w:type="spellEnd"/>
      <w:r>
        <w:rPr>
          <w:snapToGrid w:val="0"/>
          <w:szCs w:val="22"/>
        </w:rPr>
        <w:t xml:space="preserve"> 6</w:t>
      </w:r>
    </w:p>
    <w:p w14:paraId="077E3395" w14:textId="77777777" w:rsidR="00D25008" w:rsidRDefault="00FE2A61">
      <w:pPr>
        <w:widowControl w:val="0"/>
        <w:tabs>
          <w:tab w:val="left" w:pos="567"/>
        </w:tabs>
        <w:rPr>
          <w:szCs w:val="20"/>
          <w:lang w:eastAsia="sl-SI"/>
        </w:rPr>
      </w:pPr>
      <w:r>
        <w:rPr>
          <w:snapToGrid w:val="0"/>
          <w:szCs w:val="22"/>
        </w:rPr>
        <w:t>8501 Novo mesto</w:t>
      </w:r>
    </w:p>
    <w:p w14:paraId="0F8D92A7" w14:textId="77777777" w:rsidR="00D25008" w:rsidRDefault="00FE2A61">
      <w:pPr>
        <w:widowControl w:val="0"/>
        <w:tabs>
          <w:tab w:val="left" w:pos="567"/>
        </w:tabs>
        <w:rPr>
          <w:snapToGrid w:val="0"/>
          <w:szCs w:val="22"/>
        </w:rPr>
      </w:pPr>
      <w:r>
        <w:rPr>
          <w:snapToGrid w:val="0"/>
          <w:szCs w:val="22"/>
        </w:rPr>
        <w:t>Slovėnija</w:t>
      </w:r>
    </w:p>
    <w:p w14:paraId="453FDAFF" w14:textId="77777777" w:rsidR="00D25008" w:rsidRDefault="00D25008">
      <w:pPr>
        <w:widowControl w:val="0"/>
        <w:tabs>
          <w:tab w:val="left" w:pos="567"/>
        </w:tabs>
        <w:rPr>
          <w:snapToGrid w:val="0"/>
          <w:szCs w:val="22"/>
        </w:rPr>
      </w:pPr>
    </w:p>
    <w:p w14:paraId="3DC149AB" w14:textId="77777777" w:rsidR="00D25008" w:rsidRDefault="00FE2A61">
      <w:pPr>
        <w:tabs>
          <w:tab w:val="left" w:pos="567"/>
        </w:tabs>
        <w:ind w:right="-2"/>
        <w:rPr>
          <w:noProof/>
          <w:snapToGrid w:val="0"/>
          <w:szCs w:val="20"/>
        </w:rPr>
      </w:pPr>
      <w:r>
        <w:rPr>
          <w:noProof/>
          <w:snapToGrid w:val="0"/>
          <w:szCs w:val="20"/>
        </w:rPr>
        <w:t>Jeigu apie šį vaistą norite sužinoti daugiau, kreipkitės į vietinį registruotojo atstovą:</w:t>
      </w:r>
    </w:p>
    <w:p w14:paraId="3B340794" w14:textId="77777777" w:rsidR="00D25008" w:rsidRDefault="00D25008">
      <w:pPr>
        <w:tabs>
          <w:tab w:val="left" w:pos="567"/>
        </w:tabs>
        <w:rPr>
          <w:noProof/>
          <w:snapToGrid w:val="0"/>
        </w:rPr>
      </w:pPr>
    </w:p>
    <w:p w14:paraId="5613862A" w14:textId="77777777" w:rsidR="00D25008" w:rsidRDefault="00FE2A61">
      <w:pPr>
        <w:numPr>
          <w:ilvl w:val="12"/>
          <w:numId w:val="0"/>
        </w:numPr>
        <w:ind w:right="-2"/>
        <w:rPr>
          <w:noProof/>
        </w:rPr>
      </w:pPr>
      <w:r>
        <w:rPr>
          <w:noProof/>
        </w:rPr>
        <w:t>UAB KRKA Lietuva</w:t>
      </w:r>
    </w:p>
    <w:p w14:paraId="460EEB73" w14:textId="77777777" w:rsidR="00D25008" w:rsidRDefault="00FE2A61">
      <w:pPr>
        <w:numPr>
          <w:ilvl w:val="12"/>
          <w:numId w:val="0"/>
        </w:numPr>
        <w:ind w:right="-2"/>
        <w:rPr>
          <w:noProof/>
        </w:rPr>
      </w:pPr>
      <w:r>
        <w:rPr>
          <w:noProof/>
        </w:rPr>
        <w:t>Senasis Ukmergės kelias 4,</w:t>
      </w:r>
    </w:p>
    <w:p w14:paraId="456B6DB9" w14:textId="77777777" w:rsidR="00D25008" w:rsidRDefault="00FE2A61">
      <w:pPr>
        <w:numPr>
          <w:ilvl w:val="12"/>
          <w:numId w:val="0"/>
        </w:numPr>
        <w:ind w:right="-2"/>
        <w:rPr>
          <w:noProof/>
        </w:rPr>
      </w:pPr>
      <w:r>
        <w:rPr>
          <w:noProof/>
        </w:rPr>
        <w:t>Užubalių km., Vilniaus r.</w:t>
      </w:r>
    </w:p>
    <w:p w14:paraId="455D2EF8" w14:textId="77777777" w:rsidR="00D25008" w:rsidRDefault="00FE2A61">
      <w:pPr>
        <w:numPr>
          <w:ilvl w:val="12"/>
          <w:numId w:val="0"/>
        </w:numPr>
        <w:ind w:right="-2"/>
        <w:rPr>
          <w:noProof/>
        </w:rPr>
      </w:pPr>
      <w:r>
        <w:rPr>
          <w:noProof/>
        </w:rPr>
        <w:t>LT - 14013</w:t>
      </w:r>
    </w:p>
    <w:p w14:paraId="22DFB4FD" w14:textId="77777777" w:rsidR="00D25008" w:rsidRDefault="00FE2A61">
      <w:pPr>
        <w:numPr>
          <w:ilvl w:val="12"/>
          <w:numId w:val="0"/>
        </w:numPr>
        <w:ind w:right="-2"/>
        <w:rPr>
          <w:noProof/>
        </w:rPr>
      </w:pPr>
      <w:r>
        <w:rPr>
          <w:noProof/>
        </w:rPr>
        <w:t>Tel. + 370 5 236 27 40</w:t>
      </w:r>
    </w:p>
    <w:p w14:paraId="7B2F2007" w14:textId="77777777" w:rsidR="00D25008" w:rsidRDefault="00D25008">
      <w:pPr>
        <w:numPr>
          <w:ilvl w:val="12"/>
          <w:numId w:val="0"/>
        </w:numPr>
        <w:ind w:right="-2"/>
        <w:rPr>
          <w:noProof/>
        </w:rPr>
      </w:pPr>
    </w:p>
    <w:p w14:paraId="59ECAFBE" w14:textId="77777777" w:rsidR="00D25008" w:rsidRDefault="00FE2A61">
      <w:pPr>
        <w:numPr>
          <w:ilvl w:val="12"/>
          <w:numId w:val="0"/>
        </w:numPr>
        <w:ind w:right="-2"/>
      </w:pPr>
      <w:r>
        <w:rPr>
          <w:b/>
        </w:rPr>
        <w:t>Šis vaistas Europos ekonominės erdvės valstybėse narėse registruotas tokiais pavadinimais:</w:t>
      </w:r>
    </w:p>
    <w:p w14:paraId="681EE7F5" w14:textId="77777777" w:rsidR="00D25008" w:rsidRDefault="00D25008">
      <w:pPr>
        <w:numPr>
          <w:ilvl w:val="12"/>
          <w:numId w:val="0"/>
        </w:numPr>
        <w:ind w:right="-2"/>
        <w:rPr>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254"/>
      </w:tblGrid>
      <w:tr w:rsidR="00D25008" w14:paraId="2FDC2698" w14:textId="77777777">
        <w:tc>
          <w:tcPr>
            <w:tcW w:w="4698" w:type="dxa"/>
          </w:tcPr>
          <w:p w14:paraId="04B59D57" w14:textId="77777777" w:rsidR="00D25008" w:rsidRDefault="00FE2A61">
            <w:pPr>
              <w:widowControl w:val="0"/>
              <w:tabs>
                <w:tab w:val="left" w:pos="567"/>
              </w:tabs>
              <w:rPr>
                <w:snapToGrid w:val="0"/>
                <w:szCs w:val="22"/>
              </w:rPr>
            </w:pPr>
            <w:r>
              <w:rPr>
                <w:snapToGrid w:val="0"/>
                <w:szCs w:val="22"/>
              </w:rPr>
              <w:t>Valstybės narės pavadinimas</w:t>
            </w:r>
          </w:p>
        </w:tc>
        <w:tc>
          <w:tcPr>
            <w:tcW w:w="4254" w:type="dxa"/>
          </w:tcPr>
          <w:p w14:paraId="4661C555" w14:textId="77777777" w:rsidR="00D25008" w:rsidRDefault="00FE2A61">
            <w:pPr>
              <w:widowControl w:val="0"/>
              <w:tabs>
                <w:tab w:val="left" w:pos="567"/>
              </w:tabs>
              <w:rPr>
                <w:snapToGrid w:val="0"/>
                <w:szCs w:val="22"/>
              </w:rPr>
            </w:pPr>
            <w:r>
              <w:rPr>
                <w:snapToGrid w:val="0"/>
                <w:szCs w:val="22"/>
              </w:rPr>
              <w:t>Vaisto pavadinimas</w:t>
            </w:r>
          </w:p>
        </w:tc>
      </w:tr>
      <w:tr w:rsidR="00D25008" w14:paraId="6FB10F26" w14:textId="77777777">
        <w:tc>
          <w:tcPr>
            <w:tcW w:w="4698" w:type="dxa"/>
          </w:tcPr>
          <w:p w14:paraId="2BC17175" w14:textId="77777777" w:rsidR="00D25008" w:rsidRDefault="00FE2A61">
            <w:pPr>
              <w:widowControl w:val="0"/>
              <w:tabs>
                <w:tab w:val="left" w:pos="567"/>
              </w:tabs>
              <w:rPr>
                <w:snapToGrid w:val="0"/>
                <w:szCs w:val="22"/>
              </w:rPr>
            </w:pPr>
            <w:r>
              <w:rPr>
                <w:snapToGrid w:val="0"/>
                <w:szCs w:val="22"/>
              </w:rPr>
              <w:t>Kroatija, Estija, Latvija, Lenkija, Portugalija</w:t>
            </w:r>
          </w:p>
        </w:tc>
        <w:tc>
          <w:tcPr>
            <w:tcW w:w="4254" w:type="dxa"/>
          </w:tcPr>
          <w:p w14:paraId="372A5FFC" w14:textId="77777777" w:rsidR="00D25008" w:rsidRDefault="00FE2A61">
            <w:pPr>
              <w:widowControl w:val="0"/>
              <w:tabs>
                <w:tab w:val="left" w:pos="567"/>
              </w:tabs>
              <w:rPr>
                <w:snapToGrid w:val="0"/>
                <w:szCs w:val="22"/>
              </w:rPr>
            </w:pPr>
            <w:r>
              <w:rPr>
                <w:bCs/>
                <w:snapToGrid w:val="0"/>
                <w:szCs w:val="22"/>
                <w:lang w:val="fr-FR" w:eastAsia="de-DE"/>
              </w:rPr>
              <w:t>Tolutris</w:t>
            </w:r>
          </w:p>
        </w:tc>
      </w:tr>
      <w:tr w:rsidR="00D25008" w14:paraId="44F926F9" w14:textId="77777777">
        <w:tc>
          <w:tcPr>
            <w:tcW w:w="4698" w:type="dxa"/>
          </w:tcPr>
          <w:p w14:paraId="769F2561" w14:textId="77777777" w:rsidR="00D25008" w:rsidRDefault="00FE2A61">
            <w:pPr>
              <w:widowControl w:val="0"/>
              <w:tabs>
                <w:tab w:val="left" w:pos="567"/>
              </w:tabs>
              <w:rPr>
                <w:snapToGrid w:val="0"/>
                <w:szCs w:val="22"/>
              </w:rPr>
            </w:pPr>
            <w:r>
              <w:rPr>
                <w:snapToGrid w:val="0"/>
                <w:szCs w:val="22"/>
              </w:rPr>
              <w:t>Bulgarija</w:t>
            </w:r>
          </w:p>
        </w:tc>
        <w:tc>
          <w:tcPr>
            <w:tcW w:w="4254" w:type="dxa"/>
          </w:tcPr>
          <w:p w14:paraId="5269EEC0" w14:textId="77777777" w:rsidR="00D25008" w:rsidRDefault="00FE2A61">
            <w:pPr>
              <w:widowControl w:val="0"/>
              <w:tabs>
                <w:tab w:val="left" w:pos="567"/>
              </w:tabs>
              <w:rPr>
                <w:snapToGrid w:val="0"/>
                <w:szCs w:val="22"/>
              </w:rPr>
            </w:pPr>
            <w:r>
              <w:rPr>
                <w:bCs/>
                <w:snapToGrid w:val="0"/>
                <w:szCs w:val="22"/>
                <w:lang w:val="bg-BG" w:eastAsia="de-DE"/>
              </w:rPr>
              <w:t>Толутрис</w:t>
            </w:r>
          </w:p>
        </w:tc>
      </w:tr>
      <w:tr w:rsidR="00D25008" w14:paraId="24864E98" w14:textId="77777777">
        <w:tc>
          <w:tcPr>
            <w:tcW w:w="4698" w:type="dxa"/>
          </w:tcPr>
          <w:p w14:paraId="2558F587" w14:textId="77777777" w:rsidR="00D25008" w:rsidRDefault="00FE2A61">
            <w:pPr>
              <w:widowControl w:val="0"/>
              <w:tabs>
                <w:tab w:val="left" w:pos="567"/>
              </w:tabs>
              <w:rPr>
                <w:snapToGrid w:val="0"/>
                <w:szCs w:val="22"/>
              </w:rPr>
            </w:pPr>
            <w:r>
              <w:rPr>
                <w:snapToGrid w:val="0"/>
                <w:szCs w:val="22"/>
              </w:rPr>
              <w:t xml:space="preserve">Lietuva, Slovėnija, </w:t>
            </w:r>
          </w:p>
        </w:tc>
        <w:tc>
          <w:tcPr>
            <w:tcW w:w="4254" w:type="dxa"/>
          </w:tcPr>
          <w:p w14:paraId="60CFF211" w14:textId="77777777" w:rsidR="00D25008" w:rsidRDefault="00FE2A61">
            <w:pPr>
              <w:widowControl w:val="0"/>
              <w:tabs>
                <w:tab w:val="left" w:pos="567"/>
              </w:tabs>
              <w:rPr>
                <w:bCs/>
                <w:snapToGrid w:val="0"/>
                <w:szCs w:val="22"/>
                <w:lang w:eastAsia="de-DE"/>
              </w:rPr>
            </w:pPr>
            <w:proofErr w:type="spellStart"/>
            <w:r>
              <w:rPr>
                <w:bCs/>
                <w:snapToGrid w:val="0"/>
                <w:szCs w:val="22"/>
                <w:lang w:eastAsia="de-DE"/>
              </w:rPr>
              <w:t>Tolvecom</w:t>
            </w:r>
            <w:proofErr w:type="spellEnd"/>
          </w:p>
        </w:tc>
      </w:tr>
      <w:tr w:rsidR="00D25008" w14:paraId="5FF1F7D3" w14:textId="77777777">
        <w:tc>
          <w:tcPr>
            <w:tcW w:w="4698" w:type="dxa"/>
          </w:tcPr>
          <w:p w14:paraId="4F81DD95" w14:textId="77777777" w:rsidR="00D25008" w:rsidRDefault="00FE2A61">
            <w:pPr>
              <w:widowControl w:val="0"/>
              <w:tabs>
                <w:tab w:val="left" w:pos="567"/>
              </w:tabs>
              <w:rPr>
                <w:snapToGrid w:val="0"/>
                <w:szCs w:val="22"/>
              </w:rPr>
            </w:pPr>
            <w:r>
              <w:rPr>
                <w:snapToGrid w:val="0"/>
                <w:szCs w:val="22"/>
              </w:rPr>
              <w:t>Čekija, Vengrija, Slovakija</w:t>
            </w:r>
          </w:p>
        </w:tc>
        <w:tc>
          <w:tcPr>
            <w:tcW w:w="4254" w:type="dxa"/>
          </w:tcPr>
          <w:p w14:paraId="441E7818" w14:textId="77777777" w:rsidR="00D25008" w:rsidRDefault="00FE2A61">
            <w:pPr>
              <w:widowControl w:val="0"/>
              <w:tabs>
                <w:tab w:val="left" w:pos="567"/>
              </w:tabs>
              <w:rPr>
                <w:bCs/>
                <w:snapToGrid w:val="0"/>
                <w:szCs w:val="22"/>
                <w:lang w:eastAsia="de-DE"/>
              </w:rPr>
            </w:pPr>
            <w:proofErr w:type="spellStart"/>
            <w:r>
              <w:rPr>
                <w:bCs/>
                <w:snapToGrid w:val="0"/>
                <w:szCs w:val="22"/>
                <w:lang w:eastAsia="de-DE"/>
              </w:rPr>
              <w:t>Tolvecamo</w:t>
            </w:r>
            <w:proofErr w:type="spellEnd"/>
          </w:p>
        </w:tc>
      </w:tr>
    </w:tbl>
    <w:p w14:paraId="60BD41F3" w14:textId="77777777" w:rsidR="00D25008" w:rsidRDefault="00D25008">
      <w:pPr>
        <w:numPr>
          <w:ilvl w:val="12"/>
          <w:numId w:val="0"/>
        </w:numPr>
        <w:ind w:right="-2"/>
        <w:rPr>
          <w:noProof/>
        </w:rPr>
      </w:pPr>
    </w:p>
    <w:p w14:paraId="5798017C" w14:textId="74394981" w:rsidR="00D25008" w:rsidRDefault="00FE2A61">
      <w:pPr>
        <w:numPr>
          <w:ilvl w:val="12"/>
          <w:numId w:val="0"/>
        </w:numPr>
        <w:ind w:right="-2"/>
        <w:outlineLvl w:val="0"/>
        <w:rPr>
          <w:b/>
          <w:noProof/>
        </w:rPr>
      </w:pPr>
      <w:r>
        <w:rPr>
          <w:b/>
          <w:bCs/>
          <w:noProof/>
        </w:rPr>
        <w:t xml:space="preserve">Šis pakuotės </w:t>
      </w:r>
      <w:r>
        <w:rPr>
          <w:b/>
          <w:noProof/>
        </w:rPr>
        <w:t xml:space="preserve">lapelis paskutinį kartą peržiūrėtas </w:t>
      </w:r>
      <w:r>
        <w:rPr>
          <w:b/>
          <w:snapToGrid w:val="0"/>
          <w:szCs w:val="20"/>
        </w:rPr>
        <w:t>2025-</w:t>
      </w:r>
      <w:r w:rsidR="001C4737">
        <w:rPr>
          <w:b/>
          <w:snapToGrid w:val="0"/>
          <w:szCs w:val="20"/>
        </w:rPr>
        <w:t>09-20</w:t>
      </w:r>
      <w:r>
        <w:rPr>
          <w:snapToGrid w:val="0"/>
          <w:szCs w:val="20"/>
        </w:rPr>
        <w:t>.</w:t>
      </w:r>
    </w:p>
    <w:p w14:paraId="5F7C2432" w14:textId="77777777" w:rsidR="00D25008" w:rsidRDefault="00D25008">
      <w:pPr>
        <w:widowControl w:val="0"/>
        <w:numPr>
          <w:ilvl w:val="12"/>
          <w:numId w:val="0"/>
        </w:numPr>
        <w:tabs>
          <w:tab w:val="left" w:pos="567"/>
        </w:tabs>
        <w:ind w:right="-2"/>
        <w:rPr>
          <w:i/>
          <w:szCs w:val="20"/>
          <w:lang w:eastAsia="sl-SI"/>
        </w:rPr>
      </w:pPr>
    </w:p>
    <w:p w14:paraId="71147977" w14:textId="060861C6" w:rsidR="00D25008" w:rsidRDefault="00FE2A61" w:rsidP="00120FB4">
      <w:pPr>
        <w:widowControl w:val="0"/>
        <w:numPr>
          <w:ilvl w:val="12"/>
          <w:numId w:val="0"/>
        </w:numPr>
        <w:tabs>
          <w:tab w:val="left" w:pos="567"/>
        </w:tabs>
        <w:ind w:right="-2"/>
      </w:pPr>
      <w:r>
        <w:rPr>
          <w:snapToGrid w:val="0"/>
          <w:szCs w:val="22"/>
        </w:rPr>
        <w:t>Išsami informacija apie šį vaistą pateikiama Valstybinės vaistų kontrolės tarnybos prie Lietuvos Respublikos sveikatos apsaugos ministerijos tinklalapyje</w:t>
      </w:r>
      <w:r>
        <w:rPr>
          <w:i/>
          <w:snapToGrid w:val="0"/>
          <w:szCs w:val="22"/>
        </w:rPr>
        <w:t xml:space="preserve"> </w:t>
      </w:r>
      <w:hyperlink r:id="rId8" w:history="1">
        <w:r w:rsidR="000556BE" w:rsidRPr="00BE21A3">
          <w:rPr>
            <w:rStyle w:val="Hipersaitas"/>
            <w:szCs w:val="22"/>
            <w:lang w:eastAsia="lt-LT"/>
          </w:rPr>
          <w:t>https://vvkt.lrv.lt/lt/</w:t>
        </w:r>
      </w:hyperlink>
      <w:r w:rsidR="001C4737">
        <w:rPr>
          <w:szCs w:val="20"/>
          <w:lang w:eastAsia="sl-SI"/>
        </w:rPr>
        <w:t>.</w:t>
      </w:r>
      <w:r w:rsidR="000556BE">
        <w:rPr>
          <w:szCs w:val="20"/>
          <w:lang w:eastAsia="sl-SI"/>
        </w:rPr>
        <w:t xml:space="preserve">   </w:t>
      </w:r>
    </w:p>
    <w:sectPr w:rsidR="00D25008" w:rsidSect="00B8660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E4454" w14:textId="77777777" w:rsidR="00A52855" w:rsidRDefault="00A52855">
      <w:r>
        <w:separator/>
      </w:r>
    </w:p>
  </w:endnote>
  <w:endnote w:type="continuationSeparator" w:id="0">
    <w:p w14:paraId="5DE714A0" w14:textId="77777777" w:rsidR="00A52855" w:rsidRDefault="00A52855">
      <w:r>
        <w:continuationSeparator/>
      </w:r>
    </w:p>
  </w:endnote>
  <w:endnote w:type="continuationNotice" w:id="1">
    <w:p w14:paraId="341EF677" w14:textId="77777777" w:rsidR="00A52855" w:rsidRDefault="00A528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CE31" w14:textId="77777777" w:rsidR="00D25008" w:rsidRDefault="00FE2A61">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619B2C6E" w14:textId="77777777" w:rsidR="00D25008" w:rsidRDefault="00D25008">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78B2" w14:textId="77777777" w:rsidR="00D25008" w:rsidRDefault="00FE2A61">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Pr>
        <w:rStyle w:val="Puslapionumeris"/>
        <w:rFonts w:ascii="Arial" w:hAnsi="Arial" w:cs="Arial"/>
        <w:noProof/>
        <w:lang w:val="lt-LT"/>
      </w:rPr>
      <w:t>2</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18E9" w14:textId="77777777" w:rsidR="00D25008" w:rsidRDefault="00D250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E778" w14:textId="77777777" w:rsidR="00A52855" w:rsidRDefault="00A52855">
      <w:r>
        <w:separator/>
      </w:r>
    </w:p>
  </w:footnote>
  <w:footnote w:type="continuationSeparator" w:id="0">
    <w:p w14:paraId="1D718D68" w14:textId="77777777" w:rsidR="00A52855" w:rsidRDefault="00A52855">
      <w:r>
        <w:continuationSeparator/>
      </w:r>
    </w:p>
  </w:footnote>
  <w:footnote w:type="continuationNotice" w:id="1">
    <w:p w14:paraId="50DAE876" w14:textId="77777777" w:rsidR="00A52855" w:rsidRDefault="00A528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648B" w14:textId="77777777" w:rsidR="00D25008" w:rsidRDefault="00D250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A1C7" w14:textId="77777777" w:rsidR="00D25008" w:rsidRDefault="00D2500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3A2D" w14:textId="77777777" w:rsidR="00D25008" w:rsidRDefault="00D250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A7062"/>
    <w:multiLevelType w:val="multilevel"/>
    <w:tmpl w:val="B09E37FE"/>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35CB4"/>
    <w:multiLevelType w:val="hybridMultilevel"/>
    <w:tmpl w:val="50EA95F4"/>
    <w:lvl w:ilvl="0" w:tplc="54BAF2BC">
      <w:start w:val="2"/>
      <w:numFmt w:val="bullet"/>
      <w:lvlText w:val="-"/>
      <w:lvlJc w:val="left"/>
      <w:pPr>
        <w:ind w:left="774" w:hanging="360"/>
      </w:pPr>
      <w:rPr>
        <w:rFonts w:ascii="Calibri" w:eastAsiaTheme="minorHAnsi" w:hAnsi="Calibri" w:cs="Calibri"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3" w15:restartNumberingAfterBreak="0">
    <w:nsid w:val="0FAB4BF6"/>
    <w:multiLevelType w:val="hybridMultilevel"/>
    <w:tmpl w:val="7F324082"/>
    <w:lvl w:ilvl="0" w:tplc="1AAA7572">
      <w:start w:val="1"/>
      <w:numFmt w:val="decimal"/>
      <w:lvlText w:val="%1."/>
      <w:lvlJc w:val="left"/>
      <w:pPr>
        <w:ind w:left="930" w:hanging="57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0C309B1"/>
    <w:multiLevelType w:val="hybridMultilevel"/>
    <w:tmpl w:val="E7B0F242"/>
    <w:lvl w:ilvl="0" w:tplc="1C16D8CE">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445A38"/>
    <w:multiLevelType w:val="hybridMultilevel"/>
    <w:tmpl w:val="19DEA898"/>
    <w:lvl w:ilvl="0" w:tplc="1AAA7572">
      <w:start w:val="1"/>
      <w:numFmt w:val="decimal"/>
      <w:lvlText w:val="%1."/>
      <w:lvlJc w:val="left"/>
      <w:pPr>
        <w:ind w:left="930" w:hanging="57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DF15DE"/>
    <w:multiLevelType w:val="hybridMultilevel"/>
    <w:tmpl w:val="1CEE5CAE"/>
    <w:lvl w:ilvl="0" w:tplc="1C16D8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B5A75"/>
    <w:multiLevelType w:val="hybridMultilevel"/>
    <w:tmpl w:val="08BED846"/>
    <w:lvl w:ilvl="0" w:tplc="54BAF2BC">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B8D7F58"/>
    <w:multiLevelType w:val="hybridMultilevel"/>
    <w:tmpl w:val="34284BA2"/>
    <w:lvl w:ilvl="0" w:tplc="1C16D8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620BE5"/>
    <w:multiLevelType w:val="hybridMultilevel"/>
    <w:tmpl w:val="82E888BE"/>
    <w:lvl w:ilvl="0" w:tplc="4BD8FEAA">
      <w:start w:val="1"/>
      <w:numFmt w:val="bullet"/>
      <w:lvlText w:val="-"/>
      <w:lvlJc w:val="left"/>
      <w:pPr>
        <w:ind w:left="927" w:hanging="360"/>
      </w:pPr>
      <w:rPr>
        <w:rFonts w:ascii="Times New Roman" w:eastAsia="Times New Roman" w:hAnsi="Times New Roman" w:cs="Times New Roman" w:hint="default"/>
      </w:rPr>
    </w:lvl>
    <w:lvl w:ilvl="1" w:tplc="04240003">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12" w15:restartNumberingAfterBreak="0">
    <w:nsid w:val="3B5D244A"/>
    <w:multiLevelType w:val="hybridMultilevel"/>
    <w:tmpl w:val="19DEA898"/>
    <w:lvl w:ilvl="0" w:tplc="1AAA7572">
      <w:start w:val="1"/>
      <w:numFmt w:val="decimal"/>
      <w:lvlText w:val="%1."/>
      <w:lvlJc w:val="left"/>
      <w:pPr>
        <w:ind w:left="570" w:hanging="570"/>
      </w:pPr>
      <w:rPr>
        <w:rFonts w:hint="default"/>
        <w:color w:val="00000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89779F3"/>
    <w:multiLevelType w:val="hybridMultilevel"/>
    <w:tmpl w:val="4FEA4C12"/>
    <w:lvl w:ilvl="0" w:tplc="B7D4B27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2B5733"/>
    <w:multiLevelType w:val="hybridMultilevel"/>
    <w:tmpl w:val="04F6C008"/>
    <w:lvl w:ilvl="0" w:tplc="1C16D8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94AEB"/>
    <w:multiLevelType w:val="hybridMultilevel"/>
    <w:tmpl w:val="A2B21B82"/>
    <w:lvl w:ilvl="0" w:tplc="54BAF2BC">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2C649D"/>
    <w:multiLevelType w:val="hybridMultilevel"/>
    <w:tmpl w:val="09A08D68"/>
    <w:lvl w:ilvl="0" w:tplc="B1B87C68">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02A7A63"/>
    <w:multiLevelType w:val="hybridMultilevel"/>
    <w:tmpl w:val="EB302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736E8E"/>
    <w:multiLevelType w:val="hybridMultilevel"/>
    <w:tmpl w:val="19DEA898"/>
    <w:lvl w:ilvl="0" w:tplc="1AAA7572">
      <w:start w:val="1"/>
      <w:numFmt w:val="decimal"/>
      <w:lvlText w:val="%1."/>
      <w:lvlJc w:val="left"/>
      <w:pPr>
        <w:ind w:left="930" w:hanging="57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D006E46"/>
    <w:multiLevelType w:val="hybridMultilevel"/>
    <w:tmpl w:val="A52ACF82"/>
    <w:lvl w:ilvl="0" w:tplc="1C16D8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224A"/>
    <w:multiLevelType w:val="hybridMultilevel"/>
    <w:tmpl w:val="323A26FA"/>
    <w:lvl w:ilvl="0" w:tplc="330A4FB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8228F1"/>
    <w:multiLevelType w:val="hybridMultilevel"/>
    <w:tmpl w:val="1990054E"/>
    <w:lvl w:ilvl="0" w:tplc="1C16D8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00D28"/>
    <w:multiLevelType w:val="hybridMultilevel"/>
    <w:tmpl w:val="2F94C0BA"/>
    <w:lvl w:ilvl="0" w:tplc="8D324940">
      <w:start w:val="1"/>
      <w:numFmt w:val="upperLetter"/>
      <w:lvlText w:val="%1."/>
      <w:lvlJc w:val="left"/>
      <w:pPr>
        <w:ind w:left="5670" w:hanging="5670"/>
      </w:pPr>
      <w:rPr>
        <w:rFonts w:hint="default"/>
        <w:b/>
      </w:rPr>
    </w:lvl>
    <w:lvl w:ilvl="1" w:tplc="7A74512E">
      <w:start w:val="1"/>
      <w:numFmt w:val="decimal"/>
      <w:lvlText w:val="%2."/>
      <w:lvlJc w:val="left"/>
      <w:pPr>
        <w:ind w:left="1650" w:hanging="570"/>
      </w:pPr>
      <w:rPr>
        <w:rFonts w:hint="default"/>
        <w:b/>
        <w:i w:val="0"/>
      </w:rPr>
    </w:lvl>
    <w:lvl w:ilvl="2" w:tplc="CBF2B4F8" w:tentative="1">
      <w:start w:val="1"/>
      <w:numFmt w:val="lowerRoman"/>
      <w:lvlText w:val="%3."/>
      <w:lvlJc w:val="right"/>
      <w:pPr>
        <w:ind w:left="2160" w:hanging="180"/>
      </w:pPr>
    </w:lvl>
    <w:lvl w:ilvl="3" w:tplc="277C2EBC" w:tentative="1">
      <w:start w:val="1"/>
      <w:numFmt w:val="decimal"/>
      <w:lvlText w:val="%4."/>
      <w:lvlJc w:val="left"/>
      <w:pPr>
        <w:ind w:left="2880" w:hanging="360"/>
      </w:pPr>
    </w:lvl>
    <w:lvl w:ilvl="4" w:tplc="2EAE23F2" w:tentative="1">
      <w:start w:val="1"/>
      <w:numFmt w:val="lowerLetter"/>
      <w:lvlText w:val="%5."/>
      <w:lvlJc w:val="left"/>
      <w:pPr>
        <w:ind w:left="3600" w:hanging="360"/>
      </w:pPr>
    </w:lvl>
    <w:lvl w:ilvl="5" w:tplc="60F880CA" w:tentative="1">
      <w:start w:val="1"/>
      <w:numFmt w:val="lowerRoman"/>
      <w:lvlText w:val="%6."/>
      <w:lvlJc w:val="right"/>
      <w:pPr>
        <w:ind w:left="4320" w:hanging="180"/>
      </w:pPr>
    </w:lvl>
    <w:lvl w:ilvl="6" w:tplc="51D48620" w:tentative="1">
      <w:start w:val="1"/>
      <w:numFmt w:val="decimal"/>
      <w:lvlText w:val="%7."/>
      <w:lvlJc w:val="left"/>
      <w:pPr>
        <w:ind w:left="5040" w:hanging="360"/>
      </w:pPr>
    </w:lvl>
    <w:lvl w:ilvl="7" w:tplc="0514117A" w:tentative="1">
      <w:start w:val="1"/>
      <w:numFmt w:val="lowerLetter"/>
      <w:lvlText w:val="%8."/>
      <w:lvlJc w:val="left"/>
      <w:pPr>
        <w:ind w:left="5760" w:hanging="360"/>
      </w:pPr>
    </w:lvl>
    <w:lvl w:ilvl="8" w:tplc="D0F015C8" w:tentative="1">
      <w:start w:val="1"/>
      <w:numFmt w:val="lowerRoman"/>
      <w:lvlText w:val="%9."/>
      <w:lvlJc w:val="right"/>
      <w:pPr>
        <w:ind w:left="6480" w:hanging="180"/>
      </w:pPr>
    </w:lvl>
  </w:abstractNum>
  <w:num w:numId="1" w16cid:durableId="941375887">
    <w:abstractNumId w:val="0"/>
    <w:lvlOverride w:ilvl="0">
      <w:lvl w:ilvl="0">
        <w:start w:val="1"/>
        <w:numFmt w:val="bullet"/>
        <w:lvlText w:val="-"/>
        <w:legacy w:legacy="1" w:legacySpace="0" w:legacyIndent="360"/>
        <w:lvlJc w:val="left"/>
        <w:pPr>
          <w:ind w:left="360" w:hanging="360"/>
        </w:pPr>
      </w:lvl>
    </w:lvlOverride>
  </w:num>
  <w:num w:numId="2" w16cid:durableId="793789105">
    <w:abstractNumId w:val="4"/>
  </w:num>
  <w:num w:numId="3" w16cid:durableId="1797553997">
    <w:abstractNumId w:val="0"/>
    <w:lvlOverride w:ilvl="0">
      <w:lvl w:ilvl="0">
        <w:start w:val="1"/>
        <w:numFmt w:val="bullet"/>
        <w:lvlText w:val="-"/>
        <w:lvlJc w:val="left"/>
        <w:pPr>
          <w:ind w:left="360" w:hanging="360"/>
        </w:pPr>
      </w:lvl>
    </w:lvlOverride>
  </w:num>
  <w:num w:numId="4" w16cid:durableId="1611544704">
    <w:abstractNumId w:val="24"/>
  </w:num>
  <w:num w:numId="5" w16cid:durableId="19286600">
    <w:abstractNumId w:val="11"/>
  </w:num>
  <w:num w:numId="6" w16cid:durableId="923803656">
    <w:abstractNumId w:val="12"/>
  </w:num>
  <w:num w:numId="7" w16cid:durableId="456415065">
    <w:abstractNumId w:val="6"/>
  </w:num>
  <w:num w:numId="8" w16cid:durableId="995844167">
    <w:abstractNumId w:val="20"/>
  </w:num>
  <w:num w:numId="9" w16cid:durableId="1642612058">
    <w:abstractNumId w:val="3"/>
  </w:num>
  <w:num w:numId="10" w16cid:durableId="469632686">
    <w:abstractNumId w:val="18"/>
  </w:num>
  <w:num w:numId="11" w16cid:durableId="992030947">
    <w:abstractNumId w:val="17"/>
  </w:num>
  <w:num w:numId="12" w16cid:durableId="1973363879">
    <w:abstractNumId w:val="13"/>
  </w:num>
  <w:num w:numId="13" w16cid:durableId="1856187794">
    <w:abstractNumId w:val="15"/>
  </w:num>
  <w:num w:numId="14" w16cid:durableId="1102846401">
    <w:abstractNumId w:val="2"/>
  </w:num>
  <w:num w:numId="15" w16cid:durableId="304284214">
    <w:abstractNumId w:val="16"/>
  </w:num>
  <w:num w:numId="16" w16cid:durableId="1915968385">
    <w:abstractNumId w:val="10"/>
  </w:num>
  <w:num w:numId="17" w16cid:durableId="511840268">
    <w:abstractNumId w:val="9"/>
  </w:num>
  <w:num w:numId="18" w16cid:durableId="1597594771">
    <w:abstractNumId w:val="23"/>
  </w:num>
  <w:num w:numId="19" w16cid:durableId="69280962">
    <w:abstractNumId w:val="7"/>
  </w:num>
  <w:num w:numId="20" w16cid:durableId="1049770780">
    <w:abstractNumId w:val="21"/>
  </w:num>
  <w:num w:numId="21" w16cid:durableId="1651668013">
    <w:abstractNumId w:val="5"/>
  </w:num>
  <w:num w:numId="22" w16cid:durableId="540286004">
    <w:abstractNumId w:val="14"/>
  </w:num>
  <w:num w:numId="23" w16cid:durableId="234172760">
    <w:abstractNumId w:val="22"/>
  </w:num>
  <w:num w:numId="24" w16cid:durableId="134807952">
    <w:abstractNumId w:val="8"/>
  </w:num>
  <w:num w:numId="25" w16cid:durableId="1416393994">
    <w:abstractNumId w:val="1"/>
  </w:num>
  <w:num w:numId="26" w16cid:durableId="12984905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D25008"/>
    <w:rsid w:val="00026861"/>
    <w:rsid w:val="000556BE"/>
    <w:rsid w:val="0006780B"/>
    <w:rsid w:val="000756F9"/>
    <w:rsid w:val="00081981"/>
    <w:rsid w:val="00120FB4"/>
    <w:rsid w:val="001468D3"/>
    <w:rsid w:val="001C4737"/>
    <w:rsid w:val="002A438B"/>
    <w:rsid w:val="002B6C68"/>
    <w:rsid w:val="00314DB4"/>
    <w:rsid w:val="00317FEF"/>
    <w:rsid w:val="00381261"/>
    <w:rsid w:val="003C50F0"/>
    <w:rsid w:val="00452C71"/>
    <w:rsid w:val="004A3BBC"/>
    <w:rsid w:val="004D4442"/>
    <w:rsid w:val="00506E34"/>
    <w:rsid w:val="00512427"/>
    <w:rsid w:val="005B0946"/>
    <w:rsid w:val="005F76B8"/>
    <w:rsid w:val="0062641E"/>
    <w:rsid w:val="00631923"/>
    <w:rsid w:val="00680838"/>
    <w:rsid w:val="006831BA"/>
    <w:rsid w:val="006D48B2"/>
    <w:rsid w:val="006E7A19"/>
    <w:rsid w:val="006F5BDE"/>
    <w:rsid w:val="00772E0E"/>
    <w:rsid w:val="007A454B"/>
    <w:rsid w:val="007A56CE"/>
    <w:rsid w:val="007C1395"/>
    <w:rsid w:val="007C669D"/>
    <w:rsid w:val="00815967"/>
    <w:rsid w:val="0083434F"/>
    <w:rsid w:val="00835C0F"/>
    <w:rsid w:val="00850B91"/>
    <w:rsid w:val="00880572"/>
    <w:rsid w:val="009024B4"/>
    <w:rsid w:val="00926BD6"/>
    <w:rsid w:val="009C0803"/>
    <w:rsid w:val="00A25A9E"/>
    <w:rsid w:val="00A52855"/>
    <w:rsid w:val="00A86463"/>
    <w:rsid w:val="00AC03D0"/>
    <w:rsid w:val="00AC0573"/>
    <w:rsid w:val="00AF3F54"/>
    <w:rsid w:val="00B14140"/>
    <w:rsid w:val="00B275FC"/>
    <w:rsid w:val="00B561C0"/>
    <w:rsid w:val="00B703D9"/>
    <w:rsid w:val="00B82831"/>
    <w:rsid w:val="00B86602"/>
    <w:rsid w:val="00B90778"/>
    <w:rsid w:val="00BC62CB"/>
    <w:rsid w:val="00BD2C47"/>
    <w:rsid w:val="00C067F7"/>
    <w:rsid w:val="00C650B4"/>
    <w:rsid w:val="00C71B4E"/>
    <w:rsid w:val="00C76FF2"/>
    <w:rsid w:val="00CB0928"/>
    <w:rsid w:val="00CF5157"/>
    <w:rsid w:val="00D25008"/>
    <w:rsid w:val="00D53FAE"/>
    <w:rsid w:val="00D62116"/>
    <w:rsid w:val="00D7739B"/>
    <w:rsid w:val="00D77DC4"/>
    <w:rsid w:val="00DA2EFF"/>
    <w:rsid w:val="00DB1AD5"/>
    <w:rsid w:val="00DC4BB2"/>
    <w:rsid w:val="00E06D0F"/>
    <w:rsid w:val="00F04582"/>
    <w:rsid w:val="00F42116"/>
    <w:rsid w:val="00F44CE8"/>
    <w:rsid w:val="00F829A7"/>
    <w:rsid w:val="00F961C8"/>
    <w:rsid w:val="00FE2A61"/>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A9320"/>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link w:val="AntratsDiagrama"/>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link w:val="Pagrindinistekstas2Diagrama"/>
    <w:pPr>
      <w:numPr>
        <w:ilvl w:val="12"/>
      </w:numPr>
      <w:ind w:right="-2"/>
    </w:pPr>
    <w:rPr>
      <w:b/>
      <w:bCs/>
      <w:szCs w:val="20"/>
    </w:rPr>
  </w:style>
  <w:style w:type="paragraph" w:styleId="Pagrindinistekstas">
    <w:name w:val="Body Text"/>
    <w:basedOn w:val="prastasis"/>
    <w:link w:val="PagrindinistekstasDiagrama"/>
    <w:rPr>
      <w:i/>
      <w:color w:val="008000"/>
      <w:szCs w:val="20"/>
      <w:lang w:val="en-GB"/>
    </w:rPr>
  </w:style>
  <w:style w:type="character" w:styleId="Hipersaitas">
    <w:name w:val="Hyperlink"/>
    <w:rPr>
      <w:color w:val="0000FF"/>
      <w:u w:val="single"/>
    </w:rPr>
  </w:style>
  <w:style w:type="character" w:styleId="Grietas">
    <w:name w:val="Strong"/>
    <w:qFormat/>
    <w:rPr>
      <w:b/>
      <w:bCs/>
    </w:rPr>
  </w:style>
  <w:style w:type="paragraph" w:styleId="Debesliotekstas">
    <w:name w:val="Balloon Text"/>
    <w:basedOn w:val="prastasis"/>
    <w:link w:val="DebesliotekstasDiagrama"/>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szCs w:val="20"/>
    </w:rPr>
  </w:style>
  <w:style w:type="character" w:customStyle="1" w:styleId="KomentarotekstasDiagrama">
    <w:name w:val="Komentaro tekstas Diagrama"/>
    <w:link w:val="Komentarotekstas"/>
    <w:rPr>
      <w:lang w:val="lt-LT"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lt-LT" w:eastAsia="en-US"/>
    </w:rPr>
  </w:style>
  <w:style w:type="paragraph" w:styleId="Sraopastraipa">
    <w:name w:val="List Paragraph"/>
    <w:basedOn w:val="prastasis"/>
    <w:uiPriority w:val="34"/>
    <w:qFormat/>
    <w:pPr>
      <w:ind w:left="720"/>
      <w:contextualSpacing/>
    </w:pPr>
  </w:style>
  <w:style w:type="character" w:customStyle="1" w:styleId="PagrindinistekstasDiagrama">
    <w:name w:val="Pagrindinis tekstas Diagrama"/>
    <w:basedOn w:val="Numatytasispastraiposriftas"/>
    <w:link w:val="Pagrindinistekstas"/>
    <w:rPr>
      <w:i/>
      <w:color w:val="008000"/>
      <w:sz w:val="22"/>
      <w:lang w:val="en-GB" w:eastAsia="en-US"/>
    </w:rPr>
  </w:style>
  <w:style w:type="paragraph" w:styleId="prastasiniatinklio">
    <w:name w:val="Normal (Web)"/>
    <w:basedOn w:val="prastasis"/>
    <w:uiPriority w:val="99"/>
    <w:unhideWhenUsed/>
    <w:pPr>
      <w:spacing w:after="143"/>
    </w:pPr>
    <w:rPr>
      <w:rFonts w:eastAsia="Calibri"/>
      <w:sz w:val="24"/>
      <w:lang w:val="sl-SI" w:eastAsia="sl-SI"/>
    </w:rPr>
  </w:style>
  <w:style w:type="paragraph" w:styleId="Pataisymai">
    <w:name w:val="Revision"/>
    <w:hidden/>
    <w:uiPriority w:val="99"/>
    <w:semiHidden/>
    <w:rPr>
      <w:sz w:val="22"/>
      <w:szCs w:val="24"/>
      <w:lang w:eastAsia="en-US"/>
    </w:rPr>
  </w:style>
  <w:style w:type="paragraph" w:styleId="Paprastasistekstas">
    <w:name w:val="Plain Text"/>
    <w:basedOn w:val="prastasis"/>
    <w:link w:val="PaprastasistekstasDiagrama"/>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lang w:val="en-US" w:eastAsia="en-US"/>
    </w:rPr>
  </w:style>
  <w:style w:type="numbering" w:customStyle="1" w:styleId="Sraonra1">
    <w:name w:val="Sąrašo nėra1"/>
    <w:next w:val="Sraonra"/>
    <w:uiPriority w:val="99"/>
    <w:semiHidden/>
    <w:unhideWhenUsed/>
  </w:style>
  <w:style w:type="table" w:styleId="Lentelstinklelis">
    <w:name w:val="Table Grid"/>
    <w:basedOn w:val="prastojilentel"/>
    <w:rPr>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qFormat/>
    <w:pPr>
      <w:jc w:val="both"/>
    </w:pPr>
    <w:rPr>
      <w:sz w:val="24"/>
      <w:szCs w:val="20"/>
      <w:lang w:val="en-GB" w:eastAsia="sl-SI"/>
    </w:rPr>
  </w:style>
  <w:style w:type="paragraph" w:customStyle="1" w:styleId="Naslov1">
    <w:name w:val="Naslov1"/>
    <w:basedOn w:val="Antrat1"/>
    <w:pPr>
      <w:keepNext/>
      <w:tabs>
        <w:tab w:val="clear" w:pos="567"/>
      </w:tabs>
      <w:spacing w:before="0" w:after="0" w:line="240" w:lineRule="auto"/>
      <w:ind w:left="0" w:firstLine="0"/>
    </w:pPr>
    <w:rPr>
      <w:caps w:val="0"/>
      <w:sz w:val="22"/>
      <w:u w:val="single"/>
      <w:lang w:val="sl-SI" w:eastAsia="sl-SI"/>
    </w:rPr>
  </w:style>
  <w:style w:type="paragraph" w:styleId="Turinys1">
    <w:name w:val="toc 1"/>
    <w:basedOn w:val="prastasis"/>
    <w:next w:val="prastasis"/>
    <w:autoRedefine/>
    <w:pPr>
      <w:spacing w:before="120"/>
    </w:pPr>
    <w:rPr>
      <w:b/>
      <w:bCs/>
      <w:i/>
      <w:iCs/>
      <w:sz w:val="24"/>
      <w:szCs w:val="28"/>
      <w:lang w:val="sl-SI" w:eastAsia="sl-SI"/>
    </w:rPr>
  </w:style>
  <w:style w:type="paragraph" w:customStyle="1" w:styleId="Default">
    <w:name w:val="Default"/>
    <w:pPr>
      <w:autoSpaceDE w:val="0"/>
      <w:autoSpaceDN w:val="0"/>
      <w:adjustRightInd w:val="0"/>
    </w:pPr>
    <w:rPr>
      <w:color w:val="000000"/>
      <w:sz w:val="24"/>
      <w:szCs w:val="24"/>
      <w:lang w:val="sl-SI" w:eastAsia="sl-SI"/>
    </w:rPr>
  </w:style>
  <w:style w:type="table" w:customStyle="1" w:styleId="Tabela-mrea">
    <w:name w:val="Tabela - mreža"/>
    <w:basedOn w:val="prastojilentel"/>
    <w:rPr>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
    <w:name w:val="Pagrindinis tekstas 2 Diagrama"/>
    <w:link w:val="Pagrindinistekstas2"/>
    <w:rPr>
      <w:b/>
      <w:bCs/>
      <w:sz w:val="22"/>
      <w:lang w:eastAsia="en-US"/>
    </w:rPr>
  </w:style>
  <w:style w:type="character" w:customStyle="1" w:styleId="AntratsDiagrama">
    <w:name w:val="Antraštės Diagrama"/>
    <w:link w:val="Antrats"/>
    <w:rPr>
      <w:rFonts w:ascii="Helvetica" w:hAnsi="Helvetica"/>
      <w:lang w:val="cs-CZ" w:eastAsia="en-US"/>
    </w:rPr>
  </w:style>
  <w:style w:type="character" w:customStyle="1" w:styleId="DebesliotekstasDiagrama">
    <w:name w:val="Debesėlio tekstas Diagrama"/>
    <w:basedOn w:val="Numatytasispastraiposriftas"/>
    <w:link w:val="Debesliotekstas"/>
    <w:rPr>
      <w:rFonts w:ascii="Tahoma" w:hAnsi="Tahoma" w:cs="Tahoma"/>
      <w:sz w:val="16"/>
      <w:szCs w:val="16"/>
      <w:lang w:eastAsia="en-US"/>
    </w:rPr>
  </w:style>
  <w:style w:type="numbering" w:customStyle="1" w:styleId="Brezseznama1">
    <w:name w:val="Brez seznama1"/>
    <w:next w:val="Sraonra"/>
    <w:uiPriority w:val="99"/>
    <w:semiHidden/>
    <w:unhideWhenUsed/>
  </w:style>
  <w:style w:type="paragraph" w:styleId="Dokumentoinaostekstas">
    <w:name w:val="endnote text"/>
    <w:basedOn w:val="prastasis"/>
    <w:link w:val="DokumentoinaostekstasDiagrama"/>
    <w:pPr>
      <w:tabs>
        <w:tab w:val="left" w:pos="567"/>
      </w:tabs>
    </w:pPr>
    <w:rPr>
      <w:szCs w:val="20"/>
      <w:lang w:val="en-GB"/>
    </w:rPr>
  </w:style>
  <w:style w:type="character" w:customStyle="1" w:styleId="DokumentoinaostekstasDiagrama">
    <w:name w:val="Dokumento išnašos tekstas Diagrama"/>
    <w:basedOn w:val="Numatytasispastraiposriftas"/>
    <w:link w:val="Dokumentoinaostekstas"/>
    <w:rPr>
      <w:sz w:val="22"/>
      <w:lang w:val="en-GB" w:eastAsia="en-US"/>
    </w:rPr>
  </w:style>
  <w:style w:type="paragraph" w:styleId="Pavadinimas">
    <w:name w:val="Title"/>
    <w:basedOn w:val="prastasis"/>
    <w:link w:val="PavadinimasDiagrama"/>
    <w:qFormat/>
    <w:pPr>
      <w:jc w:val="center"/>
    </w:pPr>
    <w:rPr>
      <w:b/>
      <w:szCs w:val="20"/>
      <w:lang w:val="en-GB"/>
    </w:rPr>
  </w:style>
  <w:style w:type="character" w:customStyle="1" w:styleId="PavadinimasDiagrama">
    <w:name w:val="Pavadinimas Diagrama"/>
    <w:basedOn w:val="Numatytasispastraiposriftas"/>
    <w:link w:val="Pavadinimas"/>
    <w:rPr>
      <w:b/>
      <w:sz w:val="22"/>
      <w:lang w:val="en-GB" w:eastAsia="en-US"/>
    </w:rPr>
  </w:style>
  <w:style w:type="paragraph" w:customStyle="1" w:styleId="BodytextAgency">
    <w:name w:val="Body text (Agency)"/>
    <w:basedOn w:val="prastasis"/>
    <w:link w:val="BodytextAgencyChar"/>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Pr>
      <w:rFonts w:ascii="Verdana" w:eastAsia="Verdana" w:hAnsi="Verdana" w:cs="Verdana"/>
      <w:sz w:val="18"/>
      <w:szCs w:val="18"/>
      <w:lang w:val="en-GB" w:eastAsia="en-GB"/>
    </w:rPr>
  </w:style>
  <w:style w:type="paragraph" w:customStyle="1" w:styleId="Heading51">
    <w:name w:val="Heading 51"/>
    <w:basedOn w:val="prastasis"/>
    <w:next w:val="prastasis"/>
    <w:uiPriority w:val="99"/>
    <w:pPr>
      <w:autoSpaceDE w:val="0"/>
      <w:autoSpaceDN w:val="0"/>
      <w:adjustRightInd w:val="0"/>
    </w:pPr>
    <w:rPr>
      <w:rFonts w:ascii="Verdana" w:hAnsi="Verdana"/>
      <w:sz w:val="24"/>
      <w:lang w:val="sl-SI" w:eastAsia="sl-SI"/>
    </w:rPr>
  </w:style>
  <w:style w:type="character" w:customStyle="1" w:styleId="rynqvb">
    <w:name w:val="rynqvb"/>
    <w:basedOn w:val="Numatytasispastraiposriftas"/>
  </w:style>
  <w:style w:type="character" w:styleId="Neapdorotaspaminjimas">
    <w:name w:val="Unresolved Mention"/>
    <w:basedOn w:val="Numatytasispastraiposriftas"/>
    <w:uiPriority w:val="99"/>
    <w:semiHidden/>
    <w:unhideWhenUsed/>
    <w:rsid w:val="00314DB4"/>
    <w:rPr>
      <w:color w:val="605E5C"/>
      <w:shd w:val="clear" w:color="auto" w:fill="E1DFDD"/>
    </w:rPr>
  </w:style>
  <w:style w:type="paragraph" w:customStyle="1" w:styleId="TableParagraph">
    <w:name w:val="Table Paragraph"/>
    <w:basedOn w:val="prastasis"/>
    <w:uiPriority w:val="1"/>
    <w:qFormat/>
    <w:rsid w:val="00512427"/>
    <w:pPr>
      <w:widowControl w:val="0"/>
      <w:autoSpaceDE w:val="0"/>
      <w:autoSpaceDN w:val="0"/>
    </w:pPr>
    <w:rPr>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741687">
      <w:bodyDiv w:val="1"/>
      <w:marLeft w:val="0"/>
      <w:marRight w:val="0"/>
      <w:marTop w:val="0"/>
      <w:marBottom w:val="0"/>
      <w:divBdr>
        <w:top w:val="none" w:sz="0" w:space="0" w:color="auto"/>
        <w:left w:val="none" w:sz="0" w:space="0" w:color="auto"/>
        <w:bottom w:val="none" w:sz="0" w:space="0" w:color="auto"/>
        <w:right w:val="none" w:sz="0" w:space="0" w:color="auto"/>
      </w:divBdr>
    </w:div>
    <w:div w:id="1792480321">
      <w:bodyDiv w:val="1"/>
      <w:marLeft w:val="0"/>
      <w:marRight w:val="0"/>
      <w:marTop w:val="0"/>
      <w:marBottom w:val="0"/>
      <w:divBdr>
        <w:top w:val="none" w:sz="0" w:space="0" w:color="auto"/>
        <w:left w:val="none" w:sz="0" w:space="0" w:color="auto"/>
        <w:bottom w:val="none" w:sz="0" w:space="0" w:color="auto"/>
        <w:right w:val="none" w:sz="0" w:space="0" w:color="auto"/>
      </w:divBdr>
    </w:div>
    <w:div w:id="2120905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0F444-FA87-42FE-9E14-A3DC0A4C6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46</Pages>
  <Words>69975</Words>
  <Characters>39887</Characters>
  <Application>Microsoft Office Word</Application>
  <DocSecurity>0</DocSecurity>
  <Lines>332</Lines>
  <Paragraphs>219</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47</vt:i4>
      </vt:variant>
      <vt:variant>
        <vt:lpstr>Naslov</vt:lpstr>
      </vt:variant>
      <vt:variant>
        <vt:i4>1</vt:i4>
      </vt:variant>
    </vt:vector>
  </HeadingPairs>
  <TitlesOfParts>
    <vt:vector size="50" baseType="lpstr">
      <vt:lpstr>mutual-recognition-decentralised-referral-pi-template-version-42_en_CLEAN_LT</vt:lpstr>
      <vt:lpstr>mutual-recognition-decentralised-referral-pi-template-version-42_en_CLEAN_LT</vt:lpstr>
      <vt:lpstr>    </vt:lpstr>
      <vt:lpstr>    </vt:lpstr>
      <vt:lpstr>    I PRIEDAS</vt:lpstr>
      <vt:lpstr>Simvastatinas. Kartotinių 10 mg amlodipino dozių vartojimas kartu su 80 mg simva</vt:lpstr>
      <vt:lpstr/>
      <vt:lpstr>Farmakoterapinė grupė ( renino ir angiotenzino sistemą veikiantys vaistiniai pre</vt:lpstr>
      <vt:lpstr>6.6	Specialūs reikalavimai atliekoms tvarkyti</vt:lpstr>
      <vt:lpstr>    III PRIEDAS</vt:lpstr>
      <vt:lpstr>    ŽENKLINIMAS IR PAKUOTĖS LAPELIS</vt:lpstr>
      <vt:lpstr>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B. PAKUOTĖS LAPELIS</vt:lpstr>
      <vt:lpstr>Pakuotės lapelis: informacija pacientui</vt:lpstr>
      <vt:lpstr/>
      <vt:lpstr/>
      <vt:lpstr>Tolvecom vartoti draudžiama</vt:lpstr>
      <vt:lpstr>Kiti vaistai ir Tolvecom</vt:lpstr>
      <vt:lpstr>Tolvecom gali sustiprinti kitų vaistų, vartojamų aukšto kraujospūdžio ligai gydy</vt:lpstr>
      <vt:lpstr/>
      <vt:lpstr>Tolvecom poveikis gali sumažėti, kai vartojate NVNU (nesteroidinius vaistus nuo </vt:lpstr>
      <vt:lpstr/>
      <vt:lpstr>Tolvecom vartojimas su maistu ir alkoholiu</vt:lpstr>
      <vt:lpstr>Tolvecom galima vartoti valgio metu arba nevalgius.</vt:lpstr>
      <vt:lpstr>Alkoholio nevartokite, kol nepasitarėte su savo gydytoju. Dėl alkoholio poveikio</vt:lpstr>
      <vt:lpstr/>
      <vt:lpstr>Vartojant Tolvecom negalima gerti greipfrutų sulčių ir valgyti greipfrutų, nes g</vt:lpstr>
      <vt:lpstr/>
      <vt:lpstr>Nėštumas ir žindymo laikotarpis</vt:lpstr>
      <vt:lpstr/>
      <vt:lpstr>Vairavimas ir mechanizmų valdymas</vt:lpstr>
      <vt:lpstr>mutual-recognition-decentralised-referral-pi-template-version-42_en_CLEAN_LT</vt:lpstr>
    </vt:vector>
  </TitlesOfParts>
  <Company>CDT</Company>
  <LinksUpToDate>false</LinksUpToDate>
  <CharactersWithSpaces>109643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Albina Burkauskaitė</cp:lastModifiedBy>
  <cp:revision>3</cp:revision>
  <cp:lastPrinted>2019-11-28T11:21:00Z</cp:lastPrinted>
  <dcterms:created xsi:type="dcterms:W3CDTF">2026-01-16T13:30:00Z</dcterms:created>
  <dcterms:modified xsi:type="dcterms:W3CDTF">2026-01-16T13:32:00Z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JobId">
    <vt:lpwstr/>
  </property>
  <property fmtid="{D5CDD505-2E9C-101B-9397-08002B2CF9AE}" pid="46" name="MSIP_Label_0eea11ca-d417-4147-80ed-01a58412c458_ActionId">
    <vt:lpwstr/>
  </property>
  <property fmtid="{D5CDD505-2E9C-101B-9397-08002B2CF9AE}" pid="47" name="MSIP_Label_0eea11ca-d417-4147-80ed-01a58412c458_Application">
    <vt:lpwstr/>
  </property>
  <property fmtid="{D5CDD505-2E9C-101B-9397-08002B2CF9AE}" pid="48" name="MSIP_Label_0eea11ca-d417-4147-80ed-01a58412c458_Enabled">
    <vt:lpwstr/>
  </property>
  <property fmtid="{D5CDD505-2E9C-101B-9397-08002B2CF9AE}" pid="49" name="MSIP_Label_0eea11ca-d417-4147-80ed-01a58412c458_Extended_MSFT_Method">
    <vt:lpwstr/>
  </property>
  <property fmtid="{D5CDD505-2E9C-101B-9397-08002B2CF9AE}" pid="50" name="MSIP_Label_0eea11ca-d417-4147-80ed-01a58412c458_Name">
    <vt:lpwstr/>
  </property>
  <property fmtid="{D5CDD505-2E9C-101B-9397-08002B2CF9AE}" pid="51" name="MSIP_Label_0eea11ca-d417-4147-80ed-01a58412c458_Owner">
    <vt:lpwstr/>
  </property>
  <property fmtid="{D5CDD505-2E9C-101B-9397-08002B2CF9AE}" pid="52" name="MSIP_Label_0eea11ca-d417-4147-80ed-01a58412c458_Parent">
    <vt:lpwstr/>
  </property>
  <property fmtid="{D5CDD505-2E9C-101B-9397-08002B2CF9AE}" pid="53" name="MSIP_Label_0eea11ca-d417-4147-80ed-01a58412c458_SetDate">
    <vt:lpwstr/>
  </property>
  <property fmtid="{D5CDD505-2E9C-101B-9397-08002B2CF9AE}" pid="54" name="MSIP_Label_0eea11ca-d417-4147-80ed-01a58412c458_SiteId">
    <vt:lpwstr/>
  </property>
  <property fmtid="{D5CDD505-2E9C-101B-9397-08002B2CF9AE}" pid="55" name="MSIP_Label_afe1b31d-cec0-4074-b4bd-f07689e43d84_ActionId">
    <vt:lpwstr/>
  </property>
  <property fmtid="{D5CDD505-2E9C-101B-9397-08002B2CF9AE}" pid="56" name="MSIP_Label_afe1b31d-cec0-4074-b4bd-f07689e43d84_Application">
    <vt:lpwstr/>
  </property>
  <property fmtid="{D5CDD505-2E9C-101B-9397-08002B2CF9AE}" pid="57" name="MSIP_Label_afe1b31d-cec0-4074-b4bd-f07689e43d84_Enabled">
    <vt:lpwstr/>
  </property>
  <property fmtid="{D5CDD505-2E9C-101B-9397-08002B2CF9AE}" pid="58" name="MSIP_Label_afe1b31d-cec0-4074-b4bd-f07689e43d84_Extended_MSFT_Method">
    <vt:lpwstr/>
  </property>
  <property fmtid="{D5CDD505-2E9C-101B-9397-08002B2CF9AE}" pid="59" name="MSIP_Label_afe1b31d-cec0-4074-b4bd-f07689e43d84_Name">
    <vt:lpwstr/>
  </property>
  <property fmtid="{D5CDD505-2E9C-101B-9397-08002B2CF9AE}" pid="60" name="MSIP_Label_afe1b31d-cec0-4074-b4bd-f07689e43d84_Owner">
    <vt:lpwstr/>
  </property>
  <property fmtid="{D5CDD505-2E9C-101B-9397-08002B2CF9AE}" pid="61" name="MSIP_Label_afe1b31d-cec0-4074-b4bd-f07689e43d84_SetDate">
    <vt:lpwstr/>
  </property>
  <property fmtid="{D5CDD505-2E9C-101B-9397-08002B2CF9AE}" pid="62" name="MSIP_Label_afe1b31d-cec0-4074-b4bd-f07689e43d84_SiteId">
    <vt:lpwstr/>
  </property>
</Properties>
</file>